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A10DEA" w:rsidRDefault="00806382" w:rsidP="00806382">
      <w:pPr>
        <w:pStyle w:val="ListParagraph"/>
        <w:numPr>
          <w:ilvl w:val="0"/>
          <w:numId w:val="15"/>
        </w:numPr>
        <w:ind w:left="425" w:hanging="357"/>
        <w:jc w:val="both"/>
        <w:rPr>
          <w:rFonts w:ascii="Avenir Next" w:hAnsi="Avenir Next" w:cs="Arial"/>
          <w:sz w:val="22"/>
          <w:szCs w:val="22"/>
          <w:highlight w:val="yellow"/>
        </w:rPr>
      </w:pPr>
      <w:r w:rsidRPr="00A10DEA">
        <w:rPr>
          <w:rFonts w:ascii="Avenir Next" w:hAnsi="Avenir Next" w:cs="Arial"/>
          <w:sz w:val="22"/>
          <w:szCs w:val="22"/>
          <w:highlight w:val="yellow"/>
        </w:rPr>
        <w:t xml:space="preserve">This statement is untrue since the word </w:t>
      </w:r>
      <w:r w:rsidR="00823AB4" w:rsidRPr="00A10DEA">
        <w:rPr>
          <w:rFonts w:ascii="Avenir Next" w:hAnsi="Avenir Next" w:cs="Arial"/>
          <w:sz w:val="22"/>
          <w:szCs w:val="22"/>
          <w:highlight w:val="yellow"/>
        </w:rPr>
        <w:t>“</w:t>
      </w:r>
      <w:r w:rsidRPr="00A10DEA">
        <w:rPr>
          <w:rFonts w:ascii="Avenir Next" w:hAnsi="Avenir Next" w:cs="Arial"/>
          <w:sz w:val="22"/>
          <w:szCs w:val="22"/>
          <w:highlight w:val="yellow"/>
        </w:rPr>
        <w:t>bankruptcy</w:t>
      </w:r>
      <w:r w:rsidR="00823AB4" w:rsidRPr="00A10DEA">
        <w:rPr>
          <w:rFonts w:ascii="Avenir Next" w:hAnsi="Avenir Next" w:cs="Arial"/>
          <w:sz w:val="22"/>
          <w:szCs w:val="22"/>
          <w:highlight w:val="yellow"/>
        </w:rPr>
        <w:t>”</w:t>
      </w:r>
      <w:r w:rsidRPr="00A10DEA">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true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an ”executory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7B20E4" w:rsidRDefault="001211E6" w:rsidP="001211E6">
      <w:pPr>
        <w:pStyle w:val="ListParagraph"/>
        <w:numPr>
          <w:ilvl w:val="0"/>
          <w:numId w:val="16"/>
        </w:numPr>
        <w:ind w:left="426"/>
        <w:jc w:val="both"/>
        <w:rPr>
          <w:rFonts w:ascii="Avenir Next" w:hAnsi="Avenir Next" w:cs="Arial"/>
          <w:sz w:val="22"/>
          <w:szCs w:val="22"/>
          <w:highlight w:val="yellow"/>
        </w:rPr>
      </w:pPr>
      <w:r w:rsidRPr="007B20E4">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7B20E4"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7B20E4">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DA42DA"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DC5898">
        <w:rPr>
          <w:rFonts w:ascii="Avenir Next" w:hAnsi="Avenir Next" w:cs="Arial"/>
          <w:sz w:val="22"/>
          <w:szCs w:val="22"/>
          <w:highlight w:val="yellow"/>
          <w:lang w:val="en-GB"/>
        </w:rPr>
        <w:t>This statement is incorrect since a statutory discharge of debt was only introduced in 1705 in England.</w:t>
      </w:r>
      <w:r w:rsidRPr="00DA42DA">
        <w:rPr>
          <w:rFonts w:ascii="Avenir Next" w:hAnsi="Avenir Next" w:cs="Arial"/>
          <w:sz w:val="22"/>
          <w:szCs w:val="22"/>
          <w:lang w:val="en-GB"/>
        </w:rPr>
        <w:t xml:space="preserve">    </w:t>
      </w:r>
      <w:r w:rsidRPr="00DA42DA">
        <w:rPr>
          <w:rFonts w:ascii="Avenir Next" w:hAnsi="Avenir Next" w:cs="Arial"/>
          <w:sz w:val="22"/>
          <w:szCs w:val="22"/>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717E6C" w:rsidRDefault="006514CD" w:rsidP="006514CD">
      <w:pPr>
        <w:pStyle w:val="ListParagraph"/>
        <w:numPr>
          <w:ilvl w:val="0"/>
          <w:numId w:val="19"/>
        </w:numPr>
        <w:ind w:left="425" w:hanging="357"/>
        <w:jc w:val="both"/>
        <w:rPr>
          <w:rFonts w:ascii="Avenir Next" w:hAnsi="Avenir Next" w:cs="Arial"/>
          <w:sz w:val="22"/>
          <w:szCs w:val="22"/>
        </w:rPr>
      </w:pPr>
      <w:r w:rsidRPr="00717E6C">
        <w:rPr>
          <w:rFonts w:ascii="Avenir Next" w:hAnsi="Avenir Next" w:cs="Arial"/>
          <w:sz w:val="22"/>
          <w:szCs w:val="22"/>
        </w:rPr>
        <w:t>This statement is true because 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717E6C" w:rsidRDefault="006514CD" w:rsidP="006514CD">
      <w:pPr>
        <w:pStyle w:val="ListParagraph"/>
        <w:numPr>
          <w:ilvl w:val="0"/>
          <w:numId w:val="19"/>
        </w:numPr>
        <w:ind w:left="425" w:hanging="357"/>
        <w:jc w:val="both"/>
        <w:rPr>
          <w:rFonts w:ascii="Avenir Next" w:hAnsi="Avenir Next" w:cs="Arial"/>
          <w:sz w:val="22"/>
          <w:szCs w:val="22"/>
          <w:highlight w:val="yellow"/>
        </w:rPr>
      </w:pPr>
      <w:r w:rsidRPr="00717E6C">
        <w:rPr>
          <w:rFonts w:ascii="Avenir Next" w:hAnsi="Avenir Next" w:cs="Arial"/>
          <w:sz w:val="22"/>
          <w:szCs w:val="22"/>
          <w:highlight w:val="yellow"/>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r w:rsidRPr="004216EA">
        <w:rPr>
          <w:rFonts w:ascii="Avenir Next" w:hAnsi="Avenir Next" w:cs="Arial"/>
          <w:sz w:val="22"/>
          <w:szCs w:val="22"/>
        </w:rPr>
        <w:t xml:space="preserve">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Pr="006B16E6"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6B16E6">
        <w:rPr>
          <w:rFonts w:ascii="Avenir Next" w:eastAsiaTheme="minorHAnsi" w:hAnsi="Avenir Next" w:cs="Arial"/>
          <w:sz w:val="22"/>
          <w:szCs w:val="22"/>
          <w:highlight w:val="yellow"/>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DA42DA"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DA42DA">
        <w:rPr>
          <w:rFonts w:ascii="Avenir Next" w:eastAsiaTheme="minorHAnsi" w:hAnsi="Avenir Next" w:cs="Arial"/>
          <w:sz w:val="22"/>
          <w:szCs w:val="22"/>
          <w:lang w:val="en-GB"/>
        </w:rPr>
        <w:t xml:space="preserve"> The need for independent examination of debtor’s conduct and circumstances leading to insolvency, the appropriateness of creditors having control of debtor assets with least possible interference, the need for trustees to be subject to supervision and audit.</w:t>
      </w:r>
    </w:p>
    <w:p w14:paraId="04781EE4" w14:textId="77777777" w:rsidR="00164F9B" w:rsidRDefault="00164F9B" w:rsidP="008071D5">
      <w:pPr>
        <w:jc w:val="both"/>
        <w:rPr>
          <w:rFonts w:ascii="Avenir Next Demi Bold" w:hAnsi="Avenir Next Demi Bold" w:cs="Arial"/>
          <w:b/>
          <w:bCs/>
          <w:sz w:val="22"/>
          <w:szCs w:val="22"/>
        </w:rPr>
      </w:pPr>
    </w:p>
    <w:p w14:paraId="7A4344AB" w14:textId="2B089CE7"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Australia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182F16" w:rsidRDefault="00AD76EF" w:rsidP="00AD76EF">
      <w:pPr>
        <w:pStyle w:val="ListParagraph"/>
        <w:numPr>
          <w:ilvl w:val="0"/>
          <w:numId w:val="17"/>
        </w:numPr>
        <w:ind w:left="426"/>
        <w:jc w:val="both"/>
        <w:rPr>
          <w:rFonts w:ascii="Avenir Next" w:hAnsi="Avenir Next" w:cs="Arial"/>
          <w:sz w:val="22"/>
          <w:szCs w:val="22"/>
          <w:highlight w:val="yellow"/>
        </w:rPr>
      </w:pPr>
      <w:r w:rsidRPr="00182F16">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182F16"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182F16">
        <w:rPr>
          <w:rFonts w:ascii="Avenir Next" w:eastAsiaTheme="minorHAnsi" w:hAnsi="Avenir Next" w:cs="Arial"/>
          <w:sz w:val="22"/>
          <w:szCs w:val="22"/>
          <w:highlight w:val="yellow"/>
          <w:lang w:val="en-GB"/>
        </w:rPr>
        <w:lastRenderedPageBreak/>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9E4776" w:rsidRDefault="009661DE" w:rsidP="009661DE">
      <w:pPr>
        <w:pStyle w:val="ListParagraph"/>
        <w:numPr>
          <w:ilvl w:val="0"/>
          <w:numId w:val="23"/>
        </w:numPr>
        <w:ind w:left="426"/>
        <w:jc w:val="both"/>
        <w:rPr>
          <w:rFonts w:ascii="Avenir Next" w:hAnsi="Avenir Next" w:cs="Arial"/>
          <w:sz w:val="22"/>
          <w:szCs w:val="22"/>
          <w:highlight w:val="yellow"/>
        </w:rPr>
      </w:pPr>
      <w:r w:rsidRPr="009E4776">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Opponents of universalism often argue that universalism is difficult to achieve because of the effects of globali</w:t>
      </w:r>
      <w:r>
        <w:rPr>
          <w:rFonts w:ascii="Avenir Next" w:hAnsi="Avenir Next" w:cs="Arial"/>
          <w:sz w:val="22"/>
          <w:szCs w:val="22"/>
        </w:rPr>
        <w:t>s</w:t>
      </w:r>
      <w:r w:rsidRPr="00AE314A">
        <w:rPr>
          <w:rFonts w:ascii="Avenir Next" w:hAnsi="Avenir Next" w:cs="Arial"/>
          <w:sz w:val="22"/>
          <w:szCs w:val="22"/>
        </w:rPr>
        <w:t xml:space="preserve">ation.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r w:rsidR="004A2B2C">
        <w:rPr>
          <w:rFonts w:ascii="Avenir Next" w:hAnsi="Avenir Next"/>
          <w:sz w:val="22"/>
          <w:szCs w:val="22"/>
        </w:rPr>
        <w:t>centre</w:t>
      </w:r>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9E4776" w:rsidRDefault="003B3A0D" w:rsidP="003B3A0D">
      <w:pPr>
        <w:pStyle w:val="ListParagraph"/>
        <w:numPr>
          <w:ilvl w:val="0"/>
          <w:numId w:val="24"/>
        </w:numPr>
        <w:ind w:left="426"/>
        <w:jc w:val="both"/>
        <w:rPr>
          <w:rFonts w:ascii="Avenir Next" w:hAnsi="Avenir Next" w:cs="Arial"/>
          <w:sz w:val="22"/>
          <w:szCs w:val="22"/>
          <w:highlight w:val="yellow"/>
        </w:rPr>
      </w:pPr>
      <w:r w:rsidRPr="009E4776">
        <w:rPr>
          <w:rFonts w:ascii="Avenir Next" w:hAnsi="Avenir Next" w:cs="Arial"/>
          <w:sz w:val="22"/>
          <w:szCs w:val="22"/>
          <w:highlight w:val="yellow"/>
        </w:rPr>
        <w:t>This statement is untrue because universalism corresponds well to globali</w:t>
      </w:r>
      <w:r w:rsidR="00142E15" w:rsidRPr="009E4776">
        <w:rPr>
          <w:rFonts w:ascii="Avenir Next" w:hAnsi="Avenir Next" w:cs="Arial"/>
          <w:sz w:val="22"/>
          <w:szCs w:val="22"/>
          <w:highlight w:val="yellow"/>
        </w:rPr>
        <w:t>s</w:t>
      </w:r>
      <w:r w:rsidRPr="009E4776">
        <w:rPr>
          <w:rFonts w:ascii="Avenir Next" w:hAnsi="Avenir Next" w:cs="Arial"/>
          <w:sz w:val="22"/>
          <w:szCs w:val="22"/>
          <w:highlight w:val="yellow"/>
        </w:rPr>
        <w:t xml:space="preserve">ation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 xml:space="preserve">ation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r w:rsidR="004A2B2C">
        <w:rPr>
          <w:rFonts w:ascii="Avenir Next" w:hAnsi="Avenir Next"/>
          <w:sz w:val="22"/>
          <w:szCs w:val="22"/>
        </w:rPr>
        <w:t>centre</w:t>
      </w:r>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39F1F3F8" w14:textId="77777777" w:rsidR="00B176FB" w:rsidRDefault="00B176FB" w:rsidP="00692852">
      <w:pPr>
        <w:jc w:val="both"/>
        <w:rPr>
          <w:rFonts w:ascii="Avenir Next Demi Bold" w:hAnsi="Avenir Next Demi Bold" w:cs="Arial"/>
          <w:b/>
          <w:bCs/>
          <w:sz w:val="22"/>
          <w:szCs w:val="22"/>
          <w:lang w:val="en-GB"/>
        </w:rPr>
      </w:pPr>
    </w:p>
    <w:p w14:paraId="5443AEF8" w14:textId="2B25BF98" w:rsidR="00B176FB" w:rsidRPr="00B176FB" w:rsidRDefault="00B176FB" w:rsidP="00692852">
      <w:pPr>
        <w:jc w:val="both"/>
        <w:rPr>
          <w:rFonts w:ascii="Avenir Next Demi Bold" w:hAnsi="Avenir Next Demi Bold" w:cs="Arial"/>
          <w:i/>
          <w:iCs/>
          <w:color w:val="808080" w:themeColor="background1" w:themeShade="80"/>
          <w:sz w:val="22"/>
          <w:szCs w:val="22"/>
          <w:lang w:val="en-GB"/>
        </w:rPr>
      </w:pPr>
      <w:r w:rsidRPr="00B176FB">
        <w:rPr>
          <w:rFonts w:ascii="Avenir Next Demi Bold" w:hAnsi="Avenir Next Demi Bold" w:cs="Arial"/>
          <w:i/>
          <w:iCs/>
          <w:color w:val="808080" w:themeColor="background1" w:themeShade="80"/>
          <w:sz w:val="22"/>
          <w:szCs w:val="22"/>
          <w:lang w:val="en-GB"/>
        </w:rPr>
        <w:lastRenderedPageBreak/>
        <w:t>Disclosure: All answers have relied extensively on INSOL International’s Foundational Certificate in International Insolvency 2023/2024 Guidance Texts, as per honesty statement disclosure requirements.</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0E9A2E7D" w14:textId="7E55DD31" w:rsidR="00C843B6" w:rsidRDefault="00DC5898" w:rsidP="008A0F0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w:t>
      </w:r>
      <w:r w:rsidR="008A0F07" w:rsidRPr="008A0F07">
        <w:rPr>
          <w:rFonts w:ascii="Avenir Next" w:hAnsi="Avenir Next" w:cs="Arial"/>
          <w:color w:val="808080" w:themeColor="background1" w:themeShade="80"/>
          <w:sz w:val="22"/>
          <w:szCs w:val="22"/>
          <w:lang w:val="en-GB"/>
        </w:rPr>
        <w:t>ountries that have insolvency laws rooted in civil law</w:t>
      </w:r>
      <w:r>
        <w:rPr>
          <w:rFonts w:ascii="Avenir Next" w:hAnsi="Avenir Next" w:cs="Arial"/>
          <w:color w:val="808080" w:themeColor="background1" w:themeShade="80"/>
          <w:sz w:val="22"/>
          <w:szCs w:val="22"/>
          <w:lang w:val="en-GB"/>
        </w:rPr>
        <w:t xml:space="preserve"> </w:t>
      </w:r>
      <w:r w:rsidR="001E07E2">
        <w:rPr>
          <w:rFonts w:ascii="Avenir Next" w:hAnsi="Avenir Next" w:cs="Arial"/>
          <w:color w:val="808080" w:themeColor="background1" w:themeShade="80"/>
          <w:sz w:val="22"/>
          <w:szCs w:val="22"/>
          <w:lang w:val="en-GB"/>
        </w:rPr>
        <w:t>had its origins in the 3</w:t>
      </w:r>
      <w:r w:rsidR="001E07E2" w:rsidRPr="001E07E2">
        <w:rPr>
          <w:rFonts w:ascii="Avenir Next" w:hAnsi="Avenir Next" w:cs="Arial"/>
          <w:color w:val="808080" w:themeColor="background1" w:themeShade="80"/>
          <w:sz w:val="22"/>
          <w:szCs w:val="22"/>
          <w:vertAlign w:val="superscript"/>
          <w:lang w:val="en-GB"/>
        </w:rPr>
        <w:t>rd</w:t>
      </w:r>
      <w:r w:rsidR="001E07E2">
        <w:rPr>
          <w:rFonts w:ascii="Avenir Next" w:hAnsi="Avenir Next" w:cs="Arial"/>
          <w:color w:val="808080" w:themeColor="background1" w:themeShade="80"/>
          <w:sz w:val="22"/>
          <w:szCs w:val="22"/>
          <w:lang w:val="en-GB"/>
        </w:rPr>
        <w:t xml:space="preserve"> Table of the Twelve Tables, which specified executions of judgment that pertained to using one’s body (as a debtor) </w:t>
      </w:r>
      <w:r w:rsidR="000906BD">
        <w:rPr>
          <w:rFonts w:ascii="Avenir Next" w:hAnsi="Avenir Next" w:cs="Arial"/>
          <w:color w:val="808080" w:themeColor="background1" w:themeShade="80"/>
          <w:sz w:val="22"/>
          <w:szCs w:val="22"/>
          <w:lang w:val="en-GB"/>
        </w:rPr>
        <w:t>for draconian consequences in the event of default</w:t>
      </w:r>
      <w:r w:rsidR="002D2362">
        <w:rPr>
          <w:rFonts w:ascii="Avenir Next" w:hAnsi="Avenir Next" w:cs="Arial"/>
          <w:color w:val="808080" w:themeColor="background1" w:themeShade="80"/>
          <w:sz w:val="22"/>
          <w:szCs w:val="22"/>
          <w:lang w:val="en-GB"/>
        </w:rPr>
        <w:t xml:space="preserve"> to</w:t>
      </w:r>
      <w:r w:rsidR="000906BD">
        <w:rPr>
          <w:rFonts w:ascii="Avenir Next" w:hAnsi="Avenir Next" w:cs="Arial"/>
          <w:color w:val="808080" w:themeColor="background1" w:themeShade="80"/>
          <w:sz w:val="22"/>
          <w:szCs w:val="22"/>
          <w:lang w:val="en-GB"/>
        </w:rPr>
        <w:t xml:space="preserve"> secure repayment. These include incarceration, death and even slavery. </w:t>
      </w:r>
      <w:r w:rsidR="00D623AA">
        <w:rPr>
          <w:rFonts w:ascii="Avenir Next" w:hAnsi="Avenir Next" w:cs="Arial"/>
          <w:color w:val="808080" w:themeColor="background1" w:themeShade="80"/>
          <w:sz w:val="22"/>
          <w:szCs w:val="22"/>
          <w:lang w:val="en-GB"/>
        </w:rPr>
        <w:t xml:space="preserve">Subsequent development on the law was also spurred on by the Lex Mercatoria, which as the name suggests, </w:t>
      </w:r>
      <w:r w:rsidR="002F561C">
        <w:rPr>
          <w:rFonts w:ascii="Avenir Next" w:hAnsi="Avenir Next" w:cs="Arial"/>
          <w:color w:val="808080" w:themeColor="background1" w:themeShade="80"/>
          <w:sz w:val="22"/>
          <w:szCs w:val="22"/>
          <w:lang w:val="en-GB"/>
        </w:rPr>
        <w:t>were usages and customs that applied to continental merchants.</w:t>
      </w:r>
    </w:p>
    <w:p w14:paraId="3D39C6E7" w14:textId="77777777" w:rsidR="00C843B6" w:rsidRDefault="00C843B6" w:rsidP="008A0F07">
      <w:pPr>
        <w:jc w:val="both"/>
        <w:rPr>
          <w:rFonts w:ascii="Avenir Next" w:hAnsi="Avenir Next" w:cs="Arial"/>
          <w:color w:val="808080" w:themeColor="background1" w:themeShade="80"/>
          <w:sz w:val="22"/>
          <w:szCs w:val="22"/>
          <w:lang w:val="en-GB"/>
        </w:rPr>
      </w:pPr>
    </w:p>
    <w:p w14:paraId="0E3146DF" w14:textId="79EF458E" w:rsidR="000906BD" w:rsidRDefault="00C843B6" w:rsidP="008A0F0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Countries that have insolvency laws rooted in </w:t>
      </w:r>
      <w:r w:rsidR="002F561C">
        <w:rPr>
          <w:rFonts w:ascii="Avenir Next" w:hAnsi="Avenir Next" w:cs="Arial"/>
          <w:color w:val="808080" w:themeColor="background1" w:themeShade="80"/>
          <w:sz w:val="22"/>
          <w:szCs w:val="22"/>
          <w:lang w:val="en-GB"/>
        </w:rPr>
        <w:t>English law</w:t>
      </w:r>
      <w:r w:rsidR="00EF75BD">
        <w:rPr>
          <w:rFonts w:ascii="Avenir Next" w:hAnsi="Avenir Next" w:cs="Arial"/>
          <w:color w:val="808080" w:themeColor="background1" w:themeShade="80"/>
          <w:sz w:val="22"/>
          <w:szCs w:val="22"/>
          <w:lang w:val="en-GB"/>
        </w:rPr>
        <w:t xml:space="preserve"> </w:t>
      </w:r>
      <w:r w:rsidR="00235A58">
        <w:rPr>
          <w:rFonts w:ascii="Avenir Next" w:hAnsi="Avenir Next" w:cs="Arial"/>
          <w:color w:val="808080" w:themeColor="background1" w:themeShade="80"/>
          <w:sz w:val="22"/>
          <w:szCs w:val="22"/>
          <w:lang w:val="en-GB"/>
        </w:rPr>
        <w:t xml:space="preserve">saw similar punitive actions applied against debtors </w:t>
      </w:r>
      <w:r w:rsidR="00EF75BD">
        <w:rPr>
          <w:rFonts w:ascii="Avenir Next" w:hAnsi="Avenir Next" w:cs="Arial"/>
          <w:color w:val="808080" w:themeColor="background1" w:themeShade="80"/>
          <w:sz w:val="22"/>
          <w:szCs w:val="22"/>
          <w:lang w:val="en-GB"/>
        </w:rPr>
        <w:t xml:space="preserve">through </w:t>
      </w:r>
      <w:r w:rsidR="00106E6A">
        <w:rPr>
          <w:rFonts w:ascii="Avenir Next" w:hAnsi="Avenir Next" w:cs="Arial"/>
          <w:color w:val="808080" w:themeColor="background1" w:themeShade="80"/>
          <w:sz w:val="22"/>
          <w:szCs w:val="22"/>
          <w:lang w:val="en-GB"/>
        </w:rPr>
        <w:t>incarceration</w:t>
      </w:r>
      <w:r>
        <w:rPr>
          <w:rFonts w:ascii="Avenir Next" w:hAnsi="Avenir Next" w:cs="Arial"/>
          <w:color w:val="808080" w:themeColor="background1" w:themeShade="80"/>
          <w:sz w:val="22"/>
          <w:szCs w:val="22"/>
          <w:lang w:val="en-GB"/>
        </w:rPr>
        <w:t xml:space="preserve"> through </w:t>
      </w:r>
      <w:r w:rsidR="00106E6A">
        <w:rPr>
          <w:rFonts w:ascii="Avenir Next" w:hAnsi="Avenir Next" w:cs="Arial"/>
          <w:color w:val="808080" w:themeColor="background1" w:themeShade="80"/>
          <w:sz w:val="22"/>
          <w:szCs w:val="22"/>
          <w:lang w:val="en-GB"/>
        </w:rPr>
        <w:t>the Statute of Malbridge of 1267</w:t>
      </w:r>
      <w:r>
        <w:rPr>
          <w:rFonts w:ascii="Avenir Next" w:hAnsi="Avenir Next" w:cs="Arial"/>
          <w:color w:val="808080" w:themeColor="background1" w:themeShade="80"/>
          <w:sz w:val="22"/>
          <w:szCs w:val="22"/>
          <w:lang w:val="en-GB"/>
        </w:rPr>
        <w:t>.</w:t>
      </w:r>
    </w:p>
    <w:p w14:paraId="68538D72" w14:textId="77777777" w:rsidR="00C843B6" w:rsidRDefault="00C843B6" w:rsidP="008A0F07">
      <w:pPr>
        <w:jc w:val="both"/>
        <w:rPr>
          <w:rFonts w:ascii="Avenir Next" w:hAnsi="Avenir Next" w:cs="Arial"/>
          <w:color w:val="808080" w:themeColor="background1" w:themeShade="80"/>
          <w:sz w:val="22"/>
          <w:szCs w:val="22"/>
          <w:lang w:val="en-GB"/>
        </w:rPr>
      </w:pPr>
    </w:p>
    <w:p w14:paraId="337C07C4" w14:textId="53B16A07" w:rsidR="00C843B6" w:rsidRPr="00DA42DA" w:rsidRDefault="00C843B6" w:rsidP="008A0F0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Another broad comparison is the colonial histories of these countries</w:t>
      </w:r>
      <w:r w:rsidR="00357962">
        <w:rPr>
          <w:rFonts w:ascii="Avenir Next" w:hAnsi="Avenir Next" w:cs="Arial"/>
          <w:color w:val="808080" w:themeColor="background1" w:themeShade="80"/>
          <w:sz w:val="22"/>
          <w:szCs w:val="22"/>
          <w:lang w:val="en-GB"/>
        </w:rPr>
        <w:t>, with</w:t>
      </w:r>
      <w:r w:rsidR="00D93BCC">
        <w:rPr>
          <w:rFonts w:ascii="Avenir Next" w:hAnsi="Avenir Next" w:cs="Arial"/>
          <w:color w:val="808080" w:themeColor="background1" w:themeShade="80"/>
          <w:sz w:val="22"/>
          <w:szCs w:val="22"/>
          <w:lang w:val="en-GB"/>
        </w:rPr>
        <w:t xml:space="preserve"> countries such as Botswana, India and Kenya steeped in English Law while Mozambique and most Latin American countries are largely influenced by civil law. These are not firm rules, however, as countries such as South Africa</w:t>
      </w:r>
      <w:r w:rsidR="00221C92">
        <w:rPr>
          <w:rFonts w:ascii="Avenir Next" w:hAnsi="Avenir Next" w:cs="Arial"/>
          <w:color w:val="808080" w:themeColor="background1" w:themeShade="80"/>
          <w:sz w:val="22"/>
          <w:szCs w:val="22"/>
          <w:lang w:val="en-GB"/>
        </w:rPr>
        <w:t xml:space="preserve"> (a former British colony)</w:t>
      </w:r>
      <w:r w:rsidR="00D93BCC">
        <w:rPr>
          <w:rFonts w:ascii="Avenir Next" w:hAnsi="Avenir Next" w:cs="Arial"/>
          <w:color w:val="808080" w:themeColor="background1" w:themeShade="80"/>
          <w:sz w:val="22"/>
          <w:szCs w:val="22"/>
          <w:lang w:val="en-GB"/>
        </w:rPr>
        <w:t xml:space="preserve"> </w:t>
      </w:r>
      <w:r w:rsidR="00F67BEF">
        <w:rPr>
          <w:rFonts w:ascii="Avenir Next" w:hAnsi="Avenir Next" w:cs="Arial"/>
          <w:color w:val="808080" w:themeColor="background1" w:themeShade="80"/>
          <w:sz w:val="22"/>
          <w:szCs w:val="22"/>
          <w:lang w:val="en-GB"/>
        </w:rPr>
        <w:t>have been influenced by both laws.</w:t>
      </w:r>
      <w:r>
        <w:rPr>
          <w:rFonts w:ascii="Avenir Next" w:hAnsi="Avenir Next" w:cs="Arial"/>
          <w:color w:val="808080" w:themeColor="background1" w:themeShade="80"/>
          <w:sz w:val="22"/>
          <w:szCs w:val="22"/>
          <w:lang w:val="en-GB"/>
        </w:rPr>
        <w:t xml:space="preserve"> </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3B5AD898" w14:textId="0CC6D814" w:rsidR="002F561C" w:rsidRDefault="00D664BB" w:rsidP="00D664BB">
      <w:pPr>
        <w:jc w:val="both"/>
        <w:rPr>
          <w:rFonts w:ascii="Avenir Next" w:hAnsi="Avenir Next" w:cs="Arial"/>
          <w:color w:val="808080" w:themeColor="background1" w:themeShade="80"/>
          <w:sz w:val="22"/>
          <w:szCs w:val="22"/>
          <w:lang w:val="en-GB"/>
        </w:rPr>
      </w:pPr>
      <w:r w:rsidRPr="00D664BB">
        <w:rPr>
          <w:rFonts w:ascii="Avenir Next" w:hAnsi="Avenir Next" w:cs="Arial"/>
          <w:color w:val="808080" w:themeColor="background1" w:themeShade="80"/>
          <w:sz w:val="22"/>
          <w:szCs w:val="22"/>
          <w:lang w:val="en-GB"/>
        </w:rPr>
        <w:t>Universali</w:t>
      </w:r>
      <w:r w:rsidR="0070187B">
        <w:rPr>
          <w:rFonts w:ascii="Avenir Next" w:hAnsi="Avenir Next" w:cs="Arial"/>
          <w:color w:val="808080" w:themeColor="background1" w:themeShade="80"/>
          <w:sz w:val="22"/>
          <w:szCs w:val="22"/>
          <w:lang w:val="en-GB"/>
        </w:rPr>
        <w:t>sm</w:t>
      </w:r>
      <w:r w:rsidRPr="00D664BB">
        <w:rPr>
          <w:rFonts w:ascii="Avenir Next" w:hAnsi="Avenir Next" w:cs="Arial"/>
          <w:color w:val="808080" w:themeColor="background1" w:themeShade="80"/>
          <w:sz w:val="22"/>
          <w:szCs w:val="22"/>
          <w:lang w:val="en-GB"/>
        </w:rPr>
        <w:t xml:space="preserve"> is premised on the approach that various insolvency proceedings which may be ongoing in or were filed in multiple jurisdictions can be addressed under the guidance of one primary insolvency law, such that it will cover the entirety of a debtor’s assets and liabilities globally.</w:t>
      </w:r>
      <w:r w:rsidR="00711429">
        <w:rPr>
          <w:rFonts w:ascii="Avenir Next" w:hAnsi="Avenir Next" w:cs="Arial"/>
          <w:color w:val="808080" w:themeColor="background1" w:themeShade="80"/>
          <w:sz w:val="22"/>
          <w:szCs w:val="22"/>
          <w:lang w:val="en-GB"/>
        </w:rPr>
        <w:t xml:space="preserve"> </w:t>
      </w:r>
    </w:p>
    <w:p w14:paraId="1627D550" w14:textId="77777777" w:rsidR="002F561C" w:rsidRDefault="002F561C" w:rsidP="00D664BB">
      <w:pPr>
        <w:jc w:val="both"/>
        <w:rPr>
          <w:rFonts w:ascii="Avenir Next" w:hAnsi="Avenir Next" w:cs="Arial"/>
          <w:color w:val="808080" w:themeColor="background1" w:themeShade="80"/>
          <w:sz w:val="22"/>
          <w:szCs w:val="22"/>
          <w:lang w:val="en-GB"/>
        </w:rPr>
      </w:pPr>
    </w:p>
    <w:p w14:paraId="4B9ACF47" w14:textId="646419E1" w:rsidR="00D664BB" w:rsidRPr="00D664BB" w:rsidRDefault="00D664BB" w:rsidP="00D664BB">
      <w:pPr>
        <w:jc w:val="both"/>
        <w:rPr>
          <w:rFonts w:ascii="Avenir Next" w:hAnsi="Avenir Next" w:cs="Arial"/>
          <w:color w:val="808080" w:themeColor="background1" w:themeShade="80"/>
          <w:sz w:val="22"/>
          <w:szCs w:val="22"/>
          <w:lang w:val="en-GB"/>
        </w:rPr>
      </w:pPr>
      <w:r w:rsidRPr="00D664BB">
        <w:rPr>
          <w:rFonts w:ascii="Avenir Next" w:hAnsi="Avenir Next" w:cs="Arial"/>
          <w:color w:val="808080" w:themeColor="background1" w:themeShade="80"/>
          <w:sz w:val="22"/>
          <w:szCs w:val="22"/>
          <w:lang w:val="en-GB"/>
        </w:rPr>
        <w:t>In its ideal form, wherein a sole forum will have jurisdiction over all insolvency proceedings, the necessary means by which all of a debtor’s assets may be obtained and directed will be made available, with all claims being given the opportunity to join the proceedings pari passu.</w:t>
      </w:r>
    </w:p>
    <w:p w14:paraId="1E80AF6E" w14:textId="77777777" w:rsidR="0033347F" w:rsidRPr="0033347F" w:rsidRDefault="0033347F" w:rsidP="0033347F">
      <w:pPr>
        <w:jc w:val="both"/>
        <w:rPr>
          <w:rFonts w:ascii="Avenir Next" w:hAnsi="Avenir Next" w:cs="Arial"/>
          <w:color w:val="808080" w:themeColor="background1" w:themeShade="80"/>
          <w:sz w:val="22"/>
          <w:szCs w:val="22"/>
          <w:lang w:val="en-GB"/>
        </w:rPr>
      </w:pPr>
    </w:p>
    <w:p w14:paraId="6B9E83BE" w14:textId="5AAAA1C1" w:rsidR="0033347F" w:rsidRDefault="0033347F" w:rsidP="0033347F">
      <w:pPr>
        <w:jc w:val="both"/>
        <w:rPr>
          <w:rFonts w:ascii="Avenir Next" w:hAnsi="Avenir Next" w:cs="Arial"/>
          <w:color w:val="808080" w:themeColor="background1" w:themeShade="80"/>
          <w:sz w:val="22"/>
          <w:szCs w:val="22"/>
          <w:lang w:val="en-GB"/>
        </w:rPr>
      </w:pPr>
      <w:r w:rsidRPr="0033347F">
        <w:rPr>
          <w:rFonts w:ascii="Avenir Next" w:hAnsi="Avenir Next" w:cs="Arial"/>
          <w:color w:val="808080" w:themeColor="background1" w:themeShade="80"/>
          <w:sz w:val="22"/>
          <w:szCs w:val="22"/>
          <w:lang w:val="en-GB"/>
        </w:rPr>
        <w:t>Territoriali</w:t>
      </w:r>
      <w:r w:rsidR="0070187B">
        <w:rPr>
          <w:rFonts w:ascii="Avenir Next" w:hAnsi="Avenir Next" w:cs="Arial"/>
          <w:color w:val="808080" w:themeColor="background1" w:themeShade="80"/>
          <w:sz w:val="22"/>
          <w:szCs w:val="22"/>
          <w:lang w:val="en-GB"/>
        </w:rPr>
        <w:t>sm</w:t>
      </w:r>
      <w:r w:rsidRPr="0033347F">
        <w:rPr>
          <w:rFonts w:ascii="Avenir Next" w:hAnsi="Avenir Next" w:cs="Arial"/>
          <w:color w:val="808080" w:themeColor="background1" w:themeShade="80"/>
          <w:sz w:val="22"/>
          <w:szCs w:val="22"/>
          <w:lang w:val="en-GB"/>
        </w:rPr>
        <w:t>, on the other hand, takes an almost complete opposite view and highlights the importance (and relevance) of local court proceedings. In this case, there is a preference for local creditors to be given priority prior to assets being shared for distribution abroad. This creates a strong bias towards territorial limitation and, as such, considers that insolvency proceedings are largely independent of each other, may be commenced independently and are nearly entirely restricted to property that is located inside a State’s borders.</w:t>
      </w:r>
    </w:p>
    <w:p w14:paraId="211324A1" w14:textId="77777777" w:rsidR="0033347F" w:rsidRDefault="0033347F" w:rsidP="00D664BB">
      <w:pPr>
        <w:jc w:val="both"/>
        <w:rPr>
          <w:rFonts w:ascii="Avenir Next" w:hAnsi="Avenir Next" w:cs="Arial"/>
          <w:color w:val="808080" w:themeColor="background1" w:themeShade="80"/>
          <w:sz w:val="22"/>
          <w:szCs w:val="22"/>
          <w:lang w:val="en-GB"/>
        </w:rPr>
      </w:pPr>
    </w:p>
    <w:p w14:paraId="5FC80F6F" w14:textId="0D57021C" w:rsidR="0033347F" w:rsidRDefault="0033347F" w:rsidP="0033347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Modified universalism is, as suggested by the term,</w:t>
      </w:r>
      <w:r w:rsidR="003A0299">
        <w:rPr>
          <w:rFonts w:ascii="Avenir Next" w:hAnsi="Avenir Next" w:cs="Arial"/>
          <w:color w:val="808080" w:themeColor="background1" w:themeShade="80"/>
          <w:sz w:val="22"/>
          <w:szCs w:val="22"/>
          <w:lang w:val="en-GB"/>
        </w:rPr>
        <w:t xml:space="preserve"> a</w:t>
      </w:r>
      <w:r w:rsidR="00B47908">
        <w:rPr>
          <w:rFonts w:ascii="Avenir Next" w:hAnsi="Avenir Next" w:cs="Arial"/>
          <w:color w:val="808080" w:themeColor="background1" w:themeShade="80"/>
          <w:sz w:val="22"/>
          <w:szCs w:val="22"/>
          <w:lang w:val="en-GB"/>
        </w:rPr>
        <w:t>n amalgamation of both. In this case, multiple proceedings occur, albeit led by one main proceeding where the COMI (</w:t>
      </w:r>
      <w:r w:rsidR="00F67BEF">
        <w:rPr>
          <w:rFonts w:ascii="Avenir Next" w:hAnsi="Avenir Next" w:cs="Arial"/>
          <w:color w:val="808080" w:themeColor="background1" w:themeShade="80"/>
          <w:sz w:val="22"/>
          <w:szCs w:val="22"/>
          <w:lang w:val="en-GB"/>
        </w:rPr>
        <w:t>‘</w:t>
      </w:r>
      <w:r w:rsidR="00B47908">
        <w:rPr>
          <w:rFonts w:ascii="Avenir Next" w:hAnsi="Avenir Next" w:cs="Arial"/>
          <w:color w:val="808080" w:themeColor="background1" w:themeShade="80"/>
          <w:sz w:val="22"/>
          <w:szCs w:val="22"/>
          <w:lang w:val="en-GB"/>
        </w:rPr>
        <w:t>Cent</w:t>
      </w:r>
      <w:r w:rsidR="00F67BEF">
        <w:rPr>
          <w:rFonts w:ascii="Avenir Next" w:hAnsi="Avenir Next" w:cs="Arial"/>
          <w:color w:val="808080" w:themeColor="background1" w:themeShade="80"/>
          <w:sz w:val="22"/>
          <w:szCs w:val="22"/>
          <w:lang w:val="en-GB"/>
        </w:rPr>
        <w:t>re</w:t>
      </w:r>
      <w:r w:rsidR="00B47908">
        <w:rPr>
          <w:rFonts w:ascii="Avenir Next" w:hAnsi="Avenir Next" w:cs="Arial"/>
          <w:color w:val="808080" w:themeColor="background1" w:themeShade="80"/>
          <w:sz w:val="22"/>
          <w:szCs w:val="22"/>
          <w:lang w:val="en-GB"/>
        </w:rPr>
        <w:t xml:space="preserve"> of Main Interest</w:t>
      </w:r>
      <w:r w:rsidR="00F67BEF">
        <w:rPr>
          <w:rFonts w:ascii="Avenir Next" w:hAnsi="Avenir Next" w:cs="Arial"/>
          <w:color w:val="808080" w:themeColor="background1" w:themeShade="80"/>
          <w:sz w:val="22"/>
          <w:szCs w:val="22"/>
          <w:lang w:val="en-GB"/>
        </w:rPr>
        <w:t>s’</w:t>
      </w:r>
      <w:r w:rsidR="00B47908">
        <w:rPr>
          <w:rFonts w:ascii="Avenir Next" w:hAnsi="Avenir Next" w:cs="Arial"/>
          <w:color w:val="808080" w:themeColor="background1" w:themeShade="80"/>
          <w:sz w:val="22"/>
          <w:szCs w:val="22"/>
          <w:lang w:val="en-GB"/>
        </w:rPr>
        <w:t>) is determined</w:t>
      </w:r>
      <w:r w:rsidR="009A6CAF">
        <w:rPr>
          <w:rFonts w:ascii="Avenir Next" w:hAnsi="Avenir Next" w:cs="Arial"/>
          <w:color w:val="808080" w:themeColor="background1" w:themeShade="80"/>
          <w:sz w:val="22"/>
          <w:szCs w:val="22"/>
          <w:lang w:val="en-GB"/>
        </w:rPr>
        <w:t>. Other (secondary) proceedings support the main proceeding, with all courts cooperating to ensure optimal outcomes.</w:t>
      </w:r>
      <w:r w:rsidR="0070187B">
        <w:rPr>
          <w:rFonts w:ascii="Avenir Next" w:hAnsi="Avenir Next" w:cs="Arial"/>
          <w:color w:val="808080" w:themeColor="background1" w:themeShade="80"/>
          <w:sz w:val="22"/>
          <w:szCs w:val="22"/>
          <w:lang w:val="en-GB"/>
        </w:rPr>
        <w:t xml:space="preserve"> In this case, the difference is that modified universalism takes into </w:t>
      </w:r>
      <w:r w:rsidR="006D086A">
        <w:rPr>
          <w:rFonts w:ascii="Avenir Next" w:hAnsi="Avenir Next" w:cs="Arial"/>
          <w:color w:val="808080" w:themeColor="background1" w:themeShade="80"/>
          <w:sz w:val="22"/>
          <w:szCs w:val="22"/>
          <w:lang w:val="en-GB"/>
        </w:rPr>
        <w:t>account</w:t>
      </w:r>
      <w:r w:rsidR="0070187B">
        <w:rPr>
          <w:rFonts w:ascii="Avenir Next" w:hAnsi="Avenir Next" w:cs="Arial"/>
          <w:color w:val="808080" w:themeColor="background1" w:themeShade="80"/>
          <w:sz w:val="22"/>
          <w:szCs w:val="22"/>
          <w:lang w:val="en-GB"/>
        </w:rPr>
        <w:t xml:space="preserve"> the relevant advantages of universalism while acknowledging the importance of local court proceeding</w:t>
      </w:r>
      <w:r w:rsidR="006D086A">
        <w:rPr>
          <w:rFonts w:ascii="Avenir Next" w:hAnsi="Avenir Next" w:cs="Arial"/>
          <w:color w:val="808080" w:themeColor="background1" w:themeShade="80"/>
          <w:sz w:val="22"/>
          <w:szCs w:val="22"/>
          <w:lang w:val="en-GB"/>
        </w:rPr>
        <w:t>s, with the necessary cooperation considered</w:t>
      </w:r>
      <w:r w:rsidR="0070187B">
        <w:rPr>
          <w:rFonts w:ascii="Avenir Next" w:hAnsi="Avenir Next" w:cs="Arial"/>
          <w:color w:val="808080" w:themeColor="background1" w:themeShade="80"/>
          <w:sz w:val="22"/>
          <w:szCs w:val="22"/>
          <w:lang w:val="en-GB"/>
        </w:rPr>
        <w:t>.</w:t>
      </w:r>
    </w:p>
    <w:p w14:paraId="039E27B5" w14:textId="1AAC889D" w:rsidR="00C82D87" w:rsidRPr="004216EA" w:rsidRDefault="00D664BB" w:rsidP="00692852">
      <w:pPr>
        <w:ind w:left="720" w:hanging="720"/>
        <w:jc w:val="both"/>
        <w:rPr>
          <w:rFonts w:ascii="Avenir Next" w:hAnsi="Avenir Next" w:cs="Arial"/>
          <w:sz w:val="22"/>
          <w:szCs w:val="22"/>
          <w:lang w:val="en-GB"/>
        </w:rPr>
      </w:pPr>
      <w:r>
        <w:rPr>
          <w:rFonts w:ascii="Avenir Next" w:hAnsi="Avenir Next" w:cs="Arial"/>
          <w:sz w:val="22"/>
          <w:szCs w:val="22"/>
          <w:lang w:val="en-GB"/>
        </w:rPr>
        <w:tab/>
      </w: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lastRenderedPageBreak/>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Default="00FF0D81" w:rsidP="00692852">
      <w:pPr>
        <w:jc w:val="both"/>
        <w:rPr>
          <w:rFonts w:ascii="Avenir Next" w:hAnsi="Avenir Next" w:cs="Arial"/>
          <w:sz w:val="22"/>
          <w:szCs w:val="22"/>
          <w:lang w:val="en-GB"/>
        </w:rPr>
      </w:pPr>
    </w:p>
    <w:p w14:paraId="63FBCA59" w14:textId="77777777" w:rsidR="009437FC" w:rsidRDefault="00711429"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Latin American countries are a great example of states which have </w:t>
      </w:r>
      <w:r w:rsidR="00BE2FFF">
        <w:rPr>
          <w:rFonts w:ascii="Avenir Next" w:hAnsi="Avenir Next" w:cs="Arial"/>
          <w:color w:val="808080" w:themeColor="background1" w:themeShade="80"/>
          <w:sz w:val="22"/>
          <w:szCs w:val="22"/>
          <w:lang w:val="en-GB"/>
        </w:rPr>
        <w:t xml:space="preserve">had a long history of attempting to harmonize international insolvency regulations through multilateral agreements. These </w:t>
      </w:r>
      <w:r w:rsidR="00AD0B65">
        <w:rPr>
          <w:rFonts w:ascii="Avenir Next" w:hAnsi="Avenir Next" w:cs="Arial"/>
          <w:color w:val="808080" w:themeColor="background1" w:themeShade="80"/>
          <w:sz w:val="22"/>
          <w:szCs w:val="22"/>
          <w:lang w:val="en-GB"/>
        </w:rPr>
        <w:t xml:space="preserve">go as far back as 1889 when the Montevideo Treaty on International Commercial Law was executed by 5 states. What followed was a series of treaties such as </w:t>
      </w:r>
      <w:r w:rsidR="009D753D">
        <w:rPr>
          <w:rFonts w:ascii="Avenir Next" w:hAnsi="Avenir Next" w:cs="Arial"/>
          <w:color w:val="808080" w:themeColor="background1" w:themeShade="80"/>
          <w:sz w:val="22"/>
          <w:szCs w:val="22"/>
          <w:lang w:val="en-GB"/>
        </w:rPr>
        <w:t xml:space="preserve">the Bustamante Code of 1928, </w:t>
      </w:r>
      <w:r w:rsidR="00AD0B65">
        <w:rPr>
          <w:rFonts w:ascii="Avenir Next" w:hAnsi="Avenir Next" w:cs="Arial"/>
          <w:color w:val="808080" w:themeColor="background1" w:themeShade="80"/>
          <w:sz w:val="22"/>
          <w:szCs w:val="22"/>
          <w:lang w:val="en-GB"/>
        </w:rPr>
        <w:t xml:space="preserve">the </w:t>
      </w:r>
      <w:r w:rsidR="00955728">
        <w:rPr>
          <w:rFonts w:ascii="Avenir Next" w:hAnsi="Avenir Next" w:cs="Arial"/>
          <w:color w:val="808080" w:themeColor="background1" w:themeShade="80"/>
          <w:sz w:val="22"/>
          <w:szCs w:val="22"/>
          <w:lang w:val="en-GB"/>
        </w:rPr>
        <w:t xml:space="preserve">Montevideo Treaty on International Terrestrial Law </w:t>
      </w:r>
      <w:r w:rsidR="009D753D">
        <w:rPr>
          <w:rFonts w:ascii="Avenir Next" w:hAnsi="Avenir Next" w:cs="Arial"/>
          <w:color w:val="808080" w:themeColor="background1" w:themeShade="80"/>
          <w:sz w:val="22"/>
          <w:szCs w:val="22"/>
          <w:lang w:val="en-GB"/>
        </w:rPr>
        <w:t>and the</w:t>
      </w:r>
      <w:r w:rsidR="00955728">
        <w:rPr>
          <w:rFonts w:ascii="Avenir Next" w:hAnsi="Avenir Next" w:cs="Arial"/>
          <w:color w:val="808080" w:themeColor="background1" w:themeShade="80"/>
          <w:sz w:val="22"/>
          <w:szCs w:val="22"/>
          <w:lang w:val="en-GB"/>
        </w:rPr>
        <w:t xml:space="preserve"> Montevideo Treaty on International Procedural Law</w:t>
      </w:r>
      <w:r w:rsidR="009D753D">
        <w:rPr>
          <w:rFonts w:ascii="Avenir Next" w:hAnsi="Avenir Next" w:cs="Arial"/>
          <w:color w:val="808080" w:themeColor="background1" w:themeShade="80"/>
          <w:sz w:val="22"/>
          <w:szCs w:val="22"/>
          <w:lang w:val="en-GB"/>
        </w:rPr>
        <w:t>, both of 1940.</w:t>
      </w:r>
    </w:p>
    <w:p w14:paraId="72AFA676" w14:textId="77777777" w:rsidR="009437FC" w:rsidRDefault="009437FC" w:rsidP="00DA42DA">
      <w:pPr>
        <w:jc w:val="both"/>
        <w:rPr>
          <w:rFonts w:ascii="Avenir Next" w:hAnsi="Avenir Next" w:cs="Arial"/>
          <w:color w:val="808080" w:themeColor="background1" w:themeShade="80"/>
          <w:sz w:val="22"/>
          <w:szCs w:val="22"/>
          <w:lang w:val="en-GB"/>
        </w:rPr>
      </w:pPr>
    </w:p>
    <w:p w14:paraId="61900735" w14:textId="3B217F41" w:rsidR="00DA42DA" w:rsidRPr="00DA42DA" w:rsidRDefault="003B552F"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One key difference that s</w:t>
      </w:r>
      <w:r w:rsidR="00C15BAC">
        <w:rPr>
          <w:rFonts w:ascii="Avenir Next" w:hAnsi="Avenir Next" w:cs="Arial"/>
          <w:color w:val="808080" w:themeColor="background1" w:themeShade="80"/>
          <w:sz w:val="22"/>
          <w:szCs w:val="22"/>
          <w:lang w:val="en-GB"/>
        </w:rPr>
        <w:t xml:space="preserve">hould be highlighted </w:t>
      </w:r>
      <w:r>
        <w:rPr>
          <w:rFonts w:ascii="Avenir Next" w:hAnsi="Avenir Next" w:cs="Arial"/>
          <w:color w:val="808080" w:themeColor="background1" w:themeShade="80"/>
          <w:sz w:val="22"/>
          <w:szCs w:val="22"/>
          <w:lang w:val="en-GB"/>
        </w:rPr>
        <w:t xml:space="preserve">is </w:t>
      </w:r>
      <w:r w:rsidR="00C15BAC">
        <w:rPr>
          <w:rFonts w:ascii="Avenir Next" w:hAnsi="Avenir Next" w:cs="Arial"/>
          <w:color w:val="808080" w:themeColor="background1" w:themeShade="80"/>
          <w:sz w:val="22"/>
          <w:szCs w:val="22"/>
          <w:lang w:val="en-GB"/>
        </w:rPr>
        <w:t xml:space="preserve">that not all countries </w:t>
      </w:r>
      <w:r>
        <w:rPr>
          <w:rFonts w:ascii="Avenir Next" w:hAnsi="Avenir Next" w:cs="Arial"/>
          <w:color w:val="808080" w:themeColor="background1" w:themeShade="80"/>
          <w:sz w:val="22"/>
          <w:szCs w:val="22"/>
          <w:lang w:val="en-GB"/>
        </w:rPr>
        <w:t xml:space="preserve">ratified each of these multilateral agreements, which have varying mechanics. </w:t>
      </w:r>
      <w:r w:rsidR="00B66E95">
        <w:rPr>
          <w:rFonts w:ascii="Avenir Next" w:hAnsi="Avenir Next" w:cs="Arial"/>
          <w:color w:val="808080" w:themeColor="background1" w:themeShade="80"/>
          <w:sz w:val="22"/>
          <w:szCs w:val="22"/>
          <w:lang w:val="en-GB"/>
        </w:rPr>
        <w:t xml:space="preserve">Another difference is that </w:t>
      </w:r>
      <w:r>
        <w:rPr>
          <w:rFonts w:ascii="Avenir Next" w:hAnsi="Avenir Next" w:cs="Arial"/>
          <w:color w:val="808080" w:themeColor="background1" w:themeShade="80"/>
          <w:sz w:val="22"/>
          <w:szCs w:val="22"/>
          <w:lang w:val="en-GB"/>
        </w:rPr>
        <w:t xml:space="preserve">The Bustamante Code, also known as the Havana Convention </w:t>
      </w:r>
      <w:r w:rsidR="0032363D">
        <w:rPr>
          <w:rFonts w:ascii="Avenir Next" w:hAnsi="Avenir Next" w:cs="Arial"/>
          <w:color w:val="808080" w:themeColor="background1" w:themeShade="80"/>
          <w:sz w:val="22"/>
          <w:szCs w:val="22"/>
          <w:lang w:val="en-GB"/>
        </w:rPr>
        <w:t xml:space="preserve">on Private International Law, </w:t>
      </w:r>
      <w:r w:rsidR="00FF79DD">
        <w:rPr>
          <w:rFonts w:ascii="Avenir Next" w:hAnsi="Avenir Next" w:cs="Arial"/>
          <w:color w:val="808080" w:themeColor="background1" w:themeShade="80"/>
          <w:sz w:val="22"/>
          <w:szCs w:val="22"/>
          <w:lang w:val="en-GB"/>
        </w:rPr>
        <w:t xml:space="preserve">is </w:t>
      </w:r>
      <w:r w:rsidR="006E6770">
        <w:rPr>
          <w:rFonts w:ascii="Avenir Next" w:hAnsi="Avenir Next" w:cs="Arial"/>
          <w:color w:val="808080" w:themeColor="background1" w:themeShade="80"/>
          <w:sz w:val="22"/>
          <w:szCs w:val="22"/>
          <w:lang w:val="en-GB"/>
        </w:rPr>
        <w:t xml:space="preserve">also </w:t>
      </w:r>
      <w:r w:rsidR="00FF79DD">
        <w:rPr>
          <w:rFonts w:ascii="Avenir Next" w:hAnsi="Avenir Next" w:cs="Arial"/>
          <w:color w:val="808080" w:themeColor="background1" w:themeShade="80"/>
          <w:sz w:val="22"/>
          <w:szCs w:val="22"/>
          <w:lang w:val="en-GB"/>
        </w:rPr>
        <w:t>more explicit in having one proceeding (but does not state cooperative procedures in the event of parallel proceedings)</w:t>
      </w:r>
      <w:r w:rsidR="009437FC">
        <w:rPr>
          <w:rFonts w:ascii="Avenir Next" w:hAnsi="Avenir Next" w:cs="Arial"/>
          <w:color w:val="808080" w:themeColor="background1" w:themeShade="80"/>
          <w:sz w:val="22"/>
          <w:szCs w:val="22"/>
          <w:lang w:val="en-GB"/>
        </w:rPr>
        <w:t xml:space="preserve"> while it does align with the Montevideo Treaties in acknowledging that proceedings amongst states have extraterritorial effects.</w:t>
      </w: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It is said that the terms “bankruptcy” and “insolvency” may be used interchangeably. Discuss whether or not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(i)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64477EA9" w14:textId="107D96EC" w:rsidR="00E154BB" w:rsidRDefault="00505EA6" w:rsidP="00E154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 </w:t>
      </w:r>
      <w:r w:rsidR="00BE2FFF">
        <w:rPr>
          <w:rFonts w:ascii="Avenir Next" w:hAnsi="Avenir Next" w:cs="Arial"/>
          <w:color w:val="808080" w:themeColor="background1" w:themeShade="80"/>
          <w:sz w:val="22"/>
          <w:szCs w:val="22"/>
          <w:lang w:val="en-GB"/>
        </w:rPr>
        <w:t>believe</w:t>
      </w:r>
      <w:r>
        <w:rPr>
          <w:rFonts w:ascii="Avenir Next" w:hAnsi="Avenir Next" w:cs="Arial"/>
          <w:color w:val="808080" w:themeColor="background1" w:themeShade="80"/>
          <w:sz w:val="22"/>
          <w:szCs w:val="22"/>
          <w:lang w:val="en-GB"/>
        </w:rPr>
        <w:t xml:space="preserve"> th</w:t>
      </w:r>
      <w:r w:rsidR="0008284A">
        <w:rPr>
          <w:rFonts w:ascii="Avenir Next" w:hAnsi="Avenir Next" w:cs="Arial"/>
          <w:color w:val="808080" w:themeColor="background1" w:themeShade="80"/>
          <w:sz w:val="22"/>
          <w:szCs w:val="22"/>
          <w:lang w:val="en-GB"/>
        </w:rPr>
        <w:t>at</w:t>
      </w:r>
      <w:r w:rsidR="00E430CA">
        <w:rPr>
          <w:rFonts w:ascii="Avenir Next" w:hAnsi="Avenir Next" w:cs="Arial"/>
          <w:color w:val="808080" w:themeColor="background1" w:themeShade="80"/>
          <w:sz w:val="22"/>
          <w:szCs w:val="22"/>
          <w:lang w:val="en-GB"/>
        </w:rPr>
        <w:t xml:space="preserve"> </w:t>
      </w:r>
      <w:r w:rsidR="0008284A">
        <w:rPr>
          <w:rFonts w:ascii="Avenir Next" w:hAnsi="Avenir Next" w:cs="Arial"/>
          <w:color w:val="808080" w:themeColor="background1" w:themeShade="80"/>
          <w:sz w:val="22"/>
          <w:szCs w:val="22"/>
          <w:lang w:val="en-GB"/>
        </w:rPr>
        <w:t>the</w:t>
      </w:r>
      <w:r>
        <w:rPr>
          <w:rFonts w:ascii="Avenir Next" w:hAnsi="Avenir Next" w:cs="Arial"/>
          <w:color w:val="808080" w:themeColor="background1" w:themeShade="80"/>
          <w:sz w:val="22"/>
          <w:szCs w:val="22"/>
          <w:lang w:val="en-GB"/>
        </w:rPr>
        <w:t xml:space="preserve"> 2 terms are not necessarily interchangeable as these pertain to different specifics</w:t>
      </w:r>
      <w:r w:rsidR="009251D6">
        <w:rPr>
          <w:rFonts w:ascii="Avenir Next" w:hAnsi="Avenir Next" w:cs="Arial"/>
          <w:color w:val="808080" w:themeColor="background1" w:themeShade="80"/>
          <w:sz w:val="22"/>
          <w:szCs w:val="22"/>
          <w:lang w:val="en-GB"/>
        </w:rPr>
        <w:t xml:space="preserve">, </w:t>
      </w:r>
      <w:r w:rsidR="00E154BB">
        <w:rPr>
          <w:rFonts w:ascii="Avenir Next" w:hAnsi="Avenir Next" w:cs="Arial"/>
          <w:color w:val="808080" w:themeColor="background1" w:themeShade="80"/>
          <w:sz w:val="22"/>
          <w:szCs w:val="22"/>
          <w:lang w:val="en-GB"/>
        </w:rPr>
        <w:t xml:space="preserve">even though the reality is far more dynamic especially in a business context as not all </w:t>
      </w:r>
      <w:r w:rsidR="00C550BF">
        <w:rPr>
          <w:rFonts w:ascii="Avenir Next" w:hAnsi="Avenir Next" w:cs="Arial"/>
          <w:color w:val="808080" w:themeColor="background1" w:themeShade="80"/>
          <w:sz w:val="22"/>
          <w:szCs w:val="22"/>
          <w:lang w:val="en-GB"/>
        </w:rPr>
        <w:t>enterprise</w:t>
      </w:r>
      <w:r w:rsidR="00E154BB">
        <w:rPr>
          <w:rFonts w:ascii="Avenir Next" w:hAnsi="Avenir Next" w:cs="Arial"/>
          <w:color w:val="808080" w:themeColor="background1" w:themeShade="80"/>
          <w:sz w:val="22"/>
          <w:szCs w:val="22"/>
          <w:lang w:val="en-GB"/>
        </w:rPr>
        <w:t xml:space="preserve"> owners may be aware that there is a distinction.</w:t>
      </w:r>
    </w:p>
    <w:p w14:paraId="56BD38A7" w14:textId="77777777" w:rsidR="00061110" w:rsidRDefault="00061110" w:rsidP="00DA42DA">
      <w:pPr>
        <w:jc w:val="both"/>
        <w:rPr>
          <w:rFonts w:ascii="Avenir Next" w:hAnsi="Avenir Next" w:cs="Arial"/>
          <w:color w:val="808080" w:themeColor="background1" w:themeShade="80"/>
          <w:sz w:val="22"/>
          <w:szCs w:val="22"/>
          <w:lang w:val="en-GB"/>
        </w:rPr>
      </w:pPr>
    </w:p>
    <w:p w14:paraId="0859353C" w14:textId="09158C0A" w:rsidR="00061110" w:rsidRDefault="00E430CA"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Insolvency </w:t>
      </w:r>
      <w:r w:rsidR="00E154BB">
        <w:rPr>
          <w:rFonts w:ascii="Avenir Next" w:hAnsi="Avenir Next" w:cs="Arial"/>
          <w:color w:val="808080" w:themeColor="background1" w:themeShade="80"/>
          <w:sz w:val="22"/>
          <w:szCs w:val="22"/>
          <w:lang w:val="en-GB"/>
        </w:rPr>
        <w:t xml:space="preserve">can be defined as </w:t>
      </w:r>
      <w:r>
        <w:rPr>
          <w:rFonts w:ascii="Avenir Next" w:hAnsi="Avenir Next" w:cs="Arial"/>
          <w:color w:val="808080" w:themeColor="background1" w:themeShade="80"/>
          <w:sz w:val="22"/>
          <w:szCs w:val="22"/>
          <w:lang w:val="en-GB"/>
        </w:rPr>
        <w:t>a state wherein a</w:t>
      </w:r>
      <w:r w:rsidR="00B031CD">
        <w:rPr>
          <w:rFonts w:ascii="Avenir Next" w:hAnsi="Avenir Next" w:cs="Arial"/>
          <w:color w:val="808080" w:themeColor="background1" w:themeShade="80"/>
          <w:sz w:val="22"/>
          <w:szCs w:val="22"/>
          <w:lang w:val="en-GB"/>
        </w:rPr>
        <w:t xml:space="preserve">n entity, such as a corporation, or an individual has </w:t>
      </w:r>
      <w:r w:rsidR="00E154BB">
        <w:rPr>
          <w:rFonts w:ascii="Avenir Next" w:hAnsi="Avenir Next" w:cs="Arial"/>
          <w:color w:val="808080" w:themeColor="background1" w:themeShade="80"/>
          <w:sz w:val="22"/>
          <w:szCs w:val="22"/>
          <w:lang w:val="en-GB"/>
        </w:rPr>
        <w:t>the following essential characteristics:</w:t>
      </w:r>
      <w:r w:rsidR="00B031CD">
        <w:rPr>
          <w:rFonts w:ascii="Avenir Next" w:hAnsi="Avenir Next" w:cs="Arial"/>
          <w:color w:val="808080" w:themeColor="background1" w:themeShade="80"/>
          <w:sz w:val="22"/>
          <w:szCs w:val="22"/>
          <w:lang w:val="en-GB"/>
        </w:rPr>
        <w:t xml:space="preserve"> liabilities which are greater</w:t>
      </w:r>
      <w:r w:rsidR="00462FA6">
        <w:rPr>
          <w:rFonts w:ascii="Avenir Next" w:hAnsi="Avenir Next" w:cs="Arial"/>
          <w:color w:val="808080" w:themeColor="background1" w:themeShade="80"/>
          <w:sz w:val="22"/>
          <w:szCs w:val="22"/>
          <w:lang w:val="en-GB"/>
        </w:rPr>
        <w:t xml:space="preserve"> than the total fair value of assets owned</w:t>
      </w:r>
      <w:r w:rsidR="004A7231">
        <w:rPr>
          <w:rFonts w:ascii="Avenir Next" w:hAnsi="Avenir Next" w:cs="Arial"/>
          <w:color w:val="808080" w:themeColor="background1" w:themeShade="80"/>
          <w:sz w:val="22"/>
          <w:szCs w:val="22"/>
          <w:lang w:val="en-GB"/>
        </w:rPr>
        <w:t xml:space="preserve"> or one where there is an inability to disburse payments for debt service in the short-term.</w:t>
      </w:r>
      <w:r w:rsidR="00061110">
        <w:rPr>
          <w:rFonts w:ascii="Avenir Next" w:hAnsi="Avenir Next" w:cs="Arial"/>
          <w:color w:val="808080" w:themeColor="background1" w:themeShade="80"/>
          <w:sz w:val="22"/>
          <w:szCs w:val="22"/>
          <w:lang w:val="en-GB"/>
        </w:rPr>
        <w:t xml:space="preserve"> </w:t>
      </w:r>
    </w:p>
    <w:p w14:paraId="2450C1F6" w14:textId="77777777" w:rsidR="009251D6" w:rsidRDefault="009251D6" w:rsidP="00DA42DA">
      <w:pPr>
        <w:jc w:val="both"/>
        <w:rPr>
          <w:rFonts w:ascii="Avenir Next" w:hAnsi="Avenir Next" w:cs="Arial"/>
          <w:color w:val="808080" w:themeColor="background1" w:themeShade="80"/>
          <w:sz w:val="22"/>
          <w:szCs w:val="22"/>
          <w:lang w:val="en-GB"/>
        </w:rPr>
      </w:pPr>
    </w:p>
    <w:p w14:paraId="0125D7DF" w14:textId="51EBF5F4" w:rsidR="004A7231" w:rsidRDefault="004A7231"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Bankruptcy, </w:t>
      </w:r>
      <w:r w:rsidR="00061110">
        <w:rPr>
          <w:rFonts w:ascii="Avenir Next" w:hAnsi="Avenir Next" w:cs="Arial"/>
          <w:color w:val="808080" w:themeColor="background1" w:themeShade="80"/>
          <w:sz w:val="22"/>
          <w:szCs w:val="22"/>
          <w:lang w:val="en-GB"/>
        </w:rPr>
        <w:t xml:space="preserve">strictly speaking, </w:t>
      </w:r>
      <w:r w:rsidR="00E154BB">
        <w:rPr>
          <w:rFonts w:ascii="Avenir Next" w:hAnsi="Avenir Next" w:cs="Arial"/>
          <w:color w:val="808080" w:themeColor="background1" w:themeShade="80"/>
          <w:sz w:val="22"/>
          <w:szCs w:val="22"/>
          <w:lang w:val="en-GB"/>
        </w:rPr>
        <w:t xml:space="preserve">can be defined as a </w:t>
      </w:r>
      <w:r w:rsidR="00061110">
        <w:rPr>
          <w:rFonts w:ascii="Avenir Next" w:hAnsi="Avenir Next" w:cs="Arial"/>
          <w:color w:val="808080" w:themeColor="background1" w:themeShade="80"/>
          <w:sz w:val="22"/>
          <w:szCs w:val="22"/>
          <w:lang w:val="en-GB"/>
        </w:rPr>
        <w:t xml:space="preserve">state </w:t>
      </w:r>
      <w:r w:rsidR="00E154BB">
        <w:rPr>
          <w:rFonts w:ascii="Avenir Next" w:hAnsi="Avenir Next" w:cs="Arial"/>
          <w:color w:val="808080" w:themeColor="background1" w:themeShade="80"/>
          <w:sz w:val="22"/>
          <w:szCs w:val="22"/>
          <w:lang w:val="en-GB"/>
        </w:rPr>
        <w:t xml:space="preserve">wherein an entity, such as a corporation or an individual has the following essential characteristic/s: </w:t>
      </w:r>
      <w:r w:rsidR="00061110">
        <w:rPr>
          <w:rFonts w:ascii="Avenir Next" w:hAnsi="Avenir Next" w:cs="Arial"/>
          <w:color w:val="808080" w:themeColor="background1" w:themeShade="80"/>
          <w:sz w:val="22"/>
          <w:szCs w:val="22"/>
          <w:lang w:val="en-GB"/>
        </w:rPr>
        <w:t xml:space="preserve">undergoing </w:t>
      </w:r>
      <w:r w:rsidR="00E154BB">
        <w:rPr>
          <w:rFonts w:ascii="Avenir Next" w:hAnsi="Avenir Next" w:cs="Arial"/>
          <w:color w:val="808080" w:themeColor="background1" w:themeShade="80"/>
          <w:sz w:val="22"/>
          <w:szCs w:val="22"/>
          <w:lang w:val="en-GB"/>
        </w:rPr>
        <w:t xml:space="preserve">applicable </w:t>
      </w:r>
      <w:r w:rsidR="00061110">
        <w:rPr>
          <w:rFonts w:ascii="Avenir Next" w:hAnsi="Avenir Next" w:cs="Arial"/>
          <w:color w:val="808080" w:themeColor="background1" w:themeShade="80"/>
          <w:sz w:val="22"/>
          <w:szCs w:val="22"/>
          <w:lang w:val="en-GB"/>
        </w:rPr>
        <w:t xml:space="preserve">formal proceedings </w:t>
      </w:r>
      <w:r w:rsidR="00E154BB">
        <w:rPr>
          <w:rFonts w:ascii="Avenir Next" w:hAnsi="Avenir Next" w:cs="Arial"/>
          <w:color w:val="808080" w:themeColor="background1" w:themeShade="80"/>
          <w:sz w:val="22"/>
          <w:szCs w:val="22"/>
          <w:lang w:val="en-GB"/>
        </w:rPr>
        <w:t xml:space="preserve">in a state </w:t>
      </w:r>
      <w:r w:rsidR="00061110">
        <w:rPr>
          <w:rFonts w:ascii="Avenir Next" w:hAnsi="Avenir Next" w:cs="Arial"/>
          <w:color w:val="808080" w:themeColor="background1" w:themeShade="80"/>
          <w:sz w:val="22"/>
          <w:szCs w:val="22"/>
          <w:lang w:val="en-GB"/>
        </w:rPr>
        <w:t>such as Chapter 11 in the United States.</w:t>
      </w:r>
    </w:p>
    <w:p w14:paraId="46A66781" w14:textId="77777777" w:rsidR="00061110" w:rsidRDefault="00061110" w:rsidP="00DA42DA">
      <w:pPr>
        <w:jc w:val="both"/>
        <w:rPr>
          <w:rFonts w:ascii="Avenir Next" w:hAnsi="Avenir Next" w:cs="Arial"/>
          <w:color w:val="808080" w:themeColor="background1" w:themeShade="80"/>
          <w:sz w:val="22"/>
          <w:szCs w:val="22"/>
          <w:lang w:val="en-GB"/>
        </w:rPr>
      </w:pPr>
    </w:p>
    <w:p w14:paraId="496630D0" w14:textId="73DE82D6" w:rsidR="00E154BB" w:rsidRDefault="009251D6" w:rsidP="009251D6">
      <w:pPr>
        <w:jc w:val="both"/>
        <w:rPr>
          <w:rFonts w:ascii="Avenir Next" w:hAnsi="Avenir Next" w:cs="Arial"/>
          <w:color w:val="7B7B7B" w:themeColor="accent3" w:themeShade="BF"/>
          <w:sz w:val="22"/>
          <w:szCs w:val="22"/>
          <w:lang w:val="en-GB"/>
        </w:rPr>
      </w:pPr>
      <w:r>
        <w:rPr>
          <w:rFonts w:ascii="Avenir Next" w:hAnsi="Avenir Next" w:cs="Arial"/>
          <w:color w:val="808080" w:themeColor="background1" w:themeShade="80"/>
          <w:sz w:val="22"/>
          <w:szCs w:val="22"/>
          <w:lang w:val="en-GB"/>
        </w:rPr>
        <w:t xml:space="preserve">Differences </w:t>
      </w:r>
      <w:r w:rsidR="001E163C">
        <w:rPr>
          <w:rFonts w:ascii="Avenir Next" w:hAnsi="Avenir Next" w:cs="Arial"/>
          <w:color w:val="808080" w:themeColor="background1" w:themeShade="80"/>
          <w:sz w:val="22"/>
          <w:szCs w:val="22"/>
          <w:lang w:val="en-GB"/>
        </w:rPr>
        <w:t xml:space="preserve">between corporations and individuals </w:t>
      </w:r>
      <w:r>
        <w:rPr>
          <w:rFonts w:ascii="Avenir Next" w:hAnsi="Avenir Next" w:cs="Arial"/>
          <w:color w:val="808080" w:themeColor="background1" w:themeShade="80"/>
          <w:sz w:val="22"/>
          <w:szCs w:val="22"/>
          <w:lang w:val="en-GB"/>
        </w:rPr>
        <w:t xml:space="preserve">are </w:t>
      </w:r>
      <w:r w:rsidR="001E163C">
        <w:rPr>
          <w:rFonts w:ascii="Avenir Next" w:hAnsi="Avenir Next" w:cs="Arial"/>
          <w:color w:val="808080" w:themeColor="background1" w:themeShade="80"/>
          <w:sz w:val="22"/>
          <w:szCs w:val="22"/>
          <w:lang w:val="en-GB"/>
        </w:rPr>
        <w:t>rather intuitive</w:t>
      </w:r>
      <w:r>
        <w:rPr>
          <w:rFonts w:ascii="Avenir Next" w:hAnsi="Avenir Next" w:cs="Arial"/>
          <w:color w:val="808080" w:themeColor="background1" w:themeShade="80"/>
          <w:sz w:val="22"/>
          <w:szCs w:val="22"/>
          <w:lang w:val="en-GB"/>
        </w:rPr>
        <w:t xml:space="preserve">. </w:t>
      </w:r>
      <w:r>
        <w:rPr>
          <w:rFonts w:ascii="Avenir Next" w:hAnsi="Avenir Next" w:cs="Arial"/>
          <w:color w:val="7B7B7B" w:themeColor="accent3" w:themeShade="BF"/>
          <w:sz w:val="22"/>
          <w:szCs w:val="22"/>
          <w:lang w:val="en-GB"/>
        </w:rPr>
        <w:t>One of the most straightforward is that an individual cannot be ‘liquidated’ as opposed to a corporation, hence there is a greater focus on rehabilitation for the former (a greater focus on allowing for a ‘fresh start’). Safeguarding against harassment is also of greater importance to an individual.</w:t>
      </w:r>
    </w:p>
    <w:p w14:paraId="65DCDE14" w14:textId="77777777" w:rsidR="00E154BB" w:rsidRDefault="00E154BB" w:rsidP="009251D6">
      <w:pPr>
        <w:jc w:val="both"/>
        <w:rPr>
          <w:rFonts w:ascii="Avenir Next" w:hAnsi="Avenir Next" w:cs="Arial"/>
          <w:color w:val="7B7B7B" w:themeColor="accent3" w:themeShade="BF"/>
          <w:sz w:val="22"/>
          <w:szCs w:val="22"/>
          <w:lang w:val="en-GB"/>
        </w:rPr>
      </w:pPr>
    </w:p>
    <w:p w14:paraId="1F48997F" w14:textId="706B77B9" w:rsidR="009251D6" w:rsidRPr="00827D56" w:rsidRDefault="009251D6" w:rsidP="009251D6">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Insolvency for corporations, on the other hand, highlights greater importance on retaining the portions of a business that can operate as a going concern. In addition, levying the necessary legal consequences for abuse of power, if any, on behalf of corporate officers / directors is also a key aspect of insolvency for corporations.</w:t>
      </w:r>
    </w:p>
    <w:p w14:paraId="661C9A0E" w14:textId="77777777" w:rsidR="00061110" w:rsidRDefault="00061110" w:rsidP="00DA42DA">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lastRenderedPageBreak/>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70695E5B" w14:textId="79A7D71E" w:rsidR="00BD5A37" w:rsidRDefault="006F2E9B" w:rsidP="00692852">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r w:rsidR="00E154BB">
        <w:rPr>
          <w:rFonts w:ascii="Avenir Next" w:hAnsi="Avenir Next" w:cs="Arial"/>
          <w:sz w:val="22"/>
          <w:szCs w:val="22"/>
          <w:lang w:val="en-GB"/>
        </w:rPr>
        <w:t xml:space="preserve"> </w:t>
      </w:r>
      <w:r w:rsidR="00006B45">
        <w:rPr>
          <w:rFonts w:ascii="Avenir Next" w:hAnsi="Avenir Next" w:cs="Arial"/>
          <w:sz w:val="22"/>
          <w:szCs w:val="22"/>
          <w:lang w:val="en-GB"/>
        </w:rPr>
        <w:t>Focus on domestic interests</w:t>
      </w:r>
      <w:r w:rsidR="00E154BB">
        <w:rPr>
          <w:rFonts w:ascii="Avenir Next" w:hAnsi="Avenir Next" w:cs="Arial"/>
          <w:sz w:val="22"/>
          <w:szCs w:val="22"/>
          <w:lang w:val="en-GB"/>
        </w:rPr>
        <w:t>.</w:t>
      </w:r>
    </w:p>
    <w:p w14:paraId="04F1888F" w14:textId="77777777" w:rsidR="00006B45" w:rsidRPr="006F2E9B" w:rsidRDefault="00006B45" w:rsidP="00692852">
      <w:pPr>
        <w:jc w:val="both"/>
        <w:rPr>
          <w:rFonts w:ascii="Avenir Next" w:hAnsi="Avenir Next" w:cs="Arial"/>
          <w:sz w:val="22"/>
          <w:szCs w:val="22"/>
          <w:lang w:val="en-GB"/>
        </w:rPr>
      </w:pPr>
    </w:p>
    <w:p w14:paraId="2870AB74" w14:textId="4CD82A1A" w:rsidR="00224200" w:rsidRDefault="00224200"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States are not static entities that merely exist to organize constituents and each is unique on it</w:t>
      </w:r>
      <w:r w:rsidR="00263A3C">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own. This is reflected even in the mere definition</w:t>
      </w:r>
      <w:r w:rsidR="00D47D0C">
        <w:rPr>
          <w:rFonts w:ascii="Avenir Next" w:hAnsi="Avenir Next" w:cs="Arial"/>
          <w:color w:val="808080" w:themeColor="background1" w:themeShade="80"/>
          <w:sz w:val="22"/>
          <w:szCs w:val="22"/>
          <w:lang w:val="en-GB"/>
        </w:rPr>
        <w:t xml:space="preserve">s specified by respective </w:t>
      </w:r>
      <w:r>
        <w:rPr>
          <w:rFonts w:ascii="Avenir Next" w:hAnsi="Avenir Next" w:cs="Arial"/>
          <w:color w:val="808080" w:themeColor="background1" w:themeShade="80"/>
          <w:sz w:val="22"/>
          <w:szCs w:val="22"/>
          <w:lang w:val="en-GB"/>
        </w:rPr>
        <w:t>insolvency laws</w:t>
      </w:r>
      <w:r w:rsidR="00D47D0C">
        <w:rPr>
          <w:rFonts w:ascii="Avenir Next" w:hAnsi="Avenir Next" w:cs="Arial"/>
          <w:color w:val="808080" w:themeColor="background1" w:themeShade="80"/>
          <w:sz w:val="22"/>
          <w:szCs w:val="22"/>
          <w:lang w:val="en-GB"/>
        </w:rPr>
        <w:t>. Procedural and substantive rules, policies and approaches also have distinctions</w:t>
      </w:r>
      <w:r w:rsidR="00B07A1B">
        <w:rPr>
          <w:rFonts w:ascii="Avenir Next" w:hAnsi="Avenir Next" w:cs="Arial"/>
          <w:color w:val="808080" w:themeColor="background1" w:themeShade="80"/>
          <w:sz w:val="22"/>
          <w:szCs w:val="22"/>
          <w:lang w:val="en-GB"/>
        </w:rPr>
        <w:t>, especially on whether the state has historically leaned towards a ‘pro-creditor’ or ‘pro-debtor stance’.</w:t>
      </w:r>
    </w:p>
    <w:p w14:paraId="36D038B0" w14:textId="77777777" w:rsidR="00224200" w:rsidRDefault="00224200" w:rsidP="00DA42DA">
      <w:pPr>
        <w:jc w:val="both"/>
        <w:rPr>
          <w:rFonts w:ascii="Avenir Next" w:hAnsi="Avenir Next" w:cs="Arial"/>
          <w:color w:val="808080" w:themeColor="background1" w:themeShade="80"/>
          <w:sz w:val="22"/>
          <w:szCs w:val="22"/>
          <w:lang w:val="en-GB"/>
        </w:rPr>
      </w:pPr>
    </w:p>
    <w:p w14:paraId="24EDD70D" w14:textId="24C4EDD2" w:rsidR="00480139" w:rsidRDefault="00224200"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Domestic interests are </w:t>
      </w:r>
      <w:r w:rsidR="001C365C">
        <w:rPr>
          <w:rFonts w:ascii="Avenir Next" w:hAnsi="Avenir Next" w:cs="Arial"/>
          <w:color w:val="808080" w:themeColor="background1" w:themeShade="80"/>
          <w:sz w:val="22"/>
          <w:szCs w:val="22"/>
          <w:lang w:val="en-GB"/>
        </w:rPr>
        <w:t xml:space="preserve">also </w:t>
      </w:r>
      <w:r>
        <w:rPr>
          <w:rFonts w:ascii="Avenir Next" w:hAnsi="Avenir Next" w:cs="Arial"/>
          <w:color w:val="808080" w:themeColor="background1" w:themeShade="80"/>
          <w:sz w:val="22"/>
          <w:szCs w:val="22"/>
          <w:lang w:val="en-GB"/>
        </w:rPr>
        <w:t>a key consideration</w:t>
      </w:r>
      <w:r w:rsidR="0033347F">
        <w:rPr>
          <w:rFonts w:ascii="Avenir Next" w:hAnsi="Avenir Next" w:cs="Arial"/>
          <w:color w:val="808080" w:themeColor="background1" w:themeShade="80"/>
          <w:sz w:val="22"/>
          <w:szCs w:val="22"/>
          <w:lang w:val="en-GB"/>
        </w:rPr>
        <w:t xml:space="preserve"> when understanding the feasibility of a single cross-border insolvency dispensation. </w:t>
      </w:r>
      <w:r w:rsidR="00201867">
        <w:rPr>
          <w:rFonts w:ascii="Avenir Next" w:hAnsi="Avenir Next" w:cs="Arial"/>
          <w:color w:val="808080" w:themeColor="background1" w:themeShade="80"/>
          <w:sz w:val="22"/>
          <w:szCs w:val="22"/>
          <w:lang w:val="en-GB"/>
        </w:rPr>
        <w:t xml:space="preserve">France’s focus on the welfare of workers, for example, is a </w:t>
      </w:r>
      <w:r w:rsidR="001C365C">
        <w:rPr>
          <w:rFonts w:ascii="Avenir Next" w:hAnsi="Avenir Next" w:cs="Arial"/>
          <w:color w:val="808080" w:themeColor="background1" w:themeShade="80"/>
          <w:sz w:val="22"/>
          <w:szCs w:val="22"/>
          <w:lang w:val="en-GB"/>
        </w:rPr>
        <w:t>clear</w:t>
      </w:r>
      <w:r w:rsidR="00201867">
        <w:rPr>
          <w:rFonts w:ascii="Avenir Next" w:hAnsi="Avenir Next" w:cs="Arial"/>
          <w:color w:val="808080" w:themeColor="background1" w:themeShade="80"/>
          <w:sz w:val="22"/>
          <w:szCs w:val="22"/>
          <w:lang w:val="en-GB"/>
        </w:rPr>
        <w:t xml:space="preserve"> distinction, as well as fiscal policies which may push back on recognition by insulat</w:t>
      </w:r>
      <w:r w:rsidR="001C365C">
        <w:rPr>
          <w:rFonts w:ascii="Avenir Next" w:hAnsi="Avenir Next" w:cs="Arial"/>
          <w:color w:val="808080" w:themeColor="background1" w:themeShade="80"/>
          <w:sz w:val="22"/>
          <w:szCs w:val="22"/>
          <w:lang w:val="en-GB"/>
        </w:rPr>
        <w:t xml:space="preserve">ing </w:t>
      </w:r>
      <w:r w:rsidR="00201867">
        <w:rPr>
          <w:rFonts w:ascii="Avenir Next" w:hAnsi="Avenir Next" w:cs="Arial"/>
          <w:color w:val="808080" w:themeColor="background1" w:themeShade="80"/>
          <w:sz w:val="22"/>
          <w:szCs w:val="22"/>
          <w:lang w:val="en-GB"/>
        </w:rPr>
        <w:t>its local lenders and econom</w:t>
      </w:r>
      <w:r w:rsidR="00E908E9">
        <w:rPr>
          <w:rFonts w:ascii="Avenir Next" w:hAnsi="Avenir Next" w:cs="Arial"/>
          <w:color w:val="808080" w:themeColor="background1" w:themeShade="80"/>
          <w:sz w:val="22"/>
          <w:szCs w:val="22"/>
          <w:lang w:val="en-GB"/>
        </w:rPr>
        <w:t xml:space="preserve">y. This can be in sharp contrast when compared to </w:t>
      </w:r>
      <w:r w:rsidR="00E3439D">
        <w:rPr>
          <w:rFonts w:ascii="Avenir Next" w:hAnsi="Avenir Next" w:cs="Arial"/>
          <w:color w:val="808080" w:themeColor="background1" w:themeShade="80"/>
          <w:sz w:val="22"/>
          <w:szCs w:val="22"/>
          <w:lang w:val="en-GB"/>
        </w:rPr>
        <w:t>areas such as the European Union, in which markets are more integrated.</w:t>
      </w:r>
      <w:r w:rsidR="00463516">
        <w:rPr>
          <w:rFonts w:ascii="Avenir Next" w:hAnsi="Avenir Next" w:cs="Arial"/>
          <w:color w:val="808080" w:themeColor="background1" w:themeShade="80"/>
          <w:sz w:val="22"/>
          <w:szCs w:val="22"/>
          <w:lang w:val="en-GB"/>
        </w:rPr>
        <w:t xml:space="preserve"> This just further highlights the nuances which can be encountered in specific states, relative to others.</w:t>
      </w:r>
    </w:p>
    <w:p w14:paraId="05C3C4FD" w14:textId="77777777" w:rsidR="00F90903" w:rsidRDefault="00F90903" w:rsidP="00DA42DA">
      <w:pPr>
        <w:jc w:val="both"/>
        <w:rPr>
          <w:rFonts w:ascii="Avenir Next" w:hAnsi="Avenir Next" w:cs="Arial"/>
          <w:color w:val="808080" w:themeColor="background1" w:themeShade="80"/>
          <w:sz w:val="22"/>
          <w:szCs w:val="22"/>
          <w:lang w:val="en-GB"/>
        </w:rPr>
      </w:pPr>
    </w:p>
    <w:p w14:paraId="488C27C7" w14:textId="51023377" w:rsidR="00F90903" w:rsidRDefault="00F90903"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Beyond this, </w:t>
      </w:r>
      <w:r w:rsidR="00FB4A2F">
        <w:rPr>
          <w:rFonts w:ascii="Avenir Next" w:hAnsi="Avenir Next" w:cs="Arial"/>
          <w:color w:val="808080" w:themeColor="background1" w:themeShade="80"/>
          <w:sz w:val="22"/>
          <w:szCs w:val="22"/>
          <w:lang w:val="en-GB"/>
        </w:rPr>
        <w:t xml:space="preserve">Westbrook </w:t>
      </w:r>
      <w:r w:rsidR="0028425C">
        <w:rPr>
          <w:rFonts w:ascii="Avenir Next" w:hAnsi="Avenir Next" w:cs="Arial"/>
          <w:color w:val="808080" w:themeColor="background1" w:themeShade="80"/>
          <w:sz w:val="22"/>
          <w:szCs w:val="22"/>
          <w:lang w:val="en-GB"/>
        </w:rPr>
        <w:t>touches on 9 primary issues</w:t>
      </w:r>
      <w:r w:rsidR="007A7F5B" w:rsidRPr="00A6098F">
        <w:rPr>
          <w:rFonts w:ascii="Avenir Next" w:hAnsi="Avenir Next" w:cs="Arial"/>
          <w:color w:val="808080" w:themeColor="background1" w:themeShade="80"/>
          <w:sz w:val="22"/>
          <w:szCs w:val="22"/>
          <w:vertAlign w:val="superscript"/>
          <w:lang w:val="en-GB"/>
        </w:rPr>
        <w:t>1</w:t>
      </w:r>
      <w:r w:rsidR="0028425C">
        <w:rPr>
          <w:rFonts w:ascii="Avenir Next" w:hAnsi="Avenir Next" w:cs="Arial"/>
          <w:color w:val="808080" w:themeColor="background1" w:themeShade="80"/>
          <w:sz w:val="22"/>
          <w:szCs w:val="22"/>
          <w:lang w:val="en-GB"/>
        </w:rPr>
        <w:t xml:space="preserve"> which are essential but also become a source of contention amongst various </w:t>
      </w:r>
      <w:r w:rsidR="00463516">
        <w:rPr>
          <w:rFonts w:ascii="Avenir Next" w:hAnsi="Avenir Next" w:cs="Arial"/>
          <w:color w:val="808080" w:themeColor="background1" w:themeShade="80"/>
          <w:sz w:val="22"/>
          <w:szCs w:val="22"/>
          <w:lang w:val="en-GB"/>
        </w:rPr>
        <w:t>jurisdictions</w:t>
      </w:r>
      <w:r w:rsidR="0028425C">
        <w:rPr>
          <w:rFonts w:ascii="Avenir Next" w:hAnsi="Avenir Next" w:cs="Arial"/>
          <w:color w:val="808080" w:themeColor="background1" w:themeShade="80"/>
          <w:sz w:val="22"/>
          <w:szCs w:val="22"/>
          <w:lang w:val="en-GB"/>
        </w:rPr>
        <w:t xml:space="preserve">. Sample challenges arise from queries </w:t>
      </w:r>
      <w:r w:rsidR="001015A4">
        <w:rPr>
          <w:rFonts w:ascii="Avenir Next" w:hAnsi="Avenir Next" w:cs="Arial"/>
          <w:color w:val="808080" w:themeColor="background1" w:themeShade="80"/>
          <w:sz w:val="22"/>
          <w:szCs w:val="22"/>
          <w:lang w:val="en-GB"/>
        </w:rPr>
        <w:t>relative to</w:t>
      </w:r>
      <w:r w:rsidR="0028425C">
        <w:rPr>
          <w:rFonts w:ascii="Avenir Next" w:hAnsi="Avenir Next" w:cs="Arial"/>
          <w:color w:val="808080" w:themeColor="background1" w:themeShade="80"/>
          <w:sz w:val="22"/>
          <w:szCs w:val="22"/>
          <w:lang w:val="en-GB"/>
        </w:rPr>
        <w:t xml:space="preserve"> the application of moratoriums, technicalities on discharges, coordination on claims and specifics on executory contracts, among others.</w:t>
      </w:r>
    </w:p>
    <w:p w14:paraId="4E8DC12A" w14:textId="77777777" w:rsidR="00B07A1B" w:rsidRDefault="00B07A1B" w:rsidP="00DA42DA">
      <w:pPr>
        <w:jc w:val="both"/>
        <w:rPr>
          <w:rFonts w:ascii="Avenir Next" w:hAnsi="Avenir Next" w:cs="Arial"/>
          <w:color w:val="808080" w:themeColor="background1" w:themeShade="80"/>
          <w:sz w:val="22"/>
          <w:szCs w:val="22"/>
          <w:lang w:val="en-GB"/>
        </w:rPr>
      </w:pPr>
    </w:p>
    <w:p w14:paraId="113097FD" w14:textId="48405BE6" w:rsidR="00736B9F" w:rsidRDefault="00736B9F" w:rsidP="00736B9F">
      <w:pPr>
        <w:ind w:left="720" w:hanging="720"/>
        <w:jc w:val="both"/>
        <w:rPr>
          <w:rFonts w:ascii="Avenir Next" w:hAnsi="Avenir Next" w:cs="Arial"/>
          <w:i/>
          <w:iCs/>
          <w:color w:val="7B7B7B" w:themeColor="accent3" w:themeShade="BF"/>
          <w:sz w:val="16"/>
          <w:szCs w:val="16"/>
          <w:lang w:val="en-GB"/>
        </w:rPr>
      </w:pPr>
      <w:r w:rsidRPr="00635F6C">
        <w:rPr>
          <w:rFonts w:ascii="Avenir Next" w:hAnsi="Avenir Next" w:cs="Arial"/>
          <w:i/>
          <w:iCs/>
          <w:color w:val="7B7B7B" w:themeColor="accent3" w:themeShade="BF"/>
          <w:sz w:val="16"/>
          <w:szCs w:val="16"/>
          <w:vertAlign w:val="superscript"/>
          <w:lang w:val="en-GB"/>
        </w:rPr>
        <w:t>1</w:t>
      </w:r>
      <w:r w:rsidRPr="00736B9F">
        <w:rPr>
          <w:rFonts w:ascii="Avenir Next" w:hAnsi="Avenir Next" w:cs="Arial"/>
          <w:i/>
          <w:iCs/>
          <w:color w:val="7B7B7B" w:themeColor="accent3" w:themeShade="BF"/>
          <w:sz w:val="16"/>
          <w:szCs w:val="16"/>
          <w:lang w:val="en-GB"/>
        </w:rPr>
        <w:t>1INSOL Foundation Certificate in International insolvency Law 2023/2024, Module 1 Guidance Text</w:t>
      </w:r>
    </w:p>
    <w:p w14:paraId="5E169A18" w14:textId="77777777" w:rsidR="00736B9F" w:rsidRDefault="00736B9F" w:rsidP="00DA42DA">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Default="009C26AB" w:rsidP="00692852">
      <w:pPr>
        <w:jc w:val="both"/>
        <w:rPr>
          <w:rFonts w:ascii="Avenir Next" w:hAnsi="Avenir Next"/>
          <w:sz w:val="22"/>
          <w:szCs w:val="22"/>
          <w:lang w:val="en-GB"/>
        </w:rPr>
      </w:pPr>
    </w:p>
    <w:p w14:paraId="45DD248B" w14:textId="3FA88FE4" w:rsidR="00EA68B1" w:rsidRDefault="00EA68B1" w:rsidP="00EA68B1">
      <w:pPr>
        <w:jc w:val="both"/>
        <w:rPr>
          <w:rFonts w:ascii="Avenir Next" w:hAnsi="Avenir Next" w:cs="Arial"/>
          <w:color w:val="808080" w:themeColor="background1" w:themeShade="80"/>
          <w:sz w:val="22"/>
          <w:szCs w:val="22"/>
          <w:lang w:val="en-GB"/>
        </w:rPr>
      </w:pPr>
      <w:r w:rsidRPr="00EA68B1">
        <w:rPr>
          <w:rFonts w:ascii="Avenir Next" w:hAnsi="Avenir Next" w:cs="Arial"/>
          <w:color w:val="808080" w:themeColor="background1" w:themeShade="80"/>
          <w:sz w:val="22"/>
          <w:szCs w:val="22"/>
          <w:lang w:val="en-GB"/>
        </w:rPr>
        <w:t>Hard law refers to</w:t>
      </w:r>
      <w:r>
        <w:rPr>
          <w:rFonts w:ascii="Avenir Next" w:hAnsi="Avenir Next" w:cs="Arial"/>
          <w:color w:val="808080" w:themeColor="background1" w:themeShade="80"/>
          <w:sz w:val="22"/>
          <w:szCs w:val="22"/>
          <w:lang w:val="en-GB"/>
        </w:rPr>
        <w:t xml:space="preserve"> the application of executed convention</w:t>
      </w:r>
      <w:r w:rsidR="00BB7C43">
        <w:rPr>
          <w:rFonts w:ascii="Avenir Next" w:hAnsi="Avenir Next" w:cs="Arial"/>
          <w:color w:val="808080" w:themeColor="background1" w:themeShade="80"/>
          <w:sz w:val="22"/>
          <w:szCs w:val="22"/>
          <w:lang w:val="en-GB"/>
        </w:rPr>
        <w:t xml:space="preserve">s, </w:t>
      </w:r>
      <w:r>
        <w:rPr>
          <w:rFonts w:ascii="Avenir Next" w:hAnsi="Avenir Next" w:cs="Arial"/>
          <w:color w:val="808080" w:themeColor="background1" w:themeShade="80"/>
          <w:sz w:val="22"/>
          <w:szCs w:val="22"/>
          <w:lang w:val="en-GB"/>
        </w:rPr>
        <w:t xml:space="preserve">treaties </w:t>
      </w:r>
      <w:r w:rsidR="00BB7C43">
        <w:rPr>
          <w:rFonts w:ascii="Avenir Next" w:hAnsi="Avenir Next" w:cs="Arial"/>
          <w:color w:val="808080" w:themeColor="background1" w:themeShade="80"/>
          <w:sz w:val="22"/>
          <w:szCs w:val="22"/>
          <w:lang w:val="en-GB"/>
        </w:rPr>
        <w:t xml:space="preserve">or regulations </w:t>
      </w:r>
      <w:r>
        <w:rPr>
          <w:rFonts w:ascii="Avenir Next" w:hAnsi="Avenir Next" w:cs="Arial"/>
          <w:color w:val="808080" w:themeColor="background1" w:themeShade="80"/>
          <w:sz w:val="22"/>
          <w:szCs w:val="22"/>
          <w:lang w:val="en-GB"/>
        </w:rPr>
        <w:t xml:space="preserve">into the domestic laws of a specific state. In such cases, States align themselves with </w:t>
      </w:r>
      <w:r w:rsidR="00D876B4">
        <w:rPr>
          <w:rFonts w:ascii="Avenir Next" w:hAnsi="Avenir Next" w:cs="Arial"/>
          <w:color w:val="808080" w:themeColor="background1" w:themeShade="80"/>
          <w:sz w:val="22"/>
          <w:szCs w:val="22"/>
          <w:lang w:val="en-GB"/>
        </w:rPr>
        <w:t>said</w:t>
      </w:r>
      <w:r w:rsidR="00480139">
        <w:rPr>
          <w:rFonts w:ascii="Avenir Next" w:hAnsi="Avenir Next" w:cs="Arial"/>
          <w:color w:val="808080" w:themeColor="background1" w:themeShade="80"/>
          <w:sz w:val="22"/>
          <w:szCs w:val="22"/>
          <w:lang w:val="en-GB"/>
        </w:rPr>
        <w:t xml:space="preserve"> agreements through the development of relevant domestic laws</w:t>
      </w:r>
      <w:r w:rsidR="00A71FEA">
        <w:rPr>
          <w:rFonts w:ascii="Avenir Next" w:hAnsi="Avenir Next" w:cs="Arial"/>
          <w:color w:val="808080" w:themeColor="background1" w:themeShade="80"/>
          <w:sz w:val="22"/>
          <w:szCs w:val="22"/>
          <w:lang w:val="en-GB"/>
        </w:rPr>
        <w:t xml:space="preserve"> </w:t>
      </w:r>
      <w:r w:rsidR="007913AA">
        <w:rPr>
          <w:rFonts w:ascii="Avenir Next" w:hAnsi="Avenir Next" w:cs="Arial"/>
          <w:color w:val="808080" w:themeColor="background1" w:themeShade="80"/>
          <w:sz w:val="22"/>
          <w:szCs w:val="22"/>
          <w:lang w:val="en-GB"/>
        </w:rPr>
        <w:t xml:space="preserve">that are enforced locally. States </w:t>
      </w:r>
      <w:r w:rsidR="00A71FEA">
        <w:rPr>
          <w:rFonts w:ascii="Avenir Next" w:hAnsi="Avenir Next" w:cs="Arial"/>
          <w:color w:val="808080" w:themeColor="background1" w:themeShade="80"/>
          <w:sz w:val="22"/>
          <w:szCs w:val="22"/>
          <w:lang w:val="en-GB"/>
        </w:rPr>
        <w:t>therefore become obligated to abide.</w:t>
      </w:r>
      <w:r w:rsidR="00F52255">
        <w:rPr>
          <w:rFonts w:ascii="Avenir Next" w:hAnsi="Avenir Next" w:cs="Arial"/>
          <w:color w:val="808080" w:themeColor="background1" w:themeShade="80"/>
          <w:sz w:val="22"/>
          <w:szCs w:val="22"/>
          <w:lang w:val="en-GB"/>
        </w:rPr>
        <w:t xml:space="preserve"> Examples </w:t>
      </w:r>
      <w:r w:rsidR="00BB7C43">
        <w:rPr>
          <w:rFonts w:ascii="Avenir Next" w:hAnsi="Avenir Next" w:cs="Arial"/>
          <w:color w:val="808080" w:themeColor="background1" w:themeShade="80"/>
          <w:sz w:val="22"/>
          <w:szCs w:val="22"/>
          <w:lang w:val="en-GB"/>
        </w:rPr>
        <w:t>include the European Insolvency Regulation</w:t>
      </w:r>
      <w:r w:rsidR="00D876B4">
        <w:rPr>
          <w:rFonts w:ascii="Avenir Next" w:hAnsi="Avenir Next" w:cs="Arial"/>
          <w:color w:val="808080" w:themeColor="background1" w:themeShade="80"/>
          <w:sz w:val="22"/>
          <w:szCs w:val="22"/>
          <w:lang w:val="en-GB"/>
        </w:rPr>
        <w:t>, which applies specifically to EU member states.</w:t>
      </w:r>
      <w:r w:rsidR="00230A43">
        <w:rPr>
          <w:rFonts w:ascii="Avenir Next" w:hAnsi="Avenir Next" w:cs="Arial"/>
          <w:color w:val="808080" w:themeColor="background1" w:themeShade="80"/>
          <w:sz w:val="22"/>
          <w:szCs w:val="22"/>
          <w:lang w:val="en-GB"/>
        </w:rPr>
        <w:t xml:space="preserve"> The success of hard law is contingent on the willingness of states to bind themselves through these agreements and there have been examples of successful applications such as in South America</w:t>
      </w:r>
      <w:r w:rsidR="001E28DD">
        <w:rPr>
          <w:rFonts w:ascii="Avenir Next" w:hAnsi="Avenir Next" w:cs="Arial"/>
          <w:color w:val="808080" w:themeColor="background1" w:themeShade="80"/>
          <w:sz w:val="22"/>
          <w:szCs w:val="22"/>
          <w:lang w:val="en-GB"/>
        </w:rPr>
        <w:t>, whic</w:t>
      </w:r>
      <w:r w:rsidR="000A59DD">
        <w:rPr>
          <w:rFonts w:ascii="Avenir Next" w:hAnsi="Avenir Next" w:cs="Arial"/>
          <w:color w:val="808080" w:themeColor="background1" w:themeShade="80"/>
          <w:sz w:val="22"/>
          <w:szCs w:val="22"/>
          <w:lang w:val="en-GB"/>
        </w:rPr>
        <w:t>h has a historic record of cooperation amongst various states.</w:t>
      </w:r>
    </w:p>
    <w:p w14:paraId="75BB5F41" w14:textId="7A63AD26" w:rsidR="00EA68B1" w:rsidRPr="00EA68B1" w:rsidRDefault="00EA68B1" w:rsidP="00EA68B1">
      <w:pPr>
        <w:jc w:val="both"/>
        <w:rPr>
          <w:rFonts w:ascii="Avenir Next" w:hAnsi="Avenir Next" w:cs="Arial"/>
          <w:color w:val="808080" w:themeColor="background1" w:themeShade="80"/>
          <w:sz w:val="22"/>
          <w:szCs w:val="22"/>
          <w:lang w:val="en-GB"/>
        </w:rPr>
      </w:pPr>
    </w:p>
    <w:p w14:paraId="41ADD75F" w14:textId="1EFBF045" w:rsidR="00EA68B1" w:rsidRPr="00DA42DA" w:rsidRDefault="00480139" w:rsidP="00EA68B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contract, s</w:t>
      </w:r>
      <w:r w:rsidR="00EA68B1" w:rsidRPr="00EA68B1">
        <w:rPr>
          <w:rFonts w:ascii="Avenir Next" w:hAnsi="Avenir Next" w:cs="Arial"/>
          <w:color w:val="808080" w:themeColor="background1" w:themeShade="80"/>
          <w:sz w:val="22"/>
          <w:szCs w:val="22"/>
          <w:lang w:val="en-GB"/>
        </w:rPr>
        <w:t>oft law refers to</w:t>
      </w:r>
      <w:r w:rsidR="00AD1E30">
        <w:rPr>
          <w:rFonts w:ascii="Avenir Next" w:hAnsi="Avenir Next" w:cs="Arial"/>
          <w:color w:val="808080" w:themeColor="background1" w:themeShade="80"/>
          <w:sz w:val="22"/>
          <w:szCs w:val="22"/>
          <w:lang w:val="en-GB"/>
        </w:rPr>
        <w:t xml:space="preserve"> initiatives which attempt to </w:t>
      </w:r>
      <w:r w:rsidR="00BD4564">
        <w:rPr>
          <w:rFonts w:ascii="Avenir Next" w:hAnsi="Avenir Next" w:cs="Arial"/>
          <w:color w:val="808080" w:themeColor="background1" w:themeShade="80"/>
          <w:sz w:val="22"/>
          <w:szCs w:val="22"/>
          <w:lang w:val="en-GB"/>
        </w:rPr>
        <w:t xml:space="preserve">give sway to </w:t>
      </w:r>
      <w:r w:rsidR="00AD1E30">
        <w:rPr>
          <w:rFonts w:ascii="Avenir Next" w:hAnsi="Avenir Next" w:cs="Arial"/>
          <w:color w:val="808080" w:themeColor="background1" w:themeShade="80"/>
          <w:sz w:val="22"/>
          <w:szCs w:val="22"/>
          <w:lang w:val="en-GB"/>
        </w:rPr>
        <w:t xml:space="preserve">the policies of states by creating frameworks that align with generally accepted international consensus and or best practices, as illustrated by model laws.  </w:t>
      </w:r>
      <w:r w:rsidR="00586733">
        <w:rPr>
          <w:rFonts w:ascii="Avenir Next" w:hAnsi="Avenir Next" w:cs="Arial"/>
          <w:color w:val="808080" w:themeColor="background1" w:themeShade="80"/>
          <w:sz w:val="22"/>
          <w:szCs w:val="22"/>
          <w:lang w:val="en-GB"/>
        </w:rPr>
        <w:t>The Model Law on Cross-border Insolvency, which came about through the efforts of the UNCITRAL, is an excellent example.</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7788F891"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countries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Apart from the USA and various European states, Norton Cars Inc also distributes its cars to India, South Africa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5CB4BAD3"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provides the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in order to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2C579259" w14:textId="2A02437F" w:rsidR="00643F14" w:rsidRDefault="000A59DD"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w:t>
      </w:r>
      <w:r w:rsidR="00DF1DFD">
        <w:rPr>
          <w:rFonts w:ascii="Avenir Next" w:hAnsi="Avenir Next" w:cs="Arial"/>
          <w:color w:val="808080" w:themeColor="background1" w:themeShade="80"/>
          <w:sz w:val="22"/>
          <w:szCs w:val="22"/>
          <w:lang w:val="en-GB"/>
        </w:rPr>
        <w:t xml:space="preserve"> a number of</w:t>
      </w:r>
      <w:r>
        <w:rPr>
          <w:rFonts w:ascii="Avenir Next" w:hAnsi="Avenir Next" w:cs="Arial"/>
          <w:color w:val="808080" w:themeColor="background1" w:themeShade="80"/>
          <w:sz w:val="22"/>
          <w:szCs w:val="22"/>
          <w:lang w:val="en-GB"/>
        </w:rPr>
        <w:t xml:space="preserve"> options available </w:t>
      </w:r>
      <w:r w:rsidR="00BD7F40">
        <w:rPr>
          <w:rFonts w:ascii="Avenir Next" w:hAnsi="Avenir Next" w:cs="Arial"/>
          <w:color w:val="808080" w:themeColor="background1" w:themeShade="80"/>
          <w:sz w:val="22"/>
          <w:szCs w:val="22"/>
          <w:lang w:val="en-GB"/>
        </w:rPr>
        <w:t>in terms of sources that may be used to request recognition in terms of English law. These are t</w:t>
      </w:r>
      <w:r>
        <w:rPr>
          <w:rFonts w:ascii="Avenir Next" w:hAnsi="Avenir Next" w:cs="Arial"/>
          <w:color w:val="808080" w:themeColor="background1" w:themeShade="80"/>
          <w:sz w:val="22"/>
          <w:szCs w:val="22"/>
          <w:lang w:val="en-GB"/>
        </w:rPr>
        <w:t xml:space="preserve">he </w:t>
      </w:r>
      <w:r w:rsidR="00DF1DFD">
        <w:rPr>
          <w:rFonts w:ascii="Avenir Next" w:hAnsi="Avenir Next" w:cs="Arial"/>
          <w:color w:val="808080" w:themeColor="background1" w:themeShade="80"/>
          <w:sz w:val="22"/>
          <w:szCs w:val="22"/>
          <w:lang w:val="en-GB"/>
        </w:rPr>
        <w:t>Cross Border Insolvency Regulations 2006 SI2006/1030 (also known as the CBIR</w:t>
      </w:r>
      <w:r w:rsidR="0000354A">
        <w:rPr>
          <w:rFonts w:ascii="Avenir Next" w:hAnsi="Avenir Next" w:cs="Arial"/>
          <w:color w:val="808080" w:themeColor="background1" w:themeShade="80"/>
          <w:sz w:val="22"/>
          <w:szCs w:val="22"/>
          <w:lang w:val="en-GB"/>
        </w:rPr>
        <w:t>, in which the UK applied Model Law implementation</w:t>
      </w:r>
      <w:r w:rsidR="00DF1DFD">
        <w:rPr>
          <w:rFonts w:ascii="Avenir Next" w:hAnsi="Avenir Next" w:cs="Arial"/>
          <w:color w:val="808080" w:themeColor="background1" w:themeShade="80"/>
          <w:sz w:val="22"/>
          <w:szCs w:val="22"/>
          <w:lang w:val="en-GB"/>
        </w:rPr>
        <w:t>), Section 426 of the Act</w:t>
      </w:r>
      <w:r w:rsidR="00C46479">
        <w:rPr>
          <w:rFonts w:ascii="Avenir Next" w:hAnsi="Avenir Next" w:cs="Arial"/>
          <w:color w:val="808080" w:themeColor="background1" w:themeShade="80"/>
          <w:sz w:val="22"/>
          <w:szCs w:val="22"/>
          <w:lang w:val="en-GB"/>
        </w:rPr>
        <w:t xml:space="preserve"> and even the jurisdiction of common law in giving access for insolvency proceedings from other countries. If the timing of the insolvency was prior to B</w:t>
      </w:r>
      <w:r w:rsidR="00262A29">
        <w:rPr>
          <w:rFonts w:ascii="Avenir Next" w:hAnsi="Avenir Next" w:cs="Arial"/>
          <w:color w:val="808080" w:themeColor="background1" w:themeShade="80"/>
          <w:sz w:val="22"/>
          <w:szCs w:val="22"/>
          <w:lang w:val="en-GB"/>
        </w:rPr>
        <w:t>rexit</w:t>
      </w:r>
      <w:r w:rsidR="00BD7F40">
        <w:rPr>
          <w:rFonts w:ascii="Avenir Next" w:hAnsi="Avenir Next" w:cs="Arial"/>
          <w:color w:val="808080" w:themeColor="background1" w:themeShade="80"/>
          <w:sz w:val="22"/>
          <w:szCs w:val="22"/>
          <w:lang w:val="en-GB"/>
        </w:rPr>
        <w:t xml:space="preserve"> (31 December, 2020)</w:t>
      </w:r>
      <w:r w:rsidR="00262A29">
        <w:rPr>
          <w:rFonts w:ascii="Avenir Next" w:hAnsi="Avenir Next" w:cs="Arial"/>
          <w:color w:val="808080" w:themeColor="background1" w:themeShade="80"/>
          <w:sz w:val="22"/>
          <w:szCs w:val="22"/>
          <w:lang w:val="en-GB"/>
        </w:rPr>
        <w:t>, there is also the EU Regulation on Insolvency Proceedings.</w:t>
      </w:r>
      <w:r w:rsidR="00F94D37">
        <w:rPr>
          <w:rFonts w:ascii="Avenir Next" w:hAnsi="Avenir Next" w:cs="Arial"/>
          <w:color w:val="808080" w:themeColor="background1" w:themeShade="80"/>
          <w:sz w:val="22"/>
          <w:szCs w:val="22"/>
          <w:lang w:val="en-GB"/>
        </w:rPr>
        <w:t xml:space="preserve"> Hence, there are multiple sources available to for American insolvent estate representative.</w:t>
      </w:r>
    </w:p>
    <w:p w14:paraId="4B9B9B2D" w14:textId="77777777" w:rsidR="0006596A" w:rsidRDefault="0006596A" w:rsidP="00DB5A5A">
      <w:pPr>
        <w:jc w:val="both"/>
        <w:rPr>
          <w:rFonts w:ascii="Avenir Next" w:hAnsi="Avenir Next" w:cs="Arial"/>
          <w:color w:val="808080" w:themeColor="background1" w:themeShade="80"/>
          <w:sz w:val="22"/>
          <w:szCs w:val="22"/>
          <w:lang w:val="en-GB"/>
        </w:rPr>
      </w:pPr>
    </w:p>
    <w:p w14:paraId="0632209E" w14:textId="43AC151D" w:rsidR="008073F4" w:rsidRDefault="0068743C" w:rsidP="008073F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Taking this a step further, reference may be made to </w:t>
      </w:r>
      <w:r w:rsidR="00EE5B70">
        <w:rPr>
          <w:rFonts w:ascii="Avenir Next" w:hAnsi="Avenir Next" w:cs="Arial"/>
          <w:color w:val="808080" w:themeColor="background1" w:themeShade="80"/>
          <w:sz w:val="22"/>
          <w:szCs w:val="22"/>
          <w:lang w:val="en-GB"/>
        </w:rPr>
        <w:t xml:space="preserve">Wells and Aconley </w:t>
      </w:r>
      <w:r>
        <w:rPr>
          <w:rFonts w:ascii="Avenir Next" w:hAnsi="Avenir Next" w:cs="Arial"/>
          <w:color w:val="808080" w:themeColor="background1" w:themeShade="80"/>
          <w:sz w:val="22"/>
          <w:szCs w:val="22"/>
          <w:lang w:val="en-GB"/>
        </w:rPr>
        <w:t xml:space="preserve">who </w:t>
      </w:r>
      <w:r w:rsidR="00EE5B70">
        <w:rPr>
          <w:rFonts w:ascii="Avenir Next" w:hAnsi="Avenir Next" w:cs="Arial"/>
          <w:color w:val="808080" w:themeColor="background1" w:themeShade="80"/>
          <w:sz w:val="22"/>
          <w:szCs w:val="22"/>
          <w:lang w:val="en-GB"/>
        </w:rPr>
        <w:t>share their views that CBIR recognition must follow that a foreign proceeding commencement</w:t>
      </w:r>
      <w:r w:rsidR="007B19DA">
        <w:rPr>
          <w:rFonts w:ascii="Avenir Next" w:hAnsi="Avenir Next" w:cs="Arial"/>
          <w:color w:val="808080" w:themeColor="background1" w:themeShade="80"/>
          <w:sz w:val="22"/>
          <w:szCs w:val="22"/>
          <w:lang w:val="en-GB"/>
        </w:rPr>
        <w:t xml:space="preserve"> and subsequent foreign representative appointment be taken merely as ‘a matter of fact’</w:t>
      </w:r>
      <w:r>
        <w:rPr>
          <w:rFonts w:ascii="Avenir Next" w:hAnsi="Avenir Next" w:cs="Arial"/>
          <w:color w:val="808080" w:themeColor="background1" w:themeShade="80"/>
          <w:sz w:val="22"/>
          <w:szCs w:val="22"/>
          <w:lang w:val="en-GB"/>
        </w:rPr>
        <w:t>,</w:t>
      </w:r>
      <w:r w:rsidR="007B19DA">
        <w:rPr>
          <w:rFonts w:ascii="Avenir Next" w:hAnsi="Avenir Next" w:cs="Arial"/>
          <w:color w:val="808080" w:themeColor="background1" w:themeShade="80"/>
          <w:sz w:val="22"/>
          <w:szCs w:val="22"/>
          <w:lang w:val="en-GB"/>
        </w:rPr>
        <w:t xml:space="preserve"> with the said representative being given standing to submit an application</w:t>
      </w:r>
      <w:r>
        <w:rPr>
          <w:rFonts w:ascii="Avenir Next" w:hAnsi="Avenir Next" w:cs="Arial"/>
          <w:color w:val="808080" w:themeColor="background1" w:themeShade="80"/>
          <w:sz w:val="22"/>
          <w:szCs w:val="22"/>
          <w:lang w:val="en-GB"/>
        </w:rPr>
        <w:t>. In addition, that main proceedings in the COMI leads to an automatic stay and that discretionary relief, with certain limitations on its application, be made available. T</w:t>
      </w:r>
      <w:r w:rsidR="0006596A">
        <w:rPr>
          <w:rFonts w:ascii="Avenir Next" w:hAnsi="Avenir Next" w:cs="Arial"/>
          <w:color w:val="808080" w:themeColor="background1" w:themeShade="80"/>
          <w:sz w:val="22"/>
          <w:szCs w:val="22"/>
          <w:lang w:val="en-GB"/>
        </w:rPr>
        <w:t xml:space="preserve">here have </w:t>
      </w:r>
      <w:r>
        <w:rPr>
          <w:rFonts w:ascii="Avenir Next" w:hAnsi="Avenir Next" w:cs="Arial"/>
          <w:color w:val="808080" w:themeColor="background1" w:themeShade="80"/>
          <w:sz w:val="22"/>
          <w:szCs w:val="22"/>
          <w:lang w:val="en-GB"/>
        </w:rPr>
        <w:t xml:space="preserve">also </w:t>
      </w:r>
      <w:r w:rsidR="0006596A">
        <w:rPr>
          <w:rFonts w:ascii="Avenir Next" w:hAnsi="Avenir Next" w:cs="Arial"/>
          <w:color w:val="808080" w:themeColor="background1" w:themeShade="80"/>
          <w:sz w:val="22"/>
          <w:szCs w:val="22"/>
          <w:lang w:val="en-GB"/>
        </w:rPr>
        <w:t xml:space="preserve">been past cases that illustrate </w:t>
      </w:r>
      <w:r w:rsidR="00352518">
        <w:rPr>
          <w:rFonts w:ascii="Avenir Next" w:hAnsi="Avenir Next" w:cs="Arial"/>
          <w:color w:val="808080" w:themeColor="background1" w:themeShade="80"/>
          <w:sz w:val="22"/>
          <w:szCs w:val="22"/>
          <w:lang w:val="en-GB"/>
        </w:rPr>
        <w:t>recognition in English courts</w:t>
      </w:r>
      <w:r w:rsidR="00250075">
        <w:rPr>
          <w:rFonts w:ascii="Avenir Next" w:hAnsi="Avenir Next" w:cs="Arial"/>
          <w:color w:val="808080" w:themeColor="background1" w:themeShade="80"/>
          <w:sz w:val="22"/>
          <w:szCs w:val="22"/>
          <w:lang w:val="en-GB"/>
        </w:rPr>
        <w:t xml:space="preserve"> and may be useful</w:t>
      </w:r>
      <w:r w:rsidR="00352518">
        <w:rPr>
          <w:rFonts w:ascii="Avenir Next" w:hAnsi="Avenir Next" w:cs="Arial"/>
          <w:color w:val="808080" w:themeColor="background1" w:themeShade="80"/>
          <w:sz w:val="22"/>
          <w:szCs w:val="22"/>
          <w:lang w:val="en-GB"/>
        </w:rPr>
        <w:t>. These include</w:t>
      </w:r>
      <w:r>
        <w:rPr>
          <w:rFonts w:ascii="Avenir Next" w:hAnsi="Avenir Next" w:cs="Arial"/>
          <w:color w:val="808080" w:themeColor="background1" w:themeShade="80"/>
          <w:sz w:val="22"/>
          <w:szCs w:val="22"/>
          <w:lang w:val="en-GB"/>
        </w:rPr>
        <w:t xml:space="preserve"> the</w:t>
      </w:r>
      <w:r w:rsidR="00352518">
        <w:rPr>
          <w:rFonts w:ascii="Avenir Next" w:hAnsi="Avenir Next" w:cs="Arial"/>
          <w:color w:val="808080" w:themeColor="background1" w:themeShade="80"/>
          <w:sz w:val="22"/>
          <w:szCs w:val="22"/>
          <w:lang w:val="en-GB"/>
        </w:rPr>
        <w:t xml:space="preserve"> Thai Airways application for recognition under the CBIR and, for common law, that of Rubin vs. Eurofinance (2012).</w:t>
      </w:r>
      <w:r w:rsidR="008073F4" w:rsidRPr="00A6098F">
        <w:rPr>
          <w:rFonts w:ascii="Avenir Next" w:hAnsi="Avenir Next" w:cs="Arial"/>
          <w:color w:val="808080" w:themeColor="background1" w:themeShade="80"/>
          <w:sz w:val="22"/>
          <w:szCs w:val="22"/>
          <w:vertAlign w:val="superscript"/>
          <w:lang w:val="en-GB"/>
        </w:rPr>
        <w:t>1</w:t>
      </w:r>
      <w:r w:rsidR="008073F4">
        <w:rPr>
          <w:rFonts w:ascii="Avenir Next" w:hAnsi="Avenir Next" w:cs="Arial"/>
          <w:color w:val="808080" w:themeColor="background1" w:themeShade="80"/>
          <w:sz w:val="22"/>
          <w:szCs w:val="22"/>
          <w:lang w:val="en-GB"/>
        </w:rPr>
        <w:t>”</w:t>
      </w:r>
    </w:p>
    <w:p w14:paraId="4C1A0392" w14:textId="77777777" w:rsidR="008073F4" w:rsidRDefault="008073F4" w:rsidP="008073F4">
      <w:pPr>
        <w:jc w:val="both"/>
        <w:rPr>
          <w:rFonts w:ascii="Avenir Next" w:hAnsi="Avenir Next" w:cs="Arial"/>
          <w:color w:val="808080" w:themeColor="background1" w:themeShade="80"/>
          <w:sz w:val="22"/>
          <w:szCs w:val="22"/>
          <w:lang w:val="en-GB"/>
        </w:rPr>
      </w:pPr>
    </w:p>
    <w:p w14:paraId="1D07DE65" w14:textId="6FE6E05F" w:rsidR="008073F4" w:rsidRDefault="008073F4" w:rsidP="008073F4">
      <w:pPr>
        <w:ind w:left="720" w:hanging="720"/>
        <w:jc w:val="both"/>
        <w:rPr>
          <w:rFonts w:ascii="Avenir Next" w:hAnsi="Avenir Next" w:cs="Arial"/>
          <w:i/>
          <w:iCs/>
          <w:color w:val="7B7B7B" w:themeColor="accent3" w:themeShade="BF"/>
          <w:sz w:val="16"/>
          <w:szCs w:val="16"/>
          <w:lang w:val="en-GB"/>
        </w:rPr>
      </w:pPr>
      <w:r w:rsidRPr="00635F6C">
        <w:rPr>
          <w:rFonts w:ascii="Avenir Next" w:hAnsi="Avenir Next" w:cs="Arial"/>
          <w:i/>
          <w:iCs/>
          <w:color w:val="7B7B7B" w:themeColor="accent3" w:themeShade="BF"/>
          <w:sz w:val="16"/>
          <w:szCs w:val="16"/>
          <w:vertAlign w:val="superscript"/>
          <w:lang w:val="en-GB"/>
        </w:rPr>
        <w:t>1</w:t>
      </w:r>
      <w:r w:rsidR="0076728D">
        <w:rPr>
          <w:rFonts w:ascii="Avenir Next" w:hAnsi="Avenir Next" w:cs="Arial"/>
          <w:i/>
          <w:iCs/>
          <w:color w:val="7B7B7B" w:themeColor="accent3" w:themeShade="BF"/>
          <w:sz w:val="16"/>
          <w:szCs w:val="16"/>
          <w:lang w:val="en-GB"/>
        </w:rPr>
        <w:t xml:space="preserve">Wells, P. and Aconley, L. HOW TO GET RECOGNISED: CROSS-BORDER RECOGNITION OF INSOLVENCY AND RESTRUCTURING PROECEDINGS POST BREXIT, </w:t>
      </w:r>
      <w:r w:rsidR="00EE5B70">
        <w:rPr>
          <w:rFonts w:ascii="Avenir Next" w:hAnsi="Avenir Next" w:cs="Arial"/>
          <w:i/>
          <w:iCs/>
          <w:color w:val="7B7B7B" w:themeColor="accent3" w:themeShade="BF"/>
          <w:sz w:val="16"/>
          <w:szCs w:val="16"/>
          <w:lang w:val="en-GB"/>
        </w:rPr>
        <w:t xml:space="preserve">In </w:t>
      </w:r>
      <w:r w:rsidR="0076728D">
        <w:rPr>
          <w:rFonts w:ascii="Avenir Next" w:hAnsi="Avenir Next" w:cs="Arial"/>
          <w:i/>
          <w:iCs/>
          <w:color w:val="7B7B7B" w:themeColor="accent3" w:themeShade="BF"/>
          <w:sz w:val="16"/>
          <w:szCs w:val="16"/>
          <w:lang w:val="en-GB"/>
        </w:rPr>
        <w:t xml:space="preserve">Butterworths Journal of International Banking and Financial Law, March 2021, </w:t>
      </w:r>
      <w:r w:rsidR="00EE5B70">
        <w:rPr>
          <w:rFonts w:ascii="Avenir Next" w:hAnsi="Avenir Next" w:cs="Arial"/>
          <w:i/>
          <w:iCs/>
          <w:color w:val="7B7B7B" w:themeColor="accent3" w:themeShade="BF"/>
          <w:sz w:val="16"/>
          <w:szCs w:val="16"/>
          <w:lang w:val="en-GB"/>
        </w:rPr>
        <w:t>(</w:t>
      </w:r>
      <w:r w:rsidR="0076728D">
        <w:rPr>
          <w:rFonts w:ascii="Avenir Next" w:hAnsi="Avenir Next" w:cs="Arial"/>
          <w:i/>
          <w:iCs/>
          <w:color w:val="7B7B7B" w:themeColor="accent3" w:themeShade="BF"/>
          <w:sz w:val="16"/>
          <w:szCs w:val="16"/>
          <w:lang w:val="en-GB"/>
        </w:rPr>
        <w:t>pp</w:t>
      </w:r>
      <w:r w:rsidR="00EE5B70">
        <w:rPr>
          <w:rFonts w:ascii="Avenir Next" w:hAnsi="Avenir Next" w:cs="Arial"/>
          <w:i/>
          <w:iCs/>
          <w:color w:val="7B7B7B" w:themeColor="accent3" w:themeShade="BF"/>
          <w:sz w:val="16"/>
          <w:szCs w:val="16"/>
          <w:lang w:val="en-GB"/>
        </w:rPr>
        <w:t xml:space="preserve">. </w:t>
      </w:r>
      <w:r w:rsidR="0076728D">
        <w:rPr>
          <w:rFonts w:ascii="Avenir Next" w:hAnsi="Avenir Next" w:cs="Arial"/>
          <w:i/>
          <w:iCs/>
          <w:color w:val="7B7B7B" w:themeColor="accent3" w:themeShade="BF"/>
          <w:sz w:val="16"/>
          <w:szCs w:val="16"/>
          <w:lang w:val="en-GB"/>
        </w:rPr>
        <w:t>187-190</w:t>
      </w:r>
      <w:r w:rsidR="00EE5B70">
        <w:rPr>
          <w:rFonts w:ascii="Avenir Next" w:hAnsi="Avenir Next" w:cs="Arial"/>
          <w:i/>
          <w:iCs/>
          <w:color w:val="7B7B7B" w:themeColor="accent3" w:themeShade="BF"/>
          <w:sz w:val="16"/>
          <w:szCs w:val="16"/>
          <w:lang w:val="en-GB"/>
        </w:rPr>
        <w:t>)</w:t>
      </w:r>
    </w:p>
    <w:p w14:paraId="51EB80D0" w14:textId="77777777" w:rsidR="008073F4" w:rsidRPr="009F0C5A" w:rsidRDefault="008073F4" w:rsidP="008073F4">
      <w:pPr>
        <w:jc w:val="both"/>
        <w:rPr>
          <w:rFonts w:ascii="Avenir Next" w:hAnsi="Avenir Next"/>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and also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138B4696" w14:textId="703EA944" w:rsidR="00F5093D" w:rsidRDefault="00F5093D"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EIR Recast, which</w:t>
      </w:r>
      <w:r w:rsidR="004C4704">
        <w:rPr>
          <w:rFonts w:ascii="Avenir Next" w:hAnsi="Avenir Next" w:cs="Arial"/>
          <w:color w:val="808080" w:themeColor="background1" w:themeShade="80"/>
          <w:sz w:val="22"/>
          <w:szCs w:val="22"/>
          <w:lang w:val="en-GB"/>
        </w:rPr>
        <w:t xml:space="preserve"> governs EU states such as Italy and Germany, would be </w:t>
      </w:r>
      <w:r w:rsidR="00084E0A">
        <w:rPr>
          <w:rFonts w:ascii="Avenir Next" w:hAnsi="Avenir Next" w:cs="Arial"/>
          <w:color w:val="808080" w:themeColor="background1" w:themeShade="80"/>
          <w:sz w:val="22"/>
          <w:szCs w:val="22"/>
          <w:lang w:val="en-GB"/>
        </w:rPr>
        <w:t xml:space="preserve">the </w:t>
      </w:r>
      <w:r w:rsidR="004C4704">
        <w:rPr>
          <w:rFonts w:ascii="Avenir Next" w:hAnsi="Avenir Next" w:cs="Arial"/>
          <w:color w:val="808080" w:themeColor="background1" w:themeShade="80"/>
          <w:sz w:val="22"/>
          <w:szCs w:val="22"/>
          <w:lang w:val="en-GB"/>
        </w:rPr>
        <w:t xml:space="preserve">applicable </w:t>
      </w:r>
      <w:r w:rsidR="00084E0A">
        <w:rPr>
          <w:rFonts w:ascii="Avenir Next" w:hAnsi="Avenir Next" w:cs="Arial"/>
          <w:color w:val="808080" w:themeColor="background1" w:themeShade="80"/>
          <w:sz w:val="22"/>
          <w:szCs w:val="22"/>
          <w:lang w:val="en-GB"/>
        </w:rPr>
        <w:t xml:space="preserve">legal source </w:t>
      </w:r>
      <w:r w:rsidR="004C4704">
        <w:rPr>
          <w:rFonts w:ascii="Avenir Next" w:hAnsi="Avenir Next" w:cs="Arial"/>
          <w:color w:val="808080" w:themeColor="background1" w:themeShade="80"/>
          <w:sz w:val="22"/>
          <w:szCs w:val="22"/>
          <w:lang w:val="en-GB"/>
        </w:rPr>
        <w:t>in this case</w:t>
      </w:r>
      <w:r w:rsidR="00E07232">
        <w:rPr>
          <w:rFonts w:ascii="Avenir Next" w:hAnsi="Avenir Next" w:cs="Arial"/>
          <w:color w:val="808080" w:themeColor="background1" w:themeShade="80"/>
          <w:sz w:val="22"/>
          <w:szCs w:val="22"/>
          <w:lang w:val="en-GB"/>
        </w:rPr>
        <w:t xml:space="preserve">, aside from the necessary provisions which </w:t>
      </w:r>
      <w:r w:rsidR="004C04B2">
        <w:rPr>
          <w:rFonts w:ascii="Avenir Next" w:hAnsi="Avenir Next" w:cs="Arial"/>
          <w:color w:val="808080" w:themeColor="background1" w:themeShade="80"/>
          <w:sz w:val="22"/>
          <w:szCs w:val="22"/>
          <w:lang w:val="en-GB"/>
        </w:rPr>
        <w:t>are necessary to consider</w:t>
      </w:r>
      <w:r w:rsidR="00E07232">
        <w:rPr>
          <w:rFonts w:ascii="Avenir Next" w:hAnsi="Avenir Next" w:cs="Arial"/>
          <w:color w:val="808080" w:themeColor="background1" w:themeShade="80"/>
          <w:sz w:val="22"/>
          <w:szCs w:val="22"/>
          <w:lang w:val="en-GB"/>
        </w:rPr>
        <w:t xml:space="preserve"> per the domestic laws</w:t>
      </w:r>
      <w:r w:rsidR="004C04B2">
        <w:rPr>
          <w:rFonts w:ascii="Avenir Next" w:hAnsi="Avenir Next" w:cs="Arial"/>
          <w:color w:val="808080" w:themeColor="background1" w:themeShade="80"/>
          <w:sz w:val="22"/>
          <w:szCs w:val="22"/>
          <w:lang w:val="en-GB"/>
        </w:rPr>
        <w:t xml:space="preserve"> –</w:t>
      </w:r>
      <w:r w:rsidR="00E07232">
        <w:rPr>
          <w:rFonts w:ascii="Avenir Next" w:hAnsi="Avenir Next" w:cs="Arial"/>
          <w:color w:val="808080" w:themeColor="background1" w:themeShade="80"/>
          <w:sz w:val="22"/>
          <w:szCs w:val="22"/>
          <w:lang w:val="en-GB"/>
        </w:rPr>
        <w:t xml:space="preserve"> the Italian Bankruptcy Act and the German Insolvency Code</w:t>
      </w:r>
      <w:r w:rsidR="004C04B2">
        <w:rPr>
          <w:rFonts w:ascii="Avenir Next" w:hAnsi="Avenir Next" w:cs="Arial"/>
          <w:color w:val="808080" w:themeColor="background1" w:themeShade="80"/>
          <w:sz w:val="22"/>
          <w:szCs w:val="22"/>
          <w:lang w:val="en-GB"/>
        </w:rPr>
        <w:t>, respectively</w:t>
      </w:r>
      <w:r w:rsidR="004C4704">
        <w:rPr>
          <w:rFonts w:ascii="Avenir Next" w:hAnsi="Avenir Next" w:cs="Arial"/>
          <w:color w:val="808080" w:themeColor="background1" w:themeShade="80"/>
          <w:sz w:val="22"/>
          <w:szCs w:val="22"/>
          <w:lang w:val="en-GB"/>
        </w:rPr>
        <w:t xml:space="preserve">. </w:t>
      </w:r>
      <w:r w:rsidR="00E07232">
        <w:rPr>
          <w:rFonts w:ascii="Avenir Next" w:hAnsi="Avenir Next" w:cs="Arial"/>
          <w:color w:val="808080" w:themeColor="background1" w:themeShade="80"/>
          <w:sz w:val="22"/>
          <w:szCs w:val="22"/>
          <w:lang w:val="en-GB"/>
        </w:rPr>
        <w:t xml:space="preserve">It is of </w:t>
      </w:r>
      <w:r w:rsidR="00E07232">
        <w:rPr>
          <w:rFonts w:ascii="Avenir Next" w:hAnsi="Avenir Next" w:cs="Arial"/>
          <w:color w:val="808080" w:themeColor="background1" w:themeShade="80"/>
          <w:sz w:val="22"/>
          <w:szCs w:val="22"/>
          <w:lang w:val="en-GB"/>
        </w:rPr>
        <w:lastRenderedPageBreak/>
        <w:t xml:space="preserve">importance that the </w:t>
      </w:r>
      <w:r w:rsidR="004C4704">
        <w:rPr>
          <w:rFonts w:ascii="Avenir Next" w:hAnsi="Avenir Next" w:cs="Arial"/>
          <w:color w:val="808080" w:themeColor="background1" w:themeShade="80"/>
          <w:sz w:val="22"/>
          <w:szCs w:val="22"/>
          <w:lang w:val="en-GB"/>
        </w:rPr>
        <w:t xml:space="preserve">country of main proceeding is </w:t>
      </w:r>
      <w:r w:rsidR="00E07232">
        <w:rPr>
          <w:rFonts w:ascii="Avenir Next" w:hAnsi="Avenir Next" w:cs="Arial"/>
          <w:color w:val="808080" w:themeColor="background1" w:themeShade="80"/>
          <w:sz w:val="22"/>
          <w:szCs w:val="22"/>
          <w:lang w:val="en-GB"/>
        </w:rPr>
        <w:t xml:space="preserve">noted, which is </w:t>
      </w:r>
      <w:r w:rsidR="004C4704">
        <w:rPr>
          <w:rFonts w:ascii="Avenir Next" w:hAnsi="Avenir Next" w:cs="Arial"/>
          <w:color w:val="808080" w:themeColor="background1" w:themeShade="80"/>
          <w:sz w:val="22"/>
          <w:szCs w:val="22"/>
          <w:lang w:val="en-GB"/>
        </w:rPr>
        <w:t>fundamentally driven by the COMI</w:t>
      </w:r>
      <w:r w:rsidR="004C04B2">
        <w:rPr>
          <w:rFonts w:ascii="Avenir Next" w:hAnsi="Avenir Next" w:cs="Arial"/>
          <w:color w:val="808080" w:themeColor="background1" w:themeShade="80"/>
          <w:sz w:val="22"/>
          <w:szCs w:val="22"/>
          <w:lang w:val="en-GB"/>
        </w:rPr>
        <w:t xml:space="preserve"> (Italy</w:t>
      </w:r>
      <w:r w:rsidR="00B821F5">
        <w:rPr>
          <w:rFonts w:ascii="Avenir Next" w:hAnsi="Avenir Next" w:cs="Arial"/>
          <w:color w:val="808080" w:themeColor="background1" w:themeShade="80"/>
          <w:sz w:val="22"/>
          <w:szCs w:val="22"/>
          <w:lang w:val="en-GB"/>
        </w:rPr>
        <w:t>, in this case</w:t>
      </w:r>
      <w:r w:rsidR="004C04B2">
        <w:rPr>
          <w:rFonts w:ascii="Avenir Next" w:hAnsi="Avenir Next" w:cs="Arial"/>
          <w:color w:val="808080" w:themeColor="background1" w:themeShade="80"/>
          <w:sz w:val="22"/>
          <w:szCs w:val="22"/>
          <w:lang w:val="en-GB"/>
        </w:rPr>
        <w:t>)</w:t>
      </w:r>
      <w:r w:rsidR="004C4704">
        <w:rPr>
          <w:rFonts w:ascii="Avenir Next" w:hAnsi="Avenir Next" w:cs="Arial"/>
          <w:color w:val="808080" w:themeColor="background1" w:themeShade="80"/>
          <w:sz w:val="22"/>
          <w:szCs w:val="22"/>
          <w:lang w:val="en-GB"/>
        </w:rPr>
        <w:t xml:space="preserve"> </w:t>
      </w:r>
      <w:r w:rsidR="00E07232">
        <w:rPr>
          <w:rFonts w:ascii="Avenir Next" w:hAnsi="Avenir Next" w:cs="Arial"/>
          <w:color w:val="808080" w:themeColor="background1" w:themeShade="80"/>
          <w:sz w:val="22"/>
          <w:szCs w:val="22"/>
          <w:lang w:val="en-GB"/>
        </w:rPr>
        <w:t xml:space="preserve">and </w:t>
      </w:r>
      <w:r w:rsidR="008109E1">
        <w:rPr>
          <w:rFonts w:ascii="Avenir Next" w:hAnsi="Avenir Next" w:cs="Arial"/>
          <w:color w:val="808080" w:themeColor="background1" w:themeShade="80"/>
          <w:sz w:val="22"/>
          <w:szCs w:val="22"/>
          <w:lang w:val="en-GB"/>
        </w:rPr>
        <w:t>as “any place of operations where the debtor carries out a non-transitory economic activity..</w:t>
      </w:r>
      <w:r w:rsidR="00E10884" w:rsidRPr="00A6098F">
        <w:rPr>
          <w:rFonts w:ascii="Avenir Next" w:hAnsi="Avenir Next" w:cs="Arial"/>
          <w:color w:val="808080" w:themeColor="background1" w:themeShade="80"/>
          <w:sz w:val="22"/>
          <w:szCs w:val="22"/>
          <w:vertAlign w:val="superscript"/>
          <w:lang w:val="en-GB"/>
        </w:rPr>
        <w:t>1</w:t>
      </w:r>
      <w:r w:rsidR="008109E1">
        <w:rPr>
          <w:rFonts w:ascii="Avenir Next" w:hAnsi="Avenir Next" w:cs="Arial"/>
          <w:color w:val="808080" w:themeColor="background1" w:themeShade="80"/>
          <w:sz w:val="22"/>
          <w:szCs w:val="22"/>
          <w:lang w:val="en-GB"/>
        </w:rPr>
        <w:t>”</w:t>
      </w:r>
    </w:p>
    <w:p w14:paraId="3D0C3F4C" w14:textId="77777777" w:rsidR="00E10884" w:rsidRDefault="00E10884" w:rsidP="002253D8">
      <w:pPr>
        <w:jc w:val="both"/>
        <w:rPr>
          <w:rFonts w:ascii="Avenir Next" w:hAnsi="Avenir Next" w:cs="Arial"/>
          <w:color w:val="808080" w:themeColor="background1" w:themeShade="80"/>
          <w:sz w:val="22"/>
          <w:szCs w:val="22"/>
          <w:lang w:val="en-GB"/>
        </w:rPr>
      </w:pPr>
    </w:p>
    <w:p w14:paraId="62104EBE" w14:textId="77777777" w:rsidR="00E10884" w:rsidRDefault="00E10884" w:rsidP="00E10884">
      <w:pPr>
        <w:ind w:left="720" w:hanging="720"/>
        <w:jc w:val="both"/>
        <w:rPr>
          <w:rFonts w:ascii="Avenir Next" w:hAnsi="Avenir Next" w:cs="Arial"/>
          <w:i/>
          <w:iCs/>
          <w:color w:val="7B7B7B" w:themeColor="accent3" w:themeShade="BF"/>
          <w:sz w:val="16"/>
          <w:szCs w:val="16"/>
          <w:lang w:val="en-GB"/>
        </w:rPr>
      </w:pPr>
      <w:r w:rsidRPr="00635F6C">
        <w:rPr>
          <w:rFonts w:ascii="Avenir Next" w:hAnsi="Avenir Next" w:cs="Arial"/>
          <w:i/>
          <w:iCs/>
          <w:color w:val="7B7B7B" w:themeColor="accent3" w:themeShade="BF"/>
          <w:sz w:val="16"/>
          <w:szCs w:val="16"/>
          <w:vertAlign w:val="superscript"/>
          <w:lang w:val="en-GB"/>
        </w:rPr>
        <w:t>1</w:t>
      </w:r>
      <w:r w:rsidRPr="007F74AC">
        <w:rPr>
          <w:rFonts w:ascii="Avenir Next" w:hAnsi="Avenir Next" w:cs="Arial"/>
          <w:i/>
          <w:iCs/>
          <w:color w:val="7B7B7B" w:themeColor="accent3" w:themeShade="BF"/>
          <w:sz w:val="16"/>
          <w:szCs w:val="16"/>
          <w:lang w:val="en-GB"/>
        </w:rPr>
        <w:t>REGULATION (EU) 2015/848 OF THE EUROPEAN PARLIAMENT AND OF THE COUNCIL</w:t>
      </w:r>
      <w:r>
        <w:rPr>
          <w:rFonts w:ascii="Avenir Next" w:hAnsi="Avenir Next" w:cs="Arial"/>
          <w:i/>
          <w:iCs/>
          <w:color w:val="7B7B7B" w:themeColor="accent3" w:themeShade="BF"/>
          <w:sz w:val="16"/>
          <w:szCs w:val="16"/>
          <w:lang w:val="en-GB"/>
        </w:rPr>
        <w:t xml:space="preserve"> </w:t>
      </w:r>
      <w:r w:rsidRPr="007F74AC">
        <w:rPr>
          <w:rFonts w:ascii="Avenir Next" w:hAnsi="Avenir Next" w:cs="Arial"/>
          <w:i/>
          <w:iCs/>
          <w:color w:val="7B7B7B" w:themeColor="accent3" w:themeShade="BF"/>
          <w:sz w:val="16"/>
          <w:szCs w:val="16"/>
          <w:lang w:val="en-GB"/>
        </w:rPr>
        <w:t>of 20 May 2015</w:t>
      </w:r>
      <w:r>
        <w:rPr>
          <w:rFonts w:ascii="Avenir Next" w:hAnsi="Avenir Next" w:cs="Arial"/>
          <w:i/>
          <w:iCs/>
          <w:color w:val="7B7B7B" w:themeColor="accent3" w:themeShade="BF"/>
          <w:sz w:val="16"/>
          <w:szCs w:val="16"/>
          <w:lang w:val="en-GB"/>
        </w:rPr>
        <w:t xml:space="preserve"> </w:t>
      </w:r>
      <w:r w:rsidRPr="007F74AC">
        <w:rPr>
          <w:rFonts w:ascii="Avenir Next" w:hAnsi="Avenir Next" w:cs="Arial"/>
          <w:i/>
          <w:iCs/>
          <w:color w:val="7B7B7B" w:themeColor="accent3" w:themeShade="BF"/>
          <w:sz w:val="16"/>
          <w:szCs w:val="16"/>
          <w:lang w:val="en-GB"/>
        </w:rPr>
        <w:t>on insolvency proceedings</w:t>
      </w:r>
      <w:r>
        <w:rPr>
          <w:rFonts w:ascii="Avenir Next" w:hAnsi="Avenir Next" w:cs="Arial"/>
          <w:i/>
          <w:iCs/>
          <w:color w:val="7B7B7B" w:themeColor="accent3" w:themeShade="BF"/>
          <w:sz w:val="16"/>
          <w:szCs w:val="16"/>
          <w:lang w:val="en-GB"/>
        </w:rPr>
        <w:t xml:space="preserve"> </w:t>
      </w:r>
      <w:r w:rsidRPr="007F74AC">
        <w:rPr>
          <w:rFonts w:ascii="Avenir Next" w:hAnsi="Avenir Next" w:cs="Arial"/>
          <w:i/>
          <w:iCs/>
          <w:color w:val="7B7B7B" w:themeColor="accent3" w:themeShade="BF"/>
          <w:sz w:val="16"/>
          <w:szCs w:val="16"/>
          <w:lang w:val="en-GB"/>
        </w:rPr>
        <w:t>(recast)</w:t>
      </w:r>
      <w:r>
        <w:rPr>
          <w:rFonts w:ascii="Avenir Next" w:hAnsi="Avenir Next" w:cs="Arial"/>
          <w:i/>
          <w:iCs/>
          <w:color w:val="7B7B7B" w:themeColor="accent3" w:themeShade="BF"/>
          <w:sz w:val="16"/>
          <w:szCs w:val="16"/>
          <w:lang w:val="en-GB"/>
        </w:rPr>
        <w:t xml:space="preserve"> Article 2 (10) </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Will an Indian, South African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5DEBEA70" w14:textId="07FB77CA" w:rsidR="00F5093D" w:rsidRPr="002253D8" w:rsidRDefault="006719D6" w:rsidP="007815D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Yes. </w:t>
      </w:r>
      <w:r w:rsidR="00850D55">
        <w:rPr>
          <w:rFonts w:ascii="Avenir Next" w:hAnsi="Avenir Next" w:cs="Arial"/>
          <w:color w:val="808080" w:themeColor="background1" w:themeShade="80"/>
          <w:sz w:val="22"/>
          <w:szCs w:val="22"/>
          <w:lang w:val="en-GB"/>
        </w:rPr>
        <w:t>Amendments relative to the EIR recast have considered the possibility of insolvency proceedings that may occur beyond the borders of the European Union</w:t>
      </w:r>
      <w:r w:rsidR="00B85249">
        <w:rPr>
          <w:rFonts w:ascii="Avenir Next" w:hAnsi="Avenir Next" w:cs="Arial"/>
          <w:color w:val="808080" w:themeColor="background1" w:themeShade="80"/>
          <w:sz w:val="22"/>
          <w:szCs w:val="22"/>
          <w:lang w:val="en-GB"/>
        </w:rPr>
        <w:t>, primarily driven by the need for collaboration across multiple proceedings across both member and non-member states.</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Which law will apply to the insolvency proceeding and with regard to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4DC91109" w14:textId="716D7179" w:rsidR="00743228" w:rsidRDefault="004714A9" w:rsidP="0025007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similar fashion </w:t>
      </w:r>
      <w:r w:rsidR="00E10884">
        <w:rPr>
          <w:rFonts w:ascii="Avenir Next" w:hAnsi="Avenir Next" w:cs="Arial"/>
          <w:color w:val="808080" w:themeColor="background1" w:themeShade="80"/>
          <w:sz w:val="22"/>
          <w:szCs w:val="22"/>
          <w:lang w:val="en-GB"/>
        </w:rPr>
        <w:t>to the previous question, m</w:t>
      </w:r>
      <w:r w:rsidR="00743228">
        <w:rPr>
          <w:rFonts w:ascii="Avenir Next" w:hAnsi="Avenir Next" w:cs="Arial"/>
          <w:color w:val="808080" w:themeColor="background1" w:themeShade="80"/>
          <w:sz w:val="22"/>
          <w:szCs w:val="22"/>
          <w:lang w:val="en-GB"/>
        </w:rPr>
        <w:t>ember states of the European Union are subject to the EIR Recast’s provision indicating that the COMI’s courts shall have jurisdictional competence over proceedings</w:t>
      </w:r>
      <w:r w:rsidR="00E6102F">
        <w:rPr>
          <w:rFonts w:ascii="Avenir Next" w:hAnsi="Avenir Next" w:cs="Arial"/>
          <w:color w:val="808080" w:themeColor="background1" w:themeShade="80"/>
          <w:sz w:val="22"/>
          <w:szCs w:val="22"/>
          <w:lang w:val="en-GB"/>
        </w:rPr>
        <w:t>. This is especially apparent given the Netherland operations</w:t>
      </w:r>
      <w:r w:rsidR="00572952">
        <w:rPr>
          <w:rFonts w:ascii="Avenir Next" w:hAnsi="Avenir Next" w:cs="Arial"/>
          <w:color w:val="808080" w:themeColor="background1" w:themeShade="80"/>
          <w:sz w:val="22"/>
          <w:szCs w:val="22"/>
          <w:lang w:val="en-GB"/>
        </w:rPr>
        <w:t xml:space="preserve"> as an ‘establishment', which “carries out.. non-transitory economic activity with human means and assets</w:t>
      </w:r>
      <w:r w:rsidR="00A6098F" w:rsidRPr="00A6098F">
        <w:rPr>
          <w:rFonts w:ascii="Avenir Next" w:hAnsi="Avenir Next" w:cs="Arial"/>
          <w:color w:val="808080" w:themeColor="background1" w:themeShade="80"/>
          <w:sz w:val="22"/>
          <w:szCs w:val="22"/>
          <w:vertAlign w:val="superscript"/>
          <w:lang w:val="en-GB"/>
        </w:rPr>
        <w:t>1</w:t>
      </w:r>
      <w:r w:rsidR="00572952">
        <w:rPr>
          <w:rFonts w:ascii="Avenir Next" w:hAnsi="Avenir Next" w:cs="Arial"/>
          <w:color w:val="808080" w:themeColor="background1" w:themeShade="80"/>
          <w:sz w:val="22"/>
          <w:szCs w:val="22"/>
          <w:lang w:val="en-GB"/>
        </w:rPr>
        <w:t>”</w:t>
      </w:r>
      <w:r w:rsidR="00E6102F">
        <w:rPr>
          <w:rFonts w:ascii="Avenir Next" w:hAnsi="Avenir Next" w:cs="Arial"/>
          <w:color w:val="808080" w:themeColor="background1" w:themeShade="80"/>
          <w:sz w:val="22"/>
          <w:szCs w:val="22"/>
          <w:lang w:val="en-GB"/>
        </w:rPr>
        <w:t xml:space="preserve"> purpose as an establishment</w:t>
      </w:r>
      <w:r w:rsidR="004C04B2">
        <w:rPr>
          <w:rFonts w:ascii="Avenir Next" w:hAnsi="Avenir Next" w:cs="Arial"/>
          <w:color w:val="808080" w:themeColor="background1" w:themeShade="80"/>
          <w:sz w:val="22"/>
          <w:szCs w:val="22"/>
          <w:lang w:val="en-GB"/>
        </w:rPr>
        <w:t>.</w:t>
      </w:r>
      <w:r w:rsidR="00810019">
        <w:rPr>
          <w:rFonts w:ascii="Avenir Next" w:hAnsi="Avenir Next" w:cs="Arial"/>
          <w:color w:val="808080" w:themeColor="background1" w:themeShade="80"/>
          <w:sz w:val="22"/>
          <w:szCs w:val="22"/>
          <w:lang w:val="en-GB"/>
        </w:rPr>
        <w:t xml:space="preserve"> This, of course, takes into account the application of best practices on coordination and cooperation relative to the specifics of </w:t>
      </w:r>
      <w:r w:rsidR="00810019" w:rsidRPr="00810019">
        <w:rPr>
          <w:rFonts w:ascii="Avenir Next" w:hAnsi="Avenir Next" w:cs="Arial"/>
          <w:color w:val="808080" w:themeColor="background1" w:themeShade="80"/>
          <w:sz w:val="22"/>
          <w:szCs w:val="22"/>
          <w:lang w:val="en-GB"/>
        </w:rPr>
        <w:t>The Dutch Bankruptcy Act (</w:t>
      </w:r>
      <w:r w:rsidR="00810019">
        <w:rPr>
          <w:rFonts w:ascii="Avenir Next" w:hAnsi="Avenir Next" w:cs="Arial"/>
          <w:color w:val="808080" w:themeColor="background1" w:themeShade="80"/>
          <w:sz w:val="22"/>
          <w:szCs w:val="22"/>
          <w:lang w:val="en-GB"/>
        </w:rPr>
        <w:t>‘</w:t>
      </w:r>
      <w:r w:rsidR="00810019" w:rsidRPr="00810019">
        <w:rPr>
          <w:rFonts w:ascii="Avenir Next" w:hAnsi="Avenir Next" w:cs="Arial"/>
          <w:color w:val="808080" w:themeColor="background1" w:themeShade="80"/>
          <w:sz w:val="22"/>
          <w:szCs w:val="22"/>
          <w:lang w:val="en-GB"/>
        </w:rPr>
        <w:t>Faillissementswet</w:t>
      </w:r>
      <w:r w:rsidR="00810019">
        <w:rPr>
          <w:rFonts w:ascii="Avenir Next" w:hAnsi="Avenir Next" w:cs="Arial"/>
          <w:color w:val="808080" w:themeColor="background1" w:themeShade="80"/>
          <w:sz w:val="22"/>
          <w:szCs w:val="22"/>
          <w:lang w:val="en-GB"/>
        </w:rPr>
        <w:t>’</w:t>
      </w:r>
      <w:r w:rsidR="00810019" w:rsidRPr="00810019">
        <w:rPr>
          <w:rFonts w:ascii="Avenir Next" w:hAnsi="Avenir Next" w:cs="Arial"/>
          <w:color w:val="808080" w:themeColor="background1" w:themeShade="80"/>
          <w:sz w:val="22"/>
          <w:szCs w:val="22"/>
          <w:lang w:val="en-GB"/>
        </w:rPr>
        <w:t>)</w:t>
      </w:r>
      <w:r w:rsidR="00810019">
        <w:rPr>
          <w:rFonts w:ascii="Avenir Next" w:hAnsi="Avenir Next" w:cs="Arial"/>
          <w:color w:val="808080" w:themeColor="background1" w:themeShade="80"/>
          <w:sz w:val="22"/>
          <w:szCs w:val="22"/>
          <w:lang w:val="en-GB"/>
        </w:rPr>
        <w:t>.</w:t>
      </w:r>
    </w:p>
    <w:p w14:paraId="090AB95D" w14:textId="77777777" w:rsidR="007F74AC" w:rsidRDefault="007F74AC" w:rsidP="007F74AC">
      <w:pPr>
        <w:ind w:left="720" w:hanging="720"/>
        <w:jc w:val="both"/>
        <w:rPr>
          <w:rFonts w:ascii="Avenir Next" w:hAnsi="Avenir Next" w:cs="Arial"/>
          <w:sz w:val="22"/>
          <w:szCs w:val="22"/>
          <w:lang w:val="en-GB"/>
        </w:rPr>
      </w:pPr>
    </w:p>
    <w:p w14:paraId="5D6D627D" w14:textId="448AD117" w:rsidR="007F74AC" w:rsidRDefault="007F74AC" w:rsidP="007F74AC">
      <w:pPr>
        <w:ind w:left="720" w:hanging="720"/>
        <w:jc w:val="both"/>
        <w:rPr>
          <w:rFonts w:ascii="Avenir Next" w:hAnsi="Avenir Next" w:cs="Arial"/>
          <w:i/>
          <w:iCs/>
          <w:color w:val="7B7B7B" w:themeColor="accent3" w:themeShade="BF"/>
          <w:sz w:val="16"/>
          <w:szCs w:val="16"/>
          <w:lang w:val="en-GB"/>
        </w:rPr>
      </w:pPr>
      <w:r w:rsidRPr="00635F6C">
        <w:rPr>
          <w:rFonts w:ascii="Avenir Next" w:hAnsi="Avenir Next" w:cs="Arial"/>
          <w:i/>
          <w:iCs/>
          <w:color w:val="7B7B7B" w:themeColor="accent3" w:themeShade="BF"/>
          <w:sz w:val="16"/>
          <w:szCs w:val="16"/>
          <w:vertAlign w:val="superscript"/>
          <w:lang w:val="en-GB"/>
        </w:rPr>
        <w:t>1</w:t>
      </w:r>
      <w:r w:rsidRPr="007F74AC">
        <w:rPr>
          <w:rFonts w:ascii="Avenir Next" w:hAnsi="Avenir Next" w:cs="Arial"/>
          <w:i/>
          <w:iCs/>
          <w:color w:val="7B7B7B" w:themeColor="accent3" w:themeShade="BF"/>
          <w:sz w:val="16"/>
          <w:szCs w:val="16"/>
          <w:lang w:val="en-GB"/>
        </w:rPr>
        <w:t>REGULATION (EU) 2015/848 OF THE EUROPEAN PARLIAMENT AND OF THE COUNCIL</w:t>
      </w:r>
      <w:r>
        <w:rPr>
          <w:rFonts w:ascii="Avenir Next" w:hAnsi="Avenir Next" w:cs="Arial"/>
          <w:i/>
          <w:iCs/>
          <w:color w:val="7B7B7B" w:themeColor="accent3" w:themeShade="BF"/>
          <w:sz w:val="16"/>
          <w:szCs w:val="16"/>
          <w:lang w:val="en-GB"/>
        </w:rPr>
        <w:t xml:space="preserve"> </w:t>
      </w:r>
      <w:r w:rsidRPr="007F74AC">
        <w:rPr>
          <w:rFonts w:ascii="Avenir Next" w:hAnsi="Avenir Next" w:cs="Arial"/>
          <w:i/>
          <w:iCs/>
          <w:color w:val="7B7B7B" w:themeColor="accent3" w:themeShade="BF"/>
          <w:sz w:val="16"/>
          <w:szCs w:val="16"/>
          <w:lang w:val="en-GB"/>
        </w:rPr>
        <w:t>of 20 May 2015</w:t>
      </w:r>
      <w:r>
        <w:rPr>
          <w:rFonts w:ascii="Avenir Next" w:hAnsi="Avenir Next" w:cs="Arial"/>
          <w:i/>
          <w:iCs/>
          <w:color w:val="7B7B7B" w:themeColor="accent3" w:themeShade="BF"/>
          <w:sz w:val="16"/>
          <w:szCs w:val="16"/>
          <w:lang w:val="en-GB"/>
        </w:rPr>
        <w:t xml:space="preserve"> </w:t>
      </w:r>
      <w:r w:rsidRPr="007F74AC">
        <w:rPr>
          <w:rFonts w:ascii="Avenir Next" w:hAnsi="Avenir Next" w:cs="Arial"/>
          <w:i/>
          <w:iCs/>
          <w:color w:val="7B7B7B" w:themeColor="accent3" w:themeShade="BF"/>
          <w:sz w:val="16"/>
          <w:szCs w:val="16"/>
          <w:lang w:val="en-GB"/>
        </w:rPr>
        <w:t>on insolvency proceedings</w:t>
      </w:r>
      <w:r>
        <w:rPr>
          <w:rFonts w:ascii="Avenir Next" w:hAnsi="Avenir Next" w:cs="Arial"/>
          <w:i/>
          <w:iCs/>
          <w:color w:val="7B7B7B" w:themeColor="accent3" w:themeShade="BF"/>
          <w:sz w:val="16"/>
          <w:szCs w:val="16"/>
          <w:lang w:val="en-GB"/>
        </w:rPr>
        <w:t xml:space="preserve"> </w:t>
      </w:r>
      <w:r w:rsidRPr="007F74AC">
        <w:rPr>
          <w:rFonts w:ascii="Avenir Next" w:hAnsi="Avenir Next" w:cs="Arial"/>
          <w:i/>
          <w:iCs/>
          <w:color w:val="7B7B7B" w:themeColor="accent3" w:themeShade="BF"/>
          <w:sz w:val="16"/>
          <w:szCs w:val="16"/>
          <w:lang w:val="en-GB"/>
        </w:rPr>
        <w:t>(recast)</w:t>
      </w:r>
      <w:r>
        <w:rPr>
          <w:rFonts w:ascii="Avenir Next" w:hAnsi="Avenir Next" w:cs="Arial"/>
          <w:i/>
          <w:iCs/>
          <w:color w:val="7B7B7B" w:themeColor="accent3" w:themeShade="BF"/>
          <w:sz w:val="16"/>
          <w:szCs w:val="16"/>
          <w:lang w:val="en-GB"/>
        </w:rPr>
        <w:t xml:space="preserve"> Article 2 (10) </w:t>
      </w:r>
    </w:p>
    <w:p w14:paraId="6264BF57" w14:textId="77777777" w:rsidR="007F74AC" w:rsidRDefault="007F74AC" w:rsidP="007F74AC">
      <w:pPr>
        <w:ind w:left="720" w:hanging="720"/>
        <w:jc w:val="both"/>
        <w:rPr>
          <w:rFonts w:ascii="Avenir Next" w:hAnsi="Avenir Next" w:cs="Arial"/>
          <w:i/>
          <w:iCs/>
          <w:color w:val="7B7B7B" w:themeColor="accent3" w:themeShade="BF"/>
          <w:sz w:val="16"/>
          <w:szCs w:val="16"/>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5156B24B" w14:textId="66EEAE53" w:rsidR="002253D8" w:rsidRPr="00DA42DA" w:rsidRDefault="009D5733" w:rsidP="002963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Australia has adopted the Model Law, although it should be noted that </w:t>
      </w:r>
      <w:r w:rsidR="00370F52">
        <w:rPr>
          <w:rFonts w:ascii="Avenir Next" w:hAnsi="Avenir Next" w:cs="Arial"/>
          <w:color w:val="808080" w:themeColor="background1" w:themeShade="80"/>
          <w:sz w:val="22"/>
          <w:szCs w:val="22"/>
          <w:lang w:val="en-GB"/>
        </w:rPr>
        <w:t>there are also</w:t>
      </w:r>
      <w:r>
        <w:rPr>
          <w:rFonts w:ascii="Avenir Next" w:hAnsi="Avenir Next" w:cs="Arial"/>
          <w:color w:val="808080" w:themeColor="background1" w:themeShade="80"/>
          <w:sz w:val="22"/>
          <w:szCs w:val="22"/>
          <w:lang w:val="en-GB"/>
        </w:rPr>
        <w:t xml:space="preserve"> provisions for the purpose </w:t>
      </w:r>
      <w:r w:rsidR="00370F52">
        <w:rPr>
          <w:rFonts w:ascii="Avenir Next" w:hAnsi="Avenir Next" w:cs="Arial"/>
          <w:color w:val="808080" w:themeColor="background1" w:themeShade="80"/>
          <w:sz w:val="22"/>
          <w:szCs w:val="22"/>
          <w:lang w:val="en-GB"/>
        </w:rPr>
        <w:t xml:space="preserve">of </w:t>
      </w:r>
      <w:r>
        <w:rPr>
          <w:rFonts w:ascii="Avenir Next" w:hAnsi="Avenir Next" w:cs="Arial"/>
          <w:color w:val="808080" w:themeColor="background1" w:themeShade="80"/>
          <w:sz w:val="22"/>
          <w:szCs w:val="22"/>
          <w:lang w:val="en-GB"/>
        </w:rPr>
        <w:t>‘aid and auxiliary’</w:t>
      </w:r>
      <w:r w:rsidR="0022515E" w:rsidRPr="00A6098F">
        <w:rPr>
          <w:rFonts w:ascii="Avenir Next" w:hAnsi="Avenir Next" w:cs="Arial"/>
          <w:color w:val="808080" w:themeColor="background1" w:themeShade="80"/>
          <w:sz w:val="22"/>
          <w:szCs w:val="22"/>
          <w:vertAlign w:val="superscript"/>
          <w:lang w:val="en-GB"/>
        </w:rPr>
        <w:t>1</w:t>
      </w:r>
      <w:r w:rsidR="00370F52">
        <w:rPr>
          <w:rFonts w:ascii="Avenir Next" w:hAnsi="Avenir Next" w:cs="Arial"/>
          <w:color w:val="808080" w:themeColor="background1" w:themeShade="80"/>
          <w:sz w:val="22"/>
          <w:szCs w:val="22"/>
          <w:lang w:val="en-GB"/>
        </w:rPr>
        <w:t>,</w:t>
      </w:r>
      <w:r w:rsidR="00C97C74">
        <w:rPr>
          <w:rFonts w:ascii="Avenir Next" w:hAnsi="Avenir Next" w:cs="Arial"/>
          <w:color w:val="808080" w:themeColor="background1" w:themeShade="80"/>
          <w:sz w:val="22"/>
          <w:szCs w:val="22"/>
          <w:lang w:val="en-GB"/>
        </w:rPr>
        <w:t xml:space="preserve"> which specifies cooperation with foreign proceedings</w:t>
      </w:r>
      <w:r w:rsidR="00E10884">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AC5A18">
        <w:rPr>
          <w:rFonts w:ascii="Avenir Next" w:hAnsi="Avenir Next" w:cs="Arial"/>
          <w:color w:val="808080" w:themeColor="background1" w:themeShade="80"/>
          <w:sz w:val="22"/>
          <w:szCs w:val="22"/>
          <w:lang w:val="en-GB"/>
        </w:rPr>
        <w:t xml:space="preserve">Even though the </w:t>
      </w:r>
      <w:r w:rsidR="00C97C74">
        <w:rPr>
          <w:rFonts w:ascii="Avenir Next" w:hAnsi="Avenir Next" w:cs="Arial"/>
          <w:color w:val="808080" w:themeColor="background1" w:themeShade="80"/>
          <w:sz w:val="22"/>
          <w:szCs w:val="22"/>
          <w:lang w:val="en-GB"/>
        </w:rPr>
        <w:t xml:space="preserve">domestic laws </w:t>
      </w:r>
      <w:r w:rsidR="00362C32">
        <w:rPr>
          <w:rFonts w:ascii="Avenir Next" w:hAnsi="Avenir Next" w:cs="Arial"/>
          <w:color w:val="808080" w:themeColor="background1" w:themeShade="80"/>
          <w:sz w:val="22"/>
          <w:szCs w:val="22"/>
          <w:lang w:val="en-GB"/>
        </w:rPr>
        <w:t xml:space="preserve">of Australia </w:t>
      </w:r>
      <w:r w:rsidR="00C97C74">
        <w:rPr>
          <w:rFonts w:ascii="Avenir Next" w:hAnsi="Avenir Next" w:cs="Arial"/>
          <w:color w:val="808080" w:themeColor="background1" w:themeShade="80"/>
          <w:sz w:val="22"/>
          <w:szCs w:val="22"/>
          <w:lang w:val="en-GB"/>
        </w:rPr>
        <w:t xml:space="preserve">shall apply </w:t>
      </w:r>
      <w:r w:rsidR="00AC5A18">
        <w:rPr>
          <w:rFonts w:ascii="Avenir Next" w:hAnsi="Avenir Next" w:cs="Arial"/>
          <w:color w:val="808080" w:themeColor="background1" w:themeShade="80"/>
          <w:sz w:val="22"/>
          <w:szCs w:val="22"/>
          <w:lang w:val="en-GB"/>
        </w:rPr>
        <w:t>for real rights of security,</w:t>
      </w:r>
      <w:r w:rsidR="00C97C74">
        <w:rPr>
          <w:rFonts w:ascii="Avenir Next" w:hAnsi="Avenir Next" w:cs="Arial"/>
          <w:color w:val="808080" w:themeColor="background1" w:themeShade="80"/>
          <w:sz w:val="22"/>
          <w:szCs w:val="22"/>
          <w:lang w:val="en-GB"/>
        </w:rPr>
        <w:t xml:space="preserve"> recognition for cooperation as per the aforementioned</w:t>
      </w:r>
      <w:r w:rsidR="00AC5A18">
        <w:rPr>
          <w:rFonts w:ascii="Avenir Next" w:hAnsi="Avenir Next" w:cs="Arial"/>
          <w:color w:val="808080" w:themeColor="background1" w:themeShade="80"/>
          <w:sz w:val="22"/>
          <w:szCs w:val="22"/>
          <w:lang w:val="en-GB"/>
        </w:rPr>
        <w:t xml:space="preserve"> will be done </w:t>
      </w:r>
      <w:r w:rsidR="00362C32">
        <w:rPr>
          <w:rFonts w:ascii="Avenir Next" w:hAnsi="Avenir Next" w:cs="Arial"/>
          <w:color w:val="808080" w:themeColor="background1" w:themeShade="80"/>
          <w:sz w:val="22"/>
          <w:szCs w:val="22"/>
          <w:lang w:val="en-GB"/>
        </w:rPr>
        <w:t xml:space="preserve">per the provisions of the Australian Corporations Act </w:t>
      </w:r>
      <w:r w:rsidR="0045183A">
        <w:rPr>
          <w:rFonts w:ascii="Avenir Next" w:hAnsi="Avenir Next" w:cs="Arial"/>
          <w:color w:val="808080" w:themeColor="background1" w:themeShade="80"/>
          <w:sz w:val="22"/>
          <w:szCs w:val="22"/>
          <w:lang w:val="en-GB"/>
        </w:rPr>
        <w:t>2001 (Cth)</w:t>
      </w:r>
      <w:r w:rsidR="00931D97">
        <w:rPr>
          <w:rFonts w:ascii="Avenir Next" w:hAnsi="Avenir Next" w:cs="Arial"/>
          <w:color w:val="808080" w:themeColor="background1" w:themeShade="80"/>
          <w:sz w:val="22"/>
          <w:szCs w:val="22"/>
          <w:lang w:val="en-GB"/>
        </w:rPr>
        <w:t xml:space="preserve"> and the </w:t>
      </w:r>
      <w:r w:rsidR="00931D97" w:rsidRPr="00931D97">
        <w:rPr>
          <w:rFonts w:ascii="Avenir Next" w:hAnsi="Avenir Next" w:cs="Arial"/>
          <w:color w:val="808080" w:themeColor="background1" w:themeShade="80"/>
          <w:sz w:val="22"/>
          <w:szCs w:val="22"/>
          <w:lang w:val="en-GB"/>
        </w:rPr>
        <w:t>Cross-Border Insolvency Act 2008 (Cth)</w:t>
      </w:r>
      <w:r w:rsidR="00931D97">
        <w:rPr>
          <w:rFonts w:ascii="Avenir Next" w:hAnsi="Avenir Next" w:cs="Arial"/>
          <w:color w:val="808080" w:themeColor="background1" w:themeShade="80"/>
          <w:sz w:val="22"/>
          <w:szCs w:val="22"/>
          <w:lang w:val="en-GB"/>
        </w:rPr>
        <w:t xml:space="preserve">, among </w:t>
      </w:r>
      <w:r w:rsidR="00E36E41">
        <w:rPr>
          <w:rFonts w:ascii="Avenir Next" w:hAnsi="Avenir Next" w:cs="Arial"/>
          <w:color w:val="808080" w:themeColor="background1" w:themeShade="80"/>
          <w:sz w:val="22"/>
          <w:szCs w:val="22"/>
          <w:lang w:val="en-GB"/>
        </w:rPr>
        <w:t xml:space="preserve">other </w:t>
      </w:r>
      <w:r w:rsidR="00931D97">
        <w:rPr>
          <w:rFonts w:ascii="Avenir Next" w:hAnsi="Avenir Next" w:cs="Arial"/>
          <w:color w:val="808080" w:themeColor="background1" w:themeShade="80"/>
          <w:sz w:val="22"/>
          <w:szCs w:val="22"/>
          <w:lang w:val="en-GB"/>
        </w:rPr>
        <w:t>applicable domestic regulations</w:t>
      </w:r>
      <w:r w:rsidR="0045183A">
        <w:rPr>
          <w:rFonts w:ascii="Avenir Next" w:hAnsi="Avenir Next" w:cs="Arial"/>
          <w:color w:val="808080" w:themeColor="background1" w:themeShade="80"/>
          <w:sz w:val="22"/>
          <w:szCs w:val="22"/>
          <w:lang w:val="en-GB"/>
        </w:rPr>
        <w:t>.</w:t>
      </w:r>
    </w:p>
    <w:p w14:paraId="66E3C20E" w14:textId="576ED10D" w:rsidR="002253D8" w:rsidRPr="002253D8" w:rsidRDefault="002253D8" w:rsidP="002253D8">
      <w:pPr>
        <w:ind w:left="426"/>
        <w:jc w:val="both"/>
        <w:rPr>
          <w:rFonts w:ascii="Avenir Next" w:hAnsi="Avenir Next" w:cs="Arial"/>
          <w:sz w:val="22"/>
          <w:szCs w:val="28"/>
        </w:rPr>
      </w:pPr>
    </w:p>
    <w:p w14:paraId="1C99D959" w14:textId="5632F189" w:rsidR="009D5733" w:rsidRDefault="009D5733" w:rsidP="009D5733">
      <w:pPr>
        <w:ind w:left="720" w:hanging="720"/>
        <w:jc w:val="both"/>
        <w:rPr>
          <w:rFonts w:ascii="Avenir Next" w:hAnsi="Avenir Next" w:cs="Arial"/>
          <w:i/>
          <w:iCs/>
          <w:color w:val="7B7B7B" w:themeColor="accent3" w:themeShade="BF"/>
          <w:sz w:val="16"/>
          <w:szCs w:val="16"/>
          <w:lang w:val="en-GB"/>
        </w:rPr>
      </w:pPr>
      <w:r w:rsidRPr="00635F6C">
        <w:rPr>
          <w:rFonts w:ascii="Avenir Next" w:hAnsi="Avenir Next" w:cs="Arial"/>
          <w:i/>
          <w:iCs/>
          <w:color w:val="7B7B7B" w:themeColor="accent3" w:themeShade="BF"/>
          <w:sz w:val="16"/>
          <w:szCs w:val="16"/>
          <w:vertAlign w:val="superscript"/>
          <w:lang w:val="en-GB"/>
        </w:rPr>
        <w:t>1</w:t>
      </w:r>
      <w:r>
        <w:rPr>
          <w:rFonts w:ascii="Avenir Next" w:hAnsi="Avenir Next" w:cs="Arial"/>
          <w:i/>
          <w:iCs/>
          <w:color w:val="7B7B7B" w:themeColor="accent3" w:themeShade="BF"/>
          <w:sz w:val="16"/>
          <w:szCs w:val="16"/>
          <w:lang w:val="en-GB"/>
        </w:rPr>
        <w:t xml:space="preserve">The Model Law on Cross-Border Insolvency Turns 25, by Atkins, Scott (2022) </w:t>
      </w: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C8D32" w14:textId="77777777" w:rsidR="00940DBF" w:rsidRDefault="00940DBF" w:rsidP="00241B44">
      <w:r>
        <w:separator/>
      </w:r>
    </w:p>
  </w:endnote>
  <w:endnote w:type="continuationSeparator" w:id="0">
    <w:p w14:paraId="3DDF5B86" w14:textId="77777777" w:rsidR="00940DBF" w:rsidRDefault="00940DB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6B61" w14:textId="7E81F6D2" w:rsidR="00B64A85" w:rsidRPr="00A31881" w:rsidRDefault="007A7F5B" w:rsidP="0052732A">
    <w:pPr>
      <w:pStyle w:val="Footer"/>
      <w:framePr w:wrap="none" w:vAnchor="text" w:hAnchor="margin" w:xAlign="right" w:y="1"/>
      <w:rPr>
        <w:rStyle w:val="PageNumber"/>
        <w:rFonts w:ascii="Arial" w:hAnsi="Arial" w:cs="Arial"/>
        <w:bCs/>
        <w:sz w:val="18"/>
        <w:szCs w:val="18"/>
      </w:rPr>
    </w:pPr>
    <w:r>
      <w:rPr>
        <w:rFonts w:ascii="Arial" w:hAnsi="Arial" w:cs="Arial"/>
        <w:bCs/>
        <w:noProof/>
        <w:sz w:val="18"/>
        <w:szCs w:val="18"/>
      </w:rPr>
      <mc:AlternateContent>
        <mc:Choice Requires="wps">
          <w:drawing>
            <wp:anchor distT="0" distB="0" distL="0" distR="0" simplePos="0" relativeHeight="251659264" behindDoc="0" locked="0" layoutInCell="1" allowOverlap="1" wp14:anchorId="5AE6DC7C" wp14:editId="1A3B1BE4">
              <wp:simplePos x="635" y="635"/>
              <wp:positionH relativeFrom="page">
                <wp:align>left</wp:align>
              </wp:positionH>
              <wp:positionV relativeFrom="page">
                <wp:align>bottom</wp:align>
              </wp:positionV>
              <wp:extent cx="443865" cy="443865"/>
              <wp:effectExtent l="0" t="0" r="2540" b="0"/>
              <wp:wrapNone/>
              <wp:docPr id="137620878" name="Text Box 2" descr="INTERNAL. This information is accessible to ADB Management and staff. It may be shared outside ADB with appropriate permissio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3B562D" w14:textId="2B65BB4A" w:rsidR="007A7F5B" w:rsidRPr="007A7F5B" w:rsidRDefault="007A7F5B" w:rsidP="007A7F5B">
                          <w:pPr>
                            <w:rPr>
                              <w:rFonts w:ascii="Calibri" w:eastAsia="Calibri" w:hAnsi="Calibri" w:cs="Calibri"/>
                              <w:noProof/>
                              <w:color w:val="000000"/>
                              <w:sz w:val="18"/>
                              <w:szCs w:val="18"/>
                            </w:rPr>
                          </w:pPr>
                          <w:r w:rsidRPr="007A7F5B">
                            <w:rPr>
                              <w:rFonts w:ascii="Calibri" w:eastAsia="Calibri" w:hAnsi="Calibri" w:cs="Calibri"/>
                              <w:noProof/>
                              <w:color w:val="000000"/>
                              <w:sz w:val="18"/>
                              <w:szCs w:val="18"/>
                            </w:rPr>
                            <w:t>INTERNAL. This information is accessible to ADB Management and staff. It may be shared outside ADB with appropriate permission.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AE6DC7C" id="_x0000_t202" coordsize="21600,21600" o:spt="202" path="m,l,21600r21600,l21600,xe">
              <v:stroke joinstyle="miter"/>
              <v:path gradientshapeok="t" o:connecttype="rect"/>
            </v:shapetype>
            <v:shape id="Text Box 2" o:spid="_x0000_s1026" type="#_x0000_t202" alt="INTERNAL. This information is accessible to ADB Management and staff. It may be shared outside ADB with appropriate permission."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1C3B562D" w14:textId="2B65BB4A" w:rsidR="007A7F5B" w:rsidRPr="007A7F5B" w:rsidRDefault="007A7F5B" w:rsidP="007A7F5B">
                    <w:pPr>
                      <w:rPr>
                        <w:rFonts w:ascii="Calibri" w:eastAsia="Calibri" w:hAnsi="Calibri" w:cs="Calibri"/>
                        <w:noProof/>
                        <w:color w:val="000000"/>
                        <w:sz w:val="18"/>
                        <w:szCs w:val="18"/>
                      </w:rPr>
                    </w:pPr>
                    <w:r w:rsidRPr="007A7F5B">
                      <w:rPr>
                        <w:rFonts w:ascii="Calibri" w:eastAsia="Calibri" w:hAnsi="Calibri" w:cs="Calibri"/>
                        <w:noProof/>
                        <w:color w:val="000000"/>
                        <w:sz w:val="18"/>
                        <w:szCs w:val="18"/>
                      </w:rPr>
                      <w:t>INTERNAL. This information is accessible to ADB Management and staff. It may be shared outside ADB with appropriate permission.</w:t>
                    </w:r>
                  </w:p>
                </w:txbxContent>
              </v:textbox>
              <w10:wrap anchorx="page" anchory="page"/>
            </v:shape>
          </w:pict>
        </mc:Fallback>
      </mc:AlternateContent>
    </w:r>
  </w:p>
  <w:sdt>
    <w:sdtPr>
      <w:rPr>
        <w:rStyle w:val="PageNumber"/>
        <w:rFonts w:ascii="Arial" w:hAnsi="Arial" w:cs="Arial"/>
        <w:bCs/>
        <w:sz w:val="18"/>
        <w:szCs w:val="18"/>
      </w:rPr>
      <w:id w:val="-758512077"/>
      <w:docPartObj>
        <w:docPartGallery w:val="Page Numbers (Bottom of Page)"/>
        <w:docPartUnique/>
      </w:docPartObj>
    </w:sdtPr>
    <w:sdtContent>
      <w:p w14:paraId="27DEDC4B"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33C7" w14:textId="53053D01" w:rsidR="00B64A85" w:rsidRPr="00297BDF" w:rsidRDefault="007A7F5B" w:rsidP="006E1CB0">
    <w:pPr>
      <w:pStyle w:val="Footer"/>
      <w:framePr w:wrap="none" w:vAnchor="text" w:hAnchor="margin" w:xAlign="right" w:y="1"/>
      <w:rPr>
        <w:rStyle w:val="PageNumber"/>
        <w:rFonts w:ascii="Arial" w:hAnsi="Arial" w:cs="Arial"/>
        <w:sz w:val="22"/>
        <w:szCs w:val="22"/>
      </w:rPr>
    </w:pPr>
    <w:r>
      <w:rPr>
        <w:rFonts w:ascii="Avenir Next" w:hAnsi="Avenir Next" w:cs="Arial"/>
        <w:noProof/>
        <w:sz w:val="22"/>
        <w:szCs w:val="22"/>
      </w:rPr>
      <mc:AlternateContent>
        <mc:Choice Requires="wps">
          <w:drawing>
            <wp:anchor distT="0" distB="0" distL="0" distR="0" simplePos="0" relativeHeight="251660288" behindDoc="0" locked="0" layoutInCell="1" allowOverlap="1" wp14:anchorId="0B022BC1" wp14:editId="18BA7B31">
              <wp:simplePos x="6267450" y="10064750"/>
              <wp:positionH relativeFrom="page">
                <wp:align>left</wp:align>
              </wp:positionH>
              <wp:positionV relativeFrom="page">
                <wp:align>bottom</wp:align>
              </wp:positionV>
              <wp:extent cx="443865" cy="443865"/>
              <wp:effectExtent l="0" t="0" r="2540" b="0"/>
              <wp:wrapNone/>
              <wp:docPr id="795655529" name="Text Box 3" descr="INTERNAL. This information is accessible to ADB Management and staff. It may be shared outside ADB with appropriate permissio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675096" w14:textId="7D8B58A4" w:rsidR="007A7F5B" w:rsidRPr="007A7F5B" w:rsidRDefault="007A7F5B" w:rsidP="007A7F5B">
                          <w:pPr>
                            <w:rPr>
                              <w:rFonts w:ascii="Calibri" w:eastAsia="Calibri" w:hAnsi="Calibri" w:cs="Calibri"/>
                              <w:noProof/>
                              <w:color w:val="000000"/>
                              <w:sz w:val="18"/>
                              <w:szCs w:val="18"/>
                            </w:rPr>
                          </w:pPr>
                          <w:r w:rsidRPr="007A7F5B">
                            <w:rPr>
                              <w:rFonts w:ascii="Calibri" w:eastAsia="Calibri" w:hAnsi="Calibri" w:cs="Calibri"/>
                              <w:noProof/>
                              <w:color w:val="000000"/>
                              <w:sz w:val="18"/>
                              <w:szCs w:val="18"/>
                            </w:rPr>
                            <w:t>INTERNAL. This information is accessible to ADB Management and staff. It may be shared outside ADB with appropriate permission.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B022BC1" id="_x0000_t202" coordsize="21600,21600" o:spt="202" path="m,l,21600r21600,l21600,xe">
              <v:stroke joinstyle="miter"/>
              <v:path gradientshapeok="t" o:connecttype="rect"/>
            </v:shapetype>
            <v:shape id="Text Box 3" o:spid="_x0000_s1027" type="#_x0000_t202" alt="INTERNAL. This information is accessible to ADB Management and staff. It may be shared outside ADB with appropriate permission."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13675096" w14:textId="7D8B58A4" w:rsidR="007A7F5B" w:rsidRPr="007A7F5B" w:rsidRDefault="007A7F5B" w:rsidP="007A7F5B">
                    <w:pPr>
                      <w:rPr>
                        <w:rFonts w:ascii="Calibri" w:eastAsia="Calibri" w:hAnsi="Calibri" w:cs="Calibri"/>
                        <w:noProof/>
                        <w:color w:val="000000"/>
                        <w:sz w:val="18"/>
                        <w:szCs w:val="18"/>
                      </w:rPr>
                    </w:pPr>
                    <w:r w:rsidRPr="007A7F5B">
                      <w:rPr>
                        <w:rFonts w:ascii="Calibri" w:eastAsia="Calibri" w:hAnsi="Calibri" w:cs="Calibri"/>
                        <w:noProof/>
                        <w:color w:val="000000"/>
                        <w:sz w:val="18"/>
                        <w:szCs w:val="18"/>
                      </w:rPr>
                      <w:t>INTERNAL. This information is accessible to ADB Management and staff. It may be shared outside ADB with appropriate permission.</w:t>
                    </w:r>
                  </w:p>
                </w:txbxContent>
              </v:textbox>
              <w10:wrap anchorx="page" anchory="page"/>
            </v:shape>
          </w:pict>
        </mc:Fallback>
      </mc:AlternateContent>
    </w:r>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r w:rsidR="00B64A85" w:rsidRPr="00297BDF">
          <w:rPr>
            <w:rStyle w:val="PageNumber"/>
            <w:rFonts w:ascii="Avenir Next" w:hAnsi="Avenir Next" w:cs="Arial"/>
            <w:sz w:val="22"/>
            <w:szCs w:val="22"/>
          </w:rPr>
          <w:t xml:space="preserve">Page </w:t>
        </w:r>
        <w:r w:rsidR="00B64A85" w:rsidRPr="00297BDF">
          <w:rPr>
            <w:rStyle w:val="PageNumber"/>
            <w:rFonts w:ascii="Avenir Next" w:hAnsi="Avenir Next" w:cs="Arial"/>
            <w:sz w:val="22"/>
            <w:szCs w:val="22"/>
          </w:rPr>
          <w:fldChar w:fldCharType="begin"/>
        </w:r>
        <w:r w:rsidR="00B64A85" w:rsidRPr="00297BDF">
          <w:rPr>
            <w:rStyle w:val="PageNumber"/>
            <w:rFonts w:ascii="Avenir Next" w:hAnsi="Avenir Next" w:cs="Arial"/>
            <w:sz w:val="22"/>
            <w:szCs w:val="22"/>
          </w:rPr>
          <w:instrText xml:space="preserve"> PAGE </w:instrText>
        </w:r>
        <w:r w:rsidR="00B64A85"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00B64A85" w:rsidRPr="00297BDF">
          <w:rPr>
            <w:rStyle w:val="PageNumber"/>
            <w:rFonts w:ascii="Avenir Next" w:hAnsi="Avenir Next" w:cs="Arial"/>
            <w:sz w:val="22"/>
            <w:szCs w:val="22"/>
          </w:rPr>
          <w:fldChar w:fldCharType="end"/>
        </w:r>
      </w:sdtContent>
    </w:sdt>
  </w:p>
  <w:p w14:paraId="12ABA5E1" w14:textId="3FC24E4E" w:rsidR="00B64A85" w:rsidRPr="00297BDF" w:rsidRDefault="00A6098F" w:rsidP="0052732A">
    <w:pPr>
      <w:pStyle w:val="Footer"/>
      <w:ind w:right="360"/>
      <w:rPr>
        <w:rFonts w:ascii="Avenir Next" w:hAnsi="Avenir Next" w:cs="Arial"/>
        <w:sz w:val="22"/>
        <w:szCs w:val="22"/>
      </w:rPr>
    </w:pPr>
    <w:r w:rsidRPr="00D66E55">
      <w:rPr>
        <w:rFonts w:ascii="Avenir Next" w:hAnsi="Avenir Next" w:cs="Arial"/>
        <w:sz w:val="22"/>
        <w:szCs w:val="22"/>
      </w:rPr>
      <w:t>FC202324-1385</w:t>
    </w:r>
    <w:r w:rsidR="00B64A85" w:rsidRPr="00297BDF">
      <w:rPr>
        <w:rFonts w:ascii="Avenir Next" w:hAnsi="Avenir Next" w:cs="Arial"/>
        <w:sz w:val="22"/>
        <w:szCs w:val="22"/>
      </w:rPr>
      <w:t>.assessment1summative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AAC7" w14:textId="04E2D202" w:rsidR="009E4776" w:rsidRDefault="007A7F5B">
    <w:pPr>
      <w:pStyle w:val="Footer"/>
    </w:pPr>
    <w:r>
      <w:rPr>
        <w:noProof/>
      </w:rPr>
      <mc:AlternateContent>
        <mc:Choice Requires="wps">
          <w:drawing>
            <wp:anchor distT="0" distB="0" distL="0" distR="0" simplePos="0" relativeHeight="251658240" behindDoc="0" locked="0" layoutInCell="1" allowOverlap="1" wp14:anchorId="0C9F4CFA" wp14:editId="22B3F365">
              <wp:simplePos x="915035" y="10080625"/>
              <wp:positionH relativeFrom="page">
                <wp:align>left</wp:align>
              </wp:positionH>
              <wp:positionV relativeFrom="page">
                <wp:align>bottom</wp:align>
              </wp:positionV>
              <wp:extent cx="443865" cy="443865"/>
              <wp:effectExtent l="0" t="0" r="2540" b="0"/>
              <wp:wrapNone/>
              <wp:docPr id="214497516" name="Text Box 1" descr="INTERNAL. This information is accessible to ADB Management and staff. It may be shared outside ADB with appropriate permissio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25E61F" w14:textId="3AF9EFCE" w:rsidR="007A7F5B" w:rsidRPr="007A7F5B" w:rsidRDefault="007A7F5B" w:rsidP="007A7F5B">
                          <w:pPr>
                            <w:rPr>
                              <w:rFonts w:ascii="Calibri" w:eastAsia="Calibri" w:hAnsi="Calibri" w:cs="Calibri"/>
                              <w:noProof/>
                              <w:color w:val="000000"/>
                              <w:sz w:val="18"/>
                              <w:szCs w:val="18"/>
                            </w:rPr>
                          </w:pPr>
                          <w:r w:rsidRPr="007A7F5B">
                            <w:rPr>
                              <w:rFonts w:ascii="Calibri" w:eastAsia="Calibri" w:hAnsi="Calibri" w:cs="Calibri"/>
                              <w:noProof/>
                              <w:color w:val="000000"/>
                              <w:sz w:val="18"/>
                              <w:szCs w:val="18"/>
                            </w:rPr>
                            <w:t>INTERNAL. This information is accessible to ADB Management and staff. It may be shared outside ADB with appropriate permission.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C9F4CFA" id="_x0000_t202" coordsize="21600,21600" o:spt="202" path="m,l,21600r21600,l21600,xe">
              <v:stroke joinstyle="miter"/>
              <v:path gradientshapeok="t" o:connecttype="rect"/>
            </v:shapetype>
            <v:shape id="Text Box 1" o:spid="_x0000_s1028" type="#_x0000_t202" alt="INTERNAL. This information is accessible to ADB Management and staff. It may be shared outside ADB with appropriate permission."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1A25E61F" w14:textId="3AF9EFCE" w:rsidR="007A7F5B" w:rsidRPr="007A7F5B" w:rsidRDefault="007A7F5B" w:rsidP="007A7F5B">
                    <w:pPr>
                      <w:rPr>
                        <w:rFonts w:ascii="Calibri" w:eastAsia="Calibri" w:hAnsi="Calibri" w:cs="Calibri"/>
                        <w:noProof/>
                        <w:color w:val="000000"/>
                        <w:sz w:val="18"/>
                        <w:szCs w:val="18"/>
                      </w:rPr>
                    </w:pPr>
                    <w:r w:rsidRPr="007A7F5B">
                      <w:rPr>
                        <w:rFonts w:ascii="Calibri" w:eastAsia="Calibri" w:hAnsi="Calibri" w:cs="Calibri"/>
                        <w:noProof/>
                        <w:color w:val="000000"/>
                        <w:sz w:val="18"/>
                        <w:szCs w:val="18"/>
                      </w:rPr>
                      <w:t>INTERNAL. This information is accessible to ADB Management and staff. It may be shared outside ADB with appropriate permission.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4C7C3" w14:textId="77777777" w:rsidR="00940DBF" w:rsidRDefault="00940DBF" w:rsidP="00241B44">
      <w:r>
        <w:separator/>
      </w:r>
    </w:p>
  </w:footnote>
  <w:footnote w:type="continuationSeparator" w:id="0">
    <w:p w14:paraId="4E02C69A" w14:textId="77777777" w:rsidR="00940DBF" w:rsidRDefault="00940DB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6"/>
  </w:num>
  <w:num w:numId="2" w16cid:durableId="460732777">
    <w:abstractNumId w:val="31"/>
  </w:num>
  <w:num w:numId="3" w16cid:durableId="1558668659">
    <w:abstractNumId w:val="2"/>
  </w:num>
  <w:num w:numId="4" w16cid:durableId="737018892">
    <w:abstractNumId w:val="4"/>
  </w:num>
  <w:num w:numId="5" w16cid:durableId="1158809076">
    <w:abstractNumId w:val="21"/>
  </w:num>
  <w:num w:numId="6" w16cid:durableId="415711827">
    <w:abstractNumId w:val="27"/>
  </w:num>
  <w:num w:numId="7" w16cid:durableId="1401949473">
    <w:abstractNumId w:val="14"/>
  </w:num>
  <w:num w:numId="8" w16cid:durableId="269552992">
    <w:abstractNumId w:val="32"/>
  </w:num>
  <w:num w:numId="9" w16cid:durableId="1367413161">
    <w:abstractNumId w:val="13"/>
  </w:num>
  <w:num w:numId="10" w16cid:durableId="220823057">
    <w:abstractNumId w:val="28"/>
  </w:num>
  <w:num w:numId="11" w16cid:durableId="858086195">
    <w:abstractNumId w:val="10"/>
  </w:num>
  <w:num w:numId="12" w16cid:durableId="2144808366">
    <w:abstractNumId w:val="29"/>
  </w:num>
  <w:num w:numId="13" w16cid:durableId="1139104618">
    <w:abstractNumId w:val="20"/>
  </w:num>
  <w:num w:numId="14" w16cid:durableId="1203787949">
    <w:abstractNumId w:val="19"/>
  </w:num>
  <w:num w:numId="15" w16cid:durableId="1140149903">
    <w:abstractNumId w:val="5"/>
  </w:num>
  <w:num w:numId="16" w16cid:durableId="1714226930">
    <w:abstractNumId w:val="22"/>
  </w:num>
  <w:num w:numId="17" w16cid:durableId="1711415350">
    <w:abstractNumId w:val="17"/>
  </w:num>
  <w:num w:numId="18" w16cid:durableId="35542391">
    <w:abstractNumId w:val="18"/>
  </w:num>
  <w:num w:numId="19" w16cid:durableId="2050493181">
    <w:abstractNumId w:val="25"/>
  </w:num>
  <w:num w:numId="20" w16cid:durableId="1469859581">
    <w:abstractNumId w:val="9"/>
  </w:num>
  <w:num w:numId="21" w16cid:durableId="408573765">
    <w:abstractNumId w:val="16"/>
  </w:num>
  <w:num w:numId="22" w16cid:durableId="482936912">
    <w:abstractNumId w:val="0"/>
  </w:num>
  <w:num w:numId="23" w16cid:durableId="1308701288">
    <w:abstractNumId w:val="24"/>
  </w:num>
  <w:num w:numId="24" w16cid:durableId="1716081525">
    <w:abstractNumId w:val="1"/>
  </w:num>
  <w:num w:numId="25" w16cid:durableId="797064315">
    <w:abstractNumId w:val="30"/>
  </w:num>
  <w:num w:numId="26" w16cid:durableId="824904852">
    <w:abstractNumId w:val="33"/>
  </w:num>
  <w:num w:numId="27" w16cid:durableId="372002461">
    <w:abstractNumId w:val="8"/>
  </w:num>
  <w:num w:numId="28" w16cid:durableId="1256015074">
    <w:abstractNumId w:val="7"/>
  </w:num>
  <w:num w:numId="29" w16cid:durableId="1376738983">
    <w:abstractNumId w:val="6"/>
  </w:num>
  <w:num w:numId="30" w16cid:durableId="1903177138">
    <w:abstractNumId w:val="11"/>
  </w:num>
  <w:num w:numId="31" w16cid:durableId="1164859915">
    <w:abstractNumId w:val="3"/>
  </w:num>
  <w:num w:numId="32" w16cid:durableId="684208392">
    <w:abstractNumId w:val="15"/>
  </w:num>
  <w:num w:numId="33" w16cid:durableId="732118212">
    <w:abstractNumId w:val="23"/>
  </w:num>
  <w:num w:numId="34" w16cid:durableId="191250388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54A"/>
    <w:rsid w:val="00003D8F"/>
    <w:rsid w:val="0000420A"/>
    <w:rsid w:val="00004AE7"/>
    <w:rsid w:val="00006B45"/>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110"/>
    <w:rsid w:val="0006130F"/>
    <w:rsid w:val="00062D42"/>
    <w:rsid w:val="00062E85"/>
    <w:rsid w:val="000649D1"/>
    <w:rsid w:val="00064C44"/>
    <w:rsid w:val="00065166"/>
    <w:rsid w:val="0006596A"/>
    <w:rsid w:val="00066AE7"/>
    <w:rsid w:val="0007091D"/>
    <w:rsid w:val="00076483"/>
    <w:rsid w:val="00080757"/>
    <w:rsid w:val="0008155B"/>
    <w:rsid w:val="000815BB"/>
    <w:rsid w:val="00081A63"/>
    <w:rsid w:val="00082609"/>
    <w:rsid w:val="0008284A"/>
    <w:rsid w:val="0008457E"/>
    <w:rsid w:val="00084E0A"/>
    <w:rsid w:val="000851CC"/>
    <w:rsid w:val="00085349"/>
    <w:rsid w:val="00085D4B"/>
    <w:rsid w:val="00086BDD"/>
    <w:rsid w:val="000906BD"/>
    <w:rsid w:val="00090933"/>
    <w:rsid w:val="00092378"/>
    <w:rsid w:val="00093BE8"/>
    <w:rsid w:val="00093FE2"/>
    <w:rsid w:val="0009471C"/>
    <w:rsid w:val="0009504E"/>
    <w:rsid w:val="000977DC"/>
    <w:rsid w:val="000A01B9"/>
    <w:rsid w:val="000A0C1B"/>
    <w:rsid w:val="000A59DD"/>
    <w:rsid w:val="000A68ED"/>
    <w:rsid w:val="000A74CA"/>
    <w:rsid w:val="000A74D4"/>
    <w:rsid w:val="000B5B93"/>
    <w:rsid w:val="000B5FF1"/>
    <w:rsid w:val="000B609F"/>
    <w:rsid w:val="000B6B56"/>
    <w:rsid w:val="000D0C9F"/>
    <w:rsid w:val="000D55A8"/>
    <w:rsid w:val="000D57BE"/>
    <w:rsid w:val="000D6876"/>
    <w:rsid w:val="000E0165"/>
    <w:rsid w:val="000E3A82"/>
    <w:rsid w:val="000E3C5A"/>
    <w:rsid w:val="000E406D"/>
    <w:rsid w:val="000E4841"/>
    <w:rsid w:val="000E5CB4"/>
    <w:rsid w:val="000F0DC0"/>
    <w:rsid w:val="000F0FFF"/>
    <w:rsid w:val="000F1677"/>
    <w:rsid w:val="000F3387"/>
    <w:rsid w:val="000F3D6C"/>
    <w:rsid w:val="000F58B0"/>
    <w:rsid w:val="00100A77"/>
    <w:rsid w:val="001015A4"/>
    <w:rsid w:val="00101707"/>
    <w:rsid w:val="00102F47"/>
    <w:rsid w:val="00105CBD"/>
    <w:rsid w:val="00106E6A"/>
    <w:rsid w:val="001107F2"/>
    <w:rsid w:val="00110E0C"/>
    <w:rsid w:val="001131C6"/>
    <w:rsid w:val="0011473D"/>
    <w:rsid w:val="00115C85"/>
    <w:rsid w:val="001174E6"/>
    <w:rsid w:val="00120B4D"/>
    <w:rsid w:val="001211E6"/>
    <w:rsid w:val="0012303D"/>
    <w:rsid w:val="00123855"/>
    <w:rsid w:val="00124B70"/>
    <w:rsid w:val="00125A7C"/>
    <w:rsid w:val="00126A4D"/>
    <w:rsid w:val="00131D42"/>
    <w:rsid w:val="0013278B"/>
    <w:rsid w:val="00135FFC"/>
    <w:rsid w:val="00136505"/>
    <w:rsid w:val="0014171F"/>
    <w:rsid w:val="00142E15"/>
    <w:rsid w:val="0014622C"/>
    <w:rsid w:val="00150F6C"/>
    <w:rsid w:val="00152348"/>
    <w:rsid w:val="0015328F"/>
    <w:rsid w:val="0015456D"/>
    <w:rsid w:val="00161F1B"/>
    <w:rsid w:val="001620AF"/>
    <w:rsid w:val="00162829"/>
    <w:rsid w:val="0016472D"/>
    <w:rsid w:val="00164B28"/>
    <w:rsid w:val="00164F9B"/>
    <w:rsid w:val="001677CC"/>
    <w:rsid w:val="00173647"/>
    <w:rsid w:val="00180548"/>
    <w:rsid w:val="00180AC4"/>
    <w:rsid w:val="00180B1E"/>
    <w:rsid w:val="00180CCE"/>
    <w:rsid w:val="001812EE"/>
    <w:rsid w:val="00181438"/>
    <w:rsid w:val="0018267A"/>
    <w:rsid w:val="001826E6"/>
    <w:rsid w:val="00182779"/>
    <w:rsid w:val="00182F16"/>
    <w:rsid w:val="001830DF"/>
    <w:rsid w:val="00183285"/>
    <w:rsid w:val="001833C2"/>
    <w:rsid w:val="00192EA3"/>
    <w:rsid w:val="00193AB3"/>
    <w:rsid w:val="00193AD3"/>
    <w:rsid w:val="001966D9"/>
    <w:rsid w:val="00197963"/>
    <w:rsid w:val="001A620B"/>
    <w:rsid w:val="001A716A"/>
    <w:rsid w:val="001A7E9A"/>
    <w:rsid w:val="001A7ECF"/>
    <w:rsid w:val="001B0F70"/>
    <w:rsid w:val="001B5016"/>
    <w:rsid w:val="001B6CEE"/>
    <w:rsid w:val="001C021C"/>
    <w:rsid w:val="001C365C"/>
    <w:rsid w:val="001C45FC"/>
    <w:rsid w:val="001C594A"/>
    <w:rsid w:val="001D1BF7"/>
    <w:rsid w:val="001D4862"/>
    <w:rsid w:val="001D632F"/>
    <w:rsid w:val="001D7EF2"/>
    <w:rsid w:val="001E07E2"/>
    <w:rsid w:val="001E163C"/>
    <w:rsid w:val="001E1FB4"/>
    <w:rsid w:val="001E23FD"/>
    <w:rsid w:val="001E25B9"/>
    <w:rsid w:val="001E28DD"/>
    <w:rsid w:val="001E392F"/>
    <w:rsid w:val="001E49E0"/>
    <w:rsid w:val="001E7B5A"/>
    <w:rsid w:val="001F0BCF"/>
    <w:rsid w:val="001F1478"/>
    <w:rsid w:val="001F2AF5"/>
    <w:rsid w:val="001F5204"/>
    <w:rsid w:val="001F603D"/>
    <w:rsid w:val="001F7412"/>
    <w:rsid w:val="001F7C77"/>
    <w:rsid w:val="00201386"/>
    <w:rsid w:val="00201867"/>
    <w:rsid w:val="00202C2B"/>
    <w:rsid w:val="00205B31"/>
    <w:rsid w:val="0020725B"/>
    <w:rsid w:val="0020730B"/>
    <w:rsid w:val="00212B14"/>
    <w:rsid w:val="00216499"/>
    <w:rsid w:val="002164C0"/>
    <w:rsid w:val="00216CB4"/>
    <w:rsid w:val="002173C5"/>
    <w:rsid w:val="00221C92"/>
    <w:rsid w:val="00223780"/>
    <w:rsid w:val="00224200"/>
    <w:rsid w:val="0022515E"/>
    <w:rsid w:val="002253D8"/>
    <w:rsid w:val="0022719C"/>
    <w:rsid w:val="00230A43"/>
    <w:rsid w:val="00231611"/>
    <w:rsid w:val="00231CAE"/>
    <w:rsid w:val="00231F38"/>
    <w:rsid w:val="00235A58"/>
    <w:rsid w:val="002362AB"/>
    <w:rsid w:val="002400DB"/>
    <w:rsid w:val="002406A4"/>
    <w:rsid w:val="0024116D"/>
    <w:rsid w:val="00241B44"/>
    <w:rsid w:val="00245EFB"/>
    <w:rsid w:val="00250075"/>
    <w:rsid w:val="002526C5"/>
    <w:rsid w:val="002529D2"/>
    <w:rsid w:val="0025386E"/>
    <w:rsid w:val="00254AB3"/>
    <w:rsid w:val="00262A29"/>
    <w:rsid w:val="002638B0"/>
    <w:rsid w:val="00263A3C"/>
    <w:rsid w:val="0026510C"/>
    <w:rsid w:val="0026647A"/>
    <w:rsid w:val="002668D3"/>
    <w:rsid w:val="00266F17"/>
    <w:rsid w:val="002672D0"/>
    <w:rsid w:val="00270D04"/>
    <w:rsid w:val="0027242B"/>
    <w:rsid w:val="0027299F"/>
    <w:rsid w:val="00275182"/>
    <w:rsid w:val="00275946"/>
    <w:rsid w:val="00276414"/>
    <w:rsid w:val="00276FEA"/>
    <w:rsid w:val="0028252D"/>
    <w:rsid w:val="0028425C"/>
    <w:rsid w:val="00284EBE"/>
    <w:rsid w:val="00286720"/>
    <w:rsid w:val="002872E1"/>
    <w:rsid w:val="00287B2E"/>
    <w:rsid w:val="00287D4D"/>
    <w:rsid w:val="00290116"/>
    <w:rsid w:val="0029433F"/>
    <w:rsid w:val="00294829"/>
    <w:rsid w:val="00295742"/>
    <w:rsid w:val="00296351"/>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362"/>
    <w:rsid w:val="002D295D"/>
    <w:rsid w:val="002D3473"/>
    <w:rsid w:val="002E37B7"/>
    <w:rsid w:val="002E4A02"/>
    <w:rsid w:val="002E4A1F"/>
    <w:rsid w:val="002E66F4"/>
    <w:rsid w:val="002F14C5"/>
    <w:rsid w:val="002F1956"/>
    <w:rsid w:val="002F2B8D"/>
    <w:rsid w:val="002F3440"/>
    <w:rsid w:val="002F3B17"/>
    <w:rsid w:val="002F561C"/>
    <w:rsid w:val="002F5876"/>
    <w:rsid w:val="002F5DD8"/>
    <w:rsid w:val="002F75A3"/>
    <w:rsid w:val="002F75CD"/>
    <w:rsid w:val="002F7EB5"/>
    <w:rsid w:val="0030201F"/>
    <w:rsid w:val="00303C2F"/>
    <w:rsid w:val="0030558B"/>
    <w:rsid w:val="00306E87"/>
    <w:rsid w:val="00310FC2"/>
    <w:rsid w:val="003134B4"/>
    <w:rsid w:val="003144EF"/>
    <w:rsid w:val="0032363D"/>
    <w:rsid w:val="0032538A"/>
    <w:rsid w:val="00326292"/>
    <w:rsid w:val="00326415"/>
    <w:rsid w:val="00327C28"/>
    <w:rsid w:val="00330937"/>
    <w:rsid w:val="00330F31"/>
    <w:rsid w:val="003326F0"/>
    <w:rsid w:val="0033347F"/>
    <w:rsid w:val="00334648"/>
    <w:rsid w:val="00335834"/>
    <w:rsid w:val="00336CA6"/>
    <w:rsid w:val="0033768C"/>
    <w:rsid w:val="00337938"/>
    <w:rsid w:val="00340769"/>
    <w:rsid w:val="00341A65"/>
    <w:rsid w:val="00341AA6"/>
    <w:rsid w:val="00342E57"/>
    <w:rsid w:val="003455F9"/>
    <w:rsid w:val="003500E5"/>
    <w:rsid w:val="00352518"/>
    <w:rsid w:val="00355B57"/>
    <w:rsid w:val="00357962"/>
    <w:rsid w:val="00361A0A"/>
    <w:rsid w:val="00361DF9"/>
    <w:rsid w:val="00362C32"/>
    <w:rsid w:val="00363D71"/>
    <w:rsid w:val="0036565C"/>
    <w:rsid w:val="0036625E"/>
    <w:rsid w:val="00367162"/>
    <w:rsid w:val="00370F52"/>
    <w:rsid w:val="00372CD4"/>
    <w:rsid w:val="0037386C"/>
    <w:rsid w:val="0037465A"/>
    <w:rsid w:val="00376F43"/>
    <w:rsid w:val="0038255B"/>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299"/>
    <w:rsid w:val="003A051E"/>
    <w:rsid w:val="003A0BBE"/>
    <w:rsid w:val="003A2448"/>
    <w:rsid w:val="003A2F5D"/>
    <w:rsid w:val="003A3128"/>
    <w:rsid w:val="003A5AD1"/>
    <w:rsid w:val="003A60FF"/>
    <w:rsid w:val="003A696A"/>
    <w:rsid w:val="003B170F"/>
    <w:rsid w:val="003B3A0D"/>
    <w:rsid w:val="003B3C5F"/>
    <w:rsid w:val="003B552F"/>
    <w:rsid w:val="003C1451"/>
    <w:rsid w:val="003C2017"/>
    <w:rsid w:val="003C4471"/>
    <w:rsid w:val="003C473E"/>
    <w:rsid w:val="003D0A6D"/>
    <w:rsid w:val="003D100A"/>
    <w:rsid w:val="003D3045"/>
    <w:rsid w:val="003D3410"/>
    <w:rsid w:val="003D4300"/>
    <w:rsid w:val="003D485F"/>
    <w:rsid w:val="003D6AC4"/>
    <w:rsid w:val="003D7B57"/>
    <w:rsid w:val="003E004D"/>
    <w:rsid w:val="003E064D"/>
    <w:rsid w:val="003E0B16"/>
    <w:rsid w:val="003E2D1B"/>
    <w:rsid w:val="003E2E7C"/>
    <w:rsid w:val="003E40ED"/>
    <w:rsid w:val="003E67D1"/>
    <w:rsid w:val="003F0B80"/>
    <w:rsid w:val="003F500E"/>
    <w:rsid w:val="003F655E"/>
    <w:rsid w:val="003F74D9"/>
    <w:rsid w:val="00400920"/>
    <w:rsid w:val="00403F09"/>
    <w:rsid w:val="00404EF7"/>
    <w:rsid w:val="00405DC1"/>
    <w:rsid w:val="00411E1B"/>
    <w:rsid w:val="00414BF9"/>
    <w:rsid w:val="00415DFF"/>
    <w:rsid w:val="00415F1F"/>
    <w:rsid w:val="004174FA"/>
    <w:rsid w:val="0042108F"/>
    <w:rsid w:val="004214D4"/>
    <w:rsid w:val="004216EA"/>
    <w:rsid w:val="004235F4"/>
    <w:rsid w:val="00426969"/>
    <w:rsid w:val="00426B64"/>
    <w:rsid w:val="00430FED"/>
    <w:rsid w:val="00434A8C"/>
    <w:rsid w:val="00437297"/>
    <w:rsid w:val="00437ABE"/>
    <w:rsid w:val="00440AC5"/>
    <w:rsid w:val="00440EDD"/>
    <w:rsid w:val="004417C1"/>
    <w:rsid w:val="00444284"/>
    <w:rsid w:val="004442F1"/>
    <w:rsid w:val="00445CE6"/>
    <w:rsid w:val="00446987"/>
    <w:rsid w:val="0045183A"/>
    <w:rsid w:val="004534C2"/>
    <w:rsid w:val="00453967"/>
    <w:rsid w:val="0045446F"/>
    <w:rsid w:val="00454C9D"/>
    <w:rsid w:val="0045683E"/>
    <w:rsid w:val="0046142D"/>
    <w:rsid w:val="0046274F"/>
    <w:rsid w:val="0046298C"/>
    <w:rsid w:val="00462FA6"/>
    <w:rsid w:val="00463259"/>
    <w:rsid w:val="00463516"/>
    <w:rsid w:val="00464F21"/>
    <w:rsid w:val="004659E0"/>
    <w:rsid w:val="00466ED6"/>
    <w:rsid w:val="00467C71"/>
    <w:rsid w:val="0047084C"/>
    <w:rsid w:val="00470A63"/>
    <w:rsid w:val="00470C55"/>
    <w:rsid w:val="004714A9"/>
    <w:rsid w:val="004715C1"/>
    <w:rsid w:val="004731F4"/>
    <w:rsid w:val="00480139"/>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57DD"/>
    <w:rsid w:val="004A7231"/>
    <w:rsid w:val="004A7B51"/>
    <w:rsid w:val="004A7D71"/>
    <w:rsid w:val="004A7EF3"/>
    <w:rsid w:val="004B0EBE"/>
    <w:rsid w:val="004B10C5"/>
    <w:rsid w:val="004B11FD"/>
    <w:rsid w:val="004B23A2"/>
    <w:rsid w:val="004B25E4"/>
    <w:rsid w:val="004B428D"/>
    <w:rsid w:val="004B607C"/>
    <w:rsid w:val="004C04B2"/>
    <w:rsid w:val="004C1DA6"/>
    <w:rsid w:val="004C1FCA"/>
    <w:rsid w:val="004C4704"/>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3F1F"/>
    <w:rsid w:val="004F55F1"/>
    <w:rsid w:val="004F5FDF"/>
    <w:rsid w:val="00500D49"/>
    <w:rsid w:val="0050156C"/>
    <w:rsid w:val="00504AFA"/>
    <w:rsid w:val="005059A4"/>
    <w:rsid w:val="00505EA6"/>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95E"/>
    <w:rsid w:val="00567AD7"/>
    <w:rsid w:val="005716C3"/>
    <w:rsid w:val="00572952"/>
    <w:rsid w:val="00573594"/>
    <w:rsid w:val="00575B2D"/>
    <w:rsid w:val="005800D0"/>
    <w:rsid w:val="005833D0"/>
    <w:rsid w:val="005846F3"/>
    <w:rsid w:val="005859D2"/>
    <w:rsid w:val="0058622F"/>
    <w:rsid w:val="005865D6"/>
    <w:rsid w:val="00586733"/>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D72F3"/>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2F61"/>
    <w:rsid w:val="00614858"/>
    <w:rsid w:val="006153EC"/>
    <w:rsid w:val="00616E52"/>
    <w:rsid w:val="006208BB"/>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3F14"/>
    <w:rsid w:val="00646108"/>
    <w:rsid w:val="006514CD"/>
    <w:rsid w:val="00651E87"/>
    <w:rsid w:val="006521CD"/>
    <w:rsid w:val="00652A22"/>
    <w:rsid w:val="00653584"/>
    <w:rsid w:val="00654C2F"/>
    <w:rsid w:val="00655438"/>
    <w:rsid w:val="00657087"/>
    <w:rsid w:val="0065715A"/>
    <w:rsid w:val="006578EC"/>
    <w:rsid w:val="006643E7"/>
    <w:rsid w:val="006661EF"/>
    <w:rsid w:val="00670484"/>
    <w:rsid w:val="006719D6"/>
    <w:rsid w:val="006746CB"/>
    <w:rsid w:val="00677AEB"/>
    <w:rsid w:val="00680EF2"/>
    <w:rsid w:val="00682663"/>
    <w:rsid w:val="00682A3E"/>
    <w:rsid w:val="006850AE"/>
    <w:rsid w:val="00686C53"/>
    <w:rsid w:val="0068743C"/>
    <w:rsid w:val="00687A1D"/>
    <w:rsid w:val="00692852"/>
    <w:rsid w:val="00695A40"/>
    <w:rsid w:val="00697EA1"/>
    <w:rsid w:val="006A051A"/>
    <w:rsid w:val="006A2646"/>
    <w:rsid w:val="006A44B2"/>
    <w:rsid w:val="006A6530"/>
    <w:rsid w:val="006A695F"/>
    <w:rsid w:val="006A6D1D"/>
    <w:rsid w:val="006B16E6"/>
    <w:rsid w:val="006B2893"/>
    <w:rsid w:val="006B37B2"/>
    <w:rsid w:val="006B435A"/>
    <w:rsid w:val="006B4539"/>
    <w:rsid w:val="006B4C64"/>
    <w:rsid w:val="006B5AE8"/>
    <w:rsid w:val="006C5CE2"/>
    <w:rsid w:val="006D0529"/>
    <w:rsid w:val="006D0605"/>
    <w:rsid w:val="006D086A"/>
    <w:rsid w:val="006D176A"/>
    <w:rsid w:val="006D564C"/>
    <w:rsid w:val="006D6BD5"/>
    <w:rsid w:val="006E1CB0"/>
    <w:rsid w:val="006E254C"/>
    <w:rsid w:val="006E2974"/>
    <w:rsid w:val="006E481A"/>
    <w:rsid w:val="006E5298"/>
    <w:rsid w:val="006E6770"/>
    <w:rsid w:val="006E6A1F"/>
    <w:rsid w:val="006E6A6A"/>
    <w:rsid w:val="006E77B0"/>
    <w:rsid w:val="006F18EB"/>
    <w:rsid w:val="006F2E9B"/>
    <w:rsid w:val="006F6B2E"/>
    <w:rsid w:val="006F734A"/>
    <w:rsid w:val="00700D83"/>
    <w:rsid w:val="0070187B"/>
    <w:rsid w:val="00704852"/>
    <w:rsid w:val="00704C24"/>
    <w:rsid w:val="00705A77"/>
    <w:rsid w:val="00707321"/>
    <w:rsid w:val="007074E9"/>
    <w:rsid w:val="00707954"/>
    <w:rsid w:val="00707BC5"/>
    <w:rsid w:val="00711429"/>
    <w:rsid w:val="00713CA6"/>
    <w:rsid w:val="00713DA4"/>
    <w:rsid w:val="007142FA"/>
    <w:rsid w:val="00714BF1"/>
    <w:rsid w:val="00717E6C"/>
    <w:rsid w:val="00721383"/>
    <w:rsid w:val="007216AD"/>
    <w:rsid w:val="00726E9A"/>
    <w:rsid w:val="00727864"/>
    <w:rsid w:val="007333CC"/>
    <w:rsid w:val="007335D8"/>
    <w:rsid w:val="0073399A"/>
    <w:rsid w:val="00734FD4"/>
    <w:rsid w:val="007369C7"/>
    <w:rsid w:val="00736B9F"/>
    <w:rsid w:val="00741BCD"/>
    <w:rsid w:val="00741D74"/>
    <w:rsid w:val="00743228"/>
    <w:rsid w:val="00743531"/>
    <w:rsid w:val="007452BB"/>
    <w:rsid w:val="00745A5B"/>
    <w:rsid w:val="007462D9"/>
    <w:rsid w:val="00746A22"/>
    <w:rsid w:val="00751986"/>
    <w:rsid w:val="0075428A"/>
    <w:rsid w:val="00756ABD"/>
    <w:rsid w:val="007576A3"/>
    <w:rsid w:val="007603F5"/>
    <w:rsid w:val="00760A70"/>
    <w:rsid w:val="00760BB2"/>
    <w:rsid w:val="0076181C"/>
    <w:rsid w:val="00764DB0"/>
    <w:rsid w:val="00765D82"/>
    <w:rsid w:val="007671EB"/>
    <w:rsid w:val="0076728D"/>
    <w:rsid w:val="0076764D"/>
    <w:rsid w:val="0076766F"/>
    <w:rsid w:val="00770DF5"/>
    <w:rsid w:val="0077498C"/>
    <w:rsid w:val="00777070"/>
    <w:rsid w:val="007815D1"/>
    <w:rsid w:val="00782B3F"/>
    <w:rsid w:val="00784128"/>
    <w:rsid w:val="007849D8"/>
    <w:rsid w:val="0078662F"/>
    <w:rsid w:val="00790B4C"/>
    <w:rsid w:val="007913AA"/>
    <w:rsid w:val="0079206E"/>
    <w:rsid w:val="00793173"/>
    <w:rsid w:val="007958F0"/>
    <w:rsid w:val="00797E1B"/>
    <w:rsid w:val="007A12A4"/>
    <w:rsid w:val="007A7F5B"/>
    <w:rsid w:val="007B1227"/>
    <w:rsid w:val="007B19DA"/>
    <w:rsid w:val="007B1E13"/>
    <w:rsid w:val="007B20E4"/>
    <w:rsid w:val="007B3B1B"/>
    <w:rsid w:val="007B5180"/>
    <w:rsid w:val="007B5F0B"/>
    <w:rsid w:val="007C0111"/>
    <w:rsid w:val="007C0260"/>
    <w:rsid w:val="007C0663"/>
    <w:rsid w:val="007C0BAA"/>
    <w:rsid w:val="007C1FCC"/>
    <w:rsid w:val="007C2831"/>
    <w:rsid w:val="007C2AA1"/>
    <w:rsid w:val="007C2BE7"/>
    <w:rsid w:val="007C3439"/>
    <w:rsid w:val="007C6201"/>
    <w:rsid w:val="007D0348"/>
    <w:rsid w:val="007D03E9"/>
    <w:rsid w:val="007D13C6"/>
    <w:rsid w:val="007D1E28"/>
    <w:rsid w:val="007D47FB"/>
    <w:rsid w:val="007D7C92"/>
    <w:rsid w:val="007D7E30"/>
    <w:rsid w:val="007E1154"/>
    <w:rsid w:val="007E1212"/>
    <w:rsid w:val="007E3AA5"/>
    <w:rsid w:val="007E3ADF"/>
    <w:rsid w:val="007E41A0"/>
    <w:rsid w:val="007E43C3"/>
    <w:rsid w:val="007E530F"/>
    <w:rsid w:val="007E6BA4"/>
    <w:rsid w:val="007F19A2"/>
    <w:rsid w:val="007F21A1"/>
    <w:rsid w:val="007F41F8"/>
    <w:rsid w:val="007F5B4C"/>
    <w:rsid w:val="007F74AC"/>
    <w:rsid w:val="00801B30"/>
    <w:rsid w:val="00803BE9"/>
    <w:rsid w:val="00804000"/>
    <w:rsid w:val="0080454E"/>
    <w:rsid w:val="00804C32"/>
    <w:rsid w:val="00806302"/>
    <w:rsid w:val="00806382"/>
    <w:rsid w:val="00807119"/>
    <w:rsid w:val="008071D5"/>
    <w:rsid w:val="008073F4"/>
    <w:rsid w:val="00807FE8"/>
    <w:rsid w:val="00810019"/>
    <w:rsid w:val="008109E1"/>
    <w:rsid w:val="00811865"/>
    <w:rsid w:val="00814A55"/>
    <w:rsid w:val="0081547D"/>
    <w:rsid w:val="00823AB4"/>
    <w:rsid w:val="0082483F"/>
    <w:rsid w:val="00827849"/>
    <w:rsid w:val="008279C0"/>
    <w:rsid w:val="00831363"/>
    <w:rsid w:val="00841E70"/>
    <w:rsid w:val="00845226"/>
    <w:rsid w:val="008473AA"/>
    <w:rsid w:val="00850D55"/>
    <w:rsid w:val="00851A7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0F07"/>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4F14"/>
    <w:rsid w:val="008E5941"/>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51D6"/>
    <w:rsid w:val="00926D10"/>
    <w:rsid w:val="009275FE"/>
    <w:rsid w:val="00931D97"/>
    <w:rsid w:val="009355DB"/>
    <w:rsid w:val="00940C1F"/>
    <w:rsid w:val="00940DBF"/>
    <w:rsid w:val="00942123"/>
    <w:rsid w:val="0094263A"/>
    <w:rsid w:val="009437FC"/>
    <w:rsid w:val="00943E90"/>
    <w:rsid w:val="009466B4"/>
    <w:rsid w:val="00946EE0"/>
    <w:rsid w:val="0095029B"/>
    <w:rsid w:val="0095207B"/>
    <w:rsid w:val="009521C5"/>
    <w:rsid w:val="0095223A"/>
    <w:rsid w:val="009533CB"/>
    <w:rsid w:val="00953B5C"/>
    <w:rsid w:val="0095526F"/>
    <w:rsid w:val="00955728"/>
    <w:rsid w:val="00955CE0"/>
    <w:rsid w:val="009609CA"/>
    <w:rsid w:val="00961BC2"/>
    <w:rsid w:val="00962045"/>
    <w:rsid w:val="009661DE"/>
    <w:rsid w:val="00966E44"/>
    <w:rsid w:val="00966EAE"/>
    <w:rsid w:val="009703BD"/>
    <w:rsid w:val="009708BB"/>
    <w:rsid w:val="00971DB5"/>
    <w:rsid w:val="009727DF"/>
    <w:rsid w:val="009729E8"/>
    <w:rsid w:val="00975009"/>
    <w:rsid w:val="00975640"/>
    <w:rsid w:val="00975B29"/>
    <w:rsid w:val="00976DA5"/>
    <w:rsid w:val="009773BA"/>
    <w:rsid w:val="009809F2"/>
    <w:rsid w:val="00980DF0"/>
    <w:rsid w:val="00981608"/>
    <w:rsid w:val="00984680"/>
    <w:rsid w:val="00990F04"/>
    <w:rsid w:val="00991272"/>
    <w:rsid w:val="00991428"/>
    <w:rsid w:val="00992676"/>
    <w:rsid w:val="00997A85"/>
    <w:rsid w:val="009A0501"/>
    <w:rsid w:val="009A2BCA"/>
    <w:rsid w:val="009A4050"/>
    <w:rsid w:val="009A5354"/>
    <w:rsid w:val="009A6A10"/>
    <w:rsid w:val="009A6CAF"/>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733"/>
    <w:rsid w:val="009D5CDB"/>
    <w:rsid w:val="009D6709"/>
    <w:rsid w:val="009D753D"/>
    <w:rsid w:val="009E13C1"/>
    <w:rsid w:val="009E2A9C"/>
    <w:rsid w:val="009E2AEB"/>
    <w:rsid w:val="009E2E27"/>
    <w:rsid w:val="009E44C0"/>
    <w:rsid w:val="009E4776"/>
    <w:rsid w:val="009E4DE3"/>
    <w:rsid w:val="009E50C1"/>
    <w:rsid w:val="009F0C29"/>
    <w:rsid w:val="009F0C5A"/>
    <w:rsid w:val="00A02198"/>
    <w:rsid w:val="00A047EE"/>
    <w:rsid w:val="00A057CA"/>
    <w:rsid w:val="00A10DEA"/>
    <w:rsid w:val="00A136AF"/>
    <w:rsid w:val="00A13F8F"/>
    <w:rsid w:val="00A149B7"/>
    <w:rsid w:val="00A177BC"/>
    <w:rsid w:val="00A17930"/>
    <w:rsid w:val="00A2274A"/>
    <w:rsid w:val="00A235B7"/>
    <w:rsid w:val="00A249AC"/>
    <w:rsid w:val="00A27A7A"/>
    <w:rsid w:val="00A301D1"/>
    <w:rsid w:val="00A31881"/>
    <w:rsid w:val="00A40529"/>
    <w:rsid w:val="00A407EF"/>
    <w:rsid w:val="00A411B7"/>
    <w:rsid w:val="00A42023"/>
    <w:rsid w:val="00A45800"/>
    <w:rsid w:val="00A46B4C"/>
    <w:rsid w:val="00A5117B"/>
    <w:rsid w:val="00A560B6"/>
    <w:rsid w:val="00A566E3"/>
    <w:rsid w:val="00A56CF7"/>
    <w:rsid w:val="00A56DBC"/>
    <w:rsid w:val="00A60074"/>
    <w:rsid w:val="00A6098F"/>
    <w:rsid w:val="00A641E0"/>
    <w:rsid w:val="00A646E2"/>
    <w:rsid w:val="00A651A9"/>
    <w:rsid w:val="00A6627C"/>
    <w:rsid w:val="00A71019"/>
    <w:rsid w:val="00A71FEA"/>
    <w:rsid w:val="00A73B60"/>
    <w:rsid w:val="00A753CD"/>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4820"/>
    <w:rsid w:val="00AB5A37"/>
    <w:rsid w:val="00AB61D6"/>
    <w:rsid w:val="00AB685C"/>
    <w:rsid w:val="00AB6C2D"/>
    <w:rsid w:val="00AC08F7"/>
    <w:rsid w:val="00AC126D"/>
    <w:rsid w:val="00AC3075"/>
    <w:rsid w:val="00AC36E5"/>
    <w:rsid w:val="00AC3839"/>
    <w:rsid w:val="00AC5A18"/>
    <w:rsid w:val="00AC7082"/>
    <w:rsid w:val="00AD0662"/>
    <w:rsid w:val="00AD0B65"/>
    <w:rsid w:val="00AD1B6B"/>
    <w:rsid w:val="00AD1E30"/>
    <w:rsid w:val="00AD331C"/>
    <w:rsid w:val="00AD57A5"/>
    <w:rsid w:val="00AD65A8"/>
    <w:rsid w:val="00AD74AD"/>
    <w:rsid w:val="00AD76EF"/>
    <w:rsid w:val="00AD7A9A"/>
    <w:rsid w:val="00AE027F"/>
    <w:rsid w:val="00AE4D6F"/>
    <w:rsid w:val="00AF228E"/>
    <w:rsid w:val="00AF455B"/>
    <w:rsid w:val="00AF5899"/>
    <w:rsid w:val="00B0123F"/>
    <w:rsid w:val="00B031CD"/>
    <w:rsid w:val="00B04004"/>
    <w:rsid w:val="00B07A1B"/>
    <w:rsid w:val="00B12F13"/>
    <w:rsid w:val="00B14819"/>
    <w:rsid w:val="00B176FB"/>
    <w:rsid w:val="00B17AA9"/>
    <w:rsid w:val="00B20235"/>
    <w:rsid w:val="00B221FF"/>
    <w:rsid w:val="00B2292D"/>
    <w:rsid w:val="00B246B1"/>
    <w:rsid w:val="00B26B31"/>
    <w:rsid w:val="00B30A70"/>
    <w:rsid w:val="00B32674"/>
    <w:rsid w:val="00B333FE"/>
    <w:rsid w:val="00B3503B"/>
    <w:rsid w:val="00B366EC"/>
    <w:rsid w:val="00B378FA"/>
    <w:rsid w:val="00B42352"/>
    <w:rsid w:val="00B47908"/>
    <w:rsid w:val="00B51227"/>
    <w:rsid w:val="00B51975"/>
    <w:rsid w:val="00B52E4D"/>
    <w:rsid w:val="00B54F90"/>
    <w:rsid w:val="00B55C9E"/>
    <w:rsid w:val="00B56B95"/>
    <w:rsid w:val="00B607DF"/>
    <w:rsid w:val="00B6409C"/>
    <w:rsid w:val="00B64845"/>
    <w:rsid w:val="00B64A85"/>
    <w:rsid w:val="00B66053"/>
    <w:rsid w:val="00B66E95"/>
    <w:rsid w:val="00B7193E"/>
    <w:rsid w:val="00B72999"/>
    <w:rsid w:val="00B72FD7"/>
    <w:rsid w:val="00B736DF"/>
    <w:rsid w:val="00B74FBD"/>
    <w:rsid w:val="00B821F5"/>
    <w:rsid w:val="00B82586"/>
    <w:rsid w:val="00B829A3"/>
    <w:rsid w:val="00B84CE9"/>
    <w:rsid w:val="00B8524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B7C43"/>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4564"/>
    <w:rsid w:val="00BD5A37"/>
    <w:rsid w:val="00BD64FB"/>
    <w:rsid w:val="00BD71D7"/>
    <w:rsid w:val="00BD7D49"/>
    <w:rsid w:val="00BD7F40"/>
    <w:rsid w:val="00BE2464"/>
    <w:rsid w:val="00BE2FFF"/>
    <w:rsid w:val="00BF2B49"/>
    <w:rsid w:val="00BF2E7A"/>
    <w:rsid w:val="00BF3D02"/>
    <w:rsid w:val="00BF40B9"/>
    <w:rsid w:val="00BF50F7"/>
    <w:rsid w:val="00BF5D90"/>
    <w:rsid w:val="00C00231"/>
    <w:rsid w:val="00C01017"/>
    <w:rsid w:val="00C02F29"/>
    <w:rsid w:val="00C04632"/>
    <w:rsid w:val="00C07B0B"/>
    <w:rsid w:val="00C15A16"/>
    <w:rsid w:val="00C15BAC"/>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479"/>
    <w:rsid w:val="00C46EC1"/>
    <w:rsid w:val="00C50F86"/>
    <w:rsid w:val="00C53E2C"/>
    <w:rsid w:val="00C550BF"/>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736C"/>
    <w:rsid w:val="00C80272"/>
    <w:rsid w:val="00C82D87"/>
    <w:rsid w:val="00C843B6"/>
    <w:rsid w:val="00C8712A"/>
    <w:rsid w:val="00C92A0D"/>
    <w:rsid w:val="00C952A2"/>
    <w:rsid w:val="00C963D3"/>
    <w:rsid w:val="00C97C74"/>
    <w:rsid w:val="00CA0B50"/>
    <w:rsid w:val="00CA1802"/>
    <w:rsid w:val="00CA6E99"/>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369E"/>
    <w:rsid w:val="00D2550E"/>
    <w:rsid w:val="00D256C6"/>
    <w:rsid w:val="00D25F51"/>
    <w:rsid w:val="00D35229"/>
    <w:rsid w:val="00D3548D"/>
    <w:rsid w:val="00D35ADE"/>
    <w:rsid w:val="00D35EAE"/>
    <w:rsid w:val="00D4685B"/>
    <w:rsid w:val="00D47D0C"/>
    <w:rsid w:val="00D5192B"/>
    <w:rsid w:val="00D57C59"/>
    <w:rsid w:val="00D60215"/>
    <w:rsid w:val="00D60874"/>
    <w:rsid w:val="00D623AA"/>
    <w:rsid w:val="00D63EFD"/>
    <w:rsid w:val="00D6588F"/>
    <w:rsid w:val="00D664BB"/>
    <w:rsid w:val="00D676F1"/>
    <w:rsid w:val="00D714E4"/>
    <w:rsid w:val="00D761ED"/>
    <w:rsid w:val="00D829EB"/>
    <w:rsid w:val="00D84752"/>
    <w:rsid w:val="00D86851"/>
    <w:rsid w:val="00D86A74"/>
    <w:rsid w:val="00D86B3B"/>
    <w:rsid w:val="00D8748A"/>
    <w:rsid w:val="00D876B4"/>
    <w:rsid w:val="00D905E4"/>
    <w:rsid w:val="00D910D5"/>
    <w:rsid w:val="00D93196"/>
    <w:rsid w:val="00D931A2"/>
    <w:rsid w:val="00D93BCC"/>
    <w:rsid w:val="00D97393"/>
    <w:rsid w:val="00DA42DA"/>
    <w:rsid w:val="00DA42EF"/>
    <w:rsid w:val="00DB1A35"/>
    <w:rsid w:val="00DB243C"/>
    <w:rsid w:val="00DB482A"/>
    <w:rsid w:val="00DB56F2"/>
    <w:rsid w:val="00DB5A5A"/>
    <w:rsid w:val="00DB5D9B"/>
    <w:rsid w:val="00DB6EF5"/>
    <w:rsid w:val="00DC2A3F"/>
    <w:rsid w:val="00DC2BEC"/>
    <w:rsid w:val="00DC2FDB"/>
    <w:rsid w:val="00DC3089"/>
    <w:rsid w:val="00DC38CC"/>
    <w:rsid w:val="00DC4420"/>
    <w:rsid w:val="00DC5898"/>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294B"/>
    <w:rsid w:val="00DE475E"/>
    <w:rsid w:val="00DE6633"/>
    <w:rsid w:val="00DF056D"/>
    <w:rsid w:val="00DF1DFD"/>
    <w:rsid w:val="00DF4D51"/>
    <w:rsid w:val="00DF687B"/>
    <w:rsid w:val="00DF75F8"/>
    <w:rsid w:val="00DF7A3A"/>
    <w:rsid w:val="00DF7AD4"/>
    <w:rsid w:val="00E009E1"/>
    <w:rsid w:val="00E00C00"/>
    <w:rsid w:val="00E00E54"/>
    <w:rsid w:val="00E015EA"/>
    <w:rsid w:val="00E01C69"/>
    <w:rsid w:val="00E041F9"/>
    <w:rsid w:val="00E05837"/>
    <w:rsid w:val="00E07232"/>
    <w:rsid w:val="00E07C5A"/>
    <w:rsid w:val="00E10884"/>
    <w:rsid w:val="00E10A73"/>
    <w:rsid w:val="00E12C13"/>
    <w:rsid w:val="00E154BB"/>
    <w:rsid w:val="00E15BA9"/>
    <w:rsid w:val="00E161D2"/>
    <w:rsid w:val="00E164F5"/>
    <w:rsid w:val="00E177E2"/>
    <w:rsid w:val="00E17BF1"/>
    <w:rsid w:val="00E22DE4"/>
    <w:rsid w:val="00E25FB8"/>
    <w:rsid w:val="00E26E19"/>
    <w:rsid w:val="00E31DF3"/>
    <w:rsid w:val="00E3439D"/>
    <w:rsid w:val="00E36E41"/>
    <w:rsid w:val="00E37049"/>
    <w:rsid w:val="00E4126D"/>
    <w:rsid w:val="00E430CA"/>
    <w:rsid w:val="00E450A4"/>
    <w:rsid w:val="00E506BE"/>
    <w:rsid w:val="00E518B6"/>
    <w:rsid w:val="00E525B9"/>
    <w:rsid w:val="00E53AE9"/>
    <w:rsid w:val="00E54ADD"/>
    <w:rsid w:val="00E55547"/>
    <w:rsid w:val="00E55E9B"/>
    <w:rsid w:val="00E6102F"/>
    <w:rsid w:val="00E6211B"/>
    <w:rsid w:val="00E6302B"/>
    <w:rsid w:val="00E64302"/>
    <w:rsid w:val="00E6452F"/>
    <w:rsid w:val="00E64F45"/>
    <w:rsid w:val="00E6525B"/>
    <w:rsid w:val="00E6742D"/>
    <w:rsid w:val="00E71CB0"/>
    <w:rsid w:val="00E72F8D"/>
    <w:rsid w:val="00E7537E"/>
    <w:rsid w:val="00E7793C"/>
    <w:rsid w:val="00E77C3D"/>
    <w:rsid w:val="00E80299"/>
    <w:rsid w:val="00E8272F"/>
    <w:rsid w:val="00E84DA5"/>
    <w:rsid w:val="00E84DD5"/>
    <w:rsid w:val="00E86549"/>
    <w:rsid w:val="00E86D64"/>
    <w:rsid w:val="00E908E9"/>
    <w:rsid w:val="00E909F0"/>
    <w:rsid w:val="00E90B4B"/>
    <w:rsid w:val="00E90D47"/>
    <w:rsid w:val="00E91BE6"/>
    <w:rsid w:val="00E92DA7"/>
    <w:rsid w:val="00E93993"/>
    <w:rsid w:val="00E950C0"/>
    <w:rsid w:val="00E9597C"/>
    <w:rsid w:val="00EA0879"/>
    <w:rsid w:val="00EA0913"/>
    <w:rsid w:val="00EA4BF6"/>
    <w:rsid w:val="00EA4D77"/>
    <w:rsid w:val="00EA5317"/>
    <w:rsid w:val="00EA6550"/>
    <w:rsid w:val="00EA68B1"/>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B70"/>
    <w:rsid w:val="00EE5F7D"/>
    <w:rsid w:val="00EE6390"/>
    <w:rsid w:val="00EE7278"/>
    <w:rsid w:val="00EF090E"/>
    <w:rsid w:val="00EF16B6"/>
    <w:rsid w:val="00EF1B1A"/>
    <w:rsid w:val="00EF2D08"/>
    <w:rsid w:val="00EF5705"/>
    <w:rsid w:val="00EF6653"/>
    <w:rsid w:val="00EF75BD"/>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93D"/>
    <w:rsid w:val="00F50D48"/>
    <w:rsid w:val="00F52255"/>
    <w:rsid w:val="00F5239B"/>
    <w:rsid w:val="00F52552"/>
    <w:rsid w:val="00F52E31"/>
    <w:rsid w:val="00F54776"/>
    <w:rsid w:val="00F5524B"/>
    <w:rsid w:val="00F5710B"/>
    <w:rsid w:val="00F61DD2"/>
    <w:rsid w:val="00F62000"/>
    <w:rsid w:val="00F63720"/>
    <w:rsid w:val="00F65FB6"/>
    <w:rsid w:val="00F66AFF"/>
    <w:rsid w:val="00F67BEF"/>
    <w:rsid w:val="00F71433"/>
    <w:rsid w:val="00F71CE8"/>
    <w:rsid w:val="00F738B0"/>
    <w:rsid w:val="00F801C5"/>
    <w:rsid w:val="00F83231"/>
    <w:rsid w:val="00F85A51"/>
    <w:rsid w:val="00F85C0B"/>
    <w:rsid w:val="00F85DB2"/>
    <w:rsid w:val="00F90903"/>
    <w:rsid w:val="00F91FA7"/>
    <w:rsid w:val="00F94D37"/>
    <w:rsid w:val="00F95955"/>
    <w:rsid w:val="00F96AF1"/>
    <w:rsid w:val="00F97C5B"/>
    <w:rsid w:val="00FA29FD"/>
    <w:rsid w:val="00FA2A46"/>
    <w:rsid w:val="00FA3739"/>
    <w:rsid w:val="00FA3D50"/>
    <w:rsid w:val="00FA43E7"/>
    <w:rsid w:val="00FB2C81"/>
    <w:rsid w:val="00FB4A2F"/>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245E"/>
    <w:rsid w:val="00FD36C5"/>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 w:val="00FF7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4354</Words>
  <Characters>24821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Kyle Caesar R. Filomeno</cp:lastModifiedBy>
  <cp:revision>5</cp:revision>
  <cp:lastPrinted>2020-06-12T02:43:00Z</cp:lastPrinted>
  <dcterms:created xsi:type="dcterms:W3CDTF">2023-11-15T08:56:00Z</dcterms:created>
  <dcterms:modified xsi:type="dcterms:W3CDTF">2023-11-15T08:58:00Z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y fmtid="{D5CDD505-2E9C-101B-9397-08002B2CF9AE}" pid="3" name="ClassificationContentMarkingFooterShapeIds">
    <vt:lpwstr>cc8f8ec,833ed8e,2f6cbd69</vt:lpwstr>
  </property>
  <property fmtid="{D5CDD505-2E9C-101B-9397-08002B2CF9AE}" pid="4" name="ClassificationContentMarkingFooterFontProps">
    <vt:lpwstr>#000000,9,Calibri</vt:lpwstr>
  </property>
  <property fmtid="{D5CDD505-2E9C-101B-9397-08002B2CF9AE}" pid="5" name="ClassificationContentMarkingFooterText">
    <vt:lpwstr>INTERNAL. This information is accessible to ADB Management and staff. It may be shared outside ADB with appropriate permission.</vt:lpwstr>
  </property>
  <property fmtid="{D5CDD505-2E9C-101B-9397-08002B2CF9AE}" pid="6" name="MSIP_Label_817d4574-7375-4d17-b29c-6e4c6df0fcb0_Enabled">
    <vt:lpwstr>true</vt:lpwstr>
  </property>
  <property fmtid="{D5CDD505-2E9C-101B-9397-08002B2CF9AE}" pid="7" name="MSIP_Label_817d4574-7375-4d17-b29c-6e4c6df0fcb0_SetDate">
    <vt:lpwstr>2023-11-15T08:58:44Z</vt:lpwstr>
  </property>
  <property fmtid="{D5CDD505-2E9C-101B-9397-08002B2CF9AE}" pid="8" name="MSIP_Label_817d4574-7375-4d17-b29c-6e4c6df0fcb0_Method">
    <vt:lpwstr>Standard</vt:lpwstr>
  </property>
  <property fmtid="{D5CDD505-2E9C-101B-9397-08002B2CF9AE}" pid="9" name="MSIP_Label_817d4574-7375-4d17-b29c-6e4c6df0fcb0_Name">
    <vt:lpwstr>ADB Internal</vt:lpwstr>
  </property>
  <property fmtid="{D5CDD505-2E9C-101B-9397-08002B2CF9AE}" pid="10" name="MSIP_Label_817d4574-7375-4d17-b29c-6e4c6df0fcb0_SiteId">
    <vt:lpwstr>9495d6bb-41c2-4c58-848f-92e52cf3d640</vt:lpwstr>
  </property>
  <property fmtid="{D5CDD505-2E9C-101B-9397-08002B2CF9AE}" pid="11" name="MSIP_Label_817d4574-7375-4d17-b29c-6e4c6df0fcb0_ActionId">
    <vt:lpwstr>3c072ba0-e416-4be8-ab30-f59ba126562d</vt:lpwstr>
  </property>
  <property fmtid="{D5CDD505-2E9C-101B-9397-08002B2CF9AE}" pid="12" name="MSIP_Label_817d4574-7375-4d17-b29c-6e4c6df0fcb0_ContentBits">
    <vt:lpwstr>2</vt:lpwstr>
  </property>
</Properties>
</file>