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C05731" w:rsidRDefault="00806382" w:rsidP="00806382">
      <w:pPr>
        <w:pStyle w:val="ListParagraph"/>
        <w:numPr>
          <w:ilvl w:val="0"/>
          <w:numId w:val="15"/>
        </w:numPr>
        <w:ind w:left="425" w:hanging="357"/>
        <w:jc w:val="both"/>
        <w:rPr>
          <w:rFonts w:ascii="Avenir Next" w:hAnsi="Avenir Next" w:cs="Arial"/>
          <w:sz w:val="22"/>
          <w:szCs w:val="22"/>
          <w:highlight w:val="yellow"/>
        </w:rPr>
      </w:pPr>
      <w:r w:rsidRPr="00C05731">
        <w:rPr>
          <w:rFonts w:ascii="Avenir Next" w:hAnsi="Avenir Next" w:cs="Arial"/>
          <w:sz w:val="22"/>
          <w:szCs w:val="22"/>
          <w:highlight w:val="yellow"/>
        </w:rPr>
        <w:t xml:space="preserve">This statement is untrue since the word </w:t>
      </w:r>
      <w:r w:rsidR="00823AB4" w:rsidRPr="00C05731">
        <w:rPr>
          <w:rFonts w:ascii="Avenir Next" w:hAnsi="Avenir Next" w:cs="Arial"/>
          <w:sz w:val="22"/>
          <w:szCs w:val="22"/>
          <w:highlight w:val="yellow"/>
        </w:rPr>
        <w:t>“</w:t>
      </w:r>
      <w:r w:rsidRPr="00C05731">
        <w:rPr>
          <w:rFonts w:ascii="Avenir Next" w:hAnsi="Avenir Next" w:cs="Arial"/>
          <w:sz w:val="22"/>
          <w:szCs w:val="22"/>
          <w:highlight w:val="yellow"/>
        </w:rPr>
        <w:t>bankruptcy</w:t>
      </w:r>
      <w:r w:rsidR="00823AB4" w:rsidRPr="00C05731">
        <w:rPr>
          <w:rFonts w:ascii="Avenir Next" w:hAnsi="Avenir Next" w:cs="Arial"/>
          <w:sz w:val="22"/>
          <w:szCs w:val="22"/>
          <w:highlight w:val="yellow"/>
        </w:rPr>
        <w:t>”</w:t>
      </w:r>
      <w:r w:rsidRPr="00C05731">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A42DA" w:rsidRDefault="001211E6" w:rsidP="001211E6">
      <w:pPr>
        <w:pStyle w:val="ListParagraph"/>
        <w:numPr>
          <w:ilvl w:val="0"/>
          <w:numId w:val="16"/>
        </w:numPr>
        <w:ind w:left="426"/>
        <w:jc w:val="both"/>
        <w:rPr>
          <w:rFonts w:ascii="Avenir Next" w:hAnsi="Avenir Next" w:cs="Arial"/>
          <w:sz w:val="22"/>
          <w:szCs w:val="22"/>
        </w:rPr>
      </w:pPr>
      <w:r w:rsidRPr="00DA42DA">
        <w:rPr>
          <w:rFonts w:ascii="Avenir Next" w:hAnsi="Avenir Next" w:cs="Arial"/>
          <w:sz w:val="22"/>
          <w:szCs w:val="22"/>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sidRPr="0007467B">
        <w:rPr>
          <w:rFonts w:ascii="Avenir Next" w:hAnsi="Avenir Next" w:cs="Arial"/>
          <w:sz w:val="22"/>
          <w:szCs w:val="22"/>
          <w:highlight w:val="yellow"/>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r w:rsidRPr="00F848C9">
        <w:rPr>
          <w:rFonts w:ascii="Avenir Next" w:hAnsi="Avenir Next" w:cs="Arial"/>
          <w:sz w:val="22"/>
          <w:szCs w:val="22"/>
        </w:rPr>
        <w:t>.</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05731"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0573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C05731">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035A80" w:rsidRDefault="006514CD" w:rsidP="006514CD">
      <w:pPr>
        <w:pStyle w:val="ListParagraph"/>
        <w:numPr>
          <w:ilvl w:val="0"/>
          <w:numId w:val="19"/>
        </w:numPr>
        <w:ind w:left="425" w:hanging="357"/>
        <w:jc w:val="both"/>
        <w:rPr>
          <w:rFonts w:ascii="Avenir Next" w:hAnsi="Avenir Next" w:cs="Arial"/>
          <w:sz w:val="22"/>
          <w:szCs w:val="22"/>
          <w:highlight w:val="yellow"/>
        </w:rPr>
      </w:pPr>
      <w:r w:rsidRPr="00035A80">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F64B64"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F64B64">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lastRenderedPageBreak/>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64B64" w:rsidRDefault="00AD76EF" w:rsidP="00AD76EF">
      <w:pPr>
        <w:pStyle w:val="ListParagraph"/>
        <w:numPr>
          <w:ilvl w:val="0"/>
          <w:numId w:val="17"/>
        </w:numPr>
        <w:ind w:left="426"/>
        <w:jc w:val="both"/>
        <w:rPr>
          <w:rFonts w:ascii="Avenir Next" w:hAnsi="Avenir Next" w:cs="Arial"/>
          <w:sz w:val="22"/>
          <w:szCs w:val="22"/>
          <w:highlight w:val="yellow"/>
        </w:rPr>
      </w:pPr>
      <w:r w:rsidRPr="00F64B64">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64B64"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64B64">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F64B64" w:rsidRDefault="009661DE" w:rsidP="009661DE">
      <w:pPr>
        <w:pStyle w:val="ListParagraph"/>
        <w:numPr>
          <w:ilvl w:val="0"/>
          <w:numId w:val="23"/>
        </w:numPr>
        <w:ind w:left="426"/>
        <w:jc w:val="both"/>
        <w:rPr>
          <w:rFonts w:ascii="Avenir Next" w:hAnsi="Avenir Next" w:cs="Arial"/>
          <w:sz w:val="22"/>
          <w:szCs w:val="22"/>
          <w:highlight w:val="yellow"/>
        </w:rPr>
      </w:pPr>
      <w:r w:rsidRPr="00F64B64">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F64B64" w:rsidRDefault="003B3A0D" w:rsidP="003B3A0D">
      <w:pPr>
        <w:pStyle w:val="ListParagraph"/>
        <w:numPr>
          <w:ilvl w:val="0"/>
          <w:numId w:val="24"/>
        </w:numPr>
        <w:ind w:left="426"/>
        <w:jc w:val="both"/>
        <w:rPr>
          <w:rFonts w:ascii="Avenir Next" w:hAnsi="Avenir Next" w:cs="Arial"/>
          <w:sz w:val="22"/>
          <w:szCs w:val="22"/>
          <w:highlight w:val="yellow"/>
        </w:rPr>
      </w:pPr>
      <w:r w:rsidRPr="00F64B64">
        <w:rPr>
          <w:rFonts w:ascii="Avenir Next" w:hAnsi="Avenir Next" w:cs="Arial"/>
          <w:sz w:val="22"/>
          <w:szCs w:val="22"/>
          <w:highlight w:val="yellow"/>
        </w:rPr>
        <w:t xml:space="preserve">This statement is untrue because universalism corresponds well to </w:t>
      </w:r>
      <w:proofErr w:type="spellStart"/>
      <w:r w:rsidRPr="00F64B64">
        <w:rPr>
          <w:rFonts w:ascii="Avenir Next" w:hAnsi="Avenir Next" w:cs="Arial"/>
          <w:sz w:val="22"/>
          <w:szCs w:val="22"/>
          <w:highlight w:val="yellow"/>
        </w:rPr>
        <w:t>globali</w:t>
      </w:r>
      <w:r w:rsidR="00142E15" w:rsidRPr="00F64B64">
        <w:rPr>
          <w:rFonts w:ascii="Avenir Next" w:hAnsi="Avenir Next" w:cs="Arial"/>
          <w:sz w:val="22"/>
          <w:szCs w:val="22"/>
          <w:highlight w:val="yellow"/>
        </w:rPr>
        <w:t>s</w:t>
      </w:r>
      <w:r w:rsidRPr="00F64B64">
        <w:rPr>
          <w:rFonts w:ascii="Avenir Next" w:hAnsi="Avenir Next" w:cs="Arial"/>
          <w:sz w:val="22"/>
          <w:szCs w:val="22"/>
          <w:highlight w:val="yellow"/>
        </w:rPr>
        <w:t>ation</w:t>
      </w:r>
      <w:proofErr w:type="spellEnd"/>
      <w:r w:rsidRPr="00F64B64">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2370F2BF" w14:textId="78F126BD" w:rsidR="00035A80" w:rsidRDefault="00035A8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Civil law roots link back to Roman law, where the debtor could pledge his/her own body for the repayment of the loan. This debt execution meant the individual could be sentenced to death, </w:t>
      </w:r>
      <w:proofErr w:type="gramStart"/>
      <w:r>
        <w:rPr>
          <w:rFonts w:ascii="Avenir Next" w:hAnsi="Avenir Next" w:cs="Arial"/>
          <w:color w:val="808080" w:themeColor="background1" w:themeShade="80"/>
          <w:sz w:val="22"/>
          <w:szCs w:val="22"/>
          <w:lang w:val="en-GB"/>
        </w:rPr>
        <w:t>imprisoned</w:t>
      </w:r>
      <w:proofErr w:type="gramEnd"/>
      <w:r>
        <w:rPr>
          <w:rFonts w:ascii="Avenir Next" w:hAnsi="Avenir Next" w:cs="Arial"/>
          <w:color w:val="808080" w:themeColor="background1" w:themeShade="80"/>
          <w:sz w:val="22"/>
          <w:szCs w:val="22"/>
          <w:lang w:val="en-GB"/>
        </w:rPr>
        <w:t xml:space="preserve"> or even sold as a slave in order to assure the repayment of the debt. Due to developments of/through insolvency law, countries which had more Germanic or Roman law character, have laws that were influenced </w:t>
      </w:r>
      <w:proofErr w:type="gramStart"/>
      <w:r>
        <w:rPr>
          <w:rFonts w:ascii="Avenir Next" w:hAnsi="Avenir Next" w:cs="Arial"/>
          <w:color w:val="808080" w:themeColor="background1" w:themeShade="80"/>
          <w:sz w:val="22"/>
          <w:szCs w:val="22"/>
          <w:lang w:val="en-GB"/>
        </w:rPr>
        <w:t>as a result of</w:t>
      </w:r>
      <w:proofErr w:type="gramEnd"/>
      <w:r>
        <w:rPr>
          <w:rFonts w:ascii="Avenir Next" w:hAnsi="Avenir Next" w:cs="Arial"/>
          <w:color w:val="808080" w:themeColor="background1" w:themeShade="80"/>
          <w:sz w:val="22"/>
          <w:szCs w:val="22"/>
          <w:lang w:val="en-GB"/>
        </w:rPr>
        <w:t xml:space="preserve"> Lex </w:t>
      </w:r>
      <w:proofErr w:type="spellStart"/>
      <w:r>
        <w:rPr>
          <w:rFonts w:ascii="Avenir Next" w:hAnsi="Avenir Next" w:cs="Arial"/>
          <w:color w:val="808080" w:themeColor="background1" w:themeShade="80"/>
          <w:sz w:val="22"/>
          <w:szCs w:val="22"/>
          <w:lang w:val="en-GB"/>
        </w:rPr>
        <w:t>Mercatoria</w:t>
      </w:r>
      <w:proofErr w:type="spellEnd"/>
      <w:r>
        <w:rPr>
          <w:rFonts w:ascii="Avenir Next" w:hAnsi="Avenir Next" w:cs="Arial"/>
          <w:color w:val="808080" w:themeColor="background1" w:themeShade="80"/>
          <w:sz w:val="22"/>
          <w:szCs w:val="22"/>
          <w:lang w:val="en-GB"/>
        </w:rPr>
        <w:t xml:space="preserve">. Civil law systems a prevalent in European countries such as the Netherlands, France, </w:t>
      </w:r>
      <w:proofErr w:type="gramStart"/>
      <w:r>
        <w:rPr>
          <w:rFonts w:ascii="Avenir Next" w:hAnsi="Avenir Next" w:cs="Arial"/>
          <w:color w:val="808080" w:themeColor="background1" w:themeShade="80"/>
          <w:sz w:val="22"/>
          <w:szCs w:val="22"/>
          <w:lang w:val="en-GB"/>
        </w:rPr>
        <w:t>Germany</w:t>
      </w:r>
      <w:proofErr w:type="gramEnd"/>
      <w:r>
        <w:rPr>
          <w:rFonts w:ascii="Avenir Next" w:hAnsi="Avenir Next" w:cs="Arial"/>
          <w:color w:val="808080" w:themeColor="background1" w:themeShade="80"/>
          <w:sz w:val="22"/>
          <w:szCs w:val="22"/>
          <w:lang w:val="en-GB"/>
        </w:rPr>
        <w:t xml:space="preserve"> and Spain. English law, other the other hand, only introduced the option of imprisonment for debt with the Statute of </w:t>
      </w:r>
      <w:proofErr w:type="spellStart"/>
      <w:r>
        <w:rPr>
          <w:rFonts w:ascii="Avenir Next" w:hAnsi="Avenir Next" w:cs="Arial"/>
          <w:color w:val="808080" w:themeColor="background1" w:themeShade="80"/>
          <w:sz w:val="22"/>
          <w:szCs w:val="22"/>
          <w:lang w:val="en-GB"/>
        </w:rPr>
        <w:t>Marlbridge</w:t>
      </w:r>
      <w:proofErr w:type="spellEnd"/>
      <w:r>
        <w:rPr>
          <w:rFonts w:ascii="Avenir Next" w:hAnsi="Avenir Next" w:cs="Arial"/>
          <w:color w:val="808080" w:themeColor="background1" w:themeShade="80"/>
          <w:sz w:val="22"/>
          <w:szCs w:val="22"/>
          <w:lang w:val="en-GB"/>
        </w:rPr>
        <w:t xml:space="preserve"> of 1267 and the term “bankrupt” only came around in the early 16</w:t>
      </w:r>
      <w:r w:rsidRPr="00035A80">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Under English law and through the development of insolvency, allowed for individual debt-collecting procedures before a collective bankruptcy procedure was developed. English law which is also known as “common law” is found more Anglo-American countries, such as the UK and America, plus Australia. </w:t>
      </w:r>
    </w:p>
    <w:p w14:paraId="11E9B75D" w14:textId="77777777" w:rsidR="00035A80" w:rsidRDefault="00035A80" w:rsidP="00692852">
      <w:pPr>
        <w:jc w:val="both"/>
        <w:rPr>
          <w:rFonts w:ascii="Avenir Next" w:hAnsi="Avenir Next" w:cs="Arial"/>
          <w:color w:val="808080" w:themeColor="background1" w:themeShade="80"/>
          <w:sz w:val="22"/>
          <w:szCs w:val="22"/>
          <w:lang w:val="en-GB"/>
        </w:rPr>
      </w:pP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76ECE8D2" w:rsidR="00DA42DA" w:rsidRPr="00DA42DA" w:rsidRDefault="00035A8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implies that there should only be one insolvency proceeding used to cover all the debtor’s assets and debts worldwide. </w:t>
      </w:r>
      <w:r w:rsidRPr="00035A80">
        <w:rPr>
          <w:rFonts w:ascii="Avenir Next" w:hAnsi="Avenir Next" w:cs="Arial"/>
          <w:color w:val="808080" w:themeColor="background1" w:themeShade="80"/>
          <w:sz w:val="22"/>
          <w:szCs w:val="22"/>
          <w:lang w:val="en-GB"/>
        </w:rPr>
        <w:t>Territorial</w:t>
      </w:r>
      <w:r>
        <w:rPr>
          <w:rFonts w:ascii="Avenir Next" w:hAnsi="Avenir Next" w:cs="Arial"/>
          <w:color w:val="808080" w:themeColor="background1" w:themeShade="80"/>
          <w:sz w:val="22"/>
          <w:szCs w:val="22"/>
          <w:lang w:val="en-GB"/>
        </w:rPr>
        <w:t xml:space="preserve">ism </w:t>
      </w:r>
      <w:r w:rsidRPr="00035A80">
        <w:rPr>
          <w:rFonts w:ascii="Avenir Next" w:hAnsi="Avenir Next" w:cs="Arial"/>
          <w:color w:val="808080" w:themeColor="background1" w:themeShade="80"/>
          <w:sz w:val="22"/>
          <w:szCs w:val="22"/>
          <w:lang w:val="en-GB"/>
        </w:rPr>
        <w:t>is the opposite where it allow</w:t>
      </w:r>
      <w:r>
        <w:rPr>
          <w:rFonts w:ascii="Avenir Next" w:hAnsi="Avenir Next" w:cs="Arial"/>
          <w:color w:val="808080" w:themeColor="background1" w:themeShade="80"/>
          <w:sz w:val="22"/>
          <w:szCs w:val="22"/>
          <w:lang w:val="en-GB"/>
        </w:rPr>
        <w:t xml:space="preserve">s </w:t>
      </w:r>
      <w:r w:rsidRPr="00035A80">
        <w:rPr>
          <w:rFonts w:ascii="Avenir Next" w:hAnsi="Avenir Next" w:cs="Arial"/>
          <w:color w:val="808080" w:themeColor="background1" w:themeShade="80"/>
          <w:sz w:val="22"/>
          <w:szCs w:val="22"/>
          <w:lang w:val="en-GB"/>
        </w:rPr>
        <w:t xml:space="preserve">for insolvency proceedings to be commenced </w:t>
      </w:r>
      <w:r>
        <w:rPr>
          <w:rFonts w:ascii="Avenir Next" w:hAnsi="Avenir Next" w:cs="Arial"/>
          <w:color w:val="808080" w:themeColor="background1" w:themeShade="80"/>
          <w:sz w:val="22"/>
          <w:szCs w:val="22"/>
          <w:lang w:val="en-GB"/>
        </w:rPr>
        <w:t xml:space="preserve">in </w:t>
      </w:r>
      <w:r w:rsidRPr="00035A80">
        <w:rPr>
          <w:rFonts w:ascii="Avenir Next" w:hAnsi="Avenir Next" w:cs="Arial"/>
          <w:color w:val="808080" w:themeColor="background1" w:themeShade="80"/>
          <w:sz w:val="22"/>
          <w:szCs w:val="22"/>
          <w:lang w:val="en-GB"/>
        </w:rPr>
        <w:t>every jurisdiction</w:t>
      </w:r>
      <w:r>
        <w:rPr>
          <w:rFonts w:ascii="Avenir Next" w:hAnsi="Avenir Next" w:cs="Arial"/>
          <w:color w:val="808080" w:themeColor="background1" w:themeShade="80"/>
          <w:sz w:val="22"/>
          <w:szCs w:val="22"/>
          <w:lang w:val="en-GB"/>
        </w:rPr>
        <w:t xml:space="preserve"> or state</w:t>
      </w:r>
      <w:r w:rsidRPr="00035A80">
        <w:rPr>
          <w:rFonts w:ascii="Avenir Next" w:hAnsi="Avenir Next" w:cs="Arial"/>
          <w:color w:val="808080" w:themeColor="background1" w:themeShade="80"/>
          <w:sz w:val="22"/>
          <w:szCs w:val="22"/>
          <w:lang w:val="en-GB"/>
        </w:rPr>
        <w:t xml:space="preserve"> in which the debtor holds assets.</w:t>
      </w:r>
      <w:r>
        <w:rPr>
          <w:rFonts w:ascii="Avenir Next" w:hAnsi="Avenir Next" w:cs="Arial"/>
          <w:color w:val="808080" w:themeColor="background1" w:themeShade="80"/>
          <w:sz w:val="22"/>
          <w:szCs w:val="22"/>
          <w:lang w:val="en-GB"/>
        </w:rPr>
        <w:t xml:space="preserve"> Modified universalism comes in when national States do not adopt universalism in </w:t>
      </w:r>
      <w:proofErr w:type="spellStart"/>
      <w:proofErr w:type="gramStart"/>
      <w:r>
        <w:rPr>
          <w:rFonts w:ascii="Avenir Next" w:hAnsi="Avenir Next" w:cs="Arial"/>
          <w:color w:val="808080" w:themeColor="background1" w:themeShade="80"/>
          <w:sz w:val="22"/>
          <w:szCs w:val="22"/>
          <w:lang w:val="en-GB"/>
        </w:rPr>
        <w:t>it’s</w:t>
      </w:r>
      <w:proofErr w:type="spellEnd"/>
      <w:proofErr w:type="gramEnd"/>
      <w:r>
        <w:rPr>
          <w:rFonts w:ascii="Avenir Next" w:hAnsi="Avenir Next" w:cs="Arial"/>
          <w:color w:val="808080" w:themeColor="background1" w:themeShade="80"/>
          <w:sz w:val="22"/>
          <w:szCs w:val="22"/>
          <w:lang w:val="en-GB"/>
        </w:rPr>
        <w:t xml:space="preserve"> purest form. The main difference usually has to do with the jurisdictions relating to COMI. For example, universalism would assume that the State where the debtor has its COMI would be insolvency laws that are followed, territorialism would be mean that each State where a proceeding is opened will follow their own laws and then modified universalism would mean that the main proceeding would be opened in the State which is the COMI and all other proceedings will be used to support the main and co-operate together.</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115E04A3" w14:textId="1EFC8947" w:rsidR="00035A80" w:rsidRDefault="00035A8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private international law, a series of general treaties were developed to help manage the international insolvency issues. These initiatives/treaties are The Montevideo Treaties (1889) and (1940), and the Havana Convention on Private International Law (1928), both include a chapter or title on insolvency. </w:t>
      </w:r>
    </w:p>
    <w:p w14:paraId="7B57A05A" w14:textId="18E79B87" w:rsidR="00035A80" w:rsidRDefault="00035A8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Montevideo Treaty on International Commercial Law (1889) covers 6 countries, and the Montevideo Treaty on International Commercial Terrestrial Law (1940) is only ratified by 3 of the original states in the 1889 treaty and, also contains a title on Bankruptcy. If any international insolvency issues arise between any 2 or more of the Montevideo Treaty States, the issues will be carefully analysed to determine which treaties may apply. The 1889 Treaty covers both personal and cooperate insolvency. </w:t>
      </w:r>
    </w:p>
    <w:p w14:paraId="3EE5C022" w14:textId="6F311F2E" w:rsidR="00035A80" w:rsidRDefault="00035A8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Havana Convention on Private International Law (the Bustamante Code) was formed in 1928 between 15 Latin and Middle American States. With this law there may be concurrent proceedings within the States that include commercial establishments operating entirely separately economically.  The law, however, does not stipulate procedures for co-operation or co-ordination of any concurrent proceeding.</w:t>
      </w:r>
    </w:p>
    <w:p w14:paraId="61900735" w14:textId="2540D512" w:rsidR="00DA42DA" w:rsidRPr="00DA42DA" w:rsidRDefault="00035A8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differences between these initiatives are the member States covered within the treaties and the extent to which a single proceeding with the universal effect throughout the member States in allowed, for example, the Montevideo treaties are less supportive of this.</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750909D7" w:rsidR="00DA42DA" w:rsidRDefault="00035A8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I agree with this statement due to the historical roots of the words, but also by definition, the term bankruptcy is usually referred to as the formal state of insolvency,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by law the person or entity is declared as bankrupt. </w:t>
      </w:r>
    </w:p>
    <w:p w14:paraId="77931171" w14:textId="40D912C6" w:rsidR="00035A80" w:rsidRDefault="00035A8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refers to when a debtor is unable to pay their debts at maturity or when liabilities exceed the value of assets. As mentioned previously, bankruptcy </w:t>
      </w:r>
      <w:r w:rsidR="00642A57">
        <w:rPr>
          <w:rFonts w:ascii="Avenir Next" w:hAnsi="Avenir Next" w:cs="Arial"/>
          <w:color w:val="808080" w:themeColor="background1" w:themeShade="80"/>
          <w:sz w:val="22"/>
          <w:szCs w:val="22"/>
          <w:lang w:val="en-GB"/>
        </w:rPr>
        <w:t xml:space="preserve">can </w:t>
      </w:r>
      <w:r>
        <w:rPr>
          <w:rFonts w:ascii="Avenir Next" w:hAnsi="Avenir Next" w:cs="Arial"/>
          <w:color w:val="808080" w:themeColor="background1" w:themeShade="80"/>
          <w:sz w:val="22"/>
          <w:szCs w:val="22"/>
          <w:lang w:val="en-GB"/>
        </w:rPr>
        <w:t>refer to the formal state of being insolvent.</w:t>
      </w:r>
      <w:r w:rsidR="00642A57">
        <w:rPr>
          <w:rFonts w:ascii="Avenir Next" w:hAnsi="Avenir Next" w:cs="Arial"/>
          <w:color w:val="808080" w:themeColor="background1" w:themeShade="80"/>
          <w:sz w:val="22"/>
          <w:szCs w:val="22"/>
          <w:lang w:val="en-GB"/>
        </w:rPr>
        <w:t xml:space="preserve"> The term bankrupt supposedly also first came to light in Italy when merchants who could not pay debts, their creditors closed their businesses by breaking their benches or counter’s. </w:t>
      </w:r>
    </w:p>
    <w:p w14:paraId="739FB1EA" w14:textId="4BD05DF0" w:rsidR="00035A80" w:rsidRDefault="00642A5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essential characteristics of “bankruptcy” and “insolvency” </w:t>
      </w:r>
      <w:r>
        <w:rPr>
          <w:rFonts w:ascii="Avenir Next" w:hAnsi="Avenir Next" w:cs="Arial"/>
          <w:color w:val="808080" w:themeColor="background1" w:themeShade="80"/>
          <w:sz w:val="22"/>
          <w:szCs w:val="22"/>
          <w:lang w:val="en-GB"/>
        </w:rPr>
        <w:t>relate to the inability to pay debts</w:t>
      </w:r>
      <w:r>
        <w:rPr>
          <w:rFonts w:ascii="Avenir Next" w:hAnsi="Avenir Next" w:cs="Arial"/>
          <w:color w:val="808080" w:themeColor="background1" w:themeShade="80"/>
          <w:sz w:val="22"/>
          <w:szCs w:val="22"/>
          <w:lang w:val="en-GB"/>
        </w:rPr>
        <w:t xml:space="preserve">. In some systems insolvency” refers to a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state of financial affairs and bankruptcy relates to being put into a formal bankruptcy proceeding.</w:t>
      </w:r>
    </w:p>
    <w:p w14:paraId="7E3C5C9E" w14:textId="6392298A" w:rsidR="00642A57" w:rsidRPr="00DA42DA" w:rsidRDefault="00642A5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countries use the terms collectively, for example, in Australia they use “insolvency” to refer to the insolvency of a corporation and use “bankruptcy” to refer to an individual natural person as being insolvent. Some countries use only one term, and some use them as synonyms.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131C0DF7" w14:textId="365073E1" w:rsidR="00035A80" w:rsidRDefault="00035A80" w:rsidP="00DA42DA">
      <w:pPr>
        <w:jc w:val="both"/>
        <w:rPr>
          <w:rFonts w:ascii="Avenir Next" w:hAnsi="Avenir Next" w:cs="Arial"/>
          <w:color w:val="808080" w:themeColor="background1" w:themeShade="80"/>
          <w:sz w:val="22"/>
          <w:szCs w:val="22"/>
          <w:lang w:val="en-GB"/>
        </w:rPr>
      </w:pPr>
      <w:r w:rsidRPr="00035A80">
        <w:rPr>
          <w:rFonts w:ascii="Avenir Next" w:hAnsi="Avenir Next" w:cs="Arial"/>
          <w:color w:val="808080" w:themeColor="background1" w:themeShade="80"/>
          <w:sz w:val="22"/>
          <w:szCs w:val="22"/>
          <w:lang w:val="en-GB"/>
        </w:rPr>
        <w:t xml:space="preserve">There are a few </w:t>
      </w:r>
      <w:r>
        <w:rPr>
          <w:rFonts w:ascii="Avenir Next" w:hAnsi="Avenir Next" w:cs="Arial"/>
          <w:color w:val="808080" w:themeColor="background1" w:themeShade="80"/>
          <w:sz w:val="22"/>
          <w:szCs w:val="22"/>
          <w:lang w:val="en-GB"/>
        </w:rPr>
        <w:t xml:space="preserve">challenges </w:t>
      </w:r>
      <w:r w:rsidRPr="00035A80">
        <w:rPr>
          <w:rFonts w:ascii="Avenir Next" w:hAnsi="Avenir Next" w:cs="Arial"/>
          <w:color w:val="808080" w:themeColor="background1" w:themeShade="80"/>
          <w:sz w:val="22"/>
          <w:szCs w:val="22"/>
          <w:lang w:val="en-GB"/>
        </w:rPr>
        <w:t xml:space="preserve">when dealing with cross-border </w:t>
      </w:r>
      <w:r>
        <w:rPr>
          <w:rFonts w:ascii="Avenir Next" w:hAnsi="Avenir Next" w:cs="Arial"/>
          <w:color w:val="808080" w:themeColor="background1" w:themeShade="80"/>
          <w:sz w:val="22"/>
          <w:szCs w:val="22"/>
          <w:lang w:val="en-GB"/>
        </w:rPr>
        <w:t xml:space="preserve">insolvency </w:t>
      </w:r>
      <w:r w:rsidRPr="00035A80">
        <w:rPr>
          <w:rFonts w:ascii="Avenir Next" w:hAnsi="Avenir Next" w:cs="Arial"/>
          <w:color w:val="808080" w:themeColor="background1" w:themeShade="80"/>
          <w:sz w:val="22"/>
          <w:szCs w:val="22"/>
          <w:lang w:val="en-GB"/>
        </w:rPr>
        <w:t xml:space="preserve">as insolvency law standards are relatively low in many countries. Whilst many systems have some similarities, man laws are outdated and not suited for modern day investment and trade. Another difficulty is that on a national level, there are various approaches each jurisdiction </w:t>
      </w:r>
      <w:proofErr w:type="gramStart"/>
      <w:r w:rsidRPr="00035A80">
        <w:rPr>
          <w:rFonts w:ascii="Avenir Next" w:hAnsi="Avenir Next" w:cs="Arial"/>
          <w:color w:val="808080" w:themeColor="background1" w:themeShade="80"/>
          <w:sz w:val="22"/>
          <w:szCs w:val="22"/>
          <w:lang w:val="en-GB"/>
        </w:rPr>
        <w:t>take</w:t>
      </w:r>
      <w:proofErr w:type="gramEnd"/>
      <w:r w:rsidRPr="00035A80">
        <w:rPr>
          <w:rFonts w:ascii="Avenir Next" w:hAnsi="Avenir Next" w:cs="Arial"/>
          <w:color w:val="808080" w:themeColor="background1" w:themeShade="80"/>
          <w:sz w:val="22"/>
          <w:szCs w:val="22"/>
          <w:lang w:val="en-GB"/>
        </w:rPr>
        <w:t xml:space="preserve"> in insolvency. </w:t>
      </w:r>
    </w:p>
    <w:p w14:paraId="39D90C21" w14:textId="225C1C1A" w:rsidR="00035A80" w:rsidRDefault="00035A80" w:rsidP="00DA42DA">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Friman</w:t>
      </w:r>
      <w:proofErr w:type="spellEnd"/>
      <w:r>
        <w:rPr>
          <w:rFonts w:ascii="Avenir Next" w:hAnsi="Avenir Next" w:cs="Arial"/>
          <w:color w:val="808080" w:themeColor="background1" w:themeShade="80"/>
          <w:sz w:val="22"/>
          <w:szCs w:val="22"/>
          <w:lang w:val="en-GB"/>
        </w:rPr>
        <w:t xml:space="preserve"> believes the main problem is finding a common language in insolvency. Due to the various views on the definition of insolvency, finding a common definition may be quite difficult. Difficult enough that even international conventions and instruments rather not attempt to define insolvency but to focus on defining “insolvency proceedings.”</w:t>
      </w:r>
    </w:p>
    <w:p w14:paraId="331D5545" w14:textId="61203FFF" w:rsidR="00035A80" w:rsidRDefault="00035A8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Westbrook, there are nine key issues with cross-border insolvency. These are standing for/recognition of the representative, moratorium on creditor actions, creditor participation, executory contracts, co-ordinated claims procedures, priorities and preferences, avoidance provision powers, discharges, and conflict-of-law issues. The idea of harmonisation could offer a solution towards single global cross border </w:t>
      </w:r>
      <w:proofErr w:type="gramStart"/>
      <w:r>
        <w:rPr>
          <w:rFonts w:ascii="Avenir Next" w:hAnsi="Avenir Next" w:cs="Arial"/>
          <w:color w:val="808080" w:themeColor="background1" w:themeShade="80"/>
          <w:sz w:val="22"/>
          <w:szCs w:val="22"/>
          <w:lang w:val="en-GB"/>
        </w:rPr>
        <w:t>insolvency,</w:t>
      </w:r>
      <w:proofErr w:type="gramEnd"/>
      <w:r>
        <w:rPr>
          <w:rFonts w:ascii="Avenir Next" w:hAnsi="Avenir Next" w:cs="Arial"/>
          <w:color w:val="808080" w:themeColor="background1" w:themeShade="80"/>
          <w:sz w:val="22"/>
          <w:szCs w:val="22"/>
          <w:lang w:val="en-GB"/>
        </w:rPr>
        <w:t xml:space="preserve"> however, the feasibility is questioned and the prospect appear debatable.</w:t>
      </w:r>
    </w:p>
    <w:p w14:paraId="6B5CF002" w14:textId="25B30DAC" w:rsidR="00DA42DA" w:rsidRPr="00DA42DA" w:rsidRDefault="00035A8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It is believed that the fundamental differences between the legal systems and the laws of countries are the main problem for cross-border insolvency and the biggest obstacle towards a solution of having a single global dispensation.</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26F5CE35" w14:textId="3454C6F7" w:rsidR="00035A80" w:rsidRDefault="0007467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refers to having binding laws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regulate international insolvency, for example, “international law” is used to govern States domestically within the public category, and private international law, which is also a domestic law governs parties within States. </w:t>
      </w:r>
      <w:r w:rsidR="00035A80">
        <w:rPr>
          <w:rFonts w:ascii="Avenir Next" w:hAnsi="Avenir Next" w:cs="Arial"/>
          <w:color w:val="808080" w:themeColor="background1" w:themeShade="80"/>
          <w:sz w:val="22"/>
          <w:szCs w:val="22"/>
          <w:lang w:val="en-GB"/>
        </w:rPr>
        <w:t>A non-commercial example within public international law that surrounds the law of human rights is the United Nations International Bill of Human Rights, a “supra-national” instrument. If a country accedes to the protocols and covenants, these are imported into its domestic laws, and this has had variable success.</w:t>
      </w:r>
    </w:p>
    <w:p w14:paraId="35A8165D" w14:textId="4D927887" w:rsidR="00035A80" w:rsidRDefault="00035A80"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on the other hand </w:t>
      </w:r>
      <w:r>
        <w:rPr>
          <w:rFonts w:ascii="Avenir Next" w:hAnsi="Avenir Next" w:cs="Arial"/>
          <w:color w:val="808080" w:themeColor="background1" w:themeShade="80"/>
          <w:sz w:val="22"/>
          <w:szCs w:val="22"/>
          <w:lang w:val="en-GB"/>
        </w:rPr>
        <w:t>has had more success than “hard law” and seeks to influence its regulations of international insolvency. A successful example of “soft law” was done by UNCITRAL. It developed the MLCBI in the mid-1990s, which took the form of draft legislation that UNCITRAL advocated for member States to adopt, allowing for modification or not. teeing as it has been used by various multilateral organisations. Due to the widespread adoption of MLCBI, it is seen as an influential response to international insolvency law and therefore a possible aide to current/future challenges.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16841594" w:rsidR="002253D8" w:rsidRPr="002253D8" w:rsidRDefault="0007467B"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insolvent estate representative can use the source of McGrath v </w:t>
      </w:r>
      <w:proofErr w:type="spellStart"/>
      <w:r>
        <w:rPr>
          <w:rFonts w:ascii="Avenir Next" w:hAnsi="Avenir Next" w:cs="Arial"/>
          <w:color w:val="808080" w:themeColor="background1" w:themeShade="80"/>
          <w:sz w:val="22"/>
          <w:szCs w:val="22"/>
          <w:lang w:val="en-GB"/>
        </w:rPr>
        <w:t>Riddel</w:t>
      </w:r>
      <w:proofErr w:type="spellEnd"/>
      <w:r>
        <w:rPr>
          <w:rFonts w:ascii="Avenir Next" w:hAnsi="Avenir Next" w:cs="Arial"/>
          <w:color w:val="808080" w:themeColor="background1" w:themeShade="80"/>
          <w:sz w:val="22"/>
          <w:szCs w:val="22"/>
          <w:lang w:val="en-GB"/>
        </w:rPr>
        <w:t xml:space="preserve">, which can be classed as a case of co-operation and co-ordination with foreign insolvency proceedings. This case, which took place in the House of Lords, identifies that with private international law and (modified) universalism which is the basis of English cross-border insolvency law, the English courts should co-operate with the courts in America (country of primary liquidation) to guarantee that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 company’s assets are dispersed to its creditors with a single system of distribution. Although an appeal was allowed in this case based on the Insolvency Act 1986 (UK), it is stated that through the implementation of a universal scheme of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distribution, in principle, the English courts/liquidators should agree to the terms, in this case that would be handing over the assets to the American representative. This shows that although there is room to appeal judgements, that this case favours Norton Cars Inc as it is a similar situation upon which the final judgment was already set.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11EC8F4C" w14:textId="55272E0F" w:rsidR="00642A57" w:rsidRPr="00DA42DA" w:rsidRDefault="00642A57"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is the law that would be used in a cross-border insolvency matter due to these two countries being a part of the European Union. The main proceeding should be opened in Italy as the EIR typically allocates jurisdictional competence to member State courts who have COMI. As Norton also has operations within Germany, with this law, they could be allowed to open a subsidiary territorial proceeding. </w:t>
      </w:r>
      <w:r>
        <w:rPr>
          <w:rFonts w:ascii="Avenir Next" w:hAnsi="Avenir Next" w:cs="Arial"/>
          <w:color w:val="808080" w:themeColor="background1" w:themeShade="80"/>
          <w:sz w:val="22"/>
          <w:szCs w:val="22"/>
          <w:lang w:val="en-GB"/>
        </w:rPr>
        <w:t xml:space="preserve">The EU </w:t>
      </w:r>
      <w:proofErr w:type="spellStart"/>
      <w:r>
        <w:rPr>
          <w:rFonts w:ascii="Avenir Next" w:hAnsi="Avenir Next" w:cs="Arial"/>
          <w:color w:val="808080" w:themeColor="background1" w:themeShade="80"/>
          <w:sz w:val="22"/>
          <w:szCs w:val="22"/>
          <w:lang w:val="en-GB"/>
        </w:rPr>
        <w:t>JudgeCo</w:t>
      </w:r>
      <w:proofErr w:type="spellEnd"/>
      <w:r>
        <w:rPr>
          <w:rFonts w:ascii="Avenir Next" w:hAnsi="Avenir Next" w:cs="Arial"/>
          <w:color w:val="808080" w:themeColor="background1" w:themeShade="80"/>
          <w:sz w:val="22"/>
          <w:szCs w:val="22"/>
          <w:lang w:val="en-GB"/>
        </w:rPr>
        <w:t xml:space="preserve"> Guidelines can also be used between the two member states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improve communication between the courts.</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283297F2" w:rsidR="002253D8" w:rsidRPr="002253D8" w:rsidRDefault="00F64B64"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due to them not being EU member States. Similarly, when the UK left the EU, the EIR Recast ceased to apply to the UK.</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78C947D3" w14:textId="31251157" w:rsidR="00F64B64" w:rsidRPr="00F64B64" w:rsidRDefault="00F64B64" w:rsidP="00F64B64">
      <w:pPr>
        <w:ind w:firstLine="426"/>
        <w:jc w:val="both"/>
        <w:rPr>
          <w:rFonts w:ascii="Avenir Next" w:hAnsi="Avenir Next" w:cs="Arial"/>
          <w:color w:val="808080" w:themeColor="background1" w:themeShade="80"/>
          <w:sz w:val="22"/>
          <w:szCs w:val="22"/>
          <w:lang w:val="en-GB"/>
        </w:rPr>
      </w:pPr>
      <w:r w:rsidRPr="00F64B64">
        <w:rPr>
          <w:rFonts w:ascii="Avenir Next" w:hAnsi="Avenir Next" w:cs="Arial"/>
          <w:color w:val="808080" w:themeColor="background1" w:themeShade="80"/>
          <w:sz w:val="22"/>
          <w:szCs w:val="22"/>
          <w:lang w:val="en-GB"/>
        </w:rPr>
        <w:t xml:space="preserve">The </w:t>
      </w:r>
      <w:proofErr w:type="spellStart"/>
      <w:r w:rsidRPr="00F64B64">
        <w:rPr>
          <w:rFonts w:ascii="Avenir Next" w:hAnsi="Avenir Next" w:cs="Arial"/>
          <w:color w:val="808080" w:themeColor="background1" w:themeShade="80"/>
          <w:sz w:val="22"/>
          <w:szCs w:val="22"/>
          <w:lang w:val="en-GB"/>
        </w:rPr>
        <w:t>Faillissementswet</w:t>
      </w:r>
      <w:proofErr w:type="spellEnd"/>
      <w:r w:rsidRPr="00F64B64">
        <w:rPr>
          <w:rFonts w:ascii="Avenir Next" w:hAnsi="Avenir Next" w:cs="Arial"/>
          <w:color w:val="808080" w:themeColor="background1" w:themeShade="80"/>
          <w:sz w:val="22"/>
          <w:szCs w:val="22"/>
          <w:lang w:val="en-GB"/>
        </w:rPr>
        <w:t xml:space="preserve"> is the Dutch law that covers the bankruptcy of both individuals and businesses.</w:t>
      </w:r>
      <w:r>
        <w:rPr>
          <w:rFonts w:ascii="Avenir Next" w:hAnsi="Avenir Next" w:cs="Arial"/>
          <w:color w:val="808080" w:themeColor="background1" w:themeShade="80"/>
          <w:sz w:val="22"/>
          <w:szCs w:val="22"/>
          <w:lang w:val="en-GB"/>
        </w:rPr>
        <w:t xml:space="preserve"> </w:t>
      </w:r>
    </w:p>
    <w:p w14:paraId="00ACDAEF" w14:textId="77777777" w:rsidR="00F64B64" w:rsidRPr="004827A3" w:rsidRDefault="00F64B64"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6D4644F3" w:rsidR="002253D8" w:rsidRPr="00DA42DA" w:rsidRDefault="0007467B"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Corporations Act 2001 </w:t>
      </w:r>
      <w:r w:rsidR="00F64B64">
        <w:rPr>
          <w:rFonts w:ascii="Avenir Next" w:hAnsi="Avenir Next" w:cs="Arial"/>
          <w:color w:val="808080" w:themeColor="background1" w:themeShade="80"/>
          <w:sz w:val="22"/>
          <w:szCs w:val="22"/>
          <w:lang w:val="en-GB"/>
        </w:rPr>
        <w:t>permit for co-operation between Australian and foreign courts in liquidations, also termed as “external administration” matters. With this law, parties can make use of the recognition and enforcement provisions, especially where Model Law (as adopted) does not apply.</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09A3" w14:textId="77777777" w:rsidR="00C75C2E" w:rsidRDefault="00C75C2E" w:rsidP="00241B44">
      <w:r>
        <w:separator/>
      </w:r>
    </w:p>
  </w:endnote>
  <w:endnote w:type="continuationSeparator" w:id="0">
    <w:p w14:paraId="418B2E72" w14:textId="77777777" w:rsidR="00C75C2E" w:rsidRDefault="00C75C2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呚䵕"/>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FA27C60" w:rsidR="00B64A85" w:rsidRPr="00297BDF" w:rsidRDefault="00035A80" w:rsidP="0052732A">
    <w:pPr>
      <w:pStyle w:val="Footer"/>
      <w:ind w:right="360"/>
      <w:rPr>
        <w:rFonts w:ascii="Avenir Next" w:hAnsi="Avenir Next" w:cs="Arial"/>
        <w:sz w:val="22"/>
        <w:szCs w:val="22"/>
      </w:rPr>
    </w:pPr>
    <w:r>
      <w:rPr>
        <w:rFonts w:ascii="Avenir Next" w:hAnsi="Avenir Next" w:cs="Arial"/>
        <w:sz w:val="22"/>
        <w:szCs w:val="22"/>
      </w:rPr>
      <w:t>202324-1301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A297" w14:textId="77777777" w:rsidR="00C75C2E" w:rsidRDefault="00C75C2E" w:rsidP="00241B44">
      <w:r>
        <w:separator/>
      </w:r>
    </w:p>
  </w:footnote>
  <w:footnote w:type="continuationSeparator" w:id="0">
    <w:p w14:paraId="12314597" w14:textId="77777777" w:rsidR="00C75C2E" w:rsidRDefault="00C75C2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5A80"/>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467B"/>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19DA"/>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2A57"/>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5731"/>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5C2E"/>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4B64"/>
    <w:rsid w:val="00F65FB6"/>
    <w:rsid w:val="00F66AFF"/>
    <w:rsid w:val="00F71433"/>
    <w:rsid w:val="00F71CE8"/>
    <w:rsid w:val="00F738B0"/>
    <w:rsid w:val="00F801C5"/>
    <w:rsid w:val="00F83231"/>
    <w:rsid w:val="00F85A51"/>
    <w:rsid w:val="00F85C0B"/>
    <w:rsid w:val="00F85DB2"/>
    <w:rsid w:val="00F91C4E"/>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Leana Kassidi Smith</cp:lastModifiedBy>
  <cp:revision>2</cp:revision>
  <cp:lastPrinted>2020-06-12T02:43:00Z</cp:lastPrinted>
  <dcterms:created xsi:type="dcterms:W3CDTF">2023-11-15T04:23:00Z</dcterms:created>
  <dcterms:modified xsi:type="dcterms:W3CDTF">2023-11-15T04:23:00Z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