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JM" w:eastAsia="en-JM"/>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w:t>
      </w:r>
      <w:proofErr w:type="gramStart"/>
      <w:r w:rsidR="0011473D" w:rsidRPr="004216EA">
        <w:rPr>
          <w:rFonts w:ascii="Avenir Next" w:hAnsi="Avenir Next" w:cs="Arial"/>
          <w:sz w:val="22"/>
          <w:szCs w:val="22"/>
          <w:lang w:val="en-GB"/>
        </w:rPr>
        <w:t>a</w:t>
      </w:r>
      <w:proofErr w:type="gramEnd"/>
      <w:r w:rsidR="0011473D" w:rsidRPr="004216EA">
        <w:rPr>
          <w:rFonts w:ascii="Avenir Next" w:hAnsi="Avenir Next" w:cs="Arial"/>
          <w:sz w:val="22"/>
          <w:szCs w:val="22"/>
          <w:lang w:val="en-GB"/>
        </w:rPr>
        <w:t xml:space="preserve">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w:t>
      </w:r>
      <w:proofErr w:type="gramStart"/>
      <w:r w:rsidRPr="004216EA">
        <w:rPr>
          <w:rFonts w:ascii="Avenir Next" w:hAnsi="Avenir Next" w:cs="Arial"/>
          <w:sz w:val="22"/>
          <w:szCs w:val="22"/>
          <w:lang w:val="en-GB"/>
        </w:rPr>
        <w:t>are</w:t>
      </w:r>
      <w:proofErr w:type="gramEnd"/>
      <w:r w:rsidRPr="004216E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6B1C06" w:rsidRDefault="00806382" w:rsidP="00806382">
      <w:pPr>
        <w:pStyle w:val="ListParagraph"/>
        <w:numPr>
          <w:ilvl w:val="0"/>
          <w:numId w:val="15"/>
        </w:numPr>
        <w:ind w:left="425" w:hanging="357"/>
        <w:jc w:val="both"/>
        <w:rPr>
          <w:rFonts w:ascii="Avenir Next" w:hAnsi="Avenir Next" w:cs="Arial"/>
          <w:sz w:val="22"/>
          <w:szCs w:val="22"/>
          <w:highlight w:val="yellow"/>
        </w:rPr>
      </w:pPr>
      <w:r w:rsidRPr="006B1C06">
        <w:rPr>
          <w:rFonts w:ascii="Avenir Next" w:hAnsi="Avenir Next" w:cs="Arial"/>
          <w:sz w:val="22"/>
          <w:szCs w:val="22"/>
          <w:highlight w:val="yellow"/>
        </w:rPr>
        <w:t xml:space="preserve">This statement is untrue since the word </w:t>
      </w:r>
      <w:r w:rsidR="00823AB4" w:rsidRPr="006B1C06">
        <w:rPr>
          <w:rFonts w:ascii="Avenir Next" w:hAnsi="Avenir Next" w:cs="Arial"/>
          <w:sz w:val="22"/>
          <w:szCs w:val="22"/>
          <w:highlight w:val="yellow"/>
        </w:rPr>
        <w:t>“</w:t>
      </w:r>
      <w:r w:rsidRPr="006B1C06">
        <w:rPr>
          <w:rFonts w:ascii="Avenir Next" w:hAnsi="Avenir Next" w:cs="Arial"/>
          <w:sz w:val="22"/>
          <w:szCs w:val="22"/>
          <w:highlight w:val="yellow"/>
        </w:rPr>
        <w:t>bankruptcy</w:t>
      </w:r>
      <w:r w:rsidR="00823AB4" w:rsidRPr="006B1C06">
        <w:rPr>
          <w:rFonts w:ascii="Avenir Next" w:hAnsi="Avenir Next" w:cs="Arial"/>
          <w:sz w:val="22"/>
          <w:szCs w:val="22"/>
          <w:highlight w:val="yellow"/>
        </w:rPr>
        <w:t>”</w:t>
      </w:r>
      <w:r w:rsidRPr="006B1C06">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w:t>
      </w:r>
      <w:proofErr w:type="gramEnd"/>
      <w:r w:rsidRPr="00DA42DA">
        <w:rPr>
          <w:rFonts w:ascii="Avenir Next" w:hAnsi="Avenir Next" w:cs="Arial"/>
          <w:sz w:val="22"/>
          <w:szCs w:val="22"/>
        </w:rPr>
        <w:t>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3C5849" w:rsidRDefault="001211E6" w:rsidP="001211E6">
      <w:pPr>
        <w:pStyle w:val="ListParagraph"/>
        <w:numPr>
          <w:ilvl w:val="0"/>
          <w:numId w:val="16"/>
        </w:numPr>
        <w:ind w:left="426"/>
        <w:jc w:val="both"/>
        <w:rPr>
          <w:rFonts w:ascii="Avenir Next" w:hAnsi="Avenir Next" w:cs="Arial"/>
          <w:sz w:val="22"/>
          <w:szCs w:val="22"/>
          <w:highlight w:val="yellow"/>
        </w:rPr>
      </w:pPr>
      <w:r w:rsidRPr="003C5849">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DA42DA"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FB5CA9">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r w:rsidRPr="00DA42DA">
        <w:rPr>
          <w:rFonts w:ascii="Avenir Next" w:eastAsiaTheme="minorHAnsi" w:hAnsi="Avenir Next" w:cs="Arial"/>
          <w:sz w:val="22"/>
          <w:szCs w:val="22"/>
          <w:lang w:val="en-GB"/>
        </w:rPr>
        <w:t>.</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943D75">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AB6E0A" w:rsidRDefault="006514CD" w:rsidP="006514CD">
      <w:pPr>
        <w:pStyle w:val="ListParagraph"/>
        <w:numPr>
          <w:ilvl w:val="0"/>
          <w:numId w:val="19"/>
        </w:numPr>
        <w:ind w:left="425" w:hanging="357"/>
        <w:jc w:val="both"/>
        <w:rPr>
          <w:rFonts w:ascii="Avenir Next" w:hAnsi="Avenir Next" w:cs="Arial"/>
          <w:sz w:val="22"/>
          <w:szCs w:val="22"/>
          <w:highlight w:val="yellow"/>
        </w:rPr>
      </w:pPr>
      <w:r w:rsidRPr="00AB6E0A">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AB6E0A"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AB6E0A">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E56F1C" w:rsidRDefault="00AD76EF" w:rsidP="00AD76EF">
      <w:pPr>
        <w:pStyle w:val="ListParagraph"/>
        <w:numPr>
          <w:ilvl w:val="0"/>
          <w:numId w:val="17"/>
        </w:numPr>
        <w:ind w:left="426"/>
        <w:jc w:val="both"/>
        <w:rPr>
          <w:rFonts w:ascii="Avenir Next" w:hAnsi="Avenir Next" w:cs="Arial"/>
          <w:sz w:val="22"/>
          <w:szCs w:val="22"/>
          <w:highlight w:val="yellow"/>
        </w:rPr>
      </w:pPr>
      <w:r w:rsidRPr="00E56F1C">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E56F1C"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E56F1C">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1851E8" w:rsidRDefault="009661DE" w:rsidP="009661DE">
      <w:pPr>
        <w:pStyle w:val="ListParagraph"/>
        <w:numPr>
          <w:ilvl w:val="0"/>
          <w:numId w:val="23"/>
        </w:numPr>
        <w:ind w:left="426"/>
        <w:jc w:val="both"/>
        <w:rPr>
          <w:rFonts w:ascii="Avenir Next" w:hAnsi="Avenir Next" w:cs="Arial"/>
          <w:sz w:val="22"/>
          <w:szCs w:val="22"/>
          <w:highlight w:val="yellow"/>
        </w:rPr>
      </w:pPr>
      <w:r w:rsidRPr="001851E8">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1851E8" w:rsidRDefault="003B3A0D" w:rsidP="003B3A0D">
      <w:pPr>
        <w:pStyle w:val="ListParagraph"/>
        <w:numPr>
          <w:ilvl w:val="0"/>
          <w:numId w:val="24"/>
        </w:numPr>
        <w:ind w:left="426"/>
        <w:jc w:val="both"/>
        <w:rPr>
          <w:rFonts w:ascii="Avenir Next" w:hAnsi="Avenir Next" w:cs="Arial"/>
          <w:sz w:val="22"/>
          <w:szCs w:val="22"/>
          <w:highlight w:val="yellow"/>
        </w:rPr>
      </w:pPr>
      <w:r w:rsidRPr="001851E8">
        <w:rPr>
          <w:rFonts w:ascii="Avenir Next" w:hAnsi="Avenir Next" w:cs="Arial"/>
          <w:sz w:val="22"/>
          <w:szCs w:val="22"/>
          <w:highlight w:val="yellow"/>
        </w:rPr>
        <w:t xml:space="preserve">This statement is untrue because universalism corresponds well to </w:t>
      </w:r>
      <w:proofErr w:type="spellStart"/>
      <w:r w:rsidRPr="001851E8">
        <w:rPr>
          <w:rFonts w:ascii="Avenir Next" w:hAnsi="Avenir Next" w:cs="Arial"/>
          <w:sz w:val="22"/>
          <w:szCs w:val="22"/>
          <w:highlight w:val="yellow"/>
        </w:rPr>
        <w:t>globali</w:t>
      </w:r>
      <w:r w:rsidR="00142E15" w:rsidRPr="001851E8">
        <w:rPr>
          <w:rFonts w:ascii="Avenir Next" w:hAnsi="Avenir Next" w:cs="Arial"/>
          <w:sz w:val="22"/>
          <w:szCs w:val="22"/>
          <w:highlight w:val="yellow"/>
        </w:rPr>
        <w:t>s</w:t>
      </w:r>
      <w:r w:rsidRPr="001851E8">
        <w:rPr>
          <w:rFonts w:ascii="Avenir Next" w:hAnsi="Avenir Next" w:cs="Arial"/>
          <w:sz w:val="22"/>
          <w:szCs w:val="22"/>
          <w:highlight w:val="yellow"/>
        </w:rPr>
        <w:t>ation</w:t>
      </w:r>
      <w:proofErr w:type="spellEnd"/>
      <w:r w:rsidRPr="001851E8">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0E3B82FC" w14:textId="0796ED2A" w:rsidR="00393C0C" w:rsidRDefault="25BAA659" w:rsidP="25BAA659">
      <w:pPr>
        <w:jc w:val="both"/>
        <w:rPr>
          <w:rFonts w:ascii="Arial" w:hAnsi="Arial" w:cs="Arial"/>
          <w:sz w:val="22"/>
          <w:szCs w:val="22"/>
          <w:lang w:val="en-GB"/>
        </w:rPr>
      </w:pPr>
      <w:r w:rsidRPr="25BAA659">
        <w:rPr>
          <w:rFonts w:ascii="Arial" w:hAnsi="Arial" w:cs="Arial"/>
          <w:sz w:val="22"/>
          <w:szCs w:val="22"/>
          <w:lang w:val="en-GB"/>
        </w:rPr>
        <w:t xml:space="preserve">The legal system in the United Kingdom (UK) is an example of a system rooted in English Law. The UK has one primary piece of legislation, the Insolvency Act 1986 regulating insolvency law which covers both corporate and personal bankruptcy. However, the promulgation of the Insolvency Act 2000 and the Enterprise Act 2002 have resulted in amendments to the Insolvency Act. Furthermore, in 2020 the Corporate Insolvency and Governance Act was passed outlining reforms to insolvency law in the UK like </w:t>
      </w:r>
      <w:r w:rsidRPr="25BAA659">
        <w:rPr>
          <w:rFonts w:ascii="Arial" w:hAnsi="Arial" w:cs="Arial"/>
          <w:i/>
          <w:iCs/>
          <w:sz w:val="22"/>
          <w:szCs w:val="22"/>
          <w:lang w:val="en-GB"/>
        </w:rPr>
        <w:t xml:space="preserve">inter alia </w:t>
      </w:r>
      <w:r w:rsidRPr="25BAA659">
        <w:rPr>
          <w:rFonts w:ascii="Arial" w:hAnsi="Arial" w:cs="Arial"/>
          <w:sz w:val="22"/>
          <w:szCs w:val="22"/>
          <w:lang w:val="en-GB"/>
        </w:rPr>
        <w:t>the introduction of new moratorium rules and the suspension of winding up petitions.</w:t>
      </w:r>
    </w:p>
    <w:p w14:paraId="2A71CBF9" w14:textId="77777777" w:rsidR="00C749B2" w:rsidRPr="00F96B9A" w:rsidRDefault="00C749B2" w:rsidP="25BAA659">
      <w:pPr>
        <w:jc w:val="both"/>
        <w:rPr>
          <w:rFonts w:ascii="Arial" w:hAnsi="Arial" w:cs="Arial"/>
          <w:sz w:val="22"/>
          <w:szCs w:val="22"/>
          <w:lang w:val="en-GB"/>
        </w:rPr>
      </w:pPr>
    </w:p>
    <w:p w14:paraId="304C2FB2" w14:textId="74919558" w:rsidR="00CC7728" w:rsidRPr="00F96B9A" w:rsidRDefault="25BAA659" w:rsidP="25BAA659">
      <w:pPr>
        <w:jc w:val="both"/>
        <w:rPr>
          <w:rFonts w:ascii="Arial" w:hAnsi="Arial" w:cs="Arial"/>
          <w:sz w:val="22"/>
          <w:szCs w:val="22"/>
          <w:lang w:val="en-GB"/>
        </w:rPr>
      </w:pPr>
      <w:r w:rsidRPr="25BAA659">
        <w:rPr>
          <w:rFonts w:ascii="Arial" w:hAnsi="Arial" w:cs="Arial"/>
          <w:sz w:val="22"/>
          <w:szCs w:val="22"/>
          <w:lang w:val="en-GB"/>
        </w:rPr>
        <w:t xml:space="preserve">On the other hand, in the Netherlands, a country with a legal system based on civil law in the past, </w:t>
      </w:r>
      <w:r w:rsidR="00B70146" w:rsidRPr="25BAA659">
        <w:rPr>
          <w:rFonts w:ascii="Arial" w:hAnsi="Arial" w:cs="Arial"/>
          <w:sz w:val="22"/>
          <w:szCs w:val="22"/>
          <w:lang w:val="en-GB"/>
        </w:rPr>
        <w:t>ordinances</w:t>
      </w:r>
      <w:r w:rsidRPr="25BAA659">
        <w:rPr>
          <w:rFonts w:ascii="Arial" w:hAnsi="Arial" w:cs="Arial"/>
          <w:sz w:val="22"/>
          <w:szCs w:val="22"/>
          <w:lang w:val="en-GB"/>
        </w:rPr>
        <w:t xml:space="preserve"> were applied. The </w:t>
      </w:r>
      <w:proofErr w:type="spellStart"/>
      <w:r w:rsidRPr="25BAA659">
        <w:rPr>
          <w:rFonts w:ascii="Arial" w:hAnsi="Arial" w:cs="Arial"/>
          <w:sz w:val="22"/>
          <w:szCs w:val="22"/>
          <w:lang w:val="en-GB"/>
        </w:rPr>
        <w:t>Faillisementswet</w:t>
      </w:r>
      <w:proofErr w:type="spellEnd"/>
      <w:r w:rsidRPr="25BAA659">
        <w:rPr>
          <w:rFonts w:ascii="Arial" w:hAnsi="Arial" w:cs="Arial"/>
          <w:sz w:val="22"/>
          <w:szCs w:val="22"/>
          <w:lang w:val="en-GB"/>
        </w:rPr>
        <w:t xml:space="preserve"> of 1897 provides for individual and corporate bankruptcy. However due to the work of the research commission, </w:t>
      </w:r>
      <w:proofErr w:type="spellStart"/>
      <w:r w:rsidRPr="25BAA659">
        <w:rPr>
          <w:rFonts w:ascii="Arial" w:hAnsi="Arial" w:cs="Arial"/>
          <w:sz w:val="22"/>
          <w:szCs w:val="22"/>
          <w:lang w:val="en-GB"/>
        </w:rPr>
        <w:t>Commissie</w:t>
      </w:r>
      <w:proofErr w:type="spellEnd"/>
      <w:r w:rsidRPr="25BAA659">
        <w:rPr>
          <w:rFonts w:ascii="Arial" w:hAnsi="Arial" w:cs="Arial"/>
          <w:sz w:val="22"/>
          <w:szCs w:val="22"/>
          <w:lang w:val="en-GB"/>
        </w:rPr>
        <w:t xml:space="preserve"> van </w:t>
      </w:r>
      <w:proofErr w:type="spellStart"/>
      <w:r w:rsidRPr="25BAA659">
        <w:rPr>
          <w:rFonts w:ascii="Arial" w:hAnsi="Arial" w:cs="Arial"/>
          <w:sz w:val="22"/>
          <w:szCs w:val="22"/>
          <w:lang w:val="en-GB"/>
        </w:rPr>
        <w:t>Onderzoek</w:t>
      </w:r>
      <w:proofErr w:type="spellEnd"/>
      <w:r w:rsidRPr="25BAA659">
        <w:rPr>
          <w:rFonts w:ascii="Arial" w:hAnsi="Arial" w:cs="Arial"/>
          <w:sz w:val="22"/>
          <w:szCs w:val="22"/>
          <w:lang w:val="en-GB"/>
        </w:rPr>
        <w:t xml:space="preserve">, the </w:t>
      </w:r>
      <w:proofErr w:type="spellStart"/>
      <w:r w:rsidRPr="25BAA659">
        <w:rPr>
          <w:rFonts w:ascii="Arial" w:hAnsi="Arial" w:cs="Arial"/>
          <w:sz w:val="22"/>
          <w:szCs w:val="22"/>
          <w:lang w:val="en-GB"/>
        </w:rPr>
        <w:t>Schuldsaneringswet</w:t>
      </w:r>
      <w:proofErr w:type="spellEnd"/>
      <w:r w:rsidRPr="25BAA659">
        <w:rPr>
          <w:rFonts w:ascii="Arial" w:hAnsi="Arial" w:cs="Arial"/>
          <w:sz w:val="22"/>
          <w:szCs w:val="22"/>
          <w:lang w:val="en-GB"/>
        </w:rPr>
        <w:t xml:space="preserve"> was implemented which brought an end to the era of “no discharge unless creditors agreed” and ushered in a new era that makes provision for a “fresh start” for bankrupts.</w:t>
      </w:r>
    </w:p>
    <w:p w14:paraId="0B8C1244" w14:textId="77777777" w:rsidR="00DA42DA" w:rsidRDefault="00DA42DA" w:rsidP="25BAA659">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18DE8AC8" w14:textId="77777777" w:rsidR="005D0D70" w:rsidRDefault="005D0D70" w:rsidP="25BAA659">
      <w:pPr>
        <w:jc w:val="both"/>
        <w:rPr>
          <w:rStyle w:val="normaltextrun"/>
          <w:rFonts w:ascii="Avenir Next" w:hAnsi="Avenir Next"/>
          <w:sz w:val="22"/>
          <w:szCs w:val="22"/>
          <w:shd w:val="clear" w:color="auto" w:fill="FFFFFF"/>
          <w:lang w:val="en-GB"/>
        </w:rPr>
      </w:pPr>
    </w:p>
    <w:p w14:paraId="1449A8A9" w14:textId="77777777" w:rsidR="005D0D70" w:rsidRDefault="005D0D70" w:rsidP="25BAA659">
      <w:pPr>
        <w:jc w:val="both"/>
        <w:rPr>
          <w:rStyle w:val="normaltextrun"/>
          <w:rFonts w:ascii="Arial" w:hAnsi="Arial" w:cs="Arial"/>
          <w:sz w:val="22"/>
          <w:szCs w:val="22"/>
          <w:shd w:val="clear" w:color="auto" w:fill="FFFFFF"/>
          <w:lang w:val="en-GB"/>
        </w:rPr>
      </w:pPr>
      <w:r w:rsidRPr="25BAA659">
        <w:rPr>
          <w:rStyle w:val="normaltextrun"/>
          <w:rFonts w:ascii="Arial" w:hAnsi="Arial" w:cs="Arial"/>
          <w:sz w:val="22"/>
          <w:szCs w:val="22"/>
          <w:shd w:val="clear" w:color="auto" w:fill="FFFFFF"/>
          <w:lang w:val="en-GB"/>
        </w:rPr>
        <w:t xml:space="preserve">The concept of universality/universalism proposes that insolvency proceedings that have been initiated in different States should be subject to/ handled using the insolvency law or provisions of one State. </w:t>
      </w:r>
    </w:p>
    <w:p w14:paraId="47150C46" w14:textId="77777777" w:rsidR="005D0D70" w:rsidRDefault="005D0D70" w:rsidP="25BAA659">
      <w:pPr>
        <w:jc w:val="both"/>
        <w:rPr>
          <w:rStyle w:val="normaltextrun"/>
          <w:rFonts w:ascii="Arial" w:hAnsi="Arial" w:cs="Arial"/>
          <w:sz w:val="22"/>
          <w:szCs w:val="22"/>
          <w:shd w:val="clear" w:color="auto" w:fill="FFFFFF"/>
          <w:lang w:val="en-GB"/>
        </w:rPr>
      </w:pPr>
    </w:p>
    <w:p w14:paraId="0D84B67E" w14:textId="6F3875D2" w:rsidR="005D0D70" w:rsidRDefault="005D0D70" w:rsidP="25BAA659">
      <w:pPr>
        <w:jc w:val="both"/>
        <w:rPr>
          <w:rStyle w:val="normaltextrun"/>
          <w:rFonts w:ascii="Arial" w:hAnsi="Arial" w:cs="Arial"/>
          <w:sz w:val="22"/>
          <w:szCs w:val="22"/>
          <w:shd w:val="clear" w:color="auto" w:fill="FFFFFF"/>
          <w:lang w:val="en-GB"/>
        </w:rPr>
      </w:pPr>
      <w:r w:rsidRPr="25BAA659">
        <w:rPr>
          <w:rStyle w:val="normaltextrun"/>
          <w:rFonts w:ascii="Arial" w:hAnsi="Arial" w:cs="Arial"/>
          <w:sz w:val="22"/>
          <w:szCs w:val="22"/>
          <w:shd w:val="clear" w:color="auto" w:fill="FFFFFF"/>
          <w:lang w:val="en-GB"/>
        </w:rPr>
        <w:t>Modified universalism is an approach that allows for the main proceedings initiated in one State to be supported by secondary proceedings in another State.</w:t>
      </w:r>
      <w:r w:rsidR="00EE2896" w:rsidRPr="25BAA659">
        <w:rPr>
          <w:rFonts w:ascii="Arial" w:hAnsi="Arial" w:cs="Arial"/>
          <w:sz w:val="22"/>
          <w:szCs w:val="22"/>
          <w:lang w:val="en-GB"/>
        </w:rPr>
        <w:t xml:space="preserve"> </w:t>
      </w:r>
      <w:r w:rsidR="00EE2896" w:rsidRPr="25BAA659">
        <w:rPr>
          <w:rFonts w:ascii="Arial" w:hAnsi="Arial" w:cs="Arial"/>
          <w:sz w:val="22"/>
          <w:szCs w:val="22"/>
          <w:shd w:val="clear" w:color="auto" w:fill="FFFFFF"/>
          <w:lang w:val="en-GB"/>
        </w:rPr>
        <w:t xml:space="preserve">The success of this approach requires the co-operation of the Courts dealing with the matters. </w:t>
      </w:r>
    </w:p>
    <w:p w14:paraId="0AAE085A" w14:textId="77777777" w:rsidR="005D0D70" w:rsidRDefault="005D0D70" w:rsidP="25BAA659">
      <w:pPr>
        <w:jc w:val="both"/>
        <w:rPr>
          <w:rStyle w:val="normaltextrun"/>
          <w:rFonts w:ascii="Arial" w:hAnsi="Arial" w:cs="Arial"/>
          <w:sz w:val="22"/>
          <w:szCs w:val="22"/>
          <w:shd w:val="clear" w:color="auto" w:fill="FFFFFF"/>
          <w:lang w:val="en-GB"/>
        </w:rPr>
      </w:pPr>
    </w:p>
    <w:p w14:paraId="00940B4A" w14:textId="77777777" w:rsidR="00EE2896" w:rsidRDefault="005D0D70" w:rsidP="25BAA659">
      <w:pPr>
        <w:jc w:val="both"/>
        <w:rPr>
          <w:rStyle w:val="eop"/>
          <w:rFonts w:ascii="Arial" w:hAnsi="Arial" w:cs="Arial"/>
          <w:sz w:val="22"/>
          <w:szCs w:val="22"/>
          <w:shd w:val="clear" w:color="auto" w:fill="FFFFFF"/>
        </w:rPr>
      </w:pPr>
      <w:r w:rsidRPr="25BAA659">
        <w:rPr>
          <w:rStyle w:val="normaltextrun"/>
          <w:rFonts w:ascii="Arial" w:hAnsi="Arial" w:cs="Arial"/>
          <w:sz w:val="22"/>
          <w:szCs w:val="22"/>
          <w:shd w:val="clear" w:color="auto" w:fill="FFFFFF"/>
          <w:lang w:val="en-GB"/>
        </w:rPr>
        <w:t>In the alternative, territorialism proposes that the law of each State in which insolvency proceedings are initiated should govern the said proceedings in that State without any extraterritorial effect on the ongoing proceedings in another State.</w:t>
      </w:r>
      <w:r w:rsidRPr="25BAA659">
        <w:rPr>
          <w:rStyle w:val="eop"/>
          <w:rFonts w:ascii="Arial" w:hAnsi="Arial" w:cs="Arial"/>
          <w:sz w:val="22"/>
          <w:szCs w:val="22"/>
          <w:shd w:val="clear" w:color="auto" w:fill="FFFFFF"/>
        </w:rPr>
        <w:t> </w:t>
      </w:r>
    </w:p>
    <w:p w14:paraId="039E27B5" w14:textId="4A81C22A" w:rsidR="00C82D87" w:rsidRPr="004216EA" w:rsidRDefault="00EE2896" w:rsidP="00EE2896">
      <w:pPr>
        <w:jc w:val="both"/>
        <w:rPr>
          <w:rFonts w:ascii="Avenir Next" w:hAnsi="Avenir Next" w:cs="Arial"/>
          <w:sz w:val="22"/>
          <w:szCs w:val="22"/>
          <w:lang w:val="en-GB"/>
        </w:rPr>
      </w:pPr>
      <w:r w:rsidRPr="005D0D70">
        <w:rPr>
          <w:rFonts w:ascii="Arial" w:hAnsi="Arial" w:cs="Arial"/>
          <w:color w:val="FF0000"/>
          <w:sz w:val="22"/>
          <w:szCs w:val="22"/>
          <w:lang w:val="en-GB"/>
        </w:rPr>
        <w:t xml:space="preserve"> </w:t>
      </w: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3B299B5E" w14:textId="1919A210" w:rsidR="00F06D25" w:rsidRDefault="25BAA659" w:rsidP="25BAA659">
      <w:pPr>
        <w:jc w:val="both"/>
        <w:rPr>
          <w:rFonts w:ascii="Arial" w:hAnsi="Arial" w:cs="Arial"/>
          <w:sz w:val="22"/>
          <w:szCs w:val="22"/>
          <w:lang w:val="en-GB"/>
        </w:rPr>
      </w:pPr>
      <w:r w:rsidRPr="25BAA659">
        <w:rPr>
          <w:rFonts w:ascii="Arial" w:hAnsi="Arial" w:cs="Arial"/>
          <w:sz w:val="22"/>
          <w:szCs w:val="22"/>
          <w:lang w:val="en-GB"/>
        </w:rPr>
        <w:t>Latin American countries have developed treaties on private international law that have included provisions on bankruptcy and insolvency namely the Montevideo Treaties of 1889 and 1940 and the Havana Convention on Private International Law of 1928 also known as the Bustamante Code. The 1889 Montevideo Treaty speaks to individual/personal insolvency and corporate insolvency and utilises the subject debtor’s commercial domicile to assign the bankruptcy jurisdiction. The Bustamante Code unlike the Montevideo Treaties offers more support to a universal approach that allows for a single proceeding having a “universal effect” throughout the Member States. The 1940 Montevideo Treaty also has a Title VIII on bankruptcy. Furthermore, these initiatives also differ in the States that have ratified them for example, Argentina, Colombia, Paraguay and Uruguay have ratified one or both Montevideo Treaties, but the said countries have not ratified the Bustamante Code.</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lastRenderedPageBreak/>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32853ED0" w14:textId="076792E0" w:rsidR="004176D1" w:rsidRDefault="25BAA659" w:rsidP="25BAA659">
      <w:pPr>
        <w:jc w:val="both"/>
        <w:rPr>
          <w:rFonts w:ascii="Arial" w:hAnsi="Arial" w:cs="Arial"/>
          <w:sz w:val="22"/>
          <w:szCs w:val="22"/>
          <w:lang w:val="en-GB"/>
        </w:rPr>
      </w:pPr>
      <w:r w:rsidRPr="25BAA659">
        <w:rPr>
          <w:rFonts w:ascii="Arial" w:hAnsi="Arial" w:cs="Arial"/>
          <w:sz w:val="22"/>
          <w:szCs w:val="22"/>
          <w:lang w:val="en-GB"/>
        </w:rPr>
        <w:t>I do not agree that “bankruptcy” and “insolvency” can be used interchangeably because the meaning that is sometimes prescribed to “insolvency” speaks to the status of the debtor’s financial affairs and the debtor being unable to meet his debts as they become due. In certain jurisdictions, this is also a prerequisite to “bankruptcy” which in this instance speaks to the commencement of formal proceedings to declare an individual/corporation bankrupt.</w:t>
      </w:r>
    </w:p>
    <w:p w14:paraId="32CE396C" w14:textId="4C9041E6" w:rsidR="25BAA659" w:rsidRDefault="25BAA659" w:rsidP="25BAA659">
      <w:pPr>
        <w:jc w:val="both"/>
        <w:rPr>
          <w:rFonts w:ascii="Arial" w:hAnsi="Arial" w:cs="Arial"/>
          <w:sz w:val="22"/>
          <w:szCs w:val="22"/>
          <w:lang w:val="en-GB"/>
        </w:rPr>
      </w:pPr>
    </w:p>
    <w:p w14:paraId="30A19405" w14:textId="50D01120" w:rsidR="004615F8" w:rsidRDefault="25BAA659" w:rsidP="25BAA659">
      <w:pPr>
        <w:jc w:val="both"/>
        <w:rPr>
          <w:rFonts w:ascii="Arial" w:hAnsi="Arial" w:cs="Arial"/>
          <w:sz w:val="22"/>
          <w:szCs w:val="22"/>
          <w:lang w:val="en-GB"/>
        </w:rPr>
      </w:pPr>
      <w:r w:rsidRPr="25BAA659">
        <w:rPr>
          <w:rFonts w:ascii="Arial" w:hAnsi="Arial" w:cs="Arial"/>
          <w:sz w:val="22"/>
          <w:szCs w:val="22"/>
          <w:lang w:val="en-GB"/>
        </w:rPr>
        <w:t>According to Wood, the essential characteristics of bankruptcy and insolvency are as follows:</w:t>
      </w:r>
    </w:p>
    <w:p w14:paraId="1CFA127D" w14:textId="77777777" w:rsidR="005E779E" w:rsidRDefault="005E779E" w:rsidP="25BAA659">
      <w:pPr>
        <w:jc w:val="both"/>
        <w:rPr>
          <w:rFonts w:ascii="Arial" w:hAnsi="Arial" w:cs="Arial"/>
          <w:sz w:val="22"/>
          <w:szCs w:val="22"/>
          <w:lang w:val="en-GB"/>
        </w:rPr>
      </w:pPr>
    </w:p>
    <w:p w14:paraId="796A46B2" w14:textId="57BE87FC" w:rsidR="00851C1A" w:rsidRDefault="25BAA659" w:rsidP="25BAA659">
      <w:pPr>
        <w:pStyle w:val="ListParagraph"/>
        <w:numPr>
          <w:ilvl w:val="0"/>
          <w:numId w:val="35"/>
        </w:numPr>
        <w:jc w:val="both"/>
        <w:rPr>
          <w:rFonts w:ascii="Arial" w:hAnsi="Arial" w:cs="Arial"/>
          <w:sz w:val="22"/>
          <w:szCs w:val="22"/>
          <w:lang w:val="en-GB"/>
        </w:rPr>
      </w:pPr>
      <w:r w:rsidRPr="25BAA659">
        <w:rPr>
          <w:rFonts w:ascii="Arial" w:hAnsi="Arial" w:cs="Arial"/>
          <w:sz w:val="22"/>
          <w:szCs w:val="22"/>
          <w:lang w:val="en-GB"/>
        </w:rPr>
        <w:t>Automatic stay of proceedings against the debtor which bars individual debt enforcement and facilitates the collective debt procedure which binds all creditors;</w:t>
      </w:r>
    </w:p>
    <w:p w14:paraId="5CFABBAC" w14:textId="77777777" w:rsidR="00851C1A" w:rsidRDefault="25BAA659" w:rsidP="25BAA659">
      <w:pPr>
        <w:pStyle w:val="ListParagraph"/>
        <w:numPr>
          <w:ilvl w:val="0"/>
          <w:numId w:val="35"/>
        </w:numPr>
        <w:jc w:val="both"/>
        <w:rPr>
          <w:rFonts w:ascii="Arial" w:hAnsi="Arial" w:cs="Arial"/>
          <w:sz w:val="22"/>
          <w:szCs w:val="22"/>
          <w:lang w:val="en-GB"/>
        </w:rPr>
      </w:pPr>
      <w:r w:rsidRPr="25BAA659">
        <w:rPr>
          <w:rFonts w:ascii="Arial" w:hAnsi="Arial" w:cs="Arial"/>
          <w:sz w:val="22"/>
          <w:szCs w:val="22"/>
          <w:lang w:val="en-GB"/>
        </w:rPr>
        <w:t>Pooling of assets for the benefit of the debtor’s creditors;</w:t>
      </w:r>
    </w:p>
    <w:p w14:paraId="58E235F1" w14:textId="7E61261E" w:rsidR="005E779E" w:rsidRPr="005E779E" w:rsidRDefault="25BAA659" w:rsidP="25BAA659">
      <w:pPr>
        <w:pStyle w:val="ListParagraph"/>
        <w:numPr>
          <w:ilvl w:val="0"/>
          <w:numId w:val="35"/>
        </w:numPr>
        <w:jc w:val="both"/>
        <w:rPr>
          <w:rFonts w:ascii="Arial" w:hAnsi="Arial" w:cs="Arial"/>
          <w:sz w:val="22"/>
          <w:szCs w:val="22"/>
          <w:lang w:val="en-GB"/>
        </w:rPr>
      </w:pPr>
      <w:proofErr w:type="spellStart"/>
      <w:r w:rsidRPr="25BAA659">
        <w:rPr>
          <w:rFonts w:ascii="Arial" w:hAnsi="Arial" w:cs="Arial"/>
          <w:sz w:val="22"/>
          <w:szCs w:val="22"/>
          <w:lang w:val="en-GB"/>
        </w:rPr>
        <w:t>Pari</w:t>
      </w:r>
      <w:proofErr w:type="spellEnd"/>
      <w:r w:rsidRPr="25BAA659">
        <w:rPr>
          <w:rFonts w:ascii="Arial" w:hAnsi="Arial" w:cs="Arial"/>
          <w:sz w:val="22"/>
          <w:szCs w:val="22"/>
          <w:lang w:val="en-GB"/>
        </w:rPr>
        <w:t xml:space="preserve"> </w:t>
      </w:r>
      <w:proofErr w:type="spellStart"/>
      <w:r w:rsidRPr="25BAA659">
        <w:rPr>
          <w:rFonts w:ascii="Arial" w:hAnsi="Arial" w:cs="Arial"/>
          <w:sz w:val="22"/>
          <w:szCs w:val="22"/>
          <w:lang w:val="en-GB"/>
        </w:rPr>
        <w:t>passu</w:t>
      </w:r>
      <w:proofErr w:type="spellEnd"/>
      <w:r w:rsidRPr="25BAA659">
        <w:rPr>
          <w:rFonts w:ascii="Arial" w:hAnsi="Arial" w:cs="Arial"/>
          <w:sz w:val="22"/>
          <w:szCs w:val="22"/>
          <w:lang w:val="en-GB"/>
        </w:rPr>
        <w:t xml:space="preserve"> payments to creditors which dictate that except for particular situations, creditors rank equally and are to be paid accordingly. </w:t>
      </w:r>
    </w:p>
    <w:p w14:paraId="7000417C" w14:textId="77777777" w:rsidR="00851C1A" w:rsidRDefault="00851C1A" w:rsidP="25BAA659">
      <w:pPr>
        <w:jc w:val="both"/>
        <w:rPr>
          <w:rFonts w:ascii="Arial" w:hAnsi="Arial" w:cs="Arial"/>
          <w:sz w:val="22"/>
          <w:szCs w:val="22"/>
          <w:lang w:val="en-GB"/>
        </w:rPr>
      </w:pPr>
    </w:p>
    <w:p w14:paraId="1F28473A" w14:textId="72FD0D9A" w:rsidR="005E779E" w:rsidRDefault="25BAA659" w:rsidP="25BAA659">
      <w:pPr>
        <w:jc w:val="both"/>
        <w:rPr>
          <w:rFonts w:ascii="Arial" w:hAnsi="Arial" w:cs="Arial"/>
          <w:sz w:val="22"/>
          <w:szCs w:val="22"/>
          <w:lang w:val="en-GB"/>
        </w:rPr>
      </w:pPr>
      <w:r w:rsidRPr="25BAA659">
        <w:rPr>
          <w:rFonts w:ascii="Arial" w:hAnsi="Arial" w:cs="Arial"/>
          <w:sz w:val="22"/>
          <w:szCs w:val="22"/>
          <w:lang w:val="en-GB"/>
        </w:rPr>
        <w:t xml:space="preserve">(Wood P.R., </w:t>
      </w:r>
      <w:r w:rsidRPr="25BAA659">
        <w:rPr>
          <w:rFonts w:ascii="Arial" w:hAnsi="Arial" w:cs="Arial"/>
          <w:i/>
          <w:iCs/>
          <w:sz w:val="22"/>
          <w:szCs w:val="22"/>
          <w:lang w:val="en-GB"/>
        </w:rPr>
        <w:t>Principles of International Insolvency</w:t>
      </w:r>
      <w:r w:rsidRPr="25BAA659">
        <w:rPr>
          <w:rFonts w:ascii="Arial" w:hAnsi="Arial" w:cs="Arial"/>
          <w:sz w:val="22"/>
          <w:szCs w:val="22"/>
          <w:lang w:val="en-GB"/>
        </w:rPr>
        <w:t>, Sweet and Maxwell (2007)</w:t>
      </w:r>
      <w:r w:rsidR="00A56A4B">
        <w:rPr>
          <w:rFonts w:ascii="Arial" w:hAnsi="Arial" w:cs="Arial"/>
          <w:sz w:val="22"/>
          <w:szCs w:val="22"/>
          <w:lang w:val="en-GB"/>
        </w:rPr>
        <w:t xml:space="preserve">, p </w:t>
      </w:r>
      <w:bookmarkStart w:id="0" w:name="_GoBack"/>
      <w:bookmarkEnd w:id="0"/>
      <w:r w:rsidR="00A56A4B">
        <w:rPr>
          <w:rFonts w:ascii="Arial" w:hAnsi="Arial" w:cs="Arial"/>
          <w:sz w:val="22"/>
          <w:szCs w:val="22"/>
          <w:lang w:val="en-GB"/>
        </w:rPr>
        <w:t>3</w:t>
      </w:r>
      <w:r w:rsidRPr="25BAA659">
        <w:rPr>
          <w:rFonts w:ascii="Arial" w:hAnsi="Arial" w:cs="Arial"/>
          <w:sz w:val="22"/>
          <w:szCs w:val="22"/>
          <w:lang w:val="en-GB"/>
        </w:rPr>
        <w:t>.</w:t>
      </w:r>
    </w:p>
    <w:p w14:paraId="54DD2429" w14:textId="77777777" w:rsidR="00851C1A" w:rsidRDefault="00851C1A" w:rsidP="25BAA659">
      <w:pPr>
        <w:jc w:val="both"/>
        <w:rPr>
          <w:rFonts w:ascii="Arial" w:hAnsi="Arial" w:cs="Arial"/>
          <w:sz w:val="22"/>
          <w:szCs w:val="22"/>
          <w:lang w:val="en-GB"/>
        </w:rPr>
      </w:pPr>
    </w:p>
    <w:p w14:paraId="4E2BAF23" w14:textId="77777777" w:rsidR="00851C1A" w:rsidRPr="00EE2896" w:rsidRDefault="00851C1A" w:rsidP="00692852">
      <w:pPr>
        <w:jc w:val="both"/>
        <w:rPr>
          <w:rFonts w:ascii="Arial" w:hAnsi="Arial" w:cs="Arial"/>
          <w:color w:val="FF0000"/>
          <w:sz w:val="22"/>
          <w:szCs w:val="22"/>
          <w:lang w:val="en-GB"/>
        </w:rPr>
      </w:pPr>
    </w:p>
    <w:p w14:paraId="1D9EABFB" w14:textId="2E8C10BE" w:rsidR="00851C1A" w:rsidRPr="00EE2896" w:rsidRDefault="00EE2896" w:rsidP="25BAA659">
      <w:pPr>
        <w:jc w:val="both"/>
        <w:rPr>
          <w:rFonts w:ascii="Arial" w:hAnsi="Arial" w:cs="Arial"/>
          <w:sz w:val="22"/>
          <w:szCs w:val="22"/>
          <w:lang w:val="en-GB"/>
        </w:rPr>
      </w:pPr>
      <w:r w:rsidRPr="25BAA659">
        <w:rPr>
          <w:rStyle w:val="normaltextrun"/>
          <w:rFonts w:ascii="Arial" w:hAnsi="Arial" w:cs="Arial"/>
          <w:sz w:val="22"/>
          <w:szCs w:val="22"/>
          <w:shd w:val="clear" w:color="auto" w:fill="FFFFFF"/>
          <w:lang w:val="en-GB"/>
        </w:rPr>
        <w:t>In certain States, the objective of insolvency for individuals is based on the concept of rehabilitation and ultimately discharge. This concept of rehabilitation usually involves the discharge of some of the debtor’s unpaid debts the focus of which is to provide the debtor with a clean slate or a “fresh start” without the obligation to satisfy pre-bankruptcy debts. On the other hand, previously corporations were not thought to be rehabilitated and as such, they are usually dissolved following the winding-up process. However, the idea and practice of corporate rescue is now becoming more normalised.</w:t>
      </w:r>
      <w:r w:rsidRPr="25BAA659">
        <w:rPr>
          <w:rStyle w:val="eop"/>
          <w:rFonts w:ascii="Arial" w:hAnsi="Arial" w:cs="Arial"/>
          <w:sz w:val="22"/>
          <w:szCs w:val="22"/>
          <w:shd w:val="clear" w:color="auto" w:fill="FFFFFF"/>
        </w:rPr>
        <w:t xml:space="preserve"> It is also important to note that the concept of having assets excluded or exempt from seizure only applies in instances where the debtor is an individual or natural person. </w:t>
      </w:r>
    </w:p>
    <w:p w14:paraId="4A4BE5E3" w14:textId="77777777" w:rsidR="00851C1A" w:rsidRPr="004176D1" w:rsidRDefault="00851C1A" w:rsidP="00692852">
      <w:pPr>
        <w:jc w:val="both"/>
        <w:rPr>
          <w:rFonts w:ascii="Arial" w:hAnsi="Arial" w:cs="Arial"/>
          <w:color w:val="FF000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 xml:space="preserve">Discuss some of the challenges which arise in cross-border insolvency that make it difficult to develop </w:t>
      </w:r>
      <w:proofErr w:type="gramStart"/>
      <w:r w:rsidRPr="006F2E9B">
        <w:rPr>
          <w:rFonts w:ascii="Avenir Next" w:hAnsi="Avenir Next" w:cs="Arial"/>
          <w:sz w:val="22"/>
          <w:szCs w:val="22"/>
          <w:lang w:val="en-GB"/>
        </w:rPr>
        <w:t>a</w:t>
      </w:r>
      <w:proofErr w:type="gramEnd"/>
      <w:r w:rsidRPr="006F2E9B">
        <w:rPr>
          <w:rFonts w:ascii="Avenir Next" w:hAnsi="Avenir Next" w:cs="Arial"/>
          <w:sz w:val="22"/>
          <w:szCs w:val="22"/>
          <w:lang w:val="en-GB"/>
        </w:rPr>
        <w:t xml:space="preserve">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34AF8EEF" w14:textId="77777777" w:rsidR="00A13DA3" w:rsidRPr="00D328F1" w:rsidRDefault="00A13DA3" w:rsidP="00A13DA3">
      <w:pPr>
        <w:pStyle w:val="paragraph"/>
        <w:spacing w:before="0" w:beforeAutospacing="0" w:after="0" w:afterAutospacing="0"/>
        <w:jc w:val="both"/>
        <w:textAlignment w:val="baseline"/>
        <w:rPr>
          <w:rFonts w:ascii="Segoe UI" w:hAnsi="Segoe UI" w:cs="Segoe UI"/>
          <w:sz w:val="18"/>
          <w:szCs w:val="18"/>
        </w:rPr>
      </w:pPr>
      <w:r w:rsidRPr="00D328F1">
        <w:rPr>
          <w:rStyle w:val="eop"/>
          <w:rFonts w:ascii="Avenir Next" w:hAnsi="Avenir Next" w:cs="Segoe UI"/>
          <w:sz w:val="22"/>
          <w:szCs w:val="22"/>
        </w:rPr>
        <w:t> </w:t>
      </w:r>
    </w:p>
    <w:p w14:paraId="4E0B32A7" w14:textId="64D19760" w:rsidR="00A13DA3" w:rsidRPr="00D328F1" w:rsidRDefault="00A13DA3" w:rsidP="00A13DA3">
      <w:pPr>
        <w:pStyle w:val="paragraph"/>
        <w:spacing w:before="0" w:beforeAutospacing="0" w:after="0" w:afterAutospacing="0"/>
        <w:jc w:val="both"/>
        <w:textAlignment w:val="baseline"/>
        <w:rPr>
          <w:rFonts w:ascii="Arial" w:hAnsi="Arial" w:cs="Arial"/>
          <w:sz w:val="18"/>
          <w:szCs w:val="18"/>
        </w:rPr>
      </w:pPr>
      <w:r w:rsidRPr="00D328F1">
        <w:rPr>
          <w:rStyle w:val="normaltextrun"/>
          <w:rFonts w:ascii="Arial" w:hAnsi="Arial" w:cs="Arial"/>
          <w:sz w:val="22"/>
          <w:szCs w:val="22"/>
          <w:lang w:val="en-GB"/>
        </w:rPr>
        <w:t xml:space="preserve">The following are </w:t>
      </w:r>
      <w:r w:rsidR="007B1E2B" w:rsidRPr="00D328F1">
        <w:rPr>
          <w:rStyle w:val="normaltextrun"/>
          <w:rFonts w:ascii="Arial" w:hAnsi="Arial" w:cs="Arial"/>
          <w:sz w:val="22"/>
          <w:szCs w:val="22"/>
          <w:lang w:val="en-GB"/>
        </w:rPr>
        <w:t>some of the challenges which arise in</w:t>
      </w:r>
      <w:r w:rsidRPr="00D328F1">
        <w:rPr>
          <w:rStyle w:val="normaltextrun"/>
          <w:rFonts w:ascii="Arial" w:hAnsi="Arial" w:cs="Arial"/>
          <w:sz w:val="22"/>
          <w:szCs w:val="22"/>
          <w:lang w:val="en-GB"/>
        </w:rPr>
        <w:t xml:space="preserve"> a cross-border </w:t>
      </w:r>
      <w:r w:rsidR="007B1E2B" w:rsidRPr="00D328F1">
        <w:rPr>
          <w:rStyle w:val="normaltextrun"/>
          <w:rFonts w:ascii="Arial" w:hAnsi="Arial" w:cs="Arial"/>
          <w:sz w:val="22"/>
          <w:szCs w:val="22"/>
          <w:lang w:val="en-GB"/>
        </w:rPr>
        <w:t>insolvency that make it difficult to develop a single global cross-border insolvency dispensation:</w:t>
      </w:r>
      <w:r w:rsidRPr="00D328F1">
        <w:rPr>
          <w:rStyle w:val="eop"/>
          <w:rFonts w:ascii="Arial" w:hAnsi="Arial" w:cs="Arial"/>
          <w:sz w:val="22"/>
          <w:szCs w:val="22"/>
        </w:rPr>
        <w:t> </w:t>
      </w:r>
    </w:p>
    <w:p w14:paraId="1EA3039E" w14:textId="77777777" w:rsidR="00A13DA3" w:rsidRPr="00D328F1" w:rsidRDefault="00A13DA3" w:rsidP="00A13DA3">
      <w:pPr>
        <w:pStyle w:val="paragraph"/>
        <w:spacing w:before="0" w:beforeAutospacing="0" w:after="0" w:afterAutospacing="0"/>
        <w:jc w:val="both"/>
        <w:textAlignment w:val="baseline"/>
        <w:rPr>
          <w:rFonts w:ascii="Arial" w:hAnsi="Arial" w:cs="Arial"/>
          <w:sz w:val="18"/>
          <w:szCs w:val="18"/>
        </w:rPr>
      </w:pPr>
      <w:r w:rsidRPr="00D328F1">
        <w:rPr>
          <w:rStyle w:val="eop"/>
          <w:rFonts w:ascii="Arial" w:hAnsi="Arial" w:cs="Arial"/>
          <w:sz w:val="22"/>
          <w:szCs w:val="22"/>
        </w:rPr>
        <w:t> </w:t>
      </w:r>
    </w:p>
    <w:p w14:paraId="6ECE7ACB" w14:textId="61C27886" w:rsidR="00A13DA3" w:rsidRPr="00D328F1" w:rsidRDefault="00A13DA3" w:rsidP="00A13DA3">
      <w:pPr>
        <w:pStyle w:val="paragraph"/>
        <w:numPr>
          <w:ilvl w:val="0"/>
          <w:numId w:val="39"/>
        </w:numPr>
        <w:spacing w:before="0" w:beforeAutospacing="0" w:after="0" w:afterAutospacing="0"/>
        <w:jc w:val="both"/>
        <w:textAlignment w:val="baseline"/>
        <w:rPr>
          <w:rFonts w:ascii="Arial" w:hAnsi="Arial" w:cs="Arial"/>
          <w:sz w:val="22"/>
          <w:szCs w:val="22"/>
        </w:rPr>
      </w:pPr>
      <w:r w:rsidRPr="00D328F1">
        <w:rPr>
          <w:rStyle w:val="normaltextrun"/>
          <w:rFonts w:ascii="Arial" w:hAnsi="Arial" w:cs="Arial"/>
          <w:sz w:val="22"/>
          <w:szCs w:val="22"/>
          <w:lang w:val="en-GB"/>
        </w:rPr>
        <w:t>the low standard of the domestic insolvency</w:t>
      </w:r>
      <w:r w:rsidR="007B1E2B" w:rsidRPr="00D328F1">
        <w:rPr>
          <w:rStyle w:val="normaltextrun"/>
          <w:rFonts w:ascii="Arial" w:hAnsi="Arial" w:cs="Arial"/>
          <w:sz w:val="22"/>
          <w:szCs w:val="22"/>
          <w:lang w:val="en-GB"/>
        </w:rPr>
        <w:t xml:space="preserve"> regime</w:t>
      </w:r>
      <w:r w:rsidRPr="00D328F1">
        <w:rPr>
          <w:rStyle w:val="normaltextrun"/>
          <w:rFonts w:ascii="Arial" w:hAnsi="Arial" w:cs="Arial"/>
          <w:sz w:val="22"/>
          <w:szCs w:val="22"/>
          <w:lang w:val="en-GB"/>
        </w:rPr>
        <w:t xml:space="preserve"> of the relevant States: the laws maybe antiquated and not suited to the realities of modern globalised trade economies which require provisions that address modern needs such as co-operation and co-ordination in cross-border insolvency matters;</w:t>
      </w:r>
      <w:r w:rsidRPr="00D328F1">
        <w:rPr>
          <w:rStyle w:val="eop"/>
          <w:rFonts w:ascii="Arial" w:hAnsi="Arial" w:cs="Arial"/>
          <w:sz w:val="22"/>
          <w:szCs w:val="22"/>
        </w:rPr>
        <w:t> </w:t>
      </w:r>
    </w:p>
    <w:p w14:paraId="1C1FAAC2" w14:textId="77777777" w:rsidR="00A13DA3" w:rsidRPr="00D328F1" w:rsidRDefault="00A13DA3" w:rsidP="00A13DA3">
      <w:pPr>
        <w:pStyle w:val="paragraph"/>
        <w:spacing w:before="0" w:beforeAutospacing="0" w:after="0" w:afterAutospacing="0"/>
        <w:jc w:val="both"/>
        <w:textAlignment w:val="baseline"/>
        <w:rPr>
          <w:rStyle w:val="normaltextrun"/>
          <w:rFonts w:ascii="Arial" w:hAnsi="Arial" w:cs="Arial"/>
          <w:sz w:val="22"/>
          <w:szCs w:val="22"/>
          <w:lang w:val="en-GB"/>
        </w:rPr>
      </w:pPr>
    </w:p>
    <w:p w14:paraId="0249B902" w14:textId="11D8886B" w:rsidR="00A13DA3" w:rsidRPr="00D328F1" w:rsidRDefault="00A13DA3" w:rsidP="00A13DA3">
      <w:pPr>
        <w:pStyle w:val="paragraph"/>
        <w:numPr>
          <w:ilvl w:val="0"/>
          <w:numId w:val="39"/>
        </w:numPr>
        <w:spacing w:before="0" w:beforeAutospacing="0" w:after="0" w:afterAutospacing="0"/>
        <w:jc w:val="both"/>
        <w:textAlignment w:val="baseline"/>
        <w:rPr>
          <w:rFonts w:ascii="Arial" w:hAnsi="Arial" w:cs="Arial"/>
          <w:sz w:val="22"/>
          <w:szCs w:val="22"/>
        </w:rPr>
      </w:pPr>
      <w:proofErr w:type="gramStart"/>
      <w:r w:rsidRPr="00D328F1">
        <w:rPr>
          <w:rStyle w:val="normaltextrun"/>
          <w:rFonts w:ascii="Arial" w:hAnsi="Arial" w:cs="Arial"/>
          <w:sz w:val="22"/>
          <w:szCs w:val="22"/>
          <w:lang w:val="en-GB"/>
        </w:rPr>
        <w:t>the</w:t>
      </w:r>
      <w:proofErr w:type="gramEnd"/>
      <w:r w:rsidRPr="00D328F1">
        <w:rPr>
          <w:rStyle w:val="normaltextrun"/>
          <w:rFonts w:ascii="Arial" w:hAnsi="Arial" w:cs="Arial"/>
          <w:sz w:val="22"/>
          <w:szCs w:val="22"/>
          <w:lang w:val="en-GB"/>
        </w:rPr>
        <w:t xml:space="preserve"> differences in each state’s approach to insolvency law: States may have systems geared towards a pro-debtor or pro-creditor approach meaning that the relevant states would prioritise the interests of the opposing parties</w:t>
      </w:r>
      <w:r w:rsidR="008769E1">
        <w:rPr>
          <w:rStyle w:val="normaltextrun"/>
          <w:rFonts w:ascii="Arial" w:hAnsi="Arial" w:cs="Arial"/>
          <w:sz w:val="22"/>
          <w:szCs w:val="22"/>
          <w:lang w:val="en-GB"/>
        </w:rPr>
        <w:t xml:space="preserve">. Furthermore, </w:t>
      </w:r>
      <w:r w:rsidR="00662AC8">
        <w:rPr>
          <w:rStyle w:val="normaltextrun"/>
          <w:rFonts w:ascii="Arial" w:hAnsi="Arial" w:cs="Arial"/>
          <w:sz w:val="22"/>
          <w:szCs w:val="22"/>
          <w:lang w:val="en-GB"/>
        </w:rPr>
        <w:t>public policy considerations like protecting the interests of local creditors</w:t>
      </w:r>
      <w:r w:rsidR="00096E20">
        <w:rPr>
          <w:rStyle w:val="normaltextrun"/>
          <w:rFonts w:ascii="Arial" w:hAnsi="Arial" w:cs="Arial"/>
          <w:sz w:val="22"/>
          <w:szCs w:val="22"/>
          <w:lang w:val="en-GB"/>
        </w:rPr>
        <w:t xml:space="preserve"> may also </w:t>
      </w:r>
      <w:r w:rsidR="00E96620">
        <w:rPr>
          <w:rStyle w:val="normaltextrun"/>
          <w:rFonts w:ascii="Arial" w:hAnsi="Arial" w:cs="Arial"/>
          <w:sz w:val="22"/>
          <w:szCs w:val="22"/>
          <w:lang w:val="en-GB"/>
        </w:rPr>
        <w:t xml:space="preserve">make States reluctant </w:t>
      </w:r>
      <w:r w:rsidR="001146CE">
        <w:rPr>
          <w:rStyle w:val="normaltextrun"/>
          <w:rFonts w:ascii="Arial" w:hAnsi="Arial" w:cs="Arial"/>
          <w:sz w:val="22"/>
          <w:szCs w:val="22"/>
          <w:lang w:val="en-GB"/>
        </w:rPr>
        <w:t>to co-operate with foreign States</w:t>
      </w:r>
      <w:r w:rsidR="00096E20">
        <w:rPr>
          <w:rStyle w:val="normaltextrun"/>
          <w:rFonts w:ascii="Arial" w:hAnsi="Arial" w:cs="Arial"/>
          <w:sz w:val="22"/>
          <w:szCs w:val="22"/>
          <w:lang w:val="en-GB"/>
        </w:rPr>
        <w:t xml:space="preserve"> </w:t>
      </w:r>
      <w:r w:rsidRPr="00D328F1">
        <w:rPr>
          <w:rStyle w:val="normaltextrun"/>
          <w:rFonts w:ascii="Arial" w:hAnsi="Arial" w:cs="Arial"/>
          <w:sz w:val="22"/>
          <w:szCs w:val="22"/>
          <w:lang w:val="en-GB"/>
        </w:rPr>
        <w:t>;</w:t>
      </w:r>
      <w:r w:rsidRPr="00D328F1">
        <w:rPr>
          <w:rStyle w:val="eop"/>
          <w:rFonts w:ascii="Arial" w:hAnsi="Arial" w:cs="Arial"/>
          <w:sz w:val="22"/>
          <w:szCs w:val="22"/>
        </w:rPr>
        <w:t> </w:t>
      </w:r>
    </w:p>
    <w:p w14:paraId="05E69CDC" w14:textId="77777777" w:rsidR="00A13DA3" w:rsidRPr="00D328F1" w:rsidRDefault="00A13DA3" w:rsidP="00A13DA3">
      <w:pPr>
        <w:pStyle w:val="paragraph"/>
        <w:spacing w:before="0" w:beforeAutospacing="0" w:after="0" w:afterAutospacing="0"/>
        <w:jc w:val="both"/>
        <w:textAlignment w:val="baseline"/>
        <w:rPr>
          <w:rStyle w:val="normaltextrun"/>
          <w:rFonts w:ascii="Arial" w:hAnsi="Arial" w:cs="Arial"/>
          <w:sz w:val="22"/>
          <w:szCs w:val="22"/>
          <w:lang w:val="en-GB"/>
        </w:rPr>
      </w:pPr>
    </w:p>
    <w:p w14:paraId="614B2D8F" w14:textId="141C1818" w:rsidR="00A13DA3" w:rsidRPr="00D328F1" w:rsidRDefault="00A13DA3" w:rsidP="00A13DA3">
      <w:pPr>
        <w:pStyle w:val="paragraph"/>
        <w:numPr>
          <w:ilvl w:val="0"/>
          <w:numId w:val="39"/>
        </w:numPr>
        <w:spacing w:before="0" w:beforeAutospacing="0" w:after="0" w:afterAutospacing="0"/>
        <w:jc w:val="both"/>
        <w:textAlignment w:val="baseline"/>
        <w:rPr>
          <w:rStyle w:val="eop"/>
          <w:rFonts w:ascii="Arial" w:hAnsi="Arial" w:cs="Arial"/>
          <w:sz w:val="22"/>
          <w:szCs w:val="22"/>
        </w:rPr>
      </w:pPr>
      <w:proofErr w:type="gramStart"/>
      <w:r w:rsidRPr="00D328F1">
        <w:rPr>
          <w:rStyle w:val="normaltextrun"/>
          <w:rFonts w:ascii="Arial" w:hAnsi="Arial" w:cs="Arial"/>
          <w:sz w:val="22"/>
          <w:szCs w:val="22"/>
          <w:lang w:val="en-GB"/>
        </w:rPr>
        <w:t>the</w:t>
      </w:r>
      <w:proofErr w:type="gramEnd"/>
      <w:r w:rsidRPr="00D328F1">
        <w:rPr>
          <w:rStyle w:val="normaltextrun"/>
          <w:rFonts w:ascii="Arial" w:hAnsi="Arial" w:cs="Arial"/>
          <w:sz w:val="22"/>
          <w:szCs w:val="22"/>
          <w:lang w:val="en-GB"/>
        </w:rPr>
        <w:t xml:space="preserve"> differences in procedural and substantive law: the fact that insolvency proceedings can </w:t>
      </w:r>
      <w:r w:rsidR="00EB0117">
        <w:rPr>
          <w:rStyle w:val="normaltextrun"/>
          <w:rFonts w:ascii="Arial" w:hAnsi="Arial" w:cs="Arial"/>
          <w:sz w:val="22"/>
          <w:szCs w:val="22"/>
          <w:lang w:val="en-GB"/>
        </w:rPr>
        <w:t xml:space="preserve">affect </w:t>
      </w:r>
      <w:r w:rsidRPr="00D328F1">
        <w:rPr>
          <w:rStyle w:val="normaltextrun"/>
          <w:rFonts w:ascii="Arial" w:hAnsi="Arial" w:cs="Arial"/>
          <w:sz w:val="22"/>
          <w:szCs w:val="22"/>
          <w:lang w:val="en-GB"/>
        </w:rPr>
        <w:t>not only procedural law but substantive law can naturally cause clashes or difficulties in a cross-border context.</w:t>
      </w:r>
      <w:r w:rsidRPr="00D328F1">
        <w:rPr>
          <w:rStyle w:val="eop"/>
          <w:rFonts w:ascii="Arial" w:hAnsi="Arial" w:cs="Arial"/>
          <w:sz w:val="22"/>
          <w:szCs w:val="22"/>
        </w:rPr>
        <w:t> </w:t>
      </w:r>
    </w:p>
    <w:p w14:paraId="0DA651A8" w14:textId="77777777" w:rsidR="007B1E2B" w:rsidRPr="00D328F1" w:rsidRDefault="007B1E2B" w:rsidP="007B1E2B">
      <w:pPr>
        <w:pStyle w:val="ListParagraph"/>
        <w:rPr>
          <w:rFonts w:ascii="Arial" w:hAnsi="Arial" w:cs="Arial"/>
          <w:sz w:val="22"/>
          <w:szCs w:val="22"/>
        </w:rPr>
      </w:pPr>
    </w:p>
    <w:p w14:paraId="57A91C0F" w14:textId="425E0EFA" w:rsidR="007B1E2B" w:rsidRPr="00D328F1" w:rsidRDefault="007B1E2B" w:rsidP="00A13DA3">
      <w:pPr>
        <w:pStyle w:val="paragraph"/>
        <w:numPr>
          <w:ilvl w:val="0"/>
          <w:numId w:val="39"/>
        </w:numPr>
        <w:spacing w:before="0" w:beforeAutospacing="0" w:after="0" w:afterAutospacing="0"/>
        <w:jc w:val="both"/>
        <w:textAlignment w:val="baseline"/>
        <w:rPr>
          <w:rFonts w:ascii="Arial" w:hAnsi="Arial" w:cs="Arial"/>
          <w:sz w:val="22"/>
          <w:szCs w:val="22"/>
        </w:rPr>
      </w:pPr>
      <w:proofErr w:type="gramStart"/>
      <w:r w:rsidRPr="00D328F1">
        <w:rPr>
          <w:rFonts w:ascii="Arial" w:hAnsi="Arial" w:cs="Arial"/>
          <w:sz w:val="22"/>
          <w:szCs w:val="22"/>
        </w:rPr>
        <w:t>the</w:t>
      </w:r>
      <w:proofErr w:type="gramEnd"/>
      <w:r w:rsidRPr="00D328F1">
        <w:rPr>
          <w:rFonts w:ascii="Arial" w:hAnsi="Arial" w:cs="Arial"/>
          <w:sz w:val="22"/>
          <w:szCs w:val="22"/>
        </w:rPr>
        <w:t xml:space="preserve"> differences in the definition of “insolvency” and “bankruptcy” applied by respective States.</w:t>
      </w:r>
    </w:p>
    <w:p w14:paraId="2D7170B4" w14:textId="77777777" w:rsidR="007B1E2B" w:rsidRDefault="007B1E2B" w:rsidP="007B1E2B">
      <w:pPr>
        <w:pStyle w:val="ListParagraph"/>
        <w:rPr>
          <w:rFonts w:ascii="Arial" w:hAnsi="Arial" w:cs="Arial"/>
          <w:color w:val="FF0000"/>
          <w:sz w:val="22"/>
          <w:szCs w:val="22"/>
        </w:rPr>
      </w:pPr>
    </w:p>
    <w:p w14:paraId="2929C457" w14:textId="7A5E55AA" w:rsidR="007B1E2B" w:rsidRDefault="25BAA659" w:rsidP="25BAA659">
      <w:pPr>
        <w:pStyle w:val="paragraph"/>
        <w:spacing w:before="0" w:beforeAutospacing="0" w:after="0" w:afterAutospacing="0"/>
        <w:jc w:val="both"/>
        <w:textAlignment w:val="baseline"/>
        <w:rPr>
          <w:rFonts w:ascii="Arial" w:hAnsi="Arial" w:cs="Arial"/>
          <w:sz w:val="22"/>
          <w:szCs w:val="22"/>
        </w:rPr>
      </w:pPr>
      <w:r w:rsidRPr="25BAA659">
        <w:rPr>
          <w:rFonts w:ascii="Arial" w:hAnsi="Arial" w:cs="Arial"/>
          <w:sz w:val="22"/>
          <w:szCs w:val="22"/>
        </w:rPr>
        <w:t>In addition to this, Westbrook has also identified the following nine (9) key issues in cross-border cases which undoubtedly contribute to the aforementioned difficulties particularly the differences in each State’s approach thereto:</w:t>
      </w:r>
    </w:p>
    <w:p w14:paraId="6EACF62F" w14:textId="77777777" w:rsidR="007B1E2B" w:rsidRDefault="007B1E2B" w:rsidP="25BAA659">
      <w:pPr>
        <w:pStyle w:val="paragraph"/>
        <w:spacing w:before="0" w:beforeAutospacing="0" w:after="0" w:afterAutospacing="0"/>
        <w:jc w:val="both"/>
        <w:textAlignment w:val="baseline"/>
        <w:rPr>
          <w:rFonts w:ascii="Arial" w:hAnsi="Arial" w:cs="Arial"/>
          <w:sz w:val="22"/>
          <w:szCs w:val="22"/>
        </w:rPr>
      </w:pPr>
    </w:p>
    <w:p w14:paraId="7C6D49CE" w14:textId="51BE03CE" w:rsidR="007B1E2B" w:rsidRDefault="25BAA659" w:rsidP="25BAA659">
      <w:pPr>
        <w:pStyle w:val="paragraph"/>
        <w:numPr>
          <w:ilvl w:val="0"/>
          <w:numId w:val="40"/>
        </w:numPr>
        <w:spacing w:before="0" w:beforeAutospacing="0" w:after="0" w:afterAutospacing="0"/>
        <w:jc w:val="both"/>
        <w:textAlignment w:val="baseline"/>
        <w:rPr>
          <w:rFonts w:ascii="Arial" w:hAnsi="Arial" w:cs="Arial"/>
          <w:sz w:val="22"/>
          <w:szCs w:val="22"/>
        </w:rPr>
      </w:pPr>
      <w:r w:rsidRPr="25BAA659">
        <w:rPr>
          <w:rFonts w:ascii="Arial" w:hAnsi="Arial" w:cs="Arial"/>
          <w:sz w:val="22"/>
          <w:szCs w:val="22"/>
        </w:rPr>
        <w:t>standing/recognition of the foreign representative;</w:t>
      </w:r>
    </w:p>
    <w:p w14:paraId="01A4C6C3" w14:textId="3AD98324" w:rsidR="00FB429A" w:rsidRDefault="25BAA659" w:rsidP="25BAA659">
      <w:pPr>
        <w:pStyle w:val="paragraph"/>
        <w:numPr>
          <w:ilvl w:val="0"/>
          <w:numId w:val="40"/>
        </w:numPr>
        <w:spacing w:before="0" w:beforeAutospacing="0" w:after="0" w:afterAutospacing="0"/>
        <w:jc w:val="both"/>
        <w:textAlignment w:val="baseline"/>
        <w:rPr>
          <w:rFonts w:ascii="Arial" w:hAnsi="Arial" w:cs="Arial"/>
          <w:sz w:val="22"/>
          <w:szCs w:val="22"/>
        </w:rPr>
      </w:pPr>
      <w:r w:rsidRPr="25BAA659">
        <w:rPr>
          <w:rFonts w:ascii="Arial" w:hAnsi="Arial" w:cs="Arial"/>
          <w:sz w:val="22"/>
          <w:szCs w:val="22"/>
        </w:rPr>
        <w:t>moratorium on creditor actions;</w:t>
      </w:r>
    </w:p>
    <w:p w14:paraId="4588CFD9" w14:textId="4140803E" w:rsidR="00FB429A" w:rsidRDefault="25BAA659" w:rsidP="25BAA659">
      <w:pPr>
        <w:pStyle w:val="paragraph"/>
        <w:numPr>
          <w:ilvl w:val="0"/>
          <w:numId w:val="40"/>
        </w:numPr>
        <w:spacing w:before="0" w:beforeAutospacing="0" w:after="0" w:afterAutospacing="0"/>
        <w:jc w:val="both"/>
        <w:textAlignment w:val="baseline"/>
        <w:rPr>
          <w:rFonts w:ascii="Arial" w:hAnsi="Arial" w:cs="Arial"/>
          <w:sz w:val="22"/>
          <w:szCs w:val="22"/>
        </w:rPr>
      </w:pPr>
      <w:r w:rsidRPr="25BAA659">
        <w:rPr>
          <w:rFonts w:ascii="Arial" w:hAnsi="Arial" w:cs="Arial"/>
          <w:sz w:val="22"/>
          <w:szCs w:val="22"/>
        </w:rPr>
        <w:t>creditor participation;</w:t>
      </w:r>
    </w:p>
    <w:p w14:paraId="2C9A9485" w14:textId="15185BAB" w:rsidR="00FB429A" w:rsidRDefault="25BAA659" w:rsidP="25BAA659">
      <w:pPr>
        <w:pStyle w:val="paragraph"/>
        <w:numPr>
          <w:ilvl w:val="0"/>
          <w:numId w:val="40"/>
        </w:numPr>
        <w:spacing w:before="0" w:beforeAutospacing="0" w:after="0" w:afterAutospacing="0"/>
        <w:jc w:val="both"/>
        <w:textAlignment w:val="baseline"/>
        <w:rPr>
          <w:rFonts w:ascii="Arial" w:hAnsi="Arial" w:cs="Arial"/>
          <w:sz w:val="22"/>
          <w:szCs w:val="22"/>
        </w:rPr>
      </w:pPr>
      <w:r w:rsidRPr="25BAA659">
        <w:rPr>
          <w:rFonts w:ascii="Arial" w:hAnsi="Arial" w:cs="Arial"/>
          <w:sz w:val="22"/>
          <w:szCs w:val="22"/>
        </w:rPr>
        <w:t>executory contracts;</w:t>
      </w:r>
    </w:p>
    <w:p w14:paraId="6284A0C4" w14:textId="19850FB0" w:rsidR="00FB429A" w:rsidRDefault="25BAA659" w:rsidP="25BAA659">
      <w:pPr>
        <w:pStyle w:val="paragraph"/>
        <w:numPr>
          <w:ilvl w:val="0"/>
          <w:numId w:val="40"/>
        </w:numPr>
        <w:spacing w:before="0" w:beforeAutospacing="0" w:after="0" w:afterAutospacing="0"/>
        <w:jc w:val="both"/>
        <w:textAlignment w:val="baseline"/>
        <w:rPr>
          <w:rFonts w:ascii="Arial" w:hAnsi="Arial" w:cs="Arial"/>
          <w:sz w:val="22"/>
          <w:szCs w:val="22"/>
        </w:rPr>
      </w:pPr>
      <w:r w:rsidRPr="25BAA659">
        <w:rPr>
          <w:rFonts w:ascii="Arial" w:hAnsi="Arial" w:cs="Arial"/>
          <w:sz w:val="22"/>
          <w:szCs w:val="22"/>
        </w:rPr>
        <w:t>co-ordinated claims procedures;</w:t>
      </w:r>
    </w:p>
    <w:p w14:paraId="62816824" w14:textId="3BE5DF98" w:rsidR="00FB429A" w:rsidRDefault="25BAA659" w:rsidP="25BAA659">
      <w:pPr>
        <w:pStyle w:val="paragraph"/>
        <w:numPr>
          <w:ilvl w:val="0"/>
          <w:numId w:val="40"/>
        </w:numPr>
        <w:spacing w:before="0" w:beforeAutospacing="0" w:after="0" w:afterAutospacing="0"/>
        <w:jc w:val="both"/>
        <w:textAlignment w:val="baseline"/>
        <w:rPr>
          <w:rFonts w:ascii="Arial" w:hAnsi="Arial" w:cs="Arial"/>
          <w:sz w:val="22"/>
          <w:szCs w:val="22"/>
        </w:rPr>
      </w:pPr>
      <w:r w:rsidRPr="25BAA659">
        <w:rPr>
          <w:rFonts w:ascii="Arial" w:hAnsi="Arial" w:cs="Arial"/>
          <w:sz w:val="22"/>
          <w:szCs w:val="22"/>
        </w:rPr>
        <w:t>priorities and preferences;</w:t>
      </w:r>
    </w:p>
    <w:p w14:paraId="20B787EA" w14:textId="5C027744" w:rsidR="00FB429A" w:rsidRDefault="25BAA659" w:rsidP="25BAA659">
      <w:pPr>
        <w:pStyle w:val="paragraph"/>
        <w:numPr>
          <w:ilvl w:val="0"/>
          <w:numId w:val="40"/>
        </w:numPr>
        <w:spacing w:before="0" w:beforeAutospacing="0" w:after="0" w:afterAutospacing="0"/>
        <w:jc w:val="both"/>
        <w:textAlignment w:val="baseline"/>
        <w:rPr>
          <w:rFonts w:ascii="Arial" w:hAnsi="Arial" w:cs="Arial"/>
          <w:sz w:val="22"/>
          <w:szCs w:val="22"/>
        </w:rPr>
      </w:pPr>
      <w:r w:rsidRPr="25BAA659">
        <w:rPr>
          <w:rFonts w:ascii="Arial" w:hAnsi="Arial" w:cs="Arial"/>
          <w:sz w:val="22"/>
          <w:szCs w:val="22"/>
        </w:rPr>
        <w:t>avoidance provision powers;</w:t>
      </w:r>
    </w:p>
    <w:p w14:paraId="240E849E" w14:textId="52FBB10B" w:rsidR="00FB429A" w:rsidRDefault="25BAA659" w:rsidP="25BAA659">
      <w:pPr>
        <w:pStyle w:val="paragraph"/>
        <w:numPr>
          <w:ilvl w:val="0"/>
          <w:numId w:val="40"/>
        </w:numPr>
        <w:spacing w:before="0" w:beforeAutospacing="0" w:after="0" w:afterAutospacing="0"/>
        <w:jc w:val="both"/>
        <w:textAlignment w:val="baseline"/>
        <w:rPr>
          <w:rFonts w:ascii="Arial" w:hAnsi="Arial" w:cs="Arial"/>
          <w:sz w:val="22"/>
          <w:szCs w:val="22"/>
        </w:rPr>
      </w:pPr>
      <w:r w:rsidRPr="25BAA659">
        <w:rPr>
          <w:rFonts w:ascii="Arial" w:hAnsi="Arial" w:cs="Arial"/>
          <w:sz w:val="22"/>
          <w:szCs w:val="22"/>
        </w:rPr>
        <w:t>discharges; and</w:t>
      </w:r>
    </w:p>
    <w:p w14:paraId="65A64BAF" w14:textId="1CC3DFF2" w:rsidR="00FB429A" w:rsidRPr="00FB429A" w:rsidRDefault="25BAA659" w:rsidP="25BAA659">
      <w:pPr>
        <w:pStyle w:val="paragraph"/>
        <w:numPr>
          <w:ilvl w:val="0"/>
          <w:numId w:val="40"/>
        </w:numPr>
        <w:spacing w:before="0" w:beforeAutospacing="0" w:after="0" w:afterAutospacing="0"/>
        <w:jc w:val="both"/>
        <w:textAlignment w:val="baseline"/>
        <w:rPr>
          <w:rFonts w:ascii="Arial" w:hAnsi="Arial" w:cs="Arial"/>
          <w:sz w:val="22"/>
          <w:szCs w:val="22"/>
        </w:rPr>
      </w:pPr>
      <w:proofErr w:type="gramStart"/>
      <w:r w:rsidRPr="25BAA659">
        <w:rPr>
          <w:rFonts w:ascii="Arial" w:hAnsi="Arial" w:cs="Arial"/>
          <w:sz w:val="22"/>
          <w:szCs w:val="22"/>
        </w:rPr>
        <w:t>conflict-of-law</w:t>
      </w:r>
      <w:proofErr w:type="gramEnd"/>
      <w:r w:rsidRPr="25BAA659">
        <w:rPr>
          <w:rFonts w:ascii="Arial" w:hAnsi="Arial" w:cs="Arial"/>
          <w:sz w:val="22"/>
          <w:szCs w:val="22"/>
        </w:rPr>
        <w:t xml:space="preserve"> issues.</w:t>
      </w:r>
    </w:p>
    <w:p w14:paraId="76BCC0D9" w14:textId="691D9006" w:rsidR="009B66C6" w:rsidRPr="00A13DA3" w:rsidRDefault="009B66C6" w:rsidP="00DA42DA">
      <w:pPr>
        <w:jc w:val="both"/>
        <w:rPr>
          <w:rFonts w:ascii="Arial" w:hAnsi="Arial" w:cs="Arial"/>
          <w:color w:val="FF0000"/>
          <w:sz w:val="22"/>
          <w:szCs w:val="22"/>
          <w:lang w:val="en-GB"/>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2AE7B75A" w:rsidR="006A44B2" w:rsidRDefault="25BAA659" w:rsidP="25BAA659">
      <w:pPr>
        <w:jc w:val="both"/>
        <w:rPr>
          <w:rFonts w:ascii="Arial" w:eastAsia="Arial" w:hAnsi="Arial" w:cs="Arial"/>
          <w:sz w:val="22"/>
          <w:szCs w:val="22"/>
          <w:lang w:val="en-GB"/>
        </w:rPr>
      </w:pPr>
      <w:r w:rsidRPr="25BAA659">
        <w:rPr>
          <w:rFonts w:ascii="Arial" w:eastAsia="Arial" w:hAnsi="Arial" w:cs="Arial"/>
          <w:sz w:val="22"/>
          <w:szCs w:val="22"/>
          <w:lang w:val="en-GB"/>
        </w:rPr>
        <w:t>In the context of international insolvency, hard law refers to classic legal instruments and laws that bind States to perform certain obligations which can be legally enforced. Hard law usually takes the form of treaties and/or conventions which States sign and ratify thereby affecting that State’s domestic law. On the other hand, soft law in this context usually takes the form of resolutions, agreements and declarations that are not legally binding such as: the UNCITRAL Legislative Guide on Insolvency Law (2004) and UNCITRAL’s Model Law on Cross-border Insolvency.</w:t>
      </w:r>
    </w:p>
    <w:p w14:paraId="3B19D348" w14:textId="77777777" w:rsidR="00BA1872" w:rsidRDefault="00BA1872" w:rsidP="25BAA659">
      <w:pPr>
        <w:jc w:val="both"/>
        <w:rPr>
          <w:rFonts w:ascii="Arial" w:eastAsia="Arial" w:hAnsi="Arial" w:cs="Arial"/>
          <w:sz w:val="22"/>
          <w:szCs w:val="22"/>
          <w:lang w:val="en-GB"/>
        </w:rPr>
      </w:pPr>
    </w:p>
    <w:p w14:paraId="2DB43D8F" w14:textId="13A6D01B" w:rsidR="00BA1872" w:rsidRPr="00DA42DA" w:rsidRDefault="25BAA659" w:rsidP="25BAA659">
      <w:pPr>
        <w:jc w:val="both"/>
        <w:rPr>
          <w:rFonts w:ascii="Arial" w:eastAsia="Arial" w:hAnsi="Arial" w:cs="Arial"/>
          <w:color w:val="808080" w:themeColor="background1" w:themeShade="80"/>
          <w:sz w:val="22"/>
          <w:szCs w:val="22"/>
          <w:lang w:val="en-GB"/>
        </w:rPr>
      </w:pPr>
      <w:r w:rsidRPr="25BAA659">
        <w:rPr>
          <w:rFonts w:ascii="Arial" w:eastAsia="Arial" w:hAnsi="Arial" w:cs="Arial"/>
          <w:sz w:val="22"/>
          <w:szCs w:val="22"/>
          <w:lang w:val="en-GB"/>
        </w:rPr>
        <w:t xml:space="preserve">Hard and soft laws have had varying success in providing solutions to the challenges of international insolvency. With respect to hard law, Europe has seen some success achieved by the European Union via the European Insolvency Regulation (EIR) 2000 which has influenced multilateral developments in the sector. Even more success has been achieved by using soft law particularly UNCITRAL’s Model Law on Cross-border Insolvency given the number of States which have been adopting it. </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29866EA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w:t>
      </w:r>
      <w:proofErr w:type="spellStart"/>
      <w:r w:rsidRPr="00F85C0B">
        <w:rPr>
          <w:rFonts w:ascii="Avenir Next" w:hAnsi="Avenir Next" w:cs="Arial"/>
          <w:sz w:val="22"/>
          <w:szCs w:val="22"/>
        </w:rPr>
        <w:t>Inc</w:t>
      </w:r>
      <w:proofErr w:type="spellEnd"/>
      <w:r w:rsidRPr="00F85C0B">
        <w:rPr>
          <w:rFonts w:ascii="Avenir Next" w:hAnsi="Avenir Next" w:cs="Arial"/>
          <w:sz w:val="22"/>
          <w:szCs w:val="22"/>
        </w:rPr>
        <w:t xml:space="preserve">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w:t>
      </w:r>
      <w:r w:rsidR="00897926">
        <w:rPr>
          <w:rFonts w:ascii="Avenir Next" w:hAnsi="Avenir Next" w:cs="Arial"/>
          <w:sz w:val="22"/>
          <w:szCs w:val="22"/>
        </w:rPr>
        <w:t>adquarters were later moved to</w:t>
      </w:r>
      <w:r w:rsidRPr="00F85C0B">
        <w:rPr>
          <w:rFonts w:ascii="Avenir Next" w:hAnsi="Avenir Next" w:cs="Arial"/>
          <w:sz w:val="22"/>
          <w:szCs w:val="22"/>
        </w:rPr>
        <w:t xml:space="preserve">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w:t>
      </w:r>
      <w:proofErr w:type="spellStart"/>
      <w:r w:rsidRPr="00F85C0B">
        <w:rPr>
          <w:rFonts w:ascii="Avenir Next" w:hAnsi="Avenir Next" w:cs="Arial"/>
          <w:sz w:val="22"/>
          <w:szCs w:val="22"/>
        </w:rPr>
        <w:t>Inc</w:t>
      </w:r>
      <w:proofErr w:type="spellEnd"/>
      <w:r w:rsidRPr="00F85C0B">
        <w:rPr>
          <w:rFonts w:ascii="Avenir Next" w:hAnsi="Avenir Next" w:cs="Arial"/>
          <w:sz w:val="22"/>
          <w:szCs w:val="22"/>
        </w:rPr>
        <w:t xml:space="preserve">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lastRenderedPageBreak/>
        <w:t xml:space="preserve">Apart from the USA and various European states, Norton Cars </w:t>
      </w:r>
      <w:proofErr w:type="spellStart"/>
      <w:r w:rsidRPr="00F85C0B">
        <w:rPr>
          <w:rFonts w:ascii="Avenir Next" w:hAnsi="Avenir Next" w:cs="Arial"/>
          <w:sz w:val="22"/>
          <w:szCs w:val="28"/>
        </w:rPr>
        <w:t>Inc</w:t>
      </w:r>
      <w:proofErr w:type="spellEnd"/>
      <w:r w:rsidRPr="00F85C0B">
        <w:rPr>
          <w:rFonts w:ascii="Avenir Next" w:hAnsi="Avenir Next" w:cs="Arial"/>
          <w:sz w:val="22"/>
          <w:szCs w:val="28"/>
        </w:rPr>
        <w:t xml:space="preserve">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329A6EFC"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w:t>
      </w:r>
      <w:r w:rsidR="007B063F">
        <w:rPr>
          <w:rFonts w:ascii="Avenir Next" w:hAnsi="Avenir Next" w:cs="Arial"/>
          <w:sz w:val="22"/>
          <w:szCs w:val="28"/>
        </w:rPr>
        <w:t xml:space="preserve">Ltd, manufactures and provides </w:t>
      </w:r>
      <w:r w:rsidRPr="00F85C0B">
        <w:rPr>
          <w:rFonts w:ascii="Avenir Next" w:hAnsi="Avenir Next" w:cs="Arial"/>
          <w:sz w:val="22"/>
          <w:szCs w:val="28"/>
        </w:rPr>
        <w:t xml:space="preserve">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w:t>
      </w:r>
      <w:proofErr w:type="spellStart"/>
      <w:r w:rsidRPr="00F85C0B">
        <w:rPr>
          <w:rFonts w:ascii="Avenir Next" w:hAnsi="Avenir Next" w:cs="Arial"/>
          <w:sz w:val="22"/>
          <w:szCs w:val="28"/>
        </w:rPr>
        <w:t>Inc</w:t>
      </w:r>
      <w:proofErr w:type="spellEnd"/>
      <w:r w:rsidRPr="00F85C0B">
        <w:rPr>
          <w:rFonts w:ascii="Avenir Next" w:hAnsi="Avenir Next" w:cs="Arial"/>
          <w:sz w:val="22"/>
          <w:szCs w:val="28"/>
        </w:rPr>
        <w:t xml:space="preserve">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proofErr w:type="spellStart"/>
      <w:r w:rsidR="00B366EC">
        <w:rPr>
          <w:rFonts w:ascii="Avenir Next" w:hAnsi="Avenir Next" w:cs="Arial"/>
          <w:sz w:val="22"/>
          <w:szCs w:val="28"/>
        </w:rPr>
        <w:t>Inc</w:t>
      </w:r>
      <w:proofErr w:type="spellEnd"/>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proofErr w:type="spellStart"/>
      <w:r w:rsidR="00FF0BFE">
        <w:rPr>
          <w:rFonts w:ascii="Avenir Next" w:hAnsi="Avenir Next" w:cs="Arial"/>
          <w:sz w:val="22"/>
          <w:szCs w:val="28"/>
        </w:rPr>
        <w:t>Inc</w:t>
      </w:r>
      <w:proofErr w:type="spellEnd"/>
      <w:r w:rsidR="00FF0BFE">
        <w:rPr>
          <w:rFonts w:ascii="Avenir Next" w:hAnsi="Avenir Next" w:cs="Arial"/>
          <w:sz w:val="22"/>
          <w:szCs w:val="28"/>
        </w:rPr>
        <w:t xml:space="preserve">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056AB05A" w:rsidR="002253D8" w:rsidRPr="00016EBC" w:rsidRDefault="25BAA659" w:rsidP="25BAA659">
      <w:pPr>
        <w:jc w:val="both"/>
        <w:rPr>
          <w:rFonts w:ascii="Arial" w:hAnsi="Arial" w:cs="Arial"/>
          <w:sz w:val="22"/>
          <w:szCs w:val="22"/>
          <w:lang w:val="en-GB"/>
        </w:rPr>
      </w:pPr>
      <w:r w:rsidRPr="25BAA659">
        <w:rPr>
          <w:rFonts w:ascii="Arial" w:hAnsi="Arial" w:cs="Arial"/>
          <w:sz w:val="22"/>
          <w:szCs w:val="22"/>
          <w:lang w:val="en-GB"/>
        </w:rPr>
        <w:t xml:space="preserve">England has amended its domestic laws to address cross-border issues such as the recognition and enforcement of foreign insolvency proceedings. Accordingly, you may utilise Section 426 (4) and (5) of the Insolvency Act 1986 (UK) to request recognition in terms of English Law to deal with the assets of the subject company situate in England. The section gives the English court the power to consent to the request of a foreign country to remit the relevant assets situate in England to the foreign liquidator. You may also utilise English common law particularly, the case of </w:t>
      </w:r>
      <w:r w:rsidRPr="25BAA659">
        <w:rPr>
          <w:rFonts w:ascii="Arial" w:hAnsi="Arial" w:cs="Arial"/>
          <w:i/>
          <w:iCs/>
          <w:sz w:val="22"/>
          <w:szCs w:val="22"/>
          <w:lang w:val="en-GB"/>
        </w:rPr>
        <w:t xml:space="preserve">McGrath v Riddell [2008] UKHL 21 </w:t>
      </w:r>
      <w:r w:rsidRPr="25BAA659">
        <w:rPr>
          <w:rFonts w:ascii="Arial" w:hAnsi="Arial" w:cs="Arial"/>
          <w:sz w:val="22"/>
          <w:szCs w:val="22"/>
          <w:lang w:val="en-GB"/>
        </w:rPr>
        <w:t xml:space="preserve">at [30] also known as </w:t>
      </w:r>
      <w:r w:rsidRPr="25BAA659">
        <w:rPr>
          <w:rFonts w:ascii="Arial" w:hAnsi="Arial" w:cs="Arial"/>
          <w:i/>
          <w:iCs/>
          <w:sz w:val="22"/>
          <w:szCs w:val="22"/>
          <w:lang w:val="en-GB"/>
        </w:rPr>
        <w:t>HIH Casualty and General Insurance Ltd, Re; McMahon v McGrath</w:t>
      </w:r>
      <w:r w:rsidRPr="25BAA659">
        <w:rPr>
          <w:rFonts w:ascii="Arial" w:hAnsi="Arial" w:cs="Arial"/>
          <w:sz w:val="22"/>
          <w:szCs w:val="22"/>
          <w:lang w:val="en-GB"/>
        </w:rPr>
        <w:t>, which not only confirmed the interpretation of the aforementioned sections of the legislation but in which, Lord Hoffmann opined that the principle of modified universalism requires that the English Courts co-operate with the courts in the country of the main proceedings to facilitate the distribution of assets under one system.</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proofErr w:type="spellStart"/>
      <w:r>
        <w:rPr>
          <w:rFonts w:ascii="Avenir Next" w:hAnsi="Avenir Next" w:cs="Arial"/>
          <w:sz w:val="22"/>
          <w:szCs w:val="28"/>
        </w:rPr>
        <w:t>Inc</w:t>
      </w:r>
      <w:proofErr w:type="spellEnd"/>
      <w:r>
        <w:rPr>
          <w:rFonts w:ascii="Avenir Next" w:hAnsi="Avenir Next" w:cs="Arial"/>
          <w:sz w:val="22"/>
          <w:szCs w:val="28"/>
        </w:rPr>
        <w:t xml:space="preserve">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proofErr w:type="gramStart"/>
      <w:r w:rsidRPr="009F0C5A">
        <w:rPr>
          <w:rFonts w:ascii="Avenir Next" w:hAnsi="Avenir Next" w:cs="Arial"/>
          <w:sz w:val="22"/>
          <w:szCs w:val="28"/>
        </w:rPr>
        <w:t>Advise</w:t>
      </w:r>
      <w:proofErr w:type="gramEnd"/>
      <w:r w:rsidRPr="009F0C5A">
        <w:rPr>
          <w:rFonts w:ascii="Avenir Next" w:hAnsi="Avenir Next" w:cs="Arial"/>
          <w:sz w:val="22"/>
          <w:szCs w:val="28"/>
        </w:rPr>
        <w:t xml:space="preserv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7E55BBE2" w:rsidR="002253D8" w:rsidRDefault="25BAA659" w:rsidP="25BAA659">
      <w:pPr>
        <w:jc w:val="both"/>
        <w:rPr>
          <w:rFonts w:ascii="Arial" w:hAnsi="Arial" w:cs="Arial"/>
          <w:sz w:val="22"/>
          <w:szCs w:val="22"/>
          <w:lang w:val="en-GB"/>
        </w:rPr>
      </w:pPr>
      <w:r w:rsidRPr="25BAA659">
        <w:rPr>
          <w:rFonts w:ascii="Arial" w:hAnsi="Arial" w:cs="Arial"/>
          <w:sz w:val="22"/>
          <w:szCs w:val="22"/>
          <w:lang w:val="en-GB"/>
        </w:rPr>
        <w:t>The proper legal sources to be used in a cross-border insolvency matter between Italy and Germany is the European Union Regulation 205/848 of the European Parliament and of the Council of 20 May 2015 on Insolvency Proceedings (Recast) (European Insolvency Regulation (EIR) Recast) which was amended in mid-2017 and later amended once more in December 2021 by Regulation 2021/2260.</w:t>
      </w:r>
    </w:p>
    <w:p w14:paraId="44318E99" w14:textId="77777777" w:rsidR="00BD6B4F" w:rsidRDefault="00BD6B4F" w:rsidP="25BAA659">
      <w:pPr>
        <w:jc w:val="both"/>
        <w:rPr>
          <w:rFonts w:ascii="Arial" w:hAnsi="Arial" w:cs="Arial"/>
          <w:sz w:val="22"/>
          <w:szCs w:val="22"/>
          <w:lang w:val="en-GB"/>
        </w:rPr>
      </w:pPr>
    </w:p>
    <w:p w14:paraId="692FCBC2" w14:textId="02D7E5CE" w:rsidR="00D62619" w:rsidRDefault="25BAA659" w:rsidP="25BAA659">
      <w:pPr>
        <w:jc w:val="both"/>
        <w:rPr>
          <w:rFonts w:ascii="Arial" w:hAnsi="Arial" w:cs="Arial"/>
          <w:sz w:val="22"/>
          <w:szCs w:val="22"/>
          <w:lang w:val="en-GB"/>
        </w:rPr>
      </w:pPr>
      <w:r w:rsidRPr="25BAA659">
        <w:rPr>
          <w:rFonts w:ascii="Arial" w:hAnsi="Arial" w:cs="Arial"/>
          <w:sz w:val="22"/>
          <w:szCs w:val="22"/>
          <w:lang w:val="en-GB"/>
        </w:rPr>
        <w:t>Pursuant to Article 3 (1) of the EIR Recast, the centre of the debtor’s main interests (COMI) shall have the jurisdiction to open main insolvency proceedings. However, it is important to note that the Article 3 (1) also provides that for a company, the place of the registered office is presumed to be its COMI where there is no proof to the contrary and if the registered office wasn’t moved to another member State within 3 months prior to the request for the commencement of insolvency proceedings.</w:t>
      </w:r>
    </w:p>
    <w:p w14:paraId="07848B4F" w14:textId="77777777" w:rsidR="00D62619" w:rsidRDefault="00D62619" w:rsidP="25BAA659">
      <w:pPr>
        <w:jc w:val="both"/>
        <w:rPr>
          <w:rFonts w:ascii="Arial" w:hAnsi="Arial" w:cs="Arial"/>
          <w:sz w:val="22"/>
          <w:szCs w:val="22"/>
          <w:lang w:val="en-GB"/>
        </w:rPr>
      </w:pPr>
    </w:p>
    <w:p w14:paraId="7A8D7110" w14:textId="4DCB77DA" w:rsidR="00BD6B4F" w:rsidRPr="00BD6B4F" w:rsidRDefault="25BAA659" w:rsidP="25BAA659">
      <w:pPr>
        <w:jc w:val="both"/>
        <w:rPr>
          <w:rFonts w:ascii="Arial" w:hAnsi="Arial" w:cs="Arial"/>
          <w:sz w:val="22"/>
          <w:szCs w:val="22"/>
          <w:lang w:val="en-GB"/>
        </w:rPr>
      </w:pPr>
      <w:r w:rsidRPr="25BAA659">
        <w:rPr>
          <w:rFonts w:ascii="Arial" w:hAnsi="Arial" w:cs="Arial"/>
          <w:sz w:val="22"/>
          <w:szCs w:val="22"/>
          <w:lang w:val="en-GB"/>
        </w:rPr>
        <w:t xml:space="preserve">This therefore means that the main proceeding should be opened in Italy provided that the registered office of Norton Cars </w:t>
      </w:r>
      <w:proofErr w:type="spellStart"/>
      <w:r w:rsidRPr="25BAA659">
        <w:rPr>
          <w:rFonts w:ascii="Arial" w:hAnsi="Arial" w:cs="Arial"/>
          <w:sz w:val="22"/>
          <w:szCs w:val="22"/>
          <w:lang w:val="en-GB"/>
        </w:rPr>
        <w:t>Inc</w:t>
      </w:r>
      <w:proofErr w:type="spellEnd"/>
      <w:r w:rsidRPr="25BAA659">
        <w:rPr>
          <w:rFonts w:ascii="Arial" w:hAnsi="Arial" w:cs="Arial"/>
          <w:sz w:val="22"/>
          <w:szCs w:val="22"/>
          <w:lang w:val="en-GB"/>
        </w:rPr>
        <w:t xml:space="preserve"> did not move from England to Italy within the 3-month period prior to the request for the commencement of insolvency proceedings. Although, the company’s main operations transpired in Germany, this would not be the COMI in this instance as per the EIR Recast.</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3781AACE" w14:textId="206CD4EA" w:rsidR="002253D8" w:rsidRDefault="002253D8" w:rsidP="007815D1">
      <w:pPr>
        <w:jc w:val="both"/>
        <w:rPr>
          <w:rFonts w:ascii="Avenir Next" w:hAnsi="Avenir Next" w:cs="Arial"/>
          <w:color w:val="808080" w:themeColor="background1" w:themeShade="80"/>
          <w:sz w:val="22"/>
          <w:szCs w:val="22"/>
          <w:lang w:val="en-GB"/>
        </w:rPr>
      </w:pPr>
    </w:p>
    <w:p w14:paraId="37ED29E4" w14:textId="77544418" w:rsidR="005D7861" w:rsidRPr="002253D8" w:rsidRDefault="25BAA659" w:rsidP="25BAA659">
      <w:pPr>
        <w:jc w:val="both"/>
        <w:rPr>
          <w:rFonts w:ascii="Avenir Next" w:hAnsi="Avenir Next" w:cs="Arial"/>
          <w:color w:val="808080" w:themeColor="background1" w:themeShade="80"/>
          <w:sz w:val="22"/>
          <w:szCs w:val="22"/>
          <w:lang w:val="en-GB"/>
        </w:rPr>
      </w:pPr>
      <w:r w:rsidRPr="25BAA659">
        <w:rPr>
          <w:rFonts w:ascii="Arial" w:hAnsi="Arial" w:cs="Arial"/>
          <w:sz w:val="22"/>
          <w:szCs w:val="22"/>
          <w:lang w:val="en-GB"/>
        </w:rPr>
        <w:t>No, an Indian, South African or Australian court will not be eligible to apply the EU (Recast) Insolvency Regulation when considering the recognition of an EU insolvency representative duly appointed in terms of the EU regulation. These countries have adopted the UNCITRAL Model Law on Cross Border Insolvency.</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02E2F752"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w:t>
      </w:r>
      <w:proofErr w:type="spellStart"/>
      <w:r w:rsidR="00BC4A7D">
        <w:rPr>
          <w:rFonts w:ascii="Avenir Next" w:hAnsi="Avenir Next" w:cs="Arial"/>
          <w:sz w:val="22"/>
          <w:szCs w:val="28"/>
        </w:rPr>
        <w:t>Inc</w:t>
      </w:r>
      <w:proofErr w:type="spellEnd"/>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25BAA659">
      <w:pPr>
        <w:pStyle w:val="ListParagraph"/>
        <w:ind w:left="426"/>
        <w:jc w:val="both"/>
        <w:rPr>
          <w:rFonts w:ascii="Arial" w:eastAsia="Arial" w:hAnsi="Arial" w:cs="Arial"/>
          <w:sz w:val="22"/>
          <w:szCs w:val="22"/>
        </w:rPr>
      </w:pPr>
    </w:p>
    <w:p w14:paraId="2B2E6F85" w14:textId="374D556D" w:rsidR="00E96D49" w:rsidRDefault="25BAA659" w:rsidP="25BAA659">
      <w:pPr>
        <w:jc w:val="both"/>
        <w:rPr>
          <w:rFonts w:ascii="Arial" w:eastAsia="Arial" w:hAnsi="Arial" w:cs="Arial"/>
          <w:color w:val="808080" w:themeColor="background1" w:themeShade="80"/>
          <w:sz w:val="22"/>
          <w:szCs w:val="22"/>
          <w:lang w:val="en-GB"/>
        </w:rPr>
      </w:pPr>
      <w:r w:rsidRPr="25BAA659">
        <w:rPr>
          <w:rFonts w:ascii="Arial" w:eastAsia="Arial" w:hAnsi="Arial" w:cs="Arial"/>
          <w:sz w:val="22"/>
          <w:szCs w:val="22"/>
          <w:lang w:val="en-GB"/>
        </w:rPr>
        <w:t>Netherlands is a member State of the European Union and as such, EIR Recast would be applicable in this instance. Further thereto, Article 35 of the EIR Recast provides that the law applicable to secondary insolvency proceedings shall be that of the Member State within the territory of which the secondary insolvency proceedings are opened. This therefore means that Dutch law is applicable to the insolvency proceeding and with regard to the real rights of security in the Netherlands.</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1FEF1A47" w14:textId="513BCFB1" w:rsidR="002253D8" w:rsidRPr="00DA42DA" w:rsidRDefault="25BAA659" w:rsidP="25BAA659">
      <w:pPr>
        <w:spacing w:after="480"/>
        <w:jc w:val="both"/>
        <w:rPr>
          <w:rFonts w:ascii="Arial" w:eastAsia="Arial" w:hAnsi="Arial" w:cs="Arial"/>
          <w:color w:val="000000" w:themeColor="text1"/>
          <w:sz w:val="22"/>
          <w:szCs w:val="22"/>
          <w:lang w:val="en-AU"/>
        </w:rPr>
      </w:pPr>
      <w:r w:rsidRPr="25BAA659">
        <w:rPr>
          <w:rFonts w:ascii="Arial" w:eastAsia="Arial" w:hAnsi="Arial" w:cs="Arial"/>
          <w:sz w:val="22"/>
          <w:szCs w:val="22"/>
          <w:lang w:val="en-GB"/>
        </w:rPr>
        <w:t xml:space="preserve">Australia has adopted the UNCITRAL Model Law on Cross-Border Insolvency (Model Law) through the passage of its Cross Border Insolvency Act 2008 which would be applicable in this instance. Section 6 of the Cross Border Insolvency Act 2008 (the Act) provides that the Model Law with the modifications set out in Part 2 of the Act has force of law in Australia. Further thereto, Article 11 of the Model Law states that </w:t>
      </w:r>
      <w:r w:rsidRPr="25BAA659">
        <w:rPr>
          <w:rFonts w:ascii="Arial" w:eastAsia="Arial" w:hAnsi="Arial" w:cs="Arial"/>
          <w:i/>
          <w:iCs/>
          <w:sz w:val="22"/>
          <w:szCs w:val="22"/>
          <w:lang w:val="en-GB"/>
        </w:rPr>
        <w:t>“t</w:t>
      </w:r>
      <w:r w:rsidRPr="25BAA659">
        <w:rPr>
          <w:rFonts w:ascii="Arial" w:eastAsia="Arial" w:hAnsi="Arial" w:cs="Arial"/>
          <w:i/>
          <w:iCs/>
          <w:sz w:val="22"/>
          <w:szCs w:val="22"/>
          <w:lang w:val="en-AU"/>
        </w:rPr>
        <w:t>he sole fact that an application pursuant to the present Law is made to a court in this State by a foreign representative does not subject the foreign representative of the foreign assets and affairs of the debtor to the jurisdiction of the courts of this State for any purpose other than the application</w:t>
      </w:r>
      <w:r w:rsidRPr="25BAA659">
        <w:rPr>
          <w:rFonts w:ascii="Arial" w:eastAsia="Arial" w:hAnsi="Arial" w:cs="Arial"/>
          <w:sz w:val="22"/>
          <w:szCs w:val="22"/>
          <w:lang w:val="en-AU"/>
        </w:rPr>
        <w:t>”. Accordingly, Australian Law will apply with regards to the insolvency proceeding in Australia and the real rights of security situate there.</w:t>
      </w:r>
    </w:p>
    <w:p w14:paraId="5156B24B" w14:textId="13171D66" w:rsidR="002253D8" w:rsidRPr="00DA42DA" w:rsidRDefault="00EE6DFD" w:rsidP="29B3B6CC">
      <w:pPr>
        <w:jc w:val="both"/>
      </w:pPr>
      <w:r>
        <w:br/>
      </w:r>
    </w:p>
    <w:p w14:paraId="66E3C20E" w14:textId="576ED10D" w:rsidR="002253D8" w:rsidRPr="002253D8" w:rsidRDefault="002253D8" w:rsidP="002253D8">
      <w:pPr>
        <w:ind w:left="426"/>
        <w:jc w:val="both"/>
        <w:rPr>
          <w:rFonts w:ascii="Avenir Next" w:hAnsi="Avenir Next" w:cs="Arial"/>
          <w:sz w:val="22"/>
          <w:szCs w:val="28"/>
        </w:rPr>
      </w:pPr>
    </w:p>
    <w:p w14:paraId="63C1667B" w14:textId="16F92C42"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673F6" w14:textId="77777777" w:rsidR="00B644C7" w:rsidRDefault="00B644C7" w:rsidP="00241B44">
      <w:r>
        <w:separator/>
      </w:r>
    </w:p>
  </w:endnote>
  <w:endnote w:type="continuationSeparator" w:id="0">
    <w:p w14:paraId="2C5C793D" w14:textId="77777777" w:rsidR="00B644C7" w:rsidRDefault="00B644C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p w14:paraId="39FD1B0B" w14:textId="131F514A" w:rsidR="00B64A85" w:rsidRPr="00A31881" w:rsidRDefault="00B64A85" w:rsidP="00FC7B47">
    <w:pPr>
      <w:pStyle w:val="Footer"/>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A56A4B">
          <w:rPr>
            <w:rStyle w:val="PageNumber"/>
            <w:rFonts w:ascii="Avenir Next" w:hAnsi="Avenir Next" w:cs="Arial"/>
            <w:noProof/>
            <w:sz w:val="22"/>
            <w:szCs w:val="22"/>
          </w:rPr>
          <w:t>12</w:t>
        </w:r>
        <w:r w:rsidRPr="00297BDF">
          <w:rPr>
            <w:rStyle w:val="PageNumber"/>
            <w:rFonts w:ascii="Avenir Next" w:hAnsi="Avenir Next" w:cs="Arial"/>
            <w:sz w:val="22"/>
            <w:szCs w:val="22"/>
          </w:rPr>
          <w:fldChar w:fldCharType="end"/>
        </w:r>
      </w:p>
    </w:sdtContent>
  </w:sdt>
  <w:p w14:paraId="12ABA5E1" w14:textId="111946F5" w:rsidR="00B64A85" w:rsidRPr="00297BDF" w:rsidRDefault="00324EDC" w:rsidP="0052732A">
    <w:pPr>
      <w:pStyle w:val="Footer"/>
      <w:ind w:right="360"/>
      <w:rPr>
        <w:rFonts w:ascii="Avenir Next" w:hAnsi="Avenir Next" w:cs="Arial"/>
        <w:sz w:val="22"/>
        <w:szCs w:val="22"/>
      </w:rPr>
    </w:pPr>
    <w:r>
      <w:rPr>
        <w:rFonts w:ascii="Avenir Next" w:hAnsi="Avenir Next" w:cs="Arial"/>
        <w:sz w:val="22"/>
        <w:szCs w:val="22"/>
      </w:rPr>
      <w:t>202324-1357</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F81AF" w14:textId="77777777" w:rsidR="00B644C7" w:rsidRDefault="00B644C7" w:rsidP="00241B44">
      <w:r>
        <w:separator/>
      </w:r>
    </w:p>
  </w:footnote>
  <w:footnote w:type="continuationSeparator" w:id="0">
    <w:p w14:paraId="23B3002C" w14:textId="77777777" w:rsidR="00B644C7" w:rsidRDefault="00B644C7" w:rsidP="00241B44">
      <w:r>
        <w:continuationSeparator/>
      </w:r>
    </w:p>
  </w:footnote>
</w:footnotes>
</file>

<file path=word/intelligence2.xml><?xml version="1.0" encoding="utf-8"?>
<int2:intelligence xmlns:int2="http://schemas.microsoft.com/office/intelligence/2020/intelligence">
  <int2:observations>
    <int2:textHash int2:hashCode="QX1KCRnZO+D/71" int2:id="NjkIphRp">
      <int2:state int2:type="AugLoop_Text_Critique" int2:value="Rejected"/>
    </int2:textHash>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1554C"/>
    <w:multiLevelType w:val="multilevel"/>
    <w:tmpl w:val="39B4F7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B90B47"/>
    <w:multiLevelType w:val="hybridMultilevel"/>
    <w:tmpl w:val="906E4314"/>
    <w:lvl w:ilvl="0" w:tplc="F40C253A">
      <w:start w:val="1"/>
      <w:numFmt w:val="lowerRoman"/>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32D55E2"/>
    <w:multiLevelType w:val="hybridMultilevel"/>
    <w:tmpl w:val="BD04B24A"/>
    <w:lvl w:ilvl="0" w:tplc="F224050A">
      <w:start w:val="1"/>
      <w:numFmt w:val="lowerRoman"/>
      <w:lvlText w:val="(%1)"/>
      <w:lvlJc w:val="left"/>
      <w:pPr>
        <w:ind w:left="1080" w:hanging="720"/>
      </w:pPr>
      <w:rPr>
        <w:rFonts w:hint="default"/>
        <w:color w:val="7B7B7B"/>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9">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EC92887"/>
    <w:multiLevelType w:val="multilevel"/>
    <w:tmpl w:val="085AE31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EEA72A9"/>
    <w:multiLevelType w:val="hybridMultilevel"/>
    <w:tmpl w:val="2D964EEA"/>
    <w:lvl w:ilvl="0" w:tplc="DF2C3D6E">
      <w:start w:val="1"/>
      <w:numFmt w:val="low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1">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BF865D9"/>
    <w:multiLevelType w:val="multilevel"/>
    <w:tmpl w:val="2948379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abstractNumId w:val="31"/>
  </w:num>
  <w:num w:numId="2">
    <w:abstractNumId w:val="37"/>
  </w:num>
  <w:num w:numId="3">
    <w:abstractNumId w:val="4"/>
  </w:num>
  <w:num w:numId="4">
    <w:abstractNumId w:val="6"/>
  </w:num>
  <w:num w:numId="5">
    <w:abstractNumId w:val="25"/>
  </w:num>
  <w:num w:numId="6">
    <w:abstractNumId w:val="32"/>
  </w:num>
  <w:num w:numId="7">
    <w:abstractNumId w:val="16"/>
  </w:num>
  <w:num w:numId="8">
    <w:abstractNumId w:val="38"/>
  </w:num>
  <w:num w:numId="9">
    <w:abstractNumId w:val="15"/>
  </w:num>
  <w:num w:numId="10">
    <w:abstractNumId w:val="34"/>
  </w:num>
  <w:num w:numId="11">
    <w:abstractNumId w:val="12"/>
  </w:num>
  <w:num w:numId="12">
    <w:abstractNumId w:val="35"/>
  </w:num>
  <w:num w:numId="13">
    <w:abstractNumId w:val="23"/>
  </w:num>
  <w:num w:numId="14">
    <w:abstractNumId w:val="22"/>
  </w:num>
  <w:num w:numId="15">
    <w:abstractNumId w:val="7"/>
  </w:num>
  <w:num w:numId="16">
    <w:abstractNumId w:val="26"/>
  </w:num>
  <w:num w:numId="17">
    <w:abstractNumId w:val="20"/>
  </w:num>
  <w:num w:numId="18">
    <w:abstractNumId w:val="21"/>
  </w:num>
  <w:num w:numId="19">
    <w:abstractNumId w:val="29"/>
  </w:num>
  <w:num w:numId="20">
    <w:abstractNumId w:val="11"/>
  </w:num>
  <w:num w:numId="21">
    <w:abstractNumId w:val="19"/>
  </w:num>
  <w:num w:numId="22">
    <w:abstractNumId w:val="1"/>
  </w:num>
  <w:num w:numId="23">
    <w:abstractNumId w:val="28"/>
  </w:num>
  <w:num w:numId="24">
    <w:abstractNumId w:val="2"/>
  </w:num>
  <w:num w:numId="25">
    <w:abstractNumId w:val="36"/>
  </w:num>
  <w:num w:numId="26">
    <w:abstractNumId w:val="39"/>
  </w:num>
  <w:num w:numId="27">
    <w:abstractNumId w:val="10"/>
  </w:num>
  <w:num w:numId="28">
    <w:abstractNumId w:val="9"/>
  </w:num>
  <w:num w:numId="29">
    <w:abstractNumId w:val="8"/>
  </w:num>
  <w:num w:numId="30">
    <w:abstractNumId w:val="13"/>
  </w:num>
  <w:num w:numId="31">
    <w:abstractNumId w:val="5"/>
  </w:num>
  <w:num w:numId="32">
    <w:abstractNumId w:val="17"/>
  </w:num>
  <w:num w:numId="33">
    <w:abstractNumId w:val="27"/>
  </w:num>
  <w:num w:numId="34">
    <w:abstractNumId w:val="14"/>
  </w:num>
  <w:num w:numId="35">
    <w:abstractNumId w:val="3"/>
  </w:num>
  <w:num w:numId="36">
    <w:abstractNumId w:val="0"/>
  </w:num>
  <w:num w:numId="37">
    <w:abstractNumId w:val="24"/>
  </w:num>
  <w:num w:numId="38">
    <w:abstractNumId w:val="33"/>
  </w:num>
  <w:num w:numId="39">
    <w:abstractNumId w:val="18"/>
  </w:num>
  <w:num w:numId="40">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JM"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en-AU"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16EBC"/>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3A65"/>
    <w:rsid w:val="00076483"/>
    <w:rsid w:val="00080757"/>
    <w:rsid w:val="0008155B"/>
    <w:rsid w:val="000815BB"/>
    <w:rsid w:val="00081A63"/>
    <w:rsid w:val="00082609"/>
    <w:rsid w:val="0008457E"/>
    <w:rsid w:val="000851CC"/>
    <w:rsid w:val="00085349"/>
    <w:rsid w:val="00085D4B"/>
    <w:rsid w:val="00086BDD"/>
    <w:rsid w:val="0009033B"/>
    <w:rsid w:val="00090933"/>
    <w:rsid w:val="00092378"/>
    <w:rsid w:val="00093BE8"/>
    <w:rsid w:val="00093FE2"/>
    <w:rsid w:val="0009471C"/>
    <w:rsid w:val="0009504E"/>
    <w:rsid w:val="00096E20"/>
    <w:rsid w:val="000977DC"/>
    <w:rsid w:val="00097B23"/>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6CE"/>
    <w:rsid w:val="0011473D"/>
    <w:rsid w:val="00115C85"/>
    <w:rsid w:val="001174E6"/>
    <w:rsid w:val="00117556"/>
    <w:rsid w:val="00120B4D"/>
    <w:rsid w:val="001211E6"/>
    <w:rsid w:val="0012303D"/>
    <w:rsid w:val="00123855"/>
    <w:rsid w:val="00124B70"/>
    <w:rsid w:val="00125A7C"/>
    <w:rsid w:val="00125E69"/>
    <w:rsid w:val="00126A4D"/>
    <w:rsid w:val="00131018"/>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851E8"/>
    <w:rsid w:val="00193AB3"/>
    <w:rsid w:val="00193AD3"/>
    <w:rsid w:val="001966D9"/>
    <w:rsid w:val="00197963"/>
    <w:rsid w:val="001A6023"/>
    <w:rsid w:val="001A620B"/>
    <w:rsid w:val="001A716A"/>
    <w:rsid w:val="001A7E9A"/>
    <w:rsid w:val="001A7ECF"/>
    <w:rsid w:val="001B0F70"/>
    <w:rsid w:val="001B2814"/>
    <w:rsid w:val="001B5016"/>
    <w:rsid w:val="001B6CEE"/>
    <w:rsid w:val="001C45FC"/>
    <w:rsid w:val="001C594A"/>
    <w:rsid w:val="001D1BF7"/>
    <w:rsid w:val="001D4862"/>
    <w:rsid w:val="001D632F"/>
    <w:rsid w:val="001D7EF2"/>
    <w:rsid w:val="001E1979"/>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46A71"/>
    <w:rsid w:val="002526C5"/>
    <w:rsid w:val="002529D2"/>
    <w:rsid w:val="0025386E"/>
    <w:rsid w:val="00254AB3"/>
    <w:rsid w:val="002638B0"/>
    <w:rsid w:val="0026510C"/>
    <w:rsid w:val="0026647A"/>
    <w:rsid w:val="002668D3"/>
    <w:rsid w:val="00266F17"/>
    <w:rsid w:val="002672D0"/>
    <w:rsid w:val="00270D04"/>
    <w:rsid w:val="00270FCC"/>
    <w:rsid w:val="0027242B"/>
    <w:rsid w:val="0027299F"/>
    <w:rsid w:val="00272FE0"/>
    <w:rsid w:val="00275182"/>
    <w:rsid w:val="00275946"/>
    <w:rsid w:val="00276414"/>
    <w:rsid w:val="00276FEA"/>
    <w:rsid w:val="00281B29"/>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D6BA4"/>
    <w:rsid w:val="002E37B7"/>
    <w:rsid w:val="002E4A02"/>
    <w:rsid w:val="002E4A1F"/>
    <w:rsid w:val="002E5EAD"/>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4EDC"/>
    <w:rsid w:val="0032538A"/>
    <w:rsid w:val="00326292"/>
    <w:rsid w:val="00326415"/>
    <w:rsid w:val="00330937"/>
    <w:rsid w:val="00330F31"/>
    <w:rsid w:val="003326F0"/>
    <w:rsid w:val="00334648"/>
    <w:rsid w:val="00336CA6"/>
    <w:rsid w:val="0033768C"/>
    <w:rsid w:val="00337736"/>
    <w:rsid w:val="00337938"/>
    <w:rsid w:val="00340623"/>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7657D"/>
    <w:rsid w:val="0038255B"/>
    <w:rsid w:val="00382C98"/>
    <w:rsid w:val="0038325E"/>
    <w:rsid w:val="00384604"/>
    <w:rsid w:val="00384E3D"/>
    <w:rsid w:val="00384F24"/>
    <w:rsid w:val="00385041"/>
    <w:rsid w:val="0038533C"/>
    <w:rsid w:val="00385D73"/>
    <w:rsid w:val="00391B12"/>
    <w:rsid w:val="003937B9"/>
    <w:rsid w:val="00393C0C"/>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C5849"/>
    <w:rsid w:val="003D0A6D"/>
    <w:rsid w:val="003D100A"/>
    <w:rsid w:val="003D3045"/>
    <w:rsid w:val="003D3410"/>
    <w:rsid w:val="003D4300"/>
    <w:rsid w:val="003D485F"/>
    <w:rsid w:val="003D6AC4"/>
    <w:rsid w:val="003D7B57"/>
    <w:rsid w:val="003E004D"/>
    <w:rsid w:val="003E02A0"/>
    <w:rsid w:val="003E064D"/>
    <w:rsid w:val="003E0B16"/>
    <w:rsid w:val="003E2D1B"/>
    <w:rsid w:val="003E2E7C"/>
    <w:rsid w:val="003E67D1"/>
    <w:rsid w:val="003E7235"/>
    <w:rsid w:val="003F0B80"/>
    <w:rsid w:val="003F500E"/>
    <w:rsid w:val="003F655E"/>
    <w:rsid w:val="003F74D9"/>
    <w:rsid w:val="00400920"/>
    <w:rsid w:val="00403F09"/>
    <w:rsid w:val="00404EF7"/>
    <w:rsid w:val="00405DC1"/>
    <w:rsid w:val="00411E1B"/>
    <w:rsid w:val="00414BF9"/>
    <w:rsid w:val="00415DFF"/>
    <w:rsid w:val="00415F1F"/>
    <w:rsid w:val="004174FA"/>
    <w:rsid w:val="004176D1"/>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15F8"/>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2878"/>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39EE"/>
    <w:rsid w:val="005B503A"/>
    <w:rsid w:val="005B67AC"/>
    <w:rsid w:val="005C01B0"/>
    <w:rsid w:val="005C2790"/>
    <w:rsid w:val="005C356F"/>
    <w:rsid w:val="005C36E9"/>
    <w:rsid w:val="005C3B3A"/>
    <w:rsid w:val="005C41CF"/>
    <w:rsid w:val="005C4FF2"/>
    <w:rsid w:val="005C6778"/>
    <w:rsid w:val="005D0511"/>
    <w:rsid w:val="005D0D70"/>
    <w:rsid w:val="005D3437"/>
    <w:rsid w:val="005D43E0"/>
    <w:rsid w:val="005D5579"/>
    <w:rsid w:val="005D58A3"/>
    <w:rsid w:val="005D5FD0"/>
    <w:rsid w:val="005D72F3"/>
    <w:rsid w:val="005D7861"/>
    <w:rsid w:val="005E1B79"/>
    <w:rsid w:val="005E1EA8"/>
    <w:rsid w:val="005E2B20"/>
    <w:rsid w:val="005E5A66"/>
    <w:rsid w:val="005E605E"/>
    <w:rsid w:val="005E645E"/>
    <w:rsid w:val="005E779E"/>
    <w:rsid w:val="005F026D"/>
    <w:rsid w:val="005F0764"/>
    <w:rsid w:val="005F19FA"/>
    <w:rsid w:val="005F244F"/>
    <w:rsid w:val="005F2D0B"/>
    <w:rsid w:val="005F453F"/>
    <w:rsid w:val="005F4B31"/>
    <w:rsid w:val="005F5449"/>
    <w:rsid w:val="005F5C45"/>
    <w:rsid w:val="005F6059"/>
    <w:rsid w:val="0060397D"/>
    <w:rsid w:val="00604723"/>
    <w:rsid w:val="00610388"/>
    <w:rsid w:val="00612092"/>
    <w:rsid w:val="00612CA5"/>
    <w:rsid w:val="00614858"/>
    <w:rsid w:val="006153EC"/>
    <w:rsid w:val="00616E52"/>
    <w:rsid w:val="006208BB"/>
    <w:rsid w:val="00621A17"/>
    <w:rsid w:val="0062260C"/>
    <w:rsid w:val="00625CC9"/>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2AC8"/>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0E"/>
    <w:rsid w:val="006A6D1D"/>
    <w:rsid w:val="006B141F"/>
    <w:rsid w:val="006B1C06"/>
    <w:rsid w:val="006B2893"/>
    <w:rsid w:val="006B37B2"/>
    <w:rsid w:val="006B435A"/>
    <w:rsid w:val="006B4539"/>
    <w:rsid w:val="006B4C64"/>
    <w:rsid w:val="006B5AE8"/>
    <w:rsid w:val="006C5CE2"/>
    <w:rsid w:val="006D0529"/>
    <w:rsid w:val="006D0605"/>
    <w:rsid w:val="006D176A"/>
    <w:rsid w:val="006D457F"/>
    <w:rsid w:val="006D564C"/>
    <w:rsid w:val="006D6BD5"/>
    <w:rsid w:val="006E1CB0"/>
    <w:rsid w:val="006E254C"/>
    <w:rsid w:val="006E2974"/>
    <w:rsid w:val="006E481A"/>
    <w:rsid w:val="006E5298"/>
    <w:rsid w:val="006E6A1F"/>
    <w:rsid w:val="006E6A6A"/>
    <w:rsid w:val="006E77B0"/>
    <w:rsid w:val="006F18EB"/>
    <w:rsid w:val="006F2E9B"/>
    <w:rsid w:val="006F355C"/>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4780"/>
    <w:rsid w:val="007452BB"/>
    <w:rsid w:val="00745A5B"/>
    <w:rsid w:val="007462D9"/>
    <w:rsid w:val="00746A22"/>
    <w:rsid w:val="00751986"/>
    <w:rsid w:val="00751DBB"/>
    <w:rsid w:val="0075428A"/>
    <w:rsid w:val="00756ABD"/>
    <w:rsid w:val="007576A3"/>
    <w:rsid w:val="007603F5"/>
    <w:rsid w:val="00760A70"/>
    <w:rsid w:val="00760BB2"/>
    <w:rsid w:val="0076181C"/>
    <w:rsid w:val="00764DB0"/>
    <w:rsid w:val="00765D82"/>
    <w:rsid w:val="007671EB"/>
    <w:rsid w:val="00767423"/>
    <w:rsid w:val="0076764D"/>
    <w:rsid w:val="0076766F"/>
    <w:rsid w:val="00770DF5"/>
    <w:rsid w:val="0077498C"/>
    <w:rsid w:val="00777070"/>
    <w:rsid w:val="007815D1"/>
    <w:rsid w:val="00782B3F"/>
    <w:rsid w:val="00784128"/>
    <w:rsid w:val="007849D8"/>
    <w:rsid w:val="0078662F"/>
    <w:rsid w:val="00790B4C"/>
    <w:rsid w:val="0079206E"/>
    <w:rsid w:val="00793173"/>
    <w:rsid w:val="007945EB"/>
    <w:rsid w:val="007958F0"/>
    <w:rsid w:val="00797E1B"/>
    <w:rsid w:val="007A12A4"/>
    <w:rsid w:val="007A3715"/>
    <w:rsid w:val="007A4FC3"/>
    <w:rsid w:val="007B063F"/>
    <w:rsid w:val="007B1E13"/>
    <w:rsid w:val="007B1E2B"/>
    <w:rsid w:val="007B3B1B"/>
    <w:rsid w:val="007B5180"/>
    <w:rsid w:val="007B5F0B"/>
    <w:rsid w:val="007C0111"/>
    <w:rsid w:val="007C0260"/>
    <w:rsid w:val="007C054C"/>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885"/>
    <w:rsid w:val="00814A55"/>
    <w:rsid w:val="0081547D"/>
    <w:rsid w:val="00823AB4"/>
    <w:rsid w:val="0082483F"/>
    <w:rsid w:val="00827849"/>
    <w:rsid w:val="008279C0"/>
    <w:rsid w:val="00841E70"/>
    <w:rsid w:val="00845226"/>
    <w:rsid w:val="008473AA"/>
    <w:rsid w:val="00851A7A"/>
    <w:rsid w:val="00851C1A"/>
    <w:rsid w:val="00852883"/>
    <w:rsid w:val="00852F37"/>
    <w:rsid w:val="00854F73"/>
    <w:rsid w:val="008571F6"/>
    <w:rsid w:val="00857A02"/>
    <w:rsid w:val="00861E51"/>
    <w:rsid w:val="00870B96"/>
    <w:rsid w:val="008723F3"/>
    <w:rsid w:val="00873246"/>
    <w:rsid w:val="00875E2E"/>
    <w:rsid w:val="008769E1"/>
    <w:rsid w:val="00880F99"/>
    <w:rsid w:val="00881DA8"/>
    <w:rsid w:val="00881DE6"/>
    <w:rsid w:val="008837A6"/>
    <w:rsid w:val="008841E5"/>
    <w:rsid w:val="00884D7C"/>
    <w:rsid w:val="0089145D"/>
    <w:rsid w:val="00895F0B"/>
    <w:rsid w:val="00896FD7"/>
    <w:rsid w:val="00897428"/>
    <w:rsid w:val="00897926"/>
    <w:rsid w:val="008A15DA"/>
    <w:rsid w:val="008A30C3"/>
    <w:rsid w:val="008A30EE"/>
    <w:rsid w:val="008A4DF2"/>
    <w:rsid w:val="008A6841"/>
    <w:rsid w:val="008A6CFE"/>
    <w:rsid w:val="008B34CA"/>
    <w:rsid w:val="008B40E7"/>
    <w:rsid w:val="008B4374"/>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D75"/>
    <w:rsid w:val="00943E90"/>
    <w:rsid w:val="009466B4"/>
    <w:rsid w:val="00946EE0"/>
    <w:rsid w:val="009472BF"/>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09F2"/>
    <w:rsid w:val="009727DF"/>
    <w:rsid w:val="009729E8"/>
    <w:rsid w:val="00975009"/>
    <w:rsid w:val="00975640"/>
    <w:rsid w:val="00975B29"/>
    <w:rsid w:val="00976C53"/>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B66C6"/>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9F6445"/>
    <w:rsid w:val="009F7180"/>
    <w:rsid w:val="00A02198"/>
    <w:rsid w:val="00A0223B"/>
    <w:rsid w:val="00A047EE"/>
    <w:rsid w:val="00A057CA"/>
    <w:rsid w:val="00A136AF"/>
    <w:rsid w:val="00A13DA3"/>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A4B"/>
    <w:rsid w:val="00A56CF7"/>
    <w:rsid w:val="00A56DBC"/>
    <w:rsid w:val="00A60074"/>
    <w:rsid w:val="00A641E0"/>
    <w:rsid w:val="00A646E2"/>
    <w:rsid w:val="00A651A9"/>
    <w:rsid w:val="00A6627C"/>
    <w:rsid w:val="00A71019"/>
    <w:rsid w:val="00A73B60"/>
    <w:rsid w:val="00A7603A"/>
    <w:rsid w:val="00A7755C"/>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B6E0A"/>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E7AFB"/>
    <w:rsid w:val="00AF228E"/>
    <w:rsid w:val="00AF455B"/>
    <w:rsid w:val="00AF5899"/>
    <w:rsid w:val="00B00B13"/>
    <w:rsid w:val="00B0123F"/>
    <w:rsid w:val="00B04004"/>
    <w:rsid w:val="00B12F13"/>
    <w:rsid w:val="00B14819"/>
    <w:rsid w:val="00B17AA9"/>
    <w:rsid w:val="00B20235"/>
    <w:rsid w:val="00B221FF"/>
    <w:rsid w:val="00B2292D"/>
    <w:rsid w:val="00B24581"/>
    <w:rsid w:val="00B246B1"/>
    <w:rsid w:val="00B26B31"/>
    <w:rsid w:val="00B30A70"/>
    <w:rsid w:val="00B32674"/>
    <w:rsid w:val="00B333FE"/>
    <w:rsid w:val="00B3503B"/>
    <w:rsid w:val="00B366EC"/>
    <w:rsid w:val="00B378FA"/>
    <w:rsid w:val="00B4181D"/>
    <w:rsid w:val="00B42352"/>
    <w:rsid w:val="00B47DF7"/>
    <w:rsid w:val="00B5017A"/>
    <w:rsid w:val="00B51227"/>
    <w:rsid w:val="00B51975"/>
    <w:rsid w:val="00B52E4D"/>
    <w:rsid w:val="00B5403D"/>
    <w:rsid w:val="00B54F90"/>
    <w:rsid w:val="00B55C9E"/>
    <w:rsid w:val="00B56B95"/>
    <w:rsid w:val="00B607DF"/>
    <w:rsid w:val="00B6409C"/>
    <w:rsid w:val="00B644C7"/>
    <w:rsid w:val="00B64845"/>
    <w:rsid w:val="00B64A85"/>
    <w:rsid w:val="00B64B0E"/>
    <w:rsid w:val="00B66053"/>
    <w:rsid w:val="00B70146"/>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1872"/>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6B4F"/>
    <w:rsid w:val="00BD71D7"/>
    <w:rsid w:val="00BD7D49"/>
    <w:rsid w:val="00BE2464"/>
    <w:rsid w:val="00BE2D52"/>
    <w:rsid w:val="00BF2B49"/>
    <w:rsid w:val="00BF2E7A"/>
    <w:rsid w:val="00BF3D02"/>
    <w:rsid w:val="00BF40B9"/>
    <w:rsid w:val="00BF50F7"/>
    <w:rsid w:val="00BF5D90"/>
    <w:rsid w:val="00C00231"/>
    <w:rsid w:val="00C01017"/>
    <w:rsid w:val="00C02F29"/>
    <w:rsid w:val="00C0444E"/>
    <w:rsid w:val="00C04632"/>
    <w:rsid w:val="00C068DA"/>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399"/>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49B2"/>
    <w:rsid w:val="00C750BA"/>
    <w:rsid w:val="00C7736C"/>
    <w:rsid w:val="00C80272"/>
    <w:rsid w:val="00C82D87"/>
    <w:rsid w:val="00C8712A"/>
    <w:rsid w:val="00C92A0D"/>
    <w:rsid w:val="00C952A2"/>
    <w:rsid w:val="00C963D3"/>
    <w:rsid w:val="00CA0B50"/>
    <w:rsid w:val="00CA1802"/>
    <w:rsid w:val="00CA2EB8"/>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2C86"/>
    <w:rsid w:val="00CE62CA"/>
    <w:rsid w:val="00CF01D6"/>
    <w:rsid w:val="00CF0AA4"/>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28F1"/>
    <w:rsid w:val="00D35229"/>
    <w:rsid w:val="00D35ADE"/>
    <w:rsid w:val="00D35EAE"/>
    <w:rsid w:val="00D4685B"/>
    <w:rsid w:val="00D5192B"/>
    <w:rsid w:val="00D52699"/>
    <w:rsid w:val="00D57C59"/>
    <w:rsid w:val="00D60215"/>
    <w:rsid w:val="00D60874"/>
    <w:rsid w:val="00D62619"/>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0A4"/>
    <w:rsid w:val="00DC38CC"/>
    <w:rsid w:val="00DC4420"/>
    <w:rsid w:val="00DC6681"/>
    <w:rsid w:val="00DD01DA"/>
    <w:rsid w:val="00DD0802"/>
    <w:rsid w:val="00DD0B2C"/>
    <w:rsid w:val="00DD19C6"/>
    <w:rsid w:val="00DD2E11"/>
    <w:rsid w:val="00DD4E68"/>
    <w:rsid w:val="00DD526C"/>
    <w:rsid w:val="00DD59B5"/>
    <w:rsid w:val="00DD63A6"/>
    <w:rsid w:val="00DD6923"/>
    <w:rsid w:val="00DD7AD7"/>
    <w:rsid w:val="00DE03AF"/>
    <w:rsid w:val="00DE097E"/>
    <w:rsid w:val="00DE121C"/>
    <w:rsid w:val="00DE475E"/>
    <w:rsid w:val="00DE6633"/>
    <w:rsid w:val="00DF056D"/>
    <w:rsid w:val="00DF4D51"/>
    <w:rsid w:val="00DF5398"/>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498"/>
    <w:rsid w:val="00E506BE"/>
    <w:rsid w:val="00E518B6"/>
    <w:rsid w:val="00E525B9"/>
    <w:rsid w:val="00E532AF"/>
    <w:rsid w:val="00E53AE9"/>
    <w:rsid w:val="00E54ADD"/>
    <w:rsid w:val="00E55547"/>
    <w:rsid w:val="00E55E9B"/>
    <w:rsid w:val="00E56F1C"/>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96620"/>
    <w:rsid w:val="00E96D49"/>
    <w:rsid w:val="00EA0879"/>
    <w:rsid w:val="00EA0913"/>
    <w:rsid w:val="00EA4D77"/>
    <w:rsid w:val="00EA5317"/>
    <w:rsid w:val="00EA6550"/>
    <w:rsid w:val="00EA7BAB"/>
    <w:rsid w:val="00EB0117"/>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2896"/>
    <w:rsid w:val="00EE4971"/>
    <w:rsid w:val="00EE5A48"/>
    <w:rsid w:val="00EE5F7D"/>
    <w:rsid w:val="00EE6390"/>
    <w:rsid w:val="00EE6DFD"/>
    <w:rsid w:val="00EE7278"/>
    <w:rsid w:val="00EF090E"/>
    <w:rsid w:val="00EF16B6"/>
    <w:rsid w:val="00EF1B1A"/>
    <w:rsid w:val="00EF2D08"/>
    <w:rsid w:val="00EF5705"/>
    <w:rsid w:val="00EF6653"/>
    <w:rsid w:val="00F033DA"/>
    <w:rsid w:val="00F0424E"/>
    <w:rsid w:val="00F06D25"/>
    <w:rsid w:val="00F106CE"/>
    <w:rsid w:val="00F1096A"/>
    <w:rsid w:val="00F12AA4"/>
    <w:rsid w:val="00F12F7B"/>
    <w:rsid w:val="00F13FB1"/>
    <w:rsid w:val="00F1448F"/>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4FC5"/>
    <w:rsid w:val="00F85571"/>
    <w:rsid w:val="00F85A51"/>
    <w:rsid w:val="00F85C0B"/>
    <w:rsid w:val="00F85DB2"/>
    <w:rsid w:val="00F901DD"/>
    <w:rsid w:val="00F91FA7"/>
    <w:rsid w:val="00F9508E"/>
    <w:rsid w:val="00F95955"/>
    <w:rsid w:val="00F96AF1"/>
    <w:rsid w:val="00F96B9A"/>
    <w:rsid w:val="00F97C5B"/>
    <w:rsid w:val="00FA29FD"/>
    <w:rsid w:val="00FA2A46"/>
    <w:rsid w:val="00FA3739"/>
    <w:rsid w:val="00FA3D50"/>
    <w:rsid w:val="00FA43E7"/>
    <w:rsid w:val="00FA5FBA"/>
    <w:rsid w:val="00FB2C81"/>
    <w:rsid w:val="00FB429A"/>
    <w:rsid w:val="00FB5CA9"/>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 w:val="25BAA659"/>
    <w:rsid w:val="29B3B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D85EA19C-BA2F-4CC5-92DD-702B5419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character" w:customStyle="1" w:styleId="normaltextrun">
    <w:name w:val="normaltextrun"/>
    <w:basedOn w:val="DefaultParagraphFont"/>
    <w:rsid w:val="005D0D70"/>
  </w:style>
  <w:style w:type="character" w:customStyle="1" w:styleId="eop">
    <w:name w:val="eop"/>
    <w:basedOn w:val="DefaultParagraphFont"/>
    <w:rsid w:val="005D0D70"/>
  </w:style>
  <w:style w:type="paragraph" w:customStyle="1" w:styleId="paragraph">
    <w:name w:val="paragraph"/>
    <w:basedOn w:val="Normal"/>
    <w:rsid w:val="00A13DA3"/>
    <w:pPr>
      <w:spacing w:before="100" w:beforeAutospacing="1" w:after="100" w:afterAutospacing="1"/>
    </w:pPr>
    <w:rPr>
      <w:rFonts w:ascii="Times New Roman" w:hAnsi="Times New Roman" w:cs="Times New Roman"/>
      <w:sz w:val="24"/>
      <w:lang w:val="en-JM" w:eastAsia="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56087754">
      <w:bodyDiv w:val="1"/>
      <w:marLeft w:val="0"/>
      <w:marRight w:val="0"/>
      <w:marTop w:val="0"/>
      <w:marBottom w:val="0"/>
      <w:divBdr>
        <w:top w:val="none" w:sz="0" w:space="0" w:color="auto"/>
        <w:left w:val="none" w:sz="0" w:space="0" w:color="auto"/>
        <w:bottom w:val="none" w:sz="0" w:space="0" w:color="auto"/>
        <w:right w:val="none" w:sz="0" w:space="0" w:color="auto"/>
      </w:divBdr>
      <w:divsChild>
        <w:div w:id="486433372">
          <w:marLeft w:val="0"/>
          <w:marRight w:val="0"/>
          <w:marTop w:val="0"/>
          <w:marBottom w:val="0"/>
          <w:divBdr>
            <w:top w:val="none" w:sz="0" w:space="0" w:color="auto"/>
            <w:left w:val="none" w:sz="0" w:space="0" w:color="auto"/>
            <w:bottom w:val="none" w:sz="0" w:space="0" w:color="auto"/>
            <w:right w:val="none" w:sz="0" w:space="0" w:color="auto"/>
          </w:divBdr>
        </w:div>
        <w:div w:id="556863683">
          <w:marLeft w:val="0"/>
          <w:marRight w:val="0"/>
          <w:marTop w:val="0"/>
          <w:marBottom w:val="0"/>
          <w:divBdr>
            <w:top w:val="none" w:sz="0" w:space="0" w:color="auto"/>
            <w:left w:val="none" w:sz="0" w:space="0" w:color="auto"/>
            <w:bottom w:val="none" w:sz="0" w:space="0" w:color="auto"/>
            <w:right w:val="none" w:sz="0" w:space="0" w:color="auto"/>
          </w:divBdr>
        </w:div>
        <w:div w:id="881164062">
          <w:marLeft w:val="0"/>
          <w:marRight w:val="0"/>
          <w:marTop w:val="0"/>
          <w:marBottom w:val="0"/>
          <w:divBdr>
            <w:top w:val="none" w:sz="0" w:space="0" w:color="auto"/>
            <w:left w:val="none" w:sz="0" w:space="0" w:color="auto"/>
            <w:bottom w:val="none" w:sz="0" w:space="0" w:color="auto"/>
            <w:right w:val="none" w:sz="0" w:space="0" w:color="auto"/>
          </w:divBdr>
        </w:div>
        <w:div w:id="1155607370">
          <w:marLeft w:val="0"/>
          <w:marRight w:val="0"/>
          <w:marTop w:val="0"/>
          <w:marBottom w:val="0"/>
          <w:divBdr>
            <w:top w:val="none" w:sz="0" w:space="0" w:color="auto"/>
            <w:left w:val="none" w:sz="0" w:space="0" w:color="auto"/>
            <w:bottom w:val="none" w:sz="0" w:space="0" w:color="auto"/>
            <w:right w:val="none" w:sz="0" w:space="0" w:color="auto"/>
          </w:divBdr>
        </w:div>
        <w:div w:id="1258828019">
          <w:marLeft w:val="0"/>
          <w:marRight w:val="0"/>
          <w:marTop w:val="0"/>
          <w:marBottom w:val="0"/>
          <w:divBdr>
            <w:top w:val="none" w:sz="0" w:space="0" w:color="auto"/>
            <w:left w:val="none" w:sz="0" w:space="0" w:color="auto"/>
            <w:bottom w:val="none" w:sz="0" w:space="0" w:color="auto"/>
            <w:right w:val="none" w:sz="0" w:space="0" w:color="auto"/>
          </w:divBdr>
        </w:div>
        <w:div w:id="1325350774">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ab5cdc2ccef24037"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28C4DE80-6C4D-418F-BD66-1DA07ADB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4286</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gabrielle muñoz</cp:lastModifiedBy>
  <cp:revision>72</cp:revision>
  <cp:lastPrinted>2020-06-12T02:43:00Z</cp:lastPrinted>
  <dcterms:created xsi:type="dcterms:W3CDTF">2023-11-03T22:25:00Z</dcterms:created>
  <dcterms:modified xsi:type="dcterms:W3CDTF">2023-11-15T03:19:00Z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