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FC568F" w:rsidRDefault="00806382" w:rsidP="00806382">
      <w:pPr>
        <w:pStyle w:val="PargrafodaLista"/>
        <w:numPr>
          <w:ilvl w:val="0"/>
          <w:numId w:val="15"/>
        </w:numPr>
        <w:ind w:left="425" w:hanging="357"/>
        <w:jc w:val="both"/>
        <w:rPr>
          <w:rFonts w:ascii="Avenir Next" w:hAnsi="Avenir Next" w:cs="Arial"/>
          <w:sz w:val="22"/>
          <w:szCs w:val="22"/>
          <w:highlight w:val="yellow"/>
        </w:rPr>
      </w:pPr>
      <w:r w:rsidRPr="00FC568F">
        <w:rPr>
          <w:rFonts w:ascii="Avenir Next" w:hAnsi="Avenir Next" w:cs="Arial"/>
          <w:sz w:val="22"/>
          <w:szCs w:val="22"/>
          <w:highlight w:val="yellow"/>
        </w:rPr>
        <w:t xml:space="preserve">This statement is untrue since the word </w:t>
      </w:r>
      <w:r w:rsidR="00823AB4" w:rsidRPr="00FC568F">
        <w:rPr>
          <w:rFonts w:ascii="Avenir Next" w:hAnsi="Avenir Next" w:cs="Arial"/>
          <w:sz w:val="22"/>
          <w:szCs w:val="22"/>
          <w:highlight w:val="yellow"/>
        </w:rPr>
        <w:t>“</w:t>
      </w:r>
      <w:r w:rsidRPr="00FC568F">
        <w:rPr>
          <w:rFonts w:ascii="Avenir Next" w:hAnsi="Avenir Next" w:cs="Arial"/>
          <w:sz w:val="22"/>
          <w:szCs w:val="22"/>
          <w:highlight w:val="yellow"/>
        </w:rPr>
        <w:t>bankruptcy</w:t>
      </w:r>
      <w:r w:rsidR="00823AB4" w:rsidRPr="00FC568F">
        <w:rPr>
          <w:rFonts w:ascii="Avenir Next" w:hAnsi="Avenir Next" w:cs="Arial"/>
          <w:sz w:val="22"/>
          <w:szCs w:val="22"/>
          <w:highlight w:val="yellow"/>
        </w:rPr>
        <w:t>”</w:t>
      </w:r>
      <w:r w:rsidRPr="00FC568F">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Pargrafoda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Pargrafoda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BA5129" w:rsidRDefault="001211E6" w:rsidP="001211E6">
      <w:pPr>
        <w:pStyle w:val="PargrafodaLista"/>
        <w:numPr>
          <w:ilvl w:val="0"/>
          <w:numId w:val="16"/>
        </w:numPr>
        <w:ind w:left="426"/>
        <w:jc w:val="both"/>
        <w:rPr>
          <w:rFonts w:ascii="Avenir Next" w:hAnsi="Avenir Next" w:cs="Arial"/>
          <w:sz w:val="22"/>
          <w:szCs w:val="22"/>
          <w:highlight w:val="yellow"/>
        </w:rPr>
      </w:pPr>
      <w:r w:rsidRPr="00BA5129">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PargrafodaLista"/>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PargrafodaLista"/>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FD5985" w:rsidRDefault="000977DC" w:rsidP="000977DC">
      <w:pPr>
        <w:pStyle w:val="PargrafodaLista"/>
        <w:numPr>
          <w:ilvl w:val="0"/>
          <w:numId w:val="21"/>
        </w:numPr>
        <w:ind w:left="426"/>
        <w:jc w:val="both"/>
        <w:rPr>
          <w:rFonts w:ascii="Avenir Next" w:eastAsiaTheme="minorHAnsi" w:hAnsi="Avenir Next" w:cs="Arial"/>
          <w:sz w:val="22"/>
          <w:szCs w:val="22"/>
          <w:highlight w:val="yellow"/>
          <w:lang w:val="en-GB"/>
        </w:rPr>
      </w:pPr>
      <w:r w:rsidRPr="00FD598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Pargrafoda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PargrafodaLista"/>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Pargrafoda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PargrafodaLista"/>
        <w:tabs>
          <w:tab w:val="left" w:pos="426"/>
        </w:tabs>
        <w:ind w:left="426" w:hanging="426"/>
        <w:rPr>
          <w:rFonts w:ascii="Avenir Next" w:hAnsi="Avenir Next" w:cs="Arial"/>
          <w:sz w:val="22"/>
          <w:szCs w:val="22"/>
          <w:lang w:val="en-GB"/>
        </w:rPr>
      </w:pPr>
    </w:p>
    <w:p w14:paraId="4E9D1812" w14:textId="77777777" w:rsidR="00A42023" w:rsidRPr="00F85E60" w:rsidRDefault="00A42023" w:rsidP="00A42023">
      <w:pPr>
        <w:pStyle w:val="PargrafodaLista"/>
        <w:numPr>
          <w:ilvl w:val="0"/>
          <w:numId w:val="25"/>
        </w:numPr>
        <w:tabs>
          <w:tab w:val="left" w:pos="426"/>
        </w:tabs>
        <w:ind w:left="426" w:hanging="426"/>
        <w:jc w:val="both"/>
        <w:rPr>
          <w:rFonts w:ascii="Avenir Next" w:hAnsi="Avenir Next" w:cs="Arial"/>
          <w:sz w:val="22"/>
          <w:szCs w:val="22"/>
          <w:highlight w:val="yellow"/>
          <w:lang w:val="en-GB"/>
        </w:rPr>
      </w:pPr>
      <w:r w:rsidRPr="00F85E60">
        <w:rPr>
          <w:rFonts w:ascii="Avenir Next" w:hAnsi="Avenir Next" w:cs="Arial"/>
          <w:sz w:val="22"/>
          <w:szCs w:val="22"/>
          <w:highlight w:val="yellow"/>
          <w:lang w:val="en-GB"/>
        </w:rPr>
        <w:t xml:space="preserve">This statement is incorrect since a statutory discharge of debt was only introduced in 1705 in England.    </w:t>
      </w:r>
      <w:r w:rsidRPr="00F85E60">
        <w:rPr>
          <w:rFonts w:ascii="Avenir Next" w:hAnsi="Avenir Next" w:cs="Arial"/>
          <w:sz w:val="22"/>
          <w:szCs w:val="22"/>
          <w:highlight w:val="yellow"/>
          <w:lang w:val="en-GB"/>
        </w:rPr>
        <w:tab/>
      </w:r>
    </w:p>
    <w:p w14:paraId="7BB15143" w14:textId="77777777" w:rsidR="00A42023" w:rsidRPr="0067589E" w:rsidRDefault="00A42023" w:rsidP="00A42023">
      <w:pPr>
        <w:pStyle w:val="PargrafodaLista"/>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Pargrafoda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PargrafodaLista"/>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PargrafodaLista"/>
        <w:rPr>
          <w:rFonts w:ascii="Avenir Next" w:hAnsi="Avenir Next" w:cs="Arial"/>
          <w:sz w:val="22"/>
          <w:szCs w:val="22"/>
        </w:rPr>
      </w:pPr>
    </w:p>
    <w:p w14:paraId="78CB7E14" w14:textId="77777777" w:rsidR="006514CD" w:rsidRPr="00CC5ECB" w:rsidRDefault="006514CD" w:rsidP="006514CD">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9714C5" w:rsidRDefault="006514CD" w:rsidP="006514CD">
      <w:pPr>
        <w:pStyle w:val="PargrafodaLista"/>
        <w:numPr>
          <w:ilvl w:val="0"/>
          <w:numId w:val="19"/>
        </w:numPr>
        <w:ind w:left="425" w:hanging="357"/>
        <w:jc w:val="both"/>
        <w:rPr>
          <w:rFonts w:ascii="Avenir Next" w:hAnsi="Avenir Next" w:cs="Arial"/>
          <w:sz w:val="22"/>
          <w:szCs w:val="22"/>
          <w:highlight w:val="yellow"/>
        </w:rPr>
      </w:pPr>
      <w:r w:rsidRPr="009714C5">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Pargrafoda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Pargrafoda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PargrafodaLista"/>
        <w:rPr>
          <w:rFonts w:ascii="Avenir Next" w:eastAsiaTheme="minorHAnsi" w:hAnsi="Avenir Next" w:cs="Arial"/>
          <w:sz w:val="22"/>
          <w:szCs w:val="22"/>
          <w:lang w:val="en-GB"/>
        </w:rPr>
      </w:pPr>
    </w:p>
    <w:p w14:paraId="02BB2BDB" w14:textId="77777777" w:rsidR="00D761ED" w:rsidRDefault="00D761ED" w:rsidP="00D761ED">
      <w:pPr>
        <w:pStyle w:val="Pargrafoda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PargrafodaLista"/>
        <w:rPr>
          <w:rFonts w:ascii="Avenir Next" w:eastAsiaTheme="minorHAnsi" w:hAnsi="Avenir Next" w:cs="Arial"/>
          <w:sz w:val="22"/>
          <w:szCs w:val="22"/>
          <w:lang w:val="en-GB"/>
        </w:rPr>
      </w:pPr>
    </w:p>
    <w:p w14:paraId="25D835A2" w14:textId="77777777" w:rsidR="00D761ED" w:rsidRPr="00DA42DA" w:rsidRDefault="00D761ED" w:rsidP="00D761ED">
      <w:pPr>
        <w:pStyle w:val="PargrafodaLista"/>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DC2E8D">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PargrafodaLista"/>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641D2B" w:rsidRDefault="00AD76EF" w:rsidP="00AD76EF">
      <w:pPr>
        <w:pStyle w:val="PargrafodaLista"/>
        <w:numPr>
          <w:ilvl w:val="0"/>
          <w:numId w:val="17"/>
        </w:numPr>
        <w:ind w:left="426"/>
        <w:jc w:val="both"/>
        <w:rPr>
          <w:rFonts w:ascii="Avenir Next" w:hAnsi="Avenir Next" w:cs="Arial"/>
          <w:sz w:val="22"/>
          <w:szCs w:val="22"/>
          <w:highlight w:val="yellow"/>
        </w:rPr>
      </w:pPr>
      <w:r w:rsidRPr="00641D2B">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6574FA" w:rsidRDefault="008E5941" w:rsidP="008E5941">
      <w:pPr>
        <w:pStyle w:val="PargrafodaLista"/>
        <w:numPr>
          <w:ilvl w:val="0"/>
          <w:numId w:val="22"/>
        </w:numPr>
        <w:ind w:left="426"/>
        <w:jc w:val="both"/>
        <w:rPr>
          <w:rFonts w:ascii="Avenir Next" w:eastAsiaTheme="minorHAnsi" w:hAnsi="Avenir Next" w:cs="Arial"/>
          <w:sz w:val="22"/>
          <w:szCs w:val="22"/>
          <w:highlight w:val="yellow"/>
          <w:lang w:val="en-GB"/>
        </w:rPr>
      </w:pPr>
      <w:r w:rsidRPr="006574FA">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Pargrafoda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PargrafodaLista"/>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Pargrafoda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AB180F" w:rsidRDefault="009661DE" w:rsidP="009661DE">
      <w:pPr>
        <w:pStyle w:val="PargrafodaLista"/>
        <w:numPr>
          <w:ilvl w:val="0"/>
          <w:numId w:val="23"/>
        </w:numPr>
        <w:ind w:left="426"/>
        <w:jc w:val="both"/>
        <w:rPr>
          <w:rFonts w:ascii="Avenir Next" w:hAnsi="Avenir Next" w:cs="Arial"/>
          <w:sz w:val="22"/>
          <w:szCs w:val="22"/>
          <w:highlight w:val="yellow"/>
        </w:rPr>
      </w:pPr>
      <w:r w:rsidRPr="00AB180F">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PargrafodaLista"/>
        <w:rPr>
          <w:rFonts w:ascii="Avenir Next" w:hAnsi="Avenir Next" w:cs="Arial"/>
          <w:sz w:val="22"/>
          <w:szCs w:val="22"/>
        </w:rPr>
      </w:pPr>
    </w:p>
    <w:p w14:paraId="78182C5D" w14:textId="546DA5EC" w:rsidR="004F3F1F" w:rsidRPr="004F3F1F" w:rsidRDefault="009661DE" w:rsidP="004F3F1F">
      <w:pPr>
        <w:pStyle w:val="PargrafodaLista"/>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Pargrafoda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9D4524" w:rsidRDefault="003B3A0D" w:rsidP="003B3A0D">
      <w:pPr>
        <w:pStyle w:val="PargrafodaLista"/>
        <w:numPr>
          <w:ilvl w:val="0"/>
          <w:numId w:val="24"/>
        </w:numPr>
        <w:ind w:left="426"/>
        <w:jc w:val="both"/>
        <w:rPr>
          <w:rFonts w:ascii="Avenir Next" w:hAnsi="Avenir Next" w:cs="Arial"/>
          <w:sz w:val="22"/>
          <w:szCs w:val="22"/>
          <w:highlight w:val="yellow"/>
        </w:rPr>
      </w:pPr>
      <w:r w:rsidRPr="009D4524">
        <w:rPr>
          <w:rFonts w:ascii="Avenir Next" w:hAnsi="Avenir Next" w:cs="Arial"/>
          <w:sz w:val="22"/>
          <w:szCs w:val="22"/>
          <w:highlight w:val="yellow"/>
        </w:rPr>
        <w:t>This statement is untrue because universalism corresponds well to globali</w:t>
      </w:r>
      <w:r w:rsidR="00142E15" w:rsidRPr="009D4524">
        <w:rPr>
          <w:rFonts w:ascii="Avenir Next" w:hAnsi="Avenir Next" w:cs="Arial"/>
          <w:sz w:val="22"/>
          <w:szCs w:val="22"/>
          <w:highlight w:val="yellow"/>
        </w:rPr>
        <w:t>s</w:t>
      </w:r>
      <w:r w:rsidRPr="009D4524">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Pargrafoda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PargrafodaLista"/>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B2171C">
        <w:rPr>
          <w:rFonts w:ascii="Avenir Next Demi Bold" w:hAnsi="Avenir Next Demi Bold" w:cs="Arial"/>
          <w:b/>
          <w:bCs/>
          <w:sz w:val="22"/>
          <w:szCs w:val="22"/>
          <w:lang w:val="en-GB"/>
        </w:rPr>
        <w:t xml:space="preserve">Question </w:t>
      </w:r>
      <w:r w:rsidR="00962045" w:rsidRPr="00B2171C">
        <w:rPr>
          <w:rFonts w:ascii="Avenir Next Demi Bold" w:hAnsi="Avenir Next Demi Bold" w:cs="Arial"/>
          <w:b/>
          <w:bCs/>
          <w:sz w:val="22"/>
          <w:szCs w:val="22"/>
          <w:lang w:val="en-GB"/>
        </w:rPr>
        <w:t>2.1</w:t>
      </w:r>
      <w:r w:rsidR="00962045" w:rsidRPr="00B2171C">
        <w:rPr>
          <w:rFonts w:ascii="Avenir Next Demi Bold" w:hAnsi="Avenir Next Demi Bold" w:cs="Arial"/>
          <w:b/>
          <w:bCs/>
          <w:sz w:val="22"/>
          <w:szCs w:val="22"/>
          <w:lang w:val="en-GB"/>
        </w:rPr>
        <w:tab/>
      </w:r>
      <w:r w:rsidR="00DE03AF" w:rsidRPr="00B2171C">
        <w:rPr>
          <w:rFonts w:ascii="Avenir Next Demi Bold" w:hAnsi="Avenir Next Demi Bold" w:cs="Arial"/>
          <w:b/>
          <w:bCs/>
          <w:sz w:val="22"/>
          <w:szCs w:val="22"/>
          <w:lang w:val="en-GB"/>
        </w:rPr>
        <w:t>[</w:t>
      </w:r>
      <w:r w:rsidR="00D17FDC" w:rsidRPr="00B2171C">
        <w:rPr>
          <w:rFonts w:ascii="Avenir Next Demi Bold" w:hAnsi="Avenir Next Demi Bold" w:cs="Arial"/>
          <w:b/>
          <w:bCs/>
          <w:sz w:val="22"/>
          <w:szCs w:val="22"/>
          <w:lang w:val="en-GB"/>
        </w:rPr>
        <w:t>m</w:t>
      </w:r>
      <w:r w:rsidR="00DE03AF" w:rsidRPr="00B2171C">
        <w:rPr>
          <w:rFonts w:ascii="Avenir Next Demi Bold" w:hAnsi="Avenir Next Demi Bold" w:cs="Arial"/>
          <w:b/>
          <w:bCs/>
          <w:sz w:val="22"/>
          <w:szCs w:val="22"/>
          <w:lang w:val="en-GB"/>
        </w:rPr>
        <w:t xml:space="preserve">aximum </w:t>
      </w:r>
      <w:r w:rsidR="00567AD7" w:rsidRPr="00B2171C">
        <w:rPr>
          <w:rFonts w:ascii="Avenir Next Demi Bold" w:hAnsi="Avenir Next Demi Bold" w:cs="Arial"/>
          <w:b/>
          <w:bCs/>
          <w:sz w:val="22"/>
          <w:szCs w:val="22"/>
          <w:lang w:val="en-GB"/>
        </w:rPr>
        <w:t>3</w:t>
      </w:r>
      <w:r w:rsidR="00DE03AF" w:rsidRPr="00B2171C">
        <w:rPr>
          <w:rFonts w:ascii="Avenir Next Demi Bold" w:hAnsi="Avenir Next Demi Bold" w:cs="Arial"/>
          <w:b/>
          <w:bCs/>
          <w:sz w:val="22"/>
          <w:szCs w:val="22"/>
          <w:lang w:val="en-GB"/>
        </w:rPr>
        <w:t xml:space="preserve"> marks]</w:t>
      </w:r>
      <w:r w:rsidR="00DE03AF" w:rsidRPr="00692852">
        <w:rPr>
          <w:rFonts w:ascii="Avenir Next Demi Bold" w:hAnsi="Avenir Next Demi Bold" w:cs="Arial"/>
          <w:b/>
          <w:bCs/>
          <w:sz w:val="22"/>
          <w:szCs w:val="22"/>
          <w:lang w:val="en-GB"/>
        </w:rPr>
        <w:t xml:space="preserve">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F6675BC" w14:textId="4EA82A07" w:rsidR="00554CFA" w:rsidRPr="00BA6F84" w:rsidRDefault="00BA6F84" w:rsidP="00692852">
      <w:pPr>
        <w:jc w:val="both"/>
        <w:rPr>
          <w:rFonts w:ascii="Avenir Next" w:hAnsi="Avenir Next" w:cs="Arial"/>
          <w:color w:val="808080" w:themeColor="background1" w:themeShade="80"/>
          <w:sz w:val="22"/>
          <w:szCs w:val="22"/>
        </w:rPr>
      </w:pPr>
      <w:r w:rsidRPr="00BA6F84">
        <w:rPr>
          <w:rFonts w:ascii="Avenir Next" w:hAnsi="Avenir Next" w:cs="Arial"/>
          <w:color w:val="808080" w:themeColor="background1" w:themeShade="80"/>
          <w:sz w:val="22"/>
          <w:szCs w:val="22"/>
        </w:rPr>
        <w:t xml:space="preserve">In general, </w:t>
      </w:r>
      <w:r w:rsidR="001F28E9">
        <w:rPr>
          <w:rFonts w:ascii="Avenir Next" w:hAnsi="Avenir Next" w:cs="Arial"/>
          <w:color w:val="808080" w:themeColor="background1" w:themeShade="80"/>
          <w:sz w:val="22"/>
          <w:szCs w:val="22"/>
        </w:rPr>
        <w:t xml:space="preserve">States either have an English law, or Civil law orientated foundation. </w:t>
      </w:r>
      <w:r w:rsidR="00607FC7">
        <w:rPr>
          <w:rFonts w:ascii="Avenir Next" w:hAnsi="Avenir Next" w:cs="Arial"/>
          <w:color w:val="808080" w:themeColor="background1" w:themeShade="80"/>
          <w:sz w:val="22"/>
          <w:szCs w:val="22"/>
        </w:rPr>
        <w:t xml:space="preserve">Such foundations also appear in </w:t>
      </w:r>
      <w:r w:rsidR="007D7066">
        <w:rPr>
          <w:rFonts w:ascii="Avenir Next" w:hAnsi="Avenir Next" w:cs="Arial"/>
          <w:color w:val="808080" w:themeColor="background1" w:themeShade="80"/>
          <w:sz w:val="22"/>
          <w:szCs w:val="22"/>
        </w:rPr>
        <w:t xml:space="preserve">insolvency laws, but some aspects of insolvency law are affected by local legal culture as well. </w:t>
      </w:r>
    </w:p>
    <w:p w14:paraId="2AAA08AD" w14:textId="1BE96CCA" w:rsidR="00DD0E5B" w:rsidRPr="00DD0E5B" w:rsidRDefault="00B63764" w:rsidP="00DD0E5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USA and </w:t>
      </w:r>
      <w:r w:rsidR="00DD0E5B" w:rsidRPr="00DD0E5B">
        <w:rPr>
          <w:rFonts w:ascii="Avenir Next" w:hAnsi="Avenir Next" w:cs="Arial"/>
          <w:color w:val="808080" w:themeColor="background1" w:themeShade="80"/>
          <w:sz w:val="22"/>
          <w:szCs w:val="22"/>
        </w:rPr>
        <w:t>Australian law</w:t>
      </w:r>
      <w:r w:rsidR="007025D4">
        <w:rPr>
          <w:rFonts w:ascii="Avenir Next" w:hAnsi="Avenir Next" w:cs="Arial"/>
          <w:color w:val="808080" w:themeColor="background1" w:themeShade="80"/>
          <w:sz w:val="22"/>
          <w:szCs w:val="22"/>
        </w:rPr>
        <w:t>s</w:t>
      </w:r>
      <w:r w:rsidR="00DD0E5B" w:rsidRPr="00DD0E5B">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are </w:t>
      </w:r>
      <w:r w:rsidR="00DD0E5B" w:rsidRPr="00DD0E5B">
        <w:rPr>
          <w:rFonts w:ascii="Avenir Next" w:hAnsi="Avenir Next" w:cs="Arial"/>
          <w:color w:val="808080" w:themeColor="background1" w:themeShade="80"/>
          <w:sz w:val="22"/>
          <w:szCs w:val="22"/>
        </w:rPr>
        <w:t xml:space="preserve">based on English common law. </w:t>
      </w:r>
      <w:r w:rsidR="00605CEB">
        <w:rPr>
          <w:rFonts w:ascii="Avenir Next" w:hAnsi="Avenir Next" w:cs="Arial"/>
          <w:color w:val="808080" w:themeColor="background1" w:themeShade="80"/>
          <w:sz w:val="22"/>
          <w:szCs w:val="22"/>
        </w:rPr>
        <w:t>However, while t</w:t>
      </w:r>
      <w:r w:rsidR="00EF3E61">
        <w:rPr>
          <w:rFonts w:ascii="Avenir Next" w:hAnsi="Avenir Next" w:cs="Arial"/>
          <w:color w:val="808080" w:themeColor="background1" w:themeShade="80"/>
          <w:sz w:val="22"/>
          <w:szCs w:val="22"/>
        </w:rPr>
        <w:t>he</w:t>
      </w:r>
      <w:r w:rsidR="00E06BBE">
        <w:rPr>
          <w:rFonts w:ascii="Avenir Next" w:hAnsi="Avenir Next" w:cs="Arial"/>
          <w:color w:val="808080" w:themeColor="background1" w:themeShade="80"/>
          <w:sz w:val="22"/>
          <w:szCs w:val="22"/>
        </w:rPr>
        <w:t xml:space="preserve"> </w:t>
      </w:r>
      <w:r w:rsidR="00EF3E61">
        <w:rPr>
          <w:rFonts w:ascii="Avenir Next" w:hAnsi="Avenir Next" w:cs="Arial"/>
          <w:color w:val="808080" w:themeColor="background1" w:themeShade="80"/>
          <w:sz w:val="22"/>
          <w:szCs w:val="22"/>
        </w:rPr>
        <w:t>American system is</w:t>
      </w:r>
      <w:r w:rsidR="00C30E39">
        <w:rPr>
          <w:rFonts w:ascii="Avenir Next" w:hAnsi="Avenir Next" w:cs="Arial"/>
          <w:color w:val="808080" w:themeColor="background1" w:themeShade="80"/>
          <w:sz w:val="22"/>
          <w:szCs w:val="22"/>
        </w:rPr>
        <w:t xml:space="preserve"> governed by</w:t>
      </w:r>
      <w:r w:rsidR="00E06BBE">
        <w:rPr>
          <w:rFonts w:ascii="Avenir Next" w:hAnsi="Avenir Next" w:cs="Arial"/>
          <w:color w:val="808080" w:themeColor="background1" w:themeShade="80"/>
          <w:sz w:val="22"/>
          <w:szCs w:val="22"/>
        </w:rPr>
        <w:t xml:space="preserve"> </w:t>
      </w:r>
      <w:r w:rsidR="008240E9">
        <w:rPr>
          <w:rFonts w:ascii="Avenir Next" w:hAnsi="Avenir Next" w:cs="Arial"/>
          <w:color w:val="808080" w:themeColor="background1" w:themeShade="80"/>
          <w:sz w:val="22"/>
          <w:szCs w:val="22"/>
        </w:rPr>
        <w:t>the Bankruptcy Code of 1978</w:t>
      </w:r>
      <w:r w:rsidR="004F3899">
        <w:rPr>
          <w:rFonts w:ascii="Avenir Next" w:hAnsi="Avenir Next" w:cs="Arial"/>
          <w:color w:val="808080" w:themeColor="background1" w:themeShade="80"/>
          <w:sz w:val="22"/>
          <w:szCs w:val="22"/>
        </w:rPr>
        <w:t>, reformed in the form of the BABCPA in 20</w:t>
      </w:r>
      <w:r w:rsidR="00EF3E61">
        <w:rPr>
          <w:rFonts w:ascii="Avenir Next" w:hAnsi="Avenir Next" w:cs="Arial"/>
          <w:color w:val="808080" w:themeColor="background1" w:themeShade="80"/>
          <w:sz w:val="22"/>
          <w:szCs w:val="22"/>
        </w:rPr>
        <w:t>0</w:t>
      </w:r>
      <w:r w:rsidR="004F3899">
        <w:rPr>
          <w:rFonts w:ascii="Avenir Next" w:hAnsi="Avenir Next" w:cs="Arial"/>
          <w:color w:val="808080" w:themeColor="background1" w:themeShade="80"/>
          <w:sz w:val="22"/>
          <w:szCs w:val="22"/>
        </w:rPr>
        <w:t xml:space="preserve">5, </w:t>
      </w:r>
      <w:r w:rsidR="00D411C7">
        <w:rPr>
          <w:rFonts w:ascii="Avenir Next" w:hAnsi="Avenir Next" w:cs="Arial"/>
          <w:color w:val="808080" w:themeColor="background1" w:themeShade="80"/>
          <w:sz w:val="22"/>
          <w:szCs w:val="22"/>
        </w:rPr>
        <w:t>and is see</w:t>
      </w:r>
      <w:r w:rsidR="00E14456">
        <w:rPr>
          <w:rFonts w:ascii="Avenir Next" w:hAnsi="Avenir Next" w:cs="Arial"/>
          <w:color w:val="808080" w:themeColor="background1" w:themeShade="80"/>
          <w:sz w:val="22"/>
          <w:szCs w:val="22"/>
        </w:rPr>
        <w:t>n as trend</w:t>
      </w:r>
      <w:r w:rsidR="00F31C2C">
        <w:rPr>
          <w:rFonts w:ascii="Avenir Next" w:hAnsi="Avenir Next" w:cs="Arial"/>
          <w:color w:val="808080" w:themeColor="background1" w:themeShade="80"/>
          <w:sz w:val="22"/>
          <w:szCs w:val="22"/>
        </w:rPr>
        <w:t>setting regarding its liberal fresh start approach</w:t>
      </w:r>
      <w:r w:rsidR="00D411C7">
        <w:rPr>
          <w:rFonts w:ascii="Avenir Next" w:hAnsi="Avenir Next" w:cs="Arial"/>
          <w:color w:val="808080" w:themeColor="background1" w:themeShade="80"/>
          <w:sz w:val="22"/>
          <w:szCs w:val="22"/>
        </w:rPr>
        <w:t xml:space="preserve"> </w:t>
      </w:r>
      <w:r w:rsidR="009744FA">
        <w:rPr>
          <w:rFonts w:ascii="Avenir Next" w:hAnsi="Avenir Next" w:cs="Arial"/>
          <w:color w:val="808080" w:themeColor="background1" w:themeShade="80"/>
          <w:sz w:val="22"/>
          <w:szCs w:val="22"/>
        </w:rPr>
        <w:t xml:space="preserve">and chapter 11 reorganization mechanism, Australia </w:t>
      </w:r>
      <w:r w:rsidR="00DD0E5B" w:rsidRPr="00DD0E5B">
        <w:rPr>
          <w:rFonts w:ascii="Avenir Next" w:hAnsi="Avenir Next" w:cs="Arial"/>
          <w:color w:val="808080" w:themeColor="background1" w:themeShade="80"/>
          <w:sz w:val="22"/>
          <w:szCs w:val="22"/>
        </w:rPr>
        <w:t>does not have a single unified Bankruptcy or Insolvency Act.</w:t>
      </w:r>
      <w:r w:rsidR="00DD0E5B">
        <w:rPr>
          <w:rFonts w:ascii="Avenir Next" w:hAnsi="Avenir Next" w:cs="Arial"/>
          <w:color w:val="808080" w:themeColor="background1" w:themeShade="80"/>
          <w:sz w:val="22"/>
          <w:szCs w:val="22"/>
        </w:rPr>
        <w:t xml:space="preserve"> </w:t>
      </w:r>
      <w:r w:rsidR="00E60EB3">
        <w:rPr>
          <w:rFonts w:ascii="Avenir Next" w:hAnsi="Avenir Next" w:cs="Arial"/>
          <w:color w:val="808080" w:themeColor="background1" w:themeShade="80"/>
          <w:sz w:val="22"/>
          <w:szCs w:val="22"/>
        </w:rPr>
        <w:t xml:space="preserve">England, Wales, </w:t>
      </w:r>
      <w:r w:rsidR="00B61E74">
        <w:rPr>
          <w:rFonts w:ascii="Avenir Next" w:hAnsi="Avenir Next" w:cs="Arial"/>
          <w:color w:val="808080" w:themeColor="background1" w:themeShade="80"/>
          <w:sz w:val="22"/>
          <w:szCs w:val="22"/>
        </w:rPr>
        <w:t>USA,</w:t>
      </w:r>
      <w:r w:rsidR="00E60EB3">
        <w:rPr>
          <w:rFonts w:ascii="Avenir Next" w:hAnsi="Avenir Next" w:cs="Arial"/>
          <w:color w:val="808080" w:themeColor="background1" w:themeShade="80"/>
          <w:sz w:val="22"/>
          <w:szCs w:val="22"/>
        </w:rPr>
        <w:t xml:space="preserve"> and </w:t>
      </w:r>
      <w:r w:rsidR="00DD0E5B" w:rsidRPr="00DD0E5B">
        <w:rPr>
          <w:rFonts w:ascii="Avenir Next" w:hAnsi="Avenir Next" w:cs="Arial"/>
          <w:color w:val="808080" w:themeColor="background1" w:themeShade="80"/>
          <w:sz w:val="22"/>
          <w:szCs w:val="22"/>
        </w:rPr>
        <w:t>Australia adopted the UNCITRAL Model Law on Cross-Border Insolvency.</w:t>
      </w:r>
    </w:p>
    <w:p w14:paraId="37F29428" w14:textId="7BA6A987" w:rsidR="00DD0E5B" w:rsidRDefault="00522E95" w:rsidP="006928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Among civil law </w:t>
      </w:r>
      <w:r w:rsidR="00E9469A">
        <w:rPr>
          <w:rFonts w:ascii="Avenir Next" w:hAnsi="Avenir Next" w:cs="Arial"/>
          <w:color w:val="808080" w:themeColor="background1" w:themeShade="80"/>
          <w:sz w:val="22"/>
          <w:szCs w:val="22"/>
        </w:rPr>
        <w:t xml:space="preserve">systems, it worth mentioning the Dutch, French, German and Spanish insolvency laws. </w:t>
      </w:r>
    </w:p>
    <w:p w14:paraId="304C2FB2" w14:textId="581BA76B" w:rsidR="00CC7728" w:rsidRDefault="005E00F6" w:rsidP="006928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BD6AF4" w:rsidRPr="00BD6AF4">
        <w:rPr>
          <w:rFonts w:ascii="Avenir Next" w:hAnsi="Avenir Next" w:cs="Arial"/>
          <w:color w:val="808080" w:themeColor="background1" w:themeShade="80"/>
          <w:sz w:val="22"/>
          <w:szCs w:val="22"/>
        </w:rPr>
        <w:t>he insolvency regulations in emerging markets and developing nations draw heavily from established insolvency legal frameworks, such as those observed in England or in civil law jurisdictions</w:t>
      </w:r>
      <w:r>
        <w:rPr>
          <w:rFonts w:ascii="Avenir Next" w:hAnsi="Avenir Next" w:cs="Arial"/>
          <w:color w:val="808080" w:themeColor="background1" w:themeShade="80"/>
          <w:sz w:val="22"/>
          <w:szCs w:val="22"/>
        </w:rPr>
        <w:t xml:space="preserve">, especially </w:t>
      </w:r>
      <w:r w:rsidR="00BD6AF4" w:rsidRPr="00BD6AF4">
        <w:rPr>
          <w:rFonts w:ascii="Avenir Next" w:hAnsi="Avenir Next" w:cs="Arial"/>
          <w:color w:val="808080" w:themeColor="background1" w:themeShade="80"/>
          <w:sz w:val="22"/>
          <w:szCs w:val="22"/>
        </w:rPr>
        <w:t xml:space="preserve">because many of these countries were once colonies and adopted their </w:t>
      </w:r>
      <w:r w:rsidR="00FE4CD6">
        <w:rPr>
          <w:rFonts w:ascii="Avenir Next" w:hAnsi="Avenir Next" w:cs="Arial"/>
          <w:color w:val="808080" w:themeColor="background1" w:themeShade="80"/>
          <w:sz w:val="22"/>
          <w:szCs w:val="22"/>
        </w:rPr>
        <w:t xml:space="preserve">former colonial rulers’ </w:t>
      </w:r>
      <w:r w:rsidR="00BD6AF4" w:rsidRPr="00BD6AF4">
        <w:rPr>
          <w:rFonts w:ascii="Avenir Next" w:hAnsi="Avenir Next" w:cs="Arial"/>
          <w:color w:val="808080" w:themeColor="background1" w:themeShade="80"/>
          <w:sz w:val="22"/>
          <w:szCs w:val="22"/>
        </w:rPr>
        <w:t>legal structures.</w:t>
      </w:r>
      <w:r w:rsidR="001C197B">
        <w:rPr>
          <w:rFonts w:ascii="Avenir Next" w:hAnsi="Avenir Next" w:cs="Arial"/>
          <w:color w:val="808080" w:themeColor="background1" w:themeShade="80"/>
          <w:sz w:val="22"/>
          <w:szCs w:val="22"/>
        </w:rPr>
        <w:t xml:space="preserve"> </w:t>
      </w:r>
    </w:p>
    <w:p w14:paraId="7ECC7DD6" w14:textId="35BD5E24" w:rsidR="001C197B" w:rsidRDefault="001C197B" w:rsidP="00692852">
      <w:pPr>
        <w:jc w:val="both"/>
        <w:rPr>
          <w:rFonts w:ascii="Avenir Next" w:hAnsi="Avenir Next" w:cs="Arial"/>
          <w:color w:val="808080" w:themeColor="background1" w:themeShade="80"/>
          <w:sz w:val="22"/>
          <w:szCs w:val="22"/>
        </w:rPr>
      </w:pPr>
      <w:r w:rsidRPr="001C197B">
        <w:rPr>
          <w:rFonts w:ascii="Avenir Next" w:hAnsi="Avenir Next" w:cs="Arial"/>
          <w:color w:val="808080" w:themeColor="background1" w:themeShade="80"/>
          <w:sz w:val="22"/>
          <w:szCs w:val="22"/>
        </w:rPr>
        <w:t xml:space="preserve">In </w:t>
      </w:r>
      <w:r w:rsidR="00BD6B82">
        <w:rPr>
          <w:rFonts w:ascii="Avenir Next" w:hAnsi="Avenir Next" w:cs="Arial"/>
          <w:color w:val="808080" w:themeColor="background1" w:themeShade="80"/>
          <w:sz w:val="22"/>
          <w:szCs w:val="22"/>
        </w:rPr>
        <w:t>Africa</w:t>
      </w:r>
      <w:r w:rsidRPr="001C197B">
        <w:rPr>
          <w:rFonts w:ascii="Avenir Next" w:hAnsi="Avenir Next" w:cs="Arial"/>
          <w:color w:val="808080" w:themeColor="background1" w:themeShade="80"/>
          <w:sz w:val="22"/>
          <w:szCs w:val="22"/>
        </w:rPr>
        <w:t>, nations like Nigeria, Kenya, Botswana, and Zambia, along with Eastern African countries like Tanzania, adhere to the English law tradition. On the other hand, Angola and Mozambique follow a civil law tradition rooted in Portuguese law. Countries in West Africa that predominantly speak French have a strong foundation in civil law, specifically influenced by French legal practices. In contrast, countries like South Africa and Namibia have mixed legal systems due to the influence of both Roman-Dutch law (civil law) and English law within their legal frameworks.</w:t>
      </w:r>
    </w:p>
    <w:p w14:paraId="55160B64" w14:textId="6C787506" w:rsidR="00B11152" w:rsidRDefault="004E26ED" w:rsidP="006928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imported laws form the basis of current legislation in these countries, but many African States are now introducing </w:t>
      </w:r>
      <w:r w:rsidR="00192108">
        <w:rPr>
          <w:rFonts w:ascii="Avenir Next" w:hAnsi="Avenir Next" w:cs="Arial"/>
          <w:color w:val="808080" w:themeColor="background1" w:themeShade="80"/>
          <w:sz w:val="22"/>
          <w:szCs w:val="22"/>
        </w:rPr>
        <w:t>more modern legislation.</w:t>
      </w:r>
    </w:p>
    <w:p w14:paraId="1B669924" w14:textId="77777777" w:rsidR="00BE4D94" w:rsidRDefault="00C5232B" w:rsidP="006928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India</w:t>
      </w:r>
      <w:r w:rsidR="003B0A5A">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insolvency law</w:t>
      </w:r>
      <w:r w:rsidR="003B0A5A">
        <w:rPr>
          <w:rFonts w:ascii="Avenir Next" w:hAnsi="Avenir Next" w:cs="Arial"/>
          <w:color w:val="808080" w:themeColor="background1" w:themeShade="80"/>
          <w:sz w:val="22"/>
          <w:szCs w:val="22"/>
        </w:rPr>
        <w:t>s are based in English law</w:t>
      </w:r>
      <w:r w:rsidR="00885AB4">
        <w:rPr>
          <w:rFonts w:ascii="Avenir Next" w:hAnsi="Avenir Next" w:cs="Arial"/>
          <w:color w:val="808080" w:themeColor="background1" w:themeShade="80"/>
          <w:sz w:val="22"/>
          <w:szCs w:val="22"/>
        </w:rPr>
        <w:t xml:space="preserve"> and used to reflect the older English model </w:t>
      </w:r>
      <w:r w:rsidR="00215D3C">
        <w:rPr>
          <w:rFonts w:ascii="Avenir Next" w:hAnsi="Avenir Next" w:cs="Arial"/>
          <w:color w:val="808080" w:themeColor="background1" w:themeShade="80"/>
          <w:sz w:val="22"/>
          <w:szCs w:val="22"/>
        </w:rPr>
        <w:t xml:space="preserve">with different legislation for companies and personal bankruptcy. In 2016, </w:t>
      </w:r>
      <w:r w:rsidR="00BE4D94">
        <w:rPr>
          <w:rFonts w:ascii="Avenir Next" w:hAnsi="Avenir Next" w:cs="Arial"/>
          <w:color w:val="808080" w:themeColor="background1" w:themeShade="80"/>
          <w:sz w:val="22"/>
          <w:szCs w:val="22"/>
        </w:rPr>
        <w:t xml:space="preserve">an Insolvency and Bankruptcy Code was adopted. </w:t>
      </w:r>
    </w:p>
    <w:p w14:paraId="76D9A743" w14:textId="3F5E22DB" w:rsidR="00C5232B" w:rsidRPr="00DA42DA" w:rsidRDefault="00884E1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On the other hand, South American countries are mostly </w:t>
      </w:r>
      <w:r w:rsidR="000B1584">
        <w:rPr>
          <w:rFonts w:ascii="Avenir Next" w:hAnsi="Avenir Next" w:cs="Arial"/>
          <w:color w:val="808080" w:themeColor="background1" w:themeShade="80"/>
          <w:sz w:val="22"/>
          <w:szCs w:val="22"/>
        </w:rPr>
        <w:t>rooted in civil law</w:t>
      </w:r>
      <w:r w:rsidR="00476A03">
        <w:rPr>
          <w:rFonts w:ascii="Avenir Next" w:hAnsi="Avenir Next" w:cs="Arial"/>
          <w:color w:val="808080" w:themeColor="background1" w:themeShade="80"/>
          <w:sz w:val="22"/>
          <w:szCs w:val="22"/>
        </w:rPr>
        <w:t xml:space="preserve"> and have one of the most unified systems in the world. </w:t>
      </w:r>
      <w:r w:rsidR="00C5232B">
        <w:rPr>
          <w:rFonts w:ascii="Avenir Next" w:hAnsi="Avenir Next" w:cs="Arial"/>
          <w:color w:val="808080" w:themeColor="background1" w:themeShade="80"/>
          <w:sz w:val="22"/>
          <w:szCs w:val="22"/>
        </w:rPr>
        <w:t xml:space="preserve"> </w:t>
      </w:r>
      <w:r w:rsidR="00C9750C">
        <w:rPr>
          <w:rFonts w:ascii="Avenir Next" w:hAnsi="Avenir Next" w:cs="Arial"/>
          <w:color w:val="808080" w:themeColor="background1" w:themeShade="80"/>
          <w:sz w:val="22"/>
          <w:szCs w:val="22"/>
        </w:rPr>
        <w:t xml:space="preserve">All South American countries recently signed </w:t>
      </w:r>
      <w:r w:rsidR="000730F7">
        <w:rPr>
          <w:rFonts w:ascii="Avenir Next" w:hAnsi="Avenir Next" w:cs="Arial"/>
          <w:color w:val="808080" w:themeColor="background1" w:themeShade="80"/>
          <w:sz w:val="22"/>
          <w:szCs w:val="22"/>
        </w:rPr>
        <w:t>the Union of South American Nations agreement, which aims to stablish a supra-national law, such as in the EU.</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4D974353" w14:textId="77777777" w:rsidR="00AD3F85" w:rsidRDefault="00AD3F85" w:rsidP="00AD3F85">
      <w:pPr>
        <w:jc w:val="both"/>
        <w:rPr>
          <w:rFonts w:ascii="Avenir Next" w:hAnsi="Avenir Next" w:cs="Arial"/>
          <w:color w:val="808080" w:themeColor="background1" w:themeShade="80"/>
          <w:sz w:val="22"/>
          <w:szCs w:val="22"/>
          <w:lang w:val="en-GB"/>
        </w:rPr>
      </w:pPr>
      <w:r w:rsidRPr="00AD3F85">
        <w:rPr>
          <w:rFonts w:ascii="Avenir Next" w:hAnsi="Avenir Next" w:cs="Arial"/>
          <w:color w:val="808080" w:themeColor="background1" w:themeShade="80"/>
          <w:sz w:val="22"/>
          <w:szCs w:val="22"/>
          <w:lang w:val="en-GB"/>
        </w:rPr>
        <w:t xml:space="preserve">Universality and territoriality are two concepts/approaches to dealing with the problems associated to insolvency cases that involve multiple jurisdictions. </w:t>
      </w:r>
    </w:p>
    <w:p w14:paraId="4A30B969" w14:textId="77777777" w:rsidR="00AD3F85" w:rsidRDefault="00AD3F85" w:rsidP="00AD3F85">
      <w:pPr>
        <w:jc w:val="both"/>
        <w:rPr>
          <w:rFonts w:ascii="Avenir Next" w:hAnsi="Avenir Next" w:cs="Arial"/>
          <w:color w:val="808080" w:themeColor="background1" w:themeShade="80"/>
          <w:sz w:val="22"/>
          <w:szCs w:val="22"/>
          <w:lang w:val="en-GB"/>
        </w:rPr>
      </w:pPr>
    </w:p>
    <w:p w14:paraId="3E212702" w14:textId="3EFEA5F0" w:rsidR="00AD3F85" w:rsidRPr="00AD3F85" w:rsidRDefault="00AD3F85" w:rsidP="00AD3F85">
      <w:pPr>
        <w:jc w:val="both"/>
        <w:rPr>
          <w:rFonts w:ascii="Avenir Next" w:hAnsi="Avenir Next" w:cs="Arial"/>
          <w:color w:val="808080" w:themeColor="background1" w:themeShade="80"/>
          <w:sz w:val="22"/>
          <w:szCs w:val="22"/>
          <w:lang w:val="en-GB"/>
        </w:rPr>
      </w:pPr>
      <w:r w:rsidRPr="00AD3F85">
        <w:rPr>
          <w:rFonts w:ascii="Avenir Next" w:hAnsi="Avenir Next" w:cs="Arial"/>
          <w:color w:val="808080" w:themeColor="background1" w:themeShade="80"/>
          <w:sz w:val="22"/>
          <w:szCs w:val="22"/>
          <w:lang w:val="en-GB"/>
        </w:rPr>
        <w:t xml:space="preserve">The </w:t>
      </w:r>
      <w:r w:rsidRPr="00AD3F85">
        <w:rPr>
          <w:rFonts w:ascii="Avenir Next" w:hAnsi="Avenir Next" w:cs="Arial"/>
          <w:b/>
          <w:bCs/>
          <w:color w:val="808080" w:themeColor="background1" w:themeShade="80"/>
          <w:sz w:val="22"/>
          <w:szCs w:val="22"/>
          <w:lang w:val="en-GB"/>
        </w:rPr>
        <w:t>universalism</w:t>
      </w:r>
      <w:r w:rsidRPr="00AD3F85">
        <w:rPr>
          <w:rFonts w:ascii="Avenir Next" w:hAnsi="Avenir Next" w:cs="Arial"/>
          <w:color w:val="808080" w:themeColor="background1" w:themeShade="80"/>
          <w:sz w:val="22"/>
          <w:szCs w:val="22"/>
          <w:lang w:val="en-GB"/>
        </w:rPr>
        <w:t xml:space="preserve"> (generally favoured</w:t>
      </w:r>
      <w:r>
        <w:rPr>
          <w:rFonts w:ascii="Avenir Next" w:hAnsi="Avenir Next" w:cs="Arial"/>
          <w:color w:val="808080" w:themeColor="background1" w:themeShade="80"/>
          <w:sz w:val="22"/>
          <w:szCs w:val="22"/>
          <w:lang w:val="en-GB"/>
        </w:rPr>
        <w:t xml:space="preserve"> </w:t>
      </w:r>
      <w:r w:rsidRPr="00AD3F85">
        <w:rPr>
          <w:rFonts w:ascii="Avenir Next" w:hAnsi="Avenir Next" w:cs="Arial"/>
          <w:color w:val="808080" w:themeColor="background1" w:themeShade="80"/>
          <w:sz w:val="22"/>
          <w:szCs w:val="22"/>
          <w:lang w:val="en-GB"/>
        </w:rPr>
        <w:t>by international observers and commentators) is an approach that seeks to consolidate the insolvency proceedings of a debtor in a single, primary jurisdiction, which should encompass all the debtor's assets and liabilities, regardless of where they are located globally. In this scenario, the officeholder should possess the means to manage and secure all assets, while simultaneously ensuring that all creditors worldwide are afforded an equal opportunity to engage in the proceedings. This approach demands a significant degree of trust in foreign legal systems and their insolvency proceedings, particularly considering the necessity for extraterritorial effects (some difficulties such as choice-of-law and priority rules must be addressed to the universality approach to be effective).</w:t>
      </w:r>
    </w:p>
    <w:p w14:paraId="18E256BD" w14:textId="77777777" w:rsidR="00AD3F85" w:rsidRPr="00AD3F85" w:rsidRDefault="00AD3F85" w:rsidP="00AD3F85">
      <w:pPr>
        <w:jc w:val="both"/>
        <w:rPr>
          <w:rFonts w:ascii="Avenir Next" w:hAnsi="Avenir Next" w:cs="Arial"/>
          <w:color w:val="808080" w:themeColor="background1" w:themeShade="80"/>
          <w:sz w:val="22"/>
          <w:szCs w:val="22"/>
          <w:lang w:val="en-GB"/>
        </w:rPr>
      </w:pPr>
    </w:p>
    <w:p w14:paraId="3E26506D" w14:textId="3EC6DD8F" w:rsidR="00AD3F85" w:rsidRPr="00AD3F85" w:rsidRDefault="00AD3F85" w:rsidP="00AD3F85">
      <w:pPr>
        <w:jc w:val="both"/>
        <w:rPr>
          <w:rFonts w:ascii="Avenir Next" w:hAnsi="Avenir Next" w:cs="Arial"/>
          <w:color w:val="808080" w:themeColor="background1" w:themeShade="80"/>
          <w:sz w:val="22"/>
          <w:szCs w:val="22"/>
          <w:lang w:val="en-GB"/>
        </w:rPr>
      </w:pPr>
      <w:r w:rsidRPr="00AD3F85">
        <w:rPr>
          <w:rFonts w:ascii="Avenir Next" w:hAnsi="Avenir Next" w:cs="Arial"/>
          <w:color w:val="808080" w:themeColor="background1" w:themeShade="80"/>
          <w:sz w:val="22"/>
          <w:szCs w:val="22"/>
          <w:lang w:val="en-GB"/>
        </w:rPr>
        <w:t xml:space="preserve">On the other hand, </w:t>
      </w:r>
      <w:r w:rsidRPr="00AD3F85">
        <w:rPr>
          <w:rFonts w:ascii="Avenir Next" w:hAnsi="Avenir Next" w:cs="Arial"/>
          <w:b/>
          <w:bCs/>
          <w:color w:val="808080" w:themeColor="background1" w:themeShade="80"/>
          <w:sz w:val="22"/>
          <w:szCs w:val="22"/>
          <w:lang w:val="en-GB"/>
        </w:rPr>
        <w:t>territoriali</w:t>
      </w:r>
      <w:r w:rsidR="00281509" w:rsidRPr="00732A93">
        <w:rPr>
          <w:rFonts w:ascii="Avenir Next" w:hAnsi="Avenir Next" w:cs="Arial"/>
          <w:b/>
          <w:bCs/>
          <w:color w:val="808080" w:themeColor="background1" w:themeShade="80"/>
          <w:sz w:val="22"/>
          <w:szCs w:val="22"/>
          <w:lang w:val="en-GB"/>
        </w:rPr>
        <w:t>sm</w:t>
      </w:r>
      <w:r w:rsidRPr="00AD3F85">
        <w:rPr>
          <w:rFonts w:ascii="Avenir Next" w:hAnsi="Avenir Next" w:cs="Arial"/>
          <w:color w:val="808080" w:themeColor="background1" w:themeShade="80"/>
          <w:sz w:val="22"/>
          <w:szCs w:val="22"/>
          <w:lang w:val="en-GB"/>
        </w:rPr>
        <w:t xml:space="preserve"> emphasizes separate proceedings in each jurisdiction where the debtor has assets or creditors, prioritizing local interests. Under territorialism, each jurisdiction that </w:t>
      </w:r>
      <w:r w:rsidRPr="00AD3F85">
        <w:rPr>
          <w:rFonts w:ascii="Avenir Next" w:hAnsi="Avenir Next" w:cs="Arial"/>
          <w:color w:val="808080" w:themeColor="background1" w:themeShade="80"/>
          <w:sz w:val="22"/>
          <w:szCs w:val="22"/>
          <w:lang w:val="en-GB"/>
        </w:rPr>
        <w:lastRenderedPageBreak/>
        <w:t>holds a substantial link to the debtor's financial circumstances can initiate and supervise insolvency proceedings within its own boundaries. These proceedings may function autonomously, without the existence of a centralized, global insolvency procedure. The assets involved in each specific proceeding should be confined to the jurisdiction where that proceeding is being conducted, and the creditors' capacity to submit their claims should also be limited to that same jurisdiction.</w:t>
      </w:r>
    </w:p>
    <w:p w14:paraId="01DC4476" w14:textId="77777777" w:rsidR="0010235F" w:rsidRDefault="0010235F" w:rsidP="00DA42DA">
      <w:pPr>
        <w:jc w:val="both"/>
        <w:rPr>
          <w:rFonts w:ascii="Avenir Next" w:hAnsi="Avenir Next" w:cs="Arial"/>
          <w:color w:val="808080" w:themeColor="background1" w:themeShade="80"/>
          <w:sz w:val="22"/>
          <w:szCs w:val="22"/>
        </w:rPr>
      </w:pPr>
    </w:p>
    <w:p w14:paraId="216D3C8D" w14:textId="29C0E2DE" w:rsidR="00DA42DA" w:rsidRPr="00DA42DA" w:rsidRDefault="00616A37" w:rsidP="00DA42DA">
      <w:pPr>
        <w:jc w:val="both"/>
        <w:rPr>
          <w:rFonts w:ascii="Avenir Next" w:hAnsi="Avenir Next" w:cs="Arial"/>
          <w:color w:val="808080" w:themeColor="background1" w:themeShade="80"/>
          <w:sz w:val="22"/>
          <w:szCs w:val="22"/>
          <w:lang w:val="en-GB"/>
        </w:rPr>
      </w:pPr>
      <w:r w:rsidRPr="00616A37">
        <w:rPr>
          <w:rFonts w:ascii="Avenir Next" w:hAnsi="Avenir Next" w:cs="Arial"/>
          <w:color w:val="808080" w:themeColor="background1" w:themeShade="80"/>
          <w:sz w:val="22"/>
          <w:szCs w:val="22"/>
        </w:rPr>
        <w:t>Due to the absence of a global consensus on universalism and the prevalence of a territoriality-based approach in many states, the concept of "</w:t>
      </w:r>
      <w:r w:rsidRPr="00732A93">
        <w:rPr>
          <w:rFonts w:ascii="Avenir Next" w:hAnsi="Avenir Next" w:cs="Arial"/>
          <w:b/>
          <w:bCs/>
          <w:color w:val="808080" w:themeColor="background1" w:themeShade="80"/>
          <w:sz w:val="22"/>
          <w:szCs w:val="22"/>
        </w:rPr>
        <w:t>modified universalism</w:t>
      </w:r>
      <w:r w:rsidRPr="00616A37">
        <w:rPr>
          <w:rFonts w:ascii="Avenir Next" w:hAnsi="Avenir Next" w:cs="Arial"/>
          <w:color w:val="808080" w:themeColor="background1" w:themeShade="80"/>
          <w:sz w:val="22"/>
          <w:szCs w:val="22"/>
        </w:rPr>
        <w:t xml:space="preserve">" has </w:t>
      </w:r>
      <w:r w:rsidR="00732A93">
        <w:rPr>
          <w:rFonts w:ascii="Avenir Next" w:hAnsi="Avenir Next" w:cs="Arial"/>
          <w:color w:val="808080" w:themeColor="background1" w:themeShade="80"/>
          <w:sz w:val="22"/>
          <w:szCs w:val="22"/>
        </w:rPr>
        <w:t>emerged</w:t>
      </w:r>
      <w:r w:rsidRPr="00616A37">
        <w:rPr>
          <w:rFonts w:ascii="Avenir Next" w:hAnsi="Avenir Next" w:cs="Arial"/>
          <w:color w:val="808080" w:themeColor="background1" w:themeShade="80"/>
          <w:sz w:val="22"/>
          <w:szCs w:val="22"/>
        </w:rPr>
        <w:t>. Under this approach, a "main proceeding" initiated in the state identified as the center of main interests is complemented by secondary or ancillary proceedings in another state. In such cases, the courts overseeing these separate proceedings are expected to collaborate and work in conjunction with one another.</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0730F7">
        <w:rPr>
          <w:rFonts w:ascii="Avenir Next Demi Bold" w:hAnsi="Avenir Next Demi Bold" w:cs="Arial"/>
          <w:b/>
          <w:bCs/>
          <w:sz w:val="22"/>
          <w:szCs w:val="22"/>
          <w:lang w:val="en-GB"/>
        </w:rPr>
        <w:t xml:space="preserve">Question </w:t>
      </w:r>
      <w:r w:rsidR="00E6452F" w:rsidRPr="000730F7">
        <w:rPr>
          <w:rFonts w:ascii="Avenir Next Demi Bold" w:hAnsi="Avenir Next Demi Bold" w:cs="Arial"/>
          <w:b/>
          <w:bCs/>
          <w:sz w:val="22"/>
          <w:szCs w:val="22"/>
          <w:lang w:val="en-GB"/>
        </w:rPr>
        <w:t>2.3</w:t>
      </w:r>
      <w:r w:rsidR="00E6452F" w:rsidRPr="000730F7">
        <w:rPr>
          <w:rFonts w:ascii="Avenir Next Demi Bold" w:hAnsi="Avenir Next Demi Bold" w:cs="Arial"/>
          <w:b/>
          <w:bCs/>
          <w:sz w:val="22"/>
          <w:szCs w:val="22"/>
          <w:lang w:val="en-GB"/>
        </w:rPr>
        <w:tab/>
        <w:t>[</w:t>
      </w:r>
      <w:r w:rsidR="00D17FDC" w:rsidRPr="000730F7">
        <w:rPr>
          <w:rFonts w:ascii="Avenir Next Demi Bold" w:hAnsi="Avenir Next Demi Bold" w:cs="Arial"/>
          <w:b/>
          <w:bCs/>
          <w:sz w:val="22"/>
          <w:szCs w:val="22"/>
          <w:lang w:val="en-GB"/>
        </w:rPr>
        <w:t>m</w:t>
      </w:r>
      <w:r w:rsidR="00E6452F" w:rsidRPr="000730F7">
        <w:rPr>
          <w:rFonts w:ascii="Avenir Next Demi Bold" w:hAnsi="Avenir Next Demi Bold" w:cs="Arial"/>
          <w:b/>
          <w:bCs/>
          <w:sz w:val="22"/>
          <w:szCs w:val="22"/>
          <w:lang w:val="en-GB"/>
        </w:rPr>
        <w:t xml:space="preserve">aximum </w:t>
      </w:r>
      <w:r w:rsidR="005800D0" w:rsidRPr="000730F7">
        <w:rPr>
          <w:rFonts w:ascii="Avenir Next Demi Bold" w:hAnsi="Avenir Next Demi Bold" w:cs="Arial"/>
          <w:b/>
          <w:bCs/>
          <w:sz w:val="22"/>
          <w:szCs w:val="22"/>
          <w:lang w:val="en-GB"/>
        </w:rPr>
        <w:t>4</w:t>
      </w:r>
      <w:r w:rsidR="003A0BBE" w:rsidRPr="000730F7">
        <w:rPr>
          <w:rFonts w:ascii="Avenir Next Demi Bold" w:hAnsi="Avenir Next Demi Bold" w:cs="Arial"/>
          <w:b/>
          <w:bCs/>
          <w:sz w:val="22"/>
          <w:szCs w:val="22"/>
          <w:lang w:val="en-GB"/>
        </w:rPr>
        <w:t xml:space="preserve"> </w:t>
      </w:r>
      <w:r w:rsidR="00E6452F" w:rsidRPr="000730F7">
        <w:rPr>
          <w:rFonts w:ascii="Avenir Next Demi Bold" w:hAnsi="Avenir Next Demi Bold" w:cs="Arial"/>
          <w:b/>
          <w:bCs/>
          <w:sz w:val="22"/>
          <w:szCs w:val="22"/>
          <w:lang w:val="en-GB"/>
        </w:rPr>
        <w:t>marks]</w:t>
      </w:r>
      <w:r w:rsidR="00E6452F" w:rsidRPr="00E17BF1">
        <w:rPr>
          <w:rFonts w:ascii="Avenir Next Demi Bold" w:hAnsi="Avenir Next Demi Bold" w:cs="Arial"/>
          <w:b/>
          <w:bCs/>
          <w:sz w:val="22"/>
          <w:szCs w:val="22"/>
          <w:lang w:val="en-GB"/>
        </w:rPr>
        <w:t xml:space="preserve">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104F1A07" w14:textId="68A84A7F" w:rsidR="005133C8" w:rsidRPr="005133C8" w:rsidRDefault="005133C8" w:rsidP="004418E1">
      <w:pPr>
        <w:tabs>
          <w:tab w:val="num" w:pos="720"/>
        </w:tabs>
        <w:jc w:val="both"/>
        <w:rPr>
          <w:rFonts w:ascii="Avenir Next" w:hAnsi="Avenir Next" w:cs="Arial"/>
          <w:color w:val="808080" w:themeColor="background1" w:themeShade="80"/>
          <w:sz w:val="22"/>
          <w:szCs w:val="22"/>
        </w:rPr>
      </w:pPr>
      <w:r w:rsidRPr="005133C8">
        <w:rPr>
          <w:rFonts w:ascii="Avenir Next" w:hAnsi="Avenir Next" w:cs="Arial"/>
          <w:color w:val="808080" w:themeColor="background1" w:themeShade="80"/>
          <w:sz w:val="22"/>
          <w:szCs w:val="22"/>
        </w:rPr>
        <w:t xml:space="preserve">Latin American nations have successfully established enduring multilateral agreements concerning the resolution of international insolvency matters. A sequence of comprehensive treaties was crafted on private international law and commerce, encompassing a specific chapter or section dedicated to bankruptcy or insolvency. These treaties, formed among various groups of Latin American countries, </w:t>
      </w:r>
      <w:r>
        <w:rPr>
          <w:rFonts w:ascii="Avenir Next" w:hAnsi="Avenir Next" w:cs="Arial"/>
          <w:color w:val="808080" w:themeColor="background1" w:themeShade="80"/>
          <w:sz w:val="22"/>
          <w:szCs w:val="22"/>
        </w:rPr>
        <w:t xml:space="preserve">are </w:t>
      </w:r>
      <w:r w:rsidR="004418E1" w:rsidRPr="004418E1">
        <w:rPr>
          <w:rFonts w:ascii="Avenir Next" w:hAnsi="Avenir Next" w:cs="Arial"/>
          <w:b/>
          <w:bCs/>
          <w:color w:val="808080" w:themeColor="background1" w:themeShade="80"/>
          <w:sz w:val="22"/>
          <w:szCs w:val="22"/>
        </w:rPr>
        <w:t>(i)</w:t>
      </w:r>
      <w:r w:rsidR="004418E1">
        <w:rPr>
          <w:rFonts w:ascii="Avenir Next" w:hAnsi="Avenir Next" w:cs="Arial"/>
          <w:color w:val="808080" w:themeColor="background1" w:themeShade="80"/>
          <w:sz w:val="22"/>
          <w:szCs w:val="22"/>
        </w:rPr>
        <w:t xml:space="preserve"> </w:t>
      </w:r>
      <w:r w:rsidRPr="005133C8">
        <w:rPr>
          <w:rFonts w:ascii="Avenir Next" w:hAnsi="Avenir Next" w:cs="Arial"/>
          <w:color w:val="808080" w:themeColor="background1" w:themeShade="80"/>
          <w:sz w:val="22"/>
          <w:szCs w:val="22"/>
        </w:rPr>
        <w:t>The Montevideo Treaties (1889) and (1940)</w:t>
      </w:r>
      <w:r w:rsidR="004418E1" w:rsidRPr="004418E1">
        <w:rPr>
          <w:rFonts w:ascii="Avenir Next" w:hAnsi="Avenir Next" w:cs="Arial"/>
          <w:color w:val="808080" w:themeColor="background1" w:themeShade="80"/>
          <w:sz w:val="22"/>
          <w:szCs w:val="22"/>
        </w:rPr>
        <w:t xml:space="preserve">; and </w:t>
      </w:r>
      <w:r w:rsidR="004418E1" w:rsidRPr="004418E1">
        <w:rPr>
          <w:rFonts w:ascii="Avenir Next" w:hAnsi="Avenir Next" w:cs="Arial"/>
          <w:b/>
          <w:bCs/>
          <w:color w:val="808080" w:themeColor="background1" w:themeShade="80"/>
          <w:sz w:val="22"/>
          <w:szCs w:val="22"/>
        </w:rPr>
        <w:t>(ii)</w:t>
      </w:r>
      <w:r w:rsidR="004418E1">
        <w:rPr>
          <w:rFonts w:ascii="Avenir Next" w:hAnsi="Avenir Next" w:cs="Arial"/>
          <w:color w:val="808080" w:themeColor="background1" w:themeShade="80"/>
          <w:sz w:val="22"/>
          <w:szCs w:val="22"/>
        </w:rPr>
        <w:t xml:space="preserve"> </w:t>
      </w:r>
      <w:r w:rsidRPr="005133C8">
        <w:rPr>
          <w:rFonts w:ascii="Avenir Next" w:hAnsi="Avenir Next" w:cs="Arial"/>
          <w:color w:val="808080" w:themeColor="background1" w:themeShade="80"/>
          <w:sz w:val="22"/>
          <w:szCs w:val="22"/>
        </w:rPr>
        <w:t>The Havana Convention on Private International Law (1928), known as the Bustamante Code.</w:t>
      </w:r>
    </w:p>
    <w:p w14:paraId="639FEB87" w14:textId="77777777" w:rsidR="005133C8" w:rsidRDefault="005133C8" w:rsidP="00BD132C">
      <w:pPr>
        <w:jc w:val="both"/>
        <w:rPr>
          <w:rFonts w:ascii="Avenir Next" w:hAnsi="Avenir Next" w:cs="Arial"/>
          <w:color w:val="808080" w:themeColor="background1" w:themeShade="80"/>
          <w:sz w:val="22"/>
          <w:szCs w:val="22"/>
        </w:rPr>
      </w:pPr>
    </w:p>
    <w:p w14:paraId="23EA4F96" w14:textId="4629A6C8" w:rsidR="00051993" w:rsidRDefault="00051993" w:rsidP="00051993">
      <w:pPr>
        <w:autoSpaceDE w:val="0"/>
        <w:autoSpaceDN w:val="0"/>
        <w:adjustRightInd w:val="0"/>
        <w:jc w:val="both"/>
        <w:rPr>
          <w:rFonts w:ascii="Avenir Next" w:hAnsi="Avenir Next" w:cs="Arial"/>
          <w:color w:val="808080" w:themeColor="background1" w:themeShade="80"/>
          <w:sz w:val="22"/>
          <w:szCs w:val="22"/>
        </w:rPr>
      </w:pPr>
      <w:r w:rsidRPr="00051993">
        <w:rPr>
          <w:rFonts w:ascii="Avenir Next" w:hAnsi="Avenir Next" w:cs="Arial"/>
          <w:color w:val="808080" w:themeColor="background1" w:themeShade="80"/>
          <w:sz w:val="22"/>
          <w:szCs w:val="22"/>
        </w:rPr>
        <w:t xml:space="preserve">The Montevideo Treaty on International Commercial Terrestrial Law (1940) contains </w:t>
      </w:r>
      <w:r>
        <w:rPr>
          <w:rFonts w:ascii="Avenir Next" w:hAnsi="Avenir Next" w:cs="Arial"/>
          <w:color w:val="808080" w:themeColor="background1" w:themeShade="80"/>
          <w:sz w:val="22"/>
          <w:szCs w:val="22"/>
        </w:rPr>
        <w:t xml:space="preserve">a title </w:t>
      </w:r>
      <w:r w:rsidRPr="00051993">
        <w:rPr>
          <w:rFonts w:ascii="Avenir Next" w:hAnsi="Avenir Next" w:cs="Arial"/>
          <w:color w:val="808080" w:themeColor="background1" w:themeShade="80"/>
          <w:sz w:val="22"/>
          <w:szCs w:val="22"/>
        </w:rPr>
        <w:t>on Bankruptcy</w:t>
      </w:r>
      <w:r>
        <w:rPr>
          <w:rFonts w:ascii="Avenir Next" w:hAnsi="Avenir Next" w:cs="Arial"/>
          <w:color w:val="808080" w:themeColor="background1" w:themeShade="80"/>
          <w:sz w:val="22"/>
          <w:szCs w:val="22"/>
        </w:rPr>
        <w:t xml:space="preserve"> (</w:t>
      </w:r>
      <w:r w:rsidRPr="00051993">
        <w:rPr>
          <w:rFonts w:ascii="Avenir Next" w:hAnsi="Avenir Next" w:cs="Arial"/>
          <w:color w:val="808080" w:themeColor="background1" w:themeShade="80"/>
          <w:sz w:val="22"/>
          <w:szCs w:val="22"/>
        </w:rPr>
        <w:t>Title VIII</w:t>
      </w:r>
      <w:r>
        <w:rPr>
          <w:rFonts w:ascii="Avenir Next" w:hAnsi="Avenir Next" w:cs="Arial"/>
          <w:color w:val="808080" w:themeColor="background1" w:themeShade="80"/>
          <w:sz w:val="22"/>
          <w:szCs w:val="22"/>
        </w:rPr>
        <w:t>)</w:t>
      </w:r>
      <w:r w:rsidRPr="00051993">
        <w:rPr>
          <w:rFonts w:ascii="Avenir Next" w:hAnsi="Avenir Next" w:cs="Arial"/>
          <w:color w:val="808080" w:themeColor="background1" w:themeShade="80"/>
          <w:sz w:val="22"/>
          <w:szCs w:val="22"/>
        </w:rPr>
        <w:t xml:space="preserve">. </w:t>
      </w:r>
      <w:r w:rsidR="00D878FB">
        <w:rPr>
          <w:rFonts w:ascii="Avenir Next" w:hAnsi="Avenir Next" w:cs="Arial"/>
          <w:color w:val="808080" w:themeColor="background1" w:themeShade="80"/>
          <w:sz w:val="22"/>
          <w:szCs w:val="22"/>
        </w:rPr>
        <w:t xml:space="preserve">There is also </w:t>
      </w:r>
      <w:r w:rsidRPr="00051993">
        <w:rPr>
          <w:rFonts w:ascii="Avenir Next" w:hAnsi="Avenir Next" w:cs="Arial"/>
          <w:color w:val="808080" w:themeColor="background1" w:themeShade="80"/>
          <w:sz w:val="22"/>
          <w:szCs w:val="22"/>
        </w:rPr>
        <w:t>a 1940 Montevideo Treaty on International Procedural Law</w:t>
      </w:r>
      <w:r w:rsidR="00D878FB">
        <w:rPr>
          <w:rFonts w:ascii="Avenir Next" w:hAnsi="Avenir Next" w:cs="Arial"/>
          <w:color w:val="808080" w:themeColor="background1" w:themeShade="80"/>
          <w:sz w:val="22"/>
          <w:szCs w:val="22"/>
        </w:rPr>
        <w:t xml:space="preserve"> that contains a title on civil meeting of creditors (Title IV). These treaties were ratified </w:t>
      </w:r>
      <w:r w:rsidR="009A69CA">
        <w:rPr>
          <w:rFonts w:ascii="Avenir Next" w:hAnsi="Avenir Next" w:cs="Arial"/>
          <w:color w:val="808080" w:themeColor="background1" w:themeShade="80"/>
          <w:sz w:val="22"/>
          <w:szCs w:val="22"/>
        </w:rPr>
        <w:t xml:space="preserve">only </w:t>
      </w:r>
      <w:r w:rsidR="00D878FB">
        <w:rPr>
          <w:rFonts w:ascii="Avenir Next" w:hAnsi="Avenir Next" w:cs="Arial"/>
          <w:color w:val="808080" w:themeColor="background1" w:themeShade="80"/>
          <w:sz w:val="22"/>
          <w:szCs w:val="22"/>
        </w:rPr>
        <w:t>by Argentina, Paraguay, and Uruguay</w:t>
      </w:r>
      <w:r w:rsidR="009A69CA">
        <w:rPr>
          <w:rFonts w:ascii="Avenir Next" w:hAnsi="Avenir Next" w:cs="Arial"/>
          <w:color w:val="808080" w:themeColor="background1" w:themeShade="80"/>
          <w:sz w:val="22"/>
          <w:szCs w:val="22"/>
        </w:rPr>
        <w:t xml:space="preserve"> (the other 3 </w:t>
      </w:r>
      <w:r w:rsidR="00B74C2C">
        <w:rPr>
          <w:rFonts w:ascii="Avenir Next" w:hAnsi="Avenir Next" w:cs="Arial"/>
          <w:color w:val="808080" w:themeColor="background1" w:themeShade="80"/>
          <w:sz w:val="22"/>
          <w:szCs w:val="22"/>
        </w:rPr>
        <w:t>original treaty countries did not ratify the treaties)</w:t>
      </w:r>
      <w:r w:rsidR="00D878FB">
        <w:rPr>
          <w:rFonts w:ascii="Avenir Next" w:hAnsi="Avenir Next" w:cs="Arial"/>
          <w:color w:val="808080" w:themeColor="background1" w:themeShade="80"/>
          <w:sz w:val="22"/>
          <w:szCs w:val="22"/>
        </w:rPr>
        <w:t>.</w:t>
      </w:r>
    </w:p>
    <w:p w14:paraId="026C78B9" w14:textId="77777777" w:rsidR="006E0500" w:rsidRDefault="006E0500" w:rsidP="00051993">
      <w:pPr>
        <w:autoSpaceDE w:val="0"/>
        <w:autoSpaceDN w:val="0"/>
        <w:adjustRightInd w:val="0"/>
        <w:jc w:val="both"/>
        <w:rPr>
          <w:rFonts w:ascii="Avenir Next" w:hAnsi="Avenir Next" w:cs="Arial"/>
          <w:color w:val="808080" w:themeColor="background1" w:themeShade="80"/>
          <w:sz w:val="22"/>
          <w:szCs w:val="22"/>
        </w:rPr>
      </w:pPr>
    </w:p>
    <w:p w14:paraId="7AAF359E" w14:textId="0EE5776E" w:rsidR="006E0500" w:rsidRDefault="006E0500" w:rsidP="00051993">
      <w:pPr>
        <w:autoSpaceDE w:val="0"/>
        <w:autoSpaceDN w:val="0"/>
        <w:adjustRightInd w:val="0"/>
        <w:jc w:val="both"/>
        <w:rPr>
          <w:rFonts w:ascii="Avenir Next" w:hAnsi="Avenir Next" w:cs="Arial"/>
          <w:color w:val="808080" w:themeColor="background1" w:themeShade="80"/>
          <w:sz w:val="22"/>
          <w:szCs w:val="22"/>
        </w:rPr>
      </w:pPr>
      <w:r w:rsidRPr="006E0500">
        <w:rPr>
          <w:rFonts w:ascii="Avenir Next" w:hAnsi="Avenir Next" w:cs="Arial"/>
          <w:color w:val="808080" w:themeColor="background1" w:themeShade="80"/>
          <w:sz w:val="22"/>
          <w:szCs w:val="22"/>
        </w:rPr>
        <w:t>The 1889 Treaty addresses personal and corporate insolvency, establishing bankruptcy jurisdiction based on the debtor's commercial domicile. If a debtor has a commercial domicile in one treaty State, proceedings take place in that location, even if the debtor engages in occasional trade or has branches in another State. In the case of a debtor with economically autonomous businesses in different treaty States, concurrent proceedings are possible. When insolvency proceedings are initiated in one State, local creditors in other States with economically autonomous businesses of the debtor can open bankruptcy proceedings or pursue civil action against the debtor.</w:t>
      </w:r>
    </w:p>
    <w:p w14:paraId="2B7FB3E7" w14:textId="77777777" w:rsidR="00D5141D" w:rsidRDefault="00D5141D" w:rsidP="00051993">
      <w:pPr>
        <w:autoSpaceDE w:val="0"/>
        <w:autoSpaceDN w:val="0"/>
        <w:adjustRightInd w:val="0"/>
        <w:jc w:val="both"/>
        <w:rPr>
          <w:rFonts w:ascii="Avenir Next" w:hAnsi="Avenir Next" w:cs="Arial"/>
          <w:color w:val="808080" w:themeColor="background1" w:themeShade="80"/>
          <w:sz w:val="22"/>
          <w:szCs w:val="22"/>
        </w:rPr>
      </w:pPr>
    </w:p>
    <w:p w14:paraId="58F65C7B" w14:textId="77777777" w:rsidR="00D5141D" w:rsidRDefault="00D5141D" w:rsidP="00D5141D">
      <w:pPr>
        <w:autoSpaceDE w:val="0"/>
        <w:autoSpaceDN w:val="0"/>
        <w:adjustRightInd w:val="0"/>
        <w:jc w:val="both"/>
        <w:rPr>
          <w:rFonts w:ascii="Avenir Next" w:hAnsi="Avenir Next" w:cs="Arial"/>
          <w:color w:val="808080" w:themeColor="background1" w:themeShade="80"/>
          <w:sz w:val="22"/>
          <w:szCs w:val="22"/>
        </w:rPr>
      </w:pPr>
      <w:r w:rsidRPr="00D5141D">
        <w:rPr>
          <w:rFonts w:ascii="Avenir Next" w:hAnsi="Avenir Next" w:cs="Arial"/>
          <w:color w:val="808080" w:themeColor="background1" w:themeShade="80"/>
          <w:sz w:val="22"/>
          <w:szCs w:val="22"/>
        </w:rPr>
        <w:t>The Havana Convention</w:t>
      </w:r>
      <w:r>
        <w:rPr>
          <w:rFonts w:ascii="Avenir Next" w:hAnsi="Avenir Next" w:cs="Arial"/>
          <w:color w:val="808080" w:themeColor="background1" w:themeShade="80"/>
          <w:sz w:val="22"/>
          <w:szCs w:val="22"/>
        </w:rPr>
        <w:t xml:space="preserve">, which </w:t>
      </w:r>
      <w:r w:rsidRPr="00747C0D">
        <w:rPr>
          <w:rFonts w:ascii="Avenir Next" w:hAnsi="Avenir Next" w:cs="Arial"/>
          <w:color w:val="808080" w:themeColor="background1" w:themeShade="80"/>
          <w:sz w:val="22"/>
          <w:szCs w:val="22"/>
        </w:rPr>
        <w:t>was ratified by Brazil, Chile, Costa Rica, Cuba, Dominican Republic, Ecuador, El Salvador, Guatemala, Haiti, Honduras, Nicaragua, Panama, Peru, and Venezuela</w:t>
      </w:r>
      <w:r>
        <w:rPr>
          <w:rFonts w:ascii="Avenir Next" w:hAnsi="Avenir Next" w:cs="Arial"/>
          <w:color w:val="808080" w:themeColor="background1" w:themeShade="80"/>
          <w:sz w:val="22"/>
          <w:szCs w:val="22"/>
        </w:rPr>
        <w:t>,</w:t>
      </w:r>
      <w:r w:rsidRPr="00D5141D">
        <w:rPr>
          <w:rFonts w:ascii="Avenir Next" w:hAnsi="Avenir Next" w:cs="Arial"/>
          <w:color w:val="808080" w:themeColor="background1" w:themeShade="80"/>
          <w:sz w:val="22"/>
          <w:szCs w:val="22"/>
        </w:rPr>
        <w:t xml:space="preserve"> emphasizes a unified approach to bankruptcy or insolvency proceedings, allowing for a single proceeding with universal effect throughout its region. </w:t>
      </w:r>
    </w:p>
    <w:p w14:paraId="79856A7A" w14:textId="77777777" w:rsidR="00D5141D" w:rsidRDefault="00D5141D" w:rsidP="00D5141D">
      <w:pPr>
        <w:autoSpaceDE w:val="0"/>
        <w:autoSpaceDN w:val="0"/>
        <w:adjustRightInd w:val="0"/>
        <w:jc w:val="both"/>
        <w:rPr>
          <w:rFonts w:ascii="Avenir Next" w:hAnsi="Avenir Next" w:cs="Arial"/>
          <w:color w:val="808080" w:themeColor="background1" w:themeShade="80"/>
          <w:sz w:val="22"/>
          <w:szCs w:val="22"/>
        </w:rPr>
      </w:pPr>
    </w:p>
    <w:p w14:paraId="224B5047" w14:textId="7E46B472" w:rsidR="00D5141D" w:rsidRDefault="00D5141D" w:rsidP="00D5141D">
      <w:pPr>
        <w:autoSpaceDE w:val="0"/>
        <w:autoSpaceDN w:val="0"/>
        <w:adjustRightInd w:val="0"/>
        <w:jc w:val="both"/>
        <w:rPr>
          <w:rFonts w:ascii="Avenir Next" w:hAnsi="Avenir Next" w:cs="Arial"/>
          <w:color w:val="808080" w:themeColor="background1" w:themeShade="80"/>
          <w:sz w:val="22"/>
          <w:szCs w:val="22"/>
        </w:rPr>
      </w:pPr>
      <w:r w:rsidRPr="00D5141D">
        <w:rPr>
          <w:rFonts w:ascii="Avenir Next" w:hAnsi="Avenir Next" w:cs="Arial"/>
          <w:color w:val="808080" w:themeColor="background1" w:themeShade="80"/>
          <w:sz w:val="22"/>
          <w:szCs w:val="22"/>
        </w:rPr>
        <w:t>In its first chapter, titled "Unity of Bankruptcy or Insolvency," the convention states that if a debtor has only one civil or commercial domicile, there should be only one proceeding in insolvency or bankruptcy across all contracting States. However, concurrent proceedings are allowed in Havana Convention States if the debtor has economically separate commercial establishments.</w:t>
      </w:r>
    </w:p>
    <w:p w14:paraId="19C001F6" w14:textId="77777777" w:rsidR="00D5141D" w:rsidRPr="00D5141D" w:rsidRDefault="00D5141D" w:rsidP="00D5141D">
      <w:pPr>
        <w:autoSpaceDE w:val="0"/>
        <w:autoSpaceDN w:val="0"/>
        <w:adjustRightInd w:val="0"/>
        <w:jc w:val="both"/>
        <w:rPr>
          <w:rFonts w:ascii="Avenir Next" w:hAnsi="Avenir Next" w:cs="Arial"/>
          <w:color w:val="808080" w:themeColor="background1" w:themeShade="80"/>
          <w:sz w:val="22"/>
          <w:szCs w:val="22"/>
        </w:rPr>
      </w:pPr>
    </w:p>
    <w:p w14:paraId="3E5373A2" w14:textId="77777777" w:rsidR="00D5141D" w:rsidRPr="00D5141D" w:rsidRDefault="00D5141D" w:rsidP="00D5141D">
      <w:pPr>
        <w:autoSpaceDE w:val="0"/>
        <w:autoSpaceDN w:val="0"/>
        <w:adjustRightInd w:val="0"/>
        <w:jc w:val="both"/>
        <w:rPr>
          <w:rFonts w:ascii="Avenir Next" w:hAnsi="Avenir Next" w:cs="Arial"/>
          <w:color w:val="808080" w:themeColor="background1" w:themeShade="80"/>
          <w:sz w:val="22"/>
          <w:szCs w:val="22"/>
        </w:rPr>
      </w:pPr>
      <w:r w:rsidRPr="00D5141D">
        <w:rPr>
          <w:rFonts w:ascii="Avenir Next" w:hAnsi="Avenir Next" w:cs="Arial"/>
          <w:color w:val="808080" w:themeColor="background1" w:themeShade="80"/>
          <w:sz w:val="22"/>
          <w:szCs w:val="22"/>
        </w:rPr>
        <w:t xml:space="preserve">While the convention shares similarities with the Montevideo Treaties in providing for a single proceeding in certain circumstances, it does not include provisions for cooperation or coordination in cases of concurrent proceedings. The second chapter, titled "Universality of Bankruptcy or Insolvency, and Their Effects," acknowledges that insolvency proceedings initiated in one member State will have </w:t>
      </w:r>
      <w:r w:rsidRPr="00D5141D">
        <w:rPr>
          <w:rFonts w:ascii="Avenir Next" w:hAnsi="Avenir Next" w:cs="Arial"/>
          <w:color w:val="808080" w:themeColor="background1" w:themeShade="80"/>
          <w:sz w:val="22"/>
          <w:szCs w:val="22"/>
        </w:rPr>
        <w:lastRenderedPageBreak/>
        <w:t>extraterritorial effect in another member State. The convention enforces court decrees from the time of pronouncement, with compliance to local rules for registration or publicity.</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630496E5" w14:textId="77777777" w:rsidR="008054BD" w:rsidRDefault="008054BD" w:rsidP="008054BD">
      <w:pPr>
        <w:jc w:val="both"/>
        <w:rPr>
          <w:rFonts w:ascii="Avenir Next" w:hAnsi="Avenir Next" w:cs="Arial"/>
          <w:color w:val="808080" w:themeColor="background1" w:themeShade="80"/>
          <w:sz w:val="22"/>
          <w:szCs w:val="22"/>
        </w:rPr>
      </w:pPr>
    </w:p>
    <w:p w14:paraId="424CEA7A" w14:textId="77777777" w:rsidR="00E707BB" w:rsidRDefault="00D57B41" w:rsidP="00692852">
      <w:pPr>
        <w:jc w:val="both"/>
        <w:rPr>
          <w:rFonts w:ascii="Avenir Next" w:hAnsi="Avenir Next" w:cs="Arial"/>
          <w:color w:val="808080" w:themeColor="background1" w:themeShade="80"/>
          <w:sz w:val="22"/>
          <w:szCs w:val="22"/>
        </w:rPr>
      </w:pPr>
      <w:r w:rsidRPr="00D57B41">
        <w:rPr>
          <w:rFonts w:ascii="Avenir Next" w:hAnsi="Avenir Next" w:cs="Arial"/>
          <w:color w:val="808080" w:themeColor="background1" w:themeShade="80"/>
          <w:sz w:val="22"/>
          <w:szCs w:val="22"/>
        </w:rPr>
        <w:t xml:space="preserve">The use of the terms "insolvency" and "bankruptcy" varies among legal systems. </w:t>
      </w:r>
    </w:p>
    <w:p w14:paraId="2C501D0D" w14:textId="77777777" w:rsidR="00E707BB" w:rsidRDefault="00E707BB" w:rsidP="00692852">
      <w:pPr>
        <w:jc w:val="both"/>
        <w:rPr>
          <w:rFonts w:ascii="Avenir Next" w:hAnsi="Avenir Next" w:cs="Arial"/>
          <w:color w:val="808080" w:themeColor="background1" w:themeShade="80"/>
          <w:sz w:val="22"/>
          <w:szCs w:val="22"/>
          <w:lang w:val="en-GB"/>
        </w:rPr>
      </w:pPr>
    </w:p>
    <w:p w14:paraId="08A434CA" w14:textId="77777777" w:rsidR="001172A8" w:rsidRDefault="00D57B41" w:rsidP="00692852">
      <w:pPr>
        <w:jc w:val="both"/>
        <w:rPr>
          <w:rFonts w:ascii="Avenir Next" w:hAnsi="Avenir Next" w:cs="Arial"/>
          <w:color w:val="808080" w:themeColor="background1" w:themeShade="80"/>
          <w:sz w:val="22"/>
          <w:szCs w:val="22"/>
        </w:rPr>
      </w:pPr>
      <w:r w:rsidRPr="00D57B41">
        <w:rPr>
          <w:rFonts w:ascii="Avenir Next" w:hAnsi="Avenir Next" w:cs="Arial"/>
          <w:color w:val="808080" w:themeColor="background1" w:themeShade="80"/>
          <w:sz w:val="22"/>
          <w:szCs w:val="22"/>
        </w:rPr>
        <w:t xml:space="preserve">In some cases, "insolvency" is employed to describe the financial state of a corporation, while "bankruptcy" is used for an individual's insolvency in countries like Australia. Although these terms often carry the same meaning, distinctions may exist, such as "insolvency" referring to the financial state of a debtor and "bankruptcy" denoting the formal entry into bankruptcy proceedings. </w:t>
      </w:r>
    </w:p>
    <w:p w14:paraId="2B970253" w14:textId="77777777" w:rsidR="001172A8" w:rsidRDefault="001172A8" w:rsidP="00692852">
      <w:pPr>
        <w:jc w:val="both"/>
        <w:rPr>
          <w:rFonts w:ascii="Avenir Next" w:hAnsi="Avenir Next" w:cs="Arial"/>
          <w:color w:val="808080" w:themeColor="background1" w:themeShade="80"/>
          <w:sz w:val="22"/>
          <w:szCs w:val="22"/>
        </w:rPr>
      </w:pPr>
    </w:p>
    <w:p w14:paraId="0DCFD5B9" w14:textId="1E89E806" w:rsidR="00DD526C" w:rsidRDefault="00D57B41" w:rsidP="00692852">
      <w:pPr>
        <w:jc w:val="both"/>
        <w:rPr>
          <w:rFonts w:ascii="Avenir Next" w:hAnsi="Avenir Next" w:cs="Arial"/>
          <w:color w:val="808080" w:themeColor="background1" w:themeShade="80"/>
          <w:sz w:val="22"/>
          <w:szCs w:val="22"/>
        </w:rPr>
      </w:pPr>
      <w:r w:rsidRPr="00D57B41">
        <w:rPr>
          <w:rFonts w:ascii="Avenir Next" w:hAnsi="Avenir Next" w:cs="Arial"/>
          <w:color w:val="808080" w:themeColor="background1" w:themeShade="80"/>
          <w:sz w:val="22"/>
          <w:szCs w:val="22"/>
        </w:rPr>
        <w:t>However, many systems treat these terms as synonymous. Insolvency itself may signify a situation where a debtor's liabilities exceed assets (balance sheet insolvency) or when the debtor cannot repay debts promptly due to a cash flow problem (cash flow or commercial insolvency).</w:t>
      </w:r>
    </w:p>
    <w:p w14:paraId="1E11784A" w14:textId="77777777" w:rsidR="00CD4FF7" w:rsidRDefault="00CD4FF7" w:rsidP="00692852">
      <w:pPr>
        <w:jc w:val="both"/>
        <w:rPr>
          <w:rFonts w:ascii="Avenir Next" w:hAnsi="Avenir Next" w:cs="Arial"/>
          <w:color w:val="808080" w:themeColor="background1" w:themeShade="80"/>
          <w:sz w:val="22"/>
          <w:szCs w:val="22"/>
        </w:rPr>
      </w:pPr>
    </w:p>
    <w:p w14:paraId="62B60229" w14:textId="77777777" w:rsidR="00676C4D" w:rsidRDefault="00CD4FF7" w:rsidP="00CD4FF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From the Brazilian perspective, “insolvency” usually refers to the financial state of the debtor</w:t>
      </w:r>
      <w:r w:rsidR="00676C4D">
        <w:rPr>
          <w:rFonts w:ascii="Avenir Next" w:hAnsi="Avenir Next" w:cs="Arial"/>
          <w:color w:val="808080" w:themeColor="background1" w:themeShade="80"/>
          <w:sz w:val="22"/>
          <w:szCs w:val="22"/>
        </w:rPr>
        <w:t xml:space="preserve"> (a company’s inability to meet its financial obligations timely)</w:t>
      </w:r>
      <w:r>
        <w:rPr>
          <w:rFonts w:ascii="Avenir Next" w:hAnsi="Avenir Next" w:cs="Arial"/>
          <w:color w:val="808080" w:themeColor="background1" w:themeShade="80"/>
          <w:sz w:val="22"/>
          <w:szCs w:val="22"/>
        </w:rPr>
        <w:t xml:space="preserve">, but “bankruptcy” actually means “liquidation”. Formal “insolvency” proceedings under Brazilian law are referred as “judicial reorganization proceedings”. </w:t>
      </w:r>
    </w:p>
    <w:p w14:paraId="231EBF36" w14:textId="77777777" w:rsidR="00676C4D" w:rsidRDefault="00676C4D" w:rsidP="00CD4FF7">
      <w:pPr>
        <w:jc w:val="both"/>
        <w:rPr>
          <w:rFonts w:ascii="Avenir Next" w:hAnsi="Avenir Next" w:cs="Arial"/>
          <w:color w:val="808080" w:themeColor="background1" w:themeShade="80"/>
          <w:sz w:val="22"/>
          <w:szCs w:val="22"/>
        </w:rPr>
      </w:pPr>
    </w:p>
    <w:p w14:paraId="1C1A2517" w14:textId="7B7DC5EB" w:rsidR="00CD4FF7" w:rsidRDefault="00CD4FF7" w:rsidP="00CD4F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In this sense, especially considering that different terms may be used in different jurisdictions to address the concepts involving insolvency proceedings, I do not agree that the terms “insolvency” and “bankruptcy” can be used interchangeably. </w:t>
      </w:r>
    </w:p>
    <w:p w14:paraId="205C8750" w14:textId="77777777" w:rsidR="006C3276" w:rsidRDefault="006C3276" w:rsidP="00692852">
      <w:pPr>
        <w:jc w:val="both"/>
        <w:rPr>
          <w:rFonts w:ascii="Avenir Next" w:hAnsi="Avenir Next" w:cs="Arial"/>
          <w:color w:val="808080" w:themeColor="background1" w:themeShade="80"/>
          <w:sz w:val="22"/>
          <w:szCs w:val="22"/>
        </w:rPr>
      </w:pPr>
    </w:p>
    <w:p w14:paraId="418CDBE0" w14:textId="174E1BF7" w:rsidR="00CD4FF7" w:rsidRPr="00CD4FF7" w:rsidRDefault="00676C4D" w:rsidP="00CD4FF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other hand, </w:t>
      </w:r>
      <w:r w:rsidR="00CD4FF7" w:rsidRPr="00CD4FF7">
        <w:rPr>
          <w:rFonts w:ascii="Avenir Next" w:hAnsi="Avenir Next" w:cs="Arial"/>
          <w:color w:val="808080" w:themeColor="background1" w:themeShade="80"/>
          <w:sz w:val="22"/>
          <w:szCs w:val="22"/>
        </w:rPr>
        <w:t>Wood identifies several potential essential features of insolvency or bankruptcy law that are considered universal principles but then casts doubt on their universality:</w:t>
      </w:r>
    </w:p>
    <w:p w14:paraId="66C793D7" w14:textId="77777777" w:rsidR="00CD4FF7" w:rsidRPr="00CD4FF7" w:rsidRDefault="00CD4FF7" w:rsidP="00CD4FF7">
      <w:pPr>
        <w:jc w:val="both"/>
        <w:rPr>
          <w:rFonts w:ascii="Avenir Next" w:hAnsi="Avenir Next" w:cs="Arial"/>
          <w:color w:val="808080" w:themeColor="background1" w:themeShade="80"/>
          <w:sz w:val="22"/>
          <w:szCs w:val="22"/>
        </w:rPr>
      </w:pPr>
    </w:p>
    <w:p w14:paraId="53DBF38B" w14:textId="72F25859" w:rsidR="00CD4FF7" w:rsidRPr="00676C4D" w:rsidRDefault="00CD4FF7" w:rsidP="00676C4D">
      <w:pPr>
        <w:pStyle w:val="PargrafodaLista"/>
        <w:numPr>
          <w:ilvl w:val="0"/>
          <w:numId w:val="36"/>
        </w:numPr>
        <w:jc w:val="both"/>
        <w:rPr>
          <w:rFonts w:ascii="Avenir Next" w:hAnsi="Avenir Next" w:cs="Arial"/>
          <w:color w:val="808080" w:themeColor="background1" w:themeShade="80"/>
          <w:sz w:val="22"/>
          <w:szCs w:val="22"/>
        </w:rPr>
      </w:pPr>
      <w:r w:rsidRPr="00676C4D">
        <w:rPr>
          <w:rFonts w:ascii="Avenir Next" w:hAnsi="Avenir Next" w:cs="Arial"/>
          <w:b/>
          <w:bCs/>
          <w:color w:val="808080" w:themeColor="background1" w:themeShade="80"/>
          <w:sz w:val="22"/>
          <w:szCs w:val="22"/>
        </w:rPr>
        <w:t>Automatic Stay:</w:t>
      </w:r>
      <w:r w:rsidRPr="00676C4D">
        <w:rPr>
          <w:rFonts w:ascii="Avenir Next" w:hAnsi="Avenir Next" w:cs="Arial"/>
          <w:color w:val="808080" w:themeColor="background1" w:themeShade="80"/>
          <w:sz w:val="22"/>
          <w:szCs w:val="22"/>
        </w:rPr>
        <w:t xml:space="preserve"> Wood acknowledges the automatic stay, which freezes individual creditors' actions against the bankrupt, as the only truly universal feature. It imposes a moratorium on individual debt enforcement.</w:t>
      </w:r>
    </w:p>
    <w:p w14:paraId="381B0D2A" w14:textId="3BC32B3F" w:rsidR="00CD4FF7" w:rsidRPr="00CD4FF7" w:rsidRDefault="00CD4FF7" w:rsidP="00CD4FF7">
      <w:pPr>
        <w:numPr>
          <w:ilvl w:val="0"/>
          <w:numId w:val="36"/>
        </w:numPr>
        <w:jc w:val="both"/>
        <w:rPr>
          <w:rFonts w:ascii="Avenir Next" w:hAnsi="Avenir Next" w:cs="Arial"/>
          <w:color w:val="808080" w:themeColor="background1" w:themeShade="80"/>
          <w:sz w:val="22"/>
          <w:szCs w:val="22"/>
        </w:rPr>
      </w:pPr>
      <w:r w:rsidRPr="00CD4FF7">
        <w:rPr>
          <w:rFonts w:ascii="Avenir Next" w:hAnsi="Avenir Next" w:cs="Arial"/>
          <w:b/>
          <w:bCs/>
          <w:color w:val="808080" w:themeColor="background1" w:themeShade="80"/>
          <w:sz w:val="22"/>
          <w:szCs w:val="22"/>
        </w:rPr>
        <w:t>Pooling of Assets:</w:t>
      </w:r>
      <w:r w:rsidRPr="00CD4FF7">
        <w:rPr>
          <w:rFonts w:ascii="Avenir Next" w:hAnsi="Avenir Next" w:cs="Arial"/>
          <w:color w:val="808080" w:themeColor="background1" w:themeShade="80"/>
          <w:sz w:val="22"/>
          <w:szCs w:val="22"/>
        </w:rPr>
        <w:t xml:space="preserve"> The idea that assets are pooled and made available to pay creditors, replacing piecemeal seizures by individual creditors, was once considered universal. However, Wood notes that this principle has eroded, with different states providing various exceptions to this rule</w:t>
      </w:r>
      <w:r w:rsidR="00577B58">
        <w:rPr>
          <w:rFonts w:ascii="Avenir Next" w:hAnsi="Avenir Next" w:cs="Arial"/>
          <w:color w:val="808080" w:themeColor="background1" w:themeShade="80"/>
          <w:sz w:val="22"/>
          <w:szCs w:val="22"/>
        </w:rPr>
        <w:t xml:space="preserve"> (in Brazil,</w:t>
      </w:r>
      <w:r w:rsidR="00AE0D60">
        <w:rPr>
          <w:rFonts w:ascii="Avenir Next" w:hAnsi="Avenir Next" w:cs="Arial"/>
          <w:color w:val="808080" w:themeColor="background1" w:themeShade="80"/>
          <w:sz w:val="22"/>
          <w:szCs w:val="22"/>
        </w:rPr>
        <w:t xml:space="preserve"> for example, assets that are essential </w:t>
      </w:r>
      <w:r w:rsidR="00DA2D36">
        <w:rPr>
          <w:rFonts w:ascii="Avenir Next" w:hAnsi="Avenir Next" w:cs="Arial"/>
          <w:color w:val="808080" w:themeColor="background1" w:themeShade="80"/>
          <w:sz w:val="22"/>
          <w:szCs w:val="22"/>
        </w:rPr>
        <w:t>for</w:t>
      </w:r>
      <w:r w:rsidR="00AE0D60">
        <w:rPr>
          <w:rFonts w:ascii="Avenir Next" w:hAnsi="Avenir Next" w:cs="Arial"/>
          <w:color w:val="808080" w:themeColor="background1" w:themeShade="80"/>
          <w:sz w:val="22"/>
          <w:szCs w:val="22"/>
        </w:rPr>
        <w:t xml:space="preserve"> the debtor’s activities cannot be seized)</w:t>
      </w:r>
      <w:r w:rsidRPr="00CD4FF7">
        <w:rPr>
          <w:rFonts w:ascii="Avenir Next" w:hAnsi="Avenir Next" w:cs="Arial"/>
          <w:color w:val="808080" w:themeColor="background1" w:themeShade="80"/>
          <w:sz w:val="22"/>
          <w:szCs w:val="22"/>
        </w:rPr>
        <w:t>.</w:t>
      </w:r>
    </w:p>
    <w:p w14:paraId="00D4CCCB" w14:textId="6081AD06" w:rsidR="00CD4FF7" w:rsidRPr="00CD4FF7" w:rsidRDefault="00CD4FF7" w:rsidP="00CD4FF7">
      <w:pPr>
        <w:numPr>
          <w:ilvl w:val="0"/>
          <w:numId w:val="36"/>
        </w:numPr>
        <w:jc w:val="both"/>
        <w:rPr>
          <w:rFonts w:ascii="Avenir Next" w:hAnsi="Avenir Next" w:cs="Arial"/>
          <w:color w:val="808080" w:themeColor="background1" w:themeShade="80"/>
          <w:sz w:val="22"/>
          <w:szCs w:val="22"/>
        </w:rPr>
      </w:pPr>
      <w:r w:rsidRPr="00CD4FF7">
        <w:rPr>
          <w:rFonts w:ascii="Avenir Next" w:hAnsi="Avenir Next" w:cs="Arial"/>
          <w:b/>
          <w:bCs/>
          <w:color w:val="808080" w:themeColor="background1" w:themeShade="80"/>
          <w:sz w:val="22"/>
          <w:szCs w:val="22"/>
        </w:rPr>
        <w:t>Equal Payment to Creditors (Pari Passu):</w:t>
      </w:r>
      <w:r w:rsidRPr="00CD4FF7">
        <w:rPr>
          <w:rFonts w:ascii="Avenir Next" w:hAnsi="Avenir Next" w:cs="Arial"/>
          <w:color w:val="808080" w:themeColor="background1" w:themeShade="80"/>
          <w:sz w:val="22"/>
          <w:szCs w:val="22"/>
        </w:rPr>
        <w:t xml:space="preserve"> The notion that creditors should be paid on a proportionate basis out of available assets is termed by Wood as an ideological concept "which is nowhere </w:t>
      </w:r>
      <w:r w:rsidR="00AE0D60" w:rsidRPr="00CD4FF7">
        <w:rPr>
          <w:rFonts w:ascii="Avenir Next" w:hAnsi="Avenir Next" w:cs="Arial"/>
          <w:color w:val="808080" w:themeColor="background1" w:themeShade="80"/>
          <w:sz w:val="22"/>
          <w:szCs w:val="22"/>
        </w:rPr>
        <w:t>honored</w:t>
      </w:r>
      <w:r w:rsidRPr="00CD4FF7">
        <w:rPr>
          <w:rFonts w:ascii="Avenir Next" w:hAnsi="Avenir Next" w:cs="Arial"/>
          <w:color w:val="808080" w:themeColor="background1" w:themeShade="80"/>
          <w:sz w:val="22"/>
          <w:szCs w:val="22"/>
        </w:rPr>
        <w:t>." Priority creditors and secured creditors often deviate from this rule in most, if not all, states.</w:t>
      </w:r>
    </w:p>
    <w:p w14:paraId="65737824" w14:textId="77777777" w:rsidR="006C3276" w:rsidRDefault="006C3276" w:rsidP="00692852">
      <w:pPr>
        <w:jc w:val="both"/>
        <w:rPr>
          <w:rFonts w:ascii="Avenir Next" w:hAnsi="Avenir Next" w:cs="Arial"/>
          <w:color w:val="808080" w:themeColor="background1" w:themeShade="80"/>
          <w:sz w:val="22"/>
          <w:szCs w:val="22"/>
        </w:rPr>
      </w:pPr>
    </w:p>
    <w:p w14:paraId="107F93F9" w14:textId="2165BD57" w:rsidR="00F948E3" w:rsidRPr="00F948E3" w:rsidRDefault="00F948E3" w:rsidP="00F948E3">
      <w:pPr>
        <w:jc w:val="both"/>
        <w:rPr>
          <w:rFonts w:ascii="Avenir Next" w:hAnsi="Avenir Next" w:cs="Arial"/>
          <w:color w:val="808080" w:themeColor="background1" w:themeShade="80"/>
          <w:sz w:val="22"/>
          <w:szCs w:val="22"/>
        </w:rPr>
      </w:pPr>
      <w:r w:rsidRPr="00F948E3">
        <w:rPr>
          <w:rFonts w:ascii="Avenir Next" w:hAnsi="Avenir Next" w:cs="Arial"/>
          <w:color w:val="808080" w:themeColor="background1" w:themeShade="80"/>
          <w:sz w:val="22"/>
          <w:szCs w:val="22"/>
        </w:rPr>
        <w:t>Sealy and Hooley distinguish between the objectives of insolvency for individuals and corporations</w:t>
      </w:r>
      <w:r w:rsidR="007E1B9A">
        <w:rPr>
          <w:rFonts w:ascii="Avenir Next" w:hAnsi="Avenir Next" w:cs="Arial"/>
          <w:color w:val="808080" w:themeColor="background1" w:themeShade="80"/>
          <w:sz w:val="22"/>
          <w:szCs w:val="22"/>
        </w:rPr>
        <w:t xml:space="preserve"> as follows</w:t>
      </w:r>
      <w:r w:rsidRPr="00F948E3">
        <w:rPr>
          <w:rFonts w:ascii="Avenir Next" w:hAnsi="Avenir Next" w:cs="Arial"/>
          <w:color w:val="808080" w:themeColor="background1" w:themeShade="80"/>
          <w:sz w:val="22"/>
          <w:szCs w:val="22"/>
        </w:rPr>
        <w:t>:</w:t>
      </w:r>
    </w:p>
    <w:p w14:paraId="0CABB950" w14:textId="123CF607" w:rsidR="00F948E3" w:rsidRDefault="00F948E3" w:rsidP="00F948E3">
      <w:pPr>
        <w:tabs>
          <w:tab w:val="num" w:pos="720"/>
        </w:tabs>
        <w:jc w:val="both"/>
        <w:rPr>
          <w:rFonts w:ascii="Avenir Next" w:hAnsi="Avenir Next" w:cs="Arial"/>
          <w:color w:val="808080" w:themeColor="background1" w:themeShade="80"/>
          <w:sz w:val="22"/>
          <w:szCs w:val="22"/>
        </w:rPr>
      </w:pPr>
      <w:r w:rsidRPr="00F948E3">
        <w:rPr>
          <w:rFonts w:ascii="Avenir Next" w:hAnsi="Avenir Next" w:cs="Arial"/>
          <w:b/>
          <w:bCs/>
          <w:color w:val="808080" w:themeColor="background1" w:themeShade="80"/>
          <w:sz w:val="22"/>
          <w:szCs w:val="22"/>
        </w:rPr>
        <w:lastRenderedPageBreak/>
        <w:t xml:space="preserve">Objectives for Individuals: </w:t>
      </w:r>
      <w:r w:rsidRPr="000E34E9">
        <w:rPr>
          <w:rFonts w:ascii="Avenir Next" w:hAnsi="Avenir Next" w:cs="Arial"/>
          <w:color w:val="808080" w:themeColor="background1" w:themeShade="80"/>
          <w:sz w:val="22"/>
          <w:szCs w:val="22"/>
        </w:rPr>
        <w:t>(i)</w:t>
      </w:r>
      <w:r>
        <w:rPr>
          <w:rFonts w:ascii="Avenir Next" w:hAnsi="Avenir Next" w:cs="Arial"/>
          <w:b/>
          <w:bCs/>
          <w:color w:val="808080" w:themeColor="background1" w:themeShade="80"/>
          <w:sz w:val="22"/>
          <w:szCs w:val="22"/>
        </w:rPr>
        <w:t xml:space="preserve"> </w:t>
      </w:r>
      <w:r w:rsidRPr="00F948E3">
        <w:rPr>
          <w:rFonts w:ascii="Avenir Next" w:hAnsi="Avenir Next" w:cs="Arial"/>
          <w:color w:val="808080" w:themeColor="background1" w:themeShade="80"/>
          <w:sz w:val="22"/>
          <w:szCs w:val="22"/>
        </w:rPr>
        <w:t>Protect the debtor from harassment by creditors</w:t>
      </w:r>
      <w:r>
        <w:rPr>
          <w:rFonts w:ascii="Avenir Next" w:hAnsi="Avenir Next" w:cs="Arial"/>
          <w:color w:val="808080" w:themeColor="background1" w:themeShade="80"/>
          <w:sz w:val="22"/>
          <w:szCs w:val="22"/>
        </w:rPr>
        <w:t xml:space="preserve">; (ii)  </w:t>
      </w:r>
      <w:r w:rsidRPr="00F948E3">
        <w:rPr>
          <w:rFonts w:ascii="Avenir Next" w:hAnsi="Avenir Next" w:cs="Arial"/>
          <w:color w:val="808080" w:themeColor="background1" w:themeShade="80"/>
          <w:sz w:val="22"/>
          <w:szCs w:val="22"/>
        </w:rPr>
        <w:t>Enable the debtor to make a fresh start, particularly in cases where insolvency is not due to the debtor's actions</w:t>
      </w:r>
      <w:r>
        <w:rPr>
          <w:rFonts w:ascii="Avenir Next" w:hAnsi="Avenir Next" w:cs="Arial"/>
          <w:color w:val="808080" w:themeColor="background1" w:themeShade="80"/>
          <w:sz w:val="22"/>
          <w:szCs w:val="22"/>
        </w:rPr>
        <w:t xml:space="preserve">; and (iii) </w:t>
      </w:r>
      <w:r w:rsidRPr="00F948E3">
        <w:rPr>
          <w:rFonts w:ascii="Avenir Next" w:hAnsi="Avenir Next" w:cs="Arial"/>
          <w:color w:val="808080" w:themeColor="background1" w:themeShade="80"/>
          <w:sz w:val="22"/>
          <w:szCs w:val="22"/>
        </w:rPr>
        <w:t>Reduce indebtedness by making contributions from present and future income to the estate, considering personal circumstances.</w:t>
      </w:r>
    </w:p>
    <w:p w14:paraId="567A9DD3" w14:textId="77777777" w:rsidR="00F948E3" w:rsidRPr="00F948E3" w:rsidRDefault="00F948E3" w:rsidP="00F948E3">
      <w:pPr>
        <w:tabs>
          <w:tab w:val="num" w:pos="720"/>
        </w:tabs>
        <w:jc w:val="both"/>
        <w:rPr>
          <w:rFonts w:ascii="Avenir Next" w:hAnsi="Avenir Next" w:cs="Arial"/>
          <w:color w:val="808080" w:themeColor="background1" w:themeShade="80"/>
          <w:sz w:val="22"/>
          <w:szCs w:val="22"/>
        </w:rPr>
      </w:pPr>
    </w:p>
    <w:p w14:paraId="39B4CD6C" w14:textId="607FC2D3" w:rsidR="00F948E3" w:rsidRDefault="00F948E3" w:rsidP="00F948E3">
      <w:pPr>
        <w:tabs>
          <w:tab w:val="num" w:pos="720"/>
        </w:tabs>
        <w:jc w:val="both"/>
        <w:rPr>
          <w:rFonts w:ascii="Avenir Next" w:hAnsi="Avenir Next" w:cs="Arial"/>
          <w:color w:val="808080" w:themeColor="background1" w:themeShade="80"/>
          <w:sz w:val="22"/>
          <w:szCs w:val="22"/>
        </w:rPr>
      </w:pPr>
      <w:r w:rsidRPr="00F948E3">
        <w:rPr>
          <w:rFonts w:ascii="Avenir Next" w:hAnsi="Avenir Next" w:cs="Arial"/>
          <w:b/>
          <w:bCs/>
          <w:color w:val="808080" w:themeColor="background1" w:themeShade="80"/>
          <w:sz w:val="22"/>
          <w:szCs w:val="22"/>
        </w:rPr>
        <w:t xml:space="preserve">Objectives for Corporations: </w:t>
      </w:r>
      <w:r w:rsidRPr="000E34E9">
        <w:rPr>
          <w:rFonts w:ascii="Avenir Next" w:hAnsi="Avenir Next" w:cs="Arial"/>
          <w:color w:val="808080" w:themeColor="background1" w:themeShade="80"/>
          <w:sz w:val="22"/>
          <w:szCs w:val="22"/>
        </w:rPr>
        <w:t>(i)</w:t>
      </w:r>
      <w:r>
        <w:rPr>
          <w:rFonts w:ascii="Avenir Next" w:hAnsi="Avenir Next" w:cs="Arial"/>
          <w:b/>
          <w:bCs/>
          <w:color w:val="808080" w:themeColor="background1" w:themeShade="80"/>
          <w:sz w:val="22"/>
          <w:szCs w:val="22"/>
        </w:rPr>
        <w:t xml:space="preserve"> </w:t>
      </w:r>
      <w:r w:rsidRPr="00F948E3">
        <w:rPr>
          <w:rFonts w:ascii="Avenir Next" w:hAnsi="Avenir Next" w:cs="Arial"/>
          <w:color w:val="808080" w:themeColor="background1" w:themeShade="80"/>
          <w:sz w:val="22"/>
          <w:szCs w:val="22"/>
        </w:rPr>
        <w:t>Preserve the business or viable parts thereof, not necessarily the entire company</w:t>
      </w:r>
      <w:r>
        <w:rPr>
          <w:rFonts w:ascii="Avenir Next" w:hAnsi="Avenir Next" w:cs="Arial"/>
          <w:color w:val="808080" w:themeColor="background1" w:themeShade="80"/>
          <w:sz w:val="22"/>
          <w:szCs w:val="22"/>
        </w:rPr>
        <w:t xml:space="preserve">; and (ii) </w:t>
      </w:r>
      <w:r w:rsidRPr="00F948E3">
        <w:rPr>
          <w:rFonts w:ascii="Avenir Next" w:hAnsi="Avenir Next" w:cs="Arial"/>
          <w:color w:val="808080" w:themeColor="background1" w:themeShade="80"/>
          <w:sz w:val="22"/>
          <w:szCs w:val="22"/>
        </w:rPr>
        <w:t>Impose personal liability on responsible persons if personal liability has been abused.</w:t>
      </w:r>
    </w:p>
    <w:p w14:paraId="682DA29E" w14:textId="77777777" w:rsidR="00F948E3" w:rsidRPr="00F948E3" w:rsidRDefault="00F948E3" w:rsidP="00F948E3">
      <w:pPr>
        <w:tabs>
          <w:tab w:val="num" w:pos="720"/>
        </w:tabs>
        <w:jc w:val="both"/>
        <w:rPr>
          <w:rFonts w:ascii="Avenir Next" w:hAnsi="Avenir Next" w:cs="Arial"/>
          <w:color w:val="808080" w:themeColor="background1" w:themeShade="80"/>
          <w:sz w:val="22"/>
          <w:szCs w:val="22"/>
        </w:rPr>
      </w:pPr>
    </w:p>
    <w:p w14:paraId="2C16863E" w14:textId="31002412" w:rsidR="00F948E3" w:rsidRDefault="00F948E3" w:rsidP="00F948E3">
      <w:pPr>
        <w:tabs>
          <w:tab w:val="num" w:pos="720"/>
        </w:tabs>
        <w:jc w:val="both"/>
        <w:rPr>
          <w:rFonts w:ascii="Avenir Next" w:hAnsi="Avenir Next" w:cs="Arial"/>
          <w:color w:val="808080" w:themeColor="background1" w:themeShade="80"/>
          <w:sz w:val="22"/>
          <w:szCs w:val="22"/>
        </w:rPr>
      </w:pPr>
      <w:r w:rsidRPr="00F948E3">
        <w:rPr>
          <w:rFonts w:ascii="Avenir Next" w:hAnsi="Avenir Next" w:cs="Arial"/>
          <w:b/>
          <w:bCs/>
          <w:color w:val="808080" w:themeColor="background1" w:themeShade="80"/>
          <w:sz w:val="22"/>
          <w:szCs w:val="22"/>
        </w:rPr>
        <w:t>Common Principles for Both Individuals and Corporations:</w:t>
      </w:r>
      <w:r>
        <w:rPr>
          <w:rFonts w:ascii="Avenir Next" w:hAnsi="Avenir Next" w:cs="Arial"/>
          <w:b/>
          <w:bCs/>
          <w:color w:val="808080" w:themeColor="background1" w:themeShade="80"/>
          <w:sz w:val="22"/>
          <w:szCs w:val="22"/>
        </w:rPr>
        <w:t xml:space="preserve"> </w:t>
      </w:r>
      <w:r w:rsidRPr="000E34E9">
        <w:rPr>
          <w:rFonts w:ascii="Avenir Next" w:hAnsi="Avenir Next" w:cs="Arial"/>
          <w:color w:val="808080" w:themeColor="background1" w:themeShade="80"/>
          <w:sz w:val="22"/>
          <w:szCs w:val="22"/>
        </w:rPr>
        <w:t>(i)</w:t>
      </w:r>
      <w:r>
        <w:rPr>
          <w:rFonts w:ascii="Avenir Next" w:hAnsi="Avenir Next" w:cs="Arial"/>
          <w:b/>
          <w:bCs/>
          <w:color w:val="808080" w:themeColor="background1" w:themeShade="80"/>
          <w:sz w:val="22"/>
          <w:szCs w:val="22"/>
        </w:rPr>
        <w:t xml:space="preserve"> </w:t>
      </w:r>
      <w:r w:rsidRPr="00F948E3">
        <w:rPr>
          <w:rFonts w:ascii="Avenir Next" w:hAnsi="Avenir Next" w:cs="Arial"/>
          <w:color w:val="808080" w:themeColor="background1" w:themeShade="80"/>
          <w:sz w:val="22"/>
          <w:szCs w:val="22"/>
        </w:rPr>
        <w:t xml:space="preserve">Ensure </w:t>
      </w:r>
      <w:r w:rsidRPr="00F948E3">
        <w:rPr>
          <w:rFonts w:ascii="Avenir Next" w:hAnsi="Avenir Next" w:cs="Arial"/>
          <w:i/>
          <w:iCs/>
          <w:color w:val="808080" w:themeColor="background1" w:themeShade="80"/>
          <w:sz w:val="22"/>
          <w:szCs w:val="22"/>
        </w:rPr>
        <w:t>pari passu</w:t>
      </w:r>
      <w:r w:rsidRPr="00F948E3">
        <w:rPr>
          <w:rFonts w:ascii="Avenir Next" w:hAnsi="Avenir Next" w:cs="Arial"/>
          <w:color w:val="808080" w:themeColor="background1" w:themeShade="80"/>
          <w:sz w:val="22"/>
          <w:szCs w:val="22"/>
        </w:rPr>
        <w:t xml:space="preserve"> distribution as far as possible, with exceptions for creditors with priority</w:t>
      </w:r>
      <w:r>
        <w:rPr>
          <w:rFonts w:ascii="Avenir Next" w:hAnsi="Avenir Next" w:cs="Arial"/>
          <w:color w:val="808080" w:themeColor="background1" w:themeShade="80"/>
          <w:sz w:val="22"/>
          <w:szCs w:val="22"/>
        </w:rPr>
        <w:t xml:space="preserve">; (ii) </w:t>
      </w:r>
      <w:r w:rsidRPr="00F948E3">
        <w:rPr>
          <w:rFonts w:ascii="Avenir Next" w:hAnsi="Avenir Next" w:cs="Arial"/>
          <w:color w:val="808080" w:themeColor="background1" w:themeShade="80"/>
          <w:sz w:val="22"/>
          <w:szCs w:val="22"/>
        </w:rPr>
        <w:t>Ensure that secured creditors deal fairly with the debtor and other creditors</w:t>
      </w:r>
      <w:r>
        <w:rPr>
          <w:rFonts w:ascii="Avenir Next" w:hAnsi="Avenir Next" w:cs="Arial"/>
          <w:color w:val="808080" w:themeColor="background1" w:themeShade="80"/>
          <w:sz w:val="22"/>
          <w:szCs w:val="22"/>
        </w:rPr>
        <w:t xml:space="preserve">; (iii) </w:t>
      </w:r>
      <w:r w:rsidRPr="00F948E3">
        <w:rPr>
          <w:rFonts w:ascii="Avenir Next" w:hAnsi="Avenir Next" w:cs="Arial"/>
          <w:color w:val="808080" w:themeColor="background1" w:themeShade="80"/>
          <w:sz w:val="22"/>
          <w:szCs w:val="22"/>
        </w:rPr>
        <w:t>Investigate reasons for failure</w:t>
      </w:r>
      <w:r>
        <w:rPr>
          <w:rFonts w:ascii="Avenir Next" w:hAnsi="Avenir Next" w:cs="Arial"/>
          <w:color w:val="808080" w:themeColor="background1" w:themeShade="80"/>
          <w:sz w:val="22"/>
          <w:szCs w:val="22"/>
        </w:rPr>
        <w:t xml:space="preserve">; and (iv) </w:t>
      </w:r>
      <w:r w:rsidRPr="00F948E3">
        <w:rPr>
          <w:rFonts w:ascii="Avenir Next" w:hAnsi="Avenir Next" w:cs="Arial"/>
          <w:color w:val="808080" w:themeColor="background1" w:themeShade="80"/>
          <w:sz w:val="22"/>
          <w:szCs w:val="22"/>
        </w:rPr>
        <w:t>Reclaim voidable dispositions when the insolvent debtor improperly dealt with assets.</w:t>
      </w:r>
    </w:p>
    <w:p w14:paraId="2DDD7F0D" w14:textId="77777777" w:rsidR="00F948E3" w:rsidRPr="00F948E3" w:rsidRDefault="00F948E3" w:rsidP="00F948E3">
      <w:pPr>
        <w:tabs>
          <w:tab w:val="num" w:pos="720"/>
        </w:tabs>
        <w:jc w:val="both"/>
        <w:rPr>
          <w:rFonts w:ascii="Avenir Next" w:hAnsi="Avenir Next" w:cs="Arial"/>
          <w:color w:val="808080" w:themeColor="background1" w:themeShade="80"/>
          <w:sz w:val="22"/>
          <w:szCs w:val="22"/>
        </w:rPr>
      </w:pPr>
    </w:p>
    <w:p w14:paraId="7728C938" w14:textId="28595A39" w:rsidR="00F948E3" w:rsidRPr="00F948E3" w:rsidRDefault="00F948E3" w:rsidP="00F948E3">
      <w:pPr>
        <w:jc w:val="both"/>
        <w:rPr>
          <w:rFonts w:ascii="Avenir Next" w:hAnsi="Avenir Next" w:cs="Arial"/>
          <w:color w:val="808080" w:themeColor="background1" w:themeShade="80"/>
          <w:sz w:val="22"/>
          <w:szCs w:val="22"/>
        </w:rPr>
      </w:pPr>
      <w:r w:rsidRPr="00F948E3">
        <w:rPr>
          <w:rFonts w:ascii="Avenir Next" w:hAnsi="Avenir Next" w:cs="Arial"/>
          <w:color w:val="808080" w:themeColor="background1" w:themeShade="80"/>
          <w:sz w:val="22"/>
          <w:szCs w:val="22"/>
        </w:rPr>
        <w:t>Despite some overlapping topics, there are pertinent differences between individual and corporate insolvency. For instance, the notion of exempt or excluded assets, allowing insolvent individuals to retain certain assets for personal maintenance, applies</w:t>
      </w:r>
      <w:r w:rsidR="007E1B9A">
        <w:rPr>
          <w:rFonts w:ascii="Avenir Next" w:hAnsi="Avenir Next" w:cs="Arial"/>
          <w:color w:val="808080" w:themeColor="background1" w:themeShade="80"/>
          <w:sz w:val="22"/>
          <w:szCs w:val="22"/>
        </w:rPr>
        <w:t xml:space="preserve">, in </w:t>
      </w:r>
      <w:r w:rsidR="00060847">
        <w:rPr>
          <w:rFonts w:ascii="Avenir Next" w:hAnsi="Avenir Next" w:cs="Arial"/>
          <w:color w:val="808080" w:themeColor="background1" w:themeShade="80"/>
          <w:sz w:val="22"/>
          <w:szCs w:val="22"/>
        </w:rPr>
        <w:t>the autho</w:t>
      </w:r>
      <w:r w:rsidR="002909C7">
        <w:rPr>
          <w:rFonts w:ascii="Avenir Next" w:hAnsi="Avenir Next" w:cs="Arial"/>
          <w:color w:val="808080" w:themeColor="background1" w:themeShade="80"/>
          <w:sz w:val="22"/>
          <w:szCs w:val="22"/>
        </w:rPr>
        <w:t>r’s opinion</w:t>
      </w:r>
      <w:r w:rsidR="007E1B9A">
        <w:rPr>
          <w:rFonts w:ascii="Avenir Next" w:hAnsi="Avenir Next" w:cs="Arial"/>
          <w:color w:val="808080" w:themeColor="background1" w:themeShade="80"/>
          <w:sz w:val="22"/>
          <w:szCs w:val="22"/>
        </w:rPr>
        <w:t>,</w:t>
      </w:r>
      <w:r w:rsidRPr="00F948E3">
        <w:rPr>
          <w:rFonts w:ascii="Avenir Next" w:hAnsi="Avenir Next" w:cs="Arial"/>
          <w:color w:val="808080" w:themeColor="background1" w:themeShade="80"/>
          <w:sz w:val="22"/>
          <w:szCs w:val="22"/>
        </w:rPr>
        <w:t xml:space="preserve"> only to individuals</w:t>
      </w:r>
      <w:r w:rsidR="002909C7">
        <w:rPr>
          <w:rFonts w:ascii="Avenir Next" w:hAnsi="Avenir Next" w:cs="Arial"/>
          <w:color w:val="808080" w:themeColor="background1" w:themeShade="80"/>
          <w:sz w:val="22"/>
          <w:szCs w:val="22"/>
        </w:rPr>
        <w:t xml:space="preserve"> (although</w:t>
      </w:r>
      <w:r w:rsidR="00C45CD7">
        <w:rPr>
          <w:rFonts w:ascii="Avenir Next" w:hAnsi="Avenir Next" w:cs="Arial"/>
          <w:color w:val="808080" w:themeColor="background1" w:themeShade="80"/>
          <w:sz w:val="22"/>
          <w:szCs w:val="22"/>
        </w:rPr>
        <w:t>, as mentioned above,</w:t>
      </w:r>
      <w:r w:rsidR="002909C7">
        <w:rPr>
          <w:rFonts w:ascii="Avenir Next" w:hAnsi="Avenir Next" w:cs="Arial"/>
          <w:color w:val="808080" w:themeColor="background1" w:themeShade="80"/>
          <w:sz w:val="22"/>
          <w:szCs w:val="22"/>
        </w:rPr>
        <w:t xml:space="preserve"> </w:t>
      </w:r>
      <w:r w:rsidR="00C45CD7">
        <w:rPr>
          <w:rFonts w:ascii="Avenir Next" w:hAnsi="Avenir Next" w:cs="Arial"/>
          <w:color w:val="808080" w:themeColor="background1" w:themeShade="80"/>
          <w:sz w:val="22"/>
          <w:szCs w:val="22"/>
        </w:rPr>
        <w:t xml:space="preserve">at least </w:t>
      </w:r>
      <w:r w:rsidR="002909C7">
        <w:rPr>
          <w:rFonts w:ascii="Avenir Next" w:hAnsi="Avenir Next" w:cs="Arial"/>
          <w:color w:val="808080" w:themeColor="background1" w:themeShade="80"/>
          <w:sz w:val="22"/>
          <w:szCs w:val="22"/>
        </w:rPr>
        <w:t>under Brazilian law</w:t>
      </w:r>
      <w:r w:rsidR="00C45CD7">
        <w:rPr>
          <w:rFonts w:ascii="Avenir Next" w:hAnsi="Avenir Next" w:cs="Arial"/>
          <w:color w:val="808080" w:themeColor="background1" w:themeShade="80"/>
          <w:sz w:val="22"/>
          <w:szCs w:val="22"/>
        </w:rPr>
        <w:t>,</w:t>
      </w:r>
      <w:r w:rsidR="002909C7">
        <w:rPr>
          <w:rFonts w:ascii="Avenir Next" w:hAnsi="Avenir Next" w:cs="Arial"/>
          <w:color w:val="808080" w:themeColor="background1" w:themeShade="80"/>
          <w:sz w:val="22"/>
          <w:szCs w:val="22"/>
        </w:rPr>
        <w:t xml:space="preserve"> assets </w:t>
      </w:r>
      <w:r w:rsidR="00C45CD7">
        <w:rPr>
          <w:rFonts w:ascii="Avenir Next" w:hAnsi="Avenir Next" w:cs="Arial"/>
          <w:color w:val="808080" w:themeColor="background1" w:themeShade="80"/>
          <w:sz w:val="22"/>
          <w:szCs w:val="22"/>
        </w:rPr>
        <w:t>essential to the debtor’s activities may be exempted)</w:t>
      </w:r>
      <w:r w:rsidRPr="00F948E3">
        <w:rPr>
          <w:rFonts w:ascii="Avenir Next" w:hAnsi="Avenir Next" w:cs="Arial"/>
          <w:color w:val="808080" w:themeColor="background1" w:themeShade="80"/>
          <w:sz w:val="22"/>
          <w:szCs w:val="22"/>
        </w:rPr>
        <w:t>.</w:t>
      </w:r>
    </w:p>
    <w:p w14:paraId="3154B6F7" w14:textId="77777777" w:rsidR="00D57B41" w:rsidRPr="001F5204" w:rsidRDefault="00D57B41"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262F429A" w14:textId="721B534D" w:rsidR="00C952A2" w:rsidRDefault="00F91979" w:rsidP="00692852">
      <w:pPr>
        <w:jc w:val="both"/>
        <w:rPr>
          <w:rFonts w:ascii="Avenir Next" w:hAnsi="Avenir Next" w:cs="Arial"/>
          <w:color w:val="808080" w:themeColor="background1" w:themeShade="80"/>
          <w:sz w:val="22"/>
          <w:szCs w:val="22"/>
        </w:rPr>
      </w:pPr>
      <w:r w:rsidRPr="00F91979">
        <w:rPr>
          <w:rFonts w:ascii="Avenir Next" w:hAnsi="Avenir Next" w:cs="Arial"/>
          <w:color w:val="808080" w:themeColor="background1" w:themeShade="80"/>
          <w:sz w:val="22"/>
          <w:szCs w:val="22"/>
        </w:rPr>
        <w:t xml:space="preserve">The notion of international insolvency law is subject to various perspectives. While there is no universally applicable set of insolvency rules globally, it is acknowledged that all states with developed legal systems have some form of bankruptcy or insolvency system, also known as a collective debt collecting procedure. Differences exist in approaches, policies, and both substantive and procedural rules among these systems. Scholars, legislatures, international organizations like UNCITRAL and the World Bank, and courts are consistently working to develop statutory </w:t>
      </w:r>
      <w:r>
        <w:rPr>
          <w:rFonts w:ascii="Avenir Next" w:hAnsi="Avenir Next" w:cs="Arial"/>
          <w:color w:val="808080" w:themeColor="background1" w:themeShade="80"/>
          <w:sz w:val="22"/>
          <w:szCs w:val="22"/>
        </w:rPr>
        <w:t xml:space="preserve">dispensations </w:t>
      </w:r>
      <w:r w:rsidRPr="00F91979">
        <w:rPr>
          <w:rFonts w:ascii="Avenir Next" w:hAnsi="Avenir Next" w:cs="Arial"/>
          <w:color w:val="808080" w:themeColor="background1" w:themeShade="80"/>
          <w:sz w:val="22"/>
          <w:szCs w:val="22"/>
        </w:rPr>
        <w:t>and solutions to address insolvency issues on a transnational level amid these variations.</w:t>
      </w:r>
    </w:p>
    <w:p w14:paraId="78607341" w14:textId="77777777" w:rsidR="00295A91" w:rsidRDefault="00295A91" w:rsidP="00692852">
      <w:pPr>
        <w:jc w:val="both"/>
        <w:rPr>
          <w:rFonts w:ascii="Avenir Next" w:hAnsi="Avenir Next" w:cs="Arial"/>
          <w:color w:val="808080" w:themeColor="background1" w:themeShade="80"/>
          <w:sz w:val="22"/>
          <w:szCs w:val="22"/>
        </w:rPr>
      </w:pPr>
    </w:p>
    <w:p w14:paraId="6F67AA9E" w14:textId="29F003A6" w:rsidR="00295A91" w:rsidRPr="00295A91" w:rsidRDefault="00295A91" w:rsidP="00295A91">
      <w:pPr>
        <w:jc w:val="both"/>
        <w:rPr>
          <w:rFonts w:ascii="Avenir Next" w:hAnsi="Avenir Next" w:cs="Arial"/>
          <w:color w:val="808080" w:themeColor="background1" w:themeShade="80"/>
          <w:sz w:val="22"/>
          <w:szCs w:val="22"/>
        </w:rPr>
      </w:pPr>
      <w:r w:rsidRPr="00295A91">
        <w:rPr>
          <w:rFonts w:ascii="Avenir Next" w:hAnsi="Avenir Next" w:cs="Arial"/>
          <w:color w:val="808080" w:themeColor="background1" w:themeShade="80"/>
          <w:sz w:val="22"/>
          <w:szCs w:val="22"/>
        </w:rPr>
        <w:t xml:space="preserve">Various methods are available for handling the assets of insolvent estates located in foreign states where insolvency proceedings have not yet begun. Some jurisdictions have statutory provisions addressing these situations, while others </w:t>
      </w:r>
      <w:r>
        <w:rPr>
          <w:rFonts w:ascii="Avenir Next" w:hAnsi="Avenir Next" w:cs="Arial"/>
          <w:color w:val="808080" w:themeColor="background1" w:themeShade="80"/>
          <w:sz w:val="22"/>
          <w:szCs w:val="22"/>
        </w:rPr>
        <w:t xml:space="preserve">don’t have </w:t>
      </w:r>
      <w:r w:rsidR="00C243E3">
        <w:rPr>
          <w:rFonts w:ascii="Avenir Next" w:hAnsi="Avenir Next" w:cs="Arial"/>
          <w:color w:val="808080" w:themeColor="background1" w:themeShade="80"/>
          <w:sz w:val="22"/>
          <w:szCs w:val="22"/>
        </w:rPr>
        <w:t xml:space="preserve">statutory dispensation and </w:t>
      </w:r>
      <w:r w:rsidRPr="00295A91">
        <w:rPr>
          <w:rFonts w:ascii="Avenir Next" w:hAnsi="Avenir Next" w:cs="Arial"/>
          <w:color w:val="808080" w:themeColor="background1" w:themeShade="80"/>
          <w:sz w:val="22"/>
          <w:szCs w:val="22"/>
        </w:rPr>
        <w:t>rely on ad hoc approaches where local courts may grant orders allowing foreign insolvency representatives to manage assets. In common law states, courts can be approached for assistance even in the absence of specific statutory rules, addressing gaps or lacunae in legislative provisions. Private international law rules, treaties, or conventions may also come into play to regulate the treatment of such situations.</w:t>
      </w:r>
    </w:p>
    <w:p w14:paraId="7709633C" w14:textId="77777777" w:rsidR="00295A91" w:rsidRPr="00295A91" w:rsidRDefault="00295A91" w:rsidP="00295A91">
      <w:pPr>
        <w:jc w:val="both"/>
        <w:rPr>
          <w:rFonts w:ascii="Avenir Next" w:hAnsi="Avenir Next" w:cs="Arial"/>
          <w:vanish/>
          <w:color w:val="808080" w:themeColor="background1" w:themeShade="80"/>
          <w:sz w:val="22"/>
          <w:szCs w:val="22"/>
        </w:rPr>
      </w:pPr>
      <w:r w:rsidRPr="00295A91">
        <w:rPr>
          <w:rFonts w:ascii="Avenir Next" w:hAnsi="Avenir Next" w:cs="Arial"/>
          <w:vanish/>
          <w:color w:val="808080" w:themeColor="background1" w:themeShade="80"/>
          <w:sz w:val="22"/>
          <w:szCs w:val="22"/>
        </w:rPr>
        <w:t>Parte superior do formulário</w:t>
      </w:r>
    </w:p>
    <w:p w14:paraId="56AB486E" w14:textId="77777777" w:rsidR="00295A91" w:rsidRPr="00295A91" w:rsidRDefault="00295A91" w:rsidP="00692852">
      <w:pPr>
        <w:jc w:val="both"/>
        <w:rPr>
          <w:rFonts w:ascii="Avenir Next" w:hAnsi="Avenir Next" w:cs="Arial"/>
          <w:color w:val="808080" w:themeColor="background1" w:themeShade="80"/>
          <w:sz w:val="22"/>
          <w:szCs w:val="22"/>
        </w:rPr>
      </w:pPr>
    </w:p>
    <w:p w14:paraId="2CC9B633" w14:textId="77777777" w:rsidR="00F91979" w:rsidRPr="004216EA" w:rsidRDefault="00F91979"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620AE580" w14:textId="5816C5A6" w:rsidR="000D67CB" w:rsidRDefault="00054DB2" w:rsidP="006A44B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are </w:t>
      </w:r>
      <w:r w:rsidRPr="00054DB2">
        <w:rPr>
          <w:rFonts w:ascii="Avenir Next" w:hAnsi="Avenir Next" w:cs="Arial"/>
          <w:color w:val="808080" w:themeColor="background1" w:themeShade="80"/>
          <w:sz w:val="22"/>
          <w:szCs w:val="22"/>
        </w:rPr>
        <w:t xml:space="preserve">multilateral approaches to regulating international insolvencies through binding "hard law" or influencing regulations via "soft law." </w:t>
      </w:r>
      <w:r w:rsidR="005B7F92">
        <w:rPr>
          <w:rFonts w:ascii="Avenir Next" w:hAnsi="Avenir Next" w:cs="Arial"/>
          <w:color w:val="808080" w:themeColor="background1" w:themeShade="80"/>
          <w:sz w:val="22"/>
          <w:szCs w:val="22"/>
        </w:rPr>
        <w:t xml:space="preserve">“International law” is usually categorized as </w:t>
      </w:r>
      <w:r w:rsidRPr="00054DB2">
        <w:rPr>
          <w:rFonts w:ascii="Avenir Next" w:hAnsi="Avenir Next" w:cs="Arial"/>
          <w:color w:val="808080" w:themeColor="background1" w:themeShade="80"/>
          <w:sz w:val="22"/>
          <w:szCs w:val="22"/>
        </w:rPr>
        <w:t xml:space="preserve">public </w:t>
      </w:r>
      <w:r w:rsidRPr="00054DB2">
        <w:rPr>
          <w:rFonts w:ascii="Avenir Next" w:hAnsi="Avenir Next" w:cs="Arial"/>
          <w:color w:val="808080" w:themeColor="background1" w:themeShade="80"/>
          <w:sz w:val="22"/>
          <w:szCs w:val="22"/>
        </w:rPr>
        <w:lastRenderedPageBreak/>
        <w:t>international law</w:t>
      </w:r>
      <w:r w:rsidR="00A64FFD">
        <w:rPr>
          <w:rFonts w:ascii="Avenir Next" w:hAnsi="Avenir Next" w:cs="Arial"/>
          <w:color w:val="808080" w:themeColor="background1" w:themeShade="80"/>
          <w:sz w:val="22"/>
          <w:szCs w:val="22"/>
        </w:rPr>
        <w:t>, which governs</w:t>
      </w:r>
      <w:r w:rsidRPr="00054DB2">
        <w:rPr>
          <w:rFonts w:ascii="Avenir Next" w:hAnsi="Avenir Next" w:cs="Arial"/>
          <w:color w:val="808080" w:themeColor="background1" w:themeShade="80"/>
          <w:sz w:val="22"/>
          <w:szCs w:val="22"/>
        </w:rPr>
        <w:t xml:space="preserve"> states</w:t>
      </w:r>
      <w:r w:rsidR="00A64FFD">
        <w:rPr>
          <w:rFonts w:ascii="Avenir Next" w:hAnsi="Avenir Next" w:cs="Arial"/>
          <w:color w:val="808080" w:themeColor="background1" w:themeShade="80"/>
          <w:sz w:val="22"/>
          <w:szCs w:val="22"/>
        </w:rPr>
        <w:t xml:space="preserve"> (if </w:t>
      </w:r>
      <w:r w:rsidR="003456BD">
        <w:rPr>
          <w:rFonts w:ascii="Avenir Next" w:hAnsi="Avenir Next" w:cs="Arial"/>
          <w:color w:val="808080" w:themeColor="background1" w:themeShade="80"/>
          <w:sz w:val="22"/>
          <w:szCs w:val="22"/>
        </w:rPr>
        <w:t>adopted</w:t>
      </w:r>
      <w:r w:rsidR="00A64FFD">
        <w:rPr>
          <w:rFonts w:ascii="Avenir Next" w:hAnsi="Avenir Next" w:cs="Arial"/>
          <w:color w:val="808080" w:themeColor="background1" w:themeShade="80"/>
          <w:sz w:val="22"/>
          <w:szCs w:val="22"/>
        </w:rPr>
        <w:t xml:space="preserve"> domestically),</w:t>
      </w:r>
      <w:r w:rsidRPr="00054DB2">
        <w:rPr>
          <w:rFonts w:ascii="Avenir Next" w:hAnsi="Avenir Next" w:cs="Arial"/>
          <w:color w:val="808080" w:themeColor="background1" w:themeShade="80"/>
          <w:sz w:val="22"/>
          <w:szCs w:val="22"/>
        </w:rPr>
        <w:t xml:space="preserve"> and private international law</w:t>
      </w:r>
      <w:r w:rsidR="003456BD">
        <w:rPr>
          <w:rFonts w:ascii="Avenir Next" w:hAnsi="Avenir Next" w:cs="Arial"/>
          <w:color w:val="808080" w:themeColor="background1" w:themeShade="80"/>
          <w:sz w:val="22"/>
          <w:szCs w:val="22"/>
        </w:rPr>
        <w:t xml:space="preserve"> (domestic law)</w:t>
      </w:r>
      <w:r w:rsidR="00A64FFD">
        <w:rPr>
          <w:rFonts w:ascii="Avenir Next" w:hAnsi="Avenir Next" w:cs="Arial"/>
          <w:color w:val="808080" w:themeColor="background1" w:themeShade="80"/>
          <w:sz w:val="22"/>
          <w:szCs w:val="22"/>
        </w:rPr>
        <w:t>, which</w:t>
      </w:r>
      <w:r w:rsidRPr="00054DB2">
        <w:rPr>
          <w:rFonts w:ascii="Avenir Next" w:hAnsi="Avenir Next" w:cs="Arial"/>
          <w:color w:val="808080" w:themeColor="background1" w:themeShade="80"/>
          <w:sz w:val="22"/>
          <w:szCs w:val="22"/>
        </w:rPr>
        <w:t xml:space="preserve"> govern</w:t>
      </w:r>
      <w:r w:rsidR="00A64FFD">
        <w:rPr>
          <w:rFonts w:ascii="Avenir Next" w:hAnsi="Avenir Next" w:cs="Arial"/>
          <w:color w:val="808080" w:themeColor="background1" w:themeShade="80"/>
          <w:sz w:val="22"/>
          <w:szCs w:val="22"/>
        </w:rPr>
        <w:t>s</w:t>
      </w:r>
      <w:r w:rsidRPr="00054DB2">
        <w:rPr>
          <w:rFonts w:ascii="Avenir Next" w:hAnsi="Avenir Next" w:cs="Arial"/>
          <w:color w:val="808080" w:themeColor="background1" w:themeShade="80"/>
          <w:sz w:val="22"/>
          <w:szCs w:val="22"/>
        </w:rPr>
        <w:t xml:space="preserve"> parties. In the realm of international insolvency, a subset of international trade law, states may adopt treaties or conventions into domestic laws to address cross-border insolvency issues. In the absence of such agreements, a state's private international law principles </w:t>
      </w:r>
      <w:r w:rsidR="009C729F">
        <w:rPr>
          <w:rFonts w:ascii="Avenir Next" w:hAnsi="Avenir Next" w:cs="Arial"/>
          <w:color w:val="808080" w:themeColor="background1" w:themeShade="80"/>
          <w:sz w:val="22"/>
          <w:szCs w:val="22"/>
        </w:rPr>
        <w:t xml:space="preserve">may </w:t>
      </w:r>
      <w:r w:rsidRPr="00054DB2">
        <w:rPr>
          <w:rFonts w:ascii="Avenir Next" w:hAnsi="Avenir Next" w:cs="Arial"/>
          <w:color w:val="808080" w:themeColor="background1" w:themeShade="80"/>
          <w:sz w:val="22"/>
          <w:szCs w:val="22"/>
        </w:rPr>
        <w:t xml:space="preserve">determine forum, recognition, enforcement, and the choice of insolvency law. </w:t>
      </w:r>
    </w:p>
    <w:p w14:paraId="1AE429BE" w14:textId="77777777" w:rsidR="000D67CB" w:rsidRDefault="000D67CB" w:rsidP="006A44B2">
      <w:pPr>
        <w:jc w:val="both"/>
        <w:rPr>
          <w:rFonts w:ascii="Avenir Next" w:hAnsi="Avenir Next" w:cs="Arial"/>
          <w:color w:val="808080" w:themeColor="background1" w:themeShade="80"/>
          <w:sz w:val="22"/>
          <w:szCs w:val="22"/>
        </w:rPr>
      </w:pPr>
    </w:p>
    <w:p w14:paraId="538C995C" w14:textId="77777777" w:rsidR="00B02E3B" w:rsidRPr="00B02E3B" w:rsidRDefault="00054DB2" w:rsidP="00B02E3B">
      <w:pPr>
        <w:jc w:val="both"/>
        <w:rPr>
          <w:rFonts w:ascii="Avenir Next" w:hAnsi="Avenir Next" w:cs="Arial"/>
          <w:color w:val="808080" w:themeColor="background1" w:themeShade="80"/>
          <w:sz w:val="22"/>
          <w:szCs w:val="22"/>
        </w:rPr>
      </w:pPr>
      <w:r w:rsidRPr="00054DB2">
        <w:rPr>
          <w:rFonts w:ascii="Avenir Next" w:hAnsi="Avenir Next" w:cs="Arial"/>
          <w:color w:val="808080" w:themeColor="background1" w:themeShade="80"/>
          <w:sz w:val="22"/>
          <w:szCs w:val="22"/>
        </w:rPr>
        <w:t>Public international instruments like treaties and conventions, once ratified by states, become part of their domestic "</w:t>
      </w:r>
      <w:r w:rsidRPr="00010465">
        <w:rPr>
          <w:rFonts w:ascii="Avenir Next" w:hAnsi="Avenir Next" w:cs="Arial"/>
          <w:b/>
          <w:bCs/>
          <w:color w:val="808080" w:themeColor="background1" w:themeShade="80"/>
          <w:sz w:val="22"/>
          <w:szCs w:val="22"/>
        </w:rPr>
        <w:t>hard law</w:t>
      </w:r>
      <w:r w:rsidRPr="00054DB2">
        <w:rPr>
          <w:rFonts w:ascii="Avenir Next" w:hAnsi="Avenir Next" w:cs="Arial"/>
          <w:color w:val="808080" w:themeColor="background1" w:themeShade="80"/>
          <w:sz w:val="22"/>
          <w:szCs w:val="22"/>
        </w:rPr>
        <w:t>" on insolvency, enforceable in courts.</w:t>
      </w:r>
      <w:r w:rsidR="00B02E3B">
        <w:rPr>
          <w:rFonts w:ascii="Avenir Next" w:hAnsi="Avenir Next" w:cs="Arial"/>
          <w:color w:val="808080" w:themeColor="background1" w:themeShade="80"/>
          <w:sz w:val="22"/>
          <w:szCs w:val="22"/>
        </w:rPr>
        <w:t xml:space="preserve"> </w:t>
      </w:r>
      <w:r w:rsidR="00B02E3B" w:rsidRPr="00B02E3B">
        <w:rPr>
          <w:rFonts w:ascii="Avenir Next" w:hAnsi="Avenir Next" w:cs="Arial"/>
          <w:color w:val="808080" w:themeColor="background1" w:themeShade="80"/>
          <w:sz w:val="22"/>
          <w:szCs w:val="22"/>
        </w:rPr>
        <w:t>In Europe, bilateral international insolvency conventions emerged in the 13th and 14th centuries, initially addressing absconding debtors and later expanding to asset gathering. From the 19th century onwards, more modern forms of bilateral treaties focused on jurisdiction, recognition, and enforcement related to bankruptcy, winding up, and arrangements. The Nordic Convention (1933) from the Scandinavian region is a notable multilateral treaty. However, broader European efforts at achieving multilateral international insolvency conventions faced years of unsuccessful attempts.</w:t>
      </w:r>
    </w:p>
    <w:p w14:paraId="53E43D81" w14:textId="574FD604" w:rsidR="00B02E3B" w:rsidRPr="00B02E3B" w:rsidRDefault="00B02E3B" w:rsidP="00B02E3B">
      <w:pPr>
        <w:jc w:val="both"/>
        <w:rPr>
          <w:rFonts w:ascii="Avenir Next" w:hAnsi="Avenir Next" w:cs="Arial"/>
          <w:color w:val="808080" w:themeColor="background1" w:themeShade="80"/>
          <w:sz w:val="22"/>
          <w:szCs w:val="22"/>
        </w:rPr>
      </w:pPr>
      <w:r w:rsidRPr="00B02E3B">
        <w:rPr>
          <w:rFonts w:ascii="Avenir Next" w:hAnsi="Avenir Next" w:cs="Arial"/>
          <w:color w:val="808080" w:themeColor="background1" w:themeShade="80"/>
          <w:sz w:val="22"/>
          <w:szCs w:val="22"/>
        </w:rPr>
        <w:t xml:space="preserve">In 1990, the Council of Europe, with 47 member countries, concluded the Istanbul Convention on Certain International Aspects of Bankruptcy. While signed by eight member states, it did not enter into force but influenced the European Union's response to international insolvency issues among its member states. The European Union found success through the European Insolvency Regulation (EIR) in 2000, influencing broader multilateral developments. The current multilateral instrument within the EU is Regulation (EU) 2015/848 of the European Parliament and Council, known as the EIR Recast. The EIR Recast ceased to apply in the UK after its exit from the EU on December 31, 2020, and recent amendments were made in December 2021, </w:t>
      </w:r>
      <w:r w:rsidR="00010465" w:rsidRPr="00010465">
        <w:rPr>
          <w:rFonts w:ascii="Avenir Next" w:hAnsi="Avenir Next" w:cs="Arial"/>
          <w:color w:val="808080" w:themeColor="background1" w:themeShade="80"/>
          <w:sz w:val="22"/>
          <w:szCs w:val="22"/>
        </w:rPr>
        <w:t>which became effective for most member States in January 2022.</w:t>
      </w:r>
    </w:p>
    <w:p w14:paraId="76186AF5" w14:textId="77777777" w:rsidR="00B02E3B" w:rsidRDefault="00B02E3B" w:rsidP="00B02E3B">
      <w:pPr>
        <w:jc w:val="both"/>
        <w:rPr>
          <w:rFonts w:ascii="Avenir Next" w:hAnsi="Avenir Next" w:cs="Arial"/>
          <w:color w:val="808080" w:themeColor="background1" w:themeShade="80"/>
          <w:sz w:val="22"/>
          <w:szCs w:val="22"/>
        </w:rPr>
      </w:pPr>
      <w:r w:rsidRPr="00B02E3B">
        <w:rPr>
          <w:rFonts w:ascii="Avenir Next" w:hAnsi="Avenir Next" w:cs="Arial"/>
          <w:vanish/>
          <w:color w:val="808080" w:themeColor="background1" w:themeShade="80"/>
          <w:sz w:val="22"/>
          <w:szCs w:val="22"/>
        </w:rPr>
        <w:t>Parte superior do formulário</w:t>
      </w:r>
    </w:p>
    <w:p w14:paraId="1D63A3E4" w14:textId="77777777" w:rsidR="00505202" w:rsidRPr="00505202" w:rsidRDefault="00505202" w:rsidP="00505202">
      <w:pPr>
        <w:jc w:val="both"/>
        <w:rPr>
          <w:rFonts w:ascii="Avenir Next" w:hAnsi="Avenir Next" w:cs="Arial"/>
          <w:color w:val="808080" w:themeColor="background1" w:themeShade="80"/>
          <w:sz w:val="22"/>
          <w:szCs w:val="22"/>
        </w:rPr>
      </w:pPr>
      <w:r w:rsidRPr="00505202">
        <w:rPr>
          <w:rFonts w:ascii="Avenir Next" w:hAnsi="Avenir Next" w:cs="Arial"/>
          <w:color w:val="808080" w:themeColor="background1" w:themeShade="80"/>
          <w:sz w:val="22"/>
          <w:szCs w:val="22"/>
        </w:rPr>
        <w:t>The pursuit of "hard law" solutions to international insolvency law issues has shown variable success, but more effective outcomes have been achieved through the use of "</w:t>
      </w:r>
      <w:r w:rsidRPr="00505202">
        <w:rPr>
          <w:rFonts w:ascii="Avenir Next" w:hAnsi="Avenir Next" w:cs="Arial"/>
          <w:b/>
          <w:bCs/>
          <w:color w:val="808080" w:themeColor="background1" w:themeShade="80"/>
          <w:sz w:val="22"/>
          <w:szCs w:val="22"/>
        </w:rPr>
        <w:t>soft law</w:t>
      </w:r>
      <w:r w:rsidRPr="00505202">
        <w:rPr>
          <w:rFonts w:ascii="Avenir Next" w:hAnsi="Avenir Next" w:cs="Arial"/>
          <w:color w:val="808080" w:themeColor="background1" w:themeShade="80"/>
          <w:sz w:val="22"/>
          <w:szCs w:val="22"/>
        </w:rPr>
        <w:t>" options. Multilateral organizations, distinct from states or governments working on treaties, have been instrumental in adopting this approach in recent decades.</w:t>
      </w:r>
    </w:p>
    <w:p w14:paraId="12931AC7" w14:textId="77777777" w:rsidR="00505202" w:rsidRPr="00505202" w:rsidRDefault="00505202" w:rsidP="00505202">
      <w:pPr>
        <w:jc w:val="both"/>
        <w:rPr>
          <w:rFonts w:ascii="Avenir Next" w:hAnsi="Avenir Next" w:cs="Arial"/>
          <w:color w:val="808080" w:themeColor="background1" w:themeShade="80"/>
          <w:sz w:val="22"/>
          <w:szCs w:val="22"/>
        </w:rPr>
      </w:pPr>
      <w:r w:rsidRPr="00505202">
        <w:rPr>
          <w:rFonts w:ascii="Avenir Next" w:hAnsi="Avenir Next" w:cs="Arial"/>
          <w:color w:val="808080" w:themeColor="background1" w:themeShade="80"/>
          <w:sz w:val="22"/>
          <w:szCs w:val="22"/>
        </w:rPr>
        <w:t>The Hague Conference on Private International Law, established in the 19th century for the progressive unification of private international law, adopted a Model Treaty on Bankruptcy in 1925, influencing international discussions on regulating international insolvency. While not ratified, this Model Treaty contributed to deliberations on jurisdiction allocation for corporations. The Hague Conference now collaborates with UNIDROIT and UNCITRAL, such as in the preparation of the UNCITRAL Legislative Guide on Insolvency Law (2004).</w:t>
      </w:r>
    </w:p>
    <w:p w14:paraId="3076F991" w14:textId="77777777" w:rsidR="00505202" w:rsidRPr="00505202" w:rsidRDefault="00505202" w:rsidP="00505202">
      <w:pPr>
        <w:jc w:val="both"/>
        <w:rPr>
          <w:rFonts w:ascii="Avenir Next" w:hAnsi="Avenir Next" w:cs="Arial"/>
          <w:color w:val="808080" w:themeColor="background1" w:themeShade="80"/>
          <w:sz w:val="22"/>
          <w:szCs w:val="22"/>
        </w:rPr>
      </w:pPr>
      <w:r w:rsidRPr="00505202">
        <w:rPr>
          <w:rFonts w:ascii="Avenir Next" w:hAnsi="Avenir Next" w:cs="Arial"/>
          <w:color w:val="808080" w:themeColor="background1" w:themeShade="80"/>
          <w:sz w:val="22"/>
          <w:szCs w:val="22"/>
        </w:rPr>
        <w:t>UNCITRAL, in the mid-1990s, successfully employed a "soft law" approach by developing the Model Law on Cross-border Insolvency (MLCBI). Rather than a treaty or convention, this initiative took the form of a Model Law—draft legislation recommended for adoption by member states, with or without modification. The MLCBI has gained significant momentum as an influential response to international insolvency law, with many states adopting it due to its widespread applicability.</w:t>
      </w:r>
    </w:p>
    <w:p w14:paraId="50F8AF1B" w14:textId="77777777" w:rsidR="00505202" w:rsidRPr="00B02E3B" w:rsidRDefault="00505202" w:rsidP="00B02E3B">
      <w:pPr>
        <w:jc w:val="both"/>
        <w:rPr>
          <w:rFonts w:ascii="Avenir Next" w:hAnsi="Avenir Next" w:cs="Arial"/>
          <w:vanish/>
          <w:color w:val="808080" w:themeColor="background1" w:themeShade="80"/>
          <w:sz w:val="22"/>
          <w:szCs w:val="22"/>
        </w:rPr>
      </w:pPr>
    </w:p>
    <w:p w14:paraId="774AB1EE" w14:textId="21CC24D4" w:rsidR="006A44B2" w:rsidRPr="00B02E3B" w:rsidRDefault="006A44B2" w:rsidP="006A44B2">
      <w:pPr>
        <w:jc w:val="both"/>
        <w:rPr>
          <w:rFonts w:ascii="Avenir Next" w:hAnsi="Avenir Next" w:cs="Arial"/>
          <w:color w:val="808080" w:themeColor="background1" w:themeShade="80"/>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773C4EC7"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55E73E22"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r w:rsidR="001A3DD0" w:rsidRPr="00F85C0B">
        <w:rPr>
          <w:rFonts w:ascii="Avenir Next" w:hAnsi="Avenir Next" w:cs="Arial"/>
          <w:sz w:val="22"/>
          <w:szCs w:val="22"/>
        </w:rPr>
        <w:t>countries,</w:t>
      </w:r>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7FB818A3"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PargrafodaLista"/>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03D55DE1" w14:textId="10D374EE" w:rsidR="00C9081D" w:rsidRPr="00E464EE" w:rsidRDefault="0097550D" w:rsidP="00F358A3">
      <w:pPr>
        <w:jc w:val="both"/>
        <w:rPr>
          <w:rFonts w:ascii="Avenir Next" w:hAnsi="Avenir Next" w:cs="Arial"/>
          <w:color w:val="808080" w:themeColor="background1" w:themeShade="80"/>
          <w:sz w:val="22"/>
          <w:szCs w:val="28"/>
        </w:rPr>
      </w:pPr>
      <w:r w:rsidRPr="0097550D">
        <w:rPr>
          <w:rFonts w:ascii="Avenir Next" w:hAnsi="Avenir Next" w:cs="Arial"/>
          <w:color w:val="808080" w:themeColor="background1" w:themeShade="80"/>
          <w:sz w:val="22"/>
          <w:szCs w:val="28"/>
        </w:rPr>
        <w:t>As part of its cross-border rules, England and Wales adopted the UNCITRAL Model Law on</w:t>
      </w:r>
      <w:r w:rsidR="00F358A3" w:rsidRPr="00E464EE">
        <w:rPr>
          <w:rFonts w:ascii="Avenir Next" w:hAnsi="Avenir Next" w:cs="Arial"/>
          <w:color w:val="808080" w:themeColor="background1" w:themeShade="80"/>
          <w:sz w:val="22"/>
          <w:szCs w:val="28"/>
        </w:rPr>
        <w:t xml:space="preserve"> </w:t>
      </w:r>
      <w:r w:rsidRPr="0097550D">
        <w:rPr>
          <w:rFonts w:ascii="Avenir Next" w:hAnsi="Avenir Next" w:cs="Arial"/>
          <w:color w:val="808080" w:themeColor="background1" w:themeShade="80"/>
          <w:sz w:val="22"/>
          <w:szCs w:val="28"/>
        </w:rPr>
        <w:t>Cross-Border Insolvency in 2006</w:t>
      </w:r>
      <w:r w:rsidR="00462E0D" w:rsidRPr="00E464EE">
        <w:rPr>
          <w:rFonts w:ascii="Avenir Next" w:hAnsi="Avenir Next" w:cs="Arial"/>
          <w:color w:val="808080" w:themeColor="background1" w:themeShade="80"/>
          <w:sz w:val="22"/>
          <w:szCs w:val="28"/>
        </w:rPr>
        <w:t xml:space="preserve"> (UK Statutory </w:t>
      </w:r>
      <w:r w:rsidR="00E72A0C" w:rsidRPr="00E464EE">
        <w:rPr>
          <w:rFonts w:ascii="Avenir Next" w:hAnsi="Avenir Next" w:cs="Arial"/>
          <w:color w:val="808080" w:themeColor="background1" w:themeShade="80"/>
          <w:sz w:val="22"/>
          <w:szCs w:val="28"/>
        </w:rPr>
        <w:t xml:space="preserve">Instrument </w:t>
      </w:r>
      <w:r w:rsidR="00462E0D" w:rsidRPr="00E464EE">
        <w:rPr>
          <w:rFonts w:ascii="Avenir Next" w:hAnsi="Avenir Next" w:cs="Arial"/>
          <w:color w:val="808080" w:themeColor="background1" w:themeShade="80"/>
          <w:sz w:val="22"/>
          <w:szCs w:val="28"/>
        </w:rPr>
        <w:t>2006 No. 1030)</w:t>
      </w:r>
      <w:r w:rsidRPr="0097550D">
        <w:rPr>
          <w:rFonts w:ascii="Avenir Next" w:hAnsi="Avenir Next" w:cs="Arial"/>
          <w:color w:val="808080" w:themeColor="background1" w:themeShade="80"/>
          <w:sz w:val="22"/>
          <w:szCs w:val="28"/>
        </w:rPr>
        <w:t>.</w:t>
      </w:r>
      <w:r w:rsidR="00462E0D" w:rsidRPr="00E464EE">
        <w:rPr>
          <w:rFonts w:ascii="Avenir Next" w:hAnsi="Avenir Next" w:cs="Arial"/>
          <w:color w:val="808080" w:themeColor="background1" w:themeShade="80"/>
          <w:sz w:val="22"/>
          <w:szCs w:val="28"/>
        </w:rPr>
        <w:t xml:space="preserve"> </w:t>
      </w:r>
      <w:r w:rsidR="00E72A0C" w:rsidRPr="00E464EE">
        <w:rPr>
          <w:rFonts w:ascii="Avenir Next" w:hAnsi="Avenir Next" w:cs="Arial"/>
          <w:color w:val="808080" w:themeColor="background1" w:themeShade="80"/>
          <w:sz w:val="22"/>
          <w:szCs w:val="28"/>
        </w:rPr>
        <w:t>In order to</w:t>
      </w:r>
      <w:r w:rsidR="00462E0D" w:rsidRPr="00E464EE">
        <w:rPr>
          <w:rFonts w:ascii="Avenir Next" w:hAnsi="Avenir Next" w:cs="Arial"/>
          <w:color w:val="808080" w:themeColor="background1" w:themeShade="80"/>
          <w:sz w:val="22"/>
          <w:szCs w:val="28"/>
        </w:rPr>
        <w:t xml:space="preserve"> request recognition</w:t>
      </w:r>
      <w:r w:rsidR="00E72A0C" w:rsidRPr="00E464EE">
        <w:rPr>
          <w:rFonts w:ascii="Avenir Next" w:hAnsi="Avenir Next" w:cs="Arial"/>
          <w:color w:val="808080" w:themeColor="background1" w:themeShade="80"/>
          <w:sz w:val="22"/>
          <w:szCs w:val="28"/>
        </w:rPr>
        <w:t xml:space="preserve"> of the proceeding</w:t>
      </w:r>
      <w:r w:rsidR="00462E0D" w:rsidRPr="00E464EE">
        <w:rPr>
          <w:rFonts w:ascii="Avenir Next" w:hAnsi="Avenir Next" w:cs="Arial"/>
          <w:color w:val="808080" w:themeColor="background1" w:themeShade="80"/>
          <w:sz w:val="22"/>
          <w:szCs w:val="28"/>
        </w:rPr>
        <w:t xml:space="preserve"> in the UK,</w:t>
      </w:r>
      <w:r w:rsidR="00E72A0C" w:rsidRPr="00E464EE">
        <w:rPr>
          <w:rFonts w:ascii="Avenir Next" w:hAnsi="Avenir Next" w:cs="Arial"/>
          <w:color w:val="808080" w:themeColor="background1" w:themeShade="80"/>
          <w:sz w:val="22"/>
          <w:szCs w:val="28"/>
        </w:rPr>
        <w:t xml:space="preserve"> the American insolvent estate representative must comply with the provisions under </w:t>
      </w:r>
      <w:r w:rsidR="002D1D1B" w:rsidRPr="00E464EE">
        <w:rPr>
          <w:rFonts w:ascii="Avenir Next" w:hAnsi="Avenir Next" w:cs="Arial"/>
          <w:color w:val="808080" w:themeColor="background1" w:themeShade="80"/>
          <w:sz w:val="22"/>
          <w:szCs w:val="28"/>
        </w:rPr>
        <w:t>Schedule 1 (Uncitral M</w:t>
      </w:r>
      <w:r w:rsidR="00887EDA" w:rsidRPr="00E464EE">
        <w:rPr>
          <w:rFonts w:ascii="Avenir Next" w:hAnsi="Avenir Next" w:cs="Arial"/>
          <w:color w:val="808080" w:themeColor="background1" w:themeShade="80"/>
          <w:sz w:val="22"/>
          <w:szCs w:val="28"/>
        </w:rPr>
        <w:t xml:space="preserve">odel Law on Cross-Border Insolvency) </w:t>
      </w:r>
      <w:r w:rsidR="00A10723" w:rsidRPr="00E464EE">
        <w:rPr>
          <w:rFonts w:ascii="Avenir Next" w:hAnsi="Avenir Next" w:cs="Arial"/>
          <w:color w:val="808080" w:themeColor="background1" w:themeShade="80"/>
          <w:sz w:val="22"/>
          <w:szCs w:val="28"/>
        </w:rPr>
        <w:t xml:space="preserve">and Part </w:t>
      </w:r>
      <w:r w:rsidR="00961B1D" w:rsidRPr="00E464EE">
        <w:rPr>
          <w:rFonts w:ascii="Avenir Next" w:hAnsi="Avenir Next" w:cs="Arial"/>
          <w:color w:val="808080" w:themeColor="background1" w:themeShade="80"/>
          <w:sz w:val="22"/>
          <w:szCs w:val="28"/>
        </w:rPr>
        <w:t xml:space="preserve">2 (Applications to Court for Recognition of Foreign Proceedings) of Schedule 2 (Procedural Matters in England and Wales) </w:t>
      </w:r>
      <w:r w:rsidR="00DD6427" w:rsidRPr="00E464EE">
        <w:rPr>
          <w:rFonts w:ascii="Avenir Next" w:hAnsi="Avenir Next" w:cs="Arial"/>
          <w:color w:val="808080" w:themeColor="background1" w:themeShade="80"/>
          <w:sz w:val="22"/>
          <w:szCs w:val="28"/>
        </w:rPr>
        <w:t>of the Cross-Border Insolvency Regulations 2006 (</w:t>
      </w:r>
      <w:r w:rsidR="00927A88" w:rsidRPr="00E464EE">
        <w:rPr>
          <w:rFonts w:ascii="Avenir Next" w:hAnsi="Avenir Next" w:cs="Arial"/>
          <w:color w:val="808080" w:themeColor="background1" w:themeShade="80"/>
          <w:sz w:val="22"/>
          <w:szCs w:val="28"/>
        </w:rPr>
        <w:t>2006 No. 1030).</w:t>
      </w:r>
      <w:r w:rsidR="00462E0D" w:rsidRPr="00E464EE">
        <w:rPr>
          <w:rFonts w:ascii="Avenir Next" w:hAnsi="Avenir Next" w:cs="Arial"/>
          <w:color w:val="808080" w:themeColor="background1" w:themeShade="80"/>
          <w:sz w:val="22"/>
          <w:szCs w:val="28"/>
        </w:rPr>
        <w:t xml:space="preserve"> </w:t>
      </w:r>
      <w:r w:rsidR="003930C1" w:rsidRPr="00E464EE">
        <w:rPr>
          <w:rFonts w:ascii="Avenir Next" w:hAnsi="Avenir Next" w:cs="Arial"/>
          <w:color w:val="808080" w:themeColor="background1" w:themeShade="80"/>
          <w:sz w:val="22"/>
          <w:szCs w:val="28"/>
        </w:rPr>
        <w:t xml:space="preserve"> </w:t>
      </w:r>
      <w:r w:rsidR="00D867F3" w:rsidRPr="00E464EE">
        <w:rPr>
          <w:rFonts w:ascii="Avenir Next" w:hAnsi="Avenir Next" w:cs="Arial"/>
          <w:color w:val="808080" w:themeColor="background1" w:themeShade="80"/>
          <w:sz w:val="22"/>
          <w:szCs w:val="28"/>
        </w:rPr>
        <w:t>Below you will find some relevant rules under Schedule 1 for this particular case:</w:t>
      </w:r>
    </w:p>
    <w:p w14:paraId="2E125679" w14:textId="77777777" w:rsidR="002D1D1B" w:rsidRPr="00E464EE" w:rsidRDefault="002D1D1B" w:rsidP="00F358A3">
      <w:pPr>
        <w:jc w:val="both"/>
        <w:rPr>
          <w:rFonts w:ascii="Avenir Next" w:hAnsi="Avenir Next" w:cs="Arial"/>
          <w:color w:val="808080" w:themeColor="background1" w:themeShade="80"/>
          <w:sz w:val="22"/>
          <w:szCs w:val="28"/>
        </w:rPr>
      </w:pPr>
    </w:p>
    <w:p w14:paraId="06ADF7B6" w14:textId="20DADAB7" w:rsidR="00D867F3" w:rsidRPr="00E464EE" w:rsidRDefault="002D1D1B" w:rsidP="00D867F3">
      <w:pPr>
        <w:ind w:left="720"/>
        <w:jc w:val="both"/>
        <w:rPr>
          <w:rFonts w:ascii="Avenir Next" w:hAnsi="Avenir Next"/>
          <w:i/>
          <w:iCs/>
          <w:color w:val="808080" w:themeColor="background1" w:themeShade="80"/>
          <w:sz w:val="22"/>
          <w:szCs w:val="28"/>
        </w:rPr>
      </w:pPr>
      <w:r w:rsidRPr="00E464EE">
        <w:rPr>
          <w:rFonts w:ascii="Avenir Next" w:hAnsi="Avenir Next" w:cs="Arial"/>
          <w:i/>
          <w:iCs/>
          <w:color w:val="808080" w:themeColor="background1" w:themeShade="80"/>
          <w:sz w:val="22"/>
          <w:szCs w:val="28"/>
        </w:rPr>
        <w:t>Article 15. Application for recognition of a foreign proceeding</w:t>
      </w:r>
    </w:p>
    <w:p w14:paraId="10BA69D1" w14:textId="1B397799" w:rsidR="00B76E56" w:rsidRPr="00E464EE" w:rsidRDefault="00D867F3" w:rsidP="00D867F3">
      <w:pPr>
        <w:pStyle w:val="legp1paratext"/>
        <w:shd w:val="clear" w:color="auto" w:fill="FFFFFF"/>
        <w:spacing w:before="0" w:beforeAutospacing="0" w:after="120" w:afterAutospacing="0"/>
        <w:ind w:left="720"/>
        <w:jc w:val="both"/>
        <w:rPr>
          <w:rFonts w:ascii="Avenir Next" w:hAnsi="Avenir Next" w:cs="Arial"/>
          <w:i/>
          <w:iCs/>
          <w:color w:val="808080" w:themeColor="background1" w:themeShade="80"/>
          <w:sz w:val="22"/>
          <w:szCs w:val="28"/>
          <w:lang w:val="en-US" w:eastAsia="en-US"/>
        </w:rPr>
      </w:pPr>
      <w:r w:rsidRPr="00E464EE">
        <w:rPr>
          <w:rFonts w:ascii="Avenir Next" w:hAnsi="Avenir Next"/>
          <w:i/>
          <w:iCs/>
          <w:color w:val="808080" w:themeColor="background1" w:themeShade="80"/>
          <w:sz w:val="22"/>
          <w:szCs w:val="28"/>
          <w:lang w:val="en-US" w:eastAsia="en-US"/>
        </w:rPr>
        <w:t xml:space="preserve">2. </w:t>
      </w:r>
      <w:r w:rsidR="00B76E56" w:rsidRPr="00E464EE">
        <w:rPr>
          <w:rFonts w:ascii="Avenir Next" w:hAnsi="Avenir Next" w:cs="Arial"/>
          <w:i/>
          <w:iCs/>
          <w:color w:val="808080" w:themeColor="background1" w:themeShade="80"/>
          <w:sz w:val="22"/>
          <w:szCs w:val="28"/>
          <w:lang w:val="en-US" w:eastAsia="en-US"/>
        </w:rPr>
        <w:t>The foreign proceeding shall be recognised—</w:t>
      </w:r>
    </w:p>
    <w:p w14:paraId="5A7A28FA" w14:textId="77777777" w:rsidR="00B76E56" w:rsidRPr="00E464EE" w:rsidRDefault="00B76E56" w:rsidP="00D867F3">
      <w:pPr>
        <w:pStyle w:val="legclearfix"/>
        <w:shd w:val="clear" w:color="auto" w:fill="FFFFFF"/>
        <w:spacing w:before="0" w:beforeAutospacing="0" w:after="120" w:afterAutospacing="0"/>
        <w:ind w:left="720"/>
        <w:jc w:val="both"/>
        <w:rPr>
          <w:rFonts w:ascii="Avenir Next" w:hAnsi="Avenir Next" w:cs="Arial"/>
          <w:i/>
          <w:iCs/>
          <w:color w:val="808080" w:themeColor="background1" w:themeShade="80"/>
          <w:sz w:val="22"/>
          <w:szCs w:val="28"/>
        </w:rPr>
      </w:pPr>
      <w:r w:rsidRPr="00E464EE">
        <w:rPr>
          <w:rFonts w:ascii="Avenir Next" w:hAnsi="Avenir Next"/>
          <w:i/>
          <w:iCs/>
          <w:color w:val="808080" w:themeColor="background1" w:themeShade="80"/>
          <w:sz w:val="22"/>
          <w:szCs w:val="28"/>
        </w:rPr>
        <w:t>(a)as a foreign main proceeding if it is taking place in the State where the debtor has the centre of its main interests; or</w:t>
      </w:r>
    </w:p>
    <w:p w14:paraId="1B82E58D" w14:textId="717B8FBD" w:rsidR="00B76E56" w:rsidRPr="00E464EE" w:rsidRDefault="00B76E56" w:rsidP="00D867F3">
      <w:pPr>
        <w:pStyle w:val="legclearfix"/>
        <w:shd w:val="clear" w:color="auto" w:fill="FFFFFF"/>
        <w:spacing w:before="0" w:beforeAutospacing="0" w:after="120" w:afterAutospacing="0"/>
        <w:ind w:left="720"/>
        <w:jc w:val="both"/>
        <w:rPr>
          <w:rFonts w:ascii="Avenir Next" w:hAnsi="Avenir Next"/>
          <w:color w:val="808080" w:themeColor="background1" w:themeShade="80"/>
          <w:sz w:val="22"/>
          <w:szCs w:val="28"/>
        </w:rPr>
      </w:pPr>
      <w:r w:rsidRPr="00E464EE">
        <w:rPr>
          <w:rFonts w:ascii="Avenir Next" w:hAnsi="Avenir Next"/>
          <w:i/>
          <w:iCs/>
          <w:color w:val="808080" w:themeColor="background1" w:themeShade="80"/>
          <w:sz w:val="22"/>
          <w:szCs w:val="28"/>
          <w:u w:val="single"/>
        </w:rPr>
        <w:t xml:space="preserve">(b)as a </w:t>
      </w:r>
      <w:r w:rsidRPr="00E464EE">
        <w:rPr>
          <w:rFonts w:ascii="Avenir Next" w:hAnsi="Avenir Next"/>
          <w:b/>
          <w:bCs/>
          <w:i/>
          <w:iCs/>
          <w:color w:val="808080" w:themeColor="background1" w:themeShade="80"/>
          <w:sz w:val="22"/>
          <w:szCs w:val="28"/>
          <w:u w:val="single"/>
        </w:rPr>
        <w:t>foreign non-main proceeding</w:t>
      </w:r>
      <w:r w:rsidRPr="00E464EE">
        <w:rPr>
          <w:rFonts w:ascii="Avenir Next" w:hAnsi="Avenir Next"/>
          <w:i/>
          <w:iCs/>
          <w:color w:val="808080" w:themeColor="background1" w:themeShade="80"/>
          <w:sz w:val="22"/>
          <w:szCs w:val="28"/>
          <w:u w:val="single"/>
        </w:rPr>
        <w:t xml:space="preserve"> if the debtor has an establishment within the meaning of sub-paragraph (e) of article 2 in the foreign State</w:t>
      </w:r>
      <w:r w:rsidRPr="00E464EE">
        <w:rPr>
          <w:rFonts w:ascii="Avenir Next" w:hAnsi="Avenir Next"/>
          <w:i/>
          <w:iCs/>
          <w:color w:val="808080" w:themeColor="background1" w:themeShade="80"/>
          <w:sz w:val="22"/>
          <w:szCs w:val="28"/>
        </w:rPr>
        <w:t>.</w:t>
      </w:r>
      <w:r w:rsidR="002D1D1B" w:rsidRPr="00E464EE">
        <w:rPr>
          <w:rFonts w:ascii="Avenir Next" w:hAnsi="Avenir Next"/>
          <w:i/>
          <w:iCs/>
          <w:color w:val="808080" w:themeColor="background1" w:themeShade="80"/>
          <w:sz w:val="22"/>
          <w:szCs w:val="28"/>
        </w:rPr>
        <w:t xml:space="preserve"> (</w:t>
      </w:r>
      <w:r w:rsidR="00A244EC" w:rsidRPr="00E464EE">
        <w:rPr>
          <w:rFonts w:ascii="Avenir Next" w:hAnsi="Avenir Next"/>
          <w:i/>
          <w:iCs/>
          <w:color w:val="808080" w:themeColor="background1" w:themeShade="80"/>
          <w:sz w:val="22"/>
          <w:szCs w:val="28"/>
        </w:rPr>
        <w:t xml:space="preserve">article 2 </w:t>
      </w:r>
      <w:r w:rsidR="002D1D1B" w:rsidRPr="00E464EE">
        <w:rPr>
          <w:rFonts w:ascii="Avenir Next" w:hAnsi="Avenir Next" w:cs="Arial"/>
          <w:i/>
          <w:iCs/>
          <w:color w:val="808080" w:themeColor="background1" w:themeShade="80"/>
          <w:sz w:val="22"/>
          <w:szCs w:val="28"/>
        </w:rPr>
        <w:t>(e)“establishment” means any place of operations where the debtor carries out a non-transitory economic activity with human means and assets or services)</w:t>
      </w:r>
    </w:p>
    <w:p w14:paraId="0D126E3D" w14:textId="1936C219" w:rsidR="00B76E56" w:rsidRPr="00E464EE" w:rsidRDefault="00B86851" w:rsidP="00366F43">
      <w:pPr>
        <w:ind w:left="720"/>
        <w:jc w:val="both"/>
        <w:rPr>
          <w:rFonts w:ascii="Avenir Next" w:hAnsi="Avenir Next" w:cs="Arial"/>
          <w:i/>
          <w:iCs/>
          <w:color w:val="808080" w:themeColor="background1" w:themeShade="80"/>
          <w:sz w:val="22"/>
          <w:szCs w:val="28"/>
        </w:rPr>
      </w:pPr>
      <w:r w:rsidRPr="00E464EE">
        <w:rPr>
          <w:rFonts w:ascii="Avenir Next" w:hAnsi="Avenir Next" w:cs="Arial"/>
          <w:i/>
          <w:iCs/>
          <w:color w:val="808080" w:themeColor="background1" w:themeShade="80"/>
          <w:sz w:val="22"/>
          <w:szCs w:val="28"/>
        </w:rPr>
        <w:t xml:space="preserve">Article 21. </w:t>
      </w:r>
      <w:r w:rsidR="00457DBD" w:rsidRPr="00E464EE">
        <w:rPr>
          <w:rFonts w:ascii="Avenir Next" w:hAnsi="Avenir Next" w:cs="Arial"/>
          <w:i/>
          <w:iCs/>
          <w:color w:val="808080" w:themeColor="background1" w:themeShade="80"/>
          <w:sz w:val="22"/>
          <w:szCs w:val="28"/>
        </w:rPr>
        <w:t>Relief that may be granted upon recognition of a foreign proceeding</w:t>
      </w:r>
    </w:p>
    <w:p w14:paraId="23FCB1BD" w14:textId="07FA382F" w:rsidR="00B76E56" w:rsidRPr="00E464EE" w:rsidRDefault="002C2892" w:rsidP="00366F43">
      <w:pPr>
        <w:ind w:left="720"/>
        <w:jc w:val="both"/>
        <w:rPr>
          <w:rFonts w:ascii="Avenir Next" w:hAnsi="Avenir Next" w:cs="Arial"/>
          <w:i/>
          <w:iCs/>
          <w:color w:val="808080" w:themeColor="background1" w:themeShade="80"/>
          <w:sz w:val="22"/>
          <w:szCs w:val="28"/>
        </w:rPr>
      </w:pPr>
      <w:r w:rsidRPr="00E464EE">
        <w:rPr>
          <w:rFonts w:ascii="Avenir Next" w:hAnsi="Avenir Next"/>
          <w:i/>
          <w:iCs/>
          <w:color w:val="808080" w:themeColor="background1" w:themeShade="80"/>
          <w:sz w:val="22"/>
          <w:szCs w:val="28"/>
        </w:rPr>
        <w:t>2.</w:t>
      </w:r>
      <w:r w:rsidRPr="00E464EE">
        <w:rPr>
          <w:rFonts w:ascii="Avenir Next" w:hAnsi="Avenir Next" w:cs="Arial"/>
          <w:i/>
          <w:iCs/>
          <w:color w:val="808080" w:themeColor="background1" w:themeShade="80"/>
          <w:sz w:val="22"/>
          <w:szCs w:val="28"/>
        </w:rPr>
        <w:t xml:space="preserve">  Upon recognition of a foreign proceeding, whether main or non-main, the court may, at the request of the foreign representative, </w:t>
      </w:r>
      <w:r w:rsidRPr="00E464EE">
        <w:rPr>
          <w:rFonts w:ascii="Avenir Next" w:hAnsi="Avenir Next" w:cs="Arial"/>
          <w:i/>
          <w:iCs/>
          <w:color w:val="808080" w:themeColor="background1" w:themeShade="80"/>
          <w:sz w:val="22"/>
          <w:szCs w:val="28"/>
          <w:u w:val="single"/>
        </w:rPr>
        <w:t xml:space="preserve">entrust the distribution of all or part of the debtor’s assets located in Great Britain to the foreign representative or another person designated by the court, </w:t>
      </w:r>
      <w:r w:rsidRPr="00E464EE">
        <w:rPr>
          <w:rFonts w:ascii="Avenir Next" w:hAnsi="Avenir Next" w:cs="Arial"/>
          <w:b/>
          <w:bCs/>
          <w:i/>
          <w:iCs/>
          <w:color w:val="808080" w:themeColor="background1" w:themeShade="80"/>
          <w:sz w:val="22"/>
          <w:szCs w:val="28"/>
          <w:u w:val="single"/>
        </w:rPr>
        <w:t>provided that the court is satisfied that the interests of creditors in Great Britain are adequately protected</w:t>
      </w:r>
      <w:r w:rsidRPr="00E464EE">
        <w:rPr>
          <w:rFonts w:ascii="Avenir Next" w:hAnsi="Avenir Next" w:cs="Arial"/>
          <w:i/>
          <w:iCs/>
          <w:color w:val="808080" w:themeColor="background1" w:themeShade="80"/>
          <w:sz w:val="22"/>
          <w:szCs w:val="28"/>
        </w:rPr>
        <w:t>.</w:t>
      </w:r>
    </w:p>
    <w:p w14:paraId="6A2CF749" w14:textId="6796CA23" w:rsidR="00B86851" w:rsidRPr="00E464EE" w:rsidRDefault="00B86851" w:rsidP="00366F43">
      <w:pPr>
        <w:ind w:left="720"/>
        <w:jc w:val="both"/>
        <w:rPr>
          <w:rFonts w:ascii="Avenir Next" w:hAnsi="Avenir Next" w:cs="Arial"/>
          <w:color w:val="808080" w:themeColor="background1" w:themeShade="80"/>
          <w:sz w:val="22"/>
          <w:szCs w:val="28"/>
        </w:rPr>
      </w:pPr>
      <w:r w:rsidRPr="00E464EE">
        <w:rPr>
          <w:rFonts w:ascii="Avenir Next" w:hAnsi="Avenir Next"/>
          <w:i/>
          <w:iCs/>
          <w:color w:val="808080" w:themeColor="background1" w:themeShade="80"/>
          <w:sz w:val="22"/>
          <w:szCs w:val="28"/>
        </w:rPr>
        <w:t>3.</w:t>
      </w:r>
      <w:r w:rsidRPr="00E464EE">
        <w:rPr>
          <w:rFonts w:ascii="Avenir Next" w:hAnsi="Avenir Next" w:cs="Arial"/>
          <w:i/>
          <w:iCs/>
          <w:color w:val="808080" w:themeColor="background1" w:themeShade="80"/>
          <w:sz w:val="22"/>
          <w:szCs w:val="28"/>
        </w:rPr>
        <w:t xml:space="preserve">  In granting relief under this article to a representative of a foreign non-main proceeding, </w:t>
      </w:r>
      <w:r w:rsidRPr="00E464EE">
        <w:rPr>
          <w:rFonts w:ascii="Avenir Next" w:hAnsi="Avenir Next" w:cs="Arial"/>
          <w:i/>
          <w:iCs/>
          <w:color w:val="808080" w:themeColor="background1" w:themeShade="80"/>
          <w:sz w:val="22"/>
          <w:szCs w:val="28"/>
          <w:u w:val="single"/>
        </w:rPr>
        <w:t>the court must be satisfied that the relief relates to assets that, under the law of Great Britain, should be administered in the foreign non-main proceeding or concerns information required in that proceeding</w:t>
      </w:r>
      <w:r w:rsidRPr="00E464EE">
        <w:rPr>
          <w:rFonts w:ascii="Avenir Next" w:hAnsi="Avenir Next" w:cs="Arial"/>
          <w:i/>
          <w:iCs/>
          <w:color w:val="808080" w:themeColor="background1" w:themeShade="80"/>
          <w:sz w:val="22"/>
          <w:szCs w:val="28"/>
        </w:rPr>
        <w:t>.</w:t>
      </w:r>
    </w:p>
    <w:p w14:paraId="01D80E22" w14:textId="77777777" w:rsidR="00334393" w:rsidRDefault="00334393" w:rsidP="00692852">
      <w:pPr>
        <w:jc w:val="both"/>
        <w:rPr>
          <w:rFonts w:ascii="Avenir Next" w:hAnsi="Avenir Next" w:cs="Arial"/>
          <w:sz w:val="22"/>
          <w:szCs w:val="22"/>
        </w:rPr>
      </w:pPr>
    </w:p>
    <w:p w14:paraId="233F5562" w14:textId="705E81CD" w:rsidR="009B33F6" w:rsidRDefault="009B33F6" w:rsidP="00692852">
      <w:pPr>
        <w:jc w:val="both"/>
        <w:rPr>
          <w:rFonts w:ascii="Avenir Next" w:hAnsi="Avenir Next" w:cs="Arial"/>
          <w:color w:val="808080" w:themeColor="background1" w:themeShade="80"/>
          <w:sz w:val="22"/>
          <w:szCs w:val="22"/>
        </w:rPr>
      </w:pPr>
      <w:r w:rsidRPr="009B33F6">
        <w:rPr>
          <w:rFonts w:ascii="Avenir Next" w:hAnsi="Avenir Next" w:cs="Arial"/>
          <w:color w:val="808080" w:themeColor="background1" w:themeShade="80"/>
          <w:sz w:val="22"/>
          <w:szCs w:val="22"/>
        </w:rPr>
        <w:t xml:space="preserve">It is worth mentioning that Section 426 of the Insolvency Act establishes a statutory framework requiring U.K. courts to assist insolvency courts of "relevant countries" upon request. This assistance may involve granting orders enabling overseas office holders to utilize U.K. insolvency laws or, less frequently, applying the local insolvency laws of the requesting court within the U.K. However, the provision is limited in scope as it only applies to requests from insolvency courts of "relevant </w:t>
      </w:r>
      <w:r w:rsidRPr="009B33F6">
        <w:rPr>
          <w:rFonts w:ascii="Avenir Next" w:hAnsi="Avenir Next" w:cs="Arial"/>
          <w:color w:val="808080" w:themeColor="background1" w:themeShade="80"/>
          <w:sz w:val="22"/>
          <w:szCs w:val="22"/>
        </w:rPr>
        <w:lastRenderedPageBreak/>
        <w:t>countries," primarily comprising Commonwealth countries or remaining U.K. colonies</w:t>
      </w:r>
      <w:r>
        <w:rPr>
          <w:rFonts w:ascii="Avenir Next" w:hAnsi="Avenir Next" w:cs="Arial"/>
          <w:color w:val="808080" w:themeColor="background1" w:themeShade="80"/>
          <w:sz w:val="22"/>
          <w:szCs w:val="22"/>
        </w:rPr>
        <w:t xml:space="preserve">, so it couldn’t be applied to this case. </w:t>
      </w:r>
    </w:p>
    <w:p w14:paraId="38D34F00" w14:textId="77777777" w:rsidR="00156B30" w:rsidRDefault="00156B30" w:rsidP="00692852">
      <w:pPr>
        <w:jc w:val="both"/>
        <w:rPr>
          <w:rFonts w:ascii="Avenir Next" w:hAnsi="Avenir Next" w:cs="Arial"/>
          <w:color w:val="808080" w:themeColor="background1" w:themeShade="80"/>
          <w:sz w:val="22"/>
          <w:szCs w:val="22"/>
        </w:rPr>
      </w:pPr>
    </w:p>
    <w:p w14:paraId="64028B8A" w14:textId="54A52C99" w:rsidR="00156B30" w:rsidRDefault="00156B30" w:rsidP="00692852">
      <w:pPr>
        <w:jc w:val="both"/>
        <w:rPr>
          <w:rFonts w:ascii="Avenir Next" w:hAnsi="Avenir Next" w:cs="Arial"/>
          <w:color w:val="808080" w:themeColor="background1" w:themeShade="80"/>
          <w:sz w:val="22"/>
          <w:szCs w:val="22"/>
        </w:rPr>
      </w:pPr>
      <w:r w:rsidRPr="002A7278">
        <w:rPr>
          <w:rFonts w:ascii="Avenir Next" w:hAnsi="Avenir Next" w:cs="Arial"/>
          <w:color w:val="808080" w:themeColor="background1" w:themeShade="80"/>
          <w:sz w:val="22"/>
          <w:szCs w:val="22"/>
        </w:rPr>
        <w:t>J</w:t>
      </w:r>
      <w:r w:rsidR="00BB175E">
        <w:rPr>
          <w:rFonts w:ascii="Avenir Next" w:hAnsi="Avenir Next" w:cs="Arial"/>
          <w:color w:val="808080" w:themeColor="background1" w:themeShade="80"/>
          <w:sz w:val="22"/>
          <w:szCs w:val="22"/>
        </w:rPr>
        <w:t xml:space="preserve">IN Guidelines </w:t>
      </w:r>
      <w:r w:rsidR="00E23546">
        <w:rPr>
          <w:rFonts w:ascii="Avenir Next" w:hAnsi="Avenir Next" w:cs="Arial"/>
          <w:color w:val="808080" w:themeColor="background1" w:themeShade="80"/>
          <w:sz w:val="22"/>
          <w:szCs w:val="22"/>
        </w:rPr>
        <w:t>for communication and cooperation between courts in cross-border insolvency matters</w:t>
      </w:r>
      <w:r w:rsidR="002A7278" w:rsidRPr="002A7278">
        <w:rPr>
          <w:rFonts w:ascii="Avenir Next" w:hAnsi="Avenir Next" w:cs="Arial"/>
          <w:color w:val="808080" w:themeColor="background1" w:themeShade="80"/>
          <w:sz w:val="22"/>
          <w:szCs w:val="22"/>
        </w:rPr>
        <w:t xml:space="preserve"> co</w:t>
      </w:r>
      <w:r w:rsidR="002A7278">
        <w:rPr>
          <w:rFonts w:ascii="Avenir Next" w:hAnsi="Avenir Next" w:cs="Arial"/>
          <w:color w:val="808080" w:themeColor="background1" w:themeShade="80"/>
          <w:sz w:val="22"/>
          <w:szCs w:val="22"/>
        </w:rPr>
        <w:t xml:space="preserve">uld also be used </w:t>
      </w:r>
      <w:r w:rsidR="008328CC">
        <w:rPr>
          <w:rFonts w:ascii="Avenir Next" w:hAnsi="Avenir Next" w:cs="Arial"/>
          <w:color w:val="808080" w:themeColor="background1" w:themeShade="80"/>
          <w:sz w:val="22"/>
          <w:szCs w:val="22"/>
        </w:rPr>
        <w:t>since both the USA and the UK adopted it.</w:t>
      </w:r>
    </w:p>
    <w:p w14:paraId="6573AB22" w14:textId="77777777" w:rsidR="00AF6DB0" w:rsidRDefault="00AF6DB0" w:rsidP="00692852">
      <w:pPr>
        <w:jc w:val="both"/>
        <w:rPr>
          <w:rFonts w:ascii="Avenir Next" w:hAnsi="Avenir Next" w:cs="Arial"/>
          <w:color w:val="808080" w:themeColor="background1" w:themeShade="80"/>
          <w:sz w:val="22"/>
          <w:szCs w:val="22"/>
        </w:rPr>
      </w:pPr>
    </w:p>
    <w:p w14:paraId="40E244F1" w14:textId="6A680CBE" w:rsidR="00AF6DB0" w:rsidRPr="002A7278" w:rsidRDefault="00B517ED" w:rsidP="006928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After the Brexit, </w:t>
      </w:r>
      <w:r w:rsidR="00AF6DB0">
        <w:rPr>
          <w:rFonts w:ascii="Avenir Next" w:hAnsi="Avenir Next" w:cs="Arial"/>
          <w:color w:val="808080" w:themeColor="background1" w:themeShade="80"/>
          <w:sz w:val="22"/>
          <w:szCs w:val="22"/>
        </w:rPr>
        <w:t xml:space="preserve">EIR Recast no longer applies </w:t>
      </w:r>
      <w:r w:rsidR="00812712">
        <w:rPr>
          <w:rFonts w:ascii="Avenir Next" w:hAnsi="Avenir Next" w:cs="Arial"/>
          <w:color w:val="808080" w:themeColor="background1" w:themeShade="80"/>
          <w:sz w:val="22"/>
          <w:szCs w:val="22"/>
        </w:rPr>
        <w:t>in the UK (</w:t>
      </w:r>
      <w:r>
        <w:rPr>
          <w:rFonts w:ascii="Avenir Next" w:hAnsi="Avenir Next" w:cs="Arial"/>
          <w:color w:val="808080" w:themeColor="background1" w:themeShade="80"/>
          <w:sz w:val="22"/>
          <w:szCs w:val="22"/>
        </w:rPr>
        <w:t>post11pm 31 December 2020 proceedings</w:t>
      </w:r>
      <w:r w:rsidR="00812712">
        <w:rPr>
          <w:rFonts w:ascii="Avenir Next" w:hAnsi="Avenir Next" w:cs="Arial"/>
          <w:color w:val="808080" w:themeColor="background1" w:themeShade="80"/>
          <w:sz w:val="22"/>
          <w:szCs w:val="22"/>
        </w:rPr>
        <w:t>).</w:t>
      </w:r>
    </w:p>
    <w:p w14:paraId="5E82E12F" w14:textId="77777777" w:rsidR="009B33F6" w:rsidRPr="00DB5A5A" w:rsidRDefault="009B33F6"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CFC479E" w14:textId="7FF6C2D9" w:rsidR="00054A55" w:rsidRDefault="00A0335C" w:rsidP="009F0C5A">
      <w:pPr>
        <w:jc w:val="both"/>
        <w:rPr>
          <w:rFonts w:ascii="Avenir Next" w:hAnsi="Avenir Next" w:cs="Arial"/>
          <w:color w:val="808080" w:themeColor="background1" w:themeShade="80"/>
          <w:sz w:val="22"/>
          <w:szCs w:val="22"/>
        </w:rPr>
      </w:pPr>
      <w:r w:rsidRPr="00A0335C">
        <w:rPr>
          <w:rFonts w:ascii="Avenir Next" w:hAnsi="Avenir Next" w:cs="Arial"/>
          <w:color w:val="808080" w:themeColor="background1" w:themeShade="80"/>
          <w:sz w:val="22"/>
          <w:szCs w:val="22"/>
        </w:rPr>
        <w:t xml:space="preserve">The European Insolvency Regulation (EIR) </w:t>
      </w:r>
      <w:r w:rsidRPr="00B77313">
        <w:rPr>
          <w:rFonts w:ascii="Avenir Next" w:hAnsi="Avenir Next" w:cs="Arial"/>
          <w:b/>
          <w:bCs/>
          <w:color w:val="808080" w:themeColor="background1" w:themeShade="80"/>
          <w:sz w:val="22"/>
          <w:szCs w:val="22"/>
        </w:rPr>
        <w:t>designates jurisdictional competence to the courts of a member state where the "centre of the debtor's main interests" (COMI) is located</w:t>
      </w:r>
      <w:r w:rsidR="00331676">
        <w:rPr>
          <w:rFonts w:ascii="Avenir Next" w:hAnsi="Avenir Next" w:cs="Arial"/>
          <w:color w:val="808080" w:themeColor="background1" w:themeShade="80"/>
          <w:sz w:val="22"/>
          <w:szCs w:val="22"/>
        </w:rPr>
        <w:t>, as follows:</w:t>
      </w:r>
      <w:r w:rsidRPr="00A0335C">
        <w:rPr>
          <w:rFonts w:ascii="Avenir Next" w:hAnsi="Avenir Next" w:cs="Arial"/>
          <w:color w:val="808080" w:themeColor="background1" w:themeShade="80"/>
          <w:sz w:val="22"/>
          <w:szCs w:val="22"/>
        </w:rPr>
        <w:t xml:space="preserve"> </w:t>
      </w:r>
    </w:p>
    <w:p w14:paraId="31480449" w14:textId="77777777" w:rsidR="00054A55" w:rsidRDefault="00054A55" w:rsidP="009F0C5A">
      <w:pPr>
        <w:jc w:val="both"/>
        <w:rPr>
          <w:rFonts w:ascii="Avenir Next" w:hAnsi="Avenir Next" w:cs="Arial"/>
          <w:color w:val="808080" w:themeColor="background1" w:themeShade="80"/>
          <w:sz w:val="22"/>
          <w:szCs w:val="22"/>
        </w:rPr>
      </w:pPr>
    </w:p>
    <w:p w14:paraId="7DAED867" w14:textId="443A43D3" w:rsidR="006F25E6" w:rsidRPr="006F25E6" w:rsidRDefault="006F25E6" w:rsidP="006F25E6">
      <w:pPr>
        <w:ind w:left="720"/>
        <w:jc w:val="both"/>
        <w:rPr>
          <w:rFonts w:ascii="Avenir Next" w:hAnsi="Avenir Next" w:cs="Arial"/>
          <w:i/>
          <w:iCs/>
          <w:color w:val="808080" w:themeColor="background1" w:themeShade="80"/>
          <w:sz w:val="22"/>
          <w:szCs w:val="22"/>
        </w:rPr>
      </w:pPr>
      <w:r w:rsidRPr="009813EA">
        <w:rPr>
          <w:rFonts w:ascii="Avenir Next" w:hAnsi="Avenir Next" w:cs="Arial"/>
          <w:i/>
          <w:iCs/>
          <w:color w:val="808080" w:themeColor="background1" w:themeShade="80"/>
          <w:sz w:val="22"/>
          <w:szCs w:val="22"/>
          <w:lang w:val="pt-BR"/>
        </w:rPr>
        <w:t>A</w:t>
      </w:r>
      <w:r w:rsidRPr="006F25E6">
        <w:rPr>
          <w:rFonts w:ascii="Avenir Next" w:hAnsi="Avenir Next" w:cs="Arial"/>
          <w:i/>
          <w:iCs/>
          <w:color w:val="808080" w:themeColor="background1" w:themeShade="80"/>
          <w:sz w:val="22"/>
          <w:szCs w:val="22"/>
          <w:lang w:val="pt-BR"/>
        </w:rPr>
        <w:t>rticle 3</w:t>
      </w:r>
    </w:p>
    <w:p w14:paraId="37B0DE68" w14:textId="77777777" w:rsidR="006F25E6" w:rsidRPr="006F25E6" w:rsidRDefault="006F25E6" w:rsidP="006F25E6">
      <w:pPr>
        <w:ind w:left="720"/>
        <w:jc w:val="both"/>
        <w:rPr>
          <w:rFonts w:ascii="Avenir Next" w:hAnsi="Avenir Next" w:cs="Arial"/>
          <w:b/>
          <w:bCs/>
          <w:i/>
          <w:iCs/>
          <w:color w:val="808080" w:themeColor="background1" w:themeShade="80"/>
          <w:sz w:val="22"/>
          <w:szCs w:val="22"/>
        </w:rPr>
      </w:pPr>
      <w:r w:rsidRPr="006F25E6">
        <w:rPr>
          <w:rFonts w:ascii="Avenir Next" w:hAnsi="Avenir Next" w:cs="Arial"/>
          <w:b/>
          <w:bCs/>
          <w:i/>
          <w:iCs/>
          <w:color w:val="808080" w:themeColor="background1" w:themeShade="80"/>
          <w:sz w:val="22"/>
          <w:szCs w:val="22"/>
        </w:rPr>
        <w:t>International jurisdiction</w:t>
      </w:r>
    </w:p>
    <w:p w14:paraId="17510058" w14:textId="77777777" w:rsidR="006F25E6" w:rsidRPr="006F25E6" w:rsidRDefault="006F25E6" w:rsidP="006F25E6">
      <w:pPr>
        <w:ind w:left="720"/>
        <w:jc w:val="both"/>
        <w:rPr>
          <w:rFonts w:ascii="Avenir Next" w:hAnsi="Avenir Next" w:cs="Arial"/>
          <w:i/>
          <w:iCs/>
          <w:color w:val="808080" w:themeColor="background1" w:themeShade="80"/>
          <w:sz w:val="22"/>
          <w:szCs w:val="22"/>
        </w:rPr>
      </w:pPr>
      <w:r w:rsidRPr="006F25E6">
        <w:rPr>
          <w:rFonts w:ascii="Avenir Next" w:hAnsi="Avenir Next" w:cs="Arial"/>
          <w:i/>
          <w:iCs/>
          <w:color w:val="808080" w:themeColor="background1" w:themeShade="80"/>
          <w:sz w:val="22"/>
          <w:szCs w:val="22"/>
        </w:rPr>
        <w:t>1.   </w:t>
      </w:r>
    </w:p>
    <w:p w14:paraId="1986EB2A" w14:textId="77777777" w:rsidR="006F25E6" w:rsidRPr="006F25E6" w:rsidRDefault="006F25E6" w:rsidP="006F25E6">
      <w:pPr>
        <w:ind w:left="720"/>
        <w:jc w:val="both"/>
        <w:rPr>
          <w:rFonts w:ascii="Avenir Next" w:hAnsi="Avenir Next" w:cs="Arial"/>
          <w:i/>
          <w:iCs/>
          <w:color w:val="808080" w:themeColor="background1" w:themeShade="80"/>
          <w:sz w:val="22"/>
          <w:szCs w:val="22"/>
        </w:rPr>
      </w:pPr>
      <w:r w:rsidRPr="006F25E6">
        <w:rPr>
          <w:rFonts w:ascii="Avenir Next" w:hAnsi="Avenir Next" w:cs="Arial"/>
          <w:i/>
          <w:iCs/>
          <w:color w:val="808080" w:themeColor="background1" w:themeShade="80"/>
          <w:sz w:val="22"/>
          <w:szCs w:val="22"/>
        </w:rPr>
        <w:t xml:space="preserve">The courts of the Member State within the territory of which the centre of the debtor's main interests is situated shall have jurisdiction to open insolvency proceedings (‘main insolvency proceedings’). The centre of main interests shall be </w:t>
      </w:r>
      <w:r w:rsidRPr="006F25E6">
        <w:rPr>
          <w:rFonts w:ascii="Avenir Next" w:hAnsi="Avenir Next" w:cs="Arial"/>
          <w:b/>
          <w:bCs/>
          <w:i/>
          <w:iCs/>
          <w:color w:val="808080" w:themeColor="background1" w:themeShade="80"/>
          <w:sz w:val="22"/>
          <w:szCs w:val="22"/>
        </w:rPr>
        <w:t>the place where the debtor conducts the administration of its interests on a regular basis and which is ascertainable by third parties</w:t>
      </w:r>
      <w:r w:rsidRPr="006F25E6">
        <w:rPr>
          <w:rFonts w:ascii="Avenir Next" w:hAnsi="Avenir Next" w:cs="Arial"/>
          <w:i/>
          <w:iCs/>
          <w:color w:val="808080" w:themeColor="background1" w:themeShade="80"/>
          <w:sz w:val="22"/>
          <w:szCs w:val="22"/>
        </w:rPr>
        <w:t>.</w:t>
      </w:r>
    </w:p>
    <w:p w14:paraId="67F870C3" w14:textId="77777777" w:rsidR="006F25E6" w:rsidRPr="006F25E6" w:rsidRDefault="006F25E6" w:rsidP="006F25E6">
      <w:pPr>
        <w:ind w:left="720"/>
        <w:jc w:val="both"/>
        <w:rPr>
          <w:rFonts w:ascii="Avenir Next" w:hAnsi="Avenir Next" w:cs="Arial"/>
          <w:i/>
          <w:iCs/>
          <w:color w:val="808080" w:themeColor="background1" w:themeShade="80"/>
          <w:sz w:val="22"/>
          <w:szCs w:val="22"/>
        </w:rPr>
      </w:pPr>
      <w:r w:rsidRPr="006F25E6">
        <w:rPr>
          <w:rFonts w:ascii="Avenir Next" w:hAnsi="Avenir Next" w:cs="Arial"/>
          <w:i/>
          <w:iCs/>
          <w:color w:val="808080" w:themeColor="background1" w:themeShade="80"/>
          <w:sz w:val="22"/>
          <w:szCs w:val="22"/>
        </w:rPr>
        <w:t xml:space="preserve">In the case of a company or legal person, the place of the registered office shall be presumed to be the centre of its main interests in the absence of proof to the contrary. </w:t>
      </w:r>
      <w:r w:rsidRPr="006F25E6">
        <w:rPr>
          <w:rFonts w:ascii="Avenir Next" w:hAnsi="Avenir Next" w:cs="Arial"/>
          <w:b/>
          <w:bCs/>
          <w:i/>
          <w:iCs/>
          <w:color w:val="808080" w:themeColor="background1" w:themeShade="80"/>
          <w:sz w:val="22"/>
          <w:szCs w:val="22"/>
        </w:rPr>
        <w:t>That presumption shall only apply if the registered office has not been moved to another Member State within the 3-month period prior to the request for the opening of insolvency proceedings</w:t>
      </w:r>
      <w:r w:rsidRPr="006F25E6">
        <w:rPr>
          <w:rFonts w:ascii="Avenir Next" w:hAnsi="Avenir Next" w:cs="Arial"/>
          <w:i/>
          <w:iCs/>
          <w:color w:val="808080" w:themeColor="background1" w:themeShade="80"/>
          <w:sz w:val="22"/>
          <w:szCs w:val="22"/>
        </w:rPr>
        <w:t>.</w:t>
      </w:r>
    </w:p>
    <w:p w14:paraId="76EBA980" w14:textId="77777777" w:rsidR="00054A55" w:rsidRDefault="00054A55" w:rsidP="009F0C5A">
      <w:pPr>
        <w:jc w:val="both"/>
        <w:rPr>
          <w:rFonts w:ascii="Avenir Next" w:hAnsi="Avenir Next" w:cs="Arial"/>
          <w:color w:val="808080" w:themeColor="background1" w:themeShade="80"/>
          <w:sz w:val="22"/>
          <w:szCs w:val="22"/>
        </w:rPr>
      </w:pPr>
    </w:p>
    <w:p w14:paraId="58A74E72" w14:textId="5ED41F02" w:rsidR="004F42FF" w:rsidRDefault="00A0335C" w:rsidP="009F0C5A">
      <w:pPr>
        <w:jc w:val="both"/>
        <w:rPr>
          <w:rFonts w:ascii="Avenir Next" w:hAnsi="Avenir Next" w:cs="Arial"/>
          <w:color w:val="808080" w:themeColor="background1" w:themeShade="80"/>
          <w:sz w:val="22"/>
          <w:szCs w:val="22"/>
        </w:rPr>
      </w:pPr>
      <w:r w:rsidRPr="00A0335C">
        <w:rPr>
          <w:rFonts w:ascii="Avenir Next" w:hAnsi="Avenir Next" w:cs="Arial"/>
          <w:color w:val="808080" w:themeColor="background1" w:themeShade="80"/>
          <w:sz w:val="22"/>
          <w:szCs w:val="22"/>
        </w:rPr>
        <w:t xml:space="preserve">The EIR primarily assigns jurisdiction based on the COMI for main insolvency proceedings but allows for the </w:t>
      </w:r>
      <w:r w:rsidRPr="00B77313">
        <w:rPr>
          <w:rFonts w:ascii="Avenir Next" w:hAnsi="Avenir Next" w:cs="Arial"/>
          <w:b/>
          <w:bCs/>
          <w:color w:val="808080" w:themeColor="background1" w:themeShade="80"/>
          <w:sz w:val="22"/>
          <w:szCs w:val="22"/>
        </w:rPr>
        <w:t xml:space="preserve">possibility of </w:t>
      </w:r>
      <w:r w:rsidR="005856A0">
        <w:rPr>
          <w:rFonts w:ascii="Avenir Next" w:hAnsi="Avenir Next" w:cs="Arial"/>
          <w:b/>
          <w:bCs/>
          <w:color w:val="808080" w:themeColor="background1" w:themeShade="80"/>
          <w:sz w:val="22"/>
          <w:szCs w:val="22"/>
        </w:rPr>
        <w:t>a secondary</w:t>
      </w:r>
      <w:r w:rsidRPr="00B77313">
        <w:rPr>
          <w:rFonts w:ascii="Avenir Next" w:hAnsi="Avenir Next" w:cs="Arial"/>
          <w:b/>
          <w:bCs/>
          <w:color w:val="808080" w:themeColor="background1" w:themeShade="80"/>
          <w:sz w:val="22"/>
          <w:szCs w:val="22"/>
        </w:rPr>
        <w:t xml:space="preserve"> proceeding in other member states</w:t>
      </w:r>
      <w:r w:rsidRPr="00A0335C">
        <w:rPr>
          <w:rFonts w:ascii="Avenir Next" w:hAnsi="Avenir Next" w:cs="Arial"/>
          <w:color w:val="808080" w:themeColor="background1" w:themeShade="80"/>
          <w:sz w:val="22"/>
          <w:szCs w:val="22"/>
        </w:rPr>
        <w:t xml:space="preserve">. </w:t>
      </w:r>
      <w:r w:rsidRPr="00822AD8">
        <w:rPr>
          <w:rFonts w:ascii="Avenir Next" w:hAnsi="Avenir Next" w:cs="Arial"/>
          <w:color w:val="808080" w:themeColor="background1" w:themeShade="80"/>
          <w:sz w:val="22"/>
          <w:szCs w:val="22"/>
          <w:u w:val="single"/>
        </w:rPr>
        <w:t>These subsidiary proceedings are permissible when the debtor has an "establishment," defined as any place of operations where non-transitory economic activity occurs with human means and assets</w:t>
      </w:r>
      <w:r w:rsidRPr="00A0335C">
        <w:rPr>
          <w:rFonts w:ascii="Avenir Next" w:hAnsi="Avenir Next" w:cs="Arial"/>
          <w:color w:val="808080" w:themeColor="background1" w:themeShade="80"/>
          <w:sz w:val="22"/>
          <w:szCs w:val="22"/>
        </w:rPr>
        <w:t>. Subsidiary proceedings can be either "independent proceedings," initiated before the main proceedings, or "secondary proceedings," initiated after the bankruptcy adjudication in the state with the COMI.</w:t>
      </w:r>
    </w:p>
    <w:p w14:paraId="5A447D6C" w14:textId="77777777" w:rsidR="00B97BE0" w:rsidRDefault="00B97BE0" w:rsidP="009F0C5A">
      <w:pPr>
        <w:jc w:val="both"/>
        <w:rPr>
          <w:rFonts w:ascii="Avenir Next" w:hAnsi="Avenir Next" w:cs="Arial"/>
          <w:color w:val="808080" w:themeColor="background1" w:themeShade="80"/>
          <w:sz w:val="22"/>
          <w:szCs w:val="22"/>
        </w:rPr>
      </w:pPr>
    </w:p>
    <w:p w14:paraId="1335D169"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2.   </w:t>
      </w:r>
    </w:p>
    <w:p w14:paraId="12AF55F4"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Where the centre of the debtor's main interests is situated within the territory of a Member State, the courts of another Member State shall have jurisdiction to open insolvency proceedings against that debtor only if it possesses an establishment within the territory of that other Member State. The effects of those proceedings shall be restricted to the assets of the debtor situated in the territory of the latter Member State.</w:t>
      </w:r>
    </w:p>
    <w:p w14:paraId="6B813CF1"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3.   </w:t>
      </w:r>
    </w:p>
    <w:p w14:paraId="580BD872"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Where insolvency proceedings have been opened in accordance with paragraph 1, any proceedings opened subsequently in accordance with paragraph 2 shall be secondary insolvency proceedings.</w:t>
      </w:r>
    </w:p>
    <w:p w14:paraId="597B60A8"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4.   </w:t>
      </w:r>
    </w:p>
    <w:p w14:paraId="6D3805AA"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lastRenderedPageBreak/>
        <w:t>The territorial insolvency proceedings referred to in paragraph 2 may only be opened prior to the opening of main insolvency proceedings in accordance with paragraph 1 where</w:t>
      </w:r>
    </w:p>
    <w:p w14:paraId="193E3589"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(a) </w:t>
      </w:r>
    </w:p>
    <w:p w14:paraId="0298761B"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insolvency proceedings under paragraph 1 cannot be opened because of the conditions laid down by the law of the Member State within the territory of which the centre of the debtor's main interests is situated; or</w:t>
      </w:r>
    </w:p>
    <w:p w14:paraId="2DF7992A"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(b) </w:t>
      </w:r>
    </w:p>
    <w:p w14:paraId="0EBBB24F"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the opening of territorial insolvency proceedings is requested by:</w:t>
      </w:r>
    </w:p>
    <w:p w14:paraId="51B44735"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(i) </w:t>
      </w:r>
    </w:p>
    <w:p w14:paraId="0C1C932D"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a creditor whose claim arises from or is in connection with the operation of an establishment situated within the territory of the Member State where the opening of territorial proceedings is requested; or</w:t>
      </w:r>
    </w:p>
    <w:p w14:paraId="3F46CD6F"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(ii) </w:t>
      </w:r>
    </w:p>
    <w:p w14:paraId="1A43FBFC" w14:textId="77777777" w:rsidR="00B97BE0" w:rsidRPr="00B97BE0" w:rsidRDefault="00B97BE0" w:rsidP="00B97BE0">
      <w:pPr>
        <w:ind w:left="720"/>
        <w:jc w:val="both"/>
        <w:rPr>
          <w:rFonts w:ascii="Avenir Next" w:hAnsi="Avenir Next" w:cs="Arial"/>
          <w:i/>
          <w:iCs/>
          <w:color w:val="808080" w:themeColor="background1" w:themeShade="80"/>
          <w:sz w:val="22"/>
          <w:szCs w:val="22"/>
        </w:rPr>
      </w:pPr>
      <w:r w:rsidRPr="00B97BE0">
        <w:rPr>
          <w:rFonts w:ascii="Avenir Next" w:hAnsi="Avenir Next" w:cs="Arial"/>
          <w:i/>
          <w:iCs/>
          <w:color w:val="808080" w:themeColor="background1" w:themeShade="80"/>
          <w:sz w:val="22"/>
          <w:szCs w:val="22"/>
        </w:rPr>
        <w:t>a public authority which, under the law of the Member State within the territory of which the establishment is situated, has the right to request the opening of insolvency proceedings.</w:t>
      </w:r>
    </w:p>
    <w:p w14:paraId="3D26B229" w14:textId="77777777" w:rsidR="00B97BE0" w:rsidRPr="00B97BE0" w:rsidRDefault="00B97BE0" w:rsidP="00B97BE0">
      <w:pPr>
        <w:ind w:left="720"/>
        <w:jc w:val="both"/>
        <w:rPr>
          <w:rFonts w:ascii="Avenir Next" w:hAnsi="Avenir Next" w:cs="Arial"/>
          <w:color w:val="808080" w:themeColor="background1" w:themeShade="80"/>
          <w:sz w:val="22"/>
          <w:szCs w:val="22"/>
        </w:rPr>
      </w:pPr>
      <w:r w:rsidRPr="00B97BE0">
        <w:rPr>
          <w:rFonts w:ascii="Avenir Next" w:hAnsi="Avenir Next" w:cs="Arial"/>
          <w:i/>
          <w:iCs/>
          <w:color w:val="808080" w:themeColor="background1" w:themeShade="80"/>
          <w:sz w:val="22"/>
          <w:szCs w:val="22"/>
        </w:rPr>
        <w:t>When main insolvency proceedings are opened, the territorial insolvency proceedings shall become secondary insolvency proceedings.</w:t>
      </w:r>
    </w:p>
    <w:p w14:paraId="771533AA" w14:textId="77777777" w:rsidR="00B97BE0" w:rsidRPr="00A0335C" w:rsidRDefault="00B97BE0" w:rsidP="009F0C5A">
      <w:pPr>
        <w:jc w:val="both"/>
        <w:rPr>
          <w:rFonts w:ascii="Avenir Next" w:hAnsi="Avenir Next" w:cs="Arial"/>
          <w:color w:val="808080" w:themeColor="background1" w:themeShade="80"/>
          <w:sz w:val="22"/>
          <w:szCs w:val="22"/>
        </w:rPr>
      </w:pPr>
    </w:p>
    <w:p w14:paraId="39C43061" w14:textId="77777777" w:rsidR="004F42FF" w:rsidRDefault="004F42FF" w:rsidP="009F0C5A">
      <w:pPr>
        <w:jc w:val="both"/>
        <w:rPr>
          <w:rFonts w:ascii="Avenir Next" w:hAnsi="Avenir Next" w:cs="Arial"/>
          <w:sz w:val="22"/>
          <w:szCs w:val="28"/>
        </w:rPr>
      </w:pPr>
    </w:p>
    <w:p w14:paraId="69938086" w14:textId="01D101C8" w:rsidR="002253D8" w:rsidRDefault="005315F7" w:rsidP="002253D8">
      <w:pPr>
        <w:jc w:val="both"/>
        <w:rPr>
          <w:rFonts w:ascii="Avenir Next" w:hAnsi="Avenir Next" w:cs="Arial"/>
          <w:color w:val="808080" w:themeColor="background1" w:themeShade="80"/>
          <w:sz w:val="22"/>
          <w:szCs w:val="22"/>
        </w:rPr>
      </w:pPr>
      <w:r w:rsidRPr="005315F7">
        <w:rPr>
          <w:rFonts w:ascii="Avenir Next" w:hAnsi="Avenir Next" w:cs="Arial"/>
          <w:color w:val="808080" w:themeColor="background1" w:themeShade="80"/>
          <w:sz w:val="22"/>
          <w:szCs w:val="22"/>
        </w:rPr>
        <w:t>The EIR Recast</w:t>
      </w:r>
      <w:r w:rsidR="00516E2B">
        <w:rPr>
          <w:rFonts w:ascii="Avenir Next" w:hAnsi="Avenir Next" w:cs="Arial"/>
          <w:color w:val="808080" w:themeColor="background1" w:themeShade="80"/>
          <w:sz w:val="22"/>
          <w:szCs w:val="22"/>
        </w:rPr>
        <w:t xml:space="preserve"> (as the EIR beforehand)</w:t>
      </w:r>
      <w:r w:rsidRPr="005315F7">
        <w:rPr>
          <w:rFonts w:ascii="Avenir Next" w:hAnsi="Avenir Next" w:cs="Arial"/>
          <w:color w:val="808080" w:themeColor="background1" w:themeShade="80"/>
          <w:sz w:val="22"/>
          <w:szCs w:val="22"/>
        </w:rPr>
        <w:t xml:space="preserve"> governs the applicable law in proceedings falling under the Regulation. Article 7.1 specifies that, unless stated otherwise, </w:t>
      </w:r>
      <w:r w:rsidRPr="00C35343">
        <w:rPr>
          <w:rFonts w:ascii="Avenir Next" w:hAnsi="Avenir Next" w:cs="Arial"/>
          <w:b/>
          <w:bCs/>
          <w:color w:val="808080" w:themeColor="background1" w:themeShade="80"/>
          <w:sz w:val="22"/>
          <w:szCs w:val="22"/>
        </w:rPr>
        <w:t>the law applicable to insolvency proceedings and their effects is that of the "State of the opening of proceedings</w:t>
      </w:r>
      <w:r w:rsidRPr="005315F7">
        <w:rPr>
          <w:rFonts w:ascii="Avenir Next" w:hAnsi="Avenir Next" w:cs="Arial"/>
          <w:color w:val="808080" w:themeColor="background1" w:themeShade="80"/>
          <w:sz w:val="22"/>
          <w:szCs w:val="22"/>
        </w:rPr>
        <w:t>." Article 7 further elaborates on the determination of the law concerning the conditions for opening, conducting, and closing these proceedings. Subsequent Articles 8 to 18 provide provisions on the applicable law for specific matters such as rights in rem, setoff, immovable property, employment, and detrimental acts.</w:t>
      </w:r>
    </w:p>
    <w:p w14:paraId="7E0C132C" w14:textId="77777777" w:rsidR="00924588" w:rsidRDefault="00924588" w:rsidP="002253D8">
      <w:pPr>
        <w:jc w:val="both"/>
        <w:rPr>
          <w:rFonts w:ascii="Avenir Next" w:hAnsi="Avenir Next" w:cs="Arial"/>
          <w:color w:val="808080" w:themeColor="background1" w:themeShade="80"/>
          <w:sz w:val="22"/>
          <w:szCs w:val="22"/>
        </w:rPr>
      </w:pPr>
    </w:p>
    <w:p w14:paraId="69E4F35B" w14:textId="07C356C4" w:rsidR="00924588" w:rsidRPr="00DA42DA" w:rsidRDefault="00924588"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Therefore, </w:t>
      </w:r>
      <w:r w:rsidR="00650E78">
        <w:rPr>
          <w:rFonts w:ascii="Avenir Next" w:hAnsi="Avenir Next" w:cs="Arial"/>
          <w:color w:val="808080" w:themeColor="background1" w:themeShade="80"/>
          <w:sz w:val="22"/>
          <w:szCs w:val="22"/>
        </w:rPr>
        <w:t xml:space="preserve">considering that the COMI </w:t>
      </w:r>
      <w:r w:rsidR="003C7903">
        <w:rPr>
          <w:rFonts w:ascii="Avenir Next" w:hAnsi="Avenir Next" w:cs="Arial"/>
          <w:color w:val="808080" w:themeColor="background1" w:themeShade="80"/>
          <w:sz w:val="22"/>
          <w:szCs w:val="22"/>
        </w:rPr>
        <w:t>is in</w:t>
      </w:r>
      <w:r w:rsidR="00650E78">
        <w:rPr>
          <w:rFonts w:ascii="Avenir Next" w:hAnsi="Avenir Next" w:cs="Arial"/>
          <w:color w:val="808080" w:themeColor="background1" w:themeShade="80"/>
          <w:sz w:val="22"/>
          <w:szCs w:val="22"/>
        </w:rPr>
        <w:t xml:space="preserve"> Italy, </w:t>
      </w:r>
      <w:r>
        <w:rPr>
          <w:rFonts w:ascii="Avenir Next" w:hAnsi="Avenir Next" w:cs="Arial"/>
          <w:color w:val="808080" w:themeColor="background1" w:themeShade="80"/>
          <w:sz w:val="22"/>
          <w:szCs w:val="22"/>
        </w:rPr>
        <w:t>the main proceeding should be opened in Italy</w:t>
      </w:r>
      <w:r w:rsidR="00650E78">
        <w:rPr>
          <w:rFonts w:ascii="Avenir Next" w:hAnsi="Avenir Next" w:cs="Arial"/>
          <w:color w:val="808080" w:themeColor="background1" w:themeShade="80"/>
          <w:sz w:val="22"/>
          <w:szCs w:val="22"/>
        </w:rPr>
        <w:t xml:space="preserve"> and</w:t>
      </w:r>
      <w:r w:rsidR="006E5866">
        <w:rPr>
          <w:rFonts w:ascii="Avenir Next" w:hAnsi="Avenir Next" w:cs="Arial"/>
          <w:color w:val="808080" w:themeColor="background1" w:themeShade="80"/>
          <w:sz w:val="22"/>
          <w:szCs w:val="22"/>
        </w:rPr>
        <w:t>, therefore,</w:t>
      </w:r>
      <w:r w:rsidR="00650E78">
        <w:rPr>
          <w:rFonts w:ascii="Avenir Next" w:hAnsi="Avenir Next" w:cs="Arial"/>
          <w:color w:val="808080" w:themeColor="background1" w:themeShade="80"/>
          <w:sz w:val="22"/>
          <w:szCs w:val="22"/>
        </w:rPr>
        <w:t xml:space="preserve"> Italian law </w:t>
      </w:r>
      <w:r w:rsidR="008763BC">
        <w:rPr>
          <w:rFonts w:ascii="Avenir Next" w:hAnsi="Avenir Next" w:cs="Arial"/>
          <w:color w:val="808080" w:themeColor="background1" w:themeShade="80"/>
          <w:sz w:val="22"/>
          <w:szCs w:val="22"/>
        </w:rPr>
        <w:t>should applicable</w:t>
      </w:r>
      <w:r w:rsidR="006E5866">
        <w:rPr>
          <w:rFonts w:ascii="Avenir Next" w:hAnsi="Avenir Next" w:cs="Arial"/>
          <w:color w:val="808080" w:themeColor="background1" w:themeShade="80"/>
          <w:sz w:val="22"/>
          <w:szCs w:val="22"/>
        </w:rPr>
        <w:t xml:space="preserve"> (article 7.1 of</w:t>
      </w:r>
      <w:r w:rsidR="00945558">
        <w:rPr>
          <w:rFonts w:ascii="Avenir Next" w:hAnsi="Avenir Next" w:cs="Arial"/>
          <w:color w:val="808080" w:themeColor="background1" w:themeShade="80"/>
          <w:sz w:val="22"/>
          <w:szCs w:val="22"/>
        </w:rPr>
        <w:t xml:space="preserve"> EIR)</w:t>
      </w:r>
      <w:r w:rsidR="008763BC">
        <w:rPr>
          <w:rFonts w:ascii="Avenir Next" w:hAnsi="Avenir Next" w:cs="Arial"/>
          <w:color w:val="808080" w:themeColor="background1" w:themeShade="80"/>
          <w:sz w:val="22"/>
          <w:szCs w:val="22"/>
        </w:rPr>
        <w:t>.</w:t>
      </w:r>
      <w:r w:rsidR="0060049F">
        <w:rPr>
          <w:rFonts w:ascii="Avenir Next" w:hAnsi="Avenir Next" w:cs="Arial"/>
          <w:color w:val="808080" w:themeColor="background1" w:themeShade="80"/>
          <w:sz w:val="22"/>
          <w:szCs w:val="22"/>
        </w:rPr>
        <w:t xml:space="preserve"> A subsidiary proceeding could also be opened in German</w:t>
      </w:r>
      <w:r w:rsidR="00B77313">
        <w:rPr>
          <w:rFonts w:ascii="Avenir Next" w:hAnsi="Avenir Next" w:cs="Arial"/>
          <w:color w:val="808080" w:themeColor="background1" w:themeShade="80"/>
          <w:sz w:val="22"/>
          <w:szCs w:val="22"/>
        </w:rPr>
        <w:t xml:space="preserve"> if</w:t>
      </w:r>
      <w:r w:rsidR="00296037">
        <w:rPr>
          <w:rFonts w:ascii="Avenir Next" w:hAnsi="Avenir Next" w:cs="Arial"/>
          <w:color w:val="808080" w:themeColor="background1" w:themeShade="80"/>
          <w:sz w:val="22"/>
          <w:szCs w:val="22"/>
        </w:rPr>
        <w:t xml:space="preserve">, besides operations, the company had an actual </w:t>
      </w:r>
      <w:r w:rsidR="00822AD8">
        <w:rPr>
          <w:rFonts w:ascii="Avenir Next" w:hAnsi="Avenir Next" w:cs="Arial"/>
          <w:color w:val="808080" w:themeColor="background1" w:themeShade="80"/>
          <w:sz w:val="22"/>
          <w:szCs w:val="22"/>
        </w:rPr>
        <w:t>“</w:t>
      </w:r>
      <w:r w:rsidR="00296037">
        <w:rPr>
          <w:rFonts w:ascii="Avenir Next" w:hAnsi="Avenir Next" w:cs="Arial"/>
          <w:color w:val="808080" w:themeColor="background1" w:themeShade="80"/>
          <w:sz w:val="22"/>
          <w:szCs w:val="22"/>
        </w:rPr>
        <w:t>establishment</w:t>
      </w:r>
      <w:r w:rsidR="00822AD8">
        <w:rPr>
          <w:rFonts w:ascii="Avenir Next" w:hAnsi="Avenir Next" w:cs="Arial"/>
          <w:color w:val="808080" w:themeColor="background1" w:themeShade="80"/>
          <w:sz w:val="22"/>
          <w:szCs w:val="22"/>
        </w:rPr>
        <w:t>”</w:t>
      </w:r>
      <w:r w:rsidR="00296037">
        <w:rPr>
          <w:rFonts w:ascii="Avenir Next" w:hAnsi="Avenir Next" w:cs="Arial"/>
          <w:color w:val="808080" w:themeColor="background1" w:themeShade="80"/>
          <w:sz w:val="22"/>
          <w:szCs w:val="22"/>
        </w:rPr>
        <w:t xml:space="preserve"> there.</w:t>
      </w:r>
      <w:r w:rsidR="00B77313">
        <w:rPr>
          <w:rFonts w:ascii="Avenir Next" w:hAnsi="Avenir Next" w:cs="Arial"/>
          <w:color w:val="808080" w:themeColor="background1" w:themeShade="80"/>
          <w:sz w:val="22"/>
          <w:szCs w:val="22"/>
        </w:rPr>
        <w:t xml:space="preserve">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50A1335C" w14:textId="1678F0FB" w:rsidR="00BC4B69" w:rsidRDefault="005D7532" w:rsidP="00BC4B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055BF">
        <w:rPr>
          <w:rFonts w:ascii="Avenir Next" w:hAnsi="Avenir Next" w:cs="Arial"/>
          <w:color w:val="808080" w:themeColor="background1" w:themeShade="80"/>
          <w:sz w:val="22"/>
          <w:szCs w:val="22"/>
          <w:lang w:val="en-GB"/>
        </w:rPr>
        <w:t>EU Recast Insolvency Regulation applies only to EU members.</w:t>
      </w:r>
      <w:r w:rsidR="0084357E">
        <w:rPr>
          <w:rFonts w:ascii="Avenir Next" w:hAnsi="Avenir Next" w:cs="Arial"/>
          <w:color w:val="808080" w:themeColor="background1" w:themeShade="80"/>
          <w:sz w:val="22"/>
          <w:szCs w:val="22"/>
          <w:lang w:val="en-GB"/>
        </w:rPr>
        <w:t xml:space="preserve"> </w:t>
      </w:r>
      <w:r w:rsidR="00BC4B69">
        <w:rPr>
          <w:rFonts w:ascii="Avenir Next" w:hAnsi="Avenir Next" w:cs="Arial"/>
          <w:color w:val="808080" w:themeColor="background1" w:themeShade="80"/>
          <w:sz w:val="22"/>
          <w:szCs w:val="22"/>
          <w:lang w:val="en-GB"/>
        </w:rPr>
        <w:t xml:space="preserve">Australia and South African adopted the </w:t>
      </w:r>
      <w:r w:rsidR="00BC4B69" w:rsidRPr="003C4C09">
        <w:rPr>
          <w:rFonts w:ascii="Avenir Next" w:hAnsi="Avenir Next" w:cs="Arial"/>
          <w:color w:val="808080" w:themeColor="background1" w:themeShade="80"/>
          <w:sz w:val="22"/>
          <w:szCs w:val="28"/>
        </w:rPr>
        <w:t>UNCITRAL Model Law on Cross-Border Insolvency</w:t>
      </w:r>
      <w:r w:rsidR="001C055D">
        <w:rPr>
          <w:rFonts w:ascii="Avenir Next" w:hAnsi="Avenir Next" w:cs="Arial"/>
          <w:color w:val="808080" w:themeColor="background1" w:themeShade="80"/>
          <w:sz w:val="22"/>
          <w:szCs w:val="28"/>
        </w:rPr>
        <w:t xml:space="preserve">, so they could pursue </w:t>
      </w:r>
      <w:r w:rsidR="003C1433">
        <w:rPr>
          <w:rFonts w:ascii="Avenir Next" w:hAnsi="Avenir Next" w:cs="Arial"/>
          <w:color w:val="808080" w:themeColor="background1" w:themeShade="80"/>
          <w:sz w:val="22"/>
          <w:szCs w:val="28"/>
        </w:rPr>
        <w:t xml:space="preserve">recognition under the terms of this instrument. </w:t>
      </w:r>
      <w:r w:rsidR="00BC4DAE">
        <w:rPr>
          <w:rFonts w:ascii="Avenir Next" w:hAnsi="Avenir Next" w:cs="Arial"/>
          <w:color w:val="808080" w:themeColor="background1" w:themeShade="80"/>
          <w:sz w:val="22"/>
          <w:szCs w:val="28"/>
        </w:rPr>
        <w:t xml:space="preserve">However, India is yet to adopt </w:t>
      </w:r>
      <w:r w:rsidR="0018690D">
        <w:rPr>
          <w:rFonts w:ascii="Avenir Next" w:hAnsi="Avenir Next" w:cs="Arial"/>
          <w:color w:val="808080" w:themeColor="background1" w:themeShade="80"/>
          <w:sz w:val="22"/>
          <w:szCs w:val="28"/>
        </w:rPr>
        <w:t xml:space="preserve">the Model Law (although some initiatives </w:t>
      </w:r>
      <w:r w:rsidR="002811B0">
        <w:rPr>
          <w:rFonts w:ascii="Avenir Next" w:hAnsi="Avenir Next" w:cs="Arial"/>
          <w:color w:val="808080" w:themeColor="background1" w:themeShade="80"/>
          <w:sz w:val="22"/>
          <w:szCs w:val="28"/>
        </w:rPr>
        <w:t>are in course.</w:t>
      </w:r>
    </w:p>
    <w:p w14:paraId="3C42C0A8" w14:textId="77777777" w:rsidR="00940DFF" w:rsidRDefault="00940DFF"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PargrafodaLista"/>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PargrafodaLista"/>
        <w:ind w:left="426"/>
        <w:jc w:val="both"/>
        <w:rPr>
          <w:rFonts w:ascii="Avenir Next" w:hAnsi="Avenir Next" w:cs="Arial"/>
          <w:sz w:val="22"/>
          <w:szCs w:val="28"/>
        </w:rPr>
      </w:pPr>
    </w:p>
    <w:p w14:paraId="13039970" w14:textId="37F0A22A" w:rsidR="002253D8" w:rsidRDefault="00F027EE" w:rsidP="0041725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Italian law </w:t>
      </w:r>
      <w:r w:rsidR="006431F6">
        <w:rPr>
          <w:rFonts w:ascii="Avenir Next" w:hAnsi="Avenir Next" w:cs="Arial"/>
          <w:color w:val="808080" w:themeColor="background1" w:themeShade="80"/>
          <w:sz w:val="22"/>
          <w:szCs w:val="22"/>
        </w:rPr>
        <w:t>will apply, pursuant to article 7 of</w:t>
      </w:r>
      <w:r w:rsidR="0090715E">
        <w:rPr>
          <w:rFonts w:ascii="Avenir Next" w:hAnsi="Avenir Next" w:cs="Arial"/>
          <w:color w:val="808080" w:themeColor="background1" w:themeShade="80"/>
          <w:sz w:val="22"/>
          <w:szCs w:val="22"/>
        </w:rPr>
        <w:t xml:space="preserve"> Chapter I of</w:t>
      </w:r>
      <w:r w:rsidR="006431F6">
        <w:rPr>
          <w:rFonts w:ascii="Avenir Next" w:hAnsi="Avenir Next" w:cs="Arial"/>
          <w:color w:val="808080" w:themeColor="background1" w:themeShade="80"/>
          <w:sz w:val="22"/>
          <w:szCs w:val="22"/>
        </w:rPr>
        <w:t xml:space="preserve"> the </w:t>
      </w:r>
      <w:r w:rsidR="00771673" w:rsidRPr="00771673">
        <w:rPr>
          <w:rFonts w:ascii="Avenir Next" w:hAnsi="Avenir Next" w:cs="Arial"/>
          <w:color w:val="808080" w:themeColor="background1" w:themeShade="80"/>
          <w:sz w:val="22"/>
          <w:szCs w:val="22"/>
        </w:rPr>
        <w:t>EU (Recast) Insolvency Regulation</w:t>
      </w:r>
      <w:r w:rsidR="007E460D">
        <w:rPr>
          <w:rFonts w:ascii="Avenir Next" w:hAnsi="Avenir Next" w:cs="Arial"/>
          <w:color w:val="808080" w:themeColor="background1" w:themeShade="80"/>
          <w:sz w:val="22"/>
          <w:szCs w:val="22"/>
        </w:rPr>
        <w:t xml:space="preserve">, which states that </w:t>
      </w:r>
      <w:r w:rsidR="00273988" w:rsidRPr="00273988">
        <w:rPr>
          <w:rFonts w:ascii="Avenir Next" w:hAnsi="Avenir Next" w:cs="Arial"/>
          <w:color w:val="808080" w:themeColor="background1" w:themeShade="80"/>
          <w:sz w:val="22"/>
          <w:szCs w:val="22"/>
        </w:rPr>
        <w:t>the law applicable to insolvency proceedings and their effects shall be that of the Member State within the territory of which such proceedings are opened</w:t>
      </w:r>
      <w:r w:rsidR="0090715E">
        <w:rPr>
          <w:rFonts w:ascii="Avenir Next" w:hAnsi="Avenir Next" w:cs="Arial"/>
          <w:color w:val="808080" w:themeColor="background1" w:themeShade="80"/>
          <w:sz w:val="22"/>
          <w:szCs w:val="22"/>
        </w:rPr>
        <w:t>.</w:t>
      </w:r>
      <w:r w:rsidR="00771673" w:rsidRPr="00771673">
        <w:rPr>
          <w:rFonts w:ascii="Avenir Next" w:hAnsi="Avenir Next" w:cs="Arial"/>
          <w:color w:val="808080" w:themeColor="background1" w:themeShade="80"/>
          <w:sz w:val="22"/>
          <w:szCs w:val="22"/>
        </w:rPr>
        <w:t xml:space="preserve"> </w:t>
      </w:r>
      <w:r w:rsidR="007101FF">
        <w:rPr>
          <w:rFonts w:ascii="Avenir Next" w:hAnsi="Avenir Next" w:cs="Arial"/>
          <w:color w:val="808080" w:themeColor="background1" w:themeShade="80"/>
          <w:sz w:val="22"/>
          <w:szCs w:val="22"/>
        </w:rPr>
        <w:t xml:space="preserve">Since the Netherlands are also a Member State, </w:t>
      </w:r>
      <w:r w:rsidR="001E4684">
        <w:rPr>
          <w:rFonts w:ascii="Avenir Next" w:hAnsi="Avenir Next" w:cs="Arial"/>
          <w:color w:val="808080" w:themeColor="background1" w:themeShade="80"/>
          <w:sz w:val="22"/>
          <w:szCs w:val="22"/>
        </w:rPr>
        <w:t>despite the powers assigned to the insolvency practitioner under article 21</w:t>
      </w:r>
      <w:r w:rsidR="00E37D15">
        <w:rPr>
          <w:rFonts w:ascii="Avenir Next" w:hAnsi="Avenir Next" w:cs="Arial"/>
          <w:color w:val="808080" w:themeColor="background1" w:themeShade="80"/>
          <w:sz w:val="22"/>
          <w:szCs w:val="22"/>
        </w:rPr>
        <w:t xml:space="preserve"> of Chapter I, </w:t>
      </w:r>
      <w:r w:rsidR="00506788">
        <w:rPr>
          <w:rFonts w:ascii="Avenir Next" w:hAnsi="Avenir Next" w:cs="Arial"/>
          <w:color w:val="808080" w:themeColor="background1" w:themeShade="80"/>
          <w:sz w:val="22"/>
          <w:szCs w:val="22"/>
        </w:rPr>
        <w:t xml:space="preserve">any intended actions </w:t>
      </w:r>
      <w:r w:rsidR="0030547E">
        <w:rPr>
          <w:rFonts w:ascii="Avenir Next" w:hAnsi="Avenir Next" w:cs="Arial"/>
          <w:color w:val="808080" w:themeColor="background1" w:themeShade="80"/>
          <w:sz w:val="22"/>
          <w:szCs w:val="22"/>
        </w:rPr>
        <w:t xml:space="preserve">towards the security assets </w:t>
      </w:r>
      <w:r w:rsidR="00735D24">
        <w:rPr>
          <w:rFonts w:ascii="Avenir Next" w:hAnsi="Avenir Next" w:cs="Arial"/>
          <w:color w:val="808080" w:themeColor="background1" w:themeShade="80"/>
          <w:sz w:val="22"/>
          <w:szCs w:val="22"/>
        </w:rPr>
        <w:t xml:space="preserve">situated in the Netherland </w:t>
      </w:r>
      <w:r w:rsidR="00506788">
        <w:rPr>
          <w:rFonts w:ascii="Avenir Next" w:hAnsi="Avenir Next" w:cs="Arial"/>
          <w:color w:val="808080" w:themeColor="background1" w:themeShade="80"/>
          <w:sz w:val="22"/>
          <w:szCs w:val="22"/>
        </w:rPr>
        <w:t xml:space="preserve">will have to comply with the rules of the Netherlands </w:t>
      </w:r>
      <w:r w:rsidR="009915AD">
        <w:rPr>
          <w:rFonts w:ascii="Avenir Next" w:hAnsi="Avenir Next" w:cs="Arial"/>
          <w:color w:val="808080" w:themeColor="background1" w:themeShade="80"/>
          <w:sz w:val="22"/>
          <w:szCs w:val="22"/>
        </w:rPr>
        <w:t xml:space="preserve">(article 21, paragraph 3) and </w:t>
      </w:r>
      <w:r w:rsidR="00735D24">
        <w:rPr>
          <w:rFonts w:ascii="Avenir Next" w:hAnsi="Avenir Next" w:cs="Arial"/>
          <w:color w:val="808080" w:themeColor="background1" w:themeShade="80"/>
          <w:sz w:val="22"/>
          <w:szCs w:val="22"/>
        </w:rPr>
        <w:t xml:space="preserve">observe </w:t>
      </w:r>
      <w:r w:rsidR="00E71502">
        <w:rPr>
          <w:rFonts w:ascii="Avenir Next" w:hAnsi="Avenir Next" w:cs="Arial"/>
          <w:color w:val="808080" w:themeColor="background1" w:themeShade="80"/>
          <w:sz w:val="22"/>
          <w:szCs w:val="22"/>
        </w:rPr>
        <w:t>article 8 of Chapter I of EU Recast</w:t>
      </w:r>
      <w:r w:rsidR="007101FF">
        <w:rPr>
          <w:rFonts w:ascii="Avenir Next" w:hAnsi="Avenir Next" w:cs="Arial"/>
          <w:color w:val="808080" w:themeColor="background1" w:themeShade="80"/>
          <w:sz w:val="22"/>
          <w:szCs w:val="22"/>
        </w:rPr>
        <w:t xml:space="preserve">, as follows: </w:t>
      </w:r>
    </w:p>
    <w:p w14:paraId="4E8D6BF5" w14:textId="77777777" w:rsidR="007101FF" w:rsidRDefault="007101FF" w:rsidP="00417256">
      <w:pPr>
        <w:jc w:val="both"/>
        <w:rPr>
          <w:rFonts w:ascii="Avenir Next" w:hAnsi="Avenir Next" w:cs="Arial"/>
          <w:color w:val="808080" w:themeColor="background1" w:themeShade="80"/>
          <w:sz w:val="22"/>
          <w:szCs w:val="22"/>
        </w:rPr>
      </w:pPr>
    </w:p>
    <w:p w14:paraId="433275F1" w14:textId="77777777" w:rsidR="00E37D15" w:rsidRPr="00E76B78" w:rsidRDefault="00E37D15" w:rsidP="00E37D15">
      <w:pPr>
        <w:ind w:left="720"/>
        <w:jc w:val="both"/>
        <w:rPr>
          <w:rFonts w:ascii="Avenir Next" w:hAnsi="Avenir Next" w:cs="Arial"/>
          <w:i/>
          <w:iCs/>
          <w:color w:val="808080" w:themeColor="background1" w:themeShade="80"/>
          <w:sz w:val="22"/>
          <w:szCs w:val="22"/>
        </w:rPr>
      </w:pPr>
      <w:r w:rsidRPr="001E1374">
        <w:rPr>
          <w:rFonts w:ascii="Avenir Next" w:hAnsi="Avenir Next" w:cs="Arial"/>
          <w:i/>
          <w:iCs/>
          <w:color w:val="808080" w:themeColor="background1" w:themeShade="80"/>
          <w:sz w:val="22"/>
          <w:szCs w:val="22"/>
        </w:rPr>
        <w:t>Article 21</w:t>
      </w:r>
    </w:p>
    <w:p w14:paraId="0DB6A43A" w14:textId="1599AA99" w:rsidR="00E37D15" w:rsidRPr="001E1374" w:rsidRDefault="00E37D15" w:rsidP="00E37D15">
      <w:pPr>
        <w:ind w:left="720"/>
        <w:jc w:val="both"/>
        <w:rPr>
          <w:rFonts w:ascii="Avenir Next" w:hAnsi="Avenir Next" w:cs="Arial"/>
          <w:i/>
          <w:iCs/>
          <w:color w:val="808080" w:themeColor="background1" w:themeShade="80"/>
          <w:sz w:val="22"/>
          <w:szCs w:val="22"/>
        </w:rPr>
      </w:pPr>
      <w:r w:rsidRPr="001E1374">
        <w:rPr>
          <w:rFonts w:ascii="Avenir Next" w:hAnsi="Avenir Next" w:cs="Arial"/>
          <w:b/>
          <w:bCs/>
          <w:i/>
          <w:iCs/>
          <w:color w:val="808080" w:themeColor="background1" w:themeShade="80"/>
          <w:sz w:val="22"/>
          <w:szCs w:val="22"/>
        </w:rPr>
        <w:t>Powers of the insolvency practitioner</w:t>
      </w:r>
    </w:p>
    <w:p w14:paraId="32C6ED75" w14:textId="77777777" w:rsidR="00E37D15" w:rsidRPr="001E1374" w:rsidRDefault="00E37D15" w:rsidP="00E37D15">
      <w:pPr>
        <w:ind w:left="720"/>
        <w:jc w:val="both"/>
        <w:rPr>
          <w:rFonts w:ascii="Avenir Next" w:hAnsi="Avenir Next" w:cs="Arial"/>
          <w:b/>
          <w:bCs/>
          <w:i/>
          <w:iCs/>
          <w:color w:val="808080" w:themeColor="background1" w:themeShade="80"/>
          <w:sz w:val="22"/>
          <w:szCs w:val="22"/>
        </w:rPr>
      </w:pPr>
      <w:r w:rsidRPr="001E1374">
        <w:rPr>
          <w:rFonts w:ascii="Avenir Next" w:hAnsi="Avenir Next" w:cs="Arial"/>
          <w:i/>
          <w:iCs/>
          <w:color w:val="808080" w:themeColor="background1" w:themeShade="80"/>
          <w:sz w:val="22"/>
          <w:szCs w:val="22"/>
        </w:rPr>
        <w:t xml:space="preserve">1.The insolvency practitioner appointed by a court which has jurisdiction pursuant to Article 3(1) may exercise all the powers conferred on it, by the law of the State of the opening of proceedings, in another Member State, as long as no other insolvency proceedings have been opened there and no preservation measure to the contrary has been taken there further to a request for the opening of insolvency proceedings in that State. </w:t>
      </w:r>
      <w:r w:rsidRPr="001E1374">
        <w:rPr>
          <w:rFonts w:ascii="Avenir Next" w:hAnsi="Avenir Next" w:cs="Arial"/>
          <w:b/>
          <w:bCs/>
          <w:i/>
          <w:iCs/>
          <w:color w:val="808080" w:themeColor="background1" w:themeShade="80"/>
          <w:sz w:val="22"/>
          <w:szCs w:val="22"/>
        </w:rPr>
        <w:t xml:space="preserve">Subject to </w:t>
      </w:r>
      <w:r w:rsidRPr="001E1374">
        <w:rPr>
          <w:rFonts w:ascii="Avenir Next" w:hAnsi="Avenir Next" w:cs="Arial"/>
          <w:b/>
          <w:bCs/>
          <w:i/>
          <w:iCs/>
          <w:color w:val="808080" w:themeColor="background1" w:themeShade="80"/>
          <w:sz w:val="22"/>
          <w:szCs w:val="22"/>
          <w:u w:val="single"/>
        </w:rPr>
        <w:t>Articles 8</w:t>
      </w:r>
      <w:r w:rsidRPr="001E1374">
        <w:rPr>
          <w:rFonts w:ascii="Avenir Next" w:hAnsi="Avenir Next" w:cs="Arial"/>
          <w:b/>
          <w:bCs/>
          <w:i/>
          <w:iCs/>
          <w:color w:val="808080" w:themeColor="background1" w:themeShade="80"/>
          <w:sz w:val="22"/>
          <w:szCs w:val="22"/>
        </w:rPr>
        <w:t xml:space="preserve"> and 10, the insolvency practitioner may, in particular, remove the debtor's assets from the territory of the Member State in which they are situated.</w:t>
      </w:r>
    </w:p>
    <w:p w14:paraId="149077AD" w14:textId="77777777" w:rsidR="00E37D15" w:rsidRPr="001E1374" w:rsidRDefault="00E37D15" w:rsidP="00E37D15">
      <w:pPr>
        <w:ind w:left="720"/>
        <w:jc w:val="both"/>
        <w:rPr>
          <w:rFonts w:ascii="Avenir Next" w:hAnsi="Avenir Next" w:cs="Arial"/>
          <w:i/>
          <w:iCs/>
          <w:color w:val="808080" w:themeColor="background1" w:themeShade="80"/>
          <w:sz w:val="22"/>
          <w:szCs w:val="22"/>
        </w:rPr>
      </w:pPr>
      <w:r w:rsidRPr="001E1374">
        <w:rPr>
          <w:rFonts w:ascii="Avenir Next" w:hAnsi="Avenir Next" w:cs="Arial"/>
          <w:i/>
          <w:iCs/>
          <w:color w:val="808080" w:themeColor="background1" w:themeShade="80"/>
          <w:sz w:val="22"/>
          <w:szCs w:val="22"/>
        </w:rPr>
        <w:t>2.The insolvency practitioner appointed by a court which has jurisdiction pursuant to Article 3(2) may in any other Member State claim through the courts or out of court that moveable property was removed from the territory of the State of the opening of proceedings to the territory of that other Member State after the opening of the insolvency proceedings. The insolvency practitioner may also bring any action to set aside which is in the interests of the creditors.</w:t>
      </w:r>
    </w:p>
    <w:p w14:paraId="054BD6FB" w14:textId="77777777" w:rsidR="00E37D15" w:rsidRPr="001E1374" w:rsidRDefault="00E37D15" w:rsidP="00E37D15">
      <w:pPr>
        <w:ind w:left="720"/>
        <w:jc w:val="both"/>
        <w:rPr>
          <w:rFonts w:ascii="Avenir Next" w:hAnsi="Avenir Next" w:cs="Arial"/>
          <w:i/>
          <w:iCs/>
          <w:color w:val="808080" w:themeColor="background1" w:themeShade="80"/>
          <w:sz w:val="22"/>
          <w:szCs w:val="22"/>
        </w:rPr>
      </w:pPr>
      <w:r w:rsidRPr="001E1374">
        <w:rPr>
          <w:rFonts w:ascii="Avenir Next" w:hAnsi="Avenir Next" w:cs="Arial"/>
          <w:i/>
          <w:iCs/>
          <w:color w:val="808080" w:themeColor="background1" w:themeShade="80"/>
          <w:sz w:val="22"/>
          <w:szCs w:val="22"/>
        </w:rPr>
        <w:t xml:space="preserve">3.In exercising its powers, </w:t>
      </w:r>
      <w:r w:rsidRPr="001E1374">
        <w:rPr>
          <w:rFonts w:ascii="Avenir Next" w:hAnsi="Avenir Next" w:cs="Arial"/>
          <w:b/>
          <w:bCs/>
          <w:i/>
          <w:iCs/>
          <w:color w:val="808080" w:themeColor="background1" w:themeShade="80"/>
          <w:sz w:val="22"/>
          <w:szCs w:val="22"/>
        </w:rPr>
        <w:t>the insolvency practitioner shall comply with the law of the Member State within the territory of which it intends to take action, in particular with regard to procedures for the realisation of assets. Those powers may not include coercive measures, unless ordered by a court of that Member State, or the right to rule on legal proceedings or disputes</w:t>
      </w:r>
      <w:r w:rsidRPr="001E1374">
        <w:rPr>
          <w:rFonts w:ascii="Avenir Next" w:hAnsi="Avenir Next" w:cs="Arial"/>
          <w:i/>
          <w:iCs/>
          <w:color w:val="808080" w:themeColor="background1" w:themeShade="80"/>
          <w:sz w:val="22"/>
          <w:szCs w:val="22"/>
        </w:rPr>
        <w:t>.</w:t>
      </w:r>
    </w:p>
    <w:p w14:paraId="6B8CB5C3" w14:textId="77777777" w:rsidR="00E37D15" w:rsidRPr="00E76B78" w:rsidRDefault="00E37D15" w:rsidP="00417256">
      <w:pPr>
        <w:jc w:val="both"/>
        <w:rPr>
          <w:rFonts w:ascii="Avenir Next" w:hAnsi="Avenir Next" w:cs="Arial"/>
          <w:i/>
          <w:iCs/>
          <w:color w:val="808080" w:themeColor="background1" w:themeShade="80"/>
          <w:sz w:val="22"/>
          <w:szCs w:val="22"/>
        </w:rPr>
      </w:pPr>
    </w:p>
    <w:p w14:paraId="1AF39563" w14:textId="77777777" w:rsidR="00E37D15" w:rsidRPr="00E76B78" w:rsidRDefault="00E37D15" w:rsidP="00417256">
      <w:pPr>
        <w:jc w:val="both"/>
        <w:rPr>
          <w:rFonts w:ascii="Avenir Next" w:hAnsi="Avenir Next" w:cs="Arial"/>
          <w:i/>
          <w:iCs/>
          <w:color w:val="808080" w:themeColor="background1" w:themeShade="80"/>
          <w:sz w:val="22"/>
          <w:szCs w:val="22"/>
        </w:rPr>
      </w:pPr>
    </w:p>
    <w:p w14:paraId="65642AE7" w14:textId="77777777" w:rsidR="001B011F" w:rsidRPr="00E76B78" w:rsidRDefault="001B011F" w:rsidP="00E37D15">
      <w:pPr>
        <w:ind w:left="720"/>
        <w:jc w:val="both"/>
        <w:rPr>
          <w:rFonts w:ascii="Avenir Next" w:hAnsi="Avenir Next" w:cs="Arial"/>
          <w:i/>
          <w:iCs/>
          <w:color w:val="808080" w:themeColor="background1" w:themeShade="80"/>
          <w:sz w:val="22"/>
          <w:szCs w:val="22"/>
        </w:rPr>
      </w:pPr>
      <w:r w:rsidRPr="001B011F">
        <w:rPr>
          <w:rFonts w:ascii="Avenir Next" w:hAnsi="Avenir Next" w:cs="Arial"/>
          <w:i/>
          <w:iCs/>
          <w:color w:val="808080" w:themeColor="background1" w:themeShade="80"/>
          <w:sz w:val="22"/>
          <w:szCs w:val="22"/>
        </w:rPr>
        <w:t>Article 8</w:t>
      </w:r>
    </w:p>
    <w:p w14:paraId="730A419A" w14:textId="3D32EABD" w:rsidR="001B011F" w:rsidRPr="001B011F" w:rsidRDefault="001B011F" w:rsidP="00E37D15">
      <w:pPr>
        <w:ind w:left="720"/>
        <w:jc w:val="both"/>
        <w:rPr>
          <w:rFonts w:ascii="Avenir Next" w:hAnsi="Avenir Next" w:cs="Arial"/>
          <w:i/>
          <w:iCs/>
          <w:color w:val="808080" w:themeColor="background1" w:themeShade="80"/>
          <w:sz w:val="22"/>
          <w:szCs w:val="22"/>
        </w:rPr>
      </w:pPr>
      <w:r w:rsidRPr="001B011F">
        <w:rPr>
          <w:rFonts w:ascii="Avenir Next" w:hAnsi="Avenir Next" w:cs="Arial"/>
          <w:b/>
          <w:bCs/>
          <w:i/>
          <w:iCs/>
          <w:color w:val="808080" w:themeColor="background1" w:themeShade="80"/>
          <w:sz w:val="22"/>
          <w:szCs w:val="22"/>
        </w:rPr>
        <w:t>Third parties' rights in rem</w:t>
      </w:r>
    </w:p>
    <w:p w14:paraId="6B83A156" w14:textId="77777777" w:rsidR="001B011F" w:rsidRPr="001B011F" w:rsidRDefault="001B011F" w:rsidP="00E37D15">
      <w:pPr>
        <w:ind w:left="720"/>
        <w:jc w:val="both"/>
        <w:rPr>
          <w:rFonts w:ascii="Avenir Next" w:hAnsi="Avenir Next" w:cs="Arial"/>
          <w:i/>
          <w:iCs/>
          <w:color w:val="808080" w:themeColor="background1" w:themeShade="80"/>
          <w:sz w:val="22"/>
          <w:szCs w:val="22"/>
        </w:rPr>
      </w:pPr>
      <w:r w:rsidRPr="001B011F">
        <w:rPr>
          <w:rFonts w:ascii="Avenir Next" w:hAnsi="Avenir Next" w:cs="Arial"/>
          <w:i/>
          <w:iCs/>
          <w:color w:val="808080" w:themeColor="background1" w:themeShade="80"/>
          <w:sz w:val="22"/>
          <w:szCs w:val="22"/>
        </w:rPr>
        <w:t>1.</w:t>
      </w:r>
      <w:r w:rsidRPr="001B011F">
        <w:rPr>
          <w:rFonts w:ascii="Avenir Next" w:hAnsi="Avenir Next" w:cs="Arial"/>
          <w:b/>
          <w:bCs/>
          <w:i/>
          <w:iCs/>
          <w:color w:val="808080" w:themeColor="background1" w:themeShade="80"/>
          <w:sz w:val="22"/>
          <w:szCs w:val="22"/>
        </w:rPr>
        <w:t>The opening of insolvency proceedings shall not affect the rights in rem of creditors or third parties in respect of tangible or intangible, moveable or immoveable assets, both specific assets and collections of indefinite assets as a whole which change from time to time, belonging to the debtor which are situated within the territory of another Member State at the time of the opening of proceedings</w:t>
      </w:r>
      <w:r w:rsidRPr="001B011F">
        <w:rPr>
          <w:rFonts w:ascii="Avenir Next" w:hAnsi="Avenir Next" w:cs="Arial"/>
          <w:i/>
          <w:iCs/>
          <w:color w:val="808080" w:themeColor="background1" w:themeShade="80"/>
          <w:sz w:val="22"/>
          <w:szCs w:val="22"/>
        </w:rPr>
        <w:t>.</w:t>
      </w:r>
    </w:p>
    <w:p w14:paraId="33D14BC4" w14:textId="77777777" w:rsidR="001B011F" w:rsidRPr="001B011F" w:rsidRDefault="001B011F" w:rsidP="00E37D15">
      <w:pPr>
        <w:ind w:left="720"/>
        <w:jc w:val="both"/>
        <w:rPr>
          <w:rFonts w:ascii="Avenir Next" w:hAnsi="Avenir Next" w:cs="Arial"/>
          <w:i/>
          <w:iCs/>
          <w:color w:val="808080" w:themeColor="background1" w:themeShade="80"/>
          <w:sz w:val="22"/>
          <w:szCs w:val="22"/>
        </w:rPr>
      </w:pPr>
      <w:r w:rsidRPr="001B011F">
        <w:rPr>
          <w:rFonts w:ascii="Avenir Next" w:hAnsi="Avenir Next" w:cs="Arial"/>
          <w:i/>
          <w:iCs/>
          <w:color w:val="808080" w:themeColor="background1" w:themeShade="80"/>
          <w:sz w:val="22"/>
          <w:szCs w:val="22"/>
        </w:rPr>
        <w:t>2.The rights referred to in paragraph 1 shall, in particular, mean:</w:t>
      </w:r>
    </w:p>
    <w:p w14:paraId="7F546ADA" w14:textId="77777777" w:rsidR="001B011F" w:rsidRPr="001B011F" w:rsidRDefault="001B011F" w:rsidP="00E37D15">
      <w:pPr>
        <w:ind w:left="720"/>
        <w:jc w:val="both"/>
        <w:rPr>
          <w:rFonts w:ascii="Avenir Next" w:hAnsi="Avenir Next" w:cs="Arial"/>
          <w:i/>
          <w:iCs/>
          <w:color w:val="808080" w:themeColor="background1" w:themeShade="80"/>
          <w:sz w:val="22"/>
          <w:szCs w:val="22"/>
        </w:rPr>
      </w:pPr>
      <w:r w:rsidRPr="001B011F">
        <w:rPr>
          <w:rFonts w:ascii="Avenir Next" w:hAnsi="Avenir Next" w:cs="Arial"/>
          <w:i/>
          <w:iCs/>
          <w:color w:val="808080" w:themeColor="background1" w:themeShade="80"/>
          <w:sz w:val="22"/>
          <w:szCs w:val="22"/>
        </w:rPr>
        <w:t>(a)the right to dispose of assets or have them disposed of and to obtain satisfaction from the proceeds of or income from those assets, in particular by virtue of a lien or a mortgage;</w:t>
      </w:r>
    </w:p>
    <w:p w14:paraId="6494266D" w14:textId="77777777" w:rsidR="001B011F" w:rsidRPr="001B011F" w:rsidRDefault="001B011F" w:rsidP="00E37D15">
      <w:pPr>
        <w:ind w:left="720"/>
        <w:jc w:val="both"/>
        <w:rPr>
          <w:rFonts w:ascii="Avenir Next" w:hAnsi="Avenir Next" w:cs="Arial"/>
          <w:i/>
          <w:iCs/>
          <w:color w:val="808080" w:themeColor="background1" w:themeShade="80"/>
          <w:sz w:val="22"/>
          <w:szCs w:val="22"/>
        </w:rPr>
      </w:pPr>
      <w:r w:rsidRPr="001B011F">
        <w:rPr>
          <w:rFonts w:ascii="Avenir Next" w:hAnsi="Avenir Next" w:cs="Arial"/>
          <w:i/>
          <w:iCs/>
          <w:color w:val="808080" w:themeColor="background1" w:themeShade="80"/>
          <w:sz w:val="22"/>
          <w:szCs w:val="22"/>
        </w:rPr>
        <w:t>(b)the exclusive right to have a claim met, in particular a right guaranteed by a lien in respect of the claim or by assignment of the claim by way of a guarantee;</w:t>
      </w:r>
    </w:p>
    <w:p w14:paraId="22931FE8" w14:textId="77777777" w:rsidR="001B011F" w:rsidRPr="001B011F" w:rsidRDefault="001B011F" w:rsidP="00E37D15">
      <w:pPr>
        <w:ind w:left="720"/>
        <w:jc w:val="both"/>
        <w:rPr>
          <w:rFonts w:ascii="Avenir Next" w:hAnsi="Avenir Next" w:cs="Arial"/>
          <w:i/>
          <w:iCs/>
          <w:color w:val="808080" w:themeColor="background1" w:themeShade="80"/>
          <w:sz w:val="22"/>
          <w:szCs w:val="22"/>
        </w:rPr>
      </w:pPr>
      <w:r w:rsidRPr="001B011F">
        <w:rPr>
          <w:rFonts w:ascii="Avenir Next" w:hAnsi="Avenir Next" w:cs="Arial"/>
          <w:i/>
          <w:iCs/>
          <w:color w:val="808080" w:themeColor="background1" w:themeShade="80"/>
          <w:sz w:val="22"/>
          <w:szCs w:val="22"/>
        </w:rPr>
        <w:t>(c)the right to demand assets from, and/or to require restitution by, anyone having possession or use of them contrary to the wishes of the party so entitled;</w:t>
      </w:r>
    </w:p>
    <w:p w14:paraId="013BC7E0" w14:textId="77777777" w:rsidR="001B011F" w:rsidRPr="001B011F" w:rsidRDefault="001B011F" w:rsidP="00E37D15">
      <w:pPr>
        <w:ind w:left="720"/>
        <w:jc w:val="both"/>
        <w:rPr>
          <w:rFonts w:ascii="Avenir Next" w:hAnsi="Avenir Next" w:cs="Arial"/>
          <w:i/>
          <w:iCs/>
          <w:color w:val="808080" w:themeColor="background1" w:themeShade="80"/>
          <w:sz w:val="22"/>
          <w:szCs w:val="22"/>
        </w:rPr>
      </w:pPr>
      <w:r w:rsidRPr="001B011F">
        <w:rPr>
          <w:rFonts w:ascii="Avenir Next" w:hAnsi="Avenir Next" w:cs="Arial"/>
          <w:i/>
          <w:iCs/>
          <w:color w:val="808080" w:themeColor="background1" w:themeShade="80"/>
          <w:sz w:val="22"/>
          <w:szCs w:val="22"/>
        </w:rPr>
        <w:t>(d)a right in rem to the beneficial use of assets.</w:t>
      </w:r>
    </w:p>
    <w:p w14:paraId="6D6F7F84" w14:textId="77777777" w:rsidR="001B011F" w:rsidRPr="001B011F" w:rsidRDefault="001B011F" w:rsidP="00E37D15">
      <w:pPr>
        <w:ind w:left="720"/>
        <w:jc w:val="both"/>
        <w:rPr>
          <w:rFonts w:ascii="Avenir Next" w:hAnsi="Avenir Next" w:cs="Arial"/>
          <w:i/>
          <w:iCs/>
          <w:color w:val="808080" w:themeColor="background1" w:themeShade="80"/>
          <w:sz w:val="22"/>
          <w:szCs w:val="22"/>
        </w:rPr>
      </w:pPr>
      <w:r w:rsidRPr="001B011F">
        <w:rPr>
          <w:rFonts w:ascii="Avenir Next" w:hAnsi="Avenir Next" w:cs="Arial"/>
          <w:i/>
          <w:iCs/>
          <w:color w:val="808080" w:themeColor="background1" w:themeShade="80"/>
          <w:sz w:val="22"/>
          <w:szCs w:val="22"/>
        </w:rPr>
        <w:t>3.The right, recorded in a public register and enforceable against third parties, based on which a right in rem within the meaning of paragraph 1 may be obtained shall be considered to be a right in rem.</w:t>
      </w:r>
    </w:p>
    <w:p w14:paraId="697BCC0F" w14:textId="77777777" w:rsidR="001B011F" w:rsidRPr="001B011F" w:rsidRDefault="001B011F" w:rsidP="00E37D15">
      <w:pPr>
        <w:ind w:left="720"/>
        <w:jc w:val="both"/>
        <w:rPr>
          <w:rFonts w:ascii="Avenir Next" w:hAnsi="Avenir Next" w:cs="Arial"/>
          <w:i/>
          <w:iCs/>
          <w:color w:val="808080" w:themeColor="background1" w:themeShade="80"/>
          <w:sz w:val="22"/>
          <w:szCs w:val="22"/>
        </w:rPr>
      </w:pPr>
      <w:r w:rsidRPr="001B011F">
        <w:rPr>
          <w:rFonts w:ascii="Avenir Next" w:hAnsi="Avenir Next" w:cs="Arial"/>
          <w:i/>
          <w:iCs/>
          <w:color w:val="808080" w:themeColor="background1" w:themeShade="80"/>
          <w:sz w:val="22"/>
          <w:szCs w:val="22"/>
        </w:rPr>
        <w:t>4.Paragraph 1 shall not preclude actions for voidness, voidability or unenforceability as referred to in point (m) of Article 7(2).</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PargrafodaLista"/>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20565821" w14:textId="61E591AE" w:rsidR="00C3539F" w:rsidRPr="00C8631D" w:rsidRDefault="00B07ACE" w:rsidP="002253D8">
      <w:pPr>
        <w:jc w:val="both"/>
        <w:rPr>
          <w:rFonts w:ascii="Avenir Next" w:hAnsi="Avenir Next" w:cs="Arial"/>
          <w:color w:val="808080" w:themeColor="background1" w:themeShade="80"/>
          <w:sz w:val="22"/>
          <w:szCs w:val="28"/>
        </w:rPr>
      </w:pPr>
      <w:r w:rsidRPr="003C4C09">
        <w:rPr>
          <w:rFonts w:ascii="Avenir Next" w:hAnsi="Avenir Next" w:cs="Arial"/>
          <w:color w:val="808080" w:themeColor="background1" w:themeShade="80"/>
          <w:sz w:val="22"/>
          <w:szCs w:val="28"/>
        </w:rPr>
        <w:t>UNCITRAL Model Law on Cross-Border Insolvency</w:t>
      </w:r>
      <w:r w:rsidRPr="003C4C09">
        <w:rPr>
          <w:rFonts w:ascii="Avenir Next" w:hAnsi="Avenir Next" w:cs="Arial"/>
          <w:color w:val="808080" w:themeColor="background1" w:themeShade="80"/>
          <w:sz w:val="22"/>
          <w:szCs w:val="28"/>
        </w:rPr>
        <w:t xml:space="preserve"> </w:t>
      </w:r>
      <w:r w:rsidR="00BD7D16" w:rsidRPr="003C4C09">
        <w:rPr>
          <w:rFonts w:ascii="Avenir Next" w:hAnsi="Avenir Next" w:cs="Arial"/>
          <w:color w:val="808080" w:themeColor="background1" w:themeShade="80"/>
          <w:sz w:val="22"/>
          <w:szCs w:val="28"/>
        </w:rPr>
        <w:t>was adop</w:t>
      </w:r>
      <w:r w:rsidR="00E83B37" w:rsidRPr="003C4C09">
        <w:rPr>
          <w:rFonts w:ascii="Avenir Next" w:hAnsi="Avenir Next" w:cs="Arial"/>
          <w:color w:val="808080" w:themeColor="background1" w:themeShade="80"/>
          <w:sz w:val="22"/>
          <w:szCs w:val="28"/>
        </w:rPr>
        <w:t xml:space="preserve">ted in Australia </w:t>
      </w:r>
      <w:r w:rsidR="00D46B5D" w:rsidRPr="003C4C09">
        <w:rPr>
          <w:rFonts w:ascii="Avenir Next" w:hAnsi="Avenir Next" w:cs="Arial"/>
          <w:color w:val="808080" w:themeColor="background1" w:themeShade="80"/>
          <w:sz w:val="22"/>
          <w:szCs w:val="28"/>
        </w:rPr>
        <w:t xml:space="preserve">by the means of </w:t>
      </w:r>
      <w:r w:rsidR="00DE3803" w:rsidRPr="00323F93">
        <w:rPr>
          <w:rFonts w:ascii="Avenir Next" w:hAnsi="Avenir Next" w:cs="Arial"/>
          <w:b/>
          <w:bCs/>
          <w:color w:val="808080" w:themeColor="background1" w:themeShade="80"/>
          <w:sz w:val="22"/>
          <w:szCs w:val="28"/>
        </w:rPr>
        <w:t>Cross-Border Insolvency Act 2008</w:t>
      </w:r>
      <w:r w:rsidR="005D0DFB">
        <w:rPr>
          <w:rFonts w:ascii="Avenir Next" w:hAnsi="Avenir Next" w:cs="Arial"/>
          <w:color w:val="808080" w:themeColor="background1" w:themeShade="80"/>
          <w:sz w:val="22"/>
          <w:szCs w:val="28"/>
        </w:rPr>
        <w:t xml:space="preserve">, which shall apply </w:t>
      </w:r>
      <w:r w:rsidR="00F13EDE">
        <w:rPr>
          <w:rFonts w:ascii="Avenir Next" w:hAnsi="Avenir Next" w:cs="Arial"/>
          <w:color w:val="808080" w:themeColor="background1" w:themeShade="80"/>
          <w:sz w:val="22"/>
          <w:szCs w:val="28"/>
        </w:rPr>
        <w:t>in this case</w:t>
      </w:r>
      <w:r w:rsidR="00CF02D7">
        <w:rPr>
          <w:rFonts w:ascii="Avenir Next" w:hAnsi="Avenir Next" w:cs="Arial"/>
          <w:color w:val="808080" w:themeColor="background1" w:themeShade="80"/>
          <w:sz w:val="22"/>
          <w:szCs w:val="28"/>
        </w:rPr>
        <w:t>, alongside with</w:t>
      </w:r>
      <w:r w:rsidR="00C8631D">
        <w:rPr>
          <w:rFonts w:ascii="Avenir Next" w:hAnsi="Avenir Next" w:cs="Arial"/>
          <w:color w:val="808080" w:themeColor="background1" w:themeShade="80"/>
          <w:sz w:val="22"/>
          <w:szCs w:val="28"/>
        </w:rPr>
        <w:t xml:space="preserve"> the Corporations Act 2001, especially its</w:t>
      </w:r>
      <w:r w:rsidR="00CF02D7">
        <w:rPr>
          <w:rFonts w:ascii="Avenir Next" w:hAnsi="Avenir Next" w:cs="Arial"/>
          <w:color w:val="808080" w:themeColor="background1" w:themeShade="80"/>
          <w:sz w:val="22"/>
          <w:szCs w:val="28"/>
        </w:rPr>
        <w:t xml:space="preserve"> </w:t>
      </w:r>
      <w:r w:rsidR="00C3539F" w:rsidRPr="00C8631D">
        <w:rPr>
          <w:rFonts w:ascii="Avenir Next" w:hAnsi="Avenir Next" w:cs="Arial"/>
          <w:color w:val="808080" w:themeColor="background1" w:themeShade="80"/>
          <w:sz w:val="22"/>
          <w:szCs w:val="28"/>
        </w:rPr>
        <w:t xml:space="preserve">Schedule 2 </w:t>
      </w:r>
      <w:r w:rsidR="007652AC" w:rsidRPr="00C8631D">
        <w:rPr>
          <w:rFonts w:ascii="Avenir Next" w:hAnsi="Avenir Next" w:cs="Arial"/>
          <w:color w:val="808080" w:themeColor="background1" w:themeShade="80"/>
          <w:sz w:val="22"/>
          <w:szCs w:val="28"/>
        </w:rPr>
        <w:t>(</w:t>
      </w:r>
      <w:r w:rsidR="00FB3254" w:rsidRPr="00C8631D">
        <w:rPr>
          <w:rFonts w:ascii="Avenir Next" w:hAnsi="Avenir Next" w:cs="Arial"/>
          <w:color w:val="808080" w:themeColor="background1" w:themeShade="80"/>
          <w:sz w:val="22"/>
          <w:szCs w:val="28"/>
        </w:rPr>
        <w:t xml:space="preserve">Insolvency Practice Schedule </w:t>
      </w:r>
      <w:r w:rsidR="00FB3254" w:rsidRPr="00C8631D">
        <w:rPr>
          <w:rFonts w:ascii="Avenir Next" w:hAnsi="Avenir Next" w:cs="Arial"/>
          <w:color w:val="808080" w:themeColor="background1" w:themeShade="80"/>
          <w:sz w:val="22"/>
          <w:szCs w:val="28"/>
        </w:rPr>
        <w:t xml:space="preserve">for Corporations) </w:t>
      </w:r>
      <w:r w:rsidR="007652AC" w:rsidRPr="00C8631D">
        <w:rPr>
          <w:rFonts w:ascii="Avenir Next" w:hAnsi="Avenir Next" w:cs="Arial"/>
          <w:color w:val="808080" w:themeColor="background1" w:themeShade="80"/>
          <w:sz w:val="22"/>
          <w:szCs w:val="28"/>
        </w:rPr>
        <w:t xml:space="preserve">and </w:t>
      </w:r>
      <w:r w:rsidR="00C8631D" w:rsidRPr="00C8631D">
        <w:rPr>
          <w:rFonts w:ascii="Avenir Next" w:hAnsi="Avenir Next" w:cs="Arial"/>
          <w:color w:val="808080" w:themeColor="background1" w:themeShade="80"/>
          <w:sz w:val="22"/>
          <w:szCs w:val="28"/>
        </w:rPr>
        <w:t xml:space="preserve">its </w:t>
      </w:r>
      <w:r w:rsidR="007652AC" w:rsidRPr="00C8631D">
        <w:rPr>
          <w:rFonts w:ascii="Avenir Next" w:hAnsi="Avenir Next" w:cs="Arial"/>
          <w:color w:val="808080" w:themeColor="background1" w:themeShade="80"/>
          <w:sz w:val="22"/>
          <w:szCs w:val="28"/>
        </w:rPr>
        <w:t xml:space="preserve">sections 580-581 </w:t>
      </w:r>
      <w:r w:rsidR="00FB3254" w:rsidRPr="00C8631D">
        <w:rPr>
          <w:rFonts w:ascii="Avenir Next" w:hAnsi="Avenir Next" w:cs="Arial"/>
          <w:color w:val="808080" w:themeColor="background1" w:themeShade="80"/>
          <w:sz w:val="22"/>
          <w:szCs w:val="28"/>
        </w:rPr>
        <w:t>(cooperation between Australia and foreign</w:t>
      </w:r>
      <w:r w:rsidR="00C8631D" w:rsidRPr="00C8631D">
        <w:rPr>
          <w:rFonts w:ascii="Avenir Next" w:hAnsi="Avenir Next" w:cs="Arial"/>
          <w:color w:val="808080" w:themeColor="background1" w:themeShade="80"/>
          <w:sz w:val="22"/>
          <w:szCs w:val="28"/>
        </w:rPr>
        <w:t xml:space="preserve"> courts in external administration).</w:t>
      </w:r>
    </w:p>
    <w:p w14:paraId="66E3C20E" w14:textId="576ED10D" w:rsidR="002253D8" w:rsidRPr="002253D8" w:rsidRDefault="002253D8" w:rsidP="00E76B78">
      <w:pPr>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800D" w14:textId="77777777" w:rsidR="001563B1" w:rsidRDefault="001563B1" w:rsidP="00241B44">
      <w:r>
        <w:separator/>
      </w:r>
    </w:p>
  </w:endnote>
  <w:endnote w:type="continuationSeparator" w:id="0">
    <w:p w14:paraId="704FE74A" w14:textId="77777777" w:rsidR="001563B1" w:rsidRDefault="001563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Rodap"/>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6F8641D8" w:rsidR="00B64A85" w:rsidRPr="00297BDF" w:rsidRDefault="00C64923" w:rsidP="00C64923">
    <w:pPr>
      <w:pStyle w:val="Rodap"/>
      <w:ind w:right="360"/>
      <w:rPr>
        <w:rFonts w:ascii="Avenir Next" w:hAnsi="Avenir Next" w:cs="Arial"/>
        <w:sz w:val="22"/>
        <w:szCs w:val="22"/>
      </w:rPr>
    </w:pPr>
    <w:r w:rsidRPr="00C64923">
      <w:rPr>
        <w:rFonts w:ascii="Avenir Next" w:hAnsi="Avenir Next" w:cs="Arial"/>
        <w:sz w:val="22"/>
        <w:szCs w:val="22"/>
      </w:rPr>
      <w:t>202223-875.assessment1summative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CFF2" w14:textId="77777777" w:rsidR="001563B1" w:rsidRDefault="001563B1" w:rsidP="00241B44">
      <w:r>
        <w:separator/>
      </w:r>
    </w:p>
  </w:footnote>
  <w:footnote w:type="continuationSeparator" w:id="0">
    <w:p w14:paraId="6FDD9E22" w14:textId="77777777" w:rsidR="001563B1" w:rsidRDefault="001563B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AE347A9"/>
    <w:multiLevelType w:val="multilevel"/>
    <w:tmpl w:val="373A0B16"/>
    <w:lvl w:ilvl="0">
      <w:start w:val="1"/>
      <w:numFmt w:val="lowerRoman"/>
      <w:lvlText w:val="(%1)"/>
      <w:lvlJc w:val="left"/>
      <w:pPr>
        <w:tabs>
          <w:tab w:val="num" w:pos="720"/>
        </w:tabs>
        <w:ind w:left="720" w:hanging="360"/>
      </w:pPr>
      <w:rPr>
        <w:rFonts w:ascii="Avenir Next" w:eastAsia="Times New Roman" w:hAnsi="Avenir Nex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D16A37"/>
    <w:multiLevelType w:val="multilevel"/>
    <w:tmpl w:val="24A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6B2588F"/>
    <w:multiLevelType w:val="multilevel"/>
    <w:tmpl w:val="73D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A1"/>
    <w:multiLevelType w:val="multilevel"/>
    <w:tmpl w:val="3768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9ED7435"/>
    <w:multiLevelType w:val="multilevel"/>
    <w:tmpl w:val="AA90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9"/>
  </w:num>
  <w:num w:numId="2" w16cid:durableId="460732777">
    <w:abstractNumId w:val="36"/>
  </w:num>
  <w:num w:numId="3" w16cid:durableId="1558668659">
    <w:abstractNumId w:val="3"/>
  </w:num>
  <w:num w:numId="4" w16cid:durableId="737018892">
    <w:abstractNumId w:val="5"/>
  </w:num>
  <w:num w:numId="5" w16cid:durableId="1158809076">
    <w:abstractNumId w:val="24"/>
  </w:num>
  <w:num w:numId="6" w16cid:durableId="415711827">
    <w:abstractNumId w:val="31"/>
  </w:num>
  <w:num w:numId="7" w16cid:durableId="1401949473">
    <w:abstractNumId w:val="16"/>
  </w:num>
  <w:num w:numId="8" w16cid:durableId="269552992">
    <w:abstractNumId w:val="37"/>
  </w:num>
  <w:num w:numId="9" w16cid:durableId="1367413161">
    <w:abstractNumId w:val="15"/>
  </w:num>
  <w:num w:numId="10" w16cid:durableId="220823057">
    <w:abstractNumId w:val="33"/>
  </w:num>
  <w:num w:numId="11" w16cid:durableId="858086195">
    <w:abstractNumId w:val="11"/>
  </w:num>
  <w:num w:numId="12" w16cid:durableId="2144808366">
    <w:abstractNumId w:val="34"/>
  </w:num>
  <w:num w:numId="13" w16cid:durableId="1139104618">
    <w:abstractNumId w:val="23"/>
  </w:num>
  <w:num w:numId="14" w16cid:durableId="1203787949">
    <w:abstractNumId w:val="22"/>
  </w:num>
  <w:num w:numId="15" w16cid:durableId="1140149903">
    <w:abstractNumId w:val="6"/>
  </w:num>
  <w:num w:numId="16" w16cid:durableId="1714226930">
    <w:abstractNumId w:val="25"/>
  </w:num>
  <w:num w:numId="17" w16cid:durableId="1711415350">
    <w:abstractNumId w:val="19"/>
  </w:num>
  <w:num w:numId="18" w16cid:durableId="35542391">
    <w:abstractNumId w:val="21"/>
  </w:num>
  <w:num w:numId="19" w16cid:durableId="2050493181">
    <w:abstractNumId w:val="28"/>
  </w:num>
  <w:num w:numId="20" w16cid:durableId="1469859581">
    <w:abstractNumId w:val="10"/>
  </w:num>
  <w:num w:numId="21" w16cid:durableId="408573765">
    <w:abstractNumId w:val="18"/>
  </w:num>
  <w:num w:numId="22" w16cid:durableId="482936912">
    <w:abstractNumId w:val="0"/>
  </w:num>
  <w:num w:numId="23" w16cid:durableId="1308701288">
    <w:abstractNumId w:val="27"/>
  </w:num>
  <w:num w:numId="24" w16cid:durableId="1716081525">
    <w:abstractNumId w:val="2"/>
  </w:num>
  <w:num w:numId="25" w16cid:durableId="797064315">
    <w:abstractNumId w:val="35"/>
  </w:num>
  <w:num w:numId="26" w16cid:durableId="824904852">
    <w:abstractNumId w:val="38"/>
  </w:num>
  <w:num w:numId="27" w16cid:durableId="372002461">
    <w:abstractNumId w:val="9"/>
  </w:num>
  <w:num w:numId="28" w16cid:durableId="1256015074">
    <w:abstractNumId w:val="8"/>
  </w:num>
  <w:num w:numId="29" w16cid:durableId="1376738983">
    <w:abstractNumId w:val="7"/>
  </w:num>
  <w:num w:numId="30" w16cid:durableId="1903177138">
    <w:abstractNumId w:val="13"/>
  </w:num>
  <w:num w:numId="31" w16cid:durableId="1164859915">
    <w:abstractNumId w:val="4"/>
  </w:num>
  <w:num w:numId="32" w16cid:durableId="684208392">
    <w:abstractNumId w:val="17"/>
  </w:num>
  <w:num w:numId="33" w16cid:durableId="732118212">
    <w:abstractNumId w:val="26"/>
  </w:num>
  <w:num w:numId="34" w16cid:durableId="1912503881">
    <w:abstractNumId w:val="14"/>
  </w:num>
  <w:num w:numId="35" w16cid:durableId="116261420">
    <w:abstractNumId w:val="12"/>
  </w:num>
  <w:num w:numId="36" w16cid:durableId="1319117684">
    <w:abstractNumId w:val="1"/>
  </w:num>
  <w:num w:numId="37" w16cid:durableId="1345550246">
    <w:abstractNumId w:val="32"/>
  </w:num>
  <w:num w:numId="38" w16cid:durableId="456796063">
    <w:abstractNumId w:val="30"/>
  </w:num>
  <w:num w:numId="39" w16cid:durableId="26057198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pt-BR" w:vendorID="64" w:dllVersion="0" w:nlCheck="1" w:checkStyle="0"/>
  <w:activeWritingStyle w:appName="MSWord" w:lang="en-AU" w:vendorID="64" w:dllVersion="0" w:nlCheck="1" w:checkStyle="0"/>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465"/>
    <w:rsid w:val="00010BA0"/>
    <w:rsid w:val="00015EE6"/>
    <w:rsid w:val="00020557"/>
    <w:rsid w:val="0002322B"/>
    <w:rsid w:val="000250C7"/>
    <w:rsid w:val="00025C83"/>
    <w:rsid w:val="00031918"/>
    <w:rsid w:val="00031AF0"/>
    <w:rsid w:val="000329A6"/>
    <w:rsid w:val="00034C0C"/>
    <w:rsid w:val="00037621"/>
    <w:rsid w:val="000419D4"/>
    <w:rsid w:val="00043365"/>
    <w:rsid w:val="000436F0"/>
    <w:rsid w:val="00043960"/>
    <w:rsid w:val="00044D46"/>
    <w:rsid w:val="00045088"/>
    <w:rsid w:val="00045904"/>
    <w:rsid w:val="00045DC7"/>
    <w:rsid w:val="00046789"/>
    <w:rsid w:val="0004781E"/>
    <w:rsid w:val="00051993"/>
    <w:rsid w:val="000521C4"/>
    <w:rsid w:val="00052A5E"/>
    <w:rsid w:val="0005310B"/>
    <w:rsid w:val="00054A55"/>
    <w:rsid w:val="00054DB2"/>
    <w:rsid w:val="00054EC2"/>
    <w:rsid w:val="00055EB9"/>
    <w:rsid w:val="00057BF2"/>
    <w:rsid w:val="00060847"/>
    <w:rsid w:val="0006130F"/>
    <w:rsid w:val="00062D42"/>
    <w:rsid w:val="00062E85"/>
    <w:rsid w:val="000649D1"/>
    <w:rsid w:val="00064C44"/>
    <w:rsid w:val="00065166"/>
    <w:rsid w:val="00066AE7"/>
    <w:rsid w:val="0007091D"/>
    <w:rsid w:val="000730F7"/>
    <w:rsid w:val="00076483"/>
    <w:rsid w:val="00080757"/>
    <w:rsid w:val="0008155B"/>
    <w:rsid w:val="000815BB"/>
    <w:rsid w:val="00081A63"/>
    <w:rsid w:val="00082609"/>
    <w:rsid w:val="0008457E"/>
    <w:rsid w:val="000851CC"/>
    <w:rsid w:val="00085349"/>
    <w:rsid w:val="00085D4B"/>
    <w:rsid w:val="00086BDD"/>
    <w:rsid w:val="00090933"/>
    <w:rsid w:val="00090D57"/>
    <w:rsid w:val="00092378"/>
    <w:rsid w:val="00093BE8"/>
    <w:rsid w:val="00093FE2"/>
    <w:rsid w:val="0009471C"/>
    <w:rsid w:val="0009504E"/>
    <w:rsid w:val="00095751"/>
    <w:rsid w:val="000977DC"/>
    <w:rsid w:val="000A01B9"/>
    <w:rsid w:val="000A0C1B"/>
    <w:rsid w:val="000A68ED"/>
    <w:rsid w:val="000A74CA"/>
    <w:rsid w:val="000A74D4"/>
    <w:rsid w:val="000B1584"/>
    <w:rsid w:val="000B2A31"/>
    <w:rsid w:val="000B35F4"/>
    <w:rsid w:val="000B5B93"/>
    <w:rsid w:val="000B5FF1"/>
    <w:rsid w:val="000B609F"/>
    <w:rsid w:val="000B6B56"/>
    <w:rsid w:val="000B6C6B"/>
    <w:rsid w:val="000D0C9F"/>
    <w:rsid w:val="000D55A8"/>
    <w:rsid w:val="000D57BE"/>
    <w:rsid w:val="000D67CB"/>
    <w:rsid w:val="000D6876"/>
    <w:rsid w:val="000E0165"/>
    <w:rsid w:val="000E34E9"/>
    <w:rsid w:val="000E3A82"/>
    <w:rsid w:val="000E3C5A"/>
    <w:rsid w:val="000E406D"/>
    <w:rsid w:val="000E4841"/>
    <w:rsid w:val="000E5CB4"/>
    <w:rsid w:val="000F0DC0"/>
    <w:rsid w:val="000F0FFF"/>
    <w:rsid w:val="000F1677"/>
    <w:rsid w:val="000F3387"/>
    <w:rsid w:val="000F3D6C"/>
    <w:rsid w:val="000F58B0"/>
    <w:rsid w:val="00100A77"/>
    <w:rsid w:val="00101707"/>
    <w:rsid w:val="0010235F"/>
    <w:rsid w:val="00102F47"/>
    <w:rsid w:val="00105CBD"/>
    <w:rsid w:val="001107F2"/>
    <w:rsid w:val="00110E0C"/>
    <w:rsid w:val="001131C6"/>
    <w:rsid w:val="0011473D"/>
    <w:rsid w:val="00115C85"/>
    <w:rsid w:val="001172A8"/>
    <w:rsid w:val="001174E6"/>
    <w:rsid w:val="00120B4D"/>
    <w:rsid w:val="001211E6"/>
    <w:rsid w:val="0012303D"/>
    <w:rsid w:val="00123855"/>
    <w:rsid w:val="00124B70"/>
    <w:rsid w:val="00125A7C"/>
    <w:rsid w:val="00126A4D"/>
    <w:rsid w:val="00131D42"/>
    <w:rsid w:val="0013278B"/>
    <w:rsid w:val="00135FFC"/>
    <w:rsid w:val="00136505"/>
    <w:rsid w:val="00137BFD"/>
    <w:rsid w:val="00140A05"/>
    <w:rsid w:val="0014171F"/>
    <w:rsid w:val="00142E15"/>
    <w:rsid w:val="0014622C"/>
    <w:rsid w:val="00150F6C"/>
    <w:rsid w:val="00152348"/>
    <w:rsid w:val="0015328F"/>
    <w:rsid w:val="0015456D"/>
    <w:rsid w:val="001563B1"/>
    <w:rsid w:val="00156B30"/>
    <w:rsid w:val="00161F1B"/>
    <w:rsid w:val="001620AF"/>
    <w:rsid w:val="00162829"/>
    <w:rsid w:val="001632BC"/>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690D"/>
    <w:rsid w:val="00192108"/>
    <w:rsid w:val="00193AB3"/>
    <w:rsid w:val="00193AD3"/>
    <w:rsid w:val="001966D9"/>
    <w:rsid w:val="00197963"/>
    <w:rsid w:val="001A3DD0"/>
    <w:rsid w:val="001A620B"/>
    <w:rsid w:val="001A716A"/>
    <w:rsid w:val="001A7E9A"/>
    <w:rsid w:val="001A7ECF"/>
    <w:rsid w:val="001B011F"/>
    <w:rsid w:val="001B0F70"/>
    <w:rsid w:val="001B5016"/>
    <w:rsid w:val="001B6CEE"/>
    <w:rsid w:val="001C055D"/>
    <w:rsid w:val="001C197B"/>
    <w:rsid w:val="001C45FC"/>
    <w:rsid w:val="001C594A"/>
    <w:rsid w:val="001D1BF7"/>
    <w:rsid w:val="001D2A27"/>
    <w:rsid w:val="001D4862"/>
    <w:rsid w:val="001D632F"/>
    <w:rsid w:val="001D7EF2"/>
    <w:rsid w:val="001E1374"/>
    <w:rsid w:val="001E18C9"/>
    <w:rsid w:val="001E1FB4"/>
    <w:rsid w:val="001E23FD"/>
    <w:rsid w:val="001E25B9"/>
    <w:rsid w:val="001E392F"/>
    <w:rsid w:val="001E4684"/>
    <w:rsid w:val="001E49E0"/>
    <w:rsid w:val="001E5E70"/>
    <w:rsid w:val="001E7B5A"/>
    <w:rsid w:val="001F0BCF"/>
    <w:rsid w:val="001F1478"/>
    <w:rsid w:val="001F28E9"/>
    <w:rsid w:val="001F2AF5"/>
    <w:rsid w:val="001F5204"/>
    <w:rsid w:val="001F530C"/>
    <w:rsid w:val="001F5ED1"/>
    <w:rsid w:val="001F603D"/>
    <w:rsid w:val="001F7412"/>
    <w:rsid w:val="001F7C77"/>
    <w:rsid w:val="00201386"/>
    <w:rsid w:val="002027A0"/>
    <w:rsid w:val="00202C2B"/>
    <w:rsid w:val="00205B31"/>
    <w:rsid w:val="0020725B"/>
    <w:rsid w:val="0020730B"/>
    <w:rsid w:val="00212B14"/>
    <w:rsid w:val="002151F3"/>
    <w:rsid w:val="00215D3C"/>
    <w:rsid w:val="00216499"/>
    <w:rsid w:val="002164C0"/>
    <w:rsid w:val="00216CB4"/>
    <w:rsid w:val="002173C5"/>
    <w:rsid w:val="00220E46"/>
    <w:rsid w:val="00223780"/>
    <w:rsid w:val="002253D8"/>
    <w:rsid w:val="0022719C"/>
    <w:rsid w:val="00231611"/>
    <w:rsid w:val="00231CAE"/>
    <w:rsid w:val="00231F38"/>
    <w:rsid w:val="002362AB"/>
    <w:rsid w:val="002400DB"/>
    <w:rsid w:val="002406A4"/>
    <w:rsid w:val="0024116D"/>
    <w:rsid w:val="00241B44"/>
    <w:rsid w:val="00245EFB"/>
    <w:rsid w:val="002475C6"/>
    <w:rsid w:val="002526C5"/>
    <w:rsid w:val="002529D2"/>
    <w:rsid w:val="0025386E"/>
    <w:rsid w:val="00254AB3"/>
    <w:rsid w:val="002638B0"/>
    <w:rsid w:val="0026510C"/>
    <w:rsid w:val="0026647A"/>
    <w:rsid w:val="002668D3"/>
    <w:rsid w:val="00266F17"/>
    <w:rsid w:val="002672D0"/>
    <w:rsid w:val="00270D04"/>
    <w:rsid w:val="0027242B"/>
    <w:rsid w:val="0027299F"/>
    <w:rsid w:val="00273988"/>
    <w:rsid w:val="00275182"/>
    <w:rsid w:val="00275946"/>
    <w:rsid w:val="00276414"/>
    <w:rsid w:val="00276FEA"/>
    <w:rsid w:val="002811B0"/>
    <w:rsid w:val="00281509"/>
    <w:rsid w:val="0028252D"/>
    <w:rsid w:val="00284EBE"/>
    <w:rsid w:val="00286720"/>
    <w:rsid w:val="002872E1"/>
    <w:rsid w:val="00287B2E"/>
    <w:rsid w:val="00287D4D"/>
    <w:rsid w:val="00290116"/>
    <w:rsid w:val="002909C7"/>
    <w:rsid w:val="0029433F"/>
    <w:rsid w:val="00294829"/>
    <w:rsid w:val="00295742"/>
    <w:rsid w:val="00295A91"/>
    <w:rsid w:val="00296037"/>
    <w:rsid w:val="0029690F"/>
    <w:rsid w:val="00297288"/>
    <w:rsid w:val="00297BDF"/>
    <w:rsid w:val="002A2A60"/>
    <w:rsid w:val="002A3815"/>
    <w:rsid w:val="002A6646"/>
    <w:rsid w:val="002A7278"/>
    <w:rsid w:val="002A74AB"/>
    <w:rsid w:val="002A7ECE"/>
    <w:rsid w:val="002B1C45"/>
    <w:rsid w:val="002B2970"/>
    <w:rsid w:val="002C1227"/>
    <w:rsid w:val="002C13C8"/>
    <w:rsid w:val="002C259C"/>
    <w:rsid w:val="002C2892"/>
    <w:rsid w:val="002C3547"/>
    <w:rsid w:val="002D0021"/>
    <w:rsid w:val="002D10A3"/>
    <w:rsid w:val="002D1D1B"/>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47E"/>
    <w:rsid w:val="0030558B"/>
    <w:rsid w:val="00306E87"/>
    <w:rsid w:val="00310FC2"/>
    <w:rsid w:val="003134B4"/>
    <w:rsid w:val="003144EF"/>
    <w:rsid w:val="00323F93"/>
    <w:rsid w:val="0032538A"/>
    <w:rsid w:val="00326292"/>
    <w:rsid w:val="00326415"/>
    <w:rsid w:val="00330937"/>
    <w:rsid w:val="00330F31"/>
    <w:rsid w:val="00331676"/>
    <w:rsid w:val="003326F0"/>
    <w:rsid w:val="00334393"/>
    <w:rsid w:val="00334648"/>
    <w:rsid w:val="00336CA6"/>
    <w:rsid w:val="0033768C"/>
    <w:rsid w:val="00337938"/>
    <w:rsid w:val="00340769"/>
    <w:rsid w:val="00341A65"/>
    <w:rsid w:val="00341AA6"/>
    <w:rsid w:val="00342E57"/>
    <w:rsid w:val="003456BD"/>
    <w:rsid w:val="003500E5"/>
    <w:rsid w:val="00355B57"/>
    <w:rsid w:val="00361A0A"/>
    <w:rsid w:val="00361DF9"/>
    <w:rsid w:val="00363D71"/>
    <w:rsid w:val="0036565C"/>
    <w:rsid w:val="0036625E"/>
    <w:rsid w:val="00366F43"/>
    <w:rsid w:val="00367162"/>
    <w:rsid w:val="00372CD4"/>
    <w:rsid w:val="0037386C"/>
    <w:rsid w:val="0037465A"/>
    <w:rsid w:val="0038255B"/>
    <w:rsid w:val="00382C98"/>
    <w:rsid w:val="0038325E"/>
    <w:rsid w:val="00384604"/>
    <w:rsid w:val="00384E3D"/>
    <w:rsid w:val="00384F24"/>
    <w:rsid w:val="00385041"/>
    <w:rsid w:val="0038533C"/>
    <w:rsid w:val="00385D73"/>
    <w:rsid w:val="003866EF"/>
    <w:rsid w:val="00390959"/>
    <w:rsid w:val="00391B12"/>
    <w:rsid w:val="003930C1"/>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0A5A"/>
    <w:rsid w:val="003B170F"/>
    <w:rsid w:val="003B3A0D"/>
    <w:rsid w:val="003B3C5F"/>
    <w:rsid w:val="003C1433"/>
    <w:rsid w:val="003C1451"/>
    <w:rsid w:val="003C2017"/>
    <w:rsid w:val="003C4471"/>
    <w:rsid w:val="003C473E"/>
    <w:rsid w:val="003C4C09"/>
    <w:rsid w:val="003C7903"/>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9AA"/>
    <w:rsid w:val="003F0B80"/>
    <w:rsid w:val="003F500E"/>
    <w:rsid w:val="003F655E"/>
    <w:rsid w:val="003F74D9"/>
    <w:rsid w:val="00400920"/>
    <w:rsid w:val="00403F09"/>
    <w:rsid w:val="00404AEB"/>
    <w:rsid w:val="00404EF7"/>
    <w:rsid w:val="00405DC1"/>
    <w:rsid w:val="00411E1B"/>
    <w:rsid w:val="00414BF9"/>
    <w:rsid w:val="00415DFF"/>
    <w:rsid w:val="00415F1F"/>
    <w:rsid w:val="00417256"/>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18E1"/>
    <w:rsid w:val="00444284"/>
    <w:rsid w:val="004442F1"/>
    <w:rsid w:val="00445CE6"/>
    <w:rsid w:val="00446987"/>
    <w:rsid w:val="004526CF"/>
    <w:rsid w:val="004534C2"/>
    <w:rsid w:val="00453967"/>
    <w:rsid w:val="0045446F"/>
    <w:rsid w:val="00454C9D"/>
    <w:rsid w:val="0045683E"/>
    <w:rsid w:val="00457DBD"/>
    <w:rsid w:val="0046142D"/>
    <w:rsid w:val="0046274F"/>
    <w:rsid w:val="0046298C"/>
    <w:rsid w:val="00462E0D"/>
    <w:rsid w:val="00463259"/>
    <w:rsid w:val="00464F21"/>
    <w:rsid w:val="004659E0"/>
    <w:rsid w:val="00466ED6"/>
    <w:rsid w:val="00467C71"/>
    <w:rsid w:val="0047084C"/>
    <w:rsid w:val="00470A63"/>
    <w:rsid w:val="00470C55"/>
    <w:rsid w:val="004715C1"/>
    <w:rsid w:val="004731F4"/>
    <w:rsid w:val="00476A03"/>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B6B1A"/>
    <w:rsid w:val="004C05B6"/>
    <w:rsid w:val="004C1DA6"/>
    <w:rsid w:val="004C1FCA"/>
    <w:rsid w:val="004C5E4F"/>
    <w:rsid w:val="004C7030"/>
    <w:rsid w:val="004D1A5A"/>
    <w:rsid w:val="004D2FFF"/>
    <w:rsid w:val="004D3721"/>
    <w:rsid w:val="004D3B02"/>
    <w:rsid w:val="004D64F9"/>
    <w:rsid w:val="004D687E"/>
    <w:rsid w:val="004E1D03"/>
    <w:rsid w:val="004E26ED"/>
    <w:rsid w:val="004E3528"/>
    <w:rsid w:val="004E4224"/>
    <w:rsid w:val="004E5A14"/>
    <w:rsid w:val="004E622C"/>
    <w:rsid w:val="004E64DB"/>
    <w:rsid w:val="004F1534"/>
    <w:rsid w:val="004F2DD1"/>
    <w:rsid w:val="004F301B"/>
    <w:rsid w:val="004F3375"/>
    <w:rsid w:val="004F3899"/>
    <w:rsid w:val="004F3F1F"/>
    <w:rsid w:val="004F42FF"/>
    <w:rsid w:val="004F55F1"/>
    <w:rsid w:val="004F5FDF"/>
    <w:rsid w:val="0050156C"/>
    <w:rsid w:val="00504AFA"/>
    <w:rsid w:val="00505202"/>
    <w:rsid w:val="005059A4"/>
    <w:rsid w:val="00506788"/>
    <w:rsid w:val="00506DC3"/>
    <w:rsid w:val="005133C8"/>
    <w:rsid w:val="00515756"/>
    <w:rsid w:val="00515F63"/>
    <w:rsid w:val="00516E2B"/>
    <w:rsid w:val="005177FE"/>
    <w:rsid w:val="0052263B"/>
    <w:rsid w:val="00522E95"/>
    <w:rsid w:val="00524728"/>
    <w:rsid w:val="00524840"/>
    <w:rsid w:val="00525459"/>
    <w:rsid w:val="00525C99"/>
    <w:rsid w:val="0052732A"/>
    <w:rsid w:val="00527527"/>
    <w:rsid w:val="00530010"/>
    <w:rsid w:val="00530CA0"/>
    <w:rsid w:val="005315F7"/>
    <w:rsid w:val="00532283"/>
    <w:rsid w:val="005323A7"/>
    <w:rsid w:val="005331CA"/>
    <w:rsid w:val="005337E0"/>
    <w:rsid w:val="0053523A"/>
    <w:rsid w:val="00537970"/>
    <w:rsid w:val="00540E3A"/>
    <w:rsid w:val="00542E08"/>
    <w:rsid w:val="005433D7"/>
    <w:rsid w:val="00543941"/>
    <w:rsid w:val="00544127"/>
    <w:rsid w:val="005508BB"/>
    <w:rsid w:val="00553EB2"/>
    <w:rsid w:val="00554CFA"/>
    <w:rsid w:val="00555C4D"/>
    <w:rsid w:val="00560534"/>
    <w:rsid w:val="0056391B"/>
    <w:rsid w:val="005650E2"/>
    <w:rsid w:val="00566D80"/>
    <w:rsid w:val="00567AD7"/>
    <w:rsid w:val="005716C3"/>
    <w:rsid w:val="00573594"/>
    <w:rsid w:val="00575B2D"/>
    <w:rsid w:val="00577B58"/>
    <w:rsid w:val="005800D0"/>
    <w:rsid w:val="005833D0"/>
    <w:rsid w:val="005846F3"/>
    <w:rsid w:val="005856A0"/>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B75F6"/>
    <w:rsid w:val="005B7F92"/>
    <w:rsid w:val="005C01B0"/>
    <w:rsid w:val="005C2790"/>
    <w:rsid w:val="005C36E9"/>
    <w:rsid w:val="005C3B3A"/>
    <w:rsid w:val="005C41CF"/>
    <w:rsid w:val="005C4FF2"/>
    <w:rsid w:val="005C6778"/>
    <w:rsid w:val="005D0511"/>
    <w:rsid w:val="005D0DFB"/>
    <w:rsid w:val="005D3437"/>
    <w:rsid w:val="005D43E0"/>
    <w:rsid w:val="005D5579"/>
    <w:rsid w:val="005D58A3"/>
    <w:rsid w:val="005D5FD0"/>
    <w:rsid w:val="005D72F3"/>
    <w:rsid w:val="005D7532"/>
    <w:rsid w:val="005E00F6"/>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049F"/>
    <w:rsid w:val="0060397D"/>
    <w:rsid w:val="00604723"/>
    <w:rsid w:val="00605CEB"/>
    <w:rsid w:val="00607FC7"/>
    <w:rsid w:val="00610388"/>
    <w:rsid w:val="00612092"/>
    <w:rsid w:val="00612CA5"/>
    <w:rsid w:val="00614858"/>
    <w:rsid w:val="006153EC"/>
    <w:rsid w:val="00616A37"/>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1D2B"/>
    <w:rsid w:val="006431F6"/>
    <w:rsid w:val="00643ABE"/>
    <w:rsid w:val="00646108"/>
    <w:rsid w:val="00650E78"/>
    <w:rsid w:val="00650F8A"/>
    <w:rsid w:val="006514CD"/>
    <w:rsid w:val="00651E87"/>
    <w:rsid w:val="006521CD"/>
    <w:rsid w:val="00652A22"/>
    <w:rsid w:val="00653584"/>
    <w:rsid w:val="00654C2F"/>
    <w:rsid w:val="00655438"/>
    <w:rsid w:val="00657087"/>
    <w:rsid w:val="0065715A"/>
    <w:rsid w:val="006574FA"/>
    <w:rsid w:val="006578EC"/>
    <w:rsid w:val="006643E7"/>
    <w:rsid w:val="006661EF"/>
    <w:rsid w:val="00667738"/>
    <w:rsid w:val="00667A7D"/>
    <w:rsid w:val="006723C4"/>
    <w:rsid w:val="00673C1C"/>
    <w:rsid w:val="006746CB"/>
    <w:rsid w:val="00676C4D"/>
    <w:rsid w:val="00677AEB"/>
    <w:rsid w:val="00680EF2"/>
    <w:rsid w:val="00682663"/>
    <w:rsid w:val="00682A3E"/>
    <w:rsid w:val="006850AE"/>
    <w:rsid w:val="00686C53"/>
    <w:rsid w:val="006870B1"/>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B6645"/>
    <w:rsid w:val="006C3276"/>
    <w:rsid w:val="006C5858"/>
    <w:rsid w:val="006C5CE2"/>
    <w:rsid w:val="006D0529"/>
    <w:rsid w:val="006D0605"/>
    <w:rsid w:val="006D176A"/>
    <w:rsid w:val="006D564C"/>
    <w:rsid w:val="006D6BD5"/>
    <w:rsid w:val="006E0500"/>
    <w:rsid w:val="006E1CB0"/>
    <w:rsid w:val="006E254C"/>
    <w:rsid w:val="006E2974"/>
    <w:rsid w:val="006E481A"/>
    <w:rsid w:val="006E5298"/>
    <w:rsid w:val="006E5866"/>
    <w:rsid w:val="006E6A1F"/>
    <w:rsid w:val="006E6A6A"/>
    <w:rsid w:val="006E77B0"/>
    <w:rsid w:val="006F18EB"/>
    <w:rsid w:val="006F25E6"/>
    <w:rsid w:val="006F2E9B"/>
    <w:rsid w:val="006F6B2E"/>
    <w:rsid w:val="006F734A"/>
    <w:rsid w:val="00700D83"/>
    <w:rsid w:val="007025D4"/>
    <w:rsid w:val="00704852"/>
    <w:rsid w:val="00704C24"/>
    <w:rsid w:val="00705A77"/>
    <w:rsid w:val="00707321"/>
    <w:rsid w:val="007074E9"/>
    <w:rsid w:val="00707954"/>
    <w:rsid w:val="00707BC5"/>
    <w:rsid w:val="007101FF"/>
    <w:rsid w:val="00713CA6"/>
    <w:rsid w:val="00713DA4"/>
    <w:rsid w:val="007142FA"/>
    <w:rsid w:val="00714BF1"/>
    <w:rsid w:val="00721383"/>
    <w:rsid w:val="007216AD"/>
    <w:rsid w:val="00726E9A"/>
    <w:rsid w:val="00727864"/>
    <w:rsid w:val="00732A93"/>
    <w:rsid w:val="007333CC"/>
    <w:rsid w:val="007335D8"/>
    <w:rsid w:val="0073399A"/>
    <w:rsid w:val="00734FD4"/>
    <w:rsid w:val="00735D24"/>
    <w:rsid w:val="007369C7"/>
    <w:rsid w:val="00741BCD"/>
    <w:rsid w:val="00741D74"/>
    <w:rsid w:val="00743531"/>
    <w:rsid w:val="007452BB"/>
    <w:rsid w:val="00745A5B"/>
    <w:rsid w:val="007462D9"/>
    <w:rsid w:val="00746A22"/>
    <w:rsid w:val="00747C0D"/>
    <w:rsid w:val="00751986"/>
    <w:rsid w:val="0075428A"/>
    <w:rsid w:val="00756ABD"/>
    <w:rsid w:val="007576A3"/>
    <w:rsid w:val="007603F5"/>
    <w:rsid w:val="00760A70"/>
    <w:rsid w:val="00760BB2"/>
    <w:rsid w:val="0076181C"/>
    <w:rsid w:val="00764DB0"/>
    <w:rsid w:val="007652AC"/>
    <w:rsid w:val="00765D82"/>
    <w:rsid w:val="00767043"/>
    <w:rsid w:val="007671EB"/>
    <w:rsid w:val="0076764D"/>
    <w:rsid w:val="0076766F"/>
    <w:rsid w:val="00770DF5"/>
    <w:rsid w:val="00771291"/>
    <w:rsid w:val="00771673"/>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39AD"/>
    <w:rsid w:val="007D47FB"/>
    <w:rsid w:val="007D7066"/>
    <w:rsid w:val="007D7C92"/>
    <w:rsid w:val="007D7E30"/>
    <w:rsid w:val="007E1154"/>
    <w:rsid w:val="007E1212"/>
    <w:rsid w:val="007E1B9A"/>
    <w:rsid w:val="007E3AA5"/>
    <w:rsid w:val="007E3ADF"/>
    <w:rsid w:val="007E41A0"/>
    <w:rsid w:val="007E43C3"/>
    <w:rsid w:val="007E460D"/>
    <w:rsid w:val="007E530F"/>
    <w:rsid w:val="007E6BA4"/>
    <w:rsid w:val="007F19A2"/>
    <w:rsid w:val="007F21A1"/>
    <w:rsid w:val="007F3641"/>
    <w:rsid w:val="007F41F8"/>
    <w:rsid w:val="007F5B4C"/>
    <w:rsid w:val="00801B30"/>
    <w:rsid w:val="00803BE9"/>
    <w:rsid w:val="00804000"/>
    <w:rsid w:val="0080454E"/>
    <w:rsid w:val="00804C32"/>
    <w:rsid w:val="008054BD"/>
    <w:rsid w:val="00806302"/>
    <w:rsid w:val="00806382"/>
    <w:rsid w:val="00807119"/>
    <w:rsid w:val="008071D5"/>
    <w:rsid w:val="00807FE8"/>
    <w:rsid w:val="00810E88"/>
    <w:rsid w:val="00811865"/>
    <w:rsid w:val="00812712"/>
    <w:rsid w:val="00814A55"/>
    <w:rsid w:val="0081547D"/>
    <w:rsid w:val="00822AD8"/>
    <w:rsid w:val="00823AB4"/>
    <w:rsid w:val="008240E9"/>
    <w:rsid w:val="0082483F"/>
    <w:rsid w:val="00827849"/>
    <w:rsid w:val="008279C0"/>
    <w:rsid w:val="008328CC"/>
    <w:rsid w:val="00841E70"/>
    <w:rsid w:val="0084357E"/>
    <w:rsid w:val="00845226"/>
    <w:rsid w:val="008473AA"/>
    <w:rsid w:val="00851A7A"/>
    <w:rsid w:val="00852883"/>
    <w:rsid w:val="00852F37"/>
    <w:rsid w:val="008571F6"/>
    <w:rsid w:val="00857A02"/>
    <w:rsid w:val="00861E51"/>
    <w:rsid w:val="00870B96"/>
    <w:rsid w:val="008723F3"/>
    <w:rsid w:val="00873246"/>
    <w:rsid w:val="00875E2E"/>
    <w:rsid w:val="008763BC"/>
    <w:rsid w:val="00880F99"/>
    <w:rsid w:val="00881DA8"/>
    <w:rsid w:val="00881DE6"/>
    <w:rsid w:val="008837A6"/>
    <w:rsid w:val="008841E5"/>
    <w:rsid w:val="00884D7C"/>
    <w:rsid w:val="00884E19"/>
    <w:rsid w:val="00885AB4"/>
    <w:rsid w:val="00887EDA"/>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15E"/>
    <w:rsid w:val="009078CE"/>
    <w:rsid w:val="009078FC"/>
    <w:rsid w:val="009108EF"/>
    <w:rsid w:val="00911C23"/>
    <w:rsid w:val="00912C79"/>
    <w:rsid w:val="00913FB9"/>
    <w:rsid w:val="00915010"/>
    <w:rsid w:val="0091528C"/>
    <w:rsid w:val="009173D1"/>
    <w:rsid w:val="0092350E"/>
    <w:rsid w:val="00923CCC"/>
    <w:rsid w:val="00924588"/>
    <w:rsid w:val="00926D10"/>
    <w:rsid w:val="009275FE"/>
    <w:rsid w:val="00927A88"/>
    <w:rsid w:val="009355DB"/>
    <w:rsid w:val="00940C1F"/>
    <w:rsid w:val="00940DFF"/>
    <w:rsid w:val="00942123"/>
    <w:rsid w:val="0094263A"/>
    <w:rsid w:val="00943E90"/>
    <w:rsid w:val="00945558"/>
    <w:rsid w:val="009466B4"/>
    <w:rsid w:val="00946EE0"/>
    <w:rsid w:val="0095029B"/>
    <w:rsid w:val="0095207B"/>
    <w:rsid w:val="009521C5"/>
    <w:rsid w:val="0095223A"/>
    <w:rsid w:val="009533CB"/>
    <w:rsid w:val="00953B5C"/>
    <w:rsid w:val="0095526F"/>
    <w:rsid w:val="00955CE0"/>
    <w:rsid w:val="009609CA"/>
    <w:rsid w:val="00961B1D"/>
    <w:rsid w:val="00961BC2"/>
    <w:rsid w:val="00962045"/>
    <w:rsid w:val="009661DE"/>
    <w:rsid w:val="00966E44"/>
    <w:rsid w:val="00966EAE"/>
    <w:rsid w:val="009703BD"/>
    <w:rsid w:val="009708BB"/>
    <w:rsid w:val="009714C5"/>
    <w:rsid w:val="009727DF"/>
    <w:rsid w:val="009729E8"/>
    <w:rsid w:val="009744FA"/>
    <w:rsid w:val="00975009"/>
    <w:rsid w:val="0097550D"/>
    <w:rsid w:val="00975640"/>
    <w:rsid w:val="00975B29"/>
    <w:rsid w:val="00976DA5"/>
    <w:rsid w:val="009773BA"/>
    <w:rsid w:val="00980DF0"/>
    <w:rsid w:val="009813EA"/>
    <w:rsid w:val="00981608"/>
    <w:rsid w:val="00984680"/>
    <w:rsid w:val="00990F04"/>
    <w:rsid w:val="00991272"/>
    <w:rsid w:val="00991428"/>
    <w:rsid w:val="009915AD"/>
    <w:rsid w:val="00992676"/>
    <w:rsid w:val="00997A85"/>
    <w:rsid w:val="009A0501"/>
    <w:rsid w:val="009A2BCA"/>
    <w:rsid w:val="009A4050"/>
    <w:rsid w:val="009A5354"/>
    <w:rsid w:val="009A69CA"/>
    <w:rsid w:val="009A6A10"/>
    <w:rsid w:val="009A7172"/>
    <w:rsid w:val="009A77D2"/>
    <w:rsid w:val="009B0723"/>
    <w:rsid w:val="009B07AD"/>
    <w:rsid w:val="009B0883"/>
    <w:rsid w:val="009B15E2"/>
    <w:rsid w:val="009B33F6"/>
    <w:rsid w:val="009C0B8E"/>
    <w:rsid w:val="009C1527"/>
    <w:rsid w:val="009C1BC8"/>
    <w:rsid w:val="009C2442"/>
    <w:rsid w:val="009C2628"/>
    <w:rsid w:val="009C26AB"/>
    <w:rsid w:val="009C27B1"/>
    <w:rsid w:val="009C5201"/>
    <w:rsid w:val="009C687D"/>
    <w:rsid w:val="009C729F"/>
    <w:rsid w:val="009C7F17"/>
    <w:rsid w:val="009D0811"/>
    <w:rsid w:val="009D0E12"/>
    <w:rsid w:val="009D0EE1"/>
    <w:rsid w:val="009D1BB8"/>
    <w:rsid w:val="009D382E"/>
    <w:rsid w:val="009D43D0"/>
    <w:rsid w:val="009D4524"/>
    <w:rsid w:val="009D510C"/>
    <w:rsid w:val="009D5CDB"/>
    <w:rsid w:val="009D6709"/>
    <w:rsid w:val="009E13C1"/>
    <w:rsid w:val="009E2A9C"/>
    <w:rsid w:val="009E2AEB"/>
    <w:rsid w:val="009E2E27"/>
    <w:rsid w:val="009E44C0"/>
    <w:rsid w:val="009E4DE3"/>
    <w:rsid w:val="009E50C1"/>
    <w:rsid w:val="009E6CAB"/>
    <w:rsid w:val="009F0C29"/>
    <w:rsid w:val="009F0C5A"/>
    <w:rsid w:val="00A02198"/>
    <w:rsid w:val="00A0335C"/>
    <w:rsid w:val="00A047EE"/>
    <w:rsid w:val="00A057CA"/>
    <w:rsid w:val="00A079F8"/>
    <w:rsid w:val="00A10723"/>
    <w:rsid w:val="00A136AF"/>
    <w:rsid w:val="00A13F8F"/>
    <w:rsid w:val="00A149B7"/>
    <w:rsid w:val="00A177BC"/>
    <w:rsid w:val="00A17930"/>
    <w:rsid w:val="00A2274A"/>
    <w:rsid w:val="00A235B7"/>
    <w:rsid w:val="00A244EC"/>
    <w:rsid w:val="00A249AC"/>
    <w:rsid w:val="00A27A7A"/>
    <w:rsid w:val="00A301D1"/>
    <w:rsid w:val="00A31881"/>
    <w:rsid w:val="00A32C4D"/>
    <w:rsid w:val="00A35720"/>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4FFD"/>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80F"/>
    <w:rsid w:val="00AB1B60"/>
    <w:rsid w:val="00AB5A37"/>
    <w:rsid w:val="00AB61D6"/>
    <w:rsid w:val="00AB685C"/>
    <w:rsid w:val="00AB6C2D"/>
    <w:rsid w:val="00AC08F7"/>
    <w:rsid w:val="00AC126D"/>
    <w:rsid w:val="00AC2D9A"/>
    <w:rsid w:val="00AC3075"/>
    <w:rsid w:val="00AC36E5"/>
    <w:rsid w:val="00AC3839"/>
    <w:rsid w:val="00AC7082"/>
    <w:rsid w:val="00AD0662"/>
    <w:rsid w:val="00AD1B6B"/>
    <w:rsid w:val="00AD331C"/>
    <w:rsid w:val="00AD3F85"/>
    <w:rsid w:val="00AD57A5"/>
    <w:rsid w:val="00AD65A8"/>
    <w:rsid w:val="00AD74AD"/>
    <w:rsid w:val="00AD76EC"/>
    <w:rsid w:val="00AD76EF"/>
    <w:rsid w:val="00AD7A9A"/>
    <w:rsid w:val="00AE027F"/>
    <w:rsid w:val="00AE0D60"/>
    <w:rsid w:val="00AE4D6F"/>
    <w:rsid w:val="00AE7728"/>
    <w:rsid w:val="00AF228E"/>
    <w:rsid w:val="00AF455B"/>
    <w:rsid w:val="00AF5899"/>
    <w:rsid w:val="00AF6DB0"/>
    <w:rsid w:val="00B0123F"/>
    <w:rsid w:val="00B02E3B"/>
    <w:rsid w:val="00B04004"/>
    <w:rsid w:val="00B07ACE"/>
    <w:rsid w:val="00B11152"/>
    <w:rsid w:val="00B12F13"/>
    <w:rsid w:val="00B14819"/>
    <w:rsid w:val="00B17AA9"/>
    <w:rsid w:val="00B20235"/>
    <w:rsid w:val="00B2171C"/>
    <w:rsid w:val="00B221FF"/>
    <w:rsid w:val="00B2292D"/>
    <w:rsid w:val="00B246B1"/>
    <w:rsid w:val="00B26B31"/>
    <w:rsid w:val="00B30A70"/>
    <w:rsid w:val="00B32674"/>
    <w:rsid w:val="00B333FE"/>
    <w:rsid w:val="00B3503B"/>
    <w:rsid w:val="00B366EC"/>
    <w:rsid w:val="00B378FA"/>
    <w:rsid w:val="00B42352"/>
    <w:rsid w:val="00B51227"/>
    <w:rsid w:val="00B517ED"/>
    <w:rsid w:val="00B51975"/>
    <w:rsid w:val="00B52E4D"/>
    <w:rsid w:val="00B54F90"/>
    <w:rsid w:val="00B55C9E"/>
    <w:rsid w:val="00B56B95"/>
    <w:rsid w:val="00B607DF"/>
    <w:rsid w:val="00B61E74"/>
    <w:rsid w:val="00B6346F"/>
    <w:rsid w:val="00B63764"/>
    <w:rsid w:val="00B6409C"/>
    <w:rsid w:val="00B64845"/>
    <w:rsid w:val="00B64A85"/>
    <w:rsid w:val="00B66053"/>
    <w:rsid w:val="00B7193E"/>
    <w:rsid w:val="00B72999"/>
    <w:rsid w:val="00B72FD7"/>
    <w:rsid w:val="00B736DF"/>
    <w:rsid w:val="00B74C2C"/>
    <w:rsid w:val="00B74FBD"/>
    <w:rsid w:val="00B76E56"/>
    <w:rsid w:val="00B77313"/>
    <w:rsid w:val="00B82586"/>
    <w:rsid w:val="00B829A3"/>
    <w:rsid w:val="00B84CE9"/>
    <w:rsid w:val="00B86537"/>
    <w:rsid w:val="00B86851"/>
    <w:rsid w:val="00B86DB1"/>
    <w:rsid w:val="00B87869"/>
    <w:rsid w:val="00B87A61"/>
    <w:rsid w:val="00B92D5B"/>
    <w:rsid w:val="00B9417E"/>
    <w:rsid w:val="00B948AE"/>
    <w:rsid w:val="00B97BE0"/>
    <w:rsid w:val="00BA1648"/>
    <w:rsid w:val="00BA2637"/>
    <w:rsid w:val="00BA2919"/>
    <w:rsid w:val="00BA35FF"/>
    <w:rsid w:val="00BA5129"/>
    <w:rsid w:val="00BA5AE2"/>
    <w:rsid w:val="00BA6F84"/>
    <w:rsid w:val="00BB08B9"/>
    <w:rsid w:val="00BB09FD"/>
    <w:rsid w:val="00BB0F2B"/>
    <w:rsid w:val="00BB175E"/>
    <w:rsid w:val="00BB5A37"/>
    <w:rsid w:val="00BB6955"/>
    <w:rsid w:val="00BB6F7A"/>
    <w:rsid w:val="00BC1043"/>
    <w:rsid w:val="00BC3FD8"/>
    <w:rsid w:val="00BC48EB"/>
    <w:rsid w:val="00BC4A7D"/>
    <w:rsid w:val="00BC4B69"/>
    <w:rsid w:val="00BC4DAE"/>
    <w:rsid w:val="00BC585F"/>
    <w:rsid w:val="00BC5898"/>
    <w:rsid w:val="00BC5D7D"/>
    <w:rsid w:val="00BC6BCE"/>
    <w:rsid w:val="00BC7F2E"/>
    <w:rsid w:val="00BD0299"/>
    <w:rsid w:val="00BD0F7F"/>
    <w:rsid w:val="00BD132C"/>
    <w:rsid w:val="00BD23B4"/>
    <w:rsid w:val="00BD288F"/>
    <w:rsid w:val="00BD3363"/>
    <w:rsid w:val="00BD3F18"/>
    <w:rsid w:val="00BD64FB"/>
    <w:rsid w:val="00BD6AF4"/>
    <w:rsid w:val="00BD6B82"/>
    <w:rsid w:val="00BD71D7"/>
    <w:rsid w:val="00BD7D16"/>
    <w:rsid w:val="00BD7D49"/>
    <w:rsid w:val="00BE2464"/>
    <w:rsid w:val="00BE4D94"/>
    <w:rsid w:val="00BE530F"/>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43E3"/>
    <w:rsid w:val="00C26E4B"/>
    <w:rsid w:val="00C27CF8"/>
    <w:rsid w:val="00C30E39"/>
    <w:rsid w:val="00C31102"/>
    <w:rsid w:val="00C31C63"/>
    <w:rsid w:val="00C33C84"/>
    <w:rsid w:val="00C3453F"/>
    <w:rsid w:val="00C34A50"/>
    <w:rsid w:val="00C35026"/>
    <w:rsid w:val="00C35343"/>
    <w:rsid w:val="00C3539F"/>
    <w:rsid w:val="00C35671"/>
    <w:rsid w:val="00C35B77"/>
    <w:rsid w:val="00C376EB"/>
    <w:rsid w:val="00C4187E"/>
    <w:rsid w:val="00C444EC"/>
    <w:rsid w:val="00C44FFC"/>
    <w:rsid w:val="00C45A03"/>
    <w:rsid w:val="00C45CD7"/>
    <w:rsid w:val="00C46EC1"/>
    <w:rsid w:val="00C50F86"/>
    <w:rsid w:val="00C5232B"/>
    <w:rsid w:val="00C53E2C"/>
    <w:rsid w:val="00C550C8"/>
    <w:rsid w:val="00C56136"/>
    <w:rsid w:val="00C56B61"/>
    <w:rsid w:val="00C56D56"/>
    <w:rsid w:val="00C570AC"/>
    <w:rsid w:val="00C5730D"/>
    <w:rsid w:val="00C60631"/>
    <w:rsid w:val="00C606C3"/>
    <w:rsid w:val="00C620F4"/>
    <w:rsid w:val="00C629CB"/>
    <w:rsid w:val="00C64923"/>
    <w:rsid w:val="00C64EBF"/>
    <w:rsid w:val="00C673EB"/>
    <w:rsid w:val="00C71F4F"/>
    <w:rsid w:val="00C72848"/>
    <w:rsid w:val="00C750BA"/>
    <w:rsid w:val="00C75E71"/>
    <w:rsid w:val="00C7736C"/>
    <w:rsid w:val="00C80272"/>
    <w:rsid w:val="00C82D87"/>
    <w:rsid w:val="00C8631D"/>
    <w:rsid w:val="00C8712A"/>
    <w:rsid w:val="00C9081D"/>
    <w:rsid w:val="00C92A0D"/>
    <w:rsid w:val="00C92C0E"/>
    <w:rsid w:val="00C952A2"/>
    <w:rsid w:val="00C963D3"/>
    <w:rsid w:val="00C9750C"/>
    <w:rsid w:val="00CA0B50"/>
    <w:rsid w:val="00CA1802"/>
    <w:rsid w:val="00CA6E99"/>
    <w:rsid w:val="00CB262C"/>
    <w:rsid w:val="00CB2CBB"/>
    <w:rsid w:val="00CB3EB6"/>
    <w:rsid w:val="00CB4891"/>
    <w:rsid w:val="00CB7283"/>
    <w:rsid w:val="00CB7CAC"/>
    <w:rsid w:val="00CC3D5A"/>
    <w:rsid w:val="00CC467D"/>
    <w:rsid w:val="00CC4C7F"/>
    <w:rsid w:val="00CC5051"/>
    <w:rsid w:val="00CC5335"/>
    <w:rsid w:val="00CC579C"/>
    <w:rsid w:val="00CC5BA4"/>
    <w:rsid w:val="00CC5ECB"/>
    <w:rsid w:val="00CC7728"/>
    <w:rsid w:val="00CD0E2B"/>
    <w:rsid w:val="00CD0FFE"/>
    <w:rsid w:val="00CD34DB"/>
    <w:rsid w:val="00CD377A"/>
    <w:rsid w:val="00CD4998"/>
    <w:rsid w:val="00CD499F"/>
    <w:rsid w:val="00CD4FF7"/>
    <w:rsid w:val="00CD7DBC"/>
    <w:rsid w:val="00CE1035"/>
    <w:rsid w:val="00CE62CA"/>
    <w:rsid w:val="00CF01D6"/>
    <w:rsid w:val="00CF02D7"/>
    <w:rsid w:val="00CF2819"/>
    <w:rsid w:val="00CF4F9D"/>
    <w:rsid w:val="00CF5AD8"/>
    <w:rsid w:val="00CF70DC"/>
    <w:rsid w:val="00CF717B"/>
    <w:rsid w:val="00CF7CBE"/>
    <w:rsid w:val="00D055BF"/>
    <w:rsid w:val="00D068C5"/>
    <w:rsid w:val="00D07F87"/>
    <w:rsid w:val="00D148DC"/>
    <w:rsid w:val="00D16230"/>
    <w:rsid w:val="00D1688E"/>
    <w:rsid w:val="00D17FDC"/>
    <w:rsid w:val="00D223E4"/>
    <w:rsid w:val="00D2550E"/>
    <w:rsid w:val="00D256C6"/>
    <w:rsid w:val="00D25F51"/>
    <w:rsid w:val="00D35229"/>
    <w:rsid w:val="00D35ADE"/>
    <w:rsid w:val="00D35EAE"/>
    <w:rsid w:val="00D411C7"/>
    <w:rsid w:val="00D4685B"/>
    <w:rsid w:val="00D46B5D"/>
    <w:rsid w:val="00D5141D"/>
    <w:rsid w:val="00D5192B"/>
    <w:rsid w:val="00D57B41"/>
    <w:rsid w:val="00D57C59"/>
    <w:rsid w:val="00D60215"/>
    <w:rsid w:val="00D60874"/>
    <w:rsid w:val="00D63EFD"/>
    <w:rsid w:val="00D6588F"/>
    <w:rsid w:val="00D676F1"/>
    <w:rsid w:val="00D714E4"/>
    <w:rsid w:val="00D761ED"/>
    <w:rsid w:val="00D829EB"/>
    <w:rsid w:val="00D84752"/>
    <w:rsid w:val="00D867F3"/>
    <w:rsid w:val="00D86851"/>
    <w:rsid w:val="00D86A74"/>
    <w:rsid w:val="00D86B3B"/>
    <w:rsid w:val="00D8748A"/>
    <w:rsid w:val="00D878FB"/>
    <w:rsid w:val="00D905E4"/>
    <w:rsid w:val="00D910D5"/>
    <w:rsid w:val="00D93196"/>
    <w:rsid w:val="00D931A2"/>
    <w:rsid w:val="00D97393"/>
    <w:rsid w:val="00DA2D36"/>
    <w:rsid w:val="00DA42DA"/>
    <w:rsid w:val="00DA42EF"/>
    <w:rsid w:val="00DB1A35"/>
    <w:rsid w:val="00DB243C"/>
    <w:rsid w:val="00DB482A"/>
    <w:rsid w:val="00DB56F2"/>
    <w:rsid w:val="00DB5A5A"/>
    <w:rsid w:val="00DB5D9B"/>
    <w:rsid w:val="00DB6EF5"/>
    <w:rsid w:val="00DC2A3F"/>
    <w:rsid w:val="00DC2BEC"/>
    <w:rsid w:val="00DC2E8D"/>
    <w:rsid w:val="00DC2FDB"/>
    <w:rsid w:val="00DC3089"/>
    <w:rsid w:val="00DC38CC"/>
    <w:rsid w:val="00DC4420"/>
    <w:rsid w:val="00DC6681"/>
    <w:rsid w:val="00DD01DA"/>
    <w:rsid w:val="00DD0802"/>
    <w:rsid w:val="00DD0B2C"/>
    <w:rsid w:val="00DD0E5B"/>
    <w:rsid w:val="00DD19C6"/>
    <w:rsid w:val="00DD2E11"/>
    <w:rsid w:val="00DD4E68"/>
    <w:rsid w:val="00DD526C"/>
    <w:rsid w:val="00DD59B5"/>
    <w:rsid w:val="00DD6427"/>
    <w:rsid w:val="00DD6923"/>
    <w:rsid w:val="00DD7AD7"/>
    <w:rsid w:val="00DE03AF"/>
    <w:rsid w:val="00DE097E"/>
    <w:rsid w:val="00DE121C"/>
    <w:rsid w:val="00DE3803"/>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6BBE"/>
    <w:rsid w:val="00E07C5A"/>
    <w:rsid w:val="00E10A73"/>
    <w:rsid w:val="00E12C13"/>
    <w:rsid w:val="00E14456"/>
    <w:rsid w:val="00E15BA9"/>
    <w:rsid w:val="00E161D2"/>
    <w:rsid w:val="00E177E2"/>
    <w:rsid w:val="00E17BF1"/>
    <w:rsid w:val="00E22DE4"/>
    <w:rsid w:val="00E23546"/>
    <w:rsid w:val="00E25FB8"/>
    <w:rsid w:val="00E26E19"/>
    <w:rsid w:val="00E31DF3"/>
    <w:rsid w:val="00E37049"/>
    <w:rsid w:val="00E37D15"/>
    <w:rsid w:val="00E4126D"/>
    <w:rsid w:val="00E450A4"/>
    <w:rsid w:val="00E464EE"/>
    <w:rsid w:val="00E506BE"/>
    <w:rsid w:val="00E50ED1"/>
    <w:rsid w:val="00E518B6"/>
    <w:rsid w:val="00E525B9"/>
    <w:rsid w:val="00E53AE9"/>
    <w:rsid w:val="00E54ADD"/>
    <w:rsid w:val="00E55547"/>
    <w:rsid w:val="00E55E9B"/>
    <w:rsid w:val="00E60EB3"/>
    <w:rsid w:val="00E6211B"/>
    <w:rsid w:val="00E6302B"/>
    <w:rsid w:val="00E64302"/>
    <w:rsid w:val="00E6452F"/>
    <w:rsid w:val="00E64F45"/>
    <w:rsid w:val="00E6525B"/>
    <w:rsid w:val="00E6742D"/>
    <w:rsid w:val="00E707BB"/>
    <w:rsid w:val="00E71502"/>
    <w:rsid w:val="00E71CB0"/>
    <w:rsid w:val="00E72A0C"/>
    <w:rsid w:val="00E72F8D"/>
    <w:rsid w:val="00E7537E"/>
    <w:rsid w:val="00E76B78"/>
    <w:rsid w:val="00E77062"/>
    <w:rsid w:val="00E7793C"/>
    <w:rsid w:val="00E77C3D"/>
    <w:rsid w:val="00E80299"/>
    <w:rsid w:val="00E8272F"/>
    <w:rsid w:val="00E83B37"/>
    <w:rsid w:val="00E84DA5"/>
    <w:rsid w:val="00E84DD5"/>
    <w:rsid w:val="00E86549"/>
    <w:rsid w:val="00E86D64"/>
    <w:rsid w:val="00E909F0"/>
    <w:rsid w:val="00E90B4B"/>
    <w:rsid w:val="00E90D47"/>
    <w:rsid w:val="00E91BE6"/>
    <w:rsid w:val="00E92DA7"/>
    <w:rsid w:val="00E93993"/>
    <w:rsid w:val="00E9469A"/>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5E7"/>
    <w:rsid w:val="00EE5A48"/>
    <w:rsid w:val="00EE5F7D"/>
    <w:rsid w:val="00EE6390"/>
    <w:rsid w:val="00EE7278"/>
    <w:rsid w:val="00EF090E"/>
    <w:rsid w:val="00EF16B6"/>
    <w:rsid w:val="00EF1B1A"/>
    <w:rsid w:val="00EF2D08"/>
    <w:rsid w:val="00EF3E61"/>
    <w:rsid w:val="00EF5705"/>
    <w:rsid w:val="00EF6653"/>
    <w:rsid w:val="00F027EE"/>
    <w:rsid w:val="00F033DA"/>
    <w:rsid w:val="00F0424E"/>
    <w:rsid w:val="00F106CE"/>
    <w:rsid w:val="00F1096A"/>
    <w:rsid w:val="00F12AA4"/>
    <w:rsid w:val="00F12F7B"/>
    <w:rsid w:val="00F13EDE"/>
    <w:rsid w:val="00F13FB1"/>
    <w:rsid w:val="00F15181"/>
    <w:rsid w:val="00F1640B"/>
    <w:rsid w:val="00F2025D"/>
    <w:rsid w:val="00F20842"/>
    <w:rsid w:val="00F27CD8"/>
    <w:rsid w:val="00F30351"/>
    <w:rsid w:val="00F3144D"/>
    <w:rsid w:val="00F31C2C"/>
    <w:rsid w:val="00F3323E"/>
    <w:rsid w:val="00F341F4"/>
    <w:rsid w:val="00F34F9D"/>
    <w:rsid w:val="00F34FAD"/>
    <w:rsid w:val="00F3554C"/>
    <w:rsid w:val="00F358A3"/>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85E60"/>
    <w:rsid w:val="00F91979"/>
    <w:rsid w:val="00F91FA7"/>
    <w:rsid w:val="00F948E3"/>
    <w:rsid w:val="00F95955"/>
    <w:rsid w:val="00F96AF1"/>
    <w:rsid w:val="00F97C5B"/>
    <w:rsid w:val="00FA29FD"/>
    <w:rsid w:val="00FA2A46"/>
    <w:rsid w:val="00FA3739"/>
    <w:rsid w:val="00FA3D50"/>
    <w:rsid w:val="00FA43E7"/>
    <w:rsid w:val="00FB2C81"/>
    <w:rsid w:val="00FB3254"/>
    <w:rsid w:val="00FB6703"/>
    <w:rsid w:val="00FB7C8F"/>
    <w:rsid w:val="00FB7D52"/>
    <w:rsid w:val="00FB7D6D"/>
    <w:rsid w:val="00FC2741"/>
    <w:rsid w:val="00FC30E1"/>
    <w:rsid w:val="00FC337F"/>
    <w:rsid w:val="00FC374A"/>
    <w:rsid w:val="00FC4F43"/>
    <w:rsid w:val="00FC568F"/>
    <w:rsid w:val="00FC5D26"/>
    <w:rsid w:val="00FC7B47"/>
    <w:rsid w:val="00FD0169"/>
    <w:rsid w:val="00FD035C"/>
    <w:rsid w:val="00FD1240"/>
    <w:rsid w:val="00FD1A35"/>
    <w:rsid w:val="00FD36C5"/>
    <w:rsid w:val="00FD5985"/>
    <w:rsid w:val="00FD5B6F"/>
    <w:rsid w:val="00FD6126"/>
    <w:rsid w:val="00FD6310"/>
    <w:rsid w:val="00FD719B"/>
    <w:rsid w:val="00FD7C7B"/>
    <w:rsid w:val="00FE1D12"/>
    <w:rsid w:val="00FE2122"/>
    <w:rsid w:val="00FE2A86"/>
    <w:rsid w:val="00FE4CD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ontepargpadro"/>
    <w:rsid w:val="00AB1B60"/>
  </w:style>
  <w:style w:type="character" w:customStyle="1" w:styleId="cf01">
    <w:name w:val="cf01"/>
    <w:basedOn w:val="Fontepargpadro"/>
    <w:rsid w:val="00F85C0B"/>
    <w:rPr>
      <w:rFonts w:ascii="Segoe UI" w:hAnsi="Segoe UI" w:cs="Segoe UI" w:hint="default"/>
      <w:sz w:val="18"/>
      <w:szCs w:val="18"/>
    </w:rPr>
  </w:style>
  <w:style w:type="paragraph" w:customStyle="1" w:styleId="legp1paratext">
    <w:name w:val="legp1paratext"/>
    <w:basedOn w:val="Normal"/>
    <w:rsid w:val="00B76E56"/>
    <w:pPr>
      <w:spacing w:before="100" w:beforeAutospacing="1" w:after="100" w:afterAutospacing="1"/>
    </w:pPr>
    <w:rPr>
      <w:rFonts w:ascii="Times New Roman" w:hAnsi="Times New Roman" w:cs="Times New Roman"/>
      <w:sz w:val="24"/>
      <w:lang w:val="pt-BR" w:eastAsia="pt-BR"/>
    </w:rPr>
  </w:style>
  <w:style w:type="character" w:customStyle="1" w:styleId="legp1no">
    <w:name w:val="legp1no"/>
    <w:basedOn w:val="Fontepargpadro"/>
    <w:rsid w:val="00B7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6588">
      <w:bodyDiv w:val="1"/>
      <w:marLeft w:val="0"/>
      <w:marRight w:val="0"/>
      <w:marTop w:val="0"/>
      <w:marBottom w:val="0"/>
      <w:divBdr>
        <w:top w:val="none" w:sz="0" w:space="0" w:color="auto"/>
        <w:left w:val="none" w:sz="0" w:space="0" w:color="auto"/>
        <w:bottom w:val="none" w:sz="0" w:space="0" w:color="auto"/>
        <w:right w:val="none" w:sz="0" w:space="0" w:color="auto"/>
      </w:divBdr>
    </w:div>
    <w:div w:id="147987981">
      <w:bodyDiv w:val="1"/>
      <w:marLeft w:val="0"/>
      <w:marRight w:val="0"/>
      <w:marTop w:val="0"/>
      <w:marBottom w:val="0"/>
      <w:divBdr>
        <w:top w:val="none" w:sz="0" w:space="0" w:color="auto"/>
        <w:left w:val="none" w:sz="0" w:space="0" w:color="auto"/>
        <w:bottom w:val="none" w:sz="0" w:space="0" w:color="auto"/>
        <w:right w:val="none" w:sz="0" w:space="0" w:color="auto"/>
      </w:divBdr>
      <w:divsChild>
        <w:div w:id="212933430">
          <w:marLeft w:val="0"/>
          <w:marRight w:val="0"/>
          <w:marTop w:val="0"/>
          <w:marBottom w:val="0"/>
          <w:divBdr>
            <w:top w:val="none" w:sz="0" w:space="0" w:color="auto"/>
            <w:left w:val="none" w:sz="0" w:space="0" w:color="auto"/>
            <w:bottom w:val="none" w:sz="0" w:space="0" w:color="auto"/>
            <w:right w:val="none" w:sz="0" w:space="0" w:color="auto"/>
          </w:divBdr>
        </w:div>
        <w:div w:id="54819966">
          <w:marLeft w:val="0"/>
          <w:marRight w:val="0"/>
          <w:marTop w:val="0"/>
          <w:marBottom w:val="0"/>
          <w:divBdr>
            <w:top w:val="none" w:sz="0" w:space="0" w:color="auto"/>
            <w:left w:val="none" w:sz="0" w:space="0" w:color="auto"/>
            <w:bottom w:val="none" w:sz="0" w:space="0" w:color="auto"/>
            <w:right w:val="none" w:sz="0" w:space="0" w:color="auto"/>
          </w:divBdr>
          <w:divsChild>
            <w:div w:id="1505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3494">
      <w:bodyDiv w:val="1"/>
      <w:marLeft w:val="0"/>
      <w:marRight w:val="0"/>
      <w:marTop w:val="0"/>
      <w:marBottom w:val="0"/>
      <w:divBdr>
        <w:top w:val="none" w:sz="0" w:space="0" w:color="auto"/>
        <w:left w:val="none" w:sz="0" w:space="0" w:color="auto"/>
        <w:bottom w:val="none" w:sz="0" w:space="0" w:color="auto"/>
        <w:right w:val="none" w:sz="0" w:space="0" w:color="auto"/>
      </w:divBdr>
    </w:div>
    <w:div w:id="253132305">
      <w:bodyDiv w:val="1"/>
      <w:marLeft w:val="0"/>
      <w:marRight w:val="0"/>
      <w:marTop w:val="0"/>
      <w:marBottom w:val="0"/>
      <w:divBdr>
        <w:top w:val="none" w:sz="0" w:space="0" w:color="auto"/>
        <w:left w:val="none" w:sz="0" w:space="0" w:color="auto"/>
        <w:bottom w:val="none" w:sz="0" w:space="0" w:color="auto"/>
        <w:right w:val="none" w:sz="0" w:space="0" w:color="auto"/>
      </w:divBdr>
    </w:div>
    <w:div w:id="319387548">
      <w:bodyDiv w:val="1"/>
      <w:marLeft w:val="0"/>
      <w:marRight w:val="0"/>
      <w:marTop w:val="0"/>
      <w:marBottom w:val="0"/>
      <w:divBdr>
        <w:top w:val="none" w:sz="0" w:space="0" w:color="auto"/>
        <w:left w:val="none" w:sz="0" w:space="0" w:color="auto"/>
        <w:bottom w:val="none" w:sz="0" w:space="0" w:color="auto"/>
        <w:right w:val="none" w:sz="0" w:space="0" w:color="auto"/>
      </w:divBdr>
      <w:divsChild>
        <w:div w:id="595015943">
          <w:marLeft w:val="0"/>
          <w:marRight w:val="0"/>
          <w:marTop w:val="0"/>
          <w:marBottom w:val="0"/>
          <w:divBdr>
            <w:top w:val="single" w:sz="2" w:space="0" w:color="D9D9E3"/>
            <w:left w:val="single" w:sz="2" w:space="0" w:color="D9D9E3"/>
            <w:bottom w:val="single" w:sz="2" w:space="0" w:color="D9D9E3"/>
            <w:right w:val="single" w:sz="2" w:space="0" w:color="D9D9E3"/>
          </w:divBdr>
          <w:divsChild>
            <w:div w:id="1031303010">
              <w:marLeft w:val="0"/>
              <w:marRight w:val="0"/>
              <w:marTop w:val="0"/>
              <w:marBottom w:val="0"/>
              <w:divBdr>
                <w:top w:val="single" w:sz="2" w:space="0" w:color="D9D9E3"/>
                <w:left w:val="single" w:sz="2" w:space="0" w:color="D9D9E3"/>
                <w:bottom w:val="single" w:sz="2" w:space="0" w:color="D9D9E3"/>
                <w:right w:val="single" w:sz="2" w:space="0" w:color="D9D9E3"/>
              </w:divBdr>
              <w:divsChild>
                <w:div w:id="1470978533">
                  <w:marLeft w:val="0"/>
                  <w:marRight w:val="0"/>
                  <w:marTop w:val="0"/>
                  <w:marBottom w:val="0"/>
                  <w:divBdr>
                    <w:top w:val="single" w:sz="2" w:space="0" w:color="D9D9E3"/>
                    <w:left w:val="single" w:sz="2" w:space="0" w:color="D9D9E3"/>
                    <w:bottom w:val="single" w:sz="2" w:space="0" w:color="D9D9E3"/>
                    <w:right w:val="single" w:sz="2" w:space="0" w:color="D9D9E3"/>
                  </w:divBdr>
                  <w:divsChild>
                    <w:div w:id="1556158024">
                      <w:marLeft w:val="0"/>
                      <w:marRight w:val="0"/>
                      <w:marTop w:val="0"/>
                      <w:marBottom w:val="0"/>
                      <w:divBdr>
                        <w:top w:val="single" w:sz="2" w:space="0" w:color="D9D9E3"/>
                        <w:left w:val="single" w:sz="2" w:space="0" w:color="D9D9E3"/>
                        <w:bottom w:val="single" w:sz="2" w:space="0" w:color="D9D9E3"/>
                        <w:right w:val="single" w:sz="2" w:space="0" w:color="D9D9E3"/>
                      </w:divBdr>
                      <w:divsChild>
                        <w:div w:id="1449352394">
                          <w:marLeft w:val="0"/>
                          <w:marRight w:val="0"/>
                          <w:marTop w:val="0"/>
                          <w:marBottom w:val="0"/>
                          <w:divBdr>
                            <w:top w:val="single" w:sz="2" w:space="0" w:color="auto"/>
                            <w:left w:val="single" w:sz="2" w:space="0" w:color="auto"/>
                            <w:bottom w:val="single" w:sz="6" w:space="0" w:color="auto"/>
                            <w:right w:val="single" w:sz="2" w:space="0" w:color="auto"/>
                          </w:divBdr>
                          <w:divsChild>
                            <w:div w:id="1303269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215299">
                                  <w:marLeft w:val="0"/>
                                  <w:marRight w:val="0"/>
                                  <w:marTop w:val="0"/>
                                  <w:marBottom w:val="0"/>
                                  <w:divBdr>
                                    <w:top w:val="single" w:sz="2" w:space="0" w:color="D9D9E3"/>
                                    <w:left w:val="single" w:sz="2" w:space="0" w:color="D9D9E3"/>
                                    <w:bottom w:val="single" w:sz="2" w:space="0" w:color="D9D9E3"/>
                                    <w:right w:val="single" w:sz="2" w:space="0" w:color="D9D9E3"/>
                                  </w:divBdr>
                                  <w:divsChild>
                                    <w:div w:id="251671535">
                                      <w:marLeft w:val="0"/>
                                      <w:marRight w:val="0"/>
                                      <w:marTop w:val="0"/>
                                      <w:marBottom w:val="0"/>
                                      <w:divBdr>
                                        <w:top w:val="single" w:sz="2" w:space="0" w:color="D9D9E3"/>
                                        <w:left w:val="single" w:sz="2" w:space="0" w:color="D9D9E3"/>
                                        <w:bottom w:val="single" w:sz="2" w:space="0" w:color="D9D9E3"/>
                                        <w:right w:val="single" w:sz="2" w:space="0" w:color="D9D9E3"/>
                                      </w:divBdr>
                                      <w:divsChild>
                                        <w:div w:id="708189977">
                                          <w:marLeft w:val="0"/>
                                          <w:marRight w:val="0"/>
                                          <w:marTop w:val="0"/>
                                          <w:marBottom w:val="0"/>
                                          <w:divBdr>
                                            <w:top w:val="single" w:sz="2" w:space="0" w:color="D9D9E3"/>
                                            <w:left w:val="single" w:sz="2" w:space="0" w:color="D9D9E3"/>
                                            <w:bottom w:val="single" w:sz="2" w:space="0" w:color="D9D9E3"/>
                                            <w:right w:val="single" w:sz="2" w:space="0" w:color="D9D9E3"/>
                                          </w:divBdr>
                                          <w:divsChild>
                                            <w:div w:id="1063287237">
                                              <w:marLeft w:val="0"/>
                                              <w:marRight w:val="0"/>
                                              <w:marTop w:val="0"/>
                                              <w:marBottom w:val="0"/>
                                              <w:divBdr>
                                                <w:top w:val="single" w:sz="2" w:space="0" w:color="D9D9E3"/>
                                                <w:left w:val="single" w:sz="2" w:space="0" w:color="D9D9E3"/>
                                                <w:bottom w:val="single" w:sz="2" w:space="0" w:color="D9D9E3"/>
                                                <w:right w:val="single" w:sz="2" w:space="0" w:color="D9D9E3"/>
                                              </w:divBdr>
                                              <w:divsChild>
                                                <w:div w:id="1634557126">
                                                  <w:marLeft w:val="0"/>
                                                  <w:marRight w:val="0"/>
                                                  <w:marTop w:val="0"/>
                                                  <w:marBottom w:val="0"/>
                                                  <w:divBdr>
                                                    <w:top w:val="single" w:sz="2" w:space="0" w:color="D9D9E3"/>
                                                    <w:left w:val="single" w:sz="2" w:space="0" w:color="D9D9E3"/>
                                                    <w:bottom w:val="single" w:sz="2" w:space="0" w:color="D9D9E3"/>
                                                    <w:right w:val="single" w:sz="2" w:space="0" w:color="D9D9E3"/>
                                                  </w:divBdr>
                                                  <w:divsChild>
                                                    <w:div w:id="574633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50212183">
          <w:marLeft w:val="0"/>
          <w:marRight w:val="0"/>
          <w:marTop w:val="0"/>
          <w:marBottom w:val="0"/>
          <w:divBdr>
            <w:top w:val="none" w:sz="0" w:space="0" w:color="auto"/>
            <w:left w:val="none" w:sz="0" w:space="0" w:color="auto"/>
            <w:bottom w:val="none" w:sz="0" w:space="0" w:color="auto"/>
            <w:right w:val="none" w:sz="0" w:space="0" w:color="auto"/>
          </w:divBdr>
        </w:div>
      </w:divsChild>
    </w:div>
    <w:div w:id="322051904">
      <w:bodyDiv w:val="1"/>
      <w:marLeft w:val="0"/>
      <w:marRight w:val="0"/>
      <w:marTop w:val="0"/>
      <w:marBottom w:val="0"/>
      <w:divBdr>
        <w:top w:val="none" w:sz="0" w:space="0" w:color="auto"/>
        <w:left w:val="none" w:sz="0" w:space="0" w:color="auto"/>
        <w:bottom w:val="none" w:sz="0" w:space="0" w:color="auto"/>
        <w:right w:val="none" w:sz="0" w:space="0" w:color="auto"/>
      </w:divBdr>
    </w:div>
    <w:div w:id="322706379">
      <w:bodyDiv w:val="1"/>
      <w:marLeft w:val="0"/>
      <w:marRight w:val="0"/>
      <w:marTop w:val="0"/>
      <w:marBottom w:val="0"/>
      <w:divBdr>
        <w:top w:val="none" w:sz="0" w:space="0" w:color="auto"/>
        <w:left w:val="none" w:sz="0" w:space="0" w:color="auto"/>
        <w:bottom w:val="none" w:sz="0" w:space="0" w:color="auto"/>
        <w:right w:val="none" w:sz="0" w:space="0" w:color="auto"/>
      </w:divBdr>
    </w:div>
    <w:div w:id="488980668">
      <w:bodyDiv w:val="1"/>
      <w:marLeft w:val="0"/>
      <w:marRight w:val="0"/>
      <w:marTop w:val="0"/>
      <w:marBottom w:val="0"/>
      <w:divBdr>
        <w:top w:val="none" w:sz="0" w:space="0" w:color="auto"/>
        <w:left w:val="none" w:sz="0" w:space="0" w:color="auto"/>
        <w:bottom w:val="none" w:sz="0" w:space="0" w:color="auto"/>
        <w:right w:val="none" w:sz="0" w:space="0" w:color="auto"/>
      </w:divBdr>
      <w:divsChild>
        <w:div w:id="480124270">
          <w:marLeft w:val="0"/>
          <w:marRight w:val="0"/>
          <w:marTop w:val="0"/>
          <w:marBottom w:val="0"/>
          <w:divBdr>
            <w:top w:val="single" w:sz="2" w:space="0" w:color="D9D9E3"/>
            <w:left w:val="single" w:sz="2" w:space="0" w:color="D9D9E3"/>
            <w:bottom w:val="single" w:sz="2" w:space="0" w:color="D9D9E3"/>
            <w:right w:val="single" w:sz="2" w:space="0" w:color="D9D9E3"/>
          </w:divBdr>
          <w:divsChild>
            <w:div w:id="79107741">
              <w:marLeft w:val="0"/>
              <w:marRight w:val="0"/>
              <w:marTop w:val="0"/>
              <w:marBottom w:val="0"/>
              <w:divBdr>
                <w:top w:val="single" w:sz="2" w:space="0" w:color="D9D9E3"/>
                <w:left w:val="single" w:sz="2" w:space="0" w:color="D9D9E3"/>
                <w:bottom w:val="single" w:sz="2" w:space="0" w:color="D9D9E3"/>
                <w:right w:val="single" w:sz="2" w:space="0" w:color="D9D9E3"/>
              </w:divBdr>
              <w:divsChild>
                <w:div w:id="1824540927">
                  <w:marLeft w:val="0"/>
                  <w:marRight w:val="0"/>
                  <w:marTop w:val="0"/>
                  <w:marBottom w:val="0"/>
                  <w:divBdr>
                    <w:top w:val="single" w:sz="2" w:space="0" w:color="D9D9E3"/>
                    <w:left w:val="single" w:sz="2" w:space="0" w:color="D9D9E3"/>
                    <w:bottom w:val="single" w:sz="2" w:space="0" w:color="D9D9E3"/>
                    <w:right w:val="single" w:sz="2" w:space="0" w:color="D9D9E3"/>
                  </w:divBdr>
                  <w:divsChild>
                    <w:div w:id="846141484">
                      <w:marLeft w:val="0"/>
                      <w:marRight w:val="0"/>
                      <w:marTop w:val="0"/>
                      <w:marBottom w:val="0"/>
                      <w:divBdr>
                        <w:top w:val="single" w:sz="2" w:space="0" w:color="D9D9E3"/>
                        <w:left w:val="single" w:sz="2" w:space="0" w:color="D9D9E3"/>
                        <w:bottom w:val="single" w:sz="2" w:space="0" w:color="D9D9E3"/>
                        <w:right w:val="single" w:sz="2" w:space="0" w:color="D9D9E3"/>
                      </w:divBdr>
                      <w:divsChild>
                        <w:div w:id="328413165">
                          <w:marLeft w:val="0"/>
                          <w:marRight w:val="0"/>
                          <w:marTop w:val="0"/>
                          <w:marBottom w:val="0"/>
                          <w:divBdr>
                            <w:top w:val="single" w:sz="2" w:space="0" w:color="auto"/>
                            <w:left w:val="single" w:sz="2" w:space="0" w:color="auto"/>
                            <w:bottom w:val="single" w:sz="6" w:space="0" w:color="auto"/>
                            <w:right w:val="single" w:sz="2" w:space="0" w:color="auto"/>
                          </w:divBdr>
                          <w:divsChild>
                            <w:div w:id="1696807904">
                              <w:marLeft w:val="0"/>
                              <w:marRight w:val="0"/>
                              <w:marTop w:val="100"/>
                              <w:marBottom w:val="100"/>
                              <w:divBdr>
                                <w:top w:val="single" w:sz="2" w:space="0" w:color="D9D9E3"/>
                                <w:left w:val="single" w:sz="2" w:space="0" w:color="D9D9E3"/>
                                <w:bottom w:val="single" w:sz="2" w:space="0" w:color="D9D9E3"/>
                                <w:right w:val="single" w:sz="2" w:space="0" w:color="D9D9E3"/>
                              </w:divBdr>
                              <w:divsChild>
                                <w:div w:id="1778215803">
                                  <w:marLeft w:val="0"/>
                                  <w:marRight w:val="0"/>
                                  <w:marTop w:val="0"/>
                                  <w:marBottom w:val="0"/>
                                  <w:divBdr>
                                    <w:top w:val="single" w:sz="2" w:space="0" w:color="D9D9E3"/>
                                    <w:left w:val="single" w:sz="2" w:space="0" w:color="D9D9E3"/>
                                    <w:bottom w:val="single" w:sz="2" w:space="0" w:color="D9D9E3"/>
                                    <w:right w:val="single" w:sz="2" w:space="0" w:color="D9D9E3"/>
                                  </w:divBdr>
                                  <w:divsChild>
                                    <w:div w:id="975839831">
                                      <w:marLeft w:val="0"/>
                                      <w:marRight w:val="0"/>
                                      <w:marTop w:val="0"/>
                                      <w:marBottom w:val="0"/>
                                      <w:divBdr>
                                        <w:top w:val="single" w:sz="2" w:space="0" w:color="D9D9E3"/>
                                        <w:left w:val="single" w:sz="2" w:space="0" w:color="D9D9E3"/>
                                        <w:bottom w:val="single" w:sz="2" w:space="0" w:color="D9D9E3"/>
                                        <w:right w:val="single" w:sz="2" w:space="0" w:color="D9D9E3"/>
                                      </w:divBdr>
                                      <w:divsChild>
                                        <w:div w:id="777872236">
                                          <w:marLeft w:val="0"/>
                                          <w:marRight w:val="0"/>
                                          <w:marTop w:val="0"/>
                                          <w:marBottom w:val="0"/>
                                          <w:divBdr>
                                            <w:top w:val="single" w:sz="2" w:space="0" w:color="D9D9E3"/>
                                            <w:left w:val="single" w:sz="2" w:space="0" w:color="D9D9E3"/>
                                            <w:bottom w:val="single" w:sz="2" w:space="0" w:color="D9D9E3"/>
                                            <w:right w:val="single" w:sz="2" w:space="0" w:color="D9D9E3"/>
                                          </w:divBdr>
                                          <w:divsChild>
                                            <w:div w:id="2144881240">
                                              <w:marLeft w:val="0"/>
                                              <w:marRight w:val="0"/>
                                              <w:marTop w:val="0"/>
                                              <w:marBottom w:val="0"/>
                                              <w:divBdr>
                                                <w:top w:val="single" w:sz="2" w:space="0" w:color="D9D9E3"/>
                                                <w:left w:val="single" w:sz="2" w:space="0" w:color="D9D9E3"/>
                                                <w:bottom w:val="single" w:sz="2" w:space="0" w:color="D9D9E3"/>
                                                <w:right w:val="single" w:sz="2" w:space="0" w:color="D9D9E3"/>
                                              </w:divBdr>
                                              <w:divsChild>
                                                <w:div w:id="597175509">
                                                  <w:marLeft w:val="0"/>
                                                  <w:marRight w:val="0"/>
                                                  <w:marTop w:val="0"/>
                                                  <w:marBottom w:val="0"/>
                                                  <w:divBdr>
                                                    <w:top w:val="single" w:sz="2" w:space="0" w:color="D9D9E3"/>
                                                    <w:left w:val="single" w:sz="2" w:space="0" w:color="D9D9E3"/>
                                                    <w:bottom w:val="single" w:sz="2" w:space="0" w:color="D9D9E3"/>
                                                    <w:right w:val="single" w:sz="2" w:space="0" w:color="D9D9E3"/>
                                                  </w:divBdr>
                                                  <w:divsChild>
                                                    <w:div w:id="1043212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8799362">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7230921">
      <w:bodyDiv w:val="1"/>
      <w:marLeft w:val="0"/>
      <w:marRight w:val="0"/>
      <w:marTop w:val="0"/>
      <w:marBottom w:val="0"/>
      <w:divBdr>
        <w:top w:val="none" w:sz="0" w:space="0" w:color="auto"/>
        <w:left w:val="none" w:sz="0" w:space="0" w:color="auto"/>
        <w:bottom w:val="none" w:sz="0" w:space="0" w:color="auto"/>
        <w:right w:val="none" w:sz="0" w:space="0" w:color="auto"/>
      </w:divBdr>
      <w:divsChild>
        <w:div w:id="1718502399">
          <w:marLeft w:val="0"/>
          <w:marRight w:val="0"/>
          <w:marTop w:val="0"/>
          <w:marBottom w:val="0"/>
          <w:divBdr>
            <w:top w:val="single" w:sz="2" w:space="0" w:color="auto"/>
            <w:left w:val="single" w:sz="2" w:space="0" w:color="auto"/>
            <w:bottom w:val="single" w:sz="6" w:space="0" w:color="auto"/>
            <w:right w:val="single" w:sz="2" w:space="0" w:color="auto"/>
          </w:divBdr>
          <w:divsChild>
            <w:div w:id="1257053479">
              <w:marLeft w:val="0"/>
              <w:marRight w:val="0"/>
              <w:marTop w:val="100"/>
              <w:marBottom w:val="100"/>
              <w:divBdr>
                <w:top w:val="single" w:sz="2" w:space="0" w:color="D9D9E3"/>
                <w:left w:val="single" w:sz="2" w:space="0" w:color="D9D9E3"/>
                <w:bottom w:val="single" w:sz="2" w:space="0" w:color="D9D9E3"/>
                <w:right w:val="single" w:sz="2" w:space="0" w:color="D9D9E3"/>
              </w:divBdr>
              <w:divsChild>
                <w:div w:id="864828539">
                  <w:marLeft w:val="0"/>
                  <w:marRight w:val="0"/>
                  <w:marTop w:val="0"/>
                  <w:marBottom w:val="0"/>
                  <w:divBdr>
                    <w:top w:val="single" w:sz="2" w:space="0" w:color="D9D9E3"/>
                    <w:left w:val="single" w:sz="2" w:space="0" w:color="D9D9E3"/>
                    <w:bottom w:val="single" w:sz="2" w:space="0" w:color="D9D9E3"/>
                    <w:right w:val="single" w:sz="2" w:space="0" w:color="D9D9E3"/>
                  </w:divBdr>
                  <w:divsChild>
                    <w:div w:id="2109158935">
                      <w:marLeft w:val="0"/>
                      <w:marRight w:val="0"/>
                      <w:marTop w:val="0"/>
                      <w:marBottom w:val="0"/>
                      <w:divBdr>
                        <w:top w:val="single" w:sz="2" w:space="0" w:color="D9D9E3"/>
                        <w:left w:val="single" w:sz="2" w:space="0" w:color="D9D9E3"/>
                        <w:bottom w:val="single" w:sz="2" w:space="0" w:color="D9D9E3"/>
                        <w:right w:val="single" w:sz="2" w:space="0" w:color="D9D9E3"/>
                      </w:divBdr>
                      <w:divsChild>
                        <w:div w:id="1065759908">
                          <w:marLeft w:val="0"/>
                          <w:marRight w:val="0"/>
                          <w:marTop w:val="0"/>
                          <w:marBottom w:val="0"/>
                          <w:divBdr>
                            <w:top w:val="single" w:sz="2" w:space="0" w:color="D9D9E3"/>
                            <w:left w:val="single" w:sz="2" w:space="0" w:color="D9D9E3"/>
                            <w:bottom w:val="single" w:sz="2" w:space="0" w:color="D9D9E3"/>
                            <w:right w:val="single" w:sz="2" w:space="0" w:color="D9D9E3"/>
                          </w:divBdr>
                          <w:divsChild>
                            <w:div w:id="794757512">
                              <w:marLeft w:val="0"/>
                              <w:marRight w:val="0"/>
                              <w:marTop w:val="0"/>
                              <w:marBottom w:val="0"/>
                              <w:divBdr>
                                <w:top w:val="single" w:sz="2" w:space="0" w:color="D9D9E3"/>
                                <w:left w:val="single" w:sz="2" w:space="0" w:color="D9D9E3"/>
                                <w:bottom w:val="single" w:sz="2" w:space="0" w:color="D9D9E3"/>
                                <w:right w:val="single" w:sz="2" w:space="0" w:color="D9D9E3"/>
                              </w:divBdr>
                              <w:divsChild>
                                <w:div w:id="1770734578">
                                  <w:marLeft w:val="0"/>
                                  <w:marRight w:val="0"/>
                                  <w:marTop w:val="0"/>
                                  <w:marBottom w:val="0"/>
                                  <w:divBdr>
                                    <w:top w:val="single" w:sz="2" w:space="0" w:color="D9D9E3"/>
                                    <w:left w:val="single" w:sz="2" w:space="0" w:color="D9D9E3"/>
                                    <w:bottom w:val="single" w:sz="2" w:space="0" w:color="D9D9E3"/>
                                    <w:right w:val="single" w:sz="2" w:space="0" w:color="D9D9E3"/>
                                  </w:divBdr>
                                  <w:divsChild>
                                    <w:div w:id="113259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90743706">
      <w:bodyDiv w:val="1"/>
      <w:marLeft w:val="0"/>
      <w:marRight w:val="0"/>
      <w:marTop w:val="0"/>
      <w:marBottom w:val="0"/>
      <w:divBdr>
        <w:top w:val="none" w:sz="0" w:space="0" w:color="auto"/>
        <w:left w:val="none" w:sz="0" w:space="0" w:color="auto"/>
        <w:bottom w:val="none" w:sz="0" w:space="0" w:color="auto"/>
        <w:right w:val="none" w:sz="0" w:space="0" w:color="auto"/>
      </w:divBdr>
    </w:div>
    <w:div w:id="71037521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34360310">
      <w:bodyDiv w:val="1"/>
      <w:marLeft w:val="0"/>
      <w:marRight w:val="0"/>
      <w:marTop w:val="0"/>
      <w:marBottom w:val="0"/>
      <w:divBdr>
        <w:top w:val="none" w:sz="0" w:space="0" w:color="auto"/>
        <w:left w:val="none" w:sz="0" w:space="0" w:color="auto"/>
        <w:bottom w:val="none" w:sz="0" w:space="0" w:color="auto"/>
        <w:right w:val="none" w:sz="0" w:space="0" w:color="auto"/>
      </w:divBdr>
      <w:divsChild>
        <w:div w:id="1682662320">
          <w:marLeft w:val="0"/>
          <w:marRight w:val="0"/>
          <w:marTop w:val="0"/>
          <w:marBottom w:val="0"/>
          <w:divBdr>
            <w:top w:val="none" w:sz="0" w:space="0" w:color="auto"/>
            <w:left w:val="none" w:sz="0" w:space="0" w:color="auto"/>
            <w:bottom w:val="none" w:sz="0" w:space="0" w:color="auto"/>
            <w:right w:val="none" w:sz="0" w:space="0" w:color="auto"/>
          </w:divBdr>
          <w:divsChild>
            <w:div w:id="238057623">
              <w:marLeft w:val="0"/>
              <w:marRight w:val="0"/>
              <w:marTop w:val="0"/>
              <w:marBottom w:val="0"/>
              <w:divBdr>
                <w:top w:val="none" w:sz="0" w:space="0" w:color="auto"/>
                <w:left w:val="none" w:sz="0" w:space="0" w:color="auto"/>
                <w:bottom w:val="none" w:sz="0" w:space="0" w:color="auto"/>
                <w:right w:val="none" w:sz="0" w:space="0" w:color="auto"/>
              </w:divBdr>
            </w:div>
          </w:divsChild>
        </w:div>
        <w:div w:id="554707243">
          <w:marLeft w:val="0"/>
          <w:marRight w:val="0"/>
          <w:marTop w:val="0"/>
          <w:marBottom w:val="0"/>
          <w:divBdr>
            <w:top w:val="none" w:sz="0" w:space="0" w:color="auto"/>
            <w:left w:val="none" w:sz="0" w:space="0" w:color="auto"/>
            <w:bottom w:val="none" w:sz="0" w:space="0" w:color="auto"/>
            <w:right w:val="none" w:sz="0" w:space="0" w:color="auto"/>
          </w:divBdr>
          <w:divsChild>
            <w:div w:id="51581901">
              <w:marLeft w:val="0"/>
              <w:marRight w:val="0"/>
              <w:marTop w:val="0"/>
              <w:marBottom w:val="0"/>
              <w:divBdr>
                <w:top w:val="none" w:sz="0" w:space="0" w:color="auto"/>
                <w:left w:val="none" w:sz="0" w:space="0" w:color="auto"/>
                <w:bottom w:val="none" w:sz="0" w:space="0" w:color="auto"/>
                <w:right w:val="none" w:sz="0" w:space="0" w:color="auto"/>
              </w:divBdr>
            </w:div>
          </w:divsChild>
        </w:div>
        <w:div w:id="1257442039">
          <w:marLeft w:val="0"/>
          <w:marRight w:val="0"/>
          <w:marTop w:val="0"/>
          <w:marBottom w:val="0"/>
          <w:divBdr>
            <w:top w:val="none" w:sz="0" w:space="0" w:color="auto"/>
            <w:left w:val="none" w:sz="0" w:space="0" w:color="auto"/>
            <w:bottom w:val="none" w:sz="0" w:space="0" w:color="auto"/>
            <w:right w:val="none" w:sz="0" w:space="0" w:color="auto"/>
          </w:divBdr>
          <w:divsChild>
            <w:div w:id="895169034">
              <w:marLeft w:val="0"/>
              <w:marRight w:val="0"/>
              <w:marTop w:val="0"/>
              <w:marBottom w:val="0"/>
              <w:divBdr>
                <w:top w:val="none" w:sz="0" w:space="0" w:color="auto"/>
                <w:left w:val="none" w:sz="0" w:space="0" w:color="auto"/>
                <w:bottom w:val="none" w:sz="0" w:space="0" w:color="auto"/>
                <w:right w:val="none" w:sz="0" w:space="0" w:color="auto"/>
              </w:divBdr>
              <w:divsChild>
                <w:div w:id="743138354">
                  <w:marLeft w:val="0"/>
                  <w:marRight w:val="0"/>
                  <w:marTop w:val="0"/>
                  <w:marBottom w:val="0"/>
                  <w:divBdr>
                    <w:top w:val="none" w:sz="0" w:space="0" w:color="auto"/>
                    <w:left w:val="none" w:sz="0" w:space="0" w:color="auto"/>
                    <w:bottom w:val="none" w:sz="0" w:space="0" w:color="auto"/>
                    <w:right w:val="none" w:sz="0" w:space="0" w:color="auto"/>
                  </w:divBdr>
                  <w:divsChild>
                    <w:div w:id="2014449274">
                      <w:marLeft w:val="0"/>
                      <w:marRight w:val="0"/>
                      <w:marTop w:val="120"/>
                      <w:marBottom w:val="0"/>
                      <w:divBdr>
                        <w:top w:val="none" w:sz="0" w:space="0" w:color="auto"/>
                        <w:left w:val="none" w:sz="0" w:space="0" w:color="auto"/>
                        <w:bottom w:val="none" w:sz="0" w:space="0" w:color="auto"/>
                        <w:right w:val="none" w:sz="0" w:space="0" w:color="auto"/>
                      </w:divBdr>
                    </w:div>
                    <w:div w:id="1935168963">
                      <w:marLeft w:val="0"/>
                      <w:marRight w:val="0"/>
                      <w:marTop w:val="0"/>
                      <w:marBottom w:val="0"/>
                      <w:divBdr>
                        <w:top w:val="none" w:sz="0" w:space="0" w:color="auto"/>
                        <w:left w:val="none" w:sz="0" w:space="0" w:color="auto"/>
                        <w:bottom w:val="none" w:sz="0" w:space="0" w:color="auto"/>
                        <w:right w:val="none" w:sz="0" w:space="0" w:color="auto"/>
                      </w:divBdr>
                    </w:div>
                  </w:divsChild>
                </w:div>
                <w:div w:id="1946687734">
                  <w:marLeft w:val="0"/>
                  <w:marRight w:val="0"/>
                  <w:marTop w:val="0"/>
                  <w:marBottom w:val="0"/>
                  <w:divBdr>
                    <w:top w:val="none" w:sz="0" w:space="0" w:color="auto"/>
                    <w:left w:val="none" w:sz="0" w:space="0" w:color="auto"/>
                    <w:bottom w:val="none" w:sz="0" w:space="0" w:color="auto"/>
                    <w:right w:val="none" w:sz="0" w:space="0" w:color="auto"/>
                  </w:divBdr>
                  <w:divsChild>
                    <w:div w:id="2033874608">
                      <w:marLeft w:val="0"/>
                      <w:marRight w:val="0"/>
                      <w:marTop w:val="120"/>
                      <w:marBottom w:val="0"/>
                      <w:divBdr>
                        <w:top w:val="none" w:sz="0" w:space="0" w:color="auto"/>
                        <w:left w:val="none" w:sz="0" w:space="0" w:color="auto"/>
                        <w:bottom w:val="none" w:sz="0" w:space="0" w:color="auto"/>
                        <w:right w:val="none" w:sz="0" w:space="0" w:color="auto"/>
                      </w:divBdr>
                    </w:div>
                    <w:div w:id="530151545">
                      <w:marLeft w:val="0"/>
                      <w:marRight w:val="0"/>
                      <w:marTop w:val="0"/>
                      <w:marBottom w:val="0"/>
                      <w:divBdr>
                        <w:top w:val="none" w:sz="0" w:space="0" w:color="auto"/>
                        <w:left w:val="none" w:sz="0" w:space="0" w:color="auto"/>
                        <w:bottom w:val="none" w:sz="0" w:space="0" w:color="auto"/>
                        <w:right w:val="none" w:sz="0" w:space="0" w:color="auto"/>
                      </w:divBdr>
                      <w:divsChild>
                        <w:div w:id="1177892225">
                          <w:marLeft w:val="0"/>
                          <w:marRight w:val="0"/>
                          <w:marTop w:val="0"/>
                          <w:marBottom w:val="0"/>
                          <w:divBdr>
                            <w:top w:val="none" w:sz="0" w:space="0" w:color="auto"/>
                            <w:left w:val="none" w:sz="0" w:space="0" w:color="auto"/>
                            <w:bottom w:val="none" w:sz="0" w:space="0" w:color="auto"/>
                            <w:right w:val="none" w:sz="0" w:space="0" w:color="auto"/>
                          </w:divBdr>
                          <w:divsChild>
                            <w:div w:id="1504080455">
                              <w:marLeft w:val="0"/>
                              <w:marRight w:val="0"/>
                              <w:marTop w:val="120"/>
                              <w:marBottom w:val="0"/>
                              <w:divBdr>
                                <w:top w:val="none" w:sz="0" w:space="0" w:color="auto"/>
                                <w:left w:val="none" w:sz="0" w:space="0" w:color="auto"/>
                                <w:bottom w:val="none" w:sz="0" w:space="0" w:color="auto"/>
                                <w:right w:val="none" w:sz="0" w:space="0" w:color="auto"/>
                              </w:divBdr>
                            </w:div>
                            <w:div w:id="938638363">
                              <w:marLeft w:val="0"/>
                              <w:marRight w:val="0"/>
                              <w:marTop w:val="0"/>
                              <w:marBottom w:val="0"/>
                              <w:divBdr>
                                <w:top w:val="none" w:sz="0" w:space="0" w:color="auto"/>
                                <w:left w:val="none" w:sz="0" w:space="0" w:color="auto"/>
                                <w:bottom w:val="none" w:sz="0" w:space="0" w:color="auto"/>
                                <w:right w:val="none" w:sz="0" w:space="0" w:color="auto"/>
                              </w:divBdr>
                            </w:div>
                          </w:divsChild>
                        </w:div>
                        <w:div w:id="1424109942">
                          <w:marLeft w:val="0"/>
                          <w:marRight w:val="0"/>
                          <w:marTop w:val="0"/>
                          <w:marBottom w:val="0"/>
                          <w:divBdr>
                            <w:top w:val="none" w:sz="0" w:space="0" w:color="auto"/>
                            <w:left w:val="none" w:sz="0" w:space="0" w:color="auto"/>
                            <w:bottom w:val="none" w:sz="0" w:space="0" w:color="auto"/>
                            <w:right w:val="none" w:sz="0" w:space="0" w:color="auto"/>
                          </w:divBdr>
                          <w:divsChild>
                            <w:div w:id="640579933">
                              <w:marLeft w:val="0"/>
                              <w:marRight w:val="0"/>
                              <w:marTop w:val="120"/>
                              <w:marBottom w:val="0"/>
                              <w:divBdr>
                                <w:top w:val="none" w:sz="0" w:space="0" w:color="auto"/>
                                <w:left w:val="none" w:sz="0" w:space="0" w:color="auto"/>
                                <w:bottom w:val="none" w:sz="0" w:space="0" w:color="auto"/>
                                <w:right w:val="none" w:sz="0" w:space="0" w:color="auto"/>
                              </w:divBdr>
                            </w:div>
                            <w:div w:id="5193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2040">
      <w:bodyDiv w:val="1"/>
      <w:marLeft w:val="0"/>
      <w:marRight w:val="0"/>
      <w:marTop w:val="0"/>
      <w:marBottom w:val="0"/>
      <w:divBdr>
        <w:top w:val="none" w:sz="0" w:space="0" w:color="auto"/>
        <w:left w:val="none" w:sz="0" w:space="0" w:color="auto"/>
        <w:bottom w:val="none" w:sz="0" w:space="0" w:color="auto"/>
        <w:right w:val="none" w:sz="0" w:space="0" w:color="auto"/>
      </w:divBdr>
    </w:div>
    <w:div w:id="182716544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21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16</Pages>
  <Words>7024</Words>
  <Characters>37934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Letícia Willemann Campanelli</cp:lastModifiedBy>
  <cp:revision>261</cp:revision>
  <cp:lastPrinted>2020-06-12T02:43:00Z</cp:lastPrinted>
  <dcterms:created xsi:type="dcterms:W3CDTF">2023-07-14T10:19:00Z</dcterms:created>
  <dcterms:modified xsi:type="dcterms:W3CDTF">2023-11-15T02:40:00Z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