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THE </w:t>
      </w:r>
      <w:proofErr w:type="spellStart"/>
      <w:r w:rsidRPr="00E2622D">
        <w:rPr>
          <w:rFonts w:ascii="Avenir Next Demi Bold" w:hAnsi="Avenir Next Demi Bold" w:cs="Arial"/>
          <w:b/>
          <w:bCs/>
          <w:color w:val="000000" w:themeColor="text1"/>
          <w:sz w:val="24"/>
          <w:lang w:val="en-GB"/>
        </w:rPr>
        <w:t>UNCITRAL</w:t>
      </w:r>
      <w:proofErr w:type="spellEnd"/>
      <w:r w:rsidRPr="00E2622D">
        <w:rPr>
          <w:rFonts w:ascii="Avenir Next Demi Bold" w:hAnsi="Avenir Next Demi Bold" w:cs="Arial"/>
          <w:b/>
          <w:bCs/>
          <w:color w:val="000000" w:themeColor="text1"/>
          <w:sz w:val="24"/>
          <w:lang w:val="en-GB"/>
        </w:rPr>
        <w:t xml:space="preserve">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173F192"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spellStart"/>
      <w:r w:rsidRPr="0015549B">
        <w:rPr>
          <w:rFonts w:ascii="Avenir Next Demi Bold" w:hAnsi="Avenir Next Demi Bold" w:cs="Arial"/>
          <w:b/>
          <w:bCs/>
          <w:color w:val="FF0000"/>
          <w:sz w:val="22"/>
          <w:szCs w:val="22"/>
          <w:lang w:val="en-GB"/>
        </w:rPr>
        <w:t>MLCBI</w:t>
      </w:r>
      <w:proofErr w:type="spellEnd"/>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301DD9">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0326FA" w:rsidRDefault="00B263D0" w:rsidP="00301DD9">
      <w:pPr>
        <w:pStyle w:val="ListParagraph"/>
        <w:numPr>
          <w:ilvl w:val="0"/>
          <w:numId w:val="1"/>
        </w:numPr>
        <w:ind w:left="426" w:hanging="426"/>
        <w:jc w:val="both"/>
        <w:rPr>
          <w:rFonts w:ascii="Avenir Next" w:hAnsi="Avenir Next" w:cs="Arial"/>
          <w:sz w:val="22"/>
          <w:szCs w:val="22"/>
          <w:highlight w:val="yellow"/>
          <w:lang w:val="en-GB"/>
        </w:rPr>
      </w:pPr>
      <w:r w:rsidRPr="000326FA">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301DD9">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w:t>
      </w:r>
      <w:proofErr w:type="spellStart"/>
      <w:r w:rsidRPr="00811079">
        <w:rPr>
          <w:rFonts w:ascii="Avenir Next" w:hAnsi="Avenir Next" w:cs="Arial"/>
          <w:sz w:val="22"/>
          <w:szCs w:val="22"/>
          <w:lang w:val="en-GB"/>
        </w:rPr>
        <w:t>MLCBI</w:t>
      </w:r>
      <w:proofErr w:type="spellEnd"/>
      <w:r w:rsidRPr="00811079">
        <w:rPr>
          <w:rFonts w:ascii="Avenir Next" w:hAnsi="Avenir Next" w:cs="Arial"/>
          <w:sz w:val="22"/>
          <w:szCs w:val="22"/>
          <w:lang w:val="en-GB"/>
        </w:rPr>
        <w:t>?</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301DD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301DD9">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301DD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301DD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301DD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301DD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961EE" w:rsidRDefault="00AD0E59" w:rsidP="00301DD9">
      <w:pPr>
        <w:pStyle w:val="ListParagraph"/>
        <w:numPr>
          <w:ilvl w:val="0"/>
          <w:numId w:val="10"/>
        </w:numPr>
        <w:ind w:left="426" w:hanging="426"/>
        <w:jc w:val="both"/>
        <w:rPr>
          <w:rFonts w:ascii="Avenir Next" w:hAnsi="Avenir Next" w:cs="Arial"/>
          <w:sz w:val="22"/>
          <w:szCs w:val="22"/>
          <w:highlight w:val="yellow"/>
          <w:lang w:val="en-GB"/>
        </w:rPr>
      </w:pPr>
      <w:r w:rsidRPr="004961EE">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301DD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301DD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301DD9">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w:t>
      </w:r>
      <w:proofErr w:type="spellStart"/>
      <w:r>
        <w:rPr>
          <w:rFonts w:ascii="Avenir Next" w:hAnsi="Avenir Next" w:cs="Arial"/>
          <w:sz w:val="22"/>
          <w:szCs w:val="22"/>
          <w:lang w:val="en-GB"/>
        </w:rPr>
        <w:t>MLCBI</w:t>
      </w:r>
      <w:proofErr w:type="spellEnd"/>
      <w:r>
        <w:rPr>
          <w:rFonts w:ascii="Avenir Next" w:hAnsi="Avenir Next" w:cs="Arial"/>
          <w:sz w:val="22"/>
          <w:szCs w:val="22"/>
          <w:lang w:val="en-GB"/>
        </w:rPr>
        <w:t>?</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301DD9">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301DD9">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301DD9">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301DD9">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301DD9">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4A18C8" w:rsidRDefault="00893A03" w:rsidP="00301DD9">
      <w:pPr>
        <w:pStyle w:val="ListParagraph"/>
        <w:numPr>
          <w:ilvl w:val="0"/>
          <w:numId w:val="2"/>
        </w:numPr>
        <w:ind w:left="426" w:hanging="426"/>
        <w:jc w:val="both"/>
        <w:rPr>
          <w:rFonts w:ascii="Avenir Next" w:hAnsi="Avenir Next" w:cs="Arial"/>
          <w:sz w:val="22"/>
          <w:szCs w:val="22"/>
          <w:highlight w:val="yellow"/>
          <w:lang w:val="en-GB"/>
        </w:rPr>
      </w:pPr>
      <w:r w:rsidRPr="004A18C8">
        <w:rPr>
          <w:rFonts w:ascii="Avenir Next" w:hAnsi="Avenir Next" w:cs="Arial"/>
          <w:sz w:val="22"/>
          <w:szCs w:val="22"/>
          <w:highlight w:val="yellow"/>
          <w:lang w:val="en-GB"/>
        </w:rPr>
        <w:t>Options (i),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301DD9">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301DD9">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w:t>
      </w:r>
      <w:proofErr w:type="spellStart"/>
      <w:r w:rsidRPr="00851204">
        <w:rPr>
          <w:rFonts w:ascii="Avenir Next" w:hAnsi="Avenir Next"/>
          <w:sz w:val="22"/>
          <w:szCs w:val="28"/>
          <w:lang w:val="en-GB"/>
        </w:rPr>
        <w:t>MLCBI</w:t>
      </w:r>
      <w:proofErr w:type="spellEnd"/>
      <w:r w:rsidRPr="00851204">
        <w:rPr>
          <w:rFonts w:ascii="Avenir Next" w:hAnsi="Avenir Next"/>
          <w:sz w:val="22"/>
          <w:szCs w:val="28"/>
          <w:lang w:val="en-GB"/>
        </w:rPr>
        <w:t>?</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301DD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301DD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301DD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301DD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301DD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301DD9">
      <w:pPr>
        <w:pStyle w:val="ListParagraph"/>
        <w:numPr>
          <w:ilvl w:val="0"/>
          <w:numId w:val="3"/>
        </w:numPr>
        <w:ind w:left="426" w:hanging="426"/>
        <w:jc w:val="both"/>
        <w:rPr>
          <w:rFonts w:ascii="Avenir Next" w:hAnsi="Avenir Next" w:cs="Arial"/>
          <w:sz w:val="22"/>
          <w:szCs w:val="22"/>
          <w:lang w:val="en-GB"/>
        </w:rPr>
      </w:pPr>
      <w:r w:rsidRPr="00812AFE">
        <w:rPr>
          <w:rFonts w:ascii="Avenir Next" w:hAnsi="Avenir Next" w:cs="Arial"/>
          <w:sz w:val="22"/>
          <w:szCs w:val="22"/>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301DD9">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301DD9">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2D79E5" w:rsidRDefault="00812AFE" w:rsidP="00301DD9">
      <w:pPr>
        <w:pStyle w:val="ListParagraph"/>
        <w:numPr>
          <w:ilvl w:val="0"/>
          <w:numId w:val="3"/>
        </w:numPr>
        <w:ind w:left="426" w:hanging="426"/>
        <w:jc w:val="both"/>
        <w:rPr>
          <w:rFonts w:ascii="Avenir Next" w:hAnsi="Avenir Next" w:cs="Arial"/>
          <w:sz w:val="22"/>
          <w:szCs w:val="22"/>
          <w:highlight w:val="yellow"/>
          <w:lang w:val="en-GB"/>
        </w:rPr>
      </w:pPr>
      <w:r w:rsidRPr="002D79E5">
        <w:rPr>
          <w:rFonts w:ascii="Avenir Next" w:hAnsi="Avenir Next" w:cs="Arial"/>
          <w:sz w:val="22"/>
          <w:szCs w:val="22"/>
          <w:highlight w:val="yellow"/>
          <w:lang w:val="en-GB"/>
        </w:rPr>
        <w:t>None of the above.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301DD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301DD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301DD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301DD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301DD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8C755E" w:rsidRDefault="003220BA" w:rsidP="00301DD9">
      <w:pPr>
        <w:pStyle w:val="ListParagraph"/>
        <w:numPr>
          <w:ilvl w:val="0"/>
          <w:numId w:val="4"/>
        </w:numPr>
        <w:ind w:left="426" w:hanging="426"/>
        <w:jc w:val="both"/>
        <w:rPr>
          <w:rFonts w:ascii="Avenir Next" w:hAnsi="Avenir Next" w:cs="Arial"/>
          <w:sz w:val="22"/>
          <w:szCs w:val="22"/>
          <w:lang w:val="en-GB"/>
        </w:rPr>
      </w:pPr>
      <w:r w:rsidRPr="008C755E">
        <w:rPr>
          <w:rFonts w:ascii="Avenir Next" w:hAnsi="Avenir Next" w:cs="Arial"/>
          <w:sz w:val="22"/>
          <w:szCs w:val="22"/>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301DD9">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301DD9">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4CEAAA73" w:rsidR="003220BA" w:rsidRPr="003220BA" w:rsidRDefault="003220BA" w:rsidP="00301DD9">
      <w:pPr>
        <w:pStyle w:val="ListParagraph"/>
        <w:numPr>
          <w:ilvl w:val="0"/>
          <w:numId w:val="4"/>
        </w:numPr>
        <w:ind w:left="426" w:hanging="426"/>
        <w:jc w:val="both"/>
        <w:rPr>
          <w:rFonts w:ascii="Avenir Next" w:hAnsi="Avenir Next" w:cs="Arial"/>
          <w:sz w:val="22"/>
          <w:szCs w:val="22"/>
          <w:lang w:val="en-GB"/>
        </w:rPr>
      </w:pPr>
      <w:r w:rsidRPr="008C755E">
        <w:rPr>
          <w:rFonts w:ascii="Avenir Next" w:hAnsi="Avenir Next" w:cs="Arial"/>
          <w:sz w:val="22"/>
          <w:szCs w:val="22"/>
          <w:highlight w:val="yellow"/>
          <w:lang w:val="en-GB"/>
        </w:rPr>
        <w:t>Options (i) and (v).</w:t>
      </w:r>
      <w:r w:rsidRPr="003220BA">
        <w:rPr>
          <w:rFonts w:ascii="Avenir Next" w:hAnsi="Avenir Next" w:cs="Arial"/>
          <w:sz w:val="22"/>
          <w:szCs w:val="22"/>
          <w:lang w:val="en-GB"/>
        </w:rPr>
        <w:t xml:space="preserve">  </w:t>
      </w:r>
      <w:r w:rsidR="0051050F">
        <w:rPr>
          <w:rFonts w:ascii="Avenir Next" w:hAnsi="Avenir Next" w:cs="Arial"/>
          <w:color w:val="FF0000"/>
          <w:sz w:val="22"/>
          <w:szCs w:val="22"/>
          <w:lang w:val="en-GB"/>
        </w:rPr>
        <w:t xml:space="preserve">Should this not be IV? II also not </w:t>
      </w:r>
      <w:proofErr w:type="gramStart"/>
      <w:r w:rsidR="0051050F">
        <w:rPr>
          <w:rFonts w:ascii="Avenir Next" w:hAnsi="Avenir Next" w:cs="Arial"/>
          <w:color w:val="FF0000"/>
          <w:sz w:val="22"/>
          <w:szCs w:val="22"/>
          <w:lang w:val="en-GB"/>
        </w:rPr>
        <w:t>really relevant</w:t>
      </w:r>
      <w:proofErr w:type="gramEnd"/>
      <w:r w:rsidR="0051050F">
        <w:rPr>
          <w:rFonts w:ascii="Avenir Next" w:hAnsi="Avenir Next" w:cs="Arial"/>
          <w:color w:val="FF0000"/>
          <w:sz w:val="22"/>
          <w:szCs w:val="22"/>
          <w:lang w:val="en-GB"/>
        </w:rPr>
        <w:t xml:space="preserve"> as selected above</w:t>
      </w:r>
      <w:r w:rsidR="008C755E">
        <w:rPr>
          <w:rFonts w:ascii="Avenir Next" w:hAnsi="Avenir Next" w:cs="Arial"/>
          <w:color w:val="FF0000"/>
          <w:sz w:val="22"/>
          <w:szCs w:val="22"/>
          <w:lang w:val="en-GB"/>
        </w:rPr>
        <w:t xml:space="preserve">, de </w:t>
      </w:r>
      <w:proofErr w:type="spellStart"/>
      <w:r w:rsidR="008C755E">
        <w:rPr>
          <w:rFonts w:ascii="Avenir Next" w:hAnsi="Avenir Next" w:cs="Arial"/>
          <w:color w:val="FF0000"/>
          <w:sz w:val="22"/>
          <w:szCs w:val="22"/>
          <w:lang w:val="en-GB"/>
        </w:rPr>
        <w:t>minimus</w:t>
      </w:r>
      <w:proofErr w:type="spellEnd"/>
      <w:r w:rsidR="008C755E">
        <w:rPr>
          <w:rFonts w:ascii="Avenir Next" w:hAnsi="Avenir Next" w:cs="Arial"/>
          <w:color w:val="FF0000"/>
          <w:sz w:val="22"/>
          <w:szCs w:val="22"/>
          <w:lang w:val="en-GB"/>
        </w:rPr>
        <w:t xml:space="preserve"> </w:t>
      </w:r>
      <w:r w:rsidR="000C182E">
        <w:rPr>
          <w:rFonts w:ascii="Avenir Next" w:hAnsi="Avenir Next" w:cs="Arial"/>
          <w:color w:val="FF0000"/>
          <w:sz w:val="22"/>
          <w:szCs w:val="22"/>
          <w:lang w:val="en-GB"/>
        </w:rPr>
        <w:t xml:space="preserve">could lead to cross border activates but should not be deemed a precursor.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301DD9">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301DD9">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301DD9">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301DD9">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578CAB3E" w:rsidR="009344C1" w:rsidRPr="00B5701A" w:rsidRDefault="009344C1" w:rsidP="00301DD9">
      <w:pPr>
        <w:pStyle w:val="ListParagraph"/>
        <w:numPr>
          <w:ilvl w:val="0"/>
          <w:numId w:val="5"/>
        </w:numPr>
        <w:ind w:left="426" w:hanging="426"/>
        <w:jc w:val="both"/>
        <w:rPr>
          <w:rFonts w:ascii="Avenir Next" w:hAnsi="Avenir Next" w:cs="Arial"/>
          <w:sz w:val="22"/>
          <w:szCs w:val="22"/>
          <w:highlight w:val="yellow"/>
          <w:lang w:val="en-GB"/>
        </w:rPr>
      </w:pPr>
      <w:r w:rsidRPr="00B5701A">
        <w:rPr>
          <w:rFonts w:ascii="Avenir Next" w:hAnsi="Avenir Next" w:cs="Arial"/>
          <w:sz w:val="22"/>
          <w:szCs w:val="22"/>
          <w:highlight w:val="yellow"/>
          <w:lang w:val="en-GB"/>
        </w:rPr>
        <w:t>Not enough facts provided to arrive at a conclusion.</w:t>
      </w:r>
      <w:r w:rsidR="00E0431A">
        <w:rPr>
          <w:rFonts w:ascii="Avenir Next" w:hAnsi="Avenir Next" w:cs="Arial"/>
          <w:sz w:val="22"/>
          <w:szCs w:val="22"/>
          <w:highlight w:val="yellow"/>
          <w:lang w:val="en-GB"/>
        </w:rPr>
        <w:t xml:space="preserve"> </w:t>
      </w:r>
      <w:r w:rsidR="00E0431A">
        <w:rPr>
          <w:rFonts w:ascii="Avenir Next" w:hAnsi="Avenir Next" w:cs="Arial"/>
          <w:color w:val="FF0000"/>
          <w:sz w:val="22"/>
          <w:szCs w:val="22"/>
          <w:highlight w:val="yellow"/>
          <w:lang w:val="en-GB"/>
        </w:rPr>
        <w:t xml:space="preserve">If not D, however other agreements/principles may exist between these jurisdictions, more information needed.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301DD9">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301DD9">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301DD9">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301DD9">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301DD9">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582BD4" w:rsidRDefault="00F51EE5" w:rsidP="00301DD9">
      <w:pPr>
        <w:pStyle w:val="ListParagraph"/>
        <w:numPr>
          <w:ilvl w:val="0"/>
          <w:numId w:val="6"/>
        </w:numPr>
        <w:ind w:left="426" w:hanging="426"/>
        <w:jc w:val="both"/>
        <w:rPr>
          <w:rFonts w:ascii="Avenir Next" w:hAnsi="Avenir Next" w:cs="Arial"/>
          <w:sz w:val="22"/>
          <w:szCs w:val="22"/>
          <w:highlight w:val="yellow"/>
          <w:lang w:val="en-GB"/>
        </w:rPr>
      </w:pPr>
      <w:r w:rsidRPr="00582BD4">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301DD9">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301DD9">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w:t>
      </w:r>
      <w:proofErr w:type="spellStart"/>
      <w:r w:rsidRPr="00832BB0">
        <w:rPr>
          <w:rFonts w:ascii="Avenir Next" w:hAnsi="Avenir Next"/>
          <w:sz w:val="22"/>
          <w:szCs w:val="28"/>
        </w:rPr>
        <w:t>MLCBI</w:t>
      </w:r>
      <w:proofErr w:type="spellEnd"/>
      <w:r w:rsidRPr="00832BB0">
        <w:rPr>
          <w:rFonts w:ascii="Avenir Next" w:hAnsi="Avenir Next"/>
          <w:sz w:val="22"/>
          <w:szCs w:val="28"/>
        </w:rPr>
        <w:t>?</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301DD9">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COMI is a well-defined term in the </w:t>
      </w:r>
      <w:proofErr w:type="spellStart"/>
      <w:r w:rsidRPr="007742D6">
        <w:rPr>
          <w:rFonts w:ascii="Avenir Next" w:hAnsi="Avenir Next"/>
          <w:sz w:val="22"/>
          <w:szCs w:val="28"/>
        </w:rPr>
        <w:t>MLCBI</w:t>
      </w:r>
      <w:proofErr w:type="spellEnd"/>
      <w:r w:rsidRPr="007742D6">
        <w:rPr>
          <w:rFonts w:ascii="Avenir Next" w:hAnsi="Avenir Next"/>
          <w:sz w:val="22"/>
          <w:szCs w:val="28"/>
        </w:rPr>
        <w:t>.</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301DD9">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301DD9">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301DD9">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301DD9">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CC4519" w:rsidRDefault="0097337E" w:rsidP="00301DD9">
      <w:pPr>
        <w:pStyle w:val="ListParagraph"/>
        <w:numPr>
          <w:ilvl w:val="0"/>
          <w:numId w:val="7"/>
        </w:numPr>
        <w:ind w:left="426" w:hanging="426"/>
        <w:jc w:val="both"/>
        <w:rPr>
          <w:rFonts w:ascii="Avenir Next" w:hAnsi="Avenir Next" w:cs="Arial"/>
          <w:sz w:val="22"/>
          <w:szCs w:val="22"/>
          <w:highlight w:val="yellow"/>
          <w:lang w:val="en-GB"/>
        </w:rPr>
      </w:pPr>
      <w:r w:rsidRPr="00CC4519">
        <w:rPr>
          <w:rFonts w:ascii="Avenir Next" w:hAnsi="Avenir Next" w:cs="Arial"/>
          <w:sz w:val="22"/>
          <w:szCs w:val="22"/>
          <w:highlight w:val="yellow"/>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301DD9">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301DD9">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301DD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301DD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301DD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lastRenderedPageBreak/>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301DD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301DD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373D5D" w:rsidRDefault="009A58D1" w:rsidP="00301DD9">
      <w:pPr>
        <w:pStyle w:val="ListParagraph"/>
        <w:numPr>
          <w:ilvl w:val="0"/>
          <w:numId w:val="8"/>
        </w:numPr>
        <w:ind w:left="426" w:hanging="426"/>
        <w:jc w:val="both"/>
        <w:rPr>
          <w:rFonts w:ascii="Avenir Next" w:hAnsi="Avenir Next" w:cs="Arial"/>
          <w:sz w:val="22"/>
          <w:szCs w:val="22"/>
          <w:highlight w:val="yellow"/>
          <w:lang w:val="en-GB"/>
        </w:rPr>
      </w:pPr>
      <w:r w:rsidRPr="00373D5D">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301DD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w:t>
      </w:r>
      <w:proofErr w:type="spellStart"/>
      <w:r w:rsidRPr="00574696">
        <w:rPr>
          <w:rFonts w:ascii="Avenir Next" w:hAnsi="Avenir Next"/>
          <w:sz w:val="22"/>
          <w:szCs w:val="28"/>
        </w:rPr>
        <w:t>MLCBI</w:t>
      </w:r>
      <w:proofErr w:type="spellEnd"/>
      <w:r w:rsidRPr="00574696">
        <w:rPr>
          <w:rFonts w:ascii="Avenir Next" w:hAnsi="Avenir Next"/>
          <w:sz w:val="22"/>
          <w:szCs w:val="28"/>
        </w:rPr>
        <w:t>?</w:t>
      </w:r>
    </w:p>
    <w:p w14:paraId="6A003A96" w14:textId="77777777" w:rsidR="00C4510C" w:rsidRDefault="00C4510C" w:rsidP="00C4510C">
      <w:pPr>
        <w:rPr>
          <w:rFonts w:ascii="Avenir Next" w:hAnsi="Avenir Next"/>
          <w:sz w:val="22"/>
          <w:szCs w:val="28"/>
        </w:rPr>
      </w:pPr>
    </w:p>
    <w:p w14:paraId="25D470C0" w14:textId="77777777" w:rsidR="00C4510C" w:rsidRDefault="00C4510C" w:rsidP="00301DD9">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301DD9">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301DD9">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4C1CFA" w:rsidRDefault="00C4510C" w:rsidP="00301DD9">
      <w:pPr>
        <w:pStyle w:val="ListParagraph"/>
        <w:numPr>
          <w:ilvl w:val="0"/>
          <w:numId w:val="9"/>
        </w:numPr>
        <w:ind w:left="426" w:hanging="426"/>
        <w:jc w:val="both"/>
        <w:rPr>
          <w:rFonts w:ascii="Avenir Next" w:hAnsi="Avenir Next" w:cs="Arial"/>
          <w:sz w:val="22"/>
          <w:szCs w:val="22"/>
          <w:highlight w:val="yellow"/>
          <w:lang w:val="en-GB"/>
        </w:rPr>
      </w:pPr>
      <w:r w:rsidRPr="004C1CFA">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 xml:space="preserve">What is the key distinction between the application of the </w:t>
      </w:r>
      <w:proofErr w:type="spellStart"/>
      <w:r w:rsidRPr="00B65B9F">
        <w:rPr>
          <w:rFonts w:ascii="Avenir Next" w:hAnsi="Avenir Next" w:cs="Arial"/>
          <w:sz w:val="22"/>
          <w:szCs w:val="22"/>
          <w:lang w:val="en-GB"/>
        </w:rPr>
        <w:t>MLCBI</w:t>
      </w:r>
      <w:proofErr w:type="spellEnd"/>
      <w:r w:rsidRPr="00B65B9F">
        <w:rPr>
          <w:rFonts w:ascii="Avenir Next" w:hAnsi="Avenir Next" w:cs="Arial"/>
          <w:sz w:val="22"/>
          <w:szCs w:val="22"/>
          <w:lang w:val="en-GB"/>
        </w:rPr>
        <w:t xml:space="preserve">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7716EC51" w14:textId="2E83C121" w:rsidR="00B77352" w:rsidRDefault="00C06698" w:rsidP="00C066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distinction between </w:t>
      </w:r>
      <w:r w:rsidR="009D0A03" w:rsidRPr="00C06698">
        <w:rPr>
          <w:rFonts w:ascii="Avenir Next" w:hAnsi="Avenir Next" w:cs="Arial"/>
          <w:color w:val="808080" w:themeColor="background1" w:themeShade="80"/>
          <w:sz w:val="22"/>
          <w:szCs w:val="22"/>
          <w:lang w:val="en-GB"/>
        </w:rPr>
        <w:t>Multilateral Convention to Implement Tax Treaty Related Measures to Prevent Base Erosion and Profit Shifting (MLI) and the European Union (EU) Regulation on insolvency proceeding</w:t>
      </w:r>
      <w:r w:rsidR="00BD5E02">
        <w:rPr>
          <w:rFonts w:ascii="Avenir Next" w:hAnsi="Avenir Next" w:cs="Arial"/>
          <w:color w:val="808080" w:themeColor="background1" w:themeShade="80"/>
          <w:sz w:val="22"/>
          <w:szCs w:val="22"/>
          <w:lang w:val="en-GB"/>
        </w:rPr>
        <w:t xml:space="preserve"> is primarily driven by their scope and purpose. </w:t>
      </w:r>
    </w:p>
    <w:p w14:paraId="5D6A4D8F" w14:textId="77777777" w:rsidR="00BD5E02" w:rsidRDefault="00BD5E02" w:rsidP="00C06698">
      <w:pPr>
        <w:jc w:val="both"/>
        <w:rPr>
          <w:rFonts w:ascii="Avenir Next" w:hAnsi="Avenir Next" w:cs="Arial"/>
          <w:color w:val="808080" w:themeColor="background1" w:themeShade="80"/>
          <w:sz w:val="22"/>
          <w:szCs w:val="22"/>
          <w:lang w:val="en-GB"/>
        </w:rPr>
      </w:pPr>
    </w:p>
    <w:p w14:paraId="556F606C" w14:textId="3A0C8905" w:rsidR="00BD5E02" w:rsidRDefault="00BD5E02" w:rsidP="00C066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MLI addresses international </w:t>
      </w:r>
      <w:r w:rsidR="001611EA">
        <w:rPr>
          <w:rFonts w:ascii="Avenir Next" w:hAnsi="Avenir Next" w:cs="Arial"/>
          <w:color w:val="808080" w:themeColor="background1" w:themeShade="80"/>
          <w:sz w:val="22"/>
          <w:szCs w:val="22"/>
          <w:lang w:val="en-GB"/>
        </w:rPr>
        <w:t>tax treaty matters</w:t>
      </w:r>
      <w:r w:rsidR="005904CA">
        <w:rPr>
          <w:rFonts w:ascii="Avenir Next" w:hAnsi="Avenir Next" w:cs="Arial"/>
          <w:color w:val="808080" w:themeColor="background1" w:themeShade="80"/>
          <w:sz w:val="22"/>
          <w:szCs w:val="22"/>
          <w:lang w:val="en-GB"/>
        </w:rPr>
        <w:t xml:space="preserve"> relating to profit shifting by multinational corporations, thereby MLI aims to counter tax </w:t>
      </w:r>
      <w:r w:rsidR="00F05BEF">
        <w:rPr>
          <w:rFonts w:ascii="Avenir Next" w:hAnsi="Avenir Next" w:cs="Arial"/>
          <w:color w:val="808080" w:themeColor="background1" w:themeShade="80"/>
          <w:sz w:val="22"/>
          <w:szCs w:val="22"/>
          <w:lang w:val="en-GB"/>
        </w:rPr>
        <w:t>evasion</w:t>
      </w:r>
      <w:r w:rsidR="005904CA">
        <w:rPr>
          <w:rFonts w:ascii="Avenir Next" w:hAnsi="Avenir Next" w:cs="Arial"/>
          <w:color w:val="808080" w:themeColor="background1" w:themeShade="80"/>
          <w:sz w:val="22"/>
          <w:szCs w:val="22"/>
          <w:lang w:val="en-GB"/>
        </w:rPr>
        <w:t xml:space="preserve"> </w:t>
      </w:r>
      <w:r w:rsidR="00F05BEF">
        <w:rPr>
          <w:rFonts w:ascii="Avenir Next" w:hAnsi="Avenir Next" w:cs="Arial"/>
          <w:color w:val="808080" w:themeColor="background1" w:themeShade="80"/>
          <w:sz w:val="22"/>
          <w:szCs w:val="22"/>
          <w:lang w:val="en-GB"/>
        </w:rPr>
        <w:t xml:space="preserve">and improve international tax rules. They key benefit of this is it </w:t>
      </w:r>
      <w:r w:rsidR="008866DF">
        <w:rPr>
          <w:rFonts w:ascii="Avenir Next" w:hAnsi="Avenir Next" w:cs="Arial"/>
          <w:color w:val="808080" w:themeColor="background1" w:themeShade="80"/>
          <w:sz w:val="22"/>
          <w:szCs w:val="22"/>
          <w:lang w:val="en-GB"/>
        </w:rPr>
        <w:t>prevents</w:t>
      </w:r>
      <w:r w:rsidR="00F05BEF">
        <w:rPr>
          <w:rFonts w:ascii="Avenir Next" w:hAnsi="Avenir Next" w:cs="Arial"/>
          <w:color w:val="808080" w:themeColor="background1" w:themeShade="80"/>
          <w:sz w:val="22"/>
          <w:szCs w:val="22"/>
          <w:lang w:val="en-GB"/>
        </w:rPr>
        <w:t xml:space="preserve"> </w:t>
      </w:r>
      <w:r w:rsidR="008866DF">
        <w:rPr>
          <w:rFonts w:ascii="Avenir Next" w:hAnsi="Avenir Next" w:cs="Arial"/>
          <w:color w:val="808080" w:themeColor="background1" w:themeShade="80"/>
          <w:sz w:val="22"/>
          <w:szCs w:val="22"/>
          <w:lang w:val="en-GB"/>
        </w:rPr>
        <w:t xml:space="preserve">base erosion and profit shifting, making it harder for companies to exploit tax loopholes, however, </w:t>
      </w:r>
      <w:r w:rsidR="00CE0AAF">
        <w:rPr>
          <w:rFonts w:ascii="Avenir Next" w:hAnsi="Avenir Next" w:cs="Arial"/>
          <w:color w:val="808080" w:themeColor="background1" w:themeShade="80"/>
          <w:sz w:val="22"/>
          <w:szCs w:val="22"/>
          <w:lang w:val="en-GB"/>
        </w:rPr>
        <w:t xml:space="preserve">it </w:t>
      </w:r>
      <w:r w:rsidR="00CE0AAF" w:rsidRPr="00CE0AAF">
        <w:rPr>
          <w:rFonts w:ascii="Avenir Next" w:hAnsi="Avenir Next" w:cs="Arial"/>
          <w:color w:val="808080" w:themeColor="background1" w:themeShade="80"/>
          <w:sz w:val="22"/>
          <w:szCs w:val="22"/>
          <w:lang w:val="en-GB"/>
        </w:rPr>
        <w:t>focus</w:t>
      </w:r>
      <w:r w:rsidR="00CE0AAF">
        <w:rPr>
          <w:rFonts w:ascii="Avenir Next" w:hAnsi="Avenir Next" w:cs="Arial"/>
          <w:color w:val="808080" w:themeColor="background1" w:themeShade="80"/>
          <w:sz w:val="22"/>
          <w:szCs w:val="22"/>
          <w:lang w:val="en-GB"/>
        </w:rPr>
        <w:t>es on</w:t>
      </w:r>
      <w:r w:rsidR="00CE0AAF" w:rsidRPr="00CE0AAF">
        <w:rPr>
          <w:rFonts w:ascii="Avenir Next" w:hAnsi="Avenir Next" w:cs="Arial"/>
          <w:color w:val="808080" w:themeColor="background1" w:themeShade="80"/>
          <w:sz w:val="22"/>
          <w:szCs w:val="22"/>
          <w:lang w:val="en-GB"/>
        </w:rPr>
        <w:t xml:space="preserve"> international tax treaty matters, so does not address the broader issues of cross-border insolvency</w:t>
      </w:r>
      <w:r w:rsidR="00CE0AAF">
        <w:rPr>
          <w:rFonts w:ascii="Avenir Next" w:hAnsi="Avenir Next" w:cs="Arial"/>
          <w:color w:val="808080" w:themeColor="background1" w:themeShade="80"/>
          <w:sz w:val="22"/>
          <w:szCs w:val="22"/>
          <w:lang w:val="en-GB"/>
        </w:rPr>
        <w:t xml:space="preserve"> etc.</w:t>
      </w:r>
    </w:p>
    <w:p w14:paraId="0183D0CB" w14:textId="77777777" w:rsidR="00CE0AAF" w:rsidRDefault="00CE0AAF" w:rsidP="00C06698">
      <w:pPr>
        <w:jc w:val="both"/>
        <w:rPr>
          <w:rFonts w:ascii="Avenir Next" w:hAnsi="Avenir Next" w:cs="Arial"/>
          <w:color w:val="808080" w:themeColor="background1" w:themeShade="80"/>
          <w:sz w:val="22"/>
          <w:szCs w:val="22"/>
          <w:lang w:val="en-GB"/>
        </w:rPr>
      </w:pPr>
    </w:p>
    <w:p w14:paraId="7822F1B6" w14:textId="1A6C35D1" w:rsidR="0018732E" w:rsidRDefault="00714CEF" w:rsidP="00C066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w:t>
      </w:r>
      <w:r w:rsidRPr="00714CEF">
        <w:rPr>
          <w:rFonts w:ascii="Avenir Next" w:hAnsi="Avenir Next" w:cs="Arial"/>
          <w:color w:val="808080" w:themeColor="background1" w:themeShade="80"/>
          <w:sz w:val="22"/>
          <w:szCs w:val="22"/>
          <w:lang w:val="en-GB"/>
        </w:rPr>
        <w:t>U Regulation on Insolvency Proceedings</w:t>
      </w:r>
      <w:r>
        <w:rPr>
          <w:rFonts w:ascii="Avenir Next" w:hAnsi="Avenir Next" w:cs="Arial"/>
          <w:color w:val="808080" w:themeColor="background1" w:themeShade="80"/>
          <w:sz w:val="22"/>
          <w:szCs w:val="22"/>
          <w:lang w:val="en-GB"/>
        </w:rPr>
        <w:t xml:space="preserve"> </w:t>
      </w:r>
      <w:r w:rsidRPr="00714CEF">
        <w:rPr>
          <w:rFonts w:ascii="Avenir Next" w:hAnsi="Avenir Next" w:cs="Arial"/>
          <w:color w:val="808080" w:themeColor="background1" w:themeShade="80"/>
          <w:sz w:val="22"/>
          <w:szCs w:val="22"/>
          <w:lang w:val="en-GB"/>
        </w:rPr>
        <w:t xml:space="preserve">specifically deals with cross-border </w:t>
      </w:r>
      <w:r w:rsidR="00F70659" w:rsidRPr="00714CEF">
        <w:rPr>
          <w:rFonts w:ascii="Avenir Next" w:hAnsi="Avenir Next" w:cs="Arial"/>
          <w:color w:val="808080" w:themeColor="background1" w:themeShade="80"/>
          <w:sz w:val="22"/>
          <w:szCs w:val="22"/>
          <w:lang w:val="en-GB"/>
        </w:rPr>
        <w:t xml:space="preserve">insolvency </w:t>
      </w:r>
      <w:r w:rsidR="00F70659">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the EU establishing </w:t>
      </w:r>
      <w:r w:rsidRPr="00714CEF">
        <w:rPr>
          <w:rFonts w:ascii="Avenir Next" w:hAnsi="Avenir Next" w:cs="Arial"/>
          <w:color w:val="808080" w:themeColor="background1" w:themeShade="80"/>
          <w:sz w:val="22"/>
          <w:szCs w:val="22"/>
          <w:lang w:val="en-GB"/>
        </w:rPr>
        <w:t xml:space="preserve">rules for the recognition and coordination of insolvency proceedings in EU member states, </w:t>
      </w:r>
      <w:r w:rsidR="00C95DFA">
        <w:rPr>
          <w:rFonts w:ascii="Avenir Next" w:hAnsi="Avenir Next" w:cs="Arial"/>
          <w:color w:val="808080" w:themeColor="background1" w:themeShade="80"/>
          <w:sz w:val="22"/>
          <w:szCs w:val="22"/>
          <w:lang w:val="en-GB"/>
        </w:rPr>
        <w:t xml:space="preserve">with the aim of </w:t>
      </w:r>
      <w:r w:rsidR="00C95DFA" w:rsidRPr="00714CEF">
        <w:rPr>
          <w:rFonts w:ascii="Avenir Next" w:hAnsi="Avenir Next" w:cs="Arial"/>
          <w:color w:val="808080" w:themeColor="background1" w:themeShade="80"/>
          <w:sz w:val="22"/>
          <w:szCs w:val="22"/>
          <w:lang w:val="en-GB"/>
        </w:rPr>
        <w:t>facilitati</w:t>
      </w:r>
      <w:r w:rsidR="00C95DFA">
        <w:rPr>
          <w:rFonts w:ascii="Avenir Next" w:hAnsi="Avenir Next" w:cs="Arial"/>
          <w:color w:val="808080" w:themeColor="background1" w:themeShade="80"/>
          <w:sz w:val="22"/>
          <w:szCs w:val="22"/>
          <w:lang w:val="en-GB"/>
        </w:rPr>
        <w:t>ng</w:t>
      </w:r>
      <w:r w:rsidRPr="00714CEF">
        <w:rPr>
          <w:rFonts w:ascii="Avenir Next" w:hAnsi="Avenir Next" w:cs="Arial"/>
          <w:color w:val="808080" w:themeColor="background1" w:themeShade="80"/>
          <w:sz w:val="22"/>
          <w:szCs w:val="22"/>
          <w:lang w:val="en-GB"/>
        </w:rPr>
        <w:t xml:space="preserve"> the efficient handling of cross-border insolvencies</w:t>
      </w:r>
      <w:r w:rsidR="00C95DFA">
        <w:rPr>
          <w:rFonts w:ascii="Avenir Next" w:hAnsi="Avenir Next" w:cs="Arial"/>
          <w:color w:val="808080" w:themeColor="background1" w:themeShade="80"/>
          <w:sz w:val="22"/>
          <w:szCs w:val="22"/>
          <w:lang w:val="en-GB"/>
        </w:rPr>
        <w:t xml:space="preserve">. On this basis </w:t>
      </w:r>
      <w:r w:rsidR="00192D21">
        <w:rPr>
          <w:rFonts w:ascii="Avenir Next" w:hAnsi="Avenir Next" w:cs="Arial"/>
          <w:color w:val="808080" w:themeColor="background1" w:themeShade="80"/>
          <w:sz w:val="22"/>
          <w:szCs w:val="22"/>
          <w:lang w:val="en-GB"/>
        </w:rPr>
        <w:t>it provides</w:t>
      </w:r>
      <w:r w:rsidR="00C95DFA">
        <w:rPr>
          <w:rFonts w:ascii="Avenir Next" w:hAnsi="Avenir Next" w:cs="Arial"/>
          <w:color w:val="808080" w:themeColor="background1" w:themeShade="80"/>
          <w:sz w:val="22"/>
          <w:szCs w:val="22"/>
          <w:lang w:val="en-GB"/>
        </w:rPr>
        <w:t xml:space="preserve"> a well </w:t>
      </w:r>
      <w:r w:rsidR="00192D21">
        <w:rPr>
          <w:rFonts w:ascii="Avenir Next" w:hAnsi="Avenir Next" w:cs="Arial"/>
          <w:color w:val="808080" w:themeColor="background1" w:themeShade="80"/>
          <w:sz w:val="22"/>
          <w:szCs w:val="22"/>
          <w:lang w:val="en-GB"/>
        </w:rPr>
        <w:t>defend</w:t>
      </w:r>
      <w:r w:rsidR="00C95DFA">
        <w:rPr>
          <w:rFonts w:ascii="Avenir Next" w:hAnsi="Avenir Next" w:cs="Arial"/>
          <w:color w:val="808080" w:themeColor="background1" w:themeShade="80"/>
          <w:sz w:val="22"/>
          <w:szCs w:val="22"/>
          <w:lang w:val="en-GB"/>
        </w:rPr>
        <w:t xml:space="preserve"> set of </w:t>
      </w:r>
      <w:r w:rsidR="00192D21">
        <w:rPr>
          <w:rFonts w:ascii="Avenir Next" w:hAnsi="Avenir Next" w:cs="Arial"/>
          <w:color w:val="808080" w:themeColor="background1" w:themeShade="80"/>
          <w:sz w:val="22"/>
          <w:szCs w:val="22"/>
          <w:lang w:val="en-GB"/>
        </w:rPr>
        <w:t xml:space="preserve">principles for managing cross border insolvencies, </w:t>
      </w:r>
      <w:proofErr w:type="gramStart"/>
      <w:r w:rsidR="0018732E">
        <w:rPr>
          <w:rFonts w:ascii="Avenir Next" w:hAnsi="Avenir Next" w:cs="Arial"/>
          <w:color w:val="808080" w:themeColor="background1" w:themeShade="80"/>
          <w:sz w:val="22"/>
          <w:szCs w:val="22"/>
          <w:lang w:val="en-GB"/>
        </w:rPr>
        <w:t>simplifying</w:t>
      </w:r>
      <w:proofErr w:type="gramEnd"/>
      <w:r w:rsidR="0018732E">
        <w:rPr>
          <w:rFonts w:ascii="Avenir Next" w:hAnsi="Avenir Next" w:cs="Arial"/>
          <w:color w:val="808080" w:themeColor="background1" w:themeShade="80"/>
          <w:sz w:val="22"/>
          <w:szCs w:val="22"/>
          <w:lang w:val="en-GB"/>
        </w:rPr>
        <w:t xml:space="preserve"> and streamlining the process. However, this is only applicable to the EU, </w:t>
      </w:r>
      <w:r w:rsidR="007457BE">
        <w:rPr>
          <w:rFonts w:ascii="Avenir Next" w:hAnsi="Avenir Next" w:cs="Arial"/>
          <w:color w:val="808080" w:themeColor="background1" w:themeShade="80"/>
          <w:sz w:val="22"/>
          <w:szCs w:val="22"/>
          <w:lang w:val="en-GB"/>
        </w:rPr>
        <w:t xml:space="preserve">and thereby limited to only EU members staters. </w:t>
      </w:r>
    </w:p>
    <w:p w14:paraId="25A3DA1A" w14:textId="77777777" w:rsidR="007457BE" w:rsidRPr="00C06698" w:rsidRDefault="007457BE" w:rsidP="00C06698">
      <w:pPr>
        <w:jc w:val="both"/>
        <w:rPr>
          <w:rFonts w:ascii="Avenir Next" w:hAnsi="Avenir Next" w:cs="Arial"/>
          <w:color w:val="808080" w:themeColor="background1" w:themeShade="80"/>
          <w:sz w:val="22"/>
          <w:szCs w:val="22"/>
          <w:lang w:val="en-GB"/>
        </w:rPr>
      </w:pPr>
    </w:p>
    <w:p w14:paraId="4795DC1F" w14:textId="77777777" w:rsidR="00C06698" w:rsidRPr="009D0A03" w:rsidRDefault="00C06698" w:rsidP="009D0A03">
      <w:pPr>
        <w:ind w:left="720" w:hanging="720"/>
        <w:jc w:val="both"/>
        <w:rPr>
          <w:rFonts w:ascii="Avenir Next" w:hAnsi="Avenir Next" w:cs="Arial"/>
          <w:color w:val="808080" w:themeColor="background1" w:themeShade="80"/>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w:t>
      </w:r>
      <w:proofErr w:type="spellStart"/>
      <w:r w:rsidRPr="006D179E">
        <w:rPr>
          <w:rFonts w:ascii="Avenir Next" w:hAnsi="Avenir Next"/>
          <w:sz w:val="22"/>
          <w:szCs w:val="28"/>
          <w:lang w:val="en-GB"/>
        </w:rPr>
        <w:t>MLCBI</w:t>
      </w:r>
      <w:proofErr w:type="spellEnd"/>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1CED1BC7" w:rsidR="00867A8F" w:rsidRDefault="004C773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primary </w:t>
      </w:r>
      <w:r w:rsidR="00BA6477">
        <w:rPr>
          <w:rFonts w:ascii="Avenir Next" w:hAnsi="Avenir Next" w:cs="Arial"/>
          <w:color w:val="808080" w:themeColor="background1" w:themeShade="80"/>
          <w:sz w:val="22"/>
          <w:szCs w:val="22"/>
          <w:lang w:val="en-GB"/>
        </w:rPr>
        <w:t>considerations</w:t>
      </w:r>
      <w:r>
        <w:rPr>
          <w:rFonts w:ascii="Avenir Next" w:hAnsi="Avenir Next" w:cs="Arial"/>
          <w:color w:val="808080" w:themeColor="background1" w:themeShade="80"/>
          <w:sz w:val="22"/>
          <w:szCs w:val="22"/>
          <w:lang w:val="en-GB"/>
        </w:rPr>
        <w:t xml:space="preserve"> </w:t>
      </w:r>
      <w:r w:rsidR="00BA6477">
        <w:rPr>
          <w:rFonts w:ascii="Avenir Next" w:hAnsi="Avenir Next" w:cs="Arial"/>
          <w:color w:val="808080" w:themeColor="background1" w:themeShade="80"/>
          <w:sz w:val="22"/>
          <w:szCs w:val="22"/>
          <w:lang w:val="en-GB"/>
        </w:rPr>
        <w:t>for the court should be:</w:t>
      </w:r>
    </w:p>
    <w:p w14:paraId="3DEBEEFD" w14:textId="13251C75" w:rsidR="00BA6477" w:rsidRDefault="00BA6477" w:rsidP="00BA647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necessity and justifiability of the application, </w:t>
      </w:r>
      <w:r w:rsidR="005B11FE">
        <w:rPr>
          <w:rFonts w:ascii="Avenir Next" w:hAnsi="Avenir Next" w:cs="Arial"/>
          <w:color w:val="808080" w:themeColor="background1" w:themeShade="80"/>
          <w:sz w:val="22"/>
          <w:szCs w:val="22"/>
          <w:lang w:val="en-GB"/>
        </w:rPr>
        <w:t>and if this protects the debtor, creditors and or other stakeholders</w:t>
      </w:r>
    </w:p>
    <w:p w14:paraId="57AFE98D" w14:textId="44645FD1" w:rsidR="005B11FE" w:rsidRDefault="00650283" w:rsidP="00BA647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application will protect the rights of local creditors, </w:t>
      </w:r>
      <w:r w:rsidR="009A4BC4">
        <w:rPr>
          <w:rFonts w:ascii="Avenir Next" w:hAnsi="Avenir Next" w:cs="Arial"/>
          <w:color w:val="808080" w:themeColor="background1" w:themeShade="80"/>
          <w:sz w:val="22"/>
          <w:szCs w:val="22"/>
          <w:lang w:val="en-GB"/>
        </w:rPr>
        <w:t>making sure to not favour foreign creditors</w:t>
      </w:r>
    </w:p>
    <w:p w14:paraId="02DD65A0" w14:textId="1ABF0BD8" w:rsidR="009A4BC4" w:rsidRDefault="00807122" w:rsidP="00BA647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protection of local interests</w:t>
      </w:r>
    </w:p>
    <w:p w14:paraId="3A0D2EE4" w14:textId="13EE6892" w:rsidR="00807122" w:rsidRDefault="00807122" w:rsidP="00BA647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this will be a fair treatment of the creditors</w:t>
      </w:r>
    </w:p>
    <w:p w14:paraId="59104C17" w14:textId="55852C07" w:rsidR="00807122" w:rsidRDefault="00C71F0B" w:rsidP="00BA647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C71F0B">
        <w:rPr>
          <w:rFonts w:ascii="Avenir Next" w:hAnsi="Avenir Next" w:cs="Arial"/>
          <w:color w:val="808080" w:themeColor="background1" w:themeShade="80"/>
          <w:sz w:val="22"/>
          <w:szCs w:val="22"/>
          <w:lang w:val="en-GB"/>
        </w:rPr>
        <w:t>t should evaluate whether granting the relief is consistent with the spirit of cooperation among jurisdictions and promotes the efficient resolution of cross-border insolvency cases.</w:t>
      </w:r>
    </w:p>
    <w:p w14:paraId="6D615271" w14:textId="1D4484C7" w:rsidR="00180778" w:rsidRPr="00BA6477" w:rsidRDefault="00623203" w:rsidP="00BA647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80778">
        <w:rPr>
          <w:rFonts w:ascii="Avenir Next" w:hAnsi="Avenir Next" w:cs="Arial"/>
          <w:color w:val="808080" w:themeColor="background1" w:themeShade="80"/>
          <w:sz w:val="22"/>
          <w:szCs w:val="22"/>
          <w:lang w:val="en-GB"/>
        </w:rPr>
        <w:t xml:space="preserve">According to paragraph 4 of Article 21 – the court should be satisfied </w:t>
      </w:r>
      <w:r w:rsidR="00C13F14">
        <w:rPr>
          <w:rFonts w:ascii="Avenir Next" w:hAnsi="Avenir Next" w:cs="Arial"/>
          <w:color w:val="808080" w:themeColor="background1" w:themeShade="80"/>
          <w:sz w:val="22"/>
          <w:szCs w:val="22"/>
          <w:lang w:val="en-GB"/>
        </w:rPr>
        <w:t>that the relief relates to assets that under the law of the enacting state should be administered in the foreign non-main proceedings</w:t>
      </w:r>
      <w:r w:rsidR="00EF1FBA">
        <w:rPr>
          <w:rFonts w:ascii="Avenir Next" w:hAnsi="Avenir Next" w:cs="Arial"/>
          <w:color w:val="808080" w:themeColor="background1" w:themeShade="80"/>
          <w:sz w:val="22"/>
          <w:szCs w:val="22"/>
          <w:lang w:val="en-GB"/>
        </w:rPr>
        <w:t>, or concerns information required in that proceeding.</w:t>
      </w:r>
      <w:r>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 xml:space="preserve">Article 13 of the </w:t>
      </w:r>
      <w:proofErr w:type="spellStart"/>
      <w:r w:rsidRPr="009C6CE3">
        <w:rPr>
          <w:rFonts w:ascii="Avenir Next" w:hAnsi="Avenir Next" w:cs="Arial"/>
          <w:sz w:val="22"/>
          <w:szCs w:val="28"/>
          <w:lang w:val="en-GB"/>
        </w:rPr>
        <w:t>MLCBI</w:t>
      </w:r>
      <w:proofErr w:type="spellEnd"/>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27CDC33" w:rsidR="00867A8F" w:rsidRDefault="005364AC" w:rsidP="00431F04">
      <w:pPr>
        <w:jc w:val="both"/>
        <w:rPr>
          <w:rFonts w:ascii="Avenir Next" w:hAnsi="Avenir Next" w:cs="Arial"/>
          <w:color w:val="808080" w:themeColor="background1" w:themeShade="80"/>
          <w:sz w:val="22"/>
          <w:szCs w:val="22"/>
          <w:lang w:val="en-GB"/>
        </w:rPr>
      </w:pPr>
      <w:r w:rsidRPr="00431F04">
        <w:rPr>
          <w:rFonts w:ascii="Avenir Next" w:hAnsi="Avenir Next" w:cs="Arial"/>
          <w:color w:val="808080" w:themeColor="background1" w:themeShade="80"/>
          <w:sz w:val="22"/>
          <w:szCs w:val="22"/>
          <w:lang w:val="en-GB"/>
        </w:rPr>
        <w:t xml:space="preserve">Article 13 </w:t>
      </w:r>
      <w:r w:rsidR="000B25FF" w:rsidRPr="00431F04">
        <w:rPr>
          <w:rFonts w:ascii="Avenir Next" w:hAnsi="Avenir Next" w:cs="Arial"/>
          <w:color w:val="808080" w:themeColor="background1" w:themeShade="80"/>
          <w:sz w:val="22"/>
          <w:szCs w:val="22"/>
          <w:lang w:val="en-GB"/>
        </w:rPr>
        <w:t xml:space="preserve">gives </w:t>
      </w:r>
      <w:r w:rsidR="00431F04" w:rsidRPr="00431F04">
        <w:rPr>
          <w:rFonts w:ascii="Avenir Next" w:hAnsi="Avenir Next" w:cs="Arial"/>
          <w:color w:val="808080" w:themeColor="background1" w:themeShade="80"/>
          <w:sz w:val="22"/>
          <w:szCs w:val="22"/>
          <w:lang w:val="en-GB"/>
        </w:rPr>
        <w:t>foreign</w:t>
      </w:r>
      <w:r w:rsidR="000B25FF" w:rsidRPr="00431F04">
        <w:rPr>
          <w:rFonts w:ascii="Avenir Next" w:hAnsi="Avenir Next" w:cs="Arial"/>
          <w:color w:val="808080" w:themeColor="background1" w:themeShade="80"/>
          <w:sz w:val="22"/>
          <w:szCs w:val="22"/>
          <w:lang w:val="en-GB"/>
        </w:rPr>
        <w:t xml:space="preserve"> creditors the same rights as </w:t>
      </w:r>
      <w:r w:rsidR="00431F04" w:rsidRPr="00431F04">
        <w:rPr>
          <w:rFonts w:ascii="Avenir Next" w:hAnsi="Avenir Next" w:cs="Arial"/>
          <w:color w:val="808080" w:themeColor="background1" w:themeShade="80"/>
          <w:sz w:val="22"/>
          <w:szCs w:val="22"/>
          <w:lang w:val="en-GB"/>
        </w:rPr>
        <w:t>creditors</w:t>
      </w:r>
      <w:r w:rsidR="000B25FF" w:rsidRPr="00431F04">
        <w:rPr>
          <w:rFonts w:ascii="Avenir Next" w:hAnsi="Avenir Next" w:cs="Arial"/>
          <w:color w:val="808080" w:themeColor="background1" w:themeShade="80"/>
          <w:sz w:val="22"/>
          <w:szCs w:val="22"/>
          <w:lang w:val="en-GB"/>
        </w:rPr>
        <w:t xml:space="preserve"> domiciled </w:t>
      </w:r>
      <w:r w:rsidR="00431F04">
        <w:rPr>
          <w:rFonts w:ascii="Avenir Next" w:hAnsi="Avenir Next" w:cs="Arial"/>
          <w:color w:val="808080" w:themeColor="background1" w:themeShade="80"/>
          <w:sz w:val="22"/>
          <w:szCs w:val="22"/>
          <w:lang w:val="en-GB"/>
        </w:rPr>
        <w:t>in</w:t>
      </w:r>
      <w:r w:rsidR="000B25FF" w:rsidRPr="00431F04">
        <w:rPr>
          <w:rFonts w:ascii="Avenir Next" w:hAnsi="Avenir Next" w:cs="Arial"/>
          <w:color w:val="808080" w:themeColor="background1" w:themeShade="80"/>
          <w:sz w:val="22"/>
          <w:szCs w:val="22"/>
          <w:lang w:val="en-GB"/>
        </w:rPr>
        <w:t xml:space="preserve"> the enacting state, witho</w:t>
      </w:r>
      <w:r w:rsidR="00431F04" w:rsidRPr="00431F04">
        <w:rPr>
          <w:rFonts w:ascii="Avenir Next" w:hAnsi="Avenir Next" w:cs="Arial"/>
          <w:color w:val="808080" w:themeColor="background1" w:themeShade="80"/>
          <w:sz w:val="22"/>
          <w:szCs w:val="22"/>
          <w:lang w:val="en-GB"/>
        </w:rPr>
        <w:t>ut</w:t>
      </w:r>
      <w:r w:rsidR="000B25FF" w:rsidRPr="00431F04">
        <w:rPr>
          <w:rFonts w:ascii="Avenir Next" w:hAnsi="Avenir Next" w:cs="Arial"/>
          <w:color w:val="808080" w:themeColor="background1" w:themeShade="80"/>
          <w:sz w:val="22"/>
          <w:szCs w:val="22"/>
          <w:lang w:val="en-GB"/>
        </w:rPr>
        <w:t xml:space="preserve"> effecting the ranking of claims, </w:t>
      </w:r>
      <w:r w:rsidR="00BC4B77">
        <w:rPr>
          <w:rFonts w:ascii="Avenir Next" w:hAnsi="Avenir Next" w:cs="Arial"/>
          <w:color w:val="808080" w:themeColor="background1" w:themeShade="80"/>
          <w:sz w:val="22"/>
          <w:szCs w:val="22"/>
          <w:lang w:val="en-GB"/>
        </w:rPr>
        <w:t xml:space="preserve">but this </w:t>
      </w:r>
      <w:r w:rsidR="0087718B">
        <w:rPr>
          <w:rFonts w:ascii="Avenir Next" w:hAnsi="Avenir Next" w:cs="Arial"/>
          <w:color w:val="808080" w:themeColor="background1" w:themeShade="80"/>
          <w:sz w:val="22"/>
          <w:szCs w:val="22"/>
          <w:lang w:val="en-GB"/>
        </w:rPr>
        <w:t xml:space="preserve">cannot then be used to give the foreign creditor lower priority than a general unsecured claim. </w:t>
      </w:r>
      <w:r w:rsidR="009E3954">
        <w:rPr>
          <w:rFonts w:ascii="Avenir Next" w:hAnsi="Avenir Next" w:cs="Arial"/>
          <w:color w:val="808080" w:themeColor="background1" w:themeShade="80"/>
          <w:sz w:val="22"/>
          <w:szCs w:val="22"/>
          <w:lang w:val="en-GB"/>
        </w:rPr>
        <w:t xml:space="preserve">This protects </w:t>
      </w:r>
      <w:r w:rsidR="00B01B28">
        <w:rPr>
          <w:rFonts w:ascii="Avenir Next" w:hAnsi="Avenir Next" w:cs="Arial"/>
          <w:color w:val="808080" w:themeColor="background1" w:themeShade="80"/>
          <w:sz w:val="22"/>
          <w:szCs w:val="22"/>
          <w:lang w:val="en-GB"/>
        </w:rPr>
        <w:t>against</w:t>
      </w:r>
      <w:r w:rsidR="009E3954">
        <w:rPr>
          <w:rFonts w:ascii="Avenir Next" w:hAnsi="Avenir Next" w:cs="Arial"/>
          <w:color w:val="808080" w:themeColor="background1" w:themeShade="80"/>
          <w:sz w:val="22"/>
          <w:szCs w:val="22"/>
          <w:lang w:val="en-GB"/>
        </w:rPr>
        <w:t xml:space="preserve"> discrimination </w:t>
      </w:r>
      <w:r w:rsidR="007479BF">
        <w:rPr>
          <w:rFonts w:ascii="Avenir Next" w:hAnsi="Avenir Next" w:cs="Arial"/>
          <w:color w:val="808080" w:themeColor="background1" w:themeShade="80"/>
          <w:sz w:val="22"/>
          <w:szCs w:val="22"/>
          <w:lang w:val="en-GB"/>
        </w:rPr>
        <w:t xml:space="preserve">of creditors, with them being </w:t>
      </w:r>
      <w:r w:rsidR="007479BF" w:rsidRPr="007479BF">
        <w:rPr>
          <w:rFonts w:ascii="Avenir Next" w:hAnsi="Avenir Next" w:cs="Arial"/>
          <w:color w:val="808080" w:themeColor="background1" w:themeShade="80"/>
          <w:sz w:val="22"/>
          <w:szCs w:val="22"/>
          <w:lang w:val="en-GB"/>
        </w:rPr>
        <w:t>granted non-discriminatory access to the courts in the foreign jurisdiction</w:t>
      </w:r>
      <w:r w:rsidR="006F1055">
        <w:rPr>
          <w:rFonts w:ascii="Avenir Next" w:hAnsi="Avenir Next" w:cs="Arial"/>
          <w:color w:val="808080" w:themeColor="background1" w:themeShade="80"/>
          <w:sz w:val="22"/>
          <w:szCs w:val="22"/>
          <w:lang w:val="en-GB"/>
        </w:rPr>
        <w:t>, thereby allowing them the right to participate in foreign proceedings with the same information being available to them.</w:t>
      </w:r>
      <w:r w:rsidR="00D86467">
        <w:rPr>
          <w:rFonts w:ascii="Avenir Next" w:hAnsi="Avenir Next" w:cs="Arial"/>
          <w:color w:val="808080" w:themeColor="background1" w:themeShade="80"/>
          <w:sz w:val="22"/>
          <w:szCs w:val="22"/>
          <w:lang w:val="en-GB"/>
        </w:rPr>
        <w:t xml:space="preserve"> This </w:t>
      </w:r>
      <w:r w:rsidR="005F32F9">
        <w:rPr>
          <w:rFonts w:ascii="Avenir Next" w:hAnsi="Avenir Next" w:cs="Arial"/>
          <w:color w:val="808080" w:themeColor="background1" w:themeShade="80"/>
          <w:sz w:val="22"/>
          <w:szCs w:val="22"/>
          <w:lang w:val="en-GB"/>
        </w:rPr>
        <w:t>access</w:t>
      </w:r>
      <w:r w:rsidR="00D86467">
        <w:rPr>
          <w:rFonts w:ascii="Avenir Next" w:hAnsi="Avenir Next" w:cs="Arial"/>
          <w:color w:val="808080" w:themeColor="background1" w:themeShade="80"/>
          <w:sz w:val="22"/>
          <w:szCs w:val="22"/>
          <w:lang w:val="en-GB"/>
        </w:rPr>
        <w:t xml:space="preserve"> can then be further used to </w:t>
      </w:r>
      <w:r w:rsidR="005F32F9">
        <w:rPr>
          <w:rFonts w:ascii="Avenir Next" w:hAnsi="Avenir Next" w:cs="Arial"/>
          <w:color w:val="808080" w:themeColor="background1" w:themeShade="80"/>
          <w:sz w:val="22"/>
          <w:szCs w:val="22"/>
          <w:lang w:val="en-GB"/>
        </w:rPr>
        <w:t>contents</w:t>
      </w:r>
      <w:r w:rsidR="00D86467">
        <w:rPr>
          <w:rFonts w:ascii="Avenir Next" w:hAnsi="Avenir Next" w:cs="Arial"/>
          <w:color w:val="808080" w:themeColor="background1" w:themeShade="80"/>
          <w:sz w:val="22"/>
          <w:szCs w:val="22"/>
          <w:lang w:val="en-GB"/>
        </w:rPr>
        <w:t xml:space="preserve"> </w:t>
      </w:r>
      <w:r w:rsidR="005F32F9">
        <w:rPr>
          <w:rFonts w:ascii="Avenir Next" w:hAnsi="Avenir Next" w:cs="Arial"/>
          <w:color w:val="808080" w:themeColor="background1" w:themeShade="80"/>
          <w:sz w:val="22"/>
          <w:szCs w:val="22"/>
          <w:lang w:val="en-GB"/>
        </w:rPr>
        <w:t xml:space="preserve">any </w:t>
      </w:r>
      <w:r w:rsidR="00D86467">
        <w:rPr>
          <w:rFonts w:ascii="Avenir Next" w:hAnsi="Avenir Next" w:cs="Arial"/>
          <w:color w:val="808080" w:themeColor="background1" w:themeShade="80"/>
          <w:sz w:val="22"/>
          <w:szCs w:val="22"/>
          <w:lang w:val="en-GB"/>
        </w:rPr>
        <w:t>unfair treatment</w:t>
      </w:r>
      <w:r w:rsidR="005F32F9">
        <w:rPr>
          <w:rFonts w:ascii="Avenir Next" w:hAnsi="Avenir Next" w:cs="Arial"/>
          <w:color w:val="808080" w:themeColor="background1" w:themeShade="80"/>
          <w:sz w:val="22"/>
          <w:szCs w:val="22"/>
          <w:lang w:val="en-GB"/>
        </w:rPr>
        <w:t xml:space="preserve">. </w:t>
      </w:r>
    </w:p>
    <w:p w14:paraId="0D9EE891" w14:textId="77777777" w:rsidR="001A2F09" w:rsidRDefault="001A2F09" w:rsidP="00431F04">
      <w:pPr>
        <w:jc w:val="both"/>
        <w:rPr>
          <w:rFonts w:ascii="Avenir Next" w:hAnsi="Avenir Next" w:cs="Arial"/>
          <w:color w:val="808080" w:themeColor="background1" w:themeShade="80"/>
          <w:sz w:val="22"/>
          <w:szCs w:val="22"/>
          <w:lang w:val="en-GB"/>
        </w:rPr>
      </w:pPr>
    </w:p>
    <w:p w14:paraId="317B5F3C" w14:textId="152E7A1E" w:rsidR="001A2F09" w:rsidRPr="00431F04" w:rsidRDefault="001A2F09" w:rsidP="00431F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in </w:t>
      </w:r>
      <w:proofErr w:type="gramStart"/>
      <w:r>
        <w:rPr>
          <w:rFonts w:ascii="Avenir Next" w:hAnsi="Avenir Next" w:cs="Arial"/>
          <w:color w:val="808080" w:themeColor="background1" w:themeShade="80"/>
          <w:sz w:val="22"/>
          <w:szCs w:val="22"/>
          <w:lang w:val="en-GB"/>
        </w:rPr>
        <w:t>all</w:t>
      </w:r>
      <w:proofErr w:type="gramEnd"/>
      <w:r>
        <w:rPr>
          <w:rFonts w:ascii="Avenir Next" w:hAnsi="Avenir Next" w:cs="Arial"/>
          <w:color w:val="808080" w:themeColor="background1" w:themeShade="80"/>
          <w:sz w:val="22"/>
          <w:szCs w:val="22"/>
          <w:lang w:val="en-GB"/>
        </w:rPr>
        <w:t xml:space="preserve"> Article 13 aims to establish clear and predictable criteria for recognition and enforcement of an insolvency-regulated judgment.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30526841" w:rsidR="00867A8F" w:rsidRDefault="00A40E7A" w:rsidP="009916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F7D3F">
        <w:rPr>
          <w:rFonts w:ascii="Avenir Next" w:hAnsi="Avenir Next" w:cs="Arial"/>
          <w:color w:val="808080" w:themeColor="background1" w:themeShade="80"/>
          <w:sz w:val="22"/>
          <w:szCs w:val="22"/>
          <w:lang w:val="en-GB"/>
        </w:rPr>
        <w:t>The definition of</w:t>
      </w:r>
      <w:r>
        <w:rPr>
          <w:rFonts w:ascii="Avenir Next" w:hAnsi="Avenir Next" w:cs="Arial"/>
          <w:color w:val="808080" w:themeColor="background1" w:themeShade="80"/>
          <w:sz w:val="22"/>
          <w:szCs w:val="22"/>
          <w:lang w:val="en-GB"/>
        </w:rPr>
        <w:t xml:space="preserve"> foreign main proceedings used the term centre of main interest (COMI) of the debtor, without defining what it means. The definition of foreign non main proceeding requires the debtor to have an establishment, which term is defined in the model law in the same way as that term is defined in the European Insolvency Regulations”</w:t>
      </w:r>
      <w:r w:rsidR="001F7D3F">
        <w:rPr>
          <w:rFonts w:ascii="Avenir Next" w:hAnsi="Avenir Next" w:cs="Arial"/>
          <w:color w:val="808080" w:themeColor="background1" w:themeShade="80"/>
          <w:sz w:val="22"/>
          <w:szCs w:val="22"/>
          <w:lang w:val="en-GB"/>
        </w:rPr>
        <w:t xml:space="preserve"> </w:t>
      </w:r>
    </w:p>
    <w:p w14:paraId="263B1037" w14:textId="77777777" w:rsidR="009C5B10" w:rsidRDefault="009C5B10" w:rsidP="00991628">
      <w:pPr>
        <w:jc w:val="both"/>
        <w:rPr>
          <w:rFonts w:ascii="Avenir Next" w:hAnsi="Avenir Next" w:cs="Arial"/>
          <w:color w:val="808080" w:themeColor="background1" w:themeShade="80"/>
          <w:sz w:val="22"/>
          <w:szCs w:val="22"/>
          <w:lang w:val="en-GB"/>
        </w:rPr>
      </w:pPr>
    </w:p>
    <w:p w14:paraId="4127391E" w14:textId="55E0D107" w:rsidR="00100E8F" w:rsidRDefault="009C5B10" w:rsidP="009C5B10">
      <w:pPr>
        <w:jc w:val="both"/>
        <w:rPr>
          <w:rFonts w:ascii="Avenir Next" w:hAnsi="Avenir Next" w:cs="Arial"/>
          <w:color w:val="808080" w:themeColor="background1" w:themeShade="80"/>
          <w:sz w:val="22"/>
          <w:szCs w:val="22"/>
          <w:lang w:val="en-GB"/>
        </w:rPr>
      </w:pPr>
      <w:r w:rsidRPr="009C5B10">
        <w:rPr>
          <w:rFonts w:ascii="Avenir Next" w:hAnsi="Avenir Next" w:cs="Arial"/>
          <w:color w:val="808080" w:themeColor="background1" w:themeShade="80"/>
          <w:sz w:val="22"/>
          <w:szCs w:val="22"/>
          <w:lang w:val="en-GB"/>
        </w:rPr>
        <w:t>Relief granted in a foreign main proceeding has</w:t>
      </w:r>
      <w:r>
        <w:rPr>
          <w:rFonts w:ascii="Avenir Next" w:hAnsi="Avenir Next" w:cs="Arial"/>
          <w:color w:val="808080" w:themeColor="background1" w:themeShade="80"/>
          <w:sz w:val="22"/>
          <w:szCs w:val="22"/>
          <w:lang w:val="en-GB"/>
        </w:rPr>
        <w:t xml:space="preserve"> a </w:t>
      </w:r>
      <w:r w:rsidRPr="009C5B10">
        <w:rPr>
          <w:rFonts w:ascii="Avenir Next" w:hAnsi="Avenir Next" w:cs="Arial"/>
          <w:color w:val="808080" w:themeColor="background1" w:themeShade="80"/>
          <w:sz w:val="22"/>
          <w:szCs w:val="22"/>
          <w:lang w:val="en-GB"/>
        </w:rPr>
        <w:t>universal effect</w:t>
      </w:r>
      <w:r>
        <w:rPr>
          <w:rFonts w:ascii="Avenir Next" w:hAnsi="Avenir Next" w:cs="Arial"/>
          <w:color w:val="808080" w:themeColor="background1" w:themeShade="80"/>
          <w:sz w:val="22"/>
          <w:szCs w:val="22"/>
          <w:lang w:val="en-GB"/>
        </w:rPr>
        <w:t xml:space="preserve"> (</w:t>
      </w:r>
      <w:r w:rsidRPr="009C5B10">
        <w:rPr>
          <w:rFonts w:ascii="Avenir Next" w:hAnsi="Avenir Next" w:cs="Arial"/>
          <w:color w:val="808080" w:themeColor="background1" w:themeShade="80"/>
          <w:sz w:val="22"/>
          <w:szCs w:val="22"/>
          <w:lang w:val="en-GB"/>
        </w:rPr>
        <w:t>applies worldwide</w:t>
      </w:r>
      <w:r>
        <w:rPr>
          <w:rFonts w:ascii="Avenir Next" w:hAnsi="Avenir Next" w:cs="Arial"/>
          <w:color w:val="808080" w:themeColor="background1" w:themeShade="80"/>
          <w:sz w:val="22"/>
          <w:szCs w:val="22"/>
          <w:lang w:val="en-GB"/>
        </w:rPr>
        <w:t xml:space="preserve">), binding </w:t>
      </w:r>
      <w:r w:rsidRPr="009C5B10">
        <w:rPr>
          <w:rFonts w:ascii="Avenir Next" w:hAnsi="Avenir Next" w:cs="Arial"/>
          <w:color w:val="808080" w:themeColor="background1" w:themeShade="80"/>
          <w:sz w:val="22"/>
          <w:szCs w:val="22"/>
          <w:lang w:val="en-GB"/>
        </w:rPr>
        <w:t>all creditors and assets of the debtor, regardless of location</w:t>
      </w:r>
      <w:r>
        <w:rPr>
          <w:rFonts w:ascii="Avenir Next" w:hAnsi="Avenir Next" w:cs="Arial"/>
          <w:color w:val="808080" w:themeColor="background1" w:themeShade="80"/>
          <w:sz w:val="22"/>
          <w:szCs w:val="22"/>
          <w:lang w:val="en-GB"/>
        </w:rPr>
        <w:t>. These c</w:t>
      </w:r>
      <w:r w:rsidRPr="009C5B10">
        <w:rPr>
          <w:rFonts w:ascii="Avenir Next" w:hAnsi="Avenir Next" w:cs="Arial"/>
          <w:color w:val="808080" w:themeColor="background1" w:themeShade="80"/>
          <w:sz w:val="22"/>
          <w:szCs w:val="22"/>
          <w:lang w:val="en-GB"/>
        </w:rPr>
        <w:t>reditors generally have more extensive rights and are subject to the automatic stay of proceedings, prohibit</w:t>
      </w:r>
      <w:r w:rsidR="006C7F8A">
        <w:rPr>
          <w:rFonts w:ascii="Avenir Next" w:hAnsi="Avenir Next" w:cs="Arial"/>
          <w:color w:val="808080" w:themeColor="background1" w:themeShade="80"/>
          <w:sz w:val="22"/>
          <w:szCs w:val="22"/>
          <w:lang w:val="en-GB"/>
        </w:rPr>
        <w:t>ing them</w:t>
      </w:r>
      <w:r w:rsidRPr="009C5B10">
        <w:rPr>
          <w:rFonts w:ascii="Avenir Next" w:hAnsi="Avenir Next" w:cs="Arial"/>
          <w:color w:val="808080" w:themeColor="background1" w:themeShade="80"/>
          <w:sz w:val="22"/>
          <w:szCs w:val="22"/>
          <w:lang w:val="en-GB"/>
        </w:rPr>
        <w:t xml:space="preserve"> from pursuing individual actions against the debtor</w:t>
      </w:r>
      <w:r w:rsidR="006C7F8A">
        <w:rPr>
          <w:rFonts w:ascii="Avenir Next" w:hAnsi="Avenir Next" w:cs="Arial"/>
          <w:color w:val="808080" w:themeColor="background1" w:themeShade="80"/>
          <w:sz w:val="22"/>
          <w:szCs w:val="22"/>
          <w:lang w:val="en-GB"/>
        </w:rPr>
        <w:t xml:space="preserve">. </w:t>
      </w:r>
      <w:r w:rsidR="000F6468">
        <w:rPr>
          <w:rFonts w:ascii="Avenir Next" w:hAnsi="Avenir Next" w:cs="Arial"/>
          <w:color w:val="808080" w:themeColor="background1" w:themeShade="80"/>
          <w:sz w:val="22"/>
          <w:szCs w:val="22"/>
          <w:lang w:val="en-GB"/>
        </w:rPr>
        <w:t>R</w:t>
      </w:r>
      <w:r w:rsidRPr="009C5B10">
        <w:rPr>
          <w:rFonts w:ascii="Avenir Next" w:hAnsi="Avenir Next" w:cs="Arial"/>
          <w:color w:val="808080" w:themeColor="background1" w:themeShade="80"/>
          <w:sz w:val="22"/>
          <w:szCs w:val="22"/>
          <w:lang w:val="en-GB"/>
        </w:rPr>
        <w:t>elief s typically comprehensive and aimed at the full administration, liquidation, and distribution</w:t>
      </w:r>
      <w:r w:rsidR="000F6468">
        <w:rPr>
          <w:rFonts w:ascii="Avenir Next" w:hAnsi="Avenir Next" w:cs="Arial"/>
          <w:color w:val="808080" w:themeColor="background1" w:themeShade="80"/>
          <w:sz w:val="22"/>
          <w:szCs w:val="22"/>
          <w:lang w:val="en-GB"/>
        </w:rPr>
        <w:t xml:space="preserve">. </w:t>
      </w:r>
    </w:p>
    <w:p w14:paraId="68EC8C7A" w14:textId="77777777" w:rsidR="00400C9C" w:rsidRDefault="00400C9C" w:rsidP="009C5B10">
      <w:pPr>
        <w:jc w:val="both"/>
        <w:rPr>
          <w:rFonts w:ascii="Avenir Next" w:hAnsi="Avenir Next" w:cs="Arial"/>
          <w:color w:val="808080" w:themeColor="background1" w:themeShade="80"/>
          <w:sz w:val="22"/>
          <w:szCs w:val="22"/>
          <w:lang w:val="en-GB"/>
        </w:rPr>
      </w:pPr>
    </w:p>
    <w:p w14:paraId="11A32D1B" w14:textId="2434C785" w:rsidR="00400C9C" w:rsidRPr="009C5B10" w:rsidRDefault="00400C9C" w:rsidP="00400C9C">
      <w:pPr>
        <w:jc w:val="both"/>
        <w:rPr>
          <w:rFonts w:ascii="Avenir Next" w:hAnsi="Avenir Next" w:cs="Arial"/>
          <w:color w:val="808080" w:themeColor="background1" w:themeShade="80"/>
          <w:sz w:val="22"/>
          <w:szCs w:val="22"/>
          <w:lang w:val="en-GB"/>
        </w:rPr>
      </w:pPr>
      <w:r w:rsidRPr="00400C9C">
        <w:rPr>
          <w:rFonts w:ascii="Avenir Next" w:hAnsi="Avenir Next" w:cs="Arial"/>
          <w:color w:val="808080" w:themeColor="background1" w:themeShade="80"/>
          <w:sz w:val="22"/>
          <w:szCs w:val="22"/>
          <w:lang w:val="en-GB"/>
        </w:rPr>
        <w:t>Relief granted in foreign non-main proceeding</w:t>
      </w:r>
      <w:r>
        <w:rPr>
          <w:rFonts w:ascii="Avenir Next" w:hAnsi="Avenir Next" w:cs="Arial"/>
          <w:color w:val="808080" w:themeColor="background1" w:themeShade="80"/>
          <w:sz w:val="22"/>
          <w:szCs w:val="22"/>
          <w:lang w:val="en-GB"/>
        </w:rPr>
        <w:t xml:space="preserve"> is limited in scope</w:t>
      </w:r>
      <w:r w:rsidR="00396AC3">
        <w:rPr>
          <w:rFonts w:ascii="Avenir Next" w:hAnsi="Avenir Next" w:cs="Arial"/>
          <w:color w:val="808080" w:themeColor="background1" w:themeShade="80"/>
          <w:sz w:val="22"/>
          <w:szCs w:val="22"/>
          <w:lang w:val="en-GB"/>
        </w:rPr>
        <w:t xml:space="preserve"> usually being jurisdiction specific, with </w:t>
      </w:r>
      <w:proofErr w:type="gramStart"/>
      <w:r w:rsidR="00396AC3">
        <w:rPr>
          <w:rFonts w:ascii="Avenir Next" w:hAnsi="Avenir Next" w:cs="Arial"/>
          <w:color w:val="808080" w:themeColor="background1" w:themeShade="80"/>
          <w:sz w:val="22"/>
          <w:szCs w:val="22"/>
          <w:lang w:val="en-GB"/>
        </w:rPr>
        <w:t>this creditors</w:t>
      </w:r>
      <w:proofErr w:type="gramEnd"/>
      <w:r w:rsidR="00396AC3">
        <w:rPr>
          <w:rFonts w:ascii="Avenir Next" w:hAnsi="Avenir Next" w:cs="Arial"/>
          <w:color w:val="808080" w:themeColor="background1" w:themeShade="80"/>
          <w:sz w:val="22"/>
          <w:szCs w:val="22"/>
          <w:lang w:val="en-GB"/>
        </w:rPr>
        <w:t xml:space="preserve"> </w:t>
      </w:r>
      <w:r w:rsidRPr="00400C9C">
        <w:rPr>
          <w:rFonts w:ascii="Avenir Next" w:hAnsi="Avenir Next" w:cs="Arial"/>
          <w:color w:val="808080" w:themeColor="background1" w:themeShade="80"/>
          <w:sz w:val="22"/>
          <w:szCs w:val="22"/>
          <w:lang w:val="en-GB"/>
        </w:rPr>
        <w:t>may not enjoy the same automatic stay of proceedings</w:t>
      </w:r>
      <w:r w:rsidR="004563F6">
        <w:rPr>
          <w:rFonts w:ascii="Avenir Next" w:hAnsi="Avenir Next" w:cs="Arial"/>
          <w:color w:val="808080" w:themeColor="background1" w:themeShade="80"/>
          <w:sz w:val="22"/>
          <w:szCs w:val="22"/>
          <w:lang w:val="en-GB"/>
        </w:rPr>
        <w:t xml:space="preserve"> and any relief granted will </w:t>
      </w:r>
      <w:r w:rsidR="004563F6">
        <w:rPr>
          <w:rFonts w:ascii="Avenir Next" w:hAnsi="Avenir Next" w:cs="Arial"/>
          <w:color w:val="808080" w:themeColor="background1" w:themeShade="80"/>
          <w:sz w:val="22"/>
          <w:szCs w:val="22"/>
          <w:lang w:val="en-GB"/>
        </w:rPr>
        <w:lastRenderedPageBreak/>
        <w:t xml:space="preserve">generally be </w:t>
      </w:r>
      <w:r w:rsidRPr="00400C9C">
        <w:rPr>
          <w:rFonts w:ascii="Avenir Next" w:hAnsi="Avenir Next" w:cs="Arial"/>
          <w:color w:val="808080" w:themeColor="background1" w:themeShade="80"/>
          <w:sz w:val="22"/>
          <w:szCs w:val="22"/>
          <w:lang w:val="en-GB"/>
        </w:rPr>
        <w:t>focused on addressing specific issues</w:t>
      </w:r>
      <w:r w:rsidR="004563F6">
        <w:rPr>
          <w:rFonts w:ascii="Avenir Next" w:hAnsi="Avenir Next" w:cs="Arial"/>
          <w:color w:val="808080" w:themeColor="background1" w:themeShade="80"/>
          <w:sz w:val="22"/>
          <w:szCs w:val="22"/>
          <w:lang w:val="en-GB"/>
        </w:rPr>
        <w:t xml:space="preserve"> locally, limiting its effects on the global assets of the corporation.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0B2A725F" w14:textId="77777777" w:rsidR="0093155D" w:rsidRPr="00E2622D" w:rsidRDefault="0093155D"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3673BA25" w14:textId="47C1E4EC" w:rsidR="001B1134" w:rsidRDefault="001B1134" w:rsidP="001B1134">
      <w:pPr>
        <w:jc w:val="both"/>
        <w:rPr>
          <w:rFonts w:ascii="Avenir Next" w:hAnsi="Avenir Next" w:cs="Arial"/>
          <w:color w:val="808080" w:themeColor="background1" w:themeShade="80"/>
          <w:sz w:val="22"/>
          <w:szCs w:val="22"/>
          <w:lang w:val="en-GB"/>
        </w:rPr>
      </w:pPr>
      <w:r w:rsidRPr="001B1134">
        <w:rPr>
          <w:rFonts w:ascii="Avenir Next" w:hAnsi="Avenir Next" w:cs="Arial"/>
          <w:color w:val="808080" w:themeColor="background1" w:themeShade="80"/>
          <w:sz w:val="22"/>
          <w:szCs w:val="22"/>
          <w:lang w:val="en-GB"/>
        </w:rPr>
        <w:t xml:space="preserve">As defined by the European Insolvency Regulations the two key factors of a Centre of Main Interests (“COMI”) are the location where the central administration of the debtor take </w:t>
      </w:r>
      <w:proofErr w:type="gramStart"/>
      <w:r w:rsidRPr="001B1134">
        <w:rPr>
          <w:rFonts w:ascii="Avenir Next" w:hAnsi="Avenir Next" w:cs="Arial"/>
          <w:color w:val="808080" w:themeColor="background1" w:themeShade="80"/>
          <w:sz w:val="22"/>
          <w:szCs w:val="22"/>
          <w:lang w:val="en-GB"/>
        </w:rPr>
        <w:t>place</w:t>
      </w:r>
      <w:proofErr w:type="gramEnd"/>
      <w:r w:rsidRPr="001B1134">
        <w:rPr>
          <w:rFonts w:ascii="Avenir Next" w:hAnsi="Avenir Next" w:cs="Arial"/>
          <w:color w:val="808080" w:themeColor="background1" w:themeShade="80"/>
          <w:sz w:val="22"/>
          <w:szCs w:val="22"/>
          <w:lang w:val="en-GB"/>
        </w:rPr>
        <w:t xml:space="preserve"> and which is readily ascertainable as such by creditors. </w:t>
      </w:r>
    </w:p>
    <w:p w14:paraId="126B6C16" w14:textId="77777777" w:rsidR="00541167" w:rsidRDefault="00541167" w:rsidP="001B1134">
      <w:pPr>
        <w:jc w:val="both"/>
        <w:rPr>
          <w:rFonts w:ascii="Avenir Next" w:hAnsi="Avenir Next" w:cs="Arial"/>
          <w:color w:val="808080" w:themeColor="background1" w:themeShade="80"/>
          <w:sz w:val="22"/>
          <w:szCs w:val="22"/>
          <w:lang w:val="en-GB"/>
        </w:rPr>
      </w:pPr>
    </w:p>
    <w:p w14:paraId="0503A2E4" w14:textId="77777777" w:rsidR="00715321" w:rsidRDefault="00541167" w:rsidP="001B11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Dependent upon the facts, the court will need to give greater/less weight </w:t>
      </w:r>
      <w:r w:rsidR="00BF056E">
        <w:rPr>
          <w:rFonts w:ascii="Avenir Next" w:hAnsi="Avenir Next" w:cs="Arial"/>
          <w:color w:val="808080" w:themeColor="background1" w:themeShade="80"/>
          <w:sz w:val="22"/>
          <w:szCs w:val="22"/>
          <w:lang w:val="en-GB"/>
        </w:rPr>
        <w:t xml:space="preserve">to a given factor, in all circumstances the determination of a COMI is a hostile endeavour designed to determine the location of the foreign proceedings. </w:t>
      </w:r>
    </w:p>
    <w:p w14:paraId="6B7EE5E7" w14:textId="77777777" w:rsidR="00715321" w:rsidRDefault="00715321" w:rsidP="001B1134">
      <w:pPr>
        <w:jc w:val="both"/>
        <w:rPr>
          <w:rFonts w:ascii="Avenir Next" w:hAnsi="Avenir Next" w:cs="Arial"/>
          <w:color w:val="808080" w:themeColor="background1" w:themeShade="80"/>
          <w:sz w:val="22"/>
          <w:szCs w:val="22"/>
          <w:lang w:val="en-GB"/>
        </w:rPr>
      </w:pPr>
    </w:p>
    <w:p w14:paraId="272D0FAB" w14:textId="753F8003" w:rsidR="00541167" w:rsidRDefault="005B14E6" w:rsidP="00946A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 taking account of the missing information such as the location of </w:t>
      </w:r>
      <w:r w:rsidR="002B6526">
        <w:rPr>
          <w:rFonts w:ascii="Avenir Next" w:hAnsi="Avenir Next" w:cs="Arial"/>
          <w:color w:val="808080" w:themeColor="background1" w:themeShade="80"/>
          <w:sz w:val="22"/>
          <w:szCs w:val="22"/>
          <w:lang w:val="en-GB"/>
        </w:rPr>
        <w:t>finance</w:t>
      </w:r>
      <w:r>
        <w:rPr>
          <w:rFonts w:ascii="Avenir Next" w:hAnsi="Avenir Next" w:cs="Arial"/>
          <w:color w:val="808080" w:themeColor="background1" w:themeShade="80"/>
          <w:sz w:val="22"/>
          <w:szCs w:val="22"/>
          <w:lang w:val="en-GB"/>
        </w:rPr>
        <w:t xml:space="preserve">, books and records, </w:t>
      </w:r>
      <w:r w:rsidR="00715321">
        <w:rPr>
          <w:rFonts w:ascii="Avenir Next" w:hAnsi="Avenir Next" w:cs="Arial"/>
          <w:color w:val="808080" w:themeColor="background1" w:themeShade="80"/>
          <w:sz w:val="22"/>
          <w:szCs w:val="22"/>
          <w:lang w:val="en-GB"/>
        </w:rPr>
        <w:t xml:space="preserve">banking facilities and other operations etc.  </w:t>
      </w:r>
      <w:r w:rsidR="00946A52" w:rsidRPr="00946A52">
        <w:rPr>
          <w:rFonts w:ascii="Avenir Next" w:hAnsi="Avenir Next" w:cs="Arial"/>
          <w:color w:val="808080" w:themeColor="background1" w:themeShade="80"/>
          <w:sz w:val="22"/>
          <w:szCs w:val="22"/>
          <w:lang w:val="en-GB"/>
        </w:rPr>
        <w:t>The foreign main proceeding should</w:t>
      </w:r>
      <w:r w:rsidR="00946A52">
        <w:rPr>
          <w:rFonts w:ascii="Avenir Next" w:hAnsi="Avenir Next" w:cs="Arial"/>
          <w:color w:val="808080" w:themeColor="background1" w:themeShade="80"/>
          <w:sz w:val="22"/>
          <w:szCs w:val="22"/>
          <w:lang w:val="en-GB"/>
        </w:rPr>
        <w:t xml:space="preserve"> </w:t>
      </w:r>
      <w:r w:rsidR="00946A52" w:rsidRPr="00946A52">
        <w:rPr>
          <w:rFonts w:ascii="Avenir Next" w:hAnsi="Avenir Next" w:cs="Arial"/>
          <w:color w:val="808080" w:themeColor="background1" w:themeShade="80"/>
          <w:sz w:val="22"/>
          <w:szCs w:val="22"/>
          <w:lang w:val="en-GB"/>
        </w:rPr>
        <w:t xml:space="preserve">have been </w:t>
      </w:r>
      <w:r w:rsidR="00946A52">
        <w:rPr>
          <w:rFonts w:ascii="Avenir Next" w:hAnsi="Avenir Next" w:cs="Arial"/>
          <w:color w:val="808080" w:themeColor="background1" w:themeShade="80"/>
          <w:sz w:val="22"/>
          <w:szCs w:val="22"/>
          <w:lang w:val="en-GB"/>
        </w:rPr>
        <w:t>lodged in the location of the d</w:t>
      </w:r>
      <w:r w:rsidR="00946A52" w:rsidRPr="00946A52">
        <w:rPr>
          <w:rFonts w:ascii="Avenir Next" w:hAnsi="Avenir Next" w:cs="Arial"/>
          <w:color w:val="808080" w:themeColor="background1" w:themeShade="80"/>
          <w:sz w:val="22"/>
          <w:szCs w:val="22"/>
          <w:lang w:val="en-GB"/>
        </w:rPr>
        <w:t>ebtor's COMI</w:t>
      </w:r>
      <w:r w:rsidR="00946A52">
        <w:rPr>
          <w:rFonts w:ascii="Avenir Next" w:hAnsi="Avenir Next" w:cs="Arial"/>
          <w:color w:val="808080" w:themeColor="background1" w:themeShade="80"/>
          <w:sz w:val="22"/>
          <w:szCs w:val="22"/>
          <w:lang w:val="en-GB"/>
        </w:rPr>
        <w:t xml:space="preserve">, </w:t>
      </w:r>
      <w:r w:rsidR="00946A52" w:rsidRPr="00946A52">
        <w:rPr>
          <w:rFonts w:ascii="Avenir Next" w:hAnsi="Avenir Next" w:cs="Arial"/>
          <w:color w:val="808080" w:themeColor="background1" w:themeShade="80"/>
          <w:sz w:val="22"/>
          <w:szCs w:val="22"/>
          <w:lang w:val="en-GB"/>
        </w:rPr>
        <w:t>Germany</w:t>
      </w:r>
      <w:r w:rsidR="00A305EF">
        <w:rPr>
          <w:rFonts w:ascii="Avenir Next" w:hAnsi="Avenir Next" w:cs="Arial"/>
          <w:color w:val="808080" w:themeColor="background1" w:themeShade="80"/>
          <w:sz w:val="22"/>
          <w:szCs w:val="22"/>
          <w:lang w:val="en-GB"/>
        </w:rPr>
        <w:t xml:space="preserve"> as this is the </w:t>
      </w:r>
      <w:proofErr w:type="gramStart"/>
      <w:r w:rsidR="00946A52" w:rsidRPr="00946A52">
        <w:rPr>
          <w:rFonts w:ascii="Avenir Next" w:hAnsi="Avenir Next" w:cs="Arial"/>
          <w:color w:val="808080" w:themeColor="background1" w:themeShade="80"/>
          <w:sz w:val="22"/>
          <w:szCs w:val="22"/>
          <w:lang w:val="en-GB"/>
        </w:rPr>
        <w:t>debtor</w:t>
      </w:r>
      <w:r w:rsidR="00A305EF">
        <w:rPr>
          <w:rFonts w:ascii="Avenir Next" w:hAnsi="Avenir Next" w:cs="Arial"/>
          <w:color w:val="808080" w:themeColor="background1" w:themeShade="80"/>
          <w:sz w:val="22"/>
          <w:szCs w:val="22"/>
          <w:lang w:val="en-GB"/>
        </w:rPr>
        <w:t>s</w:t>
      </w:r>
      <w:proofErr w:type="gramEnd"/>
      <w:r w:rsidR="00946A52" w:rsidRPr="00946A52">
        <w:rPr>
          <w:rFonts w:ascii="Avenir Next" w:hAnsi="Avenir Next" w:cs="Arial"/>
          <w:color w:val="808080" w:themeColor="background1" w:themeShade="80"/>
          <w:sz w:val="22"/>
          <w:szCs w:val="22"/>
          <w:lang w:val="en-GB"/>
        </w:rPr>
        <w:t xml:space="preserve"> primary jurisdiction</w:t>
      </w:r>
      <w:r w:rsidR="00A305EF">
        <w:rPr>
          <w:rFonts w:ascii="Avenir Next" w:hAnsi="Avenir Next" w:cs="Arial"/>
          <w:color w:val="808080" w:themeColor="background1" w:themeShade="80"/>
          <w:sz w:val="22"/>
          <w:szCs w:val="22"/>
          <w:lang w:val="en-GB"/>
        </w:rPr>
        <w:t xml:space="preserve">. </w:t>
      </w:r>
      <w:r w:rsidR="00946A52" w:rsidRPr="00946A52">
        <w:rPr>
          <w:rFonts w:ascii="Avenir Next" w:hAnsi="Avenir Next" w:cs="Arial"/>
          <w:color w:val="808080" w:themeColor="background1" w:themeShade="80"/>
          <w:sz w:val="22"/>
          <w:szCs w:val="22"/>
          <w:lang w:val="en-GB"/>
        </w:rPr>
        <w:t>The</w:t>
      </w:r>
      <w:r w:rsidR="00A84655">
        <w:rPr>
          <w:rFonts w:ascii="Avenir Next" w:hAnsi="Avenir Next" w:cs="Arial"/>
          <w:color w:val="808080" w:themeColor="background1" w:themeShade="80"/>
          <w:sz w:val="22"/>
          <w:szCs w:val="22"/>
          <w:lang w:val="en-GB"/>
        </w:rPr>
        <w:t>ses for</w:t>
      </w:r>
      <w:r w:rsidR="00946A52" w:rsidRPr="00946A52">
        <w:rPr>
          <w:rFonts w:ascii="Avenir Next" w:hAnsi="Avenir Next" w:cs="Arial"/>
          <w:color w:val="808080" w:themeColor="background1" w:themeShade="80"/>
          <w:sz w:val="22"/>
          <w:szCs w:val="22"/>
          <w:lang w:val="en-GB"/>
        </w:rPr>
        <w:t xml:space="preserve">eign main proceeding </w:t>
      </w:r>
      <w:r w:rsidR="00A84655">
        <w:rPr>
          <w:rFonts w:ascii="Avenir Next" w:hAnsi="Avenir Next" w:cs="Arial"/>
          <w:color w:val="808080" w:themeColor="background1" w:themeShade="80"/>
          <w:sz w:val="22"/>
          <w:szCs w:val="22"/>
          <w:lang w:val="en-GB"/>
        </w:rPr>
        <w:t>will likely have a u</w:t>
      </w:r>
      <w:r w:rsidR="00946A52" w:rsidRPr="00946A52">
        <w:rPr>
          <w:rFonts w:ascii="Avenir Next" w:hAnsi="Avenir Next" w:cs="Arial"/>
          <w:color w:val="808080" w:themeColor="background1" w:themeShade="80"/>
          <w:sz w:val="22"/>
          <w:szCs w:val="22"/>
          <w:lang w:val="en-GB"/>
        </w:rPr>
        <w:t>niversal effect</w:t>
      </w:r>
      <w:r w:rsidR="00A84655">
        <w:rPr>
          <w:rFonts w:ascii="Avenir Next" w:hAnsi="Avenir Next" w:cs="Arial"/>
          <w:color w:val="808080" w:themeColor="background1" w:themeShade="80"/>
          <w:sz w:val="22"/>
          <w:szCs w:val="22"/>
          <w:lang w:val="en-GB"/>
        </w:rPr>
        <w:t xml:space="preserve"> binding </w:t>
      </w:r>
      <w:r w:rsidR="00946A52" w:rsidRPr="00946A52">
        <w:rPr>
          <w:rFonts w:ascii="Avenir Next" w:hAnsi="Avenir Next" w:cs="Arial"/>
          <w:color w:val="808080" w:themeColor="background1" w:themeShade="80"/>
          <w:sz w:val="22"/>
          <w:szCs w:val="22"/>
          <w:lang w:val="en-GB"/>
        </w:rPr>
        <w:t xml:space="preserve">all creditors and assets of the debtor, regardless of their location. </w:t>
      </w:r>
    </w:p>
    <w:p w14:paraId="3AF8840A" w14:textId="77777777" w:rsidR="00DF2882" w:rsidRDefault="00DF2882" w:rsidP="00946A52">
      <w:pPr>
        <w:jc w:val="both"/>
        <w:rPr>
          <w:rFonts w:ascii="Avenir Next" w:hAnsi="Avenir Next" w:cs="Arial"/>
          <w:color w:val="808080" w:themeColor="background1" w:themeShade="80"/>
          <w:sz w:val="22"/>
          <w:szCs w:val="22"/>
          <w:lang w:val="en-GB"/>
        </w:rPr>
      </w:pPr>
    </w:p>
    <w:p w14:paraId="4F5ED7D3" w14:textId="54822C12" w:rsidR="00DF2882" w:rsidRDefault="00DF2882" w:rsidP="00DF2882">
      <w:pPr>
        <w:jc w:val="both"/>
        <w:rPr>
          <w:rFonts w:ascii="Avenir Next" w:hAnsi="Avenir Next" w:cs="Arial"/>
          <w:color w:val="808080" w:themeColor="background1" w:themeShade="80"/>
          <w:sz w:val="22"/>
          <w:szCs w:val="22"/>
          <w:lang w:val="en-GB"/>
        </w:rPr>
      </w:pPr>
      <w:r w:rsidRPr="00DF2882">
        <w:rPr>
          <w:rFonts w:ascii="Avenir Next" w:hAnsi="Avenir Next" w:cs="Arial"/>
          <w:color w:val="808080" w:themeColor="background1" w:themeShade="80"/>
          <w:sz w:val="22"/>
          <w:szCs w:val="22"/>
          <w:lang w:val="en-GB"/>
        </w:rPr>
        <w:t xml:space="preserve">The foreign non-main proceeding </w:t>
      </w:r>
      <w:r>
        <w:rPr>
          <w:rFonts w:ascii="Avenir Next" w:hAnsi="Avenir Next" w:cs="Arial"/>
          <w:color w:val="808080" w:themeColor="background1" w:themeShade="80"/>
          <w:sz w:val="22"/>
          <w:szCs w:val="22"/>
          <w:lang w:val="en-GB"/>
        </w:rPr>
        <w:t>will b</w:t>
      </w:r>
      <w:r w:rsidRPr="00DF2882">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w:t>
      </w:r>
      <w:r w:rsidRPr="00DF2882">
        <w:rPr>
          <w:rFonts w:ascii="Avenir Next" w:hAnsi="Avenir Next" w:cs="Arial"/>
          <w:color w:val="808080" w:themeColor="background1" w:themeShade="80"/>
          <w:sz w:val="22"/>
          <w:szCs w:val="22"/>
          <w:lang w:val="en-GB"/>
        </w:rPr>
        <w:t>filed in the jurisdiction where the debtor has an establishment, Bermuda. Non-main proceedings are typically conducted in jurisdictions where the debtor has assets but is not the primary COMI</w:t>
      </w:r>
      <w:r w:rsidR="00837C0C">
        <w:rPr>
          <w:rFonts w:ascii="Avenir Next" w:hAnsi="Avenir Next" w:cs="Arial"/>
          <w:color w:val="808080" w:themeColor="background1" w:themeShade="80"/>
          <w:sz w:val="22"/>
          <w:szCs w:val="22"/>
          <w:lang w:val="en-GB"/>
        </w:rPr>
        <w:t xml:space="preserve">, these will likely </w:t>
      </w:r>
      <w:r w:rsidR="00F858C7">
        <w:rPr>
          <w:rFonts w:ascii="Avenir Next" w:hAnsi="Avenir Next" w:cs="Arial"/>
          <w:color w:val="808080" w:themeColor="background1" w:themeShade="80"/>
          <w:sz w:val="22"/>
          <w:szCs w:val="22"/>
          <w:lang w:val="en-GB"/>
        </w:rPr>
        <w:t xml:space="preserve">have limited </w:t>
      </w:r>
      <w:r w:rsidRPr="00DF2882">
        <w:rPr>
          <w:rFonts w:ascii="Avenir Next" w:hAnsi="Avenir Next" w:cs="Arial"/>
          <w:color w:val="808080" w:themeColor="background1" w:themeShade="80"/>
          <w:sz w:val="22"/>
          <w:szCs w:val="22"/>
          <w:lang w:val="en-GB"/>
        </w:rPr>
        <w:t xml:space="preserve">territorial effect, </w:t>
      </w:r>
      <w:proofErr w:type="gramStart"/>
      <w:r w:rsidRPr="00DF2882">
        <w:rPr>
          <w:rFonts w:ascii="Avenir Next" w:hAnsi="Avenir Next" w:cs="Arial"/>
          <w:color w:val="808080" w:themeColor="background1" w:themeShade="80"/>
          <w:sz w:val="22"/>
          <w:szCs w:val="22"/>
          <w:lang w:val="en-GB"/>
        </w:rPr>
        <w:t>addressing</w:t>
      </w:r>
      <w:proofErr w:type="gramEnd"/>
      <w:r w:rsidRPr="00DF2882">
        <w:rPr>
          <w:rFonts w:ascii="Avenir Next" w:hAnsi="Avenir Next" w:cs="Arial"/>
          <w:color w:val="808080" w:themeColor="background1" w:themeShade="80"/>
          <w:sz w:val="22"/>
          <w:szCs w:val="22"/>
          <w:lang w:val="en-GB"/>
        </w:rPr>
        <w:t xml:space="preserve"> assets and claims within the</w:t>
      </w:r>
      <w:r w:rsidR="00F858C7">
        <w:rPr>
          <w:rFonts w:ascii="Avenir Next" w:hAnsi="Avenir Next" w:cs="Arial"/>
          <w:color w:val="808080" w:themeColor="background1" w:themeShade="80"/>
          <w:sz w:val="22"/>
          <w:szCs w:val="22"/>
          <w:lang w:val="en-GB"/>
        </w:rPr>
        <w:t xml:space="preserve">ir </w:t>
      </w:r>
      <w:r w:rsidRPr="00DF2882">
        <w:rPr>
          <w:rFonts w:ascii="Avenir Next" w:hAnsi="Avenir Next" w:cs="Arial"/>
          <w:color w:val="808080" w:themeColor="background1" w:themeShade="80"/>
          <w:sz w:val="22"/>
          <w:szCs w:val="22"/>
          <w:lang w:val="en-GB"/>
        </w:rPr>
        <w:t>jurisdiction</w:t>
      </w:r>
      <w:r w:rsidR="00F858C7">
        <w:rPr>
          <w:rFonts w:ascii="Avenir Next" w:hAnsi="Avenir Next" w:cs="Arial"/>
          <w:color w:val="808080" w:themeColor="background1" w:themeShade="80"/>
          <w:sz w:val="22"/>
          <w:szCs w:val="22"/>
          <w:lang w:val="en-GB"/>
        </w:rPr>
        <w:t xml:space="preserve"> being secondary without the same global reach. </w:t>
      </w:r>
    </w:p>
    <w:p w14:paraId="4688EECC" w14:textId="77777777" w:rsidR="005B7728" w:rsidRDefault="005B7728" w:rsidP="00DF2882">
      <w:pPr>
        <w:jc w:val="both"/>
        <w:rPr>
          <w:rFonts w:ascii="Avenir Next" w:hAnsi="Avenir Next" w:cs="Arial"/>
          <w:color w:val="808080" w:themeColor="background1" w:themeShade="80"/>
          <w:sz w:val="22"/>
          <w:szCs w:val="22"/>
          <w:lang w:val="en-GB"/>
        </w:rPr>
      </w:pPr>
    </w:p>
    <w:p w14:paraId="77B011D5" w14:textId="4AD97248" w:rsidR="005B7728" w:rsidRDefault="005B7728" w:rsidP="005B77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Pr="005B7728">
        <w:rPr>
          <w:rFonts w:ascii="Avenir Next" w:hAnsi="Avenir Next" w:cs="Arial"/>
          <w:color w:val="808080" w:themeColor="background1" w:themeShade="80"/>
          <w:sz w:val="22"/>
          <w:szCs w:val="22"/>
          <w:lang w:val="en-GB"/>
        </w:rPr>
        <w:t>ecognition in the U</w:t>
      </w:r>
      <w:r>
        <w:rPr>
          <w:rFonts w:ascii="Avenir Next" w:hAnsi="Avenir Next" w:cs="Arial"/>
          <w:color w:val="808080" w:themeColor="background1" w:themeShade="80"/>
          <w:sz w:val="22"/>
          <w:szCs w:val="22"/>
          <w:lang w:val="en-GB"/>
        </w:rPr>
        <w:t>S</w:t>
      </w:r>
      <w:r w:rsidRPr="005B7728">
        <w:rPr>
          <w:rFonts w:ascii="Avenir Next" w:hAnsi="Avenir Next" w:cs="Arial"/>
          <w:color w:val="808080" w:themeColor="background1" w:themeShade="80"/>
          <w:sz w:val="22"/>
          <w:szCs w:val="22"/>
          <w:lang w:val="en-GB"/>
        </w:rPr>
        <w:t xml:space="preserve"> </w:t>
      </w:r>
      <w:r w:rsidR="009F3FF4">
        <w:rPr>
          <w:rFonts w:ascii="Avenir Next" w:hAnsi="Avenir Next" w:cs="Arial"/>
          <w:color w:val="808080" w:themeColor="background1" w:themeShade="80"/>
          <w:sz w:val="22"/>
          <w:szCs w:val="22"/>
          <w:lang w:val="en-GB"/>
        </w:rPr>
        <w:t>would be via an application to the US</w:t>
      </w:r>
      <w:r w:rsidRPr="005B7728">
        <w:rPr>
          <w:rFonts w:ascii="Avenir Next" w:hAnsi="Avenir Next" w:cs="Arial"/>
          <w:color w:val="808080" w:themeColor="background1" w:themeShade="80"/>
          <w:sz w:val="22"/>
          <w:szCs w:val="22"/>
          <w:lang w:val="en-GB"/>
        </w:rPr>
        <w:t xml:space="preserve"> court</w:t>
      </w:r>
      <w:r w:rsidR="009F3FF4">
        <w:rPr>
          <w:rFonts w:ascii="Avenir Next" w:hAnsi="Avenir Next" w:cs="Arial"/>
          <w:color w:val="808080" w:themeColor="background1" w:themeShade="80"/>
          <w:sz w:val="22"/>
          <w:szCs w:val="22"/>
          <w:lang w:val="en-GB"/>
        </w:rPr>
        <w:t xml:space="preserve">, </w:t>
      </w:r>
      <w:r w:rsidRPr="005B7728">
        <w:rPr>
          <w:rFonts w:ascii="Avenir Next" w:hAnsi="Avenir Next" w:cs="Arial"/>
          <w:color w:val="808080" w:themeColor="background1" w:themeShade="80"/>
          <w:sz w:val="22"/>
          <w:szCs w:val="22"/>
          <w:lang w:val="en-GB"/>
        </w:rPr>
        <w:t>to recognize</w:t>
      </w:r>
      <w:r w:rsidR="009F3FF4">
        <w:rPr>
          <w:rFonts w:ascii="Avenir Next" w:hAnsi="Avenir Next" w:cs="Arial"/>
          <w:color w:val="808080" w:themeColor="background1" w:themeShade="80"/>
          <w:sz w:val="22"/>
          <w:szCs w:val="22"/>
          <w:lang w:val="en-GB"/>
        </w:rPr>
        <w:t xml:space="preserve"> both the f</w:t>
      </w:r>
      <w:r w:rsidRPr="005B7728">
        <w:rPr>
          <w:rFonts w:ascii="Avenir Next" w:hAnsi="Avenir Next" w:cs="Arial"/>
          <w:color w:val="808080" w:themeColor="background1" w:themeShade="80"/>
          <w:sz w:val="22"/>
          <w:szCs w:val="22"/>
          <w:lang w:val="en-GB"/>
        </w:rPr>
        <w:t>oreign main</w:t>
      </w:r>
      <w:r w:rsidR="009F3FF4">
        <w:rPr>
          <w:rFonts w:ascii="Avenir Next" w:hAnsi="Avenir Next" w:cs="Arial"/>
          <w:color w:val="808080" w:themeColor="background1" w:themeShade="80"/>
          <w:sz w:val="22"/>
          <w:szCs w:val="22"/>
          <w:lang w:val="en-GB"/>
        </w:rPr>
        <w:t>/</w:t>
      </w:r>
      <w:r w:rsidRPr="005B7728">
        <w:rPr>
          <w:rFonts w:ascii="Avenir Next" w:hAnsi="Avenir Next" w:cs="Arial"/>
          <w:color w:val="808080" w:themeColor="background1" w:themeShade="80"/>
          <w:sz w:val="22"/>
          <w:szCs w:val="22"/>
          <w:lang w:val="en-GB"/>
        </w:rPr>
        <w:t>non-main proceedings. Th</w:t>
      </w:r>
      <w:r w:rsidR="009F3FF4">
        <w:rPr>
          <w:rFonts w:ascii="Avenir Next" w:hAnsi="Avenir Next" w:cs="Arial"/>
          <w:color w:val="808080" w:themeColor="background1" w:themeShade="80"/>
          <w:sz w:val="22"/>
          <w:szCs w:val="22"/>
          <w:lang w:val="en-GB"/>
        </w:rPr>
        <w:t xml:space="preserve">is </w:t>
      </w:r>
      <w:r w:rsidR="000A5289">
        <w:rPr>
          <w:rFonts w:ascii="Avenir Next" w:hAnsi="Avenir Next" w:cs="Arial"/>
          <w:color w:val="808080" w:themeColor="background1" w:themeShade="80"/>
          <w:sz w:val="22"/>
          <w:szCs w:val="22"/>
          <w:lang w:val="en-GB"/>
        </w:rPr>
        <w:t xml:space="preserve">aims to grant </w:t>
      </w:r>
      <w:r w:rsidRPr="005B7728">
        <w:rPr>
          <w:rFonts w:ascii="Avenir Next" w:hAnsi="Avenir Next" w:cs="Arial"/>
          <w:color w:val="808080" w:themeColor="background1" w:themeShade="80"/>
          <w:sz w:val="22"/>
          <w:szCs w:val="22"/>
          <w:lang w:val="en-GB"/>
        </w:rPr>
        <w:t>legal effect in the U</w:t>
      </w:r>
      <w:r w:rsidR="000A5289">
        <w:rPr>
          <w:rFonts w:ascii="Avenir Next" w:hAnsi="Avenir Next" w:cs="Arial"/>
          <w:color w:val="808080" w:themeColor="background1" w:themeShade="80"/>
          <w:sz w:val="22"/>
          <w:szCs w:val="22"/>
          <w:lang w:val="en-GB"/>
        </w:rPr>
        <w:t>S</w:t>
      </w:r>
      <w:r w:rsidRPr="005B7728">
        <w:rPr>
          <w:rFonts w:ascii="Avenir Next" w:hAnsi="Avenir Next" w:cs="Arial"/>
          <w:color w:val="808080" w:themeColor="background1" w:themeShade="80"/>
          <w:sz w:val="22"/>
          <w:szCs w:val="22"/>
          <w:lang w:val="en-GB"/>
        </w:rPr>
        <w:t>.</w:t>
      </w:r>
      <w:r w:rsidR="000A5289">
        <w:rPr>
          <w:rFonts w:ascii="Avenir Next" w:hAnsi="Avenir Next" w:cs="Arial"/>
          <w:color w:val="808080" w:themeColor="background1" w:themeShade="80"/>
          <w:sz w:val="22"/>
          <w:szCs w:val="22"/>
          <w:lang w:val="en-GB"/>
        </w:rPr>
        <w:t xml:space="preserve"> </w:t>
      </w:r>
      <w:r w:rsidRPr="005B7728">
        <w:rPr>
          <w:rFonts w:ascii="Avenir Next" w:hAnsi="Avenir Next" w:cs="Arial"/>
          <w:color w:val="808080" w:themeColor="background1" w:themeShade="80"/>
          <w:sz w:val="22"/>
          <w:szCs w:val="22"/>
          <w:lang w:val="en-GB"/>
        </w:rPr>
        <w:t>The recognition in the US will determine whether to grant recognition and what relief should be afforded to the foreign proceeding</w:t>
      </w:r>
      <w:r w:rsidR="003247AF">
        <w:rPr>
          <w:rFonts w:ascii="Avenir Next" w:hAnsi="Avenir Next" w:cs="Arial"/>
          <w:color w:val="808080" w:themeColor="background1" w:themeShade="80"/>
          <w:sz w:val="22"/>
          <w:szCs w:val="22"/>
          <w:lang w:val="en-GB"/>
        </w:rPr>
        <w:t xml:space="preserve">s, </w:t>
      </w:r>
      <w:r w:rsidR="00117A4C">
        <w:rPr>
          <w:rFonts w:ascii="Avenir Next" w:hAnsi="Avenir Next" w:cs="Arial"/>
          <w:color w:val="808080" w:themeColor="background1" w:themeShade="80"/>
          <w:sz w:val="22"/>
          <w:szCs w:val="22"/>
          <w:lang w:val="en-GB"/>
        </w:rPr>
        <w:t>allowing</w:t>
      </w:r>
      <w:r w:rsidR="003247AF">
        <w:rPr>
          <w:rFonts w:ascii="Avenir Next" w:hAnsi="Avenir Next" w:cs="Arial"/>
          <w:color w:val="808080" w:themeColor="background1" w:themeShade="80"/>
          <w:sz w:val="22"/>
          <w:szCs w:val="22"/>
          <w:lang w:val="en-GB"/>
        </w:rPr>
        <w:t xml:space="preserve"> the insolvency to be </w:t>
      </w:r>
      <w:r w:rsidRPr="005B7728">
        <w:rPr>
          <w:rFonts w:ascii="Avenir Next" w:hAnsi="Avenir Next" w:cs="Arial"/>
          <w:color w:val="808080" w:themeColor="background1" w:themeShade="80"/>
          <w:sz w:val="22"/>
          <w:szCs w:val="22"/>
          <w:lang w:val="en-GB"/>
        </w:rPr>
        <w:t>harmoniz</w:t>
      </w:r>
      <w:r w:rsidR="003247AF">
        <w:rPr>
          <w:rFonts w:ascii="Avenir Next" w:hAnsi="Avenir Next" w:cs="Arial"/>
          <w:color w:val="808080" w:themeColor="background1" w:themeShade="80"/>
          <w:sz w:val="22"/>
          <w:szCs w:val="22"/>
          <w:lang w:val="en-GB"/>
        </w:rPr>
        <w:t>ed in</w:t>
      </w:r>
      <w:r w:rsidRPr="005B7728">
        <w:rPr>
          <w:rFonts w:ascii="Avenir Next" w:hAnsi="Avenir Next" w:cs="Arial"/>
          <w:color w:val="808080" w:themeColor="background1" w:themeShade="80"/>
          <w:sz w:val="22"/>
          <w:szCs w:val="22"/>
          <w:lang w:val="en-GB"/>
        </w:rPr>
        <w:t xml:space="preserve"> the various jurisdictions.</w:t>
      </w:r>
    </w:p>
    <w:p w14:paraId="7BB11B6F" w14:textId="77777777" w:rsidR="009F6BA2" w:rsidRDefault="009F6BA2" w:rsidP="005B7728">
      <w:pPr>
        <w:jc w:val="both"/>
        <w:rPr>
          <w:rFonts w:ascii="Avenir Next" w:hAnsi="Avenir Next" w:cs="Arial"/>
          <w:color w:val="808080" w:themeColor="background1" w:themeShade="80"/>
          <w:sz w:val="22"/>
          <w:szCs w:val="22"/>
          <w:lang w:val="en-GB"/>
        </w:rPr>
      </w:pPr>
    </w:p>
    <w:p w14:paraId="5F0518C1" w14:textId="1C0CFD7F" w:rsidR="009F6BA2" w:rsidRPr="001B1134" w:rsidRDefault="009F6BA2" w:rsidP="005B77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 Article 18</w:t>
      </w:r>
      <w:r w:rsidR="00767C79">
        <w:rPr>
          <w:rFonts w:ascii="Avenir Next" w:hAnsi="Avenir Next" w:cs="Arial"/>
          <w:color w:val="808080" w:themeColor="background1" w:themeShade="80"/>
          <w:sz w:val="22"/>
          <w:szCs w:val="22"/>
          <w:lang w:val="en-GB"/>
        </w:rPr>
        <w:t xml:space="preserve">, these foreign </w:t>
      </w:r>
      <w:r w:rsidR="004908A6">
        <w:rPr>
          <w:rFonts w:ascii="Avenir Next" w:hAnsi="Avenir Next" w:cs="Arial"/>
          <w:color w:val="808080" w:themeColor="background1" w:themeShade="80"/>
          <w:sz w:val="22"/>
          <w:szCs w:val="22"/>
          <w:lang w:val="en-GB"/>
        </w:rPr>
        <w:t>representatives</w:t>
      </w:r>
      <w:r w:rsidR="00767C79">
        <w:rPr>
          <w:rFonts w:ascii="Avenir Next" w:hAnsi="Avenir Next" w:cs="Arial"/>
          <w:color w:val="808080" w:themeColor="background1" w:themeShade="80"/>
          <w:sz w:val="22"/>
          <w:szCs w:val="22"/>
          <w:lang w:val="en-GB"/>
        </w:rPr>
        <w:t xml:space="preserve"> will be required </w:t>
      </w:r>
      <w:r w:rsidR="004E4A33">
        <w:rPr>
          <w:rFonts w:ascii="Avenir Next" w:hAnsi="Avenir Next" w:cs="Arial"/>
          <w:color w:val="808080" w:themeColor="background1" w:themeShade="80"/>
          <w:sz w:val="22"/>
          <w:szCs w:val="22"/>
          <w:lang w:val="en-GB"/>
        </w:rPr>
        <w:t xml:space="preserve">to promptly inform the court of the incanting state. </w:t>
      </w:r>
    </w:p>
    <w:p w14:paraId="5CD83E20" w14:textId="7337959E" w:rsidR="00EA6D31" w:rsidRPr="00E2622D" w:rsidRDefault="00EA6D31" w:rsidP="00345CB3">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0835DFB4" w:rsidR="00867A8F" w:rsidRDefault="009155EF"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proceedings in the US will continue, </w:t>
      </w:r>
      <w:r w:rsidR="002671AA">
        <w:rPr>
          <w:rFonts w:ascii="Avenir Next" w:hAnsi="Avenir Next" w:cs="Arial"/>
          <w:color w:val="808080" w:themeColor="background1" w:themeShade="80"/>
          <w:sz w:val="22"/>
          <w:szCs w:val="22"/>
          <w:lang w:val="en-GB"/>
        </w:rPr>
        <w:t xml:space="preserve">as its primary purpose is to recognise the proceedings in the US court system, </w:t>
      </w:r>
      <w:r w:rsidR="007F78EE">
        <w:rPr>
          <w:rFonts w:ascii="Avenir Next" w:hAnsi="Avenir Next" w:cs="Arial"/>
          <w:color w:val="808080" w:themeColor="background1" w:themeShade="80"/>
          <w:sz w:val="22"/>
          <w:szCs w:val="22"/>
          <w:lang w:val="en-GB"/>
        </w:rPr>
        <w:t xml:space="preserve">the main question then would be how the court responds, </w:t>
      </w:r>
      <w:r w:rsidR="0016741F">
        <w:rPr>
          <w:rFonts w:ascii="Avenir Next" w:hAnsi="Avenir Next" w:cs="Arial"/>
          <w:color w:val="808080" w:themeColor="background1" w:themeShade="80"/>
          <w:sz w:val="22"/>
          <w:szCs w:val="22"/>
          <w:lang w:val="en-GB"/>
        </w:rPr>
        <w:t xml:space="preserve">they could allow the proceedings to be recognised concurrently to the proceedings, or they may be addressed separately, </w:t>
      </w:r>
      <w:r w:rsidR="001633C7">
        <w:rPr>
          <w:rFonts w:ascii="Avenir Next" w:hAnsi="Avenir Next" w:cs="Arial"/>
          <w:color w:val="808080" w:themeColor="background1" w:themeShade="80"/>
          <w:sz w:val="22"/>
          <w:szCs w:val="22"/>
          <w:lang w:val="en-GB"/>
        </w:rPr>
        <w:t>they could issue separately a stay/protective order to avoid interfering with the present recognition</w:t>
      </w:r>
      <w:r w:rsidR="00433008">
        <w:rPr>
          <w:rFonts w:ascii="Avenir Next" w:hAnsi="Avenir Next" w:cs="Arial"/>
          <w:color w:val="808080" w:themeColor="background1" w:themeShade="80"/>
          <w:sz w:val="22"/>
          <w:szCs w:val="22"/>
          <w:lang w:val="en-GB"/>
        </w:rPr>
        <w:t xml:space="preserve"> and alternatively the court could just dismiss the litigation. </w:t>
      </w:r>
    </w:p>
    <w:p w14:paraId="74C6CC8D" w14:textId="77777777" w:rsidR="00433008" w:rsidRDefault="00433008" w:rsidP="00707FC8">
      <w:pPr>
        <w:jc w:val="both"/>
        <w:rPr>
          <w:rFonts w:ascii="Avenir Next" w:hAnsi="Avenir Next" w:cs="Arial"/>
          <w:color w:val="808080" w:themeColor="background1" w:themeShade="80"/>
          <w:sz w:val="22"/>
          <w:szCs w:val="22"/>
          <w:lang w:val="en-GB"/>
        </w:rPr>
      </w:pPr>
    </w:p>
    <w:p w14:paraId="2E3B45DE" w14:textId="5374C13C" w:rsidR="00433008" w:rsidRDefault="00D8791C"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w:t>
      </w:r>
      <w:r w:rsidR="006F7C41">
        <w:rPr>
          <w:rFonts w:ascii="Avenir Next" w:hAnsi="Avenir Next" w:cs="Arial"/>
          <w:color w:val="808080" w:themeColor="background1" w:themeShade="80"/>
          <w:sz w:val="22"/>
          <w:szCs w:val="22"/>
          <w:lang w:val="en-GB"/>
        </w:rPr>
        <w:t xml:space="preserve">onsideration should also be given to the ability for the joint </w:t>
      </w:r>
      <w:r w:rsidR="007B2FC0">
        <w:rPr>
          <w:rFonts w:ascii="Avenir Next" w:hAnsi="Avenir Next" w:cs="Arial"/>
          <w:color w:val="808080" w:themeColor="background1" w:themeShade="80"/>
          <w:sz w:val="22"/>
          <w:szCs w:val="22"/>
          <w:lang w:val="en-GB"/>
        </w:rPr>
        <w:t>liquidators</w:t>
      </w:r>
      <w:r w:rsidR="006F7C41">
        <w:rPr>
          <w:rFonts w:ascii="Avenir Next" w:hAnsi="Avenir Next" w:cs="Arial"/>
          <w:color w:val="808080" w:themeColor="background1" w:themeShade="80"/>
          <w:sz w:val="22"/>
          <w:szCs w:val="22"/>
          <w:lang w:val="en-GB"/>
        </w:rPr>
        <w:t xml:space="preserve"> to</w:t>
      </w:r>
      <w:r w:rsidR="007B2FC0">
        <w:rPr>
          <w:rFonts w:ascii="Avenir Next" w:hAnsi="Avenir Next" w:cs="Arial"/>
          <w:color w:val="808080" w:themeColor="background1" w:themeShade="80"/>
          <w:sz w:val="22"/>
          <w:szCs w:val="22"/>
          <w:lang w:val="en-GB"/>
        </w:rPr>
        <w:t xml:space="preserve"> fulfil their duties effectively given the litigation, the </w:t>
      </w:r>
      <w:r w:rsidR="00CF636F">
        <w:rPr>
          <w:rFonts w:ascii="Avenir Next" w:hAnsi="Avenir Next" w:cs="Arial"/>
          <w:color w:val="808080" w:themeColor="background1" w:themeShade="80"/>
          <w:sz w:val="22"/>
          <w:szCs w:val="22"/>
          <w:lang w:val="en-GB"/>
        </w:rPr>
        <w:t>court could seek to coordination of the vendors to ensure their roles are still fulfilled</w:t>
      </w:r>
      <w:r w:rsidR="00FF6CDD">
        <w:rPr>
          <w:rFonts w:ascii="Avenir Next" w:hAnsi="Avenir Next" w:cs="Arial"/>
          <w:color w:val="808080" w:themeColor="background1" w:themeShade="80"/>
          <w:sz w:val="22"/>
          <w:szCs w:val="22"/>
          <w:lang w:val="en-GB"/>
        </w:rPr>
        <w:t xml:space="preserve"> and or take actions to have them replaced</w:t>
      </w:r>
      <w:r w:rsidR="00CF636F">
        <w:rPr>
          <w:rFonts w:ascii="Avenir Next" w:hAnsi="Avenir Next" w:cs="Arial"/>
          <w:color w:val="808080" w:themeColor="background1" w:themeShade="80"/>
          <w:sz w:val="22"/>
          <w:szCs w:val="22"/>
          <w:lang w:val="en-GB"/>
        </w:rPr>
        <w:t xml:space="preserve">. </w:t>
      </w:r>
      <w:r w:rsidR="007B2FC0">
        <w:rPr>
          <w:rFonts w:ascii="Avenir Next" w:hAnsi="Avenir Next" w:cs="Arial"/>
          <w:color w:val="808080" w:themeColor="background1" w:themeShade="80"/>
          <w:sz w:val="22"/>
          <w:szCs w:val="22"/>
          <w:lang w:val="en-GB"/>
        </w:rPr>
        <w:t xml:space="preserve"> </w:t>
      </w:r>
    </w:p>
    <w:p w14:paraId="11D08233" w14:textId="77777777" w:rsidR="002671AA" w:rsidRDefault="002671AA" w:rsidP="00707FC8">
      <w:pPr>
        <w:jc w:val="both"/>
        <w:rPr>
          <w:rFonts w:ascii="Avenir Next" w:hAnsi="Avenir Next" w:cs="Arial"/>
          <w:sz w:val="22"/>
          <w:szCs w:val="22"/>
          <w:shd w:val="clear" w:color="auto" w:fill="FFFFFF"/>
          <w:lang w:val="en-GB"/>
        </w:rPr>
      </w:pPr>
    </w:p>
    <w:p w14:paraId="01011A8E" w14:textId="6FE8F7D1" w:rsidR="00FF6CDD" w:rsidRDefault="00D8791C"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Lastly, t</w:t>
      </w:r>
      <w:r w:rsidRPr="00D8791C">
        <w:rPr>
          <w:rFonts w:ascii="Avenir Next" w:hAnsi="Avenir Next" w:cs="Arial"/>
          <w:color w:val="808080" w:themeColor="background1" w:themeShade="80"/>
          <w:sz w:val="22"/>
          <w:szCs w:val="22"/>
          <w:lang w:val="en-GB"/>
        </w:rPr>
        <w:t xml:space="preserve">he joint provisional liquidators may </w:t>
      </w:r>
      <w:r>
        <w:rPr>
          <w:rFonts w:ascii="Avenir Next" w:hAnsi="Avenir Next" w:cs="Arial"/>
          <w:color w:val="808080" w:themeColor="background1" w:themeShade="80"/>
          <w:sz w:val="22"/>
          <w:szCs w:val="22"/>
          <w:lang w:val="en-GB"/>
        </w:rPr>
        <w:t xml:space="preserve">also submit their own </w:t>
      </w:r>
      <w:r w:rsidRPr="00D8791C">
        <w:rPr>
          <w:rFonts w:ascii="Avenir Next" w:hAnsi="Avenir Next" w:cs="Arial"/>
          <w:color w:val="808080" w:themeColor="background1" w:themeShade="80"/>
          <w:sz w:val="22"/>
          <w:szCs w:val="22"/>
          <w:lang w:val="en-GB"/>
        </w:rPr>
        <w:t>legal defenc</w:t>
      </w:r>
      <w:r>
        <w:rPr>
          <w:rFonts w:ascii="Avenir Next" w:hAnsi="Avenir Next" w:cs="Arial"/>
          <w:color w:val="808080" w:themeColor="background1" w:themeShade="80"/>
          <w:sz w:val="22"/>
          <w:szCs w:val="22"/>
          <w:lang w:val="en-GB"/>
        </w:rPr>
        <w:t>e</w:t>
      </w:r>
      <w:r w:rsidRPr="00D8791C">
        <w:rPr>
          <w:rFonts w:ascii="Avenir Next" w:hAnsi="Avenir Next" w:cs="Arial"/>
          <w:color w:val="808080" w:themeColor="background1" w:themeShade="80"/>
          <w:sz w:val="22"/>
          <w:szCs w:val="22"/>
          <w:lang w:val="en-GB"/>
        </w:rPr>
        <w:t xml:space="preserve"> against the allegations of tortious interference.</w:t>
      </w:r>
    </w:p>
    <w:p w14:paraId="25140F31" w14:textId="77777777" w:rsidR="00D8791C" w:rsidRPr="00D8791C" w:rsidRDefault="00D8791C" w:rsidP="00707FC8">
      <w:pPr>
        <w:jc w:val="both"/>
        <w:rPr>
          <w:rFonts w:ascii="Avenir Next" w:hAnsi="Avenir Next" w:cs="Arial"/>
          <w:color w:val="808080" w:themeColor="background1" w:themeShade="80"/>
          <w:sz w:val="22"/>
          <w:szCs w:val="22"/>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30D4452C" w14:textId="08940374" w:rsidR="00422A1D" w:rsidRDefault="00446F22" w:rsidP="001353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the actions of the foreign representative,</w:t>
      </w:r>
      <w:r w:rsidR="00422A1D" w:rsidRPr="00422A1D">
        <w:t xml:space="preserve"> </w:t>
      </w:r>
      <w:r w:rsidR="00422A1D" w:rsidRPr="00422A1D">
        <w:rPr>
          <w:rFonts w:ascii="Avenir Next" w:hAnsi="Avenir Next" w:cs="Arial"/>
          <w:color w:val="808080" w:themeColor="background1" w:themeShade="80"/>
          <w:sz w:val="22"/>
          <w:szCs w:val="22"/>
          <w:lang w:val="en-GB"/>
        </w:rPr>
        <w:t xml:space="preserve">Chapter 15 of the US Bankruptcy Code. </w:t>
      </w:r>
      <w:r w:rsidR="00422A1D">
        <w:rPr>
          <w:rFonts w:ascii="Avenir Next" w:hAnsi="Avenir Next" w:cs="Arial"/>
          <w:color w:val="808080" w:themeColor="background1" w:themeShade="80"/>
          <w:sz w:val="22"/>
          <w:szCs w:val="22"/>
          <w:lang w:val="en-GB"/>
        </w:rPr>
        <w:t xml:space="preserve">Which deals with </w:t>
      </w:r>
      <w:r w:rsidR="00422A1D" w:rsidRPr="00422A1D">
        <w:rPr>
          <w:rFonts w:ascii="Avenir Next" w:hAnsi="Avenir Next" w:cs="Arial"/>
          <w:color w:val="808080" w:themeColor="background1" w:themeShade="80"/>
          <w:sz w:val="22"/>
          <w:szCs w:val="22"/>
          <w:lang w:val="en-GB"/>
        </w:rPr>
        <w:t>cross-border insolvency proceedings</w:t>
      </w:r>
      <w:r w:rsidR="00422A1D">
        <w:rPr>
          <w:rFonts w:ascii="Avenir Next" w:hAnsi="Avenir Next" w:cs="Arial"/>
          <w:color w:val="808080" w:themeColor="background1" w:themeShade="80"/>
          <w:sz w:val="22"/>
          <w:szCs w:val="22"/>
          <w:lang w:val="en-GB"/>
        </w:rPr>
        <w:t xml:space="preserve"> should be considered to </w:t>
      </w:r>
      <w:r w:rsidR="00715FCB">
        <w:rPr>
          <w:rFonts w:ascii="Avenir Next" w:hAnsi="Avenir Next" w:cs="Arial"/>
          <w:color w:val="808080" w:themeColor="background1" w:themeShade="80"/>
          <w:sz w:val="22"/>
          <w:szCs w:val="22"/>
          <w:lang w:val="en-GB"/>
        </w:rPr>
        <w:t>assess</w:t>
      </w:r>
      <w:r w:rsidR="00422A1D">
        <w:rPr>
          <w:rFonts w:ascii="Avenir Next" w:hAnsi="Avenir Next" w:cs="Arial"/>
          <w:color w:val="808080" w:themeColor="background1" w:themeShade="80"/>
          <w:sz w:val="22"/>
          <w:szCs w:val="22"/>
          <w:lang w:val="en-GB"/>
        </w:rPr>
        <w:t xml:space="preserve"> the available actions under US / international insolvency where recognised. </w:t>
      </w:r>
    </w:p>
    <w:p w14:paraId="3D9DC93C" w14:textId="77777777" w:rsidR="005F61A7" w:rsidRDefault="005F61A7" w:rsidP="0013538D">
      <w:pPr>
        <w:jc w:val="both"/>
        <w:rPr>
          <w:rFonts w:ascii="Avenir Next" w:hAnsi="Avenir Next" w:cs="Arial"/>
          <w:color w:val="808080" w:themeColor="background1" w:themeShade="80"/>
          <w:sz w:val="22"/>
          <w:szCs w:val="22"/>
          <w:lang w:val="en-GB"/>
        </w:rPr>
      </w:pPr>
    </w:p>
    <w:p w14:paraId="036060BF" w14:textId="11316EF7" w:rsidR="005F61A7" w:rsidRDefault="005F61A7" w:rsidP="001353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chapter 15, the foreign representative </w:t>
      </w:r>
      <w:r w:rsidR="008259B0">
        <w:rPr>
          <w:rFonts w:ascii="Avenir Next" w:hAnsi="Avenir Next" w:cs="Arial"/>
          <w:color w:val="808080" w:themeColor="background1" w:themeShade="80"/>
          <w:sz w:val="22"/>
          <w:szCs w:val="22"/>
          <w:lang w:val="en-GB"/>
        </w:rPr>
        <w:t>should file a notice for recognition</w:t>
      </w:r>
      <w:r w:rsidR="00C24828">
        <w:rPr>
          <w:rFonts w:ascii="Avenir Next" w:hAnsi="Avenir Next" w:cs="Arial"/>
          <w:color w:val="808080" w:themeColor="background1" w:themeShade="80"/>
          <w:sz w:val="22"/>
          <w:szCs w:val="22"/>
          <w:lang w:val="en-GB"/>
        </w:rPr>
        <w:t xml:space="preserve"> (as disclosed as actioned) </w:t>
      </w:r>
      <w:r w:rsidR="002628CC">
        <w:rPr>
          <w:rFonts w:ascii="Avenir Next" w:hAnsi="Avenir Next" w:cs="Arial"/>
          <w:color w:val="808080" w:themeColor="background1" w:themeShade="80"/>
          <w:sz w:val="22"/>
          <w:szCs w:val="22"/>
          <w:lang w:val="en-GB"/>
        </w:rPr>
        <w:t>ensuring the UK proceedings are recognised in the U</w:t>
      </w:r>
      <w:r w:rsidR="005B1A89">
        <w:rPr>
          <w:rFonts w:ascii="Avenir Next" w:hAnsi="Avenir Next" w:cs="Arial"/>
          <w:color w:val="808080" w:themeColor="background1" w:themeShade="80"/>
          <w:sz w:val="22"/>
          <w:szCs w:val="22"/>
          <w:lang w:val="en-GB"/>
        </w:rPr>
        <w:t>S</w:t>
      </w:r>
      <w:r w:rsidR="002628CC">
        <w:rPr>
          <w:rFonts w:ascii="Avenir Next" w:hAnsi="Avenir Next" w:cs="Arial"/>
          <w:color w:val="808080" w:themeColor="background1" w:themeShade="80"/>
          <w:sz w:val="22"/>
          <w:szCs w:val="22"/>
          <w:lang w:val="en-GB"/>
        </w:rPr>
        <w:t xml:space="preserve">, </w:t>
      </w:r>
      <w:r w:rsidR="00A11E8A">
        <w:rPr>
          <w:rFonts w:ascii="Avenir Next" w:hAnsi="Avenir Next" w:cs="Arial"/>
          <w:color w:val="808080" w:themeColor="background1" w:themeShade="80"/>
          <w:sz w:val="22"/>
          <w:szCs w:val="22"/>
          <w:lang w:val="en-GB"/>
        </w:rPr>
        <w:t>upon submission the interested parties should b</w:t>
      </w:r>
      <w:r w:rsidR="005B1A89">
        <w:rPr>
          <w:rFonts w:ascii="Avenir Next" w:hAnsi="Avenir Next" w:cs="Arial"/>
          <w:color w:val="808080" w:themeColor="background1" w:themeShade="80"/>
          <w:sz w:val="22"/>
          <w:szCs w:val="22"/>
          <w:lang w:val="en-GB"/>
        </w:rPr>
        <w:t>e</w:t>
      </w:r>
      <w:r w:rsidR="00A11E8A">
        <w:rPr>
          <w:rFonts w:ascii="Avenir Next" w:hAnsi="Avenir Next" w:cs="Arial"/>
          <w:color w:val="808080" w:themeColor="background1" w:themeShade="80"/>
          <w:sz w:val="22"/>
          <w:szCs w:val="22"/>
          <w:lang w:val="en-GB"/>
        </w:rPr>
        <w:t xml:space="preserve"> notified allowing lines of communication to be opened. </w:t>
      </w:r>
    </w:p>
    <w:p w14:paraId="40583361" w14:textId="77777777" w:rsidR="001B0F61" w:rsidRDefault="001B0F61" w:rsidP="0013538D">
      <w:pPr>
        <w:jc w:val="both"/>
        <w:rPr>
          <w:rFonts w:ascii="Avenir Next" w:hAnsi="Avenir Next" w:cs="Arial"/>
          <w:color w:val="808080" w:themeColor="background1" w:themeShade="80"/>
          <w:sz w:val="22"/>
          <w:szCs w:val="22"/>
          <w:lang w:val="en-GB"/>
        </w:rPr>
      </w:pPr>
    </w:p>
    <w:p w14:paraId="314BD917" w14:textId="29DA2F60" w:rsidR="001B0F61" w:rsidRDefault="001B0F61" w:rsidP="001353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lines of communication may be vital given the i</w:t>
      </w:r>
      <w:r w:rsidRPr="001B0F61">
        <w:rPr>
          <w:rFonts w:ascii="Avenir Next" w:hAnsi="Avenir Next" w:cs="Arial"/>
          <w:color w:val="808080" w:themeColor="background1" w:themeShade="80"/>
          <w:sz w:val="22"/>
          <w:szCs w:val="22"/>
          <w:lang w:val="en-GB"/>
        </w:rPr>
        <w:t xml:space="preserve">pso facto clauses in US-governed leases and intellectual property licenses </w:t>
      </w:r>
      <w:r w:rsidR="00D1555A">
        <w:rPr>
          <w:rFonts w:ascii="Avenir Next" w:hAnsi="Avenir Next" w:cs="Arial"/>
          <w:color w:val="808080" w:themeColor="background1" w:themeShade="80"/>
          <w:sz w:val="22"/>
          <w:szCs w:val="22"/>
          <w:lang w:val="en-GB"/>
        </w:rPr>
        <w:t xml:space="preserve">not being </w:t>
      </w:r>
      <w:r w:rsidRPr="001B0F61">
        <w:rPr>
          <w:rFonts w:ascii="Avenir Next" w:hAnsi="Avenir Next" w:cs="Arial"/>
          <w:color w:val="808080" w:themeColor="background1" w:themeShade="80"/>
          <w:sz w:val="22"/>
          <w:szCs w:val="22"/>
          <w:lang w:val="en-GB"/>
        </w:rPr>
        <w:t>enforceable under the US Bankruptcy Code,</w:t>
      </w:r>
      <w:r w:rsidR="00D1555A">
        <w:rPr>
          <w:rFonts w:ascii="Avenir Next" w:hAnsi="Avenir Next" w:cs="Arial"/>
          <w:color w:val="808080" w:themeColor="background1" w:themeShade="80"/>
          <w:sz w:val="22"/>
          <w:szCs w:val="22"/>
          <w:lang w:val="en-GB"/>
        </w:rPr>
        <w:t xml:space="preserve"> with this </w:t>
      </w:r>
      <w:r w:rsidR="00715FCB">
        <w:rPr>
          <w:rFonts w:ascii="Avenir Next" w:hAnsi="Avenir Next" w:cs="Arial"/>
          <w:color w:val="808080" w:themeColor="background1" w:themeShade="80"/>
          <w:sz w:val="22"/>
          <w:szCs w:val="22"/>
          <w:lang w:val="en-GB"/>
        </w:rPr>
        <w:t>there</w:t>
      </w:r>
      <w:r w:rsidR="00D1555A">
        <w:rPr>
          <w:rFonts w:ascii="Avenir Next" w:hAnsi="Avenir Next" w:cs="Arial"/>
          <w:color w:val="808080" w:themeColor="background1" w:themeShade="80"/>
          <w:sz w:val="22"/>
          <w:szCs w:val="22"/>
          <w:lang w:val="en-GB"/>
        </w:rPr>
        <w:t xml:space="preserve"> may be the possibility of negotiating </w:t>
      </w:r>
      <w:r w:rsidR="00F64CE9">
        <w:rPr>
          <w:rFonts w:ascii="Avenir Next" w:hAnsi="Avenir Next" w:cs="Arial"/>
          <w:color w:val="808080" w:themeColor="background1" w:themeShade="80"/>
          <w:sz w:val="22"/>
          <w:szCs w:val="22"/>
          <w:lang w:val="en-GB"/>
        </w:rPr>
        <w:t xml:space="preserve">to </w:t>
      </w:r>
      <w:r w:rsidRPr="001B0F61">
        <w:rPr>
          <w:rFonts w:ascii="Avenir Next" w:hAnsi="Avenir Next" w:cs="Arial"/>
          <w:color w:val="808080" w:themeColor="background1" w:themeShade="80"/>
          <w:sz w:val="22"/>
          <w:szCs w:val="22"/>
          <w:lang w:val="en-GB"/>
        </w:rPr>
        <w:t>maintain these contracts and preserve the value of the debtor's assets in the US.</w:t>
      </w:r>
    </w:p>
    <w:p w14:paraId="359D2040" w14:textId="77777777" w:rsidR="00F64CE9" w:rsidRDefault="00F64CE9" w:rsidP="0013538D">
      <w:pPr>
        <w:jc w:val="both"/>
        <w:rPr>
          <w:rFonts w:ascii="Avenir Next" w:hAnsi="Avenir Next" w:cs="Arial"/>
          <w:color w:val="808080" w:themeColor="background1" w:themeShade="80"/>
          <w:sz w:val="22"/>
          <w:szCs w:val="22"/>
          <w:lang w:val="en-GB"/>
        </w:rPr>
      </w:pPr>
    </w:p>
    <w:p w14:paraId="3C88F8BB" w14:textId="553B078C" w:rsidR="00F64CE9" w:rsidRDefault="00F64CE9" w:rsidP="001353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there is no pending litigation, </w:t>
      </w:r>
      <w:r w:rsidR="00C24828">
        <w:rPr>
          <w:rFonts w:ascii="Avenir Next" w:hAnsi="Avenir Next" w:cs="Arial"/>
          <w:color w:val="808080" w:themeColor="background1" w:themeShade="80"/>
          <w:sz w:val="22"/>
          <w:szCs w:val="22"/>
          <w:lang w:val="en-GB"/>
        </w:rPr>
        <w:t xml:space="preserve">this should be monitored closely to ensure </w:t>
      </w:r>
      <w:r w:rsidR="00345319">
        <w:rPr>
          <w:rFonts w:ascii="Avenir Next" w:hAnsi="Avenir Next" w:cs="Arial"/>
          <w:color w:val="808080" w:themeColor="background1" w:themeShade="80"/>
          <w:sz w:val="22"/>
          <w:szCs w:val="22"/>
          <w:lang w:val="en-GB"/>
        </w:rPr>
        <w:t xml:space="preserve">no proceedings are brought threating the </w:t>
      </w:r>
      <w:proofErr w:type="gramStart"/>
      <w:r w:rsidR="00345319">
        <w:rPr>
          <w:rFonts w:ascii="Avenir Next" w:hAnsi="Avenir Next" w:cs="Arial"/>
          <w:color w:val="808080" w:themeColor="background1" w:themeShade="80"/>
          <w:sz w:val="22"/>
          <w:szCs w:val="22"/>
          <w:lang w:val="en-GB"/>
        </w:rPr>
        <w:t>debtors</w:t>
      </w:r>
      <w:proofErr w:type="gramEnd"/>
      <w:r w:rsidR="00345319">
        <w:rPr>
          <w:rFonts w:ascii="Avenir Next" w:hAnsi="Avenir Next" w:cs="Arial"/>
          <w:color w:val="808080" w:themeColor="background1" w:themeShade="80"/>
          <w:sz w:val="22"/>
          <w:szCs w:val="22"/>
          <w:lang w:val="en-GB"/>
        </w:rPr>
        <w:t xml:space="preserve"> assets. </w:t>
      </w:r>
      <w:r w:rsidR="009D1FC3">
        <w:rPr>
          <w:rFonts w:ascii="Avenir Next" w:hAnsi="Avenir Next" w:cs="Arial"/>
          <w:color w:val="808080" w:themeColor="background1" w:themeShade="80"/>
          <w:sz w:val="22"/>
          <w:szCs w:val="22"/>
          <w:lang w:val="en-GB"/>
        </w:rPr>
        <w:t xml:space="preserve">The foreign representative should also be mindful that they will still be required to comply with US </w:t>
      </w:r>
      <w:r w:rsidR="000B686E">
        <w:rPr>
          <w:rFonts w:ascii="Avenir Next" w:hAnsi="Avenir Next" w:cs="Arial"/>
          <w:color w:val="808080" w:themeColor="background1" w:themeShade="80"/>
          <w:sz w:val="22"/>
          <w:szCs w:val="22"/>
          <w:lang w:val="en-GB"/>
        </w:rPr>
        <w:t xml:space="preserve">laws until such a time that the case is recognised. </w:t>
      </w:r>
    </w:p>
    <w:p w14:paraId="4ADDA2FF" w14:textId="77777777" w:rsidR="00A11E8A" w:rsidRDefault="00A11E8A" w:rsidP="0013538D">
      <w:pPr>
        <w:jc w:val="both"/>
        <w:rPr>
          <w:rFonts w:ascii="Avenir Next" w:hAnsi="Avenir Next" w:cs="Arial"/>
          <w:color w:val="808080" w:themeColor="background1" w:themeShade="80"/>
          <w:sz w:val="22"/>
          <w:szCs w:val="22"/>
          <w:lang w:val="en-GB"/>
        </w:rPr>
      </w:pPr>
    </w:p>
    <w:p w14:paraId="555FB660" w14:textId="6750F1BE" w:rsidR="00A11E8A" w:rsidRDefault="00D7080C" w:rsidP="001353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a question of </w:t>
      </w:r>
      <w:r w:rsidR="00D37A82">
        <w:rPr>
          <w:rFonts w:ascii="Avenir Next" w:hAnsi="Avenir Next" w:cs="Arial"/>
          <w:color w:val="808080" w:themeColor="background1" w:themeShade="80"/>
          <w:sz w:val="22"/>
          <w:szCs w:val="22"/>
          <w:lang w:val="en-GB"/>
        </w:rPr>
        <w:t>whether</w:t>
      </w:r>
      <w:r>
        <w:rPr>
          <w:rFonts w:ascii="Avenir Next" w:hAnsi="Avenir Next" w:cs="Arial"/>
          <w:color w:val="808080" w:themeColor="background1" w:themeShade="80"/>
          <w:sz w:val="22"/>
          <w:szCs w:val="22"/>
          <w:lang w:val="en-GB"/>
        </w:rPr>
        <w:t xml:space="preserve"> immediate relief would be necessary </w:t>
      </w:r>
      <w:proofErr w:type="gramStart"/>
      <w:r w:rsidR="00D37A82">
        <w:rPr>
          <w:rFonts w:ascii="Avenir Next" w:hAnsi="Avenir Next" w:cs="Arial"/>
          <w:color w:val="808080" w:themeColor="background1" w:themeShade="80"/>
          <w:sz w:val="22"/>
          <w:szCs w:val="22"/>
          <w:lang w:val="en-GB"/>
        </w:rPr>
        <w:t>in order</w:t>
      </w:r>
      <w:r w:rsidR="003D5668">
        <w:rPr>
          <w:rFonts w:ascii="Avenir Next" w:hAnsi="Avenir Next" w:cs="Arial"/>
          <w:color w:val="808080" w:themeColor="background1" w:themeShade="80"/>
          <w:sz w:val="22"/>
          <w:szCs w:val="22"/>
          <w:lang w:val="en-GB"/>
        </w:rPr>
        <w:t xml:space="preserve"> to</w:t>
      </w:r>
      <w:proofErr w:type="gramEnd"/>
      <w:r w:rsidR="003D5668">
        <w:rPr>
          <w:rFonts w:ascii="Avenir Next" w:hAnsi="Avenir Next" w:cs="Arial"/>
          <w:color w:val="808080" w:themeColor="background1" w:themeShade="80"/>
          <w:sz w:val="22"/>
          <w:szCs w:val="22"/>
          <w:lang w:val="en-GB"/>
        </w:rPr>
        <w:t xml:space="preserve"> protect the </w:t>
      </w:r>
      <w:r w:rsidR="00D37A82">
        <w:rPr>
          <w:rFonts w:ascii="Avenir Next" w:hAnsi="Avenir Next" w:cs="Arial"/>
          <w:color w:val="808080" w:themeColor="background1" w:themeShade="80"/>
          <w:sz w:val="22"/>
          <w:szCs w:val="22"/>
          <w:lang w:val="en-GB"/>
        </w:rPr>
        <w:t>debtors’</w:t>
      </w:r>
      <w:r w:rsidR="003D5668">
        <w:rPr>
          <w:rFonts w:ascii="Avenir Next" w:hAnsi="Avenir Next" w:cs="Arial"/>
          <w:color w:val="808080" w:themeColor="background1" w:themeShade="80"/>
          <w:sz w:val="22"/>
          <w:szCs w:val="22"/>
          <w:lang w:val="en-GB"/>
        </w:rPr>
        <w:t xml:space="preserve"> assets in country, </w:t>
      </w:r>
      <w:r w:rsidR="000B686E">
        <w:rPr>
          <w:rFonts w:ascii="Avenir Next" w:hAnsi="Avenir Next" w:cs="Arial"/>
          <w:color w:val="808080" w:themeColor="background1" w:themeShade="80"/>
          <w:sz w:val="22"/>
          <w:szCs w:val="22"/>
          <w:lang w:val="en-GB"/>
        </w:rPr>
        <w:t>s</w:t>
      </w:r>
      <w:r w:rsidR="003D5668">
        <w:rPr>
          <w:rFonts w:ascii="Avenir Next" w:hAnsi="Avenir Next" w:cs="Arial"/>
          <w:color w:val="808080" w:themeColor="background1" w:themeShade="80"/>
          <w:sz w:val="22"/>
          <w:szCs w:val="22"/>
          <w:lang w:val="en-GB"/>
        </w:rPr>
        <w:t xml:space="preserve">uch as </w:t>
      </w:r>
      <w:r w:rsidR="00D37A82">
        <w:rPr>
          <w:rFonts w:ascii="Avenir Next" w:hAnsi="Avenir Next" w:cs="Arial"/>
          <w:color w:val="808080" w:themeColor="background1" w:themeShade="80"/>
          <w:sz w:val="22"/>
          <w:szCs w:val="22"/>
          <w:lang w:val="en-GB"/>
        </w:rPr>
        <w:t xml:space="preserve">stay on the assets. </w:t>
      </w:r>
    </w:p>
    <w:p w14:paraId="66D2F298" w14:textId="77777777" w:rsidR="00E83024" w:rsidRDefault="00E83024" w:rsidP="0013538D">
      <w:pPr>
        <w:jc w:val="both"/>
        <w:rPr>
          <w:rFonts w:ascii="Avenir Next" w:hAnsi="Avenir Next" w:cs="Arial"/>
          <w:color w:val="808080" w:themeColor="background1" w:themeShade="80"/>
          <w:sz w:val="22"/>
          <w:szCs w:val="22"/>
          <w:lang w:val="en-GB"/>
        </w:rPr>
      </w:pPr>
    </w:p>
    <w:p w14:paraId="48D71D1C" w14:textId="6DD0E060" w:rsidR="00E83024" w:rsidRDefault="00E83024" w:rsidP="001353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Lastly, the COMI of the company should also be assessed, </w:t>
      </w:r>
      <w:r w:rsidR="00226614">
        <w:rPr>
          <w:rFonts w:ascii="Avenir Next" w:hAnsi="Avenir Next" w:cs="Arial"/>
          <w:color w:val="808080" w:themeColor="background1" w:themeShade="80"/>
          <w:sz w:val="22"/>
          <w:szCs w:val="22"/>
          <w:lang w:val="en-GB"/>
        </w:rPr>
        <w:t xml:space="preserve">as it will need to be proved that this is based in the UK and therefore the proceedings </w:t>
      </w:r>
      <w:r w:rsidR="001A6953">
        <w:rPr>
          <w:rFonts w:ascii="Avenir Next" w:hAnsi="Avenir Next" w:cs="Arial"/>
          <w:color w:val="808080" w:themeColor="background1" w:themeShade="80"/>
          <w:sz w:val="22"/>
          <w:szCs w:val="22"/>
          <w:lang w:val="en-GB"/>
        </w:rPr>
        <w:t xml:space="preserve">will be better managed from there. </w:t>
      </w:r>
    </w:p>
    <w:p w14:paraId="5A8142A3" w14:textId="77777777" w:rsidR="00422A1D" w:rsidRDefault="00422A1D" w:rsidP="0013538D">
      <w:pPr>
        <w:jc w:val="both"/>
        <w:rPr>
          <w:rFonts w:ascii="Avenir Next" w:hAnsi="Avenir Next" w:cs="Arial"/>
          <w:color w:val="808080" w:themeColor="background1" w:themeShade="80"/>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454BC4F1" w:rsidR="00867A8F" w:rsidRDefault="00C43508" w:rsidP="0070207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terms of assessing what they must do </w:t>
      </w:r>
      <w:proofErr w:type="gramStart"/>
      <w:r>
        <w:rPr>
          <w:rFonts w:ascii="Avenir Next" w:hAnsi="Avenir Next" w:cs="Arial"/>
          <w:color w:val="808080" w:themeColor="background1" w:themeShade="80"/>
          <w:sz w:val="22"/>
          <w:szCs w:val="22"/>
          <w:lang w:val="en-GB"/>
        </w:rPr>
        <w:t>next</w:t>
      </w:r>
      <w:proofErr w:type="gramEnd"/>
      <w:r>
        <w:rPr>
          <w:rFonts w:ascii="Avenir Next" w:hAnsi="Avenir Next" w:cs="Arial"/>
          <w:color w:val="808080" w:themeColor="background1" w:themeShade="80"/>
          <w:sz w:val="22"/>
          <w:szCs w:val="22"/>
          <w:lang w:val="en-GB"/>
        </w:rPr>
        <w:t xml:space="preserve"> we must first establish the errors in their application that lead to </w:t>
      </w:r>
      <w:r w:rsidR="00702072">
        <w:rPr>
          <w:rFonts w:ascii="Avenir Next" w:hAnsi="Avenir Next" w:cs="Arial"/>
          <w:color w:val="808080" w:themeColor="background1" w:themeShade="80"/>
          <w:sz w:val="22"/>
          <w:szCs w:val="22"/>
          <w:lang w:val="en-GB"/>
        </w:rPr>
        <w:t xml:space="preserve">the court in country B to not recognise the request for foreign main proceedings in the first place. </w:t>
      </w:r>
      <w:r w:rsidR="00AC4B69">
        <w:rPr>
          <w:rFonts w:ascii="Avenir Next" w:hAnsi="Avenir Next" w:cs="Arial"/>
          <w:color w:val="808080" w:themeColor="background1" w:themeShade="80"/>
          <w:sz w:val="22"/>
          <w:szCs w:val="22"/>
          <w:lang w:val="en-GB"/>
        </w:rPr>
        <w:t>Key items for this are:</w:t>
      </w:r>
    </w:p>
    <w:p w14:paraId="559AE32C" w14:textId="7C05E1CA" w:rsidR="00AC4B69" w:rsidRDefault="00151284" w:rsidP="00AC4B69">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Their legal analysis / case was apparently not strong enough to persuade the court, further </w:t>
      </w:r>
      <w:r w:rsidR="00A24AC0">
        <w:rPr>
          <w:rFonts w:ascii="Avenir Next" w:hAnsi="Avenir Next" w:cs="Arial"/>
          <w:color w:val="808080" w:themeColor="background1" w:themeShade="80"/>
          <w:sz w:val="22"/>
          <w:szCs w:val="22"/>
          <w:lang w:val="en-GB"/>
        </w:rPr>
        <w:t>analysis</w:t>
      </w:r>
      <w:r>
        <w:rPr>
          <w:rFonts w:ascii="Avenir Next" w:hAnsi="Avenir Next" w:cs="Arial"/>
          <w:color w:val="808080" w:themeColor="background1" w:themeShade="80"/>
          <w:sz w:val="22"/>
          <w:szCs w:val="22"/>
          <w:lang w:val="en-GB"/>
        </w:rPr>
        <w:t xml:space="preserve"> should be undertaken, with key </w:t>
      </w:r>
      <w:r w:rsidR="00A24AC0">
        <w:rPr>
          <w:rFonts w:ascii="Avenir Next" w:hAnsi="Avenir Next" w:cs="Arial"/>
          <w:color w:val="808080" w:themeColor="background1" w:themeShade="80"/>
          <w:sz w:val="22"/>
          <w:szCs w:val="22"/>
          <w:lang w:val="en-GB"/>
        </w:rPr>
        <w:t>considerations</w:t>
      </w:r>
      <w:r>
        <w:rPr>
          <w:rFonts w:ascii="Avenir Next" w:hAnsi="Avenir Next" w:cs="Arial"/>
          <w:color w:val="808080" w:themeColor="background1" w:themeShade="80"/>
          <w:sz w:val="22"/>
          <w:szCs w:val="22"/>
          <w:lang w:val="en-GB"/>
        </w:rPr>
        <w:t xml:space="preserve"> to the </w:t>
      </w:r>
      <w:r w:rsidR="00732694">
        <w:rPr>
          <w:rFonts w:ascii="Avenir Next" w:hAnsi="Avenir Next" w:cs="Arial"/>
          <w:color w:val="808080" w:themeColor="background1" w:themeShade="80"/>
          <w:sz w:val="22"/>
          <w:szCs w:val="22"/>
          <w:lang w:val="en-GB"/>
        </w:rPr>
        <w:t>legal framework in country, their respective insolvency laws</w:t>
      </w:r>
      <w:r w:rsidR="00293EA2">
        <w:rPr>
          <w:rFonts w:ascii="Avenir Next" w:hAnsi="Avenir Next" w:cs="Arial"/>
          <w:color w:val="808080" w:themeColor="background1" w:themeShade="80"/>
          <w:sz w:val="22"/>
          <w:szCs w:val="22"/>
          <w:lang w:val="en-GB"/>
        </w:rPr>
        <w:t xml:space="preserve">, their requirements for recognition and what </w:t>
      </w:r>
      <w:r w:rsidR="00263FC0">
        <w:rPr>
          <w:rFonts w:ascii="Avenir Next" w:hAnsi="Avenir Next" w:cs="Arial"/>
          <w:color w:val="808080" w:themeColor="background1" w:themeShade="80"/>
          <w:sz w:val="22"/>
          <w:szCs w:val="22"/>
          <w:lang w:val="en-GB"/>
        </w:rPr>
        <w:t>international</w:t>
      </w:r>
      <w:r w:rsidR="00293EA2">
        <w:rPr>
          <w:rFonts w:ascii="Avenir Next" w:hAnsi="Avenir Next" w:cs="Arial"/>
          <w:color w:val="808080" w:themeColor="background1" w:themeShade="80"/>
          <w:sz w:val="22"/>
          <w:szCs w:val="22"/>
          <w:lang w:val="en-GB"/>
        </w:rPr>
        <w:t xml:space="preserve"> insolvency </w:t>
      </w:r>
      <w:r w:rsidR="00263FC0">
        <w:rPr>
          <w:rFonts w:ascii="Avenir Next" w:hAnsi="Avenir Next" w:cs="Arial"/>
          <w:color w:val="808080" w:themeColor="background1" w:themeShade="80"/>
          <w:sz w:val="22"/>
          <w:szCs w:val="22"/>
          <w:lang w:val="en-GB"/>
        </w:rPr>
        <w:t>regulations they are party to.</w:t>
      </w:r>
    </w:p>
    <w:p w14:paraId="408C8DBF" w14:textId="2432E291" w:rsidR="00A24AC0" w:rsidRDefault="00A24AC0" w:rsidP="00AC4B69">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Discussions should have likely been held with the court</w:t>
      </w:r>
      <w:r w:rsidR="003A3B25">
        <w:rPr>
          <w:rFonts w:ascii="Avenir Next" w:hAnsi="Avenir Next" w:cs="Arial"/>
          <w:color w:val="808080" w:themeColor="background1" w:themeShade="80"/>
          <w:sz w:val="22"/>
          <w:szCs w:val="22"/>
          <w:lang w:val="en-GB"/>
        </w:rPr>
        <w:t xml:space="preserve"> (also the creditors and stakeholders who could have helped make a case)</w:t>
      </w:r>
      <w:r>
        <w:rPr>
          <w:rFonts w:ascii="Avenir Next" w:hAnsi="Avenir Next" w:cs="Arial"/>
          <w:color w:val="808080" w:themeColor="background1" w:themeShade="80"/>
          <w:sz w:val="22"/>
          <w:szCs w:val="22"/>
          <w:lang w:val="en-GB"/>
        </w:rPr>
        <w:t xml:space="preserve"> to </w:t>
      </w:r>
      <w:proofErr w:type="spellStart"/>
      <w:proofErr w:type="gramStart"/>
      <w:r>
        <w:rPr>
          <w:rFonts w:ascii="Avenir Next" w:hAnsi="Avenir Next" w:cs="Arial"/>
          <w:color w:val="808080" w:themeColor="background1" w:themeShade="80"/>
          <w:sz w:val="22"/>
          <w:szCs w:val="22"/>
          <w:lang w:val="en-GB"/>
        </w:rPr>
        <w:t>asses</w:t>
      </w:r>
      <w:proofErr w:type="spellEnd"/>
      <w:proofErr w:type="gramEnd"/>
      <w:r>
        <w:rPr>
          <w:rFonts w:ascii="Avenir Next" w:hAnsi="Avenir Next" w:cs="Arial"/>
          <w:color w:val="808080" w:themeColor="background1" w:themeShade="80"/>
          <w:sz w:val="22"/>
          <w:szCs w:val="22"/>
          <w:lang w:val="en-GB"/>
        </w:rPr>
        <w:t xml:space="preserve"> their initial thoughts/objections</w:t>
      </w:r>
      <w:r w:rsidR="00263FC0">
        <w:rPr>
          <w:rFonts w:ascii="Avenir Next" w:hAnsi="Avenir Next" w:cs="Arial"/>
          <w:color w:val="808080" w:themeColor="background1" w:themeShade="80"/>
          <w:sz w:val="22"/>
          <w:szCs w:val="22"/>
          <w:lang w:val="en-GB"/>
        </w:rPr>
        <w:t xml:space="preserve"> (with work undertaken to contest these during the hearing)</w:t>
      </w:r>
      <w:r>
        <w:rPr>
          <w:rFonts w:ascii="Avenir Next" w:hAnsi="Avenir Next" w:cs="Arial"/>
          <w:color w:val="808080" w:themeColor="background1" w:themeShade="80"/>
          <w:sz w:val="22"/>
          <w:szCs w:val="22"/>
          <w:lang w:val="en-GB"/>
        </w:rPr>
        <w:t xml:space="preserve">, </w:t>
      </w:r>
      <w:r w:rsidR="008B068D">
        <w:rPr>
          <w:rFonts w:ascii="Avenir Next" w:hAnsi="Avenir Next" w:cs="Arial"/>
          <w:color w:val="808080" w:themeColor="background1" w:themeShade="80"/>
          <w:sz w:val="22"/>
          <w:szCs w:val="22"/>
          <w:lang w:val="en-GB"/>
        </w:rPr>
        <w:t xml:space="preserve">this line of communication should now be </w:t>
      </w:r>
      <w:r w:rsidR="004975F5">
        <w:rPr>
          <w:rFonts w:ascii="Avenir Next" w:hAnsi="Avenir Next" w:cs="Arial"/>
          <w:color w:val="808080" w:themeColor="background1" w:themeShade="80"/>
          <w:sz w:val="22"/>
          <w:szCs w:val="22"/>
          <w:lang w:val="en-GB"/>
        </w:rPr>
        <w:t>opened</w:t>
      </w:r>
      <w:r w:rsidR="00263FC0">
        <w:rPr>
          <w:rFonts w:ascii="Avenir Next" w:hAnsi="Avenir Next" w:cs="Arial"/>
          <w:color w:val="808080" w:themeColor="background1" w:themeShade="80"/>
          <w:sz w:val="22"/>
          <w:szCs w:val="22"/>
          <w:lang w:val="en-GB"/>
        </w:rPr>
        <w:t xml:space="preserve"> and discussions held to allow for a more robust case to be put forward</w:t>
      </w:r>
      <w:r w:rsidR="004975F5">
        <w:rPr>
          <w:rFonts w:ascii="Avenir Next" w:hAnsi="Avenir Next" w:cs="Arial"/>
          <w:color w:val="808080" w:themeColor="background1" w:themeShade="80"/>
          <w:sz w:val="22"/>
          <w:szCs w:val="22"/>
          <w:lang w:val="en-GB"/>
        </w:rPr>
        <w:t>.</w:t>
      </w:r>
    </w:p>
    <w:p w14:paraId="2C785DC1" w14:textId="609482DC" w:rsidR="004F7C9D" w:rsidRDefault="004F7C9D" w:rsidP="00AC4B69">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main proceedings should </w:t>
      </w:r>
      <w:proofErr w:type="gramStart"/>
      <w:r>
        <w:rPr>
          <w:rFonts w:ascii="Avenir Next" w:hAnsi="Avenir Next" w:cs="Arial"/>
          <w:color w:val="808080" w:themeColor="background1" w:themeShade="80"/>
          <w:sz w:val="22"/>
          <w:szCs w:val="22"/>
          <w:lang w:val="en-GB"/>
        </w:rPr>
        <w:t>have also have</w:t>
      </w:r>
      <w:proofErr w:type="gramEnd"/>
      <w:r>
        <w:rPr>
          <w:rFonts w:ascii="Avenir Next" w:hAnsi="Avenir Next" w:cs="Arial"/>
          <w:color w:val="808080" w:themeColor="background1" w:themeShade="80"/>
          <w:sz w:val="22"/>
          <w:szCs w:val="22"/>
          <w:lang w:val="en-GB"/>
        </w:rPr>
        <w:t xml:space="preserve"> been considered in more </w:t>
      </w:r>
      <w:r w:rsidR="00C836C5">
        <w:rPr>
          <w:rFonts w:ascii="Avenir Next" w:hAnsi="Avenir Next" w:cs="Arial"/>
          <w:color w:val="808080" w:themeColor="background1" w:themeShade="80"/>
          <w:sz w:val="22"/>
          <w:szCs w:val="22"/>
          <w:lang w:val="en-GB"/>
        </w:rPr>
        <w:t>depth</w:t>
      </w:r>
      <w:r>
        <w:rPr>
          <w:rFonts w:ascii="Avenir Next" w:hAnsi="Avenir Next" w:cs="Arial"/>
          <w:color w:val="808080" w:themeColor="background1" w:themeShade="80"/>
          <w:sz w:val="22"/>
          <w:szCs w:val="22"/>
          <w:lang w:val="en-GB"/>
        </w:rPr>
        <w:t xml:space="preserve"> from the outset, </w:t>
      </w:r>
      <w:r w:rsidR="00C836C5">
        <w:rPr>
          <w:rFonts w:ascii="Avenir Next" w:hAnsi="Avenir Next" w:cs="Arial"/>
          <w:color w:val="808080" w:themeColor="background1" w:themeShade="80"/>
          <w:sz w:val="22"/>
          <w:szCs w:val="22"/>
          <w:lang w:val="en-GB"/>
        </w:rPr>
        <w:t xml:space="preserve">given only the main office is in country A maybe the main proceedings would have been better placed in country B with foreign recognition in country A. </w:t>
      </w:r>
    </w:p>
    <w:p w14:paraId="31A7F8C3" w14:textId="77777777" w:rsidR="002D75D4" w:rsidRDefault="002D75D4" w:rsidP="002D75D4">
      <w:pPr>
        <w:jc w:val="both"/>
        <w:rPr>
          <w:rFonts w:ascii="Avenir Next" w:hAnsi="Avenir Next" w:cs="Arial"/>
          <w:color w:val="808080" w:themeColor="background1" w:themeShade="80"/>
          <w:sz w:val="22"/>
          <w:szCs w:val="22"/>
          <w:lang w:val="en-GB"/>
        </w:rPr>
      </w:pPr>
    </w:p>
    <w:p w14:paraId="195DA888" w14:textId="2DC3443D" w:rsidR="002D75D4" w:rsidRDefault="002D75D4" w:rsidP="002D75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next </w:t>
      </w:r>
      <w:proofErr w:type="gramStart"/>
      <w:r>
        <w:rPr>
          <w:rFonts w:ascii="Avenir Next" w:hAnsi="Avenir Next" w:cs="Arial"/>
          <w:color w:val="808080" w:themeColor="background1" w:themeShade="80"/>
          <w:sz w:val="22"/>
          <w:szCs w:val="22"/>
          <w:lang w:val="en-GB"/>
        </w:rPr>
        <w:t>steps</w:t>
      </w:r>
      <w:proofErr w:type="gramEnd"/>
      <w:r>
        <w:rPr>
          <w:rFonts w:ascii="Avenir Next" w:hAnsi="Avenir Next" w:cs="Arial"/>
          <w:color w:val="808080" w:themeColor="background1" w:themeShade="80"/>
          <w:sz w:val="22"/>
          <w:szCs w:val="22"/>
          <w:lang w:val="en-GB"/>
        </w:rPr>
        <w:t xml:space="preserve"> the </w:t>
      </w:r>
      <w:r w:rsidR="00027830">
        <w:rPr>
          <w:rFonts w:ascii="Avenir Next" w:hAnsi="Avenir Next" w:cs="Arial"/>
          <w:color w:val="808080" w:themeColor="background1" w:themeShade="80"/>
          <w:sz w:val="22"/>
          <w:szCs w:val="22"/>
          <w:lang w:val="en-GB"/>
        </w:rPr>
        <w:t>key items would be:</w:t>
      </w:r>
    </w:p>
    <w:p w14:paraId="04F2AD56" w14:textId="2C15356B" w:rsidR="00027830" w:rsidRDefault="00027830" w:rsidP="0002783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Asses the COMI of the company to understand where the main proceedings would be best placed</w:t>
      </w:r>
      <w:r w:rsidR="00B645B7">
        <w:rPr>
          <w:rFonts w:ascii="Avenir Next" w:hAnsi="Avenir Next" w:cs="Arial"/>
          <w:color w:val="808080" w:themeColor="background1" w:themeShade="80"/>
          <w:sz w:val="22"/>
          <w:szCs w:val="22"/>
          <w:lang w:val="en-GB"/>
        </w:rPr>
        <w:t xml:space="preserve">, this should </w:t>
      </w:r>
      <w:r w:rsidR="00B645B7" w:rsidRPr="00B645B7">
        <w:rPr>
          <w:rFonts w:ascii="Avenir Next" w:hAnsi="Avenir Next" w:cs="Arial"/>
          <w:color w:val="808080" w:themeColor="background1" w:themeShade="80"/>
          <w:sz w:val="22"/>
          <w:szCs w:val="22"/>
          <w:lang w:val="en-GB"/>
        </w:rPr>
        <w:t xml:space="preserve">ideally align with the debtor's true COMI. If the debtor's COMI </w:t>
      </w:r>
      <w:proofErr w:type="gramStart"/>
      <w:r w:rsidR="00B645B7" w:rsidRPr="00B645B7">
        <w:rPr>
          <w:rFonts w:ascii="Avenir Next" w:hAnsi="Avenir Next" w:cs="Arial"/>
          <w:color w:val="808080" w:themeColor="background1" w:themeShade="80"/>
          <w:sz w:val="22"/>
          <w:szCs w:val="22"/>
          <w:lang w:val="en-GB"/>
        </w:rPr>
        <w:t xml:space="preserve">is </w:t>
      </w:r>
      <w:r w:rsidR="009266EB">
        <w:rPr>
          <w:rFonts w:ascii="Avenir Next" w:hAnsi="Avenir Next" w:cs="Arial"/>
          <w:color w:val="808080" w:themeColor="background1" w:themeShade="80"/>
          <w:sz w:val="22"/>
          <w:szCs w:val="22"/>
          <w:lang w:val="en-GB"/>
        </w:rPr>
        <w:t xml:space="preserve"> c</w:t>
      </w:r>
      <w:r w:rsidR="00B645B7" w:rsidRPr="00B645B7">
        <w:rPr>
          <w:rFonts w:ascii="Avenir Next" w:hAnsi="Avenir Next" w:cs="Arial"/>
          <w:color w:val="808080" w:themeColor="background1" w:themeShade="80"/>
          <w:sz w:val="22"/>
          <w:szCs w:val="22"/>
          <w:lang w:val="en-GB"/>
        </w:rPr>
        <w:t>ountry</w:t>
      </w:r>
      <w:proofErr w:type="gramEnd"/>
      <w:r w:rsidR="00B645B7" w:rsidRPr="00B645B7">
        <w:rPr>
          <w:rFonts w:ascii="Avenir Next" w:hAnsi="Avenir Next" w:cs="Arial"/>
          <w:color w:val="808080" w:themeColor="background1" w:themeShade="80"/>
          <w:sz w:val="22"/>
          <w:szCs w:val="22"/>
          <w:lang w:val="en-GB"/>
        </w:rPr>
        <w:t xml:space="preserve"> A, where the foreign insolvency proceeding is pending, this should have been well-documented and supported in the recognition petition.</w:t>
      </w:r>
      <w:r w:rsidR="009266EB">
        <w:rPr>
          <w:rFonts w:ascii="Avenir Next" w:hAnsi="Avenir Next" w:cs="Arial"/>
          <w:color w:val="808080" w:themeColor="background1" w:themeShade="80"/>
          <w:sz w:val="22"/>
          <w:szCs w:val="22"/>
          <w:lang w:val="en-GB"/>
        </w:rPr>
        <w:t xml:space="preserve"> If denied on this basis </w:t>
      </w:r>
      <w:r w:rsidR="008B1E43">
        <w:rPr>
          <w:rFonts w:ascii="Avenir Next" w:hAnsi="Avenir Next" w:cs="Arial"/>
          <w:color w:val="808080" w:themeColor="background1" w:themeShade="80"/>
          <w:sz w:val="22"/>
          <w:szCs w:val="22"/>
          <w:lang w:val="en-GB"/>
        </w:rPr>
        <w:t>this could also be challenged.</w:t>
      </w:r>
    </w:p>
    <w:p w14:paraId="0953C455" w14:textId="3DC33215" w:rsidR="008B1E43" w:rsidRDefault="004C24DF" w:rsidP="0002783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Communication with local authorities in both jurisdictions should be opened</w:t>
      </w:r>
      <w:r w:rsidR="00AD5461">
        <w:rPr>
          <w:rFonts w:ascii="Avenir Next" w:hAnsi="Avenir Next" w:cs="Arial"/>
          <w:color w:val="808080" w:themeColor="background1" w:themeShade="80"/>
          <w:sz w:val="22"/>
          <w:szCs w:val="22"/>
          <w:lang w:val="en-GB"/>
        </w:rPr>
        <w:t xml:space="preserve">. </w:t>
      </w:r>
    </w:p>
    <w:p w14:paraId="363CE60E" w14:textId="1DE9BF54" w:rsidR="00AD5461" w:rsidRDefault="00AD5461" w:rsidP="00027830">
      <w:pPr>
        <w:pStyle w:val="ListParagraph"/>
        <w:numPr>
          <w:ilvl w:val="0"/>
          <w:numId w:val="18"/>
        </w:numPr>
        <w:jc w:val="both"/>
        <w:rPr>
          <w:rFonts w:ascii="Avenir Next" w:hAnsi="Avenir Next" w:cs="Arial"/>
          <w:color w:val="808080" w:themeColor="background1" w:themeShade="80"/>
          <w:sz w:val="22"/>
          <w:szCs w:val="22"/>
          <w:lang w:val="en-GB"/>
        </w:rPr>
      </w:pPr>
      <w:r w:rsidRPr="00AD5461">
        <w:rPr>
          <w:rFonts w:ascii="Avenir Next" w:hAnsi="Avenir Next" w:cs="Arial"/>
          <w:color w:val="808080" w:themeColor="background1" w:themeShade="80"/>
          <w:sz w:val="22"/>
          <w:szCs w:val="22"/>
          <w:lang w:val="en-GB"/>
        </w:rPr>
        <w:t>If disputes related to contracts or rights governed by foreign law</w:t>
      </w:r>
      <w:r w:rsidR="00F359BB">
        <w:rPr>
          <w:rFonts w:ascii="Avenir Next" w:hAnsi="Avenir Next" w:cs="Arial"/>
          <w:color w:val="808080" w:themeColor="background1" w:themeShade="80"/>
          <w:sz w:val="22"/>
          <w:szCs w:val="22"/>
          <w:lang w:val="en-GB"/>
        </w:rPr>
        <w:t xml:space="preserve">, </w:t>
      </w:r>
      <w:r w:rsidRPr="00AD5461">
        <w:rPr>
          <w:rFonts w:ascii="Avenir Next" w:hAnsi="Avenir Next" w:cs="Arial"/>
          <w:color w:val="808080" w:themeColor="background1" w:themeShade="80"/>
          <w:sz w:val="22"/>
          <w:szCs w:val="22"/>
          <w:lang w:val="en-GB"/>
        </w:rPr>
        <w:t>the foreign representative can consider the Hague Principles, which provide guidance on the choice of law in international contracts.</w:t>
      </w:r>
    </w:p>
    <w:p w14:paraId="24BC955C" w14:textId="0E364B8E" w:rsidR="00027830" w:rsidRDefault="00F359BB" w:rsidP="00027830">
      <w:pPr>
        <w:pStyle w:val="ListParagraph"/>
        <w:numPr>
          <w:ilvl w:val="0"/>
          <w:numId w:val="18"/>
        </w:numPr>
        <w:jc w:val="both"/>
        <w:rPr>
          <w:rFonts w:ascii="Avenir Next" w:hAnsi="Avenir Next" w:cs="Arial"/>
          <w:color w:val="808080" w:themeColor="background1" w:themeShade="80"/>
          <w:sz w:val="22"/>
          <w:szCs w:val="22"/>
          <w:lang w:val="en-GB"/>
        </w:rPr>
      </w:pPr>
      <w:r w:rsidRPr="00F359BB">
        <w:rPr>
          <w:rFonts w:ascii="Avenir Next" w:hAnsi="Avenir Next" w:cs="Arial"/>
          <w:color w:val="808080" w:themeColor="background1" w:themeShade="80"/>
          <w:sz w:val="22"/>
          <w:szCs w:val="22"/>
          <w:lang w:val="en-GB"/>
        </w:rPr>
        <w:t xml:space="preserve">If </w:t>
      </w:r>
      <w:r w:rsidR="008A255D">
        <w:rPr>
          <w:rFonts w:ascii="Avenir Next" w:hAnsi="Avenir Next" w:cs="Arial"/>
          <w:color w:val="808080" w:themeColor="background1" w:themeShade="80"/>
          <w:sz w:val="22"/>
          <w:szCs w:val="22"/>
          <w:lang w:val="en-GB"/>
        </w:rPr>
        <w:t>in the</w:t>
      </w:r>
      <w:r>
        <w:rPr>
          <w:rFonts w:ascii="Avenir Next" w:hAnsi="Avenir Next" w:cs="Arial"/>
          <w:color w:val="808080" w:themeColor="background1" w:themeShade="80"/>
          <w:sz w:val="22"/>
          <w:szCs w:val="22"/>
          <w:lang w:val="en-GB"/>
        </w:rPr>
        <w:t xml:space="preserve"> EU</w:t>
      </w:r>
      <w:r w:rsidR="008A255D">
        <w:rPr>
          <w:rFonts w:ascii="Avenir Next" w:hAnsi="Avenir Next" w:cs="Arial"/>
          <w:color w:val="808080" w:themeColor="background1" w:themeShade="80"/>
          <w:sz w:val="22"/>
          <w:szCs w:val="22"/>
          <w:lang w:val="en-GB"/>
        </w:rPr>
        <w:t xml:space="preserve"> </w:t>
      </w:r>
      <w:r w:rsidRPr="00F359BB">
        <w:rPr>
          <w:rFonts w:ascii="Avenir Next" w:hAnsi="Avenir Next" w:cs="Arial"/>
          <w:color w:val="808080" w:themeColor="background1" w:themeShade="80"/>
          <w:sz w:val="22"/>
          <w:szCs w:val="22"/>
          <w:lang w:val="en-GB"/>
        </w:rPr>
        <w:t>EC Regulation on Insolvency Proceedings may apply</w:t>
      </w:r>
      <w:r w:rsidR="00BA6BDD">
        <w:rPr>
          <w:rFonts w:ascii="Avenir Next" w:hAnsi="Avenir Next" w:cs="Arial"/>
          <w:color w:val="808080" w:themeColor="background1" w:themeShade="80"/>
          <w:sz w:val="22"/>
          <w:szCs w:val="22"/>
          <w:lang w:val="en-GB"/>
        </w:rPr>
        <w:t xml:space="preserve">, consideration should be given </w:t>
      </w:r>
      <w:r w:rsidRPr="00F359BB">
        <w:rPr>
          <w:rFonts w:ascii="Avenir Next" w:hAnsi="Avenir Next" w:cs="Arial"/>
          <w:color w:val="808080" w:themeColor="background1" w:themeShade="80"/>
          <w:sz w:val="22"/>
          <w:szCs w:val="22"/>
          <w:lang w:val="en-GB"/>
        </w:rPr>
        <w:t>the regulation</w:t>
      </w:r>
      <w:r w:rsidR="00BA6BDD">
        <w:rPr>
          <w:rFonts w:ascii="Avenir Next" w:hAnsi="Avenir Next" w:cs="Arial"/>
          <w:color w:val="808080" w:themeColor="background1" w:themeShade="80"/>
          <w:sz w:val="22"/>
          <w:szCs w:val="22"/>
          <w:lang w:val="en-GB"/>
        </w:rPr>
        <w:t xml:space="preserve"> </w:t>
      </w:r>
      <w:r w:rsidRPr="00F359BB">
        <w:rPr>
          <w:rFonts w:ascii="Avenir Next" w:hAnsi="Avenir Next" w:cs="Arial"/>
          <w:color w:val="808080" w:themeColor="background1" w:themeShade="80"/>
          <w:sz w:val="22"/>
          <w:szCs w:val="22"/>
          <w:lang w:val="en-GB"/>
        </w:rPr>
        <w:t xml:space="preserve">provisions and procedures for recognition </w:t>
      </w:r>
      <w:r w:rsidR="00925E57">
        <w:rPr>
          <w:rFonts w:ascii="Avenir Next" w:hAnsi="Avenir Next" w:cs="Arial"/>
          <w:color w:val="808080" w:themeColor="background1" w:themeShade="80"/>
          <w:sz w:val="22"/>
          <w:szCs w:val="22"/>
          <w:lang w:val="en-GB"/>
        </w:rPr>
        <w:t>in EU countries</w:t>
      </w:r>
      <w:r w:rsidRPr="00F359BB">
        <w:rPr>
          <w:rFonts w:ascii="Avenir Next" w:hAnsi="Avenir Next" w:cs="Arial"/>
          <w:color w:val="808080" w:themeColor="background1" w:themeShade="80"/>
          <w:sz w:val="22"/>
          <w:szCs w:val="22"/>
          <w:lang w:val="en-GB"/>
        </w:rPr>
        <w:t>.</w:t>
      </w:r>
    </w:p>
    <w:p w14:paraId="312F4B4B" w14:textId="0CB9D4DD" w:rsidR="00073F3E" w:rsidRDefault="00073F3E" w:rsidP="00027830">
      <w:pPr>
        <w:pStyle w:val="ListParagraph"/>
        <w:numPr>
          <w:ilvl w:val="0"/>
          <w:numId w:val="18"/>
        </w:numPr>
        <w:jc w:val="both"/>
        <w:rPr>
          <w:rFonts w:ascii="Avenir Next" w:hAnsi="Avenir Next" w:cs="Arial"/>
          <w:color w:val="808080" w:themeColor="background1" w:themeShade="80"/>
          <w:sz w:val="22"/>
          <w:szCs w:val="22"/>
          <w:lang w:val="en-GB"/>
        </w:rPr>
      </w:pPr>
      <w:r w:rsidRPr="00073F3E">
        <w:rPr>
          <w:rFonts w:ascii="Avenir Next" w:hAnsi="Avenir Next" w:cs="Arial"/>
          <w:color w:val="808080" w:themeColor="background1" w:themeShade="80"/>
          <w:sz w:val="22"/>
          <w:szCs w:val="22"/>
          <w:lang w:val="en-GB"/>
        </w:rPr>
        <w:t xml:space="preserve">The </w:t>
      </w:r>
      <w:proofErr w:type="spellStart"/>
      <w:r w:rsidRPr="00073F3E">
        <w:rPr>
          <w:rFonts w:ascii="Avenir Next" w:hAnsi="Avenir Next" w:cs="Arial"/>
          <w:color w:val="808080" w:themeColor="background1" w:themeShade="80"/>
          <w:sz w:val="22"/>
          <w:szCs w:val="22"/>
          <w:lang w:val="en-GB"/>
        </w:rPr>
        <w:t>UNCITRAL</w:t>
      </w:r>
      <w:proofErr w:type="spellEnd"/>
      <w:r w:rsidRPr="00073F3E">
        <w:rPr>
          <w:rFonts w:ascii="Avenir Next" w:hAnsi="Avenir Next" w:cs="Arial"/>
          <w:color w:val="808080" w:themeColor="background1" w:themeShade="80"/>
          <w:sz w:val="22"/>
          <w:szCs w:val="22"/>
          <w:lang w:val="en-GB"/>
        </w:rPr>
        <w:t xml:space="preserve"> Model Law on Cross-Border Insolvency provides a framework for the recognition and cooperation of foreign insolvency proceedings</w:t>
      </w:r>
      <w:r w:rsidR="0034083F">
        <w:rPr>
          <w:rFonts w:ascii="Avenir Next" w:hAnsi="Avenir Next" w:cs="Arial"/>
          <w:color w:val="808080" w:themeColor="background1" w:themeShade="80"/>
          <w:sz w:val="22"/>
          <w:szCs w:val="22"/>
          <w:lang w:val="en-GB"/>
        </w:rPr>
        <w:t xml:space="preserve">, a review should be done to see if this model law has been adopted, </w:t>
      </w:r>
      <w:r w:rsidR="00C101E0">
        <w:rPr>
          <w:rFonts w:ascii="Avenir Next" w:hAnsi="Avenir Next" w:cs="Arial"/>
          <w:color w:val="808080" w:themeColor="background1" w:themeShade="80"/>
          <w:sz w:val="22"/>
          <w:szCs w:val="22"/>
          <w:lang w:val="en-GB"/>
        </w:rPr>
        <w:t xml:space="preserve">as declining recognition may </w:t>
      </w:r>
      <w:proofErr w:type="gramStart"/>
      <w:r w:rsidR="00C101E0">
        <w:rPr>
          <w:rFonts w:ascii="Avenir Next" w:hAnsi="Avenir Next" w:cs="Arial"/>
          <w:color w:val="808080" w:themeColor="background1" w:themeShade="80"/>
          <w:sz w:val="22"/>
          <w:szCs w:val="22"/>
          <w:lang w:val="en-GB"/>
        </w:rPr>
        <w:t>be in contrast to</w:t>
      </w:r>
      <w:proofErr w:type="gramEnd"/>
      <w:r w:rsidR="00C101E0">
        <w:rPr>
          <w:rFonts w:ascii="Avenir Next" w:hAnsi="Avenir Next" w:cs="Arial"/>
          <w:color w:val="808080" w:themeColor="background1" w:themeShade="80"/>
          <w:sz w:val="22"/>
          <w:szCs w:val="22"/>
          <w:lang w:val="en-GB"/>
        </w:rPr>
        <w:t xml:space="preserve"> this. </w:t>
      </w:r>
    </w:p>
    <w:p w14:paraId="2FA090BE" w14:textId="42355612" w:rsidR="00B77D33" w:rsidRPr="00A13989" w:rsidRDefault="00B77D33" w:rsidP="00A13989">
      <w:pPr>
        <w:ind w:left="360"/>
        <w:jc w:val="both"/>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w:t>
      </w:r>
      <w:r w:rsidRPr="00594617">
        <w:rPr>
          <w:rFonts w:ascii="Avenir Next" w:hAnsi="Avenir Next"/>
          <w:sz w:val="22"/>
          <w:szCs w:val="28"/>
          <w:highlight w:val="yellow"/>
        </w:rPr>
        <w:t>insurance sector in the United States</w:t>
      </w:r>
      <w:r w:rsidRPr="00E61F6E">
        <w:rPr>
          <w:rFonts w:ascii="Avenir Next" w:hAnsi="Avenir Next"/>
          <w:sz w:val="22"/>
          <w:szCs w:val="28"/>
        </w:rPr>
        <w:t xml:space="preserve">. </w:t>
      </w:r>
      <w:r w:rsidRPr="00594617">
        <w:rPr>
          <w:rFonts w:ascii="Avenir Next" w:hAnsi="Avenir Next"/>
          <w:sz w:val="22"/>
          <w:szCs w:val="28"/>
          <w:highlight w:val="yellow"/>
        </w:rPr>
        <w:t>Globe Holdings</w:t>
      </w:r>
      <w:r w:rsidRPr="00E61F6E">
        <w:rPr>
          <w:rFonts w:ascii="Avenir Next" w:hAnsi="Avenir Next"/>
          <w:sz w:val="22"/>
          <w:szCs w:val="28"/>
        </w:rPr>
        <w:t xml:space="preserve">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w:t>
      </w:r>
      <w:r w:rsidRPr="00AB5E85">
        <w:rPr>
          <w:rFonts w:ascii="Avenir Next" w:hAnsi="Avenir Next"/>
          <w:sz w:val="22"/>
          <w:szCs w:val="28"/>
          <w:highlight w:val="yellow"/>
        </w:rPr>
        <w:t>Continuation in the Cayman Islands</w:t>
      </w:r>
      <w:r w:rsidRPr="00E61F6E">
        <w:rPr>
          <w:rFonts w:ascii="Avenir Next" w:hAnsi="Avenir Next"/>
          <w:sz w:val="22"/>
          <w:szCs w:val="28"/>
        </w:rPr>
        <w:t xml:space="preserve"> to re-domesticate as a Cayman Islands company and changed its name to </w:t>
      </w:r>
      <w:r w:rsidRPr="00AB5E85">
        <w:rPr>
          <w:rFonts w:ascii="Avenir Next" w:hAnsi="Avenir Next"/>
          <w:sz w:val="22"/>
          <w:szCs w:val="28"/>
          <w:highlight w:val="yellow"/>
        </w:rPr>
        <w:t>Globe Financial Holdings Inc</w:t>
      </w:r>
      <w:r w:rsidRPr="00E61F6E">
        <w:rPr>
          <w:rFonts w:ascii="Avenir Next" w:hAnsi="Avenir Next"/>
          <w:sz w:val="22"/>
          <w:szCs w:val="28"/>
        </w:rPr>
        <w:t>.  When it re</w:t>
      </w:r>
      <w:r>
        <w:rPr>
          <w:rFonts w:ascii="Avenir Next" w:hAnsi="Avenir Next"/>
          <w:sz w:val="22"/>
          <w:szCs w:val="28"/>
        </w:rPr>
        <w:t>-</w:t>
      </w:r>
      <w:r w:rsidRPr="00E61F6E">
        <w:rPr>
          <w:rFonts w:ascii="Avenir Next" w:hAnsi="Avenir Next"/>
          <w:sz w:val="22"/>
          <w:szCs w:val="28"/>
        </w:rPr>
        <w:t xml:space="preserve">incorporated in the Cayman Islands in </w:t>
      </w:r>
      <w:r w:rsidRPr="00AB5E85">
        <w:rPr>
          <w:rFonts w:ascii="Avenir Next" w:hAnsi="Avenir Next"/>
          <w:sz w:val="22"/>
          <w:szCs w:val="28"/>
          <w:highlight w:val="yellow"/>
        </w:rPr>
        <w:t>2010</w:t>
      </w:r>
      <w:r w:rsidRPr="00E61F6E">
        <w:rPr>
          <w:rFonts w:ascii="Avenir Next" w:hAnsi="Avenir Next"/>
          <w:sz w:val="22"/>
          <w:szCs w:val="28"/>
        </w:rPr>
        <w:t xml:space="preserve">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 xml:space="preserve">incorporation, including in the public filings with the Securities and Exchange Commission (SEC). Around that time, Globe Holdings retained its </w:t>
      </w:r>
      <w:r w:rsidRPr="00816B2C">
        <w:rPr>
          <w:rFonts w:ascii="Avenir Next" w:hAnsi="Avenir Next"/>
          <w:sz w:val="22"/>
          <w:szCs w:val="28"/>
          <w:highlight w:val="yellow"/>
        </w:rPr>
        <w:t>Cayman Islands counsel Cedar and Woods</w:t>
      </w:r>
      <w:r w:rsidRPr="00E61F6E">
        <w:rPr>
          <w:rFonts w:ascii="Avenir Next" w:hAnsi="Avenir Next"/>
          <w:sz w:val="22"/>
          <w:szCs w:val="28"/>
        </w:rPr>
        <w:t>, which has regularly represented Globe Holdings for over a decade.</w:t>
      </w:r>
      <w:bookmarkStart w:id="3" w:name="_Hlk97059506"/>
      <w:r w:rsidRPr="00E61F6E">
        <w:rPr>
          <w:rFonts w:ascii="Avenir Next" w:hAnsi="Avenir Next"/>
          <w:sz w:val="22"/>
          <w:szCs w:val="28"/>
        </w:rPr>
        <w:t xml:space="preserve"> Globe Holdings has a </w:t>
      </w:r>
      <w:r w:rsidRPr="009F18A0">
        <w:rPr>
          <w:rFonts w:ascii="Avenir Next" w:hAnsi="Avenir Next"/>
          <w:sz w:val="22"/>
          <w:szCs w:val="28"/>
          <w:highlight w:val="yellow"/>
        </w:rPr>
        <w:t xml:space="preserve">bank account </w:t>
      </w:r>
      <w:r w:rsidRPr="009F18A0">
        <w:rPr>
          <w:rFonts w:ascii="Avenir Next" w:hAnsi="Avenir Next"/>
          <w:sz w:val="22"/>
          <w:szCs w:val="28"/>
          <w:highlight w:val="yellow"/>
        </w:rPr>
        <w:lastRenderedPageBreak/>
        <w:t>(opened just a few days ago) in the Cayman Islands</w:t>
      </w:r>
      <w:r w:rsidRPr="00E61F6E">
        <w:rPr>
          <w:rFonts w:ascii="Avenir Next" w:hAnsi="Avenir Next"/>
          <w:sz w:val="22"/>
          <w:szCs w:val="28"/>
        </w:rPr>
        <w:t xml:space="preserve"> from which it pays certain of its operating expenses.  Globe Holdings often holds its </w:t>
      </w:r>
      <w:r w:rsidRPr="009F18A0">
        <w:rPr>
          <w:rFonts w:ascii="Avenir Next" w:hAnsi="Avenir Next"/>
          <w:sz w:val="22"/>
          <w:szCs w:val="28"/>
          <w:highlight w:val="yellow"/>
        </w:rPr>
        <w:t>board meetings virtually</w:t>
      </w:r>
      <w:r w:rsidRPr="00E61F6E">
        <w:rPr>
          <w:rFonts w:ascii="Avenir Next" w:hAnsi="Avenir Next"/>
          <w:sz w:val="22"/>
          <w:szCs w:val="28"/>
        </w:rPr>
        <w:t xml:space="preserve">, and not physically in the Cayman Islands, </w:t>
      </w:r>
      <w:proofErr w:type="gramStart"/>
      <w:r w:rsidRPr="00E61F6E">
        <w:rPr>
          <w:rFonts w:ascii="Avenir Next" w:hAnsi="Avenir Next"/>
          <w:sz w:val="22"/>
          <w:szCs w:val="28"/>
        </w:rPr>
        <w:t>and,</w:t>
      </w:r>
      <w:proofErr w:type="gramEnd"/>
      <w:r w:rsidRPr="00E61F6E">
        <w:rPr>
          <w:rFonts w:ascii="Avenir Next" w:hAnsi="Avenir Next"/>
          <w:sz w:val="22"/>
          <w:szCs w:val="28"/>
        </w:rPr>
        <w:t xml:space="preserve">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w:t>
      </w:r>
      <w:r w:rsidRPr="00B55682">
        <w:rPr>
          <w:rFonts w:ascii="Avenir Next" w:hAnsi="Avenir Next"/>
          <w:sz w:val="22"/>
          <w:szCs w:val="28"/>
          <w:highlight w:val="yellow"/>
        </w:rPr>
        <w:t>local Cayman counsel virtually</w:t>
      </w:r>
      <w:r w:rsidRPr="00E61F6E">
        <w:rPr>
          <w:rFonts w:ascii="Avenir Next" w:hAnsi="Avenir Next"/>
          <w:sz w:val="22"/>
          <w:szCs w:val="28"/>
        </w:rPr>
        <w:t xml:space="preserve">.  The </w:t>
      </w:r>
      <w:r>
        <w:rPr>
          <w:rFonts w:ascii="Avenir Next" w:hAnsi="Avenir Next"/>
          <w:sz w:val="22"/>
          <w:szCs w:val="28"/>
        </w:rPr>
        <w:t>c</w:t>
      </w:r>
      <w:r w:rsidRPr="00E61F6E">
        <w:rPr>
          <w:rFonts w:ascii="Avenir Next" w:hAnsi="Avenir Next"/>
          <w:sz w:val="22"/>
          <w:szCs w:val="28"/>
        </w:rPr>
        <w:t xml:space="preserve">lient also </w:t>
      </w:r>
      <w:r w:rsidRPr="009F18A0">
        <w:rPr>
          <w:rFonts w:ascii="Avenir Next" w:hAnsi="Avenir Next"/>
          <w:sz w:val="22"/>
          <w:szCs w:val="28"/>
          <w:highlight w:val="yellow"/>
        </w:rPr>
        <w:t>maintains its books and records in the Cayman Islands</w:t>
      </w:r>
      <w:r w:rsidRPr="00E61F6E">
        <w:rPr>
          <w:rFonts w:ascii="Avenir Next" w:hAnsi="Avenir Next"/>
          <w:sz w:val="22"/>
          <w:szCs w:val="28"/>
        </w:rPr>
        <w:t>.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w:t>
      </w:r>
      <w:r w:rsidRPr="00B55682">
        <w:rPr>
          <w:rFonts w:ascii="Avenir Next" w:hAnsi="Avenir Next"/>
          <w:sz w:val="22"/>
          <w:szCs w:val="28"/>
          <w:highlight w:val="yellow"/>
        </w:rPr>
        <w:t>non-debtor subsidiaries that are all incorporated under the US laws</w:t>
      </w:r>
      <w:r w:rsidRPr="00E61F6E">
        <w:rPr>
          <w:rFonts w:ascii="Avenir Next" w:hAnsi="Avenir Next"/>
          <w:sz w:val="22"/>
          <w:szCs w:val="28"/>
        </w:rPr>
        <w:t xml:space="preserve"> and operating in the US. </w:t>
      </w:r>
      <w:r w:rsidRPr="00B55682">
        <w:rPr>
          <w:rFonts w:ascii="Avenir Next" w:hAnsi="Avenir Next"/>
          <w:sz w:val="22"/>
          <w:szCs w:val="28"/>
          <w:highlight w:val="yellow"/>
        </w:rPr>
        <w:t>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w:t>
      </w:r>
      <w:r w:rsidRPr="006F0F90">
        <w:rPr>
          <w:rFonts w:ascii="Avenir Next" w:hAnsi="Avenir Next"/>
          <w:sz w:val="22"/>
          <w:szCs w:val="28"/>
          <w:highlight w:val="yellow"/>
        </w:rPr>
        <w:t xml:space="preserve">September 2020, </w:t>
      </w:r>
      <w:r w:rsidRPr="006F0F90">
        <w:rPr>
          <w:rFonts w:ascii="Avenir Next" w:hAnsi="Avenir Next"/>
          <w:sz w:val="22"/>
          <w:szCs w:val="28"/>
          <w:highlight w:val="yellow"/>
          <w:lang w:val="en-GB"/>
        </w:rPr>
        <w:t xml:space="preserve">Globe Holdings </w:t>
      </w:r>
      <w:r w:rsidRPr="006F0F90">
        <w:rPr>
          <w:rFonts w:ascii="Avenir Next" w:hAnsi="Avenir Next"/>
          <w:sz w:val="22"/>
          <w:szCs w:val="28"/>
          <w:highlight w:val="yellow"/>
        </w:rPr>
        <w:t>announced that it was informed its shares would be suspended from the NASDAQ</w:t>
      </w:r>
      <w:r w:rsidRPr="00E61F6E">
        <w:rPr>
          <w:rFonts w:ascii="Avenir Next" w:hAnsi="Avenir Next"/>
          <w:sz w:val="22"/>
          <w:szCs w:val="28"/>
        </w:rPr>
        <w:t xml:space="preserve">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w:t>
      </w:r>
      <w:r w:rsidRPr="0026553E">
        <w:rPr>
          <w:rFonts w:ascii="Avenir Next" w:hAnsi="Avenir Next"/>
          <w:sz w:val="22"/>
          <w:szCs w:val="28"/>
          <w:highlight w:val="yellow"/>
        </w:rPr>
        <w:t>corporate headquarters located in New York</w:t>
      </w:r>
      <w:r>
        <w:rPr>
          <w:rFonts w:ascii="Avenir Next" w:hAnsi="Avenir Next"/>
          <w:sz w:val="22"/>
          <w:szCs w:val="28"/>
        </w:rPr>
        <w:t xml:space="preserve">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 xml:space="preserve">ultimately determined that the most value accretive path for the Noteholders was to commence a </w:t>
      </w:r>
      <w:r w:rsidRPr="00DC7311">
        <w:rPr>
          <w:rFonts w:ascii="Avenir Next" w:hAnsi="Avenir Next"/>
          <w:sz w:val="22"/>
          <w:szCs w:val="28"/>
          <w:highlight w:val="yellow"/>
        </w:rPr>
        <w:t>scheme under Cayman Islands law, followed by a chapter 15 recognition</w:t>
      </w:r>
      <w:r w:rsidRPr="00E61F6E">
        <w:rPr>
          <w:rFonts w:ascii="Avenir Next" w:hAnsi="Avenir Next"/>
          <w:sz w:val="22"/>
          <w:szCs w:val="28"/>
        </w:rPr>
        <w:t xml:space="preserve">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w:t>
      </w:r>
      <w:r w:rsidRPr="00F15C4C">
        <w:rPr>
          <w:rFonts w:ascii="Avenir Next" w:hAnsi="Avenir Next"/>
          <w:sz w:val="22"/>
          <w:szCs w:val="28"/>
          <w:highlight w:val="yellow"/>
        </w:rPr>
        <w:t xml:space="preserve">support of </w:t>
      </w:r>
      <w:proofErr w:type="gramStart"/>
      <w:r w:rsidRPr="00F15C4C">
        <w:rPr>
          <w:rFonts w:ascii="Avenir Next" w:hAnsi="Avenir Next"/>
          <w:sz w:val="22"/>
          <w:szCs w:val="28"/>
          <w:highlight w:val="yellow"/>
        </w:rPr>
        <w:t>the majority of</w:t>
      </w:r>
      <w:proofErr w:type="gramEnd"/>
      <w:r w:rsidRPr="00F15C4C">
        <w:rPr>
          <w:rFonts w:ascii="Avenir Next" w:hAnsi="Avenir Next"/>
          <w:sz w:val="22"/>
          <w:szCs w:val="28"/>
          <w:highlight w:val="yellow"/>
        </w:rPr>
        <w:t xml:space="preserve"> the Noteholders</w:t>
      </w:r>
      <w:r w:rsidRPr="00E61F6E">
        <w:rPr>
          <w:rFonts w:ascii="Avenir Next" w:hAnsi="Avenir Next"/>
          <w:sz w:val="22"/>
          <w:szCs w:val="28"/>
        </w:rPr>
        <w:t xml:space="preserve"> of its decision to delay interest payments and restructure the Notes through a formal proceeding. Thereafter, on </w:t>
      </w:r>
      <w:r w:rsidRPr="00F15C4C">
        <w:rPr>
          <w:rFonts w:ascii="Avenir Next" w:hAnsi="Avenir Next"/>
          <w:sz w:val="22"/>
          <w:szCs w:val="28"/>
          <w:highlight w:val="yellow"/>
        </w:rPr>
        <w:t>August 31, 2021, about 57% of the Noteholders acceded to the Restructuring Support Agreement</w:t>
      </w:r>
      <w:r>
        <w:rPr>
          <w:rFonts w:ascii="Avenir Next" w:hAnsi="Avenir Next"/>
          <w:sz w:val="22"/>
          <w:szCs w:val="28"/>
        </w:rPr>
        <w:t xml:space="preserve">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FE3C26">
        <w:rPr>
          <w:rFonts w:ascii="Avenir Next" w:hAnsi="Avenir Next"/>
          <w:sz w:val="22"/>
          <w:szCs w:val="28"/>
          <w:highlight w:val="yellow"/>
        </w:rPr>
        <w:t>authori</w:t>
      </w:r>
      <w:r w:rsidR="00B66441" w:rsidRPr="00FE3C26">
        <w:rPr>
          <w:rFonts w:ascii="Avenir Next" w:hAnsi="Avenir Next"/>
          <w:sz w:val="22"/>
          <w:szCs w:val="28"/>
          <w:highlight w:val="yellow"/>
        </w:rPr>
        <w:t>z</w:t>
      </w:r>
      <w:r w:rsidRPr="00FE3C26">
        <w:rPr>
          <w:rFonts w:ascii="Avenir Next" w:hAnsi="Avenir Next"/>
          <w:sz w:val="22"/>
          <w:szCs w:val="28"/>
          <w:highlight w:val="yellow"/>
        </w:rPr>
        <w:t>ing the client to convene a single Scheme Meeting</w:t>
      </w:r>
      <w:r w:rsidRPr="00E61F6E">
        <w:rPr>
          <w:rFonts w:ascii="Avenir Next" w:hAnsi="Avenir Next"/>
          <w:sz w:val="22"/>
          <w:szCs w:val="28"/>
        </w:rPr>
        <w:t xml:space="preserve"> for the purpose of </w:t>
      </w:r>
      <w:r w:rsidRPr="00E61F6E">
        <w:rPr>
          <w:rFonts w:ascii="Avenir Next" w:hAnsi="Avenir Next"/>
          <w:sz w:val="22"/>
          <w:szCs w:val="28"/>
        </w:rPr>
        <w:lastRenderedPageBreak/>
        <w:t>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 xml:space="preserve">The </w:t>
      </w:r>
      <w:r w:rsidRPr="00BC6235">
        <w:rPr>
          <w:rFonts w:ascii="Avenir Next" w:hAnsi="Avenir Next"/>
          <w:sz w:val="22"/>
          <w:szCs w:val="28"/>
          <w:highlight w:val="yellow"/>
        </w:rPr>
        <w:t>Scheme Meeting was held in the Cayman Islands at</w:t>
      </w:r>
      <w:r w:rsidRPr="00E61F6E">
        <w:rPr>
          <w:rFonts w:ascii="Avenir Next" w:hAnsi="Avenir Next"/>
          <w:sz w:val="22"/>
          <w:szCs w:val="28"/>
        </w:rPr>
        <w:t xml:space="preserve">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 xml:space="preserve">-19 pandemic, Scheme Creditors were also afforded the convenience of observing the Scheme Meeting via Zoom </w:t>
      </w:r>
      <w:r w:rsidRPr="00BC6235">
        <w:rPr>
          <w:rFonts w:ascii="Avenir Next" w:hAnsi="Avenir Next"/>
          <w:sz w:val="22"/>
          <w:szCs w:val="28"/>
          <w:highlight w:val="yellow"/>
        </w:rPr>
        <w:t>and in person via a satellite location in New York</w:t>
      </w:r>
      <w:r w:rsidRPr="00E61F6E">
        <w:rPr>
          <w:rFonts w:ascii="Avenir Next" w:hAnsi="Avenir Next"/>
          <w:sz w:val="22"/>
          <w:szCs w:val="28"/>
        </w:rPr>
        <w:t>.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w:t>
      </w:r>
      <w:r w:rsidRPr="00BC6235">
        <w:rPr>
          <w:rFonts w:ascii="Avenir Next" w:hAnsi="Avenir Next"/>
          <w:sz w:val="22"/>
          <w:szCs w:val="28"/>
          <w:highlight w:val="yellow"/>
        </w:rPr>
        <w:t>supported by the Noteholders, with 91.83% in</w:t>
      </w:r>
      <w:r w:rsidRPr="00E61F6E">
        <w:rPr>
          <w:rFonts w:ascii="Avenir Next" w:hAnsi="Avenir Next"/>
          <w:sz w:val="22"/>
          <w:szCs w:val="28"/>
        </w:rPr>
        <w:t xml:space="preserve">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4CA2738" w14:textId="24BFE1E8" w:rsidR="002C5996" w:rsidRPr="00231EB9" w:rsidRDefault="002C5996" w:rsidP="009E3CA7">
      <w:pPr>
        <w:jc w:val="both"/>
        <w:rPr>
          <w:rFonts w:ascii="Avenir Next" w:hAnsi="Avenir Next"/>
          <w:color w:val="808080" w:themeColor="background1" w:themeShade="80"/>
          <w:sz w:val="22"/>
          <w:szCs w:val="28"/>
        </w:rPr>
      </w:pPr>
      <w:r w:rsidRPr="00231EB9">
        <w:rPr>
          <w:rFonts w:ascii="Avenir Next" w:hAnsi="Avenir Next"/>
          <w:color w:val="808080" w:themeColor="background1" w:themeShade="80"/>
          <w:sz w:val="22"/>
          <w:szCs w:val="28"/>
        </w:rPr>
        <w:t xml:space="preserve">Dear Sirs, </w:t>
      </w:r>
    </w:p>
    <w:p w14:paraId="6A9D1F39" w14:textId="77777777" w:rsidR="002C5996" w:rsidRPr="00231EB9" w:rsidRDefault="002C5996" w:rsidP="009E3CA7">
      <w:pPr>
        <w:jc w:val="both"/>
        <w:rPr>
          <w:rFonts w:ascii="Avenir Next" w:hAnsi="Avenir Next"/>
          <w:color w:val="808080" w:themeColor="background1" w:themeShade="80"/>
          <w:sz w:val="22"/>
          <w:szCs w:val="28"/>
        </w:rPr>
      </w:pPr>
    </w:p>
    <w:p w14:paraId="28DE930D" w14:textId="0B2105DD" w:rsidR="00231EB9" w:rsidRDefault="00231EB9" w:rsidP="009E3CA7">
      <w:pPr>
        <w:jc w:val="both"/>
        <w:rPr>
          <w:rFonts w:ascii="Avenir Next" w:hAnsi="Avenir Next"/>
          <w:color w:val="808080" w:themeColor="background1" w:themeShade="80"/>
          <w:sz w:val="22"/>
          <w:szCs w:val="28"/>
        </w:rPr>
      </w:pPr>
      <w:r w:rsidRPr="00231EB9">
        <w:rPr>
          <w:rFonts w:ascii="Avenir Next" w:hAnsi="Avenir Next"/>
          <w:color w:val="808080" w:themeColor="background1" w:themeShade="80"/>
          <w:sz w:val="22"/>
          <w:szCs w:val="28"/>
        </w:rPr>
        <w:t xml:space="preserve">Thank you for the opportunity to present our initial thoughts on the key filing strategy to ensure a successful restructuring </w:t>
      </w:r>
      <w:r>
        <w:rPr>
          <w:rFonts w:ascii="Avenir Next" w:hAnsi="Avenir Next"/>
          <w:color w:val="808080" w:themeColor="background1" w:themeShade="80"/>
          <w:sz w:val="22"/>
          <w:szCs w:val="28"/>
        </w:rPr>
        <w:t xml:space="preserve">for </w:t>
      </w:r>
      <w:r w:rsidR="001E07D6" w:rsidRPr="001E07D6">
        <w:rPr>
          <w:rFonts w:ascii="Avenir Next" w:hAnsi="Avenir Next"/>
          <w:color w:val="808080" w:themeColor="background1" w:themeShade="80"/>
          <w:sz w:val="22"/>
          <w:szCs w:val="28"/>
        </w:rPr>
        <w:t>Globe Financial Holdings Inc</w:t>
      </w:r>
      <w:r w:rsidR="0010330F">
        <w:rPr>
          <w:rFonts w:ascii="Avenir Next" w:hAnsi="Avenir Next"/>
          <w:color w:val="808080" w:themeColor="background1" w:themeShade="80"/>
          <w:sz w:val="22"/>
          <w:szCs w:val="28"/>
        </w:rPr>
        <w:t xml:space="preserve"> (the “Company”)</w:t>
      </w:r>
      <w:r w:rsidR="001E07D6">
        <w:rPr>
          <w:rFonts w:ascii="Avenir Next" w:hAnsi="Avenir Next"/>
          <w:color w:val="808080" w:themeColor="background1" w:themeShade="80"/>
          <w:sz w:val="22"/>
          <w:szCs w:val="28"/>
        </w:rPr>
        <w:t xml:space="preserve">. </w:t>
      </w:r>
    </w:p>
    <w:p w14:paraId="6E63E0B2" w14:textId="77777777" w:rsidR="001E07D6" w:rsidRDefault="001E07D6" w:rsidP="009E3CA7">
      <w:pPr>
        <w:jc w:val="both"/>
        <w:rPr>
          <w:rFonts w:ascii="Avenir Next" w:hAnsi="Avenir Next"/>
          <w:color w:val="808080" w:themeColor="background1" w:themeShade="80"/>
          <w:sz w:val="22"/>
          <w:szCs w:val="28"/>
        </w:rPr>
      </w:pPr>
    </w:p>
    <w:p w14:paraId="6A1B3348" w14:textId="77777777" w:rsidR="00364713" w:rsidRDefault="001E07D6"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When considering </w:t>
      </w:r>
      <w:r w:rsidR="00E4580B">
        <w:rPr>
          <w:rFonts w:ascii="Avenir Next" w:hAnsi="Avenir Next"/>
          <w:color w:val="808080" w:themeColor="background1" w:themeShade="80"/>
          <w:sz w:val="22"/>
          <w:szCs w:val="28"/>
        </w:rPr>
        <w:t>any international insolvency proceedings (which this will likely be given the company global presence)</w:t>
      </w:r>
      <w:r w:rsidR="00EA592A">
        <w:rPr>
          <w:rFonts w:ascii="Avenir Next" w:hAnsi="Avenir Next"/>
          <w:color w:val="808080" w:themeColor="background1" w:themeShade="80"/>
          <w:sz w:val="22"/>
          <w:szCs w:val="28"/>
        </w:rPr>
        <w:t>, the</w:t>
      </w:r>
      <w:r w:rsidR="00CC4B1B">
        <w:rPr>
          <w:rFonts w:ascii="Avenir Next" w:hAnsi="Avenir Next"/>
          <w:color w:val="808080" w:themeColor="background1" w:themeShade="80"/>
          <w:sz w:val="22"/>
          <w:szCs w:val="28"/>
        </w:rPr>
        <w:t xml:space="preserve"> </w:t>
      </w:r>
      <w:r w:rsidR="00EA592A">
        <w:rPr>
          <w:rFonts w:ascii="Avenir Next" w:hAnsi="Avenir Next"/>
          <w:color w:val="808080" w:themeColor="background1" w:themeShade="80"/>
          <w:sz w:val="22"/>
          <w:szCs w:val="28"/>
        </w:rPr>
        <w:t xml:space="preserve">may key </w:t>
      </w:r>
      <w:r w:rsidR="00CC4B1B">
        <w:rPr>
          <w:rFonts w:ascii="Avenir Next" w:hAnsi="Avenir Next"/>
          <w:color w:val="808080" w:themeColor="background1" w:themeShade="80"/>
          <w:sz w:val="22"/>
          <w:szCs w:val="28"/>
        </w:rPr>
        <w:t xml:space="preserve">item </w:t>
      </w:r>
      <w:r w:rsidR="00EA592A">
        <w:rPr>
          <w:rFonts w:ascii="Avenir Next" w:hAnsi="Avenir Next"/>
          <w:color w:val="808080" w:themeColor="background1" w:themeShade="80"/>
          <w:sz w:val="22"/>
          <w:szCs w:val="28"/>
        </w:rPr>
        <w:t xml:space="preserve">to consider for </w:t>
      </w:r>
      <w:r w:rsidR="00CC4B1B">
        <w:rPr>
          <w:rFonts w:ascii="Avenir Next" w:hAnsi="Avenir Next"/>
          <w:color w:val="808080" w:themeColor="background1" w:themeShade="80"/>
          <w:sz w:val="22"/>
          <w:szCs w:val="28"/>
        </w:rPr>
        <w:t xml:space="preserve">of all international insolvency proceedings is the </w:t>
      </w:r>
      <w:r w:rsidR="00CC4B1B" w:rsidRPr="00CC4B1B">
        <w:rPr>
          <w:rFonts w:ascii="Avenir Next" w:hAnsi="Avenir Next"/>
          <w:color w:val="808080" w:themeColor="background1" w:themeShade="80"/>
          <w:sz w:val="22"/>
          <w:szCs w:val="28"/>
        </w:rPr>
        <w:t>Globe Holdings' Center of Main Interests (</w:t>
      </w:r>
      <w:r w:rsidR="00CC4B1B">
        <w:rPr>
          <w:rFonts w:ascii="Avenir Next" w:hAnsi="Avenir Next"/>
          <w:color w:val="808080" w:themeColor="background1" w:themeShade="80"/>
          <w:sz w:val="22"/>
          <w:szCs w:val="28"/>
        </w:rPr>
        <w:t>“</w:t>
      </w:r>
      <w:r w:rsidR="00CC4B1B" w:rsidRPr="00CC4B1B">
        <w:rPr>
          <w:rFonts w:ascii="Avenir Next" w:hAnsi="Avenir Next"/>
          <w:color w:val="808080" w:themeColor="background1" w:themeShade="80"/>
          <w:sz w:val="22"/>
          <w:szCs w:val="28"/>
        </w:rPr>
        <w:t>COMI</w:t>
      </w:r>
      <w:r w:rsidR="00CC4B1B">
        <w:rPr>
          <w:rFonts w:ascii="Avenir Next" w:hAnsi="Avenir Next"/>
          <w:color w:val="808080" w:themeColor="background1" w:themeShade="80"/>
          <w:sz w:val="22"/>
          <w:szCs w:val="28"/>
        </w:rPr>
        <w:t>”</w:t>
      </w:r>
      <w:r w:rsidR="00CC4B1B" w:rsidRPr="00CC4B1B">
        <w:rPr>
          <w:rFonts w:ascii="Avenir Next" w:hAnsi="Avenir Next"/>
          <w:color w:val="808080" w:themeColor="background1" w:themeShade="80"/>
          <w:sz w:val="22"/>
          <w:szCs w:val="28"/>
        </w:rPr>
        <w:t>)</w:t>
      </w:r>
      <w:r w:rsidR="00093B9A">
        <w:rPr>
          <w:rFonts w:ascii="Avenir Next" w:hAnsi="Avenir Next"/>
          <w:color w:val="808080" w:themeColor="background1" w:themeShade="80"/>
          <w:sz w:val="22"/>
          <w:szCs w:val="28"/>
        </w:rPr>
        <w:t xml:space="preserve"> as this will have a knock on effect of the preliminary filings and also the running of the restructuring</w:t>
      </w:r>
      <w:r w:rsidR="00EA592A">
        <w:rPr>
          <w:rFonts w:ascii="Avenir Next" w:hAnsi="Avenir Next"/>
          <w:color w:val="808080" w:themeColor="background1" w:themeShade="80"/>
          <w:sz w:val="22"/>
          <w:szCs w:val="28"/>
        </w:rPr>
        <w:t xml:space="preserve"> given whichever country is selected will be </w:t>
      </w:r>
      <w:r w:rsidR="00DD5683">
        <w:rPr>
          <w:rFonts w:ascii="Avenir Next" w:hAnsi="Avenir Next"/>
          <w:color w:val="808080" w:themeColor="background1" w:themeShade="80"/>
          <w:sz w:val="22"/>
          <w:szCs w:val="28"/>
        </w:rPr>
        <w:t>the main proceedings and may make binding decisions on all other proceedings</w:t>
      </w:r>
      <w:r w:rsidR="00093B9A">
        <w:rPr>
          <w:rFonts w:ascii="Avenir Next" w:hAnsi="Avenir Next"/>
          <w:color w:val="808080" w:themeColor="background1" w:themeShade="80"/>
          <w:sz w:val="22"/>
          <w:szCs w:val="28"/>
        </w:rPr>
        <w:t>.</w:t>
      </w:r>
    </w:p>
    <w:p w14:paraId="67C9359D" w14:textId="77777777" w:rsidR="00364713" w:rsidRDefault="00364713" w:rsidP="00707FC8">
      <w:pPr>
        <w:jc w:val="both"/>
        <w:rPr>
          <w:rFonts w:ascii="Avenir Next" w:hAnsi="Avenir Next"/>
          <w:color w:val="808080" w:themeColor="background1" w:themeShade="80"/>
          <w:sz w:val="22"/>
          <w:szCs w:val="28"/>
        </w:rPr>
      </w:pPr>
    </w:p>
    <w:p w14:paraId="6843AE91" w14:textId="4C8556B7" w:rsidR="00CC4B1B" w:rsidRDefault="00364713"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assessing the COMI, </w:t>
      </w:r>
      <w:r w:rsidR="0096663B">
        <w:rPr>
          <w:rFonts w:ascii="Avenir Next" w:hAnsi="Avenir Next"/>
          <w:color w:val="808080" w:themeColor="background1" w:themeShade="80"/>
          <w:sz w:val="22"/>
          <w:szCs w:val="28"/>
        </w:rPr>
        <w:t xml:space="preserve">several key factors should be considered, such as main </w:t>
      </w:r>
      <w:r w:rsidR="008F4F07">
        <w:rPr>
          <w:rFonts w:ascii="Avenir Next" w:hAnsi="Avenir Next"/>
          <w:color w:val="808080" w:themeColor="background1" w:themeShade="80"/>
          <w:sz w:val="22"/>
          <w:szCs w:val="28"/>
        </w:rPr>
        <w:t>location of</w:t>
      </w:r>
      <w:r w:rsidR="0096663B">
        <w:rPr>
          <w:rFonts w:ascii="Avenir Next" w:hAnsi="Avenir Next"/>
          <w:color w:val="808080" w:themeColor="background1" w:themeShade="80"/>
          <w:sz w:val="22"/>
          <w:szCs w:val="28"/>
        </w:rPr>
        <w:t xml:space="preserve"> assets, creditors,</w:t>
      </w:r>
      <w:r w:rsidR="008F4F07">
        <w:rPr>
          <w:rFonts w:ascii="Avenir Next" w:hAnsi="Avenir Next"/>
          <w:color w:val="808080" w:themeColor="background1" w:themeShade="80"/>
          <w:sz w:val="22"/>
          <w:szCs w:val="28"/>
        </w:rPr>
        <w:t xml:space="preserve"> where the functional management of the business is undertaken</w:t>
      </w:r>
      <w:r w:rsidR="0010330F">
        <w:rPr>
          <w:rFonts w:ascii="Avenir Next" w:hAnsi="Avenir Next"/>
          <w:color w:val="808080" w:themeColor="background1" w:themeShade="80"/>
          <w:sz w:val="22"/>
          <w:szCs w:val="28"/>
        </w:rPr>
        <w:t xml:space="preserve">. Given </w:t>
      </w:r>
      <w:r w:rsidR="00114290">
        <w:rPr>
          <w:rFonts w:ascii="Avenir Next" w:hAnsi="Avenir Next"/>
          <w:color w:val="808080" w:themeColor="background1" w:themeShade="80"/>
          <w:sz w:val="22"/>
          <w:szCs w:val="28"/>
        </w:rPr>
        <w:t>the lack of</w:t>
      </w:r>
      <w:r w:rsidR="00A40B0E">
        <w:rPr>
          <w:rFonts w:ascii="Avenir Next" w:hAnsi="Avenir Next"/>
          <w:color w:val="808080" w:themeColor="background1" w:themeShade="80"/>
          <w:sz w:val="22"/>
          <w:szCs w:val="28"/>
        </w:rPr>
        <w:t xml:space="preserve"> independent business operations, the Company only </w:t>
      </w:r>
      <w:r w:rsidR="00A40B0E" w:rsidRPr="00A40B0E">
        <w:rPr>
          <w:rFonts w:ascii="Avenir Next" w:hAnsi="Avenir Next"/>
          <w:color w:val="808080" w:themeColor="background1" w:themeShade="80"/>
          <w:sz w:val="22"/>
          <w:szCs w:val="28"/>
        </w:rPr>
        <w:t>re-incorporated in the Cayman Islands in 2010 (from Canada),</w:t>
      </w:r>
      <w:r w:rsidR="00D95F2B" w:rsidRPr="00D95F2B">
        <w:t xml:space="preserve"> </w:t>
      </w:r>
      <w:r w:rsidR="00D95F2B">
        <w:t xml:space="preserve">the </w:t>
      </w:r>
      <w:r w:rsidR="00D95F2B" w:rsidRPr="00D95F2B">
        <w:rPr>
          <w:rFonts w:ascii="Avenir Next" w:hAnsi="Avenir Next"/>
          <w:color w:val="808080" w:themeColor="background1" w:themeShade="80"/>
          <w:sz w:val="22"/>
          <w:szCs w:val="28"/>
        </w:rPr>
        <w:t xml:space="preserve">bank account </w:t>
      </w:r>
      <w:r w:rsidR="00D95F2B">
        <w:rPr>
          <w:rFonts w:ascii="Avenir Next" w:hAnsi="Avenir Next"/>
          <w:color w:val="808080" w:themeColor="background1" w:themeShade="80"/>
          <w:sz w:val="22"/>
          <w:szCs w:val="28"/>
        </w:rPr>
        <w:t xml:space="preserve">was only </w:t>
      </w:r>
      <w:r w:rsidR="00D95F2B" w:rsidRPr="00D95F2B">
        <w:rPr>
          <w:rFonts w:ascii="Avenir Next" w:hAnsi="Avenir Next"/>
          <w:color w:val="808080" w:themeColor="background1" w:themeShade="80"/>
          <w:sz w:val="22"/>
          <w:szCs w:val="28"/>
        </w:rPr>
        <w:t>opened just a few days ago</w:t>
      </w:r>
      <w:r w:rsidR="0095319A">
        <w:rPr>
          <w:rFonts w:ascii="Avenir Next" w:hAnsi="Avenir Next"/>
          <w:color w:val="808080" w:themeColor="background1" w:themeShade="80"/>
          <w:sz w:val="22"/>
          <w:szCs w:val="28"/>
        </w:rPr>
        <w:t xml:space="preserve"> which only pays operating expenses</w:t>
      </w:r>
      <w:r w:rsidR="003B379E">
        <w:rPr>
          <w:rFonts w:ascii="Avenir Next" w:hAnsi="Avenir Next"/>
          <w:color w:val="808080" w:themeColor="background1" w:themeShade="80"/>
          <w:sz w:val="22"/>
          <w:szCs w:val="28"/>
        </w:rPr>
        <w:t xml:space="preserve">, meetings are held virtually in Cayman / and or at their legal </w:t>
      </w:r>
      <w:proofErr w:type="gramStart"/>
      <w:r w:rsidR="00F47B5A">
        <w:rPr>
          <w:rFonts w:ascii="Avenir Next" w:hAnsi="Avenir Next"/>
          <w:color w:val="808080" w:themeColor="background1" w:themeShade="80"/>
          <w:sz w:val="22"/>
          <w:szCs w:val="28"/>
        </w:rPr>
        <w:t>counsels</w:t>
      </w:r>
      <w:proofErr w:type="gramEnd"/>
      <w:r w:rsidR="003B379E">
        <w:rPr>
          <w:rFonts w:ascii="Avenir Next" w:hAnsi="Avenir Next"/>
          <w:color w:val="808080" w:themeColor="background1" w:themeShade="80"/>
          <w:sz w:val="22"/>
          <w:szCs w:val="28"/>
        </w:rPr>
        <w:t xml:space="preserve"> address,</w:t>
      </w:r>
      <w:r w:rsidR="00AC200F">
        <w:rPr>
          <w:rFonts w:ascii="Avenir Next" w:hAnsi="Avenir Next"/>
          <w:color w:val="808080" w:themeColor="background1" w:themeShade="80"/>
          <w:sz w:val="22"/>
          <w:szCs w:val="28"/>
        </w:rPr>
        <w:t xml:space="preserve"> </w:t>
      </w:r>
      <w:r w:rsidR="003B379E" w:rsidRPr="003B379E">
        <w:rPr>
          <w:rFonts w:ascii="Avenir Next" w:hAnsi="Avenir Next"/>
          <w:color w:val="808080" w:themeColor="background1" w:themeShade="80"/>
          <w:sz w:val="22"/>
          <w:szCs w:val="28"/>
        </w:rPr>
        <w:t xml:space="preserve">subsidiaries are all incorporated under </w:t>
      </w:r>
      <w:r w:rsidR="00AC200F">
        <w:rPr>
          <w:rFonts w:ascii="Avenir Next" w:hAnsi="Avenir Next"/>
          <w:color w:val="808080" w:themeColor="background1" w:themeShade="80"/>
          <w:sz w:val="22"/>
          <w:szCs w:val="28"/>
        </w:rPr>
        <w:t>U</w:t>
      </w:r>
      <w:r w:rsidR="003B379E" w:rsidRPr="003B379E">
        <w:rPr>
          <w:rFonts w:ascii="Avenir Next" w:hAnsi="Avenir Next"/>
          <w:color w:val="808080" w:themeColor="background1" w:themeShade="80"/>
          <w:sz w:val="22"/>
          <w:szCs w:val="28"/>
        </w:rPr>
        <w:t>S laws</w:t>
      </w:r>
      <w:r w:rsidR="00AC200F">
        <w:rPr>
          <w:rFonts w:ascii="Avenir Next" w:hAnsi="Avenir Next"/>
          <w:color w:val="808080" w:themeColor="background1" w:themeShade="80"/>
          <w:sz w:val="22"/>
          <w:szCs w:val="28"/>
        </w:rPr>
        <w:t xml:space="preserve"> and all </w:t>
      </w:r>
      <w:r w:rsidR="003B379E" w:rsidRPr="003B379E">
        <w:rPr>
          <w:rFonts w:ascii="Avenir Next" w:hAnsi="Avenir Next"/>
          <w:color w:val="808080" w:themeColor="background1" w:themeShade="80"/>
          <w:sz w:val="22"/>
          <w:szCs w:val="28"/>
        </w:rPr>
        <w:t>employees are in the US</w:t>
      </w:r>
      <w:r w:rsidR="00AC200F">
        <w:rPr>
          <w:rFonts w:ascii="Avenir Next" w:hAnsi="Avenir Next"/>
          <w:color w:val="808080" w:themeColor="background1" w:themeShade="80"/>
          <w:sz w:val="22"/>
          <w:szCs w:val="28"/>
        </w:rPr>
        <w:t xml:space="preserve"> alongside their </w:t>
      </w:r>
      <w:r w:rsidR="003B379E" w:rsidRPr="003B379E">
        <w:rPr>
          <w:rFonts w:ascii="Avenir Next" w:hAnsi="Avenir Next"/>
          <w:color w:val="808080" w:themeColor="background1" w:themeShade="80"/>
          <w:sz w:val="22"/>
          <w:szCs w:val="28"/>
        </w:rPr>
        <w:t>headquarters are also in the US</w:t>
      </w:r>
      <w:r w:rsidR="00AC200F">
        <w:rPr>
          <w:rFonts w:ascii="Avenir Next" w:hAnsi="Avenir Next"/>
          <w:color w:val="808080" w:themeColor="background1" w:themeShade="80"/>
          <w:sz w:val="22"/>
          <w:szCs w:val="28"/>
        </w:rPr>
        <w:t xml:space="preserve">. It would be fare </w:t>
      </w:r>
      <w:r w:rsidR="000F4B71">
        <w:rPr>
          <w:rFonts w:ascii="Avenir Next" w:hAnsi="Avenir Next"/>
          <w:color w:val="808080" w:themeColor="background1" w:themeShade="80"/>
          <w:sz w:val="22"/>
          <w:szCs w:val="28"/>
        </w:rPr>
        <w:t xml:space="preserve">and likely agreed by the </w:t>
      </w:r>
      <w:r w:rsidR="00F47B5A">
        <w:rPr>
          <w:rFonts w:ascii="Avenir Next" w:hAnsi="Avenir Next"/>
          <w:color w:val="808080" w:themeColor="background1" w:themeShade="80"/>
          <w:sz w:val="22"/>
          <w:szCs w:val="28"/>
        </w:rPr>
        <w:t>courts</w:t>
      </w:r>
      <w:r w:rsidR="000F4B71">
        <w:rPr>
          <w:rFonts w:ascii="Avenir Next" w:hAnsi="Avenir Next"/>
          <w:color w:val="808080" w:themeColor="background1" w:themeShade="80"/>
          <w:sz w:val="22"/>
          <w:szCs w:val="28"/>
        </w:rPr>
        <w:t xml:space="preserve"> that </w:t>
      </w:r>
      <w:r w:rsidR="00AC200F">
        <w:rPr>
          <w:rFonts w:ascii="Avenir Next" w:hAnsi="Avenir Next"/>
          <w:color w:val="808080" w:themeColor="background1" w:themeShade="80"/>
          <w:sz w:val="22"/>
          <w:szCs w:val="28"/>
        </w:rPr>
        <w:t xml:space="preserve">Company’s COMI </w:t>
      </w:r>
      <w:proofErr w:type="gramStart"/>
      <w:r w:rsidR="00AC200F">
        <w:rPr>
          <w:rFonts w:ascii="Avenir Next" w:hAnsi="Avenir Next"/>
          <w:color w:val="808080" w:themeColor="background1" w:themeShade="80"/>
          <w:sz w:val="22"/>
          <w:szCs w:val="28"/>
        </w:rPr>
        <w:t>is located in</w:t>
      </w:r>
      <w:proofErr w:type="gramEnd"/>
      <w:r w:rsidR="00AC200F">
        <w:rPr>
          <w:rFonts w:ascii="Avenir Next" w:hAnsi="Avenir Next"/>
          <w:color w:val="808080" w:themeColor="background1" w:themeShade="80"/>
          <w:sz w:val="22"/>
          <w:szCs w:val="28"/>
        </w:rPr>
        <w:t xml:space="preserve"> the US</w:t>
      </w:r>
      <w:r w:rsidR="000F4B71">
        <w:rPr>
          <w:rFonts w:ascii="Avenir Next" w:hAnsi="Avenir Next"/>
          <w:color w:val="808080" w:themeColor="background1" w:themeShade="80"/>
          <w:sz w:val="22"/>
          <w:szCs w:val="28"/>
        </w:rPr>
        <w:t xml:space="preserve">. </w:t>
      </w:r>
    </w:p>
    <w:p w14:paraId="7B518FCF" w14:textId="77777777" w:rsidR="005031DC" w:rsidRDefault="005031DC" w:rsidP="00707FC8">
      <w:pPr>
        <w:jc w:val="both"/>
        <w:rPr>
          <w:rFonts w:ascii="Avenir Next" w:hAnsi="Avenir Next"/>
          <w:color w:val="808080" w:themeColor="background1" w:themeShade="80"/>
          <w:sz w:val="22"/>
          <w:szCs w:val="28"/>
        </w:rPr>
      </w:pPr>
    </w:p>
    <w:p w14:paraId="658CE403" w14:textId="70DF95DE" w:rsidR="005031DC" w:rsidRDefault="005031DC"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However, the </w:t>
      </w:r>
      <w:r w:rsidRPr="005031DC">
        <w:rPr>
          <w:rFonts w:ascii="Avenir Next" w:hAnsi="Avenir Next"/>
          <w:color w:val="808080" w:themeColor="background1" w:themeShade="80"/>
          <w:sz w:val="22"/>
          <w:szCs w:val="28"/>
        </w:rPr>
        <w:t>re-domiciliation to the Cayman Islands</w:t>
      </w:r>
      <w:r w:rsidR="00AC2F20">
        <w:rPr>
          <w:rFonts w:ascii="Avenir Next" w:hAnsi="Avenir Next"/>
          <w:color w:val="808080" w:themeColor="background1" w:themeShade="80"/>
          <w:sz w:val="22"/>
          <w:szCs w:val="28"/>
        </w:rPr>
        <w:t xml:space="preserve"> with its </w:t>
      </w:r>
      <w:r w:rsidR="00F47B5A">
        <w:rPr>
          <w:rFonts w:ascii="Avenir Next" w:hAnsi="Avenir Next"/>
          <w:color w:val="808080" w:themeColor="background1" w:themeShade="80"/>
          <w:sz w:val="22"/>
          <w:szCs w:val="28"/>
        </w:rPr>
        <w:t>counsel</w:t>
      </w:r>
      <w:r w:rsidR="00AC2F20">
        <w:rPr>
          <w:rFonts w:ascii="Avenir Next" w:hAnsi="Avenir Next"/>
          <w:color w:val="808080" w:themeColor="background1" w:themeShade="80"/>
          <w:sz w:val="22"/>
          <w:szCs w:val="28"/>
        </w:rPr>
        <w:t xml:space="preserve"> also being located their will </w:t>
      </w:r>
      <w:r w:rsidRPr="005031DC">
        <w:rPr>
          <w:rFonts w:ascii="Avenir Next" w:hAnsi="Avenir Next"/>
          <w:color w:val="808080" w:themeColor="background1" w:themeShade="80"/>
          <w:sz w:val="22"/>
          <w:szCs w:val="28"/>
        </w:rPr>
        <w:t xml:space="preserve">present </w:t>
      </w:r>
      <w:r w:rsidR="00AC2F20">
        <w:rPr>
          <w:rFonts w:ascii="Avenir Next" w:hAnsi="Avenir Next"/>
          <w:color w:val="808080" w:themeColor="background1" w:themeShade="80"/>
          <w:sz w:val="22"/>
          <w:szCs w:val="28"/>
        </w:rPr>
        <w:t xml:space="preserve">some </w:t>
      </w:r>
      <w:r w:rsidRPr="005031DC">
        <w:rPr>
          <w:rFonts w:ascii="Avenir Next" w:hAnsi="Avenir Next"/>
          <w:color w:val="808080" w:themeColor="background1" w:themeShade="80"/>
          <w:sz w:val="22"/>
          <w:szCs w:val="28"/>
        </w:rPr>
        <w:t>challenges to the assertion</w:t>
      </w:r>
      <w:r w:rsidR="00AC2F20">
        <w:rPr>
          <w:rFonts w:ascii="Avenir Next" w:hAnsi="Avenir Next"/>
          <w:color w:val="808080" w:themeColor="background1" w:themeShade="80"/>
          <w:sz w:val="22"/>
          <w:szCs w:val="28"/>
        </w:rPr>
        <w:t>, noting the fact that b</w:t>
      </w:r>
      <w:r w:rsidRPr="005031DC">
        <w:rPr>
          <w:rFonts w:ascii="Avenir Next" w:hAnsi="Avenir Next"/>
          <w:color w:val="808080" w:themeColor="background1" w:themeShade="80"/>
          <w:sz w:val="22"/>
          <w:szCs w:val="28"/>
        </w:rPr>
        <w:t>oard meetings are held virtually</w:t>
      </w:r>
      <w:r w:rsidR="000B6086">
        <w:rPr>
          <w:rFonts w:ascii="Avenir Next" w:hAnsi="Avenir Next"/>
          <w:color w:val="808080" w:themeColor="background1" w:themeShade="80"/>
          <w:sz w:val="22"/>
          <w:szCs w:val="28"/>
        </w:rPr>
        <w:t xml:space="preserve"> from here. </w:t>
      </w:r>
    </w:p>
    <w:p w14:paraId="350528D7" w14:textId="77777777" w:rsidR="000F4B71" w:rsidRDefault="000F4B71" w:rsidP="00707FC8">
      <w:pPr>
        <w:jc w:val="both"/>
        <w:rPr>
          <w:rFonts w:ascii="Avenir Next" w:hAnsi="Avenir Next"/>
          <w:color w:val="808080" w:themeColor="background1" w:themeShade="80"/>
          <w:sz w:val="22"/>
          <w:szCs w:val="28"/>
        </w:rPr>
      </w:pPr>
    </w:p>
    <w:p w14:paraId="481456D5" w14:textId="423F2E2E" w:rsidR="001A3D7D" w:rsidRDefault="001A3D7D"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If determined to be the US,</w:t>
      </w:r>
      <w:r w:rsidR="00496D19">
        <w:rPr>
          <w:rFonts w:ascii="Avenir Next" w:hAnsi="Avenir Next"/>
          <w:color w:val="808080" w:themeColor="background1" w:themeShade="80"/>
          <w:sz w:val="22"/>
          <w:szCs w:val="28"/>
        </w:rPr>
        <w:t xml:space="preserve"> </w:t>
      </w:r>
      <w:r w:rsidR="00747182">
        <w:rPr>
          <w:rFonts w:ascii="Avenir Next" w:hAnsi="Avenir Next"/>
          <w:color w:val="808080" w:themeColor="background1" w:themeShade="80"/>
          <w:sz w:val="22"/>
          <w:szCs w:val="28"/>
        </w:rPr>
        <w:t>an application should be made to the US court under Chapter 15</w:t>
      </w:r>
      <w:r>
        <w:rPr>
          <w:rFonts w:ascii="Avenir Next" w:hAnsi="Avenir Next"/>
          <w:color w:val="808080" w:themeColor="background1" w:themeShade="80"/>
          <w:sz w:val="22"/>
          <w:szCs w:val="28"/>
        </w:rPr>
        <w:t xml:space="preserve"> </w:t>
      </w:r>
      <w:r w:rsidR="00EA5183">
        <w:rPr>
          <w:rFonts w:ascii="Avenir Next" w:hAnsi="Avenir Next"/>
          <w:color w:val="808080" w:themeColor="background1" w:themeShade="80"/>
          <w:sz w:val="22"/>
          <w:szCs w:val="28"/>
        </w:rPr>
        <w:t>(this can also facilitate recognition in the Cayman Islands</w:t>
      </w:r>
      <w:r w:rsidR="00B97A64">
        <w:rPr>
          <w:rFonts w:ascii="Avenir Next" w:hAnsi="Avenir Next"/>
          <w:color w:val="808080" w:themeColor="background1" w:themeShade="80"/>
          <w:sz w:val="22"/>
          <w:szCs w:val="28"/>
        </w:rPr>
        <w:t xml:space="preserve"> due to its adoption of the 1997 </w:t>
      </w:r>
      <w:proofErr w:type="spellStart"/>
      <w:r w:rsidR="00B97A64">
        <w:rPr>
          <w:rFonts w:ascii="Avenir Next" w:hAnsi="Avenir Next"/>
          <w:color w:val="808080" w:themeColor="background1" w:themeShade="80"/>
          <w:sz w:val="22"/>
          <w:szCs w:val="28"/>
        </w:rPr>
        <w:t>U</w:t>
      </w:r>
      <w:r w:rsidR="00726868">
        <w:rPr>
          <w:rFonts w:ascii="Avenir Next" w:hAnsi="Avenir Next"/>
          <w:color w:val="808080" w:themeColor="background1" w:themeShade="80"/>
          <w:sz w:val="22"/>
          <w:szCs w:val="28"/>
        </w:rPr>
        <w:t>NCITRAL</w:t>
      </w:r>
      <w:proofErr w:type="spellEnd"/>
      <w:r w:rsidR="00B97A64">
        <w:rPr>
          <w:rFonts w:ascii="Avenir Next" w:hAnsi="Avenir Next"/>
          <w:color w:val="808080" w:themeColor="background1" w:themeShade="80"/>
          <w:sz w:val="22"/>
          <w:szCs w:val="28"/>
        </w:rPr>
        <w:t xml:space="preserve"> Model Law</w:t>
      </w:r>
      <w:r w:rsidR="00726868">
        <w:rPr>
          <w:rFonts w:ascii="Avenir Next" w:hAnsi="Avenir Next"/>
          <w:color w:val="808080" w:themeColor="background1" w:themeShade="80"/>
          <w:sz w:val="22"/>
          <w:szCs w:val="28"/>
        </w:rPr>
        <w:t>,</w:t>
      </w:r>
      <w:r w:rsidR="00EA5183">
        <w:rPr>
          <w:rFonts w:ascii="Avenir Next" w:hAnsi="Avenir Next"/>
          <w:color w:val="808080" w:themeColor="background1" w:themeShade="80"/>
          <w:sz w:val="22"/>
          <w:szCs w:val="28"/>
        </w:rPr>
        <w:t xml:space="preserve"> offering US</w:t>
      </w:r>
      <w:r w:rsidR="001F5FCE">
        <w:rPr>
          <w:rFonts w:ascii="Avenir Next" w:hAnsi="Avenir Next"/>
          <w:color w:val="808080" w:themeColor="background1" w:themeShade="80"/>
          <w:sz w:val="22"/>
          <w:szCs w:val="28"/>
        </w:rPr>
        <w:t xml:space="preserve"> bankruptcy</w:t>
      </w:r>
      <w:r w:rsidR="00EA5183">
        <w:rPr>
          <w:rFonts w:ascii="Avenir Next" w:hAnsi="Avenir Next"/>
          <w:color w:val="808080" w:themeColor="background1" w:themeShade="80"/>
          <w:sz w:val="22"/>
          <w:szCs w:val="28"/>
        </w:rPr>
        <w:t xml:space="preserve"> protections in country</w:t>
      </w:r>
      <w:r w:rsidR="001F5FCE">
        <w:rPr>
          <w:rFonts w:ascii="Avenir Next" w:hAnsi="Avenir Next"/>
          <w:color w:val="808080" w:themeColor="background1" w:themeShade="80"/>
          <w:sz w:val="22"/>
          <w:szCs w:val="28"/>
        </w:rPr>
        <w:t>)</w:t>
      </w:r>
      <w:r w:rsidR="00EA5183">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r</w:t>
      </w:r>
      <w:r w:rsidRPr="001A3D7D">
        <w:rPr>
          <w:rFonts w:ascii="Avenir Next" w:hAnsi="Avenir Next"/>
          <w:color w:val="808080" w:themeColor="background1" w:themeShade="80"/>
          <w:sz w:val="22"/>
          <w:szCs w:val="28"/>
        </w:rPr>
        <w:t xml:space="preserve">ecognition as the main proceeding </w:t>
      </w:r>
      <w:r w:rsidR="00E805C4">
        <w:rPr>
          <w:rFonts w:ascii="Avenir Next" w:hAnsi="Avenir Next"/>
          <w:color w:val="808080" w:themeColor="background1" w:themeShade="80"/>
          <w:sz w:val="22"/>
          <w:szCs w:val="28"/>
        </w:rPr>
        <w:t xml:space="preserve">which </w:t>
      </w:r>
      <w:r w:rsidR="00E805C4" w:rsidRPr="00E805C4">
        <w:rPr>
          <w:rFonts w:ascii="Avenir Next" w:hAnsi="Avenir Next"/>
          <w:color w:val="808080" w:themeColor="background1" w:themeShade="80"/>
          <w:sz w:val="22"/>
          <w:szCs w:val="28"/>
        </w:rPr>
        <w:t>provides more control and protection to the debtor and stakeholders during the restructuring</w:t>
      </w:r>
      <w:r w:rsidR="0037449C">
        <w:rPr>
          <w:rFonts w:ascii="Avenir Next" w:hAnsi="Avenir Next"/>
          <w:color w:val="808080" w:themeColor="background1" w:themeShade="80"/>
          <w:sz w:val="22"/>
          <w:szCs w:val="28"/>
        </w:rPr>
        <w:t xml:space="preserve">. </w:t>
      </w:r>
      <w:r w:rsidR="00E22531">
        <w:rPr>
          <w:rFonts w:ascii="Avenir Next" w:hAnsi="Avenir Next"/>
          <w:color w:val="808080" w:themeColor="background1" w:themeShade="80"/>
          <w:sz w:val="22"/>
          <w:szCs w:val="28"/>
        </w:rPr>
        <w:t>This is also the location of the companies’ assets and should therefore also assist on the effective distribution of assets to creditors in country with their own courts being responsible alongside the creditors and insolvency practitioners as they can dictate this in their own jurisdiction.</w:t>
      </w:r>
    </w:p>
    <w:p w14:paraId="01D86505" w14:textId="77777777" w:rsidR="00DC02C9" w:rsidRDefault="00DC02C9" w:rsidP="00707FC8">
      <w:pPr>
        <w:jc w:val="both"/>
        <w:rPr>
          <w:rFonts w:ascii="Avenir Next" w:hAnsi="Avenir Next"/>
          <w:color w:val="808080" w:themeColor="background1" w:themeShade="80"/>
          <w:sz w:val="22"/>
          <w:szCs w:val="28"/>
        </w:rPr>
      </w:pPr>
    </w:p>
    <w:p w14:paraId="259F72EC" w14:textId="4A92C971" w:rsidR="00547FD2" w:rsidRDefault="00672B6F"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Given that Globe Holdings</w:t>
      </w:r>
      <w:r w:rsidR="00E608A3">
        <w:rPr>
          <w:rFonts w:ascii="Avenir Next" w:hAnsi="Avenir Next"/>
          <w:color w:val="808080" w:themeColor="background1" w:themeShade="80"/>
          <w:sz w:val="22"/>
          <w:szCs w:val="28"/>
        </w:rPr>
        <w:t xml:space="preserve"> commenced a scheme under </w:t>
      </w:r>
      <w:r w:rsidR="00D6751D">
        <w:rPr>
          <w:rFonts w:ascii="Avenir Next" w:hAnsi="Avenir Next"/>
          <w:color w:val="808080" w:themeColor="background1" w:themeShade="80"/>
          <w:sz w:val="22"/>
          <w:szCs w:val="28"/>
        </w:rPr>
        <w:t xml:space="preserve">the Cayman Islands, and that </w:t>
      </w:r>
      <w:r w:rsidR="00D6751D" w:rsidRPr="00D6751D">
        <w:rPr>
          <w:rFonts w:ascii="Avenir Next" w:hAnsi="Avenir Next"/>
          <w:color w:val="808080" w:themeColor="background1" w:themeShade="80"/>
          <w:sz w:val="22"/>
          <w:szCs w:val="28"/>
        </w:rPr>
        <w:t>91.83% in number and 99.34% in value voting in favor of the Scheme</w:t>
      </w:r>
      <w:r w:rsidR="00234467">
        <w:rPr>
          <w:rFonts w:ascii="Avenir Next" w:hAnsi="Avenir Next"/>
          <w:color w:val="808080" w:themeColor="background1" w:themeShade="80"/>
          <w:sz w:val="22"/>
          <w:szCs w:val="28"/>
        </w:rPr>
        <w:t>, recognition in the Cayman Islands should be a key focus</w:t>
      </w:r>
      <w:r w:rsidR="00557E4E">
        <w:rPr>
          <w:rFonts w:ascii="Avenir Next" w:hAnsi="Avenir Next"/>
          <w:color w:val="808080" w:themeColor="background1" w:themeShade="80"/>
          <w:sz w:val="22"/>
          <w:szCs w:val="28"/>
        </w:rPr>
        <w:t xml:space="preserve">. </w:t>
      </w:r>
    </w:p>
    <w:p w14:paraId="40644E90" w14:textId="77777777" w:rsidR="00CC4B1B" w:rsidRDefault="00CC4B1B" w:rsidP="00707FC8">
      <w:pPr>
        <w:jc w:val="both"/>
        <w:rPr>
          <w:rFonts w:ascii="Avenir Next" w:hAnsi="Avenir Next"/>
          <w:color w:val="808080" w:themeColor="background1" w:themeShade="80"/>
          <w:sz w:val="22"/>
          <w:szCs w:val="28"/>
        </w:rPr>
      </w:pPr>
    </w:p>
    <w:p w14:paraId="43A441E9" w14:textId="624CEE97" w:rsidR="00126E19" w:rsidRDefault="00557E4E"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B815AC">
        <w:rPr>
          <w:rFonts w:ascii="Avenir Next" w:hAnsi="Avenir Next"/>
          <w:color w:val="808080" w:themeColor="background1" w:themeShade="80"/>
          <w:sz w:val="22"/>
          <w:szCs w:val="28"/>
        </w:rPr>
        <w:t>he papers required</w:t>
      </w:r>
      <w:r>
        <w:rPr>
          <w:rFonts w:ascii="Avenir Next" w:hAnsi="Avenir Next"/>
          <w:color w:val="808080" w:themeColor="background1" w:themeShade="80"/>
          <w:sz w:val="22"/>
          <w:szCs w:val="28"/>
        </w:rPr>
        <w:t xml:space="preserve"> should a filing be made in the US</w:t>
      </w:r>
      <w:r w:rsidR="00B815AC">
        <w:rPr>
          <w:rFonts w:ascii="Avenir Next" w:hAnsi="Avenir Next"/>
          <w:color w:val="808080" w:themeColor="background1" w:themeShade="80"/>
          <w:sz w:val="22"/>
          <w:szCs w:val="28"/>
        </w:rPr>
        <w:t xml:space="preserve"> </w:t>
      </w:r>
      <w:r w:rsidR="00732F7E">
        <w:rPr>
          <w:rFonts w:ascii="Avenir Next" w:hAnsi="Avenir Next"/>
          <w:color w:val="808080" w:themeColor="background1" w:themeShade="80"/>
          <w:sz w:val="22"/>
          <w:szCs w:val="28"/>
        </w:rPr>
        <w:t>will be</w:t>
      </w:r>
      <w:r>
        <w:rPr>
          <w:rFonts w:ascii="Avenir Next" w:hAnsi="Avenir Next"/>
          <w:color w:val="808080" w:themeColor="background1" w:themeShade="80"/>
          <w:sz w:val="22"/>
          <w:szCs w:val="28"/>
        </w:rPr>
        <w:t>:</w:t>
      </w:r>
    </w:p>
    <w:p w14:paraId="77ADBEA0" w14:textId="4F9DE8CA" w:rsidR="00557E4E" w:rsidRDefault="00557E4E" w:rsidP="00557E4E">
      <w:pPr>
        <w:pStyle w:val="ListParagraph"/>
        <w:numPr>
          <w:ilvl w:val="0"/>
          <w:numId w:val="20"/>
        </w:numPr>
        <w:jc w:val="both"/>
        <w:rPr>
          <w:rFonts w:ascii="Avenir Next" w:hAnsi="Avenir Next"/>
          <w:color w:val="808080" w:themeColor="background1" w:themeShade="80"/>
          <w:sz w:val="22"/>
          <w:szCs w:val="28"/>
        </w:rPr>
      </w:pPr>
      <w:r w:rsidRPr="00557E4E">
        <w:rPr>
          <w:rFonts w:ascii="Avenir Next" w:hAnsi="Avenir Next"/>
          <w:color w:val="808080" w:themeColor="background1" w:themeShade="80"/>
          <w:sz w:val="22"/>
          <w:szCs w:val="28"/>
        </w:rPr>
        <w:t>The chapter 15 petition</w:t>
      </w:r>
    </w:p>
    <w:p w14:paraId="77F85F47" w14:textId="1E826038" w:rsidR="00557E4E" w:rsidRPr="00557E4E" w:rsidRDefault="00557E4E" w:rsidP="00557E4E">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Certification of good standing for the debtor</w:t>
      </w:r>
    </w:p>
    <w:p w14:paraId="13BDE4C8" w14:textId="19943923" w:rsidR="00557E4E" w:rsidRPr="00557E4E" w:rsidRDefault="00557E4E" w:rsidP="00557E4E">
      <w:pPr>
        <w:pStyle w:val="ListParagraph"/>
        <w:numPr>
          <w:ilvl w:val="0"/>
          <w:numId w:val="20"/>
        </w:numPr>
        <w:jc w:val="both"/>
        <w:rPr>
          <w:rFonts w:ascii="Avenir Next" w:hAnsi="Avenir Next"/>
          <w:color w:val="808080" w:themeColor="background1" w:themeShade="80"/>
          <w:sz w:val="22"/>
          <w:szCs w:val="28"/>
        </w:rPr>
      </w:pPr>
      <w:r w:rsidRPr="00557E4E">
        <w:rPr>
          <w:rFonts w:ascii="Avenir Next" w:hAnsi="Avenir Next"/>
          <w:color w:val="808080" w:themeColor="background1" w:themeShade="80"/>
          <w:sz w:val="22"/>
          <w:szCs w:val="28"/>
        </w:rPr>
        <w:lastRenderedPageBreak/>
        <w:t xml:space="preserve">Declaration providing the key information of the case </w:t>
      </w:r>
    </w:p>
    <w:p w14:paraId="6660BB45" w14:textId="7DFC8EB1" w:rsidR="00557E4E" w:rsidRPr="00557E4E" w:rsidRDefault="00557E4E" w:rsidP="00557E4E">
      <w:pPr>
        <w:pStyle w:val="ListParagraph"/>
        <w:numPr>
          <w:ilvl w:val="0"/>
          <w:numId w:val="20"/>
        </w:numPr>
        <w:jc w:val="both"/>
        <w:rPr>
          <w:rFonts w:ascii="Avenir Next" w:hAnsi="Avenir Next"/>
          <w:color w:val="808080" w:themeColor="background1" w:themeShade="80"/>
          <w:sz w:val="22"/>
          <w:szCs w:val="28"/>
        </w:rPr>
      </w:pPr>
      <w:r w:rsidRPr="00557E4E">
        <w:rPr>
          <w:rFonts w:ascii="Avenir Next" w:hAnsi="Avenir Next"/>
          <w:color w:val="808080" w:themeColor="background1" w:themeShade="80"/>
          <w:sz w:val="22"/>
          <w:szCs w:val="28"/>
        </w:rPr>
        <w:t xml:space="preserve">Notice of the petition to creditors </w:t>
      </w:r>
    </w:p>
    <w:p w14:paraId="5CFB0712" w14:textId="22AF385D" w:rsidR="00557E4E" w:rsidRDefault="00557E4E" w:rsidP="00557E4E">
      <w:pPr>
        <w:pStyle w:val="ListParagraph"/>
        <w:numPr>
          <w:ilvl w:val="0"/>
          <w:numId w:val="20"/>
        </w:numPr>
        <w:jc w:val="both"/>
        <w:rPr>
          <w:rFonts w:ascii="Avenir Next" w:hAnsi="Avenir Next"/>
          <w:color w:val="808080" w:themeColor="background1" w:themeShade="80"/>
          <w:sz w:val="22"/>
          <w:szCs w:val="28"/>
        </w:rPr>
      </w:pPr>
      <w:r w:rsidRPr="00557E4E">
        <w:rPr>
          <w:rFonts w:ascii="Avenir Next" w:hAnsi="Avenir Next"/>
          <w:color w:val="808080" w:themeColor="background1" w:themeShade="80"/>
          <w:sz w:val="22"/>
          <w:szCs w:val="28"/>
        </w:rPr>
        <w:t xml:space="preserve">Order of the foreign proceedings, being a copy of the order from the main proceedings </w:t>
      </w:r>
      <w:proofErr w:type="gramStart"/>
      <w:r w:rsidRPr="00557E4E">
        <w:rPr>
          <w:rFonts w:ascii="Avenir Next" w:hAnsi="Avenir Next"/>
          <w:color w:val="808080" w:themeColor="background1" w:themeShade="80"/>
          <w:sz w:val="22"/>
          <w:szCs w:val="28"/>
        </w:rPr>
        <w:t>where</w:t>
      </w:r>
      <w:proofErr w:type="gramEnd"/>
      <w:r w:rsidRPr="00557E4E">
        <w:rPr>
          <w:rFonts w:ascii="Avenir Next" w:hAnsi="Avenir Next"/>
          <w:color w:val="808080" w:themeColor="background1" w:themeShade="80"/>
          <w:sz w:val="22"/>
          <w:szCs w:val="28"/>
        </w:rPr>
        <w:t xml:space="preserve"> lodged as applicable</w:t>
      </w:r>
      <w:r w:rsidR="00E22531">
        <w:rPr>
          <w:rFonts w:ascii="Avenir Next" w:hAnsi="Avenir Next"/>
          <w:color w:val="808080" w:themeColor="background1" w:themeShade="80"/>
          <w:sz w:val="22"/>
          <w:szCs w:val="28"/>
        </w:rPr>
        <w:t xml:space="preserve"> (however, based on the above this shouldn’t be required, and instead will be needed as the lodge for recognition in the Cayman islands)</w:t>
      </w:r>
    </w:p>
    <w:p w14:paraId="64F4A29E" w14:textId="2DF0C5B3" w:rsidR="00557E4E" w:rsidRDefault="00557E4E" w:rsidP="00557E4E">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Subject to their being a foreign representative they will need an order as part of the application</w:t>
      </w:r>
    </w:p>
    <w:p w14:paraId="08DD21FF" w14:textId="51F40583" w:rsidR="00557E4E" w:rsidRDefault="00557E4E" w:rsidP="00557E4E">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Documents identifying the </w:t>
      </w:r>
      <w:proofErr w:type="gramStart"/>
      <w:r>
        <w:rPr>
          <w:rFonts w:ascii="Avenir Next" w:hAnsi="Avenir Next"/>
          <w:color w:val="808080" w:themeColor="background1" w:themeShade="80"/>
          <w:sz w:val="22"/>
          <w:szCs w:val="28"/>
        </w:rPr>
        <w:t>debtors</w:t>
      </w:r>
      <w:proofErr w:type="gramEnd"/>
      <w:r>
        <w:rPr>
          <w:rFonts w:ascii="Avenir Next" w:hAnsi="Avenir Next"/>
          <w:color w:val="808080" w:themeColor="background1" w:themeShade="80"/>
          <w:sz w:val="22"/>
          <w:szCs w:val="28"/>
        </w:rPr>
        <w:t xml:space="preserve"> assets and their creditors </w:t>
      </w:r>
    </w:p>
    <w:p w14:paraId="19844EE7" w14:textId="5ECBE85C" w:rsidR="00557E4E" w:rsidRDefault="00557E4E" w:rsidP="00557E4E">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statement of the relief required (</w:t>
      </w:r>
      <w:r w:rsidRPr="00557E4E">
        <w:rPr>
          <w:rFonts w:ascii="Avenir Next" w:hAnsi="Avenir Next"/>
          <w:color w:val="808080" w:themeColor="background1" w:themeShade="80"/>
          <w:sz w:val="22"/>
          <w:szCs w:val="28"/>
        </w:rPr>
        <w:t>such as the recognition of the foreign proceeding, the imposition of an automatic stay on actions against the debtor's assets, or other related relief</w:t>
      </w:r>
      <w:r>
        <w:rPr>
          <w:rFonts w:ascii="Avenir Next" w:hAnsi="Avenir Next"/>
          <w:color w:val="808080" w:themeColor="background1" w:themeShade="80"/>
          <w:sz w:val="22"/>
          <w:szCs w:val="28"/>
        </w:rPr>
        <w:t>)</w:t>
      </w:r>
    </w:p>
    <w:p w14:paraId="02CE9F1D" w14:textId="34597D41" w:rsidR="00557E4E" w:rsidRPr="00557E4E" w:rsidRDefault="00557E4E" w:rsidP="00557E4E">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cheque paying the filing fees </w:t>
      </w:r>
    </w:p>
    <w:p w14:paraId="47E6B47C" w14:textId="051EF782" w:rsidR="00557E4E" w:rsidRDefault="00557E4E" w:rsidP="00707FC8">
      <w:pPr>
        <w:jc w:val="both"/>
        <w:rPr>
          <w:rFonts w:ascii="Avenir Next" w:hAnsi="Avenir Next"/>
          <w:color w:val="808080" w:themeColor="background1" w:themeShade="80"/>
          <w:sz w:val="22"/>
          <w:szCs w:val="28"/>
        </w:rPr>
      </w:pPr>
    </w:p>
    <w:p w14:paraId="1009D70C" w14:textId="732EC4ED" w:rsidR="00E22531" w:rsidRDefault="00E22531"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This will also be the same process in Cayman noting the fact that they are applying for recognition, and with this need to present the initial recognition, this is where a foreign representative in Cayman could also be appointed (although maybe excessive here given limited operation), all relief sought must also be disclosed. </w:t>
      </w:r>
    </w:p>
    <w:p w14:paraId="76EDD659" w14:textId="77777777" w:rsidR="00E22531" w:rsidRDefault="00E22531" w:rsidP="00707FC8">
      <w:pPr>
        <w:jc w:val="both"/>
        <w:rPr>
          <w:rFonts w:ascii="Avenir Next" w:hAnsi="Avenir Next"/>
          <w:color w:val="808080" w:themeColor="background1" w:themeShade="80"/>
          <w:sz w:val="22"/>
          <w:szCs w:val="28"/>
        </w:rPr>
      </w:pPr>
    </w:p>
    <w:p w14:paraId="49D81461" w14:textId="1C6C6302" w:rsidR="00E22531" w:rsidRDefault="00E22531"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day one of the filing in the US </w:t>
      </w:r>
      <w:proofErr w:type="gramStart"/>
      <w:r>
        <w:rPr>
          <w:rFonts w:ascii="Avenir Next" w:hAnsi="Avenir Next"/>
          <w:color w:val="808080" w:themeColor="background1" w:themeShade="80"/>
          <w:sz w:val="22"/>
          <w:szCs w:val="28"/>
        </w:rPr>
        <w:t>in order to</w:t>
      </w:r>
      <w:proofErr w:type="gramEnd"/>
      <w:r>
        <w:rPr>
          <w:rFonts w:ascii="Avenir Next" w:hAnsi="Avenir Next"/>
          <w:color w:val="808080" w:themeColor="background1" w:themeShade="80"/>
          <w:sz w:val="22"/>
          <w:szCs w:val="28"/>
        </w:rPr>
        <w:t xml:space="preserve"> protect the assets of the debtor the debtor should also apply for relief under imposition of automatic stay on the proposed litigation, this will give the debtor breathing space as they try and protect the assets of the company. </w:t>
      </w:r>
    </w:p>
    <w:p w14:paraId="3E9973C4" w14:textId="77777777" w:rsidR="00557E4E" w:rsidRPr="00E2622D" w:rsidRDefault="00557E4E"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A75ACC">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32E9" w14:textId="77777777" w:rsidR="005C03BD" w:rsidRDefault="005C03BD" w:rsidP="00241B44">
      <w:r>
        <w:separator/>
      </w:r>
    </w:p>
  </w:endnote>
  <w:endnote w:type="continuationSeparator" w:id="0">
    <w:p w14:paraId="1E22214E" w14:textId="77777777" w:rsidR="005C03BD" w:rsidRDefault="005C03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24667F01"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1DD9">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423E88C" w:rsidR="000300E0" w:rsidRPr="00B46CE2" w:rsidRDefault="00301DD9" w:rsidP="000300E0">
    <w:pPr>
      <w:pStyle w:val="Footer"/>
      <w:ind w:right="360"/>
      <w:rPr>
        <w:rFonts w:ascii="Avenir Next" w:hAnsi="Avenir Next"/>
        <w:sz w:val="22"/>
        <w:szCs w:val="22"/>
      </w:rPr>
    </w:pPr>
    <w:r w:rsidRPr="00301DD9">
      <w:rPr>
        <w:rFonts w:ascii="Avenir Next" w:hAnsi="Avenir Next"/>
        <w:sz w:val="22"/>
        <w:szCs w:val="22"/>
      </w:rPr>
      <w:t>FC202324-1304</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721F" w14:textId="77777777" w:rsidR="005C03BD" w:rsidRDefault="005C03BD" w:rsidP="00241B44">
      <w:r>
        <w:separator/>
      </w:r>
    </w:p>
  </w:footnote>
  <w:footnote w:type="continuationSeparator" w:id="0">
    <w:p w14:paraId="37099D4C" w14:textId="77777777" w:rsidR="005C03BD" w:rsidRDefault="005C03B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BA35" w14:textId="77777777" w:rsidR="000326FA" w:rsidRDefault="0003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C67A" w14:textId="77777777" w:rsidR="000326FA" w:rsidRDefault="00032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0CFA" w14:textId="77777777" w:rsidR="000326FA" w:rsidRDefault="0003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A83C6A"/>
    <w:multiLevelType w:val="hybridMultilevel"/>
    <w:tmpl w:val="F9F49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46129"/>
    <w:multiLevelType w:val="hybridMultilevel"/>
    <w:tmpl w:val="6E7AD400"/>
    <w:lvl w:ilvl="0" w:tplc="18E21F80">
      <w:start w:val="13"/>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2F6A14"/>
    <w:multiLevelType w:val="hybridMultilevel"/>
    <w:tmpl w:val="E22C76A2"/>
    <w:lvl w:ilvl="0" w:tplc="18E21F80">
      <w:start w:val="13"/>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8"/>
  </w:num>
  <w:num w:numId="3" w16cid:durableId="970591766">
    <w:abstractNumId w:val="4"/>
  </w:num>
  <w:num w:numId="4" w16cid:durableId="1327175081">
    <w:abstractNumId w:val="19"/>
  </w:num>
  <w:num w:numId="5" w16cid:durableId="998270126">
    <w:abstractNumId w:val="17"/>
  </w:num>
  <w:num w:numId="6" w16cid:durableId="657656171">
    <w:abstractNumId w:val="16"/>
  </w:num>
  <w:num w:numId="7" w16cid:durableId="1116829249">
    <w:abstractNumId w:val="6"/>
  </w:num>
  <w:num w:numId="8" w16cid:durableId="1055274873">
    <w:abstractNumId w:val="7"/>
  </w:num>
  <w:num w:numId="9" w16cid:durableId="790785319">
    <w:abstractNumId w:val="13"/>
  </w:num>
  <w:num w:numId="10" w16cid:durableId="59720369">
    <w:abstractNumId w:val="12"/>
  </w:num>
  <w:num w:numId="11" w16cid:durableId="1379276728">
    <w:abstractNumId w:val="5"/>
  </w:num>
  <w:num w:numId="12" w16cid:durableId="921179279">
    <w:abstractNumId w:val="10"/>
  </w:num>
  <w:num w:numId="13" w16cid:durableId="1060514793">
    <w:abstractNumId w:val="11"/>
  </w:num>
  <w:num w:numId="14" w16cid:durableId="64230155">
    <w:abstractNumId w:val="1"/>
  </w:num>
  <w:num w:numId="15" w16cid:durableId="1681084025">
    <w:abstractNumId w:val="0"/>
  </w:num>
  <w:num w:numId="16" w16cid:durableId="1275090443">
    <w:abstractNumId w:val="9"/>
  </w:num>
  <w:num w:numId="17" w16cid:durableId="269969236">
    <w:abstractNumId w:val="15"/>
  </w:num>
  <w:num w:numId="18" w16cid:durableId="963387310">
    <w:abstractNumId w:val="18"/>
  </w:num>
  <w:num w:numId="19" w16cid:durableId="864683241">
    <w:abstractNumId w:val="3"/>
  </w:num>
  <w:num w:numId="20" w16cid:durableId="4366066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27830"/>
    <w:rsid w:val="000300E0"/>
    <w:rsid w:val="0003114A"/>
    <w:rsid w:val="000326FA"/>
    <w:rsid w:val="000352C1"/>
    <w:rsid w:val="0003619C"/>
    <w:rsid w:val="0003743B"/>
    <w:rsid w:val="00037621"/>
    <w:rsid w:val="00044D46"/>
    <w:rsid w:val="00045088"/>
    <w:rsid w:val="00045904"/>
    <w:rsid w:val="000464F7"/>
    <w:rsid w:val="000503D7"/>
    <w:rsid w:val="0005141D"/>
    <w:rsid w:val="00060E02"/>
    <w:rsid w:val="00065166"/>
    <w:rsid w:val="00067A88"/>
    <w:rsid w:val="00070B92"/>
    <w:rsid w:val="00073474"/>
    <w:rsid w:val="00073F3E"/>
    <w:rsid w:val="00077D49"/>
    <w:rsid w:val="00080205"/>
    <w:rsid w:val="00082609"/>
    <w:rsid w:val="00083B38"/>
    <w:rsid w:val="000851CC"/>
    <w:rsid w:val="00093B9A"/>
    <w:rsid w:val="00093BE8"/>
    <w:rsid w:val="000A5289"/>
    <w:rsid w:val="000A68ED"/>
    <w:rsid w:val="000B25FF"/>
    <w:rsid w:val="000B4FEB"/>
    <w:rsid w:val="000B5FF1"/>
    <w:rsid w:val="000B6086"/>
    <w:rsid w:val="000B609F"/>
    <w:rsid w:val="000B686E"/>
    <w:rsid w:val="000C147F"/>
    <w:rsid w:val="000C182E"/>
    <w:rsid w:val="000C6BB9"/>
    <w:rsid w:val="000D32A9"/>
    <w:rsid w:val="000D55A8"/>
    <w:rsid w:val="000E4841"/>
    <w:rsid w:val="000E6325"/>
    <w:rsid w:val="000F1677"/>
    <w:rsid w:val="000F3D6C"/>
    <w:rsid w:val="000F4B71"/>
    <w:rsid w:val="000F579C"/>
    <w:rsid w:val="000F6468"/>
    <w:rsid w:val="00100E8F"/>
    <w:rsid w:val="00101707"/>
    <w:rsid w:val="00101A9E"/>
    <w:rsid w:val="0010330F"/>
    <w:rsid w:val="00114082"/>
    <w:rsid w:val="00114290"/>
    <w:rsid w:val="0011473D"/>
    <w:rsid w:val="00115C85"/>
    <w:rsid w:val="00117A4C"/>
    <w:rsid w:val="00123855"/>
    <w:rsid w:val="00126A4D"/>
    <w:rsid w:val="00126E19"/>
    <w:rsid w:val="0013538D"/>
    <w:rsid w:val="001374D8"/>
    <w:rsid w:val="00140E0A"/>
    <w:rsid w:val="0014171F"/>
    <w:rsid w:val="0014622C"/>
    <w:rsid w:val="001505B4"/>
    <w:rsid w:val="00151284"/>
    <w:rsid w:val="00151F58"/>
    <w:rsid w:val="00152348"/>
    <w:rsid w:val="00152845"/>
    <w:rsid w:val="0015456D"/>
    <w:rsid w:val="0015549B"/>
    <w:rsid w:val="00155FA2"/>
    <w:rsid w:val="001578CB"/>
    <w:rsid w:val="001611EA"/>
    <w:rsid w:val="00161F1B"/>
    <w:rsid w:val="00162829"/>
    <w:rsid w:val="001633C7"/>
    <w:rsid w:val="001666BD"/>
    <w:rsid w:val="001672E0"/>
    <w:rsid w:val="0016741F"/>
    <w:rsid w:val="00167C32"/>
    <w:rsid w:val="0017257C"/>
    <w:rsid w:val="00176079"/>
    <w:rsid w:val="0017652E"/>
    <w:rsid w:val="00180548"/>
    <w:rsid w:val="00180778"/>
    <w:rsid w:val="00180AC4"/>
    <w:rsid w:val="00180CCE"/>
    <w:rsid w:val="00182648"/>
    <w:rsid w:val="0018267A"/>
    <w:rsid w:val="00182779"/>
    <w:rsid w:val="001830DF"/>
    <w:rsid w:val="0018732E"/>
    <w:rsid w:val="00190FD2"/>
    <w:rsid w:val="00192D21"/>
    <w:rsid w:val="001966D9"/>
    <w:rsid w:val="001A24E7"/>
    <w:rsid w:val="001A2B78"/>
    <w:rsid w:val="001A2F09"/>
    <w:rsid w:val="001A3D7D"/>
    <w:rsid w:val="001A6953"/>
    <w:rsid w:val="001A7E9A"/>
    <w:rsid w:val="001B0F61"/>
    <w:rsid w:val="001B0F70"/>
    <w:rsid w:val="001B1134"/>
    <w:rsid w:val="001B5016"/>
    <w:rsid w:val="001C0188"/>
    <w:rsid w:val="001C2DA5"/>
    <w:rsid w:val="001C45FC"/>
    <w:rsid w:val="001D02C5"/>
    <w:rsid w:val="001D4862"/>
    <w:rsid w:val="001E07D6"/>
    <w:rsid w:val="001E25B9"/>
    <w:rsid w:val="001E49E0"/>
    <w:rsid w:val="001E60C3"/>
    <w:rsid w:val="001E7B5A"/>
    <w:rsid w:val="001F5FCE"/>
    <w:rsid w:val="001F7412"/>
    <w:rsid w:val="001F7D3F"/>
    <w:rsid w:val="00200FDD"/>
    <w:rsid w:val="00201874"/>
    <w:rsid w:val="00202133"/>
    <w:rsid w:val="0020264E"/>
    <w:rsid w:val="0020725B"/>
    <w:rsid w:val="002175BA"/>
    <w:rsid w:val="0022599E"/>
    <w:rsid w:val="00226614"/>
    <w:rsid w:val="00227C5E"/>
    <w:rsid w:val="002305E8"/>
    <w:rsid w:val="0023198D"/>
    <w:rsid w:val="00231EB9"/>
    <w:rsid w:val="0023317E"/>
    <w:rsid w:val="00234467"/>
    <w:rsid w:val="00234F2C"/>
    <w:rsid w:val="00240B0E"/>
    <w:rsid w:val="0024116D"/>
    <w:rsid w:val="00241B44"/>
    <w:rsid w:val="00245EFB"/>
    <w:rsid w:val="00250E19"/>
    <w:rsid w:val="0025386E"/>
    <w:rsid w:val="002539D7"/>
    <w:rsid w:val="00257437"/>
    <w:rsid w:val="002628CC"/>
    <w:rsid w:val="002638B0"/>
    <w:rsid w:val="00263FC0"/>
    <w:rsid w:val="00264FFF"/>
    <w:rsid w:val="002650D7"/>
    <w:rsid w:val="002654E8"/>
    <w:rsid w:val="0026553E"/>
    <w:rsid w:val="0026647A"/>
    <w:rsid w:val="002668D3"/>
    <w:rsid w:val="002671AA"/>
    <w:rsid w:val="002675BE"/>
    <w:rsid w:val="0027299F"/>
    <w:rsid w:val="00276913"/>
    <w:rsid w:val="0028135B"/>
    <w:rsid w:val="00282480"/>
    <w:rsid w:val="00284EBE"/>
    <w:rsid w:val="00293EA2"/>
    <w:rsid w:val="0029433F"/>
    <w:rsid w:val="00294829"/>
    <w:rsid w:val="00294F3B"/>
    <w:rsid w:val="0029690F"/>
    <w:rsid w:val="002A1EEC"/>
    <w:rsid w:val="002A29FB"/>
    <w:rsid w:val="002A2A60"/>
    <w:rsid w:val="002B1C45"/>
    <w:rsid w:val="002B6526"/>
    <w:rsid w:val="002C13C8"/>
    <w:rsid w:val="002C3547"/>
    <w:rsid w:val="002C5996"/>
    <w:rsid w:val="002D0021"/>
    <w:rsid w:val="002D3473"/>
    <w:rsid w:val="002D5C95"/>
    <w:rsid w:val="002D75D4"/>
    <w:rsid w:val="002D79E5"/>
    <w:rsid w:val="002E00F8"/>
    <w:rsid w:val="002E1BB5"/>
    <w:rsid w:val="002E2322"/>
    <w:rsid w:val="002E38E2"/>
    <w:rsid w:val="002F1956"/>
    <w:rsid w:val="002F3440"/>
    <w:rsid w:val="002F4EC0"/>
    <w:rsid w:val="002F71BE"/>
    <w:rsid w:val="002F75A3"/>
    <w:rsid w:val="002F78CA"/>
    <w:rsid w:val="00301DD9"/>
    <w:rsid w:val="00303C2F"/>
    <w:rsid w:val="00312911"/>
    <w:rsid w:val="003144EF"/>
    <w:rsid w:val="003148CA"/>
    <w:rsid w:val="00315506"/>
    <w:rsid w:val="003220BA"/>
    <w:rsid w:val="00322F3B"/>
    <w:rsid w:val="00323940"/>
    <w:rsid w:val="003247AF"/>
    <w:rsid w:val="00326292"/>
    <w:rsid w:val="00326415"/>
    <w:rsid w:val="00330937"/>
    <w:rsid w:val="00330F31"/>
    <w:rsid w:val="0033442A"/>
    <w:rsid w:val="00334648"/>
    <w:rsid w:val="0033768C"/>
    <w:rsid w:val="00337938"/>
    <w:rsid w:val="00340769"/>
    <w:rsid w:val="0034083F"/>
    <w:rsid w:val="00341AA6"/>
    <w:rsid w:val="00342459"/>
    <w:rsid w:val="003427B9"/>
    <w:rsid w:val="00345319"/>
    <w:rsid w:val="00345CB3"/>
    <w:rsid w:val="00346B16"/>
    <w:rsid w:val="00361A0A"/>
    <w:rsid w:val="00364713"/>
    <w:rsid w:val="0036565C"/>
    <w:rsid w:val="0036625E"/>
    <w:rsid w:val="0036760B"/>
    <w:rsid w:val="00373D5D"/>
    <w:rsid w:val="0037449C"/>
    <w:rsid w:val="0037465A"/>
    <w:rsid w:val="0037544E"/>
    <w:rsid w:val="00380BAB"/>
    <w:rsid w:val="00382C98"/>
    <w:rsid w:val="0038533C"/>
    <w:rsid w:val="00386568"/>
    <w:rsid w:val="00387106"/>
    <w:rsid w:val="00391F3E"/>
    <w:rsid w:val="003948D5"/>
    <w:rsid w:val="003963D4"/>
    <w:rsid w:val="00396821"/>
    <w:rsid w:val="00396AC3"/>
    <w:rsid w:val="00397D3A"/>
    <w:rsid w:val="003A051E"/>
    <w:rsid w:val="003A2FEE"/>
    <w:rsid w:val="003A3B25"/>
    <w:rsid w:val="003B1310"/>
    <w:rsid w:val="003B170F"/>
    <w:rsid w:val="003B379E"/>
    <w:rsid w:val="003B3C5F"/>
    <w:rsid w:val="003C089D"/>
    <w:rsid w:val="003C4471"/>
    <w:rsid w:val="003C66B1"/>
    <w:rsid w:val="003D0A6D"/>
    <w:rsid w:val="003D5668"/>
    <w:rsid w:val="003E0B16"/>
    <w:rsid w:val="003E67D1"/>
    <w:rsid w:val="00400C9C"/>
    <w:rsid w:val="00405DC1"/>
    <w:rsid w:val="0040710D"/>
    <w:rsid w:val="0041139B"/>
    <w:rsid w:val="004137C3"/>
    <w:rsid w:val="00413D3A"/>
    <w:rsid w:val="00415F1F"/>
    <w:rsid w:val="00417B0F"/>
    <w:rsid w:val="0042108F"/>
    <w:rsid w:val="00422242"/>
    <w:rsid w:val="00422A1D"/>
    <w:rsid w:val="00424D07"/>
    <w:rsid w:val="00430FED"/>
    <w:rsid w:val="00431F04"/>
    <w:rsid w:val="00432179"/>
    <w:rsid w:val="00433008"/>
    <w:rsid w:val="00434292"/>
    <w:rsid w:val="00434A8C"/>
    <w:rsid w:val="00435583"/>
    <w:rsid w:val="00436884"/>
    <w:rsid w:val="00437297"/>
    <w:rsid w:val="00443403"/>
    <w:rsid w:val="00444284"/>
    <w:rsid w:val="00445CE6"/>
    <w:rsid w:val="00446F22"/>
    <w:rsid w:val="00447FE6"/>
    <w:rsid w:val="004534C2"/>
    <w:rsid w:val="0045446F"/>
    <w:rsid w:val="004563F6"/>
    <w:rsid w:val="0045683E"/>
    <w:rsid w:val="0047025B"/>
    <w:rsid w:val="004908A6"/>
    <w:rsid w:val="00491675"/>
    <w:rsid w:val="00493855"/>
    <w:rsid w:val="0049508F"/>
    <w:rsid w:val="004961EE"/>
    <w:rsid w:val="00496D19"/>
    <w:rsid w:val="004975F5"/>
    <w:rsid w:val="004A171E"/>
    <w:rsid w:val="004A18C8"/>
    <w:rsid w:val="004A57DD"/>
    <w:rsid w:val="004A7B51"/>
    <w:rsid w:val="004A7D71"/>
    <w:rsid w:val="004A7EF3"/>
    <w:rsid w:val="004B11FD"/>
    <w:rsid w:val="004B23A2"/>
    <w:rsid w:val="004C1CFA"/>
    <w:rsid w:val="004C24DF"/>
    <w:rsid w:val="004C4E97"/>
    <w:rsid w:val="004C7738"/>
    <w:rsid w:val="004D1A5A"/>
    <w:rsid w:val="004D2FFF"/>
    <w:rsid w:val="004D3721"/>
    <w:rsid w:val="004D64F9"/>
    <w:rsid w:val="004E0549"/>
    <w:rsid w:val="004E1674"/>
    <w:rsid w:val="004E2E92"/>
    <w:rsid w:val="004E30B0"/>
    <w:rsid w:val="004E4A33"/>
    <w:rsid w:val="004E622C"/>
    <w:rsid w:val="004F5FDF"/>
    <w:rsid w:val="004F7C9D"/>
    <w:rsid w:val="0050157D"/>
    <w:rsid w:val="005031DC"/>
    <w:rsid w:val="00506803"/>
    <w:rsid w:val="0050682B"/>
    <w:rsid w:val="00507AAC"/>
    <w:rsid w:val="0051050F"/>
    <w:rsid w:val="005177FE"/>
    <w:rsid w:val="0052263B"/>
    <w:rsid w:val="00524728"/>
    <w:rsid w:val="00530003"/>
    <w:rsid w:val="00530E88"/>
    <w:rsid w:val="005331CA"/>
    <w:rsid w:val="0053353F"/>
    <w:rsid w:val="00533739"/>
    <w:rsid w:val="005364AC"/>
    <w:rsid w:val="00537970"/>
    <w:rsid w:val="00540B44"/>
    <w:rsid w:val="00540E3A"/>
    <w:rsid w:val="00541167"/>
    <w:rsid w:val="00544127"/>
    <w:rsid w:val="00544273"/>
    <w:rsid w:val="005463A9"/>
    <w:rsid w:val="00547993"/>
    <w:rsid w:val="00547FD2"/>
    <w:rsid w:val="00553EB2"/>
    <w:rsid w:val="00556777"/>
    <w:rsid w:val="0055688E"/>
    <w:rsid w:val="00557E4E"/>
    <w:rsid w:val="00560534"/>
    <w:rsid w:val="0056391B"/>
    <w:rsid w:val="005650E2"/>
    <w:rsid w:val="00565292"/>
    <w:rsid w:val="0056535A"/>
    <w:rsid w:val="00565DEE"/>
    <w:rsid w:val="00567AD7"/>
    <w:rsid w:val="00567F31"/>
    <w:rsid w:val="00570476"/>
    <w:rsid w:val="00573E73"/>
    <w:rsid w:val="00575B2D"/>
    <w:rsid w:val="00582BD4"/>
    <w:rsid w:val="005833D0"/>
    <w:rsid w:val="005846F3"/>
    <w:rsid w:val="0058622F"/>
    <w:rsid w:val="00587461"/>
    <w:rsid w:val="00590023"/>
    <w:rsid w:val="005904CA"/>
    <w:rsid w:val="00592F82"/>
    <w:rsid w:val="00594617"/>
    <w:rsid w:val="005A0CCA"/>
    <w:rsid w:val="005A726D"/>
    <w:rsid w:val="005B11FE"/>
    <w:rsid w:val="005B14E6"/>
    <w:rsid w:val="005B1A89"/>
    <w:rsid w:val="005B67AC"/>
    <w:rsid w:val="005B7728"/>
    <w:rsid w:val="005C03BD"/>
    <w:rsid w:val="005C2C94"/>
    <w:rsid w:val="005C36BC"/>
    <w:rsid w:val="005C4865"/>
    <w:rsid w:val="005D43E0"/>
    <w:rsid w:val="005D58A3"/>
    <w:rsid w:val="005E1B79"/>
    <w:rsid w:val="005E5C28"/>
    <w:rsid w:val="005F026D"/>
    <w:rsid w:val="005F21F4"/>
    <w:rsid w:val="005F2D0B"/>
    <w:rsid w:val="005F32F9"/>
    <w:rsid w:val="005F4B31"/>
    <w:rsid w:val="005F6030"/>
    <w:rsid w:val="005F61A7"/>
    <w:rsid w:val="005F7011"/>
    <w:rsid w:val="00610388"/>
    <w:rsid w:val="00612CA5"/>
    <w:rsid w:val="006153EC"/>
    <w:rsid w:val="00621A17"/>
    <w:rsid w:val="00622586"/>
    <w:rsid w:val="00622C2B"/>
    <w:rsid w:val="00622DCB"/>
    <w:rsid w:val="00623203"/>
    <w:rsid w:val="00627CC9"/>
    <w:rsid w:val="00627E7B"/>
    <w:rsid w:val="00630542"/>
    <w:rsid w:val="00632E44"/>
    <w:rsid w:val="00634622"/>
    <w:rsid w:val="00636808"/>
    <w:rsid w:val="00641002"/>
    <w:rsid w:val="00641515"/>
    <w:rsid w:val="00650283"/>
    <w:rsid w:val="00651AE3"/>
    <w:rsid w:val="00654C2F"/>
    <w:rsid w:val="00657087"/>
    <w:rsid w:val="0066252C"/>
    <w:rsid w:val="006661EF"/>
    <w:rsid w:val="0067294B"/>
    <w:rsid w:val="00672B6F"/>
    <w:rsid w:val="00677736"/>
    <w:rsid w:val="0067785F"/>
    <w:rsid w:val="00677AEB"/>
    <w:rsid w:val="00680EF2"/>
    <w:rsid w:val="006839C2"/>
    <w:rsid w:val="00687A1D"/>
    <w:rsid w:val="006920CC"/>
    <w:rsid w:val="00692AB2"/>
    <w:rsid w:val="0069647C"/>
    <w:rsid w:val="00697EA1"/>
    <w:rsid w:val="006A1850"/>
    <w:rsid w:val="006A2646"/>
    <w:rsid w:val="006A3DF0"/>
    <w:rsid w:val="006A530D"/>
    <w:rsid w:val="006A6530"/>
    <w:rsid w:val="006B0951"/>
    <w:rsid w:val="006B435A"/>
    <w:rsid w:val="006B4C64"/>
    <w:rsid w:val="006B4FFC"/>
    <w:rsid w:val="006C7F8A"/>
    <w:rsid w:val="006D0E6E"/>
    <w:rsid w:val="006D6BD5"/>
    <w:rsid w:val="006E481A"/>
    <w:rsid w:val="006E5298"/>
    <w:rsid w:val="006F0F90"/>
    <w:rsid w:val="006F1055"/>
    <w:rsid w:val="006F2CE3"/>
    <w:rsid w:val="006F734A"/>
    <w:rsid w:val="006F7C41"/>
    <w:rsid w:val="0070075A"/>
    <w:rsid w:val="00700D83"/>
    <w:rsid w:val="00702072"/>
    <w:rsid w:val="00703819"/>
    <w:rsid w:val="00704852"/>
    <w:rsid w:val="00706297"/>
    <w:rsid w:val="00706AD5"/>
    <w:rsid w:val="007074E9"/>
    <w:rsid w:val="00707FC8"/>
    <w:rsid w:val="00713DA4"/>
    <w:rsid w:val="00714BF1"/>
    <w:rsid w:val="00714CEF"/>
    <w:rsid w:val="00715321"/>
    <w:rsid w:val="00715FCB"/>
    <w:rsid w:val="00721383"/>
    <w:rsid w:val="0072554C"/>
    <w:rsid w:val="00725911"/>
    <w:rsid w:val="00726868"/>
    <w:rsid w:val="007308CF"/>
    <w:rsid w:val="00731DBD"/>
    <w:rsid w:val="00732694"/>
    <w:rsid w:val="00732F7E"/>
    <w:rsid w:val="007333CC"/>
    <w:rsid w:val="0073399A"/>
    <w:rsid w:val="007457BE"/>
    <w:rsid w:val="00747182"/>
    <w:rsid w:val="007479BF"/>
    <w:rsid w:val="00751F66"/>
    <w:rsid w:val="007603F5"/>
    <w:rsid w:val="00764DB0"/>
    <w:rsid w:val="00766F8A"/>
    <w:rsid w:val="0076764D"/>
    <w:rsid w:val="00767C79"/>
    <w:rsid w:val="0077498C"/>
    <w:rsid w:val="00777183"/>
    <w:rsid w:val="00784128"/>
    <w:rsid w:val="00784B4B"/>
    <w:rsid w:val="007854ED"/>
    <w:rsid w:val="00793173"/>
    <w:rsid w:val="007931B2"/>
    <w:rsid w:val="007B2FC0"/>
    <w:rsid w:val="007B3AC7"/>
    <w:rsid w:val="007B497A"/>
    <w:rsid w:val="007C1FCC"/>
    <w:rsid w:val="007C32A8"/>
    <w:rsid w:val="007C3FE5"/>
    <w:rsid w:val="007C6201"/>
    <w:rsid w:val="007C6988"/>
    <w:rsid w:val="007D28A1"/>
    <w:rsid w:val="007D7C92"/>
    <w:rsid w:val="007E1154"/>
    <w:rsid w:val="007E6BA4"/>
    <w:rsid w:val="007E7678"/>
    <w:rsid w:val="007F41F8"/>
    <w:rsid w:val="007F60D0"/>
    <w:rsid w:val="007F78EE"/>
    <w:rsid w:val="0080454E"/>
    <w:rsid w:val="00804C32"/>
    <w:rsid w:val="00806302"/>
    <w:rsid w:val="00807119"/>
    <w:rsid w:val="00807122"/>
    <w:rsid w:val="00812AFE"/>
    <w:rsid w:val="00813AFC"/>
    <w:rsid w:val="00816B2C"/>
    <w:rsid w:val="00817D57"/>
    <w:rsid w:val="00822764"/>
    <w:rsid w:val="008241C4"/>
    <w:rsid w:val="0082483F"/>
    <w:rsid w:val="008259B0"/>
    <w:rsid w:val="008264CB"/>
    <w:rsid w:val="008279C0"/>
    <w:rsid w:val="00835FD1"/>
    <w:rsid w:val="00837C0C"/>
    <w:rsid w:val="0084683C"/>
    <w:rsid w:val="008512FA"/>
    <w:rsid w:val="00853A74"/>
    <w:rsid w:val="00857763"/>
    <w:rsid w:val="00860E61"/>
    <w:rsid w:val="00867A8F"/>
    <w:rsid w:val="008723F3"/>
    <w:rsid w:val="00875ECD"/>
    <w:rsid w:val="0087718B"/>
    <w:rsid w:val="00881DE6"/>
    <w:rsid w:val="008837A6"/>
    <w:rsid w:val="008866DF"/>
    <w:rsid w:val="0089145D"/>
    <w:rsid w:val="00893A03"/>
    <w:rsid w:val="008A0C6E"/>
    <w:rsid w:val="008A255D"/>
    <w:rsid w:val="008A46CF"/>
    <w:rsid w:val="008A4DF2"/>
    <w:rsid w:val="008A6CFE"/>
    <w:rsid w:val="008A7470"/>
    <w:rsid w:val="008B068D"/>
    <w:rsid w:val="008B1A08"/>
    <w:rsid w:val="008B1E43"/>
    <w:rsid w:val="008B2DE3"/>
    <w:rsid w:val="008B5333"/>
    <w:rsid w:val="008B6223"/>
    <w:rsid w:val="008C66E0"/>
    <w:rsid w:val="008C755E"/>
    <w:rsid w:val="008E2DFA"/>
    <w:rsid w:val="008E3339"/>
    <w:rsid w:val="008E549B"/>
    <w:rsid w:val="008F18EF"/>
    <w:rsid w:val="008F20FC"/>
    <w:rsid w:val="008F2B24"/>
    <w:rsid w:val="008F4F07"/>
    <w:rsid w:val="008F5FFE"/>
    <w:rsid w:val="0090421A"/>
    <w:rsid w:val="00905A43"/>
    <w:rsid w:val="00907DC2"/>
    <w:rsid w:val="00912C79"/>
    <w:rsid w:val="009155EF"/>
    <w:rsid w:val="00925E57"/>
    <w:rsid w:val="009260A2"/>
    <w:rsid w:val="009266EB"/>
    <w:rsid w:val="0093155D"/>
    <w:rsid w:val="009344C1"/>
    <w:rsid w:val="00942123"/>
    <w:rsid w:val="00946A52"/>
    <w:rsid w:val="00951031"/>
    <w:rsid w:val="0095207B"/>
    <w:rsid w:val="0095319A"/>
    <w:rsid w:val="00954461"/>
    <w:rsid w:val="00956085"/>
    <w:rsid w:val="00957951"/>
    <w:rsid w:val="00962045"/>
    <w:rsid w:val="0096663B"/>
    <w:rsid w:val="00967EDA"/>
    <w:rsid w:val="00970897"/>
    <w:rsid w:val="0097337E"/>
    <w:rsid w:val="00980314"/>
    <w:rsid w:val="009816D0"/>
    <w:rsid w:val="00991428"/>
    <w:rsid w:val="00991628"/>
    <w:rsid w:val="00991C4C"/>
    <w:rsid w:val="00992676"/>
    <w:rsid w:val="00996691"/>
    <w:rsid w:val="009A4880"/>
    <w:rsid w:val="009A4BC4"/>
    <w:rsid w:val="009A58D1"/>
    <w:rsid w:val="009A7865"/>
    <w:rsid w:val="009B0723"/>
    <w:rsid w:val="009B07AD"/>
    <w:rsid w:val="009B0883"/>
    <w:rsid w:val="009B15E2"/>
    <w:rsid w:val="009B5832"/>
    <w:rsid w:val="009B6312"/>
    <w:rsid w:val="009B640D"/>
    <w:rsid w:val="009C0850"/>
    <w:rsid w:val="009C0B8E"/>
    <w:rsid w:val="009C1BC8"/>
    <w:rsid w:val="009C2442"/>
    <w:rsid w:val="009C5B10"/>
    <w:rsid w:val="009D0811"/>
    <w:rsid w:val="009D0A03"/>
    <w:rsid w:val="009D0EE1"/>
    <w:rsid w:val="009D1FC3"/>
    <w:rsid w:val="009D30BB"/>
    <w:rsid w:val="009E2AEB"/>
    <w:rsid w:val="009E2E27"/>
    <w:rsid w:val="009E3954"/>
    <w:rsid w:val="009E3CA7"/>
    <w:rsid w:val="009E4DE3"/>
    <w:rsid w:val="009F18A0"/>
    <w:rsid w:val="009F3FF4"/>
    <w:rsid w:val="009F6BA2"/>
    <w:rsid w:val="00A047EE"/>
    <w:rsid w:val="00A114EA"/>
    <w:rsid w:val="00A11E8A"/>
    <w:rsid w:val="00A13989"/>
    <w:rsid w:val="00A153F7"/>
    <w:rsid w:val="00A2274A"/>
    <w:rsid w:val="00A235B7"/>
    <w:rsid w:val="00A24AC0"/>
    <w:rsid w:val="00A27A7A"/>
    <w:rsid w:val="00A305EF"/>
    <w:rsid w:val="00A407EF"/>
    <w:rsid w:val="00A40B0E"/>
    <w:rsid w:val="00A40E7A"/>
    <w:rsid w:val="00A46B4C"/>
    <w:rsid w:val="00A5117B"/>
    <w:rsid w:val="00A54000"/>
    <w:rsid w:val="00A54689"/>
    <w:rsid w:val="00A60074"/>
    <w:rsid w:val="00A6627C"/>
    <w:rsid w:val="00A6649C"/>
    <w:rsid w:val="00A70BBC"/>
    <w:rsid w:val="00A71019"/>
    <w:rsid w:val="00A75ACC"/>
    <w:rsid w:val="00A764CA"/>
    <w:rsid w:val="00A81029"/>
    <w:rsid w:val="00A83CB5"/>
    <w:rsid w:val="00A84655"/>
    <w:rsid w:val="00A865A7"/>
    <w:rsid w:val="00A96489"/>
    <w:rsid w:val="00AA3A42"/>
    <w:rsid w:val="00AA5311"/>
    <w:rsid w:val="00AA7BAA"/>
    <w:rsid w:val="00AB5E85"/>
    <w:rsid w:val="00AB685C"/>
    <w:rsid w:val="00AB6C2D"/>
    <w:rsid w:val="00AC08F7"/>
    <w:rsid w:val="00AC200F"/>
    <w:rsid w:val="00AC2F20"/>
    <w:rsid w:val="00AC3839"/>
    <w:rsid w:val="00AC4B69"/>
    <w:rsid w:val="00AC7082"/>
    <w:rsid w:val="00AD0E59"/>
    <w:rsid w:val="00AD3FEA"/>
    <w:rsid w:val="00AD5461"/>
    <w:rsid w:val="00AD7BBD"/>
    <w:rsid w:val="00AF228E"/>
    <w:rsid w:val="00AF302B"/>
    <w:rsid w:val="00B01B28"/>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55682"/>
    <w:rsid w:val="00B5701A"/>
    <w:rsid w:val="00B60190"/>
    <w:rsid w:val="00B61419"/>
    <w:rsid w:val="00B62A32"/>
    <w:rsid w:val="00B645B7"/>
    <w:rsid w:val="00B66441"/>
    <w:rsid w:val="00B72F5F"/>
    <w:rsid w:val="00B736DF"/>
    <w:rsid w:val="00B74FBD"/>
    <w:rsid w:val="00B77352"/>
    <w:rsid w:val="00B77D33"/>
    <w:rsid w:val="00B815AC"/>
    <w:rsid w:val="00B82586"/>
    <w:rsid w:val="00B829A3"/>
    <w:rsid w:val="00B86DB1"/>
    <w:rsid w:val="00B87869"/>
    <w:rsid w:val="00B953BD"/>
    <w:rsid w:val="00B97A64"/>
    <w:rsid w:val="00BA0E44"/>
    <w:rsid w:val="00BA47C5"/>
    <w:rsid w:val="00BA6477"/>
    <w:rsid w:val="00BA6BDD"/>
    <w:rsid w:val="00BB0F2B"/>
    <w:rsid w:val="00BC4B77"/>
    <w:rsid w:val="00BC6235"/>
    <w:rsid w:val="00BD090E"/>
    <w:rsid w:val="00BD0D57"/>
    <w:rsid w:val="00BD5E02"/>
    <w:rsid w:val="00BE1A50"/>
    <w:rsid w:val="00BF056E"/>
    <w:rsid w:val="00BF50F7"/>
    <w:rsid w:val="00C00111"/>
    <w:rsid w:val="00C02F29"/>
    <w:rsid w:val="00C06698"/>
    <w:rsid w:val="00C101E0"/>
    <w:rsid w:val="00C10C13"/>
    <w:rsid w:val="00C13F14"/>
    <w:rsid w:val="00C17111"/>
    <w:rsid w:val="00C20747"/>
    <w:rsid w:val="00C20AFE"/>
    <w:rsid w:val="00C22A25"/>
    <w:rsid w:val="00C23B79"/>
    <w:rsid w:val="00C24828"/>
    <w:rsid w:val="00C33D50"/>
    <w:rsid w:val="00C35671"/>
    <w:rsid w:val="00C35B77"/>
    <w:rsid w:val="00C370D3"/>
    <w:rsid w:val="00C376EB"/>
    <w:rsid w:val="00C4003A"/>
    <w:rsid w:val="00C43508"/>
    <w:rsid w:val="00C4510C"/>
    <w:rsid w:val="00C46EC1"/>
    <w:rsid w:val="00C504E5"/>
    <w:rsid w:val="00C53E2C"/>
    <w:rsid w:val="00C550C8"/>
    <w:rsid w:val="00C56B61"/>
    <w:rsid w:val="00C606C3"/>
    <w:rsid w:val="00C620F4"/>
    <w:rsid w:val="00C668B6"/>
    <w:rsid w:val="00C67ECE"/>
    <w:rsid w:val="00C7161B"/>
    <w:rsid w:val="00C71F0B"/>
    <w:rsid w:val="00C72848"/>
    <w:rsid w:val="00C7736C"/>
    <w:rsid w:val="00C82BEE"/>
    <w:rsid w:val="00C82D87"/>
    <w:rsid w:val="00C836C5"/>
    <w:rsid w:val="00C841ED"/>
    <w:rsid w:val="00C85F17"/>
    <w:rsid w:val="00C8712A"/>
    <w:rsid w:val="00C91324"/>
    <w:rsid w:val="00C914F7"/>
    <w:rsid w:val="00C95DFA"/>
    <w:rsid w:val="00C963D3"/>
    <w:rsid w:val="00CA6E0D"/>
    <w:rsid w:val="00CB2CBB"/>
    <w:rsid w:val="00CB56CE"/>
    <w:rsid w:val="00CB7CAC"/>
    <w:rsid w:val="00CC0EA0"/>
    <w:rsid w:val="00CC4519"/>
    <w:rsid w:val="00CC4B1B"/>
    <w:rsid w:val="00CC5335"/>
    <w:rsid w:val="00CC5BA4"/>
    <w:rsid w:val="00CC70BB"/>
    <w:rsid w:val="00CD3420"/>
    <w:rsid w:val="00CD4998"/>
    <w:rsid w:val="00CE0AAF"/>
    <w:rsid w:val="00CE1035"/>
    <w:rsid w:val="00CE2A6A"/>
    <w:rsid w:val="00CF2819"/>
    <w:rsid w:val="00CF4F9D"/>
    <w:rsid w:val="00CF636F"/>
    <w:rsid w:val="00CF70DC"/>
    <w:rsid w:val="00D148DC"/>
    <w:rsid w:val="00D1555A"/>
    <w:rsid w:val="00D17FDC"/>
    <w:rsid w:val="00D3026C"/>
    <w:rsid w:val="00D37A82"/>
    <w:rsid w:val="00D444C5"/>
    <w:rsid w:val="00D45AEA"/>
    <w:rsid w:val="00D5244F"/>
    <w:rsid w:val="00D52E4F"/>
    <w:rsid w:val="00D5677B"/>
    <w:rsid w:val="00D56A37"/>
    <w:rsid w:val="00D57202"/>
    <w:rsid w:val="00D6386E"/>
    <w:rsid w:val="00D63EFD"/>
    <w:rsid w:val="00D64826"/>
    <w:rsid w:val="00D6751D"/>
    <w:rsid w:val="00D7080A"/>
    <w:rsid w:val="00D7080C"/>
    <w:rsid w:val="00D80DF2"/>
    <w:rsid w:val="00D84150"/>
    <w:rsid w:val="00D84752"/>
    <w:rsid w:val="00D85AB0"/>
    <w:rsid w:val="00D86467"/>
    <w:rsid w:val="00D86B3B"/>
    <w:rsid w:val="00D8748A"/>
    <w:rsid w:val="00D8791C"/>
    <w:rsid w:val="00D93196"/>
    <w:rsid w:val="00D94A4D"/>
    <w:rsid w:val="00D95F2B"/>
    <w:rsid w:val="00D97A93"/>
    <w:rsid w:val="00DA1083"/>
    <w:rsid w:val="00DA26C8"/>
    <w:rsid w:val="00DB243C"/>
    <w:rsid w:val="00DB45DD"/>
    <w:rsid w:val="00DB482A"/>
    <w:rsid w:val="00DB56F2"/>
    <w:rsid w:val="00DB6EF5"/>
    <w:rsid w:val="00DC02C9"/>
    <w:rsid w:val="00DC3089"/>
    <w:rsid w:val="00DC4420"/>
    <w:rsid w:val="00DC7311"/>
    <w:rsid w:val="00DD0802"/>
    <w:rsid w:val="00DD0A50"/>
    <w:rsid w:val="00DD2E11"/>
    <w:rsid w:val="00DD5683"/>
    <w:rsid w:val="00DE03AF"/>
    <w:rsid w:val="00DE121C"/>
    <w:rsid w:val="00DE2A27"/>
    <w:rsid w:val="00DE3705"/>
    <w:rsid w:val="00DE6633"/>
    <w:rsid w:val="00DF2882"/>
    <w:rsid w:val="00DF75F8"/>
    <w:rsid w:val="00DF7A3A"/>
    <w:rsid w:val="00E00C00"/>
    <w:rsid w:val="00E0431A"/>
    <w:rsid w:val="00E04A7C"/>
    <w:rsid w:val="00E059FB"/>
    <w:rsid w:val="00E069C4"/>
    <w:rsid w:val="00E07275"/>
    <w:rsid w:val="00E07866"/>
    <w:rsid w:val="00E07C5A"/>
    <w:rsid w:val="00E15BA9"/>
    <w:rsid w:val="00E22531"/>
    <w:rsid w:val="00E25B22"/>
    <w:rsid w:val="00E2622D"/>
    <w:rsid w:val="00E26E19"/>
    <w:rsid w:val="00E27E3C"/>
    <w:rsid w:val="00E31DF3"/>
    <w:rsid w:val="00E32814"/>
    <w:rsid w:val="00E33448"/>
    <w:rsid w:val="00E33486"/>
    <w:rsid w:val="00E34181"/>
    <w:rsid w:val="00E450A4"/>
    <w:rsid w:val="00E4580B"/>
    <w:rsid w:val="00E506BE"/>
    <w:rsid w:val="00E55547"/>
    <w:rsid w:val="00E57410"/>
    <w:rsid w:val="00E608A3"/>
    <w:rsid w:val="00E61C42"/>
    <w:rsid w:val="00E6302B"/>
    <w:rsid w:val="00E6452F"/>
    <w:rsid w:val="00E64619"/>
    <w:rsid w:val="00E64F45"/>
    <w:rsid w:val="00E6742D"/>
    <w:rsid w:val="00E71CB0"/>
    <w:rsid w:val="00E73529"/>
    <w:rsid w:val="00E77C3D"/>
    <w:rsid w:val="00E805C4"/>
    <w:rsid w:val="00E82E22"/>
    <w:rsid w:val="00E83024"/>
    <w:rsid w:val="00E850FE"/>
    <w:rsid w:val="00E909F0"/>
    <w:rsid w:val="00E90D47"/>
    <w:rsid w:val="00E93993"/>
    <w:rsid w:val="00E9597C"/>
    <w:rsid w:val="00EA0913"/>
    <w:rsid w:val="00EA0A2F"/>
    <w:rsid w:val="00EA5183"/>
    <w:rsid w:val="00EA592A"/>
    <w:rsid w:val="00EA6D31"/>
    <w:rsid w:val="00EB146B"/>
    <w:rsid w:val="00EB45AC"/>
    <w:rsid w:val="00EC2AEA"/>
    <w:rsid w:val="00EC7B11"/>
    <w:rsid w:val="00EC7F95"/>
    <w:rsid w:val="00ED0BC4"/>
    <w:rsid w:val="00ED3771"/>
    <w:rsid w:val="00ED4AB7"/>
    <w:rsid w:val="00ED6A32"/>
    <w:rsid w:val="00EE06C1"/>
    <w:rsid w:val="00EE4971"/>
    <w:rsid w:val="00EF090E"/>
    <w:rsid w:val="00EF1FBA"/>
    <w:rsid w:val="00F033DA"/>
    <w:rsid w:val="00F05BEF"/>
    <w:rsid w:val="00F11AAB"/>
    <w:rsid w:val="00F13672"/>
    <w:rsid w:val="00F13FB1"/>
    <w:rsid w:val="00F15C4C"/>
    <w:rsid w:val="00F17BC1"/>
    <w:rsid w:val="00F17C87"/>
    <w:rsid w:val="00F20272"/>
    <w:rsid w:val="00F223E7"/>
    <w:rsid w:val="00F2288D"/>
    <w:rsid w:val="00F25779"/>
    <w:rsid w:val="00F2750A"/>
    <w:rsid w:val="00F27CD8"/>
    <w:rsid w:val="00F30351"/>
    <w:rsid w:val="00F31EE9"/>
    <w:rsid w:val="00F3323E"/>
    <w:rsid w:val="00F341F4"/>
    <w:rsid w:val="00F34F9D"/>
    <w:rsid w:val="00F359BB"/>
    <w:rsid w:val="00F35CCE"/>
    <w:rsid w:val="00F47B5A"/>
    <w:rsid w:val="00F51EE5"/>
    <w:rsid w:val="00F55241"/>
    <w:rsid w:val="00F5524B"/>
    <w:rsid w:val="00F60538"/>
    <w:rsid w:val="00F61DD2"/>
    <w:rsid w:val="00F64CE9"/>
    <w:rsid w:val="00F6523A"/>
    <w:rsid w:val="00F66AFF"/>
    <w:rsid w:val="00F70659"/>
    <w:rsid w:val="00F71433"/>
    <w:rsid w:val="00F7241A"/>
    <w:rsid w:val="00F83E76"/>
    <w:rsid w:val="00F858C7"/>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E3C26"/>
    <w:rsid w:val="00FF296F"/>
    <w:rsid w:val="00FF5E23"/>
    <w:rsid w:val="00FF6CDD"/>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1C2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14</Pages>
  <Words>5350</Words>
  <Characters>27929</Characters>
  <Application>Microsoft Office Word</Application>
  <DocSecurity>0</DocSecurity>
  <Lines>681</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Shaun Walshaw</cp:lastModifiedBy>
  <cp:revision>222</cp:revision>
  <cp:lastPrinted>2019-08-27T05:42:00Z</cp:lastPrinted>
  <dcterms:created xsi:type="dcterms:W3CDTF">2023-10-16T15:52:00Z</dcterms:created>
  <dcterms:modified xsi:type="dcterms:W3CDTF">2023-11-15T00:24:00Z</dcterms:modified>
</cp:coreProperties>
</file>