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0710DD" w:rsidRDefault="00806382" w:rsidP="00806382">
      <w:pPr>
        <w:pStyle w:val="ListParagraph"/>
        <w:numPr>
          <w:ilvl w:val="0"/>
          <w:numId w:val="15"/>
        </w:numPr>
        <w:ind w:left="425" w:hanging="357"/>
        <w:jc w:val="both"/>
        <w:rPr>
          <w:rFonts w:ascii="Avenir Next" w:hAnsi="Avenir Next" w:cs="Arial"/>
          <w:sz w:val="22"/>
          <w:szCs w:val="22"/>
          <w:highlight w:val="yellow"/>
        </w:rPr>
      </w:pPr>
      <w:r w:rsidRPr="000710DD">
        <w:rPr>
          <w:rFonts w:ascii="Avenir Next" w:hAnsi="Avenir Next" w:cs="Arial"/>
          <w:sz w:val="22"/>
          <w:szCs w:val="22"/>
          <w:highlight w:val="yellow"/>
        </w:rPr>
        <w:t xml:space="preserve">This statement is untrue since the word </w:t>
      </w:r>
      <w:r w:rsidR="00823AB4" w:rsidRPr="000710DD">
        <w:rPr>
          <w:rFonts w:ascii="Avenir Next" w:hAnsi="Avenir Next" w:cs="Arial"/>
          <w:sz w:val="22"/>
          <w:szCs w:val="22"/>
          <w:highlight w:val="yellow"/>
        </w:rPr>
        <w:t>“</w:t>
      </w:r>
      <w:r w:rsidRPr="000710DD">
        <w:rPr>
          <w:rFonts w:ascii="Avenir Next" w:hAnsi="Avenir Next" w:cs="Arial"/>
          <w:sz w:val="22"/>
          <w:szCs w:val="22"/>
          <w:highlight w:val="yellow"/>
        </w:rPr>
        <w:t>bankruptcy</w:t>
      </w:r>
      <w:r w:rsidR="00823AB4" w:rsidRPr="000710DD">
        <w:rPr>
          <w:rFonts w:ascii="Avenir Next" w:hAnsi="Avenir Next" w:cs="Arial"/>
          <w:sz w:val="22"/>
          <w:szCs w:val="22"/>
          <w:highlight w:val="yellow"/>
        </w:rPr>
        <w:t>”</w:t>
      </w:r>
      <w:r w:rsidRPr="000710DD">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0710DD" w:rsidRDefault="001211E6" w:rsidP="001211E6">
      <w:pPr>
        <w:pStyle w:val="ListParagraph"/>
        <w:numPr>
          <w:ilvl w:val="0"/>
          <w:numId w:val="16"/>
        </w:numPr>
        <w:ind w:left="426"/>
        <w:jc w:val="both"/>
        <w:rPr>
          <w:rFonts w:ascii="Avenir Next" w:hAnsi="Avenir Next" w:cs="Arial"/>
          <w:sz w:val="22"/>
          <w:szCs w:val="22"/>
          <w:highlight w:val="yellow"/>
        </w:rPr>
      </w:pPr>
      <w:r w:rsidRPr="000710DD">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Pr="00A8203D"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8203D">
        <w:rPr>
          <w:rFonts w:ascii="Avenir Next" w:eastAsiaTheme="minorHAnsi" w:hAnsi="Avenir Next"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A8203D"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A8203D">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465C31"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465C31">
        <w:rPr>
          <w:rFonts w:ascii="Avenir Next" w:hAnsi="Avenir Next" w:cs="Arial"/>
          <w:sz w:val="22"/>
          <w:szCs w:val="22"/>
          <w:highlight w:val="yellow"/>
          <w:lang w:val="en-GB"/>
        </w:rPr>
        <w:t xml:space="preserve">This statement is incorrect since a statutory discharge of debt was only introduced in 1705 in England.    </w:t>
      </w:r>
      <w:r w:rsidRPr="00465C31">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3045F3" w:rsidRDefault="006514CD" w:rsidP="006514CD">
      <w:pPr>
        <w:pStyle w:val="ListParagraph"/>
        <w:numPr>
          <w:ilvl w:val="0"/>
          <w:numId w:val="19"/>
        </w:numPr>
        <w:ind w:left="425" w:hanging="357"/>
        <w:jc w:val="both"/>
        <w:rPr>
          <w:rFonts w:ascii="Avenir Next" w:hAnsi="Avenir Next" w:cs="Arial"/>
          <w:sz w:val="22"/>
          <w:szCs w:val="22"/>
          <w:highlight w:val="yellow"/>
        </w:rPr>
      </w:pPr>
      <w:r w:rsidRPr="003045F3">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proofErr w:type="spellStart"/>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 xml:space="preserve">Upholding the rights of creditors to assets, </w:t>
      </w:r>
      <w:proofErr w:type="gramStart"/>
      <w:r>
        <w:rPr>
          <w:rFonts w:ascii="Avenir Next" w:eastAsiaTheme="minorHAnsi" w:hAnsi="Avenir Next" w:cs="Arial"/>
          <w:sz w:val="22"/>
          <w:szCs w:val="22"/>
          <w:lang w:val="en-GB"/>
        </w:rPr>
        <w:t>investigating</w:t>
      </w:r>
      <w:proofErr w:type="gramEnd"/>
      <w:r>
        <w:rPr>
          <w:rFonts w:ascii="Avenir Next" w:eastAsiaTheme="minorHAnsi" w:hAnsi="Avenir Next" w:cs="Arial"/>
          <w:sz w:val="22"/>
          <w:szCs w:val="22"/>
          <w:lang w:val="en-GB"/>
        </w:rPr>
        <w:t xml:space="preserve">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3045F3"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A42DA">
        <w:rPr>
          <w:rFonts w:ascii="Avenir Next" w:eastAsiaTheme="minorHAnsi" w:hAnsi="Avenir Next" w:cs="Arial"/>
          <w:sz w:val="22"/>
          <w:szCs w:val="22"/>
          <w:lang w:val="en-GB"/>
        </w:rPr>
        <w:t xml:space="preserve"> </w:t>
      </w:r>
      <w:r w:rsidRPr="003045F3">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393E3AD9" w14:textId="77777777" w:rsidR="00124265" w:rsidRPr="00124265" w:rsidRDefault="00124265" w:rsidP="00124265">
      <w:pPr>
        <w:jc w:val="both"/>
        <w:rPr>
          <w:rFonts w:ascii="Avenir Next" w:eastAsiaTheme="minorHAnsi" w:hAnsi="Avenir Next" w:cs="Arial"/>
          <w:sz w:val="22"/>
          <w:szCs w:val="22"/>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xml:space="preserve">, </w:t>
      </w:r>
      <w:proofErr w:type="gramStart"/>
      <w:r>
        <w:rPr>
          <w:rFonts w:ascii="Avenir Next" w:hAnsi="Avenir Next" w:cs="Arial"/>
          <w:sz w:val="22"/>
          <w:szCs w:val="22"/>
        </w:rPr>
        <w:t>Australia</w:t>
      </w:r>
      <w:proofErr w:type="gramEnd"/>
      <w:r>
        <w:rPr>
          <w:rFonts w:ascii="Avenir Next" w:hAnsi="Avenir Next" w:cs="Arial"/>
          <w:sz w:val="22"/>
          <w:szCs w:val="22"/>
        </w:rPr>
        <w:t xml:space="preserve">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3045F3" w:rsidRDefault="00AD76EF" w:rsidP="00AD76EF">
      <w:pPr>
        <w:pStyle w:val="ListParagraph"/>
        <w:numPr>
          <w:ilvl w:val="0"/>
          <w:numId w:val="17"/>
        </w:numPr>
        <w:ind w:left="426"/>
        <w:jc w:val="both"/>
        <w:rPr>
          <w:rFonts w:ascii="Avenir Next" w:hAnsi="Avenir Next" w:cs="Arial"/>
          <w:sz w:val="22"/>
          <w:szCs w:val="22"/>
          <w:highlight w:val="yellow"/>
        </w:rPr>
      </w:pPr>
      <w:r w:rsidRPr="003045F3">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716CD3"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716CD3">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716CD3" w:rsidRDefault="009661DE" w:rsidP="009661DE">
      <w:pPr>
        <w:pStyle w:val="ListParagraph"/>
        <w:numPr>
          <w:ilvl w:val="0"/>
          <w:numId w:val="23"/>
        </w:numPr>
        <w:ind w:left="426"/>
        <w:jc w:val="both"/>
        <w:rPr>
          <w:rFonts w:ascii="Avenir Next" w:hAnsi="Avenir Next" w:cs="Arial"/>
          <w:sz w:val="22"/>
          <w:szCs w:val="22"/>
          <w:highlight w:val="yellow"/>
        </w:rPr>
      </w:pPr>
      <w:r w:rsidRPr="00716CD3">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716CD3" w:rsidRDefault="003B3A0D" w:rsidP="003B3A0D">
      <w:pPr>
        <w:pStyle w:val="ListParagraph"/>
        <w:numPr>
          <w:ilvl w:val="0"/>
          <w:numId w:val="24"/>
        </w:numPr>
        <w:ind w:left="426"/>
        <w:jc w:val="both"/>
        <w:rPr>
          <w:rFonts w:ascii="Avenir Next" w:hAnsi="Avenir Next" w:cs="Arial"/>
          <w:sz w:val="22"/>
          <w:szCs w:val="22"/>
          <w:highlight w:val="yellow"/>
        </w:rPr>
      </w:pPr>
      <w:r w:rsidRPr="00716CD3">
        <w:rPr>
          <w:rFonts w:ascii="Avenir Next" w:hAnsi="Avenir Next" w:cs="Arial"/>
          <w:sz w:val="22"/>
          <w:szCs w:val="22"/>
          <w:highlight w:val="yellow"/>
        </w:rPr>
        <w:t xml:space="preserve">This statement is untrue because universalism corresponds well to </w:t>
      </w:r>
      <w:proofErr w:type="spellStart"/>
      <w:r w:rsidRPr="00716CD3">
        <w:rPr>
          <w:rFonts w:ascii="Avenir Next" w:hAnsi="Avenir Next" w:cs="Arial"/>
          <w:sz w:val="22"/>
          <w:szCs w:val="22"/>
          <w:highlight w:val="yellow"/>
        </w:rPr>
        <w:t>globali</w:t>
      </w:r>
      <w:r w:rsidR="00142E15" w:rsidRPr="00716CD3">
        <w:rPr>
          <w:rFonts w:ascii="Avenir Next" w:hAnsi="Avenir Next" w:cs="Arial"/>
          <w:sz w:val="22"/>
          <w:szCs w:val="22"/>
          <w:highlight w:val="yellow"/>
        </w:rPr>
        <w:t>s</w:t>
      </w:r>
      <w:r w:rsidRPr="00716CD3">
        <w:rPr>
          <w:rFonts w:ascii="Avenir Next" w:hAnsi="Avenir Next" w:cs="Arial"/>
          <w:sz w:val="22"/>
          <w:szCs w:val="22"/>
          <w:highlight w:val="yellow"/>
        </w:rPr>
        <w:t>ation</w:t>
      </w:r>
      <w:proofErr w:type="spellEnd"/>
      <w:r w:rsidRPr="00716CD3">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4E26E6F4" w14:textId="5F858DBB" w:rsidR="00AE171A" w:rsidRDefault="00AE171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[Please note that defined terms carry the same meanings throughout my paper, I have not redefined terms in each question.] </w:t>
      </w:r>
    </w:p>
    <w:p w14:paraId="5191C028" w14:textId="77777777" w:rsidR="00AE171A" w:rsidRDefault="00AE171A" w:rsidP="00692852">
      <w:pPr>
        <w:jc w:val="both"/>
        <w:rPr>
          <w:rFonts w:ascii="Avenir Next" w:hAnsi="Avenir Next" w:cs="Arial"/>
          <w:color w:val="808080" w:themeColor="background1" w:themeShade="80"/>
          <w:sz w:val="22"/>
          <w:szCs w:val="22"/>
          <w:lang w:val="en-GB"/>
        </w:rPr>
      </w:pPr>
    </w:p>
    <w:p w14:paraId="31B2C934" w14:textId="29F8F049" w:rsidR="00AF0732" w:rsidRDefault="00E870E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modern insolvency systems of the world typically have their roots in either civil law or the English common law. Civil law insolvency systems are founded on Roman </w:t>
      </w:r>
      <w:r w:rsidR="00D4632F">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aw principles, whereas common law systems are rooted in English law</w:t>
      </w:r>
      <w:r w:rsidR="00D4632F">
        <w:rPr>
          <w:rFonts w:ascii="Avenir Next" w:hAnsi="Avenir Next" w:cs="Arial"/>
          <w:color w:val="808080" w:themeColor="background1" w:themeShade="80"/>
          <w:sz w:val="22"/>
          <w:szCs w:val="22"/>
          <w:lang w:val="en-GB"/>
        </w:rPr>
        <w:t>.</w:t>
      </w:r>
      <w:r w:rsidR="00D4632F">
        <w:rPr>
          <w:rStyle w:val="FootnoteReference"/>
          <w:rFonts w:ascii="Avenir Next" w:hAnsi="Avenir Next" w:cs="Arial"/>
          <w:color w:val="808080" w:themeColor="background1" w:themeShade="80"/>
          <w:sz w:val="22"/>
          <w:szCs w:val="22"/>
          <w:lang w:val="en-GB"/>
        </w:rPr>
        <w:footnoteReference w:id="1"/>
      </w:r>
      <w:r w:rsidR="00D4632F">
        <w:rPr>
          <w:rFonts w:ascii="Avenir Next" w:hAnsi="Avenir Next" w:cs="Arial"/>
          <w:color w:val="808080" w:themeColor="background1" w:themeShade="80"/>
          <w:sz w:val="22"/>
          <w:szCs w:val="22"/>
          <w:lang w:val="en-GB"/>
        </w:rPr>
        <w:t xml:space="preserve"> </w:t>
      </w:r>
      <w:r w:rsidR="009D309D">
        <w:rPr>
          <w:rFonts w:ascii="Avenir Next" w:hAnsi="Avenir Next" w:cs="Arial"/>
          <w:color w:val="808080" w:themeColor="background1" w:themeShade="80"/>
          <w:sz w:val="22"/>
          <w:szCs w:val="22"/>
          <w:lang w:val="en-GB"/>
        </w:rPr>
        <w:t xml:space="preserve">The early years of both systems required a debtor to essentially 'pay' for </w:t>
      </w:r>
      <w:r w:rsidR="00F71213">
        <w:rPr>
          <w:rFonts w:ascii="Avenir Next" w:hAnsi="Avenir Next" w:cs="Arial"/>
          <w:color w:val="808080" w:themeColor="background1" w:themeShade="80"/>
          <w:sz w:val="22"/>
          <w:szCs w:val="22"/>
          <w:lang w:val="en-GB"/>
        </w:rPr>
        <w:t>their</w:t>
      </w:r>
      <w:r w:rsidR="009D309D">
        <w:rPr>
          <w:rFonts w:ascii="Avenir Next" w:hAnsi="Avenir Next" w:cs="Arial"/>
          <w:color w:val="808080" w:themeColor="background1" w:themeShade="80"/>
          <w:sz w:val="22"/>
          <w:szCs w:val="22"/>
          <w:lang w:val="en-GB"/>
        </w:rPr>
        <w:t xml:space="preserve"> debt with life or limb</w:t>
      </w:r>
      <w:r w:rsidR="00F71213">
        <w:rPr>
          <w:rFonts w:ascii="Avenir Next" w:hAnsi="Avenir Next" w:cs="Arial"/>
          <w:color w:val="808080" w:themeColor="background1" w:themeShade="80"/>
          <w:sz w:val="22"/>
          <w:szCs w:val="22"/>
          <w:lang w:val="en-GB"/>
        </w:rPr>
        <w:t xml:space="preserve">, representing a pro-creditor regime. Both systems developed from individual to collective debt collecting systems and with the passage of time there has been an increasing recognition of the values of rehabilitation, restructuring and avenues which might allow creditors to recoup their assets if the business is allowed to continue in some form or another. </w:t>
      </w:r>
      <w:r w:rsidR="00D4632F">
        <w:rPr>
          <w:rFonts w:ascii="Avenir Next" w:hAnsi="Avenir Next" w:cs="Arial"/>
          <w:color w:val="808080" w:themeColor="background1" w:themeShade="80"/>
          <w:sz w:val="22"/>
          <w:szCs w:val="22"/>
          <w:lang w:val="en-GB"/>
        </w:rPr>
        <w:t xml:space="preserve">A recent legislative example of a pro-debtor initiative is in the United Kingdom (the </w:t>
      </w:r>
      <w:r w:rsidR="00D4632F" w:rsidRPr="00D4632F">
        <w:rPr>
          <w:rFonts w:ascii="Avenir Next" w:hAnsi="Avenir Next" w:cs="Arial"/>
          <w:b/>
          <w:bCs/>
          <w:color w:val="808080" w:themeColor="background1" w:themeShade="80"/>
          <w:sz w:val="22"/>
          <w:szCs w:val="22"/>
          <w:lang w:val="en-GB"/>
        </w:rPr>
        <w:t>UK</w:t>
      </w:r>
      <w:r w:rsidR="00D4632F">
        <w:rPr>
          <w:rFonts w:ascii="Avenir Next" w:hAnsi="Avenir Next" w:cs="Arial"/>
          <w:color w:val="808080" w:themeColor="background1" w:themeShade="80"/>
          <w:sz w:val="22"/>
          <w:szCs w:val="22"/>
          <w:lang w:val="en-GB"/>
        </w:rPr>
        <w:t>) where</w:t>
      </w:r>
      <w:r w:rsidR="00F71213">
        <w:rPr>
          <w:rFonts w:ascii="Avenir Next" w:hAnsi="Avenir Next" w:cs="Arial"/>
          <w:color w:val="808080" w:themeColor="background1" w:themeShade="80"/>
          <w:sz w:val="22"/>
          <w:szCs w:val="22"/>
          <w:lang w:val="en-GB"/>
        </w:rPr>
        <w:t xml:space="preserve"> following the hardships caused by the Covid-19 pandemic, the </w:t>
      </w:r>
      <w:r w:rsidR="00D4632F">
        <w:rPr>
          <w:rFonts w:ascii="Avenir Next" w:hAnsi="Avenir Next" w:cs="Arial"/>
          <w:color w:val="808080" w:themeColor="background1" w:themeShade="80"/>
          <w:sz w:val="22"/>
          <w:szCs w:val="22"/>
          <w:lang w:val="en-GB"/>
        </w:rPr>
        <w:t>UK</w:t>
      </w:r>
      <w:r w:rsidR="00F71213">
        <w:rPr>
          <w:rFonts w:ascii="Avenir Next" w:hAnsi="Avenir Next" w:cs="Arial"/>
          <w:color w:val="808080" w:themeColor="background1" w:themeShade="80"/>
          <w:sz w:val="22"/>
          <w:szCs w:val="22"/>
          <w:lang w:val="en-GB"/>
        </w:rPr>
        <w:t xml:space="preserve"> passed the Corporate Insolvency and Governance Act which provided for certain reforms to the English insolvency law in respect of restructuring plans, </w:t>
      </w:r>
      <w:r w:rsidR="00340443">
        <w:rPr>
          <w:rFonts w:ascii="Avenir Next" w:hAnsi="Avenir Next" w:cs="Arial"/>
          <w:color w:val="808080" w:themeColor="background1" w:themeShade="80"/>
          <w:sz w:val="22"/>
          <w:szCs w:val="22"/>
          <w:lang w:val="en-GB"/>
        </w:rPr>
        <w:t>moratoriums,</w:t>
      </w:r>
      <w:r w:rsidR="00F71213">
        <w:rPr>
          <w:rFonts w:ascii="Avenir Next" w:hAnsi="Avenir Next" w:cs="Arial"/>
          <w:color w:val="808080" w:themeColor="background1" w:themeShade="80"/>
          <w:sz w:val="22"/>
          <w:szCs w:val="22"/>
          <w:lang w:val="en-GB"/>
        </w:rPr>
        <w:t xml:space="preserve"> and the suspension of winding up petitions and statutory demand</w:t>
      </w:r>
      <w:r w:rsidR="00D4632F">
        <w:rPr>
          <w:rFonts w:ascii="Avenir Next" w:hAnsi="Avenir Next" w:cs="Arial"/>
          <w:color w:val="808080" w:themeColor="background1" w:themeShade="80"/>
          <w:sz w:val="22"/>
          <w:szCs w:val="22"/>
          <w:lang w:val="en-GB"/>
        </w:rPr>
        <w:t>s.</w:t>
      </w:r>
      <w:r w:rsidR="00D4632F">
        <w:rPr>
          <w:rStyle w:val="FootnoteReference"/>
          <w:rFonts w:ascii="Avenir Next" w:hAnsi="Avenir Next" w:cs="Arial"/>
          <w:color w:val="808080" w:themeColor="background1" w:themeShade="80"/>
          <w:sz w:val="22"/>
          <w:szCs w:val="22"/>
          <w:lang w:val="en-GB"/>
        </w:rPr>
        <w:footnoteReference w:id="2"/>
      </w:r>
      <w:r w:rsidR="00C36088">
        <w:rPr>
          <w:rFonts w:ascii="Avenir Next" w:hAnsi="Avenir Next" w:cs="Arial"/>
          <w:color w:val="808080" w:themeColor="background1" w:themeShade="80"/>
          <w:sz w:val="22"/>
          <w:szCs w:val="22"/>
          <w:lang w:val="en-GB"/>
        </w:rPr>
        <w:t xml:space="preserve"> </w:t>
      </w:r>
    </w:p>
    <w:p w14:paraId="01712CFC" w14:textId="77777777" w:rsidR="009D309D" w:rsidRDefault="009D309D" w:rsidP="00692852">
      <w:pPr>
        <w:jc w:val="both"/>
        <w:rPr>
          <w:rFonts w:ascii="Avenir Next" w:hAnsi="Avenir Next" w:cs="Arial"/>
          <w:color w:val="808080" w:themeColor="background1" w:themeShade="80"/>
          <w:sz w:val="22"/>
          <w:szCs w:val="22"/>
          <w:lang w:val="en-GB"/>
        </w:rPr>
      </w:pPr>
    </w:p>
    <w:p w14:paraId="5D23F565" w14:textId="24FBE406" w:rsidR="008B578D" w:rsidRPr="008B578D" w:rsidRDefault="00AF073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Netherlands has a civil insolvency law system and the Dutch 1987 </w:t>
      </w:r>
      <w:proofErr w:type="spellStart"/>
      <w:r w:rsidRPr="00AF0732">
        <w:rPr>
          <w:rFonts w:ascii="Avenir Next" w:hAnsi="Avenir Next" w:cs="Arial"/>
          <w:i/>
          <w:iCs/>
          <w:color w:val="808080" w:themeColor="background1" w:themeShade="80"/>
          <w:sz w:val="22"/>
          <w:szCs w:val="22"/>
          <w:lang w:val="en-GB"/>
        </w:rPr>
        <w:t>Faillisementswet</w:t>
      </w:r>
      <w:proofErr w:type="spellEnd"/>
      <w:r w:rsidRPr="00AF0732">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(bankruptcy law) deals with bankruptcy of both individuals and companies. </w:t>
      </w:r>
      <w:r w:rsidR="008B578D">
        <w:rPr>
          <w:rFonts w:ascii="Avenir Next" w:hAnsi="Avenir Next" w:cs="Arial"/>
          <w:color w:val="808080" w:themeColor="background1" w:themeShade="80"/>
          <w:sz w:val="22"/>
          <w:szCs w:val="22"/>
          <w:lang w:val="en-GB"/>
        </w:rPr>
        <w:t xml:space="preserve">Prior to the </w:t>
      </w:r>
      <w:r>
        <w:rPr>
          <w:rFonts w:ascii="Avenir Next" w:hAnsi="Avenir Next" w:cs="Arial"/>
          <w:color w:val="808080" w:themeColor="background1" w:themeShade="80"/>
          <w:sz w:val="22"/>
          <w:szCs w:val="22"/>
          <w:lang w:val="en-GB"/>
        </w:rPr>
        <w:t xml:space="preserve">introduction of the </w:t>
      </w:r>
      <w:proofErr w:type="spellStart"/>
      <w:r>
        <w:rPr>
          <w:rFonts w:ascii="Avenir Next" w:hAnsi="Avenir Next" w:cs="Arial"/>
          <w:i/>
          <w:iCs/>
          <w:color w:val="808080" w:themeColor="background1" w:themeShade="80"/>
          <w:sz w:val="22"/>
          <w:szCs w:val="22"/>
          <w:lang w:val="en-GB"/>
        </w:rPr>
        <w:t>Schuldsaneringswet</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008B578D">
        <w:rPr>
          <w:rFonts w:ascii="Avenir Next" w:hAnsi="Avenir Next" w:cs="Arial"/>
          <w:color w:val="808080" w:themeColor="background1" w:themeShade="80"/>
          <w:sz w:val="22"/>
          <w:szCs w:val="22"/>
          <w:lang w:val="en-GB"/>
        </w:rPr>
        <w:t xml:space="preserve">The Debt Restructuring Act) the Dutch insolvency law system was a very pro-creditor system with no discharge of debt available unless the creditor agreed. The </w:t>
      </w:r>
      <w:proofErr w:type="spellStart"/>
      <w:r w:rsidR="008B578D">
        <w:rPr>
          <w:rFonts w:ascii="Avenir Next" w:hAnsi="Avenir Next" w:cs="Arial"/>
          <w:i/>
          <w:iCs/>
          <w:color w:val="808080" w:themeColor="background1" w:themeShade="80"/>
          <w:sz w:val="22"/>
          <w:szCs w:val="22"/>
          <w:lang w:val="en-GB"/>
        </w:rPr>
        <w:t>Schuldsaneringswet</w:t>
      </w:r>
      <w:proofErr w:type="spellEnd"/>
      <w:r w:rsidR="008B578D">
        <w:rPr>
          <w:rFonts w:ascii="Avenir Next" w:hAnsi="Avenir Next" w:cs="Arial"/>
          <w:i/>
          <w:iCs/>
          <w:color w:val="808080" w:themeColor="background1" w:themeShade="80"/>
          <w:sz w:val="22"/>
          <w:szCs w:val="22"/>
          <w:lang w:val="en-GB"/>
        </w:rPr>
        <w:t xml:space="preserve"> </w:t>
      </w:r>
      <w:r w:rsidR="008B578D">
        <w:rPr>
          <w:rFonts w:ascii="Avenir Next" w:hAnsi="Avenir Next" w:cs="Arial"/>
          <w:color w:val="808080" w:themeColor="background1" w:themeShade="80"/>
          <w:sz w:val="22"/>
          <w:szCs w:val="22"/>
          <w:lang w:val="en-GB"/>
        </w:rPr>
        <w:t>has introduced a more liberal system with the concept of "a fresh start" available to debtors.</w:t>
      </w:r>
      <w:r w:rsidR="00D4632F">
        <w:rPr>
          <w:rStyle w:val="FootnoteReference"/>
          <w:rFonts w:ascii="Avenir Next" w:hAnsi="Avenir Next" w:cs="Arial"/>
          <w:color w:val="808080" w:themeColor="background1" w:themeShade="80"/>
          <w:sz w:val="22"/>
          <w:szCs w:val="22"/>
          <w:lang w:val="en-GB"/>
        </w:rPr>
        <w:footnoteReference w:id="3"/>
      </w:r>
    </w:p>
    <w:p w14:paraId="01E10FF1" w14:textId="77777777" w:rsidR="00AF0732" w:rsidRDefault="00AF0732" w:rsidP="00692852">
      <w:pPr>
        <w:jc w:val="both"/>
        <w:rPr>
          <w:rFonts w:ascii="Avenir Next" w:hAnsi="Avenir Next" w:cs="Arial"/>
          <w:color w:val="808080" w:themeColor="background1" w:themeShade="80"/>
          <w:sz w:val="22"/>
          <w:szCs w:val="22"/>
          <w:lang w:val="en-GB"/>
        </w:rPr>
      </w:pPr>
    </w:p>
    <w:p w14:paraId="0A9AF49F" w14:textId="08119133" w:rsidR="00AF0732" w:rsidRDefault="00AF0732"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Australia's insolvency law </w:t>
      </w:r>
      <w:r w:rsidR="00FB78F9">
        <w:rPr>
          <w:rFonts w:ascii="Avenir Next" w:hAnsi="Avenir Next" w:cs="Arial"/>
          <w:color w:val="808080" w:themeColor="background1" w:themeShade="80"/>
          <w:sz w:val="22"/>
          <w:szCs w:val="22"/>
          <w:lang w:val="en-GB"/>
        </w:rPr>
        <w:t>is based on the</w:t>
      </w:r>
      <w:r>
        <w:rPr>
          <w:rFonts w:ascii="Avenir Next" w:hAnsi="Avenir Next" w:cs="Arial"/>
          <w:color w:val="808080" w:themeColor="background1" w:themeShade="80"/>
          <w:sz w:val="22"/>
          <w:szCs w:val="22"/>
          <w:lang w:val="en-GB"/>
        </w:rPr>
        <w:t xml:space="preserve"> English common l</w:t>
      </w:r>
      <w:r w:rsidR="00FB78F9">
        <w:rPr>
          <w:rFonts w:ascii="Avenir Next" w:hAnsi="Avenir Next" w:cs="Arial"/>
          <w:color w:val="808080" w:themeColor="background1" w:themeShade="80"/>
          <w:sz w:val="22"/>
          <w:szCs w:val="22"/>
          <w:lang w:val="en-GB"/>
        </w:rPr>
        <w:t>aw system. Australia has two primary pieces of legislation which deal with the insolvency of individuals and companies, being the Bankruptcy Act 1966 and the Corporations Act 2001</w:t>
      </w:r>
      <w:r w:rsidR="00740B92">
        <w:rPr>
          <w:rFonts w:ascii="Avenir Next" w:hAnsi="Avenir Next" w:cs="Arial"/>
          <w:color w:val="808080" w:themeColor="background1" w:themeShade="80"/>
          <w:sz w:val="22"/>
          <w:szCs w:val="22"/>
          <w:lang w:val="en-GB"/>
        </w:rPr>
        <w:t xml:space="preserve"> (</w:t>
      </w:r>
      <w:proofErr w:type="spellStart"/>
      <w:r w:rsidR="00740B92">
        <w:rPr>
          <w:rFonts w:ascii="Avenir Next" w:hAnsi="Avenir Next" w:cs="Arial"/>
          <w:color w:val="808080" w:themeColor="background1" w:themeShade="80"/>
          <w:sz w:val="22"/>
          <w:szCs w:val="22"/>
          <w:lang w:val="en-GB"/>
        </w:rPr>
        <w:t>Cth</w:t>
      </w:r>
      <w:proofErr w:type="spellEnd"/>
      <w:r w:rsidR="00740B92">
        <w:rPr>
          <w:rFonts w:ascii="Avenir Next" w:hAnsi="Avenir Next" w:cs="Arial"/>
          <w:color w:val="808080" w:themeColor="background1" w:themeShade="80"/>
          <w:sz w:val="22"/>
          <w:szCs w:val="22"/>
          <w:lang w:val="en-GB"/>
        </w:rPr>
        <w:t xml:space="preserve">) (the </w:t>
      </w:r>
      <w:r w:rsidR="00740B92" w:rsidRPr="00740B92">
        <w:rPr>
          <w:rFonts w:ascii="Avenir Next" w:hAnsi="Avenir Next" w:cs="Arial"/>
          <w:b/>
          <w:bCs/>
          <w:color w:val="808080" w:themeColor="background1" w:themeShade="80"/>
          <w:sz w:val="22"/>
          <w:szCs w:val="22"/>
          <w:lang w:val="en-GB"/>
        </w:rPr>
        <w:t>Corporations Act</w:t>
      </w:r>
      <w:r w:rsidR="00740B92">
        <w:rPr>
          <w:rFonts w:ascii="Avenir Next" w:hAnsi="Avenir Next" w:cs="Arial"/>
          <w:color w:val="808080" w:themeColor="background1" w:themeShade="80"/>
          <w:sz w:val="22"/>
          <w:szCs w:val="22"/>
          <w:lang w:val="en-GB"/>
        </w:rPr>
        <w:t>)</w:t>
      </w:r>
      <w:r w:rsidR="00FB78F9">
        <w:rPr>
          <w:rFonts w:ascii="Avenir Next" w:hAnsi="Avenir Next" w:cs="Arial"/>
          <w:color w:val="808080" w:themeColor="background1" w:themeShade="80"/>
          <w:sz w:val="22"/>
          <w:szCs w:val="22"/>
          <w:lang w:val="en-GB"/>
        </w:rPr>
        <w:t>, respectively.</w:t>
      </w:r>
      <w:r w:rsidR="005B13F1">
        <w:rPr>
          <w:rStyle w:val="FootnoteReference"/>
          <w:rFonts w:ascii="Avenir Next" w:hAnsi="Avenir Next" w:cs="Arial"/>
          <w:color w:val="808080" w:themeColor="background1" w:themeShade="80"/>
          <w:sz w:val="22"/>
          <w:szCs w:val="22"/>
          <w:lang w:val="en-GB"/>
        </w:rPr>
        <w:footnoteReference w:id="4"/>
      </w:r>
      <w:r w:rsidR="00FB78F9">
        <w:rPr>
          <w:rFonts w:ascii="Avenir Next" w:hAnsi="Avenir Next" w:cs="Arial"/>
          <w:color w:val="808080" w:themeColor="background1" w:themeShade="80"/>
          <w:sz w:val="22"/>
          <w:szCs w:val="22"/>
          <w:lang w:val="en-GB"/>
        </w:rPr>
        <w:t xml:space="preserve"> </w:t>
      </w:r>
      <w:r w:rsidR="005B13F1">
        <w:rPr>
          <w:rFonts w:ascii="Avenir Next" w:hAnsi="Avenir Next" w:cs="Arial"/>
          <w:color w:val="808080" w:themeColor="background1" w:themeShade="80"/>
          <w:sz w:val="22"/>
          <w:szCs w:val="22"/>
          <w:lang w:val="en-GB"/>
        </w:rPr>
        <w:t xml:space="preserve">Australia has also adopted the UNCITRAL Model Law on Cross-border Insolvency (the </w:t>
      </w:r>
      <w:r w:rsidR="005B13F1" w:rsidRPr="00190CF9">
        <w:rPr>
          <w:rFonts w:ascii="Avenir Next" w:hAnsi="Avenir Next" w:cs="Arial"/>
          <w:b/>
          <w:bCs/>
          <w:color w:val="808080" w:themeColor="background1" w:themeShade="80"/>
          <w:sz w:val="22"/>
          <w:szCs w:val="22"/>
          <w:lang w:val="en-GB"/>
        </w:rPr>
        <w:t>Model Law</w:t>
      </w:r>
      <w:r w:rsidR="005B13F1">
        <w:rPr>
          <w:rFonts w:ascii="Avenir Next" w:hAnsi="Avenir Next" w:cs="Arial"/>
          <w:color w:val="808080" w:themeColor="background1" w:themeShade="80"/>
          <w:sz w:val="22"/>
          <w:szCs w:val="22"/>
          <w:lang w:val="en-GB"/>
        </w:rPr>
        <w:t xml:space="preserve">) </w:t>
      </w:r>
      <w:r w:rsidR="005B13F1" w:rsidRPr="005B13F1">
        <w:rPr>
          <w:rFonts w:ascii="Avenir Next" w:hAnsi="Avenir Next" w:cs="Arial"/>
          <w:color w:val="808080" w:themeColor="background1" w:themeShade="80"/>
          <w:sz w:val="22"/>
          <w:szCs w:val="22"/>
          <w:lang w:val="en-GB"/>
        </w:rPr>
        <w:t>through the Cross-border Insolvency Act 2008 (</w:t>
      </w:r>
      <w:proofErr w:type="spellStart"/>
      <w:r w:rsidR="005B13F1" w:rsidRPr="005B13F1">
        <w:rPr>
          <w:rFonts w:ascii="Avenir Next" w:hAnsi="Avenir Next" w:cs="Arial"/>
          <w:color w:val="808080" w:themeColor="background1" w:themeShade="80"/>
          <w:sz w:val="22"/>
          <w:szCs w:val="22"/>
          <w:lang w:val="en-GB"/>
        </w:rPr>
        <w:t>Cth</w:t>
      </w:r>
      <w:proofErr w:type="spellEnd"/>
      <w:r w:rsidR="005B13F1" w:rsidRPr="005B13F1">
        <w:rPr>
          <w:rFonts w:ascii="Avenir Next" w:hAnsi="Avenir Next" w:cs="Arial"/>
          <w:color w:val="808080" w:themeColor="background1" w:themeShade="80"/>
          <w:sz w:val="22"/>
          <w:szCs w:val="22"/>
          <w:lang w:val="en-GB"/>
        </w:rPr>
        <w:t>)</w:t>
      </w:r>
      <w:r w:rsidR="005B13F1">
        <w:rPr>
          <w:rFonts w:ascii="Avenir Next" w:hAnsi="Avenir Next" w:cs="Arial"/>
          <w:color w:val="808080" w:themeColor="background1" w:themeShade="80"/>
          <w:sz w:val="22"/>
          <w:szCs w:val="22"/>
          <w:lang w:val="en-GB"/>
        </w:rPr>
        <w:t>. T</w:t>
      </w:r>
      <w:r w:rsidR="00FB78F9">
        <w:rPr>
          <w:rFonts w:ascii="Avenir Next" w:hAnsi="Avenir Next" w:cs="Arial"/>
          <w:color w:val="808080" w:themeColor="background1" w:themeShade="80"/>
          <w:sz w:val="22"/>
          <w:szCs w:val="22"/>
          <w:lang w:val="en-GB"/>
        </w:rPr>
        <w:t xml:space="preserve">he application of these acts is supported and supplemented by the common law through the development of case law in Australia which draws on English case law and the case law of other common law jurisdictions. </w:t>
      </w:r>
    </w:p>
    <w:p w14:paraId="1729EED2" w14:textId="77777777" w:rsidR="00906464" w:rsidRDefault="00906464" w:rsidP="00692852">
      <w:pPr>
        <w:jc w:val="both"/>
        <w:rPr>
          <w:rFonts w:ascii="Avenir Next" w:hAnsi="Avenir Next" w:cs="Arial"/>
          <w:color w:val="808080" w:themeColor="background1" w:themeShade="80"/>
          <w:sz w:val="22"/>
          <w:szCs w:val="22"/>
          <w:lang w:val="en-GB"/>
        </w:rPr>
      </w:pPr>
    </w:p>
    <w:p w14:paraId="4244AAD4" w14:textId="0F29D6BE" w:rsidR="00906464" w:rsidRPr="00DA42DA" w:rsidRDefault="00906464"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African continent is </w:t>
      </w:r>
      <w:r w:rsidR="005B13F1">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an interesting example</w:t>
      </w:r>
      <w:r w:rsidR="005B13F1">
        <w:rPr>
          <w:rFonts w:ascii="Avenir Next" w:hAnsi="Avenir Next" w:cs="Arial"/>
          <w:color w:val="808080" w:themeColor="background1" w:themeShade="80"/>
          <w:sz w:val="22"/>
          <w:szCs w:val="22"/>
          <w:lang w:val="en-GB"/>
        </w:rPr>
        <w:t xml:space="preserve"> to consider </w:t>
      </w:r>
      <w:r>
        <w:rPr>
          <w:rFonts w:ascii="Avenir Next" w:hAnsi="Avenir Next" w:cs="Arial"/>
          <w:color w:val="808080" w:themeColor="background1" w:themeShade="80"/>
          <w:sz w:val="22"/>
          <w:szCs w:val="22"/>
          <w:lang w:val="en-GB"/>
        </w:rPr>
        <w:t xml:space="preserve">because the insolvency laws of its various countries typically have their roots in the laws of their former colonial powers. For example, Kenya's system is based on English law, </w:t>
      </w:r>
      <w:r w:rsidR="00E870E7">
        <w:rPr>
          <w:rFonts w:ascii="Avenir Next" w:hAnsi="Avenir Next" w:cs="Arial"/>
          <w:color w:val="808080" w:themeColor="background1" w:themeShade="80"/>
          <w:sz w:val="22"/>
          <w:szCs w:val="22"/>
          <w:lang w:val="en-GB"/>
        </w:rPr>
        <w:t>whereas the West African countries are based on the French civil law system</w:t>
      </w:r>
      <w:r w:rsidR="005B13F1">
        <w:rPr>
          <w:rFonts w:ascii="Avenir Next" w:hAnsi="Avenir Next" w:cs="Arial"/>
          <w:color w:val="808080" w:themeColor="background1" w:themeShade="80"/>
          <w:sz w:val="22"/>
          <w:szCs w:val="22"/>
          <w:lang w:val="en-GB"/>
        </w:rPr>
        <w:t>.</w:t>
      </w:r>
      <w:r w:rsidR="005B13F1">
        <w:rPr>
          <w:rStyle w:val="FootnoteReference"/>
          <w:rFonts w:ascii="Avenir Next" w:hAnsi="Avenir Next" w:cs="Arial"/>
          <w:color w:val="808080" w:themeColor="background1" w:themeShade="80"/>
          <w:sz w:val="22"/>
          <w:szCs w:val="22"/>
          <w:lang w:val="en-GB"/>
        </w:rPr>
        <w:footnoteReference w:id="5"/>
      </w:r>
      <w:r w:rsidR="00E870E7">
        <w:rPr>
          <w:rFonts w:ascii="Avenir Next" w:hAnsi="Avenir Next" w:cs="Arial"/>
          <w:color w:val="808080" w:themeColor="background1" w:themeShade="80"/>
          <w:sz w:val="22"/>
          <w:szCs w:val="22"/>
          <w:lang w:val="en-GB"/>
        </w:rPr>
        <w:t xml:space="preserve">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36CD7F4D" w:rsidR="00DA42DA" w:rsidRDefault="0023569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Universalism, modified universalism, and territorialism are approaches or theories as to cross-border insolvency. </w:t>
      </w:r>
    </w:p>
    <w:p w14:paraId="60B70F9E" w14:textId="77777777" w:rsidR="0023569C" w:rsidRDefault="0023569C" w:rsidP="00DA42DA">
      <w:pPr>
        <w:jc w:val="both"/>
        <w:rPr>
          <w:rFonts w:ascii="Avenir Next" w:hAnsi="Avenir Next" w:cs="Arial"/>
          <w:color w:val="808080" w:themeColor="background1" w:themeShade="80"/>
          <w:sz w:val="22"/>
          <w:szCs w:val="22"/>
          <w:lang w:val="en-GB"/>
        </w:rPr>
      </w:pPr>
    </w:p>
    <w:p w14:paraId="431E47A9" w14:textId="7309923A" w:rsidR="00F25190" w:rsidRDefault="0023569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essence of 'universalism' is that </w:t>
      </w:r>
      <w:r w:rsidR="00B8056A">
        <w:rPr>
          <w:rFonts w:ascii="Avenir Next" w:hAnsi="Avenir Next" w:cs="Arial"/>
          <w:color w:val="808080" w:themeColor="background1" w:themeShade="80"/>
          <w:sz w:val="22"/>
          <w:szCs w:val="22"/>
          <w:lang w:val="en-GB"/>
        </w:rPr>
        <w:t>there could</w:t>
      </w:r>
      <w:r>
        <w:rPr>
          <w:rFonts w:ascii="Avenir Next" w:hAnsi="Avenir Next" w:cs="Arial"/>
          <w:color w:val="808080" w:themeColor="background1" w:themeShade="80"/>
          <w:sz w:val="22"/>
          <w:szCs w:val="22"/>
          <w:lang w:val="en-GB"/>
        </w:rPr>
        <w:t xml:space="preserve"> be one </w:t>
      </w:r>
      <w:r w:rsidR="00B8056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main proceeding</w:t>
      </w:r>
      <w:r w:rsidR="00B8056A">
        <w:rPr>
          <w:rFonts w:ascii="Avenir Next" w:hAnsi="Avenir Next" w:cs="Arial"/>
          <w:color w:val="808080" w:themeColor="background1" w:themeShade="80"/>
          <w:sz w:val="22"/>
          <w:szCs w:val="22"/>
          <w:lang w:val="en-GB"/>
        </w:rPr>
        <w:t xml:space="preserve">' which would apply universally in all jurisdictions </w:t>
      </w:r>
      <w:r w:rsidR="002B008B">
        <w:rPr>
          <w:rFonts w:ascii="Avenir Next" w:hAnsi="Avenir Next" w:cs="Arial"/>
          <w:color w:val="808080" w:themeColor="background1" w:themeShade="80"/>
          <w:sz w:val="22"/>
          <w:szCs w:val="22"/>
          <w:lang w:val="en-GB"/>
        </w:rPr>
        <w:t xml:space="preserve">/ States </w:t>
      </w:r>
      <w:r w:rsidR="00B8056A">
        <w:rPr>
          <w:rFonts w:ascii="Avenir Next" w:hAnsi="Avenir Next" w:cs="Arial"/>
          <w:color w:val="808080" w:themeColor="background1" w:themeShade="80"/>
          <w:sz w:val="22"/>
          <w:szCs w:val="22"/>
          <w:lang w:val="en-GB"/>
        </w:rPr>
        <w:t xml:space="preserve">where the debtor has operations, creditors, assets etc. This theory supports the notion that the laws of the jurisdiction of the 'main proceeding' will apply universally and outside the territory of the 'main proceeding'. In other words, there would only be one legal forum dealing with the insolvency and any other jurisdictions where insolvency proceedings could be commenced would be precluded in favour of adopting the findings of the 'main proceeding'. </w:t>
      </w:r>
    </w:p>
    <w:p w14:paraId="5DFB6AB9" w14:textId="77777777" w:rsidR="00B8056A" w:rsidRDefault="00B8056A" w:rsidP="00DA42DA">
      <w:pPr>
        <w:jc w:val="both"/>
        <w:rPr>
          <w:rFonts w:ascii="Avenir Next" w:hAnsi="Avenir Next" w:cs="Arial"/>
          <w:color w:val="808080" w:themeColor="background1" w:themeShade="80"/>
          <w:sz w:val="22"/>
          <w:szCs w:val="22"/>
          <w:lang w:val="en-GB"/>
        </w:rPr>
      </w:pPr>
    </w:p>
    <w:p w14:paraId="7D20B533" w14:textId="27535435" w:rsidR="00B8056A" w:rsidRDefault="00B8056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00AE171A">
        <w:rPr>
          <w:rFonts w:ascii="Avenir Next" w:hAnsi="Avenir Next" w:cs="Arial"/>
          <w:color w:val="808080" w:themeColor="background1" w:themeShade="80"/>
          <w:sz w:val="22"/>
          <w:szCs w:val="22"/>
          <w:lang w:val="en-GB"/>
        </w:rPr>
        <w:t>odified</w:t>
      </w:r>
      <w:r>
        <w:rPr>
          <w:rFonts w:ascii="Avenir Next" w:hAnsi="Avenir Next" w:cs="Arial"/>
          <w:color w:val="808080" w:themeColor="background1" w:themeShade="80"/>
          <w:sz w:val="22"/>
          <w:szCs w:val="22"/>
          <w:lang w:val="en-GB"/>
        </w:rPr>
        <w:t xml:space="preserve"> universalism' accepts that a 'universal' approach in cross-border insolvency proceedings is unlikely to </w:t>
      </w:r>
      <w:r w:rsidR="00AE171A">
        <w:rPr>
          <w:rFonts w:ascii="Avenir Next" w:hAnsi="Avenir Next" w:cs="Arial"/>
          <w:color w:val="808080" w:themeColor="background1" w:themeShade="80"/>
          <w:sz w:val="22"/>
          <w:szCs w:val="22"/>
          <w:lang w:val="en-GB"/>
        </w:rPr>
        <w:t>ever transpire fully</w:t>
      </w:r>
      <w:r>
        <w:rPr>
          <w:rFonts w:ascii="Avenir Next" w:hAnsi="Avenir Next" w:cs="Arial"/>
          <w:color w:val="808080" w:themeColor="background1" w:themeShade="80"/>
          <w:sz w:val="22"/>
          <w:szCs w:val="22"/>
          <w:lang w:val="en-GB"/>
        </w:rPr>
        <w:t xml:space="preserve"> due to the persisting territorial nature of the world's differing legal systems and in some cases </w:t>
      </w:r>
      <w:r w:rsidR="00AE171A">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particular jurisdiction</w:t>
      </w:r>
      <w:r w:rsidR="00AE171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s desire to protect for example, creditors in their own jurisdiction. However,</w:t>
      </w:r>
      <w:r w:rsidR="00AE171A">
        <w:rPr>
          <w:rFonts w:ascii="Avenir Next" w:hAnsi="Avenir Next" w:cs="Arial"/>
          <w:color w:val="808080" w:themeColor="background1" w:themeShade="80"/>
          <w:sz w:val="22"/>
          <w:szCs w:val="22"/>
          <w:lang w:val="en-GB"/>
        </w:rPr>
        <w:t xml:space="preserve"> m</w:t>
      </w:r>
      <w:r w:rsidR="00AE171A" w:rsidRPr="00AE171A">
        <w:rPr>
          <w:rFonts w:ascii="Avenir Next" w:hAnsi="Avenir Next" w:cs="Arial"/>
          <w:color w:val="808080" w:themeColor="background1" w:themeShade="80"/>
          <w:sz w:val="22"/>
          <w:szCs w:val="22"/>
          <w:lang w:val="en-GB"/>
        </w:rPr>
        <w:t xml:space="preserve">odified universalism </w:t>
      </w:r>
      <w:r>
        <w:rPr>
          <w:rFonts w:ascii="Avenir Next" w:hAnsi="Avenir Next" w:cs="Arial"/>
          <w:color w:val="808080" w:themeColor="background1" w:themeShade="80"/>
          <w:sz w:val="22"/>
          <w:szCs w:val="22"/>
          <w:lang w:val="en-GB"/>
        </w:rPr>
        <w:t xml:space="preserve">accepts the importance of the </w:t>
      </w:r>
      <w:r w:rsidR="003C3E38">
        <w:rPr>
          <w:rFonts w:ascii="Avenir Next" w:hAnsi="Avenir Next" w:cs="Arial"/>
          <w:color w:val="808080" w:themeColor="background1" w:themeShade="80"/>
          <w:sz w:val="22"/>
          <w:szCs w:val="22"/>
          <w:lang w:val="en-GB"/>
        </w:rPr>
        <w:t>insolvency practitioners having the tools to trace and obtain worldwide assets and to treat creditors on an equal basis as far as possible. The crux of 'modified universalism' is that there would still be one 'main proceeding' in the jurisdiction of the debtor's centre of main interest (</w:t>
      </w:r>
      <w:r w:rsidR="003C3E38" w:rsidRPr="00AE171A">
        <w:rPr>
          <w:rFonts w:ascii="Avenir Next" w:hAnsi="Avenir Next" w:cs="Arial"/>
          <w:b/>
          <w:bCs/>
          <w:color w:val="808080" w:themeColor="background1" w:themeShade="80"/>
          <w:sz w:val="22"/>
          <w:szCs w:val="22"/>
          <w:lang w:val="en-GB"/>
        </w:rPr>
        <w:t>COMI</w:t>
      </w:r>
      <w:r w:rsidR="003C3E38">
        <w:rPr>
          <w:rFonts w:ascii="Avenir Next" w:hAnsi="Avenir Next" w:cs="Arial"/>
          <w:color w:val="808080" w:themeColor="background1" w:themeShade="80"/>
          <w:sz w:val="22"/>
          <w:szCs w:val="22"/>
          <w:lang w:val="en-GB"/>
        </w:rPr>
        <w:t>)</w:t>
      </w:r>
      <w:r w:rsidR="00925D56">
        <w:rPr>
          <w:rFonts w:ascii="Avenir Next" w:hAnsi="Avenir Next" w:cs="Arial"/>
          <w:color w:val="808080" w:themeColor="background1" w:themeShade="80"/>
          <w:sz w:val="22"/>
          <w:szCs w:val="22"/>
          <w:lang w:val="en-GB"/>
        </w:rPr>
        <w:t xml:space="preserve">, but that proceeding </w:t>
      </w:r>
      <w:r w:rsidR="00AE171A">
        <w:rPr>
          <w:rFonts w:ascii="Avenir Next" w:hAnsi="Avenir Next" w:cs="Arial"/>
          <w:color w:val="808080" w:themeColor="background1" w:themeShade="80"/>
          <w:sz w:val="22"/>
          <w:szCs w:val="22"/>
          <w:lang w:val="en-GB"/>
        </w:rPr>
        <w:t xml:space="preserve">can be </w:t>
      </w:r>
      <w:r w:rsidR="00925D56">
        <w:rPr>
          <w:rFonts w:ascii="Avenir Next" w:hAnsi="Avenir Next" w:cs="Arial"/>
          <w:color w:val="808080" w:themeColor="background1" w:themeShade="80"/>
          <w:sz w:val="22"/>
          <w:szCs w:val="22"/>
          <w:lang w:val="en-GB"/>
        </w:rPr>
        <w:t xml:space="preserve">supported by ancillary proceedings in the other relevant jurisdiction(s) and the </w:t>
      </w:r>
      <w:r w:rsidR="00AE171A">
        <w:rPr>
          <w:rFonts w:ascii="Avenir Next" w:hAnsi="Avenir Next" w:cs="Arial"/>
          <w:color w:val="808080" w:themeColor="background1" w:themeShade="80"/>
          <w:sz w:val="22"/>
          <w:szCs w:val="22"/>
          <w:lang w:val="en-GB"/>
        </w:rPr>
        <w:t>courts</w:t>
      </w:r>
      <w:r w:rsidR="00925D56">
        <w:rPr>
          <w:rFonts w:ascii="Avenir Next" w:hAnsi="Avenir Next" w:cs="Arial"/>
          <w:color w:val="808080" w:themeColor="background1" w:themeShade="80"/>
          <w:sz w:val="22"/>
          <w:szCs w:val="22"/>
          <w:lang w:val="en-GB"/>
        </w:rPr>
        <w:t xml:space="preserve"> in those jurisdictions are expected to cooperate with each other. </w:t>
      </w:r>
    </w:p>
    <w:p w14:paraId="01B7C1CC" w14:textId="77777777" w:rsidR="00925D56" w:rsidRDefault="00925D56" w:rsidP="00DA42DA">
      <w:pPr>
        <w:jc w:val="both"/>
        <w:rPr>
          <w:rFonts w:ascii="Avenir Next" w:hAnsi="Avenir Next" w:cs="Arial"/>
          <w:color w:val="808080" w:themeColor="background1" w:themeShade="80"/>
          <w:sz w:val="22"/>
          <w:szCs w:val="22"/>
          <w:lang w:val="en-GB"/>
        </w:rPr>
      </w:pPr>
    </w:p>
    <w:p w14:paraId="67DA064B" w14:textId="0049E823" w:rsidR="00925D56" w:rsidRPr="00DA42DA" w:rsidRDefault="00925D5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'territorialism' is fundamentally different to the principle of universalism because it supports </w:t>
      </w:r>
      <w:r w:rsidR="00794B0D">
        <w:rPr>
          <w:rFonts w:ascii="Avenir Next" w:hAnsi="Avenir Next" w:cs="Arial"/>
          <w:color w:val="808080" w:themeColor="background1" w:themeShade="80"/>
          <w:sz w:val="22"/>
          <w:szCs w:val="22"/>
          <w:lang w:val="en-GB"/>
        </w:rPr>
        <w:t xml:space="preserve">the commencement of insolvency proceedings in </w:t>
      </w:r>
      <w:r w:rsidR="00AE171A">
        <w:rPr>
          <w:rFonts w:ascii="Avenir Next" w:hAnsi="Avenir Next" w:cs="Arial"/>
          <w:color w:val="808080" w:themeColor="background1" w:themeShade="80"/>
          <w:sz w:val="22"/>
          <w:szCs w:val="22"/>
          <w:lang w:val="en-GB"/>
        </w:rPr>
        <w:t>all</w:t>
      </w:r>
      <w:r w:rsidR="00794B0D">
        <w:rPr>
          <w:rFonts w:ascii="Avenir Next" w:hAnsi="Avenir Next" w:cs="Arial"/>
          <w:color w:val="808080" w:themeColor="background1" w:themeShade="80"/>
          <w:sz w:val="22"/>
          <w:szCs w:val="22"/>
          <w:lang w:val="en-GB"/>
        </w:rPr>
        <w:t xml:space="preserve"> the jurisdictions where the debtor has assets with the effect that there could be multiple concurrent proceedings in respect of the same debtor. Territorialism </w:t>
      </w:r>
      <w:r w:rsidR="00340443">
        <w:rPr>
          <w:rFonts w:ascii="Avenir Next" w:hAnsi="Avenir Next" w:cs="Arial"/>
          <w:color w:val="808080" w:themeColor="background1" w:themeShade="80"/>
          <w:sz w:val="22"/>
          <w:szCs w:val="22"/>
          <w:lang w:val="en-GB"/>
        </w:rPr>
        <w:t>supports</w:t>
      </w:r>
      <w:r w:rsidR="00794B0D">
        <w:rPr>
          <w:rFonts w:ascii="Avenir Next" w:hAnsi="Avenir Next" w:cs="Arial"/>
          <w:color w:val="808080" w:themeColor="background1" w:themeShade="80"/>
          <w:sz w:val="22"/>
          <w:szCs w:val="22"/>
          <w:lang w:val="en-GB"/>
        </w:rPr>
        <w:t xml:space="preserve"> the notion that the consequences of an insolvency proceeding will only apply in the jurisdiction (territory) where it has been commenced. This approach can benefit local </w:t>
      </w:r>
      <w:r w:rsidR="00340443">
        <w:rPr>
          <w:rFonts w:ascii="Avenir Next" w:hAnsi="Avenir Next" w:cs="Arial"/>
          <w:color w:val="808080" w:themeColor="background1" w:themeShade="80"/>
          <w:sz w:val="22"/>
          <w:szCs w:val="22"/>
          <w:lang w:val="en-GB"/>
        </w:rPr>
        <w:t>creditors,</w:t>
      </w:r>
      <w:r w:rsidR="00794B0D">
        <w:rPr>
          <w:rFonts w:ascii="Avenir Next" w:hAnsi="Avenir Next" w:cs="Arial"/>
          <w:color w:val="808080" w:themeColor="background1" w:themeShade="80"/>
          <w:sz w:val="22"/>
          <w:szCs w:val="22"/>
          <w:lang w:val="en-GB"/>
        </w:rPr>
        <w:t xml:space="preserve"> but a major drawback is the fact that a debtor may be deemed insolvent in one jurisdiction where its debts are, but not in another jurisdiction where its assets are. </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5932B2A" w14:textId="08467A91" w:rsidR="00243317" w:rsidRDefault="0024331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Latin American States have </w:t>
      </w:r>
      <w:r w:rsidR="00AE171A">
        <w:rPr>
          <w:rFonts w:ascii="Avenir Next" w:hAnsi="Avenir Next" w:cs="Arial"/>
          <w:color w:val="808080" w:themeColor="background1" w:themeShade="80"/>
          <w:sz w:val="22"/>
          <w:szCs w:val="22"/>
          <w:lang w:val="en-GB"/>
        </w:rPr>
        <w:t>entered</w:t>
      </w:r>
      <w:r>
        <w:rPr>
          <w:rFonts w:ascii="Avenir Next" w:hAnsi="Avenir Next" w:cs="Arial"/>
          <w:color w:val="808080" w:themeColor="background1" w:themeShade="80"/>
          <w:sz w:val="22"/>
          <w:szCs w:val="22"/>
          <w:lang w:val="en-GB"/>
        </w:rPr>
        <w:t xml:space="preserve"> treaties which deal with private international law and commerce and include sections on bankruptcy / insolvency. </w:t>
      </w:r>
      <w:r w:rsidR="00AE171A">
        <w:rPr>
          <w:rFonts w:ascii="Avenir Next" w:hAnsi="Avenir Next" w:cs="Arial"/>
          <w:color w:val="808080" w:themeColor="background1" w:themeShade="80"/>
          <w:sz w:val="22"/>
          <w:szCs w:val="22"/>
          <w:lang w:val="en-GB"/>
        </w:rPr>
        <w:t>These include:</w:t>
      </w:r>
    </w:p>
    <w:p w14:paraId="4A1E6795" w14:textId="77777777" w:rsidR="00243317" w:rsidRDefault="00243317" w:rsidP="00DA42DA">
      <w:pPr>
        <w:jc w:val="both"/>
        <w:rPr>
          <w:rFonts w:ascii="Avenir Next" w:hAnsi="Avenir Next" w:cs="Arial"/>
          <w:color w:val="808080" w:themeColor="background1" w:themeShade="80"/>
          <w:sz w:val="22"/>
          <w:szCs w:val="22"/>
          <w:lang w:val="en-GB"/>
        </w:rPr>
      </w:pPr>
    </w:p>
    <w:p w14:paraId="4B2DFCA3" w14:textId="0DA64B01" w:rsidR="00243317" w:rsidRDefault="00AE171A" w:rsidP="002433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43317" w:rsidRPr="00243317">
        <w:rPr>
          <w:rFonts w:ascii="Avenir Next" w:hAnsi="Avenir Next" w:cs="Arial"/>
          <w:color w:val="808080" w:themeColor="background1" w:themeShade="80"/>
          <w:sz w:val="22"/>
          <w:szCs w:val="22"/>
          <w:lang w:val="en-GB"/>
        </w:rPr>
        <w:t xml:space="preserve">he Montevideo Treaty on International Commercial Law (1889) </w:t>
      </w:r>
      <w:r>
        <w:rPr>
          <w:rFonts w:ascii="Avenir Next" w:hAnsi="Avenir Next" w:cs="Arial"/>
          <w:color w:val="808080" w:themeColor="background1" w:themeShade="80"/>
          <w:sz w:val="22"/>
          <w:szCs w:val="22"/>
          <w:lang w:val="en-GB"/>
        </w:rPr>
        <w:t xml:space="preserve">which </w:t>
      </w:r>
      <w:r w:rsidR="00243317" w:rsidRPr="00243317">
        <w:rPr>
          <w:rFonts w:ascii="Avenir Next" w:hAnsi="Avenir Next" w:cs="Arial"/>
          <w:color w:val="808080" w:themeColor="background1" w:themeShade="80"/>
          <w:sz w:val="22"/>
          <w:szCs w:val="22"/>
          <w:lang w:val="en-GB"/>
        </w:rPr>
        <w:t xml:space="preserve">has been ratified by Argentina, Bolivia, Colombia, Paraguay, Peru and </w:t>
      </w:r>
      <w:proofErr w:type="gramStart"/>
      <w:r w:rsidR="00243317" w:rsidRPr="00243317">
        <w:rPr>
          <w:rFonts w:ascii="Avenir Next" w:hAnsi="Avenir Next" w:cs="Arial"/>
          <w:color w:val="808080" w:themeColor="background1" w:themeShade="80"/>
          <w:sz w:val="22"/>
          <w:szCs w:val="22"/>
          <w:lang w:val="en-GB"/>
        </w:rPr>
        <w:t>Uruguay</w:t>
      </w:r>
      <w:r w:rsidR="00243317">
        <w:rPr>
          <w:rFonts w:ascii="Avenir Next" w:hAnsi="Avenir Next" w:cs="Arial"/>
          <w:color w:val="808080" w:themeColor="background1" w:themeShade="80"/>
          <w:sz w:val="22"/>
          <w:szCs w:val="22"/>
          <w:lang w:val="en-GB"/>
        </w:rPr>
        <w:t>;</w:t>
      </w:r>
      <w:proofErr w:type="gramEnd"/>
    </w:p>
    <w:p w14:paraId="23C6997B" w14:textId="77777777" w:rsidR="00260ED1" w:rsidRDefault="00260ED1" w:rsidP="00260ED1">
      <w:pPr>
        <w:pStyle w:val="ListParagraph"/>
        <w:jc w:val="both"/>
        <w:rPr>
          <w:rFonts w:ascii="Avenir Next" w:hAnsi="Avenir Next" w:cs="Arial"/>
          <w:color w:val="808080" w:themeColor="background1" w:themeShade="80"/>
          <w:sz w:val="22"/>
          <w:szCs w:val="22"/>
          <w:lang w:val="en-GB"/>
        </w:rPr>
      </w:pPr>
    </w:p>
    <w:p w14:paraId="156B03C0" w14:textId="41A309E9" w:rsidR="00AE171A" w:rsidRDefault="00AE171A" w:rsidP="002433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43317" w:rsidRPr="00243317">
        <w:rPr>
          <w:rFonts w:ascii="Avenir Next" w:hAnsi="Avenir Next" w:cs="Arial"/>
          <w:color w:val="808080" w:themeColor="background1" w:themeShade="80"/>
          <w:sz w:val="22"/>
          <w:szCs w:val="22"/>
          <w:lang w:val="en-GB"/>
        </w:rPr>
        <w:t xml:space="preserve">he Montevideo Treaty on International Commercial </w:t>
      </w:r>
      <w:r w:rsidR="00243317">
        <w:rPr>
          <w:rFonts w:ascii="Avenir Next" w:hAnsi="Avenir Next" w:cs="Arial"/>
          <w:color w:val="808080" w:themeColor="background1" w:themeShade="80"/>
          <w:sz w:val="22"/>
          <w:szCs w:val="22"/>
          <w:lang w:val="en-GB"/>
        </w:rPr>
        <w:t>Terrestrial Law</w:t>
      </w:r>
      <w:r w:rsidR="00243317" w:rsidRPr="00243317">
        <w:rPr>
          <w:rFonts w:ascii="Avenir Next" w:hAnsi="Avenir Next" w:cs="Arial"/>
          <w:color w:val="808080" w:themeColor="background1" w:themeShade="80"/>
          <w:sz w:val="22"/>
          <w:szCs w:val="22"/>
          <w:lang w:val="en-GB"/>
        </w:rPr>
        <w:t xml:space="preserve"> (1</w:t>
      </w:r>
      <w:r w:rsidR="00243317">
        <w:rPr>
          <w:rFonts w:ascii="Avenir Next" w:hAnsi="Avenir Next" w:cs="Arial"/>
          <w:color w:val="808080" w:themeColor="background1" w:themeShade="80"/>
          <w:sz w:val="22"/>
          <w:szCs w:val="22"/>
          <w:lang w:val="en-GB"/>
        </w:rPr>
        <w:t>940</w:t>
      </w:r>
      <w:r w:rsidR="00243317" w:rsidRPr="00243317">
        <w:rPr>
          <w:rFonts w:ascii="Avenir Next" w:hAnsi="Avenir Next" w:cs="Arial"/>
          <w:color w:val="808080" w:themeColor="background1" w:themeShade="80"/>
          <w:sz w:val="22"/>
          <w:szCs w:val="22"/>
          <w:lang w:val="en-GB"/>
        </w:rPr>
        <w:t>)</w:t>
      </w:r>
      <w:r w:rsidR="0024331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which</w:t>
      </w:r>
      <w:r w:rsidR="00736A4F">
        <w:rPr>
          <w:rFonts w:ascii="Avenir Next" w:hAnsi="Avenir Next" w:cs="Arial"/>
          <w:color w:val="808080" w:themeColor="background1" w:themeShade="80"/>
          <w:sz w:val="22"/>
          <w:szCs w:val="22"/>
          <w:lang w:val="en-GB"/>
        </w:rPr>
        <w:t xml:space="preserve"> </w:t>
      </w:r>
      <w:r w:rsidR="00243317">
        <w:rPr>
          <w:rFonts w:ascii="Avenir Next" w:hAnsi="Avenir Next" w:cs="Arial"/>
          <w:color w:val="808080" w:themeColor="background1" w:themeShade="80"/>
          <w:sz w:val="22"/>
          <w:szCs w:val="22"/>
          <w:lang w:val="en-GB"/>
        </w:rPr>
        <w:t xml:space="preserve">has been ratified by Argentina, </w:t>
      </w:r>
      <w:proofErr w:type="gramStart"/>
      <w:r w:rsidR="00243317">
        <w:rPr>
          <w:rFonts w:ascii="Avenir Next" w:hAnsi="Avenir Next" w:cs="Arial"/>
          <w:color w:val="808080" w:themeColor="background1" w:themeShade="80"/>
          <w:sz w:val="22"/>
          <w:szCs w:val="22"/>
          <w:lang w:val="en-GB"/>
        </w:rPr>
        <w:t>Paraguay</w:t>
      </w:r>
      <w:proofErr w:type="gramEnd"/>
      <w:r w:rsidR="00243317">
        <w:rPr>
          <w:rFonts w:ascii="Avenir Next" w:hAnsi="Avenir Next" w:cs="Arial"/>
          <w:color w:val="808080" w:themeColor="background1" w:themeShade="80"/>
          <w:sz w:val="22"/>
          <w:szCs w:val="22"/>
          <w:lang w:val="en-GB"/>
        </w:rPr>
        <w:t xml:space="preserve"> and Uruguay</w:t>
      </w:r>
      <w:r>
        <w:rPr>
          <w:rFonts w:ascii="Avenir Next" w:hAnsi="Avenir Next" w:cs="Arial"/>
          <w:color w:val="808080" w:themeColor="background1" w:themeShade="80"/>
          <w:sz w:val="22"/>
          <w:szCs w:val="22"/>
          <w:lang w:val="en-GB"/>
        </w:rPr>
        <w:t>,</w:t>
      </w:r>
    </w:p>
    <w:p w14:paraId="457BA8BA" w14:textId="77777777" w:rsidR="00AE171A" w:rsidRPr="00AE171A" w:rsidRDefault="00AE171A" w:rsidP="00AE171A">
      <w:pPr>
        <w:pStyle w:val="ListParagraph"/>
        <w:rPr>
          <w:rFonts w:ascii="Avenir Next" w:hAnsi="Avenir Next" w:cs="Arial"/>
          <w:color w:val="808080" w:themeColor="background1" w:themeShade="80"/>
          <w:sz w:val="22"/>
          <w:szCs w:val="22"/>
          <w:lang w:val="en-GB"/>
        </w:rPr>
      </w:pPr>
    </w:p>
    <w:p w14:paraId="69208B4C" w14:textId="3FC8D7DA" w:rsidR="00243317" w:rsidRDefault="00AE171A" w:rsidP="00AE171A">
      <w:pPr>
        <w:pStyle w:val="ListParagraph"/>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(Together</w:t>
      </w:r>
      <w:r w:rsidR="0024331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 </w:t>
      </w:r>
      <w:r w:rsidRPr="00AE171A">
        <w:rPr>
          <w:rFonts w:ascii="Avenir Next" w:hAnsi="Avenir Next" w:cs="Arial"/>
          <w:b/>
          <w:bCs/>
          <w:color w:val="808080" w:themeColor="background1" w:themeShade="80"/>
          <w:sz w:val="22"/>
          <w:szCs w:val="22"/>
          <w:lang w:val="en-GB"/>
        </w:rPr>
        <w:t>Montevideo Treaties</w:t>
      </w:r>
      <w:r>
        <w:rPr>
          <w:rFonts w:ascii="Avenir Next" w:hAnsi="Avenir Next" w:cs="Arial"/>
          <w:color w:val="808080" w:themeColor="background1" w:themeShade="80"/>
          <w:sz w:val="22"/>
          <w:szCs w:val="22"/>
          <w:lang w:val="en-GB"/>
        </w:rPr>
        <w:t xml:space="preserve">); </w:t>
      </w:r>
      <w:r w:rsidR="00243317">
        <w:rPr>
          <w:rFonts w:ascii="Avenir Next" w:hAnsi="Avenir Next" w:cs="Arial"/>
          <w:color w:val="808080" w:themeColor="background1" w:themeShade="80"/>
          <w:sz w:val="22"/>
          <w:szCs w:val="22"/>
          <w:lang w:val="en-GB"/>
        </w:rPr>
        <w:t>and</w:t>
      </w:r>
    </w:p>
    <w:p w14:paraId="7592E08D" w14:textId="77777777" w:rsidR="00260ED1" w:rsidRPr="00260ED1" w:rsidRDefault="00260ED1" w:rsidP="00260ED1">
      <w:pPr>
        <w:jc w:val="both"/>
        <w:rPr>
          <w:rFonts w:ascii="Avenir Next" w:hAnsi="Avenir Next" w:cs="Arial"/>
          <w:color w:val="808080" w:themeColor="background1" w:themeShade="80"/>
          <w:sz w:val="22"/>
          <w:szCs w:val="22"/>
          <w:lang w:val="en-GB"/>
        </w:rPr>
      </w:pPr>
    </w:p>
    <w:p w14:paraId="55C2A607" w14:textId="4E115EB7" w:rsidR="00243317" w:rsidRDefault="00AE171A" w:rsidP="00243317">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t>
      </w:r>
      <w:r w:rsidR="00243317">
        <w:rPr>
          <w:rFonts w:ascii="Avenir Next" w:hAnsi="Avenir Next" w:cs="Arial"/>
          <w:color w:val="808080" w:themeColor="background1" w:themeShade="80"/>
          <w:sz w:val="22"/>
          <w:szCs w:val="22"/>
          <w:lang w:val="en-GB"/>
        </w:rPr>
        <w:t xml:space="preserve">he Havana Convention on Private International Law (1928) (the Bustamante Code) </w:t>
      </w:r>
      <w:r>
        <w:rPr>
          <w:rFonts w:ascii="Avenir Next" w:hAnsi="Avenir Next" w:cs="Arial"/>
          <w:color w:val="808080" w:themeColor="background1" w:themeShade="80"/>
          <w:sz w:val="22"/>
          <w:szCs w:val="22"/>
          <w:lang w:val="en-GB"/>
        </w:rPr>
        <w:t xml:space="preserve">which </w:t>
      </w:r>
      <w:r w:rsidR="00260ED1">
        <w:rPr>
          <w:rFonts w:ascii="Avenir Next" w:hAnsi="Avenir Next" w:cs="Arial"/>
          <w:color w:val="808080" w:themeColor="background1" w:themeShade="80"/>
          <w:sz w:val="22"/>
          <w:szCs w:val="22"/>
          <w:lang w:val="en-GB"/>
        </w:rPr>
        <w:t xml:space="preserve">was concluded between Bolivia, Brazil, Chile, Costa Rica, Cuba, Dominican Republic, Ecuador, El Salvador, Guatemala, Haiti, Honduras, Nicaragua, Panama, </w:t>
      </w:r>
      <w:proofErr w:type="gramStart"/>
      <w:r w:rsidR="00260ED1">
        <w:rPr>
          <w:rFonts w:ascii="Avenir Next" w:hAnsi="Avenir Next" w:cs="Arial"/>
          <w:color w:val="808080" w:themeColor="background1" w:themeShade="80"/>
          <w:sz w:val="22"/>
          <w:szCs w:val="22"/>
          <w:lang w:val="en-GB"/>
        </w:rPr>
        <w:t>Peru</w:t>
      </w:r>
      <w:proofErr w:type="gramEnd"/>
      <w:r w:rsidR="00260ED1">
        <w:rPr>
          <w:rFonts w:ascii="Avenir Next" w:hAnsi="Avenir Next" w:cs="Arial"/>
          <w:color w:val="808080" w:themeColor="background1" w:themeShade="80"/>
          <w:sz w:val="22"/>
          <w:szCs w:val="22"/>
          <w:lang w:val="en-GB"/>
        </w:rPr>
        <w:t xml:space="preserve"> and Venezuela.</w:t>
      </w:r>
    </w:p>
    <w:p w14:paraId="4C02570A" w14:textId="77777777" w:rsidR="00260ED1" w:rsidRPr="00260ED1" w:rsidRDefault="00260ED1" w:rsidP="00260ED1">
      <w:pPr>
        <w:jc w:val="both"/>
        <w:rPr>
          <w:rFonts w:ascii="Avenir Next" w:hAnsi="Avenir Next" w:cs="Arial"/>
          <w:color w:val="808080" w:themeColor="background1" w:themeShade="80"/>
          <w:sz w:val="22"/>
          <w:szCs w:val="22"/>
          <w:lang w:val="en-GB"/>
        </w:rPr>
      </w:pPr>
    </w:p>
    <w:p w14:paraId="76BF042B" w14:textId="3CC4DBA1" w:rsidR="0060040B" w:rsidRDefault="00260ED1"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Broadly speaking the Montevideo Treaties and the Bustamante Code deal with the extent to which a </w:t>
      </w:r>
      <w:r w:rsidR="00AE171A">
        <w:rPr>
          <w:rFonts w:ascii="Avenir Next" w:hAnsi="Avenir Next" w:cs="Arial"/>
          <w:color w:val="808080" w:themeColor="background1" w:themeShade="80"/>
          <w:sz w:val="22"/>
          <w:szCs w:val="22"/>
          <w:lang w:val="en-GB"/>
        </w:rPr>
        <w:t>single proceeding</w:t>
      </w:r>
      <w:r>
        <w:rPr>
          <w:rFonts w:ascii="Avenir Next" w:hAnsi="Avenir Next" w:cs="Arial"/>
          <w:color w:val="808080" w:themeColor="background1" w:themeShade="80"/>
          <w:sz w:val="22"/>
          <w:szCs w:val="22"/>
          <w:lang w:val="en-GB"/>
        </w:rPr>
        <w:t xml:space="preserve"> will have a universal effect among the member States (among other things). For example, </w:t>
      </w:r>
      <w:r w:rsidR="0060040B">
        <w:rPr>
          <w:rFonts w:ascii="Avenir Next" w:hAnsi="Avenir Next" w:cs="Arial"/>
          <w:color w:val="808080" w:themeColor="background1" w:themeShade="80"/>
          <w:sz w:val="22"/>
          <w:szCs w:val="22"/>
          <w:lang w:val="en-GB"/>
        </w:rPr>
        <w:t xml:space="preserve">pursuant to </w:t>
      </w:r>
      <w:r>
        <w:rPr>
          <w:rFonts w:ascii="Avenir Next" w:hAnsi="Avenir Next" w:cs="Arial"/>
          <w:color w:val="808080" w:themeColor="background1" w:themeShade="80"/>
          <w:sz w:val="22"/>
          <w:szCs w:val="22"/>
          <w:lang w:val="en-GB"/>
        </w:rPr>
        <w:t>the Bustamante Code</w:t>
      </w:r>
      <w:r w:rsidR="0060040B">
        <w:rPr>
          <w:rFonts w:ascii="Avenir Next" w:hAnsi="Avenir Next" w:cs="Arial"/>
          <w:color w:val="808080" w:themeColor="background1" w:themeShade="80"/>
          <w:sz w:val="22"/>
          <w:szCs w:val="22"/>
          <w:lang w:val="en-GB"/>
        </w:rPr>
        <w:t xml:space="preserve">, if a debtor only has one civil or commercial domicile, then there can only be one proceeding in insolvency or bankruptcy in respect of its assets and liabilities in </w:t>
      </w:r>
      <w:r w:rsidR="0060040B">
        <w:rPr>
          <w:rFonts w:ascii="Avenir Next" w:hAnsi="Avenir Next" w:cs="Arial"/>
          <w:color w:val="808080" w:themeColor="background1" w:themeShade="80"/>
          <w:sz w:val="22"/>
          <w:szCs w:val="22"/>
          <w:lang w:val="en-GB"/>
        </w:rPr>
        <w:lastRenderedPageBreak/>
        <w:t>the contracting States</w:t>
      </w:r>
      <w:r w:rsidR="00AE171A">
        <w:rPr>
          <w:rFonts w:ascii="Avenir Next" w:hAnsi="Avenir Next" w:cs="Arial"/>
          <w:color w:val="808080" w:themeColor="background1" w:themeShade="80"/>
          <w:sz w:val="22"/>
          <w:szCs w:val="22"/>
          <w:lang w:val="en-GB"/>
        </w:rPr>
        <w:t>.</w:t>
      </w:r>
      <w:r w:rsidR="00AE171A">
        <w:rPr>
          <w:rStyle w:val="FootnoteReference"/>
          <w:rFonts w:ascii="Avenir Next" w:hAnsi="Avenir Next" w:cs="Arial"/>
          <w:color w:val="808080" w:themeColor="background1" w:themeShade="80"/>
          <w:sz w:val="22"/>
          <w:szCs w:val="22"/>
          <w:lang w:val="en-GB"/>
        </w:rPr>
        <w:footnoteReference w:id="6"/>
      </w:r>
      <w:r w:rsidR="0060040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However,</w:t>
      </w:r>
      <w:r w:rsidR="0060040B">
        <w:rPr>
          <w:rFonts w:ascii="Avenir Next" w:hAnsi="Avenir Next" w:cs="Arial"/>
          <w:color w:val="808080" w:themeColor="background1" w:themeShade="80"/>
          <w:sz w:val="22"/>
          <w:szCs w:val="22"/>
          <w:lang w:val="en-GB"/>
        </w:rPr>
        <w:t xml:space="preserve"> if the debtor has commercial establishments that operate entirely separately, then concurrent proceedings are allowed under the Bustamante Code</w:t>
      </w:r>
      <w:r w:rsidR="00AE171A">
        <w:rPr>
          <w:rFonts w:ascii="Avenir Next" w:hAnsi="Avenir Next" w:cs="Arial"/>
          <w:color w:val="808080" w:themeColor="background1" w:themeShade="80"/>
          <w:sz w:val="22"/>
          <w:szCs w:val="22"/>
          <w:lang w:val="en-GB"/>
        </w:rPr>
        <w:t>.</w:t>
      </w:r>
      <w:r w:rsidR="00AE171A">
        <w:rPr>
          <w:rStyle w:val="FootnoteReference"/>
          <w:rFonts w:ascii="Avenir Next" w:hAnsi="Avenir Next" w:cs="Arial"/>
          <w:color w:val="808080" w:themeColor="background1" w:themeShade="80"/>
          <w:sz w:val="22"/>
          <w:szCs w:val="22"/>
          <w:lang w:val="en-GB"/>
        </w:rPr>
        <w:footnoteReference w:id="7"/>
      </w:r>
      <w:r w:rsidR="0060040B">
        <w:rPr>
          <w:rFonts w:ascii="Avenir Next" w:hAnsi="Avenir Next" w:cs="Arial"/>
          <w:color w:val="808080" w:themeColor="background1" w:themeShade="80"/>
          <w:sz w:val="22"/>
          <w:szCs w:val="22"/>
          <w:lang w:val="en-GB"/>
        </w:rPr>
        <w:t xml:space="preserve"> Article 414 of the Bustamante Code represents a similar approach to the Montevideo Treaties which allow for a single proceeding if the debtor is only occasionally trading in more than one member State. The Bustamante Code accepts that insolvency proceedings in one member State will apply to other member States. </w:t>
      </w:r>
    </w:p>
    <w:p w14:paraId="11C2A379" w14:textId="77777777" w:rsidR="0060040B" w:rsidRDefault="0060040B" w:rsidP="00DA42DA">
      <w:pPr>
        <w:jc w:val="both"/>
        <w:rPr>
          <w:rFonts w:ascii="Avenir Next" w:hAnsi="Avenir Next" w:cs="Arial"/>
          <w:color w:val="808080" w:themeColor="background1" w:themeShade="80"/>
          <w:sz w:val="22"/>
          <w:szCs w:val="22"/>
          <w:lang w:val="en-GB"/>
        </w:rPr>
      </w:pPr>
    </w:p>
    <w:p w14:paraId="4840A5DB" w14:textId="170D99F8" w:rsidR="00260ED1" w:rsidRDefault="0060040B"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these multilateral agreements represent some of the most universal approaches to insolvency law, it is important to note that the members to each of the Montevideo Treaties </w:t>
      </w:r>
      <w:proofErr w:type="gramStart"/>
      <w:r>
        <w:rPr>
          <w:rFonts w:ascii="Avenir Next" w:hAnsi="Avenir Next" w:cs="Arial"/>
          <w:color w:val="808080" w:themeColor="background1" w:themeShade="80"/>
          <w:sz w:val="22"/>
          <w:szCs w:val="22"/>
          <w:lang w:val="en-GB"/>
        </w:rPr>
        <w:t>and also</w:t>
      </w:r>
      <w:proofErr w:type="gramEnd"/>
      <w:r>
        <w:rPr>
          <w:rFonts w:ascii="Avenir Next" w:hAnsi="Avenir Next" w:cs="Arial"/>
          <w:color w:val="808080" w:themeColor="background1" w:themeShade="80"/>
          <w:sz w:val="22"/>
          <w:szCs w:val="22"/>
          <w:lang w:val="en-GB"/>
        </w:rPr>
        <w:t xml:space="preserve"> parties to the Bustamante Code are different which will impact the</w:t>
      </w:r>
      <w:r w:rsidR="00B560FB">
        <w:rPr>
          <w:rFonts w:ascii="Avenir Next" w:hAnsi="Avenir Next" w:cs="Arial"/>
          <w:color w:val="808080" w:themeColor="background1" w:themeShade="80"/>
          <w:sz w:val="22"/>
          <w:szCs w:val="22"/>
          <w:lang w:val="en-GB"/>
        </w:rPr>
        <w:t xml:space="preserve">ir applicability and </w:t>
      </w:r>
      <w:r>
        <w:rPr>
          <w:rFonts w:ascii="Avenir Next" w:hAnsi="Avenir Next" w:cs="Arial"/>
          <w:color w:val="808080" w:themeColor="background1" w:themeShade="80"/>
          <w:sz w:val="22"/>
          <w:szCs w:val="22"/>
          <w:lang w:val="en-GB"/>
        </w:rPr>
        <w:t xml:space="preserve">effect in practice.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753F5249" w:rsidR="00DA42DA" w:rsidRDefault="00FE2818"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terms "bankruptcy" and 'insolvency" are sometimes used interchangeably, however, coming from a background of</w:t>
      </w:r>
      <w:r w:rsidR="00415D4A">
        <w:rPr>
          <w:rFonts w:ascii="Avenir Next" w:hAnsi="Avenir Next" w:cs="Arial"/>
          <w:color w:val="808080" w:themeColor="background1" w:themeShade="80"/>
          <w:sz w:val="22"/>
          <w:szCs w:val="22"/>
          <w:lang w:val="en-GB"/>
        </w:rPr>
        <w:t xml:space="preserve"> first</w:t>
      </w:r>
      <w:r>
        <w:rPr>
          <w:rFonts w:ascii="Avenir Next" w:hAnsi="Avenir Next" w:cs="Arial"/>
          <w:color w:val="808080" w:themeColor="background1" w:themeShade="80"/>
          <w:sz w:val="22"/>
          <w:szCs w:val="22"/>
          <w:lang w:val="en-GB"/>
        </w:rPr>
        <w:t xml:space="preserve"> practising law in Australia, from a personal perspective those terms originally carried quite different meanings for me with the result that it look some </w:t>
      </w:r>
      <w:r w:rsidR="00415D4A">
        <w:rPr>
          <w:rFonts w:ascii="Avenir Next" w:hAnsi="Avenir Next" w:cs="Arial"/>
          <w:color w:val="808080" w:themeColor="background1" w:themeShade="80"/>
          <w:sz w:val="22"/>
          <w:szCs w:val="22"/>
          <w:lang w:val="en-GB"/>
        </w:rPr>
        <w:t xml:space="preserve">time to </w:t>
      </w:r>
      <w:r>
        <w:rPr>
          <w:rFonts w:ascii="Avenir Next" w:hAnsi="Avenir Next" w:cs="Arial"/>
          <w:color w:val="808080" w:themeColor="background1" w:themeShade="80"/>
          <w:sz w:val="22"/>
          <w:szCs w:val="22"/>
          <w:lang w:val="en-GB"/>
        </w:rPr>
        <w:t xml:space="preserve">get used to the fact that other jurisdictions such as the one that I currently work in (the Cayman Islands) and many other international jurisdictions do use those terms more interchangeably </w:t>
      </w:r>
      <w:r w:rsidR="00415D4A">
        <w:rPr>
          <w:rFonts w:ascii="Avenir Next" w:hAnsi="Avenir Next" w:cs="Arial"/>
          <w:color w:val="808080" w:themeColor="background1" w:themeShade="80"/>
          <w:sz w:val="22"/>
          <w:szCs w:val="22"/>
          <w:lang w:val="en-GB"/>
        </w:rPr>
        <w:t xml:space="preserve">and in </w:t>
      </w:r>
      <w:r>
        <w:rPr>
          <w:rFonts w:ascii="Avenir Next" w:hAnsi="Avenir Next" w:cs="Arial"/>
          <w:color w:val="808080" w:themeColor="background1" w:themeShade="80"/>
          <w:sz w:val="22"/>
          <w:szCs w:val="22"/>
          <w:lang w:val="en-GB"/>
        </w:rPr>
        <w:t xml:space="preserve">a manner which is </w:t>
      </w:r>
      <w:r w:rsidR="00415D4A">
        <w:rPr>
          <w:rFonts w:ascii="Avenir Next" w:hAnsi="Avenir Next" w:cs="Arial"/>
          <w:color w:val="808080" w:themeColor="background1" w:themeShade="80"/>
          <w:sz w:val="22"/>
          <w:szCs w:val="22"/>
          <w:lang w:val="en-GB"/>
        </w:rPr>
        <w:t xml:space="preserve">sometimes </w:t>
      </w:r>
      <w:r>
        <w:rPr>
          <w:rFonts w:ascii="Avenir Next" w:hAnsi="Avenir Next" w:cs="Arial"/>
          <w:color w:val="808080" w:themeColor="background1" w:themeShade="80"/>
          <w:sz w:val="22"/>
          <w:szCs w:val="22"/>
          <w:lang w:val="en-GB"/>
        </w:rPr>
        <w:t xml:space="preserve">inconsistent with how Australia uses them. For example, in Australia, </w:t>
      </w:r>
      <w:r w:rsidRPr="00FE2818">
        <w:rPr>
          <w:rFonts w:ascii="Avenir Next" w:hAnsi="Avenir Next" w:cs="Arial"/>
          <w:color w:val="808080" w:themeColor="background1" w:themeShade="80"/>
          <w:sz w:val="22"/>
          <w:szCs w:val="22"/>
          <w:lang w:val="en-GB"/>
        </w:rPr>
        <w:t>“bankruptcy”</w:t>
      </w:r>
      <w:r>
        <w:rPr>
          <w:rFonts w:ascii="Avenir Next" w:hAnsi="Avenir Next" w:cs="Arial"/>
          <w:color w:val="808080" w:themeColor="background1" w:themeShade="80"/>
          <w:sz w:val="22"/>
          <w:szCs w:val="22"/>
          <w:lang w:val="en-GB"/>
        </w:rPr>
        <w:t xml:space="preserve"> and bankruptcy proceedings are used</w:t>
      </w:r>
      <w:r w:rsidRPr="00FE2818">
        <w:rPr>
          <w:rFonts w:ascii="Avenir Next" w:hAnsi="Avenir Next" w:cs="Arial"/>
          <w:color w:val="808080" w:themeColor="background1" w:themeShade="80"/>
          <w:sz w:val="22"/>
          <w:szCs w:val="22"/>
          <w:lang w:val="en-GB"/>
        </w:rPr>
        <w:t xml:space="preserve"> to refer to the insolvency of an individual</w:t>
      </w:r>
      <w:r>
        <w:rPr>
          <w:rFonts w:ascii="Avenir Next" w:hAnsi="Avenir Next" w:cs="Arial"/>
          <w:color w:val="808080" w:themeColor="background1" w:themeShade="80"/>
          <w:sz w:val="22"/>
          <w:szCs w:val="22"/>
          <w:lang w:val="en-GB"/>
        </w:rPr>
        <w:t xml:space="preserve"> </w:t>
      </w:r>
      <w:r w:rsidRPr="00FE2818">
        <w:rPr>
          <w:rFonts w:ascii="Avenir Next" w:hAnsi="Avenir Next" w:cs="Arial"/>
          <w:color w:val="808080" w:themeColor="background1" w:themeShade="80"/>
          <w:sz w:val="22"/>
          <w:szCs w:val="22"/>
          <w:lang w:val="en-GB"/>
        </w:rPr>
        <w:t>natural person</w:t>
      </w:r>
      <w:r w:rsidR="00415D4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whereas </w:t>
      </w:r>
      <w:r w:rsidRPr="00FE2818">
        <w:rPr>
          <w:rFonts w:ascii="Avenir Next" w:hAnsi="Avenir Next" w:cs="Arial"/>
          <w:color w:val="808080" w:themeColor="background1" w:themeShade="80"/>
          <w:sz w:val="22"/>
          <w:szCs w:val="22"/>
          <w:lang w:val="en-GB"/>
        </w:rPr>
        <w:t xml:space="preserve">“insolvency” </w:t>
      </w:r>
      <w:r w:rsidR="00415D4A">
        <w:rPr>
          <w:rFonts w:ascii="Avenir Next" w:hAnsi="Avenir Next" w:cs="Arial"/>
          <w:color w:val="808080" w:themeColor="background1" w:themeShade="80"/>
          <w:sz w:val="22"/>
          <w:szCs w:val="22"/>
          <w:lang w:val="en-GB"/>
        </w:rPr>
        <w:t xml:space="preserve">is </w:t>
      </w:r>
      <w:r w:rsidRPr="00FE2818">
        <w:rPr>
          <w:rFonts w:ascii="Avenir Next" w:hAnsi="Avenir Next" w:cs="Arial"/>
          <w:color w:val="808080" w:themeColor="background1" w:themeShade="80"/>
          <w:sz w:val="22"/>
          <w:szCs w:val="22"/>
          <w:lang w:val="en-GB"/>
        </w:rPr>
        <w:t>used to refer to the insolvency of a</w:t>
      </w:r>
      <w:r>
        <w:rPr>
          <w:rFonts w:ascii="Avenir Next" w:hAnsi="Avenir Next" w:cs="Arial"/>
          <w:color w:val="808080" w:themeColor="background1" w:themeShade="80"/>
          <w:sz w:val="22"/>
          <w:szCs w:val="22"/>
          <w:lang w:val="en-GB"/>
        </w:rPr>
        <w:t xml:space="preserve"> </w:t>
      </w:r>
      <w:r w:rsidRPr="00FE2818">
        <w:rPr>
          <w:rFonts w:ascii="Avenir Next" w:hAnsi="Avenir Next" w:cs="Arial"/>
          <w:color w:val="808080" w:themeColor="background1" w:themeShade="80"/>
          <w:sz w:val="22"/>
          <w:szCs w:val="22"/>
          <w:lang w:val="en-GB"/>
        </w:rPr>
        <w:t>corporation</w:t>
      </w:r>
      <w:r>
        <w:rPr>
          <w:rFonts w:ascii="Avenir Next" w:hAnsi="Avenir Next" w:cs="Arial"/>
          <w:color w:val="808080" w:themeColor="background1" w:themeShade="80"/>
          <w:sz w:val="22"/>
          <w:szCs w:val="22"/>
          <w:lang w:val="en-GB"/>
        </w:rPr>
        <w:t xml:space="preserve">. In the context of </w:t>
      </w:r>
      <w:r w:rsidR="00415D4A">
        <w:rPr>
          <w:rFonts w:ascii="Avenir Next" w:hAnsi="Avenir Next" w:cs="Arial"/>
          <w:color w:val="808080" w:themeColor="background1" w:themeShade="80"/>
          <w:sz w:val="22"/>
          <w:szCs w:val="22"/>
          <w:lang w:val="en-GB"/>
        </w:rPr>
        <w:t xml:space="preserve">international </w:t>
      </w:r>
      <w:r>
        <w:rPr>
          <w:rFonts w:ascii="Avenir Next" w:hAnsi="Avenir Next" w:cs="Arial"/>
          <w:color w:val="808080" w:themeColor="background1" w:themeShade="80"/>
          <w:sz w:val="22"/>
          <w:szCs w:val="22"/>
          <w:lang w:val="en-GB"/>
        </w:rPr>
        <w:t xml:space="preserve">cross-border insolvency work, I now deal with the American jurisdiction quite frequently, and it uses the term "bankruptcy" in respect of corporations. </w:t>
      </w:r>
      <w:r w:rsidR="00415D4A">
        <w:rPr>
          <w:rFonts w:ascii="Avenir Next" w:hAnsi="Avenir Next" w:cs="Arial"/>
          <w:color w:val="808080" w:themeColor="background1" w:themeShade="80"/>
          <w:sz w:val="22"/>
          <w:szCs w:val="22"/>
          <w:lang w:val="en-GB"/>
        </w:rPr>
        <w:t xml:space="preserve">In view of the above, </w:t>
      </w:r>
      <w:r>
        <w:rPr>
          <w:rFonts w:ascii="Avenir Next" w:hAnsi="Avenir Next" w:cs="Arial"/>
          <w:color w:val="808080" w:themeColor="background1" w:themeShade="80"/>
          <w:sz w:val="22"/>
          <w:szCs w:val="22"/>
          <w:lang w:val="en-GB"/>
        </w:rPr>
        <w:t>I would agree with the statement that the two terms may be used interchangeably</w:t>
      </w:r>
      <w:r w:rsidR="00415D4A">
        <w:rPr>
          <w:rFonts w:ascii="Avenir Next" w:hAnsi="Avenir Next" w:cs="Arial"/>
          <w:color w:val="808080" w:themeColor="background1" w:themeShade="80"/>
          <w:sz w:val="22"/>
          <w:szCs w:val="22"/>
          <w:lang w:val="en-GB"/>
        </w:rPr>
        <w:t xml:space="preserve"> (as they are in practice)</w:t>
      </w:r>
      <w:r>
        <w:rPr>
          <w:rFonts w:ascii="Avenir Next" w:hAnsi="Avenir Next" w:cs="Arial"/>
          <w:color w:val="808080" w:themeColor="background1" w:themeShade="80"/>
          <w:sz w:val="22"/>
          <w:szCs w:val="22"/>
          <w:lang w:val="en-GB"/>
        </w:rPr>
        <w:t>, and this is a view that Fletcher shares,</w:t>
      </w:r>
      <w:r>
        <w:rPr>
          <w:rStyle w:val="FootnoteReference"/>
          <w:rFonts w:ascii="Avenir Next" w:hAnsi="Avenir Next" w:cs="Arial"/>
          <w:color w:val="808080" w:themeColor="background1" w:themeShade="80"/>
          <w:sz w:val="22"/>
          <w:szCs w:val="22"/>
          <w:lang w:val="en-GB"/>
        </w:rPr>
        <w:footnoteReference w:id="8"/>
      </w:r>
      <w:r>
        <w:rPr>
          <w:rFonts w:ascii="Avenir Next" w:hAnsi="Avenir Next" w:cs="Arial"/>
          <w:color w:val="808080" w:themeColor="background1" w:themeShade="80"/>
          <w:sz w:val="22"/>
          <w:szCs w:val="22"/>
          <w:lang w:val="en-GB"/>
        </w:rPr>
        <w:t xml:space="preserve"> however, it is important to understand that </w:t>
      </w:r>
      <w:r w:rsidR="00415D4A">
        <w:rPr>
          <w:rFonts w:ascii="Avenir Next" w:hAnsi="Avenir Next" w:cs="Arial"/>
          <w:color w:val="808080" w:themeColor="background1" w:themeShade="80"/>
          <w:sz w:val="22"/>
          <w:szCs w:val="22"/>
          <w:lang w:val="en-GB"/>
        </w:rPr>
        <w:t>not all</w:t>
      </w:r>
      <w:r>
        <w:rPr>
          <w:rFonts w:ascii="Avenir Next" w:hAnsi="Avenir Next" w:cs="Arial"/>
          <w:color w:val="808080" w:themeColor="background1" w:themeShade="80"/>
          <w:sz w:val="22"/>
          <w:szCs w:val="22"/>
          <w:lang w:val="en-GB"/>
        </w:rPr>
        <w:t xml:space="preserve"> jurisdictions </w:t>
      </w:r>
      <w:r w:rsidR="00415D4A">
        <w:rPr>
          <w:rFonts w:ascii="Avenir Next" w:hAnsi="Avenir Next" w:cs="Arial"/>
          <w:color w:val="808080" w:themeColor="background1" w:themeShade="80"/>
          <w:sz w:val="22"/>
          <w:szCs w:val="22"/>
          <w:lang w:val="en-GB"/>
        </w:rPr>
        <w:t xml:space="preserve">will use the terms interchangeably. </w:t>
      </w:r>
    </w:p>
    <w:p w14:paraId="7CAED4D9" w14:textId="77777777" w:rsidR="000B69F6" w:rsidRDefault="000B69F6" w:rsidP="00DA42DA">
      <w:pPr>
        <w:jc w:val="both"/>
        <w:rPr>
          <w:rFonts w:ascii="Avenir Next" w:hAnsi="Avenir Next" w:cs="Arial"/>
          <w:color w:val="808080" w:themeColor="background1" w:themeShade="80"/>
          <w:sz w:val="22"/>
          <w:szCs w:val="22"/>
          <w:lang w:val="en-GB"/>
        </w:rPr>
      </w:pPr>
    </w:p>
    <w:p w14:paraId="55C4EA48" w14:textId="3F4B0971" w:rsidR="000B69F6" w:rsidRDefault="00415D4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Furter guidance as to the meanings of the terms may be garnered from s</w:t>
      </w:r>
      <w:r w:rsidR="000B69F6">
        <w:rPr>
          <w:rFonts w:ascii="Avenir Next" w:hAnsi="Avenir Next" w:cs="Arial"/>
          <w:color w:val="808080" w:themeColor="background1" w:themeShade="80"/>
          <w:sz w:val="22"/>
          <w:szCs w:val="22"/>
          <w:lang w:val="en-GB"/>
        </w:rPr>
        <w:t xml:space="preserve">ection 4.2.2.1 if the </w:t>
      </w:r>
      <w:r w:rsidR="000B69F6" w:rsidRPr="000B69F6">
        <w:rPr>
          <w:rFonts w:ascii="Avenir Next" w:hAnsi="Avenir Next" w:cs="Arial"/>
          <w:color w:val="808080" w:themeColor="background1" w:themeShade="80"/>
          <w:sz w:val="22"/>
          <w:szCs w:val="22"/>
          <w:lang w:val="en-GB"/>
        </w:rPr>
        <w:t>Module 1 Guidance Text</w:t>
      </w:r>
      <w:r>
        <w:rPr>
          <w:rFonts w:ascii="Avenir Next" w:hAnsi="Avenir Next" w:cs="Arial"/>
          <w:color w:val="808080" w:themeColor="background1" w:themeShade="80"/>
          <w:sz w:val="22"/>
          <w:szCs w:val="22"/>
          <w:lang w:val="en-GB"/>
        </w:rPr>
        <w:t xml:space="preserve"> which</w:t>
      </w:r>
      <w:r w:rsidR="000B69F6">
        <w:rPr>
          <w:rFonts w:ascii="Avenir Next" w:hAnsi="Avenir Next" w:cs="Arial"/>
          <w:color w:val="808080" w:themeColor="background1" w:themeShade="80"/>
          <w:sz w:val="22"/>
          <w:szCs w:val="22"/>
          <w:lang w:val="en-GB"/>
        </w:rPr>
        <w:t xml:space="preserve"> provides an example of two</w:t>
      </w:r>
      <w:r w:rsidR="00F83C65">
        <w:rPr>
          <w:rFonts w:ascii="Avenir Next" w:hAnsi="Avenir Next" w:cs="Arial"/>
          <w:color w:val="808080" w:themeColor="background1" w:themeShade="80"/>
          <w:sz w:val="22"/>
          <w:szCs w:val="22"/>
          <w:lang w:val="en-GB"/>
        </w:rPr>
        <w:t xml:space="preserve"> differing</w:t>
      </w:r>
      <w:r w:rsidR="000B69F6">
        <w:rPr>
          <w:rFonts w:ascii="Avenir Next" w:hAnsi="Avenir Next" w:cs="Arial"/>
          <w:color w:val="808080" w:themeColor="background1" w:themeShade="80"/>
          <w:sz w:val="22"/>
          <w:szCs w:val="22"/>
          <w:lang w:val="en-GB"/>
        </w:rPr>
        <w:t xml:space="preserve"> meanings </w:t>
      </w:r>
      <w:r w:rsidR="00F83C65">
        <w:rPr>
          <w:rFonts w:ascii="Avenir Next" w:hAnsi="Avenir Next" w:cs="Arial"/>
          <w:color w:val="808080" w:themeColor="background1" w:themeShade="80"/>
          <w:sz w:val="22"/>
          <w:szCs w:val="22"/>
          <w:lang w:val="en-GB"/>
        </w:rPr>
        <w:t xml:space="preserve">for "bankruptcy" and "insolvency". </w:t>
      </w:r>
      <w:r>
        <w:rPr>
          <w:rFonts w:ascii="Avenir Next" w:hAnsi="Avenir Next" w:cs="Arial"/>
          <w:color w:val="808080" w:themeColor="background1" w:themeShade="80"/>
          <w:sz w:val="22"/>
          <w:szCs w:val="22"/>
          <w:lang w:val="en-GB"/>
        </w:rPr>
        <w:t>It explains that b</w:t>
      </w:r>
      <w:r w:rsidR="00F83C65" w:rsidRPr="000B69F6">
        <w:rPr>
          <w:rFonts w:ascii="Avenir Next" w:hAnsi="Avenir Next" w:cs="Arial"/>
          <w:color w:val="808080" w:themeColor="background1" w:themeShade="80"/>
          <w:sz w:val="22"/>
          <w:szCs w:val="22"/>
          <w:lang w:val="en-GB"/>
        </w:rPr>
        <w:t>ankruptcy</w:t>
      </w:r>
      <w:r w:rsidR="00F83C65">
        <w:rPr>
          <w:rFonts w:ascii="Avenir Next" w:hAnsi="Avenir Next" w:cs="Arial"/>
          <w:color w:val="808080" w:themeColor="background1" w:themeShade="80"/>
          <w:sz w:val="22"/>
          <w:szCs w:val="22"/>
          <w:lang w:val="en-GB"/>
        </w:rPr>
        <w:t xml:space="preserve"> can refer to the</w:t>
      </w:r>
      <w:r w:rsidR="00F83C65" w:rsidRPr="000B69F6">
        <w:rPr>
          <w:rFonts w:ascii="Avenir Next" w:hAnsi="Avenir Next" w:cs="Arial"/>
          <w:color w:val="808080" w:themeColor="background1" w:themeShade="80"/>
          <w:sz w:val="22"/>
          <w:szCs w:val="22"/>
          <w:lang w:val="en-GB"/>
        </w:rPr>
        <w:t xml:space="preserve"> formal state of being put into a formal bankruptcy proceeding</w:t>
      </w:r>
      <w:r w:rsidR="00F83C65">
        <w:rPr>
          <w:rFonts w:ascii="Avenir Next" w:hAnsi="Avenir Next" w:cs="Arial"/>
          <w:color w:val="808080" w:themeColor="background1" w:themeShade="80"/>
          <w:sz w:val="22"/>
          <w:szCs w:val="22"/>
          <w:lang w:val="en-GB"/>
        </w:rPr>
        <w:t xml:space="preserve">, whereas </w:t>
      </w:r>
      <w:r w:rsidR="000B69F6" w:rsidRPr="000B69F6">
        <w:rPr>
          <w:rFonts w:ascii="Avenir Next" w:hAnsi="Avenir Next" w:cs="Arial"/>
          <w:color w:val="808080" w:themeColor="background1" w:themeShade="80"/>
          <w:sz w:val="22"/>
          <w:szCs w:val="22"/>
          <w:lang w:val="en-GB"/>
        </w:rPr>
        <w:t>insolvency</w:t>
      </w:r>
      <w:r w:rsidR="00F83C65">
        <w:rPr>
          <w:rFonts w:ascii="Avenir Next" w:hAnsi="Avenir Next" w:cs="Arial"/>
          <w:color w:val="808080" w:themeColor="background1" w:themeShade="80"/>
          <w:sz w:val="22"/>
          <w:szCs w:val="22"/>
          <w:lang w:val="en-GB"/>
        </w:rPr>
        <w:t xml:space="preserve"> </w:t>
      </w:r>
      <w:r w:rsidR="000B69F6" w:rsidRPr="000B69F6">
        <w:rPr>
          <w:rFonts w:ascii="Avenir Next" w:hAnsi="Avenir Next" w:cs="Arial"/>
          <w:color w:val="808080" w:themeColor="background1" w:themeShade="80"/>
          <w:sz w:val="22"/>
          <w:szCs w:val="22"/>
          <w:lang w:val="en-GB"/>
        </w:rPr>
        <w:t>sometimes means the state of financial affairs of a debtor</w:t>
      </w:r>
      <w:r w:rsidR="00F83C65">
        <w:rPr>
          <w:rFonts w:ascii="Avenir Next" w:hAnsi="Avenir Next" w:cs="Arial"/>
          <w:color w:val="808080" w:themeColor="background1" w:themeShade="80"/>
          <w:sz w:val="22"/>
          <w:szCs w:val="22"/>
          <w:lang w:val="en-GB"/>
        </w:rPr>
        <w:t xml:space="preserve"> and can mean a</w:t>
      </w:r>
      <w:r w:rsidR="000B69F6" w:rsidRPr="000B69F6">
        <w:rPr>
          <w:rFonts w:ascii="Avenir Next" w:hAnsi="Avenir Next" w:cs="Arial"/>
          <w:color w:val="808080" w:themeColor="background1" w:themeShade="80"/>
          <w:sz w:val="22"/>
          <w:szCs w:val="22"/>
          <w:lang w:val="en-GB"/>
        </w:rPr>
        <w:t xml:space="preserve"> situation where</w:t>
      </w:r>
      <w:r w:rsidR="00F83C65">
        <w:rPr>
          <w:rFonts w:ascii="Avenir Next" w:hAnsi="Avenir Next" w:cs="Arial"/>
          <w:color w:val="808080" w:themeColor="background1" w:themeShade="80"/>
          <w:sz w:val="22"/>
          <w:szCs w:val="22"/>
          <w:lang w:val="en-GB"/>
        </w:rPr>
        <w:t xml:space="preserve"> </w:t>
      </w:r>
      <w:r w:rsidR="000B69F6" w:rsidRPr="000B69F6">
        <w:rPr>
          <w:rFonts w:ascii="Avenir Next" w:hAnsi="Avenir Next" w:cs="Arial"/>
          <w:color w:val="808080" w:themeColor="background1" w:themeShade="80"/>
          <w:sz w:val="22"/>
          <w:szCs w:val="22"/>
          <w:lang w:val="en-GB"/>
        </w:rPr>
        <w:t>the liabilities of a debtor exceed the assets of a debtor (balance sheet insolvency) or where the</w:t>
      </w:r>
      <w:r w:rsidR="00F83C65">
        <w:rPr>
          <w:rFonts w:ascii="Avenir Next" w:hAnsi="Avenir Next" w:cs="Arial"/>
          <w:color w:val="808080" w:themeColor="background1" w:themeShade="80"/>
          <w:sz w:val="22"/>
          <w:szCs w:val="22"/>
          <w:lang w:val="en-GB"/>
        </w:rPr>
        <w:t xml:space="preserve"> </w:t>
      </w:r>
      <w:r w:rsidR="000B69F6" w:rsidRPr="000B69F6">
        <w:rPr>
          <w:rFonts w:ascii="Avenir Next" w:hAnsi="Avenir Next" w:cs="Arial"/>
          <w:color w:val="808080" w:themeColor="background1" w:themeShade="80"/>
          <w:sz w:val="22"/>
          <w:szCs w:val="22"/>
          <w:lang w:val="en-GB"/>
        </w:rPr>
        <w:t>debtor cannot repay debts as they fall due by reason of a cash flow problem (cash flow insolvency)</w:t>
      </w:r>
      <w:r w:rsidR="00F83C65">
        <w:rPr>
          <w:rFonts w:ascii="Avenir Next" w:hAnsi="Avenir Next" w:cs="Arial"/>
          <w:color w:val="808080" w:themeColor="background1" w:themeShade="80"/>
          <w:sz w:val="22"/>
          <w:szCs w:val="22"/>
          <w:lang w:val="en-GB"/>
        </w:rPr>
        <w:t>.</w:t>
      </w:r>
      <w:r w:rsidR="00F83C65">
        <w:rPr>
          <w:rStyle w:val="FootnoteReference"/>
          <w:rFonts w:ascii="Avenir Next" w:hAnsi="Avenir Next" w:cs="Arial"/>
          <w:color w:val="808080" w:themeColor="background1" w:themeShade="80"/>
          <w:sz w:val="22"/>
          <w:szCs w:val="22"/>
          <w:lang w:val="en-GB"/>
        </w:rPr>
        <w:footnoteReference w:id="9"/>
      </w:r>
      <w:r w:rsidR="00F83C65">
        <w:rPr>
          <w:rFonts w:ascii="Avenir Next" w:hAnsi="Avenir Next" w:cs="Arial"/>
          <w:color w:val="808080" w:themeColor="background1" w:themeShade="80"/>
          <w:sz w:val="22"/>
          <w:szCs w:val="22"/>
          <w:lang w:val="en-GB"/>
        </w:rPr>
        <w:t xml:space="preserve"> </w:t>
      </w:r>
    </w:p>
    <w:p w14:paraId="57966E32" w14:textId="77777777" w:rsidR="000B69F6" w:rsidRDefault="000B69F6" w:rsidP="00DA42DA">
      <w:pPr>
        <w:jc w:val="both"/>
        <w:rPr>
          <w:rFonts w:ascii="Avenir Next" w:hAnsi="Avenir Next" w:cs="Arial"/>
          <w:color w:val="808080" w:themeColor="background1" w:themeShade="80"/>
          <w:sz w:val="22"/>
          <w:szCs w:val="22"/>
          <w:lang w:val="en-GB"/>
        </w:rPr>
      </w:pPr>
    </w:p>
    <w:p w14:paraId="2E729BFC" w14:textId="0AD550F3" w:rsidR="00F83C65" w:rsidRDefault="00F83C65" w:rsidP="00F83C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Turning to the </w:t>
      </w:r>
      <w:r w:rsidRPr="00F83C65">
        <w:rPr>
          <w:rFonts w:ascii="Avenir Next" w:hAnsi="Avenir Next" w:cs="Arial"/>
          <w:color w:val="808080" w:themeColor="background1" w:themeShade="80"/>
          <w:sz w:val="22"/>
          <w:szCs w:val="22"/>
          <w:lang w:val="en-GB"/>
        </w:rPr>
        <w:t xml:space="preserve">essential features of </w:t>
      </w:r>
      <w:r>
        <w:rPr>
          <w:rFonts w:ascii="Avenir Next" w:hAnsi="Avenir Next" w:cs="Arial"/>
          <w:color w:val="808080" w:themeColor="background1" w:themeShade="80"/>
          <w:sz w:val="22"/>
          <w:szCs w:val="22"/>
          <w:lang w:val="en-GB"/>
        </w:rPr>
        <w:t>"</w:t>
      </w:r>
      <w:r w:rsidRPr="00F83C65">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and "</w:t>
      </w:r>
      <w:r w:rsidRPr="00F83C65">
        <w:rPr>
          <w:rFonts w:ascii="Avenir Next" w:hAnsi="Avenir Next" w:cs="Arial"/>
          <w:color w:val="808080" w:themeColor="background1" w:themeShade="80"/>
          <w:sz w:val="22"/>
          <w:szCs w:val="22"/>
          <w:lang w:val="en-GB"/>
        </w:rPr>
        <w:t>bankruptcy</w:t>
      </w:r>
      <w:r w:rsidR="003B4A48">
        <w:rPr>
          <w:rFonts w:ascii="Avenir Next" w:hAnsi="Avenir Next" w:cs="Arial"/>
          <w:color w:val="808080" w:themeColor="background1" w:themeShade="80"/>
          <w:sz w:val="22"/>
          <w:szCs w:val="22"/>
          <w:lang w:val="en-GB"/>
        </w:rPr>
        <w:t>", Wood</w:t>
      </w:r>
      <w:r w:rsidR="003B4A48">
        <w:rPr>
          <w:rStyle w:val="FootnoteReference"/>
          <w:rFonts w:ascii="Avenir Next" w:hAnsi="Avenir Next" w:cs="Arial"/>
          <w:color w:val="808080" w:themeColor="background1" w:themeShade="80"/>
          <w:sz w:val="22"/>
          <w:szCs w:val="22"/>
          <w:lang w:val="en-GB"/>
        </w:rPr>
        <w:footnoteReference w:id="10"/>
      </w:r>
      <w:r w:rsidR="003B4A48">
        <w:rPr>
          <w:rFonts w:ascii="Avenir Next" w:hAnsi="Avenir Next" w:cs="Arial"/>
          <w:color w:val="808080" w:themeColor="background1" w:themeShade="80"/>
          <w:sz w:val="22"/>
          <w:szCs w:val="22"/>
          <w:lang w:val="en-GB"/>
        </w:rPr>
        <w:t xml:space="preserve"> offers the following guidance as to their </w:t>
      </w:r>
      <w:r w:rsidRPr="00F83C65">
        <w:rPr>
          <w:rFonts w:ascii="Avenir Next" w:hAnsi="Avenir Next" w:cs="Arial"/>
          <w:color w:val="808080" w:themeColor="background1" w:themeShade="80"/>
          <w:sz w:val="22"/>
          <w:szCs w:val="22"/>
          <w:lang w:val="en-GB"/>
        </w:rPr>
        <w:t xml:space="preserve">universal principles </w:t>
      </w:r>
      <w:r w:rsidR="003B4A48">
        <w:rPr>
          <w:rFonts w:ascii="Avenir Next" w:hAnsi="Avenir Next" w:cs="Arial"/>
          <w:color w:val="808080" w:themeColor="background1" w:themeShade="80"/>
          <w:sz w:val="22"/>
          <w:szCs w:val="22"/>
          <w:lang w:val="en-GB"/>
        </w:rPr>
        <w:t>(with some caveats):</w:t>
      </w:r>
    </w:p>
    <w:p w14:paraId="4A95A33F" w14:textId="77777777" w:rsidR="003B4A48" w:rsidRDefault="003B4A48" w:rsidP="00F83C65">
      <w:pPr>
        <w:jc w:val="both"/>
        <w:rPr>
          <w:rFonts w:ascii="Avenir Next" w:hAnsi="Avenir Next" w:cs="Arial"/>
          <w:color w:val="808080" w:themeColor="background1" w:themeShade="80"/>
          <w:sz w:val="22"/>
          <w:szCs w:val="22"/>
          <w:lang w:val="en-GB"/>
        </w:rPr>
      </w:pPr>
    </w:p>
    <w:p w14:paraId="22434C5D" w14:textId="5BAE107C" w:rsidR="003B4A48" w:rsidRDefault="003B4A48" w:rsidP="003B4A48">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stay or </w:t>
      </w:r>
      <w:r w:rsidRPr="003B4A48">
        <w:rPr>
          <w:rFonts w:ascii="Avenir Next" w:hAnsi="Avenir Next" w:cs="Arial"/>
          <w:color w:val="808080" w:themeColor="background1" w:themeShade="80"/>
          <w:sz w:val="22"/>
          <w:szCs w:val="22"/>
          <w:lang w:val="en-GB"/>
        </w:rPr>
        <w:t>moratorium against</w:t>
      </w:r>
      <w:r>
        <w:rPr>
          <w:rFonts w:ascii="Avenir Next" w:hAnsi="Avenir Next" w:cs="Arial"/>
          <w:color w:val="808080" w:themeColor="background1" w:themeShade="80"/>
          <w:sz w:val="22"/>
          <w:szCs w:val="22"/>
          <w:lang w:val="en-GB"/>
        </w:rPr>
        <w:t xml:space="preserve"> </w:t>
      </w:r>
      <w:r w:rsidRPr="003B4A48">
        <w:rPr>
          <w:rFonts w:ascii="Avenir Next" w:hAnsi="Avenir Next" w:cs="Arial"/>
          <w:color w:val="808080" w:themeColor="background1" w:themeShade="80"/>
          <w:sz w:val="22"/>
          <w:szCs w:val="22"/>
          <w:lang w:val="en-GB"/>
        </w:rPr>
        <w:t xml:space="preserve">individual debt enforcement </w:t>
      </w:r>
      <w:r w:rsidR="00F83C65" w:rsidRPr="003B4A48">
        <w:rPr>
          <w:rFonts w:ascii="Avenir Next" w:hAnsi="Avenir Next" w:cs="Arial"/>
          <w:color w:val="808080" w:themeColor="background1" w:themeShade="80"/>
          <w:sz w:val="22"/>
          <w:szCs w:val="22"/>
          <w:lang w:val="en-GB"/>
        </w:rPr>
        <w:t xml:space="preserve">against the </w:t>
      </w:r>
      <w:r w:rsidR="00415D4A">
        <w:rPr>
          <w:rFonts w:ascii="Avenir Next" w:hAnsi="Avenir Next" w:cs="Arial"/>
          <w:color w:val="808080" w:themeColor="background1" w:themeShade="80"/>
          <w:sz w:val="22"/>
          <w:szCs w:val="22"/>
          <w:lang w:val="en-GB"/>
        </w:rPr>
        <w:t>debtor.</w:t>
      </w:r>
    </w:p>
    <w:p w14:paraId="66E7E4E7" w14:textId="77777777" w:rsidR="003B4A48" w:rsidRDefault="003B4A48" w:rsidP="003B4A48">
      <w:pPr>
        <w:pStyle w:val="ListParagraph"/>
        <w:ind w:left="360"/>
        <w:jc w:val="both"/>
        <w:rPr>
          <w:rFonts w:ascii="Avenir Next" w:hAnsi="Avenir Next" w:cs="Arial"/>
          <w:color w:val="808080" w:themeColor="background1" w:themeShade="80"/>
          <w:sz w:val="22"/>
          <w:szCs w:val="22"/>
          <w:lang w:val="en-GB"/>
        </w:rPr>
      </w:pPr>
    </w:p>
    <w:p w14:paraId="0E86ABDB" w14:textId="13A4270F" w:rsidR="003B4A48" w:rsidRDefault="003B4A48" w:rsidP="00F83C65">
      <w:pPr>
        <w:pStyle w:val="ListParagraph"/>
        <w:numPr>
          <w:ilvl w:val="0"/>
          <w:numId w:val="4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Pooling of the debtor's assets</w:t>
      </w:r>
      <w:r w:rsidR="00F83C65" w:rsidRPr="00F83C65">
        <w:rPr>
          <w:rFonts w:ascii="Avenir Next" w:hAnsi="Avenir Next" w:cs="Arial"/>
          <w:color w:val="808080" w:themeColor="background1" w:themeShade="80"/>
          <w:sz w:val="22"/>
          <w:szCs w:val="22"/>
          <w:lang w:val="en-GB"/>
        </w:rPr>
        <w:t xml:space="preserve"> to pay </w:t>
      </w:r>
      <w:r>
        <w:rPr>
          <w:rFonts w:ascii="Avenir Next" w:hAnsi="Avenir Next" w:cs="Arial"/>
          <w:color w:val="808080" w:themeColor="background1" w:themeShade="80"/>
          <w:sz w:val="22"/>
          <w:szCs w:val="22"/>
          <w:lang w:val="en-GB"/>
        </w:rPr>
        <w:t xml:space="preserve">its </w:t>
      </w:r>
      <w:r w:rsidR="00F83C65" w:rsidRPr="00F83C65">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This feature can be diluted due to different States taking different approaches and having different exceptions to this rule</w:t>
      </w:r>
      <w:r w:rsidR="00415D4A">
        <w:rPr>
          <w:rFonts w:ascii="Avenir Next" w:hAnsi="Avenir Next" w:cs="Arial"/>
          <w:color w:val="808080" w:themeColor="background1" w:themeShade="80"/>
          <w:sz w:val="22"/>
          <w:szCs w:val="22"/>
          <w:lang w:val="en-GB"/>
        </w:rPr>
        <w:t>.</w:t>
      </w:r>
    </w:p>
    <w:p w14:paraId="5F7BAC33" w14:textId="77777777" w:rsidR="003B4A48" w:rsidRPr="003B4A48" w:rsidRDefault="003B4A48" w:rsidP="003B4A48">
      <w:pPr>
        <w:pStyle w:val="ListParagraph"/>
        <w:rPr>
          <w:rFonts w:ascii="Avenir Next" w:hAnsi="Avenir Next" w:cs="Arial"/>
          <w:color w:val="808080" w:themeColor="background1" w:themeShade="80"/>
          <w:sz w:val="22"/>
          <w:szCs w:val="22"/>
          <w:lang w:val="en-GB"/>
        </w:rPr>
      </w:pPr>
    </w:p>
    <w:p w14:paraId="3CE756D3" w14:textId="75AAEEBE" w:rsidR="003B4A48" w:rsidRDefault="00DD0C5D" w:rsidP="00F83C65">
      <w:pPr>
        <w:pStyle w:val="ListParagraph"/>
        <w:numPr>
          <w:ilvl w:val="0"/>
          <w:numId w:val="41"/>
        </w:numPr>
        <w:jc w:val="both"/>
        <w:rPr>
          <w:rFonts w:ascii="Avenir Next" w:hAnsi="Avenir Next" w:cs="Arial"/>
          <w:color w:val="808080" w:themeColor="background1" w:themeShade="80"/>
          <w:sz w:val="22"/>
          <w:szCs w:val="22"/>
          <w:lang w:val="en-GB"/>
        </w:rPr>
      </w:pPr>
      <w:r w:rsidRPr="00DD0C5D">
        <w:rPr>
          <w:rFonts w:ascii="Avenir Next" w:hAnsi="Avenir Next" w:cs="Arial"/>
          <w:color w:val="808080" w:themeColor="background1" w:themeShade="80"/>
          <w:sz w:val="22"/>
          <w:szCs w:val="22"/>
          <w:lang w:val="en-GB"/>
        </w:rPr>
        <w:t>The payment of c</w:t>
      </w:r>
      <w:r w:rsidR="00F83C65" w:rsidRPr="00DD0C5D">
        <w:rPr>
          <w:rFonts w:ascii="Avenir Next" w:hAnsi="Avenir Next" w:cs="Arial"/>
          <w:color w:val="808080" w:themeColor="background1" w:themeShade="80"/>
          <w:sz w:val="22"/>
          <w:szCs w:val="22"/>
          <w:lang w:val="en-GB"/>
        </w:rPr>
        <w:t xml:space="preserve">reditors </w:t>
      </w:r>
      <w:r w:rsidR="00415D4A">
        <w:rPr>
          <w:rFonts w:ascii="Avenir Next" w:hAnsi="Avenir Next" w:cs="Arial"/>
          <w:color w:val="808080" w:themeColor="background1" w:themeShade="80"/>
          <w:sz w:val="22"/>
          <w:szCs w:val="22"/>
          <w:lang w:val="en-GB"/>
        </w:rPr>
        <w:t xml:space="preserve">on a </w:t>
      </w:r>
      <w:proofErr w:type="spellStart"/>
      <w:r w:rsidR="00F83C65" w:rsidRPr="00DD0C5D">
        <w:rPr>
          <w:rFonts w:ascii="Avenir Next" w:hAnsi="Avenir Next" w:cs="Arial"/>
          <w:i/>
          <w:iCs/>
          <w:color w:val="808080" w:themeColor="background1" w:themeShade="80"/>
          <w:sz w:val="22"/>
          <w:szCs w:val="22"/>
          <w:lang w:val="en-GB"/>
        </w:rPr>
        <w:t>pari</w:t>
      </w:r>
      <w:proofErr w:type="spellEnd"/>
      <w:r w:rsidR="00F83C65" w:rsidRPr="00DD0C5D">
        <w:rPr>
          <w:rFonts w:ascii="Avenir Next" w:hAnsi="Avenir Next" w:cs="Arial"/>
          <w:i/>
          <w:iCs/>
          <w:color w:val="808080" w:themeColor="background1" w:themeShade="80"/>
          <w:sz w:val="22"/>
          <w:szCs w:val="22"/>
          <w:lang w:val="en-GB"/>
        </w:rPr>
        <w:t xml:space="preserve"> passu</w:t>
      </w:r>
      <w:r w:rsidR="00415D4A">
        <w:rPr>
          <w:rFonts w:ascii="Avenir Next" w:hAnsi="Avenir Next" w:cs="Arial"/>
          <w:color w:val="808080" w:themeColor="background1" w:themeShade="80"/>
          <w:sz w:val="22"/>
          <w:szCs w:val="22"/>
          <w:lang w:val="en-GB"/>
        </w:rPr>
        <w:t xml:space="preserve"> basis</w:t>
      </w:r>
      <w:r w:rsidR="00F83C65" w:rsidRPr="00DD0C5D">
        <w:rPr>
          <w:rFonts w:ascii="Avenir Next" w:hAnsi="Avenir Next" w:cs="Arial"/>
          <w:color w:val="808080" w:themeColor="background1" w:themeShade="80"/>
          <w:sz w:val="22"/>
          <w:szCs w:val="22"/>
          <w:lang w:val="en-GB"/>
        </w:rPr>
        <w:t xml:space="preserve">, </w:t>
      </w:r>
      <w:r w:rsidRPr="00DD0C5D">
        <w:rPr>
          <w:rFonts w:ascii="Avenir Next" w:hAnsi="Avenir Next" w:cs="Arial"/>
          <w:color w:val="808080" w:themeColor="background1" w:themeShade="80"/>
          <w:sz w:val="22"/>
          <w:szCs w:val="22"/>
          <w:lang w:val="en-GB"/>
        </w:rPr>
        <w:t xml:space="preserve">meaning on a </w:t>
      </w:r>
      <w:r w:rsidR="00F83C65" w:rsidRPr="00DD0C5D">
        <w:rPr>
          <w:rFonts w:ascii="Avenir Next" w:hAnsi="Avenir Next" w:cs="Arial"/>
          <w:color w:val="808080" w:themeColor="background1" w:themeShade="80"/>
          <w:sz w:val="22"/>
          <w:szCs w:val="22"/>
          <w:lang w:val="en-GB"/>
        </w:rPr>
        <w:t>proportionate basis out of the available assets</w:t>
      </w:r>
      <w:r w:rsidR="00415D4A">
        <w:rPr>
          <w:rFonts w:ascii="Avenir Next" w:hAnsi="Avenir Next" w:cs="Arial"/>
          <w:color w:val="808080" w:themeColor="background1" w:themeShade="80"/>
          <w:sz w:val="22"/>
          <w:szCs w:val="22"/>
          <w:lang w:val="en-GB"/>
        </w:rPr>
        <w:t xml:space="preserve"> and</w:t>
      </w:r>
      <w:r w:rsidRPr="00DD0C5D">
        <w:rPr>
          <w:rFonts w:ascii="Avenir Next" w:hAnsi="Avenir Next" w:cs="Arial"/>
          <w:color w:val="808080" w:themeColor="background1" w:themeShade="80"/>
          <w:sz w:val="22"/>
          <w:szCs w:val="22"/>
          <w:lang w:val="en-GB"/>
        </w:rPr>
        <w:t xml:space="preserve"> </w:t>
      </w:r>
      <w:r w:rsidR="00F83C65" w:rsidRPr="00DD0C5D">
        <w:rPr>
          <w:rFonts w:ascii="Avenir Next" w:hAnsi="Avenir Next" w:cs="Arial"/>
          <w:color w:val="808080" w:themeColor="background1" w:themeShade="80"/>
          <w:sz w:val="22"/>
          <w:szCs w:val="22"/>
          <w:lang w:val="en-GB"/>
        </w:rPr>
        <w:t xml:space="preserve">based on </w:t>
      </w:r>
      <w:r w:rsidR="00415D4A">
        <w:rPr>
          <w:rFonts w:ascii="Avenir Next" w:hAnsi="Avenir Next" w:cs="Arial"/>
          <w:color w:val="808080" w:themeColor="background1" w:themeShade="80"/>
          <w:sz w:val="22"/>
          <w:szCs w:val="22"/>
          <w:lang w:val="en-GB"/>
        </w:rPr>
        <w:t>each creditor's</w:t>
      </w:r>
      <w:r w:rsidR="00F83C65" w:rsidRPr="00DD0C5D">
        <w:rPr>
          <w:rFonts w:ascii="Avenir Next" w:hAnsi="Avenir Next" w:cs="Arial"/>
          <w:color w:val="808080" w:themeColor="background1" w:themeShade="80"/>
          <w:sz w:val="22"/>
          <w:szCs w:val="22"/>
          <w:lang w:val="en-GB"/>
        </w:rPr>
        <w:t xml:space="preserve"> claim. Wood </w:t>
      </w:r>
      <w:r w:rsidRPr="00DD0C5D">
        <w:rPr>
          <w:rFonts w:ascii="Avenir Next" w:hAnsi="Avenir Next" w:cs="Arial"/>
          <w:color w:val="808080" w:themeColor="background1" w:themeShade="80"/>
          <w:sz w:val="22"/>
          <w:szCs w:val="22"/>
          <w:lang w:val="en-GB"/>
        </w:rPr>
        <w:t>recognises that this feature is somewhat idealistic because many States prioritise certain creditors and secured creditors are generally exempt</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1"/>
      </w:r>
    </w:p>
    <w:p w14:paraId="323A42FE" w14:textId="77777777" w:rsidR="00DD0C5D" w:rsidRPr="00DD0C5D" w:rsidRDefault="00DD0C5D" w:rsidP="00DD0C5D">
      <w:pPr>
        <w:pStyle w:val="ListParagraph"/>
        <w:rPr>
          <w:rFonts w:ascii="Avenir Next" w:hAnsi="Avenir Next" w:cs="Arial"/>
          <w:color w:val="808080" w:themeColor="background1" w:themeShade="80"/>
          <w:sz w:val="22"/>
          <w:szCs w:val="22"/>
          <w:lang w:val="en-GB"/>
        </w:rPr>
      </w:pPr>
    </w:p>
    <w:p w14:paraId="0ACB5983" w14:textId="77777777" w:rsidR="00DD4009" w:rsidRDefault="00DD0C5D" w:rsidP="00DD0C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to the </w:t>
      </w:r>
      <w:r w:rsidRPr="00DD0C5D">
        <w:rPr>
          <w:rFonts w:ascii="Avenir Next" w:hAnsi="Avenir Next" w:cs="Arial"/>
          <w:color w:val="808080" w:themeColor="background1" w:themeShade="80"/>
          <w:sz w:val="22"/>
          <w:szCs w:val="22"/>
          <w:lang w:val="en-GB"/>
        </w:rPr>
        <w:t>differences that may arise when a “bankruptcy” / “insolvency” involves a corporation rather than an individual</w:t>
      </w:r>
      <w:r>
        <w:rPr>
          <w:rFonts w:ascii="Avenir Next" w:hAnsi="Avenir Next" w:cs="Arial"/>
          <w:color w:val="808080" w:themeColor="background1" w:themeShade="80"/>
          <w:sz w:val="22"/>
          <w:szCs w:val="22"/>
          <w:lang w:val="en-GB"/>
        </w:rPr>
        <w:t xml:space="preserve">, </w:t>
      </w:r>
      <w:r w:rsidRPr="00DD0C5D">
        <w:rPr>
          <w:rFonts w:ascii="Avenir Next" w:hAnsi="Avenir Next" w:cs="Arial"/>
          <w:color w:val="808080" w:themeColor="background1" w:themeShade="80"/>
          <w:sz w:val="22"/>
          <w:szCs w:val="22"/>
          <w:lang w:val="en-GB"/>
        </w:rPr>
        <w:t>Sealy and Hooley</w:t>
      </w:r>
      <w:r>
        <w:rPr>
          <w:rStyle w:val="FootnoteReference"/>
          <w:rFonts w:ascii="Avenir Next" w:hAnsi="Avenir Next" w:cs="Arial"/>
          <w:color w:val="808080" w:themeColor="background1" w:themeShade="80"/>
          <w:sz w:val="22"/>
          <w:szCs w:val="22"/>
          <w:lang w:val="en-GB"/>
        </w:rPr>
        <w:footnoteReference w:id="12"/>
      </w:r>
      <w:r>
        <w:rPr>
          <w:rFonts w:ascii="Avenir Next" w:hAnsi="Avenir Next" w:cs="Arial"/>
          <w:color w:val="808080" w:themeColor="background1" w:themeShade="80"/>
          <w:sz w:val="22"/>
          <w:szCs w:val="22"/>
          <w:lang w:val="en-GB"/>
        </w:rPr>
        <w:t xml:space="preserve"> offer some helpful guidance on the different objectives or aims of a corporate insolvency and that of an individual. </w:t>
      </w:r>
    </w:p>
    <w:p w14:paraId="46736133" w14:textId="77777777" w:rsidR="00DD4009" w:rsidRDefault="00DD4009" w:rsidP="00DD0C5D">
      <w:pPr>
        <w:jc w:val="both"/>
        <w:rPr>
          <w:rFonts w:ascii="Avenir Next" w:hAnsi="Avenir Next" w:cs="Arial"/>
          <w:color w:val="808080" w:themeColor="background1" w:themeShade="80"/>
          <w:sz w:val="22"/>
          <w:szCs w:val="22"/>
          <w:lang w:val="en-GB"/>
        </w:rPr>
      </w:pPr>
    </w:p>
    <w:p w14:paraId="2FEC218F" w14:textId="3635BBD3" w:rsidR="00DD0C5D" w:rsidRDefault="00DD0C5D" w:rsidP="00DD0C5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individuals, the aims usually include:</w:t>
      </w:r>
    </w:p>
    <w:p w14:paraId="45EAB4A6" w14:textId="77777777" w:rsidR="00DD0C5D" w:rsidRDefault="00DD0C5D" w:rsidP="00DD0C5D">
      <w:pPr>
        <w:jc w:val="both"/>
        <w:rPr>
          <w:rFonts w:ascii="Avenir Next" w:hAnsi="Avenir Next" w:cs="Arial"/>
          <w:color w:val="808080" w:themeColor="background1" w:themeShade="80"/>
          <w:sz w:val="22"/>
          <w:szCs w:val="22"/>
          <w:lang w:val="en-GB"/>
        </w:rPr>
      </w:pPr>
    </w:p>
    <w:p w14:paraId="778FD32F" w14:textId="11760D74" w:rsidR="00DD0C5D" w:rsidRDefault="00DD0C5D" w:rsidP="00DD0C5D">
      <w:pPr>
        <w:pStyle w:val="ListParagraph"/>
        <w:numPr>
          <w:ilvl w:val="0"/>
          <w:numId w:val="42"/>
        </w:numPr>
        <w:jc w:val="both"/>
        <w:rPr>
          <w:rFonts w:ascii="Avenir Next" w:hAnsi="Avenir Next" w:cs="Arial"/>
          <w:color w:val="808080" w:themeColor="background1" w:themeShade="80"/>
          <w:sz w:val="22"/>
          <w:szCs w:val="22"/>
          <w:lang w:val="en-GB"/>
        </w:rPr>
      </w:pPr>
      <w:r w:rsidRPr="00DD0C5D">
        <w:rPr>
          <w:rFonts w:ascii="Avenir Next" w:hAnsi="Avenir Next" w:cs="Arial"/>
          <w:color w:val="808080" w:themeColor="background1" w:themeShade="80"/>
          <w:sz w:val="22"/>
          <w:szCs w:val="22"/>
          <w:lang w:val="en-GB"/>
        </w:rPr>
        <w:t>Protect</w:t>
      </w:r>
      <w:r>
        <w:rPr>
          <w:rFonts w:ascii="Avenir Next" w:hAnsi="Avenir Next" w:cs="Arial"/>
          <w:color w:val="808080" w:themeColor="background1" w:themeShade="80"/>
          <w:sz w:val="22"/>
          <w:szCs w:val="22"/>
          <w:lang w:val="en-GB"/>
        </w:rPr>
        <w:t xml:space="preserve">ing </w:t>
      </w:r>
      <w:r w:rsidRPr="00DD0C5D">
        <w:rPr>
          <w:rFonts w:ascii="Avenir Next" w:hAnsi="Avenir Next" w:cs="Arial"/>
          <w:color w:val="808080" w:themeColor="background1" w:themeShade="80"/>
          <w:sz w:val="22"/>
          <w:szCs w:val="22"/>
          <w:lang w:val="en-GB"/>
        </w:rPr>
        <w:t>the debtor from harassment by his creditors</w:t>
      </w:r>
      <w:r w:rsidR="00415D4A">
        <w:rPr>
          <w:rFonts w:ascii="Avenir Next" w:hAnsi="Avenir Next" w:cs="Arial"/>
          <w:color w:val="808080" w:themeColor="background1" w:themeShade="80"/>
          <w:sz w:val="22"/>
          <w:szCs w:val="22"/>
          <w:lang w:val="en-GB"/>
        </w:rPr>
        <w:t>.</w:t>
      </w:r>
    </w:p>
    <w:p w14:paraId="487A50A5" w14:textId="77777777" w:rsidR="00415D4A" w:rsidRDefault="00415D4A" w:rsidP="00415D4A">
      <w:pPr>
        <w:pStyle w:val="ListParagraph"/>
        <w:ind w:left="360"/>
        <w:jc w:val="both"/>
        <w:rPr>
          <w:rFonts w:ascii="Avenir Next" w:hAnsi="Avenir Next" w:cs="Arial"/>
          <w:color w:val="808080" w:themeColor="background1" w:themeShade="80"/>
          <w:sz w:val="22"/>
          <w:szCs w:val="22"/>
          <w:lang w:val="en-GB"/>
        </w:rPr>
      </w:pPr>
    </w:p>
    <w:p w14:paraId="16AFDE03" w14:textId="47E4A55B" w:rsidR="00415D4A" w:rsidRDefault="00DD0C5D" w:rsidP="00DD0C5D">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Enabling the</w:t>
      </w:r>
      <w:r w:rsidRPr="00DD0C5D">
        <w:rPr>
          <w:rFonts w:ascii="Avenir Next" w:hAnsi="Avenir Next" w:cs="Arial"/>
          <w:color w:val="808080" w:themeColor="background1" w:themeShade="80"/>
          <w:sz w:val="22"/>
          <w:szCs w:val="22"/>
          <w:lang w:val="en-GB"/>
        </w:rPr>
        <w:t xml:space="preserve"> debtor to</w:t>
      </w:r>
      <w:r>
        <w:rPr>
          <w:rFonts w:ascii="Avenir Next" w:hAnsi="Avenir Next" w:cs="Arial"/>
          <w:color w:val="808080" w:themeColor="background1" w:themeShade="80"/>
          <w:sz w:val="22"/>
          <w:szCs w:val="22"/>
          <w:lang w:val="en-GB"/>
        </w:rPr>
        <w:t xml:space="preserve"> </w:t>
      </w:r>
      <w:r w:rsidRPr="00DD0C5D">
        <w:rPr>
          <w:rFonts w:ascii="Avenir Next" w:hAnsi="Avenir Next" w:cs="Arial"/>
          <w:color w:val="808080" w:themeColor="background1" w:themeShade="80"/>
          <w:sz w:val="22"/>
          <w:szCs w:val="22"/>
          <w:lang w:val="en-GB"/>
        </w:rPr>
        <w:t xml:space="preserve">make fresh start – especially where </w:t>
      </w:r>
      <w:r>
        <w:rPr>
          <w:rFonts w:ascii="Avenir Next" w:hAnsi="Avenir Next" w:cs="Arial"/>
          <w:color w:val="808080" w:themeColor="background1" w:themeShade="80"/>
          <w:sz w:val="22"/>
          <w:szCs w:val="22"/>
          <w:lang w:val="en-GB"/>
        </w:rPr>
        <w:t xml:space="preserve">their </w:t>
      </w:r>
      <w:r w:rsidRPr="00DD0C5D">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/bankruptcy hasn’t</w:t>
      </w:r>
      <w:r w:rsidRPr="00DD0C5D">
        <w:rPr>
          <w:rFonts w:ascii="Avenir Next" w:hAnsi="Avenir Next" w:cs="Arial"/>
          <w:color w:val="808080" w:themeColor="background1" w:themeShade="80"/>
          <w:sz w:val="22"/>
          <w:szCs w:val="22"/>
          <w:lang w:val="en-GB"/>
        </w:rPr>
        <w:t xml:space="preserve"> been</w:t>
      </w:r>
      <w:r>
        <w:rPr>
          <w:rFonts w:ascii="Avenir Next" w:hAnsi="Avenir Next" w:cs="Arial"/>
          <w:color w:val="808080" w:themeColor="background1" w:themeShade="80"/>
          <w:sz w:val="22"/>
          <w:szCs w:val="22"/>
          <w:lang w:val="en-GB"/>
        </w:rPr>
        <w:t xml:space="preserve"> </w:t>
      </w:r>
      <w:r w:rsidRPr="00DD0C5D">
        <w:rPr>
          <w:rFonts w:ascii="Avenir Next" w:hAnsi="Avenir Next" w:cs="Arial"/>
          <w:color w:val="808080" w:themeColor="background1" w:themeShade="80"/>
          <w:sz w:val="22"/>
          <w:szCs w:val="22"/>
          <w:lang w:val="en-GB"/>
        </w:rPr>
        <w:t>brought about by</w:t>
      </w:r>
      <w:r w:rsidR="00415D4A">
        <w:rPr>
          <w:rFonts w:ascii="Avenir Next" w:hAnsi="Avenir Next" w:cs="Arial"/>
          <w:color w:val="808080" w:themeColor="background1" w:themeShade="80"/>
          <w:sz w:val="22"/>
          <w:szCs w:val="22"/>
          <w:lang w:val="en-GB"/>
        </w:rPr>
        <w:t xml:space="preserve"> the</w:t>
      </w:r>
      <w:r w:rsidRPr="00DD0C5D">
        <w:rPr>
          <w:rFonts w:ascii="Avenir Next" w:hAnsi="Avenir Next" w:cs="Arial"/>
          <w:color w:val="808080" w:themeColor="background1" w:themeShade="80"/>
          <w:sz w:val="22"/>
          <w:szCs w:val="22"/>
          <w:lang w:val="en-GB"/>
        </w:rPr>
        <w:t xml:space="preserve"> debtor</w:t>
      </w:r>
      <w:r>
        <w:rPr>
          <w:rFonts w:ascii="Avenir Next" w:hAnsi="Avenir Next" w:cs="Arial"/>
          <w:color w:val="808080" w:themeColor="background1" w:themeShade="80"/>
          <w:sz w:val="22"/>
          <w:szCs w:val="22"/>
          <w:lang w:val="en-GB"/>
        </w:rPr>
        <w:t>'s own actions</w:t>
      </w:r>
      <w:r w:rsidR="00415D4A">
        <w:rPr>
          <w:rFonts w:ascii="Avenir Next" w:hAnsi="Avenir Next" w:cs="Arial"/>
          <w:color w:val="808080" w:themeColor="background1" w:themeShade="80"/>
          <w:sz w:val="22"/>
          <w:szCs w:val="22"/>
          <w:lang w:val="en-GB"/>
        </w:rPr>
        <w:t>.</w:t>
      </w:r>
    </w:p>
    <w:p w14:paraId="764CC5AF" w14:textId="59651A54" w:rsidR="00DD0C5D" w:rsidRPr="00415D4A" w:rsidRDefault="00DD4009" w:rsidP="00415D4A">
      <w:pPr>
        <w:jc w:val="both"/>
        <w:rPr>
          <w:rFonts w:ascii="Avenir Next" w:hAnsi="Avenir Next" w:cs="Arial"/>
          <w:color w:val="808080" w:themeColor="background1" w:themeShade="80"/>
          <w:sz w:val="22"/>
          <w:szCs w:val="22"/>
          <w:lang w:val="en-GB"/>
        </w:rPr>
      </w:pPr>
      <w:r w:rsidRPr="00415D4A">
        <w:rPr>
          <w:rFonts w:ascii="Avenir Next" w:hAnsi="Avenir Next" w:cs="Arial"/>
          <w:color w:val="808080" w:themeColor="background1" w:themeShade="80"/>
          <w:sz w:val="22"/>
          <w:szCs w:val="22"/>
          <w:lang w:val="en-GB"/>
        </w:rPr>
        <w:t xml:space="preserve"> </w:t>
      </w:r>
    </w:p>
    <w:p w14:paraId="37008898" w14:textId="30478DEB" w:rsidR="00FE2818" w:rsidRDefault="00DD0C5D" w:rsidP="00DD0C5D">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w:t>
      </w:r>
      <w:r w:rsidRPr="00DD0C5D">
        <w:rPr>
          <w:rFonts w:ascii="Avenir Next" w:hAnsi="Avenir Next" w:cs="Arial"/>
          <w:color w:val="808080" w:themeColor="background1" w:themeShade="80"/>
          <w:sz w:val="22"/>
          <w:szCs w:val="22"/>
          <w:lang w:val="en-GB"/>
        </w:rPr>
        <w:t>educ</w:t>
      </w:r>
      <w:r>
        <w:rPr>
          <w:rFonts w:ascii="Avenir Next" w:hAnsi="Avenir Next" w:cs="Arial"/>
          <w:color w:val="808080" w:themeColor="background1" w:themeShade="80"/>
          <w:sz w:val="22"/>
          <w:szCs w:val="22"/>
          <w:lang w:val="en-GB"/>
        </w:rPr>
        <w:t>ing</w:t>
      </w:r>
      <w:r w:rsidRPr="00DD0C5D">
        <w:rPr>
          <w:rFonts w:ascii="Avenir Next" w:hAnsi="Avenir Next" w:cs="Arial"/>
          <w:color w:val="808080" w:themeColor="background1" w:themeShade="80"/>
          <w:sz w:val="22"/>
          <w:szCs w:val="22"/>
          <w:lang w:val="en-GB"/>
        </w:rPr>
        <w:t xml:space="preserve"> indebtedness by making</w:t>
      </w:r>
      <w:r>
        <w:rPr>
          <w:rFonts w:ascii="Avenir Next" w:hAnsi="Avenir Next" w:cs="Arial"/>
          <w:color w:val="808080" w:themeColor="background1" w:themeShade="80"/>
          <w:sz w:val="22"/>
          <w:szCs w:val="22"/>
          <w:lang w:val="en-GB"/>
        </w:rPr>
        <w:t xml:space="preserve"> </w:t>
      </w:r>
      <w:r w:rsidRPr="00DD0C5D">
        <w:rPr>
          <w:rFonts w:ascii="Avenir Next" w:hAnsi="Avenir Next" w:cs="Arial"/>
          <w:color w:val="808080" w:themeColor="background1" w:themeShade="80"/>
          <w:sz w:val="22"/>
          <w:szCs w:val="22"/>
          <w:lang w:val="en-GB"/>
        </w:rPr>
        <w:t xml:space="preserve">contributions from present and future income </w:t>
      </w:r>
      <w:r w:rsidR="00DD4009">
        <w:rPr>
          <w:rFonts w:ascii="Avenir Next" w:hAnsi="Avenir Next" w:cs="Arial"/>
          <w:color w:val="808080" w:themeColor="background1" w:themeShade="80"/>
          <w:sz w:val="22"/>
          <w:szCs w:val="22"/>
          <w:lang w:val="en-GB"/>
        </w:rPr>
        <w:t xml:space="preserve">and </w:t>
      </w:r>
      <w:proofErr w:type="gramStart"/>
      <w:r w:rsidR="00DD4009">
        <w:rPr>
          <w:rFonts w:ascii="Avenir Next" w:hAnsi="Avenir Next" w:cs="Arial"/>
          <w:color w:val="808080" w:themeColor="background1" w:themeShade="80"/>
          <w:sz w:val="22"/>
          <w:szCs w:val="22"/>
          <w:lang w:val="en-GB"/>
        </w:rPr>
        <w:t>giving consideration to</w:t>
      </w:r>
      <w:proofErr w:type="gramEnd"/>
      <w:r w:rsidR="00DD4009">
        <w:rPr>
          <w:rFonts w:ascii="Avenir Next" w:hAnsi="Avenir Next" w:cs="Arial"/>
          <w:color w:val="808080" w:themeColor="background1" w:themeShade="80"/>
          <w:sz w:val="22"/>
          <w:szCs w:val="22"/>
          <w:lang w:val="en-GB"/>
        </w:rPr>
        <w:t xml:space="preserve"> </w:t>
      </w:r>
      <w:r w:rsidRPr="00DD0C5D">
        <w:rPr>
          <w:rFonts w:ascii="Avenir Next" w:hAnsi="Avenir Next" w:cs="Arial"/>
          <w:color w:val="808080" w:themeColor="background1" w:themeShade="80"/>
          <w:sz w:val="22"/>
          <w:szCs w:val="22"/>
          <w:lang w:val="en-GB"/>
        </w:rPr>
        <w:t>personal circumstances.</w:t>
      </w:r>
      <w:r w:rsidR="00DD4009">
        <w:rPr>
          <w:rStyle w:val="FootnoteReference"/>
          <w:rFonts w:ascii="Avenir Next" w:hAnsi="Avenir Next" w:cs="Arial"/>
          <w:color w:val="808080" w:themeColor="background1" w:themeShade="80"/>
          <w:sz w:val="22"/>
          <w:szCs w:val="22"/>
          <w:lang w:val="en-GB"/>
        </w:rPr>
        <w:footnoteReference w:id="13"/>
      </w:r>
    </w:p>
    <w:p w14:paraId="43E7C02A" w14:textId="77777777" w:rsidR="0031793C" w:rsidRDefault="0031793C" w:rsidP="0031793C">
      <w:pPr>
        <w:jc w:val="both"/>
        <w:rPr>
          <w:rFonts w:ascii="Avenir Next" w:hAnsi="Avenir Next" w:cs="Arial"/>
          <w:color w:val="808080" w:themeColor="background1" w:themeShade="80"/>
          <w:sz w:val="22"/>
          <w:szCs w:val="22"/>
          <w:lang w:val="en-GB"/>
        </w:rPr>
      </w:pPr>
    </w:p>
    <w:p w14:paraId="15A1E05A" w14:textId="390F203B" w:rsidR="0031793C" w:rsidRPr="0031793C" w:rsidRDefault="0031793C" w:rsidP="003179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Fletcher also offers that the notion of </w:t>
      </w:r>
      <w:r w:rsidRPr="0031793C">
        <w:rPr>
          <w:rFonts w:ascii="Avenir Next" w:hAnsi="Avenir Next" w:cs="Arial"/>
          <w:color w:val="808080" w:themeColor="background1" w:themeShade="80"/>
          <w:sz w:val="22"/>
          <w:szCs w:val="22"/>
          <w:lang w:val="en-GB"/>
        </w:rPr>
        <w:t xml:space="preserve">exempt or excluded assets </w:t>
      </w:r>
      <w:r>
        <w:rPr>
          <w:rFonts w:ascii="Avenir Next" w:hAnsi="Avenir Next" w:cs="Arial"/>
          <w:color w:val="808080" w:themeColor="background1" w:themeShade="80"/>
          <w:sz w:val="22"/>
          <w:szCs w:val="22"/>
          <w:lang w:val="en-GB"/>
        </w:rPr>
        <w:t>only</w:t>
      </w:r>
      <w:r w:rsidRPr="0031793C">
        <w:rPr>
          <w:rFonts w:ascii="Avenir Next" w:hAnsi="Avenir Next" w:cs="Arial"/>
          <w:color w:val="808080" w:themeColor="background1" w:themeShade="80"/>
          <w:sz w:val="22"/>
          <w:szCs w:val="22"/>
          <w:lang w:val="en-GB"/>
        </w:rPr>
        <w:t xml:space="preserve"> appl</w:t>
      </w:r>
      <w:r>
        <w:rPr>
          <w:rFonts w:ascii="Avenir Next" w:hAnsi="Avenir Next" w:cs="Arial"/>
          <w:color w:val="808080" w:themeColor="background1" w:themeShade="80"/>
          <w:sz w:val="22"/>
          <w:szCs w:val="22"/>
          <w:lang w:val="en-GB"/>
        </w:rPr>
        <w:t>ies to individuals and this is based on the</w:t>
      </w:r>
      <w:r w:rsidR="00A234D3">
        <w:rPr>
          <w:rFonts w:ascii="Avenir Next" w:hAnsi="Avenir Next" w:cs="Arial"/>
          <w:color w:val="808080" w:themeColor="background1" w:themeShade="80"/>
          <w:sz w:val="22"/>
          <w:szCs w:val="22"/>
          <w:lang w:val="en-GB"/>
        </w:rPr>
        <w:t xml:space="preserve"> idea</w:t>
      </w:r>
      <w:r>
        <w:rPr>
          <w:rFonts w:ascii="Avenir Next" w:hAnsi="Avenir Next" w:cs="Arial"/>
          <w:color w:val="808080" w:themeColor="background1" w:themeShade="80"/>
          <w:sz w:val="22"/>
          <w:szCs w:val="22"/>
          <w:lang w:val="en-GB"/>
        </w:rPr>
        <w:t xml:space="preserve"> that an individual debtor will need some minimal assets to maintain</w:t>
      </w:r>
      <w:r w:rsidRPr="0031793C">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themselves and their</w:t>
      </w:r>
      <w:r w:rsidRPr="0031793C">
        <w:rPr>
          <w:rFonts w:ascii="Avenir Next" w:hAnsi="Avenir Next" w:cs="Arial"/>
          <w:color w:val="808080" w:themeColor="background1" w:themeShade="80"/>
          <w:sz w:val="22"/>
          <w:szCs w:val="22"/>
          <w:lang w:val="en-GB"/>
        </w:rPr>
        <w:t xml:space="preserve"> dependents</w:t>
      </w:r>
      <w:r>
        <w:rPr>
          <w:rFonts w:ascii="Avenir Next" w:hAnsi="Avenir Next" w:cs="Arial"/>
          <w:color w:val="808080" w:themeColor="background1" w:themeShade="80"/>
          <w:sz w:val="22"/>
          <w:szCs w:val="22"/>
          <w:lang w:val="en-GB"/>
        </w:rPr>
        <w:t xml:space="preserve"> during the resolution of their bankruptcy.</w:t>
      </w:r>
      <w:r>
        <w:rPr>
          <w:rStyle w:val="FootnoteReference"/>
          <w:rFonts w:ascii="Avenir Next" w:hAnsi="Avenir Next" w:cs="Arial"/>
          <w:color w:val="808080" w:themeColor="background1" w:themeShade="80"/>
          <w:sz w:val="22"/>
          <w:szCs w:val="22"/>
          <w:lang w:val="en-GB"/>
        </w:rPr>
        <w:footnoteReference w:id="14"/>
      </w:r>
      <w:r>
        <w:rPr>
          <w:rFonts w:ascii="Avenir Next" w:hAnsi="Avenir Next" w:cs="Arial"/>
          <w:color w:val="808080" w:themeColor="background1" w:themeShade="80"/>
          <w:sz w:val="22"/>
          <w:szCs w:val="22"/>
          <w:lang w:val="en-GB"/>
        </w:rPr>
        <w:t xml:space="preserve"> </w:t>
      </w:r>
    </w:p>
    <w:p w14:paraId="0664D880" w14:textId="77777777" w:rsidR="00DD4009" w:rsidRDefault="00DD4009" w:rsidP="00DD4009">
      <w:pPr>
        <w:jc w:val="both"/>
        <w:rPr>
          <w:rFonts w:ascii="Avenir Next" w:hAnsi="Avenir Next" w:cs="Arial"/>
          <w:color w:val="808080" w:themeColor="background1" w:themeShade="80"/>
          <w:sz w:val="22"/>
          <w:szCs w:val="22"/>
          <w:lang w:val="en-GB"/>
        </w:rPr>
      </w:pPr>
    </w:p>
    <w:p w14:paraId="72C3D5DB" w14:textId="16AEE390" w:rsidR="00DD4009" w:rsidRDefault="00DD4009" w:rsidP="00DD40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above aspects are representative of a pro-debtor system. </w:t>
      </w:r>
    </w:p>
    <w:p w14:paraId="2DF132E3" w14:textId="77777777" w:rsidR="00DD4009" w:rsidRDefault="00DD4009" w:rsidP="00DD4009">
      <w:pPr>
        <w:jc w:val="both"/>
        <w:rPr>
          <w:rFonts w:ascii="Avenir Next" w:hAnsi="Avenir Next" w:cs="Arial"/>
          <w:color w:val="808080" w:themeColor="background1" w:themeShade="80"/>
          <w:sz w:val="22"/>
          <w:szCs w:val="22"/>
          <w:lang w:val="en-GB"/>
        </w:rPr>
      </w:pPr>
    </w:p>
    <w:p w14:paraId="6027237C" w14:textId="4C539020" w:rsidR="00DD4009" w:rsidRDefault="00DD4009" w:rsidP="00DD40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to corporations, the aims typically include:</w:t>
      </w:r>
    </w:p>
    <w:p w14:paraId="7A15476C" w14:textId="77777777" w:rsidR="00DD4009" w:rsidRDefault="00DD4009" w:rsidP="00DD4009">
      <w:pPr>
        <w:jc w:val="both"/>
        <w:rPr>
          <w:rFonts w:ascii="Avenir Next" w:hAnsi="Avenir Next" w:cs="Arial"/>
          <w:color w:val="808080" w:themeColor="background1" w:themeShade="80"/>
          <w:sz w:val="22"/>
          <w:szCs w:val="22"/>
          <w:lang w:val="en-GB"/>
        </w:rPr>
      </w:pPr>
    </w:p>
    <w:p w14:paraId="1ABD69B6" w14:textId="256297CE" w:rsidR="00DD4009" w:rsidRDefault="00DD4009" w:rsidP="00DD4009">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w:t>
      </w:r>
      <w:r w:rsidRPr="00DD4009">
        <w:rPr>
          <w:rFonts w:ascii="Avenir Next" w:hAnsi="Avenir Next" w:cs="Arial"/>
          <w:color w:val="808080" w:themeColor="background1" w:themeShade="80"/>
          <w:sz w:val="22"/>
          <w:szCs w:val="22"/>
          <w:lang w:val="en-GB"/>
        </w:rPr>
        <w:t>reserv</w:t>
      </w:r>
      <w:r>
        <w:rPr>
          <w:rFonts w:ascii="Avenir Next" w:hAnsi="Avenir Next" w:cs="Arial"/>
          <w:color w:val="808080" w:themeColor="background1" w:themeShade="80"/>
          <w:sz w:val="22"/>
          <w:szCs w:val="22"/>
          <w:lang w:val="en-GB"/>
        </w:rPr>
        <w:t>ing</w:t>
      </w:r>
      <w:r w:rsidRPr="00DD4009">
        <w:rPr>
          <w:rFonts w:ascii="Avenir Next" w:hAnsi="Avenir Next" w:cs="Arial"/>
          <w:color w:val="808080" w:themeColor="background1" w:themeShade="80"/>
          <w:sz w:val="22"/>
          <w:szCs w:val="22"/>
          <w:lang w:val="en-GB"/>
        </w:rPr>
        <w:t xml:space="preserve"> the business, or viable parts thereof</w:t>
      </w:r>
      <w:r>
        <w:rPr>
          <w:rFonts w:ascii="Avenir Next" w:hAnsi="Avenir Next" w:cs="Arial"/>
          <w:color w:val="808080" w:themeColor="background1" w:themeShade="80"/>
          <w:sz w:val="22"/>
          <w:szCs w:val="22"/>
          <w:lang w:val="en-GB"/>
        </w:rPr>
        <w:t xml:space="preserve"> to the extent possible, but </w:t>
      </w:r>
      <w:r w:rsidRPr="00DD4009">
        <w:rPr>
          <w:rFonts w:ascii="Avenir Next" w:hAnsi="Avenir Next" w:cs="Arial"/>
          <w:color w:val="808080" w:themeColor="background1" w:themeShade="80"/>
          <w:sz w:val="22"/>
          <w:szCs w:val="22"/>
          <w:lang w:val="en-GB"/>
        </w:rPr>
        <w:t>not</w:t>
      </w:r>
      <w:r>
        <w:rPr>
          <w:rFonts w:ascii="Avenir Next" w:hAnsi="Avenir Next" w:cs="Arial"/>
          <w:color w:val="808080" w:themeColor="background1" w:themeShade="80"/>
          <w:sz w:val="22"/>
          <w:szCs w:val="22"/>
          <w:lang w:val="en-GB"/>
        </w:rPr>
        <w:t xml:space="preserve"> </w:t>
      </w:r>
      <w:r w:rsidRPr="00DD4009">
        <w:rPr>
          <w:rFonts w:ascii="Avenir Next" w:hAnsi="Avenir Next" w:cs="Arial"/>
          <w:color w:val="808080" w:themeColor="background1" w:themeShade="80"/>
          <w:sz w:val="22"/>
          <w:szCs w:val="22"/>
          <w:lang w:val="en-GB"/>
        </w:rPr>
        <w:t xml:space="preserve">necessarily </w:t>
      </w:r>
      <w:r>
        <w:rPr>
          <w:rFonts w:ascii="Avenir Next" w:hAnsi="Avenir Next" w:cs="Arial"/>
          <w:color w:val="808080" w:themeColor="background1" w:themeShade="80"/>
          <w:sz w:val="22"/>
          <w:szCs w:val="22"/>
          <w:lang w:val="en-GB"/>
        </w:rPr>
        <w:t>preserving the company i</w:t>
      </w:r>
      <w:r w:rsidR="00415D4A">
        <w:rPr>
          <w:rFonts w:ascii="Avenir Next" w:hAnsi="Avenir Next" w:cs="Arial"/>
          <w:color w:val="808080" w:themeColor="background1" w:themeShade="80"/>
          <w:sz w:val="22"/>
          <w:szCs w:val="22"/>
          <w:lang w:val="en-GB"/>
        </w:rPr>
        <w:t>tself.</w:t>
      </w:r>
    </w:p>
    <w:p w14:paraId="431132F8" w14:textId="77777777" w:rsidR="00415D4A" w:rsidRDefault="00415D4A" w:rsidP="00415D4A">
      <w:pPr>
        <w:pStyle w:val="ListParagraph"/>
        <w:ind w:left="360"/>
        <w:jc w:val="both"/>
        <w:rPr>
          <w:rFonts w:ascii="Avenir Next" w:hAnsi="Avenir Next" w:cs="Arial"/>
          <w:color w:val="808080" w:themeColor="background1" w:themeShade="80"/>
          <w:sz w:val="22"/>
          <w:szCs w:val="22"/>
          <w:lang w:val="en-GB"/>
        </w:rPr>
      </w:pPr>
    </w:p>
    <w:p w14:paraId="085BE6A2" w14:textId="31897BCC" w:rsidR="00DD4009" w:rsidRPr="00DD4009" w:rsidRDefault="00DD4009" w:rsidP="00DD4009">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DD4009">
        <w:rPr>
          <w:rFonts w:ascii="Avenir Next" w:hAnsi="Avenir Next" w:cs="Arial"/>
          <w:color w:val="808080" w:themeColor="background1" w:themeShade="80"/>
          <w:sz w:val="22"/>
          <w:szCs w:val="22"/>
          <w:lang w:val="en-GB"/>
        </w:rPr>
        <w:t>mpos</w:t>
      </w:r>
      <w:r>
        <w:rPr>
          <w:rFonts w:ascii="Avenir Next" w:hAnsi="Avenir Next" w:cs="Arial"/>
          <w:color w:val="808080" w:themeColor="background1" w:themeShade="80"/>
          <w:sz w:val="22"/>
          <w:szCs w:val="22"/>
          <w:lang w:val="en-GB"/>
        </w:rPr>
        <w:t>ing</w:t>
      </w:r>
      <w:r w:rsidRPr="00DD4009">
        <w:rPr>
          <w:rFonts w:ascii="Avenir Next" w:hAnsi="Avenir Next" w:cs="Arial"/>
          <w:color w:val="808080" w:themeColor="background1" w:themeShade="80"/>
          <w:sz w:val="22"/>
          <w:szCs w:val="22"/>
          <w:lang w:val="en-GB"/>
        </w:rPr>
        <w:t xml:space="preserve"> personal</w:t>
      </w:r>
      <w:r>
        <w:rPr>
          <w:rFonts w:ascii="Avenir Next" w:hAnsi="Avenir Next" w:cs="Arial"/>
          <w:color w:val="808080" w:themeColor="background1" w:themeShade="80"/>
          <w:sz w:val="22"/>
          <w:szCs w:val="22"/>
          <w:lang w:val="en-GB"/>
        </w:rPr>
        <w:t xml:space="preserve"> </w:t>
      </w:r>
      <w:r w:rsidRPr="00DD4009">
        <w:rPr>
          <w:rFonts w:ascii="Avenir Next" w:hAnsi="Avenir Next" w:cs="Arial"/>
          <w:color w:val="808080" w:themeColor="background1" w:themeShade="80"/>
          <w:sz w:val="22"/>
          <w:szCs w:val="22"/>
          <w:lang w:val="en-GB"/>
        </w:rPr>
        <w:t>liability on responsible persons</w:t>
      </w:r>
      <w:r>
        <w:rPr>
          <w:rFonts w:ascii="Avenir Next" w:hAnsi="Avenir Next" w:cs="Arial"/>
          <w:color w:val="808080" w:themeColor="background1" w:themeShade="80"/>
          <w:sz w:val="22"/>
          <w:szCs w:val="22"/>
          <w:lang w:val="en-GB"/>
        </w:rPr>
        <w:t xml:space="preserve"> </w:t>
      </w:r>
      <w:r w:rsidRPr="00DD4009">
        <w:rPr>
          <w:rFonts w:ascii="Avenir Next" w:hAnsi="Avenir Next" w:cs="Arial"/>
          <w:color w:val="808080" w:themeColor="background1" w:themeShade="80"/>
          <w:sz w:val="22"/>
          <w:szCs w:val="22"/>
          <w:lang w:val="en-GB"/>
        </w:rPr>
        <w:t xml:space="preserve">where personal </w:t>
      </w:r>
      <w:r>
        <w:rPr>
          <w:rFonts w:ascii="Avenir Next" w:hAnsi="Avenir Next" w:cs="Arial"/>
          <w:color w:val="808080" w:themeColor="background1" w:themeShade="80"/>
          <w:sz w:val="22"/>
          <w:szCs w:val="22"/>
          <w:lang w:val="en-GB"/>
        </w:rPr>
        <w:t>conduct is at fault.</w:t>
      </w:r>
      <w:r>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 xml:space="preserve"> </w:t>
      </w:r>
    </w:p>
    <w:p w14:paraId="4BC7E0FC" w14:textId="77777777" w:rsidR="00FE2818" w:rsidRPr="00DA42DA" w:rsidRDefault="00FE2818" w:rsidP="00DA42DA">
      <w:pPr>
        <w:jc w:val="both"/>
        <w:rPr>
          <w:rFonts w:ascii="Avenir Next" w:hAnsi="Avenir Next" w:cs="Arial"/>
          <w:color w:val="808080" w:themeColor="background1" w:themeShade="80"/>
          <w:sz w:val="22"/>
          <w:szCs w:val="22"/>
          <w:lang w:val="en-GB"/>
        </w:rPr>
      </w:pPr>
    </w:p>
    <w:p w14:paraId="72AF2EF4" w14:textId="77777777" w:rsidR="00DD4009" w:rsidRDefault="00DD4009" w:rsidP="00DD400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Wood goes on to provide examples of </w:t>
      </w:r>
      <w:r w:rsidRPr="00DD4009">
        <w:rPr>
          <w:rFonts w:ascii="Avenir Next" w:hAnsi="Avenir Next" w:cs="Arial"/>
          <w:color w:val="808080" w:themeColor="background1" w:themeShade="80"/>
          <w:sz w:val="22"/>
          <w:szCs w:val="22"/>
          <w:lang w:val="en-GB"/>
        </w:rPr>
        <w:t xml:space="preserve">that apply to both </w:t>
      </w:r>
      <w:r>
        <w:rPr>
          <w:rFonts w:ascii="Avenir Next" w:hAnsi="Avenir Next" w:cs="Arial"/>
          <w:color w:val="808080" w:themeColor="background1" w:themeShade="80"/>
          <w:sz w:val="22"/>
          <w:szCs w:val="22"/>
          <w:lang w:val="en-GB"/>
        </w:rPr>
        <w:t>individual and corporate insolvency, such as:</w:t>
      </w:r>
    </w:p>
    <w:p w14:paraId="08C50D04" w14:textId="77777777" w:rsidR="00DD4009" w:rsidRDefault="00DD4009" w:rsidP="00DD4009">
      <w:pPr>
        <w:jc w:val="both"/>
        <w:rPr>
          <w:rFonts w:ascii="Avenir Next" w:hAnsi="Avenir Next" w:cs="Arial"/>
          <w:color w:val="808080" w:themeColor="background1" w:themeShade="80"/>
          <w:sz w:val="22"/>
          <w:szCs w:val="22"/>
          <w:lang w:val="en-GB"/>
        </w:rPr>
      </w:pPr>
    </w:p>
    <w:p w14:paraId="3E085866" w14:textId="18EA11A4" w:rsidR="0031793C" w:rsidRDefault="00DD4009" w:rsidP="00DD4009">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proofErr w:type="spellStart"/>
      <w:r w:rsidRPr="00DD4009">
        <w:rPr>
          <w:rFonts w:ascii="Avenir Next" w:hAnsi="Avenir Next" w:cs="Arial"/>
          <w:i/>
          <w:iCs/>
          <w:color w:val="808080" w:themeColor="background1" w:themeShade="80"/>
          <w:sz w:val="22"/>
          <w:szCs w:val="22"/>
          <w:lang w:val="en-GB"/>
        </w:rPr>
        <w:t>pari</w:t>
      </w:r>
      <w:proofErr w:type="spellEnd"/>
      <w:r w:rsidRPr="00DD4009">
        <w:rPr>
          <w:rFonts w:ascii="Avenir Next" w:hAnsi="Avenir Next" w:cs="Arial"/>
          <w:i/>
          <w:iCs/>
          <w:color w:val="808080" w:themeColor="background1" w:themeShade="80"/>
          <w:sz w:val="22"/>
          <w:szCs w:val="22"/>
          <w:lang w:val="en-GB"/>
        </w:rPr>
        <w:t xml:space="preserve"> passu</w:t>
      </w:r>
      <w:r w:rsidRPr="00DD4009">
        <w:rPr>
          <w:rFonts w:ascii="Avenir Next" w:hAnsi="Avenir Next" w:cs="Arial"/>
          <w:color w:val="808080" w:themeColor="background1" w:themeShade="80"/>
          <w:sz w:val="22"/>
          <w:szCs w:val="22"/>
          <w:lang w:val="en-GB"/>
        </w:rPr>
        <w:t xml:space="preserve"> distribution </w:t>
      </w:r>
      <w:r w:rsidR="00465113">
        <w:rPr>
          <w:rFonts w:ascii="Avenir Next" w:hAnsi="Avenir Next" w:cs="Arial"/>
          <w:color w:val="808080" w:themeColor="background1" w:themeShade="80"/>
          <w:sz w:val="22"/>
          <w:szCs w:val="22"/>
          <w:lang w:val="en-GB"/>
        </w:rPr>
        <w:t>o</w:t>
      </w:r>
      <w:r w:rsidRPr="00DD4009">
        <w:rPr>
          <w:rFonts w:ascii="Avenir Next" w:hAnsi="Avenir Next" w:cs="Arial"/>
          <w:color w:val="808080" w:themeColor="background1" w:themeShade="80"/>
          <w:sz w:val="22"/>
          <w:szCs w:val="22"/>
          <w:lang w:val="en-GB"/>
        </w:rPr>
        <w:t>f payment to creditors as far as possible (excluding priority and secured creditors)</w:t>
      </w:r>
      <w:r w:rsidR="00465113">
        <w:rPr>
          <w:rFonts w:ascii="Avenir Next" w:hAnsi="Avenir Next" w:cs="Arial"/>
          <w:color w:val="808080" w:themeColor="background1" w:themeShade="80"/>
          <w:sz w:val="22"/>
          <w:szCs w:val="22"/>
          <w:lang w:val="en-GB"/>
        </w:rPr>
        <w:t>.</w:t>
      </w:r>
    </w:p>
    <w:p w14:paraId="0F1CAF2D" w14:textId="6F423541" w:rsidR="00465113" w:rsidRDefault="00465113" w:rsidP="00465113">
      <w:pPr>
        <w:pStyle w:val="ListParagraph"/>
        <w:jc w:val="both"/>
        <w:rPr>
          <w:rFonts w:ascii="Avenir Next" w:hAnsi="Avenir Next" w:cs="Arial"/>
          <w:color w:val="808080" w:themeColor="background1" w:themeShade="80"/>
          <w:sz w:val="22"/>
          <w:szCs w:val="22"/>
          <w:lang w:val="en-GB"/>
        </w:rPr>
      </w:pPr>
    </w:p>
    <w:p w14:paraId="39673876" w14:textId="0CEB3519" w:rsidR="0031793C" w:rsidRDefault="0031793C" w:rsidP="00DD4009">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Maintaining fair dealings as to </w:t>
      </w:r>
      <w:r w:rsidR="00DD4009" w:rsidRPr="00DD4009">
        <w:rPr>
          <w:rFonts w:ascii="Avenir Next" w:hAnsi="Avenir Next" w:cs="Arial"/>
          <w:color w:val="808080" w:themeColor="background1" w:themeShade="80"/>
          <w:sz w:val="22"/>
          <w:szCs w:val="22"/>
          <w:lang w:val="en-GB"/>
        </w:rPr>
        <w:t>secured creditors</w:t>
      </w:r>
      <w:r>
        <w:rPr>
          <w:rFonts w:ascii="Avenir Next" w:hAnsi="Avenir Next" w:cs="Arial"/>
          <w:color w:val="808080" w:themeColor="background1" w:themeShade="80"/>
          <w:sz w:val="22"/>
          <w:szCs w:val="22"/>
          <w:lang w:val="en-GB"/>
        </w:rPr>
        <w:t xml:space="preserve">, </w:t>
      </w:r>
      <w:r w:rsidR="00DD4009" w:rsidRPr="0031793C">
        <w:rPr>
          <w:rFonts w:ascii="Avenir Next" w:hAnsi="Avenir Next" w:cs="Arial"/>
          <w:color w:val="808080" w:themeColor="background1" w:themeShade="80"/>
          <w:sz w:val="22"/>
          <w:szCs w:val="22"/>
          <w:lang w:val="en-GB"/>
        </w:rPr>
        <w:t xml:space="preserve">the </w:t>
      </w:r>
      <w:proofErr w:type="gramStart"/>
      <w:r w:rsidR="00DD4009" w:rsidRPr="0031793C">
        <w:rPr>
          <w:rFonts w:ascii="Avenir Next" w:hAnsi="Avenir Next" w:cs="Arial"/>
          <w:color w:val="808080" w:themeColor="background1" w:themeShade="80"/>
          <w:sz w:val="22"/>
          <w:szCs w:val="22"/>
          <w:lang w:val="en-GB"/>
        </w:rPr>
        <w:t>debtor</w:t>
      </w:r>
      <w:proofErr w:type="gramEnd"/>
      <w:r w:rsidR="00DD4009" w:rsidRPr="0031793C">
        <w:rPr>
          <w:rFonts w:ascii="Avenir Next" w:hAnsi="Avenir Next" w:cs="Arial"/>
          <w:color w:val="808080" w:themeColor="background1" w:themeShade="80"/>
          <w:sz w:val="22"/>
          <w:szCs w:val="22"/>
          <w:lang w:val="en-GB"/>
        </w:rPr>
        <w:t xml:space="preserve"> and the other creditors</w:t>
      </w:r>
      <w:r w:rsidR="00465113">
        <w:rPr>
          <w:rFonts w:ascii="Avenir Next" w:hAnsi="Avenir Next" w:cs="Arial"/>
          <w:color w:val="808080" w:themeColor="background1" w:themeShade="80"/>
          <w:sz w:val="22"/>
          <w:szCs w:val="22"/>
          <w:lang w:val="en-GB"/>
        </w:rPr>
        <w:t>.</w:t>
      </w:r>
    </w:p>
    <w:p w14:paraId="384815F0" w14:textId="77777777" w:rsidR="00465113" w:rsidRPr="00465113" w:rsidRDefault="00465113" w:rsidP="00465113">
      <w:pPr>
        <w:jc w:val="both"/>
        <w:rPr>
          <w:rFonts w:ascii="Avenir Next" w:hAnsi="Avenir Next" w:cs="Arial"/>
          <w:color w:val="808080" w:themeColor="background1" w:themeShade="80"/>
          <w:sz w:val="22"/>
          <w:szCs w:val="22"/>
          <w:lang w:val="en-GB"/>
        </w:rPr>
      </w:pPr>
    </w:p>
    <w:p w14:paraId="4BA6AC74" w14:textId="38C02BE1" w:rsidR="0031793C" w:rsidRDefault="0031793C" w:rsidP="00DD4009">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Investigating the</w:t>
      </w:r>
      <w:r w:rsidR="00DD4009" w:rsidRPr="0031793C">
        <w:rPr>
          <w:rFonts w:ascii="Avenir Next" w:hAnsi="Avenir Next" w:cs="Arial"/>
          <w:color w:val="808080" w:themeColor="background1" w:themeShade="80"/>
          <w:sz w:val="22"/>
          <w:szCs w:val="22"/>
          <w:lang w:val="en-GB"/>
        </w:rPr>
        <w:t xml:space="preserve"> reasons for </w:t>
      </w:r>
      <w:r>
        <w:rPr>
          <w:rFonts w:ascii="Avenir Next" w:hAnsi="Avenir Next" w:cs="Arial"/>
          <w:color w:val="808080" w:themeColor="background1" w:themeShade="80"/>
          <w:sz w:val="22"/>
          <w:szCs w:val="22"/>
          <w:lang w:val="en-GB"/>
        </w:rPr>
        <w:t xml:space="preserve">the debtor's </w:t>
      </w:r>
      <w:r w:rsidR="00DD4009" w:rsidRPr="0031793C">
        <w:rPr>
          <w:rFonts w:ascii="Avenir Next" w:hAnsi="Avenir Next" w:cs="Arial"/>
          <w:color w:val="808080" w:themeColor="background1" w:themeShade="80"/>
          <w:sz w:val="22"/>
          <w:szCs w:val="22"/>
          <w:lang w:val="en-GB"/>
        </w:rPr>
        <w:t>failure</w:t>
      </w:r>
      <w:r w:rsidR="00465113">
        <w:rPr>
          <w:rFonts w:ascii="Avenir Next" w:hAnsi="Avenir Next" w:cs="Arial"/>
          <w:color w:val="808080" w:themeColor="background1" w:themeShade="80"/>
          <w:sz w:val="22"/>
          <w:szCs w:val="22"/>
          <w:lang w:val="en-GB"/>
        </w:rPr>
        <w:t>.</w:t>
      </w:r>
    </w:p>
    <w:p w14:paraId="4EB01C26" w14:textId="77777777" w:rsidR="00465113" w:rsidRPr="00465113" w:rsidRDefault="00465113" w:rsidP="00465113">
      <w:pPr>
        <w:jc w:val="both"/>
        <w:rPr>
          <w:rFonts w:ascii="Avenir Next" w:hAnsi="Avenir Next" w:cs="Arial"/>
          <w:color w:val="808080" w:themeColor="background1" w:themeShade="80"/>
          <w:sz w:val="22"/>
          <w:szCs w:val="22"/>
          <w:lang w:val="en-GB"/>
        </w:rPr>
      </w:pPr>
    </w:p>
    <w:p w14:paraId="0DCFD5B9" w14:textId="103715B0" w:rsidR="00DD526C" w:rsidRDefault="0031793C" w:rsidP="00DD4009">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Reclaiming </w:t>
      </w:r>
      <w:r w:rsidR="00DD4009" w:rsidRPr="0031793C">
        <w:rPr>
          <w:rFonts w:ascii="Avenir Next" w:hAnsi="Avenir Next" w:cs="Arial"/>
          <w:color w:val="808080" w:themeColor="background1" w:themeShade="80"/>
          <w:sz w:val="22"/>
          <w:szCs w:val="22"/>
          <w:lang w:val="en-GB"/>
        </w:rPr>
        <w:t>voidable dispositions</w:t>
      </w:r>
      <w:r>
        <w:rPr>
          <w:rFonts w:ascii="Avenir Next" w:hAnsi="Avenir Next" w:cs="Arial"/>
          <w:color w:val="808080" w:themeColor="background1" w:themeShade="80"/>
          <w:sz w:val="22"/>
          <w:szCs w:val="22"/>
          <w:lang w:val="en-GB"/>
        </w:rPr>
        <w:t xml:space="preserve"> </w:t>
      </w:r>
      <w:r w:rsidR="00DD4009" w:rsidRPr="0031793C">
        <w:rPr>
          <w:rFonts w:ascii="Avenir Next" w:hAnsi="Avenir Next" w:cs="Arial"/>
          <w:color w:val="808080" w:themeColor="background1" w:themeShade="80"/>
          <w:sz w:val="22"/>
          <w:szCs w:val="22"/>
          <w:lang w:val="en-GB"/>
        </w:rPr>
        <w:t>where the insolvent debtor dealt improperly with assets.</w:t>
      </w:r>
      <w:r>
        <w:rPr>
          <w:rStyle w:val="FootnoteReference"/>
          <w:rFonts w:ascii="Avenir Next" w:hAnsi="Avenir Next" w:cs="Arial"/>
          <w:color w:val="808080" w:themeColor="background1" w:themeShade="80"/>
          <w:sz w:val="22"/>
          <w:szCs w:val="22"/>
          <w:lang w:val="en-GB"/>
        </w:rPr>
        <w:footnoteReference w:id="16"/>
      </w:r>
    </w:p>
    <w:p w14:paraId="311AD48E" w14:textId="77777777" w:rsidR="0031793C" w:rsidRPr="0031793C" w:rsidRDefault="0031793C" w:rsidP="0031793C">
      <w:pPr>
        <w:pStyle w:val="ListParagraph"/>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044D896C" w14:textId="647F0490" w:rsidR="00AA3C88" w:rsidRDefault="00AA3C88" w:rsidP="00AA3C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There </w:t>
      </w:r>
      <w:proofErr w:type="gramStart"/>
      <w:r>
        <w:rPr>
          <w:rFonts w:ascii="Avenir Next" w:hAnsi="Avenir Next" w:cs="Arial"/>
          <w:color w:val="7B7B7B" w:themeColor="accent3" w:themeShade="BF"/>
          <w:sz w:val="22"/>
          <w:szCs w:val="22"/>
          <w:lang w:val="en-GB"/>
        </w:rPr>
        <w:t>are</w:t>
      </w:r>
      <w:proofErr w:type="gramEnd"/>
      <w:r>
        <w:rPr>
          <w:rFonts w:ascii="Avenir Next" w:hAnsi="Avenir Next" w:cs="Arial"/>
          <w:color w:val="7B7B7B" w:themeColor="accent3" w:themeShade="BF"/>
          <w:sz w:val="22"/>
          <w:szCs w:val="22"/>
          <w:lang w:val="en-GB"/>
        </w:rPr>
        <w:t xml:space="preserve"> a myriad of challenges that may be encountered when dealing with insolvency proceedings in a cross-border context and many of these challenges stem from the fact that there is no universal system for dealing with insolvencies and rather separate jurisdictions have their own unique systems which don’t always align, recognise each other or foster </w:t>
      </w:r>
      <w:r w:rsidR="00A234D3">
        <w:rPr>
          <w:rFonts w:ascii="Avenir Next" w:hAnsi="Avenir Next" w:cs="Arial"/>
          <w:color w:val="7B7B7B" w:themeColor="accent3" w:themeShade="BF"/>
          <w:sz w:val="22"/>
          <w:szCs w:val="22"/>
          <w:lang w:val="en-GB"/>
        </w:rPr>
        <w:t>cooperation</w:t>
      </w:r>
      <w:r>
        <w:rPr>
          <w:rFonts w:ascii="Avenir Next" w:hAnsi="Avenir Next" w:cs="Arial"/>
          <w:color w:val="7B7B7B" w:themeColor="accent3" w:themeShade="BF"/>
          <w:sz w:val="22"/>
          <w:szCs w:val="22"/>
          <w:lang w:val="en-GB"/>
        </w:rPr>
        <w:t>. Many academics have offered insights into this topic, and it is useful to draw fr</w:t>
      </w:r>
      <w:r w:rsidR="00465113">
        <w:rPr>
          <w:rFonts w:ascii="Avenir Next" w:hAnsi="Avenir Next" w:cs="Arial"/>
          <w:color w:val="7B7B7B" w:themeColor="accent3" w:themeShade="BF"/>
          <w:sz w:val="22"/>
          <w:szCs w:val="22"/>
          <w:lang w:val="en-GB"/>
        </w:rPr>
        <w:t>o</w:t>
      </w:r>
      <w:r>
        <w:rPr>
          <w:rFonts w:ascii="Avenir Next" w:hAnsi="Avenir Next" w:cs="Arial"/>
          <w:color w:val="7B7B7B" w:themeColor="accent3" w:themeShade="BF"/>
          <w:sz w:val="22"/>
          <w:szCs w:val="22"/>
          <w:lang w:val="en-GB"/>
        </w:rPr>
        <w:t>m their writings to demonstrate some of the potential difficulties.</w:t>
      </w:r>
    </w:p>
    <w:p w14:paraId="2D9D949B" w14:textId="77777777" w:rsidR="00AA3C88" w:rsidRDefault="00AA3C88" w:rsidP="00AA3C88">
      <w:pPr>
        <w:jc w:val="both"/>
        <w:rPr>
          <w:rFonts w:ascii="Avenir Next" w:hAnsi="Avenir Next" w:cs="Arial"/>
          <w:color w:val="7B7B7B" w:themeColor="accent3" w:themeShade="BF"/>
          <w:sz w:val="22"/>
          <w:szCs w:val="22"/>
          <w:lang w:val="en-GB"/>
        </w:rPr>
      </w:pPr>
    </w:p>
    <w:p w14:paraId="115AC3C5" w14:textId="3BD452C8" w:rsidR="00AA3C88" w:rsidRPr="007007B8" w:rsidRDefault="00AA3C88" w:rsidP="00AA3C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preliminary issue is a basic one in relation to the use of terminology and definitions. For example, </w:t>
      </w:r>
      <w:r w:rsidRPr="007007B8">
        <w:rPr>
          <w:rFonts w:ascii="Avenir Next" w:hAnsi="Avenir Next" w:cs="Arial"/>
          <w:color w:val="7B7B7B" w:themeColor="accent3" w:themeShade="BF"/>
          <w:sz w:val="22"/>
          <w:szCs w:val="22"/>
          <w:lang w:val="en-GB"/>
        </w:rPr>
        <w:t xml:space="preserve">Friman </w:t>
      </w:r>
      <w:r>
        <w:rPr>
          <w:rFonts w:ascii="Avenir Next" w:hAnsi="Avenir Next" w:cs="Arial"/>
          <w:color w:val="7B7B7B" w:themeColor="accent3" w:themeShade="BF"/>
          <w:sz w:val="22"/>
          <w:szCs w:val="22"/>
          <w:lang w:val="en-GB"/>
        </w:rPr>
        <w:t>explains how even the most fundamental terms, such as 'insolvency' can have different meanings in different jurisdictions.</w:t>
      </w:r>
      <w:r>
        <w:rPr>
          <w:rStyle w:val="FootnoteReference"/>
          <w:rFonts w:ascii="Avenir Next" w:hAnsi="Avenir Next" w:cs="Arial"/>
          <w:color w:val="7B7B7B" w:themeColor="accent3" w:themeShade="BF"/>
          <w:sz w:val="22"/>
          <w:szCs w:val="22"/>
          <w:lang w:val="en-GB"/>
        </w:rPr>
        <w:footnoteReference w:id="17"/>
      </w:r>
      <w:r>
        <w:rPr>
          <w:rFonts w:ascii="Avenir Next" w:hAnsi="Avenir Next" w:cs="Arial"/>
          <w:color w:val="7B7B7B" w:themeColor="accent3" w:themeShade="BF"/>
          <w:sz w:val="22"/>
          <w:szCs w:val="22"/>
          <w:lang w:val="en-GB"/>
        </w:rPr>
        <w:t xml:space="preserve"> For example, some jurisdictions consider a company to be insolvent when its liabilities exceed its assets (balance sheet insolvency), </w:t>
      </w:r>
      <w:r w:rsidR="00DD4009">
        <w:rPr>
          <w:rFonts w:ascii="Avenir Next" w:hAnsi="Avenir Next" w:cs="Arial"/>
          <w:color w:val="7B7B7B" w:themeColor="accent3" w:themeShade="BF"/>
          <w:sz w:val="22"/>
          <w:szCs w:val="22"/>
          <w:lang w:val="en-GB"/>
        </w:rPr>
        <w:t>whereas</w:t>
      </w:r>
      <w:r>
        <w:rPr>
          <w:rFonts w:ascii="Avenir Next" w:hAnsi="Avenir Next" w:cs="Arial"/>
          <w:color w:val="7B7B7B" w:themeColor="accent3" w:themeShade="BF"/>
          <w:sz w:val="22"/>
          <w:szCs w:val="22"/>
          <w:lang w:val="en-GB"/>
        </w:rPr>
        <w:t xml:space="preserve"> others define insolvency as being when a company cannot meet its financial obligations as they fall due (cash flow insolvency). Due to these different definitions of insolvency, Friman explains that some international instruments and conventions do not even attempt to define this term and instead focus on defining insolvency proceedings.</w:t>
      </w:r>
      <w:r>
        <w:rPr>
          <w:rStyle w:val="FootnoteReference"/>
          <w:rFonts w:ascii="Avenir Next" w:hAnsi="Avenir Next" w:cs="Arial"/>
          <w:color w:val="7B7B7B" w:themeColor="accent3" w:themeShade="BF"/>
          <w:sz w:val="22"/>
          <w:szCs w:val="22"/>
          <w:lang w:val="en-GB"/>
        </w:rPr>
        <w:footnoteReference w:id="18"/>
      </w:r>
      <w:r>
        <w:rPr>
          <w:rFonts w:ascii="Avenir Next" w:hAnsi="Avenir Next" w:cs="Arial"/>
          <w:color w:val="7B7B7B" w:themeColor="accent3" w:themeShade="BF"/>
          <w:sz w:val="22"/>
          <w:szCs w:val="22"/>
          <w:lang w:val="en-GB"/>
        </w:rPr>
        <w:t xml:space="preserve"> Of course, insolvency proceedings and the various tools that are available within such a process can differ markedly, even as between systems that are both based in say common law.  </w:t>
      </w:r>
    </w:p>
    <w:p w14:paraId="62151EA7" w14:textId="77777777" w:rsidR="00AA3C88" w:rsidRDefault="00AA3C88" w:rsidP="00AA3C88">
      <w:pPr>
        <w:jc w:val="both"/>
        <w:rPr>
          <w:rFonts w:ascii="Avenir Next" w:hAnsi="Avenir Next" w:cs="Arial"/>
          <w:sz w:val="22"/>
          <w:szCs w:val="22"/>
          <w:shd w:val="clear" w:color="auto" w:fill="FFFFFF"/>
          <w:lang w:val="en-GB"/>
        </w:rPr>
      </w:pPr>
    </w:p>
    <w:p w14:paraId="5F45CE73" w14:textId="6C401CF0" w:rsidR="00AA3C88" w:rsidRPr="00373529" w:rsidRDefault="00AA3C88" w:rsidP="00AA3C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Further challenges can include differences in approach to the priority of creditors when it comes to the time for distribution of assets in an insolvency proceeding. When dealing with a cross-border insolvency, this issue is typically interconnected with the question of which law should apply. </w:t>
      </w:r>
      <w:r w:rsidRPr="00B74667">
        <w:rPr>
          <w:rFonts w:ascii="Avenir Next" w:hAnsi="Avenir Next" w:cs="Arial"/>
          <w:color w:val="7B7B7B" w:themeColor="accent3" w:themeShade="BF"/>
          <w:sz w:val="22"/>
          <w:szCs w:val="22"/>
          <w:lang w:val="en-GB"/>
        </w:rPr>
        <w:t xml:space="preserve">Omar </w:t>
      </w:r>
      <w:r>
        <w:rPr>
          <w:rFonts w:ascii="Avenir Next" w:hAnsi="Avenir Next" w:cs="Arial"/>
          <w:color w:val="7B7B7B" w:themeColor="accent3" w:themeShade="BF"/>
          <w:sz w:val="22"/>
          <w:szCs w:val="22"/>
          <w:lang w:val="en-GB"/>
        </w:rPr>
        <w:t xml:space="preserve">provides a helpful explanation of this issue and </w:t>
      </w:r>
      <w:r w:rsidRPr="00B74667">
        <w:rPr>
          <w:rFonts w:ascii="Avenir Next" w:hAnsi="Avenir Next" w:cs="Arial"/>
          <w:color w:val="7B7B7B" w:themeColor="accent3" w:themeShade="BF"/>
          <w:sz w:val="22"/>
          <w:szCs w:val="22"/>
          <w:lang w:val="en-GB"/>
        </w:rPr>
        <w:t xml:space="preserve">states that </w:t>
      </w:r>
      <w:r w:rsidRPr="00B74667">
        <w:rPr>
          <w:rFonts w:ascii="Avenir Next" w:hAnsi="Avenir Next" w:cs="Arial"/>
          <w:i/>
          <w:iCs/>
          <w:color w:val="7B7B7B" w:themeColor="accent3" w:themeShade="BF"/>
          <w:sz w:val="22"/>
          <w:szCs w:val="22"/>
          <w:lang w:val="en-GB"/>
        </w:rPr>
        <w:t>“[a]part form the general situation in conflict of laws, differences in domestic norms have a particular impact on the position of creditors and the priorities they assert in insolvency. Where the debtor faces creditors pressing their claims in more than one jurisdiction, this will inevitably raise issues of conflict of laws. The conflict may itself be made more complex by the presence of qualifications, including the presence of security, set-off and netting arrangements, retention of title clauses and other means of protecting title available to creditors in national laws."</w:t>
      </w:r>
      <w:r w:rsidR="00465113">
        <w:rPr>
          <w:rFonts w:ascii="Avenir Next" w:hAnsi="Avenir Next" w:cs="Arial"/>
          <w:color w:val="7B7B7B" w:themeColor="accent3" w:themeShade="BF"/>
          <w:sz w:val="22"/>
          <w:szCs w:val="22"/>
          <w:lang w:val="en-GB"/>
        </w:rPr>
        <w:t>.</w:t>
      </w:r>
      <w:r w:rsidRPr="00373529">
        <w:rPr>
          <w:rStyle w:val="FootnoteReference"/>
          <w:rFonts w:ascii="Avenir Next" w:hAnsi="Avenir Next" w:cs="Arial"/>
          <w:color w:val="7B7B7B" w:themeColor="accent3" w:themeShade="BF"/>
          <w:sz w:val="22"/>
          <w:szCs w:val="22"/>
          <w:lang w:val="en-GB"/>
        </w:rPr>
        <w:footnoteReference w:id="19"/>
      </w:r>
      <w:r>
        <w:rPr>
          <w:rFonts w:ascii="Avenir Next" w:hAnsi="Avenir Next" w:cs="Arial"/>
          <w:i/>
          <w:iCs/>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This issue may be even further exacerbated by the fact that the question of priorities is not considered settled law in all States and in some common law jurisdictions, the question of creditor priority is continuing to develop in recent case law. </w:t>
      </w:r>
    </w:p>
    <w:p w14:paraId="140DED31" w14:textId="77777777" w:rsidR="00AA3C88" w:rsidRDefault="00AA3C88" w:rsidP="00AA3C88">
      <w:pPr>
        <w:jc w:val="both"/>
        <w:rPr>
          <w:rFonts w:ascii="Avenir Next" w:hAnsi="Avenir Next" w:cs="Arial"/>
          <w:i/>
          <w:iCs/>
          <w:color w:val="7B7B7B" w:themeColor="accent3" w:themeShade="BF"/>
          <w:sz w:val="22"/>
          <w:szCs w:val="22"/>
          <w:lang w:val="en-GB"/>
        </w:rPr>
      </w:pPr>
    </w:p>
    <w:p w14:paraId="75513B5A" w14:textId="663DD325" w:rsidR="00AA3C88" w:rsidRDefault="00AA3C88" w:rsidP="00AA3C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Other potential areas of difficulty when dealing with cross-border insolvencies have been identified by </w:t>
      </w:r>
      <w:r w:rsidRPr="00373529">
        <w:rPr>
          <w:rFonts w:ascii="Avenir Next" w:hAnsi="Avenir Next" w:cs="Arial"/>
          <w:color w:val="7B7B7B" w:themeColor="accent3" w:themeShade="BF"/>
          <w:sz w:val="22"/>
          <w:szCs w:val="22"/>
          <w:lang w:val="en-GB"/>
        </w:rPr>
        <w:t>Westbrook</w:t>
      </w:r>
      <w:r>
        <w:rPr>
          <w:rFonts w:ascii="Avenir Next" w:hAnsi="Avenir Next" w:cs="Arial"/>
          <w:color w:val="7B7B7B" w:themeColor="accent3" w:themeShade="BF"/>
          <w:sz w:val="22"/>
          <w:szCs w:val="22"/>
          <w:lang w:val="en-GB"/>
        </w:rPr>
        <w:t xml:space="preserve">, who is </w:t>
      </w:r>
      <w:r w:rsidRPr="00373529">
        <w:rPr>
          <w:rFonts w:ascii="Avenir Next" w:hAnsi="Avenir Next" w:cs="Arial"/>
          <w:color w:val="7B7B7B" w:themeColor="accent3" w:themeShade="BF"/>
          <w:sz w:val="22"/>
          <w:szCs w:val="22"/>
          <w:lang w:val="en-GB"/>
        </w:rPr>
        <w:t>a strong proponent of universalism</w:t>
      </w:r>
      <w:r>
        <w:rPr>
          <w:rFonts w:ascii="Avenir Next" w:hAnsi="Avenir Next" w:cs="Arial"/>
          <w:color w:val="7B7B7B" w:themeColor="accent3" w:themeShade="BF"/>
          <w:sz w:val="22"/>
          <w:szCs w:val="22"/>
          <w:lang w:val="en-GB"/>
        </w:rPr>
        <w:t xml:space="preserve"> (the theory that there should be a universal approach to cross-border insolvencies, with one main proceeding having extraterritorial effect on all other relevant jurisdictions). Westbrook identifies the following challenges: </w:t>
      </w:r>
    </w:p>
    <w:p w14:paraId="41E86A1E" w14:textId="77777777" w:rsidR="00AA3C88" w:rsidRDefault="00AA3C88" w:rsidP="00AA3C88">
      <w:pPr>
        <w:jc w:val="both"/>
        <w:rPr>
          <w:rFonts w:ascii="Avenir Next" w:hAnsi="Avenir Next" w:cs="Arial"/>
          <w:color w:val="7B7B7B" w:themeColor="accent3" w:themeShade="BF"/>
          <w:sz w:val="22"/>
          <w:szCs w:val="22"/>
          <w:lang w:val="en-GB"/>
        </w:rPr>
      </w:pPr>
    </w:p>
    <w:p w14:paraId="407CEA0A" w14:textId="50363B3C" w:rsidR="00AA3C88" w:rsidRDefault="00AA3C88" w:rsidP="00AA3C88">
      <w:pPr>
        <w:pStyle w:val="ListParagraph"/>
        <w:numPr>
          <w:ilvl w:val="0"/>
          <w:numId w:val="37"/>
        </w:numPr>
        <w:jc w:val="both"/>
        <w:rPr>
          <w:rFonts w:ascii="Avenir Next" w:hAnsi="Avenir Next" w:cs="Arial"/>
          <w:color w:val="7B7B7B" w:themeColor="accent3" w:themeShade="BF"/>
          <w:sz w:val="22"/>
          <w:szCs w:val="22"/>
          <w:lang w:val="en-GB"/>
        </w:rPr>
      </w:pPr>
      <w:r w:rsidRPr="00AA3C88">
        <w:rPr>
          <w:rFonts w:ascii="Avenir Next" w:hAnsi="Avenir Next" w:cs="Arial"/>
          <w:color w:val="7B7B7B" w:themeColor="accent3" w:themeShade="BF"/>
          <w:sz w:val="22"/>
          <w:szCs w:val="22"/>
          <w:lang w:val="en-GB"/>
        </w:rPr>
        <w:t>Standing (locus standi) for (recognition of) the foreign representative</w:t>
      </w:r>
      <w:r w:rsidR="00465113">
        <w:rPr>
          <w:rFonts w:ascii="Avenir Next" w:hAnsi="Avenir Next" w:cs="Arial"/>
          <w:color w:val="7B7B7B" w:themeColor="accent3" w:themeShade="BF"/>
          <w:sz w:val="22"/>
          <w:szCs w:val="22"/>
          <w:lang w:val="en-GB"/>
        </w:rPr>
        <w:t>.</w:t>
      </w:r>
    </w:p>
    <w:p w14:paraId="70B625A5" w14:textId="77777777" w:rsidR="00AA3C88" w:rsidRDefault="00AA3C88" w:rsidP="00AA3C88">
      <w:pPr>
        <w:pStyle w:val="ListParagraph"/>
        <w:jc w:val="both"/>
        <w:rPr>
          <w:rFonts w:ascii="Avenir Next" w:hAnsi="Avenir Next" w:cs="Arial"/>
          <w:color w:val="7B7B7B" w:themeColor="accent3" w:themeShade="BF"/>
          <w:sz w:val="22"/>
          <w:szCs w:val="22"/>
          <w:lang w:val="en-GB"/>
        </w:rPr>
      </w:pPr>
    </w:p>
    <w:p w14:paraId="77A71523" w14:textId="14399544" w:rsidR="00AA3C88" w:rsidRDefault="00465113" w:rsidP="00AA3C8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w:t>
      </w:r>
      <w:r w:rsidR="00AA3C88" w:rsidRPr="00AA3C88">
        <w:rPr>
          <w:rFonts w:ascii="Avenir Next" w:hAnsi="Avenir Next" w:cs="Arial"/>
          <w:color w:val="7B7B7B" w:themeColor="accent3" w:themeShade="BF"/>
          <w:sz w:val="22"/>
          <w:szCs w:val="22"/>
          <w:lang w:val="en-GB"/>
        </w:rPr>
        <w:t>oratorium on creditor actions</w:t>
      </w:r>
      <w:r>
        <w:rPr>
          <w:rFonts w:ascii="Avenir Next" w:hAnsi="Avenir Next" w:cs="Arial"/>
          <w:color w:val="7B7B7B" w:themeColor="accent3" w:themeShade="BF"/>
          <w:sz w:val="22"/>
          <w:szCs w:val="22"/>
          <w:lang w:val="en-GB"/>
        </w:rPr>
        <w:t>.</w:t>
      </w:r>
    </w:p>
    <w:p w14:paraId="2577939A" w14:textId="77777777" w:rsidR="00AA3C88" w:rsidRDefault="00AA3C88" w:rsidP="00AA3C88">
      <w:pPr>
        <w:pStyle w:val="ListParagraph"/>
        <w:jc w:val="both"/>
        <w:rPr>
          <w:rFonts w:ascii="Avenir Next" w:hAnsi="Avenir Next" w:cs="Arial"/>
          <w:color w:val="7B7B7B" w:themeColor="accent3" w:themeShade="BF"/>
          <w:sz w:val="22"/>
          <w:szCs w:val="22"/>
          <w:lang w:val="en-GB"/>
        </w:rPr>
      </w:pPr>
    </w:p>
    <w:p w14:paraId="1A1C1371" w14:textId="77777777" w:rsidR="00465113" w:rsidRDefault="00465113" w:rsidP="00465113">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AA3C88" w:rsidRPr="00AA3C88">
        <w:rPr>
          <w:rFonts w:ascii="Avenir Next" w:hAnsi="Avenir Next" w:cs="Arial"/>
          <w:color w:val="7B7B7B" w:themeColor="accent3" w:themeShade="BF"/>
          <w:sz w:val="22"/>
          <w:szCs w:val="22"/>
          <w:lang w:val="en-GB"/>
        </w:rPr>
        <w:t>reditor participation</w:t>
      </w:r>
      <w:r>
        <w:rPr>
          <w:rFonts w:ascii="Avenir Next" w:hAnsi="Avenir Next" w:cs="Arial"/>
          <w:color w:val="7B7B7B" w:themeColor="accent3" w:themeShade="BF"/>
          <w:sz w:val="22"/>
          <w:szCs w:val="22"/>
          <w:lang w:val="en-GB"/>
        </w:rPr>
        <w:t>.</w:t>
      </w:r>
    </w:p>
    <w:p w14:paraId="422286E7" w14:textId="77777777" w:rsidR="00465113" w:rsidRPr="00465113" w:rsidRDefault="00465113" w:rsidP="00465113">
      <w:pPr>
        <w:pStyle w:val="ListParagraph"/>
        <w:rPr>
          <w:rFonts w:ascii="Avenir Next" w:hAnsi="Avenir Next" w:cs="Arial"/>
          <w:color w:val="7B7B7B" w:themeColor="accent3" w:themeShade="BF"/>
          <w:sz w:val="22"/>
          <w:szCs w:val="22"/>
          <w:lang w:val="en-GB"/>
        </w:rPr>
      </w:pPr>
    </w:p>
    <w:p w14:paraId="658E6EC0" w14:textId="7909F1DC" w:rsidR="00AA3C88" w:rsidRPr="00465113" w:rsidRDefault="00465113" w:rsidP="00465113">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r w:rsidR="00AA3C88" w:rsidRPr="00465113">
        <w:rPr>
          <w:rFonts w:ascii="Avenir Next" w:hAnsi="Avenir Next" w:cs="Arial"/>
          <w:color w:val="7B7B7B" w:themeColor="accent3" w:themeShade="BF"/>
          <w:sz w:val="22"/>
          <w:szCs w:val="22"/>
          <w:lang w:val="en-GB"/>
        </w:rPr>
        <w:t>xecutory contracts</w:t>
      </w:r>
      <w:r>
        <w:rPr>
          <w:rFonts w:ascii="Avenir Next" w:hAnsi="Avenir Next" w:cs="Arial"/>
          <w:color w:val="7B7B7B" w:themeColor="accent3" w:themeShade="BF"/>
          <w:sz w:val="22"/>
          <w:szCs w:val="22"/>
          <w:lang w:val="en-GB"/>
        </w:rPr>
        <w:t>.</w:t>
      </w:r>
    </w:p>
    <w:p w14:paraId="57042399" w14:textId="77777777" w:rsidR="00AA3C88" w:rsidRDefault="00AA3C88" w:rsidP="00AA3C88">
      <w:pPr>
        <w:pStyle w:val="ListParagraph"/>
        <w:jc w:val="both"/>
        <w:rPr>
          <w:rFonts w:ascii="Avenir Next" w:hAnsi="Avenir Next" w:cs="Arial"/>
          <w:color w:val="7B7B7B" w:themeColor="accent3" w:themeShade="BF"/>
          <w:sz w:val="22"/>
          <w:szCs w:val="22"/>
          <w:lang w:val="en-GB"/>
        </w:rPr>
      </w:pPr>
    </w:p>
    <w:p w14:paraId="718B6A52" w14:textId="0A42FE62" w:rsidR="00AA3C88" w:rsidRDefault="00465113" w:rsidP="00AA3C8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AA3C88" w:rsidRPr="00AA3C88">
        <w:rPr>
          <w:rFonts w:ascii="Avenir Next" w:hAnsi="Avenir Next" w:cs="Arial"/>
          <w:color w:val="7B7B7B" w:themeColor="accent3" w:themeShade="BF"/>
          <w:sz w:val="22"/>
          <w:szCs w:val="22"/>
          <w:lang w:val="en-GB"/>
        </w:rPr>
        <w:t>o-ordinated claims procedures</w:t>
      </w:r>
      <w:r>
        <w:rPr>
          <w:rFonts w:ascii="Avenir Next" w:hAnsi="Avenir Next" w:cs="Arial"/>
          <w:color w:val="7B7B7B" w:themeColor="accent3" w:themeShade="BF"/>
          <w:sz w:val="22"/>
          <w:szCs w:val="22"/>
          <w:lang w:val="en-GB"/>
        </w:rPr>
        <w:t>.</w:t>
      </w:r>
    </w:p>
    <w:p w14:paraId="454F34CD" w14:textId="77777777" w:rsidR="00AA3C88" w:rsidRDefault="00AA3C88" w:rsidP="00AA3C88">
      <w:pPr>
        <w:pStyle w:val="ListParagraph"/>
        <w:jc w:val="both"/>
        <w:rPr>
          <w:rFonts w:ascii="Avenir Next" w:hAnsi="Avenir Next" w:cs="Arial"/>
          <w:color w:val="7B7B7B" w:themeColor="accent3" w:themeShade="BF"/>
          <w:sz w:val="22"/>
          <w:szCs w:val="22"/>
          <w:lang w:val="en-GB"/>
        </w:rPr>
      </w:pPr>
    </w:p>
    <w:p w14:paraId="50BA0FFB" w14:textId="749E4087" w:rsidR="00AA3C88" w:rsidRDefault="00465113" w:rsidP="00AA3C8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w:t>
      </w:r>
      <w:r w:rsidR="00AA3C88" w:rsidRPr="00AA3C88">
        <w:rPr>
          <w:rFonts w:ascii="Avenir Next" w:hAnsi="Avenir Next" w:cs="Arial"/>
          <w:color w:val="7B7B7B" w:themeColor="accent3" w:themeShade="BF"/>
          <w:sz w:val="22"/>
          <w:szCs w:val="22"/>
          <w:lang w:val="en-GB"/>
        </w:rPr>
        <w:t>riorities and preferences</w:t>
      </w:r>
      <w:r>
        <w:rPr>
          <w:rFonts w:ascii="Avenir Next" w:hAnsi="Avenir Next" w:cs="Arial"/>
          <w:color w:val="7B7B7B" w:themeColor="accent3" w:themeShade="BF"/>
          <w:sz w:val="22"/>
          <w:szCs w:val="22"/>
          <w:lang w:val="en-GB"/>
        </w:rPr>
        <w:t>.</w:t>
      </w:r>
    </w:p>
    <w:p w14:paraId="21E1F019" w14:textId="77777777" w:rsidR="00AA3C88" w:rsidRDefault="00AA3C88" w:rsidP="00AA3C88">
      <w:pPr>
        <w:pStyle w:val="ListParagraph"/>
        <w:jc w:val="both"/>
        <w:rPr>
          <w:rFonts w:ascii="Avenir Next" w:hAnsi="Avenir Next" w:cs="Arial"/>
          <w:color w:val="7B7B7B" w:themeColor="accent3" w:themeShade="BF"/>
          <w:sz w:val="22"/>
          <w:szCs w:val="22"/>
          <w:lang w:val="en-GB"/>
        </w:rPr>
      </w:pPr>
    </w:p>
    <w:p w14:paraId="29E16426" w14:textId="16B4A3B5" w:rsidR="00AA3C88" w:rsidRDefault="00AA3C88" w:rsidP="00AA3C88">
      <w:pPr>
        <w:pStyle w:val="ListParagraph"/>
        <w:numPr>
          <w:ilvl w:val="0"/>
          <w:numId w:val="37"/>
        </w:numPr>
        <w:jc w:val="both"/>
        <w:rPr>
          <w:rFonts w:ascii="Avenir Next" w:hAnsi="Avenir Next" w:cs="Arial"/>
          <w:color w:val="7B7B7B" w:themeColor="accent3" w:themeShade="BF"/>
          <w:sz w:val="22"/>
          <w:szCs w:val="22"/>
          <w:lang w:val="en-GB"/>
        </w:rPr>
      </w:pPr>
      <w:r w:rsidRPr="00AA3C88">
        <w:rPr>
          <w:rFonts w:ascii="Avenir Next" w:hAnsi="Avenir Next" w:cs="Arial"/>
          <w:color w:val="7B7B7B" w:themeColor="accent3" w:themeShade="BF"/>
          <w:sz w:val="22"/>
          <w:szCs w:val="22"/>
          <w:lang w:val="en-GB"/>
        </w:rPr>
        <w:t xml:space="preserve"> </w:t>
      </w:r>
      <w:r w:rsidR="00465113">
        <w:rPr>
          <w:rFonts w:ascii="Avenir Next" w:hAnsi="Avenir Next" w:cs="Arial"/>
          <w:color w:val="7B7B7B" w:themeColor="accent3" w:themeShade="BF"/>
          <w:sz w:val="22"/>
          <w:szCs w:val="22"/>
          <w:lang w:val="en-GB"/>
        </w:rPr>
        <w:t>A</w:t>
      </w:r>
      <w:r w:rsidRPr="00AA3C88">
        <w:rPr>
          <w:rFonts w:ascii="Avenir Next" w:hAnsi="Avenir Next" w:cs="Arial"/>
          <w:color w:val="7B7B7B" w:themeColor="accent3" w:themeShade="BF"/>
          <w:sz w:val="22"/>
          <w:szCs w:val="22"/>
          <w:lang w:val="en-GB"/>
        </w:rPr>
        <w:t>voidance provision powers</w:t>
      </w:r>
      <w:r w:rsidR="00465113">
        <w:rPr>
          <w:rFonts w:ascii="Avenir Next" w:hAnsi="Avenir Next" w:cs="Arial"/>
          <w:color w:val="7B7B7B" w:themeColor="accent3" w:themeShade="BF"/>
          <w:sz w:val="22"/>
          <w:szCs w:val="22"/>
          <w:lang w:val="en-GB"/>
        </w:rPr>
        <w:t>.</w:t>
      </w:r>
    </w:p>
    <w:p w14:paraId="5E1AE5E4" w14:textId="77777777" w:rsidR="00AA3C88" w:rsidRDefault="00AA3C88" w:rsidP="00AA3C88">
      <w:pPr>
        <w:pStyle w:val="ListParagraph"/>
        <w:jc w:val="both"/>
        <w:rPr>
          <w:rFonts w:ascii="Avenir Next" w:hAnsi="Avenir Next" w:cs="Arial"/>
          <w:color w:val="7B7B7B" w:themeColor="accent3" w:themeShade="BF"/>
          <w:sz w:val="22"/>
          <w:szCs w:val="22"/>
          <w:lang w:val="en-GB"/>
        </w:rPr>
      </w:pPr>
    </w:p>
    <w:p w14:paraId="61AA0B37" w14:textId="0151B592" w:rsidR="00AA3C88" w:rsidRDefault="00465113" w:rsidP="00AA3C8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w:t>
      </w:r>
      <w:r w:rsidR="00AA3C88" w:rsidRPr="00AA3C88">
        <w:rPr>
          <w:rFonts w:ascii="Avenir Next" w:hAnsi="Avenir Next" w:cs="Arial"/>
          <w:color w:val="7B7B7B" w:themeColor="accent3" w:themeShade="BF"/>
          <w:sz w:val="22"/>
          <w:szCs w:val="22"/>
          <w:lang w:val="en-GB"/>
        </w:rPr>
        <w:t>ischarges</w:t>
      </w:r>
      <w:r>
        <w:rPr>
          <w:rFonts w:ascii="Avenir Next" w:hAnsi="Avenir Next" w:cs="Arial"/>
          <w:color w:val="7B7B7B" w:themeColor="accent3" w:themeShade="BF"/>
          <w:sz w:val="22"/>
          <w:szCs w:val="22"/>
          <w:lang w:val="en-GB"/>
        </w:rPr>
        <w:t>.</w:t>
      </w:r>
    </w:p>
    <w:p w14:paraId="0F24313F" w14:textId="77777777" w:rsidR="00AA3C88" w:rsidRDefault="00AA3C88" w:rsidP="00AA3C88">
      <w:pPr>
        <w:pStyle w:val="ListParagraph"/>
        <w:jc w:val="both"/>
        <w:rPr>
          <w:rFonts w:ascii="Avenir Next" w:hAnsi="Avenir Next" w:cs="Arial"/>
          <w:color w:val="7B7B7B" w:themeColor="accent3" w:themeShade="BF"/>
          <w:sz w:val="22"/>
          <w:szCs w:val="22"/>
          <w:lang w:val="en-GB"/>
        </w:rPr>
      </w:pPr>
    </w:p>
    <w:p w14:paraId="02F21582" w14:textId="7F707A9F" w:rsidR="00AA3C88" w:rsidRDefault="00465113" w:rsidP="00AA3C88">
      <w:pPr>
        <w:pStyle w:val="ListParagraph"/>
        <w:numPr>
          <w:ilvl w:val="0"/>
          <w:numId w:val="3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w:t>
      </w:r>
      <w:r w:rsidR="00AA3C88" w:rsidRPr="00AA3C88">
        <w:rPr>
          <w:rFonts w:ascii="Avenir Next" w:hAnsi="Avenir Next" w:cs="Arial"/>
          <w:color w:val="7B7B7B" w:themeColor="accent3" w:themeShade="BF"/>
          <w:sz w:val="22"/>
          <w:szCs w:val="22"/>
          <w:lang w:val="en-GB"/>
        </w:rPr>
        <w:t>onflict-of-law issues.</w:t>
      </w:r>
      <w:r w:rsidR="00AA3C88">
        <w:rPr>
          <w:rStyle w:val="FootnoteReference"/>
          <w:rFonts w:ascii="Avenir Next" w:hAnsi="Avenir Next" w:cs="Arial"/>
          <w:color w:val="7B7B7B" w:themeColor="accent3" w:themeShade="BF"/>
          <w:sz w:val="22"/>
          <w:szCs w:val="22"/>
          <w:lang w:val="en-GB"/>
        </w:rPr>
        <w:footnoteReference w:id="20"/>
      </w:r>
    </w:p>
    <w:p w14:paraId="041404BC" w14:textId="77777777" w:rsidR="00AA3C88" w:rsidRPr="00AA3C88" w:rsidRDefault="00AA3C88" w:rsidP="00AA3C88">
      <w:pPr>
        <w:pStyle w:val="ListParagraph"/>
        <w:rPr>
          <w:rFonts w:ascii="Avenir Next" w:hAnsi="Avenir Next" w:cs="Arial"/>
          <w:color w:val="7B7B7B" w:themeColor="accent3" w:themeShade="BF"/>
          <w:sz w:val="22"/>
          <w:szCs w:val="22"/>
          <w:lang w:val="en-GB"/>
        </w:rPr>
      </w:pPr>
    </w:p>
    <w:p w14:paraId="645AA25F" w14:textId="408A9651" w:rsidR="00AA3C88" w:rsidRPr="00AA3C88" w:rsidRDefault="001503DA" w:rsidP="00AA3C8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Westbook's challenges</w:t>
      </w:r>
      <w:r w:rsidR="00B143D6">
        <w:rPr>
          <w:rFonts w:ascii="Avenir Next" w:hAnsi="Avenir Next" w:cs="Arial"/>
          <w:color w:val="7B7B7B" w:themeColor="accent3" w:themeShade="BF"/>
          <w:sz w:val="22"/>
          <w:szCs w:val="22"/>
          <w:lang w:val="en-GB"/>
        </w:rPr>
        <w:t xml:space="preserve"> 3, 6 and 9 h</w:t>
      </w:r>
      <w:r>
        <w:rPr>
          <w:rFonts w:ascii="Avenir Next" w:hAnsi="Avenir Next" w:cs="Arial"/>
          <w:color w:val="7B7B7B" w:themeColor="accent3" w:themeShade="BF"/>
          <w:sz w:val="22"/>
          <w:szCs w:val="22"/>
          <w:lang w:val="en-GB"/>
        </w:rPr>
        <w:t xml:space="preserve">ave been briefly touched upon </w:t>
      </w:r>
      <w:r w:rsidR="00BA1D95">
        <w:rPr>
          <w:rFonts w:ascii="Avenir Next" w:hAnsi="Avenir Next" w:cs="Arial"/>
          <w:color w:val="7B7B7B" w:themeColor="accent3" w:themeShade="BF"/>
          <w:sz w:val="22"/>
          <w:szCs w:val="22"/>
          <w:lang w:val="en-GB"/>
        </w:rPr>
        <w:t>above, however</w:t>
      </w:r>
      <w:r w:rsidR="00B143D6">
        <w:rPr>
          <w:rFonts w:ascii="Avenir Next" w:hAnsi="Avenir Next" w:cs="Arial"/>
          <w:color w:val="7B7B7B" w:themeColor="accent3" w:themeShade="BF"/>
          <w:sz w:val="22"/>
          <w:szCs w:val="22"/>
          <w:lang w:val="en-GB"/>
        </w:rPr>
        <w:t xml:space="preserve">, it is worth noting challenge 1 regarding the issue of recognition as another key challenge. A common issue in cross-border insolvency is whether a foreign </w:t>
      </w:r>
      <w:r w:rsidR="00465113">
        <w:rPr>
          <w:rFonts w:ascii="Avenir Next" w:hAnsi="Avenir Next" w:cs="Arial"/>
          <w:color w:val="7B7B7B" w:themeColor="accent3" w:themeShade="BF"/>
          <w:sz w:val="22"/>
          <w:szCs w:val="22"/>
          <w:lang w:val="en-GB"/>
        </w:rPr>
        <w:t>c</w:t>
      </w:r>
      <w:r w:rsidR="00B143D6">
        <w:rPr>
          <w:rFonts w:ascii="Avenir Next" w:hAnsi="Avenir Next" w:cs="Arial"/>
          <w:color w:val="7B7B7B" w:themeColor="accent3" w:themeShade="BF"/>
          <w:sz w:val="22"/>
          <w:szCs w:val="22"/>
          <w:lang w:val="en-GB"/>
        </w:rPr>
        <w:t xml:space="preserve">ourt will recognise another court's judgment. For example, when a </w:t>
      </w:r>
      <w:r w:rsidR="00A234D3">
        <w:rPr>
          <w:rFonts w:ascii="Avenir Next" w:hAnsi="Avenir Next" w:cs="Arial"/>
          <w:color w:val="7B7B7B" w:themeColor="accent3" w:themeShade="BF"/>
          <w:sz w:val="22"/>
          <w:szCs w:val="22"/>
          <w:lang w:val="en-GB"/>
        </w:rPr>
        <w:t>c</w:t>
      </w:r>
      <w:r w:rsidR="00B143D6">
        <w:rPr>
          <w:rFonts w:ascii="Avenir Next" w:hAnsi="Avenir Next" w:cs="Arial"/>
          <w:color w:val="7B7B7B" w:themeColor="accent3" w:themeShade="BF"/>
          <w:sz w:val="22"/>
          <w:szCs w:val="22"/>
          <w:lang w:val="en-GB"/>
        </w:rPr>
        <w:t xml:space="preserve">ourt in one State appoints an insolvency practitioner and grants them certain powers in respect of the debtor, the question becomes whether a foreign court will recognise that order to allow the insolvency practitioner to act on or enforce that order in another jurisdiction. The development of </w:t>
      </w:r>
      <w:r w:rsidR="00B143D6" w:rsidRPr="00B143D6">
        <w:rPr>
          <w:rFonts w:ascii="Avenir Next" w:hAnsi="Avenir Next" w:cs="Arial"/>
          <w:color w:val="7B7B7B" w:themeColor="accent3" w:themeShade="BF"/>
          <w:sz w:val="22"/>
          <w:szCs w:val="22"/>
          <w:lang w:val="en-GB"/>
        </w:rPr>
        <w:t>UNCITRAL</w:t>
      </w:r>
      <w:r w:rsidR="005B13F1">
        <w:rPr>
          <w:rFonts w:ascii="Avenir Next" w:hAnsi="Avenir Next" w:cs="Arial"/>
          <w:color w:val="7B7B7B" w:themeColor="accent3" w:themeShade="BF"/>
          <w:sz w:val="22"/>
          <w:szCs w:val="22"/>
          <w:lang w:val="en-GB"/>
        </w:rPr>
        <w:t xml:space="preserve">'s </w:t>
      </w:r>
      <w:r w:rsidR="00B143D6" w:rsidRPr="00B143D6">
        <w:rPr>
          <w:rFonts w:ascii="Avenir Next" w:hAnsi="Avenir Next" w:cs="Arial"/>
          <w:color w:val="7B7B7B" w:themeColor="accent3" w:themeShade="BF"/>
          <w:sz w:val="22"/>
          <w:szCs w:val="22"/>
          <w:lang w:val="en-GB"/>
        </w:rPr>
        <w:t>Model Law on Recognition and Enforcement of Insolvency</w:t>
      </w:r>
      <w:r w:rsidR="00B143D6">
        <w:rPr>
          <w:rFonts w:ascii="Avenir Next" w:hAnsi="Avenir Next" w:cs="Arial"/>
          <w:color w:val="7B7B7B" w:themeColor="accent3" w:themeShade="BF"/>
          <w:sz w:val="22"/>
          <w:szCs w:val="22"/>
          <w:lang w:val="en-GB"/>
        </w:rPr>
        <w:t xml:space="preserve"> </w:t>
      </w:r>
      <w:r w:rsidR="00B143D6" w:rsidRPr="00B143D6">
        <w:rPr>
          <w:rFonts w:ascii="Avenir Next" w:hAnsi="Avenir Next" w:cs="Arial"/>
          <w:color w:val="7B7B7B" w:themeColor="accent3" w:themeShade="BF"/>
          <w:sz w:val="22"/>
          <w:szCs w:val="22"/>
          <w:lang w:val="en-GB"/>
        </w:rPr>
        <w:t>Related Judgments (2018)</w:t>
      </w:r>
      <w:r w:rsidR="00B143D6">
        <w:rPr>
          <w:rFonts w:ascii="Avenir Next" w:hAnsi="Avenir Next" w:cs="Arial"/>
          <w:color w:val="7B7B7B" w:themeColor="accent3" w:themeShade="BF"/>
          <w:sz w:val="22"/>
          <w:szCs w:val="22"/>
          <w:lang w:val="en-GB"/>
        </w:rPr>
        <w:t xml:space="preserve"> is an example of a helpful tool that has been designed to address this issue for States who have chosen to adopt that </w:t>
      </w:r>
      <w:proofErr w:type="gramStart"/>
      <w:r w:rsidR="00B143D6">
        <w:rPr>
          <w:rFonts w:ascii="Avenir Next" w:hAnsi="Avenir Next" w:cs="Arial"/>
          <w:color w:val="7B7B7B" w:themeColor="accent3" w:themeShade="BF"/>
          <w:sz w:val="22"/>
          <w:szCs w:val="22"/>
          <w:lang w:val="en-GB"/>
        </w:rPr>
        <w:t>particular model</w:t>
      </w:r>
      <w:proofErr w:type="gramEnd"/>
      <w:r w:rsidR="00B143D6">
        <w:rPr>
          <w:rFonts w:ascii="Avenir Next" w:hAnsi="Avenir Next" w:cs="Arial"/>
          <w:color w:val="7B7B7B" w:themeColor="accent3" w:themeShade="BF"/>
          <w:sz w:val="22"/>
          <w:szCs w:val="22"/>
          <w:lang w:val="en-GB"/>
        </w:rPr>
        <w:t xml:space="preserve"> law. </w:t>
      </w: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034281" w14:textId="5F821169" w:rsidR="00F42209" w:rsidRDefault="0077464A" w:rsidP="006A44B2">
      <w:pPr>
        <w:jc w:val="both"/>
        <w:rPr>
          <w:rFonts w:ascii="Avenir Next" w:hAnsi="Avenir Next" w:cs="Arial"/>
          <w:color w:val="808080" w:themeColor="background1" w:themeShade="80"/>
          <w:sz w:val="22"/>
          <w:szCs w:val="22"/>
          <w:lang w:val="en-GB"/>
        </w:rPr>
      </w:pPr>
      <w:r w:rsidRPr="006E6FFF">
        <w:rPr>
          <w:rFonts w:ascii="Avenir Next" w:hAnsi="Avenir Next" w:cs="Arial"/>
          <w:color w:val="808080" w:themeColor="background1" w:themeShade="80"/>
          <w:sz w:val="22"/>
          <w:szCs w:val="22"/>
          <w:lang w:val="en-GB"/>
        </w:rPr>
        <w:t>In the context of international or cross-border insolvency matters, the concepts of 'hard' and 'soft' law refer to</w:t>
      </w:r>
      <w:r w:rsidR="00F42209" w:rsidRPr="006E6FFF">
        <w:rPr>
          <w:rFonts w:ascii="Avenir Next" w:hAnsi="Avenir Next" w:cs="Arial"/>
          <w:color w:val="808080" w:themeColor="background1" w:themeShade="80"/>
          <w:sz w:val="22"/>
          <w:szCs w:val="22"/>
          <w:lang w:val="en-GB"/>
        </w:rPr>
        <w:t xml:space="preserve"> different legal instruments which</w:t>
      </w:r>
      <w:r w:rsidR="006E6FFF" w:rsidRPr="006E6FFF">
        <w:rPr>
          <w:rFonts w:ascii="Avenir Next" w:hAnsi="Avenir Next" w:cs="Arial"/>
          <w:color w:val="808080" w:themeColor="background1" w:themeShade="80"/>
          <w:sz w:val="22"/>
          <w:szCs w:val="22"/>
          <w:lang w:val="en-GB"/>
        </w:rPr>
        <w:t xml:space="preserve"> either form part of </w:t>
      </w:r>
      <w:r w:rsidR="006E6FFF">
        <w:rPr>
          <w:rFonts w:ascii="Avenir Next" w:hAnsi="Avenir Next" w:cs="Arial"/>
          <w:color w:val="808080" w:themeColor="background1" w:themeShade="80"/>
          <w:sz w:val="22"/>
          <w:szCs w:val="22"/>
          <w:lang w:val="en-GB"/>
        </w:rPr>
        <w:t xml:space="preserve">a </w:t>
      </w:r>
      <w:r w:rsidR="00465113">
        <w:rPr>
          <w:rFonts w:ascii="Avenir Next" w:hAnsi="Avenir Next" w:cs="Arial"/>
          <w:color w:val="808080" w:themeColor="background1" w:themeShade="80"/>
          <w:sz w:val="22"/>
          <w:szCs w:val="22"/>
          <w:lang w:val="en-GB"/>
        </w:rPr>
        <w:t>S</w:t>
      </w:r>
      <w:r w:rsidR="006E6FFF">
        <w:rPr>
          <w:rFonts w:ascii="Avenir Next" w:hAnsi="Avenir Next" w:cs="Arial"/>
          <w:color w:val="808080" w:themeColor="background1" w:themeShade="80"/>
          <w:sz w:val="22"/>
          <w:szCs w:val="22"/>
          <w:lang w:val="en-GB"/>
        </w:rPr>
        <w:t>tate's</w:t>
      </w:r>
      <w:r w:rsidR="006E6FFF" w:rsidRPr="006E6FFF">
        <w:rPr>
          <w:rFonts w:ascii="Avenir Next" w:hAnsi="Avenir Next" w:cs="Arial"/>
          <w:color w:val="808080" w:themeColor="background1" w:themeShade="80"/>
          <w:sz w:val="22"/>
          <w:szCs w:val="22"/>
          <w:lang w:val="en-GB"/>
        </w:rPr>
        <w:t xml:space="preserve"> binding law</w:t>
      </w:r>
      <w:r w:rsidR="006E6FFF">
        <w:rPr>
          <w:rFonts w:ascii="Avenir Next" w:hAnsi="Avenir Next" w:cs="Arial"/>
          <w:color w:val="808080" w:themeColor="background1" w:themeShade="80"/>
          <w:sz w:val="22"/>
          <w:szCs w:val="22"/>
          <w:lang w:val="en-GB"/>
        </w:rPr>
        <w:t>s</w:t>
      </w:r>
      <w:r w:rsidR="006E6FFF" w:rsidRPr="006E6FFF">
        <w:rPr>
          <w:rFonts w:ascii="Avenir Next" w:hAnsi="Avenir Next" w:cs="Arial"/>
          <w:color w:val="808080" w:themeColor="background1" w:themeShade="80"/>
          <w:sz w:val="22"/>
          <w:szCs w:val="22"/>
          <w:lang w:val="en-GB"/>
        </w:rPr>
        <w:t xml:space="preserve"> </w:t>
      </w:r>
      <w:r w:rsidR="006E60F0" w:rsidRPr="006E6FFF">
        <w:rPr>
          <w:rFonts w:ascii="Avenir Next" w:hAnsi="Avenir Next" w:cs="Arial"/>
          <w:color w:val="808080" w:themeColor="background1" w:themeShade="80"/>
          <w:sz w:val="22"/>
          <w:szCs w:val="22"/>
          <w:lang w:val="en-GB"/>
        </w:rPr>
        <w:t xml:space="preserve">or </w:t>
      </w:r>
      <w:r w:rsidR="006E6FFF">
        <w:rPr>
          <w:rFonts w:ascii="Avenir Next" w:hAnsi="Avenir Next" w:cs="Arial"/>
          <w:color w:val="808080" w:themeColor="background1" w:themeShade="80"/>
          <w:sz w:val="22"/>
          <w:szCs w:val="22"/>
          <w:lang w:val="en-GB"/>
        </w:rPr>
        <w:t xml:space="preserve">are </w:t>
      </w:r>
      <w:r w:rsidR="006E60F0" w:rsidRPr="006E6FFF">
        <w:rPr>
          <w:rFonts w:ascii="Avenir Next" w:hAnsi="Avenir Next" w:cs="Arial"/>
          <w:color w:val="808080" w:themeColor="background1" w:themeShade="80"/>
          <w:sz w:val="22"/>
          <w:szCs w:val="22"/>
          <w:lang w:val="en-GB"/>
        </w:rPr>
        <w:t>simply guidance</w:t>
      </w:r>
      <w:r w:rsidR="009B4638">
        <w:rPr>
          <w:rFonts w:ascii="Avenir Next" w:hAnsi="Avenir Next" w:cs="Arial"/>
          <w:color w:val="808080" w:themeColor="background1" w:themeShade="80"/>
          <w:sz w:val="22"/>
          <w:szCs w:val="22"/>
          <w:lang w:val="en-GB"/>
        </w:rPr>
        <w:t xml:space="preserve">, often developed by multinational organisations as opposed to </w:t>
      </w:r>
      <w:r w:rsidR="00465113">
        <w:rPr>
          <w:rFonts w:ascii="Avenir Next" w:hAnsi="Avenir Next" w:cs="Arial"/>
          <w:color w:val="808080" w:themeColor="background1" w:themeShade="80"/>
          <w:sz w:val="22"/>
          <w:szCs w:val="22"/>
          <w:lang w:val="en-GB"/>
        </w:rPr>
        <w:t>S</w:t>
      </w:r>
      <w:r w:rsidR="009B4638">
        <w:rPr>
          <w:rFonts w:ascii="Avenir Next" w:hAnsi="Avenir Next" w:cs="Arial"/>
          <w:color w:val="808080" w:themeColor="background1" w:themeShade="80"/>
          <w:sz w:val="22"/>
          <w:szCs w:val="22"/>
          <w:lang w:val="en-GB"/>
        </w:rPr>
        <w:t>tates/ governments,</w:t>
      </w:r>
      <w:r w:rsidR="009B4638">
        <w:rPr>
          <w:rStyle w:val="FootnoteReference"/>
          <w:rFonts w:ascii="Avenir Next" w:hAnsi="Avenir Next" w:cs="Arial"/>
          <w:color w:val="808080" w:themeColor="background1" w:themeShade="80"/>
          <w:sz w:val="22"/>
          <w:szCs w:val="22"/>
          <w:lang w:val="en-GB"/>
        </w:rPr>
        <w:footnoteReference w:id="21"/>
      </w:r>
      <w:r w:rsidR="009B4638">
        <w:rPr>
          <w:rFonts w:ascii="Avenir Next" w:hAnsi="Avenir Next" w:cs="Arial"/>
          <w:color w:val="808080" w:themeColor="background1" w:themeShade="80"/>
          <w:sz w:val="22"/>
          <w:szCs w:val="22"/>
          <w:lang w:val="en-GB"/>
        </w:rPr>
        <w:t xml:space="preserve"> </w:t>
      </w:r>
      <w:r w:rsidR="006E60F0" w:rsidRPr="006E6FFF">
        <w:rPr>
          <w:rFonts w:ascii="Avenir Next" w:hAnsi="Avenir Next" w:cs="Arial"/>
          <w:color w:val="808080" w:themeColor="background1" w:themeShade="80"/>
          <w:sz w:val="22"/>
          <w:szCs w:val="22"/>
          <w:lang w:val="en-GB"/>
        </w:rPr>
        <w:t xml:space="preserve">which </w:t>
      </w:r>
      <w:r w:rsidR="006E6FFF" w:rsidRPr="006E6FFF">
        <w:rPr>
          <w:rFonts w:ascii="Avenir Next" w:hAnsi="Avenir Next" w:cs="Arial"/>
          <w:color w:val="808080" w:themeColor="background1" w:themeShade="80"/>
          <w:sz w:val="22"/>
          <w:szCs w:val="22"/>
          <w:lang w:val="en-GB"/>
        </w:rPr>
        <w:t>may be drawn upon and use</w:t>
      </w:r>
      <w:r w:rsidR="006E6FFF">
        <w:rPr>
          <w:rFonts w:ascii="Avenir Next" w:hAnsi="Avenir Next" w:cs="Arial"/>
          <w:color w:val="808080" w:themeColor="background1" w:themeShade="80"/>
          <w:sz w:val="22"/>
          <w:szCs w:val="22"/>
          <w:lang w:val="en-GB"/>
        </w:rPr>
        <w:t>d</w:t>
      </w:r>
      <w:r w:rsidR="006E6FFF" w:rsidRPr="006E6FFF">
        <w:rPr>
          <w:rFonts w:ascii="Avenir Next" w:hAnsi="Avenir Next" w:cs="Arial"/>
          <w:color w:val="808080" w:themeColor="background1" w:themeShade="80"/>
          <w:sz w:val="22"/>
          <w:szCs w:val="22"/>
          <w:lang w:val="en-GB"/>
        </w:rPr>
        <w:t xml:space="preserve"> in determining </w:t>
      </w:r>
      <w:r w:rsidR="00465113">
        <w:rPr>
          <w:rFonts w:ascii="Avenir Next" w:hAnsi="Avenir Next" w:cs="Arial"/>
          <w:color w:val="808080" w:themeColor="background1" w:themeShade="80"/>
          <w:sz w:val="22"/>
          <w:szCs w:val="22"/>
          <w:lang w:val="en-GB"/>
        </w:rPr>
        <w:t xml:space="preserve">/ resolving </w:t>
      </w:r>
      <w:r w:rsidR="006E6FFF" w:rsidRPr="006E6FFF">
        <w:rPr>
          <w:rFonts w:ascii="Avenir Next" w:hAnsi="Avenir Next" w:cs="Arial"/>
          <w:color w:val="808080" w:themeColor="background1" w:themeShade="80"/>
          <w:sz w:val="22"/>
          <w:szCs w:val="22"/>
          <w:lang w:val="en-GB"/>
        </w:rPr>
        <w:t>a</w:t>
      </w:r>
      <w:r w:rsidR="006E6FFF">
        <w:rPr>
          <w:rFonts w:ascii="Avenir Next" w:hAnsi="Avenir Next" w:cs="Arial"/>
          <w:color w:val="808080" w:themeColor="background1" w:themeShade="80"/>
          <w:sz w:val="22"/>
          <w:szCs w:val="22"/>
          <w:lang w:val="en-GB"/>
        </w:rPr>
        <w:t xml:space="preserve"> particular legal scenario. </w:t>
      </w:r>
    </w:p>
    <w:p w14:paraId="56C9B28C" w14:textId="77777777" w:rsidR="00F42209" w:rsidRDefault="00F42209" w:rsidP="006A44B2">
      <w:pPr>
        <w:jc w:val="both"/>
        <w:rPr>
          <w:rFonts w:ascii="Avenir Next" w:hAnsi="Avenir Next" w:cs="Arial"/>
          <w:color w:val="808080" w:themeColor="background1" w:themeShade="80"/>
          <w:sz w:val="22"/>
          <w:szCs w:val="22"/>
          <w:lang w:val="en-GB"/>
        </w:rPr>
      </w:pPr>
    </w:p>
    <w:p w14:paraId="44168522" w14:textId="77777777" w:rsidR="00465113" w:rsidRDefault="00F4220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typical example of a 'hard' law in the international context is a treaty or convention to which foreign States have ratified and become members to with the effect that that the treaty or convention becomes binding on the member States and essentially becomes part o</w:t>
      </w:r>
      <w:r w:rsidR="00465113">
        <w:rPr>
          <w:rFonts w:ascii="Avenir Next" w:hAnsi="Avenir Next" w:cs="Arial"/>
          <w:color w:val="808080" w:themeColor="background1" w:themeShade="80"/>
          <w:sz w:val="22"/>
          <w:szCs w:val="22"/>
          <w:lang w:val="en-GB"/>
        </w:rPr>
        <w:t>f or</w:t>
      </w:r>
      <w:r>
        <w:rPr>
          <w:rFonts w:ascii="Avenir Next" w:hAnsi="Avenir Next" w:cs="Arial"/>
          <w:color w:val="808080" w:themeColor="background1" w:themeShade="80"/>
          <w:sz w:val="22"/>
          <w:szCs w:val="22"/>
          <w:lang w:val="en-GB"/>
        </w:rPr>
        <w:t xml:space="preserve"> affects the State</w:t>
      </w:r>
      <w:r w:rsidR="0046511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s domestic law.  </w:t>
      </w:r>
    </w:p>
    <w:p w14:paraId="6B648078" w14:textId="77777777" w:rsidR="00465113" w:rsidRDefault="00465113" w:rsidP="006A44B2">
      <w:pPr>
        <w:jc w:val="both"/>
        <w:rPr>
          <w:rFonts w:ascii="Avenir Next" w:hAnsi="Avenir Next" w:cs="Arial"/>
          <w:color w:val="808080" w:themeColor="background1" w:themeShade="80"/>
          <w:sz w:val="22"/>
          <w:szCs w:val="22"/>
          <w:lang w:val="en-GB"/>
        </w:rPr>
      </w:pPr>
    </w:p>
    <w:p w14:paraId="225452BD" w14:textId="64202378" w:rsidR="00806359" w:rsidRDefault="00F42209"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particular example of a largely successful international treaty in relation to insolvency law is the Nordic Convention on Bankruptcy </w:t>
      </w:r>
      <w:r w:rsidRPr="00F42209">
        <w:rPr>
          <w:rFonts w:ascii="Avenir Next" w:hAnsi="Avenir Next" w:cs="Arial"/>
          <w:color w:val="808080" w:themeColor="background1" w:themeShade="80"/>
          <w:sz w:val="22"/>
          <w:szCs w:val="22"/>
          <w:lang w:val="en-GB"/>
        </w:rPr>
        <w:t>between</w:t>
      </w:r>
      <w:r>
        <w:rPr>
          <w:rFonts w:ascii="Avenir Next" w:hAnsi="Avenir Next" w:cs="Arial"/>
          <w:color w:val="808080" w:themeColor="background1" w:themeShade="80"/>
          <w:sz w:val="22"/>
          <w:szCs w:val="22"/>
          <w:lang w:val="en-GB"/>
        </w:rPr>
        <w:t xml:space="preserve"> </w:t>
      </w:r>
      <w:r w:rsidRPr="00F42209">
        <w:rPr>
          <w:rFonts w:ascii="Avenir Next" w:hAnsi="Avenir Next" w:cs="Arial"/>
          <w:color w:val="808080" w:themeColor="background1" w:themeShade="80"/>
          <w:sz w:val="22"/>
          <w:szCs w:val="22"/>
          <w:lang w:val="en-GB"/>
        </w:rPr>
        <w:t xml:space="preserve">Norway, Denmark, Finland, </w:t>
      </w:r>
      <w:proofErr w:type="gramStart"/>
      <w:r w:rsidRPr="00F42209">
        <w:rPr>
          <w:rFonts w:ascii="Avenir Next" w:hAnsi="Avenir Next" w:cs="Arial"/>
          <w:color w:val="808080" w:themeColor="background1" w:themeShade="80"/>
          <w:sz w:val="22"/>
          <w:szCs w:val="22"/>
          <w:lang w:val="en-GB"/>
        </w:rPr>
        <w:t>Iceland</w:t>
      </w:r>
      <w:proofErr w:type="gramEnd"/>
      <w:r w:rsidRPr="00F42209">
        <w:rPr>
          <w:rFonts w:ascii="Avenir Next" w:hAnsi="Avenir Next" w:cs="Arial"/>
          <w:color w:val="808080" w:themeColor="background1" w:themeShade="80"/>
          <w:sz w:val="22"/>
          <w:szCs w:val="22"/>
          <w:lang w:val="en-GB"/>
        </w:rPr>
        <w:t xml:space="preserve"> and Sweden (the </w:t>
      </w:r>
      <w:r w:rsidRPr="00F42209">
        <w:rPr>
          <w:rFonts w:ascii="Avenir Next" w:hAnsi="Avenir Next" w:cs="Arial"/>
          <w:b/>
          <w:bCs/>
          <w:color w:val="808080" w:themeColor="background1" w:themeShade="80"/>
          <w:sz w:val="22"/>
          <w:szCs w:val="22"/>
          <w:lang w:val="en-GB"/>
        </w:rPr>
        <w:t>Nordic Convention</w:t>
      </w:r>
      <w:r w:rsidRPr="00F42209">
        <w:rPr>
          <w:rFonts w:ascii="Avenir Next" w:hAnsi="Avenir Next" w:cs="Arial"/>
          <w:color w:val="808080" w:themeColor="background1" w:themeShade="80"/>
          <w:sz w:val="22"/>
          <w:szCs w:val="22"/>
          <w:lang w:val="en-GB"/>
        </w:rPr>
        <w:t>). The Nordic</w:t>
      </w:r>
      <w:r>
        <w:rPr>
          <w:rFonts w:ascii="Avenir Next" w:hAnsi="Avenir Next" w:cs="Arial"/>
          <w:color w:val="808080" w:themeColor="background1" w:themeShade="80"/>
          <w:sz w:val="22"/>
          <w:szCs w:val="22"/>
          <w:lang w:val="en-GB"/>
        </w:rPr>
        <w:t xml:space="preserve"> </w:t>
      </w:r>
      <w:r w:rsidRPr="00F42209">
        <w:rPr>
          <w:rFonts w:ascii="Avenir Next" w:hAnsi="Avenir Next" w:cs="Arial"/>
          <w:color w:val="808080" w:themeColor="background1" w:themeShade="80"/>
          <w:sz w:val="22"/>
          <w:szCs w:val="22"/>
          <w:lang w:val="en-GB"/>
        </w:rPr>
        <w:t xml:space="preserve">Convention promotes uniform choice of law principles because it </w:t>
      </w:r>
      <w:r w:rsidRPr="00F42209">
        <w:rPr>
          <w:rFonts w:ascii="Avenir Next" w:hAnsi="Avenir Next" w:cs="Arial"/>
          <w:color w:val="808080" w:themeColor="background1" w:themeShade="80"/>
          <w:sz w:val="22"/>
          <w:szCs w:val="22"/>
          <w:lang w:val="en-GB"/>
        </w:rPr>
        <w:lastRenderedPageBreak/>
        <w:t>operates by</w:t>
      </w:r>
      <w:r>
        <w:rPr>
          <w:rFonts w:ascii="Avenir Next" w:hAnsi="Avenir Next" w:cs="Arial"/>
          <w:color w:val="808080" w:themeColor="background1" w:themeShade="80"/>
          <w:sz w:val="22"/>
          <w:szCs w:val="22"/>
          <w:lang w:val="en-GB"/>
        </w:rPr>
        <w:t xml:space="preserve"> </w:t>
      </w:r>
      <w:r w:rsidRPr="00F42209">
        <w:rPr>
          <w:rFonts w:ascii="Avenir Next" w:hAnsi="Avenir Next" w:cs="Arial"/>
          <w:color w:val="808080" w:themeColor="background1" w:themeShade="80"/>
          <w:sz w:val="22"/>
          <w:szCs w:val="22"/>
          <w:lang w:val="en-GB"/>
        </w:rPr>
        <w:t xml:space="preserve">recognising the law of the place of the insolvency proceeding </w:t>
      </w:r>
      <w:r w:rsidR="00BD2B2F">
        <w:rPr>
          <w:rFonts w:ascii="Avenir Next" w:hAnsi="Avenir Next" w:cs="Arial"/>
          <w:color w:val="808080" w:themeColor="background1" w:themeShade="80"/>
          <w:sz w:val="22"/>
          <w:szCs w:val="22"/>
          <w:lang w:val="en-GB"/>
        </w:rPr>
        <w:t>as being determinative and universally applicable. In addition to avoiding conflict of laws issues when it comes to dealing with insolvency proceedings that are subject to the Nordic Convention it also means that recognition and enforcement matters are smooth</w:t>
      </w:r>
      <w:r w:rsidR="00465113">
        <w:rPr>
          <w:rFonts w:ascii="Avenir Next" w:hAnsi="Avenir Next" w:cs="Arial"/>
          <w:color w:val="808080" w:themeColor="background1" w:themeShade="80"/>
          <w:sz w:val="22"/>
          <w:szCs w:val="22"/>
          <w:lang w:val="en-GB"/>
        </w:rPr>
        <w:t>er because they</w:t>
      </w:r>
      <w:r w:rsidR="00BD2B2F">
        <w:rPr>
          <w:rFonts w:ascii="Avenir Next" w:hAnsi="Avenir Next" w:cs="Arial"/>
          <w:color w:val="808080" w:themeColor="background1" w:themeShade="80"/>
          <w:sz w:val="22"/>
          <w:szCs w:val="22"/>
          <w:lang w:val="en-GB"/>
        </w:rPr>
        <w:t xml:space="preserve"> do not require additional formal legal processes. For example, there is an immediate stay of creditor action across all </w:t>
      </w:r>
      <w:r w:rsidR="00465113">
        <w:rPr>
          <w:rFonts w:ascii="Avenir Next" w:hAnsi="Avenir Next" w:cs="Arial"/>
          <w:color w:val="808080" w:themeColor="background1" w:themeShade="80"/>
          <w:sz w:val="22"/>
          <w:szCs w:val="22"/>
          <w:lang w:val="en-GB"/>
        </w:rPr>
        <w:t>m</w:t>
      </w:r>
      <w:r w:rsidR="00BD2B2F">
        <w:rPr>
          <w:rFonts w:ascii="Avenir Next" w:hAnsi="Avenir Next" w:cs="Arial"/>
          <w:color w:val="808080" w:themeColor="background1" w:themeShade="80"/>
          <w:sz w:val="22"/>
          <w:szCs w:val="22"/>
          <w:lang w:val="en-GB"/>
        </w:rPr>
        <w:t>ember States and the insolvency practitioners are recognised immediately and may seek the assistance of the other States courts in relation to any property that may be situated there.</w:t>
      </w:r>
      <w:r w:rsidR="00BD2B2F">
        <w:rPr>
          <w:rStyle w:val="FootnoteReference"/>
          <w:rFonts w:ascii="Avenir Next" w:hAnsi="Avenir Next" w:cs="Arial"/>
          <w:color w:val="808080" w:themeColor="background1" w:themeShade="80"/>
          <w:sz w:val="22"/>
          <w:szCs w:val="22"/>
          <w:lang w:val="en-GB"/>
        </w:rPr>
        <w:footnoteReference w:id="22"/>
      </w:r>
      <w:r w:rsidR="006E6FFF">
        <w:rPr>
          <w:rFonts w:ascii="Avenir Next" w:hAnsi="Avenir Next" w:cs="Arial"/>
          <w:color w:val="808080" w:themeColor="background1" w:themeShade="80"/>
          <w:sz w:val="22"/>
          <w:szCs w:val="22"/>
          <w:lang w:val="en-GB"/>
        </w:rPr>
        <w:t xml:space="preserve"> </w:t>
      </w:r>
    </w:p>
    <w:p w14:paraId="77EB4336" w14:textId="77777777" w:rsidR="00806359" w:rsidRDefault="00806359" w:rsidP="006A44B2">
      <w:pPr>
        <w:jc w:val="both"/>
        <w:rPr>
          <w:rFonts w:ascii="Avenir Next" w:hAnsi="Avenir Next" w:cs="Arial"/>
          <w:color w:val="808080" w:themeColor="background1" w:themeShade="80"/>
          <w:sz w:val="22"/>
          <w:szCs w:val="22"/>
          <w:lang w:val="en-GB"/>
        </w:rPr>
      </w:pPr>
    </w:p>
    <w:p w14:paraId="1197493E" w14:textId="3CCB0E22" w:rsidR="0077464A" w:rsidRDefault="006E6FFF"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example is the </w:t>
      </w:r>
      <w:r w:rsidRPr="00C426F0">
        <w:rPr>
          <w:rFonts w:ascii="Avenir Next" w:hAnsi="Avenir Next" w:cs="Arial"/>
          <w:color w:val="808080" w:themeColor="background1" w:themeShade="80"/>
          <w:sz w:val="22"/>
          <w:szCs w:val="22"/>
          <w:lang w:val="en-GB"/>
        </w:rPr>
        <w:t>European Union</w:t>
      </w:r>
      <w:r>
        <w:rPr>
          <w:rFonts w:ascii="Avenir Next" w:hAnsi="Avenir Next" w:cs="Arial"/>
          <w:color w:val="808080" w:themeColor="background1" w:themeShade="80"/>
          <w:sz w:val="22"/>
          <w:szCs w:val="22"/>
          <w:lang w:val="en-GB"/>
        </w:rPr>
        <w:t xml:space="preserve"> (</w:t>
      </w:r>
      <w:r w:rsidRPr="006E6FFF">
        <w:rPr>
          <w:rFonts w:ascii="Avenir Next" w:hAnsi="Avenir Next" w:cs="Arial"/>
          <w:b/>
          <w:bCs/>
          <w:color w:val="808080" w:themeColor="background1" w:themeShade="80"/>
          <w:sz w:val="22"/>
          <w:szCs w:val="22"/>
          <w:lang w:val="en-GB"/>
        </w:rPr>
        <w:t>EU</w:t>
      </w:r>
      <w:r>
        <w:rPr>
          <w:rFonts w:ascii="Avenir Next" w:hAnsi="Avenir Next" w:cs="Arial"/>
          <w:color w:val="808080" w:themeColor="background1" w:themeShade="80"/>
          <w:sz w:val="22"/>
          <w:szCs w:val="22"/>
          <w:lang w:val="en-GB"/>
        </w:rPr>
        <w:t xml:space="preserve">) </w:t>
      </w:r>
      <w:r w:rsidRPr="00C426F0">
        <w:rPr>
          <w:rFonts w:ascii="Avenir Next" w:hAnsi="Avenir Next" w:cs="Arial"/>
          <w:color w:val="808080" w:themeColor="background1" w:themeShade="80"/>
          <w:sz w:val="22"/>
          <w:szCs w:val="22"/>
          <w:lang w:val="en-GB"/>
        </w:rPr>
        <w:t>Regulation 2015/848 of the European Parliament and of the Council of</w:t>
      </w:r>
      <w:r>
        <w:rPr>
          <w:rFonts w:ascii="Avenir Next" w:hAnsi="Avenir Next" w:cs="Arial"/>
          <w:color w:val="808080" w:themeColor="background1" w:themeShade="80"/>
          <w:sz w:val="22"/>
          <w:szCs w:val="22"/>
          <w:lang w:val="en-GB"/>
        </w:rPr>
        <w:t xml:space="preserve"> </w:t>
      </w:r>
      <w:r w:rsidRPr="00C426F0">
        <w:rPr>
          <w:rFonts w:ascii="Avenir Next" w:hAnsi="Avenir Next" w:cs="Arial"/>
          <w:color w:val="808080" w:themeColor="background1" w:themeShade="80"/>
          <w:sz w:val="22"/>
          <w:szCs w:val="22"/>
          <w:lang w:val="en-GB"/>
        </w:rPr>
        <w:t>20 May 2015 on Insolvency Proceedings (Recast) (</w:t>
      </w:r>
      <w:r>
        <w:rPr>
          <w:rFonts w:ascii="Avenir Next" w:hAnsi="Avenir Next" w:cs="Arial"/>
          <w:color w:val="808080" w:themeColor="background1" w:themeShade="80"/>
          <w:sz w:val="22"/>
          <w:szCs w:val="22"/>
          <w:lang w:val="en-GB"/>
        </w:rPr>
        <w:t xml:space="preserve">the </w:t>
      </w:r>
      <w:r w:rsidRPr="00C426F0">
        <w:rPr>
          <w:rFonts w:ascii="Avenir Next" w:hAnsi="Avenir Next" w:cs="Arial"/>
          <w:b/>
          <w:bCs/>
          <w:color w:val="808080" w:themeColor="background1" w:themeShade="80"/>
          <w:sz w:val="22"/>
          <w:szCs w:val="22"/>
          <w:lang w:val="en-GB"/>
        </w:rPr>
        <w:t>EIR Recast</w:t>
      </w:r>
      <w:r>
        <w:rPr>
          <w:rFonts w:ascii="Avenir Next" w:hAnsi="Avenir Next" w:cs="Arial"/>
          <w:color w:val="808080" w:themeColor="background1" w:themeShade="80"/>
          <w:sz w:val="22"/>
          <w:szCs w:val="22"/>
          <w:lang w:val="en-GB"/>
        </w:rPr>
        <w:t xml:space="preserve"> and the </w:t>
      </w:r>
      <w:r w:rsidRPr="00C426F0">
        <w:rPr>
          <w:rFonts w:ascii="Avenir Next" w:hAnsi="Avenir Next" w:cs="Arial"/>
          <w:b/>
          <w:bCs/>
          <w:color w:val="808080" w:themeColor="background1" w:themeShade="80"/>
          <w:sz w:val="22"/>
          <w:szCs w:val="22"/>
          <w:lang w:val="en-GB"/>
        </w:rPr>
        <w:t>EIR</w:t>
      </w:r>
      <w:r>
        <w:rPr>
          <w:rFonts w:ascii="Avenir Next" w:hAnsi="Avenir Next" w:cs="Arial"/>
          <w:color w:val="808080" w:themeColor="background1" w:themeShade="80"/>
          <w:sz w:val="22"/>
          <w:szCs w:val="22"/>
          <w:lang w:val="en-GB"/>
        </w:rPr>
        <w:t>) which applies as between members of the EU and determines the jurisdiction and applicable law of insolvency proceedings with a cross</w:t>
      </w:r>
      <w:r w:rsidR="0046511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border element based on a debtor's COMI. </w:t>
      </w:r>
    </w:p>
    <w:p w14:paraId="542B101D" w14:textId="77777777" w:rsidR="00BD2B2F" w:rsidRDefault="00BD2B2F" w:rsidP="006A44B2">
      <w:pPr>
        <w:jc w:val="both"/>
        <w:rPr>
          <w:rFonts w:ascii="Avenir Next" w:hAnsi="Avenir Next" w:cs="Arial"/>
          <w:color w:val="808080" w:themeColor="background1" w:themeShade="80"/>
          <w:sz w:val="22"/>
          <w:szCs w:val="22"/>
          <w:lang w:val="en-GB"/>
        </w:rPr>
      </w:pPr>
    </w:p>
    <w:p w14:paraId="55284819" w14:textId="77777777" w:rsidR="007C7B3D" w:rsidRDefault="006E60F0"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treaties and conventions are very powerful instruments when agreed and entered, the reality is that reaching agreement is uncommon and as such there are few examples of successful international treaties or conventions in the international insolvency space. </w:t>
      </w:r>
    </w:p>
    <w:p w14:paraId="3B4D4FDA" w14:textId="77777777" w:rsidR="007C7B3D" w:rsidRDefault="007C7B3D" w:rsidP="006A44B2">
      <w:pPr>
        <w:jc w:val="both"/>
        <w:rPr>
          <w:rFonts w:ascii="Avenir Next" w:hAnsi="Avenir Next" w:cs="Arial"/>
          <w:color w:val="808080" w:themeColor="background1" w:themeShade="80"/>
          <w:sz w:val="22"/>
          <w:szCs w:val="22"/>
          <w:lang w:val="en-GB"/>
        </w:rPr>
      </w:pPr>
    </w:p>
    <w:p w14:paraId="098C0220" w14:textId="394F6C75" w:rsidR="00190CF9" w:rsidRDefault="007C7B3D" w:rsidP="00190CF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More success has been had with "soft laws" in the context of international insolvency law. </w:t>
      </w:r>
      <w:r w:rsidR="00190CF9">
        <w:rPr>
          <w:rFonts w:ascii="Avenir Next" w:hAnsi="Avenir Next" w:cs="Arial"/>
          <w:color w:val="808080" w:themeColor="background1" w:themeShade="80"/>
          <w:sz w:val="22"/>
          <w:szCs w:val="22"/>
          <w:lang w:val="en-GB"/>
        </w:rPr>
        <w:t xml:space="preserve"> One of the most </w:t>
      </w:r>
      <w:r w:rsidR="00FE6711">
        <w:rPr>
          <w:rFonts w:ascii="Avenir Next" w:hAnsi="Avenir Next" w:cs="Arial"/>
          <w:color w:val="808080" w:themeColor="background1" w:themeShade="80"/>
          <w:sz w:val="22"/>
          <w:szCs w:val="22"/>
          <w:lang w:val="en-GB"/>
        </w:rPr>
        <w:t xml:space="preserve">successful </w:t>
      </w:r>
      <w:r w:rsidR="00190CF9">
        <w:rPr>
          <w:rFonts w:ascii="Avenir Next" w:hAnsi="Avenir Next" w:cs="Arial"/>
          <w:color w:val="808080" w:themeColor="background1" w:themeShade="80"/>
          <w:sz w:val="22"/>
          <w:szCs w:val="22"/>
          <w:lang w:val="en-GB"/>
        </w:rPr>
        <w:t>'</w:t>
      </w:r>
      <w:r w:rsidR="00FE6711">
        <w:rPr>
          <w:rFonts w:ascii="Avenir Next" w:hAnsi="Avenir Next" w:cs="Arial"/>
          <w:color w:val="808080" w:themeColor="background1" w:themeShade="80"/>
          <w:sz w:val="22"/>
          <w:szCs w:val="22"/>
          <w:lang w:val="en-GB"/>
        </w:rPr>
        <w:t>soft law</w:t>
      </w:r>
      <w:r w:rsidR="00190CF9">
        <w:rPr>
          <w:rFonts w:ascii="Avenir Next" w:hAnsi="Avenir Next" w:cs="Arial"/>
          <w:color w:val="808080" w:themeColor="background1" w:themeShade="80"/>
          <w:sz w:val="22"/>
          <w:szCs w:val="22"/>
          <w:lang w:val="en-GB"/>
        </w:rPr>
        <w:t xml:space="preserve">' </w:t>
      </w:r>
      <w:r w:rsidR="00FE6711">
        <w:rPr>
          <w:rFonts w:ascii="Avenir Next" w:hAnsi="Avenir Next" w:cs="Arial"/>
          <w:color w:val="808080" w:themeColor="background1" w:themeShade="80"/>
          <w:sz w:val="22"/>
          <w:szCs w:val="22"/>
          <w:lang w:val="en-GB"/>
        </w:rPr>
        <w:t>approach</w:t>
      </w:r>
      <w:r w:rsidR="00190CF9">
        <w:rPr>
          <w:rFonts w:ascii="Avenir Next" w:hAnsi="Avenir Next" w:cs="Arial"/>
          <w:color w:val="808080" w:themeColor="background1" w:themeShade="80"/>
          <w:sz w:val="22"/>
          <w:szCs w:val="22"/>
          <w:lang w:val="en-GB"/>
        </w:rPr>
        <w:t>es</w:t>
      </w:r>
      <w:r w:rsidR="00FE6711">
        <w:rPr>
          <w:rFonts w:ascii="Avenir Next" w:hAnsi="Avenir Next" w:cs="Arial"/>
          <w:color w:val="808080" w:themeColor="background1" w:themeShade="80"/>
          <w:sz w:val="22"/>
          <w:szCs w:val="22"/>
          <w:lang w:val="en-GB"/>
        </w:rPr>
        <w:t xml:space="preserve"> to date is the Model Law</w:t>
      </w:r>
      <w:r w:rsidR="00190CF9">
        <w:rPr>
          <w:rFonts w:ascii="Avenir Next" w:hAnsi="Avenir Next" w:cs="Arial"/>
          <w:color w:val="808080" w:themeColor="background1" w:themeShade="80"/>
          <w:sz w:val="22"/>
          <w:szCs w:val="22"/>
          <w:lang w:val="en-GB"/>
        </w:rPr>
        <w:t>. Unlike a</w:t>
      </w:r>
      <w:r w:rsidR="00FE6711">
        <w:rPr>
          <w:rFonts w:ascii="Avenir Next" w:hAnsi="Avenir Next" w:cs="Arial"/>
          <w:color w:val="808080" w:themeColor="background1" w:themeShade="80"/>
          <w:sz w:val="22"/>
          <w:szCs w:val="22"/>
          <w:lang w:val="en-GB"/>
        </w:rPr>
        <w:t xml:space="preserve"> treaty or convention</w:t>
      </w:r>
      <w:r w:rsidR="00190CF9">
        <w:rPr>
          <w:rFonts w:ascii="Avenir Next" w:hAnsi="Avenir Next" w:cs="Arial"/>
          <w:color w:val="808080" w:themeColor="background1" w:themeShade="80"/>
          <w:sz w:val="22"/>
          <w:szCs w:val="22"/>
          <w:lang w:val="en-GB"/>
        </w:rPr>
        <w:t xml:space="preserve">, the </w:t>
      </w:r>
      <w:r w:rsidR="00C10AD7">
        <w:rPr>
          <w:rFonts w:ascii="Avenir Next" w:hAnsi="Avenir Next" w:cs="Arial"/>
          <w:color w:val="808080" w:themeColor="background1" w:themeShade="80"/>
          <w:sz w:val="22"/>
          <w:szCs w:val="22"/>
          <w:lang w:val="en-GB"/>
        </w:rPr>
        <w:t>M</w:t>
      </w:r>
      <w:r w:rsidR="00FE6711">
        <w:rPr>
          <w:rFonts w:ascii="Avenir Next" w:hAnsi="Avenir Next" w:cs="Arial"/>
          <w:color w:val="808080" w:themeColor="background1" w:themeShade="80"/>
          <w:sz w:val="22"/>
          <w:szCs w:val="22"/>
          <w:lang w:val="en-GB"/>
        </w:rPr>
        <w:t xml:space="preserve">odel </w:t>
      </w:r>
      <w:r w:rsidR="00C10AD7">
        <w:rPr>
          <w:rFonts w:ascii="Avenir Next" w:hAnsi="Avenir Next" w:cs="Arial"/>
          <w:color w:val="808080" w:themeColor="background1" w:themeShade="80"/>
          <w:sz w:val="22"/>
          <w:szCs w:val="22"/>
          <w:lang w:val="en-GB"/>
        </w:rPr>
        <w:t>L</w:t>
      </w:r>
      <w:r w:rsidR="00FE6711">
        <w:rPr>
          <w:rFonts w:ascii="Avenir Next" w:hAnsi="Avenir Next" w:cs="Arial"/>
          <w:color w:val="808080" w:themeColor="background1" w:themeShade="80"/>
          <w:sz w:val="22"/>
          <w:szCs w:val="22"/>
          <w:lang w:val="en-GB"/>
        </w:rPr>
        <w:t>aw</w:t>
      </w:r>
      <w:r w:rsidR="00190CF9">
        <w:rPr>
          <w:rFonts w:ascii="Avenir Next" w:hAnsi="Avenir Next" w:cs="Arial"/>
          <w:color w:val="808080" w:themeColor="background1" w:themeShade="80"/>
          <w:sz w:val="22"/>
          <w:szCs w:val="22"/>
          <w:lang w:val="en-GB"/>
        </w:rPr>
        <w:t xml:space="preserve"> is essentially a draft or example piece </w:t>
      </w:r>
      <w:r w:rsidR="00FE6711">
        <w:rPr>
          <w:rFonts w:ascii="Avenir Next" w:hAnsi="Avenir Next" w:cs="Arial"/>
          <w:color w:val="808080" w:themeColor="background1" w:themeShade="80"/>
          <w:sz w:val="22"/>
          <w:szCs w:val="22"/>
          <w:lang w:val="en-GB"/>
        </w:rPr>
        <w:t>legislation</w:t>
      </w:r>
      <w:r w:rsidR="00190CF9">
        <w:rPr>
          <w:rFonts w:ascii="Avenir Next" w:hAnsi="Avenir Next" w:cs="Arial"/>
          <w:color w:val="808080" w:themeColor="background1" w:themeShade="80"/>
          <w:sz w:val="22"/>
          <w:szCs w:val="22"/>
          <w:lang w:val="en-GB"/>
        </w:rPr>
        <w:t xml:space="preserve"> that </w:t>
      </w:r>
      <w:r w:rsidR="00FE6711">
        <w:rPr>
          <w:rFonts w:ascii="Avenir Next" w:hAnsi="Avenir Next" w:cs="Arial"/>
          <w:color w:val="808080" w:themeColor="background1" w:themeShade="80"/>
          <w:sz w:val="22"/>
          <w:szCs w:val="22"/>
          <w:lang w:val="en-GB"/>
        </w:rPr>
        <w:t>UNCITRAL recomme</w:t>
      </w:r>
      <w:r w:rsidR="00190CF9">
        <w:rPr>
          <w:rFonts w:ascii="Avenir Next" w:hAnsi="Avenir Next" w:cs="Arial"/>
          <w:color w:val="808080" w:themeColor="background1" w:themeShade="80"/>
          <w:sz w:val="22"/>
          <w:szCs w:val="22"/>
          <w:lang w:val="en-GB"/>
        </w:rPr>
        <w:t>nds</w:t>
      </w:r>
      <w:r w:rsidR="00FE6711">
        <w:rPr>
          <w:rFonts w:ascii="Avenir Next" w:hAnsi="Avenir Next" w:cs="Arial"/>
          <w:color w:val="808080" w:themeColor="background1" w:themeShade="80"/>
          <w:sz w:val="22"/>
          <w:szCs w:val="22"/>
          <w:lang w:val="en-GB"/>
        </w:rPr>
        <w:t xml:space="preserve"> members states adopt and modify</w:t>
      </w:r>
      <w:r w:rsidR="00190CF9">
        <w:rPr>
          <w:rFonts w:ascii="Avenir Next" w:hAnsi="Avenir Next" w:cs="Arial"/>
          <w:color w:val="808080" w:themeColor="background1" w:themeShade="80"/>
          <w:sz w:val="22"/>
          <w:szCs w:val="22"/>
          <w:lang w:val="en-GB"/>
        </w:rPr>
        <w:t xml:space="preserve"> as they see fit.</w:t>
      </w:r>
      <w:r w:rsidR="006F02BB">
        <w:rPr>
          <w:rStyle w:val="FootnoteReference"/>
          <w:rFonts w:ascii="Avenir Next" w:hAnsi="Avenir Next" w:cs="Arial"/>
          <w:color w:val="808080" w:themeColor="background1" w:themeShade="80"/>
          <w:sz w:val="22"/>
          <w:szCs w:val="22"/>
          <w:lang w:val="en-GB"/>
        </w:rPr>
        <w:footnoteReference w:id="23"/>
      </w:r>
      <w:r w:rsidR="00190CF9">
        <w:rPr>
          <w:rFonts w:ascii="Avenir Next" w:hAnsi="Avenir Next" w:cs="Arial"/>
          <w:color w:val="808080" w:themeColor="background1" w:themeShade="80"/>
          <w:sz w:val="22"/>
          <w:szCs w:val="22"/>
          <w:lang w:val="en-GB"/>
        </w:rPr>
        <w:t xml:space="preserve"> </w:t>
      </w:r>
      <w:r w:rsidR="006F02BB">
        <w:rPr>
          <w:rFonts w:ascii="Avenir Next" w:hAnsi="Avenir Next" w:cs="Arial"/>
          <w:color w:val="808080" w:themeColor="background1" w:themeShade="80"/>
          <w:sz w:val="22"/>
          <w:szCs w:val="22"/>
          <w:lang w:val="en-GB"/>
        </w:rPr>
        <w:t xml:space="preserve">One of the guiding principles of the </w:t>
      </w:r>
      <w:r w:rsidR="00190CF9" w:rsidRPr="00190CF9">
        <w:rPr>
          <w:rFonts w:ascii="Avenir Next" w:hAnsi="Avenir Next" w:cs="Arial"/>
          <w:color w:val="808080" w:themeColor="background1" w:themeShade="80"/>
          <w:sz w:val="22"/>
          <w:szCs w:val="22"/>
          <w:lang w:val="en-GB"/>
        </w:rPr>
        <w:t xml:space="preserve">Model Law </w:t>
      </w:r>
      <w:r w:rsidR="006F02BB">
        <w:rPr>
          <w:rFonts w:ascii="Avenir Next" w:hAnsi="Avenir Next" w:cs="Arial"/>
          <w:color w:val="808080" w:themeColor="background1" w:themeShade="80"/>
          <w:sz w:val="22"/>
          <w:szCs w:val="22"/>
          <w:lang w:val="en-GB"/>
        </w:rPr>
        <w:t xml:space="preserve">is </w:t>
      </w:r>
      <w:r w:rsidR="006F02BB" w:rsidRPr="006F02BB">
        <w:rPr>
          <w:rFonts w:ascii="Avenir Next" w:hAnsi="Avenir Next" w:cs="Arial"/>
          <w:color w:val="808080" w:themeColor="background1" w:themeShade="80"/>
          <w:sz w:val="22"/>
          <w:szCs w:val="22"/>
          <w:lang w:val="en-GB"/>
        </w:rPr>
        <w:t>co-operation and co-ordination</w:t>
      </w:r>
      <w:r w:rsidR="006F02BB">
        <w:rPr>
          <w:rFonts w:ascii="Avenir Next" w:hAnsi="Avenir Next" w:cs="Arial"/>
          <w:color w:val="808080" w:themeColor="background1" w:themeShade="80"/>
          <w:sz w:val="22"/>
          <w:szCs w:val="22"/>
          <w:lang w:val="en-GB"/>
        </w:rPr>
        <w:t xml:space="preserve"> and it</w:t>
      </w:r>
      <w:r w:rsidR="006F02BB" w:rsidRPr="006F02BB">
        <w:rPr>
          <w:rFonts w:ascii="Avenir Next" w:hAnsi="Avenir Next" w:cs="Arial"/>
          <w:color w:val="808080" w:themeColor="background1" w:themeShade="80"/>
          <w:sz w:val="22"/>
          <w:szCs w:val="22"/>
          <w:lang w:val="en-GB"/>
        </w:rPr>
        <w:t xml:space="preserve"> </w:t>
      </w:r>
      <w:r w:rsidR="006F02BB">
        <w:rPr>
          <w:rFonts w:ascii="Avenir Next" w:hAnsi="Avenir Next" w:cs="Arial"/>
          <w:color w:val="808080" w:themeColor="background1" w:themeShade="80"/>
          <w:sz w:val="22"/>
          <w:szCs w:val="22"/>
          <w:lang w:val="en-GB"/>
        </w:rPr>
        <w:t>obliges</w:t>
      </w:r>
      <w:r w:rsidR="006F02BB" w:rsidRPr="006F02BB">
        <w:rPr>
          <w:rFonts w:ascii="Avenir Next" w:hAnsi="Avenir Next" w:cs="Arial"/>
          <w:color w:val="808080" w:themeColor="background1" w:themeShade="80"/>
          <w:sz w:val="22"/>
          <w:szCs w:val="22"/>
          <w:lang w:val="en-GB"/>
        </w:rPr>
        <w:t xml:space="preserve"> courts and insolvency representatives in different States to</w:t>
      </w:r>
      <w:r w:rsidR="006F02BB">
        <w:rPr>
          <w:rFonts w:ascii="Avenir Next" w:hAnsi="Avenir Next" w:cs="Arial"/>
          <w:color w:val="808080" w:themeColor="background1" w:themeShade="80"/>
          <w:sz w:val="22"/>
          <w:szCs w:val="22"/>
          <w:lang w:val="en-GB"/>
        </w:rPr>
        <w:t xml:space="preserve"> </w:t>
      </w:r>
      <w:r w:rsidR="006F02BB" w:rsidRPr="006F02BB">
        <w:rPr>
          <w:rFonts w:ascii="Avenir Next" w:hAnsi="Avenir Next" w:cs="Arial"/>
          <w:color w:val="808080" w:themeColor="background1" w:themeShade="80"/>
          <w:sz w:val="22"/>
          <w:szCs w:val="22"/>
          <w:lang w:val="en-GB"/>
        </w:rPr>
        <w:t>communicate and co-operate to the maximum extent possible with a view to ensuring</w:t>
      </w:r>
      <w:r w:rsidR="006F02BB">
        <w:rPr>
          <w:rFonts w:ascii="Avenir Next" w:hAnsi="Avenir Next" w:cs="Arial"/>
          <w:color w:val="808080" w:themeColor="background1" w:themeShade="80"/>
          <w:sz w:val="22"/>
          <w:szCs w:val="22"/>
          <w:lang w:val="en-GB"/>
        </w:rPr>
        <w:t xml:space="preserve"> </w:t>
      </w:r>
      <w:r w:rsidR="006F02BB" w:rsidRPr="006F02BB">
        <w:rPr>
          <w:rFonts w:ascii="Avenir Next" w:hAnsi="Avenir Next" w:cs="Arial"/>
          <w:color w:val="808080" w:themeColor="background1" w:themeShade="80"/>
          <w:sz w:val="22"/>
          <w:szCs w:val="22"/>
          <w:lang w:val="en-GB"/>
        </w:rPr>
        <w:t xml:space="preserve">that </w:t>
      </w:r>
      <w:r w:rsidR="006F02BB">
        <w:rPr>
          <w:rFonts w:ascii="Avenir Next" w:hAnsi="Avenir Next" w:cs="Arial"/>
          <w:color w:val="808080" w:themeColor="background1" w:themeShade="80"/>
          <w:sz w:val="22"/>
          <w:szCs w:val="22"/>
          <w:lang w:val="en-GB"/>
        </w:rPr>
        <w:t>a</w:t>
      </w:r>
      <w:r w:rsidR="006F02BB" w:rsidRPr="006F02BB">
        <w:rPr>
          <w:rFonts w:ascii="Avenir Next" w:hAnsi="Avenir Next" w:cs="Arial"/>
          <w:color w:val="808080" w:themeColor="background1" w:themeShade="80"/>
          <w:sz w:val="22"/>
          <w:szCs w:val="22"/>
          <w:lang w:val="en-GB"/>
        </w:rPr>
        <w:t xml:space="preserve"> debtor’s insolvent estate is administered fairly and efficiently, with a view to</w:t>
      </w:r>
      <w:r w:rsidR="006F02BB">
        <w:rPr>
          <w:rFonts w:ascii="Avenir Next" w:hAnsi="Avenir Next" w:cs="Arial"/>
          <w:color w:val="808080" w:themeColor="background1" w:themeShade="80"/>
          <w:sz w:val="22"/>
          <w:szCs w:val="22"/>
          <w:lang w:val="en-GB"/>
        </w:rPr>
        <w:t xml:space="preserve"> </w:t>
      </w:r>
      <w:r w:rsidR="006F02BB" w:rsidRPr="006F02BB">
        <w:rPr>
          <w:rFonts w:ascii="Avenir Next" w:hAnsi="Avenir Next" w:cs="Arial"/>
          <w:color w:val="808080" w:themeColor="background1" w:themeShade="80"/>
          <w:sz w:val="22"/>
          <w:szCs w:val="22"/>
          <w:lang w:val="en-GB"/>
        </w:rPr>
        <w:t>maximising benefits to creditors</w:t>
      </w:r>
      <w:r w:rsidR="006F02BB">
        <w:rPr>
          <w:rFonts w:ascii="Avenir Next" w:hAnsi="Avenir Next" w:cs="Arial"/>
          <w:color w:val="808080" w:themeColor="background1" w:themeShade="80"/>
          <w:sz w:val="22"/>
          <w:szCs w:val="22"/>
          <w:lang w:val="en-GB"/>
        </w:rPr>
        <w:t>.</w:t>
      </w:r>
      <w:r w:rsidR="006F02BB">
        <w:rPr>
          <w:rStyle w:val="FootnoteReference"/>
          <w:rFonts w:ascii="Avenir Next" w:hAnsi="Avenir Next" w:cs="Arial"/>
          <w:color w:val="808080" w:themeColor="background1" w:themeShade="80"/>
          <w:sz w:val="22"/>
          <w:szCs w:val="22"/>
          <w:lang w:val="en-GB"/>
        </w:rPr>
        <w:footnoteReference w:id="24"/>
      </w:r>
      <w:r w:rsidR="00127BDF">
        <w:rPr>
          <w:rFonts w:ascii="Avenir Next" w:hAnsi="Avenir Next" w:cs="Arial"/>
          <w:color w:val="808080" w:themeColor="background1" w:themeShade="80"/>
          <w:sz w:val="22"/>
          <w:szCs w:val="22"/>
          <w:lang w:val="en-GB"/>
        </w:rPr>
        <w:t xml:space="preserve"> The Model </w:t>
      </w:r>
      <w:r w:rsidR="00CB15A5">
        <w:rPr>
          <w:rFonts w:ascii="Avenir Next" w:hAnsi="Avenir Next" w:cs="Arial"/>
          <w:color w:val="808080" w:themeColor="background1" w:themeShade="80"/>
          <w:sz w:val="22"/>
          <w:szCs w:val="22"/>
          <w:lang w:val="en-GB"/>
        </w:rPr>
        <w:t xml:space="preserve">Law </w:t>
      </w:r>
      <w:r w:rsidR="00127BDF">
        <w:rPr>
          <w:rFonts w:ascii="Avenir Next" w:hAnsi="Avenir Next" w:cs="Arial"/>
          <w:color w:val="808080" w:themeColor="background1" w:themeShade="80"/>
          <w:sz w:val="22"/>
          <w:szCs w:val="22"/>
          <w:lang w:val="en-GB"/>
        </w:rPr>
        <w:t xml:space="preserve">has been </w:t>
      </w:r>
      <w:r w:rsidR="00190CF9">
        <w:rPr>
          <w:rFonts w:ascii="Avenir Next" w:hAnsi="Avenir Next" w:cs="Arial"/>
          <w:color w:val="808080" w:themeColor="background1" w:themeShade="80"/>
          <w:sz w:val="22"/>
          <w:szCs w:val="22"/>
          <w:lang w:val="en-GB"/>
        </w:rPr>
        <w:t xml:space="preserve">adopted by many states and </w:t>
      </w:r>
      <w:r w:rsidR="00190CF9" w:rsidRPr="00190CF9">
        <w:rPr>
          <w:rFonts w:ascii="Avenir Next" w:hAnsi="Avenir Next" w:cs="Arial"/>
          <w:color w:val="808080" w:themeColor="background1" w:themeShade="80"/>
          <w:sz w:val="22"/>
          <w:szCs w:val="22"/>
          <w:lang w:val="en-GB"/>
        </w:rPr>
        <w:t xml:space="preserve">is </w:t>
      </w:r>
      <w:r w:rsidR="00127BDF">
        <w:rPr>
          <w:rFonts w:ascii="Avenir Next" w:hAnsi="Avenir Next" w:cs="Arial"/>
          <w:color w:val="808080" w:themeColor="background1" w:themeShade="80"/>
          <w:sz w:val="22"/>
          <w:szCs w:val="22"/>
          <w:lang w:val="en-GB"/>
        </w:rPr>
        <w:t xml:space="preserve">working as an </w:t>
      </w:r>
      <w:r w:rsidR="00190CF9" w:rsidRPr="00190CF9">
        <w:rPr>
          <w:rFonts w:ascii="Avenir Next" w:hAnsi="Avenir Next" w:cs="Arial"/>
          <w:color w:val="808080" w:themeColor="background1" w:themeShade="80"/>
          <w:sz w:val="22"/>
          <w:szCs w:val="22"/>
          <w:lang w:val="en-GB"/>
        </w:rPr>
        <w:t>effective body of soft laws and regulations between foreign States engaged in cross-border insolvency proceedings.</w:t>
      </w:r>
      <w:r w:rsidR="006F02BB">
        <w:rPr>
          <w:rFonts w:ascii="Avenir Next" w:hAnsi="Avenir Next" w:cs="Arial"/>
          <w:color w:val="808080" w:themeColor="background1" w:themeShade="80"/>
          <w:sz w:val="22"/>
          <w:szCs w:val="22"/>
          <w:lang w:val="en-GB"/>
        </w:rPr>
        <w:t xml:space="preserve"> </w:t>
      </w:r>
    </w:p>
    <w:p w14:paraId="031EEDBE" w14:textId="77777777" w:rsidR="00190CF9" w:rsidRDefault="00190CF9" w:rsidP="00190CF9">
      <w:pPr>
        <w:jc w:val="both"/>
        <w:rPr>
          <w:rFonts w:ascii="Avenir Next" w:hAnsi="Avenir Next" w:cs="Arial"/>
          <w:color w:val="808080" w:themeColor="background1" w:themeShade="80"/>
          <w:sz w:val="22"/>
          <w:szCs w:val="22"/>
          <w:lang w:val="en-GB"/>
        </w:rPr>
      </w:pPr>
    </w:p>
    <w:p w14:paraId="7871FAE8" w14:textId="245D9735" w:rsidR="00190CF9" w:rsidRPr="00DA42DA" w:rsidRDefault="00190CF9" w:rsidP="00190CF9">
      <w:pPr>
        <w:jc w:val="both"/>
        <w:rPr>
          <w:rFonts w:ascii="Avenir Next" w:hAnsi="Avenir Next" w:cs="Arial"/>
          <w:color w:val="808080" w:themeColor="background1" w:themeShade="80"/>
          <w:sz w:val="22"/>
          <w:szCs w:val="22"/>
          <w:lang w:val="en-GB"/>
        </w:rPr>
      </w:pPr>
      <w:r w:rsidRPr="00190CF9">
        <w:rPr>
          <w:rFonts w:ascii="Avenir Next" w:hAnsi="Avenir Next" w:cs="Arial"/>
          <w:color w:val="808080" w:themeColor="background1" w:themeShade="80"/>
          <w:sz w:val="22"/>
          <w:szCs w:val="22"/>
          <w:lang w:val="en-GB"/>
        </w:rPr>
        <w:t>A final example of a model, or in this instance “guiding principle” that States can use to</w:t>
      </w:r>
      <w:r w:rsidR="00127BDF">
        <w:rPr>
          <w:rFonts w:ascii="Avenir Next" w:hAnsi="Avenir Next" w:cs="Arial"/>
          <w:color w:val="808080" w:themeColor="background1" w:themeShade="80"/>
          <w:sz w:val="22"/>
          <w:szCs w:val="22"/>
          <w:lang w:val="en-GB"/>
        </w:rPr>
        <w:t xml:space="preserve"> </w:t>
      </w:r>
      <w:r w:rsidRPr="00190CF9">
        <w:rPr>
          <w:rFonts w:ascii="Avenir Next" w:hAnsi="Avenir Next" w:cs="Arial"/>
          <w:color w:val="808080" w:themeColor="background1" w:themeShade="80"/>
          <w:sz w:val="22"/>
          <w:szCs w:val="22"/>
          <w:lang w:val="en-GB"/>
        </w:rPr>
        <w:t xml:space="preserve">enhance their cross-border insolvency laws is </w:t>
      </w:r>
      <w:r w:rsidR="00127BDF">
        <w:rPr>
          <w:rFonts w:ascii="Avenir Next" w:hAnsi="Avenir Next" w:cs="Arial"/>
          <w:color w:val="808080" w:themeColor="background1" w:themeShade="80"/>
          <w:sz w:val="22"/>
          <w:szCs w:val="22"/>
          <w:lang w:val="en-GB"/>
        </w:rPr>
        <w:t xml:space="preserve">the </w:t>
      </w:r>
      <w:r w:rsidRPr="00190CF9">
        <w:rPr>
          <w:rFonts w:ascii="Avenir Next" w:hAnsi="Avenir Next" w:cs="Arial"/>
          <w:color w:val="808080" w:themeColor="background1" w:themeShade="80"/>
          <w:sz w:val="22"/>
          <w:szCs w:val="22"/>
          <w:lang w:val="en-GB"/>
        </w:rPr>
        <w:t>“JIN Guidelines”</w:t>
      </w:r>
      <w:r w:rsidR="00127BDF">
        <w:rPr>
          <w:rFonts w:ascii="Avenir Next" w:hAnsi="Avenir Next" w:cs="Arial"/>
          <w:color w:val="808080" w:themeColor="background1" w:themeShade="80"/>
          <w:sz w:val="22"/>
          <w:szCs w:val="22"/>
          <w:lang w:val="en-GB"/>
        </w:rPr>
        <w:t xml:space="preserve">. The JIN Guidelines were </w:t>
      </w:r>
      <w:r w:rsidRPr="00190CF9">
        <w:rPr>
          <w:rFonts w:ascii="Avenir Next" w:hAnsi="Avenir Next" w:cs="Arial"/>
          <w:color w:val="808080" w:themeColor="background1" w:themeShade="80"/>
          <w:sz w:val="22"/>
          <w:szCs w:val="22"/>
          <w:lang w:val="en-GB"/>
        </w:rPr>
        <w:t>developed in 2016 during the Judicial</w:t>
      </w:r>
      <w:r w:rsidR="00127BDF">
        <w:rPr>
          <w:rFonts w:ascii="Avenir Next" w:hAnsi="Avenir Next" w:cs="Arial"/>
          <w:color w:val="808080" w:themeColor="background1" w:themeShade="80"/>
          <w:sz w:val="22"/>
          <w:szCs w:val="22"/>
          <w:lang w:val="en-GB"/>
        </w:rPr>
        <w:t xml:space="preserve"> </w:t>
      </w:r>
      <w:r w:rsidRPr="00190CF9">
        <w:rPr>
          <w:rFonts w:ascii="Avenir Next" w:hAnsi="Avenir Next" w:cs="Arial"/>
          <w:color w:val="808080" w:themeColor="background1" w:themeShade="80"/>
          <w:sz w:val="22"/>
          <w:szCs w:val="22"/>
          <w:lang w:val="en-GB"/>
        </w:rPr>
        <w:t>Insolvency Conference in Singapore</w:t>
      </w:r>
      <w:r w:rsidR="00127BDF">
        <w:rPr>
          <w:rFonts w:ascii="Avenir Next" w:hAnsi="Avenir Next" w:cs="Arial"/>
          <w:color w:val="808080" w:themeColor="background1" w:themeShade="80"/>
          <w:sz w:val="22"/>
          <w:szCs w:val="22"/>
          <w:lang w:val="en-GB"/>
        </w:rPr>
        <w:t xml:space="preserve"> and aim </w:t>
      </w:r>
      <w:r w:rsidR="00CB15A5">
        <w:rPr>
          <w:rFonts w:ascii="Avenir Next" w:hAnsi="Avenir Next" w:cs="Arial"/>
          <w:color w:val="808080" w:themeColor="background1" w:themeShade="80"/>
          <w:sz w:val="22"/>
          <w:szCs w:val="22"/>
          <w:lang w:val="en-GB"/>
        </w:rPr>
        <w:t xml:space="preserve">to </w:t>
      </w:r>
      <w:r w:rsidRPr="00190CF9">
        <w:rPr>
          <w:rFonts w:ascii="Avenir Next" w:hAnsi="Avenir Next" w:cs="Arial"/>
          <w:color w:val="808080" w:themeColor="background1" w:themeShade="80"/>
          <w:sz w:val="22"/>
          <w:szCs w:val="22"/>
          <w:lang w:val="en-GB"/>
        </w:rPr>
        <w:t>promote</w:t>
      </w:r>
      <w:r w:rsidR="00127BDF">
        <w:rPr>
          <w:rFonts w:ascii="Avenir Next" w:hAnsi="Avenir Next" w:cs="Arial"/>
          <w:color w:val="808080" w:themeColor="background1" w:themeShade="80"/>
          <w:sz w:val="22"/>
          <w:szCs w:val="22"/>
          <w:lang w:val="en-GB"/>
        </w:rPr>
        <w:t xml:space="preserve"> </w:t>
      </w:r>
      <w:r w:rsidRPr="00190CF9">
        <w:rPr>
          <w:rFonts w:ascii="Avenir Next" w:hAnsi="Avenir Next" w:cs="Arial"/>
          <w:color w:val="808080" w:themeColor="background1" w:themeShade="80"/>
          <w:sz w:val="22"/>
          <w:szCs w:val="22"/>
          <w:lang w:val="en-GB"/>
        </w:rPr>
        <w:t xml:space="preserve">communication and cooperation between Courts </w:t>
      </w:r>
      <w:r w:rsidR="00127BDF">
        <w:rPr>
          <w:rFonts w:ascii="Avenir Next" w:hAnsi="Avenir Next" w:cs="Arial"/>
          <w:color w:val="808080" w:themeColor="background1" w:themeShade="80"/>
          <w:sz w:val="22"/>
          <w:szCs w:val="22"/>
          <w:lang w:val="en-GB"/>
        </w:rPr>
        <w:t xml:space="preserve">of member States </w:t>
      </w:r>
      <w:r w:rsidRPr="00190CF9">
        <w:rPr>
          <w:rFonts w:ascii="Avenir Next" w:hAnsi="Avenir Next" w:cs="Arial"/>
          <w:color w:val="808080" w:themeColor="background1" w:themeShade="80"/>
          <w:sz w:val="22"/>
          <w:szCs w:val="22"/>
          <w:lang w:val="en-GB"/>
        </w:rPr>
        <w:t>in a cross-border insolvency matters</w:t>
      </w:r>
      <w:r w:rsidR="00127BDF">
        <w:rPr>
          <w:rFonts w:ascii="Avenir Next" w:hAnsi="Avenir Next" w:cs="Arial"/>
          <w:color w:val="808080" w:themeColor="background1" w:themeShade="80"/>
          <w:sz w:val="22"/>
          <w:szCs w:val="22"/>
          <w:lang w:val="en-GB"/>
        </w:rPr>
        <w:t xml:space="preserve"> </w:t>
      </w:r>
      <w:r w:rsidR="00881F03" w:rsidRPr="00190CF9">
        <w:rPr>
          <w:rFonts w:ascii="Avenir Next" w:hAnsi="Avenir Next" w:cs="Arial"/>
          <w:color w:val="808080" w:themeColor="background1" w:themeShade="80"/>
          <w:sz w:val="22"/>
          <w:szCs w:val="22"/>
          <w:lang w:val="en-GB"/>
        </w:rPr>
        <w:t xml:space="preserve">and, </w:t>
      </w:r>
      <w:r w:rsidR="00881F03">
        <w:rPr>
          <w:rFonts w:ascii="Avenir Next" w:hAnsi="Avenir Next" w:cs="Arial"/>
          <w:color w:val="808080" w:themeColor="background1" w:themeShade="80"/>
          <w:sz w:val="22"/>
          <w:szCs w:val="22"/>
          <w:lang w:val="en-GB"/>
        </w:rPr>
        <w:t xml:space="preserve">particularly </w:t>
      </w:r>
      <w:r w:rsidR="00881F03" w:rsidRPr="00190CF9">
        <w:rPr>
          <w:rFonts w:ascii="Avenir Next" w:hAnsi="Avenir Next" w:cs="Arial"/>
          <w:color w:val="808080" w:themeColor="background1" w:themeShade="80"/>
          <w:sz w:val="22"/>
          <w:szCs w:val="22"/>
          <w:lang w:val="en-GB"/>
        </w:rPr>
        <w:t>where</w:t>
      </w:r>
      <w:r w:rsidRPr="00190CF9">
        <w:rPr>
          <w:rFonts w:ascii="Avenir Next" w:hAnsi="Avenir Next" w:cs="Arial"/>
          <w:color w:val="808080" w:themeColor="background1" w:themeShade="80"/>
          <w:sz w:val="22"/>
          <w:szCs w:val="22"/>
          <w:lang w:val="en-GB"/>
        </w:rPr>
        <w:t xml:space="preserve"> there are </w:t>
      </w:r>
      <w:r w:rsidR="00881F03">
        <w:rPr>
          <w:rFonts w:ascii="Avenir Next" w:hAnsi="Avenir Next" w:cs="Arial"/>
          <w:color w:val="808080" w:themeColor="background1" w:themeShade="80"/>
          <w:sz w:val="22"/>
          <w:szCs w:val="22"/>
          <w:lang w:val="en-GB"/>
        </w:rPr>
        <w:t xml:space="preserve">parallel insolvency proceedings ongoing in two or more jurisdictions. </w:t>
      </w:r>
      <w:r w:rsidRPr="00190CF9">
        <w:rPr>
          <w:rFonts w:ascii="Avenir Next" w:hAnsi="Avenir Next" w:cs="Arial"/>
          <w:color w:val="808080" w:themeColor="background1" w:themeShade="80"/>
          <w:sz w:val="22"/>
          <w:szCs w:val="22"/>
          <w:lang w:val="en-GB"/>
        </w:rPr>
        <w:t xml:space="preserve">These guidelines have since been adopted in courts in </w:t>
      </w:r>
      <w:r w:rsidR="00465113" w:rsidRPr="00190CF9">
        <w:rPr>
          <w:rFonts w:ascii="Avenir Next" w:hAnsi="Avenir Next" w:cs="Arial"/>
          <w:color w:val="808080" w:themeColor="background1" w:themeShade="80"/>
          <w:sz w:val="22"/>
          <w:szCs w:val="22"/>
          <w:lang w:val="en-GB"/>
        </w:rPr>
        <w:t>several</w:t>
      </w:r>
      <w:r w:rsidRPr="00190CF9">
        <w:rPr>
          <w:rFonts w:ascii="Avenir Next" w:hAnsi="Avenir Next" w:cs="Arial"/>
          <w:color w:val="808080" w:themeColor="background1" w:themeShade="80"/>
          <w:sz w:val="22"/>
          <w:szCs w:val="22"/>
          <w:lang w:val="en-GB"/>
        </w:rPr>
        <w:t xml:space="preserve"> </w:t>
      </w:r>
      <w:r w:rsidR="00465113">
        <w:rPr>
          <w:rFonts w:ascii="Avenir Next" w:hAnsi="Avenir Next" w:cs="Arial"/>
          <w:color w:val="808080" w:themeColor="background1" w:themeShade="80"/>
          <w:sz w:val="22"/>
          <w:szCs w:val="22"/>
          <w:lang w:val="en-GB"/>
        </w:rPr>
        <w:t>S</w:t>
      </w:r>
      <w:r w:rsidRPr="00190CF9">
        <w:rPr>
          <w:rFonts w:ascii="Avenir Next" w:hAnsi="Avenir Next" w:cs="Arial"/>
          <w:color w:val="808080" w:themeColor="background1" w:themeShade="80"/>
          <w:sz w:val="22"/>
          <w:szCs w:val="22"/>
          <w:lang w:val="en-GB"/>
        </w:rPr>
        <w:t>tates</w:t>
      </w:r>
      <w:r w:rsidR="00881F03">
        <w:rPr>
          <w:rFonts w:ascii="Avenir Next" w:hAnsi="Avenir Next" w:cs="Arial"/>
          <w:color w:val="808080" w:themeColor="background1" w:themeShade="80"/>
          <w:sz w:val="22"/>
          <w:szCs w:val="22"/>
          <w:lang w:val="en-GB"/>
        </w:rPr>
        <w:t xml:space="preserve"> </w:t>
      </w:r>
      <w:r w:rsidRPr="00190CF9">
        <w:rPr>
          <w:rFonts w:ascii="Avenir Next" w:hAnsi="Avenir Next" w:cs="Arial"/>
          <w:color w:val="808080" w:themeColor="background1" w:themeShade="80"/>
          <w:sz w:val="22"/>
          <w:szCs w:val="22"/>
          <w:lang w:val="en-GB"/>
        </w:rPr>
        <w:t xml:space="preserve">such as the Americas, </w:t>
      </w:r>
      <w:r w:rsidR="00A234D3" w:rsidRPr="00190CF9">
        <w:rPr>
          <w:rFonts w:ascii="Avenir Next" w:hAnsi="Avenir Next" w:cs="Arial"/>
          <w:color w:val="808080" w:themeColor="background1" w:themeShade="80"/>
          <w:sz w:val="22"/>
          <w:szCs w:val="22"/>
          <w:lang w:val="en-GB"/>
        </w:rPr>
        <w:t>Asia,</w:t>
      </w:r>
      <w:r w:rsidRPr="00190CF9">
        <w:rPr>
          <w:rFonts w:ascii="Avenir Next" w:hAnsi="Avenir Next" w:cs="Arial"/>
          <w:color w:val="808080" w:themeColor="background1" w:themeShade="80"/>
          <w:sz w:val="22"/>
          <w:szCs w:val="22"/>
          <w:lang w:val="en-GB"/>
        </w:rPr>
        <w:t xml:space="preserve"> and the </w:t>
      </w:r>
      <w:r w:rsidR="00D4632F">
        <w:rPr>
          <w:rFonts w:ascii="Avenir Next" w:hAnsi="Avenir Next" w:cs="Arial"/>
          <w:color w:val="808080" w:themeColor="background1" w:themeShade="80"/>
          <w:sz w:val="22"/>
          <w:szCs w:val="22"/>
          <w:lang w:val="en-GB"/>
        </w:rPr>
        <w:t>UK</w:t>
      </w:r>
      <w:r w:rsidR="00881F03">
        <w:rPr>
          <w:rFonts w:ascii="Avenir Next" w:hAnsi="Avenir Next" w:cs="Arial"/>
          <w:color w:val="808080" w:themeColor="background1" w:themeShade="80"/>
          <w:sz w:val="22"/>
          <w:szCs w:val="22"/>
          <w:lang w:val="en-GB"/>
        </w:rPr>
        <w:t>.</w:t>
      </w:r>
      <w:r w:rsidR="00881F03">
        <w:rPr>
          <w:rStyle w:val="FootnoteReference"/>
          <w:rFonts w:ascii="Avenir Next" w:hAnsi="Avenir Next" w:cs="Arial"/>
          <w:color w:val="808080" w:themeColor="background1" w:themeShade="80"/>
          <w:sz w:val="22"/>
          <w:szCs w:val="22"/>
          <w:lang w:val="en-GB"/>
        </w:rPr>
        <w:footnoteReference w:id="25"/>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1294588B"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Inc also distributes its cars to India, South </w:t>
      </w:r>
      <w:proofErr w:type="gramStart"/>
      <w:r w:rsidRPr="00F85C0B">
        <w:rPr>
          <w:rFonts w:ascii="Avenir Next" w:hAnsi="Avenir Next" w:cs="Arial"/>
          <w:sz w:val="22"/>
          <w:szCs w:val="28"/>
        </w:rPr>
        <w:t>Africa</w:t>
      </w:r>
      <w:proofErr w:type="gramEnd"/>
      <w:r w:rsidRPr="00F85C0B">
        <w:rPr>
          <w:rFonts w:ascii="Avenir Next" w:hAnsi="Avenir Next" w:cs="Arial"/>
          <w:sz w:val="22"/>
          <w:szCs w:val="28"/>
        </w:rPr>
        <w:t xml:space="preserve">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60157CF9"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w:t>
      </w:r>
      <w:proofErr w:type="gramStart"/>
      <w:r w:rsidRPr="00DB5A5A">
        <w:rPr>
          <w:rFonts w:ascii="Avenir Next" w:hAnsi="Avenir Next" w:cs="Arial"/>
          <w:sz w:val="22"/>
          <w:szCs w:val="28"/>
        </w:rPr>
        <w:t>in order to</w:t>
      </w:r>
      <w:proofErr w:type="gramEnd"/>
      <w:r w:rsidRPr="00DB5A5A">
        <w:rPr>
          <w:rFonts w:ascii="Avenir Next" w:hAnsi="Avenir Next" w:cs="Arial"/>
          <w:sz w:val="22"/>
          <w:szCs w:val="28"/>
        </w:rPr>
        <w:t xml:space="preserve">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50B1CB0E" w14:textId="357E9695" w:rsidR="00DA2D3B" w:rsidRDefault="004876BF"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seeking to seek recognition of the American insolvency proceedings and</w:t>
      </w:r>
      <w:r w:rsidR="00CB15A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or orders in the England, the </w:t>
      </w:r>
      <w:r w:rsidR="00DA2D3B">
        <w:rPr>
          <w:rFonts w:ascii="Avenir Next" w:hAnsi="Avenir Next" w:cs="Arial"/>
          <w:color w:val="808080" w:themeColor="background1" w:themeShade="80"/>
          <w:sz w:val="22"/>
          <w:szCs w:val="22"/>
          <w:lang w:val="en-GB"/>
        </w:rPr>
        <w:t xml:space="preserve">following sources will be applicable </w:t>
      </w:r>
      <w:proofErr w:type="gramStart"/>
      <w:r w:rsidR="00DA2D3B">
        <w:rPr>
          <w:rFonts w:ascii="Avenir Next" w:hAnsi="Avenir Next" w:cs="Arial"/>
          <w:color w:val="808080" w:themeColor="background1" w:themeShade="80"/>
          <w:sz w:val="22"/>
          <w:szCs w:val="22"/>
          <w:lang w:val="en-GB"/>
        </w:rPr>
        <w:t>in order to</w:t>
      </w:r>
      <w:proofErr w:type="gramEnd"/>
      <w:r w:rsidR="00DA2D3B">
        <w:rPr>
          <w:rFonts w:ascii="Avenir Next" w:hAnsi="Avenir Next" w:cs="Arial"/>
          <w:color w:val="808080" w:themeColor="background1" w:themeShade="80"/>
          <w:sz w:val="22"/>
          <w:szCs w:val="22"/>
          <w:lang w:val="en-GB"/>
        </w:rPr>
        <w:t xml:space="preserve"> deal with Norton Cars Inc's</w:t>
      </w:r>
      <w:r w:rsidR="00465113">
        <w:rPr>
          <w:rFonts w:ascii="Avenir Next" w:hAnsi="Avenir Next" w:cs="Arial"/>
          <w:color w:val="808080" w:themeColor="background1" w:themeShade="80"/>
          <w:sz w:val="22"/>
          <w:szCs w:val="22"/>
          <w:lang w:val="en-GB"/>
        </w:rPr>
        <w:t xml:space="preserve"> (</w:t>
      </w:r>
      <w:r w:rsidR="00465113" w:rsidRPr="00465113">
        <w:rPr>
          <w:rFonts w:ascii="Avenir Next" w:hAnsi="Avenir Next" w:cs="Arial"/>
          <w:b/>
          <w:bCs/>
          <w:color w:val="808080" w:themeColor="background1" w:themeShade="80"/>
          <w:sz w:val="22"/>
          <w:szCs w:val="22"/>
          <w:lang w:val="en-GB"/>
        </w:rPr>
        <w:t>NCI</w:t>
      </w:r>
      <w:r w:rsidR="00465113">
        <w:rPr>
          <w:rFonts w:ascii="Avenir Next" w:hAnsi="Avenir Next" w:cs="Arial"/>
          <w:color w:val="808080" w:themeColor="background1" w:themeShade="80"/>
          <w:sz w:val="22"/>
          <w:szCs w:val="22"/>
          <w:lang w:val="en-GB"/>
        </w:rPr>
        <w:t>)</w:t>
      </w:r>
      <w:r w:rsidR="00DA2D3B">
        <w:rPr>
          <w:rFonts w:ascii="Avenir Next" w:hAnsi="Avenir Next" w:cs="Arial"/>
          <w:color w:val="808080" w:themeColor="background1" w:themeShade="80"/>
          <w:sz w:val="22"/>
          <w:szCs w:val="22"/>
          <w:lang w:val="en-GB"/>
        </w:rPr>
        <w:t xml:space="preserve"> assets in England.</w:t>
      </w:r>
    </w:p>
    <w:p w14:paraId="3E3D7D86" w14:textId="77777777" w:rsidR="00DA2D3B" w:rsidRDefault="00DA2D3B" w:rsidP="00DB5A5A">
      <w:pPr>
        <w:jc w:val="both"/>
        <w:rPr>
          <w:rFonts w:ascii="Avenir Next" w:hAnsi="Avenir Next" w:cs="Arial"/>
          <w:color w:val="808080" w:themeColor="background1" w:themeShade="80"/>
          <w:sz w:val="22"/>
          <w:szCs w:val="22"/>
          <w:lang w:val="en-GB"/>
        </w:rPr>
      </w:pPr>
    </w:p>
    <w:p w14:paraId="098B02C7" w14:textId="1977A749" w:rsidR="000F3BCE" w:rsidRDefault="00DA2D3B" w:rsidP="00FF3033">
      <w:pPr>
        <w:pStyle w:val="ListParagraph"/>
        <w:numPr>
          <w:ilvl w:val="0"/>
          <w:numId w:val="38"/>
        </w:numPr>
        <w:jc w:val="both"/>
        <w:rPr>
          <w:rFonts w:ascii="Avenir Next" w:hAnsi="Avenir Next" w:cs="Arial"/>
          <w:color w:val="808080" w:themeColor="background1" w:themeShade="80"/>
          <w:sz w:val="22"/>
          <w:szCs w:val="22"/>
          <w:lang w:val="en-GB"/>
        </w:rPr>
      </w:pPr>
      <w:r w:rsidRPr="004F3696">
        <w:rPr>
          <w:rFonts w:ascii="Avenir Next" w:hAnsi="Avenir Next" w:cs="Arial"/>
          <w:color w:val="808080" w:themeColor="background1" w:themeShade="80"/>
          <w:sz w:val="22"/>
          <w:szCs w:val="22"/>
          <w:lang w:val="en-GB"/>
        </w:rPr>
        <w:t xml:space="preserve">The English common law. </w:t>
      </w:r>
    </w:p>
    <w:p w14:paraId="65C647A7" w14:textId="77777777" w:rsidR="00FF3033" w:rsidRPr="00FF3033" w:rsidRDefault="00FF3033" w:rsidP="00FF3033">
      <w:pPr>
        <w:pStyle w:val="ListParagraph"/>
        <w:ind w:left="360"/>
        <w:jc w:val="both"/>
        <w:rPr>
          <w:rFonts w:ascii="Avenir Next" w:hAnsi="Avenir Next" w:cs="Arial"/>
          <w:color w:val="808080" w:themeColor="background1" w:themeShade="80"/>
          <w:sz w:val="22"/>
          <w:szCs w:val="22"/>
          <w:lang w:val="en-GB"/>
        </w:rPr>
      </w:pPr>
    </w:p>
    <w:p w14:paraId="4121317F" w14:textId="2C5A8C8E" w:rsidR="004F3696" w:rsidRDefault="00DA2D3B" w:rsidP="0034311D">
      <w:pPr>
        <w:pStyle w:val="ListParagraph"/>
        <w:numPr>
          <w:ilvl w:val="1"/>
          <w:numId w:val="38"/>
        </w:numPr>
        <w:jc w:val="both"/>
        <w:rPr>
          <w:rFonts w:ascii="Avenir Next" w:hAnsi="Avenir Next" w:cs="Arial"/>
          <w:color w:val="808080" w:themeColor="background1" w:themeShade="80"/>
          <w:sz w:val="22"/>
          <w:szCs w:val="22"/>
          <w:lang w:val="en-GB"/>
        </w:rPr>
      </w:pPr>
      <w:r w:rsidRPr="004F3696">
        <w:rPr>
          <w:rFonts w:ascii="Avenir Next" w:hAnsi="Avenir Next" w:cs="Arial"/>
          <w:color w:val="808080" w:themeColor="background1" w:themeShade="80"/>
          <w:sz w:val="22"/>
          <w:szCs w:val="22"/>
          <w:lang w:val="en-GB"/>
        </w:rPr>
        <w:t>In particular,</w:t>
      </w:r>
      <w:r w:rsidR="005F3FEC" w:rsidRPr="004F3696">
        <w:rPr>
          <w:rFonts w:ascii="Avenir Next" w:hAnsi="Avenir Next" w:cs="Arial"/>
          <w:color w:val="808080" w:themeColor="background1" w:themeShade="80"/>
          <w:sz w:val="22"/>
          <w:szCs w:val="22"/>
          <w:lang w:val="en-GB"/>
        </w:rPr>
        <w:t xml:space="preserve"> in</w:t>
      </w:r>
      <w:r w:rsidRPr="004F3696">
        <w:rPr>
          <w:rFonts w:ascii="Avenir Next" w:hAnsi="Avenir Next" w:cs="Arial"/>
          <w:color w:val="808080" w:themeColor="background1" w:themeShade="80"/>
          <w:sz w:val="22"/>
          <w:szCs w:val="22"/>
          <w:lang w:val="en-GB"/>
        </w:rPr>
        <w:t xml:space="preserve"> the House of Lords decision in </w:t>
      </w:r>
      <w:r w:rsidRPr="00C10AD7">
        <w:rPr>
          <w:rFonts w:ascii="Avenir Next" w:hAnsi="Avenir Next" w:cs="Arial"/>
          <w:i/>
          <w:iCs/>
          <w:color w:val="808080" w:themeColor="background1" w:themeShade="80"/>
          <w:sz w:val="22"/>
          <w:szCs w:val="22"/>
          <w:lang w:val="en-GB"/>
        </w:rPr>
        <w:t>McGrath v Riddell</w:t>
      </w:r>
      <w:r w:rsidRPr="004F3696">
        <w:rPr>
          <w:rFonts w:ascii="Avenir Next" w:hAnsi="Avenir Next" w:cs="Arial"/>
          <w:color w:val="808080" w:themeColor="background1" w:themeShade="80"/>
          <w:sz w:val="22"/>
          <w:szCs w:val="22"/>
          <w:lang w:val="en-GB"/>
        </w:rPr>
        <w:t xml:space="preserve"> </w:t>
      </w:r>
      <w:r w:rsidR="005F3FEC" w:rsidRPr="004F3696">
        <w:rPr>
          <w:rFonts w:ascii="Avenir Next" w:hAnsi="Avenir Next" w:cs="Arial"/>
          <w:color w:val="808080" w:themeColor="background1" w:themeShade="80"/>
          <w:sz w:val="22"/>
          <w:szCs w:val="22"/>
          <w:lang w:val="en-GB"/>
        </w:rPr>
        <w:t xml:space="preserve">[2008] UKHL 21, Lord Hoffmann referred to the English Court’s </w:t>
      </w:r>
      <w:r w:rsidR="005F3FEC" w:rsidRPr="004F3696">
        <w:rPr>
          <w:rFonts w:ascii="Avenir Next" w:hAnsi="Avenir Next" w:cs="Arial"/>
          <w:i/>
          <w:iCs/>
          <w:color w:val="808080" w:themeColor="background1" w:themeShade="80"/>
          <w:sz w:val="22"/>
          <w:szCs w:val="22"/>
          <w:lang w:val="en-GB"/>
        </w:rPr>
        <w:t>“jurisdiction at common law, under its established practice of giving directions to ancillary liquidators, to direct remittal of the English assets, notwithstanding any differences between the English and foreign systems of distribution”</w:t>
      </w:r>
      <w:r w:rsidR="005F3FEC" w:rsidRPr="004F3696">
        <w:rPr>
          <w:rFonts w:ascii="Avenir Next" w:hAnsi="Avenir Next" w:cs="Arial"/>
          <w:color w:val="808080" w:themeColor="background1" w:themeShade="80"/>
          <w:sz w:val="22"/>
          <w:szCs w:val="22"/>
          <w:lang w:val="en-GB"/>
        </w:rPr>
        <w:t>.</w:t>
      </w:r>
      <w:r w:rsidR="005F3FEC">
        <w:rPr>
          <w:rStyle w:val="FootnoteReference"/>
          <w:rFonts w:ascii="Avenir Next" w:hAnsi="Avenir Next" w:cs="Arial"/>
          <w:color w:val="808080" w:themeColor="background1" w:themeShade="80"/>
          <w:sz w:val="22"/>
          <w:szCs w:val="22"/>
          <w:lang w:val="en-GB"/>
        </w:rPr>
        <w:footnoteReference w:id="26"/>
      </w:r>
      <w:r w:rsidR="005F3FEC" w:rsidRPr="004F3696">
        <w:rPr>
          <w:rFonts w:ascii="Avenir Next" w:hAnsi="Avenir Next" w:cs="Arial"/>
          <w:color w:val="808080" w:themeColor="background1" w:themeShade="80"/>
          <w:sz w:val="22"/>
          <w:szCs w:val="22"/>
          <w:lang w:val="en-GB"/>
        </w:rPr>
        <w:t xml:space="preserve"> At paragraph 30, he stated: </w:t>
      </w:r>
      <w:r w:rsidR="005F3FEC" w:rsidRPr="004F3696">
        <w:rPr>
          <w:rFonts w:ascii="Avenir Next" w:hAnsi="Avenir Next" w:cs="Arial"/>
          <w:i/>
          <w:iCs/>
          <w:color w:val="808080" w:themeColor="background1" w:themeShade="80"/>
          <w:sz w:val="22"/>
          <w:szCs w:val="22"/>
          <w:lang w:val="en-GB"/>
        </w:rPr>
        <w:t>“[t]he primary rule of private international law ... applicable to this case is the principle of (modified) universalism, which has been the golden thread running through English cross-border insolvency law since the eighteenth century. That principle requires that English courts should, so far as is consistent with justice and UK public policy, co-operate with the courts in the country of the principal liquidation to ensure that all the company's assets are distributed to its creditors under a single system of distribution.”</w:t>
      </w:r>
      <w:r w:rsidR="005F3FEC" w:rsidRPr="004F3696">
        <w:rPr>
          <w:rFonts w:ascii="Avenir Next" w:hAnsi="Avenir Next" w:cs="Arial"/>
          <w:color w:val="808080" w:themeColor="background1" w:themeShade="80"/>
          <w:sz w:val="22"/>
          <w:szCs w:val="22"/>
          <w:lang w:val="en-GB"/>
        </w:rPr>
        <w:t>.</w:t>
      </w:r>
      <w:r w:rsidR="005F3FEC">
        <w:rPr>
          <w:rStyle w:val="FootnoteReference"/>
          <w:rFonts w:ascii="Avenir Next" w:hAnsi="Avenir Next" w:cs="Arial"/>
          <w:color w:val="808080" w:themeColor="background1" w:themeShade="80"/>
          <w:sz w:val="22"/>
          <w:szCs w:val="22"/>
          <w:lang w:val="en-GB"/>
        </w:rPr>
        <w:footnoteReference w:id="27"/>
      </w:r>
      <w:r w:rsidR="005F3FEC" w:rsidRPr="004F3696">
        <w:rPr>
          <w:rFonts w:ascii="Avenir Next" w:hAnsi="Avenir Next" w:cs="Arial"/>
          <w:color w:val="808080" w:themeColor="background1" w:themeShade="80"/>
          <w:sz w:val="22"/>
          <w:szCs w:val="22"/>
          <w:lang w:val="en-GB"/>
        </w:rPr>
        <w:t xml:space="preserve"> The American insolvent estate representative may rely on these statements in support of her application for the English Court to recognise her role so that </w:t>
      </w:r>
      <w:r w:rsidR="00465113">
        <w:rPr>
          <w:rFonts w:ascii="Avenir Next" w:hAnsi="Avenir Next" w:cs="Arial"/>
          <w:color w:val="808080" w:themeColor="background1" w:themeShade="80"/>
          <w:sz w:val="22"/>
          <w:szCs w:val="22"/>
          <w:lang w:val="en-GB"/>
        </w:rPr>
        <w:t>NCI's</w:t>
      </w:r>
      <w:r w:rsidR="005F3FEC" w:rsidRPr="004F3696">
        <w:rPr>
          <w:rFonts w:ascii="Avenir Next" w:hAnsi="Avenir Next" w:cs="Arial"/>
          <w:color w:val="808080" w:themeColor="background1" w:themeShade="80"/>
          <w:sz w:val="22"/>
          <w:szCs w:val="22"/>
          <w:lang w:val="en-GB"/>
        </w:rPr>
        <w:t xml:space="preserve"> English assets may be dealt with. </w:t>
      </w:r>
      <w:r w:rsidR="004F3696" w:rsidRPr="004F3696">
        <w:rPr>
          <w:rFonts w:ascii="Avenir Next" w:hAnsi="Avenir Next" w:cs="Arial"/>
          <w:color w:val="808080" w:themeColor="background1" w:themeShade="80"/>
          <w:sz w:val="22"/>
          <w:szCs w:val="22"/>
          <w:lang w:val="en-GB"/>
        </w:rPr>
        <w:t xml:space="preserve"> </w:t>
      </w:r>
    </w:p>
    <w:p w14:paraId="5EB683CE" w14:textId="77777777" w:rsidR="00FF3033" w:rsidRPr="00FF3033" w:rsidRDefault="00FF3033" w:rsidP="00FF3033">
      <w:pPr>
        <w:pStyle w:val="ListParagraph"/>
        <w:ind w:left="1080"/>
        <w:jc w:val="both"/>
        <w:rPr>
          <w:rFonts w:ascii="Avenir Next" w:hAnsi="Avenir Next" w:cs="Arial"/>
          <w:color w:val="808080" w:themeColor="background1" w:themeShade="80"/>
          <w:sz w:val="22"/>
          <w:szCs w:val="22"/>
          <w:lang w:val="en-GB"/>
        </w:rPr>
      </w:pPr>
    </w:p>
    <w:p w14:paraId="73563EEA" w14:textId="26A97E1C" w:rsidR="005F3FEC" w:rsidRDefault="005F3FEC" w:rsidP="004F3696">
      <w:pPr>
        <w:pStyle w:val="ListParagraph"/>
        <w:numPr>
          <w:ilvl w:val="1"/>
          <w:numId w:val="38"/>
        </w:numPr>
        <w:jc w:val="both"/>
        <w:rPr>
          <w:rFonts w:ascii="Avenir Next" w:hAnsi="Avenir Next" w:cs="Arial"/>
          <w:color w:val="808080" w:themeColor="background1" w:themeShade="80"/>
          <w:sz w:val="22"/>
          <w:szCs w:val="22"/>
          <w:lang w:val="en-GB"/>
        </w:rPr>
      </w:pPr>
      <w:r w:rsidRPr="004F3696">
        <w:rPr>
          <w:rFonts w:ascii="Avenir Next" w:hAnsi="Avenir Next" w:cs="Arial"/>
          <w:color w:val="808080" w:themeColor="background1" w:themeShade="80"/>
          <w:sz w:val="22"/>
          <w:szCs w:val="22"/>
          <w:lang w:val="en-GB"/>
        </w:rPr>
        <w:t xml:space="preserve">It is </w:t>
      </w:r>
      <w:r w:rsidR="0034311D">
        <w:rPr>
          <w:rFonts w:ascii="Avenir Next" w:hAnsi="Avenir Next" w:cs="Arial"/>
          <w:color w:val="808080" w:themeColor="background1" w:themeShade="80"/>
          <w:sz w:val="22"/>
          <w:szCs w:val="22"/>
          <w:lang w:val="en-GB"/>
        </w:rPr>
        <w:t xml:space="preserve">also </w:t>
      </w:r>
      <w:r w:rsidRPr="004F3696">
        <w:rPr>
          <w:rFonts w:ascii="Avenir Next" w:hAnsi="Avenir Next" w:cs="Arial"/>
          <w:color w:val="808080" w:themeColor="background1" w:themeShade="80"/>
          <w:sz w:val="22"/>
          <w:szCs w:val="22"/>
          <w:lang w:val="en-GB"/>
        </w:rPr>
        <w:t>noteworthy that the Insolvency Act 1986 (UK)</w:t>
      </w:r>
      <w:r w:rsidR="00A70876" w:rsidRPr="004F3696">
        <w:rPr>
          <w:rFonts w:ascii="Avenir Next" w:hAnsi="Avenir Next" w:cs="Arial"/>
          <w:color w:val="808080" w:themeColor="background1" w:themeShade="80"/>
          <w:sz w:val="22"/>
          <w:szCs w:val="22"/>
          <w:lang w:val="en-GB"/>
        </w:rPr>
        <w:t xml:space="preserve"> (the </w:t>
      </w:r>
      <w:r w:rsidR="00A70876" w:rsidRPr="004F3696">
        <w:rPr>
          <w:rFonts w:ascii="Avenir Next" w:hAnsi="Avenir Next" w:cs="Arial"/>
          <w:b/>
          <w:bCs/>
          <w:color w:val="808080" w:themeColor="background1" w:themeShade="80"/>
          <w:sz w:val="22"/>
          <w:szCs w:val="22"/>
          <w:lang w:val="en-GB"/>
        </w:rPr>
        <w:t>Insolvency Act</w:t>
      </w:r>
      <w:r w:rsidR="00A70876" w:rsidRPr="004F3696">
        <w:rPr>
          <w:rFonts w:ascii="Avenir Next" w:hAnsi="Avenir Next" w:cs="Arial"/>
          <w:color w:val="808080" w:themeColor="background1" w:themeShade="80"/>
          <w:sz w:val="22"/>
          <w:szCs w:val="22"/>
          <w:lang w:val="en-GB"/>
        </w:rPr>
        <w:t xml:space="preserve">) </w:t>
      </w:r>
      <w:r w:rsidRPr="004F3696">
        <w:rPr>
          <w:rFonts w:ascii="Avenir Next" w:hAnsi="Avenir Next" w:cs="Arial"/>
          <w:color w:val="808080" w:themeColor="background1" w:themeShade="80"/>
          <w:sz w:val="22"/>
          <w:szCs w:val="22"/>
          <w:lang w:val="en-GB"/>
        </w:rPr>
        <w:t xml:space="preserve">and particularly section </w:t>
      </w:r>
      <w:r w:rsidR="00A70876" w:rsidRPr="004F3696">
        <w:rPr>
          <w:rFonts w:ascii="Avenir Next" w:hAnsi="Avenir Next" w:cs="Arial"/>
          <w:color w:val="808080" w:themeColor="background1" w:themeShade="80"/>
          <w:sz w:val="22"/>
          <w:szCs w:val="22"/>
          <w:lang w:val="en-GB"/>
        </w:rPr>
        <w:t xml:space="preserve">426 which deals with </w:t>
      </w:r>
      <w:r w:rsidR="00465113">
        <w:rPr>
          <w:rFonts w:ascii="Avenir Next" w:hAnsi="Avenir Next" w:cs="Arial"/>
          <w:color w:val="808080" w:themeColor="background1" w:themeShade="80"/>
          <w:sz w:val="22"/>
          <w:szCs w:val="22"/>
          <w:lang w:val="en-GB"/>
        </w:rPr>
        <w:t>c</w:t>
      </w:r>
      <w:r w:rsidR="00A70876" w:rsidRPr="004F3696">
        <w:rPr>
          <w:rFonts w:ascii="Avenir Next" w:hAnsi="Avenir Next" w:cs="Arial"/>
          <w:color w:val="808080" w:themeColor="background1" w:themeShade="80"/>
          <w:sz w:val="22"/>
          <w:szCs w:val="22"/>
          <w:lang w:val="en-GB"/>
        </w:rPr>
        <w:t xml:space="preserve">o-operation between courts exercising jurisdiction in relation to insolvency and requires the English Court's to </w:t>
      </w:r>
      <w:r w:rsidR="0034311D">
        <w:rPr>
          <w:rFonts w:ascii="Avenir Next" w:hAnsi="Avenir Next" w:cs="Arial"/>
          <w:color w:val="808080" w:themeColor="background1" w:themeShade="80"/>
          <w:sz w:val="22"/>
          <w:szCs w:val="22"/>
          <w:lang w:val="en-GB"/>
        </w:rPr>
        <w:t>consider remitting assets collected in England to the foreign liquidators</w:t>
      </w:r>
      <w:r w:rsidR="00A70876" w:rsidRPr="004F3696">
        <w:rPr>
          <w:rFonts w:ascii="Avenir Next" w:hAnsi="Avenir Next" w:cs="Arial"/>
          <w:color w:val="808080" w:themeColor="background1" w:themeShade="80"/>
          <w:sz w:val="22"/>
          <w:szCs w:val="22"/>
          <w:lang w:val="en-GB"/>
        </w:rPr>
        <w:t xml:space="preserve"> in respect of 'relevant countries' as defined by the Insolvency Act will not be off assistance because the United States is not a relevant country for the purpose of the Insolvency Act.</w:t>
      </w:r>
    </w:p>
    <w:p w14:paraId="77254088" w14:textId="77777777" w:rsidR="0034311D" w:rsidRPr="0034311D" w:rsidRDefault="0034311D" w:rsidP="0034311D">
      <w:pPr>
        <w:pStyle w:val="ListParagraph"/>
        <w:rPr>
          <w:rFonts w:ascii="Avenir Next" w:hAnsi="Avenir Next" w:cs="Arial"/>
          <w:color w:val="808080" w:themeColor="background1" w:themeShade="80"/>
          <w:sz w:val="22"/>
          <w:szCs w:val="22"/>
          <w:lang w:val="en-GB"/>
        </w:rPr>
      </w:pPr>
    </w:p>
    <w:p w14:paraId="4F5FFF17" w14:textId="1311B2F9" w:rsidR="00FF3033" w:rsidRDefault="000F3BCE" w:rsidP="00FF3033">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Pr="000F3BCE">
        <w:rPr>
          <w:rFonts w:ascii="Avenir Next" w:hAnsi="Avenir Next" w:cs="Arial"/>
          <w:color w:val="808080" w:themeColor="background1" w:themeShade="80"/>
          <w:sz w:val="22"/>
          <w:szCs w:val="22"/>
          <w:lang w:val="en-GB"/>
        </w:rPr>
        <w:t xml:space="preserve"> </w:t>
      </w:r>
      <w:r w:rsidR="00E65F11">
        <w:rPr>
          <w:rFonts w:ascii="Avenir Next" w:hAnsi="Avenir Next" w:cs="Arial"/>
          <w:color w:val="808080" w:themeColor="background1" w:themeShade="80"/>
          <w:sz w:val="22"/>
          <w:szCs w:val="22"/>
          <w:lang w:val="en-GB"/>
        </w:rPr>
        <w:t xml:space="preserve">Model Law. </w:t>
      </w:r>
    </w:p>
    <w:p w14:paraId="65774471" w14:textId="77777777" w:rsidR="00FF3033" w:rsidRDefault="00FF3033" w:rsidP="00FF3033">
      <w:pPr>
        <w:pStyle w:val="ListParagraph"/>
        <w:ind w:left="360"/>
        <w:jc w:val="both"/>
        <w:rPr>
          <w:rFonts w:ascii="Avenir Next" w:hAnsi="Avenir Next" w:cs="Arial"/>
          <w:color w:val="808080" w:themeColor="background1" w:themeShade="80"/>
          <w:sz w:val="22"/>
          <w:szCs w:val="22"/>
          <w:lang w:val="en-GB"/>
        </w:rPr>
      </w:pPr>
    </w:p>
    <w:p w14:paraId="4D0CCCCB" w14:textId="290BBBDF" w:rsidR="00FF3033" w:rsidRDefault="000F3BCE" w:rsidP="00FF3033">
      <w:pPr>
        <w:pStyle w:val="ListParagraph"/>
        <w:numPr>
          <w:ilvl w:val="1"/>
          <w:numId w:val="38"/>
        </w:numPr>
        <w:jc w:val="both"/>
        <w:rPr>
          <w:rFonts w:ascii="Avenir Next" w:hAnsi="Avenir Next" w:cs="Arial"/>
          <w:color w:val="808080" w:themeColor="background1" w:themeShade="80"/>
          <w:sz w:val="22"/>
          <w:szCs w:val="22"/>
          <w:lang w:val="en-GB"/>
        </w:rPr>
      </w:pPr>
      <w:r w:rsidRPr="00FF3033">
        <w:rPr>
          <w:rFonts w:ascii="Avenir Next" w:hAnsi="Avenir Next" w:cs="Arial"/>
          <w:color w:val="808080" w:themeColor="background1" w:themeShade="80"/>
          <w:sz w:val="22"/>
          <w:szCs w:val="22"/>
          <w:lang w:val="en-GB"/>
        </w:rPr>
        <w:t xml:space="preserve">The Model Law has been incorporated into English law by the Cross Border Insolvency Regulations 2006 (the </w:t>
      </w:r>
      <w:r w:rsidRPr="00FF3033">
        <w:rPr>
          <w:rFonts w:ascii="Avenir Next" w:hAnsi="Avenir Next" w:cs="Arial"/>
          <w:b/>
          <w:bCs/>
          <w:color w:val="808080" w:themeColor="background1" w:themeShade="80"/>
          <w:sz w:val="22"/>
          <w:szCs w:val="22"/>
          <w:lang w:val="en-GB"/>
        </w:rPr>
        <w:t>CBIR</w:t>
      </w:r>
      <w:r w:rsidRPr="00FF3033">
        <w:rPr>
          <w:rFonts w:ascii="Avenir Next" w:hAnsi="Avenir Next" w:cs="Arial"/>
          <w:color w:val="808080" w:themeColor="background1" w:themeShade="80"/>
          <w:sz w:val="22"/>
          <w:szCs w:val="22"/>
          <w:lang w:val="en-GB"/>
        </w:rPr>
        <w:t>).</w:t>
      </w:r>
      <w:r w:rsidR="00FF3033" w:rsidRPr="00FF3033">
        <w:rPr>
          <w:rFonts w:ascii="Avenir Next" w:hAnsi="Avenir Next" w:cs="Arial"/>
          <w:color w:val="808080" w:themeColor="background1" w:themeShade="80"/>
          <w:sz w:val="22"/>
          <w:szCs w:val="22"/>
          <w:lang w:val="en-GB"/>
        </w:rPr>
        <w:t xml:space="preserve"> Article </w:t>
      </w:r>
      <w:r w:rsidRPr="00FF3033">
        <w:rPr>
          <w:rFonts w:ascii="Avenir Next" w:hAnsi="Avenir Next" w:cs="Arial"/>
          <w:color w:val="808080" w:themeColor="background1" w:themeShade="80"/>
          <w:sz w:val="22"/>
          <w:szCs w:val="22"/>
          <w:lang w:val="en-GB"/>
        </w:rPr>
        <w:t xml:space="preserve">21 of the CBIR allows an English Court to grant any appropriate relief where necessary to protect the assets of the debtor (or the interests of the creditors) where the foreign insolvency proceeding has been recognised by the English Court. </w:t>
      </w:r>
    </w:p>
    <w:p w14:paraId="576EA722" w14:textId="77777777" w:rsidR="00FF3033" w:rsidRPr="00FF3033" w:rsidRDefault="00FF3033" w:rsidP="00FF3033">
      <w:pPr>
        <w:ind w:left="720"/>
        <w:jc w:val="both"/>
        <w:rPr>
          <w:rFonts w:ascii="Avenir Next" w:hAnsi="Avenir Next" w:cs="Arial"/>
          <w:color w:val="808080" w:themeColor="background1" w:themeShade="80"/>
          <w:sz w:val="22"/>
          <w:szCs w:val="22"/>
          <w:lang w:val="en-GB"/>
        </w:rPr>
      </w:pPr>
    </w:p>
    <w:p w14:paraId="0A3868C9" w14:textId="6CBF9410" w:rsidR="004876BF" w:rsidRPr="001B73E9" w:rsidRDefault="00FF3033" w:rsidP="00560445">
      <w:pPr>
        <w:pStyle w:val="ListParagraph"/>
        <w:numPr>
          <w:ilvl w:val="1"/>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worth noting that the United States has also adopted the Model Law.</w:t>
      </w:r>
      <w:r>
        <w:rPr>
          <w:rStyle w:val="FootnoteReference"/>
          <w:rFonts w:ascii="Avenir Next" w:hAnsi="Avenir Next" w:cs="Arial"/>
          <w:color w:val="808080" w:themeColor="background1" w:themeShade="80"/>
          <w:sz w:val="22"/>
          <w:szCs w:val="22"/>
          <w:lang w:val="en-GB"/>
        </w:rPr>
        <w:footnoteReference w:id="28"/>
      </w:r>
      <w:r>
        <w:rPr>
          <w:rFonts w:ascii="Avenir Next" w:hAnsi="Avenir Next" w:cs="Arial"/>
          <w:color w:val="808080" w:themeColor="background1" w:themeShade="80"/>
          <w:sz w:val="22"/>
          <w:szCs w:val="22"/>
          <w:lang w:val="en-GB"/>
        </w:rPr>
        <w:t xml:space="preserve"> </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660A7A35" w:rsidR="002253D8" w:rsidRDefault="00785032"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circumstances where </w:t>
      </w:r>
      <w:r w:rsidR="00E65F11">
        <w:rPr>
          <w:rFonts w:ascii="Avenir Next" w:hAnsi="Avenir Next" w:cs="Arial"/>
          <w:color w:val="808080" w:themeColor="background1" w:themeShade="80"/>
          <w:sz w:val="22"/>
          <w:szCs w:val="22"/>
          <w:lang w:val="en-GB"/>
        </w:rPr>
        <w:t>NCI</w:t>
      </w:r>
      <w:r>
        <w:rPr>
          <w:rFonts w:ascii="Avenir Next" w:hAnsi="Avenir Next" w:cs="Arial"/>
          <w:color w:val="808080" w:themeColor="background1" w:themeShade="80"/>
          <w:sz w:val="22"/>
          <w:szCs w:val="22"/>
          <w:lang w:val="en-GB"/>
        </w:rPr>
        <w:t xml:space="preserve"> has its COMI in Italy and operations in Germany, </w:t>
      </w:r>
      <w:r w:rsidR="00B84D31">
        <w:rPr>
          <w:rFonts w:ascii="Avenir Next" w:hAnsi="Avenir Next" w:cs="Arial"/>
          <w:color w:val="808080" w:themeColor="background1" w:themeShade="80"/>
          <w:sz w:val="22"/>
          <w:szCs w:val="22"/>
          <w:lang w:val="en-GB"/>
        </w:rPr>
        <w:t xml:space="preserve">the appropriate legal sources as between those two States which are members of the European Union is the </w:t>
      </w:r>
      <w:r w:rsidR="00C426F0" w:rsidRPr="00E65F11">
        <w:rPr>
          <w:rFonts w:ascii="Avenir Next" w:hAnsi="Avenir Next" w:cs="Arial"/>
          <w:color w:val="808080" w:themeColor="background1" w:themeShade="80"/>
          <w:sz w:val="22"/>
          <w:szCs w:val="22"/>
          <w:lang w:val="en-GB"/>
        </w:rPr>
        <w:t>EIR Recast</w:t>
      </w:r>
      <w:r w:rsidR="00E65F11" w:rsidRPr="00E65F11">
        <w:rPr>
          <w:rFonts w:ascii="Avenir Next" w:hAnsi="Avenir Next" w:cs="Arial"/>
          <w:color w:val="808080" w:themeColor="background1" w:themeShade="80"/>
          <w:sz w:val="22"/>
          <w:szCs w:val="22"/>
          <w:lang w:val="en-GB"/>
        </w:rPr>
        <w:t>.</w:t>
      </w:r>
    </w:p>
    <w:p w14:paraId="2BB34110" w14:textId="77777777" w:rsidR="00B84D31" w:rsidRDefault="00B84D31" w:rsidP="002253D8">
      <w:pPr>
        <w:jc w:val="both"/>
        <w:rPr>
          <w:rFonts w:ascii="Avenir Next" w:hAnsi="Avenir Next" w:cs="Arial"/>
          <w:color w:val="808080" w:themeColor="background1" w:themeShade="80"/>
          <w:sz w:val="22"/>
          <w:szCs w:val="22"/>
          <w:lang w:val="en-GB"/>
        </w:rPr>
      </w:pPr>
    </w:p>
    <w:p w14:paraId="58841740" w14:textId="7B1EA167" w:rsidR="00B84D31" w:rsidRDefault="00B84D3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the EIR, the primary jurisdiction of the insolvency proceedings will be that of </w:t>
      </w:r>
      <w:r w:rsidR="00C10AD7">
        <w:rPr>
          <w:rFonts w:ascii="Avenir Next" w:hAnsi="Avenir Next" w:cs="Arial"/>
          <w:color w:val="808080" w:themeColor="background1" w:themeShade="80"/>
          <w:sz w:val="22"/>
          <w:szCs w:val="22"/>
          <w:lang w:val="en-GB"/>
        </w:rPr>
        <w:t xml:space="preserve">NCI's </w:t>
      </w:r>
      <w:r w:rsidRPr="00AE171A">
        <w:rPr>
          <w:rFonts w:ascii="Avenir Next" w:hAnsi="Avenir Next" w:cs="Arial"/>
          <w:color w:val="808080" w:themeColor="background1" w:themeShade="80"/>
          <w:sz w:val="22"/>
          <w:szCs w:val="22"/>
          <w:lang w:val="en-GB"/>
        </w:rPr>
        <w:t>COMI</w:t>
      </w:r>
      <w:r>
        <w:rPr>
          <w:rStyle w:val="FootnoteReference"/>
          <w:rFonts w:ascii="Avenir Next" w:hAnsi="Avenir Next" w:cs="Arial"/>
          <w:color w:val="808080" w:themeColor="background1" w:themeShade="80"/>
          <w:sz w:val="22"/>
          <w:szCs w:val="22"/>
          <w:lang w:val="en-GB"/>
        </w:rPr>
        <w:footnoteReference w:id="29"/>
      </w:r>
      <w:r>
        <w:rPr>
          <w:rFonts w:ascii="Avenir Next" w:hAnsi="Avenir Next" w:cs="Arial"/>
          <w:color w:val="808080" w:themeColor="background1" w:themeShade="80"/>
          <w:sz w:val="22"/>
          <w:szCs w:val="22"/>
          <w:lang w:val="en-GB"/>
        </w:rPr>
        <w:t xml:space="preserve"> which is presently in Italy. </w:t>
      </w:r>
      <w:r w:rsidR="001F0AA2">
        <w:rPr>
          <w:rFonts w:ascii="Avenir Next" w:hAnsi="Avenir Next" w:cs="Arial"/>
          <w:color w:val="808080" w:themeColor="background1" w:themeShade="80"/>
          <w:sz w:val="22"/>
          <w:szCs w:val="22"/>
          <w:lang w:val="en-GB"/>
        </w:rPr>
        <w:t xml:space="preserve">As a result, the main proceedings in respect of </w:t>
      </w:r>
      <w:r w:rsidR="00E65F11">
        <w:rPr>
          <w:rFonts w:ascii="Avenir Next" w:hAnsi="Avenir Next" w:cs="Arial"/>
          <w:color w:val="808080" w:themeColor="background1" w:themeShade="80"/>
          <w:sz w:val="22"/>
          <w:szCs w:val="22"/>
          <w:lang w:val="en-GB"/>
        </w:rPr>
        <w:t>NCI</w:t>
      </w:r>
      <w:r w:rsidR="001F0AA2">
        <w:rPr>
          <w:rFonts w:ascii="Avenir Next" w:hAnsi="Avenir Next" w:cs="Arial"/>
          <w:color w:val="808080" w:themeColor="background1" w:themeShade="80"/>
          <w:sz w:val="22"/>
          <w:szCs w:val="22"/>
          <w:lang w:val="en-GB"/>
        </w:rPr>
        <w:t xml:space="preserve"> will be in Italy and Italian law will apply. </w:t>
      </w:r>
    </w:p>
    <w:p w14:paraId="43CDB89F" w14:textId="77777777" w:rsidR="001F0AA2" w:rsidRDefault="001F0AA2" w:rsidP="002253D8">
      <w:pPr>
        <w:jc w:val="both"/>
        <w:rPr>
          <w:rFonts w:ascii="Avenir Next" w:hAnsi="Avenir Next" w:cs="Arial"/>
          <w:color w:val="808080" w:themeColor="background1" w:themeShade="80"/>
          <w:sz w:val="22"/>
          <w:szCs w:val="22"/>
          <w:lang w:val="en-GB"/>
        </w:rPr>
      </w:pPr>
    </w:p>
    <w:p w14:paraId="2DF4D44D" w14:textId="42852041" w:rsidR="00E65F11" w:rsidRDefault="001F0AA2"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because </w:t>
      </w:r>
      <w:r w:rsidR="00C10AD7">
        <w:rPr>
          <w:rFonts w:ascii="Avenir Next" w:hAnsi="Avenir Next" w:cs="Arial"/>
          <w:color w:val="808080" w:themeColor="background1" w:themeShade="80"/>
          <w:sz w:val="22"/>
          <w:szCs w:val="22"/>
          <w:lang w:val="en-GB"/>
        </w:rPr>
        <w:t>NCI</w:t>
      </w:r>
      <w:r>
        <w:rPr>
          <w:rFonts w:ascii="Avenir Next" w:hAnsi="Avenir Next" w:cs="Arial"/>
          <w:color w:val="808080" w:themeColor="background1" w:themeShade="80"/>
          <w:sz w:val="22"/>
          <w:szCs w:val="22"/>
          <w:lang w:val="en-GB"/>
        </w:rPr>
        <w:t xml:space="preserve"> also has its main operations in Germany, </w:t>
      </w:r>
      <w:r w:rsidR="00606743">
        <w:rPr>
          <w:rFonts w:ascii="Avenir Next" w:hAnsi="Avenir Next" w:cs="Arial"/>
          <w:color w:val="808080" w:themeColor="background1" w:themeShade="80"/>
          <w:sz w:val="22"/>
          <w:szCs w:val="22"/>
          <w:lang w:val="en-GB"/>
        </w:rPr>
        <w:t xml:space="preserve">potentially also </w:t>
      </w:r>
      <w:r>
        <w:rPr>
          <w:rFonts w:ascii="Avenir Next" w:hAnsi="Avenir Next" w:cs="Arial"/>
          <w:color w:val="808080" w:themeColor="background1" w:themeShade="80"/>
          <w:sz w:val="22"/>
          <w:szCs w:val="22"/>
          <w:lang w:val="en-GB"/>
        </w:rPr>
        <w:t xml:space="preserve">including those of its </w:t>
      </w:r>
      <w:r w:rsidRPr="001F0AA2">
        <w:rPr>
          <w:rFonts w:ascii="Avenir Next" w:hAnsi="Avenir Next" w:cs="Arial"/>
          <w:color w:val="808080" w:themeColor="background1" w:themeShade="80"/>
          <w:sz w:val="22"/>
          <w:szCs w:val="22"/>
          <w:lang w:val="en-GB"/>
        </w:rPr>
        <w:t>subsidiary</w:t>
      </w:r>
      <w:r>
        <w:rPr>
          <w:rFonts w:ascii="Avenir Next" w:hAnsi="Avenir Next" w:cs="Arial"/>
          <w:color w:val="808080" w:themeColor="background1" w:themeShade="80"/>
          <w:sz w:val="22"/>
          <w:szCs w:val="22"/>
          <w:lang w:val="en-GB"/>
        </w:rPr>
        <w:t xml:space="preserve">, </w:t>
      </w:r>
      <w:r w:rsidRPr="001F0AA2">
        <w:rPr>
          <w:rFonts w:ascii="Avenir Next" w:hAnsi="Avenir Next" w:cs="Arial"/>
          <w:color w:val="808080" w:themeColor="background1" w:themeShade="80"/>
          <w:sz w:val="22"/>
          <w:szCs w:val="22"/>
          <w:lang w:val="en-GB"/>
        </w:rPr>
        <w:t>Gladiator Manufacturing Ltd</w:t>
      </w:r>
      <w:r w:rsidR="00606743">
        <w:rPr>
          <w:rFonts w:ascii="Avenir Next" w:hAnsi="Avenir Next" w:cs="Arial"/>
          <w:color w:val="808080" w:themeColor="background1" w:themeShade="80"/>
          <w:sz w:val="22"/>
          <w:szCs w:val="22"/>
          <w:lang w:val="en-GB"/>
        </w:rPr>
        <w:t xml:space="preserve"> (if that is where it is registered and it is unclear on the facts)</w:t>
      </w:r>
      <w:r w:rsidRPr="001F0AA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EIR would also allow for ancillary proceedings in Germany</w:t>
      </w:r>
      <w:r w:rsidR="00606743">
        <w:rPr>
          <w:rFonts w:ascii="Avenir Next" w:hAnsi="Avenir Next" w:cs="Arial"/>
          <w:color w:val="808080" w:themeColor="background1" w:themeShade="80"/>
          <w:sz w:val="22"/>
          <w:szCs w:val="22"/>
          <w:lang w:val="en-GB"/>
        </w:rPr>
        <w:t xml:space="preserve"> as long as </w:t>
      </w:r>
      <w:r w:rsidR="00E65F11">
        <w:rPr>
          <w:rFonts w:ascii="Avenir Next" w:hAnsi="Avenir Next" w:cs="Arial"/>
          <w:color w:val="808080" w:themeColor="background1" w:themeShade="80"/>
          <w:sz w:val="22"/>
          <w:szCs w:val="22"/>
          <w:lang w:val="en-GB"/>
        </w:rPr>
        <w:t>NCI</w:t>
      </w:r>
      <w:r>
        <w:rPr>
          <w:rFonts w:ascii="Avenir Next" w:hAnsi="Avenir Next" w:cs="Arial"/>
          <w:color w:val="808080" w:themeColor="background1" w:themeShade="80"/>
          <w:sz w:val="22"/>
          <w:szCs w:val="22"/>
          <w:lang w:val="en-GB"/>
        </w:rPr>
        <w:t xml:space="preserve"> </w:t>
      </w:r>
      <w:r w:rsidR="00606743">
        <w:rPr>
          <w:rFonts w:ascii="Avenir Next" w:hAnsi="Avenir Next" w:cs="Arial"/>
          <w:color w:val="808080" w:themeColor="background1" w:themeShade="80"/>
          <w:sz w:val="22"/>
          <w:szCs w:val="22"/>
          <w:lang w:val="en-GB"/>
        </w:rPr>
        <w:t>has an</w:t>
      </w:r>
      <w:r>
        <w:rPr>
          <w:rFonts w:ascii="Avenir Next" w:hAnsi="Avenir Next" w:cs="Arial"/>
          <w:color w:val="808080" w:themeColor="background1" w:themeShade="80"/>
          <w:sz w:val="22"/>
          <w:szCs w:val="22"/>
          <w:lang w:val="en-GB"/>
        </w:rPr>
        <w:t xml:space="preserve"> "establishment" </w:t>
      </w:r>
      <w:r w:rsidR="00606743">
        <w:rPr>
          <w:rFonts w:ascii="Avenir Next" w:hAnsi="Avenir Next" w:cs="Arial"/>
          <w:color w:val="808080" w:themeColor="background1" w:themeShade="80"/>
          <w:sz w:val="22"/>
          <w:szCs w:val="22"/>
          <w:lang w:val="en-GB"/>
        </w:rPr>
        <w:t xml:space="preserve">there </w:t>
      </w:r>
      <w:r>
        <w:rPr>
          <w:rFonts w:ascii="Avenir Next" w:hAnsi="Avenir Next" w:cs="Arial"/>
          <w:color w:val="808080" w:themeColor="background1" w:themeShade="80"/>
          <w:sz w:val="22"/>
          <w:szCs w:val="22"/>
          <w:lang w:val="en-GB"/>
        </w:rPr>
        <w:t xml:space="preserve">which is defined in the EIR as </w:t>
      </w:r>
      <w:r w:rsidRPr="001F0AA2">
        <w:rPr>
          <w:rFonts w:ascii="Avenir Next" w:hAnsi="Avenir Next" w:cs="Arial"/>
          <w:color w:val="808080" w:themeColor="background1" w:themeShade="80"/>
          <w:sz w:val="22"/>
          <w:szCs w:val="22"/>
          <w:lang w:val="en-GB"/>
        </w:rPr>
        <w:t>“any place of operations … where the debtor carries out a non-transitory economic activity with</w:t>
      </w:r>
      <w:r>
        <w:rPr>
          <w:rFonts w:ascii="Avenir Next" w:hAnsi="Avenir Next" w:cs="Arial"/>
          <w:color w:val="808080" w:themeColor="background1" w:themeShade="80"/>
          <w:sz w:val="22"/>
          <w:szCs w:val="22"/>
          <w:lang w:val="en-GB"/>
        </w:rPr>
        <w:t xml:space="preserve"> </w:t>
      </w:r>
      <w:r w:rsidRPr="001F0AA2">
        <w:rPr>
          <w:rFonts w:ascii="Avenir Next" w:hAnsi="Avenir Next" w:cs="Arial"/>
          <w:color w:val="808080" w:themeColor="background1" w:themeShade="80"/>
          <w:sz w:val="22"/>
          <w:szCs w:val="22"/>
          <w:lang w:val="en-GB"/>
        </w:rPr>
        <w:t>human means and assets”</w:t>
      </w:r>
      <w:r w:rsidR="00606743">
        <w:rPr>
          <w:rStyle w:val="FootnoteReference"/>
          <w:rFonts w:ascii="Avenir Next" w:hAnsi="Avenir Next" w:cs="Arial"/>
          <w:color w:val="808080" w:themeColor="background1" w:themeShade="80"/>
          <w:sz w:val="22"/>
          <w:szCs w:val="22"/>
          <w:lang w:val="en-GB"/>
        </w:rPr>
        <w:footnoteReference w:id="30"/>
      </w:r>
      <w:r w:rsidR="00606743">
        <w:rPr>
          <w:rFonts w:ascii="Avenir Next" w:hAnsi="Avenir Next" w:cs="Arial"/>
          <w:color w:val="808080" w:themeColor="background1" w:themeShade="80"/>
          <w:sz w:val="22"/>
          <w:szCs w:val="22"/>
          <w:lang w:val="en-GB"/>
        </w:rPr>
        <w:t xml:space="preserve"> If </w:t>
      </w:r>
      <w:r w:rsidR="00606743" w:rsidRPr="001F0AA2">
        <w:rPr>
          <w:rFonts w:ascii="Avenir Next" w:hAnsi="Avenir Next" w:cs="Arial"/>
          <w:color w:val="808080" w:themeColor="background1" w:themeShade="80"/>
          <w:sz w:val="22"/>
          <w:szCs w:val="22"/>
          <w:lang w:val="en-GB"/>
        </w:rPr>
        <w:t>Gladiator Manufacturing</w:t>
      </w:r>
      <w:r w:rsidR="00606743">
        <w:rPr>
          <w:rFonts w:ascii="Avenir Next" w:hAnsi="Avenir Next" w:cs="Arial"/>
          <w:color w:val="808080" w:themeColor="background1" w:themeShade="80"/>
          <w:sz w:val="22"/>
          <w:szCs w:val="22"/>
          <w:lang w:val="en-GB"/>
        </w:rPr>
        <w:t xml:space="preserve"> Ltd is a German registered entity, it would likely meet the definition of an establishment. Even if </w:t>
      </w:r>
      <w:r w:rsidR="00E65F11" w:rsidRPr="001F0AA2">
        <w:rPr>
          <w:rFonts w:ascii="Avenir Next" w:hAnsi="Avenir Next" w:cs="Arial"/>
          <w:color w:val="808080" w:themeColor="background1" w:themeShade="80"/>
          <w:sz w:val="22"/>
          <w:szCs w:val="22"/>
          <w:lang w:val="en-GB"/>
        </w:rPr>
        <w:t>Gladiator Manufacturing</w:t>
      </w:r>
      <w:r w:rsidR="00E65F11">
        <w:rPr>
          <w:rFonts w:ascii="Avenir Next" w:hAnsi="Avenir Next" w:cs="Arial"/>
          <w:color w:val="808080" w:themeColor="background1" w:themeShade="80"/>
          <w:sz w:val="22"/>
          <w:szCs w:val="22"/>
          <w:lang w:val="en-GB"/>
        </w:rPr>
        <w:t xml:space="preserve"> Ltd isn’t an establishment,</w:t>
      </w:r>
      <w:r w:rsidR="00606743">
        <w:rPr>
          <w:rFonts w:ascii="Avenir Next" w:hAnsi="Avenir Next" w:cs="Arial"/>
          <w:color w:val="808080" w:themeColor="background1" w:themeShade="80"/>
          <w:sz w:val="22"/>
          <w:szCs w:val="22"/>
          <w:lang w:val="en-GB"/>
        </w:rPr>
        <w:t xml:space="preserve"> the fact that </w:t>
      </w:r>
      <w:r w:rsidR="00E65F11">
        <w:rPr>
          <w:rFonts w:ascii="Avenir Next" w:hAnsi="Avenir Next" w:cs="Arial"/>
          <w:color w:val="808080" w:themeColor="background1" w:themeShade="80"/>
          <w:sz w:val="22"/>
          <w:szCs w:val="22"/>
          <w:lang w:val="en-GB"/>
        </w:rPr>
        <w:t xml:space="preserve">NCI </w:t>
      </w:r>
      <w:r w:rsidR="00606743">
        <w:rPr>
          <w:rFonts w:ascii="Avenir Next" w:hAnsi="Avenir Next" w:cs="Arial"/>
          <w:color w:val="808080" w:themeColor="background1" w:themeShade="80"/>
          <w:sz w:val="22"/>
          <w:szCs w:val="22"/>
          <w:lang w:val="en-GB"/>
        </w:rPr>
        <w:t>has its 'main operations' in Germany would typically indicate that it does have an establishment in German</w:t>
      </w:r>
      <w:r w:rsidR="00E65F11">
        <w:rPr>
          <w:rFonts w:ascii="Avenir Next" w:hAnsi="Avenir Next" w:cs="Arial"/>
          <w:color w:val="808080" w:themeColor="background1" w:themeShade="80"/>
          <w:sz w:val="22"/>
          <w:szCs w:val="22"/>
          <w:lang w:val="en-GB"/>
        </w:rPr>
        <w:t>y</w:t>
      </w:r>
      <w:r w:rsidR="00606743">
        <w:rPr>
          <w:rFonts w:ascii="Avenir Next" w:hAnsi="Avenir Next" w:cs="Arial"/>
          <w:color w:val="808080" w:themeColor="background1" w:themeShade="80"/>
          <w:sz w:val="22"/>
          <w:szCs w:val="22"/>
          <w:lang w:val="en-GB"/>
        </w:rPr>
        <w:t xml:space="preserve"> which would allow for subsidiary or ancillary proceedings under the EIR. Those proceedings may be either independent (if commenced first) or secondary, if opened after the main proceedings in Italy. </w:t>
      </w:r>
    </w:p>
    <w:p w14:paraId="446576C3" w14:textId="77777777" w:rsidR="00B84D31" w:rsidRDefault="00B84D31" w:rsidP="002253D8">
      <w:pPr>
        <w:jc w:val="both"/>
        <w:rPr>
          <w:rFonts w:ascii="Avenir Next" w:hAnsi="Avenir Next" w:cs="Arial"/>
          <w:color w:val="808080" w:themeColor="background1" w:themeShade="80"/>
          <w:sz w:val="22"/>
          <w:szCs w:val="22"/>
          <w:lang w:val="en-GB"/>
        </w:rPr>
      </w:pPr>
    </w:p>
    <w:p w14:paraId="5BFD4ABD" w14:textId="4C7E9FFF" w:rsidR="00B84D31" w:rsidRPr="00DA42DA" w:rsidRDefault="00E65F1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insolvent estate representative may also consider whether there are any</w:t>
      </w:r>
      <w:r w:rsidR="00740B92">
        <w:rPr>
          <w:rFonts w:ascii="Avenir Next" w:hAnsi="Avenir Next" w:cs="Arial"/>
          <w:color w:val="808080" w:themeColor="background1" w:themeShade="80"/>
          <w:sz w:val="22"/>
          <w:szCs w:val="22"/>
          <w:lang w:val="en-GB"/>
        </w:rPr>
        <w:t xml:space="preserve"> other</w:t>
      </w:r>
      <w:r>
        <w:rPr>
          <w:rFonts w:ascii="Avenir Next" w:hAnsi="Avenir Next" w:cs="Arial"/>
          <w:color w:val="808080" w:themeColor="background1" w:themeShade="80"/>
          <w:sz w:val="22"/>
          <w:szCs w:val="22"/>
          <w:lang w:val="en-GB"/>
        </w:rPr>
        <w:t xml:space="preserve"> treaties or conventions as between Italy and Germany which may provide guidance.</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 xml:space="preserve">Will an Indian, South </w:t>
      </w:r>
      <w:proofErr w:type="gramStart"/>
      <w:r w:rsidRPr="007815D1">
        <w:rPr>
          <w:rFonts w:ascii="Avenir Next" w:hAnsi="Avenir Next" w:cs="Arial"/>
          <w:sz w:val="22"/>
          <w:szCs w:val="28"/>
        </w:rPr>
        <w:t>African</w:t>
      </w:r>
      <w:proofErr w:type="gramEnd"/>
      <w:r w:rsidRPr="007815D1">
        <w:rPr>
          <w:rFonts w:ascii="Avenir Next" w:hAnsi="Avenir Next" w:cs="Arial"/>
          <w:sz w:val="22"/>
          <w:szCs w:val="28"/>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4F9C6973" w:rsidR="002253D8" w:rsidRPr="002253D8" w:rsidRDefault="006D6605"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the courts in India, South Africa and Australia are not eligible to apply the </w:t>
      </w:r>
      <w:r w:rsidRPr="006D6605">
        <w:rPr>
          <w:rFonts w:ascii="Avenir Next" w:hAnsi="Avenir Next" w:cs="Arial"/>
          <w:color w:val="808080" w:themeColor="background1" w:themeShade="80"/>
          <w:sz w:val="22"/>
          <w:szCs w:val="22"/>
          <w:lang w:val="en-GB"/>
        </w:rPr>
        <w:t>EU (Recast) Insolvency Regulation</w:t>
      </w:r>
      <w:r>
        <w:rPr>
          <w:rFonts w:ascii="Avenir Next" w:hAnsi="Avenir Next" w:cs="Arial"/>
          <w:color w:val="808080" w:themeColor="background1" w:themeShade="80"/>
          <w:sz w:val="22"/>
          <w:szCs w:val="22"/>
          <w:lang w:val="en-GB"/>
        </w:rPr>
        <w:t xml:space="preserve"> because they are not member States. The </w:t>
      </w:r>
      <w:r w:rsidRPr="006D6605">
        <w:rPr>
          <w:rFonts w:ascii="Avenir Next" w:hAnsi="Avenir Next" w:cs="Arial"/>
          <w:color w:val="808080" w:themeColor="background1" w:themeShade="80"/>
          <w:sz w:val="22"/>
          <w:szCs w:val="22"/>
          <w:lang w:val="en-GB"/>
        </w:rPr>
        <w:t>EU (Recast) Insolvency Regulation</w:t>
      </w:r>
      <w:r>
        <w:rPr>
          <w:rFonts w:ascii="Avenir Next" w:hAnsi="Avenir Next" w:cs="Arial"/>
          <w:color w:val="808080" w:themeColor="background1" w:themeShade="80"/>
          <w:sz w:val="22"/>
          <w:szCs w:val="22"/>
          <w:lang w:val="en-GB"/>
        </w:rPr>
        <w:t xml:space="preserve"> only applies to the States in the </w:t>
      </w:r>
      <w:r w:rsidR="00E65F11">
        <w:rPr>
          <w:rFonts w:ascii="Avenir Next" w:hAnsi="Avenir Next" w:cs="Arial"/>
          <w:color w:val="808080" w:themeColor="background1" w:themeShade="80"/>
          <w:sz w:val="22"/>
          <w:szCs w:val="22"/>
          <w:lang w:val="en-GB"/>
        </w:rPr>
        <w:t>EU</w:t>
      </w:r>
      <w:r>
        <w:rPr>
          <w:rFonts w:ascii="Avenir Next" w:hAnsi="Avenir Next" w:cs="Arial"/>
          <w:color w:val="808080" w:themeColor="background1" w:themeShade="80"/>
          <w:sz w:val="22"/>
          <w:szCs w:val="22"/>
          <w:lang w:val="en-GB"/>
        </w:rPr>
        <w:t xml:space="preserve"> and although not specifically relevant in this scenario it is worth noting that it no longer applies to the </w:t>
      </w:r>
      <w:r w:rsidR="00D4632F">
        <w:rPr>
          <w:rFonts w:ascii="Avenir Next" w:hAnsi="Avenir Next" w:cs="Arial"/>
          <w:color w:val="808080" w:themeColor="background1" w:themeShade="80"/>
          <w:sz w:val="22"/>
          <w:szCs w:val="22"/>
          <w:lang w:val="en-GB"/>
        </w:rPr>
        <w:t>UK</w:t>
      </w:r>
      <w:r>
        <w:rPr>
          <w:rFonts w:ascii="Avenir Next" w:hAnsi="Avenir Next" w:cs="Arial"/>
          <w:color w:val="808080" w:themeColor="background1" w:themeShade="80"/>
          <w:sz w:val="22"/>
          <w:szCs w:val="22"/>
          <w:lang w:val="en-GB"/>
        </w:rPr>
        <w:t xml:space="preserve"> after it left the EU in 2020.</w:t>
      </w:r>
      <w:r>
        <w:rPr>
          <w:rStyle w:val="FootnoteReference"/>
          <w:rFonts w:ascii="Avenir Next" w:hAnsi="Avenir Next" w:cs="Arial"/>
          <w:color w:val="808080" w:themeColor="background1" w:themeShade="80"/>
          <w:sz w:val="22"/>
          <w:szCs w:val="22"/>
          <w:lang w:val="en-GB"/>
        </w:rPr>
        <w:footnoteReference w:id="31"/>
      </w:r>
      <w:r>
        <w:rPr>
          <w:rFonts w:ascii="Avenir Next" w:hAnsi="Avenir Next" w:cs="Arial"/>
          <w:color w:val="808080" w:themeColor="background1" w:themeShade="80"/>
          <w:sz w:val="22"/>
          <w:szCs w:val="22"/>
          <w:lang w:val="en-GB"/>
        </w:rPr>
        <w:t xml:space="preserve"> </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lastRenderedPageBreak/>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w:t>
      </w:r>
      <w:r w:rsidRPr="00E65F11">
        <w:rPr>
          <w:rFonts w:ascii="Avenir Next" w:hAnsi="Avenir Next" w:cs="Arial"/>
          <w:sz w:val="22"/>
          <w:szCs w:val="28"/>
        </w:rPr>
        <w:t>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3039970" w14:textId="128B7630" w:rsidR="002253D8" w:rsidRDefault="000E2A84" w:rsidP="000E2A84">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law that will apply to the insolvency proceedings </w:t>
      </w:r>
      <w:proofErr w:type="gramStart"/>
      <w:r>
        <w:rPr>
          <w:rFonts w:ascii="Avenir Next" w:hAnsi="Avenir Next" w:cs="Arial"/>
          <w:color w:val="808080" w:themeColor="background1" w:themeShade="80"/>
          <w:sz w:val="22"/>
          <w:szCs w:val="22"/>
          <w:lang w:val="en-GB"/>
        </w:rPr>
        <w:t>as a whole will</w:t>
      </w:r>
      <w:proofErr w:type="gramEnd"/>
      <w:r>
        <w:rPr>
          <w:rFonts w:ascii="Avenir Next" w:hAnsi="Avenir Next" w:cs="Arial"/>
          <w:color w:val="808080" w:themeColor="background1" w:themeShade="80"/>
          <w:sz w:val="22"/>
          <w:szCs w:val="22"/>
          <w:lang w:val="en-GB"/>
        </w:rPr>
        <w:t xml:space="preserve"> be Italian law. Italian law applies for the following reasons:</w:t>
      </w:r>
    </w:p>
    <w:p w14:paraId="74FEFB41" w14:textId="31E24C67" w:rsidR="000E2A84" w:rsidRDefault="000E2A84" w:rsidP="000E2A84">
      <w:pPr>
        <w:ind w:left="426"/>
        <w:jc w:val="both"/>
        <w:rPr>
          <w:rFonts w:ascii="Avenir Next" w:hAnsi="Avenir Next" w:cs="Arial"/>
          <w:color w:val="808080" w:themeColor="background1" w:themeShade="80"/>
          <w:sz w:val="22"/>
          <w:szCs w:val="22"/>
          <w:lang w:val="en-GB"/>
        </w:rPr>
      </w:pPr>
    </w:p>
    <w:p w14:paraId="15D4FF7B" w14:textId="65133D7D" w:rsidR="000E2A84" w:rsidRDefault="000E2A84" w:rsidP="000E2A84">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Italy and the Netherlands are both States which are part of the </w:t>
      </w:r>
      <w:r w:rsidR="00E65F11">
        <w:rPr>
          <w:rFonts w:ascii="Avenir Next" w:hAnsi="Avenir Next" w:cs="Arial"/>
          <w:color w:val="808080" w:themeColor="background1" w:themeShade="80"/>
          <w:sz w:val="22"/>
          <w:szCs w:val="22"/>
          <w:lang w:val="en-GB"/>
        </w:rPr>
        <w:t>EU.</w:t>
      </w:r>
    </w:p>
    <w:p w14:paraId="6AE5334D" w14:textId="77777777" w:rsidR="00E65F11" w:rsidRDefault="00E65F11" w:rsidP="00E65F11">
      <w:pPr>
        <w:pStyle w:val="ListParagraph"/>
        <w:ind w:left="786"/>
        <w:jc w:val="both"/>
        <w:rPr>
          <w:rFonts w:ascii="Avenir Next" w:hAnsi="Avenir Next" w:cs="Arial"/>
          <w:color w:val="808080" w:themeColor="background1" w:themeShade="80"/>
          <w:sz w:val="22"/>
          <w:szCs w:val="22"/>
          <w:lang w:val="en-GB"/>
        </w:rPr>
      </w:pPr>
    </w:p>
    <w:p w14:paraId="03CC3FE8" w14:textId="15DC6CD5" w:rsidR="000E2A84" w:rsidRDefault="000E2A84" w:rsidP="000E2A84">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Recast applies to cross</w:t>
      </w:r>
      <w:r w:rsidR="00E65F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border insolvency matters as between EU states.</w:t>
      </w:r>
    </w:p>
    <w:p w14:paraId="3978276C" w14:textId="77777777" w:rsidR="00E65F11" w:rsidRPr="00E65F11" w:rsidRDefault="00E65F11" w:rsidP="00E65F11">
      <w:pPr>
        <w:jc w:val="both"/>
        <w:rPr>
          <w:rFonts w:ascii="Avenir Next" w:hAnsi="Avenir Next" w:cs="Arial"/>
          <w:color w:val="808080" w:themeColor="background1" w:themeShade="80"/>
          <w:sz w:val="22"/>
          <w:szCs w:val="22"/>
          <w:lang w:val="en-GB"/>
        </w:rPr>
      </w:pPr>
    </w:p>
    <w:p w14:paraId="39C6D0D7" w14:textId="06B545C4" w:rsidR="000E2A84" w:rsidRDefault="000E2A84" w:rsidP="000E2A84">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the EIR Recast the jurisdiction of the main insolvency proceedings will be determined based on where </w:t>
      </w:r>
      <w:r w:rsidR="00E65F11">
        <w:rPr>
          <w:rFonts w:ascii="Avenir Next" w:hAnsi="Avenir Next" w:cs="Arial"/>
          <w:color w:val="808080" w:themeColor="background1" w:themeShade="80"/>
          <w:sz w:val="22"/>
          <w:szCs w:val="22"/>
          <w:lang w:val="en-GB"/>
        </w:rPr>
        <w:t>NCI's</w:t>
      </w:r>
      <w:r>
        <w:rPr>
          <w:rFonts w:ascii="Avenir Next" w:hAnsi="Avenir Next" w:cs="Arial"/>
          <w:color w:val="808080" w:themeColor="background1" w:themeShade="80"/>
          <w:sz w:val="22"/>
          <w:szCs w:val="22"/>
          <w:lang w:val="en-GB"/>
        </w:rPr>
        <w:t xml:space="preserve"> COMI </w:t>
      </w:r>
      <w:r w:rsidR="007B4C4E">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and we know that that is Italy. </w:t>
      </w:r>
    </w:p>
    <w:p w14:paraId="48C799C2" w14:textId="77777777" w:rsidR="00E65F11" w:rsidRPr="00E65F11" w:rsidRDefault="00E65F11" w:rsidP="00E65F11">
      <w:pPr>
        <w:jc w:val="both"/>
        <w:rPr>
          <w:rFonts w:ascii="Avenir Next" w:hAnsi="Avenir Next" w:cs="Arial"/>
          <w:color w:val="808080" w:themeColor="background1" w:themeShade="80"/>
          <w:sz w:val="22"/>
          <w:szCs w:val="22"/>
          <w:lang w:val="en-GB"/>
        </w:rPr>
      </w:pPr>
    </w:p>
    <w:p w14:paraId="4E974DEA" w14:textId="02D4949E" w:rsidR="007B4C4E" w:rsidRDefault="007B4C4E" w:rsidP="000E2A84">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such, the main proceedings will be in Italy and Italian law will apply. </w:t>
      </w:r>
    </w:p>
    <w:p w14:paraId="735E7C38" w14:textId="77777777" w:rsidR="007B4C4E" w:rsidRDefault="007B4C4E" w:rsidP="007B4C4E">
      <w:pPr>
        <w:ind w:left="426"/>
        <w:jc w:val="both"/>
        <w:rPr>
          <w:rFonts w:ascii="Avenir Next" w:hAnsi="Avenir Next" w:cs="Arial"/>
          <w:color w:val="808080" w:themeColor="background1" w:themeShade="80"/>
          <w:sz w:val="22"/>
          <w:szCs w:val="22"/>
          <w:lang w:val="en-GB"/>
        </w:rPr>
      </w:pPr>
    </w:p>
    <w:p w14:paraId="346EE2C2" w14:textId="77777777" w:rsidR="00E65F11" w:rsidRDefault="00672CE5" w:rsidP="00E65F1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Despite the existence of the EIR and the fact that both Italy and the Netherlands are member States, the </w:t>
      </w:r>
      <w:r w:rsidRPr="00672CE5">
        <w:rPr>
          <w:rFonts w:ascii="Avenir Next" w:hAnsi="Avenir Next" w:cs="Arial"/>
          <w:color w:val="808080" w:themeColor="background1" w:themeShade="80"/>
          <w:sz w:val="22"/>
          <w:szCs w:val="22"/>
          <w:lang w:val="en-GB"/>
        </w:rPr>
        <w:t>real rights of security situated in the Netherlands</w:t>
      </w:r>
      <w:r>
        <w:rPr>
          <w:rFonts w:ascii="Avenir Next" w:hAnsi="Avenir Next" w:cs="Arial"/>
          <w:color w:val="808080" w:themeColor="background1" w:themeShade="80"/>
          <w:sz w:val="22"/>
          <w:szCs w:val="22"/>
          <w:lang w:val="en-GB"/>
        </w:rPr>
        <w:t xml:space="preserve"> would still likely be determined pursuant to Dutch law. The reason for this is because real rights of security / secured creditors are nearly always dealt with separately or outside of an insolvency proceeding. The fact of the security </w:t>
      </w:r>
      <w:r w:rsidR="00E65F11">
        <w:rPr>
          <w:rFonts w:ascii="Avenir Next" w:hAnsi="Avenir Next" w:cs="Arial"/>
          <w:color w:val="808080" w:themeColor="background1" w:themeShade="80"/>
          <w:sz w:val="22"/>
          <w:szCs w:val="22"/>
          <w:lang w:val="en-GB"/>
        </w:rPr>
        <w:t xml:space="preserve">usually </w:t>
      </w:r>
      <w:r>
        <w:rPr>
          <w:rFonts w:ascii="Avenir Next" w:hAnsi="Avenir Next" w:cs="Arial"/>
          <w:color w:val="808080" w:themeColor="background1" w:themeShade="80"/>
          <w:sz w:val="22"/>
          <w:szCs w:val="22"/>
          <w:lang w:val="en-GB"/>
        </w:rPr>
        <w:t>entitle</w:t>
      </w:r>
      <w:r w:rsidR="00E65F1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the holder to seek recourse in relation to the debt they are owned by calling upon that security towards payment. It would depend on the specific terms of the contract in relation to the security interest. </w:t>
      </w:r>
    </w:p>
    <w:p w14:paraId="56D253C8" w14:textId="77777777" w:rsidR="00E65F11" w:rsidRDefault="00E65F11" w:rsidP="00E65F11">
      <w:pPr>
        <w:ind w:left="426"/>
        <w:jc w:val="both"/>
        <w:rPr>
          <w:rFonts w:ascii="Avenir Next" w:hAnsi="Avenir Next" w:cs="Arial"/>
          <w:color w:val="808080" w:themeColor="background1" w:themeShade="80"/>
          <w:sz w:val="22"/>
          <w:szCs w:val="22"/>
          <w:lang w:val="en-GB"/>
        </w:rPr>
      </w:pPr>
    </w:p>
    <w:p w14:paraId="48E6C94B" w14:textId="7E09ACD4" w:rsidR="007B4C4E" w:rsidRDefault="00672CE5" w:rsidP="00E65F1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security interest was dealt with in the context of the international insolvency proceedings for whatever reason, then it might help that both Italy and the Netherlands are member States to the EIR. If the EIR applied, it is noteworthy that the security interest would not constitute an establishment </w:t>
      </w:r>
      <w:proofErr w:type="gramStart"/>
      <w:r>
        <w:rPr>
          <w:rFonts w:ascii="Avenir Next" w:hAnsi="Avenir Next" w:cs="Arial"/>
          <w:color w:val="808080" w:themeColor="background1" w:themeShade="80"/>
          <w:sz w:val="22"/>
          <w:szCs w:val="22"/>
          <w:lang w:val="en-GB"/>
        </w:rPr>
        <w:t>so as to</w:t>
      </w:r>
      <w:proofErr w:type="gramEnd"/>
      <w:r>
        <w:rPr>
          <w:rFonts w:ascii="Avenir Next" w:hAnsi="Avenir Next" w:cs="Arial"/>
          <w:color w:val="808080" w:themeColor="background1" w:themeShade="80"/>
          <w:sz w:val="22"/>
          <w:szCs w:val="22"/>
          <w:lang w:val="en-GB"/>
        </w:rPr>
        <w:t xml:space="preserve"> constitute separate proceedings, with the result that the real rights of security could be dea</w:t>
      </w:r>
      <w:r w:rsidR="00CB15A5">
        <w:rPr>
          <w:rFonts w:ascii="Avenir Next" w:hAnsi="Avenir Next" w:cs="Arial"/>
          <w:color w:val="808080" w:themeColor="background1" w:themeShade="80"/>
          <w:sz w:val="22"/>
          <w:szCs w:val="22"/>
          <w:lang w:val="en-GB"/>
        </w:rPr>
        <w:t>lt</w:t>
      </w:r>
      <w:r>
        <w:rPr>
          <w:rFonts w:ascii="Avenir Next" w:hAnsi="Avenir Next" w:cs="Arial"/>
          <w:color w:val="808080" w:themeColor="background1" w:themeShade="80"/>
          <w:sz w:val="22"/>
          <w:szCs w:val="22"/>
          <w:lang w:val="en-GB"/>
        </w:rPr>
        <w:t xml:space="preserve"> with</w:t>
      </w:r>
      <w:r w:rsidR="00C10AD7">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the main proceedings. However, this is all subject to the primary position that usually a </w:t>
      </w:r>
      <w:r w:rsidR="00621034">
        <w:rPr>
          <w:rFonts w:ascii="Avenir Next" w:hAnsi="Avenir Next" w:cs="Arial"/>
          <w:color w:val="808080" w:themeColor="background1" w:themeShade="80"/>
          <w:sz w:val="22"/>
          <w:szCs w:val="22"/>
          <w:lang w:val="en-GB"/>
        </w:rPr>
        <w:t>secured creditor would retain its separate right to enforce its own debt</w:t>
      </w:r>
      <w:r w:rsidR="00E65F11">
        <w:rPr>
          <w:rFonts w:ascii="Avenir Next" w:hAnsi="Avenir Next" w:cs="Arial"/>
          <w:color w:val="808080" w:themeColor="background1" w:themeShade="80"/>
          <w:sz w:val="22"/>
          <w:szCs w:val="22"/>
          <w:lang w:val="en-GB"/>
        </w:rPr>
        <w:t>.</w:t>
      </w:r>
      <w:r w:rsidR="00E65F11">
        <w:rPr>
          <w:rStyle w:val="FootnoteReference"/>
          <w:rFonts w:ascii="Avenir Next" w:hAnsi="Avenir Next" w:cs="Arial"/>
          <w:color w:val="808080" w:themeColor="background1" w:themeShade="80"/>
          <w:sz w:val="22"/>
          <w:szCs w:val="22"/>
          <w:lang w:val="en-GB"/>
        </w:rPr>
        <w:footnoteReference w:id="32"/>
      </w:r>
      <w:r w:rsidR="00621034">
        <w:rPr>
          <w:rFonts w:ascii="Avenir Next" w:hAnsi="Avenir Next" w:cs="Arial"/>
          <w:color w:val="808080" w:themeColor="background1" w:themeShade="80"/>
          <w:sz w:val="22"/>
          <w:szCs w:val="22"/>
          <w:lang w:val="en-GB"/>
        </w:rPr>
        <w:t xml:space="preserve"> </w:t>
      </w:r>
    </w:p>
    <w:p w14:paraId="68820C87" w14:textId="77777777" w:rsidR="004827A3" w:rsidRPr="004827A3" w:rsidRDefault="004827A3"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D92BE29" w14:textId="5328302F" w:rsidR="002B4E45" w:rsidRDefault="00373385" w:rsidP="0045098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circumstances where Australia obviously </w:t>
      </w:r>
      <w:r w:rsidR="00CB15A5">
        <w:rPr>
          <w:rFonts w:ascii="Avenir Next" w:hAnsi="Avenir Next" w:cs="Arial"/>
          <w:color w:val="808080" w:themeColor="background1" w:themeShade="80"/>
          <w:sz w:val="22"/>
          <w:szCs w:val="22"/>
          <w:lang w:val="en-GB"/>
        </w:rPr>
        <w:t xml:space="preserve">is </w:t>
      </w:r>
      <w:r>
        <w:rPr>
          <w:rFonts w:ascii="Avenir Next" w:hAnsi="Avenir Next" w:cs="Arial"/>
          <w:color w:val="808080" w:themeColor="background1" w:themeShade="80"/>
          <w:sz w:val="22"/>
          <w:szCs w:val="22"/>
          <w:lang w:val="en-GB"/>
        </w:rPr>
        <w:t xml:space="preserve">not part of the EU and is not a member to the EIR Recast, the EIR does not apply with the result that insolvency proceedings in Australia in relation to </w:t>
      </w:r>
      <w:r w:rsidR="00E65F11">
        <w:rPr>
          <w:rFonts w:ascii="Avenir Next" w:hAnsi="Avenir Next" w:cs="Arial"/>
          <w:color w:val="808080" w:themeColor="background1" w:themeShade="80"/>
          <w:sz w:val="22"/>
          <w:szCs w:val="22"/>
          <w:lang w:val="en-GB"/>
        </w:rPr>
        <w:t>NCI</w:t>
      </w:r>
      <w:r>
        <w:rPr>
          <w:rFonts w:ascii="Avenir Next" w:hAnsi="Avenir Next" w:cs="Arial"/>
          <w:color w:val="808080" w:themeColor="background1" w:themeShade="80"/>
          <w:sz w:val="22"/>
          <w:szCs w:val="22"/>
          <w:lang w:val="en-GB"/>
        </w:rPr>
        <w:t xml:space="preserve"> would be subject to Australian insolvency law pursuant to the </w:t>
      </w:r>
      <w:r w:rsidRPr="00373385">
        <w:rPr>
          <w:rFonts w:ascii="Avenir Next" w:hAnsi="Avenir Next" w:cs="Arial"/>
          <w:color w:val="808080" w:themeColor="background1" w:themeShade="80"/>
          <w:sz w:val="22"/>
          <w:szCs w:val="22"/>
          <w:lang w:val="en-GB"/>
        </w:rPr>
        <w:t xml:space="preserve">Corporations Act </w:t>
      </w:r>
      <w:r>
        <w:rPr>
          <w:rFonts w:ascii="Avenir Next" w:hAnsi="Avenir Next" w:cs="Arial"/>
          <w:color w:val="808080" w:themeColor="background1" w:themeShade="80"/>
          <w:sz w:val="22"/>
          <w:szCs w:val="22"/>
          <w:lang w:val="en-GB"/>
        </w:rPr>
        <w:t>which applies to the inso</w:t>
      </w:r>
      <w:r w:rsidR="0045098F">
        <w:rPr>
          <w:rFonts w:ascii="Avenir Next" w:hAnsi="Avenir Next" w:cs="Arial"/>
          <w:color w:val="808080" w:themeColor="background1" w:themeShade="80"/>
          <w:sz w:val="22"/>
          <w:szCs w:val="22"/>
          <w:lang w:val="en-GB"/>
        </w:rPr>
        <w:t xml:space="preserve">lvency of corporations. Australia has also adopted the </w:t>
      </w:r>
      <w:r w:rsidR="006F38B9" w:rsidRPr="006F38B9">
        <w:rPr>
          <w:rFonts w:ascii="Avenir Next" w:hAnsi="Avenir Next" w:cs="Arial"/>
          <w:color w:val="808080" w:themeColor="background1" w:themeShade="80"/>
          <w:sz w:val="22"/>
          <w:szCs w:val="22"/>
          <w:lang w:val="en-GB"/>
        </w:rPr>
        <w:t>Model Law on Cross-border Insolvency through the Cross-border Insolvency Act 2008 (</w:t>
      </w:r>
      <w:proofErr w:type="spellStart"/>
      <w:r w:rsidR="006F38B9" w:rsidRPr="006F38B9">
        <w:rPr>
          <w:rFonts w:ascii="Avenir Next" w:hAnsi="Avenir Next" w:cs="Arial"/>
          <w:color w:val="808080" w:themeColor="background1" w:themeShade="80"/>
          <w:sz w:val="22"/>
          <w:szCs w:val="22"/>
          <w:lang w:val="en-GB"/>
        </w:rPr>
        <w:t>Cth</w:t>
      </w:r>
      <w:proofErr w:type="spellEnd"/>
      <w:r w:rsidR="006F38B9" w:rsidRPr="006F38B9">
        <w:rPr>
          <w:rFonts w:ascii="Avenir Next" w:hAnsi="Avenir Next" w:cs="Arial"/>
          <w:color w:val="808080" w:themeColor="background1" w:themeShade="80"/>
          <w:sz w:val="22"/>
          <w:szCs w:val="22"/>
          <w:lang w:val="en-GB"/>
        </w:rPr>
        <w:t>)</w:t>
      </w:r>
      <w:r w:rsidR="006F38B9">
        <w:rPr>
          <w:rFonts w:ascii="Avenir Next" w:hAnsi="Avenir Next" w:cs="Arial"/>
          <w:color w:val="808080" w:themeColor="background1" w:themeShade="80"/>
          <w:sz w:val="22"/>
          <w:szCs w:val="22"/>
          <w:lang w:val="en-GB"/>
        </w:rPr>
        <w:t>.</w:t>
      </w:r>
    </w:p>
    <w:p w14:paraId="00F31943" w14:textId="77777777" w:rsidR="0045098F" w:rsidRDefault="0045098F" w:rsidP="0045098F">
      <w:pPr>
        <w:ind w:left="426"/>
        <w:jc w:val="both"/>
        <w:rPr>
          <w:rFonts w:ascii="Avenir Next" w:hAnsi="Avenir Next" w:cs="Arial"/>
          <w:color w:val="808080" w:themeColor="background1" w:themeShade="80"/>
          <w:sz w:val="22"/>
          <w:szCs w:val="22"/>
          <w:lang w:val="en-GB"/>
        </w:rPr>
      </w:pPr>
    </w:p>
    <w:p w14:paraId="3126D53B" w14:textId="078F1838" w:rsidR="0045098F" w:rsidRDefault="0045098F" w:rsidP="0045098F">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Australian law would also apply to the real rights of security in Australia, subject to the same qualification in answer 4.4(a) above which clarifies that a secured creditor would have recourse to enforce its debt outside of the insolvency process by virtue of their status as a secured creditor. </w:t>
      </w:r>
    </w:p>
    <w:p w14:paraId="231FF5A4" w14:textId="77777777" w:rsidR="0045098F" w:rsidRDefault="0045098F" w:rsidP="0045098F">
      <w:pPr>
        <w:jc w:val="both"/>
        <w:rPr>
          <w:rFonts w:ascii="Avenir Next" w:hAnsi="Avenir Next" w:cs="Arial"/>
          <w:color w:val="808080" w:themeColor="background1" w:themeShade="80"/>
          <w:sz w:val="22"/>
          <w:szCs w:val="22"/>
          <w:lang w:val="en-GB"/>
        </w:rPr>
      </w:pPr>
    </w:p>
    <w:p w14:paraId="605FF2FF" w14:textId="0FDD0E5B" w:rsidR="0045098F" w:rsidRDefault="0045098F" w:rsidP="00E65F1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As to the Italian insolvent estate representative of </w:t>
      </w:r>
      <w:r w:rsidR="00E65F11">
        <w:rPr>
          <w:rFonts w:ascii="Avenir Next" w:hAnsi="Avenir Next" w:cs="Arial"/>
          <w:color w:val="808080" w:themeColor="background1" w:themeShade="80"/>
          <w:sz w:val="22"/>
          <w:szCs w:val="22"/>
          <w:lang w:val="en-GB"/>
        </w:rPr>
        <w:t>NCI</w:t>
      </w:r>
      <w:r>
        <w:rPr>
          <w:rFonts w:ascii="Avenir Next" w:hAnsi="Avenir Next" w:cs="Arial"/>
          <w:color w:val="808080" w:themeColor="background1" w:themeShade="80"/>
          <w:sz w:val="22"/>
          <w:szCs w:val="22"/>
          <w:lang w:val="en-GB"/>
        </w:rPr>
        <w:t xml:space="preserve"> seeking to realise and protect any assets in Austra</w:t>
      </w:r>
      <w:r w:rsidR="006F38B9">
        <w:rPr>
          <w:rFonts w:ascii="Avenir Next" w:hAnsi="Avenir Next" w:cs="Arial"/>
          <w:color w:val="808080" w:themeColor="background1" w:themeShade="80"/>
          <w:sz w:val="22"/>
          <w:szCs w:val="22"/>
          <w:lang w:val="en-GB"/>
        </w:rPr>
        <w:t>lia</w:t>
      </w:r>
      <w:r w:rsidR="00E65F1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possibly including the real rights of security but only if that debt wasn’t dealt with outside of the insolvency proceedings</w:t>
      </w:r>
      <w:r w:rsidR="00E65F1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they may benefit from sections 580 – 581 in the Australian </w:t>
      </w:r>
      <w:r w:rsidRPr="00373385">
        <w:rPr>
          <w:rFonts w:ascii="Avenir Next" w:hAnsi="Avenir Next" w:cs="Arial"/>
          <w:color w:val="808080" w:themeColor="background1" w:themeShade="80"/>
          <w:sz w:val="22"/>
          <w:szCs w:val="22"/>
          <w:lang w:val="en-GB"/>
        </w:rPr>
        <w:t>Corporations Act</w:t>
      </w:r>
      <w:r>
        <w:rPr>
          <w:rFonts w:ascii="Avenir Next" w:hAnsi="Avenir Next" w:cs="Arial"/>
          <w:color w:val="808080" w:themeColor="background1" w:themeShade="80"/>
          <w:sz w:val="22"/>
          <w:szCs w:val="22"/>
          <w:lang w:val="en-GB"/>
        </w:rPr>
        <w:t xml:space="preserve"> which permits cooperation between Australian and foreign courts, in this case Italy, in external administration matters, such as insolvency.</w:t>
      </w:r>
      <w:r>
        <w:rPr>
          <w:rStyle w:val="FootnoteReference"/>
          <w:rFonts w:ascii="Avenir Next" w:hAnsi="Avenir Next" w:cs="Arial"/>
          <w:color w:val="808080" w:themeColor="background1" w:themeShade="80"/>
          <w:sz w:val="22"/>
          <w:szCs w:val="22"/>
          <w:lang w:val="en-GB"/>
        </w:rPr>
        <w:footnoteReference w:id="33"/>
      </w:r>
      <w:r w:rsidR="006F38B9">
        <w:rPr>
          <w:rFonts w:ascii="Avenir Next" w:hAnsi="Avenir Next" w:cs="Arial"/>
          <w:color w:val="808080" w:themeColor="background1" w:themeShade="80"/>
          <w:sz w:val="22"/>
          <w:szCs w:val="22"/>
          <w:lang w:val="en-GB"/>
        </w:rPr>
        <w:t xml:space="preserve"> </w:t>
      </w:r>
      <w:r w:rsidR="00E65F11">
        <w:rPr>
          <w:rFonts w:ascii="Avenir Next" w:hAnsi="Avenir Next" w:cs="Arial"/>
          <w:color w:val="808080" w:themeColor="background1" w:themeShade="80"/>
          <w:sz w:val="22"/>
          <w:szCs w:val="22"/>
          <w:lang w:val="en-GB"/>
        </w:rPr>
        <w:t xml:space="preserve"> </w:t>
      </w:r>
      <w:r w:rsidR="006F38B9" w:rsidRPr="006F38B9">
        <w:rPr>
          <w:rFonts w:ascii="Avenir Next" w:hAnsi="Avenir Next" w:cs="Arial"/>
          <w:color w:val="808080" w:themeColor="background1" w:themeShade="80"/>
          <w:sz w:val="22"/>
          <w:szCs w:val="22"/>
          <w:lang w:val="en-GB"/>
        </w:rPr>
        <w:t xml:space="preserve">In </w:t>
      </w:r>
      <w:r w:rsidR="006F38B9" w:rsidRPr="006F38B9">
        <w:rPr>
          <w:rFonts w:ascii="Avenir Next" w:hAnsi="Avenir Next" w:cs="Arial"/>
          <w:i/>
          <w:iCs/>
          <w:color w:val="808080" w:themeColor="background1" w:themeShade="80"/>
          <w:sz w:val="22"/>
          <w:szCs w:val="22"/>
          <w:lang w:val="en-GB"/>
        </w:rPr>
        <w:t>Re Chow Cho Poon (Pte) Ltd</w:t>
      </w:r>
      <w:r w:rsidR="006F38B9" w:rsidRPr="006F38B9">
        <w:rPr>
          <w:rFonts w:ascii="Avenir Next" w:hAnsi="Avenir Next" w:cs="Arial"/>
          <w:color w:val="808080" w:themeColor="background1" w:themeShade="80"/>
          <w:sz w:val="22"/>
          <w:szCs w:val="22"/>
          <w:lang w:val="en-GB"/>
        </w:rPr>
        <w:t xml:space="preserve"> [2011] NSWSC 300, </w:t>
      </w:r>
      <w:r w:rsidR="006F38B9">
        <w:rPr>
          <w:rFonts w:ascii="Avenir Next" w:hAnsi="Avenir Next" w:cs="Arial"/>
          <w:color w:val="808080" w:themeColor="background1" w:themeShade="80"/>
          <w:sz w:val="22"/>
          <w:szCs w:val="22"/>
          <w:lang w:val="en-GB"/>
        </w:rPr>
        <w:t xml:space="preserve">the New South Wales Supreme Court </w:t>
      </w:r>
      <w:r w:rsidR="006F38B9" w:rsidRPr="006F38B9">
        <w:rPr>
          <w:rFonts w:ascii="Avenir Next" w:hAnsi="Avenir Next" w:cs="Arial"/>
          <w:color w:val="808080" w:themeColor="background1" w:themeShade="80"/>
          <w:sz w:val="22"/>
          <w:szCs w:val="22"/>
          <w:lang w:val="en-GB"/>
        </w:rPr>
        <w:t>granted assistance to a foreign liquidator</w:t>
      </w:r>
      <w:r w:rsidR="006F38B9">
        <w:rPr>
          <w:rFonts w:ascii="Avenir Next" w:hAnsi="Avenir Next" w:cs="Arial"/>
          <w:color w:val="808080" w:themeColor="background1" w:themeShade="80"/>
          <w:sz w:val="22"/>
          <w:szCs w:val="22"/>
          <w:lang w:val="en-GB"/>
        </w:rPr>
        <w:t xml:space="preserve"> </w:t>
      </w:r>
      <w:r w:rsidR="006F38B9" w:rsidRPr="006F38B9">
        <w:rPr>
          <w:rFonts w:ascii="Avenir Next" w:hAnsi="Avenir Next" w:cs="Arial"/>
          <w:color w:val="808080" w:themeColor="background1" w:themeShade="80"/>
          <w:sz w:val="22"/>
          <w:szCs w:val="22"/>
          <w:lang w:val="en-GB"/>
        </w:rPr>
        <w:t>upon a request under s</w:t>
      </w:r>
      <w:r w:rsidR="00E65F11">
        <w:rPr>
          <w:rFonts w:ascii="Avenir Next" w:hAnsi="Avenir Next" w:cs="Arial"/>
          <w:color w:val="808080" w:themeColor="background1" w:themeShade="80"/>
          <w:sz w:val="22"/>
          <w:szCs w:val="22"/>
          <w:lang w:val="en-GB"/>
        </w:rPr>
        <w:t>ection</w:t>
      </w:r>
      <w:r w:rsidR="006F38B9" w:rsidRPr="006F38B9">
        <w:rPr>
          <w:rFonts w:ascii="Avenir Next" w:hAnsi="Avenir Next" w:cs="Arial"/>
          <w:color w:val="808080" w:themeColor="background1" w:themeShade="80"/>
          <w:sz w:val="22"/>
          <w:szCs w:val="22"/>
          <w:lang w:val="en-GB"/>
        </w:rPr>
        <w:t xml:space="preserve"> 581, thus enabling control of assets in a bank account. The </w:t>
      </w:r>
      <w:r w:rsidR="00A234D3">
        <w:rPr>
          <w:rFonts w:ascii="Avenir Next" w:hAnsi="Avenir Next" w:cs="Arial"/>
          <w:color w:val="808080" w:themeColor="background1" w:themeShade="80"/>
          <w:sz w:val="22"/>
          <w:szCs w:val="22"/>
          <w:lang w:val="en-GB"/>
        </w:rPr>
        <w:t>C</w:t>
      </w:r>
      <w:r w:rsidR="006F38B9" w:rsidRPr="006F38B9">
        <w:rPr>
          <w:rFonts w:ascii="Avenir Next" w:hAnsi="Avenir Next" w:cs="Arial"/>
          <w:color w:val="808080" w:themeColor="background1" w:themeShade="80"/>
          <w:sz w:val="22"/>
          <w:szCs w:val="22"/>
          <w:lang w:val="en-GB"/>
        </w:rPr>
        <w:t>ourt specifically discussed</w:t>
      </w:r>
      <w:r w:rsidR="006F38B9">
        <w:rPr>
          <w:rFonts w:ascii="Avenir Next" w:hAnsi="Avenir Next" w:cs="Arial"/>
          <w:color w:val="808080" w:themeColor="background1" w:themeShade="80"/>
          <w:sz w:val="22"/>
          <w:szCs w:val="22"/>
          <w:lang w:val="en-GB"/>
        </w:rPr>
        <w:t xml:space="preserve"> </w:t>
      </w:r>
      <w:r w:rsidR="006F38B9" w:rsidRPr="006F38B9">
        <w:rPr>
          <w:rFonts w:ascii="Avenir Next" w:hAnsi="Avenir Next" w:cs="Arial"/>
          <w:color w:val="808080" w:themeColor="background1" w:themeShade="80"/>
          <w:sz w:val="22"/>
          <w:szCs w:val="22"/>
          <w:lang w:val="en-GB"/>
        </w:rPr>
        <w:t>Cross-border Insolvency Act 2008 (</w:t>
      </w:r>
      <w:proofErr w:type="spellStart"/>
      <w:r w:rsidR="006F38B9" w:rsidRPr="006F38B9">
        <w:rPr>
          <w:rFonts w:ascii="Avenir Next" w:hAnsi="Avenir Next" w:cs="Arial"/>
          <w:color w:val="808080" w:themeColor="background1" w:themeShade="80"/>
          <w:sz w:val="22"/>
          <w:szCs w:val="22"/>
          <w:lang w:val="en-GB"/>
        </w:rPr>
        <w:t>Cth</w:t>
      </w:r>
      <w:proofErr w:type="spellEnd"/>
      <w:r w:rsidR="006F38B9" w:rsidRPr="006F38B9">
        <w:rPr>
          <w:rFonts w:ascii="Avenir Next" w:hAnsi="Avenir Next" w:cs="Arial"/>
          <w:color w:val="808080" w:themeColor="background1" w:themeShade="80"/>
          <w:sz w:val="22"/>
          <w:szCs w:val="22"/>
          <w:lang w:val="en-GB"/>
        </w:rPr>
        <w:t xml:space="preserve">), </w:t>
      </w:r>
      <w:r w:rsidR="00E65F11" w:rsidRPr="006F38B9">
        <w:rPr>
          <w:rFonts w:ascii="Avenir Next" w:hAnsi="Avenir Next" w:cs="Arial"/>
          <w:color w:val="808080" w:themeColor="background1" w:themeShade="80"/>
          <w:sz w:val="22"/>
          <w:szCs w:val="22"/>
          <w:lang w:val="en-GB"/>
        </w:rPr>
        <w:t>s</w:t>
      </w:r>
      <w:r w:rsidR="00E65F11">
        <w:rPr>
          <w:rFonts w:ascii="Avenir Next" w:hAnsi="Avenir Next" w:cs="Arial"/>
          <w:color w:val="808080" w:themeColor="background1" w:themeShade="80"/>
          <w:sz w:val="22"/>
          <w:szCs w:val="22"/>
          <w:lang w:val="en-GB"/>
        </w:rPr>
        <w:t>ection</w:t>
      </w:r>
      <w:r w:rsidR="006F38B9" w:rsidRPr="006F38B9">
        <w:rPr>
          <w:rFonts w:ascii="Avenir Next" w:hAnsi="Avenir Next" w:cs="Arial"/>
          <w:color w:val="808080" w:themeColor="background1" w:themeShade="80"/>
          <w:sz w:val="22"/>
          <w:szCs w:val="22"/>
          <w:lang w:val="en-GB"/>
        </w:rPr>
        <w:t xml:space="preserve"> 22 on the interaction of the </w:t>
      </w:r>
      <w:r w:rsidR="00E65F11">
        <w:rPr>
          <w:rFonts w:ascii="Avenir Next" w:hAnsi="Avenir Next" w:cs="Arial"/>
          <w:color w:val="808080" w:themeColor="background1" w:themeShade="80"/>
          <w:sz w:val="22"/>
          <w:szCs w:val="22"/>
          <w:lang w:val="en-GB"/>
        </w:rPr>
        <w:t>Model Law</w:t>
      </w:r>
      <w:r w:rsidR="006F38B9" w:rsidRPr="006F38B9">
        <w:rPr>
          <w:rFonts w:ascii="Avenir Next" w:hAnsi="Avenir Next" w:cs="Arial"/>
          <w:color w:val="808080" w:themeColor="background1" w:themeShade="80"/>
          <w:sz w:val="22"/>
          <w:szCs w:val="22"/>
          <w:lang w:val="en-GB"/>
        </w:rPr>
        <w:t xml:space="preserve"> with</w:t>
      </w:r>
      <w:r w:rsidR="00E65F11">
        <w:rPr>
          <w:rFonts w:ascii="Avenir Next" w:hAnsi="Avenir Next" w:cs="Arial"/>
          <w:color w:val="808080" w:themeColor="background1" w:themeShade="80"/>
          <w:sz w:val="22"/>
          <w:szCs w:val="22"/>
          <w:lang w:val="en-GB"/>
        </w:rPr>
        <w:t xml:space="preserve"> section 581 of the</w:t>
      </w:r>
      <w:r w:rsidR="006F38B9" w:rsidRPr="006F38B9">
        <w:rPr>
          <w:rFonts w:ascii="Avenir Next" w:hAnsi="Avenir Next" w:cs="Arial"/>
          <w:color w:val="808080" w:themeColor="background1" w:themeShade="80"/>
          <w:sz w:val="22"/>
          <w:szCs w:val="22"/>
          <w:lang w:val="en-GB"/>
        </w:rPr>
        <w:t xml:space="preserve"> Corporations Act as invoked in that case.</w:t>
      </w:r>
      <w:r w:rsidR="006F38B9">
        <w:rPr>
          <w:rStyle w:val="FootnoteReference"/>
          <w:rFonts w:ascii="Avenir Next" w:hAnsi="Avenir Next" w:cs="Arial"/>
          <w:color w:val="808080" w:themeColor="background1" w:themeShade="80"/>
          <w:sz w:val="22"/>
          <w:szCs w:val="22"/>
          <w:lang w:val="en-GB"/>
        </w:rPr>
        <w:footnoteReference w:id="34"/>
      </w:r>
    </w:p>
    <w:p w14:paraId="131631C1" w14:textId="77777777" w:rsidR="006F38B9" w:rsidRDefault="006F38B9" w:rsidP="0045098F">
      <w:pPr>
        <w:ind w:left="426"/>
        <w:jc w:val="both"/>
        <w:rPr>
          <w:rFonts w:ascii="Avenir Next" w:hAnsi="Avenir Next" w:cs="Arial"/>
          <w:color w:val="808080" w:themeColor="background1" w:themeShade="80"/>
          <w:sz w:val="22"/>
          <w:szCs w:val="22"/>
          <w:lang w:val="en-GB"/>
        </w:rPr>
      </w:pPr>
    </w:p>
    <w:p w14:paraId="7FDEE668" w14:textId="0E47C7F1" w:rsidR="0045098F" w:rsidRDefault="006F38B9" w:rsidP="00E9092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Italian insolvent estate representative of </w:t>
      </w:r>
      <w:r w:rsidR="00C10AD7">
        <w:rPr>
          <w:rFonts w:ascii="Avenir Next" w:hAnsi="Avenir Next" w:cs="Arial"/>
          <w:color w:val="808080" w:themeColor="background1" w:themeShade="80"/>
          <w:sz w:val="22"/>
          <w:szCs w:val="22"/>
          <w:lang w:val="en-GB"/>
        </w:rPr>
        <w:t>NCI</w:t>
      </w:r>
      <w:r>
        <w:rPr>
          <w:rFonts w:ascii="Avenir Next" w:hAnsi="Avenir Next" w:cs="Arial"/>
          <w:color w:val="808080" w:themeColor="background1" w:themeShade="80"/>
          <w:sz w:val="22"/>
          <w:szCs w:val="22"/>
          <w:lang w:val="en-GB"/>
        </w:rPr>
        <w:t xml:space="preserve"> should seek</w:t>
      </w:r>
      <w:r w:rsidR="00C10AD7">
        <w:rPr>
          <w:rFonts w:ascii="Avenir Next" w:hAnsi="Avenir Next" w:cs="Arial"/>
          <w:color w:val="808080" w:themeColor="background1" w:themeShade="80"/>
          <w:sz w:val="22"/>
          <w:szCs w:val="22"/>
          <w:lang w:val="en-GB"/>
        </w:rPr>
        <w:t xml:space="preserve"> to</w:t>
      </w:r>
      <w:r>
        <w:rPr>
          <w:rFonts w:ascii="Avenir Next" w:hAnsi="Avenir Next" w:cs="Arial"/>
          <w:color w:val="808080" w:themeColor="background1" w:themeShade="80"/>
          <w:sz w:val="22"/>
          <w:szCs w:val="22"/>
          <w:lang w:val="en-GB"/>
        </w:rPr>
        <w:t xml:space="preserve"> rely on sections 580 – 581 of the Corporation Act, particularly as the Model Law has not been adopted in Italy</w:t>
      </w:r>
      <w:r w:rsidR="00E90921">
        <w:rPr>
          <w:rFonts w:ascii="Avenir Next" w:hAnsi="Avenir Next" w:cs="Arial"/>
          <w:color w:val="808080" w:themeColor="background1" w:themeShade="80"/>
          <w:sz w:val="22"/>
          <w:szCs w:val="22"/>
          <w:lang w:val="en-GB"/>
        </w:rPr>
        <w:t>. Parties have made use of these sections when the Model Law does not apply and there are examples in the Australia Federal Court context.</w:t>
      </w:r>
      <w:r w:rsidR="00E90921">
        <w:rPr>
          <w:rStyle w:val="FootnoteReference"/>
          <w:rFonts w:ascii="Avenir Next" w:hAnsi="Avenir Next" w:cs="Arial"/>
          <w:color w:val="808080" w:themeColor="background1" w:themeShade="80"/>
          <w:sz w:val="22"/>
          <w:szCs w:val="22"/>
          <w:lang w:val="en-GB"/>
        </w:rPr>
        <w:footnoteReference w:id="35"/>
      </w:r>
    </w:p>
    <w:p w14:paraId="7859C462" w14:textId="77777777" w:rsidR="00E90921" w:rsidRDefault="00E90921" w:rsidP="00E90921">
      <w:pPr>
        <w:ind w:left="426"/>
        <w:jc w:val="both"/>
        <w:rPr>
          <w:rFonts w:ascii="Avenir Next" w:hAnsi="Avenir Next" w:cs="Arial"/>
          <w:color w:val="808080" w:themeColor="background1" w:themeShade="80"/>
          <w:sz w:val="22"/>
          <w:szCs w:val="22"/>
          <w:lang w:val="en-GB"/>
        </w:rPr>
      </w:pPr>
    </w:p>
    <w:p w14:paraId="3B243FA4" w14:textId="5B430201" w:rsidR="00E90921" w:rsidRDefault="00E90921" w:rsidP="00E9092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Even though Italy hasn’t adopted the Model Law, the Italian estate representative may seek to rely on some of the useful elements which relate to secured transactions if the real rights of security are being dealt with in the context of the insolvency proceedings. It would be worth checking the extent to which the following model laws and guides have been adopted</w:t>
      </w:r>
      <w:r w:rsidR="00B770A9">
        <w:rPr>
          <w:rFonts w:ascii="Avenir Next" w:hAnsi="Avenir Next" w:cs="Arial"/>
          <w:color w:val="808080" w:themeColor="background1" w:themeShade="80"/>
          <w:sz w:val="22"/>
          <w:szCs w:val="22"/>
          <w:lang w:val="en-GB"/>
        </w:rPr>
        <w:t xml:space="preserve">, </w:t>
      </w:r>
      <w:proofErr w:type="gramStart"/>
      <w:r>
        <w:rPr>
          <w:rFonts w:ascii="Avenir Next" w:hAnsi="Avenir Next" w:cs="Arial"/>
          <w:color w:val="808080" w:themeColor="background1" w:themeShade="80"/>
          <w:sz w:val="22"/>
          <w:szCs w:val="22"/>
          <w:lang w:val="en-GB"/>
        </w:rPr>
        <w:t>apply</w:t>
      </w:r>
      <w:proofErr w:type="gramEnd"/>
      <w:r w:rsidR="00B770A9">
        <w:rPr>
          <w:rFonts w:ascii="Avenir Next" w:hAnsi="Avenir Next" w:cs="Arial"/>
          <w:color w:val="808080" w:themeColor="background1" w:themeShade="80"/>
          <w:sz w:val="22"/>
          <w:szCs w:val="22"/>
          <w:lang w:val="en-GB"/>
        </w:rPr>
        <w:t xml:space="preserve"> or can provide useful guidance</w:t>
      </w:r>
      <w:r>
        <w:rPr>
          <w:rFonts w:ascii="Avenir Next" w:hAnsi="Avenir Next" w:cs="Arial"/>
          <w:color w:val="808080" w:themeColor="background1" w:themeShade="80"/>
          <w:sz w:val="22"/>
          <w:szCs w:val="22"/>
          <w:lang w:val="en-GB"/>
        </w:rPr>
        <w:t xml:space="preserve">: </w:t>
      </w:r>
    </w:p>
    <w:p w14:paraId="48013C8B" w14:textId="77777777" w:rsidR="00E90921" w:rsidRPr="00E90921" w:rsidRDefault="00E90921" w:rsidP="00E90921">
      <w:pPr>
        <w:jc w:val="both"/>
        <w:rPr>
          <w:rFonts w:ascii="Avenir Next" w:hAnsi="Avenir Next" w:cs="Arial"/>
          <w:color w:val="808080" w:themeColor="background1" w:themeShade="80"/>
          <w:sz w:val="22"/>
          <w:szCs w:val="22"/>
          <w:lang w:val="en-GB"/>
        </w:rPr>
      </w:pPr>
    </w:p>
    <w:p w14:paraId="698040A5" w14:textId="0FCBE606" w:rsidR="0045098F" w:rsidRPr="00E90921" w:rsidRDefault="00E90921" w:rsidP="00E90921">
      <w:pPr>
        <w:pStyle w:val="ListParagraph"/>
        <w:numPr>
          <w:ilvl w:val="0"/>
          <w:numId w:val="40"/>
        </w:numPr>
        <w:jc w:val="both"/>
        <w:rPr>
          <w:rFonts w:ascii="Avenir Next" w:hAnsi="Avenir Next" w:cs="Arial"/>
          <w:color w:val="808080" w:themeColor="background1" w:themeShade="80"/>
          <w:sz w:val="22"/>
          <w:szCs w:val="22"/>
          <w:lang w:val="en-GB"/>
        </w:rPr>
      </w:pPr>
      <w:r w:rsidRPr="00E90921">
        <w:rPr>
          <w:rFonts w:ascii="Avenir Next" w:hAnsi="Avenir Next" w:cs="Arial"/>
          <w:color w:val="808080" w:themeColor="background1" w:themeShade="80"/>
          <w:sz w:val="22"/>
          <w:szCs w:val="22"/>
          <w:lang w:val="en-GB"/>
        </w:rPr>
        <w:t>UNCITRAL Model Law on Secured Transactions (2016)</w:t>
      </w:r>
      <w:r>
        <w:rPr>
          <w:rStyle w:val="FootnoteReference"/>
          <w:rFonts w:ascii="Avenir Next" w:hAnsi="Avenir Next" w:cs="Arial"/>
          <w:color w:val="808080" w:themeColor="background1" w:themeShade="80"/>
          <w:sz w:val="22"/>
          <w:szCs w:val="22"/>
          <w:lang w:val="en-GB"/>
        </w:rPr>
        <w:footnoteReference w:id="36"/>
      </w:r>
      <w:r>
        <w:rPr>
          <w:rFonts w:ascii="Avenir Next" w:hAnsi="Avenir Next" w:cs="Arial"/>
          <w:color w:val="808080" w:themeColor="background1" w:themeShade="80"/>
          <w:sz w:val="22"/>
          <w:szCs w:val="22"/>
          <w:lang w:val="en-GB"/>
        </w:rPr>
        <w:t xml:space="preserve"> and the </w:t>
      </w:r>
      <w:r w:rsidRPr="00E90921">
        <w:rPr>
          <w:rFonts w:ascii="Avenir Next" w:hAnsi="Avenir Next" w:cs="Arial"/>
          <w:color w:val="808080" w:themeColor="background1" w:themeShade="80"/>
          <w:sz w:val="22"/>
          <w:szCs w:val="22"/>
          <w:lang w:val="en-GB"/>
        </w:rPr>
        <w:t xml:space="preserve">Guide to Enactment (2017) </w:t>
      </w:r>
      <w:r>
        <w:rPr>
          <w:rFonts w:ascii="Avenir Next" w:hAnsi="Avenir Next" w:cs="Arial"/>
          <w:color w:val="808080" w:themeColor="background1" w:themeShade="80"/>
          <w:sz w:val="22"/>
          <w:szCs w:val="22"/>
          <w:lang w:val="en-GB"/>
        </w:rPr>
        <w:t xml:space="preserve">and </w:t>
      </w:r>
      <w:r w:rsidRPr="00E90921">
        <w:rPr>
          <w:rFonts w:ascii="Avenir Next" w:hAnsi="Avenir Next" w:cs="Arial"/>
          <w:color w:val="808080" w:themeColor="background1" w:themeShade="80"/>
          <w:sz w:val="22"/>
          <w:szCs w:val="22"/>
          <w:lang w:val="en-GB"/>
        </w:rPr>
        <w:t>Practice Guide (2019)</w:t>
      </w:r>
      <w:r>
        <w:rPr>
          <w:rFonts w:ascii="Avenir Next" w:hAnsi="Avenir Next" w:cs="Arial"/>
          <w:color w:val="808080" w:themeColor="background1" w:themeShade="80"/>
          <w:sz w:val="22"/>
          <w:szCs w:val="22"/>
          <w:lang w:val="en-GB"/>
        </w:rPr>
        <w:t xml:space="preserve"> which </w:t>
      </w:r>
      <w:r w:rsidR="0045098F" w:rsidRPr="00E90921">
        <w:rPr>
          <w:rFonts w:ascii="Avenir Next" w:hAnsi="Avenir Next" w:cs="Arial"/>
          <w:color w:val="808080" w:themeColor="background1" w:themeShade="80"/>
          <w:sz w:val="22"/>
          <w:szCs w:val="22"/>
          <w:lang w:val="en-GB"/>
        </w:rPr>
        <w:t>is an attempt at harmonise the rules relating to security interests around the</w:t>
      </w:r>
      <w:r w:rsidRPr="00E90921">
        <w:rPr>
          <w:rFonts w:ascii="Avenir Next" w:hAnsi="Avenir Next" w:cs="Arial"/>
          <w:color w:val="808080" w:themeColor="background1" w:themeShade="80"/>
          <w:sz w:val="22"/>
          <w:szCs w:val="22"/>
          <w:lang w:val="en-GB"/>
        </w:rPr>
        <w:t xml:space="preserve"> </w:t>
      </w:r>
      <w:r w:rsidR="0045098F" w:rsidRPr="00E90921">
        <w:rPr>
          <w:rFonts w:ascii="Avenir Next" w:hAnsi="Avenir Next" w:cs="Arial"/>
          <w:color w:val="808080" w:themeColor="background1" w:themeShade="80"/>
          <w:sz w:val="22"/>
          <w:szCs w:val="22"/>
          <w:lang w:val="en-GB"/>
        </w:rPr>
        <w:t>world</w:t>
      </w:r>
      <w:r>
        <w:rPr>
          <w:rStyle w:val="FootnoteReference"/>
          <w:rFonts w:ascii="Avenir Next" w:hAnsi="Avenir Next" w:cs="Arial"/>
          <w:color w:val="808080" w:themeColor="background1" w:themeShade="80"/>
          <w:sz w:val="22"/>
          <w:szCs w:val="22"/>
          <w:lang w:val="en-GB"/>
        </w:rPr>
        <w:footnoteReference w:id="37"/>
      </w:r>
      <w:r>
        <w:rPr>
          <w:rFonts w:ascii="Avenir Next" w:hAnsi="Avenir Next" w:cs="Arial"/>
          <w:color w:val="808080" w:themeColor="background1" w:themeShade="80"/>
          <w:sz w:val="22"/>
          <w:szCs w:val="22"/>
          <w:lang w:val="en-GB"/>
        </w:rPr>
        <w:t xml:space="preserve"> and </w:t>
      </w:r>
      <w:r w:rsidRPr="00E90921">
        <w:rPr>
          <w:rFonts w:ascii="Avenir Next" w:hAnsi="Avenir Next" w:cs="Arial"/>
          <w:i/>
          <w:iCs/>
          <w:color w:val="808080" w:themeColor="background1" w:themeShade="80"/>
          <w:sz w:val="22"/>
          <w:szCs w:val="22"/>
          <w:lang w:val="en-GB"/>
        </w:rPr>
        <w:t>“deals with security interests in all types of tangible and intangible movable property, such as goods, receivables, bank accounts, negotiable instruments, negotiable documents, non-intermediated securities and intellectual property with a few exceptions, such as intermediated securities… [It] follows a unitary approach using one concept for all types of security interest, a functional approach under which the Model Law applies to all types of transaction that fulfil security purposes, such as a secured loan, retention of title sale or financial lease, and a comprehensive approach under which this Model Law applies to all types of asset, secured obligation, borrower and lender...The Model Law includes a set of Model Registry Provisions (the “Model Provisions”) that can be implemented in a statute or other type of legal instrument, or in both.”</w:t>
      </w:r>
      <w:r>
        <w:rPr>
          <w:rStyle w:val="FootnoteReference"/>
          <w:rFonts w:ascii="Avenir Next" w:hAnsi="Avenir Next" w:cs="Arial"/>
          <w:i/>
          <w:iCs/>
          <w:color w:val="808080" w:themeColor="background1" w:themeShade="80"/>
          <w:sz w:val="22"/>
          <w:szCs w:val="22"/>
          <w:lang w:val="en-GB"/>
        </w:rPr>
        <w:footnoteReference w:id="38"/>
      </w:r>
    </w:p>
    <w:p w14:paraId="7A3D8B17" w14:textId="77777777" w:rsidR="00E90921" w:rsidRPr="00E90921" w:rsidRDefault="00E90921" w:rsidP="00E90921">
      <w:pPr>
        <w:pStyle w:val="ListParagraph"/>
        <w:ind w:left="1146"/>
        <w:jc w:val="both"/>
        <w:rPr>
          <w:rFonts w:ascii="Avenir Next" w:hAnsi="Avenir Next" w:cs="Arial"/>
          <w:color w:val="808080" w:themeColor="background1" w:themeShade="80"/>
          <w:sz w:val="22"/>
          <w:szCs w:val="22"/>
          <w:lang w:val="en-GB"/>
        </w:rPr>
      </w:pPr>
    </w:p>
    <w:p w14:paraId="62B767F0" w14:textId="5EA9A513" w:rsidR="0045098F" w:rsidRPr="00E90921" w:rsidRDefault="0045098F" w:rsidP="00E90921">
      <w:pPr>
        <w:pStyle w:val="ListParagraph"/>
        <w:numPr>
          <w:ilvl w:val="0"/>
          <w:numId w:val="40"/>
        </w:numPr>
        <w:jc w:val="both"/>
        <w:rPr>
          <w:rFonts w:ascii="Avenir Next" w:hAnsi="Avenir Next" w:cs="Arial"/>
          <w:color w:val="808080" w:themeColor="background1" w:themeShade="80"/>
          <w:sz w:val="22"/>
          <w:szCs w:val="22"/>
          <w:lang w:val="en-GB"/>
        </w:rPr>
      </w:pPr>
      <w:r w:rsidRPr="00E90921">
        <w:rPr>
          <w:rFonts w:ascii="Avenir Next" w:hAnsi="Avenir Next" w:cs="Arial"/>
          <w:color w:val="808080" w:themeColor="background1" w:themeShade="80"/>
          <w:sz w:val="22"/>
          <w:szCs w:val="22"/>
          <w:lang w:val="en-GB"/>
        </w:rPr>
        <w:t>UNCITRAL Legislative Guide on Secured Transactions (2007)</w:t>
      </w:r>
      <w:r w:rsidR="00E90921">
        <w:rPr>
          <w:rStyle w:val="FootnoteReference"/>
          <w:rFonts w:ascii="Avenir Next" w:hAnsi="Avenir Next" w:cs="Arial"/>
          <w:color w:val="808080" w:themeColor="background1" w:themeShade="80"/>
          <w:sz w:val="22"/>
          <w:szCs w:val="22"/>
          <w:lang w:val="en-GB"/>
        </w:rPr>
        <w:footnoteReference w:id="39"/>
      </w:r>
      <w:r w:rsidR="00E90921">
        <w:rPr>
          <w:rFonts w:ascii="Avenir Next" w:hAnsi="Avenir Next" w:cs="Arial"/>
          <w:color w:val="808080" w:themeColor="background1" w:themeShade="80"/>
          <w:sz w:val="22"/>
          <w:szCs w:val="22"/>
          <w:lang w:val="en-GB"/>
        </w:rPr>
        <w:t xml:space="preserve"> which focused on the </w:t>
      </w:r>
      <w:r w:rsidRPr="00E90921">
        <w:rPr>
          <w:rFonts w:ascii="Avenir Next" w:hAnsi="Avenir Next" w:cs="Arial"/>
          <w:color w:val="808080" w:themeColor="background1" w:themeShade="80"/>
          <w:sz w:val="22"/>
          <w:szCs w:val="22"/>
          <w:lang w:val="en-GB"/>
        </w:rPr>
        <w:t>co-ordination of the treatment of security interests in</w:t>
      </w:r>
      <w:r w:rsidR="00B770A9">
        <w:rPr>
          <w:rFonts w:ascii="Avenir Next" w:hAnsi="Avenir Next" w:cs="Arial"/>
          <w:color w:val="808080" w:themeColor="background1" w:themeShade="80"/>
          <w:sz w:val="22"/>
          <w:szCs w:val="22"/>
          <w:lang w:val="en-GB"/>
        </w:rPr>
        <w:t xml:space="preserve"> </w:t>
      </w:r>
      <w:r w:rsidRPr="00E90921">
        <w:rPr>
          <w:rFonts w:ascii="Avenir Next" w:hAnsi="Avenir Next" w:cs="Arial"/>
          <w:color w:val="808080" w:themeColor="background1" w:themeShade="80"/>
          <w:sz w:val="22"/>
          <w:szCs w:val="22"/>
          <w:lang w:val="en-GB"/>
        </w:rPr>
        <w:t>insolvency</w:t>
      </w:r>
      <w:r w:rsidR="00B770A9">
        <w:rPr>
          <w:rFonts w:ascii="Avenir Next" w:hAnsi="Avenir Next" w:cs="Arial"/>
          <w:color w:val="808080" w:themeColor="background1" w:themeShade="80"/>
          <w:sz w:val="22"/>
          <w:szCs w:val="22"/>
          <w:lang w:val="en-GB"/>
        </w:rPr>
        <w:t>.</w:t>
      </w:r>
      <w:r w:rsidR="00B770A9">
        <w:rPr>
          <w:rStyle w:val="FootnoteReference"/>
          <w:rFonts w:ascii="Avenir Next" w:hAnsi="Avenir Next" w:cs="Arial"/>
          <w:color w:val="808080" w:themeColor="background1" w:themeShade="80"/>
          <w:sz w:val="22"/>
          <w:szCs w:val="22"/>
          <w:lang w:val="en-GB"/>
        </w:rPr>
        <w:footnoteReference w:id="40"/>
      </w:r>
    </w:p>
    <w:p w14:paraId="311B4F22" w14:textId="77777777" w:rsidR="0045098F" w:rsidRDefault="0045098F" w:rsidP="0045098F">
      <w:pPr>
        <w:ind w:left="426"/>
        <w:jc w:val="both"/>
        <w:rPr>
          <w:rFonts w:ascii="Avenir Next" w:hAnsi="Avenir Next" w:cs="Arial"/>
          <w:color w:val="808080" w:themeColor="background1" w:themeShade="80"/>
          <w:sz w:val="22"/>
          <w:szCs w:val="22"/>
          <w:lang w:val="en-GB"/>
        </w:rPr>
      </w:pPr>
    </w:p>
    <w:p w14:paraId="63C1667B" w14:textId="7B96668A" w:rsidR="007815D1" w:rsidRPr="00CB3EB6" w:rsidRDefault="007815D1" w:rsidP="00CB3EB6">
      <w:pPr>
        <w:jc w:val="both"/>
        <w:rPr>
          <w:rFonts w:ascii="Avenir Next Demi Bold" w:hAnsi="Avenir Next Demi Bold" w:cs="Arial"/>
          <w:b/>
          <w:bCs/>
          <w:sz w:val="22"/>
          <w:szCs w:val="22"/>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4309D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EF2FB2E08C-Roman">
    <w:altName w:val="Cambria"/>
    <w:panose1 w:val="00000000000000000000"/>
    <w:charset w:val="00"/>
    <w:family w:val="roman"/>
    <w:notTrueType/>
    <w:pitch w:val="default"/>
  </w:font>
  <w:font w:name="FEFD2088FC8-Roman">
    <w:altName w:val="Cambria"/>
    <w:panose1 w:val="00000000000000000000"/>
    <w:charset w:val="00"/>
    <w:family w:val="roman"/>
    <w:notTrueType/>
    <w:pitch w:val="default"/>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763CDAB4" w:rsidR="00B64A85" w:rsidRPr="00297BDF" w:rsidRDefault="004309D1" w:rsidP="0052732A">
    <w:pPr>
      <w:pStyle w:val="Footer"/>
      <w:ind w:right="360"/>
      <w:rPr>
        <w:rFonts w:ascii="Avenir Next" w:hAnsi="Avenir Next" w:cs="Arial"/>
        <w:sz w:val="22"/>
        <w:szCs w:val="22"/>
      </w:rPr>
    </w:pPr>
    <w:r w:rsidRPr="004309D1">
      <w:rPr>
        <w:rFonts w:ascii="Avenir Next" w:hAnsi="Avenir Next" w:cs="Arial"/>
        <w:sz w:val="22"/>
        <w:szCs w:val="22"/>
      </w:rPr>
      <w:t>FC202324-1328</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C874" w14:textId="77777777" w:rsidR="004309D1" w:rsidRDefault="00430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 w:id="1">
    <w:p w14:paraId="44AEF680" w14:textId="11BDDA3C" w:rsidR="00D4632F" w:rsidRDefault="00D4632F">
      <w:pPr>
        <w:pStyle w:val="FootnoteText"/>
      </w:pPr>
      <w:r>
        <w:rPr>
          <w:rStyle w:val="FootnoteReference"/>
        </w:rPr>
        <w:footnoteRef/>
      </w:r>
      <w:r>
        <w:t xml:space="preserve"> </w:t>
      </w:r>
      <w:r w:rsidRPr="00D4632F">
        <w:t>See section 4.1.1 of the Module 1 Guidance Text.</w:t>
      </w:r>
    </w:p>
  </w:footnote>
  <w:footnote w:id="2">
    <w:p w14:paraId="523B689D" w14:textId="2B302E75" w:rsidR="00D4632F" w:rsidRDefault="00D4632F">
      <w:pPr>
        <w:pStyle w:val="FootnoteText"/>
      </w:pPr>
      <w:r>
        <w:rPr>
          <w:rStyle w:val="FootnoteReference"/>
        </w:rPr>
        <w:footnoteRef/>
      </w:r>
      <w:r>
        <w:t xml:space="preserve"> </w:t>
      </w:r>
      <w:r w:rsidRPr="00D4632F">
        <w:t>See section 4.1.2.21 of the Module 1 Guidance Text.</w:t>
      </w:r>
    </w:p>
  </w:footnote>
  <w:footnote w:id="3">
    <w:p w14:paraId="6E679238" w14:textId="26A3CB0B" w:rsidR="00D4632F" w:rsidRDefault="00D4632F">
      <w:pPr>
        <w:pStyle w:val="FootnoteText"/>
      </w:pPr>
      <w:r>
        <w:rPr>
          <w:rStyle w:val="FootnoteReference"/>
        </w:rPr>
        <w:footnoteRef/>
      </w:r>
      <w:r>
        <w:t xml:space="preserve"> </w:t>
      </w:r>
      <w:r w:rsidRPr="00D4632F">
        <w:t>See section 4.1.2.2 of the Module 1 Guidance Text.</w:t>
      </w:r>
    </w:p>
  </w:footnote>
  <w:footnote w:id="4">
    <w:p w14:paraId="600987B8" w14:textId="2FB39BFF" w:rsidR="005B13F1" w:rsidRDefault="005B13F1">
      <w:pPr>
        <w:pStyle w:val="FootnoteText"/>
      </w:pPr>
      <w:r>
        <w:rPr>
          <w:rStyle w:val="FootnoteReference"/>
        </w:rPr>
        <w:footnoteRef/>
      </w:r>
      <w:r>
        <w:t xml:space="preserve"> </w:t>
      </w:r>
      <w:r w:rsidRPr="005B13F1">
        <w:t>See section 4.1.2.1 of the Module 1 Guidance Text</w:t>
      </w:r>
      <w:r>
        <w:t>.</w:t>
      </w:r>
    </w:p>
  </w:footnote>
  <w:footnote w:id="5">
    <w:p w14:paraId="531FFE5B" w14:textId="74B5162D" w:rsidR="005B13F1" w:rsidRDefault="005B13F1">
      <w:pPr>
        <w:pStyle w:val="FootnoteText"/>
      </w:pPr>
      <w:r>
        <w:rPr>
          <w:rStyle w:val="FootnoteReference"/>
        </w:rPr>
        <w:footnoteRef/>
      </w:r>
      <w:r>
        <w:t xml:space="preserve"> </w:t>
      </w:r>
      <w:r w:rsidRPr="005B13F1">
        <w:t>Module 1 Guidance Text, page 10</w:t>
      </w:r>
      <w:r>
        <w:t>.</w:t>
      </w:r>
    </w:p>
  </w:footnote>
  <w:footnote w:id="6">
    <w:p w14:paraId="74595E2A" w14:textId="7D8DF5ED" w:rsidR="00AE171A" w:rsidRDefault="00AE171A">
      <w:pPr>
        <w:pStyle w:val="FootnoteText"/>
      </w:pPr>
      <w:r>
        <w:rPr>
          <w:rStyle w:val="FootnoteReference"/>
        </w:rPr>
        <w:footnoteRef/>
      </w:r>
      <w:r>
        <w:t xml:space="preserve"> </w:t>
      </w:r>
      <w:r w:rsidRPr="00AE171A">
        <w:t>Article 414 of the Bustamante Code.</w:t>
      </w:r>
    </w:p>
  </w:footnote>
  <w:footnote w:id="7">
    <w:p w14:paraId="4FBED7E5" w14:textId="49978A4B" w:rsidR="00AE171A" w:rsidRDefault="00AE171A">
      <w:pPr>
        <w:pStyle w:val="FootnoteText"/>
      </w:pPr>
      <w:r>
        <w:rPr>
          <w:rStyle w:val="FootnoteReference"/>
        </w:rPr>
        <w:footnoteRef/>
      </w:r>
      <w:r>
        <w:t xml:space="preserve"> </w:t>
      </w:r>
      <w:r w:rsidRPr="00AE171A">
        <w:t>Article 414 of the Bustamante Code.</w:t>
      </w:r>
    </w:p>
  </w:footnote>
  <w:footnote w:id="8">
    <w:p w14:paraId="52903085" w14:textId="09CDB1CB" w:rsidR="00FE2818" w:rsidRDefault="00FE2818" w:rsidP="00FE2818">
      <w:pPr>
        <w:pStyle w:val="FootnoteText"/>
      </w:pPr>
      <w:r>
        <w:rPr>
          <w:rStyle w:val="FootnoteReference"/>
        </w:rPr>
        <w:footnoteRef/>
      </w:r>
      <w:r>
        <w:t xml:space="preserve">  I F Fletcher, The Law of Insolvency, London (Sweet and Maxwell, 5th ed, 2017), Ch 1, p 6; and see generally L E Levinthal, “The Early History of Bankruptcy Law”, (1918) 66 Uni of Pennsylvania Law Review and American Law Register, p 223.</w:t>
      </w:r>
    </w:p>
  </w:footnote>
  <w:footnote w:id="9">
    <w:p w14:paraId="390385CE" w14:textId="70C69B8A" w:rsidR="00F83C65" w:rsidRDefault="00F83C65">
      <w:pPr>
        <w:pStyle w:val="FootnoteText"/>
      </w:pPr>
      <w:r>
        <w:rPr>
          <w:rStyle w:val="FootnoteReference"/>
        </w:rPr>
        <w:footnoteRef/>
      </w:r>
      <w:r>
        <w:t xml:space="preserve"> </w:t>
      </w:r>
      <w:r w:rsidRPr="00F83C65">
        <w:t>S</w:t>
      </w:r>
      <w:r>
        <w:t>ee s</w:t>
      </w:r>
      <w:r w:rsidRPr="00F83C65">
        <w:t>ection 4.2.2.1 if the Module 1 Guidance Text</w:t>
      </w:r>
      <w:r>
        <w:t xml:space="preserve"> on page 18.</w:t>
      </w:r>
    </w:p>
  </w:footnote>
  <w:footnote w:id="10">
    <w:p w14:paraId="348F207E" w14:textId="0E9C8B7E" w:rsidR="003B4A48" w:rsidRDefault="003B4A48">
      <w:pPr>
        <w:pStyle w:val="FootnoteText"/>
      </w:pPr>
      <w:r>
        <w:rPr>
          <w:rStyle w:val="FootnoteReference"/>
        </w:rPr>
        <w:footnoteRef/>
      </w:r>
      <w:r>
        <w:t xml:space="preserve"> </w:t>
      </w:r>
      <w:r w:rsidRPr="003B4A48">
        <w:t xml:space="preserve">P R Wood, </w:t>
      </w:r>
      <w:r w:rsidRPr="003B4A48">
        <w:rPr>
          <w:i/>
          <w:iCs/>
        </w:rPr>
        <w:t>Principles of International Insolvency</w:t>
      </w:r>
      <w:r w:rsidRPr="003B4A48">
        <w:t xml:space="preserve"> (Sweet and Maxwell Ltd, 2007), </w:t>
      </w:r>
      <w:r>
        <w:t xml:space="preserve">p 3. </w:t>
      </w:r>
    </w:p>
  </w:footnote>
  <w:footnote w:id="11">
    <w:p w14:paraId="395A6B78" w14:textId="0C4E28AF" w:rsidR="00DD0C5D" w:rsidRDefault="00DD0C5D">
      <w:pPr>
        <w:pStyle w:val="FootnoteText"/>
      </w:pPr>
      <w:r>
        <w:rPr>
          <w:rStyle w:val="FootnoteReference"/>
        </w:rPr>
        <w:footnoteRef/>
      </w:r>
      <w:r>
        <w:t xml:space="preserve"> Ibid. </w:t>
      </w:r>
    </w:p>
  </w:footnote>
  <w:footnote w:id="12">
    <w:p w14:paraId="05E189BF" w14:textId="1513628F" w:rsidR="00DD0C5D" w:rsidRDefault="00DD0C5D">
      <w:pPr>
        <w:pStyle w:val="FootnoteText"/>
      </w:pPr>
      <w:r>
        <w:rPr>
          <w:rStyle w:val="FootnoteReference"/>
        </w:rPr>
        <w:footnoteRef/>
      </w:r>
      <w:r>
        <w:t xml:space="preserve"> </w:t>
      </w:r>
      <w:r w:rsidRPr="00DD0C5D">
        <w:t xml:space="preserve">In M </w:t>
      </w:r>
      <w:proofErr w:type="gramStart"/>
      <w:r w:rsidRPr="00DD0C5D">
        <w:t>A</w:t>
      </w:r>
      <w:proofErr w:type="gramEnd"/>
      <w:r w:rsidRPr="00DD0C5D">
        <w:t xml:space="preserve"> Clarke et al, </w:t>
      </w:r>
      <w:r w:rsidRPr="00DD0C5D">
        <w:rPr>
          <w:i/>
          <w:iCs/>
        </w:rPr>
        <w:t>Commercial Law</w:t>
      </w:r>
      <w:r w:rsidRPr="00DD0C5D">
        <w:t xml:space="preserve"> (Oxford University Press, 2017), chap 28.</w:t>
      </w:r>
    </w:p>
  </w:footnote>
  <w:footnote w:id="13">
    <w:p w14:paraId="441C506E" w14:textId="5F57819A" w:rsidR="00DD4009" w:rsidRDefault="00DD4009">
      <w:pPr>
        <w:pStyle w:val="FootnoteText"/>
      </w:pPr>
      <w:r>
        <w:rPr>
          <w:rStyle w:val="FootnoteReference"/>
        </w:rPr>
        <w:footnoteRef/>
      </w:r>
      <w:r>
        <w:t xml:space="preserve"> Ibid. </w:t>
      </w:r>
    </w:p>
  </w:footnote>
  <w:footnote w:id="14">
    <w:p w14:paraId="463C833C" w14:textId="414D6220" w:rsidR="0031793C" w:rsidRDefault="0031793C" w:rsidP="0031793C">
      <w:pPr>
        <w:pStyle w:val="FootnoteText"/>
      </w:pPr>
      <w:r>
        <w:rPr>
          <w:rStyle w:val="FootnoteReference"/>
        </w:rPr>
        <w:footnoteRef/>
      </w:r>
      <w:r>
        <w:t xml:space="preserve"> I F Fletcher, The Law of Insolvency, London (Sweet and Maxwell, 5th ed, 2017), Ch 1. </w:t>
      </w:r>
    </w:p>
  </w:footnote>
  <w:footnote w:id="15">
    <w:p w14:paraId="025EFC62" w14:textId="1B750DFF" w:rsidR="00DD4009" w:rsidRDefault="00DD4009">
      <w:pPr>
        <w:pStyle w:val="FootnoteText"/>
      </w:pPr>
      <w:r>
        <w:rPr>
          <w:rStyle w:val="FootnoteReference"/>
        </w:rPr>
        <w:footnoteRef/>
      </w:r>
      <w:r>
        <w:t xml:space="preserve"> Ibid.</w:t>
      </w:r>
    </w:p>
  </w:footnote>
  <w:footnote w:id="16">
    <w:p w14:paraId="2C47AE6C" w14:textId="5698A654" w:rsidR="0031793C" w:rsidRDefault="0031793C">
      <w:pPr>
        <w:pStyle w:val="FootnoteText"/>
      </w:pPr>
      <w:r>
        <w:rPr>
          <w:rStyle w:val="FootnoteReference"/>
        </w:rPr>
        <w:footnoteRef/>
      </w:r>
      <w:r>
        <w:t xml:space="preserve"> Ibid.</w:t>
      </w:r>
    </w:p>
  </w:footnote>
  <w:footnote w:id="17">
    <w:p w14:paraId="1C2FD2A1" w14:textId="77777777" w:rsidR="00AA3C88" w:rsidRPr="00BD445A" w:rsidRDefault="00AA3C88" w:rsidP="00AA3C88">
      <w:pPr>
        <w:pStyle w:val="FootnoteText"/>
      </w:pPr>
      <w:r>
        <w:rPr>
          <w:rStyle w:val="FootnoteReference"/>
        </w:rPr>
        <w:footnoteRef/>
      </w:r>
      <w:r>
        <w:t xml:space="preserve"> I F Fletcher, </w:t>
      </w:r>
      <w:r>
        <w:rPr>
          <w:i/>
          <w:iCs/>
        </w:rPr>
        <w:t xml:space="preserve">Insolvency in Private International Law – National and International approaches </w:t>
      </w:r>
      <w:r>
        <w:t>(Oxford University Press, 2</w:t>
      </w:r>
      <w:r w:rsidRPr="00BD445A">
        <w:rPr>
          <w:vertAlign w:val="superscript"/>
        </w:rPr>
        <w:t>nd</w:t>
      </w:r>
      <w:r>
        <w:t xml:space="preserve"> ed, 2005), pp 3 – 5.</w:t>
      </w:r>
    </w:p>
  </w:footnote>
  <w:footnote w:id="18">
    <w:p w14:paraId="71B01905" w14:textId="77777777" w:rsidR="00AA3C88" w:rsidRDefault="00AA3C88" w:rsidP="00AA3C88">
      <w:pPr>
        <w:pStyle w:val="FootnoteText"/>
      </w:pPr>
      <w:r>
        <w:rPr>
          <w:rStyle w:val="FootnoteReference"/>
        </w:rPr>
        <w:footnoteRef/>
      </w:r>
      <w:r>
        <w:t xml:space="preserve"> Ibid. </w:t>
      </w:r>
    </w:p>
  </w:footnote>
  <w:footnote w:id="19">
    <w:p w14:paraId="0BBCBDF2" w14:textId="20FE30A8" w:rsidR="00AA3C88" w:rsidRPr="00B74667" w:rsidRDefault="00AA3C88" w:rsidP="00AA3C88">
      <w:pPr>
        <w:pStyle w:val="FootnoteText"/>
      </w:pPr>
      <w:r>
        <w:rPr>
          <w:rStyle w:val="FootnoteReference"/>
        </w:rPr>
        <w:footnoteRef/>
      </w:r>
      <w:r>
        <w:t xml:space="preserve"> P </w:t>
      </w:r>
      <w:r w:rsidR="0077464A">
        <w:t>J Omar</w:t>
      </w:r>
      <w:r>
        <w:t>, '</w:t>
      </w:r>
      <w:r w:rsidRPr="00B74667">
        <w:t>The Land</w:t>
      </w:r>
      <w:r>
        <w:t xml:space="preserve">scape of International Insolvency", (2002) 11, </w:t>
      </w:r>
      <w:r>
        <w:rPr>
          <w:i/>
          <w:iCs/>
        </w:rPr>
        <w:t>IIR</w:t>
      </w:r>
      <w:r>
        <w:t xml:space="preserve"> 173, p 175. </w:t>
      </w:r>
    </w:p>
  </w:footnote>
  <w:footnote w:id="20">
    <w:p w14:paraId="02F4B407" w14:textId="1E15A97A" w:rsidR="00AA3C88" w:rsidRPr="00AA3C88" w:rsidRDefault="00AA3C88">
      <w:pPr>
        <w:pStyle w:val="FootnoteText"/>
        <w:rPr>
          <w:i/>
          <w:iCs/>
        </w:rPr>
      </w:pPr>
      <w:r>
        <w:rPr>
          <w:rStyle w:val="FootnoteReference"/>
        </w:rPr>
        <w:footnoteRef/>
      </w:r>
      <w:r>
        <w:t xml:space="preserve"> J L Westbrook, "Developments in Transnational Bankruptcy", 1995) 39, </w:t>
      </w:r>
      <w:r>
        <w:rPr>
          <w:i/>
          <w:iCs/>
        </w:rPr>
        <w:t xml:space="preserve">St Louis University Law Journal </w:t>
      </w:r>
      <w:r>
        <w:t xml:space="preserve">753, pp 753 – 757. </w:t>
      </w:r>
      <w:r>
        <w:rPr>
          <w:i/>
          <w:iCs/>
        </w:rPr>
        <w:t xml:space="preserve"> </w:t>
      </w:r>
    </w:p>
  </w:footnote>
  <w:footnote w:id="21">
    <w:p w14:paraId="3D749EA3" w14:textId="7E085884" w:rsidR="009B4638" w:rsidRDefault="009B4638">
      <w:pPr>
        <w:pStyle w:val="FootnoteText"/>
      </w:pPr>
      <w:r>
        <w:rPr>
          <w:rStyle w:val="FootnoteReference"/>
        </w:rPr>
        <w:footnoteRef/>
      </w:r>
      <w:r>
        <w:t xml:space="preserve"> See section 6.1.3.3 of the Module 1 </w:t>
      </w:r>
      <w:r w:rsidRPr="00BD2B2F">
        <w:t>Guidance Text</w:t>
      </w:r>
      <w:r>
        <w:t>.</w:t>
      </w:r>
    </w:p>
  </w:footnote>
  <w:footnote w:id="22">
    <w:p w14:paraId="63396515" w14:textId="3FF4C668" w:rsidR="00BD2B2F" w:rsidRDefault="00BD2B2F">
      <w:pPr>
        <w:pStyle w:val="FootnoteText"/>
      </w:pPr>
      <w:r>
        <w:rPr>
          <w:rStyle w:val="FootnoteReference"/>
        </w:rPr>
        <w:footnoteRef/>
      </w:r>
      <w:r>
        <w:t xml:space="preserve"> Article 3 of the Nordic Convention and Section 6.4.3.2 of the </w:t>
      </w:r>
      <w:r w:rsidRPr="00BD2B2F">
        <w:t>Module 1 Guidance Text).</w:t>
      </w:r>
    </w:p>
  </w:footnote>
  <w:footnote w:id="23">
    <w:p w14:paraId="25365C75" w14:textId="63465A82" w:rsidR="006F02BB" w:rsidRDefault="006F02BB">
      <w:pPr>
        <w:pStyle w:val="FootnoteText"/>
      </w:pPr>
      <w:r>
        <w:rPr>
          <w:rStyle w:val="FootnoteReference"/>
        </w:rPr>
        <w:footnoteRef/>
      </w:r>
      <w:r>
        <w:t xml:space="preserve"> </w:t>
      </w:r>
      <w:r w:rsidR="00127BDF">
        <w:t xml:space="preserve">See section 6.1.3.3 of the Module 1 </w:t>
      </w:r>
      <w:r w:rsidR="00127BDF" w:rsidRPr="00BD2B2F">
        <w:t>Guidance Text</w:t>
      </w:r>
      <w:r w:rsidR="00127BDF">
        <w:t>.</w:t>
      </w:r>
    </w:p>
  </w:footnote>
  <w:footnote w:id="24">
    <w:p w14:paraId="30D8E768" w14:textId="77777777" w:rsidR="00127BDF" w:rsidRDefault="006F02BB" w:rsidP="00127BDF">
      <w:pPr>
        <w:pStyle w:val="FootnoteText"/>
      </w:pPr>
      <w:r>
        <w:rPr>
          <w:rStyle w:val="FootnoteReference"/>
        </w:rPr>
        <w:footnoteRef/>
      </w:r>
      <w:r>
        <w:t xml:space="preserve"> </w:t>
      </w:r>
      <w:r w:rsidR="00127BDF">
        <w:t>UNCITRAL Model Law on Cross-Border Insolvency: The Judicial Perspective (2001).</w:t>
      </w:r>
    </w:p>
    <w:p w14:paraId="7CEBCA01" w14:textId="02CB5770" w:rsidR="006F02BB" w:rsidRDefault="00127BDF" w:rsidP="00127BDF">
      <w:pPr>
        <w:pStyle w:val="FootnoteText"/>
      </w:pPr>
      <w:r>
        <w:t>https://uncitral.un.org/en/texts/insolvency/explanatorytexts/cross-border_insolvency/judicial_perspective.</w:t>
      </w:r>
    </w:p>
  </w:footnote>
  <w:footnote w:id="25">
    <w:p w14:paraId="4EF7A953" w14:textId="240973BD" w:rsidR="00881F03" w:rsidRDefault="00881F03">
      <w:pPr>
        <w:pStyle w:val="FootnoteText"/>
      </w:pPr>
      <w:r>
        <w:rPr>
          <w:rStyle w:val="FootnoteReference"/>
        </w:rPr>
        <w:footnoteRef/>
      </w:r>
      <w:r>
        <w:t xml:space="preserve"> </w:t>
      </w:r>
      <w:r w:rsidRPr="00881F03">
        <w:t>http://www.jin-global.org/jin-guidelines.html.</w:t>
      </w:r>
    </w:p>
  </w:footnote>
  <w:footnote w:id="26">
    <w:p w14:paraId="45E522DD" w14:textId="4072BFDC" w:rsidR="005F3FEC" w:rsidRDefault="005F3FEC">
      <w:pPr>
        <w:pStyle w:val="FootnoteText"/>
      </w:pPr>
      <w:r>
        <w:rPr>
          <w:rStyle w:val="FootnoteReference"/>
        </w:rPr>
        <w:footnoteRef/>
      </w:r>
      <w:r>
        <w:t xml:space="preserve"> </w:t>
      </w:r>
      <w:r w:rsidRPr="005F3FEC">
        <w:t>McGrath v Riddell [2008] UKHL 21</w:t>
      </w:r>
      <w:r>
        <w:t>.</w:t>
      </w:r>
    </w:p>
  </w:footnote>
  <w:footnote w:id="27">
    <w:p w14:paraId="53E87A37" w14:textId="0D373F08" w:rsidR="005F3FEC" w:rsidRDefault="005F3FEC">
      <w:pPr>
        <w:pStyle w:val="FootnoteText"/>
      </w:pPr>
      <w:r>
        <w:rPr>
          <w:rStyle w:val="FootnoteReference"/>
        </w:rPr>
        <w:footnoteRef/>
      </w:r>
      <w:r>
        <w:t xml:space="preserve"> </w:t>
      </w:r>
      <w:r w:rsidRPr="005F3FEC">
        <w:t>McGrath v Riddell [2008] UKHL 21 at [62]</w:t>
      </w:r>
      <w:r>
        <w:t>.</w:t>
      </w:r>
    </w:p>
  </w:footnote>
  <w:footnote w:id="28">
    <w:p w14:paraId="54505B00" w14:textId="07C44DF4" w:rsidR="00FF3033" w:rsidRDefault="00FF3033">
      <w:pPr>
        <w:pStyle w:val="FootnoteText"/>
      </w:pPr>
      <w:r>
        <w:rPr>
          <w:rStyle w:val="FootnoteReference"/>
        </w:rPr>
        <w:footnoteRef/>
      </w:r>
      <w:r>
        <w:t xml:space="preserve"> </w:t>
      </w:r>
      <w:r w:rsidRPr="00FF3033">
        <w:t>https://uncitral.un.org/en/texts/insolvency/modellaw/cross-border_insolvency/status</w:t>
      </w:r>
      <w:r>
        <w:t>.</w:t>
      </w:r>
    </w:p>
  </w:footnote>
  <w:footnote w:id="29">
    <w:p w14:paraId="22C0FE25" w14:textId="52416CBD" w:rsidR="00B84D31" w:rsidRDefault="00B84D31">
      <w:pPr>
        <w:pStyle w:val="FootnoteText"/>
      </w:pPr>
      <w:r>
        <w:rPr>
          <w:rStyle w:val="FootnoteReference"/>
        </w:rPr>
        <w:footnoteRef/>
      </w:r>
      <w:r>
        <w:t xml:space="preserve"> </w:t>
      </w:r>
      <w:r w:rsidRPr="00B84D31">
        <w:t>EIR Recast, Art 3(1)</w:t>
      </w:r>
      <w:r>
        <w:t>.</w:t>
      </w:r>
    </w:p>
  </w:footnote>
  <w:footnote w:id="30">
    <w:p w14:paraId="4B9C5447" w14:textId="0759D549" w:rsidR="00606743" w:rsidRDefault="00606743">
      <w:pPr>
        <w:pStyle w:val="FootnoteText"/>
      </w:pPr>
      <w:r>
        <w:rPr>
          <w:rStyle w:val="FootnoteReference"/>
        </w:rPr>
        <w:footnoteRef/>
      </w:r>
      <w:r>
        <w:t xml:space="preserve"> EIR Recast, </w:t>
      </w:r>
      <w:r w:rsidR="00E65F11">
        <w:t xml:space="preserve">definitions. </w:t>
      </w:r>
    </w:p>
  </w:footnote>
  <w:footnote w:id="31">
    <w:p w14:paraId="6DAD2249" w14:textId="549E0094" w:rsidR="006D6605" w:rsidRDefault="006D6605">
      <w:pPr>
        <w:pStyle w:val="FootnoteText"/>
      </w:pPr>
      <w:r>
        <w:rPr>
          <w:rStyle w:val="FootnoteReference"/>
        </w:rPr>
        <w:footnoteRef/>
      </w:r>
      <w:r>
        <w:t xml:space="preserve"> </w:t>
      </w:r>
      <w:r w:rsidRPr="006D6605">
        <w:t>https://www.legislation.gov.uk/uksi/2019/146/contents</w:t>
      </w:r>
      <w:r>
        <w:t>.</w:t>
      </w:r>
    </w:p>
  </w:footnote>
  <w:footnote w:id="32">
    <w:p w14:paraId="33D5873A" w14:textId="31773E5C" w:rsidR="00E65F11" w:rsidRDefault="00E65F11">
      <w:pPr>
        <w:pStyle w:val="FootnoteText"/>
      </w:pPr>
      <w:r>
        <w:rPr>
          <w:rStyle w:val="FootnoteReference"/>
        </w:rPr>
        <w:footnoteRef/>
      </w:r>
      <w:r>
        <w:t xml:space="preserve"> </w:t>
      </w:r>
      <w:r w:rsidRPr="00E65F11">
        <w:t>Module 1 Guidance Text, page 18.</w:t>
      </w:r>
    </w:p>
  </w:footnote>
  <w:footnote w:id="33">
    <w:p w14:paraId="3CFED1AD" w14:textId="4AE1F1D0" w:rsidR="0045098F" w:rsidRDefault="0045098F">
      <w:pPr>
        <w:pStyle w:val="FootnoteText"/>
      </w:pPr>
      <w:r>
        <w:rPr>
          <w:rStyle w:val="FootnoteReference"/>
        </w:rPr>
        <w:footnoteRef/>
      </w:r>
      <w:r>
        <w:t xml:space="preserve"> </w:t>
      </w:r>
      <w:r w:rsidRPr="0045098F">
        <w:t>Module 1 Guidance Text, page 101.</w:t>
      </w:r>
    </w:p>
  </w:footnote>
  <w:footnote w:id="34">
    <w:p w14:paraId="79E968ED" w14:textId="3CA2C6F4" w:rsidR="006F38B9" w:rsidRDefault="006F38B9">
      <w:pPr>
        <w:pStyle w:val="FootnoteText"/>
      </w:pPr>
      <w:r>
        <w:rPr>
          <w:rStyle w:val="FootnoteReference"/>
        </w:rPr>
        <w:footnoteRef/>
      </w:r>
      <w:r>
        <w:t xml:space="preserve"> </w:t>
      </w:r>
      <w:r w:rsidRPr="006F38B9">
        <w:t>Re Chow Cho Poon (Pte) Ltd [2011] NSWSC 300</w:t>
      </w:r>
      <w:r>
        <w:t xml:space="preserve"> and footnote 100 to the </w:t>
      </w:r>
      <w:r w:rsidRPr="0045098F">
        <w:t xml:space="preserve">Module 1 Guidance Text, page </w:t>
      </w:r>
      <w:r>
        <w:t>51</w:t>
      </w:r>
      <w:r w:rsidRPr="0045098F">
        <w:t>.</w:t>
      </w:r>
    </w:p>
  </w:footnote>
  <w:footnote w:id="35">
    <w:p w14:paraId="30152908" w14:textId="00DA4134" w:rsidR="00E90921" w:rsidRDefault="00E90921" w:rsidP="00E90921">
      <w:pPr>
        <w:pStyle w:val="FootnoteText"/>
      </w:pPr>
      <w:r>
        <w:rPr>
          <w:rStyle w:val="FootnoteReference"/>
        </w:rPr>
        <w:footnoteRef/>
      </w:r>
      <w:r>
        <w:t xml:space="preserve"> See Tannenbaum v Tannenbaum [2012] FCA 904 (24 August 2012); and Cooksley v Cooksley [2017] FCA 1193 (6 October 2017).</w:t>
      </w:r>
    </w:p>
  </w:footnote>
  <w:footnote w:id="36">
    <w:p w14:paraId="03D62EF0" w14:textId="3EE96DFA" w:rsidR="00E90921" w:rsidRDefault="00E90921">
      <w:pPr>
        <w:pStyle w:val="FootnoteText"/>
      </w:pPr>
      <w:r>
        <w:rPr>
          <w:rStyle w:val="FootnoteReference"/>
        </w:rPr>
        <w:footnoteRef/>
      </w:r>
      <w:r>
        <w:t xml:space="preserve"> </w:t>
      </w:r>
      <w:r w:rsidRPr="00E90921">
        <w:t>https://uncitral.un.org/en/texts/securityinterests/modellaw/secured_transactions</w:t>
      </w:r>
      <w:r>
        <w:t>.</w:t>
      </w:r>
    </w:p>
  </w:footnote>
  <w:footnote w:id="37">
    <w:p w14:paraId="2218CD5D" w14:textId="70159973" w:rsidR="00E90921" w:rsidRDefault="00E90921">
      <w:pPr>
        <w:pStyle w:val="FootnoteText"/>
      </w:pPr>
      <w:r>
        <w:rPr>
          <w:rStyle w:val="FootnoteReference"/>
        </w:rPr>
        <w:footnoteRef/>
      </w:r>
      <w:r>
        <w:t xml:space="preserve"> </w:t>
      </w:r>
      <w:r w:rsidRPr="0045098F">
        <w:t>Module 1 Guidance Text, page</w:t>
      </w:r>
      <w:r>
        <w:t xml:space="preserve"> 24</w:t>
      </w:r>
      <w:r w:rsidRPr="0045098F">
        <w:t>.</w:t>
      </w:r>
    </w:p>
  </w:footnote>
  <w:footnote w:id="38">
    <w:p w14:paraId="6942B262" w14:textId="7F68BC88" w:rsidR="00E90921" w:rsidRDefault="00E90921">
      <w:pPr>
        <w:pStyle w:val="FootnoteText"/>
      </w:pPr>
      <w:r>
        <w:rPr>
          <w:rStyle w:val="FootnoteReference"/>
        </w:rPr>
        <w:footnoteRef/>
      </w:r>
      <w:r>
        <w:t xml:space="preserve"> </w:t>
      </w:r>
      <w:r w:rsidRPr="00E90921">
        <w:t>https://uncitral.un.org/en/texts/securityinterests/modellaw/secured_transactions</w:t>
      </w:r>
      <w:r>
        <w:t>.</w:t>
      </w:r>
    </w:p>
  </w:footnote>
  <w:footnote w:id="39">
    <w:p w14:paraId="6036AAED" w14:textId="6E815CCB" w:rsidR="00E90921" w:rsidRDefault="00E90921">
      <w:pPr>
        <w:pStyle w:val="FootnoteText"/>
      </w:pPr>
      <w:r>
        <w:rPr>
          <w:rStyle w:val="FootnoteReference"/>
        </w:rPr>
        <w:footnoteRef/>
      </w:r>
      <w:r>
        <w:t xml:space="preserve"> </w:t>
      </w:r>
      <w:r w:rsidRPr="00E90921">
        <w:t>https://uncitral.un.org/en/texts/securityinterests/legislativeguides/secured_transactions</w:t>
      </w:r>
      <w:r>
        <w:t>.</w:t>
      </w:r>
    </w:p>
  </w:footnote>
  <w:footnote w:id="40">
    <w:p w14:paraId="2D2EBCD8" w14:textId="4B876B93" w:rsidR="00B770A9" w:rsidRDefault="00B770A9">
      <w:pPr>
        <w:pStyle w:val="FootnoteText"/>
      </w:pPr>
      <w:r>
        <w:rPr>
          <w:rStyle w:val="FootnoteReference"/>
        </w:rPr>
        <w:footnoteRef/>
      </w:r>
      <w:r>
        <w:t xml:space="preserve"> </w:t>
      </w:r>
      <w:r w:rsidRPr="0045098F">
        <w:t>Module 1 Guidance Text, page</w:t>
      </w:r>
      <w:r>
        <w:t xml:space="preserve">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2FE5" w14:textId="77777777" w:rsidR="004309D1" w:rsidRDefault="00430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55B3" w14:textId="77777777" w:rsidR="004309D1" w:rsidRDefault="00430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C051" w14:textId="77777777" w:rsidR="004309D1" w:rsidRDefault="0043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CE30CB"/>
    <w:multiLevelType w:val="hybridMultilevel"/>
    <w:tmpl w:val="49047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CC1318"/>
    <w:multiLevelType w:val="hybridMultilevel"/>
    <w:tmpl w:val="DF9E2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BFA0031"/>
    <w:multiLevelType w:val="hybridMultilevel"/>
    <w:tmpl w:val="03DC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52AF5"/>
    <w:multiLevelType w:val="hybridMultilevel"/>
    <w:tmpl w:val="8370F6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0729CF"/>
    <w:multiLevelType w:val="hybridMultilevel"/>
    <w:tmpl w:val="656A1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4553F8E"/>
    <w:multiLevelType w:val="hybridMultilevel"/>
    <w:tmpl w:val="E690B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49075C5A"/>
    <w:multiLevelType w:val="hybridMultilevel"/>
    <w:tmpl w:val="7346CA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1366B0"/>
    <w:multiLevelType w:val="hybridMultilevel"/>
    <w:tmpl w:val="5C06DDD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8ED166E"/>
    <w:multiLevelType w:val="hybridMultilevel"/>
    <w:tmpl w:val="DF9E2F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3" w15:restartNumberingAfterBreak="0">
    <w:nsid w:val="7C3E380C"/>
    <w:multiLevelType w:val="hybridMultilevel"/>
    <w:tmpl w:val="C84830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1501655767">
    <w:abstractNumId w:val="34"/>
  </w:num>
  <w:num w:numId="2" w16cid:durableId="460732777">
    <w:abstractNumId w:val="40"/>
  </w:num>
  <w:num w:numId="3" w16cid:durableId="1558668659">
    <w:abstractNumId w:val="3"/>
  </w:num>
  <w:num w:numId="4" w16cid:durableId="737018892">
    <w:abstractNumId w:val="6"/>
  </w:num>
  <w:num w:numId="5" w16cid:durableId="1158809076">
    <w:abstractNumId w:val="29"/>
  </w:num>
  <w:num w:numId="6" w16cid:durableId="415711827">
    <w:abstractNumId w:val="35"/>
  </w:num>
  <w:num w:numId="7" w16cid:durableId="1401949473">
    <w:abstractNumId w:val="19"/>
  </w:num>
  <w:num w:numId="8" w16cid:durableId="269552992">
    <w:abstractNumId w:val="41"/>
  </w:num>
  <w:num w:numId="9" w16cid:durableId="1367413161">
    <w:abstractNumId w:val="18"/>
  </w:num>
  <w:num w:numId="10" w16cid:durableId="220823057">
    <w:abstractNumId w:val="37"/>
  </w:num>
  <w:num w:numId="11" w16cid:durableId="858086195">
    <w:abstractNumId w:val="14"/>
  </w:num>
  <w:num w:numId="12" w16cid:durableId="2144808366">
    <w:abstractNumId w:val="38"/>
  </w:num>
  <w:num w:numId="13" w16cid:durableId="1139104618">
    <w:abstractNumId w:val="28"/>
  </w:num>
  <w:num w:numId="14" w16cid:durableId="1203787949">
    <w:abstractNumId w:val="26"/>
  </w:num>
  <w:num w:numId="15" w16cid:durableId="1140149903">
    <w:abstractNumId w:val="9"/>
  </w:num>
  <w:num w:numId="16" w16cid:durableId="1714226930">
    <w:abstractNumId w:val="30"/>
  </w:num>
  <w:num w:numId="17" w16cid:durableId="1711415350">
    <w:abstractNumId w:val="23"/>
  </w:num>
  <w:num w:numId="18" w16cid:durableId="35542391">
    <w:abstractNumId w:val="25"/>
  </w:num>
  <w:num w:numId="19" w16cid:durableId="2050493181">
    <w:abstractNumId w:val="33"/>
  </w:num>
  <w:num w:numId="20" w16cid:durableId="1469859581">
    <w:abstractNumId w:val="13"/>
  </w:num>
  <w:num w:numId="21" w16cid:durableId="408573765">
    <w:abstractNumId w:val="21"/>
  </w:num>
  <w:num w:numId="22" w16cid:durableId="482936912">
    <w:abstractNumId w:val="0"/>
  </w:num>
  <w:num w:numId="23" w16cid:durableId="1308701288">
    <w:abstractNumId w:val="32"/>
  </w:num>
  <w:num w:numId="24" w16cid:durableId="1716081525">
    <w:abstractNumId w:val="1"/>
  </w:num>
  <w:num w:numId="25" w16cid:durableId="797064315">
    <w:abstractNumId w:val="39"/>
  </w:num>
  <w:num w:numId="26" w16cid:durableId="824904852">
    <w:abstractNumId w:val="42"/>
  </w:num>
  <w:num w:numId="27" w16cid:durableId="372002461">
    <w:abstractNumId w:val="12"/>
  </w:num>
  <w:num w:numId="28" w16cid:durableId="1256015074">
    <w:abstractNumId w:val="11"/>
  </w:num>
  <w:num w:numId="29" w16cid:durableId="1376738983">
    <w:abstractNumId w:val="10"/>
  </w:num>
  <w:num w:numId="30" w16cid:durableId="1903177138">
    <w:abstractNumId w:val="15"/>
  </w:num>
  <w:num w:numId="31" w16cid:durableId="1164859915">
    <w:abstractNumId w:val="5"/>
  </w:num>
  <w:num w:numId="32" w16cid:durableId="684208392">
    <w:abstractNumId w:val="20"/>
  </w:num>
  <w:num w:numId="33" w16cid:durableId="732118212">
    <w:abstractNumId w:val="31"/>
  </w:num>
  <w:num w:numId="34" w16cid:durableId="1912503881">
    <w:abstractNumId w:val="16"/>
  </w:num>
  <w:num w:numId="35" w16cid:durableId="470177583">
    <w:abstractNumId w:val="4"/>
  </w:num>
  <w:num w:numId="36" w16cid:durableId="879590166">
    <w:abstractNumId w:val="36"/>
  </w:num>
  <w:num w:numId="37" w16cid:durableId="245499912">
    <w:abstractNumId w:val="24"/>
  </w:num>
  <w:num w:numId="38" w16cid:durableId="407964513">
    <w:abstractNumId w:val="8"/>
  </w:num>
  <w:num w:numId="39" w16cid:durableId="803816564">
    <w:abstractNumId w:val="27"/>
  </w:num>
  <w:num w:numId="40" w16cid:durableId="1022970537">
    <w:abstractNumId w:val="43"/>
  </w:num>
  <w:num w:numId="41" w16cid:durableId="661812686">
    <w:abstractNumId w:val="17"/>
  </w:num>
  <w:num w:numId="42" w16cid:durableId="416439396">
    <w:abstractNumId w:val="22"/>
  </w:num>
  <w:num w:numId="43" w16cid:durableId="151024861">
    <w:abstractNumId w:val="7"/>
  </w:num>
  <w:num w:numId="44" w16cid:durableId="1646832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64AE"/>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10DD"/>
    <w:rsid w:val="00076483"/>
    <w:rsid w:val="00077DEA"/>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9F6"/>
    <w:rsid w:val="000B6B56"/>
    <w:rsid w:val="000D0C9F"/>
    <w:rsid w:val="000D55A8"/>
    <w:rsid w:val="000D57BE"/>
    <w:rsid w:val="000D6876"/>
    <w:rsid w:val="000E0165"/>
    <w:rsid w:val="000E2A84"/>
    <w:rsid w:val="000E3A82"/>
    <w:rsid w:val="000E3C5A"/>
    <w:rsid w:val="000E406D"/>
    <w:rsid w:val="000E4841"/>
    <w:rsid w:val="000E5CB4"/>
    <w:rsid w:val="000F0DC0"/>
    <w:rsid w:val="000F0FFF"/>
    <w:rsid w:val="000F1677"/>
    <w:rsid w:val="000F3387"/>
    <w:rsid w:val="000F3BCE"/>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265"/>
    <w:rsid w:val="00124B70"/>
    <w:rsid w:val="00125A7C"/>
    <w:rsid w:val="00126A4D"/>
    <w:rsid w:val="00127BDF"/>
    <w:rsid w:val="00131D42"/>
    <w:rsid w:val="0013278B"/>
    <w:rsid w:val="00135FFC"/>
    <w:rsid w:val="00136505"/>
    <w:rsid w:val="0014171F"/>
    <w:rsid w:val="00142E15"/>
    <w:rsid w:val="0014622C"/>
    <w:rsid w:val="001503DA"/>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1F94"/>
    <w:rsid w:val="0018267A"/>
    <w:rsid w:val="001826E6"/>
    <w:rsid w:val="00182779"/>
    <w:rsid w:val="001830DF"/>
    <w:rsid w:val="00183285"/>
    <w:rsid w:val="001833C2"/>
    <w:rsid w:val="00190CF9"/>
    <w:rsid w:val="00193AB3"/>
    <w:rsid w:val="00193AD3"/>
    <w:rsid w:val="001966D9"/>
    <w:rsid w:val="00197963"/>
    <w:rsid w:val="001A620B"/>
    <w:rsid w:val="001A716A"/>
    <w:rsid w:val="001A7E9A"/>
    <w:rsid w:val="001A7ECF"/>
    <w:rsid w:val="001B0F70"/>
    <w:rsid w:val="001B5016"/>
    <w:rsid w:val="001B6CEE"/>
    <w:rsid w:val="001B73E9"/>
    <w:rsid w:val="001C45FC"/>
    <w:rsid w:val="001C594A"/>
    <w:rsid w:val="001C6141"/>
    <w:rsid w:val="001D1BF7"/>
    <w:rsid w:val="001D4862"/>
    <w:rsid w:val="001D632F"/>
    <w:rsid w:val="001D7EF2"/>
    <w:rsid w:val="001E1FB4"/>
    <w:rsid w:val="001E23FD"/>
    <w:rsid w:val="001E25B9"/>
    <w:rsid w:val="001E392F"/>
    <w:rsid w:val="001E49E0"/>
    <w:rsid w:val="001E7B5A"/>
    <w:rsid w:val="001F0AA2"/>
    <w:rsid w:val="001F0BCF"/>
    <w:rsid w:val="001F1478"/>
    <w:rsid w:val="001F2AF5"/>
    <w:rsid w:val="001F5204"/>
    <w:rsid w:val="001F603D"/>
    <w:rsid w:val="001F7412"/>
    <w:rsid w:val="001F7C77"/>
    <w:rsid w:val="00200F7F"/>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569C"/>
    <w:rsid w:val="002362AB"/>
    <w:rsid w:val="002400DB"/>
    <w:rsid w:val="002406A4"/>
    <w:rsid w:val="0024116D"/>
    <w:rsid w:val="00241B44"/>
    <w:rsid w:val="00243317"/>
    <w:rsid w:val="00245EFB"/>
    <w:rsid w:val="002526C5"/>
    <w:rsid w:val="002529D2"/>
    <w:rsid w:val="0025386E"/>
    <w:rsid w:val="00254AB3"/>
    <w:rsid w:val="00260ED1"/>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008B"/>
    <w:rsid w:val="002B1C45"/>
    <w:rsid w:val="002B2970"/>
    <w:rsid w:val="002B4E45"/>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44CE"/>
    <w:rsid w:val="002F5876"/>
    <w:rsid w:val="002F5DD8"/>
    <w:rsid w:val="002F75A3"/>
    <w:rsid w:val="002F75CD"/>
    <w:rsid w:val="002F7EB5"/>
    <w:rsid w:val="0030201F"/>
    <w:rsid w:val="00303C2F"/>
    <w:rsid w:val="003045F3"/>
    <w:rsid w:val="0030558B"/>
    <w:rsid w:val="00306E87"/>
    <w:rsid w:val="00310FC2"/>
    <w:rsid w:val="003134B4"/>
    <w:rsid w:val="003144EF"/>
    <w:rsid w:val="0031793C"/>
    <w:rsid w:val="0032538A"/>
    <w:rsid w:val="00326292"/>
    <w:rsid w:val="00326415"/>
    <w:rsid w:val="00330937"/>
    <w:rsid w:val="00330F31"/>
    <w:rsid w:val="003326F0"/>
    <w:rsid w:val="00334648"/>
    <w:rsid w:val="00336CA6"/>
    <w:rsid w:val="0033768C"/>
    <w:rsid w:val="00337938"/>
    <w:rsid w:val="00340443"/>
    <w:rsid w:val="00340769"/>
    <w:rsid w:val="00341A65"/>
    <w:rsid w:val="00341AA6"/>
    <w:rsid w:val="00342E57"/>
    <w:rsid w:val="0034311D"/>
    <w:rsid w:val="003500E5"/>
    <w:rsid w:val="00355B57"/>
    <w:rsid w:val="00361A0A"/>
    <w:rsid w:val="00361DF9"/>
    <w:rsid w:val="00363D71"/>
    <w:rsid w:val="0036565C"/>
    <w:rsid w:val="0036625E"/>
    <w:rsid w:val="00367162"/>
    <w:rsid w:val="00372CD4"/>
    <w:rsid w:val="00373385"/>
    <w:rsid w:val="0037386C"/>
    <w:rsid w:val="0037465A"/>
    <w:rsid w:val="0038255B"/>
    <w:rsid w:val="00382C98"/>
    <w:rsid w:val="0038325E"/>
    <w:rsid w:val="00384604"/>
    <w:rsid w:val="00384E3D"/>
    <w:rsid w:val="00384F24"/>
    <w:rsid w:val="00385041"/>
    <w:rsid w:val="0038533C"/>
    <w:rsid w:val="00385D73"/>
    <w:rsid w:val="00391B12"/>
    <w:rsid w:val="003937B9"/>
    <w:rsid w:val="003941D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B4A48"/>
    <w:rsid w:val="003C1451"/>
    <w:rsid w:val="003C2017"/>
    <w:rsid w:val="003C3E38"/>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4A"/>
    <w:rsid w:val="00415DFF"/>
    <w:rsid w:val="00415F1F"/>
    <w:rsid w:val="004174FA"/>
    <w:rsid w:val="0042108F"/>
    <w:rsid w:val="004214D4"/>
    <w:rsid w:val="004216EA"/>
    <w:rsid w:val="004235F4"/>
    <w:rsid w:val="00426969"/>
    <w:rsid w:val="00426B64"/>
    <w:rsid w:val="004309D1"/>
    <w:rsid w:val="00430FED"/>
    <w:rsid w:val="00434A8C"/>
    <w:rsid w:val="00437297"/>
    <w:rsid w:val="00437ABE"/>
    <w:rsid w:val="00440AC5"/>
    <w:rsid w:val="00440EDD"/>
    <w:rsid w:val="004417C1"/>
    <w:rsid w:val="00444284"/>
    <w:rsid w:val="004442F1"/>
    <w:rsid w:val="00445CE6"/>
    <w:rsid w:val="00446987"/>
    <w:rsid w:val="0045098F"/>
    <w:rsid w:val="004534C2"/>
    <w:rsid w:val="00453967"/>
    <w:rsid w:val="0045446F"/>
    <w:rsid w:val="00454C9D"/>
    <w:rsid w:val="0045683E"/>
    <w:rsid w:val="0046142D"/>
    <w:rsid w:val="0046274F"/>
    <w:rsid w:val="0046298C"/>
    <w:rsid w:val="00463259"/>
    <w:rsid w:val="00464F21"/>
    <w:rsid w:val="00465113"/>
    <w:rsid w:val="004659E0"/>
    <w:rsid w:val="00465C31"/>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876BF"/>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2D18"/>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696"/>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4F66"/>
    <w:rsid w:val="00555C4D"/>
    <w:rsid w:val="00560445"/>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97B01"/>
    <w:rsid w:val="00597BD8"/>
    <w:rsid w:val="005A0CCA"/>
    <w:rsid w:val="005A2152"/>
    <w:rsid w:val="005A2194"/>
    <w:rsid w:val="005A2628"/>
    <w:rsid w:val="005A383D"/>
    <w:rsid w:val="005A43F4"/>
    <w:rsid w:val="005A5ACB"/>
    <w:rsid w:val="005A726D"/>
    <w:rsid w:val="005B0BB2"/>
    <w:rsid w:val="005B13F1"/>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3FEC"/>
    <w:rsid w:val="005F453F"/>
    <w:rsid w:val="005F4B31"/>
    <w:rsid w:val="005F5449"/>
    <w:rsid w:val="005F6059"/>
    <w:rsid w:val="0060040B"/>
    <w:rsid w:val="0060397D"/>
    <w:rsid w:val="00604723"/>
    <w:rsid w:val="00606743"/>
    <w:rsid w:val="00610388"/>
    <w:rsid w:val="00612092"/>
    <w:rsid w:val="00612CA5"/>
    <w:rsid w:val="00614858"/>
    <w:rsid w:val="006153EC"/>
    <w:rsid w:val="00616E52"/>
    <w:rsid w:val="006208BB"/>
    <w:rsid w:val="00621034"/>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2CE5"/>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605"/>
    <w:rsid w:val="006D6BD5"/>
    <w:rsid w:val="006E1CB0"/>
    <w:rsid w:val="006E254C"/>
    <w:rsid w:val="006E2974"/>
    <w:rsid w:val="006E4186"/>
    <w:rsid w:val="006E481A"/>
    <w:rsid w:val="006E5298"/>
    <w:rsid w:val="006E60F0"/>
    <w:rsid w:val="006E6A1F"/>
    <w:rsid w:val="006E6A6A"/>
    <w:rsid w:val="006E6FFF"/>
    <w:rsid w:val="006E77B0"/>
    <w:rsid w:val="006F02BB"/>
    <w:rsid w:val="006F18EB"/>
    <w:rsid w:val="006F2E9B"/>
    <w:rsid w:val="006F38B9"/>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16CD3"/>
    <w:rsid w:val="00721383"/>
    <w:rsid w:val="007216AD"/>
    <w:rsid w:val="00726E9A"/>
    <w:rsid w:val="00727864"/>
    <w:rsid w:val="007333CC"/>
    <w:rsid w:val="007335D8"/>
    <w:rsid w:val="0073399A"/>
    <w:rsid w:val="00734FD4"/>
    <w:rsid w:val="007369C7"/>
    <w:rsid w:val="00736A4F"/>
    <w:rsid w:val="00740B92"/>
    <w:rsid w:val="00741BCD"/>
    <w:rsid w:val="00741D74"/>
    <w:rsid w:val="00743531"/>
    <w:rsid w:val="007452BB"/>
    <w:rsid w:val="00745A5B"/>
    <w:rsid w:val="007462D9"/>
    <w:rsid w:val="00746A22"/>
    <w:rsid w:val="00751986"/>
    <w:rsid w:val="0075428A"/>
    <w:rsid w:val="00755903"/>
    <w:rsid w:val="00756ABD"/>
    <w:rsid w:val="007576A3"/>
    <w:rsid w:val="007603F5"/>
    <w:rsid w:val="00760A70"/>
    <w:rsid w:val="00760BB2"/>
    <w:rsid w:val="0076181C"/>
    <w:rsid w:val="00764DB0"/>
    <w:rsid w:val="00765D82"/>
    <w:rsid w:val="007671EB"/>
    <w:rsid w:val="0076764D"/>
    <w:rsid w:val="0076766F"/>
    <w:rsid w:val="00770DF5"/>
    <w:rsid w:val="0077464A"/>
    <w:rsid w:val="0077498C"/>
    <w:rsid w:val="00777070"/>
    <w:rsid w:val="007815D1"/>
    <w:rsid w:val="00782B3F"/>
    <w:rsid w:val="00784128"/>
    <w:rsid w:val="007849D8"/>
    <w:rsid w:val="00785032"/>
    <w:rsid w:val="0078662F"/>
    <w:rsid w:val="00790B4C"/>
    <w:rsid w:val="0079206E"/>
    <w:rsid w:val="00793173"/>
    <w:rsid w:val="00794B0D"/>
    <w:rsid w:val="007958F0"/>
    <w:rsid w:val="00797E1B"/>
    <w:rsid w:val="007A12A4"/>
    <w:rsid w:val="007B1E13"/>
    <w:rsid w:val="007B3B1B"/>
    <w:rsid w:val="007B4C4E"/>
    <w:rsid w:val="007B5180"/>
    <w:rsid w:val="007B5F0B"/>
    <w:rsid w:val="007C0111"/>
    <w:rsid w:val="007C0260"/>
    <w:rsid w:val="007C0663"/>
    <w:rsid w:val="007C1FCC"/>
    <w:rsid w:val="007C2831"/>
    <w:rsid w:val="007C2AA1"/>
    <w:rsid w:val="007C2BE7"/>
    <w:rsid w:val="007C3439"/>
    <w:rsid w:val="007C6201"/>
    <w:rsid w:val="007C7B3D"/>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59"/>
    <w:rsid w:val="00806382"/>
    <w:rsid w:val="00807119"/>
    <w:rsid w:val="008071D5"/>
    <w:rsid w:val="00807FE8"/>
    <w:rsid w:val="00810024"/>
    <w:rsid w:val="00811865"/>
    <w:rsid w:val="00814A55"/>
    <w:rsid w:val="0081547D"/>
    <w:rsid w:val="00823AB4"/>
    <w:rsid w:val="0082483F"/>
    <w:rsid w:val="00827849"/>
    <w:rsid w:val="008279C0"/>
    <w:rsid w:val="00841E70"/>
    <w:rsid w:val="008448AC"/>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1F03"/>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578D"/>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64"/>
    <w:rsid w:val="009064FE"/>
    <w:rsid w:val="009078CE"/>
    <w:rsid w:val="009078FC"/>
    <w:rsid w:val="009108EF"/>
    <w:rsid w:val="00911C23"/>
    <w:rsid w:val="00912C79"/>
    <w:rsid w:val="00913FB9"/>
    <w:rsid w:val="00915010"/>
    <w:rsid w:val="0091528C"/>
    <w:rsid w:val="009173D1"/>
    <w:rsid w:val="0092350E"/>
    <w:rsid w:val="00923CCC"/>
    <w:rsid w:val="00925D56"/>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4638"/>
    <w:rsid w:val="009C0B8E"/>
    <w:rsid w:val="009C1527"/>
    <w:rsid w:val="009C1BC8"/>
    <w:rsid w:val="009C2442"/>
    <w:rsid w:val="009C2628"/>
    <w:rsid w:val="009C26AB"/>
    <w:rsid w:val="009C27B1"/>
    <w:rsid w:val="009C5201"/>
    <w:rsid w:val="009C687D"/>
    <w:rsid w:val="009C7F17"/>
    <w:rsid w:val="009D0811"/>
    <w:rsid w:val="009D0E12"/>
    <w:rsid w:val="009D0EE1"/>
    <w:rsid w:val="009D309D"/>
    <w:rsid w:val="009D382E"/>
    <w:rsid w:val="009D43D0"/>
    <w:rsid w:val="009D510C"/>
    <w:rsid w:val="009D5CDB"/>
    <w:rsid w:val="009D6709"/>
    <w:rsid w:val="009E13C1"/>
    <w:rsid w:val="009E2A9C"/>
    <w:rsid w:val="009E2AEB"/>
    <w:rsid w:val="009E2E27"/>
    <w:rsid w:val="009E44C0"/>
    <w:rsid w:val="009E4DE3"/>
    <w:rsid w:val="009E50C1"/>
    <w:rsid w:val="009F0C29"/>
    <w:rsid w:val="009F0C5A"/>
    <w:rsid w:val="009F5597"/>
    <w:rsid w:val="00A02198"/>
    <w:rsid w:val="00A047EE"/>
    <w:rsid w:val="00A057CA"/>
    <w:rsid w:val="00A136AF"/>
    <w:rsid w:val="00A13F8F"/>
    <w:rsid w:val="00A149B7"/>
    <w:rsid w:val="00A177BC"/>
    <w:rsid w:val="00A17930"/>
    <w:rsid w:val="00A2274A"/>
    <w:rsid w:val="00A234D3"/>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0876"/>
    <w:rsid w:val="00A71019"/>
    <w:rsid w:val="00A73B60"/>
    <w:rsid w:val="00A81029"/>
    <w:rsid w:val="00A8203D"/>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3C88"/>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176"/>
    <w:rsid w:val="00AD74AD"/>
    <w:rsid w:val="00AD76EF"/>
    <w:rsid w:val="00AD7A9A"/>
    <w:rsid w:val="00AE027F"/>
    <w:rsid w:val="00AE171A"/>
    <w:rsid w:val="00AE4D6F"/>
    <w:rsid w:val="00AF0732"/>
    <w:rsid w:val="00AF228E"/>
    <w:rsid w:val="00AF455B"/>
    <w:rsid w:val="00AF5899"/>
    <w:rsid w:val="00B0123F"/>
    <w:rsid w:val="00B04004"/>
    <w:rsid w:val="00B12F13"/>
    <w:rsid w:val="00B143D6"/>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0FB"/>
    <w:rsid w:val="00B56B95"/>
    <w:rsid w:val="00B607DF"/>
    <w:rsid w:val="00B6409C"/>
    <w:rsid w:val="00B64845"/>
    <w:rsid w:val="00B64A85"/>
    <w:rsid w:val="00B66053"/>
    <w:rsid w:val="00B7193E"/>
    <w:rsid w:val="00B72999"/>
    <w:rsid w:val="00B72FD7"/>
    <w:rsid w:val="00B736DF"/>
    <w:rsid w:val="00B74FBD"/>
    <w:rsid w:val="00B770A9"/>
    <w:rsid w:val="00B8056A"/>
    <w:rsid w:val="00B82586"/>
    <w:rsid w:val="00B829A3"/>
    <w:rsid w:val="00B84CE9"/>
    <w:rsid w:val="00B84D31"/>
    <w:rsid w:val="00B86537"/>
    <w:rsid w:val="00B86DB1"/>
    <w:rsid w:val="00B87869"/>
    <w:rsid w:val="00B87A61"/>
    <w:rsid w:val="00B92D5B"/>
    <w:rsid w:val="00B9417E"/>
    <w:rsid w:val="00B948AE"/>
    <w:rsid w:val="00BA1648"/>
    <w:rsid w:val="00BA1D95"/>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2B2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04C4"/>
    <w:rsid w:val="00C10AD7"/>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6088"/>
    <w:rsid w:val="00C376EB"/>
    <w:rsid w:val="00C4187E"/>
    <w:rsid w:val="00C426F0"/>
    <w:rsid w:val="00C42985"/>
    <w:rsid w:val="00C444EC"/>
    <w:rsid w:val="00C44FF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15A5"/>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2B4F"/>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32F"/>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2D3B"/>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0C5D"/>
    <w:rsid w:val="00DD19C6"/>
    <w:rsid w:val="00DD2E11"/>
    <w:rsid w:val="00DD4009"/>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5F11"/>
    <w:rsid w:val="00E6742D"/>
    <w:rsid w:val="00E71CB0"/>
    <w:rsid w:val="00E72F8D"/>
    <w:rsid w:val="00E7537E"/>
    <w:rsid w:val="00E7793C"/>
    <w:rsid w:val="00E77C3D"/>
    <w:rsid w:val="00E80299"/>
    <w:rsid w:val="00E8272F"/>
    <w:rsid w:val="00E84DA5"/>
    <w:rsid w:val="00E84DD5"/>
    <w:rsid w:val="00E86549"/>
    <w:rsid w:val="00E86D64"/>
    <w:rsid w:val="00E870E7"/>
    <w:rsid w:val="00E90921"/>
    <w:rsid w:val="00E909F0"/>
    <w:rsid w:val="00E90B4B"/>
    <w:rsid w:val="00E90D47"/>
    <w:rsid w:val="00E91BE6"/>
    <w:rsid w:val="00E92DA7"/>
    <w:rsid w:val="00E93993"/>
    <w:rsid w:val="00E950C0"/>
    <w:rsid w:val="00E9597C"/>
    <w:rsid w:val="00EA0446"/>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4124"/>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5190"/>
    <w:rsid w:val="00F27CD8"/>
    <w:rsid w:val="00F30351"/>
    <w:rsid w:val="00F3144D"/>
    <w:rsid w:val="00F3323E"/>
    <w:rsid w:val="00F341F4"/>
    <w:rsid w:val="00F34F9D"/>
    <w:rsid w:val="00F34FAD"/>
    <w:rsid w:val="00F3554C"/>
    <w:rsid w:val="00F35CCE"/>
    <w:rsid w:val="00F35D73"/>
    <w:rsid w:val="00F366E1"/>
    <w:rsid w:val="00F42209"/>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213"/>
    <w:rsid w:val="00F71433"/>
    <w:rsid w:val="00F71CE8"/>
    <w:rsid w:val="00F738B0"/>
    <w:rsid w:val="00F801C5"/>
    <w:rsid w:val="00F83231"/>
    <w:rsid w:val="00F83C65"/>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8F9"/>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818"/>
    <w:rsid w:val="00FE2A86"/>
    <w:rsid w:val="00FE5706"/>
    <w:rsid w:val="00FE6330"/>
    <w:rsid w:val="00FE6711"/>
    <w:rsid w:val="00FF0BFE"/>
    <w:rsid w:val="00FF0D81"/>
    <w:rsid w:val="00FF22DC"/>
    <w:rsid w:val="00FF296F"/>
    <w:rsid w:val="00FF3033"/>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customStyle="1" w:styleId="fontstyle01">
    <w:name w:val="fontstyle01"/>
    <w:basedOn w:val="DefaultParagraphFont"/>
    <w:rsid w:val="00621034"/>
    <w:rPr>
      <w:rFonts w:ascii="FEF2FB2E08C-Roman" w:hAnsi="FEF2FB2E08C-Roman" w:hint="default"/>
      <w:b w:val="0"/>
      <w:bCs w:val="0"/>
      <w:i w:val="0"/>
      <w:iCs w:val="0"/>
      <w:color w:val="000000"/>
      <w:sz w:val="22"/>
      <w:szCs w:val="22"/>
    </w:rPr>
  </w:style>
  <w:style w:type="character" w:customStyle="1" w:styleId="fontstyle21">
    <w:name w:val="fontstyle21"/>
    <w:basedOn w:val="DefaultParagraphFont"/>
    <w:rsid w:val="00621034"/>
    <w:rPr>
      <w:rFonts w:ascii="FEFD2088FC8-Roman" w:hAnsi="FEFD2088FC8-Roman" w:hint="default"/>
      <w:b w:val="0"/>
      <w:bCs w:val="0"/>
      <w:i w:val="0"/>
      <w:iCs w:val="0"/>
      <w:color w:val="000000"/>
      <w:sz w:val="14"/>
      <w:szCs w:val="14"/>
    </w:rPr>
  </w:style>
  <w:style w:type="character" w:styleId="UnresolvedMention">
    <w:name w:val="Unresolved Mention"/>
    <w:basedOn w:val="DefaultParagraphFont"/>
    <w:uiPriority w:val="99"/>
    <w:semiHidden/>
    <w:unhideWhenUsed/>
    <w:rsid w:val="00E9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29">
      <w:bodyDiv w:val="1"/>
      <w:marLeft w:val="0"/>
      <w:marRight w:val="0"/>
      <w:marTop w:val="0"/>
      <w:marBottom w:val="0"/>
      <w:divBdr>
        <w:top w:val="none" w:sz="0" w:space="0" w:color="auto"/>
        <w:left w:val="none" w:sz="0" w:space="0" w:color="auto"/>
        <w:bottom w:val="none" w:sz="0" w:space="0" w:color="auto"/>
        <w:right w:val="none" w:sz="0" w:space="0" w:color="auto"/>
      </w:divBdr>
    </w:div>
    <w:div w:id="75825355">
      <w:bodyDiv w:val="1"/>
      <w:marLeft w:val="0"/>
      <w:marRight w:val="0"/>
      <w:marTop w:val="0"/>
      <w:marBottom w:val="0"/>
      <w:divBdr>
        <w:top w:val="none" w:sz="0" w:space="0" w:color="auto"/>
        <w:left w:val="none" w:sz="0" w:space="0" w:color="auto"/>
        <w:bottom w:val="none" w:sz="0" w:space="0" w:color="auto"/>
        <w:right w:val="none" w:sz="0" w:space="0" w:color="auto"/>
      </w:divBdr>
    </w:div>
    <w:div w:id="12808857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66632910">
      <w:bodyDiv w:val="1"/>
      <w:marLeft w:val="0"/>
      <w:marRight w:val="0"/>
      <w:marTop w:val="0"/>
      <w:marBottom w:val="0"/>
      <w:divBdr>
        <w:top w:val="none" w:sz="0" w:space="0" w:color="auto"/>
        <w:left w:val="none" w:sz="0" w:space="0" w:color="auto"/>
        <w:bottom w:val="none" w:sz="0" w:space="0" w:color="auto"/>
        <w:right w:val="none" w:sz="0" w:space="0" w:color="auto"/>
      </w:divBdr>
    </w:div>
    <w:div w:id="765424365">
      <w:bodyDiv w:val="1"/>
      <w:marLeft w:val="0"/>
      <w:marRight w:val="0"/>
      <w:marTop w:val="0"/>
      <w:marBottom w:val="0"/>
      <w:divBdr>
        <w:top w:val="none" w:sz="0" w:space="0" w:color="auto"/>
        <w:left w:val="none" w:sz="0" w:space="0" w:color="auto"/>
        <w:bottom w:val="none" w:sz="0" w:space="0" w:color="auto"/>
        <w:right w:val="none" w:sz="0" w:space="0" w:color="auto"/>
      </w:divBdr>
    </w:div>
    <w:div w:id="81607380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39219854">
      <w:bodyDiv w:val="1"/>
      <w:marLeft w:val="0"/>
      <w:marRight w:val="0"/>
      <w:marTop w:val="0"/>
      <w:marBottom w:val="0"/>
      <w:divBdr>
        <w:top w:val="none" w:sz="0" w:space="0" w:color="auto"/>
        <w:left w:val="none" w:sz="0" w:space="0" w:color="auto"/>
        <w:bottom w:val="none" w:sz="0" w:space="0" w:color="auto"/>
        <w:right w:val="none" w:sz="0" w:space="0" w:color="auto"/>
      </w:divBdr>
    </w:div>
    <w:div w:id="955793901">
      <w:bodyDiv w:val="1"/>
      <w:marLeft w:val="0"/>
      <w:marRight w:val="0"/>
      <w:marTop w:val="0"/>
      <w:marBottom w:val="0"/>
      <w:divBdr>
        <w:top w:val="none" w:sz="0" w:space="0" w:color="auto"/>
        <w:left w:val="none" w:sz="0" w:space="0" w:color="auto"/>
        <w:bottom w:val="none" w:sz="0" w:space="0" w:color="auto"/>
        <w:right w:val="none" w:sz="0" w:space="0" w:color="auto"/>
      </w:divBdr>
    </w:div>
    <w:div w:id="1127089492">
      <w:bodyDiv w:val="1"/>
      <w:marLeft w:val="0"/>
      <w:marRight w:val="0"/>
      <w:marTop w:val="0"/>
      <w:marBottom w:val="0"/>
      <w:divBdr>
        <w:top w:val="none" w:sz="0" w:space="0" w:color="auto"/>
        <w:left w:val="none" w:sz="0" w:space="0" w:color="auto"/>
        <w:bottom w:val="none" w:sz="0" w:space="0" w:color="auto"/>
        <w:right w:val="none" w:sz="0" w:space="0" w:color="auto"/>
      </w:divBdr>
    </w:div>
    <w:div w:id="1132291322">
      <w:bodyDiv w:val="1"/>
      <w:marLeft w:val="0"/>
      <w:marRight w:val="0"/>
      <w:marTop w:val="0"/>
      <w:marBottom w:val="0"/>
      <w:divBdr>
        <w:top w:val="none" w:sz="0" w:space="0" w:color="auto"/>
        <w:left w:val="none" w:sz="0" w:space="0" w:color="auto"/>
        <w:bottom w:val="none" w:sz="0" w:space="0" w:color="auto"/>
        <w:right w:val="none" w:sz="0" w:space="0" w:color="auto"/>
      </w:divBdr>
    </w:div>
    <w:div w:id="1287077970">
      <w:bodyDiv w:val="1"/>
      <w:marLeft w:val="0"/>
      <w:marRight w:val="0"/>
      <w:marTop w:val="0"/>
      <w:marBottom w:val="0"/>
      <w:divBdr>
        <w:top w:val="none" w:sz="0" w:space="0" w:color="auto"/>
        <w:left w:val="none" w:sz="0" w:space="0" w:color="auto"/>
        <w:bottom w:val="none" w:sz="0" w:space="0" w:color="auto"/>
        <w:right w:val="none" w:sz="0" w:space="0" w:color="auto"/>
      </w:divBdr>
    </w:div>
    <w:div w:id="1467090728">
      <w:bodyDiv w:val="1"/>
      <w:marLeft w:val="0"/>
      <w:marRight w:val="0"/>
      <w:marTop w:val="0"/>
      <w:marBottom w:val="0"/>
      <w:divBdr>
        <w:top w:val="none" w:sz="0" w:space="0" w:color="auto"/>
        <w:left w:val="none" w:sz="0" w:space="0" w:color="auto"/>
        <w:bottom w:val="none" w:sz="0" w:space="0" w:color="auto"/>
        <w:right w:val="none" w:sz="0" w:space="0" w:color="auto"/>
      </w:divBdr>
    </w:div>
    <w:div w:id="1512447809">
      <w:bodyDiv w:val="1"/>
      <w:marLeft w:val="0"/>
      <w:marRight w:val="0"/>
      <w:marTop w:val="0"/>
      <w:marBottom w:val="0"/>
      <w:divBdr>
        <w:top w:val="none" w:sz="0" w:space="0" w:color="auto"/>
        <w:left w:val="none" w:sz="0" w:space="0" w:color="auto"/>
        <w:bottom w:val="none" w:sz="0" w:space="0" w:color="auto"/>
        <w:right w:val="none" w:sz="0" w:space="0" w:color="auto"/>
      </w:divBdr>
    </w:div>
    <w:div w:id="1555774190">
      <w:bodyDiv w:val="1"/>
      <w:marLeft w:val="0"/>
      <w:marRight w:val="0"/>
      <w:marTop w:val="0"/>
      <w:marBottom w:val="0"/>
      <w:divBdr>
        <w:top w:val="none" w:sz="0" w:space="0" w:color="auto"/>
        <w:left w:val="none" w:sz="0" w:space="0" w:color="auto"/>
        <w:bottom w:val="none" w:sz="0" w:space="0" w:color="auto"/>
        <w:right w:val="none" w:sz="0" w:space="0" w:color="auto"/>
      </w:divBdr>
    </w:div>
    <w:div w:id="155951155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157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17</Pages>
  <Words>6866</Words>
  <Characters>39139</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Ella van der Schans</cp:lastModifiedBy>
  <cp:revision>2</cp:revision>
  <cp:lastPrinted>2023-11-14T14:02:00Z</cp:lastPrinted>
  <dcterms:created xsi:type="dcterms:W3CDTF">2023-11-14T23:29:00Z</dcterms:created>
  <dcterms:modified xsi:type="dcterms:W3CDTF">2023-11-14T23:29:00Z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