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15F79" w:rsidRDefault="00806382" w:rsidP="00806382">
      <w:pPr>
        <w:pStyle w:val="ListParagraph"/>
        <w:numPr>
          <w:ilvl w:val="0"/>
          <w:numId w:val="15"/>
        </w:numPr>
        <w:ind w:left="425" w:hanging="357"/>
        <w:jc w:val="both"/>
        <w:rPr>
          <w:rFonts w:ascii="Avenir Next" w:hAnsi="Avenir Next" w:cs="Arial"/>
          <w:sz w:val="22"/>
          <w:szCs w:val="22"/>
          <w:highlight w:val="yellow"/>
        </w:rPr>
      </w:pPr>
      <w:r w:rsidRPr="00715F79">
        <w:rPr>
          <w:rFonts w:ascii="Avenir Next" w:hAnsi="Avenir Next" w:cs="Arial"/>
          <w:sz w:val="22"/>
          <w:szCs w:val="22"/>
          <w:highlight w:val="yellow"/>
        </w:rPr>
        <w:t xml:space="preserve">This statement is untrue since the word </w:t>
      </w:r>
      <w:r w:rsidR="00823AB4" w:rsidRPr="00715F79">
        <w:rPr>
          <w:rFonts w:ascii="Avenir Next" w:hAnsi="Avenir Next" w:cs="Arial"/>
          <w:sz w:val="22"/>
          <w:szCs w:val="22"/>
          <w:highlight w:val="yellow"/>
        </w:rPr>
        <w:t>“</w:t>
      </w:r>
      <w:r w:rsidRPr="00715F79">
        <w:rPr>
          <w:rFonts w:ascii="Avenir Next" w:hAnsi="Avenir Next" w:cs="Arial"/>
          <w:sz w:val="22"/>
          <w:szCs w:val="22"/>
          <w:highlight w:val="yellow"/>
        </w:rPr>
        <w:t>bankruptcy</w:t>
      </w:r>
      <w:r w:rsidR="00823AB4" w:rsidRPr="00715F79">
        <w:rPr>
          <w:rFonts w:ascii="Avenir Next" w:hAnsi="Avenir Next" w:cs="Arial"/>
          <w:sz w:val="22"/>
          <w:szCs w:val="22"/>
          <w:highlight w:val="yellow"/>
        </w:rPr>
        <w:t>”</w:t>
      </w:r>
      <w:r w:rsidRPr="00715F79">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15F79" w:rsidRDefault="001211E6" w:rsidP="001211E6">
      <w:pPr>
        <w:pStyle w:val="ListParagraph"/>
        <w:numPr>
          <w:ilvl w:val="0"/>
          <w:numId w:val="16"/>
        </w:numPr>
        <w:ind w:left="426"/>
        <w:jc w:val="both"/>
        <w:rPr>
          <w:rFonts w:ascii="Avenir Next" w:hAnsi="Avenir Next" w:cs="Arial"/>
          <w:sz w:val="22"/>
          <w:szCs w:val="22"/>
          <w:highlight w:val="yellow"/>
        </w:rPr>
      </w:pPr>
      <w:r w:rsidRPr="00715F79">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15F79"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15F7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9261C">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E9261C" w:rsidRDefault="006514CD" w:rsidP="006514CD">
      <w:pPr>
        <w:pStyle w:val="ListParagraph"/>
        <w:numPr>
          <w:ilvl w:val="0"/>
          <w:numId w:val="19"/>
        </w:numPr>
        <w:ind w:left="425" w:hanging="357"/>
        <w:jc w:val="both"/>
        <w:rPr>
          <w:rFonts w:ascii="Avenir Next" w:hAnsi="Avenir Next" w:cs="Arial"/>
          <w:sz w:val="22"/>
          <w:szCs w:val="22"/>
          <w:highlight w:val="yellow"/>
        </w:rPr>
      </w:pPr>
      <w:r w:rsidRPr="00E9261C">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8D779B"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8D779B">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4C79161A" w:rsidR="00D761ED" w:rsidRPr="008D779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8D779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D71E963" w14:textId="77777777" w:rsidR="008D779B" w:rsidRDefault="008D779B" w:rsidP="008071D5">
      <w:pPr>
        <w:jc w:val="both"/>
        <w:rPr>
          <w:rFonts w:ascii="Avenir Next Demi Bold" w:hAnsi="Avenir Next Demi Bold" w:cs="Arial"/>
          <w:b/>
          <w:bCs/>
          <w:sz w:val="22"/>
          <w:szCs w:val="22"/>
        </w:rPr>
      </w:pPr>
    </w:p>
    <w:p w14:paraId="7A4344AB" w14:textId="52360530"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8D779B" w:rsidRDefault="00AD76EF" w:rsidP="00AD76EF">
      <w:pPr>
        <w:pStyle w:val="ListParagraph"/>
        <w:numPr>
          <w:ilvl w:val="0"/>
          <w:numId w:val="17"/>
        </w:numPr>
        <w:ind w:left="426"/>
        <w:jc w:val="both"/>
        <w:rPr>
          <w:rFonts w:ascii="Avenir Next" w:hAnsi="Avenir Next" w:cs="Arial"/>
          <w:sz w:val="22"/>
          <w:szCs w:val="22"/>
          <w:highlight w:val="yellow"/>
        </w:rPr>
      </w:pPr>
      <w:r w:rsidRPr="008D779B">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E16A7E"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E16A7E">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16A7E" w:rsidRDefault="009661DE" w:rsidP="009661DE">
      <w:pPr>
        <w:pStyle w:val="ListParagraph"/>
        <w:numPr>
          <w:ilvl w:val="0"/>
          <w:numId w:val="23"/>
        </w:numPr>
        <w:ind w:left="426"/>
        <w:jc w:val="both"/>
        <w:rPr>
          <w:rFonts w:ascii="Avenir Next" w:hAnsi="Avenir Next" w:cs="Arial"/>
          <w:sz w:val="22"/>
          <w:szCs w:val="22"/>
          <w:highlight w:val="yellow"/>
        </w:rPr>
      </w:pPr>
      <w:r w:rsidRPr="00E16A7E">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E16A7E" w:rsidRDefault="003B3A0D" w:rsidP="003B3A0D">
      <w:pPr>
        <w:pStyle w:val="ListParagraph"/>
        <w:numPr>
          <w:ilvl w:val="0"/>
          <w:numId w:val="24"/>
        </w:numPr>
        <w:ind w:left="426"/>
        <w:jc w:val="both"/>
        <w:rPr>
          <w:rFonts w:ascii="Avenir Next" w:hAnsi="Avenir Next" w:cs="Arial"/>
          <w:sz w:val="22"/>
          <w:szCs w:val="22"/>
          <w:highlight w:val="yellow"/>
        </w:rPr>
      </w:pPr>
      <w:r w:rsidRPr="00E16A7E">
        <w:rPr>
          <w:rFonts w:ascii="Avenir Next" w:hAnsi="Avenir Next" w:cs="Arial"/>
          <w:sz w:val="22"/>
          <w:szCs w:val="22"/>
          <w:highlight w:val="yellow"/>
        </w:rPr>
        <w:t xml:space="preserve">This statement is untrue because universalism corresponds well to </w:t>
      </w:r>
      <w:proofErr w:type="spellStart"/>
      <w:r w:rsidRPr="00E16A7E">
        <w:rPr>
          <w:rFonts w:ascii="Avenir Next" w:hAnsi="Avenir Next" w:cs="Arial"/>
          <w:sz w:val="22"/>
          <w:szCs w:val="22"/>
          <w:highlight w:val="yellow"/>
        </w:rPr>
        <w:t>globali</w:t>
      </w:r>
      <w:r w:rsidR="00142E15" w:rsidRPr="00E16A7E">
        <w:rPr>
          <w:rFonts w:ascii="Avenir Next" w:hAnsi="Avenir Next" w:cs="Arial"/>
          <w:sz w:val="22"/>
          <w:szCs w:val="22"/>
          <w:highlight w:val="yellow"/>
        </w:rPr>
        <w:t>s</w:t>
      </w:r>
      <w:r w:rsidRPr="00E16A7E">
        <w:rPr>
          <w:rFonts w:ascii="Avenir Next" w:hAnsi="Avenir Next" w:cs="Arial"/>
          <w:sz w:val="22"/>
          <w:szCs w:val="22"/>
          <w:highlight w:val="yellow"/>
        </w:rPr>
        <w:t>ation</w:t>
      </w:r>
      <w:proofErr w:type="spellEnd"/>
      <w:r w:rsidRPr="00E16A7E">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04D359D6" w14:textId="5527317C" w:rsidR="00EF6164" w:rsidRDefault="008C752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Systems that have historical roots in English Law tend to be those with English colonial roots, such as </w:t>
      </w:r>
      <w:r w:rsidR="00D3369C">
        <w:rPr>
          <w:rFonts w:ascii="Avenir Next" w:hAnsi="Avenir Next" w:cs="Arial"/>
          <w:color w:val="808080" w:themeColor="background1" w:themeShade="80"/>
          <w:sz w:val="22"/>
          <w:szCs w:val="22"/>
          <w:lang w:val="en-GB"/>
        </w:rPr>
        <w:t xml:space="preserve">the United States, </w:t>
      </w:r>
      <w:r>
        <w:rPr>
          <w:rFonts w:ascii="Avenir Next" w:hAnsi="Avenir Next" w:cs="Arial"/>
          <w:color w:val="808080" w:themeColor="background1" w:themeShade="80"/>
          <w:sz w:val="22"/>
          <w:szCs w:val="22"/>
          <w:lang w:val="en-GB"/>
        </w:rPr>
        <w:t>Australia, India and some African countries for example Nigeria and Botswana.</w:t>
      </w:r>
      <w:r w:rsidR="00645ED9">
        <w:rPr>
          <w:rFonts w:ascii="Avenir Next" w:hAnsi="Avenir Next" w:cs="Arial"/>
          <w:color w:val="808080" w:themeColor="background1" w:themeShade="80"/>
          <w:sz w:val="22"/>
          <w:szCs w:val="22"/>
          <w:lang w:val="en-GB"/>
        </w:rPr>
        <w:t xml:space="preserve"> These countries all follow </w:t>
      </w:r>
      <w:r w:rsidR="00EF6164">
        <w:rPr>
          <w:rFonts w:ascii="Avenir Next" w:hAnsi="Avenir Next" w:cs="Arial"/>
          <w:color w:val="808080" w:themeColor="background1" w:themeShade="80"/>
          <w:sz w:val="22"/>
          <w:szCs w:val="22"/>
          <w:lang w:val="en-GB"/>
        </w:rPr>
        <w:t xml:space="preserve">a </w:t>
      </w:r>
      <w:r w:rsidR="00645ED9">
        <w:rPr>
          <w:rFonts w:ascii="Avenir Next" w:hAnsi="Avenir Next" w:cs="Arial"/>
          <w:color w:val="808080" w:themeColor="background1" w:themeShade="80"/>
          <w:sz w:val="22"/>
          <w:szCs w:val="22"/>
          <w:lang w:val="en-GB"/>
        </w:rPr>
        <w:t>common law</w:t>
      </w:r>
      <w:r w:rsidR="00EF6164">
        <w:rPr>
          <w:rFonts w:ascii="Avenir Next" w:hAnsi="Avenir Next" w:cs="Arial"/>
          <w:color w:val="808080" w:themeColor="background1" w:themeShade="80"/>
          <w:sz w:val="22"/>
          <w:szCs w:val="22"/>
          <w:lang w:val="en-GB"/>
        </w:rPr>
        <w:t xml:space="preserve"> system</w:t>
      </w:r>
      <w:r w:rsidR="00645ED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3369C">
        <w:rPr>
          <w:rFonts w:ascii="Avenir Next" w:hAnsi="Avenir Next" w:cs="Arial"/>
          <w:color w:val="808080" w:themeColor="background1" w:themeShade="80"/>
          <w:sz w:val="22"/>
          <w:szCs w:val="22"/>
          <w:lang w:val="en-GB"/>
        </w:rPr>
        <w:t>A common theme to the early insolvency laws was the punishment of those unable to pay their debt, for example by means of imprisonment</w:t>
      </w:r>
      <w:r w:rsidR="004364EF">
        <w:rPr>
          <w:rFonts w:ascii="Avenir Next" w:hAnsi="Avenir Next" w:cs="Arial"/>
          <w:color w:val="808080" w:themeColor="background1" w:themeShade="80"/>
          <w:sz w:val="22"/>
          <w:szCs w:val="22"/>
          <w:lang w:val="en-GB"/>
        </w:rPr>
        <w:t xml:space="preserve"> in what was called ‘debtor’s prisons’</w:t>
      </w:r>
      <w:r w:rsidR="004364EF">
        <w:rPr>
          <w:rStyle w:val="FootnoteReference"/>
          <w:rFonts w:ascii="Avenir Next" w:hAnsi="Avenir Next" w:cs="Arial"/>
          <w:color w:val="808080" w:themeColor="background1" w:themeShade="80"/>
          <w:sz w:val="22"/>
          <w:szCs w:val="22"/>
          <w:lang w:val="en-GB"/>
        </w:rPr>
        <w:footnoteReference w:id="1"/>
      </w:r>
      <w:r w:rsidR="00D3369C">
        <w:rPr>
          <w:rFonts w:ascii="Avenir Next" w:hAnsi="Avenir Next" w:cs="Arial"/>
          <w:color w:val="808080" w:themeColor="background1" w:themeShade="80"/>
          <w:sz w:val="22"/>
          <w:szCs w:val="22"/>
          <w:lang w:val="en-GB"/>
        </w:rPr>
        <w:t xml:space="preserve">. </w:t>
      </w:r>
      <w:r w:rsidR="00EF6164">
        <w:rPr>
          <w:rFonts w:ascii="Avenir Next" w:hAnsi="Avenir Next" w:cs="Arial"/>
          <w:color w:val="808080" w:themeColor="background1" w:themeShade="80"/>
          <w:sz w:val="22"/>
          <w:szCs w:val="22"/>
          <w:lang w:val="en-GB"/>
        </w:rPr>
        <w:t xml:space="preserve">This was only abolished in 1869 by the Debtors Act. </w:t>
      </w:r>
    </w:p>
    <w:p w14:paraId="5A679A90" w14:textId="77777777" w:rsidR="00EF6164" w:rsidRDefault="00EF6164" w:rsidP="00692852">
      <w:pPr>
        <w:jc w:val="both"/>
        <w:rPr>
          <w:rFonts w:ascii="Avenir Next" w:hAnsi="Avenir Next" w:cs="Arial"/>
          <w:color w:val="808080" w:themeColor="background1" w:themeShade="80"/>
          <w:sz w:val="22"/>
          <w:szCs w:val="22"/>
          <w:lang w:val="en-GB"/>
        </w:rPr>
      </w:pPr>
    </w:p>
    <w:p w14:paraId="4252629C" w14:textId="3B2A2203" w:rsidR="008C7528" w:rsidRDefault="008C752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Respective </w:t>
      </w:r>
      <w:r w:rsidR="00AA323B">
        <w:rPr>
          <w:rFonts w:ascii="Avenir Next" w:hAnsi="Avenir Next" w:cs="Arial"/>
          <w:color w:val="808080" w:themeColor="background1" w:themeShade="80"/>
          <w:sz w:val="22"/>
          <w:szCs w:val="22"/>
          <w:lang w:val="en-GB"/>
        </w:rPr>
        <w:t>common law jurisdictions tend to use the English law as a basis for their current legislation, with some modernisation in the form of new and reformed insolvency laws.</w:t>
      </w:r>
      <w:r w:rsidR="00D3369C">
        <w:rPr>
          <w:rFonts w:ascii="Avenir Next" w:hAnsi="Avenir Next" w:cs="Arial"/>
          <w:color w:val="808080" w:themeColor="background1" w:themeShade="80"/>
          <w:sz w:val="22"/>
          <w:szCs w:val="22"/>
          <w:lang w:val="en-GB"/>
        </w:rPr>
        <w:t xml:space="preserve"> </w:t>
      </w:r>
      <w:r w:rsidR="00B51213">
        <w:rPr>
          <w:rFonts w:ascii="Avenir Next" w:hAnsi="Avenir Next" w:cs="Arial"/>
          <w:color w:val="808080" w:themeColor="background1" w:themeShade="80"/>
          <w:sz w:val="22"/>
          <w:szCs w:val="22"/>
          <w:lang w:val="en-GB"/>
        </w:rPr>
        <w:t xml:space="preserve">There are however differences in the sources of insolvency law between these countries, for example both the USA and England have a single, unified set of insolvency laws, whilst Australia has two separate sets of legislation covering corporate insolvency and personal insolvency. </w:t>
      </w:r>
    </w:p>
    <w:p w14:paraId="0EC7294C" w14:textId="21DD3CE0" w:rsidR="00C870D2" w:rsidRDefault="00C870D2" w:rsidP="00692852">
      <w:pPr>
        <w:jc w:val="both"/>
        <w:rPr>
          <w:rFonts w:ascii="Avenir Next" w:hAnsi="Avenir Next" w:cs="Arial"/>
          <w:color w:val="808080" w:themeColor="background1" w:themeShade="80"/>
          <w:sz w:val="22"/>
          <w:szCs w:val="22"/>
          <w:lang w:val="en-GB"/>
        </w:rPr>
      </w:pPr>
    </w:p>
    <w:p w14:paraId="3F7523F5" w14:textId="58FB45F7" w:rsidR="00B00C97" w:rsidRDefault="00B00C9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w:t>
      </w:r>
      <w:r w:rsidR="00645ED9">
        <w:rPr>
          <w:rFonts w:ascii="Avenir Next" w:hAnsi="Avenir Next" w:cs="Arial"/>
          <w:color w:val="808080" w:themeColor="background1" w:themeShade="80"/>
          <w:sz w:val="22"/>
          <w:szCs w:val="22"/>
          <w:lang w:val="en-GB"/>
        </w:rPr>
        <w:t xml:space="preserve">many European countries such as </w:t>
      </w:r>
      <w:r>
        <w:rPr>
          <w:rFonts w:ascii="Avenir Next" w:hAnsi="Avenir Next" w:cs="Arial"/>
          <w:color w:val="808080" w:themeColor="background1" w:themeShade="80"/>
          <w:sz w:val="22"/>
          <w:szCs w:val="22"/>
          <w:lang w:val="en-GB"/>
        </w:rPr>
        <w:t>the Netherlands</w:t>
      </w:r>
      <w:r w:rsidR="00645ED9">
        <w:rPr>
          <w:rFonts w:ascii="Avenir Next" w:hAnsi="Avenir Next" w:cs="Arial"/>
          <w:color w:val="808080" w:themeColor="background1" w:themeShade="80"/>
          <w:sz w:val="22"/>
          <w:szCs w:val="22"/>
          <w:lang w:val="en-GB"/>
        </w:rPr>
        <w:t xml:space="preserve"> and France</w:t>
      </w:r>
      <w:r>
        <w:rPr>
          <w:rFonts w:ascii="Avenir Next" w:hAnsi="Avenir Next" w:cs="Arial"/>
          <w:color w:val="808080" w:themeColor="background1" w:themeShade="80"/>
          <w:sz w:val="22"/>
          <w:szCs w:val="22"/>
          <w:lang w:val="en-GB"/>
        </w:rPr>
        <w:t xml:space="preserve"> adopted a civil law system, along with some other African countries which have historical roots in civil law states, such as Angola and Mozambique. The majority of Latin America also follows a civil law system</w:t>
      </w:r>
      <w:r w:rsidR="00EF6164">
        <w:rPr>
          <w:rFonts w:ascii="Avenir Next" w:hAnsi="Avenir Next" w:cs="Arial"/>
          <w:color w:val="808080" w:themeColor="background1" w:themeShade="80"/>
          <w:sz w:val="22"/>
          <w:szCs w:val="22"/>
          <w:lang w:val="en-GB"/>
        </w:rPr>
        <w:t xml:space="preserve"> and is known to be one of the most unified regions in terms of insolvency law</w:t>
      </w:r>
      <w:r>
        <w:rPr>
          <w:rFonts w:ascii="Avenir Next" w:hAnsi="Avenir Next" w:cs="Arial"/>
          <w:color w:val="808080" w:themeColor="background1" w:themeShade="80"/>
          <w:sz w:val="22"/>
          <w:szCs w:val="22"/>
          <w:lang w:val="en-GB"/>
        </w:rPr>
        <w:t xml:space="preserve">. </w:t>
      </w:r>
      <w:r w:rsidR="00645ED9">
        <w:rPr>
          <w:rFonts w:ascii="Avenir Next" w:hAnsi="Avenir Next" w:cs="Arial"/>
          <w:color w:val="808080" w:themeColor="background1" w:themeShade="80"/>
          <w:sz w:val="22"/>
          <w:szCs w:val="22"/>
          <w:lang w:val="en-GB"/>
        </w:rPr>
        <w:t>In these countries, Roman Law formed the foundations of insolvency law</w:t>
      </w:r>
      <w:r w:rsidR="00CB3A8C">
        <w:rPr>
          <w:rFonts w:ascii="Avenir Next" w:hAnsi="Avenir Next" w:cs="Arial"/>
          <w:color w:val="808080" w:themeColor="background1" w:themeShade="80"/>
          <w:sz w:val="22"/>
          <w:szCs w:val="22"/>
          <w:lang w:val="en-GB"/>
        </w:rPr>
        <w:t xml:space="preserve"> and stem from Table 3 of the Twelve Tables which related to the execution of judgements</w:t>
      </w:r>
      <w:r w:rsidR="00645ED9">
        <w:rPr>
          <w:rFonts w:ascii="Avenir Next" w:hAnsi="Avenir Next" w:cs="Arial"/>
          <w:color w:val="808080" w:themeColor="background1" w:themeShade="80"/>
          <w:sz w:val="22"/>
          <w:szCs w:val="22"/>
          <w:lang w:val="en-GB"/>
        </w:rPr>
        <w:t>.</w:t>
      </w:r>
      <w:r w:rsidR="00CB3A8C">
        <w:rPr>
          <w:rStyle w:val="FootnoteReference"/>
          <w:rFonts w:ascii="Avenir Next" w:hAnsi="Avenir Next" w:cs="Arial"/>
          <w:color w:val="808080" w:themeColor="background1" w:themeShade="80"/>
          <w:sz w:val="22"/>
          <w:szCs w:val="22"/>
          <w:lang w:val="en-GB"/>
        </w:rPr>
        <w:footnoteReference w:id="2"/>
      </w:r>
      <w:r w:rsidR="00EF6164">
        <w:rPr>
          <w:rFonts w:ascii="Avenir Next" w:hAnsi="Avenir Next" w:cs="Arial"/>
          <w:color w:val="808080" w:themeColor="background1" w:themeShade="80"/>
          <w:sz w:val="22"/>
          <w:szCs w:val="22"/>
          <w:lang w:val="en-GB"/>
        </w:rPr>
        <w:t xml:space="preserve"> Many countries across Europe adopted insolvency legislation between the 13</w:t>
      </w:r>
      <w:r w:rsidR="00EF6164" w:rsidRPr="00EF6164">
        <w:rPr>
          <w:rFonts w:ascii="Avenir Next" w:hAnsi="Avenir Next" w:cs="Arial"/>
          <w:color w:val="808080" w:themeColor="background1" w:themeShade="80"/>
          <w:sz w:val="22"/>
          <w:szCs w:val="22"/>
          <w:vertAlign w:val="superscript"/>
          <w:lang w:val="en-GB"/>
        </w:rPr>
        <w:t>th</w:t>
      </w:r>
      <w:r w:rsidR="00EF6164">
        <w:rPr>
          <w:rFonts w:ascii="Avenir Next" w:hAnsi="Avenir Next" w:cs="Arial"/>
          <w:color w:val="808080" w:themeColor="background1" w:themeShade="80"/>
          <w:sz w:val="22"/>
          <w:szCs w:val="22"/>
          <w:lang w:val="en-GB"/>
        </w:rPr>
        <w:t xml:space="preserve"> and 17</w:t>
      </w:r>
      <w:r w:rsidR="00EF6164" w:rsidRPr="00EF6164">
        <w:rPr>
          <w:rFonts w:ascii="Avenir Next" w:hAnsi="Avenir Next" w:cs="Arial"/>
          <w:color w:val="808080" w:themeColor="background1" w:themeShade="80"/>
          <w:sz w:val="22"/>
          <w:szCs w:val="22"/>
          <w:vertAlign w:val="superscript"/>
          <w:lang w:val="en-GB"/>
        </w:rPr>
        <w:t>th</w:t>
      </w:r>
      <w:r w:rsidR="00EF6164">
        <w:rPr>
          <w:rFonts w:ascii="Avenir Next" w:hAnsi="Avenir Next" w:cs="Arial"/>
          <w:color w:val="808080" w:themeColor="background1" w:themeShade="80"/>
          <w:sz w:val="22"/>
          <w:szCs w:val="22"/>
          <w:lang w:val="en-GB"/>
        </w:rPr>
        <w:t xml:space="preserve"> century, which involved some sort of debt collection procedure. </w:t>
      </w:r>
    </w:p>
    <w:p w14:paraId="779EBC20" w14:textId="77777777" w:rsidR="00E80C8E" w:rsidRDefault="00E80C8E" w:rsidP="00692852">
      <w:pPr>
        <w:jc w:val="both"/>
        <w:rPr>
          <w:rFonts w:ascii="Avenir Next" w:hAnsi="Avenir Next" w:cs="Arial"/>
          <w:color w:val="808080" w:themeColor="background1" w:themeShade="80"/>
          <w:sz w:val="22"/>
          <w:szCs w:val="22"/>
          <w:lang w:val="en-GB"/>
        </w:rPr>
      </w:pPr>
    </w:p>
    <w:p w14:paraId="75722EEA" w14:textId="19BA51CC" w:rsidR="00E80C8E" w:rsidRDefault="00E80C8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common law insolvency systems appear to be more debtor friendly, such as American insolvency law which is said to give the debtor a fresh start following discharge from the insolvency proceedings. Conversely, civil law systems such as the Netherland were pro-creditor and gave more power to creditors </w:t>
      </w:r>
      <w:proofErr w:type="gramStart"/>
      <w:r>
        <w:rPr>
          <w:rFonts w:ascii="Avenir Next" w:hAnsi="Avenir Next" w:cs="Arial"/>
          <w:color w:val="808080" w:themeColor="background1" w:themeShade="80"/>
          <w:sz w:val="22"/>
          <w:szCs w:val="22"/>
          <w:lang w:val="en-GB"/>
        </w:rPr>
        <w:t>in the course of</w:t>
      </w:r>
      <w:proofErr w:type="gramEnd"/>
      <w:r>
        <w:rPr>
          <w:rFonts w:ascii="Avenir Next" w:hAnsi="Avenir Next" w:cs="Arial"/>
          <w:color w:val="808080" w:themeColor="background1" w:themeShade="80"/>
          <w:sz w:val="22"/>
          <w:szCs w:val="22"/>
          <w:lang w:val="en-GB"/>
        </w:rPr>
        <w:t xml:space="preserve"> insolvency proceedings. This, however, is changing and in the Netherlands, new consumer credit regulations mean that debtors are becoming more favoured.</w:t>
      </w:r>
    </w:p>
    <w:p w14:paraId="7CA42A87" w14:textId="77777777" w:rsidR="00E80C8E" w:rsidRDefault="00E80C8E" w:rsidP="00692852">
      <w:pPr>
        <w:jc w:val="both"/>
        <w:rPr>
          <w:rFonts w:ascii="Avenir Next" w:hAnsi="Avenir Next" w:cs="Arial"/>
          <w:color w:val="808080" w:themeColor="background1" w:themeShade="80"/>
          <w:sz w:val="22"/>
          <w:szCs w:val="22"/>
          <w:lang w:val="en-GB"/>
        </w:rPr>
      </w:pPr>
    </w:p>
    <w:p w14:paraId="488D05C2" w14:textId="54F62341" w:rsidR="00E80C8E" w:rsidRDefault="00E80C8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notable difference is that civil law countries tend to favour a territorial approach to cross-border insolvency proceedings whereas common law countries have adopted approaches closer to universalism, meaning that more efforts are made to unify insolvency laws across these States. </w:t>
      </w:r>
      <w:r>
        <w:rPr>
          <w:rStyle w:val="FootnoteReference"/>
          <w:rFonts w:ascii="Avenir Next" w:hAnsi="Avenir Next" w:cs="Arial"/>
          <w:color w:val="808080" w:themeColor="background1" w:themeShade="80"/>
          <w:sz w:val="22"/>
          <w:szCs w:val="22"/>
          <w:lang w:val="en-GB"/>
        </w:rPr>
        <w:footnoteReference w:id="3"/>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0E8FC811" w14:textId="07E1798E" w:rsidR="00605A9F" w:rsidRDefault="00605A9F" w:rsidP="00605A9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Salafia suggests that territorialism is a system based off the belief that a court’s power is limited to its own country’s jurisdiction and insolvency law. </w:t>
      </w:r>
      <w:r>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This means that should an entity have operations or assets in multiple jurisdictions, it may be necessary to open multiple </w:t>
      </w:r>
      <w:r w:rsidR="00642263">
        <w:rPr>
          <w:rFonts w:ascii="Avenir Next" w:hAnsi="Avenir Next" w:cs="Arial"/>
          <w:color w:val="7B7B7B" w:themeColor="accent3" w:themeShade="BF"/>
          <w:sz w:val="22"/>
          <w:szCs w:val="22"/>
          <w:lang w:val="en-GB"/>
        </w:rPr>
        <w:t xml:space="preserve">concurrent </w:t>
      </w:r>
      <w:r>
        <w:rPr>
          <w:rFonts w:ascii="Avenir Next" w:hAnsi="Avenir Next" w:cs="Arial"/>
          <w:color w:val="7B7B7B" w:themeColor="accent3" w:themeShade="BF"/>
          <w:sz w:val="22"/>
          <w:szCs w:val="22"/>
          <w:lang w:val="en-GB"/>
        </w:rPr>
        <w:t>insolvency proceedings</w:t>
      </w:r>
      <w:r w:rsidR="00642263">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w:t>
      </w:r>
      <w:r w:rsidR="00642263">
        <w:rPr>
          <w:rFonts w:ascii="Avenir Next" w:hAnsi="Avenir Next" w:cs="Arial"/>
          <w:color w:val="7B7B7B" w:themeColor="accent3" w:themeShade="BF"/>
          <w:sz w:val="22"/>
          <w:szCs w:val="22"/>
          <w:lang w:val="en-GB"/>
        </w:rPr>
        <w:t>different</w:t>
      </w:r>
      <w:r>
        <w:rPr>
          <w:rFonts w:ascii="Avenir Next" w:hAnsi="Avenir Next" w:cs="Arial"/>
          <w:color w:val="7B7B7B" w:themeColor="accent3" w:themeShade="BF"/>
          <w:sz w:val="22"/>
          <w:szCs w:val="22"/>
          <w:lang w:val="en-GB"/>
        </w:rPr>
        <w:t xml:space="preserve"> jurisdiction</w:t>
      </w:r>
      <w:r w:rsidR="00642263">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w:t>
      </w:r>
      <w:r w:rsidR="002E043E">
        <w:rPr>
          <w:rFonts w:ascii="Avenir Next" w:hAnsi="Avenir Next" w:cs="Arial"/>
          <w:color w:val="7B7B7B" w:themeColor="accent3" w:themeShade="BF"/>
          <w:sz w:val="22"/>
          <w:szCs w:val="22"/>
          <w:lang w:val="en-GB"/>
        </w:rPr>
        <w:t xml:space="preserve"> The assets of the entity would be dealt with in their respective States where the </w:t>
      </w:r>
      <w:r w:rsidR="00642263">
        <w:rPr>
          <w:rFonts w:ascii="Avenir Next" w:hAnsi="Avenir Next" w:cs="Arial"/>
          <w:color w:val="7B7B7B" w:themeColor="accent3" w:themeShade="BF"/>
          <w:sz w:val="22"/>
          <w:szCs w:val="22"/>
          <w:lang w:val="en-GB"/>
        </w:rPr>
        <w:t xml:space="preserve">proceedings have been opened, and the creditors would be limited as to which jurisdiction they are able to claim against the debtor in. This can cause </w:t>
      </w:r>
      <w:r w:rsidR="00642263">
        <w:rPr>
          <w:rFonts w:ascii="Avenir Next" w:hAnsi="Avenir Next" w:cs="Arial"/>
          <w:color w:val="7B7B7B" w:themeColor="accent3" w:themeShade="BF"/>
          <w:sz w:val="22"/>
          <w:szCs w:val="22"/>
          <w:lang w:val="en-GB"/>
        </w:rPr>
        <w:lastRenderedPageBreak/>
        <w:t xml:space="preserve">issues in situations whereby a debtor’s assets </w:t>
      </w:r>
      <w:proofErr w:type="gramStart"/>
      <w:r w:rsidR="00642263">
        <w:rPr>
          <w:rFonts w:ascii="Avenir Next" w:hAnsi="Avenir Next" w:cs="Arial"/>
          <w:color w:val="7B7B7B" w:themeColor="accent3" w:themeShade="BF"/>
          <w:sz w:val="22"/>
          <w:szCs w:val="22"/>
          <w:lang w:val="en-GB"/>
        </w:rPr>
        <w:t>are located in</w:t>
      </w:r>
      <w:proofErr w:type="gramEnd"/>
      <w:r w:rsidR="00642263">
        <w:rPr>
          <w:rFonts w:ascii="Avenir Next" w:hAnsi="Avenir Next" w:cs="Arial"/>
          <w:color w:val="7B7B7B" w:themeColor="accent3" w:themeShade="BF"/>
          <w:sz w:val="22"/>
          <w:szCs w:val="22"/>
          <w:lang w:val="en-GB"/>
        </w:rPr>
        <w:t xml:space="preserve"> a jurisdiction where proceedings have not commenced.</w:t>
      </w:r>
    </w:p>
    <w:p w14:paraId="3CFAE81A" w14:textId="77777777" w:rsidR="00605A9F" w:rsidRDefault="00605A9F" w:rsidP="00605A9F">
      <w:pPr>
        <w:ind w:left="720" w:hanging="720"/>
        <w:jc w:val="both"/>
        <w:rPr>
          <w:rFonts w:ascii="Avenir Next" w:hAnsi="Avenir Next" w:cs="Arial"/>
          <w:color w:val="7B7B7B" w:themeColor="accent3" w:themeShade="BF"/>
          <w:sz w:val="22"/>
          <w:szCs w:val="22"/>
          <w:lang w:val="en-GB"/>
        </w:rPr>
      </w:pPr>
    </w:p>
    <w:p w14:paraId="00A70291" w14:textId="5CAEE4D2" w:rsidR="00605A9F" w:rsidRDefault="00605A9F" w:rsidP="00605A9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other hand, universalism takes the opposite approach, that the debtor’s estate is administered through the cooperation among all countries affected</w:t>
      </w:r>
      <w:r>
        <w:rPr>
          <w:rStyle w:val="FootnoteReference"/>
          <w:rFonts w:ascii="Avenir Next" w:hAnsi="Avenir Next" w:cs="Arial"/>
          <w:color w:val="7B7B7B" w:themeColor="accent3" w:themeShade="BF"/>
          <w:sz w:val="22"/>
          <w:szCs w:val="22"/>
          <w:lang w:val="en-GB"/>
        </w:rPr>
        <w:footnoteReference w:id="5"/>
      </w:r>
      <w:r>
        <w:rPr>
          <w:rFonts w:ascii="Avenir Next" w:hAnsi="Avenir Next" w:cs="Arial"/>
          <w:color w:val="7B7B7B" w:themeColor="accent3" w:themeShade="BF"/>
          <w:sz w:val="22"/>
          <w:szCs w:val="22"/>
          <w:lang w:val="en-GB"/>
        </w:rPr>
        <w:t xml:space="preserve">. This means that an entity facing insolvency with operations or assets in multiple jurisdictions can be dealt with under the provisions of one insolvency law. This may be the territory in which the entity has its ‘centre of main interests’. </w:t>
      </w:r>
      <w:r w:rsidR="002E043E">
        <w:rPr>
          <w:rFonts w:ascii="Avenir Next" w:hAnsi="Avenir Next" w:cs="Arial"/>
          <w:color w:val="7B7B7B" w:themeColor="accent3" w:themeShade="BF"/>
          <w:sz w:val="22"/>
          <w:szCs w:val="22"/>
          <w:lang w:val="en-GB"/>
        </w:rPr>
        <w:t>This concept requires that there is just one single insolvency proceeding which has effect across all other jurisdictions, and therefore all other States must recognise this insolvency proceeding</w:t>
      </w:r>
      <w:r w:rsidR="00C623B7">
        <w:rPr>
          <w:rFonts w:ascii="Avenir Next" w:hAnsi="Avenir Next" w:cs="Arial"/>
          <w:color w:val="7B7B7B" w:themeColor="accent3" w:themeShade="BF"/>
          <w:sz w:val="22"/>
          <w:szCs w:val="22"/>
          <w:lang w:val="en-GB"/>
        </w:rPr>
        <w:t>, which in practice would be extremely difficult to impose.</w:t>
      </w:r>
    </w:p>
    <w:p w14:paraId="221A3557" w14:textId="77777777" w:rsidR="00605A9F" w:rsidRDefault="00605A9F" w:rsidP="00605A9F">
      <w:pPr>
        <w:ind w:left="720" w:hanging="720"/>
        <w:jc w:val="both"/>
        <w:rPr>
          <w:rFonts w:ascii="Avenir Next" w:hAnsi="Avenir Next" w:cs="Arial"/>
          <w:color w:val="7B7B7B" w:themeColor="accent3" w:themeShade="BF"/>
          <w:sz w:val="22"/>
          <w:szCs w:val="22"/>
          <w:lang w:val="en-GB"/>
        </w:rPr>
      </w:pPr>
    </w:p>
    <w:p w14:paraId="627D1B14" w14:textId="60EFC1EF" w:rsidR="00605A9F" w:rsidRDefault="00605A9F" w:rsidP="00605A9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absolute universalism is an unrealistic concept, modified universalism as a hybrid approach has been created and is adopted by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States. In this approach, a ‘main proceeding’ is commenced in the entity’s ‘centre of main interests’, at the same time as proceedings in other relevant States, and there is a level of co-operation between the States.</w:t>
      </w:r>
      <w:r w:rsidR="00642263">
        <w:rPr>
          <w:rFonts w:ascii="Avenir Next" w:hAnsi="Avenir Next" w:cs="Arial"/>
          <w:color w:val="7B7B7B" w:themeColor="accent3" w:themeShade="BF"/>
          <w:sz w:val="22"/>
          <w:szCs w:val="22"/>
          <w:lang w:val="en-GB"/>
        </w:rPr>
        <w:t xml:space="preserve"> This is the concept used today by many states as co-operation between courts in different jurisdictions is encouraged.</w:t>
      </w:r>
    </w:p>
    <w:p w14:paraId="42EAE10D" w14:textId="77777777" w:rsidR="00EF6164" w:rsidRDefault="00EF6164" w:rsidP="00642263">
      <w:pPr>
        <w:jc w:val="both"/>
        <w:rPr>
          <w:rFonts w:ascii="Avenir Next" w:hAnsi="Avenir Next" w:cs="Arial"/>
          <w:color w:val="7B7B7B" w:themeColor="accent3" w:themeShade="BF"/>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52FDD229" w14:textId="625A66D6" w:rsidR="005E7966" w:rsidRDefault="007F700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Private international law was initially codified in South America via the Montevideo Treaties of 1889 and 1940.</w:t>
      </w:r>
      <w:r>
        <w:rPr>
          <w:rStyle w:val="FootnoteReference"/>
          <w:rFonts w:ascii="Avenir Next" w:hAnsi="Avenir Next" w:cs="Arial"/>
          <w:color w:val="808080" w:themeColor="background1" w:themeShade="80"/>
          <w:sz w:val="22"/>
          <w:szCs w:val="22"/>
          <w:lang w:val="en-GB"/>
        </w:rPr>
        <w:footnoteReference w:id="6"/>
      </w:r>
      <w:r>
        <w:rPr>
          <w:rFonts w:ascii="Avenir Next" w:hAnsi="Avenir Next" w:cs="Arial"/>
          <w:color w:val="808080" w:themeColor="background1" w:themeShade="80"/>
          <w:sz w:val="22"/>
          <w:szCs w:val="22"/>
          <w:lang w:val="en-GB"/>
        </w:rPr>
        <w:t xml:space="preserve"> These treaties included sections on bankruptcy or insolvency law which assisted the ratifying states in managing insolvency issues.</w:t>
      </w:r>
    </w:p>
    <w:p w14:paraId="4128105C" w14:textId="3908737D" w:rsidR="007F700B" w:rsidRDefault="007F700B" w:rsidP="00DA42DA">
      <w:pPr>
        <w:jc w:val="both"/>
        <w:rPr>
          <w:rFonts w:ascii="Avenir Next" w:hAnsi="Avenir Next" w:cs="Arial"/>
          <w:color w:val="808080" w:themeColor="background1" w:themeShade="80"/>
          <w:sz w:val="22"/>
          <w:szCs w:val="22"/>
          <w:lang w:val="en-GB"/>
        </w:rPr>
      </w:pPr>
    </w:p>
    <w:p w14:paraId="144342A0" w14:textId="0A34C5D8" w:rsidR="007F700B" w:rsidRDefault="007F700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treaty of 1889 was ratified by six </w:t>
      </w:r>
      <w:r w:rsidR="008C6E0F">
        <w:rPr>
          <w:rFonts w:ascii="Avenir Next" w:hAnsi="Avenir Next" w:cs="Arial"/>
          <w:color w:val="808080" w:themeColor="background1" w:themeShade="80"/>
          <w:sz w:val="22"/>
          <w:szCs w:val="22"/>
          <w:lang w:val="en-GB"/>
        </w:rPr>
        <w:t>Latin</w:t>
      </w:r>
      <w:r>
        <w:rPr>
          <w:rFonts w:ascii="Avenir Next" w:hAnsi="Avenir Next" w:cs="Arial"/>
          <w:color w:val="808080" w:themeColor="background1" w:themeShade="80"/>
          <w:sz w:val="22"/>
          <w:szCs w:val="22"/>
          <w:lang w:val="en-GB"/>
        </w:rPr>
        <w:t xml:space="preserve"> American countries and sought to allocate the jurisdiction of the debtor. </w:t>
      </w:r>
      <w:r w:rsidR="008C6E0F">
        <w:rPr>
          <w:rFonts w:ascii="Avenir Next" w:hAnsi="Avenir Next" w:cs="Arial"/>
          <w:color w:val="808080" w:themeColor="background1" w:themeShade="80"/>
          <w:sz w:val="22"/>
          <w:szCs w:val="22"/>
          <w:lang w:val="en-GB"/>
        </w:rPr>
        <w:t>For example, if an entity operates in more than one State, whereby the entity’s business in both states is operated autonomously, then concurrent proceedings may occur. It follows that whereby</w:t>
      </w:r>
      <w:r w:rsidR="00AB76B8">
        <w:rPr>
          <w:rFonts w:ascii="Avenir Next" w:hAnsi="Avenir Next" w:cs="Arial"/>
          <w:color w:val="808080" w:themeColor="background1" w:themeShade="80"/>
          <w:sz w:val="22"/>
          <w:szCs w:val="22"/>
          <w:lang w:val="en-GB"/>
        </w:rPr>
        <w:t xml:space="preserve"> assets are spread across multiple jurisdictions, creditors in the local jurisdiction may request a local adjudication, and in each local jurisdiction, local creditors are first to receive payment.</w:t>
      </w:r>
      <w:r w:rsidR="00AB76B8">
        <w:rPr>
          <w:rStyle w:val="FootnoteReference"/>
          <w:rFonts w:ascii="Avenir Next" w:hAnsi="Avenir Next" w:cs="Arial"/>
          <w:color w:val="808080" w:themeColor="background1" w:themeShade="80"/>
          <w:sz w:val="22"/>
          <w:szCs w:val="22"/>
          <w:lang w:val="en-GB"/>
        </w:rPr>
        <w:footnoteReference w:id="7"/>
      </w:r>
      <w:r w:rsidR="00AB76B8">
        <w:rPr>
          <w:rFonts w:ascii="Avenir Next" w:hAnsi="Avenir Next" w:cs="Arial"/>
          <w:color w:val="808080" w:themeColor="background1" w:themeShade="80"/>
          <w:sz w:val="22"/>
          <w:szCs w:val="22"/>
          <w:lang w:val="en-GB"/>
        </w:rPr>
        <w:t xml:space="preserve"> </w:t>
      </w:r>
    </w:p>
    <w:p w14:paraId="3999E661" w14:textId="77777777" w:rsidR="00AB76B8" w:rsidRDefault="00AB76B8" w:rsidP="00DA42DA">
      <w:pPr>
        <w:jc w:val="both"/>
        <w:rPr>
          <w:rFonts w:ascii="Avenir Next" w:hAnsi="Avenir Next" w:cs="Arial"/>
          <w:color w:val="808080" w:themeColor="background1" w:themeShade="80"/>
          <w:sz w:val="22"/>
          <w:szCs w:val="22"/>
          <w:lang w:val="en-GB"/>
        </w:rPr>
      </w:pPr>
    </w:p>
    <w:p w14:paraId="73AC6839" w14:textId="123C6732" w:rsidR="00AB76B8" w:rsidRDefault="008C6E0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second </w:t>
      </w:r>
      <w:r w:rsidR="00AB76B8">
        <w:rPr>
          <w:rFonts w:ascii="Avenir Next" w:hAnsi="Avenir Next" w:cs="Arial"/>
          <w:color w:val="808080" w:themeColor="background1" w:themeShade="80"/>
          <w:sz w:val="22"/>
          <w:szCs w:val="22"/>
          <w:lang w:val="en-GB"/>
        </w:rPr>
        <w:t xml:space="preserve">Montevideo treaty </w:t>
      </w:r>
      <w:r>
        <w:rPr>
          <w:rFonts w:ascii="Avenir Next" w:hAnsi="Avenir Next" w:cs="Arial"/>
          <w:color w:val="808080" w:themeColor="background1" w:themeShade="80"/>
          <w:sz w:val="22"/>
          <w:szCs w:val="22"/>
          <w:lang w:val="en-GB"/>
        </w:rPr>
        <w:t>was created in</w:t>
      </w:r>
      <w:r w:rsidR="00AB76B8">
        <w:rPr>
          <w:rFonts w:ascii="Avenir Next" w:hAnsi="Avenir Next" w:cs="Arial"/>
          <w:color w:val="808080" w:themeColor="background1" w:themeShade="80"/>
          <w:sz w:val="22"/>
          <w:szCs w:val="22"/>
          <w:lang w:val="en-GB"/>
        </w:rPr>
        <w:t xml:space="preserve"> 1940 </w:t>
      </w:r>
      <w:r>
        <w:rPr>
          <w:rFonts w:ascii="Avenir Next" w:hAnsi="Avenir Next" w:cs="Arial"/>
          <w:color w:val="808080" w:themeColor="background1" w:themeShade="80"/>
          <w:sz w:val="22"/>
          <w:szCs w:val="22"/>
          <w:lang w:val="en-GB"/>
        </w:rPr>
        <w:t xml:space="preserve">and was ratified by three Latin American countries, </w:t>
      </w:r>
      <w:r w:rsidR="003E7C27">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it is therefore important to distinguish which countries have ratified these two separate treaties. Th</w:t>
      </w:r>
      <w:r w:rsidR="00C01A16">
        <w:rPr>
          <w:rFonts w:ascii="Avenir Next" w:hAnsi="Avenir Next" w:cs="Arial"/>
          <w:color w:val="808080" w:themeColor="background1" w:themeShade="80"/>
          <w:sz w:val="22"/>
          <w:szCs w:val="22"/>
          <w:lang w:val="en-GB"/>
        </w:rPr>
        <w:t xml:space="preserve">ere are in fact two separate 1940 treaties which involves bankruptcy law: The Treaty of International Civil Procedure and the Treaty on International Commercial Terrestrial Law. </w:t>
      </w:r>
      <w:r w:rsidR="00CC5CA0">
        <w:rPr>
          <w:rFonts w:ascii="Avenir Next" w:hAnsi="Avenir Next" w:cs="Arial"/>
          <w:color w:val="808080" w:themeColor="background1" w:themeShade="80"/>
          <w:sz w:val="22"/>
          <w:szCs w:val="22"/>
          <w:lang w:val="en-GB"/>
        </w:rPr>
        <w:t>A new provision was added to the 1889 treaties whereby the creditors are given a right of priority of payment from the assets situated in the jurisdiction of the place of payment even in situations where only one bankruptcy is declared.</w:t>
      </w:r>
      <w:r w:rsidR="00CC5CA0">
        <w:rPr>
          <w:rStyle w:val="FootnoteReference"/>
          <w:rFonts w:ascii="Avenir Next" w:hAnsi="Avenir Next" w:cs="Arial"/>
          <w:color w:val="808080" w:themeColor="background1" w:themeShade="80"/>
          <w:sz w:val="22"/>
          <w:szCs w:val="22"/>
          <w:lang w:val="en-GB"/>
        </w:rPr>
        <w:footnoteReference w:id="8"/>
      </w:r>
    </w:p>
    <w:p w14:paraId="09851F75" w14:textId="77777777" w:rsidR="00FC78C3" w:rsidRDefault="00FC78C3" w:rsidP="00DA42DA">
      <w:pPr>
        <w:jc w:val="both"/>
        <w:rPr>
          <w:rFonts w:ascii="Avenir Next" w:hAnsi="Avenir Next" w:cs="Arial"/>
          <w:color w:val="808080" w:themeColor="background1" w:themeShade="80"/>
          <w:sz w:val="22"/>
          <w:szCs w:val="22"/>
          <w:lang w:val="en-GB"/>
        </w:rPr>
      </w:pPr>
    </w:p>
    <w:p w14:paraId="56B0F9D3" w14:textId="397A9972" w:rsidR="00FC78C3" w:rsidRDefault="00FC78C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Montevideo treaties were widely criticised for having only a partial solution to international insolvency issues and the rules are thought to work best only in their regional settings rather in the international stage.</w:t>
      </w:r>
      <w:r>
        <w:rPr>
          <w:rStyle w:val="FootnoteReference"/>
          <w:rFonts w:ascii="Avenir Next" w:hAnsi="Avenir Next" w:cs="Arial"/>
          <w:color w:val="808080" w:themeColor="background1" w:themeShade="80"/>
          <w:sz w:val="22"/>
          <w:szCs w:val="22"/>
          <w:lang w:val="en-GB"/>
        </w:rPr>
        <w:footnoteReference w:id="9"/>
      </w:r>
    </w:p>
    <w:p w14:paraId="0072CAD1" w14:textId="77777777" w:rsidR="005E7966" w:rsidRDefault="005E7966" w:rsidP="00DA42DA">
      <w:pPr>
        <w:jc w:val="both"/>
        <w:rPr>
          <w:rFonts w:ascii="Avenir Next" w:hAnsi="Avenir Next" w:cs="Arial"/>
          <w:color w:val="808080" w:themeColor="background1" w:themeShade="80"/>
          <w:sz w:val="22"/>
          <w:szCs w:val="22"/>
          <w:lang w:val="en-GB"/>
        </w:rPr>
      </w:pPr>
    </w:p>
    <w:p w14:paraId="074AF229" w14:textId="0A0EF666" w:rsidR="0069794B" w:rsidRPr="00642263" w:rsidRDefault="00FC78C3"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E7966">
        <w:rPr>
          <w:rFonts w:ascii="Avenir Next" w:hAnsi="Avenir Next" w:cs="Arial"/>
          <w:color w:val="808080" w:themeColor="background1" w:themeShade="80"/>
          <w:sz w:val="22"/>
          <w:szCs w:val="22"/>
          <w:lang w:val="en-GB"/>
        </w:rPr>
        <w:t xml:space="preserve">Havana Convention of Private International Law </w:t>
      </w:r>
      <w:r>
        <w:rPr>
          <w:rFonts w:ascii="Avenir Next" w:hAnsi="Avenir Next" w:cs="Arial"/>
          <w:color w:val="808080" w:themeColor="background1" w:themeShade="80"/>
          <w:sz w:val="22"/>
          <w:szCs w:val="22"/>
          <w:lang w:val="en-GB"/>
        </w:rPr>
        <w:t xml:space="preserve">was introduced in </w:t>
      </w:r>
      <w:r w:rsidR="005E7966">
        <w:rPr>
          <w:rFonts w:ascii="Avenir Next" w:hAnsi="Avenir Next" w:cs="Arial"/>
          <w:color w:val="808080" w:themeColor="background1" w:themeShade="80"/>
          <w:sz w:val="22"/>
          <w:szCs w:val="22"/>
          <w:lang w:val="en-GB"/>
        </w:rPr>
        <w:t>1928</w:t>
      </w:r>
      <w:r>
        <w:rPr>
          <w:rFonts w:ascii="Avenir Next" w:hAnsi="Avenir Next" w:cs="Arial"/>
          <w:color w:val="808080" w:themeColor="background1" w:themeShade="80"/>
          <w:sz w:val="22"/>
          <w:szCs w:val="22"/>
          <w:lang w:val="en-GB"/>
        </w:rPr>
        <w:t xml:space="preserve"> and was adopted by 15 South and Central American countries. It seeks to provide more </w:t>
      </w:r>
      <w:r w:rsidR="0069794B">
        <w:rPr>
          <w:rFonts w:ascii="Avenir Next" w:hAnsi="Avenir Next" w:cs="Arial"/>
          <w:color w:val="808080" w:themeColor="background1" w:themeShade="80"/>
          <w:sz w:val="22"/>
          <w:szCs w:val="22"/>
          <w:lang w:val="en-GB"/>
        </w:rPr>
        <w:t>of a singular approach to insolvency proceedings, whereby if the debtor is only domiciled in one country, then there can be only one preventative proceeding brought against them. Separate rules apply to entities which have autonomous establishments in multiple jurisdictions and in such cases, concurrent proceedings may exist. The Havannah Convention however does not provide any guidance for the co-operation of concurrent proceedings between jurisdictions</w:t>
      </w:r>
      <w:r w:rsidR="003E7C27">
        <w:rPr>
          <w:rFonts w:ascii="Avenir Next" w:hAnsi="Avenir Next" w:cs="Arial"/>
          <w:color w:val="808080" w:themeColor="background1" w:themeShade="80"/>
          <w:sz w:val="22"/>
          <w:szCs w:val="22"/>
          <w:lang w:val="en-GB"/>
        </w:rPr>
        <w:t xml:space="preserve"> unlike the two Montevideo Treaties</w:t>
      </w:r>
      <w:r w:rsidR="0069794B">
        <w:rPr>
          <w:rFonts w:ascii="Avenir Next" w:hAnsi="Avenir Next" w:cs="Arial"/>
          <w:color w:val="808080" w:themeColor="background1" w:themeShade="80"/>
          <w:sz w:val="22"/>
          <w:szCs w:val="22"/>
          <w:lang w:val="en-GB"/>
        </w:rPr>
        <w:t>.</w:t>
      </w:r>
      <w:r w:rsidR="0069794B">
        <w:rPr>
          <w:rStyle w:val="FootnoteReference"/>
          <w:rFonts w:ascii="Avenir Next" w:hAnsi="Avenir Next" w:cs="Arial"/>
          <w:color w:val="808080" w:themeColor="background1" w:themeShade="80"/>
          <w:sz w:val="22"/>
          <w:szCs w:val="22"/>
          <w:lang w:val="en-GB"/>
        </w:rPr>
        <w:footnoteReference w:id="10"/>
      </w:r>
      <w:r w:rsidR="0069794B">
        <w:rPr>
          <w:rFonts w:ascii="Avenir Next" w:hAnsi="Avenir Next" w:cs="Arial"/>
          <w:color w:val="808080" w:themeColor="background1" w:themeShade="80"/>
          <w:sz w:val="22"/>
          <w:szCs w:val="22"/>
          <w:lang w:val="en-GB"/>
        </w:rPr>
        <w:t xml:space="preserve"> </w:t>
      </w:r>
    </w:p>
    <w:p w14:paraId="5C87E586" w14:textId="77777777" w:rsidR="0069794B" w:rsidRDefault="0069794B" w:rsidP="00384F24">
      <w:pPr>
        <w:jc w:val="both"/>
      </w:pPr>
    </w:p>
    <w:p w14:paraId="305435CC" w14:textId="77777777" w:rsidR="0069794B" w:rsidRPr="004216EA" w:rsidRDefault="0069794B"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581331A" w14:textId="3C04A480" w:rsidR="00AB337A" w:rsidRDefault="00AB337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using the terms ‘insolvency’ and ‘bankruptcy’, it is important firstly to determine which insolvency regime these terms are being used in reference to as the definitions will differ between States.</w:t>
      </w:r>
    </w:p>
    <w:p w14:paraId="019EADAA" w14:textId="77777777" w:rsidR="00AB337A" w:rsidRDefault="00AB337A" w:rsidP="00692852">
      <w:pPr>
        <w:jc w:val="both"/>
        <w:rPr>
          <w:rFonts w:ascii="Avenir Next" w:hAnsi="Avenir Next" w:cs="Arial"/>
          <w:color w:val="808080" w:themeColor="background1" w:themeShade="80"/>
          <w:sz w:val="22"/>
          <w:szCs w:val="22"/>
          <w:lang w:val="en-GB"/>
        </w:rPr>
      </w:pPr>
    </w:p>
    <w:p w14:paraId="12AD7B5D" w14:textId="33D166D4" w:rsidR="00306A21" w:rsidRDefault="00306A2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term ‘insolvency’ can broadly be described as</w:t>
      </w:r>
      <w:r w:rsidR="00AB337A">
        <w:rPr>
          <w:rFonts w:ascii="Avenir Next" w:hAnsi="Avenir Next" w:cs="Arial"/>
          <w:color w:val="808080" w:themeColor="background1" w:themeShade="80"/>
          <w:sz w:val="22"/>
          <w:szCs w:val="22"/>
          <w:lang w:val="en-GB"/>
        </w:rPr>
        <w:t xml:space="preserve"> a situation</w:t>
      </w:r>
      <w:r>
        <w:rPr>
          <w:rFonts w:ascii="Avenir Next" w:hAnsi="Avenir Next" w:cs="Arial"/>
          <w:color w:val="808080" w:themeColor="background1" w:themeShade="80"/>
          <w:sz w:val="22"/>
          <w:szCs w:val="22"/>
          <w:lang w:val="en-GB"/>
        </w:rPr>
        <w:t xml:space="preserve"> where a debtor either cannot pay </w:t>
      </w:r>
      <w:r w:rsidR="009E6E30">
        <w:rPr>
          <w:rFonts w:ascii="Avenir Next" w:hAnsi="Avenir Next" w:cs="Arial"/>
          <w:color w:val="808080" w:themeColor="background1" w:themeShade="80"/>
          <w:sz w:val="22"/>
          <w:szCs w:val="22"/>
          <w:lang w:val="en-GB"/>
        </w:rPr>
        <w:t>its</w:t>
      </w:r>
      <w:r>
        <w:rPr>
          <w:rFonts w:ascii="Avenir Next" w:hAnsi="Avenir Next" w:cs="Arial"/>
          <w:color w:val="808080" w:themeColor="background1" w:themeShade="80"/>
          <w:sz w:val="22"/>
          <w:szCs w:val="22"/>
          <w:lang w:val="en-GB"/>
        </w:rPr>
        <w:t xml:space="preserve"> debts as and when they fall due (cash flow insolvency), or whereby its liabilities exceed its assets (balance sheet insolvency). </w:t>
      </w:r>
      <w:r w:rsidR="002C41AE">
        <w:rPr>
          <w:rFonts w:ascii="Avenir Next" w:hAnsi="Avenir Next" w:cs="Arial"/>
          <w:color w:val="808080" w:themeColor="background1" w:themeShade="80"/>
          <w:sz w:val="22"/>
          <w:szCs w:val="22"/>
          <w:lang w:val="en-GB"/>
        </w:rPr>
        <w:t>It is in essence, a state of economic distress</w:t>
      </w:r>
      <w:r w:rsidR="00AB337A">
        <w:rPr>
          <w:rFonts w:ascii="Avenir Next" w:hAnsi="Avenir Next" w:cs="Arial"/>
          <w:color w:val="808080" w:themeColor="background1" w:themeShade="80"/>
          <w:sz w:val="22"/>
          <w:szCs w:val="22"/>
          <w:lang w:val="en-GB"/>
        </w:rPr>
        <w:t>,</w:t>
      </w:r>
      <w:r w:rsidR="002C41AE">
        <w:rPr>
          <w:rFonts w:ascii="Avenir Next" w:hAnsi="Avenir Next" w:cs="Arial"/>
          <w:color w:val="808080" w:themeColor="background1" w:themeShade="80"/>
          <w:sz w:val="22"/>
          <w:szCs w:val="22"/>
          <w:lang w:val="en-GB"/>
        </w:rPr>
        <w:t xml:space="preserve"> and</w:t>
      </w:r>
      <w:r w:rsidR="00AB337A">
        <w:rPr>
          <w:rFonts w:ascii="Avenir Next" w:hAnsi="Avenir Next" w:cs="Arial"/>
          <w:color w:val="808080" w:themeColor="background1" w:themeShade="80"/>
          <w:sz w:val="22"/>
          <w:szCs w:val="22"/>
          <w:lang w:val="en-GB"/>
        </w:rPr>
        <w:t xml:space="preserve"> in many States, it</w:t>
      </w:r>
      <w:r w:rsidR="002C41AE">
        <w:rPr>
          <w:rFonts w:ascii="Avenir Next" w:hAnsi="Avenir Next" w:cs="Arial"/>
          <w:color w:val="808080" w:themeColor="background1" w:themeShade="80"/>
          <w:sz w:val="22"/>
          <w:szCs w:val="22"/>
          <w:lang w:val="en-GB"/>
        </w:rPr>
        <w:t xml:space="preserve"> doesn’t necessarily denote a company or individual that has entered a formal insolvency process. Many companies may enter a period of insolvency and then recover through restructuring or additional capital investment without the need to enter a</w:t>
      </w:r>
      <w:r w:rsidR="00AB337A">
        <w:rPr>
          <w:rFonts w:ascii="Avenir Next" w:hAnsi="Avenir Next" w:cs="Arial"/>
          <w:color w:val="808080" w:themeColor="background1" w:themeShade="80"/>
          <w:sz w:val="22"/>
          <w:szCs w:val="22"/>
          <w:lang w:val="en-GB"/>
        </w:rPr>
        <w:t xml:space="preserve"> formal</w:t>
      </w:r>
      <w:r w:rsidR="002C41AE">
        <w:rPr>
          <w:rFonts w:ascii="Avenir Next" w:hAnsi="Avenir Next" w:cs="Arial"/>
          <w:color w:val="808080" w:themeColor="background1" w:themeShade="80"/>
          <w:sz w:val="22"/>
          <w:szCs w:val="22"/>
          <w:lang w:val="en-GB"/>
        </w:rPr>
        <w:t xml:space="preserve"> insolvency process. </w:t>
      </w:r>
      <w:r w:rsidR="00AB337A">
        <w:rPr>
          <w:rFonts w:ascii="Avenir Next" w:hAnsi="Avenir Next" w:cs="Arial"/>
          <w:color w:val="808080" w:themeColor="background1" w:themeShade="80"/>
          <w:sz w:val="22"/>
          <w:szCs w:val="22"/>
          <w:lang w:val="en-GB"/>
        </w:rPr>
        <w:t xml:space="preserve">However, in certain States such as Australia, it is used only in reference to the insolvency of a corporation rather than an individual.  </w:t>
      </w:r>
    </w:p>
    <w:p w14:paraId="273C9631" w14:textId="77777777" w:rsidR="00306A21" w:rsidRDefault="00306A21" w:rsidP="00692852">
      <w:pPr>
        <w:jc w:val="both"/>
        <w:rPr>
          <w:rFonts w:ascii="Avenir Next" w:hAnsi="Avenir Next" w:cs="Arial"/>
          <w:color w:val="808080" w:themeColor="background1" w:themeShade="80"/>
          <w:sz w:val="22"/>
          <w:szCs w:val="22"/>
          <w:lang w:val="en-GB"/>
        </w:rPr>
      </w:pPr>
    </w:p>
    <w:p w14:paraId="63F4398B" w14:textId="29D9F407" w:rsidR="00306A21" w:rsidRDefault="009E6E3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word bankruptcy originates from the </w:t>
      </w:r>
      <w:r>
        <w:rPr>
          <w:rFonts w:ascii="Avenir Next" w:hAnsi="Avenir Next" w:cs="Arial"/>
          <w:iCs/>
          <w:color w:val="808080" w:themeColor="background1" w:themeShade="80"/>
          <w:sz w:val="22"/>
          <w:szCs w:val="22"/>
          <w:lang w:val="en-GB"/>
        </w:rPr>
        <w:t xml:space="preserve">Italian term ‘banca </w:t>
      </w:r>
      <w:proofErr w:type="spellStart"/>
      <w:r>
        <w:rPr>
          <w:rFonts w:ascii="Avenir Next" w:hAnsi="Avenir Next" w:cs="Arial"/>
          <w:iCs/>
          <w:color w:val="808080" w:themeColor="background1" w:themeShade="80"/>
          <w:sz w:val="22"/>
          <w:szCs w:val="22"/>
          <w:lang w:val="en-GB"/>
        </w:rPr>
        <w:t>rotta</w:t>
      </w:r>
      <w:proofErr w:type="spellEnd"/>
      <w:r>
        <w:rPr>
          <w:rFonts w:ascii="Avenir Next" w:hAnsi="Avenir Next" w:cs="Arial"/>
          <w:iCs/>
          <w:color w:val="808080" w:themeColor="background1" w:themeShade="80"/>
          <w:sz w:val="22"/>
          <w:szCs w:val="22"/>
          <w:lang w:val="en-GB"/>
        </w:rPr>
        <w:t>’, which means to ‘break the bench’, whereby in the medieval times the bench of an insolvent debtor would be broken in the marketplace by the creditors</w:t>
      </w:r>
      <w:r>
        <w:rPr>
          <w:rStyle w:val="FootnoteReference"/>
          <w:rFonts w:ascii="Avenir Next" w:hAnsi="Avenir Next" w:cs="Arial"/>
          <w:iCs/>
          <w:color w:val="808080" w:themeColor="background1" w:themeShade="80"/>
          <w:sz w:val="22"/>
          <w:szCs w:val="22"/>
          <w:lang w:val="en-GB"/>
        </w:rPr>
        <w:footnoteReference w:id="11"/>
      </w:r>
      <w:r>
        <w:rPr>
          <w:rFonts w:ascii="Avenir Next" w:hAnsi="Avenir Next" w:cs="Arial"/>
          <w:iCs/>
          <w:color w:val="808080" w:themeColor="background1" w:themeShade="80"/>
          <w:sz w:val="22"/>
          <w:szCs w:val="22"/>
          <w:lang w:val="en-GB"/>
        </w:rPr>
        <w:t xml:space="preserve">. </w:t>
      </w:r>
      <w:r w:rsidR="00306A21">
        <w:rPr>
          <w:rFonts w:ascii="Avenir Next" w:hAnsi="Avenir Next" w:cs="Arial"/>
          <w:color w:val="808080" w:themeColor="background1" w:themeShade="80"/>
          <w:sz w:val="22"/>
          <w:szCs w:val="22"/>
          <w:lang w:val="en-GB"/>
        </w:rPr>
        <w:t xml:space="preserve">It </w:t>
      </w:r>
      <w:r>
        <w:rPr>
          <w:rFonts w:ascii="Avenir Next" w:hAnsi="Avenir Next" w:cs="Arial"/>
          <w:color w:val="808080" w:themeColor="background1" w:themeShade="80"/>
          <w:sz w:val="22"/>
          <w:szCs w:val="22"/>
          <w:lang w:val="en-GB"/>
        </w:rPr>
        <w:t>is</w:t>
      </w:r>
      <w:r w:rsidR="00306A21">
        <w:rPr>
          <w:rFonts w:ascii="Avenir Next" w:hAnsi="Avenir Next" w:cs="Arial"/>
          <w:color w:val="808080" w:themeColor="background1" w:themeShade="80"/>
          <w:sz w:val="22"/>
          <w:szCs w:val="22"/>
          <w:lang w:val="en-GB"/>
        </w:rPr>
        <w:t xml:space="preserve"> generally used to denote insolvency of a </w:t>
      </w:r>
      <w:proofErr w:type="gramStart"/>
      <w:r w:rsidR="00306A21">
        <w:rPr>
          <w:rFonts w:ascii="Avenir Next" w:hAnsi="Avenir Next" w:cs="Arial"/>
          <w:color w:val="808080" w:themeColor="background1" w:themeShade="80"/>
          <w:sz w:val="22"/>
          <w:szCs w:val="22"/>
          <w:lang w:val="en-GB"/>
        </w:rPr>
        <w:t>debtor,</w:t>
      </w:r>
      <w:proofErr w:type="gramEnd"/>
      <w:r w:rsidR="00306A21">
        <w:rPr>
          <w:rFonts w:ascii="Avenir Next" w:hAnsi="Avenir Next" w:cs="Arial"/>
          <w:color w:val="808080" w:themeColor="background1" w:themeShade="80"/>
          <w:sz w:val="22"/>
          <w:szCs w:val="22"/>
          <w:lang w:val="en-GB"/>
        </w:rPr>
        <w:t xml:space="preserve"> however it is more commonly used in the sense of a formal state of being in bankruptcy</w:t>
      </w:r>
      <w:r w:rsidR="002C41AE">
        <w:rPr>
          <w:rFonts w:ascii="Avenir Next" w:hAnsi="Avenir Next" w:cs="Arial"/>
          <w:color w:val="808080" w:themeColor="background1" w:themeShade="80"/>
          <w:sz w:val="22"/>
          <w:szCs w:val="22"/>
          <w:lang w:val="en-GB"/>
        </w:rPr>
        <w:t>, i.e. the insolvent company or individual has entered into a formal insolvency process</w:t>
      </w:r>
      <w:r w:rsidR="00306A21">
        <w:rPr>
          <w:rFonts w:ascii="Avenir Next" w:hAnsi="Avenir Next" w:cs="Arial"/>
          <w:color w:val="808080" w:themeColor="background1" w:themeShade="80"/>
          <w:sz w:val="22"/>
          <w:szCs w:val="22"/>
          <w:lang w:val="en-GB"/>
        </w:rPr>
        <w:t xml:space="preserve">. In the US, the term is used to describe both personal and corporate formal insolvency proceedings, whereas in the UK, it is only individuals who </w:t>
      </w:r>
      <w:proofErr w:type="gramStart"/>
      <w:r w:rsidR="00306A21">
        <w:rPr>
          <w:rFonts w:ascii="Avenir Next" w:hAnsi="Avenir Next" w:cs="Arial"/>
          <w:color w:val="808080" w:themeColor="background1" w:themeShade="80"/>
          <w:sz w:val="22"/>
          <w:szCs w:val="22"/>
          <w:lang w:val="en-GB"/>
        </w:rPr>
        <w:t>are able to</w:t>
      </w:r>
      <w:proofErr w:type="gramEnd"/>
      <w:r w:rsidR="00306A21">
        <w:rPr>
          <w:rFonts w:ascii="Avenir Next" w:hAnsi="Avenir Next" w:cs="Arial"/>
          <w:color w:val="808080" w:themeColor="background1" w:themeShade="80"/>
          <w:sz w:val="22"/>
          <w:szCs w:val="22"/>
          <w:lang w:val="en-GB"/>
        </w:rPr>
        <w:t xml:space="preserve"> be declared bankrupt. </w:t>
      </w:r>
    </w:p>
    <w:p w14:paraId="79C7F3A9" w14:textId="77777777" w:rsidR="00CA7EC5" w:rsidRDefault="00CA7EC5" w:rsidP="00692852">
      <w:pPr>
        <w:jc w:val="both"/>
        <w:rPr>
          <w:rFonts w:ascii="Avenir Next" w:hAnsi="Avenir Next" w:cs="Arial"/>
          <w:color w:val="808080" w:themeColor="background1" w:themeShade="80"/>
          <w:sz w:val="22"/>
          <w:szCs w:val="22"/>
          <w:lang w:val="en-GB"/>
        </w:rPr>
      </w:pPr>
    </w:p>
    <w:p w14:paraId="318D33EB" w14:textId="5475010C" w:rsidR="00CA7EC5" w:rsidRDefault="00CA7EC5"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Wood</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 xml:space="preserve"> </w:t>
      </w:r>
      <w:r w:rsidR="00CB1507">
        <w:rPr>
          <w:rFonts w:ascii="Avenir Next" w:hAnsi="Avenir Next" w:cs="Arial"/>
          <w:color w:val="808080" w:themeColor="background1" w:themeShade="80"/>
          <w:sz w:val="22"/>
          <w:szCs w:val="22"/>
          <w:lang w:val="en-GB"/>
        </w:rPr>
        <w:t xml:space="preserve">provides three universal characteristics of insolvency or bankruptcy law: </w:t>
      </w:r>
    </w:p>
    <w:p w14:paraId="7819B020" w14:textId="469CF01B" w:rsidR="00CB1507" w:rsidRDefault="00CB1507" w:rsidP="00CB150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staying of proceedings brought against the bankrupt by </w:t>
      </w:r>
      <w:proofErr w:type="gramStart"/>
      <w:r>
        <w:rPr>
          <w:rFonts w:ascii="Avenir Next" w:hAnsi="Avenir Next" w:cs="Arial"/>
          <w:color w:val="808080" w:themeColor="background1" w:themeShade="80"/>
          <w:sz w:val="22"/>
          <w:szCs w:val="22"/>
          <w:lang w:val="en-GB"/>
        </w:rPr>
        <w:t>creditors;</w:t>
      </w:r>
      <w:proofErr w:type="gramEnd"/>
    </w:p>
    <w:p w14:paraId="79622E73" w14:textId="7D76C440" w:rsidR="00CB1507" w:rsidRDefault="00CB1507" w:rsidP="00CB150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pooling of assets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repay creditors; and</w:t>
      </w:r>
    </w:p>
    <w:p w14:paraId="612784DB" w14:textId="34645316" w:rsidR="00CB1507" w:rsidRDefault="00CB1507" w:rsidP="00CB150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proportionate payment of creditors from the pooled assets based on claim amount,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the creditors are paid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w:t>
      </w:r>
    </w:p>
    <w:p w14:paraId="7567F80E" w14:textId="77777777" w:rsidR="00B46019" w:rsidRDefault="00B46019" w:rsidP="00B46019">
      <w:pPr>
        <w:pStyle w:val="ListParagraph"/>
        <w:jc w:val="both"/>
        <w:rPr>
          <w:rFonts w:ascii="Avenir Next" w:hAnsi="Avenir Next" w:cs="Arial"/>
          <w:color w:val="808080" w:themeColor="background1" w:themeShade="80"/>
          <w:sz w:val="22"/>
          <w:szCs w:val="22"/>
          <w:lang w:val="en-GB"/>
        </w:rPr>
      </w:pPr>
    </w:p>
    <w:p w14:paraId="0DCC3E47" w14:textId="1DCFC37A" w:rsidR="00CB1507" w:rsidRDefault="00CB1507" w:rsidP="00CB15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Wood goes on to criticise these features, as modern insolvency laws have involved the addition of exceptions to 2 and 3, for example creditors may have security over specific assets and therefore these assets wouldn’t be pooled or paid proportionately to creditors. Wood therefore argues that the only truly universal feature of bankruptcy law is 1. </w:t>
      </w:r>
    </w:p>
    <w:p w14:paraId="5AFB9D48" w14:textId="77777777" w:rsidR="00CB1507" w:rsidRDefault="00CB1507" w:rsidP="00CB1507">
      <w:pPr>
        <w:jc w:val="both"/>
        <w:rPr>
          <w:rFonts w:ascii="Avenir Next" w:hAnsi="Avenir Next" w:cs="Arial"/>
          <w:color w:val="808080" w:themeColor="background1" w:themeShade="80"/>
          <w:sz w:val="22"/>
          <w:szCs w:val="22"/>
          <w:lang w:val="en-GB"/>
        </w:rPr>
      </w:pPr>
    </w:p>
    <w:p w14:paraId="39A71426" w14:textId="32D6353A" w:rsidR="004819FD" w:rsidRDefault="004819FD" w:rsidP="00CB15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comparing corporate vs personal insolvency (or bankruptcy), there are differing objectives as distinguished by Sealy and Hooley</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In personal insolvency, the objectives include enabling the bankrupt to start anew whilst providing protection for the bankruptcy from its </w:t>
      </w:r>
      <w:r w:rsidR="003E7C27">
        <w:rPr>
          <w:rFonts w:ascii="Avenir Next" w:hAnsi="Avenir Next" w:cs="Arial"/>
          <w:color w:val="808080" w:themeColor="background1" w:themeShade="80"/>
          <w:sz w:val="22"/>
          <w:szCs w:val="22"/>
          <w:lang w:val="en-GB"/>
        </w:rPr>
        <w:t>creditors and</w:t>
      </w:r>
      <w:r>
        <w:rPr>
          <w:rFonts w:ascii="Avenir Next" w:hAnsi="Avenir Next" w:cs="Arial"/>
          <w:color w:val="808080" w:themeColor="background1" w:themeShade="80"/>
          <w:sz w:val="22"/>
          <w:szCs w:val="22"/>
          <w:lang w:val="en-GB"/>
        </w:rPr>
        <w:t xml:space="preserve"> allowing the bankrupt to make repayments of debt from their current and future income whilst considering the bankrupts personal circumstances.</w:t>
      </w:r>
      <w:r w:rsidR="00C623B7">
        <w:rPr>
          <w:rFonts w:ascii="Avenir Next" w:hAnsi="Avenir Next" w:cs="Arial"/>
          <w:color w:val="808080" w:themeColor="background1" w:themeShade="80"/>
          <w:sz w:val="22"/>
          <w:szCs w:val="22"/>
          <w:lang w:val="en-GB"/>
        </w:rPr>
        <w:t xml:space="preserve"> For </w:t>
      </w:r>
      <w:r w:rsidR="003E7C27">
        <w:rPr>
          <w:rFonts w:ascii="Avenir Next" w:hAnsi="Avenir Next" w:cs="Arial"/>
          <w:color w:val="808080" w:themeColor="background1" w:themeShade="80"/>
          <w:sz w:val="22"/>
          <w:szCs w:val="22"/>
          <w:lang w:val="en-GB"/>
        </w:rPr>
        <w:t>example,</w:t>
      </w:r>
      <w:r w:rsidR="00C623B7">
        <w:rPr>
          <w:rFonts w:ascii="Avenir Next" w:hAnsi="Avenir Next" w:cs="Arial"/>
          <w:color w:val="808080" w:themeColor="background1" w:themeShade="80"/>
          <w:sz w:val="22"/>
          <w:szCs w:val="22"/>
          <w:lang w:val="en-GB"/>
        </w:rPr>
        <w:t xml:space="preserve"> in some States, in personal bankruptcy, certain assets may be excluded from the proceedings to enable the bankrupt to care for themselves or their dependents.</w:t>
      </w:r>
    </w:p>
    <w:p w14:paraId="3A266DBF" w14:textId="77777777" w:rsidR="004819FD" w:rsidRDefault="004819FD" w:rsidP="00CB1507">
      <w:pPr>
        <w:jc w:val="both"/>
        <w:rPr>
          <w:rFonts w:ascii="Avenir Next" w:hAnsi="Avenir Next" w:cs="Arial"/>
          <w:color w:val="808080" w:themeColor="background1" w:themeShade="80"/>
          <w:sz w:val="22"/>
          <w:szCs w:val="22"/>
          <w:lang w:val="en-GB"/>
        </w:rPr>
      </w:pPr>
    </w:p>
    <w:p w14:paraId="4E80359F" w14:textId="52FDA034" w:rsidR="00CB1507" w:rsidRDefault="004819FD" w:rsidP="00CB150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Personal circumstances are not taken into consideration in corporate insolvency, and the objectives </w:t>
      </w:r>
      <w:r w:rsidR="00C623B7">
        <w:rPr>
          <w:rFonts w:ascii="Avenir Next" w:hAnsi="Avenir Next" w:cs="Arial"/>
          <w:color w:val="808080" w:themeColor="background1" w:themeShade="80"/>
          <w:sz w:val="22"/>
          <w:szCs w:val="22"/>
          <w:lang w:val="en-GB"/>
        </w:rPr>
        <w:t>given by Sealey and Hooley are</w:t>
      </w:r>
      <w:r>
        <w:rPr>
          <w:rFonts w:ascii="Avenir Next" w:hAnsi="Avenir Next" w:cs="Arial"/>
          <w:color w:val="808080" w:themeColor="background1" w:themeShade="80"/>
          <w:sz w:val="22"/>
          <w:szCs w:val="22"/>
          <w:lang w:val="en-GB"/>
        </w:rPr>
        <w:t xml:space="preserve"> instead to protect the value of the company and take any legal action</w:t>
      </w:r>
      <w:r w:rsidR="00C623B7">
        <w:rPr>
          <w:rFonts w:ascii="Avenir Next" w:hAnsi="Avenir Next" w:cs="Arial"/>
          <w:color w:val="808080" w:themeColor="background1" w:themeShade="80"/>
          <w:sz w:val="22"/>
          <w:szCs w:val="22"/>
          <w:lang w:val="en-GB"/>
        </w:rPr>
        <w:t xml:space="preserve"> in situations of abuse of personal liability,</w:t>
      </w:r>
      <w:r>
        <w:rPr>
          <w:rFonts w:ascii="Avenir Next" w:hAnsi="Avenir Next" w:cs="Arial"/>
          <w:color w:val="808080" w:themeColor="background1" w:themeShade="80"/>
          <w:sz w:val="22"/>
          <w:szCs w:val="22"/>
          <w:lang w:val="en-GB"/>
        </w:rPr>
        <w:t xml:space="preserve"> to make recoveries for the liquidation estate</w:t>
      </w:r>
      <w:r w:rsidR="00C623B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4CCE410A" w14:textId="77777777" w:rsidR="001D4A01" w:rsidRDefault="001D4A01" w:rsidP="00692852">
      <w:pPr>
        <w:jc w:val="both"/>
        <w:rPr>
          <w:rFonts w:ascii="Avenir Next" w:hAnsi="Avenir Next" w:cs="Arial"/>
          <w:color w:val="808080" w:themeColor="background1" w:themeShade="80"/>
          <w:sz w:val="22"/>
          <w:szCs w:val="22"/>
          <w:lang w:val="en-GB"/>
        </w:rPr>
      </w:pPr>
    </w:p>
    <w:p w14:paraId="03DE6626" w14:textId="735947FF" w:rsidR="00C623B7" w:rsidRDefault="00C623B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therefore do not agree with the statement that the terms ‘bankruptcy’ and ‘insolvency’ may be used interchangeably, as there are differences in their definitions in different States as well as differing characteristics and objectives as outlined above.</w:t>
      </w:r>
    </w:p>
    <w:p w14:paraId="23B88EC9" w14:textId="77777777" w:rsidR="001D4A01" w:rsidRPr="001F5204" w:rsidRDefault="001D4A01"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81D6B34" w14:textId="1C153A98" w:rsidR="00B46019" w:rsidRDefault="002233C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complete coherence of a cross-border insolvency system would require the existence of a single </w:t>
      </w:r>
      <w:r w:rsidR="00FD5723">
        <w:rPr>
          <w:rFonts w:ascii="Avenir Next" w:hAnsi="Avenir Next" w:cs="Arial"/>
          <w:color w:val="808080" w:themeColor="background1" w:themeShade="80"/>
          <w:sz w:val="22"/>
          <w:szCs w:val="22"/>
          <w:lang w:val="en-GB"/>
        </w:rPr>
        <w:t xml:space="preserve">set of </w:t>
      </w:r>
      <w:r>
        <w:rPr>
          <w:rFonts w:ascii="Avenir Next" w:hAnsi="Avenir Next" w:cs="Arial"/>
          <w:color w:val="808080" w:themeColor="background1" w:themeShade="80"/>
          <w:sz w:val="22"/>
          <w:szCs w:val="22"/>
          <w:lang w:val="en-GB"/>
        </w:rPr>
        <w:t>global insolvency law</w:t>
      </w:r>
      <w:r w:rsidR="00FD572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as well as a global insolvency court to deal with insolvency matters between States, for example through a system of absolute universalism. As previously described, this is an unrealistic concept and global insolvency laws and courts do not exist</w:t>
      </w:r>
      <w:r w:rsidR="00FD5723">
        <w:rPr>
          <w:rFonts w:ascii="Avenir Next" w:hAnsi="Avenir Next" w:cs="Arial"/>
          <w:color w:val="808080" w:themeColor="background1" w:themeShade="80"/>
          <w:sz w:val="22"/>
          <w:szCs w:val="22"/>
          <w:lang w:val="en-GB"/>
        </w:rPr>
        <w:t>. There are certain aspects of</w:t>
      </w:r>
      <w:r w:rsidR="00C85C90">
        <w:rPr>
          <w:rFonts w:ascii="Avenir Next" w:hAnsi="Avenir Next" w:cs="Arial"/>
          <w:color w:val="808080" w:themeColor="background1" w:themeShade="80"/>
          <w:sz w:val="22"/>
          <w:szCs w:val="22"/>
          <w:lang w:val="en-GB"/>
        </w:rPr>
        <w:t xml:space="preserve"> local</w:t>
      </w:r>
      <w:r w:rsidR="00FD5723">
        <w:rPr>
          <w:rFonts w:ascii="Avenir Next" w:hAnsi="Avenir Next" w:cs="Arial"/>
          <w:color w:val="808080" w:themeColor="background1" w:themeShade="80"/>
          <w:sz w:val="22"/>
          <w:szCs w:val="22"/>
          <w:lang w:val="en-GB"/>
        </w:rPr>
        <w:t xml:space="preserve"> insolvency law which are influenced by respective local legal culture, the basic rights of individuals and corporations and differing labour and security rights laws. </w:t>
      </w:r>
    </w:p>
    <w:p w14:paraId="40393837" w14:textId="77777777" w:rsidR="00342126" w:rsidRDefault="00342126" w:rsidP="00692852">
      <w:pPr>
        <w:jc w:val="both"/>
        <w:rPr>
          <w:rFonts w:ascii="Avenir Next" w:hAnsi="Avenir Next" w:cs="Arial"/>
          <w:color w:val="808080" w:themeColor="background1" w:themeShade="80"/>
          <w:sz w:val="22"/>
          <w:szCs w:val="22"/>
          <w:lang w:val="en-GB"/>
        </w:rPr>
      </w:pPr>
    </w:p>
    <w:p w14:paraId="07B82F20" w14:textId="13F8967D" w:rsidR="00342126" w:rsidRDefault="0034212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Omar</w:t>
      </w:r>
      <w:r>
        <w:rPr>
          <w:rStyle w:val="FootnoteReference"/>
          <w:rFonts w:ascii="Avenir Next" w:hAnsi="Avenir Next" w:cs="Arial"/>
          <w:color w:val="808080" w:themeColor="background1" w:themeShade="80"/>
          <w:sz w:val="22"/>
          <w:szCs w:val="22"/>
          <w:lang w:val="en-GB"/>
        </w:rPr>
        <w:footnoteReference w:id="14"/>
      </w:r>
      <w:r w:rsidR="00226678">
        <w:rPr>
          <w:rFonts w:ascii="Avenir Next" w:hAnsi="Avenir Next" w:cs="Arial"/>
          <w:color w:val="808080" w:themeColor="background1" w:themeShade="80"/>
          <w:sz w:val="22"/>
          <w:szCs w:val="22"/>
          <w:lang w:val="en-GB"/>
        </w:rPr>
        <w:t xml:space="preserve"> expands on the above and explains that differing domestic norms impact local creditor priority systems in insolvency cases. For example, in cases whereby a creditor has made a claim against a debtor in multiple states, their claim priority may differ in each State, giving rise to conflicting laws. Other factors impacting the priority of claims between states include differing laws relating to netting, security and set-off, as well as retention of title clauses. </w:t>
      </w:r>
    </w:p>
    <w:p w14:paraId="3B35C83B" w14:textId="77777777" w:rsidR="00C85C90" w:rsidRDefault="00C85C90" w:rsidP="00692852">
      <w:pPr>
        <w:jc w:val="both"/>
        <w:rPr>
          <w:rFonts w:ascii="Avenir Next" w:hAnsi="Avenir Next" w:cs="Arial"/>
          <w:color w:val="808080" w:themeColor="background1" w:themeShade="80"/>
          <w:sz w:val="22"/>
          <w:szCs w:val="22"/>
          <w:lang w:val="en-GB"/>
        </w:rPr>
      </w:pPr>
    </w:p>
    <w:p w14:paraId="0DDDB01D" w14:textId="703EBD64" w:rsidR="00342126" w:rsidRDefault="00C85C9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Friman</w:t>
      </w:r>
      <w:r>
        <w:rPr>
          <w:rStyle w:val="FootnoteReference"/>
          <w:rFonts w:ascii="Avenir Next" w:hAnsi="Avenir Next" w:cs="Arial"/>
          <w:color w:val="808080" w:themeColor="background1" w:themeShade="80"/>
          <w:sz w:val="22"/>
          <w:szCs w:val="22"/>
          <w:lang w:val="en-GB"/>
        </w:rPr>
        <w:footnoteReference w:id="15"/>
      </w:r>
      <w:r w:rsidR="00342126">
        <w:rPr>
          <w:rFonts w:ascii="Avenir Next" w:hAnsi="Avenir Next" w:cs="Arial"/>
          <w:color w:val="808080" w:themeColor="background1" w:themeShade="80"/>
          <w:sz w:val="22"/>
          <w:szCs w:val="22"/>
          <w:lang w:val="en-GB"/>
        </w:rPr>
        <w:t xml:space="preserve"> explains that one of the difficulties of the creation of a global insolvency system is the differing use of language between States. In particular, the term ‘insolvency’ is defined differently in </w:t>
      </w:r>
      <w:r w:rsidR="00342126">
        <w:rPr>
          <w:rFonts w:ascii="Avenir Next" w:hAnsi="Avenir Next" w:cs="Arial"/>
          <w:color w:val="808080" w:themeColor="background1" w:themeShade="80"/>
          <w:sz w:val="22"/>
          <w:szCs w:val="22"/>
          <w:lang w:val="en-GB"/>
        </w:rPr>
        <w:lastRenderedPageBreak/>
        <w:t xml:space="preserve">each insolvency law system and for some States it can mean cash flow insolvency and in others it can mean balance sheet insolvency as discussed in 3.1. </w:t>
      </w:r>
    </w:p>
    <w:p w14:paraId="455A0473" w14:textId="77777777" w:rsidR="00466F37" w:rsidRDefault="00466F37" w:rsidP="00692852">
      <w:pPr>
        <w:jc w:val="both"/>
        <w:rPr>
          <w:rFonts w:ascii="Avenir Next" w:hAnsi="Avenir Next" w:cs="Arial"/>
          <w:color w:val="808080" w:themeColor="background1" w:themeShade="80"/>
          <w:sz w:val="22"/>
          <w:szCs w:val="22"/>
          <w:lang w:val="en-GB"/>
        </w:rPr>
      </w:pPr>
    </w:p>
    <w:p w14:paraId="62BF0064" w14:textId="77777777" w:rsidR="00226678" w:rsidRDefault="0022667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Westbrook</w:t>
      </w:r>
      <w:r>
        <w:rPr>
          <w:rStyle w:val="FootnoteReference"/>
          <w:rFonts w:ascii="Avenir Next" w:hAnsi="Avenir Next" w:cs="Arial"/>
          <w:color w:val="808080" w:themeColor="background1" w:themeShade="80"/>
          <w:sz w:val="22"/>
          <w:szCs w:val="22"/>
          <w:lang w:val="en-GB"/>
        </w:rPr>
        <w:footnoteReference w:id="16"/>
      </w:r>
      <w:r>
        <w:rPr>
          <w:rFonts w:ascii="Avenir Next" w:hAnsi="Avenir Next" w:cs="Arial"/>
          <w:color w:val="808080" w:themeColor="background1" w:themeShade="80"/>
          <w:sz w:val="22"/>
          <w:szCs w:val="22"/>
          <w:lang w:val="en-GB"/>
        </w:rPr>
        <w:t xml:space="preserve"> gives a list of nine key issues, some of which echo the remarks of Omar above. These are:</w:t>
      </w:r>
    </w:p>
    <w:p w14:paraId="7FF95842"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of the foreign representative</w:t>
      </w:r>
    </w:p>
    <w:p w14:paraId="4C1A233D"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Moratorium on creditor actions</w:t>
      </w:r>
    </w:p>
    <w:p w14:paraId="4AFD8388"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3A8FBBFD"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w:t>
      </w:r>
    </w:p>
    <w:p w14:paraId="30E6D1C1" w14:textId="689BF263"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Co-ordinated claims procedures</w:t>
      </w:r>
    </w:p>
    <w:p w14:paraId="11274510"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 and preferences</w:t>
      </w:r>
    </w:p>
    <w:p w14:paraId="5B2D4E73"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provision powers</w:t>
      </w:r>
    </w:p>
    <w:p w14:paraId="4040CB74" w14:textId="77777777" w:rsid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Discharges</w:t>
      </w:r>
    </w:p>
    <w:p w14:paraId="3F272EA5" w14:textId="32F06E0B" w:rsidR="00226678" w:rsidRPr="00226678" w:rsidRDefault="00226678" w:rsidP="00226678">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Conflict-of-law issues.</w:t>
      </w:r>
      <w:r w:rsidRPr="00226678">
        <w:rPr>
          <w:rFonts w:ascii="Avenir Next" w:hAnsi="Avenir Next" w:cs="Arial"/>
          <w:color w:val="808080" w:themeColor="background1" w:themeShade="80"/>
          <w:sz w:val="22"/>
          <w:szCs w:val="22"/>
          <w:lang w:val="en-GB"/>
        </w:rPr>
        <w:t xml:space="preserve"> </w:t>
      </w:r>
    </w:p>
    <w:p w14:paraId="60DDA982" w14:textId="77777777" w:rsidR="00226678" w:rsidRDefault="00226678" w:rsidP="00692852">
      <w:pPr>
        <w:jc w:val="both"/>
        <w:rPr>
          <w:rFonts w:ascii="Avenir Next" w:hAnsi="Avenir Next" w:cs="Arial"/>
          <w:color w:val="808080" w:themeColor="background1" w:themeShade="80"/>
          <w:sz w:val="22"/>
          <w:szCs w:val="22"/>
          <w:lang w:val="en-GB"/>
        </w:rPr>
      </w:pPr>
    </w:p>
    <w:p w14:paraId="4A18197F" w14:textId="7EA79DE2" w:rsidR="00466F37" w:rsidRDefault="007E73E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9 factors are aspects of insolvency systems which tend to differ from State to State, leading to difficulties in cross-border insolvency cases. </w:t>
      </w:r>
      <w:r w:rsidR="00FF490C">
        <w:rPr>
          <w:rFonts w:ascii="Avenir Next" w:hAnsi="Avenir Next" w:cs="Arial"/>
          <w:color w:val="808080" w:themeColor="background1" w:themeShade="80"/>
          <w:sz w:val="22"/>
          <w:szCs w:val="22"/>
          <w:lang w:val="en-GB"/>
        </w:rPr>
        <w:t>It is noted that Westbrook is an advocate for universalism, and so would favour the harmonisation between States of the above nine issues.</w:t>
      </w:r>
    </w:p>
    <w:p w14:paraId="2C9897AA" w14:textId="77777777" w:rsidR="00466F37" w:rsidRPr="004216EA" w:rsidRDefault="00466F37"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404E331" w14:textId="6A77A8BD" w:rsidR="00A46331" w:rsidRDefault="00A46331"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term “hard law” concerns laws written in a form that suggests the existence of a legal obligation. In an </w:t>
      </w:r>
      <w:r w:rsidR="00A875A6">
        <w:rPr>
          <w:rFonts w:ascii="Avenir Next" w:hAnsi="Avenir Next" w:cs="Arial"/>
          <w:color w:val="808080" w:themeColor="background1" w:themeShade="80"/>
          <w:sz w:val="22"/>
          <w:szCs w:val="22"/>
          <w:lang w:val="en-GB"/>
        </w:rPr>
        <w:t xml:space="preserve">international </w:t>
      </w:r>
      <w:r>
        <w:rPr>
          <w:rFonts w:ascii="Avenir Next" w:hAnsi="Avenir Next" w:cs="Arial"/>
          <w:color w:val="808080" w:themeColor="background1" w:themeShade="80"/>
          <w:sz w:val="22"/>
          <w:szCs w:val="22"/>
          <w:lang w:val="en-GB"/>
        </w:rPr>
        <w:t xml:space="preserve">insolvency context, </w:t>
      </w:r>
      <w:r w:rsidR="00A875A6">
        <w:rPr>
          <w:rFonts w:ascii="Avenir Next" w:hAnsi="Avenir Next" w:cs="Arial"/>
          <w:color w:val="808080" w:themeColor="background1" w:themeShade="80"/>
          <w:sz w:val="22"/>
          <w:szCs w:val="22"/>
          <w:lang w:val="en-GB"/>
        </w:rPr>
        <w:t>international treaties</w:t>
      </w:r>
      <w:r w:rsidR="00755B66">
        <w:rPr>
          <w:rFonts w:ascii="Avenir Next" w:hAnsi="Avenir Next" w:cs="Arial"/>
          <w:color w:val="808080" w:themeColor="background1" w:themeShade="80"/>
          <w:sz w:val="22"/>
          <w:szCs w:val="22"/>
          <w:lang w:val="en-GB"/>
        </w:rPr>
        <w:t xml:space="preserve"> or conventions</w:t>
      </w:r>
      <w:r w:rsidR="00A875A6">
        <w:rPr>
          <w:rFonts w:ascii="Avenir Next" w:hAnsi="Avenir Next" w:cs="Arial"/>
          <w:color w:val="808080" w:themeColor="background1" w:themeShade="80"/>
          <w:sz w:val="22"/>
          <w:szCs w:val="22"/>
          <w:lang w:val="en-GB"/>
        </w:rPr>
        <w:t xml:space="preserve"> are considered a primary source of international hard law as well as international</w:t>
      </w:r>
      <w:r w:rsidR="00755B66">
        <w:rPr>
          <w:rFonts w:ascii="Avenir Next" w:hAnsi="Avenir Next" w:cs="Arial"/>
          <w:color w:val="808080" w:themeColor="background1" w:themeShade="80"/>
          <w:sz w:val="22"/>
          <w:szCs w:val="22"/>
          <w:lang w:val="en-GB"/>
        </w:rPr>
        <w:t xml:space="preserve"> or regional</w:t>
      </w:r>
      <w:r w:rsidR="00A875A6">
        <w:rPr>
          <w:rFonts w:ascii="Avenir Next" w:hAnsi="Avenir Next" w:cs="Arial"/>
          <w:color w:val="808080" w:themeColor="background1" w:themeShade="80"/>
          <w:sz w:val="22"/>
          <w:szCs w:val="22"/>
          <w:lang w:val="en-GB"/>
        </w:rPr>
        <w:t xml:space="preserve"> insolvency regulations</w:t>
      </w:r>
      <w:r w:rsidR="00755B66">
        <w:rPr>
          <w:rFonts w:ascii="Avenir Next" w:hAnsi="Avenir Next" w:cs="Arial"/>
          <w:color w:val="808080" w:themeColor="background1" w:themeShade="80"/>
          <w:sz w:val="22"/>
          <w:szCs w:val="22"/>
          <w:lang w:val="en-GB"/>
        </w:rPr>
        <w:t>.</w:t>
      </w:r>
      <w:r w:rsidR="00755B66">
        <w:rPr>
          <w:rStyle w:val="FootnoteReference"/>
          <w:rFonts w:ascii="Avenir Next" w:hAnsi="Avenir Next" w:cs="Arial"/>
          <w:color w:val="808080" w:themeColor="background1" w:themeShade="80"/>
          <w:sz w:val="22"/>
          <w:szCs w:val="22"/>
          <w:lang w:val="en-GB"/>
        </w:rPr>
        <w:footnoteReference w:id="17"/>
      </w:r>
      <w:r w:rsidR="00755B66">
        <w:rPr>
          <w:rFonts w:ascii="Avenir Next" w:hAnsi="Avenir Next" w:cs="Arial"/>
          <w:color w:val="808080" w:themeColor="background1" w:themeShade="80"/>
          <w:sz w:val="22"/>
          <w:szCs w:val="22"/>
          <w:lang w:val="en-GB"/>
        </w:rPr>
        <w:t xml:space="preserve"> </w:t>
      </w:r>
      <w:r w:rsidR="00A875A6">
        <w:rPr>
          <w:rFonts w:ascii="Avenir Next" w:hAnsi="Avenir Next" w:cs="Arial"/>
          <w:color w:val="808080" w:themeColor="background1" w:themeShade="80"/>
          <w:sz w:val="22"/>
          <w:szCs w:val="22"/>
          <w:lang w:val="en-GB"/>
        </w:rPr>
        <w:t xml:space="preserve"> </w:t>
      </w:r>
      <w:r w:rsidR="00725F1D">
        <w:rPr>
          <w:rFonts w:ascii="Avenir Next" w:hAnsi="Avenir Next" w:cs="Arial"/>
          <w:color w:val="808080" w:themeColor="background1" w:themeShade="80"/>
          <w:sz w:val="22"/>
          <w:szCs w:val="22"/>
          <w:lang w:val="en-GB"/>
        </w:rPr>
        <w:t>This type of law is enforceable, giving parties the ability to make applications to court to invoke the laws.</w:t>
      </w:r>
    </w:p>
    <w:p w14:paraId="4B6EF249" w14:textId="77777777" w:rsidR="00755B66" w:rsidRDefault="00755B66" w:rsidP="00692852">
      <w:pPr>
        <w:jc w:val="both"/>
        <w:rPr>
          <w:rFonts w:ascii="Avenir Next" w:hAnsi="Avenir Next" w:cs="Arial"/>
          <w:color w:val="808080" w:themeColor="background1" w:themeShade="80"/>
          <w:sz w:val="22"/>
          <w:szCs w:val="22"/>
          <w:lang w:val="en-GB"/>
        </w:rPr>
      </w:pPr>
    </w:p>
    <w:p w14:paraId="2A4A8D10" w14:textId="0C8D60CF" w:rsidR="00755B66" w:rsidRDefault="00755B6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of an international insolvency hard law is the Nordic Convention </w:t>
      </w:r>
      <w:r w:rsidR="006761BF">
        <w:rPr>
          <w:rFonts w:ascii="Avenir Next" w:hAnsi="Avenir Next" w:cs="Arial"/>
          <w:color w:val="808080" w:themeColor="background1" w:themeShade="80"/>
          <w:sz w:val="22"/>
          <w:szCs w:val="22"/>
          <w:lang w:val="en-GB"/>
        </w:rPr>
        <w:t xml:space="preserve">which was drafted and agreed upon by representatives from Denmark, Finland, Iceland, </w:t>
      </w:r>
      <w:proofErr w:type="gramStart"/>
      <w:r w:rsidR="006761BF">
        <w:rPr>
          <w:rFonts w:ascii="Avenir Next" w:hAnsi="Avenir Next" w:cs="Arial"/>
          <w:color w:val="808080" w:themeColor="background1" w:themeShade="80"/>
          <w:sz w:val="22"/>
          <w:szCs w:val="22"/>
          <w:lang w:val="en-GB"/>
        </w:rPr>
        <w:t>Norway</w:t>
      </w:r>
      <w:proofErr w:type="gramEnd"/>
      <w:r w:rsidR="006761BF">
        <w:rPr>
          <w:rFonts w:ascii="Avenir Next" w:hAnsi="Avenir Next" w:cs="Arial"/>
          <w:color w:val="808080" w:themeColor="background1" w:themeShade="80"/>
          <w:sz w:val="22"/>
          <w:szCs w:val="22"/>
          <w:lang w:val="en-GB"/>
        </w:rPr>
        <w:t xml:space="preserve"> and Sweden in 1933.</w:t>
      </w:r>
      <w:r w:rsidR="006761BF">
        <w:rPr>
          <w:rStyle w:val="FootnoteReference"/>
          <w:rFonts w:ascii="Avenir Next" w:hAnsi="Avenir Next" w:cs="Arial"/>
          <w:color w:val="808080" w:themeColor="background1" w:themeShade="80"/>
          <w:sz w:val="22"/>
          <w:szCs w:val="22"/>
          <w:lang w:val="en-GB"/>
        </w:rPr>
        <w:footnoteReference w:id="18"/>
      </w:r>
      <w:r w:rsidR="006761BF">
        <w:rPr>
          <w:rFonts w:ascii="Avenir Next" w:hAnsi="Avenir Next" w:cs="Arial"/>
          <w:color w:val="808080" w:themeColor="background1" w:themeShade="80"/>
          <w:sz w:val="22"/>
          <w:szCs w:val="22"/>
          <w:lang w:val="en-GB"/>
        </w:rPr>
        <w:t xml:space="preserve"> The success of this type of multilateral treaty is relatively rare, and for a time, the </w:t>
      </w:r>
      <w:r w:rsidR="00725F1D">
        <w:rPr>
          <w:rFonts w:ascii="Avenir Next" w:hAnsi="Avenir Next" w:cs="Arial"/>
          <w:color w:val="808080" w:themeColor="background1" w:themeShade="80"/>
          <w:sz w:val="22"/>
          <w:szCs w:val="22"/>
          <w:lang w:val="en-GB"/>
        </w:rPr>
        <w:t xml:space="preserve">only operational multi-lateral treaties were the </w:t>
      </w:r>
      <w:r w:rsidR="006761BF">
        <w:rPr>
          <w:rFonts w:ascii="Avenir Next" w:hAnsi="Avenir Next" w:cs="Arial"/>
          <w:color w:val="808080" w:themeColor="background1" w:themeShade="80"/>
          <w:sz w:val="22"/>
          <w:szCs w:val="22"/>
          <w:lang w:val="en-GB"/>
        </w:rPr>
        <w:t>Nordic Convention, joined by the aforementioned Montevideo Treaties and Havana Convention of 1928.</w:t>
      </w:r>
      <w:r w:rsidR="00725F1D">
        <w:rPr>
          <w:rStyle w:val="FootnoteReference"/>
          <w:rFonts w:ascii="Avenir Next" w:hAnsi="Avenir Next" w:cs="Arial"/>
          <w:color w:val="808080" w:themeColor="background1" w:themeShade="80"/>
          <w:sz w:val="22"/>
          <w:szCs w:val="22"/>
          <w:lang w:val="en-GB"/>
        </w:rPr>
        <w:footnoteReference w:id="19"/>
      </w:r>
    </w:p>
    <w:p w14:paraId="1F35610F" w14:textId="77777777" w:rsidR="00725F1D" w:rsidRDefault="00725F1D" w:rsidP="00692852">
      <w:pPr>
        <w:jc w:val="both"/>
        <w:rPr>
          <w:rFonts w:ascii="Avenir Next" w:hAnsi="Avenir Next" w:cs="Arial"/>
          <w:color w:val="808080" w:themeColor="background1" w:themeShade="80"/>
          <w:sz w:val="22"/>
          <w:szCs w:val="22"/>
          <w:lang w:val="en-GB"/>
        </w:rPr>
      </w:pPr>
    </w:p>
    <w:p w14:paraId="70D6BFD8" w14:textId="02810987" w:rsidR="00725F1D" w:rsidRDefault="00725F1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more recent successful example of hard insolvency law is the European Insolvency Regulation of 2000. Although not a treaty/convention, this regulation was adopted by the European Union and is binding for EU members. </w:t>
      </w:r>
    </w:p>
    <w:p w14:paraId="796482AE" w14:textId="77777777" w:rsidR="00755B66" w:rsidRDefault="00755B66" w:rsidP="00692852">
      <w:pPr>
        <w:jc w:val="both"/>
        <w:rPr>
          <w:rFonts w:ascii="Avenir Next" w:hAnsi="Avenir Next" w:cs="Arial"/>
          <w:color w:val="808080" w:themeColor="background1" w:themeShade="80"/>
          <w:sz w:val="22"/>
          <w:szCs w:val="22"/>
          <w:lang w:val="en-GB"/>
        </w:rPr>
      </w:pPr>
    </w:p>
    <w:p w14:paraId="4497C930" w14:textId="046DC010" w:rsidR="00755B66" w:rsidRDefault="00755B6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“soft laws” are those that aren’t legally binding. These laws are seen as “a weakened version of hard law, with diminished levels of bindingness, obligation, and precision.”</w:t>
      </w:r>
      <w:r>
        <w:rPr>
          <w:rStyle w:val="FootnoteReference"/>
          <w:rFonts w:ascii="Avenir Next" w:hAnsi="Avenir Next" w:cs="Arial"/>
          <w:color w:val="808080" w:themeColor="background1" w:themeShade="80"/>
          <w:sz w:val="22"/>
          <w:szCs w:val="22"/>
          <w:lang w:val="en-GB"/>
        </w:rPr>
        <w:footnoteReference w:id="20"/>
      </w:r>
      <w:r>
        <w:rPr>
          <w:rFonts w:ascii="Avenir Next" w:hAnsi="Avenir Next" w:cs="Arial"/>
          <w:color w:val="808080" w:themeColor="background1" w:themeShade="80"/>
          <w:sz w:val="22"/>
          <w:szCs w:val="22"/>
          <w:lang w:val="en-GB"/>
        </w:rPr>
        <w:t xml:space="preserve"> </w:t>
      </w:r>
      <w:r w:rsidR="00725F1D">
        <w:rPr>
          <w:rFonts w:ascii="Avenir Next" w:hAnsi="Avenir Next" w:cs="Arial"/>
          <w:color w:val="808080" w:themeColor="background1" w:themeShade="80"/>
          <w:sz w:val="22"/>
          <w:szCs w:val="22"/>
          <w:lang w:val="en-GB"/>
        </w:rPr>
        <w:t>This includes Model Laws and Model Treaties, however in some cases, Model Laws are adopted by States into their local legislation, at which point they become enforceable, hard law.</w:t>
      </w:r>
      <w:r w:rsidR="00E260F0">
        <w:rPr>
          <w:rFonts w:ascii="Avenir Next" w:hAnsi="Avenir Next" w:cs="Arial"/>
          <w:color w:val="808080" w:themeColor="background1" w:themeShade="80"/>
          <w:sz w:val="22"/>
          <w:szCs w:val="22"/>
          <w:lang w:val="en-GB"/>
        </w:rPr>
        <w:t xml:space="preserve"> </w:t>
      </w:r>
    </w:p>
    <w:p w14:paraId="7F8E8B70" w14:textId="77777777" w:rsidR="00725F1D" w:rsidRDefault="00725F1D" w:rsidP="00692852">
      <w:pPr>
        <w:jc w:val="both"/>
        <w:rPr>
          <w:rFonts w:ascii="Avenir Next" w:hAnsi="Avenir Next" w:cs="Arial"/>
          <w:color w:val="808080" w:themeColor="background1" w:themeShade="80"/>
          <w:sz w:val="22"/>
          <w:szCs w:val="22"/>
          <w:lang w:val="en-GB"/>
        </w:rPr>
      </w:pPr>
    </w:p>
    <w:p w14:paraId="7954A655" w14:textId="04983BF1" w:rsidR="00725F1D" w:rsidRDefault="00E260F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w:t>
      </w:r>
      <w:r w:rsidR="00725F1D">
        <w:rPr>
          <w:rFonts w:ascii="Avenir Next" w:hAnsi="Avenir Next" w:cs="Arial"/>
          <w:color w:val="808080" w:themeColor="background1" w:themeShade="80"/>
          <w:sz w:val="22"/>
          <w:szCs w:val="22"/>
          <w:lang w:val="en-GB"/>
        </w:rPr>
        <w:t>arly example of soft law is the Model Treaty</w:t>
      </w:r>
      <w:r>
        <w:rPr>
          <w:rFonts w:ascii="Avenir Next" w:hAnsi="Avenir Next" w:cs="Arial"/>
          <w:color w:val="808080" w:themeColor="background1" w:themeShade="80"/>
          <w:sz w:val="22"/>
          <w:szCs w:val="22"/>
          <w:lang w:val="en-GB"/>
        </w:rPr>
        <w:t xml:space="preserve"> on Bankruptcy</w:t>
      </w:r>
      <w:r w:rsidR="00725F1D">
        <w:rPr>
          <w:rFonts w:ascii="Avenir Next" w:hAnsi="Avenir Next" w:cs="Arial"/>
          <w:color w:val="808080" w:themeColor="background1" w:themeShade="80"/>
          <w:sz w:val="22"/>
          <w:szCs w:val="22"/>
          <w:lang w:val="en-GB"/>
        </w:rPr>
        <w:t xml:space="preserve"> drafted by The Hague Conference on Private International Law</w:t>
      </w:r>
      <w:r>
        <w:rPr>
          <w:rFonts w:ascii="Avenir Next" w:hAnsi="Avenir Next" w:cs="Arial"/>
          <w:color w:val="808080" w:themeColor="background1" w:themeShade="80"/>
          <w:sz w:val="22"/>
          <w:szCs w:val="22"/>
          <w:lang w:val="en-GB"/>
        </w:rPr>
        <w:t xml:space="preserve"> in 1925. This Treaty was never ratified by any country and therefore never became hard law of any jurisdiction however it did contribute to early foundations of the regulation of international insolvency law.</w:t>
      </w:r>
    </w:p>
    <w:p w14:paraId="058C9AF2" w14:textId="77777777" w:rsidR="00A46331" w:rsidRDefault="00A46331" w:rsidP="00692852">
      <w:pPr>
        <w:jc w:val="both"/>
        <w:rPr>
          <w:rFonts w:ascii="Avenir Next" w:hAnsi="Avenir Next" w:cs="Arial"/>
          <w:color w:val="808080" w:themeColor="background1" w:themeShade="80"/>
          <w:sz w:val="22"/>
          <w:szCs w:val="22"/>
          <w:lang w:val="en-GB"/>
        </w:rPr>
      </w:pPr>
    </w:p>
    <w:p w14:paraId="0218C90E" w14:textId="2A723582" w:rsidR="00D64CAE" w:rsidRDefault="00E260F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successful soft law in the context of insolvency is the UNCITRAL Model Law on Cross-border Insolvency which was drafted in the mid-1990s. Member States were encouraged to adopt these Model Laws which promote harmonisation of insolvency law and co-operation and co-ordination of insolvency courts across jurisdictions. To date, legislation based on this Model Law has been adopted in 59 States.</w:t>
      </w:r>
      <w:r>
        <w:rPr>
          <w:rStyle w:val="FootnoteReference"/>
          <w:rFonts w:ascii="Avenir Next" w:hAnsi="Avenir Next" w:cs="Arial"/>
          <w:color w:val="808080" w:themeColor="background1" w:themeShade="80"/>
          <w:sz w:val="22"/>
          <w:szCs w:val="22"/>
          <w:lang w:val="en-GB"/>
        </w:rPr>
        <w:footnoteReference w:id="21"/>
      </w:r>
    </w:p>
    <w:p w14:paraId="08B6E93C" w14:textId="77777777" w:rsidR="00D64CAE" w:rsidRPr="004216EA" w:rsidRDefault="00D64CAE"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F89DAC1" w14:textId="77722CC7" w:rsidR="00E260F0" w:rsidRDefault="00AF1C2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UK insolvency legislation, Section 426 of the Insolvency Act 1986 dictates that ‘</w:t>
      </w:r>
      <w:r w:rsidRPr="00AF1C2C">
        <w:rPr>
          <w:rFonts w:ascii="Avenir Next" w:hAnsi="Avenir Next" w:cs="Arial"/>
          <w:color w:val="808080" w:themeColor="background1" w:themeShade="80"/>
          <w:sz w:val="22"/>
          <w:szCs w:val="22"/>
          <w:lang w:val="en-GB"/>
        </w:rPr>
        <w:t>The courts having jurisdiction in relation to insolvency law in any part of the United Kingdom shall assist the courts having the corresponding jurisdiction in any other part of the United Kingdom or any relevant country or territory.</w:t>
      </w:r>
      <w:r>
        <w:rPr>
          <w:rFonts w:ascii="Avenir Next" w:hAnsi="Avenir Next" w:cs="Arial"/>
          <w:color w:val="808080" w:themeColor="background1" w:themeShade="80"/>
          <w:sz w:val="22"/>
          <w:szCs w:val="22"/>
          <w:lang w:val="en-GB"/>
        </w:rPr>
        <w:t>’ However, in reference to this section, America is not listed as a ‘relevant country</w:t>
      </w:r>
      <w:r w:rsidR="00EE6B51">
        <w:rPr>
          <w:rFonts w:ascii="Avenir Next" w:hAnsi="Avenir Next" w:cs="Arial"/>
          <w:color w:val="808080" w:themeColor="background1" w:themeShade="80"/>
          <w:sz w:val="22"/>
          <w:szCs w:val="22"/>
          <w:lang w:val="en-GB"/>
        </w:rPr>
        <w:t>’ or territory, and therefore recognition must be sought through other means.</w:t>
      </w:r>
    </w:p>
    <w:p w14:paraId="456577C3" w14:textId="77777777" w:rsidR="00EE6B51" w:rsidRDefault="00EE6B51" w:rsidP="00DB5A5A">
      <w:pPr>
        <w:jc w:val="both"/>
        <w:rPr>
          <w:rFonts w:ascii="Avenir Next" w:hAnsi="Avenir Next" w:cs="Arial"/>
          <w:color w:val="808080" w:themeColor="background1" w:themeShade="80"/>
          <w:sz w:val="22"/>
          <w:szCs w:val="22"/>
          <w:lang w:val="en-GB"/>
        </w:rPr>
      </w:pPr>
    </w:p>
    <w:p w14:paraId="4106675E" w14:textId="77777777" w:rsidR="000A37FD" w:rsidRDefault="00EE6B5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the UK and the United States of America have adopted forms of the UNCITRAL Model Law on Cross-Border Insolvency (the “Model Law”). The UK has adopted the Model Laws into its national law, </w:t>
      </w:r>
      <w:r>
        <w:rPr>
          <w:rFonts w:ascii="Avenir Next" w:hAnsi="Avenir Next" w:cs="Arial"/>
          <w:color w:val="808080" w:themeColor="background1" w:themeShade="80"/>
          <w:sz w:val="22"/>
          <w:szCs w:val="22"/>
          <w:lang w:val="en-GB"/>
        </w:rPr>
        <w:lastRenderedPageBreak/>
        <w:t xml:space="preserve">however in the US, the Model Law doesn’t form a part of federal law and is only adopted in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states</w:t>
      </w:r>
      <w:r w:rsidR="000A37FD">
        <w:rPr>
          <w:rStyle w:val="FootnoteReference"/>
          <w:rFonts w:ascii="Avenir Next" w:hAnsi="Avenir Next" w:cs="Arial"/>
          <w:color w:val="808080" w:themeColor="background1" w:themeShade="80"/>
          <w:sz w:val="22"/>
          <w:szCs w:val="22"/>
          <w:lang w:val="en-GB"/>
        </w:rPr>
        <w:footnoteReference w:id="22"/>
      </w:r>
      <w:r>
        <w:rPr>
          <w:rFonts w:ascii="Avenir Next" w:hAnsi="Avenir Next" w:cs="Arial"/>
          <w:color w:val="808080" w:themeColor="background1" w:themeShade="80"/>
          <w:sz w:val="22"/>
          <w:szCs w:val="22"/>
          <w:lang w:val="en-GB"/>
        </w:rPr>
        <w:t xml:space="preserve">. </w:t>
      </w:r>
    </w:p>
    <w:p w14:paraId="16A6B524" w14:textId="77777777" w:rsidR="000A37FD" w:rsidRDefault="000A37FD" w:rsidP="00DB5A5A">
      <w:pPr>
        <w:jc w:val="both"/>
        <w:rPr>
          <w:rFonts w:ascii="Avenir Next" w:hAnsi="Avenir Next" w:cs="Arial"/>
          <w:color w:val="808080" w:themeColor="background1" w:themeShade="80"/>
          <w:sz w:val="22"/>
          <w:szCs w:val="22"/>
          <w:lang w:val="en-GB"/>
        </w:rPr>
      </w:pPr>
    </w:p>
    <w:p w14:paraId="65FFE51F" w14:textId="4A5EAE18" w:rsidR="00EE6B51" w:rsidRDefault="00EE6B51"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Laws do not require reciprocity and therefore </w:t>
      </w:r>
      <w:r w:rsidR="000A37FD">
        <w:rPr>
          <w:rFonts w:ascii="Avenir Next" w:hAnsi="Avenir Next" w:cs="Arial"/>
          <w:color w:val="808080" w:themeColor="background1" w:themeShade="80"/>
          <w:sz w:val="22"/>
          <w:szCs w:val="22"/>
          <w:lang w:val="en-GB"/>
        </w:rPr>
        <w:t>in this situation</w:t>
      </w:r>
      <w:r>
        <w:rPr>
          <w:rFonts w:ascii="Avenir Next" w:hAnsi="Avenir Next" w:cs="Arial"/>
          <w:color w:val="808080" w:themeColor="background1" w:themeShade="80"/>
          <w:sz w:val="22"/>
          <w:szCs w:val="22"/>
          <w:lang w:val="en-GB"/>
        </w:rPr>
        <w:t xml:space="preserve">, the Model Laws can be applied </w:t>
      </w:r>
      <w:r w:rsidR="000A37FD">
        <w:rPr>
          <w:rFonts w:ascii="Avenir Next" w:hAnsi="Avenir Next" w:cs="Arial"/>
          <w:color w:val="808080" w:themeColor="background1" w:themeShade="80"/>
          <w:sz w:val="22"/>
          <w:szCs w:val="22"/>
          <w:lang w:val="en-GB"/>
        </w:rPr>
        <w:t>for the purposes of recognition of the American insolvent estate representative. The Model Laws establish simplified recognition procedures for qualifying foreign proceedings. The proceedings would be recognised as either the main proceeding or a non-main proceeding, depending on where the centre of main interests (“COMI”) is at the date of commencement of the foreign proceedings.</w:t>
      </w:r>
      <w:r w:rsidR="000A37FD">
        <w:rPr>
          <w:rStyle w:val="FootnoteReference"/>
          <w:rFonts w:ascii="Avenir Next" w:hAnsi="Avenir Next" w:cs="Arial"/>
          <w:color w:val="808080" w:themeColor="background1" w:themeShade="80"/>
          <w:sz w:val="22"/>
          <w:szCs w:val="22"/>
          <w:lang w:val="en-GB"/>
        </w:rPr>
        <w:footnoteReference w:id="23"/>
      </w:r>
    </w:p>
    <w:p w14:paraId="770D111F" w14:textId="3C7E9BFD" w:rsidR="000A37FD" w:rsidRDefault="000A37FD"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headquarters of Norton Cars Inc (“Norton”) is still in England, the UK would be considered as the COMI. Norton also maintains establishments in the </w:t>
      </w:r>
      <w:proofErr w:type="gramStart"/>
      <w:r>
        <w:rPr>
          <w:rFonts w:ascii="Avenir Next" w:hAnsi="Avenir Next" w:cs="Arial"/>
          <w:color w:val="808080" w:themeColor="background1" w:themeShade="80"/>
          <w:sz w:val="22"/>
          <w:szCs w:val="22"/>
          <w:lang w:val="en-GB"/>
        </w:rPr>
        <w:t>US,</w:t>
      </w:r>
      <w:proofErr w:type="gramEnd"/>
      <w:r>
        <w:rPr>
          <w:rFonts w:ascii="Avenir Next" w:hAnsi="Avenir Next" w:cs="Arial"/>
          <w:color w:val="808080" w:themeColor="background1" w:themeShade="80"/>
          <w:sz w:val="22"/>
          <w:szCs w:val="22"/>
          <w:lang w:val="en-GB"/>
        </w:rPr>
        <w:t xml:space="preserve"> therefore the US proceedings are classed as the non-main proceedings in accordance with the Model Laws</w:t>
      </w:r>
      <w:r w:rsidR="00FF490C">
        <w:rPr>
          <w:rFonts w:ascii="Avenir Next" w:hAnsi="Avenir Next" w:cs="Arial"/>
          <w:color w:val="808080" w:themeColor="background1" w:themeShade="80"/>
          <w:sz w:val="22"/>
          <w:szCs w:val="22"/>
          <w:lang w:val="en-GB"/>
        </w:rPr>
        <w:t xml:space="preserve"> if recognition was sought in the UK</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4"/>
      </w:r>
      <w:r>
        <w:rPr>
          <w:rFonts w:ascii="Avenir Next" w:hAnsi="Avenir Next" w:cs="Arial"/>
          <w:color w:val="808080" w:themeColor="background1" w:themeShade="80"/>
          <w:sz w:val="22"/>
          <w:szCs w:val="22"/>
          <w:lang w:val="en-GB"/>
        </w:rPr>
        <w:t xml:space="preserve"> </w:t>
      </w:r>
    </w:p>
    <w:p w14:paraId="2F9B716B" w14:textId="77777777" w:rsidR="00E260F0" w:rsidRDefault="00E260F0" w:rsidP="00DB5A5A">
      <w:pPr>
        <w:jc w:val="both"/>
        <w:rPr>
          <w:rFonts w:ascii="Avenir Next" w:hAnsi="Avenir Next" w:cs="Arial"/>
          <w:color w:val="808080" w:themeColor="background1" w:themeShade="80"/>
          <w:sz w:val="22"/>
          <w:szCs w:val="22"/>
          <w:lang w:val="en-GB"/>
        </w:rPr>
      </w:pPr>
    </w:p>
    <w:p w14:paraId="0D26B61B" w14:textId="5717D66C" w:rsidR="00574C42" w:rsidRDefault="007866EB"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recognition of the non-main foreign proceeding, the American insolvent estate administrator may request that the distribution of all or part of the assets located in the UK be entrusted to the American insolvency estate administrator. As this relates to a non-main proceeding, if this is requested, the court “must be satisfied that the relief relates to assets that, under the law of this State, should be administered in the foreign non-main proceeding or concerns information required in that proceeding”.</w:t>
      </w:r>
      <w:r>
        <w:rPr>
          <w:rStyle w:val="FootnoteReference"/>
          <w:rFonts w:ascii="Avenir Next" w:hAnsi="Avenir Next" w:cs="Arial"/>
          <w:color w:val="808080" w:themeColor="background1" w:themeShade="80"/>
          <w:sz w:val="22"/>
          <w:szCs w:val="22"/>
          <w:lang w:val="en-GB"/>
        </w:rPr>
        <w:footnoteReference w:id="25"/>
      </w:r>
    </w:p>
    <w:p w14:paraId="1ED6E4DB" w14:textId="4C2E97C7" w:rsidR="00574C42" w:rsidRPr="002253D8" w:rsidRDefault="00574C42"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7E9B699C" w14:textId="7D05DEB6" w:rsidR="000071D2"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5915D55C" w14:textId="77777777" w:rsidR="000071D2" w:rsidRDefault="000071D2" w:rsidP="009F0C5A">
      <w:pPr>
        <w:jc w:val="both"/>
        <w:rPr>
          <w:rFonts w:ascii="Avenir Next" w:hAnsi="Avenir Next" w:cs="Arial"/>
          <w:sz w:val="22"/>
          <w:szCs w:val="28"/>
        </w:rPr>
      </w:pPr>
    </w:p>
    <w:p w14:paraId="50CAEAB8" w14:textId="2DF0E68F" w:rsidR="007866EB" w:rsidRDefault="007866EB"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Norton shifted its COMI to Italy, an EU Member State, upon Brexit, European Insolvency Regulation (</w:t>
      </w:r>
      <w:r w:rsidR="00B8031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EIR</w:t>
      </w:r>
      <w:r w:rsidR="00B8031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w</w:t>
      </w:r>
      <w:r w:rsidR="000F69D3">
        <w:rPr>
          <w:rFonts w:ascii="Avenir Next" w:hAnsi="Avenir Next" w:cs="Arial"/>
          <w:color w:val="808080" w:themeColor="background1" w:themeShade="80"/>
          <w:sz w:val="22"/>
          <w:szCs w:val="22"/>
          <w:lang w:val="en-GB"/>
        </w:rPr>
        <w:t>ould</w:t>
      </w:r>
      <w:r>
        <w:rPr>
          <w:rFonts w:ascii="Avenir Next" w:hAnsi="Avenir Next" w:cs="Arial"/>
          <w:color w:val="808080" w:themeColor="background1" w:themeShade="80"/>
          <w:sz w:val="22"/>
          <w:szCs w:val="22"/>
          <w:lang w:val="en-GB"/>
        </w:rPr>
        <w:t xml:space="preserve"> apply. </w:t>
      </w:r>
      <w:r w:rsidR="00B80318">
        <w:rPr>
          <w:rFonts w:ascii="Avenir Next" w:hAnsi="Avenir Next" w:cs="Arial"/>
          <w:color w:val="808080" w:themeColor="background1" w:themeShade="80"/>
          <w:sz w:val="22"/>
          <w:szCs w:val="22"/>
          <w:lang w:val="en-GB"/>
        </w:rPr>
        <w:t>In accordance with EIR, the country where Norton’s COMI is located is given exclusive jurisdiction to the commencement of main insolvency proceedings.</w:t>
      </w:r>
      <w:r w:rsidR="00B80318">
        <w:rPr>
          <w:rStyle w:val="FootnoteReference"/>
          <w:rFonts w:ascii="Avenir Next" w:hAnsi="Avenir Next" w:cs="Arial"/>
          <w:color w:val="808080" w:themeColor="background1" w:themeShade="80"/>
          <w:sz w:val="22"/>
          <w:szCs w:val="22"/>
          <w:lang w:val="en-GB"/>
        </w:rPr>
        <w:footnoteReference w:id="26"/>
      </w:r>
    </w:p>
    <w:p w14:paraId="4CCF82CC" w14:textId="77777777" w:rsidR="007866EB" w:rsidRDefault="007866EB" w:rsidP="002253D8">
      <w:pPr>
        <w:jc w:val="both"/>
        <w:rPr>
          <w:rFonts w:ascii="Avenir Next" w:hAnsi="Avenir Next" w:cs="Arial"/>
          <w:color w:val="808080" w:themeColor="background1" w:themeShade="80"/>
          <w:sz w:val="22"/>
          <w:szCs w:val="22"/>
          <w:lang w:val="en-GB"/>
        </w:rPr>
      </w:pPr>
    </w:p>
    <w:p w14:paraId="0D3B1D18" w14:textId="14DB2D18" w:rsidR="004E1D03" w:rsidRDefault="00994EE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worth noting that COMI is defined in the EIR as the “place where the debtor conducts the </w:t>
      </w:r>
      <w:r w:rsidRPr="00994EEB">
        <w:rPr>
          <w:rFonts w:ascii="Avenir Next" w:hAnsi="Avenir Next" w:cs="Arial"/>
          <w:i/>
          <w:iCs/>
          <w:color w:val="808080" w:themeColor="background1" w:themeShade="80"/>
          <w:sz w:val="22"/>
          <w:szCs w:val="22"/>
          <w:lang w:val="en-GB"/>
        </w:rPr>
        <w:t>administration</w:t>
      </w:r>
      <w:r>
        <w:rPr>
          <w:rFonts w:ascii="Avenir Next" w:hAnsi="Avenir Next" w:cs="Arial"/>
          <w:color w:val="808080" w:themeColor="background1" w:themeShade="80"/>
          <w:sz w:val="22"/>
          <w:szCs w:val="22"/>
          <w:lang w:val="en-GB"/>
        </w:rPr>
        <w:t xml:space="preserve"> of its interests on a regular basis and which is ascertainable by third parties”.</w:t>
      </w:r>
      <w:r>
        <w:rPr>
          <w:rStyle w:val="FootnoteReference"/>
          <w:rFonts w:ascii="Avenir Next" w:hAnsi="Avenir Next" w:cs="Arial"/>
          <w:color w:val="808080" w:themeColor="background1" w:themeShade="80"/>
          <w:sz w:val="22"/>
          <w:szCs w:val="22"/>
          <w:lang w:val="en-GB"/>
        </w:rPr>
        <w:footnoteReference w:id="27"/>
      </w:r>
      <w:r>
        <w:rPr>
          <w:rFonts w:ascii="Avenir Next" w:hAnsi="Avenir Next" w:cs="Arial"/>
          <w:color w:val="808080" w:themeColor="background1" w:themeShade="80"/>
          <w:sz w:val="22"/>
          <w:szCs w:val="22"/>
          <w:lang w:val="en-GB"/>
        </w:rPr>
        <w:t xml:space="preserve"> Therefore, careful consideration should be given as to where the COMI is considered by third parties. In this example, the main operations transpired in Germany, however the management was directed from Italy, therefore, this is the designated COMI. </w:t>
      </w:r>
    </w:p>
    <w:p w14:paraId="225475C6" w14:textId="77777777" w:rsidR="00994EEB" w:rsidRDefault="00994EEB" w:rsidP="00692852">
      <w:pPr>
        <w:jc w:val="both"/>
        <w:rPr>
          <w:rFonts w:ascii="Avenir Next" w:hAnsi="Avenir Next" w:cs="Arial"/>
          <w:color w:val="808080" w:themeColor="background1" w:themeShade="80"/>
          <w:sz w:val="22"/>
          <w:szCs w:val="22"/>
          <w:lang w:val="en-GB"/>
        </w:rPr>
      </w:pPr>
    </w:p>
    <w:p w14:paraId="5E8AD919" w14:textId="36BF42AF" w:rsidR="00994EEB" w:rsidRDefault="000F69D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discussed, t</w:t>
      </w:r>
      <w:r w:rsidR="00994EEB">
        <w:rPr>
          <w:rFonts w:ascii="Avenir Next" w:hAnsi="Avenir Next" w:cs="Arial"/>
          <w:color w:val="808080" w:themeColor="background1" w:themeShade="80"/>
          <w:sz w:val="22"/>
          <w:szCs w:val="22"/>
          <w:lang w:val="en-GB"/>
        </w:rPr>
        <w:t xml:space="preserve">he main proceedings should therefore be opened in Italy based on the COMI, however it is possible for concurrent proceedings to be opened in other Member States, and </w:t>
      </w:r>
      <w:r>
        <w:rPr>
          <w:rFonts w:ascii="Avenir Next" w:hAnsi="Avenir Next" w:cs="Arial"/>
          <w:color w:val="808080" w:themeColor="background1" w:themeShade="80"/>
          <w:sz w:val="22"/>
          <w:szCs w:val="22"/>
          <w:lang w:val="en-GB"/>
        </w:rPr>
        <w:t>therefore,</w:t>
      </w:r>
      <w:r w:rsidR="00994EEB">
        <w:rPr>
          <w:rFonts w:ascii="Avenir Next" w:hAnsi="Avenir Next" w:cs="Arial"/>
          <w:color w:val="808080" w:themeColor="background1" w:themeShade="80"/>
          <w:sz w:val="22"/>
          <w:szCs w:val="22"/>
          <w:lang w:val="en-GB"/>
        </w:rPr>
        <w:t xml:space="preserve"> if </w:t>
      </w:r>
      <w:r w:rsidR="00994EEB">
        <w:rPr>
          <w:rFonts w:ascii="Avenir Next" w:hAnsi="Avenir Next" w:cs="Arial"/>
          <w:color w:val="808080" w:themeColor="background1" w:themeShade="80"/>
          <w:sz w:val="22"/>
          <w:szCs w:val="22"/>
          <w:lang w:val="en-GB"/>
        </w:rPr>
        <w:lastRenderedPageBreak/>
        <w:t>necessary, secondary proceedings may be opened in Germany</w:t>
      </w:r>
      <w:r>
        <w:rPr>
          <w:rStyle w:val="FootnoteReference"/>
          <w:rFonts w:ascii="Avenir Next" w:hAnsi="Avenir Next" w:cs="Arial"/>
          <w:color w:val="808080" w:themeColor="background1" w:themeShade="80"/>
          <w:sz w:val="22"/>
          <w:szCs w:val="22"/>
          <w:lang w:val="en-GB"/>
        </w:rPr>
        <w:footnoteReference w:id="28"/>
      </w:r>
      <w:r w:rsidR="00994EEB">
        <w:rPr>
          <w:rFonts w:ascii="Avenir Next" w:hAnsi="Avenir Next" w:cs="Arial"/>
          <w:color w:val="808080" w:themeColor="background1" w:themeShade="80"/>
          <w:sz w:val="22"/>
          <w:szCs w:val="22"/>
          <w:lang w:val="en-GB"/>
        </w:rPr>
        <w:t>. If these proceedings are opened, the effects would be limited to</w:t>
      </w:r>
      <w:r>
        <w:rPr>
          <w:rFonts w:ascii="Avenir Next" w:hAnsi="Avenir Next" w:cs="Arial"/>
          <w:color w:val="808080" w:themeColor="background1" w:themeShade="80"/>
          <w:sz w:val="22"/>
          <w:szCs w:val="22"/>
          <w:lang w:val="en-GB"/>
        </w:rPr>
        <w:t xml:space="preserve"> dealing with</w:t>
      </w:r>
      <w:r w:rsidR="00994EEB">
        <w:rPr>
          <w:rFonts w:ascii="Avenir Next" w:hAnsi="Avenir Next" w:cs="Arial"/>
          <w:color w:val="808080" w:themeColor="background1" w:themeShade="80"/>
          <w:sz w:val="22"/>
          <w:szCs w:val="22"/>
          <w:lang w:val="en-GB"/>
        </w:rPr>
        <w:t xml:space="preserve"> the assets located in Germany.</w:t>
      </w:r>
      <w:r>
        <w:rPr>
          <w:rStyle w:val="FootnoteReference"/>
          <w:rFonts w:ascii="Avenir Next" w:hAnsi="Avenir Next" w:cs="Arial"/>
          <w:color w:val="808080" w:themeColor="background1" w:themeShade="80"/>
          <w:sz w:val="22"/>
          <w:szCs w:val="22"/>
          <w:lang w:val="en-GB"/>
        </w:rPr>
        <w:footnoteReference w:id="29"/>
      </w:r>
    </w:p>
    <w:p w14:paraId="5EABEE5A" w14:textId="77777777" w:rsidR="00551BAD" w:rsidRDefault="00551BAD" w:rsidP="00692852">
      <w:pPr>
        <w:jc w:val="both"/>
        <w:rPr>
          <w:rFonts w:ascii="Avenir Next" w:hAnsi="Avenir Next" w:cs="Arial"/>
          <w:color w:val="808080" w:themeColor="background1" w:themeShade="80"/>
          <w:sz w:val="22"/>
          <w:szCs w:val="22"/>
          <w:lang w:val="en-GB"/>
        </w:rPr>
      </w:pPr>
    </w:p>
    <w:p w14:paraId="3527130B" w14:textId="2C698716" w:rsidR="00551BAD" w:rsidRDefault="00551BA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accordance with Article 7 of the EIR, the law applicable to the insolvency proceedings would be that of the</w:t>
      </w:r>
      <w:r w:rsidR="00BB7DE1">
        <w:rPr>
          <w:rFonts w:ascii="Avenir Next" w:hAnsi="Avenir Next" w:cs="Arial"/>
          <w:color w:val="808080" w:themeColor="background1" w:themeShade="80"/>
          <w:sz w:val="22"/>
          <w:szCs w:val="22"/>
          <w:lang w:val="en-GB"/>
        </w:rPr>
        <w:t xml:space="preserve"> country where the proceedings are opened. Therefore, </w:t>
      </w:r>
      <w:proofErr w:type="gramStart"/>
      <w:r w:rsidR="00BB7DE1">
        <w:rPr>
          <w:rFonts w:ascii="Avenir Next" w:hAnsi="Avenir Next" w:cs="Arial"/>
          <w:color w:val="808080" w:themeColor="background1" w:themeShade="80"/>
          <w:sz w:val="22"/>
          <w:szCs w:val="22"/>
          <w:lang w:val="en-GB"/>
        </w:rPr>
        <w:t>Italian</w:t>
      </w:r>
      <w:proofErr w:type="gramEnd"/>
      <w:r w:rsidR="00BB7DE1">
        <w:rPr>
          <w:rFonts w:ascii="Avenir Next" w:hAnsi="Avenir Next" w:cs="Arial"/>
          <w:color w:val="808080" w:themeColor="background1" w:themeShade="80"/>
          <w:sz w:val="22"/>
          <w:szCs w:val="22"/>
          <w:lang w:val="en-GB"/>
        </w:rPr>
        <w:t xml:space="preserve"> and German law would be applied in the proceedings opened in these countries respectively, and aspects of law such as set-off</w:t>
      </w:r>
      <w:r w:rsidR="00FF490C">
        <w:rPr>
          <w:rFonts w:ascii="Avenir Next" w:hAnsi="Avenir Next" w:cs="Arial"/>
          <w:color w:val="808080" w:themeColor="background1" w:themeShade="80"/>
          <w:sz w:val="22"/>
          <w:szCs w:val="22"/>
          <w:lang w:val="en-GB"/>
        </w:rPr>
        <w:t xml:space="preserve"> </w:t>
      </w:r>
      <w:r w:rsidR="00BB7DE1">
        <w:rPr>
          <w:rFonts w:ascii="Avenir Next" w:hAnsi="Avenir Next" w:cs="Arial"/>
          <w:color w:val="808080" w:themeColor="background1" w:themeShade="80"/>
          <w:sz w:val="22"/>
          <w:szCs w:val="22"/>
          <w:lang w:val="en-GB"/>
        </w:rPr>
        <w:t>and current contracts would be determined by each country.</w:t>
      </w:r>
    </w:p>
    <w:p w14:paraId="46BF054B" w14:textId="77777777" w:rsidR="00B80318" w:rsidRDefault="00B80318" w:rsidP="00692852">
      <w:pPr>
        <w:jc w:val="both"/>
        <w:rPr>
          <w:rFonts w:ascii="Avenir Next" w:hAnsi="Avenir Next" w:cs="Arial"/>
          <w:color w:val="808080" w:themeColor="background1" w:themeShade="80"/>
          <w:sz w:val="22"/>
          <w:szCs w:val="22"/>
          <w:lang w:val="en-GB"/>
        </w:rPr>
      </w:pPr>
    </w:p>
    <w:p w14:paraId="542E426E" w14:textId="77777777" w:rsidR="00B80318" w:rsidRPr="009F0C5A" w:rsidRDefault="00B80318"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8D1AE78" w14:textId="2579C767" w:rsidR="000071D2" w:rsidRPr="002253D8" w:rsidRDefault="00930D69"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regulation is only applicable to </w:t>
      </w:r>
      <w:r w:rsidR="00FF490C">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ember </w:t>
      </w:r>
      <w:r w:rsidR="00FF490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tates, being countries located within the European Union</w:t>
      </w:r>
      <w:r w:rsidR="00FF490C">
        <w:rPr>
          <w:rFonts w:ascii="Avenir Next" w:hAnsi="Avenir Next" w:cs="Arial"/>
          <w:color w:val="808080" w:themeColor="background1" w:themeShade="80"/>
          <w:sz w:val="22"/>
          <w:szCs w:val="22"/>
          <w:lang w:val="en-GB"/>
        </w:rPr>
        <w:t>, and unlike the UNCITRAL Model Law, the EIR Recast regulation does require reciprocation between States</w:t>
      </w:r>
      <w:r>
        <w:rPr>
          <w:rFonts w:ascii="Avenir Next" w:hAnsi="Avenir Next" w:cs="Arial"/>
          <w:color w:val="808080" w:themeColor="background1" w:themeShade="80"/>
          <w:sz w:val="22"/>
          <w:szCs w:val="22"/>
          <w:lang w:val="en-GB"/>
        </w:rPr>
        <w:t xml:space="preserve">. The courts of India, South Africa and Australia are not </w:t>
      </w:r>
      <w:r w:rsidR="00FF490C">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ember </w:t>
      </w:r>
      <w:r w:rsidR="00FF490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tates and so this regulation would not be applied in these countries</w:t>
      </w:r>
      <w:r w:rsidR="00182ECF">
        <w:rPr>
          <w:rFonts w:ascii="Avenir Next" w:hAnsi="Avenir Next" w:cs="Arial"/>
          <w:color w:val="808080" w:themeColor="background1" w:themeShade="80"/>
          <w:sz w:val="22"/>
          <w:szCs w:val="22"/>
          <w:lang w:val="en-GB"/>
        </w:rPr>
        <w:t xml:space="preserve"> and their own </w:t>
      </w:r>
      <w:r w:rsidR="007866EB">
        <w:rPr>
          <w:rFonts w:ascii="Avenir Next" w:hAnsi="Avenir Next" w:cs="Arial"/>
          <w:color w:val="808080" w:themeColor="background1" w:themeShade="80"/>
          <w:sz w:val="22"/>
          <w:szCs w:val="22"/>
          <w:lang w:val="en-GB"/>
        </w:rPr>
        <w:t xml:space="preserve">international </w:t>
      </w:r>
      <w:r w:rsidR="00182ECF">
        <w:rPr>
          <w:rFonts w:ascii="Avenir Next" w:hAnsi="Avenir Next" w:cs="Arial"/>
          <w:color w:val="808080" w:themeColor="background1" w:themeShade="80"/>
          <w:sz w:val="22"/>
          <w:szCs w:val="22"/>
          <w:lang w:val="en-GB"/>
        </w:rPr>
        <w:t>insolvency legislation in respect of recognition would apply</w:t>
      </w:r>
      <w:r w:rsidR="007866EB">
        <w:rPr>
          <w:rFonts w:ascii="Avenir Next" w:hAnsi="Avenir Next" w:cs="Arial"/>
          <w:color w:val="808080" w:themeColor="background1" w:themeShade="80"/>
          <w:sz w:val="22"/>
          <w:szCs w:val="22"/>
          <w:lang w:val="en-GB"/>
        </w:rPr>
        <w:t xml:space="preserve"> instead</w:t>
      </w:r>
      <w:r w:rsidR="00182ECF">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65724AF" w14:textId="0E2132CF" w:rsidR="0027456F" w:rsidRDefault="006B6969" w:rsidP="0027456F">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Netherlands have not adopted the UNCITRAL Model Law on cross-border insolvency. However, a</w:t>
      </w:r>
      <w:r w:rsidR="00385556">
        <w:rPr>
          <w:rFonts w:ascii="Avenir Next" w:hAnsi="Avenir Next" w:cs="Arial"/>
          <w:color w:val="808080" w:themeColor="background1" w:themeShade="80"/>
          <w:sz w:val="22"/>
          <w:szCs w:val="22"/>
          <w:lang w:val="en-GB"/>
        </w:rPr>
        <w:t xml:space="preserve">s both the Netherlands and Italy are both EU member states, EIR Recast regulations can be applied in this scenario. </w:t>
      </w:r>
    </w:p>
    <w:p w14:paraId="705135B1" w14:textId="77777777" w:rsidR="00385556" w:rsidRDefault="00385556" w:rsidP="002253D8">
      <w:pPr>
        <w:ind w:firstLine="426"/>
        <w:jc w:val="both"/>
        <w:rPr>
          <w:rFonts w:ascii="Avenir Next" w:hAnsi="Avenir Next" w:cs="Arial"/>
          <w:color w:val="808080" w:themeColor="background1" w:themeShade="80"/>
          <w:sz w:val="22"/>
          <w:szCs w:val="22"/>
          <w:lang w:val="en-GB"/>
        </w:rPr>
      </w:pPr>
    </w:p>
    <w:p w14:paraId="630D0D2D" w14:textId="1A44340C" w:rsidR="00503266" w:rsidRDefault="00385556"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8 of the EIR Recast covers third parties’ rights in </w:t>
      </w:r>
      <w:r w:rsidR="006B6969">
        <w:rPr>
          <w:rFonts w:ascii="Avenir Next" w:hAnsi="Avenir Next" w:cs="Arial"/>
          <w:color w:val="808080" w:themeColor="background1" w:themeShade="80"/>
          <w:sz w:val="22"/>
          <w:szCs w:val="22"/>
          <w:lang w:val="en-GB"/>
        </w:rPr>
        <w:t xml:space="preserve">rem. This Article states that the rights of creditors in rem are not impacted by the opening of insolvency proceedings in relation to assets located in Member States. </w:t>
      </w:r>
      <w:r w:rsidR="00503266">
        <w:rPr>
          <w:rFonts w:ascii="Avenir Next" w:hAnsi="Avenir Next" w:cs="Arial"/>
          <w:color w:val="808080" w:themeColor="background1" w:themeShade="80"/>
          <w:sz w:val="22"/>
          <w:szCs w:val="22"/>
          <w:lang w:val="en-GB"/>
        </w:rPr>
        <w:t>In accordance with 2(a) of this Article, this includes “</w:t>
      </w:r>
      <w:r w:rsidR="00503266" w:rsidRPr="00503266">
        <w:rPr>
          <w:rFonts w:ascii="Avenir Next" w:hAnsi="Avenir Next" w:cs="Arial"/>
          <w:color w:val="808080" w:themeColor="background1" w:themeShade="80"/>
          <w:sz w:val="22"/>
          <w:szCs w:val="22"/>
          <w:lang w:val="en-GB"/>
        </w:rPr>
        <w:t>a right guaranteed by a lien in respect of the claim or by assignment of the claim by way of a guarantee</w:t>
      </w:r>
      <w:r w:rsidR="00503266">
        <w:rPr>
          <w:rFonts w:ascii="Avenir Next" w:hAnsi="Avenir Next" w:cs="Arial"/>
          <w:color w:val="808080" w:themeColor="background1" w:themeShade="80"/>
          <w:sz w:val="22"/>
          <w:szCs w:val="22"/>
          <w:lang w:val="en-GB"/>
        </w:rPr>
        <w:t xml:space="preserve">”. This Article applies to both tangible and intangible assets, and both moveable and immovable assets. </w:t>
      </w:r>
    </w:p>
    <w:p w14:paraId="7466B26F" w14:textId="77777777" w:rsidR="00503266" w:rsidRDefault="00503266" w:rsidP="002253D8">
      <w:pPr>
        <w:ind w:firstLine="426"/>
        <w:jc w:val="both"/>
        <w:rPr>
          <w:rFonts w:ascii="Avenir Next" w:hAnsi="Avenir Next" w:cs="Arial"/>
          <w:color w:val="808080" w:themeColor="background1" w:themeShade="80"/>
          <w:sz w:val="22"/>
          <w:szCs w:val="22"/>
          <w:lang w:val="en-GB"/>
        </w:rPr>
      </w:pPr>
    </w:p>
    <w:p w14:paraId="01669E1A" w14:textId="0BA11961" w:rsidR="00385556" w:rsidRDefault="00503266"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the security afforded to the creditors which have established security over the assets in the Netherlands would not be impacted by the commencement of insolvency proceedings. </w:t>
      </w:r>
      <w:r w:rsidR="00C64554">
        <w:rPr>
          <w:rFonts w:ascii="Avenir Next" w:hAnsi="Avenir Next" w:cs="Arial"/>
          <w:color w:val="808080" w:themeColor="background1" w:themeShade="80"/>
          <w:sz w:val="22"/>
          <w:szCs w:val="22"/>
          <w:lang w:val="en-GB"/>
        </w:rPr>
        <w:t xml:space="preserve">These assets would be dealt with in Netherlands </w:t>
      </w:r>
      <w:r w:rsidR="00357CC2">
        <w:rPr>
          <w:rFonts w:ascii="Avenir Next" w:hAnsi="Avenir Next" w:cs="Arial"/>
          <w:color w:val="808080" w:themeColor="background1" w:themeShade="80"/>
          <w:sz w:val="22"/>
          <w:szCs w:val="22"/>
          <w:lang w:val="en-GB"/>
        </w:rPr>
        <w:t>by its local laws on security over assets.</w:t>
      </w:r>
    </w:p>
    <w:p w14:paraId="5F18D96F" w14:textId="77777777" w:rsidR="00503266" w:rsidRDefault="00503266" w:rsidP="002253D8">
      <w:pPr>
        <w:ind w:firstLine="426"/>
        <w:jc w:val="both"/>
        <w:rPr>
          <w:rFonts w:ascii="Avenir Next" w:hAnsi="Avenir Next" w:cs="Arial"/>
          <w:color w:val="808080" w:themeColor="background1" w:themeShade="80"/>
          <w:sz w:val="22"/>
          <w:szCs w:val="22"/>
          <w:lang w:val="en-GB"/>
        </w:rPr>
      </w:pPr>
    </w:p>
    <w:p w14:paraId="4255427C" w14:textId="284D227D" w:rsidR="00503266" w:rsidRPr="00DA42DA" w:rsidRDefault="00503266"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any immovable property which is subject to registrations in public registers, Article 14 of the EIR Recast will apply which </w:t>
      </w:r>
      <w:r w:rsidR="00AC5402">
        <w:rPr>
          <w:rFonts w:ascii="Avenir Next" w:hAnsi="Avenir Next" w:cs="Arial"/>
          <w:color w:val="808080" w:themeColor="background1" w:themeShade="80"/>
          <w:sz w:val="22"/>
          <w:szCs w:val="22"/>
          <w:lang w:val="en-GB"/>
        </w:rPr>
        <w:t>requires that the Member state in which the register is kept will govern the law applied</w:t>
      </w:r>
      <w:r w:rsidR="00C64554">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33AED9E" w:rsidR="002253D8" w:rsidRDefault="00AC5402" w:rsidP="00AC540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Australia is not part of the EU and therefore does not follow the EIR Recast, however it has adopted the UNCITRAL Model Law on Cross Border Insolvency, which</w:t>
      </w:r>
      <w:r w:rsidR="00357CC2">
        <w:rPr>
          <w:rFonts w:ascii="Avenir Next" w:hAnsi="Avenir Next" w:cs="Arial"/>
          <w:color w:val="808080" w:themeColor="background1" w:themeShade="80"/>
          <w:sz w:val="22"/>
          <w:szCs w:val="22"/>
          <w:lang w:val="en-GB"/>
        </w:rPr>
        <w:t xml:space="preserve"> as discussed</w:t>
      </w:r>
      <w:r>
        <w:rPr>
          <w:rFonts w:ascii="Avenir Next" w:hAnsi="Avenir Next" w:cs="Arial"/>
          <w:color w:val="808080" w:themeColor="background1" w:themeShade="80"/>
          <w:sz w:val="22"/>
          <w:szCs w:val="22"/>
          <w:lang w:val="en-GB"/>
        </w:rPr>
        <w:t xml:space="preserve"> does not require reciprocity. </w:t>
      </w:r>
    </w:p>
    <w:p w14:paraId="4EF269C2" w14:textId="77777777" w:rsidR="0050216A" w:rsidRDefault="0050216A" w:rsidP="00AC5402">
      <w:pPr>
        <w:ind w:left="426"/>
        <w:jc w:val="both"/>
        <w:rPr>
          <w:rFonts w:ascii="Avenir Next" w:hAnsi="Avenir Next" w:cs="Arial"/>
          <w:color w:val="808080" w:themeColor="background1" w:themeShade="80"/>
          <w:sz w:val="22"/>
          <w:szCs w:val="22"/>
          <w:lang w:val="en-GB"/>
        </w:rPr>
      </w:pPr>
    </w:p>
    <w:p w14:paraId="7E385A33" w14:textId="77777777" w:rsidR="00EB1625" w:rsidRDefault="0050216A" w:rsidP="00AC540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accordance with the Model Law, the State in which the entity’s COMI is located is considered the </w:t>
      </w:r>
      <w:r w:rsidR="00EB162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foreign main </w:t>
      </w:r>
      <w:r w:rsidR="00EB1625">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w:t>
      </w:r>
      <w:r w:rsidR="00EB162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w:t>
      </w:r>
      <w:r w:rsidR="00EB1625">
        <w:rPr>
          <w:rFonts w:ascii="Avenir Next" w:hAnsi="Avenir Next" w:cs="Arial"/>
          <w:color w:val="808080" w:themeColor="background1" w:themeShade="80"/>
          <w:sz w:val="22"/>
          <w:szCs w:val="22"/>
          <w:lang w:val="en-GB"/>
        </w:rPr>
        <w:t xml:space="preserve">insolvency representative in Italy may apply for recognition of the Italian proceedings in Australia, which would then be recognised as the foreign main proceedings. Relief would be granted upon recognition of the foreign main proceeding, including a stay of enforcement proceedings over assets of Norton. </w:t>
      </w:r>
    </w:p>
    <w:p w14:paraId="352BFF12" w14:textId="77777777" w:rsidR="00357CC2" w:rsidRDefault="00357CC2" w:rsidP="00AC5402">
      <w:pPr>
        <w:ind w:left="426"/>
        <w:jc w:val="both"/>
        <w:rPr>
          <w:rFonts w:ascii="Avenir Next" w:hAnsi="Avenir Next" w:cs="Arial"/>
          <w:color w:val="808080" w:themeColor="background1" w:themeShade="80"/>
          <w:sz w:val="22"/>
          <w:szCs w:val="22"/>
          <w:lang w:val="en-GB"/>
        </w:rPr>
      </w:pPr>
    </w:p>
    <w:p w14:paraId="3AF09E77" w14:textId="66C84839" w:rsidR="00CB0F55" w:rsidRDefault="00EB1625" w:rsidP="00CB0F55">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there are exceptions to the above in the case of secured assets</w:t>
      </w:r>
      <w:r w:rsidR="00E62043">
        <w:rPr>
          <w:rFonts w:ascii="Avenir Next" w:hAnsi="Avenir Next" w:cs="Arial"/>
          <w:color w:val="808080" w:themeColor="background1" w:themeShade="80"/>
          <w:sz w:val="22"/>
          <w:szCs w:val="22"/>
          <w:lang w:val="en-GB"/>
        </w:rPr>
        <w:t xml:space="preserve"> and in this circumstance, the law governing secured assets in Australia would apply. The Italian insolvent estate representative should firstly check the Australian Personal Property Securities Register to confirm that the security is valid. If it is invalid, the Italian insolvent state representative may be able to obtain authority to deal with this asset following recognition. If the charge is valid, then the secured creditor in Australia would retain their</w:t>
      </w:r>
      <w:r w:rsidR="00357CC2">
        <w:rPr>
          <w:rFonts w:ascii="Avenir Next" w:hAnsi="Avenir Next" w:cs="Arial"/>
          <w:color w:val="808080" w:themeColor="background1" w:themeShade="80"/>
          <w:sz w:val="22"/>
          <w:szCs w:val="22"/>
          <w:lang w:val="en-GB"/>
        </w:rPr>
        <w:t xml:space="preserve"> security</w:t>
      </w:r>
      <w:r w:rsidR="00E62043">
        <w:rPr>
          <w:rFonts w:ascii="Avenir Next" w:hAnsi="Avenir Next" w:cs="Arial"/>
          <w:color w:val="808080" w:themeColor="background1" w:themeShade="80"/>
          <w:sz w:val="22"/>
          <w:szCs w:val="22"/>
          <w:lang w:val="en-GB"/>
        </w:rPr>
        <w:t xml:space="preserve"> rights over these assets. </w:t>
      </w:r>
    </w:p>
    <w:p w14:paraId="66E3C20E" w14:textId="576ED10D" w:rsidR="002253D8" w:rsidRPr="002253D8" w:rsidRDefault="002253D8" w:rsidP="00357CC2">
      <w:pPr>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75F" w14:textId="77777777" w:rsidR="00C146AD" w:rsidRDefault="00C146AD" w:rsidP="00241B44">
      <w:r>
        <w:separator/>
      </w:r>
    </w:p>
  </w:endnote>
  <w:endnote w:type="continuationSeparator" w:id="0">
    <w:p w14:paraId="3B5640B8" w14:textId="77777777" w:rsidR="00C146AD" w:rsidRDefault="00C146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957D435" w:rsidR="00B64A85" w:rsidRPr="00297BDF" w:rsidRDefault="00357CC2" w:rsidP="0052732A">
    <w:pPr>
      <w:pStyle w:val="Footer"/>
      <w:ind w:right="360"/>
      <w:rPr>
        <w:rFonts w:ascii="Avenir Next" w:hAnsi="Avenir Next" w:cs="Arial"/>
        <w:sz w:val="22"/>
        <w:szCs w:val="22"/>
      </w:rPr>
    </w:pPr>
    <w:r>
      <w:rPr>
        <w:rFonts w:ascii="Avenir Next" w:hAnsi="Avenir Next" w:cs="Arial"/>
        <w:sz w:val="22"/>
        <w:szCs w:val="22"/>
      </w:rPr>
      <w:t>FC202324-1282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AEB4" w14:textId="77777777" w:rsidR="00C146AD" w:rsidRDefault="00C146AD" w:rsidP="00241B44">
      <w:r>
        <w:separator/>
      </w:r>
    </w:p>
  </w:footnote>
  <w:footnote w:type="continuationSeparator" w:id="0">
    <w:p w14:paraId="33132923" w14:textId="77777777" w:rsidR="00C146AD" w:rsidRDefault="00C146AD" w:rsidP="00241B44">
      <w:r>
        <w:continuationSeparator/>
      </w:r>
    </w:p>
  </w:footnote>
  <w:footnote w:id="1">
    <w:p w14:paraId="5BA25150" w14:textId="6B493836" w:rsidR="004364EF" w:rsidRDefault="004364EF">
      <w:pPr>
        <w:pStyle w:val="FootnoteText"/>
      </w:pPr>
      <w:r>
        <w:rPr>
          <w:rStyle w:val="FootnoteReference"/>
        </w:rPr>
        <w:footnoteRef/>
      </w:r>
      <w:r>
        <w:t xml:space="preserve"> Barty-King, Hugh, The Worst Poverty, Alan Sutton Publishing, 1977</w:t>
      </w:r>
    </w:p>
  </w:footnote>
  <w:footnote w:id="2">
    <w:p w14:paraId="3D971B66" w14:textId="6ACDDB41" w:rsidR="00CB3A8C" w:rsidRDefault="00CB3A8C">
      <w:pPr>
        <w:pStyle w:val="FootnoteText"/>
      </w:pPr>
      <w:r>
        <w:rPr>
          <w:rStyle w:val="FootnoteReference"/>
        </w:rPr>
        <w:footnoteRef/>
      </w:r>
      <w:r>
        <w:t xml:space="preserve"> J C Calitz, “Historical overview of state regulation of South African Insolvency Law” (2010) 16(2) </w:t>
      </w:r>
      <w:proofErr w:type="spellStart"/>
      <w:r>
        <w:t>Fundamina</w:t>
      </w:r>
      <w:proofErr w:type="spellEnd"/>
    </w:p>
  </w:footnote>
  <w:footnote w:id="3">
    <w:p w14:paraId="1A3B7148" w14:textId="3E703A7D" w:rsidR="00E80C8E" w:rsidRDefault="00E80C8E">
      <w:pPr>
        <w:pStyle w:val="FootnoteText"/>
      </w:pPr>
      <w:r>
        <w:rPr>
          <w:rStyle w:val="FootnoteReference"/>
        </w:rPr>
        <w:footnoteRef/>
      </w:r>
      <w:r>
        <w:t xml:space="preserve"> P J Omar, “A Panorama of International Insolvency Law: Part 1”, (2002) International Company and Commercial Law Review 366</w:t>
      </w:r>
    </w:p>
  </w:footnote>
  <w:footnote w:id="4">
    <w:p w14:paraId="7484B6C0" w14:textId="77777777" w:rsidR="00605A9F" w:rsidRDefault="00605A9F" w:rsidP="00605A9F">
      <w:pPr>
        <w:pStyle w:val="FootnoteText"/>
      </w:pPr>
      <w:r>
        <w:rPr>
          <w:rStyle w:val="FootnoteReference"/>
        </w:rPr>
        <w:footnoteRef/>
      </w:r>
      <w:r>
        <w:t xml:space="preserve"> Salafia, </w:t>
      </w:r>
      <w:r w:rsidRPr="003E61E3">
        <w:t xml:space="preserve">Cross-Border Insolvency Law in the United States &amp; Its Application to Multinational Corporate Groups, </w:t>
      </w:r>
      <w:r>
        <w:t xml:space="preserve">(Connecticut Journal of Int’l Law, </w:t>
      </w:r>
      <w:r w:rsidRPr="003E61E3">
        <w:t>2006</w:t>
      </w:r>
      <w:r>
        <w:t>)</w:t>
      </w:r>
    </w:p>
  </w:footnote>
  <w:footnote w:id="5">
    <w:p w14:paraId="2263DC3D" w14:textId="77777777" w:rsidR="00605A9F" w:rsidRDefault="00605A9F" w:rsidP="00605A9F">
      <w:pPr>
        <w:pStyle w:val="FootnoteText"/>
      </w:pPr>
      <w:r>
        <w:rPr>
          <w:rStyle w:val="FootnoteReference"/>
        </w:rPr>
        <w:footnoteRef/>
      </w:r>
      <w:r>
        <w:t xml:space="preserve"> EH Biery, </w:t>
      </w:r>
      <w:r w:rsidRPr="001F6C87">
        <w:t xml:space="preserve">A Look at Transnational Insolvencies &amp; Chapter 15 of the Bankruptcy Abuse Prevention and Consumer Prot. Act of 2005, </w:t>
      </w:r>
      <w:r>
        <w:t xml:space="preserve">(Boston College Law Review, </w:t>
      </w:r>
      <w:r w:rsidRPr="001F6C87">
        <w:t>2005</w:t>
      </w:r>
      <w:r>
        <w:t>)</w:t>
      </w:r>
    </w:p>
  </w:footnote>
  <w:footnote w:id="6">
    <w:p w14:paraId="0A293206" w14:textId="03B8C496" w:rsidR="007F700B" w:rsidRDefault="007F700B">
      <w:pPr>
        <w:pStyle w:val="FootnoteText"/>
      </w:pPr>
      <w:r>
        <w:rPr>
          <w:rStyle w:val="FootnoteReference"/>
        </w:rPr>
        <w:footnoteRef/>
      </w:r>
      <w:r>
        <w:t xml:space="preserve"> Ana Delic, Oxford Public International Law, </w:t>
      </w:r>
      <w:r w:rsidRPr="007F700B">
        <w:t>https://opil.ouplaw.com/page/530</w:t>
      </w:r>
    </w:p>
  </w:footnote>
  <w:footnote w:id="7">
    <w:p w14:paraId="4CF566C9" w14:textId="12012E89" w:rsidR="00AB76B8" w:rsidRDefault="00AB76B8">
      <w:pPr>
        <w:pStyle w:val="FootnoteText"/>
      </w:pPr>
      <w:r>
        <w:rPr>
          <w:rStyle w:val="FootnoteReference"/>
        </w:rPr>
        <w:footnoteRef/>
      </w:r>
      <w:r>
        <w:t xml:space="preserve"> Kurt H. </w:t>
      </w:r>
      <w:proofErr w:type="spellStart"/>
      <w:r>
        <w:t>Nadelmann</w:t>
      </w:r>
      <w:proofErr w:type="spellEnd"/>
      <w:r>
        <w:t>, A Report of the Montevideo Conference and Creditor Discrimination, University of Pennsylvania Law Review, 1951</w:t>
      </w:r>
    </w:p>
  </w:footnote>
  <w:footnote w:id="8">
    <w:p w14:paraId="57A7FDD8" w14:textId="4080F60C" w:rsidR="00CC5CA0" w:rsidRDefault="00CC5CA0">
      <w:pPr>
        <w:pStyle w:val="FootnoteText"/>
      </w:pPr>
      <w:r>
        <w:rPr>
          <w:rStyle w:val="FootnoteReference"/>
        </w:rPr>
        <w:footnoteRef/>
      </w:r>
      <w:r>
        <w:t xml:space="preserve"> Kurt H </w:t>
      </w:r>
      <w:proofErr w:type="spellStart"/>
      <w:r>
        <w:t>Nadelmann</w:t>
      </w:r>
      <w:proofErr w:type="spellEnd"/>
      <w:r>
        <w:t>, Concurrent Bankruptcies and Creditor Equality in the Americas, University of Pennsylvania Law Review, 1947</w:t>
      </w:r>
    </w:p>
  </w:footnote>
  <w:footnote w:id="9">
    <w:p w14:paraId="2F5D8501" w14:textId="6E64FDE0" w:rsidR="00FC78C3" w:rsidRDefault="00FC78C3">
      <w:pPr>
        <w:pStyle w:val="FootnoteText"/>
      </w:pPr>
      <w:r>
        <w:rPr>
          <w:rStyle w:val="FootnoteReference"/>
        </w:rPr>
        <w:footnoteRef/>
      </w:r>
      <w:r>
        <w:t xml:space="preserve"> Ian F. Fletcher, International Insolvency: A Case for Study and Treatment, The International Lawyer, 1993 (https://scholar.smu.edu/til/vol27/iss2/7)</w:t>
      </w:r>
    </w:p>
  </w:footnote>
  <w:footnote w:id="10">
    <w:p w14:paraId="2F41F4EC" w14:textId="508CF51E" w:rsidR="0069794B" w:rsidRDefault="0069794B">
      <w:pPr>
        <w:pStyle w:val="FootnoteText"/>
      </w:pPr>
      <w:r>
        <w:rPr>
          <w:rStyle w:val="FootnoteReference"/>
        </w:rPr>
        <w:footnoteRef/>
      </w:r>
      <w:r>
        <w:t xml:space="preserve"> Ian F. Fletcher, Insolvency in Private International Law – National and International Approaches, Oxford University Press, 2005</w:t>
      </w:r>
    </w:p>
  </w:footnote>
  <w:footnote w:id="11">
    <w:p w14:paraId="521DE4D8" w14:textId="39B98D39" w:rsidR="009E6E30" w:rsidRDefault="009E6E30">
      <w:pPr>
        <w:pStyle w:val="FootnoteText"/>
      </w:pPr>
      <w:r>
        <w:rPr>
          <w:rStyle w:val="FootnoteReference"/>
        </w:rPr>
        <w:footnoteRef/>
      </w:r>
      <w:r>
        <w:t xml:space="preserve"> P R Wood, Principles of International Insolvency (Sweet and Maxwell Ltd, 2007)</w:t>
      </w:r>
    </w:p>
  </w:footnote>
  <w:footnote w:id="12">
    <w:p w14:paraId="1A0450A7" w14:textId="58943D88" w:rsidR="00CA7EC5" w:rsidRDefault="00CA7EC5">
      <w:pPr>
        <w:pStyle w:val="FootnoteText"/>
      </w:pPr>
      <w:r>
        <w:rPr>
          <w:rStyle w:val="FootnoteReference"/>
        </w:rPr>
        <w:footnoteRef/>
      </w:r>
      <w:r>
        <w:t xml:space="preserve"> Ibid note </w:t>
      </w:r>
      <w:proofErr w:type="gramStart"/>
      <w:r>
        <w:t>9</w:t>
      </w:r>
      <w:proofErr w:type="gramEnd"/>
    </w:p>
  </w:footnote>
  <w:footnote w:id="13">
    <w:p w14:paraId="6D5ADD15" w14:textId="04CC08BD" w:rsidR="004819FD" w:rsidRDefault="004819FD">
      <w:pPr>
        <w:pStyle w:val="FootnoteText"/>
      </w:pPr>
      <w:r>
        <w:rPr>
          <w:rStyle w:val="FootnoteReference"/>
        </w:rPr>
        <w:footnoteRef/>
      </w:r>
      <w:r>
        <w:t xml:space="preserve"> M A Clarke et al, Commercial Law (Oxford University Press, 2017)</w:t>
      </w:r>
    </w:p>
  </w:footnote>
  <w:footnote w:id="14">
    <w:p w14:paraId="6B34B14F" w14:textId="22406C6A" w:rsidR="00342126" w:rsidRDefault="00342126">
      <w:pPr>
        <w:pStyle w:val="FootnoteText"/>
      </w:pPr>
      <w:r>
        <w:rPr>
          <w:rStyle w:val="FootnoteReference"/>
        </w:rPr>
        <w:footnoteRef/>
      </w:r>
      <w:r>
        <w:t xml:space="preserve"> P J Omar, “The Landscape of International Insolvency”, (2002)</w:t>
      </w:r>
    </w:p>
  </w:footnote>
  <w:footnote w:id="15">
    <w:p w14:paraId="315DF0DA" w14:textId="74AE12A4" w:rsidR="00C85C90" w:rsidRDefault="00C85C90">
      <w:pPr>
        <w:pStyle w:val="FootnoteText"/>
      </w:pPr>
      <w:r>
        <w:rPr>
          <w:rStyle w:val="FootnoteReference"/>
        </w:rPr>
        <w:footnoteRef/>
      </w:r>
      <w:r>
        <w:t xml:space="preserve"> H Friman. </w:t>
      </w:r>
      <w:r w:rsidR="00342126">
        <w:t xml:space="preserve">The discussion on cross-border insolvency rules </w:t>
      </w:r>
      <w:proofErr w:type="gramStart"/>
      <w:r w:rsidR="00342126">
        <w:t>are</w:t>
      </w:r>
      <w:proofErr w:type="gramEnd"/>
      <w:r w:rsidR="00342126">
        <w:t xml:space="preserve"> largely based on the master class notes initially drafted by H Friman for the LLM international insolvency law module at the University of Pretoria</w:t>
      </w:r>
    </w:p>
  </w:footnote>
  <w:footnote w:id="16">
    <w:p w14:paraId="1C9BE94C" w14:textId="0112C155" w:rsidR="00226678" w:rsidRDefault="00226678">
      <w:pPr>
        <w:pStyle w:val="FootnoteText"/>
      </w:pPr>
      <w:r>
        <w:rPr>
          <w:rStyle w:val="FootnoteReference"/>
        </w:rPr>
        <w:footnoteRef/>
      </w:r>
      <w:r>
        <w:t xml:space="preserve"> J L Westbrook, “Developments in Transnational Bankruptcy”, (1995) 39, St Louis University Law Journal 753</w:t>
      </w:r>
    </w:p>
  </w:footnote>
  <w:footnote w:id="17">
    <w:p w14:paraId="1E41409D" w14:textId="652C32BD" w:rsidR="00755B66" w:rsidRDefault="00755B66">
      <w:pPr>
        <w:pStyle w:val="FootnoteText"/>
      </w:pPr>
      <w:r>
        <w:rPr>
          <w:rStyle w:val="FootnoteReference"/>
        </w:rPr>
        <w:footnoteRef/>
      </w:r>
      <w:r>
        <w:t xml:space="preserve"> I </w:t>
      </w:r>
      <w:proofErr w:type="spellStart"/>
      <w:r>
        <w:t>Mevorach</w:t>
      </w:r>
      <w:proofErr w:type="spellEnd"/>
      <w:r>
        <w:t>, A Fresh View of the Hard/Soft Law Divide: Implications for International Insolvency of Enterprise Groups, (Michigan Journal of International Law, 2019)</w:t>
      </w:r>
    </w:p>
  </w:footnote>
  <w:footnote w:id="18">
    <w:p w14:paraId="77A952E9" w14:textId="56DB430F" w:rsidR="006761BF" w:rsidRDefault="006761BF">
      <w:pPr>
        <w:pStyle w:val="FootnoteText"/>
      </w:pPr>
      <w:r>
        <w:rPr>
          <w:rStyle w:val="FootnoteReference"/>
        </w:rPr>
        <w:footnoteRef/>
      </w:r>
      <w:r>
        <w:t xml:space="preserve"> H Holm-Nielsen, The Scandinavian Convention on Bankruptcy and Arrangements outside Bankruptcy, (Journal of Comparative Legislation and International Law, 1936)</w:t>
      </w:r>
    </w:p>
  </w:footnote>
  <w:footnote w:id="19">
    <w:p w14:paraId="26C78F76" w14:textId="18267933" w:rsidR="00725F1D" w:rsidRDefault="00725F1D">
      <w:pPr>
        <w:pStyle w:val="FootnoteText"/>
      </w:pPr>
      <w:r>
        <w:rPr>
          <w:rStyle w:val="FootnoteReference"/>
        </w:rPr>
        <w:footnoteRef/>
      </w:r>
      <w:r>
        <w:t xml:space="preserve"> D McKenzie, International Solutions to International Insolvency: An Insoluble Problem? (University of Baltimore Law Review, 1996)</w:t>
      </w:r>
    </w:p>
  </w:footnote>
  <w:footnote w:id="20">
    <w:p w14:paraId="7280B45B" w14:textId="27A15114" w:rsidR="00755B66" w:rsidRDefault="00755B66">
      <w:pPr>
        <w:pStyle w:val="FootnoteText"/>
      </w:pPr>
      <w:r>
        <w:rPr>
          <w:rStyle w:val="FootnoteReference"/>
        </w:rPr>
        <w:footnoteRef/>
      </w:r>
      <w:r>
        <w:t xml:space="preserve"> Ibid</w:t>
      </w:r>
    </w:p>
  </w:footnote>
  <w:footnote w:id="21">
    <w:p w14:paraId="62217AFA" w14:textId="6322004B" w:rsidR="00E260F0" w:rsidRDefault="00E260F0">
      <w:pPr>
        <w:pStyle w:val="FootnoteText"/>
      </w:pPr>
      <w:r>
        <w:rPr>
          <w:rStyle w:val="FootnoteReference"/>
        </w:rPr>
        <w:footnoteRef/>
      </w:r>
      <w:r>
        <w:t xml:space="preserve"> </w:t>
      </w:r>
      <w:hyperlink r:id="rId1" w:history="1">
        <w:r w:rsidRPr="00C13F44">
          <w:rPr>
            <w:rStyle w:val="Hyperlink"/>
          </w:rPr>
          <w:t>https://uncitral.un.org/en/texts/insolvency/modellaw/cross-border_insolvency/status</w:t>
        </w:r>
      </w:hyperlink>
      <w:r>
        <w:t xml:space="preserve"> Accessed 11 November 2023</w:t>
      </w:r>
    </w:p>
  </w:footnote>
  <w:footnote w:id="22">
    <w:p w14:paraId="41CDC6C5" w14:textId="088E8470" w:rsidR="000A37FD" w:rsidRDefault="000A37FD">
      <w:pPr>
        <w:pStyle w:val="FootnoteText"/>
      </w:pPr>
      <w:r>
        <w:rPr>
          <w:rStyle w:val="FootnoteReference"/>
        </w:rPr>
        <w:footnoteRef/>
      </w:r>
      <w:r>
        <w:t xml:space="preserve"> G A. Bermann, The UNCITRAL Model Law at the US State Level (Columbia Law School, 2023)</w:t>
      </w:r>
    </w:p>
  </w:footnote>
  <w:footnote w:id="23">
    <w:p w14:paraId="3E9A14DE" w14:textId="3FBDBE0B" w:rsidR="000A37FD" w:rsidRDefault="000A37FD">
      <w:pPr>
        <w:pStyle w:val="FootnoteText"/>
      </w:pPr>
      <w:r>
        <w:rPr>
          <w:rStyle w:val="FootnoteReference"/>
        </w:rPr>
        <w:footnoteRef/>
      </w:r>
      <w:r>
        <w:t xml:space="preserve"> </w:t>
      </w:r>
      <w:hyperlink r:id="rId2" w:history="1">
        <w:r w:rsidRPr="00C13F44">
          <w:rPr>
            <w:rStyle w:val="Hyperlink"/>
          </w:rPr>
          <w:t>https://uncitral.un.org/en/texts/insolvency/modellaw/cross-border_insolvency</w:t>
        </w:r>
      </w:hyperlink>
      <w:r>
        <w:t xml:space="preserve"> Accessed 11 November 2023</w:t>
      </w:r>
    </w:p>
  </w:footnote>
  <w:footnote w:id="24">
    <w:p w14:paraId="2588168F" w14:textId="3D08BB01" w:rsidR="000A37FD" w:rsidRDefault="000A37FD">
      <w:pPr>
        <w:pStyle w:val="FootnoteText"/>
      </w:pPr>
      <w:r>
        <w:rPr>
          <w:rStyle w:val="FootnoteReference"/>
        </w:rPr>
        <w:footnoteRef/>
      </w:r>
      <w:r>
        <w:t xml:space="preserve"> Article 2(c) UNCITRAL Model Law on Cross-Border Insolvency</w:t>
      </w:r>
    </w:p>
  </w:footnote>
  <w:footnote w:id="25">
    <w:p w14:paraId="4889E365" w14:textId="3F443907" w:rsidR="007866EB" w:rsidRDefault="007866EB">
      <w:pPr>
        <w:pStyle w:val="FootnoteText"/>
      </w:pPr>
      <w:r>
        <w:rPr>
          <w:rStyle w:val="FootnoteReference"/>
        </w:rPr>
        <w:footnoteRef/>
      </w:r>
      <w:r>
        <w:t xml:space="preserve"> Article 21.2 and 21.3 UNCITRAL Model Law on Cross-Border Insolvency</w:t>
      </w:r>
    </w:p>
  </w:footnote>
  <w:footnote w:id="26">
    <w:p w14:paraId="370C0FA5" w14:textId="13B305B6" w:rsidR="00B80318" w:rsidRDefault="00B80318">
      <w:pPr>
        <w:pStyle w:val="FootnoteText"/>
      </w:pPr>
      <w:r>
        <w:rPr>
          <w:rStyle w:val="FootnoteReference"/>
        </w:rPr>
        <w:footnoteRef/>
      </w:r>
      <w:r>
        <w:t xml:space="preserve"> </w:t>
      </w:r>
      <w:r w:rsidRPr="00B80318">
        <w:t>https://www.ilauk.com/docs/paper_comi_in_ec_reg_and_cbir.pdf</w:t>
      </w:r>
    </w:p>
  </w:footnote>
  <w:footnote w:id="27">
    <w:p w14:paraId="64320945" w14:textId="6F526596" w:rsidR="00994EEB" w:rsidRDefault="00994EEB">
      <w:pPr>
        <w:pStyle w:val="FootnoteText"/>
      </w:pPr>
      <w:r>
        <w:rPr>
          <w:rStyle w:val="FootnoteReference"/>
        </w:rPr>
        <w:footnoteRef/>
      </w:r>
      <w:r>
        <w:t xml:space="preserve"> Article 3, REGULATION (EU) 2015/848 OF THE EUROPEAN PARLIAMENT AND OF THE COUNCIL of 20 May 2015 on insolvency proceedings (recast)</w:t>
      </w:r>
    </w:p>
  </w:footnote>
  <w:footnote w:id="28">
    <w:p w14:paraId="6D6D8910" w14:textId="133082C7" w:rsidR="000F69D3" w:rsidRDefault="000F69D3">
      <w:pPr>
        <w:pStyle w:val="FootnoteText"/>
      </w:pPr>
      <w:r>
        <w:rPr>
          <w:rStyle w:val="FootnoteReference"/>
        </w:rPr>
        <w:footnoteRef/>
      </w:r>
      <w:r>
        <w:t xml:space="preserve"> Ibid, Article 19.2</w:t>
      </w:r>
    </w:p>
  </w:footnote>
  <w:footnote w:id="29">
    <w:p w14:paraId="26C70D1F" w14:textId="16E7EEBA" w:rsidR="000F69D3" w:rsidRDefault="000F69D3">
      <w:pPr>
        <w:pStyle w:val="FootnoteText"/>
      </w:pPr>
      <w:r>
        <w:rPr>
          <w:rStyle w:val="FootnoteReference"/>
        </w:rPr>
        <w:footnoteRef/>
      </w:r>
      <w:r>
        <w:t xml:space="preserve"> Ibid, Article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121AC8"/>
    <w:multiLevelType w:val="hybridMultilevel"/>
    <w:tmpl w:val="2708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C946B1"/>
    <w:multiLevelType w:val="hybridMultilevel"/>
    <w:tmpl w:val="C1546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2"/>
  </w:num>
  <w:num w:numId="4" w16cid:durableId="737018892">
    <w:abstractNumId w:val="4"/>
  </w:num>
  <w:num w:numId="5" w16cid:durableId="1158809076">
    <w:abstractNumId w:val="23"/>
  </w:num>
  <w:num w:numId="6" w16cid:durableId="415711827">
    <w:abstractNumId w:val="29"/>
  </w:num>
  <w:num w:numId="7" w16cid:durableId="1401949473">
    <w:abstractNumId w:val="15"/>
  </w:num>
  <w:num w:numId="8" w16cid:durableId="269552992">
    <w:abstractNumId w:val="34"/>
  </w:num>
  <w:num w:numId="9" w16cid:durableId="1367413161">
    <w:abstractNumId w:val="14"/>
  </w:num>
  <w:num w:numId="10" w16cid:durableId="220823057">
    <w:abstractNumId w:val="30"/>
  </w:num>
  <w:num w:numId="11" w16cid:durableId="858086195">
    <w:abstractNumId w:val="10"/>
  </w:num>
  <w:num w:numId="12" w16cid:durableId="2144808366">
    <w:abstractNumId w:val="31"/>
  </w:num>
  <w:num w:numId="13" w16cid:durableId="1139104618">
    <w:abstractNumId w:val="22"/>
  </w:num>
  <w:num w:numId="14" w16cid:durableId="1203787949">
    <w:abstractNumId w:val="21"/>
  </w:num>
  <w:num w:numId="15" w16cid:durableId="1140149903">
    <w:abstractNumId w:val="5"/>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9"/>
  </w:num>
  <w:num w:numId="21" w16cid:durableId="408573765">
    <w:abstractNumId w:val="18"/>
  </w:num>
  <w:num w:numId="22" w16cid:durableId="482936912">
    <w:abstractNumId w:val="0"/>
  </w:num>
  <w:num w:numId="23" w16cid:durableId="1308701288">
    <w:abstractNumId w:val="26"/>
  </w:num>
  <w:num w:numId="24" w16cid:durableId="1716081525">
    <w:abstractNumId w:val="1"/>
  </w:num>
  <w:num w:numId="25" w16cid:durableId="797064315">
    <w:abstractNumId w:val="32"/>
  </w:num>
  <w:num w:numId="26" w16cid:durableId="824904852">
    <w:abstractNumId w:val="35"/>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6"/>
  </w:num>
  <w:num w:numId="33" w16cid:durableId="732118212">
    <w:abstractNumId w:val="25"/>
  </w:num>
  <w:num w:numId="34" w16cid:durableId="1912503881">
    <w:abstractNumId w:val="13"/>
  </w:num>
  <w:num w:numId="35" w16cid:durableId="738331355">
    <w:abstractNumId w:val="12"/>
  </w:num>
  <w:num w:numId="36" w16cid:durableId="128712748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1D2"/>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2F72"/>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37FD"/>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0F69D3"/>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123"/>
    <w:rsid w:val="00125A7C"/>
    <w:rsid w:val="00126A4D"/>
    <w:rsid w:val="00131D42"/>
    <w:rsid w:val="0013278B"/>
    <w:rsid w:val="00135FFC"/>
    <w:rsid w:val="00136505"/>
    <w:rsid w:val="0014171F"/>
    <w:rsid w:val="00142E15"/>
    <w:rsid w:val="0014622C"/>
    <w:rsid w:val="00150F6C"/>
    <w:rsid w:val="00152348"/>
    <w:rsid w:val="0015328F"/>
    <w:rsid w:val="0015456D"/>
    <w:rsid w:val="00154B37"/>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2ECF"/>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4A01"/>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3CA"/>
    <w:rsid w:val="00223780"/>
    <w:rsid w:val="002253D8"/>
    <w:rsid w:val="0022667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456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41AE"/>
    <w:rsid w:val="002D0021"/>
    <w:rsid w:val="002D10A3"/>
    <w:rsid w:val="002D2356"/>
    <w:rsid w:val="002D295D"/>
    <w:rsid w:val="002D3473"/>
    <w:rsid w:val="002E043E"/>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A21"/>
    <w:rsid w:val="00306E87"/>
    <w:rsid w:val="00310FC2"/>
    <w:rsid w:val="003134B4"/>
    <w:rsid w:val="003144EF"/>
    <w:rsid w:val="003227BA"/>
    <w:rsid w:val="0032538A"/>
    <w:rsid w:val="00326292"/>
    <w:rsid w:val="00326415"/>
    <w:rsid w:val="00330937"/>
    <w:rsid w:val="00330F31"/>
    <w:rsid w:val="003326F0"/>
    <w:rsid w:val="00334648"/>
    <w:rsid w:val="00334A41"/>
    <w:rsid w:val="00336CA6"/>
    <w:rsid w:val="0033768C"/>
    <w:rsid w:val="00337938"/>
    <w:rsid w:val="00340769"/>
    <w:rsid w:val="00341A65"/>
    <w:rsid w:val="00341AA6"/>
    <w:rsid w:val="00342126"/>
    <w:rsid w:val="00342E57"/>
    <w:rsid w:val="003500E5"/>
    <w:rsid w:val="00355B57"/>
    <w:rsid w:val="00357CC2"/>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556"/>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E7C27"/>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1A39"/>
    <w:rsid w:val="004235F4"/>
    <w:rsid w:val="00426969"/>
    <w:rsid w:val="00426B64"/>
    <w:rsid w:val="00430FED"/>
    <w:rsid w:val="00434A8C"/>
    <w:rsid w:val="004364EF"/>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6F37"/>
    <w:rsid w:val="00467C71"/>
    <w:rsid w:val="0047084C"/>
    <w:rsid w:val="00470A63"/>
    <w:rsid w:val="00470C55"/>
    <w:rsid w:val="004715C1"/>
    <w:rsid w:val="004731F4"/>
    <w:rsid w:val="00474DDB"/>
    <w:rsid w:val="004819FD"/>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216A"/>
    <w:rsid w:val="00503266"/>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1BAD"/>
    <w:rsid w:val="00553EB2"/>
    <w:rsid w:val="00555C4D"/>
    <w:rsid w:val="00560534"/>
    <w:rsid w:val="0056391B"/>
    <w:rsid w:val="005650E2"/>
    <w:rsid w:val="00566D80"/>
    <w:rsid w:val="00567AD7"/>
    <w:rsid w:val="005716C3"/>
    <w:rsid w:val="00573594"/>
    <w:rsid w:val="00574C42"/>
    <w:rsid w:val="00575B2D"/>
    <w:rsid w:val="005800D0"/>
    <w:rsid w:val="005833D0"/>
    <w:rsid w:val="005846F3"/>
    <w:rsid w:val="005859D2"/>
    <w:rsid w:val="0058622F"/>
    <w:rsid w:val="005865D6"/>
    <w:rsid w:val="00586968"/>
    <w:rsid w:val="00590875"/>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E7966"/>
    <w:rsid w:val="005F026D"/>
    <w:rsid w:val="005F0764"/>
    <w:rsid w:val="005F19FA"/>
    <w:rsid w:val="005F244F"/>
    <w:rsid w:val="005F2D0B"/>
    <w:rsid w:val="005F453F"/>
    <w:rsid w:val="005F4B31"/>
    <w:rsid w:val="005F5449"/>
    <w:rsid w:val="005F6059"/>
    <w:rsid w:val="0060397D"/>
    <w:rsid w:val="00604723"/>
    <w:rsid w:val="00605A9F"/>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2263"/>
    <w:rsid w:val="00643ABE"/>
    <w:rsid w:val="00645ED9"/>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61BF"/>
    <w:rsid w:val="00677AEB"/>
    <w:rsid w:val="00680EF2"/>
    <w:rsid w:val="00682663"/>
    <w:rsid w:val="00682A3E"/>
    <w:rsid w:val="006850AE"/>
    <w:rsid w:val="00686C53"/>
    <w:rsid w:val="00687A1D"/>
    <w:rsid w:val="00692852"/>
    <w:rsid w:val="00695A40"/>
    <w:rsid w:val="0069794B"/>
    <w:rsid w:val="00697EA1"/>
    <w:rsid w:val="006A051A"/>
    <w:rsid w:val="006A2646"/>
    <w:rsid w:val="006A44B2"/>
    <w:rsid w:val="006A5634"/>
    <w:rsid w:val="006A6530"/>
    <w:rsid w:val="006A695F"/>
    <w:rsid w:val="006A6D1D"/>
    <w:rsid w:val="006B2893"/>
    <w:rsid w:val="006B37B2"/>
    <w:rsid w:val="006B435A"/>
    <w:rsid w:val="006B4539"/>
    <w:rsid w:val="006B4C64"/>
    <w:rsid w:val="006B5AE8"/>
    <w:rsid w:val="006B6969"/>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5F79"/>
    <w:rsid w:val="00721383"/>
    <w:rsid w:val="007216AD"/>
    <w:rsid w:val="00725F1D"/>
    <w:rsid w:val="00726E9A"/>
    <w:rsid w:val="00727864"/>
    <w:rsid w:val="007317BA"/>
    <w:rsid w:val="007333CC"/>
    <w:rsid w:val="007335D8"/>
    <w:rsid w:val="0073399A"/>
    <w:rsid w:val="00734FD4"/>
    <w:rsid w:val="007369C7"/>
    <w:rsid w:val="00741BCD"/>
    <w:rsid w:val="00741D74"/>
    <w:rsid w:val="00743531"/>
    <w:rsid w:val="007452BB"/>
    <w:rsid w:val="00745A5B"/>
    <w:rsid w:val="007462D9"/>
    <w:rsid w:val="00746A22"/>
    <w:rsid w:val="00747160"/>
    <w:rsid w:val="00751986"/>
    <w:rsid w:val="0075428A"/>
    <w:rsid w:val="00755B66"/>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689"/>
    <w:rsid w:val="007849D8"/>
    <w:rsid w:val="0078662F"/>
    <w:rsid w:val="007866EB"/>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E73E4"/>
    <w:rsid w:val="007F19A2"/>
    <w:rsid w:val="007F21A1"/>
    <w:rsid w:val="007F41F8"/>
    <w:rsid w:val="007F5B4C"/>
    <w:rsid w:val="007F700B"/>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30816"/>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C6E0F"/>
    <w:rsid w:val="008C7528"/>
    <w:rsid w:val="008D0122"/>
    <w:rsid w:val="008D3E17"/>
    <w:rsid w:val="008D5D34"/>
    <w:rsid w:val="008D7718"/>
    <w:rsid w:val="008D779B"/>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D69"/>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4EEB"/>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6E30"/>
    <w:rsid w:val="009F0C29"/>
    <w:rsid w:val="009F0C5A"/>
    <w:rsid w:val="00A00E32"/>
    <w:rsid w:val="00A02198"/>
    <w:rsid w:val="00A047EE"/>
    <w:rsid w:val="00A057CA"/>
    <w:rsid w:val="00A136AF"/>
    <w:rsid w:val="00A13F8F"/>
    <w:rsid w:val="00A149B7"/>
    <w:rsid w:val="00A177BC"/>
    <w:rsid w:val="00A17930"/>
    <w:rsid w:val="00A2274A"/>
    <w:rsid w:val="00A235B7"/>
    <w:rsid w:val="00A249AC"/>
    <w:rsid w:val="00A273DC"/>
    <w:rsid w:val="00A27A7A"/>
    <w:rsid w:val="00A301D1"/>
    <w:rsid w:val="00A31881"/>
    <w:rsid w:val="00A40529"/>
    <w:rsid w:val="00A407EF"/>
    <w:rsid w:val="00A411B7"/>
    <w:rsid w:val="00A42023"/>
    <w:rsid w:val="00A45800"/>
    <w:rsid w:val="00A46331"/>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875A6"/>
    <w:rsid w:val="00A90BDB"/>
    <w:rsid w:val="00A94F10"/>
    <w:rsid w:val="00A96062"/>
    <w:rsid w:val="00A96489"/>
    <w:rsid w:val="00A96BB0"/>
    <w:rsid w:val="00A97D88"/>
    <w:rsid w:val="00AA0E39"/>
    <w:rsid w:val="00AA1F76"/>
    <w:rsid w:val="00AA23CE"/>
    <w:rsid w:val="00AA2CBD"/>
    <w:rsid w:val="00AA323B"/>
    <w:rsid w:val="00AA5A58"/>
    <w:rsid w:val="00AA670C"/>
    <w:rsid w:val="00AB1B60"/>
    <w:rsid w:val="00AB337A"/>
    <w:rsid w:val="00AB5A37"/>
    <w:rsid w:val="00AB61D6"/>
    <w:rsid w:val="00AB685C"/>
    <w:rsid w:val="00AB6C2D"/>
    <w:rsid w:val="00AB76B8"/>
    <w:rsid w:val="00AC08F7"/>
    <w:rsid w:val="00AC126D"/>
    <w:rsid w:val="00AC3075"/>
    <w:rsid w:val="00AC36E5"/>
    <w:rsid w:val="00AC3839"/>
    <w:rsid w:val="00AC5402"/>
    <w:rsid w:val="00AC7082"/>
    <w:rsid w:val="00AD0662"/>
    <w:rsid w:val="00AD1B6B"/>
    <w:rsid w:val="00AD331C"/>
    <w:rsid w:val="00AD57A5"/>
    <w:rsid w:val="00AD65A8"/>
    <w:rsid w:val="00AD74AD"/>
    <w:rsid w:val="00AD76EF"/>
    <w:rsid w:val="00AD7A9A"/>
    <w:rsid w:val="00AE027F"/>
    <w:rsid w:val="00AE15CE"/>
    <w:rsid w:val="00AE4D6F"/>
    <w:rsid w:val="00AF1C2C"/>
    <w:rsid w:val="00AF228E"/>
    <w:rsid w:val="00AF455B"/>
    <w:rsid w:val="00AF5899"/>
    <w:rsid w:val="00B00C97"/>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6019"/>
    <w:rsid w:val="00B51213"/>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0318"/>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B7DE1"/>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1A16"/>
    <w:rsid w:val="00C02F29"/>
    <w:rsid w:val="00C04632"/>
    <w:rsid w:val="00C07B0B"/>
    <w:rsid w:val="00C146AD"/>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3B7"/>
    <w:rsid w:val="00C629CB"/>
    <w:rsid w:val="00C64554"/>
    <w:rsid w:val="00C673EB"/>
    <w:rsid w:val="00C71F4F"/>
    <w:rsid w:val="00C72848"/>
    <w:rsid w:val="00C750BA"/>
    <w:rsid w:val="00C7736C"/>
    <w:rsid w:val="00C80272"/>
    <w:rsid w:val="00C82D87"/>
    <w:rsid w:val="00C85C90"/>
    <w:rsid w:val="00C870D2"/>
    <w:rsid w:val="00C8712A"/>
    <w:rsid w:val="00C92A0D"/>
    <w:rsid w:val="00C952A2"/>
    <w:rsid w:val="00C963D3"/>
    <w:rsid w:val="00CA0B50"/>
    <w:rsid w:val="00CA1802"/>
    <w:rsid w:val="00CA6E99"/>
    <w:rsid w:val="00CA7EC5"/>
    <w:rsid w:val="00CB0F55"/>
    <w:rsid w:val="00CB1507"/>
    <w:rsid w:val="00CB262C"/>
    <w:rsid w:val="00CB2CBB"/>
    <w:rsid w:val="00CB3A8C"/>
    <w:rsid w:val="00CB3EB6"/>
    <w:rsid w:val="00CB7283"/>
    <w:rsid w:val="00CB7CAC"/>
    <w:rsid w:val="00CC467D"/>
    <w:rsid w:val="00CC5051"/>
    <w:rsid w:val="00CC5335"/>
    <w:rsid w:val="00CC579C"/>
    <w:rsid w:val="00CC5BA4"/>
    <w:rsid w:val="00CC5CA0"/>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369C"/>
    <w:rsid w:val="00D35229"/>
    <w:rsid w:val="00D35ADE"/>
    <w:rsid w:val="00D35EAE"/>
    <w:rsid w:val="00D4685B"/>
    <w:rsid w:val="00D5192B"/>
    <w:rsid w:val="00D57C59"/>
    <w:rsid w:val="00D60215"/>
    <w:rsid w:val="00D60874"/>
    <w:rsid w:val="00D63EFD"/>
    <w:rsid w:val="00D64CAE"/>
    <w:rsid w:val="00D6588F"/>
    <w:rsid w:val="00D676F1"/>
    <w:rsid w:val="00D714E4"/>
    <w:rsid w:val="00D761ED"/>
    <w:rsid w:val="00D829EB"/>
    <w:rsid w:val="00D84752"/>
    <w:rsid w:val="00D86851"/>
    <w:rsid w:val="00D86A74"/>
    <w:rsid w:val="00D86B3B"/>
    <w:rsid w:val="00D8748A"/>
    <w:rsid w:val="00D9049E"/>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1F34"/>
    <w:rsid w:val="00DF4D51"/>
    <w:rsid w:val="00DF687B"/>
    <w:rsid w:val="00DF6B44"/>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6A7E"/>
    <w:rsid w:val="00E177E2"/>
    <w:rsid w:val="00E17BF1"/>
    <w:rsid w:val="00E22DE4"/>
    <w:rsid w:val="00E25FB8"/>
    <w:rsid w:val="00E260F0"/>
    <w:rsid w:val="00E26E19"/>
    <w:rsid w:val="00E31DF3"/>
    <w:rsid w:val="00E37049"/>
    <w:rsid w:val="00E4126D"/>
    <w:rsid w:val="00E450A4"/>
    <w:rsid w:val="00E506BE"/>
    <w:rsid w:val="00E518B6"/>
    <w:rsid w:val="00E525B9"/>
    <w:rsid w:val="00E53AE9"/>
    <w:rsid w:val="00E54ADD"/>
    <w:rsid w:val="00E55547"/>
    <w:rsid w:val="00E55E9B"/>
    <w:rsid w:val="00E62043"/>
    <w:rsid w:val="00E6211B"/>
    <w:rsid w:val="00E6302B"/>
    <w:rsid w:val="00E64302"/>
    <w:rsid w:val="00E6452F"/>
    <w:rsid w:val="00E64F45"/>
    <w:rsid w:val="00E6525B"/>
    <w:rsid w:val="00E6742D"/>
    <w:rsid w:val="00E71CB0"/>
    <w:rsid w:val="00E72F8D"/>
    <w:rsid w:val="00E7537E"/>
    <w:rsid w:val="00E7793C"/>
    <w:rsid w:val="00E77C3D"/>
    <w:rsid w:val="00E80299"/>
    <w:rsid w:val="00E80C8E"/>
    <w:rsid w:val="00E8272F"/>
    <w:rsid w:val="00E84DA5"/>
    <w:rsid w:val="00E84DD5"/>
    <w:rsid w:val="00E86549"/>
    <w:rsid w:val="00E86D64"/>
    <w:rsid w:val="00E909F0"/>
    <w:rsid w:val="00E90B4B"/>
    <w:rsid w:val="00E90D47"/>
    <w:rsid w:val="00E91BE6"/>
    <w:rsid w:val="00E9261C"/>
    <w:rsid w:val="00E92DA7"/>
    <w:rsid w:val="00E93993"/>
    <w:rsid w:val="00E950C0"/>
    <w:rsid w:val="00E9597C"/>
    <w:rsid w:val="00EA0879"/>
    <w:rsid w:val="00EA0913"/>
    <w:rsid w:val="00EA4D77"/>
    <w:rsid w:val="00EA5317"/>
    <w:rsid w:val="00EA6550"/>
    <w:rsid w:val="00EA7BAB"/>
    <w:rsid w:val="00EB02BE"/>
    <w:rsid w:val="00EB146B"/>
    <w:rsid w:val="00EB1625"/>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6B51"/>
    <w:rsid w:val="00EE7278"/>
    <w:rsid w:val="00EF090E"/>
    <w:rsid w:val="00EF16B6"/>
    <w:rsid w:val="00EF1B1A"/>
    <w:rsid w:val="00EF2D08"/>
    <w:rsid w:val="00EF5705"/>
    <w:rsid w:val="00EF6164"/>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8C3"/>
    <w:rsid w:val="00FC7B47"/>
    <w:rsid w:val="00FD0169"/>
    <w:rsid w:val="00FD035C"/>
    <w:rsid w:val="00FD1240"/>
    <w:rsid w:val="00FD1A35"/>
    <w:rsid w:val="00FD36C5"/>
    <w:rsid w:val="00FD5723"/>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490C"/>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42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3376841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en/texts/insolvency/modellaw/cross-border_insolvency" TargetMode="External"/><Relationship Id="rId1" Type="http://schemas.openxmlformats.org/officeDocument/2006/relationships/hyperlink" Target="https://uncitral.un.org/en/texts/insolvency/modellaw/cross-border_insolvenc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Pippa Thompson (VG)</cp:lastModifiedBy>
  <cp:revision>2</cp:revision>
  <cp:lastPrinted>2020-06-12T02:43:00Z</cp:lastPrinted>
  <dcterms:created xsi:type="dcterms:W3CDTF">2023-11-14T22:34:00Z</dcterms:created>
  <dcterms:modified xsi:type="dcterms:W3CDTF">2023-11-14T22:34:00Z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