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4518BF" w:rsidRDefault="00806382" w:rsidP="00806382">
      <w:pPr>
        <w:pStyle w:val="ListParagraph"/>
        <w:numPr>
          <w:ilvl w:val="0"/>
          <w:numId w:val="15"/>
        </w:numPr>
        <w:ind w:left="425" w:hanging="357"/>
        <w:jc w:val="both"/>
        <w:rPr>
          <w:rFonts w:ascii="Avenir Next" w:hAnsi="Avenir Next" w:cs="Arial"/>
          <w:sz w:val="22"/>
          <w:szCs w:val="22"/>
          <w:highlight w:val="yellow"/>
        </w:rPr>
      </w:pPr>
      <w:r w:rsidRPr="004518BF">
        <w:rPr>
          <w:rFonts w:ascii="Avenir Next" w:hAnsi="Avenir Next" w:cs="Arial"/>
          <w:sz w:val="22"/>
          <w:szCs w:val="22"/>
          <w:highlight w:val="yellow"/>
        </w:rPr>
        <w:t xml:space="preserve">This statement is untrue since the word </w:t>
      </w:r>
      <w:r w:rsidR="00823AB4" w:rsidRPr="004518BF">
        <w:rPr>
          <w:rFonts w:ascii="Avenir Next" w:hAnsi="Avenir Next" w:cs="Arial"/>
          <w:sz w:val="22"/>
          <w:szCs w:val="22"/>
          <w:highlight w:val="yellow"/>
        </w:rPr>
        <w:t>“</w:t>
      </w:r>
      <w:r w:rsidRPr="004518BF">
        <w:rPr>
          <w:rFonts w:ascii="Avenir Next" w:hAnsi="Avenir Next" w:cs="Arial"/>
          <w:sz w:val="22"/>
          <w:szCs w:val="22"/>
          <w:highlight w:val="yellow"/>
        </w:rPr>
        <w:t>bankruptcy</w:t>
      </w:r>
      <w:r w:rsidR="00823AB4" w:rsidRPr="004518BF">
        <w:rPr>
          <w:rFonts w:ascii="Avenir Next" w:hAnsi="Avenir Next" w:cs="Arial"/>
          <w:sz w:val="22"/>
          <w:szCs w:val="22"/>
          <w:highlight w:val="yellow"/>
        </w:rPr>
        <w:t>”</w:t>
      </w:r>
      <w:r w:rsidRPr="004518B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DA42DA">
        <w:rPr>
          <w:rFonts w:ascii="Avenir Next" w:hAnsi="Avenir Next" w:cs="Arial"/>
          <w:sz w:val="22"/>
          <w:szCs w:val="22"/>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sidRPr="004518BF">
        <w:rPr>
          <w:rFonts w:ascii="Avenir Next" w:hAnsi="Avenir Next" w:cs="Arial"/>
          <w:sz w:val="22"/>
          <w:szCs w:val="22"/>
          <w:highlight w:val="yellow"/>
        </w:rPr>
        <w:t xml:space="preserve">(d)   An executory contract is a contract entered into by a debtor and another party, or other parties, prior to the occurrence of bankruptcy / insolvency which may generally be disclaimed by an </w:t>
      </w:r>
      <w:r w:rsidRPr="004518BF">
        <w:rPr>
          <w:rFonts w:ascii="Avenir Next" w:hAnsi="Avenir Next" w:cs="Arial"/>
          <w:sz w:val="22"/>
          <w:szCs w:val="22"/>
          <w:highlight w:val="yellow"/>
        </w:rPr>
        <w:lastRenderedPageBreak/>
        <w:t>insolvency representative upon the occurrence of bankruptcy / insolvency unless it is an employment contract.</w:t>
      </w:r>
      <w:r w:rsidRPr="0067589E">
        <w:rPr>
          <w:rFonts w:ascii="Avenir Next" w:hAnsi="Avenir Next" w:cs="Arial"/>
          <w:sz w:val="22"/>
          <w:szCs w:val="22"/>
        </w:rPr>
        <w:t xml:space="preserve">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9A199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9A199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52257D"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52257D">
        <w:rPr>
          <w:rFonts w:ascii="Avenir Next" w:hAnsi="Avenir Next" w:cs="Arial"/>
          <w:sz w:val="22"/>
          <w:szCs w:val="22"/>
          <w:highlight w:val="yellow"/>
          <w:lang w:val="en-GB"/>
        </w:rPr>
        <w:t xml:space="preserve">This statement is incorrect since a statutory discharge of debt was only introduced in 1705 in England.    </w:t>
      </w:r>
      <w:r w:rsidRPr="0052257D">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66A31" w:rsidRDefault="006514CD" w:rsidP="006514CD">
      <w:pPr>
        <w:pStyle w:val="ListParagraph"/>
        <w:numPr>
          <w:ilvl w:val="0"/>
          <w:numId w:val="19"/>
        </w:numPr>
        <w:ind w:left="425" w:hanging="357"/>
        <w:jc w:val="both"/>
        <w:rPr>
          <w:rFonts w:ascii="Avenir Next" w:hAnsi="Avenir Next" w:cs="Arial"/>
          <w:sz w:val="22"/>
          <w:szCs w:val="22"/>
          <w:highlight w:val="yellow"/>
        </w:rPr>
      </w:pPr>
      <w:r w:rsidRPr="00F66A31">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F66A31"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F66A31">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F66A31" w:rsidRDefault="00D761ED" w:rsidP="00D761ED">
      <w:pPr>
        <w:pStyle w:val="ListParagraph"/>
        <w:rPr>
          <w:rFonts w:ascii="Avenir Next" w:eastAsiaTheme="minorHAnsi" w:hAnsi="Avenir Next" w:cs="Arial"/>
          <w:sz w:val="22"/>
          <w:szCs w:val="22"/>
          <w:lang w:val="en-GB"/>
        </w:rPr>
      </w:pPr>
    </w:p>
    <w:p w14:paraId="25D835A2" w14:textId="74C7DED7" w:rsidR="00D761ED" w:rsidRPr="00F66A3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F66A31">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1D3F17C0" w14:textId="77777777" w:rsidR="004518BF" w:rsidRDefault="004518BF" w:rsidP="008071D5">
      <w:pPr>
        <w:jc w:val="both"/>
        <w:rPr>
          <w:rFonts w:ascii="Avenir Next Demi Bold" w:hAnsi="Avenir Next Demi Bold" w:cs="Arial"/>
          <w:b/>
          <w:bCs/>
          <w:sz w:val="22"/>
          <w:szCs w:val="22"/>
        </w:rPr>
      </w:pPr>
    </w:p>
    <w:p w14:paraId="7A4344AB" w14:textId="29B4EEEF"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66A31" w:rsidRDefault="00AD76EF" w:rsidP="00AD76EF">
      <w:pPr>
        <w:pStyle w:val="ListParagraph"/>
        <w:numPr>
          <w:ilvl w:val="0"/>
          <w:numId w:val="17"/>
        </w:numPr>
        <w:ind w:left="426"/>
        <w:jc w:val="both"/>
        <w:rPr>
          <w:rFonts w:ascii="Avenir Next" w:hAnsi="Avenir Next" w:cs="Arial"/>
          <w:sz w:val="22"/>
          <w:szCs w:val="22"/>
          <w:highlight w:val="yellow"/>
        </w:rPr>
      </w:pPr>
      <w:r w:rsidRPr="00F66A31">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66A3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66A31">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66A31" w:rsidRDefault="009661DE" w:rsidP="009661DE">
      <w:pPr>
        <w:pStyle w:val="ListParagraph"/>
        <w:numPr>
          <w:ilvl w:val="0"/>
          <w:numId w:val="23"/>
        </w:numPr>
        <w:ind w:left="426"/>
        <w:jc w:val="both"/>
        <w:rPr>
          <w:rFonts w:ascii="Avenir Next" w:hAnsi="Avenir Next" w:cs="Arial"/>
          <w:sz w:val="22"/>
          <w:szCs w:val="22"/>
          <w:highlight w:val="yellow"/>
        </w:rPr>
      </w:pPr>
      <w:r w:rsidRPr="00F66A3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313E86" w:rsidRDefault="003B3A0D" w:rsidP="003B3A0D">
      <w:pPr>
        <w:pStyle w:val="ListParagraph"/>
        <w:numPr>
          <w:ilvl w:val="0"/>
          <w:numId w:val="24"/>
        </w:numPr>
        <w:ind w:left="426"/>
        <w:jc w:val="both"/>
        <w:rPr>
          <w:rFonts w:ascii="Avenir Next" w:hAnsi="Avenir Next" w:cs="Arial"/>
          <w:sz w:val="22"/>
          <w:szCs w:val="22"/>
          <w:highlight w:val="yellow"/>
        </w:rPr>
      </w:pPr>
      <w:r w:rsidRPr="00313E86">
        <w:rPr>
          <w:rFonts w:ascii="Avenir Next" w:hAnsi="Avenir Next" w:cs="Arial"/>
          <w:sz w:val="22"/>
          <w:szCs w:val="22"/>
          <w:highlight w:val="yellow"/>
        </w:rPr>
        <w:t xml:space="preserve">This statement is untrue because universalism corresponds well to </w:t>
      </w:r>
      <w:proofErr w:type="spellStart"/>
      <w:r w:rsidRPr="00313E86">
        <w:rPr>
          <w:rFonts w:ascii="Avenir Next" w:hAnsi="Avenir Next" w:cs="Arial"/>
          <w:sz w:val="22"/>
          <w:szCs w:val="22"/>
          <w:highlight w:val="yellow"/>
        </w:rPr>
        <w:t>globali</w:t>
      </w:r>
      <w:r w:rsidR="00142E15" w:rsidRPr="00313E86">
        <w:rPr>
          <w:rFonts w:ascii="Avenir Next" w:hAnsi="Avenir Next" w:cs="Arial"/>
          <w:sz w:val="22"/>
          <w:szCs w:val="22"/>
          <w:highlight w:val="yellow"/>
        </w:rPr>
        <w:t>s</w:t>
      </w:r>
      <w:r w:rsidRPr="00313E86">
        <w:rPr>
          <w:rFonts w:ascii="Avenir Next" w:hAnsi="Avenir Next" w:cs="Arial"/>
          <w:sz w:val="22"/>
          <w:szCs w:val="22"/>
          <w:highlight w:val="yellow"/>
        </w:rPr>
        <w:t>ation</w:t>
      </w:r>
      <w:proofErr w:type="spellEnd"/>
      <w:r w:rsidRPr="00313E86">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60F0A50" w:rsidR="00CC7728" w:rsidRPr="00DA42DA" w:rsidRDefault="0065433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Insolvency law systems across the world can, at a very broad level, be categorised as</w:t>
      </w:r>
      <w:r w:rsidR="00A254A0">
        <w:rPr>
          <w:rFonts w:ascii="Avenir Next" w:hAnsi="Avenir Next" w:cs="Arial"/>
          <w:color w:val="808080" w:themeColor="background1" w:themeShade="80"/>
          <w:sz w:val="22"/>
          <w:szCs w:val="22"/>
          <w:lang w:val="en-GB"/>
        </w:rPr>
        <w:t xml:space="preserve"> English law systems (including, evidently, England) or civil law systems. </w:t>
      </w:r>
      <w:r w:rsidR="008F36A6">
        <w:rPr>
          <w:rFonts w:ascii="Avenir Next" w:hAnsi="Avenir Next" w:cs="Arial"/>
          <w:color w:val="808080" w:themeColor="background1" w:themeShade="80"/>
          <w:sz w:val="22"/>
          <w:szCs w:val="22"/>
          <w:lang w:val="en-GB"/>
        </w:rPr>
        <w:t>In England, insolvency law is (predominantly) rooted in the Insolvency Act 1986</w:t>
      </w:r>
      <w:r w:rsidR="0032570A">
        <w:rPr>
          <w:rFonts w:ascii="Avenir Next" w:hAnsi="Avenir Next" w:cs="Arial"/>
          <w:color w:val="808080" w:themeColor="background1" w:themeShade="80"/>
          <w:sz w:val="22"/>
          <w:szCs w:val="22"/>
          <w:lang w:val="en-GB"/>
        </w:rPr>
        <w:t xml:space="preserve"> (which also applies in Wales), which deals with consider (personal) and corporate bankruptcy in one comprehensive act. </w:t>
      </w:r>
      <w:r w:rsidR="007E28E7">
        <w:rPr>
          <w:rFonts w:ascii="Avenir Next" w:hAnsi="Avenir Next" w:cs="Arial"/>
          <w:color w:val="808080" w:themeColor="background1" w:themeShade="80"/>
          <w:sz w:val="22"/>
          <w:szCs w:val="22"/>
          <w:lang w:val="en-GB"/>
        </w:rPr>
        <w:t>Australia is an example of a country whose insolvency law is rooted in English law. Conversely, other countries operate a civil law system</w:t>
      </w:r>
      <w:r w:rsidR="009E2DE3">
        <w:rPr>
          <w:rFonts w:ascii="Avenir Next" w:hAnsi="Avenir Next" w:cs="Arial"/>
          <w:color w:val="808080" w:themeColor="background1" w:themeShade="80"/>
          <w:sz w:val="22"/>
          <w:szCs w:val="22"/>
          <w:lang w:val="en-GB"/>
        </w:rPr>
        <w:t>, including much of continental Europe</w:t>
      </w:r>
      <w:r w:rsidR="00A03559">
        <w:rPr>
          <w:rFonts w:ascii="Avenir Next" w:hAnsi="Avenir Next" w:cs="Arial"/>
          <w:color w:val="808080" w:themeColor="background1" w:themeShade="80"/>
          <w:sz w:val="22"/>
          <w:szCs w:val="22"/>
          <w:lang w:val="en-GB"/>
        </w:rPr>
        <w:t xml:space="preserve">, including – for example – the Netherlands. Dutch insolvency law, as a civil system, was (prior to the introduction </w:t>
      </w:r>
      <w:r w:rsidR="003944CA">
        <w:rPr>
          <w:rFonts w:ascii="Avenir Next" w:hAnsi="Avenir Next" w:cs="Arial"/>
          <w:color w:val="808080" w:themeColor="background1" w:themeShade="80"/>
          <w:sz w:val="22"/>
          <w:szCs w:val="22"/>
          <w:lang w:val="en-GB"/>
        </w:rPr>
        <w:t xml:space="preserve">of </w:t>
      </w:r>
      <w:proofErr w:type="spellStart"/>
      <w:r w:rsidR="003944CA">
        <w:rPr>
          <w:rFonts w:ascii="Avenir Next" w:hAnsi="Avenir Next" w:cs="Arial"/>
          <w:color w:val="808080" w:themeColor="background1" w:themeShade="80"/>
          <w:sz w:val="22"/>
          <w:szCs w:val="22"/>
          <w:lang w:val="en-GB"/>
        </w:rPr>
        <w:t>Schuldsanering</w:t>
      </w:r>
      <w:proofErr w:type="spellEnd"/>
      <w:r w:rsidR="003944CA">
        <w:rPr>
          <w:rFonts w:ascii="Avenir Next" w:hAnsi="Avenir Next" w:cs="Arial"/>
          <w:color w:val="808080" w:themeColor="background1" w:themeShade="80"/>
          <w:sz w:val="22"/>
          <w:szCs w:val="22"/>
          <w:lang w:val="en-GB"/>
        </w:rPr>
        <w:t xml:space="preserve">, which allowed for debtors to have a 'fresh start'), as was typical of many West-European countries, </w:t>
      </w:r>
      <w:r w:rsidR="00873097">
        <w:rPr>
          <w:rFonts w:ascii="Avenir Next" w:hAnsi="Avenir Next" w:cs="Arial"/>
          <w:color w:val="808080" w:themeColor="background1" w:themeShade="80"/>
          <w:sz w:val="22"/>
          <w:szCs w:val="22"/>
          <w:lang w:val="en-GB"/>
        </w:rPr>
        <w:t>considered to be pro-creditor (with no discharge being permitted unless creditors agreed).</w:t>
      </w:r>
      <w:r w:rsidR="00A03559">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19C8617F" w14:textId="77777777" w:rsidR="000863CB" w:rsidRDefault="005E6AF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Universalism is a</w:t>
      </w:r>
      <w:r w:rsidR="00DC02A7">
        <w:rPr>
          <w:rFonts w:ascii="Avenir Next" w:hAnsi="Avenir Next" w:cs="Arial"/>
          <w:color w:val="808080" w:themeColor="background1" w:themeShade="80"/>
          <w:sz w:val="22"/>
          <w:szCs w:val="22"/>
          <w:lang w:val="en-GB"/>
        </w:rPr>
        <w:t xml:space="preserve"> principle that aims to seek the solution to problems associated with cross-border insolvency. At its core is the belief that there should only be one insolvency </w:t>
      </w:r>
      <w:r w:rsidR="00D561CE">
        <w:rPr>
          <w:rFonts w:ascii="Avenir Next" w:hAnsi="Avenir Next" w:cs="Arial"/>
          <w:color w:val="808080" w:themeColor="background1" w:themeShade="80"/>
          <w:sz w:val="22"/>
          <w:szCs w:val="22"/>
          <w:lang w:val="en-GB"/>
        </w:rPr>
        <w:t>proceeding which covers all of the debtor's assets and debts globally and that – once those proceedings are opened – no other proceeding ought to be possible in any other jurisdiction</w:t>
      </w:r>
      <w:r w:rsidR="000863CB">
        <w:rPr>
          <w:rFonts w:ascii="Avenir Next" w:hAnsi="Avenir Next" w:cs="Arial"/>
          <w:color w:val="808080" w:themeColor="background1" w:themeShade="80"/>
          <w:sz w:val="22"/>
          <w:szCs w:val="22"/>
          <w:lang w:val="en-GB"/>
        </w:rPr>
        <w:t xml:space="preserve">, or forms of execution against the debtor's assets. </w:t>
      </w:r>
    </w:p>
    <w:p w14:paraId="3C07868C" w14:textId="77777777" w:rsidR="000863CB" w:rsidRDefault="000863CB" w:rsidP="00DA42DA">
      <w:pPr>
        <w:jc w:val="both"/>
        <w:rPr>
          <w:rFonts w:ascii="Avenir Next" w:hAnsi="Avenir Next" w:cs="Arial"/>
          <w:color w:val="808080" w:themeColor="background1" w:themeShade="80"/>
          <w:sz w:val="22"/>
          <w:szCs w:val="22"/>
          <w:lang w:val="en-GB"/>
        </w:rPr>
      </w:pPr>
    </w:p>
    <w:p w14:paraId="216D3C8D" w14:textId="7EB1672A" w:rsidR="00DA42DA" w:rsidRDefault="000863C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is a principle that runs in opposition to universalism, and advocates for insolvency proceedings being commenced in every jurisdiction where the debtor holds assets but</w:t>
      </w:r>
      <w:r w:rsidR="00A50D53">
        <w:rPr>
          <w:rFonts w:ascii="Avenir Next" w:hAnsi="Avenir Next" w:cs="Arial"/>
          <w:color w:val="808080" w:themeColor="background1" w:themeShade="80"/>
          <w:sz w:val="22"/>
          <w:szCs w:val="22"/>
          <w:lang w:val="en-GB"/>
        </w:rPr>
        <w:t xml:space="preserve"> – importantly -</w:t>
      </w:r>
      <w:r w:rsidR="00740D61">
        <w:rPr>
          <w:rFonts w:ascii="Avenir Next" w:hAnsi="Avenir Next" w:cs="Arial"/>
          <w:color w:val="808080" w:themeColor="background1" w:themeShade="80"/>
          <w:sz w:val="22"/>
          <w:szCs w:val="22"/>
          <w:lang w:val="en-GB"/>
        </w:rPr>
        <w:t xml:space="preserve"> proposes</w:t>
      </w:r>
      <w:r>
        <w:rPr>
          <w:rFonts w:ascii="Avenir Next" w:hAnsi="Avenir Next" w:cs="Arial"/>
          <w:color w:val="808080" w:themeColor="background1" w:themeShade="80"/>
          <w:sz w:val="22"/>
          <w:szCs w:val="22"/>
          <w:lang w:val="en-GB"/>
        </w:rPr>
        <w:t xml:space="preserve"> </w:t>
      </w:r>
      <w:r w:rsidR="00A64150">
        <w:rPr>
          <w:rFonts w:ascii="Avenir Next" w:hAnsi="Avenir Next" w:cs="Arial"/>
          <w:color w:val="808080" w:themeColor="background1" w:themeShade="80"/>
          <w:sz w:val="22"/>
          <w:szCs w:val="22"/>
          <w:lang w:val="en-GB"/>
        </w:rPr>
        <w:t xml:space="preserve">those proceedings being territorially limited and restricted </w:t>
      </w:r>
      <w:r w:rsidR="00AE3E1E">
        <w:rPr>
          <w:rFonts w:ascii="Avenir Next" w:hAnsi="Avenir Next" w:cs="Arial"/>
          <w:color w:val="808080" w:themeColor="background1" w:themeShade="80"/>
          <w:sz w:val="22"/>
          <w:szCs w:val="22"/>
          <w:lang w:val="en-GB"/>
        </w:rPr>
        <w:t>to the debtor's property within that jurisdiction</w:t>
      </w:r>
      <w:r w:rsidR="009A67B6">
        <w:rPr>
          <w:rFonts w:ascii="Avenir Next" w:hAnsi="Avenir Next" w:cs="Arial"/>
          <w:color w:val="808080" w:themeColor="background1" w:themeShade="80"/>
          <w:sz w:val="22"/>
          <w:szCs w:val="22"/>
          <w:lang w:val="en-GB"/>
        </w:rPr>
        <w:t xml:space="preserve">. </w:t>
      </w:r>
      <w:r w:rsidR="00740D61">
        <w:rPr>
          <w:rFonts w:ascii="Avenir Next" w:hAnsi="Avenir Next" w:cs="Arial"/>
          <w:color w:val="808080" w:themeColor="background1" w:themeShade="80"/>
          <w:sz w:val="22"/>
          <w:szCs w:val="22"/>
          <w:lang w:val="en-GB"/>
        </w:rPr>
        <w:t xml:space="preserve">This can lead to a plurality of insolvency proceedings. </w:t>
      </w:r>
    </w:p>
    <w:p w14:paraId="03A3803C" w14:textId="3AFB9DA7" w:rsidR="00E96A9E" w:rsidRDefault="00E96A9E" w:rsidP="00DA42DA">
      <w:pPr>
        <w:jc w:val="both"/>
        <w:rPr>
          <w:rFonts w:ascii="Avenir Next" w:hAnsi="Avenir Next" w:cs="Arial"/>
          <w:color w:val="808080" w:themeColor="background1" w:themeShade="80"/>
          <w:sz w:val="22"/>
          <w:szCs w:val="22"/>
          <w:lang w:val="en-GB"/>
        </w:rPr>
      </w:pPr>
    </w:p>
    <w:p w14:paraId="4E321F89" w14:textId="399B03FC" w:rsidR="00E96A9E" w:rsidRPr="00DA42DA" w:rsidRDefault="00E96A9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is an approach whereby a "main proceeding" is opened in the jurisdiction where the debtor's main centre of interests has been determined, which is then supported by secondary or ancillary proceedings in other jurisdictions.  </w:t>
      </w:r>
      <w:r w:rsidR="00306678">
        <w:rPr>
          <w:rFonts w:ascii="Avenir Next" w:hAnsi="Avenir Next" w:cs="Arial"/>
          <w:color w:val="808080" w:themeColor="background1" w:themeShade="80"/>
          <w:sz w:val="22"/>
          <w:szCs w:val="22"/>
          <w:lang w:val="en-GB"/>
        </w:rPr>
        <w:t xml:space="preserve">The courts dealing with the various sets of proceedings are then supposed to cooperate with each other. </w:t>
      </w:r>
      <w:r>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331E0F1" w14:textId="77777777" w:rsidR="000E18BE" w:rsidRDefault="00803D1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states have </w:t>
      </w:r>
      <w:r w:rsidR="000E18BE">
        <w:rPr>
          <w:rFonts w:ascii="Avenir Next" w:hAnsi="Avenir Next" w:cs="Arial"/>
          <w:color w:val="808080" w:themeColor="background1" w:themeShade="80"/>
          <w:sz w:val="22"/>
          <w:szCs w:val="22"/>
          <w:lang w:val="en-GB"/>
        </w:rPr>
        <w:t xml:space="preserve">executed various multi-lateral agreements designed to manage international insolvency issues. These include: </w:t>
      </w:r>
    </w:p>
    <w:p w14:paraId="281DA637" w14:textId="77777777" w:rsidR="000E18BE" w:rsidRDefault="000E18BE" w:rsidP="00DA42DA">
      <w:pPr>
        <w:jc w:val="both"/>
        <w:rPr>
          <w:rFonts w:ascii="Avenir Next" w:hAnsi="Avenir Next" w:cs="Arial"/>
          <w:color w:val="808080" w:themeColor="background1" w:themeShade="80"/>
          <w:sz w:val="22"/>
          <w:szCs w:val="22"/>
          <w:lang w:val="en-GB"/>
        </w:rPr>
      </w:pPr>
    </w:p>
    <w:p w14:paraId="282B256C" w14:textId="77777777" w:rsidR="000E18BE" w:rsidRDefault="000E18BE" w:rsidP="000E18B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Treaties (1889 and 1940); and </w:t>
      </w:r>
    </w:p>
    <w:p w14:paraId="7977ABF7" w14:textId="77777777" w:rsidR="000E18BE" w:rsidRDefault="000E18BE" w:rsidP="000E18BE">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Havana Convention on Private International Law (1928). </w:t>
      </w:r>
    </w:p>
    <w:p w14:paraId="374F7F78" w14:textId="77777777" w:rsidR="000E18BE" w:rsidRDefault="000E18BE" w:rsidP="000E18BE">
      <w:pPr>
        <w:jc w:val="both"/>
        <w:rPr>
          <w:rFonts w:ascii="Avenir Next" w:hAnsi="Avenir Next" w:cs="Arial"/>
          <w:color w:val="808080" w:themeColor="background1" w:themeShade="80"/>
          <w:sz w:val="22"/>
          <w:szCs w:val="22"/>
          <w:lang w:val="en-GB"/>
        </w:rPr>
      </w:pPr>
    </w:p>
    <w:p w14:paraId="61900735" w14:textId="0A3EA9DC" w:rsidR="00DA42DA" w:rsidRDefault="00432928" w:rsidP="000E1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1889 Montevideo Treaty covers personal and corporate insolvency, and allocates bankruptcy jurisdiction based on the debtor's commercial domicile</w:t>
      </w:r>
      <w:r w:rsidR="001D0335">
        <w:rPr>
          <w:rFonts w:ascii="Avenir Next" w:hAnsi="Avenir Next" w:cs="Arial"/>
          <w:color w:val="808080" w:themeColor="background1" w:themeShade="80"/>
          <w:sz w:val="22"/>
          <w:szCs w:val="22"/>
          <w:lang w:val="en-GB"/>
        </w:rPr>
        <w:t>. W</w:t>
      </w:r>
      <w:r>
        <w:rPr>
          <w:rFonts w:ascii="Avenir Next" w:hAnsi="Avenir Next" w:cs="Arial"/>
          <w:color w:val="808080" w:themeColor="background1" w:themeShade="80"/>
          <w:sz w:val="22"/>
          <w:szCs w:val="22"/>
          <w:lang w:val="en-GB"/>
        </w:rPr>
        <w:t>here a debtor has a commercial domicile in one treaty state, even if the debtor trades in more than one treaty state or has branches in another state</w:t>
      </w:r>
      <w:r w:rsidR="001D0335">
        <w:rPr>
          <w:rFonts w:ascii="Avenir Next" w:hAnsi="Avenir Next" w:cs="Arial"/>
          <w:color w:val="808080" w:themeColor="background1" w:themeShade="80"/>
          <w:sz w:val="22"/>
          <w:szCs w:val="22"/>
          <w:lang w:val="en-GB"/>
        </w:rPr>
        <w:t xml:space="preserve">, the Treaty provides for one set of proceedings in the commercial domicile. If the debtor has two </w:t>
      </w:r>
      <w:r w:rsidR="001D0335">
        <w:rPr>
          <w:rFonts w:ascii="Avenir Next" w:hAnsi="Avenir Next" w:cs="Arial"/>
          <w:color w:val="808080" w:themeColor="background1" w:themeShade="80"/>
          <w:sz w:val="22"/>
          <w:szCs w:val="22"/>
          <w:lang w:val="en-GB"/>
        </w:rPr>
        <w:lastRenderedPageBreak/>
        <w:t xml:space="preserve">or more </w:t>
      </w:r>
      <w:r w:rsidR="00FB76CD">
        <w:rPr>
          <w:rFonts w:ascii="Avenir Next" w:hAnsi="Avenir Next" w:cs="Arial"/>
          <w:color w:val="808080" w:themeColor="background1" w:themeShade="80"/>
          <w:sz w:val="22"/>
          <w:szCs w:val="22"/>
          <w:lang w:val="en-GB"/>
        </w:rPr>
        <w:t xml:space="preserve">economically autonomous businesses in different treaty states, concurrent proceedings are possible. </w:t>
      </w:r>
    </w:p>
    <w:p w14:paraId="28CD568E" w14:textId="77777777" w:rsidR="00FB76CD" w:rsidRDefault="00FB76CD" w:rsidP="000E18BE">
      <w:pPr>
        <w:jc w:val="both"/>
        <w:rPr>
          <w:rFonts w:ascii="Avenir Next" w:hAnsi="Avenir Next" w:cs="Arial"/>
          <w:color w:val="808080" w:themeColor="background1" w:themeShade="80"/>
          <w:sz w:val="22"/>
          <w:szCs w:val="22"/>
          <w:lang w:val="en-GB"/>
        </w:rPr>
      </w:pPr>
    </w:p>
    <w:p w14:paraId="3ED9E8D7" w14:textId="77777777" w:rsidR="005E2390" w:rsidRDefault="00FB76CD" w:rsidP="000E1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w:t>
      </w:r>
      <w:r w:rsidR="00E04B46">
        <w:rPr>
          <w:rFonts w:ascii="Avenir Next" w:hAnsi="Avenir Next" w:cs="Arial"/>
          <w:color w:val="808080" w:themeColor="background1" w:themeShade="80"/>
          <w:sz w:val="22"/>
          <w:szCs w:val="22"/>
          <w:lang w:val="en-GB"/>
        </w:rPr>
        <w:t>is more supportive than the Montevideo Treaties of an approach that permits a single proceeding being commenced with universal effect throughout the region</w:t>
      </w:r>
      <w:r w:rsidR="00B23DE5">
        <w:rPr>
          <w:rFonts w:ascii="Avenir Next" w:hAnsi="Avenir Next" w:cs="Arial"/>
          <w:color w:val="808080" w:themeColor="background1" w:themeShade="80"/>
          <w:sz w:val="22"/>
          <w:szCs w:val="22"/>
          <w:lang w:val="en-GB"/>
        </w:rPr>
        <w:t xml:space="preserve"> if the debtor / insolvent company has only one civil or commercial domicile. However,</w:t>
      </w:r>
      <w:r w:rsidR="007A0273">
        <w:rPr>
          <w:rFonts w:ascii="Avenir Next" w:hAnsi="Avenir Next" w:cs="Arial"/>
          <w:color w:val="808080" w:themeColor="background1" w:themeShade="80"/>
          <w:sz w:val="22"/>
          <w:szCs w:val="22"/>
          <w:lang w:val="en-GB"/>
        </w:rPr>
        <w:t xml:space="preserve"> there may be concurrent proceedings in Havana Convention states that contain commercial establishments operating entirely separately economically (Article 415). </w:t>
      </w:r>
      <w:r w:rsidR="006F1820">
        <w:rPr>
          <w:rFonts w:ascii="Avenir Next" w:hAnsi="Avenir Next" w:cs="Arial"/>
          <w:color w:val="808080" w:themeColor="background1" w:themeShade="80"/>
          <w:sz w:val="22"/>
          <w:szCs w:val="22"/>
          <w:lang w:val="en-GB"/>
        </w:rPr>
        <w:t xml:space="preserve">Where there are concurrent proceedings, the Havana Convention does not provide procedures for cooperation or coordination of those proceedings. </w:t>
      </w:r>
    </w:p>
    <w:p w14:paraId="7B281096" w14:textId="77777777" w:rsidR="005E2390" w:rsidRDefault="005E2390" w:rsidP="000E18BE">
      <w:pPr>
        <w:jc w:val="both"/>
        <w:rPr>
          <w:rFonts w:ascii="Avenir Next" w:hAnsi="Avenir Next" w:cs="Arial"/>
          <w:color w:val="808080" w:themeColor="background1" w:themeShade="80"/>
          <w:sz w:val="22"/>
          <w:szCs w:val="22"/>
          <w:lang w:val="en-GB"/>
        </w:rPr>
      </w:pPr>
    </w:p>
    <w:p w14:paraId="4EB31D39" w14:textId="522AA564" w:rsidR="00FB76CD" w:rsidRPr="000E18BE" w:rsidRDefault="005E2390" w:rsidP="000E18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Different countries have ratified the Montevideo Treaties and the Havana Convention. </w:t>
      </w:r>
      <w:r w:rsidR="003D47CB">
        <w:rPr>
          <w:rFonts w:ascii="Avenir Next" w:hAnsi="Avenir Next" w:cs="Arial"/>
          <w:color w:val="808080" w:themeColor="background1" w:themeShade="80"/>
          <w:sz w:val="22"/>
          <w:szCs w:val="22"/>
          <w:lang w:val="en-GB"/>
        </w:rPr>
        <w:t xml:space="preserv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B46E02" w:rsidRDefault="003A00FE" w:rsidP="003A00FE">
      <w:pPr>
        <w:jc w:val="both"/>
        <w:rPr>
          <w:rFonts w:ascii="Avenir Next" w:hAnsi="Avenir Next" w:cs="Arial"/>
          <w:sz w:val="22"/>
          <w:szCs w:val="22"/>
          <w:lang w:val="en-GB"/>
        </w:rPr>
      </w:pPr>
      <w:r w:rsidRPr="00B46E02">
        <w:rPr>
          <w:rFonts w:ascii="Avenir Next" w:hAnsi="Avenir Next" w:cs="Arial"/>
          <w:sz w:val="22"/>
          <w:szCs w:val="22"/>
          <w:lang w:val="en-GB"/>
        </w:rPr>
        <w:t>It is said that the terms “bankruptcy” and “insolvency” may be used interchangeably. Discuss whether or not you agree with this statement</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and why or why not. In your answer take care to include a discussion regarding: (</w:t>
      </w:r>
      <w:proofErr w:type="spellStart"/>
      <w:r w:rsidRPr="00B46E02">
        <w:rPr>
          <w:rFonts w:ascii="Avenir Next" w:hAnsi="Avenir Next" w:cs="Arial"/>
          <w:sz w:val="22"/>
          <w:szCs w:val="22"/>
          <w:lang w:val="en-GB"/>
        </w:rPr>
        <w:t>i</w:t>
      </w:r>
      <w:proofErr w:type="spellEnd"/>
      <w:r w:rsidRPr="00B46E02">
        <w:rPr>
          <w:rFonts w:ascii="Avenir Next" w:hAnsi="Avenir Next" w:cs="Arial"/>
          <w:sz w:val="22"/>
          <w:szCs w:val="22"/>
          <w:lang w:val="en-GB"/>
        </w:rPr>
        <w:t xml:space="preserve">) what meaning may be ascribed to </w:t>
      </w:r>
      <w:r w:rsidR="005D72F3" w:rsidRPr="00B46E02">
        <w:rPr>
          <w:rFonts w:ascii="Avenir Next" w:hAnsi="Avenir Next" w:cs="Arial"/>
          <w:sz w:val="22"/>
          <w:szCs w:val="22"/>
          <w:lang w:val="en-GB"/>
        </w:rPr>
        <w:t>“</w:t>
      </w:r>
      <w:r w:rsidRPr="00B46E02">
        <w:rPr>
          <w:rFonts w:ascii="Avenir Next" w:hAnsi="Avenir Next" w:cs="Arial"/>
          <w:sz w:val="22"/>
          <w:szCs w:val="22"/>
          <w:lang w:val="en-GB"/>
        </w:rPr>
        <w:t>bankruptcy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and </w:t>
      </w:r>
      <w:r w:rsidR="005D72F3" w:rsidRPr="00B46E02">
        <w:rPr>
          <w:rFonts w:ascii="Avenir Next" w:hAnsi="Avenir Next" w:cs="Arial"/>
          <w:sz w:val="22"/>
          <w:szCs w:val="22"/>
          <w:lang w:val="en-GB"/>
        </w:rPr>
        <w:t>“</w:t>
      </w:r>
      <w:r w:rsidRPr="00B46E02">
        <w:rPr>
          <w:rFonts w:ascii="Avenir Next" w:hAnsi="Avenir Next" w:cs="Arial"/>
          <w:sz w:val="22"/>
          <w:szCs w:val="22"/>
          <w:lang w:val="en-GB"/>
        </w:rPr>
        <w:t>insolvency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(ii) the essential characteristics of </w:t>
      </w:r>
      <w:r w:rsidR="005D72F3" w:rsidRPr="00B46E02">
        <w:rPr>
          <w:rFonts w:ascii="Avenir Next" w:hAnsi="Avenir Next" w:cs="Arial"/>
          <w:sz w:val="22"/>
          <w:szCs w:val="22"/>
          <w:lang w:val="en-GB"/>
        </w:rPr>
        <w:t>“</w:t>
      </w:r>
      <w:r w:rsidRPr="00B46E02">
        <w:rPr>
          <w:rFonts w:ascii="Avenir Next" w:hAnsi="Avenir Next" w:cs="Arial"/>
          <w:sz w:val="22"/>
          <w:szCs w:val="22"/>
          <w:lang w:val="en-GB"/>
        </w:rPr>
        <w:t>bankruptcy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and </w:t>
      </w:r>
      <w:r w:rsidR="005D72F3" w:rsidRPr="00B46E02">
        <w:rPr>
          <w:rFonts w:ascii="Avenir Next" w:hAnsi="Avenir Next" w:cs="Arial"/>
          <w:sz w:val="22"/>
          <w:szCs w:val="22"/>
          <w:lang w:val="en-GB"/>
        </w:rPr>
        <w:t>“</w:t>
      </w:r>
      <w:r w:rsidRPr="00B46E02">
        <w:rPr>
          <w:rFonts w:ascii="Avenir Next" w:hAnsi="Avenir Next" w:cs="Arial"/>
          <w:sz w:val="22"/>
          <w:szCs w:val="22"/>
          <w:lang w:val="en-GB"/>
        </w:rPr>
        <w:t>insolvency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and (iii) any differences that may arise when a </w:t>
      </w:r>
      <w:r w:rsidR="005D72F3" w:rsidRPr="00B46E02">
        <w:rPr>
          <w:rFonts w:ascii="Avenir Next" w:hAnsi="Avenir Next" w:cs="Arial"/>
          <w:sz w:val="22"/>
          <w:szCs w:val="22"/>
          <w:lang w:val="en-GB"/>
        </w:rPr>
        <w:t>“</w:t>
      </w:r>
      <w:r w:rsidRPr="00B46E02">
        <w:rPr>
          <w:rFonts w:ascii="Avenir Next" w:hAnsi="Avenir Next" w:cs="Arial"/>
          <w:sz w:val="22"/>
          <w:szCs w:val="22"/>
          <w:lang w:val="en-GB"/>
        </w:rPr>
        <w:t>bankruptcy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 </w:t>
      </w:r>
      <w:r w:rsidR="005D72F3" w:rsidRPr="00B46E02">
        <w:rPr>
          <w:rFonts w:ascii="Avenir Next" w:hAnsi="Avenir Next" w:cs="Arial"/>
          <w:sz w:val="22"/>
          <w:szCs w:val="22"/>
          <w:lang w:val="en-GB"/>
        </w:rPr>
        <w:t>“</w:t>
      </w:r>
      <w:r w:rsidRPr="00B46E02">
        <w:rPr>
          <w:rFonts w:ascii="Avenir Next" w:hAnsi="Avenir Next" w:cs="Arial"/>
          <w:sz w:val="22"/>
          <w:szCs w:val="22"/>
          <w:lang w:val="en-GB"/>
        </w:rPr>
        <w:t>insolvency</w:t>
      </w:r>
      <w:r w:rsidR="005D72F3" w:rsidRPr="00B46E02">
        <w:rPr>
          <w:rFonts w:ascii="Avenir Next" w:hAnsi="Avenir Next" w:cs="Arial"/>
          <w:sz w:val="22"/>
          <w:szCs w:val="22"/>
          <w:lang w:val="en-GB"/>
        </w:rPr>
        <w:t>”</w:t>
      </w:r>
      <w:r w:rsidRPr="00B46E02">
        <w:rPr>
          <w:rFonts w:ascii="Avenir Next" w:hAnsi="Avenir Next" w:cs="Arial"/>
          <w:sz w:val="22"/>
          <w:szCs w:val="22"/>
          <w:lang w:val="en-GB"/>
        </w:rPr>
        <w:t xml:space="preserve"> involves a corporation rather than an individual. </w:t>
      </w:r>
    </w:p>
    <w:p w14:paraId="3026DD23" w14:textId="77777777" w:rsidR="00421E41" w:rsidRDefault="00421E41" w:rsidP="003A00FE">
      <w:pPr>
        <w:jc w:val="both"/>
        <w:rPr>
          <w:rFonts w:ascii="Avenir Next" w:hAnsi="Avenir Next" w:cs="Arial"/>
          <w:sz w:val="22"/>
          <w:szCs w:val="22"/>
          <w:highlight w:val="yellow"/>
          <w:lang w:val="en-GB"/>
        </w:rPr>
      </w:pPr>
    </w:p>
    <w:p w14:paraId="01A6C522" w14:textId="3AE11734" w:rsidR="00421E41" w:rsidRPr="00421E41" w:rsidRDefault="00421E41" w:rsidP="003A00FE">
      <w:pPr>
        <w:jc w:val="both"/>
        <w:rPr>
          <w:rFonts w:ascii="Avenir Next" w:hAnsi="Avenir Next" w:cs="Arial"/>
          <w:color w:val="808080" w:themeColor="background1" w:themeShade="80"/>
          <w:sz w:val="22"/>
          <w:szCs w:val="22"/>
          <w:lang w:val="en-GB"/>
        </w:rPr>
      </w:pPr>
      <w:r w:rsidRPr="00421E41">
        <w:rPr>
          <w:rFonts w:ascii="Avenir Next" w:hAnsi="Avenir Next" w:cs="Arial"/>
          <w:color w:val="808080" w:themeColor="background1" w:themeShade="80"/>
          <w:sz w:val="22"/>
          <w:szCs w:val="22"/>
          <w:lang w:val="en-GB"/>
        </w:rPr>
        <w:t xml:space="preserve">It is correct to state that "bankruptcy" and "insolvency" are used interchangeably. However, this is not </w:t>
      </w:r>
      <w:r w:rsidR="006A3580">
        <w:rPr>
          <w:rFonts w:ascii="Avenir Next" w:hAnsi="Avenir Next" w:cs="Arial"/>
          <w:color w:val="808080" w:themeColor="background1" w:themeShade="80"/>
          <w:sz w:val="22"/>
          <w:szCs w:val="22"/>
          <w:lang w:val="en-GB"/>
        </w:rPr>
        <w:t>always helpful</w:t>
      </w:r>
      <w:r w:rsidRPr="00421E41">
        <w:rPr>
          <w:rFonts w:ascii="Avenir Next" w:hAnsi="Avenir Next" w:cs="Arial"/>
          <w:color w:val="808080" w:themeColor="background1" w:themeShade="80"/>
          <w:sz w:val="22"/>
          <w:szCs w:val="22"/>
          <w:lang w:val="en-GB"/>
        </w:rPr>
        <w:t>, as the different terms can have different meanings (and can also mean different things in different countries</w:t>
      </w:r>
      <w:r w:rsidR="00BF1C1F">
        <w:rPr>
          <w:rFonts w:ascii="Avenir Next" w:hAnsi="Avenir Next" w:cs="Arial"/>
          <w:color w:val="808080" w:themeColor="background1" w:themeShade="80"/>
          <w:sz w:val="22"/>
          <w:szCs w:val="22"/>
          <w:lang w:val="en-GB"/>
        </w:rPr>
        <w:t xml:space="preserve">, for example in Australia "insolvency" is often used to refer to the insolvency of a corporation, whereas "bankruptcy" is used to refer to the insolvency of an individual / natural person). </w:t>
      </w:r>
      <w:r w:rsidR="006A3580">
        <w:rPr>
          <w:rFonts w:ascii="Avenir Next" w:hAnsi="Avenir Next" w:cs="Arial"/>
          <w:color w:val="808080" w:themeColor="background1" w:themeShade="80"/>
          <w:sz w:val="22"/>
          <w:szCs w:val="22"/>
          <w:lang w:val="en-GB"/>
        </w:rPr>
        <w:t>Whilst the terms are used synonymously in many systems</w:t>
      </w:r>
      <w:r w:rsidR="00BC7C4D">
        <w:rPr>
          <w:rStyle w:val="FootnoteReference"/>
          <w:rFonts w:ascii="Avenir Next" w:hAnsi="Avenir Next" w:cs="Arial"/>
          <w:color w:val="808080" w:themeColor="background1" w:themeShade="80"/>
          <w:sz w:val="22"/>
          <w:szCs w:val="22"/>
          <w:lang w:val="en-GB"/>
        </w:rPr>
        <w:footnoteReference w:id="1"/>
      </w:r>
      <w:r w:rsidR="006A3580">
        <w:rPr>
          <w:rFonts w:ascii="Avenir Next" w:hAnsi="Avenir Next" w:cs="Arial"/>
          <w:color w:val="808080" w:themeColor="background1" w:themeShade="80"/>
          <w:sz w:val="22"/>
          <w:szCs w:val="22"/>
          <w:lang w:val="en-GB"/>
        </w:rPr>
        <w:t>,</w:t>
      </w:r>
      <w:r w:rsidR="003047AF">
        <w:rPr>
          <w:rFonts w:ascii="Avenir Next" w:hAnsi="Avenir Next" w:cs="Arial"/>
          <w:color w:val="808080" w:themeColor="background1" w:themeShade="80"/>
          <w:sz w:val="22"/>
          <w:szCs w:val="22"/>
          <w:lang w:val="en-GB"/>
        </w:rPr>
        <w:t xml:space="preserve"> one workable definition of the differences between the two is that</w:t>
      </w:r>
      <w:r w:rsidR="006A3580">
        <w:rPr>
          <w:rFonts w:ascii="Avenir Next" w:hAnsi="Avenir Next" w:cs="Arial"/>
          <w:color w:val="808080" w:themeColor="background1" w:themeShade="80"/>
          <w:sz w:val="22"/>
          <w:szCs w:val="22"/>
          <w:lang w:val="en-GB"/>
        </w:rPr>
        <w:t xml:space="preserve"> "insolvency" can mean the state of the financial affairs of the debtor</w:t>
      </w:r>
      <w:r w:rsidR="003047AF">
        <w:rPr>
          <w:rFonts w:ascii="Avenir Next" w:hAnsi="Avenir Next" w:cs="Arial"/>
          <w:color w:val="808080" w:themeColor="background1" w:themeShade="80"/>
          <w:sz w:val="22"/>
          <w:szCs w:val="22"/>
          <w:lang w:val="en-GB"/>
        </w:rPr>
        <w:t xml:space="preserve"> (noting the </w:t>
      </w:r>
      <w:r w:rsidR="009F71C3">
        <w:rPr>
          <w:rFonts w:ascii="Avenir Next" w:hAnsi="Avenir Next" w:cs="Arial"/>
          <w:color w:val="808080" w:themeColor="background1" w:themeShade="80"/>
          <w:sz w:val="22"/>
          <w:szCs w:val="22"/>
          <w:lang w:val="en-GB"/>
        </w:rPr>
        <w:t>differing interpretations of that state in differing legal systems</w:t>
      </w:r>
      <w:r w:rsidR="003047AF">
        <w:rPr>
          <w:rFonts w:ascii="Avenir Next" w:hAnsi="Avenir Next" w:cs="Arial"/>
          <w:color w:val="808080" w:themeColor="background1" w:themeShade="80"/>
          <w:sz w:val="22"/>
          <w:szCs w:val="22"/>
          <w:lang w:val="en-GB"/>
        </w:rPr>
        <w:t xml:space="preserve">, </w:t>
      </w:r>
      <w:r w:rsidR="009F71C3">
        <w:rPr>
          <w:rFonts w:ascii="Avenir Next" w:hAnsi="Avenir Next" w:cs="Arial"/>
          <w:color w:val="808080" w:themeColor="background1" w:themeShade="80"/>
          <w:sz w:val="22"/>
          <w:szCs w:val="22"/>
          <w:lang w:val="en-GB"/>
        </w:rPr>
        <w:t>including, for example, balance sheet insolvency, or cash flow insolvency)</w:t>
      </w:r>
      <w:r w:rsidR="006A3580">
        <w:rPr>
          <w:rFonts w:ascii="Avenir Next" w:hAnsi="Avenir Next" w:cs="Arial"/>
          <w:color w:val="808080" w:themeColor="background1" w:themeShade="80"/>
          <w:sz w:val="22"/>
          <w:szCs w:val="22"/>
          <w:lang w:val="en-GB"/>
        </w:rPr>
        <w:t xml:space="preserve">, whilst "bankruptcy" refers to the formal state of being put into formal bankruptcy proceedings.  </w:t>
      </w:r>
    </w:p>
    <w:p w14:paraId="0066DBEC" w14:textId="77777777" w:rsidR="002B2963" w:rsidRPr="00873097" w:rsidRDefault="002B2963" w:rsidP="00DA42DA">
      <w:pPr>
        <w:jc w:val="both"/>
        <w:rPr>
          <w:rFonts w:ascii="Avenir Next" w:hAnsi="Avenir Next" w:cs="Arial"/>
          <w:color w:val="808080" w:themeColor="background1" w:themeShade="80"/>
          <w:sz w:val="22"/>
          <w:szCs w:val="22"/>
          <w:highlight w:val="yellow"/>
          <w:lang w:val="en-GB"/>
        </w:rPr>
      </w:pPr>
    </w:p>
    <w:p w14:paraId="71773D47" w14:textId="7EB6C9E1" w:rsidR="00DA42DA" w:rsidRPr="00DA42DA" w:rsidRDefault="000371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w:t>
      </w:r>
      <w:r w:rsidR="003A4416" w:rsidRPr="000371C1">
        <w:rPr>
          <w:rFonts w:ascii="Avenir Next" w:hAnsi="Avenir Next" w:cs="Arial"/>
          <w:color w:val="808080" w:themeColor="background1" w:themeShade="80"/>
          <w:sz w:val="22"/>
          <w:szCs w:val="22"/>
          <w:lang w:val="en-GB"/>
        </w:rPr>
        <w:t xml:space="preserve"> difference </w:t>
      </w:r>
      <w:r w:rsidR="00F14F23" w:rsidRPr="000371C1">
        <w:rPr>
          <w:rFonts w:ascii="Avenir Next" w:hAnsi="Avenir Next" w:cs="Arial"/>
          <w:color w:val="808080" w:themeColor="background1" w:themeShade="80"/>
          <w:sz w:val="22"/>
          <w:szCs w:val="22"/>
          <w:lang w:val="en-GB"/>
        </w:rPr>
        <w:t>between individual bankruptcy (of natural persons) and corporate insolvency (of companies) is that individuals are not "dissolved" after bankruptcy in the same way as a company is dissolved once its affairs have been wound up</w:t>
      </w:r>
      <w:r w:rsidR="0056729E">
        <w:rPr>
          <w:rFonts w:ascii="Avenir Next" w:hAnsi="Avenir Next" w:cs="Arial"/>
          <w:color w:val="808080" w:themeColor="background1" w:themeShade="80"/>
          <w:sz w:val="22"/>
          <w:szCs w:val="22"/>
          <w:lang w:val="en-GB"/>
        </w:rPr>
        <w:t>.</w:t>
      </w:r>
      <w:r w:rsidR="00F14F23">
        <w:rPr>
          <w:rFonts w:ascii="Avenir Next" w:hAnsi="Avenir Next" w:cs="Arial"/>
          <w:color w:val="808080" w:themeColor="background1" w:themeShade="80"/>
          <w:sz w:val="22"/>
          <w:szCs w:val="22"/>
          <w:lang w:val="en-GB"/>
        </w:rPr>
        <w:t xml:space="preserve"> </w:t>
      </w:r>
      <w:r w:rsidR="00BC7C4D">
        <w:rPr>
          <w:rFonts w:ascii="Avenir Next" w:hAnsi="Avenir Next" w:cs="Arial"/>
          <w:color w:val="808080" w:themeColor="background1" w:themeShade="80"/>
          <w:sz w:val="22"/>
          <w:szCs w:val="22"/>
          <w:lang w:val="en-GB"/>
        </w:rPr>
        <w:t xml:space="preserve">In addition, the objectives of insolvency for individuals versus insolvency for corporations can be </w:t>
      </w:r>
      <w:r w:rsidR="00675117">
        <w:rPr>
          <w:rFonts w:ascii="Avenir Next" w:hAnsi="Avenir Next" w:cs="Arial"/>
          <w:color w:val="808080" w:themeColor="background1" w:themeShade="80"/>
          <w:sz w:val="22"/>
          <w:szCs w:val="22"/>
          <w:lang w:val="en-GB"/>
        </w:rPr>
        <w:t>different</w:t>
      </w:r>
      <w:r w:rsidR="00675117">
        <w:rPr>
          <w:rStyle w:val="FootnoteReference"/>
          <w:rFonts w:ascii="Avenir Next" w:hAnsi="Avenir Next" w:cs="Arial"/>
          <w:color w:val="808080" w:themeColor="background1" w:themeShade="80"/>
          <w:sz w:val="22"/>
          <w:szCs w:val="22"/>
          <w:lang w:val="en-GB"/>
        </w:rPr>
        <w:footnoteReference w:id="2"/>
      </w:r>
      <w:r w:rsidR="00675117">
        <w:rPr>
          <w:rFonts w:ascii="Avenir Next" w:hAnsi="Avenir Next" w:cs="Arial"/>
          <w:color w:val="808080" w:themeColor="background1" w:themeShade="80"/>
          <w:sz w:val="22"/>
          <w:szCs w:val="22"/>
          <w:lang w:val="en-GB"/>
        </w:rPr>
        <w:t>; for individuals, a key goal is to protect the debtor from harassment by his creditors (and, particularly in pro-debtor jurisdictions, to enable debts to be discharged and a fresh start be made)</w:t>
      </w:r>
      <w:r w:rsidR="00C42511">
        <w:rPr>
          <w:rFonts w:ascii="Avenir Next" w:hAnsi="Avenir Next" w:cs="Arial"/>
          <w:color w:val="808080" w:themeColor="background1" w:themeShade="80"/>
          <w:sz w:val="22"/>
          <w:szCs w:val="22"/>
          <w:lang w:val="en-GB"/>
        </w:rPr>
        <w:t>. For corporations, a key goals is to preserve the business and, in case of any abusive conduct by</w:t>
      </w:r>
      <w:r w:rsidR="00B73316">
        <w:rPr>
          <w:rFonts w:ascii="Avenir Next" w:hAnsi="Avenir Next" w:cs="Arial"/>
          <w:color w:val="808080" w:themeColor="background1" w:themeShade="80"/>
          <w:sz w:val="22"/>
          <w:szCs w:val="22"/>
          <w:lang w:val="en-GB"/>
        </w:rPr>
        <w:t xml:space="preserve"> directors/officers of the insolvent company</w:t>
      </w:r>
      <w:r w:rsidR="00C42511">
        <w:rPr>
          <w:rFonts w:ascii="Avenir Next" w:hAnsi="Avenir Next" w:cs="Arial"/>
          <w:color w:val="808080" w:themeColor="background1" w:themeShade="80"/>
          <w:sz w:val="22"/>
          <w:szCs w:val="22"/>
          <w:lang w:val="en-GB"/>
        </w:rPr>
        <w:t xml:space="preserve">, to impose </w:t>
      </w:r>
      <w:r w:rsidR="00B73316">
        <w:rPr>
          <w:rFonts w:ascii="Avenir Next" w:hAnsi="Avenir Next" w:cs="Arial"/>
          <w:color w:val="808080" w:themeColor="background1" w:themeShade="80"/>
          <w:sz w:val="22"/>
          <w:szCs w:val="22"/>
          <w:lang w:val="en-GB"/>
        </w:rPr>
        <w:t xml:space="preserve">personal liability on such responsible persons. </w:t>
      </w:r>
      <w:r w:rsidR="0056729E">
        <w:rPr>
          <w:rFonts w:ascii="Avenir Next" w:hAnsi="Avenir Next" w:cs="Arial"/>
          <w:color w:val="808080" w:themeColor="background1" w:themeShade="80"/>
          <w:sz w:val="22"/>
          <w:szCs w:val="22"/>
          <w:lang w:val="en-GB"/>
        </w:rPr>
        <w:t>Furthermore, it is only in relation to individual bankruptcy that the notion of exempt or excluded assets will apply (allowing the insolvent individual to key some of the assets required to maintain themselves / their dependents)</w:t>
      </w:r>
      <w:r w:rsidR="0056729E">
        <w:rPr>
          <w:rStyle w:val="FootnoteReference"/>
          <w:rFonts w:ascii="Avenir Next" w:hAnsi="Avenir Next" w:cs="Arial"/>
          <w:color w:val="808080" w:themeColor="background1" w:themeShade="80"/>
          <w:sz w:val="22"/>
          <w:szCs w:val="22"/>
          <w:lang w:val="en-GB"/>
        </w:rPr>
        <w:footnoteReference w:id="3"/>
      </w:r>
      <w:r w:rsidR="0056729E">
        <w:rPr>
          <w:rFonts w:ascii="Avenir Next" w:hAnsi="Avenir Next" w:cs="Arial"/>
          <w:color w:val="808080" w:themeColor="background1" w:themeShade="80"/>
          <w:sz w:val="22"/>
          <w:szCs w:val="22"/>
          <w:lang w:val="en-GB"/>
        </w:rPr>
        <w:t xml:space="preserve">.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0D6A1AD" w14:textId="564D341C" w:rsidR="00414125" w:rsidRDefault="002C17E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Challenges to cross-border insolvency arise in various different ways, largely </w:t>
      </w:r>
      <w:r w:rsidR="00773735">
        <w:rPr>
          <w:rFonts w:ascii="Avenir Next" w:hAnsi="Avenir Next" w:cs="Arial"/>
          <w:color w:val="808080" w:themeColor="background1" w:themeShade="80"/>
          <w:sz w:val="22"/>
          <w:szCs w:val="22"/>
          <w:lang w:val="en-GB"/>
        </w:rPr>
        <w:t>resulting</w:t>
      </w:r>
      <w:r>
        <w:rPr>
          <w:rFonts w:ascii="Avenir Next" w:hAnsi="Avenir Next" w:cs="Arial"/>
          <w:color w:val="808080" w:themeColor="background1" w:themeShade="80"/>
          <w:sz w:val="22"/>
          <w:szCs w:val="22"/>
          <w:lang w:val="en-GB"/>
        </w:rPr>
        <w:t xml:space="preserve"> from the differences between domestic insolvency laws. This can be seen, at the most fundamental level, in the various meanings of the term "insolvency</w:t>
      </w:r>
      <w:r w:rsidR="00A70C3C">
        <w:rPr>
          <w:rFonts w:ascii="Avenir Next" w:hAnsi="Avenir Next" w:cs="Arial"/>
          <w:color w:val="808080" w:themeColor="background1" w:themeShade="80"/>
          <w:sz w:val="22"/>
          <w:szCs w:val="22"/>
          <w:lang w:val="en-GB"/>
        </w:rPr>
        <w:t xml:space="preserve">"; this is normally well-defined in jurisdiction's domestic contexts, but can vary when viewed from a cross-border perspective. </w:t>
      </w:r>
      <w:r w:rsidR="008C54FD">
        <w:rPr>
          <w:rFonts w:ascii="Avenir Next" w:hAnsi="Avenir Next" w:cs="Arial"/>
          <w:color w:val="808080" w:themeColor="background1" w:themeShade="80"/>
          <w:sz w:val="22"/>
          <w:szCs w:val="22"/>
          <w:lang w:val="en-GB"/>
        </w:rPr>
        <w:t xml:space="preserve">Additionally, the standard of domestic insolvency laws in countries can be low, with many laws being outdated or otherwise unsuited to modern day trade and investment issues. </w:t>
      </w:r>
    </w:p>
    <w:p w14:paraId="7A9EAE5E" w14:textId="77777777" w:rsidR="00414125" w:rsidRDefault="00414125" w:rsidP="00DA42DA">
      <w:pPr>
        <w:jc w:val="both"/>
        <w:rPr>
          <w:rFonts w:ascii="Avenir Next" w:hAnsi="Avenir Next" w:cs="Arial"/>
          <w:color w:val="808080" w:themeColor="background1" w:themeShade="80"/>
          <w:sz w:val="22"/>
          <w:szCs w:val="22"/>
          <w:lang w:val="en-GB"/>
        </w:rPr>
      </w:pPr>
    </w:p>
    <w:p w14:paraId="6B5CF002" w14:textId="73864B56" w:rsidR="00DA42DA" w:rsidRDefault="0041412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Omar</w:t>
      </w:r>
      <w:r>
        <w:rPr>
          <w:rStyle w:val="FootnoteReference"/>
          <w:rFonts w:ascii="Avenir Next" w:hAnsi="Avenir Next" w:cs="Arial"/>
          <w:color w:val="808080" w:themeColor="background1" w:themeShade="80"/>
          <w:sz w:val="22"/>
          <w:szCs w:val="22"/>
          <w:lang w:val="en-GB"/>
        </w:rPr>
        <w:footnoteReference w:id="4"/>
      </w:r>
      <w:r w:rsidR="00A70C3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states that "</w:t>
      </w:r>
      <w:r>
        <w:rPr>
          <w:rFonts w:ascii="Avenir Next" w:hAnsi="Avenir Next" w:cs="Arial"/>
          <w:i/>
          <w:iCs/>
          <w:color w:val="808080" w:themeColor="background1" w:themeShade="80"/>
          <w:sz w:val="22"/>
          <w:szCs w:val="22"/>
          <w:lang w:val="en-GB"/>
        </w:rPr>
        <w:t xml:space="preserve">apart from the general situation in conflict of laws, differences in domestic norms have a particular impact on the position of creditors and the priorities they assert in insolvency. Where the debtor faces creditors pressing their claims in more than one state, this will inevitably raise issues of conflict of laws. The </w:t>
      </w:r>
      <w:r w:rsidR="00EF0177">
        <w:rPr>
          <w:rFonts w:ascii="Avenir Next" w:hAnsi="Avenir Next" w:cs="Arial"/>
          <w:i/>
          <w:iCs/>
          <w:color w:val="808080" w:themeColor="background1" w:themeShade="80"/>
          <w:sz w:val="22"/>
          <w:szCs w:val="22"/>
          <w:lang w:val="en-GB"/>
        </w:rPr>
        <w:t>conflict may itself be made more complex by the presence of qualifications, including the presence of security, set-off and netting arrangements, retention of title clauses and other means of protecting title available to creditors in national laws"</w:t>
      </w:r>
      <w:r w:rsidR="00EF0177">
        <w:rPr>
          <w:rFonts w:ascii="Avenir Next" w:hAnsi="Avenir Next" w:cs="Arial"/>
          <w:color w:val="808080" w:themeColor="background1" w:themeShade="80"/>
          <w:sz w:val="22"/>
          <w:szCs w:val="22"/>
          <w:lang w:val="en-GB"/>
        </w:rPr>
        <w:t xml:space="preserve">. </w:t>
      </w:r>
      <w:r w:rsidR="00886AB5">
        <w:rPr>
          <w:rFonts w:ascii="Avenir Next" w:hAnsi="Avenir Next" w:cs="Arial"/>
          <w:color w:val="808080" w:themeColor="background1" w:themeShade="80"/>
          <w:sz w:val="22"/>
          <w:szCs w:val="22"/>
          <w:lang w:val="en-GB"/>
        </w:rPr>
        <w:t xml:space="preserve">This results in a lack of any uniform approach, on a global basis, to deal with cross-border insolvency.  </w:t>
      </w:r>
    </w:p>
    <w:p w14:paraId="07C8E097" w14:textId="77777777" w:rsidR="008C54FD" w:rsidRDefault="008C54FD" w:rsidP="00DA42DA">
      <w:pPr>
        <w:jc w:val="both"/>
        <w:rPr>
          <w:rFonts w:ascii="Avenir Next" w:hAnsi="Avenir Next" w:cs="Arial"/>
          <w:color w:val="808080" w:themeColor="background1" w:themeShade="80"/>
          <w:sz w:val="22"/>
          <w:szCs w:val="22"/>
          <w:lang w:val="en-GB"/>
        </w:rPr>
      </w:pPr>
    </w:p>
    <w:p w14:paraId="40D7E308" w14:textId="015CEB6B" w:rsidR="008C54FD" w:rsidRDefault="008C54F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issues arising from a conflict of laws,</w:t>
      </w:r>
      <w:r w:rsidR="00CC3E30">
        <w:rPr>
          <w:rFonts w:ascii="Avenir Next" w:hAnsi="Avenir Next" w:cs="Arial"/>
          <w:color w:val="808080" w:themeColor="background1" w:themeShade="80"/>
          <w:sz w:val="22"/>
          <w:szCs w:val="22"/>
          <w:lang w:val="en-GB"/>
        </w:rPr>
        <w:t xml:space="preserve"> are issues resulting from a difference in perspective/approach, with some jurisdictions advocating for a "pro-creditor" system, with others favouring a "pro-debtor" </w:t>
      </w:r>
      <w:r w:rsidR="005B7FC0">
        <w:rPr>
          <w:rFonts w:ascii="Avenir Next" w:hAnsi="Avenir Next" w:cs="Arial"/>
          <w:color w:val="808080" w:themeColor="background1" w:themeShade="80"/>
          <w:sz w:val="22"/>
          <w:szCs w:val="22"/>
          <w:lang w:val="en-GB"/>
        </w:rPr>
        <w:t>angle. Compounding this difficulty are priorities with the domestic context; for example the primacy of labour rights in France</w:t>
      </w:r>
      <w:r w:rsidR="004679FB">
        <w:rPr>
          <w:rFonts w:ascii="Avenir Next" w:hAnsi="Avenir Next" w:cs="Arial"/>
          <w:color w:val="808080" w:themeColor="background1" w:themeShade="80"/>
          <w:sz w:val="22"/>
          <w:szCs w:val="22"/>
          <w:lang w:val="en-GB"/>
        </w:rPr>
        <w:t xml:space="preserve">. </w:t>
      </w:r>
    </w:p>
    <w:p w14:paraId="7EF6F4A6" w14:textId="0070F8BF" w:rsidR="0043296A" w:rsidRDefault="0043296A" w:rsidP="00DA42DA">
      <w:pPr>
        <w:jc w:val="both"/>
        <w:rPr>
          <w:rFonts w:ascii="Avenir Next" w:hAnsi="Avenir Next" w:cs="Arial"/>
          <w:color w:val="808080" w:themeColor="background1" w:themeShade="80"/>
          <w:sz w:val="22"/>
          <w:szCs w:val="22"/>
          <w:lang w:val="en-GB"/>
        </w:rPr>
      </w:pPr>
    </w:p>
    <w:p w14:paraId="60C04DA2" w14:textId="7C32102C" w:rsidR="0043296A" w:rsidRPr="00EF0177" w:rsidRDefault="0043296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w:t>
      </w:r>
      <w:r w:rsidR="00A90C9B">
        <w:rPr>
          <w:rFonts w:ascii="Avenir Next" w:hAnsi="Avenir Next" w:cs="Arial"/>
          <w:color w:val="808080" w:themeColor="background1" w:themeShade="80"/>
          <w:sz w:val="22"/>
          <w:szCs w:val="22"/>
          <w:lang w:val="en-GB"/>
        </w:rPr>
        <w:t xml:space="preserve">recognition </w:t>
      </w:r>
      <w:r>
        <w:rPr>
          <w:rFonts w:ascii="Avenir Next" w:hAnsi="Avenir Next" w:cs="Arial"/>
          <w:color w:val="808080" w:themeColor="background1" w:themeShade="80"/>
          <w:sz w:val="22"/>
          <w:szCs w:val="22"/>
          <w:lang w:val="en-GB"/>
        </w:rPr>
        <w:t xml:space="preserve">difficulties can arise </w:t>
      </w:r>
      <w:r w:rsidR="00A90C9B">
        <w:rPr>
          <w:rFonts w:ascii="Avenir Next" w:hAnsi="Avenir Next" w:cs="Arial"/>
          <w:color w:val="808080" w:themeColor="background1" w:themeShade="80"/>
          <w:sz w:val="22"/>
          <w:szCs w:val="22"/>
          <w:lang w:val="en-GB"/>
        </w:rPr>
        <w:t xml:space="preserve">where there is a foreign judgment on the same issue, which present res judicata problems, and the enforcement / effect of a foreign judgment in a domestic context.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6CFB8724" w14:textId="19F4606E" w:rsidR="00693172" w:rsidRPr="00766047" w:rsidRDefault="00D43A9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and "soft" are terms </w:t>
      </w:r>
      <w:r w:rsidR="00CD5FBF">
        <w:rPr>
          <w:rFonts w:ascii="Avenir Next" w:hAnsi="Avenir Next" w:cs="Arial"/>
          <w:color w:val="808080" w:themeColor="background1" w:themeShade="80"/>
          <w:sz w:val="22"/>
          <w:szCs w:val="22"/>
          <w:lang w:val="en-GB"/>
        </w:rPr>
        <w:t xml:space="preserve">used </w:t>
      </w:r>
      <w:r>
        <w:rPr>
          <w:rFonts w:ascii="Avenir Next" w:hAnsi="Avenir Next" w:cs="Arial"/>
          <w:color w:val="808080" w:themeColor="background1" w:themeShade="80"/>
          <w:sz w:val="22"/>
          <w:szCs w:val="22"/>
          <w:lang w:val="en-GB"/>
        </w:rPr>
        <w:t xml:space="preserve">to classify different multilateral approaches adopted by states to seek to regulate international insolvencies. </w:t>
      </w:r>
      <w:r w:rsidR="00C81E2C">
        <w:rPr>
          <w:rFonts w:ascii="Avenir Next" w:hAnsi="Avenir Next" w:cs="Arial"/>
          <w:color w:val="808080" w:themeColor="background1" w:themeShade="80"/>
          <w:sz w:val="22"/>
          <w:szCs w:val="22"/>
          <w:lang w:val="en-GB"/>
        </w:rPr>
        <w:t xml:space="preserve">States can choose to amend domestic legislation, and therefore introduce "hard law" to bind </w:t>
      </w:r>
      <w:r w:rsidR="00960D4C">
        <w:rPr>
          <w:rFonts w:ascii="Avenir Next" w:hAnsi="Avenir Next" w:cs="Arial"/>
          <w:color w:val="808080" w:themeColor="background1" w:themeShade="80"/>
          <w:sz w:val="22"/>
          <w:szCs w:val="22"/>
          <w:lang w:val="en-GB"/>
        </w:rPr>
        <w:t xml:space="preserve">debtors / creditors and/or otherwise </w:t>
      </w:r>
      <w:r w:rsidR="006E7EFD">
        <w:rPr>
          <w:rFonts w:ascii="Avenir Next" w:hAnsi="Avenir Next" w:cs="Arial"/>
          <w:color w:val="808080" w:themeColor="background1" w:themeShade="80"/>
          <w:sz w:val="22"/>
          <w:szCs w:val="22"/>
          <w:lang w:val="en-GB"/>
        </w:rPr>
        <w:t>govern insolvency proceedings</w:t>
      </w:r>
      <w:r w:rsidR="00892467">
        <w:rPr>
          <w:rFonts w:ascii="Avenir Next" w:hAnsi="Avenir Next" w:cs="Arial"/>
          <w:color w:val="808080" w:themeColor="background1" w:themeShade="80"/>
          <w:sz w:val="22"/>
          <w:szCs w:val="22"/>
          <w:lang w:val="en-GB"/>
        </w:rPr>
        <w:t xml:space="preserve">, enforceable in the </w:t>
      </w:r>
      <w:r w:rsidR="0092478E">
        <w:rPr>
          <w:rFonts w:ascii="Avenir Next" w:hAnsi="Avenir Next" w:cs="Arial"/>
          <w:color w:val="808080" w:themeColor="background1" w:themeShade="80"/>
          <w:sz w:val="22"/>
          <w:szCs w:val="22"/>
          <w:lang w:val="en-GB"/>
        </w:rPr>
        <w:t xml:space="preserve">given </w:t>
      </w:r>
      <w:r w:rsidR="00892467">
        <w:rPr>
          <w:rFonts w:ascii="Avenir Next" w:hAnsi="Avenir Next" w:cs="Arial"/>
          <w:color w:val="808080" w:themeColor="background1" w:themeShade="80"/>
          <w:sz w:val="22"/>
          <w:szCs w:val="22"/>
          <w:lang w:val="en-GB"/>
        </w:rPr>
        <w:t>state's courts</w:t>
      </w:r>
      <w:r w:rsidR="002C1906">
        <w:rPr>
          <w:rFonts w:ascii="Avenir Next" w:hAnsi="Avenir Next" w:cs="Arial"/>
          <w:color w:val="808080" w:themeColor="background1" w:themeShade="80"/>
          <w:sz w:val="22"/>
          <w:szCs w:val="22"/>
          <w:lang w:val="en-GB"/>
        </w:rPr>
        <w:t xml:space="preserve">. Hard law can include, by way of example, </w:t>
      </w:r>
      <w:r w:rsidR="00802BA6">
        <w:rPr>
          <w:rFonts w:ascii="Avenir Next" w:hAnsi="Avenir Next" w:cs="Arial"/>
          <w:color w:val="808080" w:themeColor="background1" w:themeShade="80"/>
          <w:sz w:val="22"/>
          <w:szCs w:val="22"/>
          <w:lang w:val="en-GB"/>
        </w:rPr>
        <w:t>public international treaties and conventions such as the European Insolvency Regulation (EIR) 2000</w:t>
      </w:r>
      <w:r w:rsidR="0092478E">
        <w:rPr>
          <w:rFonts w:ascii="Avenir Next" w:hAnsi="Avenir Next" w:cs="Arial"/>
          <w:color w:val="808080" w:themeColor="background1" w:themeShade="80"/>
          <w:sz w:val="22"/>
          <w:szCs w:val="22"/>
          <w:lang w:val="en-GB"/>
        </w:rPr>
        <w:t xml:space="preserve">. Alternatively or additionally, states can seek to influence the regulation of insolvency proceedings via "soft law" approaches, </w:t>
      </w:r>
      <w:r w:rsidR="000E40DF">
        <w:rPr>
          <w:rFonts w:ascii="Avenir Next" w:hAnsi="Avenir Next" w:cs="Arial"/>
          <w:color w:val="808080" w:themeColor="background1" w:themeShade="80"/>
          <w:sz w:val="22"/>
          <w:szCs w:val="22"/>
          <w:lang w:val="en-GB"/>
        </w:rPr>
        <w:t xml:space="preserve">such as international instruments </w:t>
      </w:r>
      <w:r w:rsidR="0092478E">
        <w:rPr>
          <w:rFonts w:ascii="Avenir Next" w:hAnsi="Avenir Next" w:cs="Arial"/>
          <w:color w:val="808080" w:themeColor="background1" w:themeShade="80"/>
          <w:sz w:val="22"/>
          <w:szCs w:val="22"/>
          <w:lang w:val="en-GB"/>
        </w:rPr>
        <w:t>including (for exam</w:t>
      </w:r>
      <w:r w:rsidR="002C1906">
        <w:rPr>
          <w:rFonts w:ascii="Avenir Next" w:hAnsi="Avenir Next" w:cs="Arial"/>
          <w:color w:val="808080" w:themeColor="background1" w:themeShade="80"/>
          <w:sz w:val="22"/>
          <w:szCs w:val="22"/>
          <w:lang w:val="en-GB"/>
        </w:rPr>
        <w:t>ple) the UNCITRAL Model Law on Cross-Border Insolvency</w:t>
      </w:r>
      <w:r w:rsidR="003F71D9">
        <w:rPr>
          <w:rFonts w:ascii="Avenir Next" w:hAnsi="Avenir Next" w:cs="Arial"/>
          <w:color w:val="808080" w:themeColor="background1" w:themeShade="80"/>
          <w:sz w:val="22"/>
          <w:szCs w:val="22"/>
          <w:lang w:val="en-GB"/>
        </w:rPr>
        <w:t>. However, there are lines of argument that the division between "hard" and "soft" law in the international insolvency context is blurrier</w:t>
      </w:r>
      <w:r w:rsidR="006B0AA6">
        <w:rPr>
          <w:rStyle w:val="FootnoteReference"/>
          <w:rFonts w:ascii="Avenir Next" w:hAnsi="Avenir Next" w:cs="Arial"/>
          <w:color w:val="808080" w:themeColor="background1" w:themeShade="80"/>
          <w:sz w:val="22"/>
          <w:szCs w:val="22"/>
          <w:lang w:val="en-GB"/>
        </w:rPr>
        <w:footnoteReference w:id="5"/>
      </w:r>
      <w:r w:rsidR="003F71D9">
        <w:rPr>
          <w:rFonts w:ascii="Avenir Next" w:hAnsi="Avenir Next" w:cs="Arial"/>
          <w:color w:val="808080" w:themeColor="background1" w:themeShade="80"/>
          <w:sz w:val="22"/>
          <w:szCs w:val="22"/>
          <w:lang w:val="en-GB"/>
        </w:rPr>
        <w:t xml:space="preserve"> </w:t>
      </w:r>
      <w:r w:rsidR="00766047">
        <w:rPr>
          <w:rFonts w:ascii="Avenir Next" w:hAnsi="Avenir Next" w:cs="Arial"/>
          <w:color w:val="808080" w:themeColor="background1" w:themeShade="80"/>
          <w:sz w:val="22"/>
          <w:szCs w:val="22"/>
          <w:lang w:val="en-GB"/>
        </w:rPr>
        <w:t>than simply "</w:t>
      </w:r>
      <w:r w:rsidR="00766047">
        <w:rPr>
          <w:rFonts w:ascii="Avenir Next" w:hAnsi="Avenir Next" w:cs="Arial"/>
          <w:i/>
          <w:iCs/>
          <w:color w:val="808080" w:themeColor="background1" w:themeShade="80"/>
          <w:sz w:val="22"/>
          <w:szCs w:val="22"/>
          <w:lang w:val="en-GB"/>
        </w:rPr>
        <w:t>treaties are hard and binding and non-treaty instruments are soft and non-binding"</w:t>
      </w:r>
      <w:r w:rsidR="00766047">
        <w:rPr>
          <w:rStyle w:val="FootnoteReference"/>
          <w:rFonts w:ascii="Avenir Next" w:hAnsi="Avenir Next" w:cs="Arial"/>
          <w:i/>
          <w:iCs/>
          <w:color w:val="808080" w:themeColor="background1" w:themeShade="80"/>
          <w:sz w:val="22"/>
          <w:szCs w:val="22"/>
          <w:lang w:val="en-GB"/>
        </w:rPr>
        <w:footnoteReference w:id="6"/>
      </w:r>
      <w:r w:rsidR="006B0AA6">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w:t>
      </w:r>
      <w:r w:rsidRPr="00F85C0B">
        <w:rPr>
          <w:rFonts w:ascii="Avenir Next" w:hAnsi="Avenir Next" w:cs="Arial"/>
          <w:sz w:val="22"/>
          <w:szCs w:val="22"/>
        </w:rPr>
        <w:lastRenderedPageBreak/>
        <w:t xml:space="preserve">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FCA39BB" w14:textId="1BDA3415" w:rsidR="00595A8A" w:rsidRPr="00CB76F7" w:rsidRDefault="00595A8A"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246 of the Insolvency Act 1986, the English courts are required to exercise cooperation between courts in relation to insolvency. </w:t>
      </w:r>
      <w:r w:rsidR="008D540F">
        <w:rPr>
          <w:rFonts w:ascii="Avenir Next" w:hAnsi="Avenir Next" w:cs="Arial"/>
          <w:color w:val="808080" w:themeColor="background1" w:themeShade="80"/>
          <w:sz w:val="22"/>
          <w:szCs w:val="22"/>
          <w:lang w:val="en-GB"/>
        </w:rPr>
        <w:t xml:space="preserve">Such cooperation would extend to the English courts recognising liquidation </w:t>
      </w:r>
      <w:r w:rsidR="006F4AC5">
        <w:rPr>
          <w:rFonts w:ascii="Avenir Next" w:hAnsi="Avenir Next" w:cs="Arial"/>
          <w:color w:val="808080" w:themeColor="background1" w:themeShade="80"/>
          <w:sz w:val="22"/>
          <w:szCs w:val="22"/>
          <w:lang w:val="en-GB"/>
        </w:rPr>
        <w:t xml:space="preserve">proceedings in the US, giving effect to those foreign proceedings and recognising the authority of the foreign liquidator in order to gain control over local assets. Where the English court is acting under these aid and assistance provisions in the Insolvency Act 1986, it may apply either English law or foreign (US) law (see section 426(5)). </w:t>
      </w:r>
      <w:r w:rsidR="00CB76F7">
        <w:rPr>
          <w:rFonts w:ascii="Avenir Next" w:hAnsi="Avenir Next" w:cs="Arial"/>
          <w:color w:val="808080" w:themeColor="background1" w:themeShade="80"/>
          <w:sz w:val="22"/>
          <w:szCs w:val="22"/>
          <w:lang w:val="en-GB"/>
        </w:rPr>
        <w:t xml:space="preserve">This statutory requirement for cooperation has also been emphasised in English case law, including </w:t>
      </w:r>
      <w:r w:rsidR="00CB76F7">
        <w:rPr>
          <w:rFonts w:ascii="Avenir Next" w:hAnsi="Avenir Next" w:cs="Arial"/>
          <w:color w:val="808080" w:themeColor="background1" w:themeShade="80"/>
          <w:sz w:val="22"/>
          <w:szCs w:val="22"/>
          <w:u w:val="single"/>
          <w:lang w:val="en-GB"/>
        </w:rPr>
        <w:t>McGrath v Riddell</w:t>
      </w:r>
      <w:r w:rsidR="00CB76F7">
        <w:rPr>
          <w:rFonts w:ascii="Avenir Next" w:hAnsi="Avenir Next" w:cs="Arial"/>
          <w:color w:val="808080" w:themeColor="background1" w:themeShade="80"/>
          <w:sz w:val="22"/>
          <w:szCs w:val="22"/>
          <w:lang w:val="en-GB"/>
        </w:rPr>
        <w:t xml:space="preserve"> [2008] UKHL 21. </w:t>
      </w:r>
    </w:p>
    <w:p w14:paraId="46F2A493" w14:textId="77777777" w:rsidR="00595A8A" w:rsidRDefault="00595A8A" w:rsidP="00DB5A5A">
      <w:pPr>
        <w:jc w:val="both"/>
        <w:rPr>
          <w:rFonts w:ascii="Avenir Next" w:hAnsi="Avenir Next" w:cs="Arial"/>
          <w:color w:val="808080" w:themeColor="background1" w:themeShade="80"/>
          <w:sz w:val="22"/>
          <w:szCs w:val="22"/>
          <w:lang w:val="en-GB"/>
        </w:rPr>
      </w:pPr>
    </w:p>
    <w:p w14:paraId="4184BAFC" w14:textId="3CFF9163" w:rsidR="002253D8" w:rsidRPr="002253D8" w:rsidRDefault="0012469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part of its cross-border rules, England and Wales also adopted the UNCITRAL Model Law on Cross Border Insolvency in 2006</w:t>
      </w:r>
      <w:r w:rsidR="00740C36">
        <w:rPr>
          <w:rFonts w:ascii="Avenir Next" w:hAnsi="Avenir Next" w:cs="Arial"/>
          <w:color w:val="808080" w:themeColor="background1" w:themeShade="80"/>
          <w:sz w:val="22"/>
          <w:szCs w:val="22"/>
          <w:lang w:val="en-GB"/>
        </w:rPr>
        <w:t xml:space="preserve">, and are therefore </w:t>
      </w:r>
      <w:r w:rsidR="006A371C">
        <w:rPr>
          <w:rFonts w:ascii="Avenir Next" w:hAnsi="Avenir Next" w:cs="Arial"/>
          <w:color w:val="808080" w:themeColor="background1" w:themeShade="80"/>
          <w:sz w:val="22"/>
          <w:szCs w:val="22"/>
          <w:lang w:val="en-GB"/>
        </w:rPr>
        <w:t xml:space="preserve">subject to the recognition / cooperation provisions therein.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C9E2D9D" w:rsidR="002253D8" w:rsidRDefault="004E6D64"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cross-border insolvency matter between Italy and Germany, the </w:t>
      </w:r>
      <w:r w:rsidR="007574E3">
        <w:rPr>
          <w:rFonts w:ascii="Avenir Next" w:hAnsi="Avenir Next" w:cs="Arial"/>
          <w:color w:val="808080" w:themeColor="background1" w:themeShade="80"/>
          <w:sz w:val="22"/>
          <w:szCs w:val="22"/>
          <w:lang w:val="en-GB"/>
        </w:rPr>
        <w:t>relevant legal source is the European Insolvency Regulation (</w:t>
      </w:r>
      <w:r w:rsidR="002D1C88">
        <w:rPr>
          <w:rFonts w:ascii="Avenir Next" w:hAnsi="Avenir Next" w:cs="Arial"/>
          <w:color w:val="808080" w:themeColor="background1" w:themeShade="80"/>
          <w:sz w:val="22"/>
          <w:szCs w:val="22"/>
          <w:lang w:val="en-GB"/>
        </w:rPr>
        <w:t>"</w:t>
      </w:r>
      <w:r w:rsidR="007574E3" w:rsidRPr="002D1C88">
        <w:rPr>
          <w:rFonts w:ascii="Avenir Next" w:hAnsi="Avenir Next" w:cs="Arial"/>
          <w:b/>
          <w:bCs/>
          <w:color w:val="808080" w:themeColor="background1" w:themeShade="80"/>
          <w:sz w:val="22"/>
          <w:szCs w:val="22"/>
          <w:lang w:val="en-GB"/>
        </w:rPr>
        <w:t>EIR</w:t>
      </w:r>
      <w:r w:rsidR="002D1C88">
        <w:rPr>
          <w:rFonts w:ascii="Avenir Next" w:hAnsi="Avenir Next" w:cs="Arial"/>
          <w:color w:val="808080" w:themeColor="background1" w:themeShade="80"/>
          <w:sz w:val="22"/>
          <w:szCs w:val="22"/>
          <w:lang w:val="en-GB"/>
        </w:rPr>
        <w:t>"</w:t>
      </w:r>
      <w:r w:rsidR="007574E3">
        <w:rPr>
          <w:rFonts w:ascii="Avenir Next" w:hAnsi="Avenir Next" w:cs="Arial"/>
          <w:color w:val="808080" w:themeColor="background1" w:themeShade="80"/>
          <w:sz w:val="22"/>
          <w:szCs w:val="22"/>
          <w:lang w:val="en-GB"/>
        </w:rPr>
        <w:t>) 2000, as amended by Regulation (EU) 2015/848 of the European Par</w:t>
      </w:r>
      <w:r w:rsidR="002D1C88">
        <w:rPr>
          <w:rFonts w:ascii="Avenir Next" w:hAnsi="Avenir Next" w:cs="Arial"/>
          <w:color w:val="808080" w:themeColor="background1" w:themeShade="80"/>
          <w:sz w:val="22"/>
          <w:szCs w:val="22"/>
          <w:lang w:val="en-GB"/>
        </w:rPr>
        <w:t>liament and the Council of 20 May 2015 on Insolvency Proceedings (Recast) ("</w:t>
      </w:r>
      <w:r w:rsidR="002D1C88">
        <w:rPr>
          <w:rFonts w:ascii="Avenir Next" w:hAnsi="Avenir Next" w:cs="Arial"/>
          <w:b/>
          <w:bCs/>
          <w:color w:val="808080" w:themeColor="background1" w:themeShade="80"/>
          <w:sz w:val="22"/>
          <w:szCs w:val="22"/>
          <w:lang w:val="en-GB"/>
        </w:rPr>
        <w:t>EIR Recast</w:t>
      </w:r>
      <w:r w:rsidR="002D1C88">
        <w:rPr>
          <w:rFonts w:ascii="Avenir Next" w:hAnsi="Avenir Next" w:cs="Arial"/>
          <w:color w:val="808080" w:themeColor="background1" w:themeShade="80"/>
          <w:sz w:val="22"/>
          <w:szCs w:val="22"/>
          <w:lang w:val="en-GB"/>
        </w:rPr>
        <w:t xml:space="preserve">"). </w:t>
      </w:r>
    </w:p>
    <w:p w14:paraId="35CA5081" w14:textId="77777777" w:rsidR="007F60AF" w:rsidRDefault="007F60AF" w:rsidP="002253D8">
      <w:pPr>
        <w:jc w:val="both"/>
        <w:rPr>
          <w:rFonts w:ascii="Avenir Next" w:hAnsi="Avenir Next" w:cs="Arial"/>
          <w:color w:val="808080" w:themeColor="background1" w:themeShade="80"/>
          <w:sz w:val="22"/>
          <w:szCs w:val="22"/>
          <w:lang w:val="en-GB"/>
        </w:rPr>
      </w:pPr>
    </w:p>
    <w:p w14:paraId="06D74295" w14:textId="36053C82" w:rsidR="007F60AF" w:rsidRPr="002D1C88" w:rsidRDefault="007F60A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EIR, primary jurisdictional competence for cross-border insolvency would be allocated to the Court of the 'centre of main interest' </w:t>
      </w:r>
      <w:r w:rsidR="001B7A1F">
        <w:rPr>
          <w:rFonts w:ascii="Avenir Next" w:hAnsi="Avenir Next" w:cs="Arial"/>
          <w:color w:val="808080" w:themeColor="background1" w:themeShade="80"/>
          <w:sz w:val="22"/>
          <w:szCs w:val="22"/>
          <w:lang w:val="en-GB"/>
        </w:rPr>
        <w:t>for the debtor. This is defined in the EIR Recast (Article 3(1)) as "</w:t>
      </w:r>
      <w:r w:rsidR="001B7A1F">
        <w:rPr>
          <w:rFonts w:ascii="Avenir Next" w:hAnsi="Avenir Next" w:cs="Arial"/>
          <w:i/>
          <w:iCs/>
          <w:color w:val="808080" w:themeColor="background1" w:themeShade="80"/>
          <w:sz w:val="22"/>
          <w:szCs w:val="22"/>
          <w:lang w:val="en-GB"/>
        </w:rPr>
        <w:t>the place where the debtor conducts the administration of its interests on a regular basis and which is ascertainable by third parties"</w:t>
      </w:r>
      <w:r w:rsidR="001B7A1F">
        <w:rPr>
          <w:rFonts w:ascii="Avenir Next" w:hAnsi="Avenir Next" w:cs="Arial"/>
          <w:color w:val="808080" w:themeColor="background1" w:themeShade="80"/>
          <w:sz w:val="22"/>
          <w:szCs w:val="22"/>
          <w:lang w:val="en-GB"/>
        </w:rPr>
        <w:t>. Given the wording of the question, it is assumed that the COMI would be Italy. Whether or not it could/would be considered Germany would be a fact-specific analysis, that would therefore require the views of third parties to inform the query. It is noted that Italy's management were "directed" from Germany, but this is unlikely to be ascertainable by third parties, who would be unaware of internal company machinations, and the COMI would remain Italy</w:t>
      </w:r>
      <w:r w:rsidR="009255DB">
        <w:rPr>
          <w:rFonts w:ascii="Avenir Next" w:hAnsi="Avenir Next" w:cs="Arial"/>
          <w:color w:val="808080" w:themeColor="background1" w:themeShade="80"/>
          <w:sz w:val="22"/>
          <w:szCs w:val="22"/>
          <w:lang w:val="en-GB"/>
        </w:rPr>
        <w:t>, and the Italian courts would therefore have primary jurisdiction. It would be possible for subsidiary proceedings to be commenced in other member states (for example, for the purposes of this question, England and/or Germany), given Norton Cars' "</w:t>
      </w:r>
      <w:r w:rsidR="009255DB">
        <w:rPr>
          <w:rFonts w:ascii="Avenir Next" w:hAnsi="Avenir Next" w:cs="Arial"/>
          <w:i/>
          <w:iCs/>
          <w:color w:val="808080" w:themeColor="background1" w:themeShade="80"/>
          <w:sz w:val="22"/>
          <w:szCs w:val="22"/>
          <w:lang w:val="en-GB"/>
        </w:rPr>
        <w:t>establishments"</w:t>
      </w:r>
      <w:r w:rsidR="009255DB">
        <w:rPr>
          <w:rFonts w:ascii="Avenir Next" w:hAnsi="Avenir Next" w:cs="Arial"/>
          <w:color w:val="808080" w:themeColor="background1" w:themeShade="80"/>
          <w:sz w:val="22"/>
          <w:szCs w:val="22"/>
          <w:lang w:val="en-GB"/>
        </w:rPr>
        <w:t xml:space="preserve"> in those member states (as "</w:t>
      </w:r>
      <w:r w:rsidR="009255DB">
        <w:rPr>
          <w:rFonts w:ascii="Avenir Next" w:hAnsi="Avenir Next" w:cs="Arial"/>
          <w:i/>
          <w:iCs/>
          <w:color w:val="808080" w:themeColor="background1" w:themeShade="80"/>
          <w:sz w:val="22"/>
          <w:szCs w:val="22"/>
          <w:lang w:val="en-GB"/>
        </w:rPr>
        <w:t>any place of operations … where the debtor carries out non-transitory economic activity with human means and assets"</w:t>
      </w:r>
      <w:r w:rsidR="009255DB">
        <w:rPr>
          <w:rFonts w:ascii="Avenir Next" w:hAnsi="Avenir Next" w:cs="Arial"/>
          <w:color w:val="808080" w:themeColor="background1" w:themeShade="80"/>
          <w:sz w:val="22"/>
          <w:szCs w:val="22"/>
          <w:lang w:val="en-GB"/>
        </w:rPr>
        <w:t xml:space="preserve"> (EIR Recast). These subsidiary proceedings can either be 'independent proceedings' opened prior to the COMI-driven main proceedings in Italy, or 'secondary proceedings' opened subsequent to bankruptcy adjudication(s) in the Italy (as the COMI Member State).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Pr="009021B6" w:rsidRDefault="007815D1" w:rsidP="007815D1">
      <w:pPr>
        <w:jc w:val="both"/>
        <w:rPr>
          <w:rFonts w:ascii="Avenir Next" w:hAnsi="Avenir Next" w:cs="Arial"/>
          <w:sz w:val="22"/>
          <w:szCs w:val="28"/>
        </w:rPr>
      </w:pPr>
      <w:r w:rsidRPr="009021B6">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Pr="009021B6" w:rsidRDefault="002253D8" w:rsidP="007815D1">
      <w:pPr>
        <w:jc w:val="both"/>
        <w:rPr>
          <w:rFonts w:ascii="Avenir Next" w:hAnsi="Avenir Next" w:cs="Arial"/>
          <w:sz w:val="22"/>
          <w:szCs w:val="28"/>
        </w:rPr>
      </w:pPr>
    </w:p>
    <w:p w14:paraId="3781AACE" w14:textId="261C63C2" w:rsidR="002253D8" w:rsidRPr="002253D8" w:rsidRDefault="00831A05"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EU (Recast) Insolvency Regulation is only binding on participating member states (and therefore does not include India, South Africa or Australia).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3F6E57" w:rsidRDefault="004827A3" w:rsidP="004827A3">
      <w:pPr>
        <w:jc w:val="both"/>
        <w:rPr>
          <w:rFonts w:ascii="Avenir Next" w:hAnsi="Avenir Next" w:cs="Arial"/>
          <w:sz w:val="22"/>
          <w:szCs w:val="28"/>
        </w:rPr>
      </w:pPr>
      <w:r w:rsidRPr="003F6E57">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3F6E57">
        <w:rPr>
          <w:rFonts w:ascii="Avenir Next" w:hAnsi="Avenir Next" w:cs="Arial"/>
          <w:sz w:val="22"/>
          <w:szCs w:val="28"/>
        </w:rPr>
        <w:t xml:space="preserve"> Inc</w:t>
      </w:r>
      <w:r w:rsidRPr="003F6E57">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3F6E57" w:rsidRDefault="004827A3" w:rsidP="004827A3">
      <w:pPr>
        <w:jc w:val="both"/>
        <w:rPr>
          <w:rFonts w:ascii="Avenir Next" w:hAnsi="Avenir Next" w:cs="Arial"/>
          <w:b/>
          <w:bCs/>
          <w:sz w:val="24"/>
          <w:lang w:val="en-GB"/>
        </w:rPr>
      </w:pPr>
    </w:p>
    <w:p w14:paraId="79CA7F49" w14:textId="2235E46B" w:rsidR="004827A3" w:rsidRPr="003F6E57" w:rsidRDefault="004827A3" w:rsidP="00E64302">
      <w:pPr>
        <w:pStyle w:val="ListParagraph"/>
        <w:numPr>
          <w:ilvl w:val="0"/>
          <w:numId w:val="32"/>
        </w:numPr>
        <w:ind w:left="426" w:hanging="426"/>
        <w:jc w:val="both"/>
        <w:rPr>
          <w:rFonts w:ascii="Avenir Next" w:hAnsi="Avenir Next"/>
          <w:sz w:val="22"/>
          <w:szCs w:val="28"/>
        </w:rPr>
      </w:pPr>
      <w:r w:rsidRPr="003F6E57">
        <w:rPr>
          <w:rFonts w:ascii="Avenir Next" w:hAnsi="Avenir Next" w:cs="Arial"/>
          <w:sz w:val="22"/>
          <w:szCs w:val="28"/>
        </w:rPr>
        <w:t>Which law will apply to the insolvency proceeding and with regard to the real rights of security situated in the Netherlands? (</w:t>
      </w:r>
      <w:r w:rsidR="00CB3EB6" w:rsidRPr="003F6E57">
        <w:rPr>
          <w:rFonts w:ascii="Avenir Next" w:hAnsi="Avenir Next" w:cs="Arial"/>
          <w:sz w:val="22"/>
          <w:szCs w:val="28"/>
        </w:rPr>
        <w:t>T</w:t>
      </w:r>
      <w:r w:rsidRPr="003F6E57">
        <w:rPr>
          <w:rFonts w:ascii="Avenir Next" w:hAnsi="Avenir Next" w:cs="Arial"/>
          <w:sz w:val="22"/>
          <w:szCs w:val="28"/>
        </w:rPr>
        <w:t xml:space="preserve">his </w:t>
      </w:r>
      <w:r w:rsidR="00851A7A" w:rsidRPr="003F6E57">
        <w:rPr>
          <w:rFonts w:ascii="Avenir Next" w:hAnsi="Avenir Next" w:cs="Arial"/>
          <w:sz w:val="22"/>
          <w:szCs w:val="28"/>
        </w:rPr>
        <w:t>question (a)</w:t>
      </w:r>
      <w:r w:rsidRPr="003F6E57">
        <w:rPr>
          <w:rFonts w:ascii="Avenir Next" w:hAnsi="Avenir Next" w:cs="Arial"/>
          <w:sz w:val="22"/>
          <w:szCs w:val="28"/>
        </w:rPr>
        <w:t xml:space="preserve"> is worth 3 marks out of the available </w:t>
      </w:r>
      <w:r w:rsidR="003C473E" w:rsidRPr="003F6E57">
        <w:rPr>
          <w:rFonts w:ascii="Avenir Next" w:hAnsi="Avenir Next" w:cs="Arial"/>
          <w:sz w:val="22"/>
          <w:szCs w:val="28"/>
        </w:rPr>
        <w:t>6</w:t>
      </w:r>
      <w:r w:rsidRPr="003F6E57">
        <w:rPr>
          <w:rFonts w:ascii="Avenir Next" w:hAnsi="Avenir Next" w:cs="Arial"/>
          <w:sz w:val="22"/>
          <w:szCs w:val="28"/>
        </w:rPr>
        <w:t xml:space="preserve"> marks</w:t>
      </w:r>
      <w:r w:rsidR="00CB3EB6" w:rsidRPr="003F6E57">
        <w:rPr>
          <w:rFonts w:ascii="Avenir Next" w:hAnsi="Avenir Next" w:cs="Arial"/>
          <w:sz w:val="22"/>
          <w:szCs w:val="28"/>
        </w:rPr>
        <w:t>.</w:t>
      </w:r>
      <w:r w:rsidRPr="003F6E57">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0D05EB8C" w:rsidR="002253D8" w:rsidRPr="00BA76C9" w:rsidRDefault="003F6E57" w:rsidP="00613F79">
      <w:pPr>
        <w:ind w:left="426"/>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both Netherlands and Italy are European Union member states, the EU (Recast)  </w:t>
      </w:r>
      <w:r w:rsidR="00613F79">
        <w:rPr>
          <w:rFonts w:ascii="Avenir Next" w:hAnsi="Avenir Next" w:cs="Arial"/>
          <w:color w:val="808080" w:themeColor="background1" w:themeShade="80"/>
          <w:sz w:val="22"/>
          <w:szCs w:val="22"/>
          <w:lang w:val="en-GB"/>
        </w:rPr>
        <w:t xml:space="preserve">Insolvency Regulation would apply. Under Recital 68, </w:t>
      </w:r>
      <w:r w:rsidR="00391392">
        <w:rPr>
          <w:rFonts w:ascii="Avenir Next" w:hAnsi="Avenir Next" w:cs="Arial"/>
          <w:color w:val="808080" w:themeColor="background1" w:themeShade="80"/>
          <w:sz w:val="22"/>
          <w:szCs w:val="22"/>
          <w:lang w:val="en-GB"/>
        </w:rPr>
        <w:t xml:space="preserve">the basis, validity and extent of rights </w:t>
      </w:r>
      <w:r w:rsidR="00391392">
        <w:rPr>
          <w:rFonts w:ascii="Avenir Next" w:hAnsi="Avenir Next" w:cs="Arial"/>
          <w:i/>
          <w:iCs/>
          <w:color w:val="808080" w:themeColor="background1" w:themeShade="80"/>
          <w:sz w:val="22"/>
          <w:szCs w:val="22"/>
          <w:lang w:val="en-GB"/>
        </w:rPr>
        <w:t>in rem</w:t>
      </w:r>
      <w:r w:rsidR="00391392">
        <w:rPr>
          <w:rFonts w:ascii="Avenir Next" w:hAnsi="Avenir Next" w:cs="Arial"/>
          <w:color w:val="808080" w:themeColor="background1" w:themeShade="80"/>
          <w:sz w:val="22"/>
          <w:szCs w:val="22"/>
          <w:lang w:val="en-GB"/>
        </w:rPr>
        <w:t xml:space="preserve"> should therefore normally be determined according to the </w:t>
      </w:r>
      <w:r w:rsidR="00391392">
        <w:rPr>
          <w:rFonts w:ascii="Avenir Next" w:hAnsi="Avenir Next" w:cs="Arial"/>
          <w:i/>
          <w:iCs/>
          <w:color w:val="808080" w:themeColor="background1" w:themeShade="80"/>
          <w:sz w:val="22"/>
          <w:szCs w:val="22"/>
          <w:lang w:val="en-GB"/>
        </w:rPr>
        <w:t>lex situs</w:t>
      </w:r>
      <w:r w:rsidR="00391392">
        <w:rPr>
          <w:rFonts w:ascii="Avenir Next" w:hAnsi="Avenir Next" w:cs="Arial"/>
          <w:color w:val="808080" w:themeColor="background1" w:themeShade="80"/>
          <w:sz w:val="22"/>
          <w:szCs w:val="22"/>
          <w:lang w:val="en-GB"/>
        </w:rPr>
        <w:t xml:space="preserve"> (i.e. the Netherlands) and not to be affected by the opening of Italian insolvency proceedings. </w:t>
      </w:r>
      <w:r w:rsidR="00BA76C9">
        <w:rPr>
          <w:rFonts w:ascii="Avenir Next" w:hAnsi="Avenir Next" w:cs="Arial"/>
          <w:color w:val="808080" w:themeColor="background1" w:themeShade="80"/>
          <w:sz w:val="22"/>
          <w:szCs w:val="22"/>
          <w:lang w:val="en-GB"/>
        </w:rPr>
        <w:t>The proprietor of those security rights should be able to continue to assert any rights to segregation of those assets, or separate settlement of the collateral security. Equally, under Recital 68, where "</w:t>
      </w:r>
      <w:r w:rsidR="00BA76C9">
        <w:rPr>
          <w:rFonts w:ascii="Avenir Next" w:hAnsi="Avenir Next" w:cs="Arial"/>
          <w:i/>
          <w:iCs/>
          <w:color w:val="808080" w:themeColor="background1" w:themeShade="80"/>
          <w:sz w:val="22"/>
          <w:szCs w:val="22"/>
          <w:lang w:val="en-GB"/>
        </w:rPr>
        <w:t>assets are subject to rights in rem under the lex situs in one Member State</w:t>
      </w:r>
      <w:r w:rsidR="00BA76C9">
        <w:rPr>
          <w:rFonts w:ascii="Avenir Next" w:hAnsi="Avenir Next" w:cs="Arial"/>
          <w:color w:val="808080" w:themeColor="background1" w:themeShade="80"/>
          <w:sz w:val="22"/>
          <w:szCs w:val="22"/>
          <w:lang w:val="en-GB"/>
        </w:rPr>
        <w:t xml:space="preserve"> [here, the Netherlands] </w:t>
      </w:r>
      <w:r w:rsidR="00BA76C9">
        <w:rPr>
          <w:rFonts w:ascii="Avenir Next" w:hAnsi="Avenir Next" w:cs="Arial"/>
          <w:i/>
          <w:iCs/>
          <w:color w:val="808080" w:themeColor="background1" w:themeShade="80"/>
          <w:sz w:val="22"/>
          <w:szCs w:val="22"/>
          <w:lang w:val="en-GB"/>
        </w:rPr>
        <w:t xml:space="preserve">but the </w:t>
      </w:r>
      <w:r w:rsidR="000A51A6">
        <w:rPr>
          <w:rFonts w:ascii="Avenir Next" w:hAnsi="Avenir Next" w:cs="Arial"/>
          <w:i/>
          <w:iCs/>
          <w:color w:val="808080" w:themeColor="background1" w:themeShade="80"/>
          <w:sz w:val="22"/>
          <w:szCs w:val="22"/>
          <w:lang w:val="en-GB"/>
        </w:rPr>
        <w:t xml:space="preserve">main insolvency proceedings are being carried out in another Member State </w:t>
      </w:r>
      <w:r w:rsidR="000A51A6">
        <w:rPr>
          <w:rFonts w:ascii="Avenir Next" w:hAnsi="Avenir Next" w:cs="Arial"/>
          <w:color w:val="808080" w:themeColor="background1" w:themeShade="80"/>
          <w:sz w:val="22"/>
          <w:szCs w:val="22"/>
          <w:lang w:val="en-GB"/>
        </w:rPr>
        <w:t xml:space="preserve">[here, Italy] </w:t>
      </w:r>
      <w:r w:rsidR="000A51A6">
        <w:rPr>
          <w:rFonts w:ascii="Avenir Next" w:hAnsi="Avenir Next" w:cs="Arial"/>
          <w:i/>
          <w:iCs/>
          <w:color w:val="808080" w:themeColor="background1" w:themeShade="80"/>
          <w:sz w:val="22"/>
          <w:szCs w:val="22"/>
          <w:lang w:val="en-GB"/>
        </w:rPr>
        <w:t xml:space="preserve">the insolvency practitioner in the main insolvency proceedings should be able to request the opening of secondary insolvency proceedings in the jurisdiction where the rights in rem arise if the debtor </w:t>
      </w:r>
      <w:r w:rsidR="00555545">
        <w:rPr>
          <w:rFonts w:ascii="Avenir Next" w:hAnsi="Avenir Next" w:cs="Arial"/>
          <w:i/>
          <w:iCs/>
          <w:color w:val="808080" w:themeColor="background1" w:themeShade="80"/>
          <w:sz w:val="22"/>
          <w:szCs w:val="22"/>
          <w:lang w:val="en-GB"/>
        </w:rPr>
        <w:t xml:space="preserve">has an establishment there </w:t>
      </w:r>
      <w:r w:rsidR="00555545">
        <w:rPr>
          <w:rFonts w:ascii="Avenir Next" w:hAnsi="Avenir Next" w:cs="Arial"/>
          <w:color w:val="808080" w:themeColor="background1" w:themeShade="80"/>
          <w:sz w:val="22"/>
          <w:szCs w:val="22"/>
          <w:lang w:val="en-GB"/>
        </w:rPr>
        <w:t>[which it does, as Norton has an external branch in the Netherlands]"</w:t>
      </w:r>
      <w:r w:rsidR="00555545">
        <w:rPr>
          <w:rFonts w:ascii="Avenir Next" w:hAnsi="Avenir Next" w:cs="Arial"/>
          <w:i/>
          <w:iCs/>
          <w:color w:val="808080" w:themeColor="background1" w:themeShade="80"/>
          <w:sz w:val="22"/>
          <w:szCs w:val="22"/>
          <w:lang w:val="en-GB"/>
        </w:rPr>
        <w:t xml:space="preserve">. </w:t>
      </w:r>
      <w:r w:rsidR="003C335E">
        <w:rPr>
          <w:rFonts w:ascii="Avenir Next" w:hAnsi="Avenir Next" w:cs="Arial"/>
          <w:color w:val="808080" w:themeColor="background1" w:themeShade="80"/>
          <w:sz w:val="22"/>
          <w:szCs w:val="22"/>
          <w:lang w:val="en-GB"/>
        </w:rPr>
        <w:t>Equally "</w:t>
      </w:r>
      <w:r w:rsidR="003C335E">
        <w:rPr>
          <w:rFonts w:ascii="Avenir Next" w:hAnsi="Avenir Next" w:cs="Arial"/>
          <w:i/>
          <w:iCs/>
          <w:color w:val="808080" w:themeColor="background1" w:themeShade="80"/>
          <w:sz w:val="22"/>
          <w:szCs w:val="22"/>
          <w:lang w:val="en-GB"/>
        </w:rPr>
        <w:t>if secondary insolvency proceedings are not opened, any surplus on the sale of an asset covered by rights in rem should be paid to the insolvency practitioner in the main insolvency proceedings"</w:t>
      </w:r>
      <w:r w:rsidR="003C335E">
        <w:rPr>
          <w:rFonts w:ascii="Avenir Next" w:hAnsi="Avenir Next" w:cs="Arial"/>
          <w:color w:val="808080" w:themeColor="background1" w:themeShade="80"/>
          <w:sz w:val="22"/>
          <w:szCs w:val="22"/>
          <w:lang w:val="en-GB"/>
        </w:rPr>
        <w:t xml:space="preserve">. </w:t>
      </w:r>
      <w:r w:rsidR="00BA76C9">
        <w:rPr>
          <w:rFonts w:ascii="Avenir Next" w:hAnsi="Avenir Next" w:cs="Arial"/>
          <w:i/>
          <w:iCs/>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Pr="003C335E" w:rsidRDefault="004827A3" w:rsidP="00E64302">
      <w:pPr>
        <w:pStyle w:val="ListParagraph"/>
        <w:numPr>
          <w:ilvl w:val="0"/>
          <w:numId w:val="32"/>
        </w:numPr>
        <w:ind w:left="426" w:hanging="426"/>
        <w:jc w:val="both"/>
        <w:rPr>
          <w:rFonts w:ascii="Avenir Next" w:hAnsi="Avenir Next" w:cs="Arial"/>
          <w:sz w:val="22"/>
          <w:szCs w:val="28"/>
        </w:rPr>
      </w:pPr>
      <w:r w:rsidRPr="003C335E">
        <w:rPr>
          <w:rFonts w:ascii="Avenir Next" w:hAnsi="Avenir Next" w:cs="Arial"/>
          <w:sz w:val="22"/>
          <w:szCs w:val="28"/>
        </w:rPr>
        <w:t>Which law will apply with regards to an insolvency proceeding in Australia and the real rights of security situated in there? (</w:t>
      </w:r>
      <w:r w:rsidR="00CB3EB6" w:rsidRPr="003C335E">
        <w:rPr>
          <w:rFonts w:ascii="Avenir Next" w:hAnsi="Avenir Next" w:cs="Arial"/>
          <w:sz w:val="22"/>
          <w:szCs w:val="28"/>
        </w:rPr>
        <w:t>T</w:t>
      </w:r>
      <w:r w:rsidRPr="003C335E">
        <w:rPr>
          <w:rFonts w:ascii="Avenir Next" w:hAnsi="Avenir Next" w:cs="Arial"/>
          <w:sz w:val="22"/>
          <w:szCs w:val="28"/>
        </w:rPr>
        <w:t xml:space="preserve">his </w:t>
      </w:r>
      <w:r w:rsidR="00851A7A" w:rsidRPr="003C335E">
        <w:rPr>
          <w:rFonts w:ascii="Avenir Next" w:hAnsi="Avenir Next" w:cs="Arial"/>
          <w:sz w:val="22"/>
          <w:szCs w:val="28"/>
        </w:rPr>
        <w:t>question (b)</w:t>
      </w:r>
      <w:r w:rsidRPr="003C335E">
        <w:rPr>
          <w:rFonts w:ascii="Avenir Next" w:hAnsi="Avenir Next" w:cs="Arial"/>
          <w:sz w:val="22"/>
          <w:szCs w:val="28"/>
        </w:rPr>
        <w:t xml:space="preserve"> is worth 3 marks out of the available </w:t>
      </w:r>
      <w:r w:rsidR="003C473E" w:rsidRPr="003C335E">
        <w:rPr>
          <w:rFonts w:ascii="Avenir Next" w:hAnsi="Avenir Next" w:cs="Arial"/>
          <w:sz w:val="22"/>
          <w:szCs w:val="28"/>
        </w:rPr>
        <w:t>6</w:t>
      </w:r>
      <w:r w:rsidRPr="003C335E">
        <w:rPr>
          <w:rFonts w:ascii="Avenir Next" w:hAnsi="Avenir Next" w:cs="Arial"/>
          <w:sz w:val="22"/>
          <w:szCs w:val="28"/>
        </w:rPr>
        <w:t xml:space="preserve"> marks</w:t>
      </w:r>
      <w:r w:rsidR="00CB3EB6" w:rsidRPr="003C335E">
        <w:rPr>
          <w:rFonts w:ascii="Avenir Next" w:hAnsi="Avenir Next" w:cs="Arial"/>
          <w:sz w:val="22"/>
          <w:szCs w:val="28"/>
        </w:rPr>
        <w:t>.</w:t>
      </w:r>
      <w:r w:rsidRPr="003C335E">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130BAD0" w14:textId="509123C5" w:rsidR="00E73196" w:rsidRDefault="00995997" w:rsidP="00E7319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similar statutory provisions to section 426 of the UK </w:t>
      </w:r>
      <w:r w:rsidR="00674B61">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Act 1986 </w:t>
      </w:r>
      <w:r w:rsidR="00674B61">
        <w:rPr>
          <w:rFonts w:ascii="Avenir Next" w:hAnsi="Avenir Next" w:cs="Arial"/>
          <w:color w:val="808080" w:themeColor="background1" w:themeShade="80"/>
          <w:sz w:val="22"/>
          <w:szCs w:val="22"/>
          <w:lang w:val="en-GB"/>
        </w:rPr>
        <w:t>, which permit cooperation between Australia and foreign courts (here, Italian courts) in "</w:t>
      </w:r>
      <w:r w:rsidR="00674B61">
        <w:rPr>
          <w:rFonts w:ascii="Avenir Next" w:hAnsi="Avenir Next" w:cs="Arial"/>
          <w:i/>
          <w:iCs/>
          <w:color w:val="808080" w:themeColor="background1" w:themeShade="80"/>
          <w:sz w:val="22"/>
          <w:szCs w:val="22"/>
          <w:lang w:val="en-GB"/>
        </w:rPr>
        <w:t>external administration"</w:t>
      </w:r>
      <w:r w:rsidR="00674B61">
        <w:rPr>
          <w:rFonts w:ascii="Avenir Next" w:hAnsi="Avenir Next" w:cs="Arial"/>
          <w:color w:val="808080" w:themeColor="background1" w:themeShade="80"/>
          <w:sz w:val="22"/>
          <w:szCs w:val="22"/>
          <w:lang w:val="en-GB"/>
        </w:rPr>
        <w:t xml:space="preserve"> matters, including liquidation proceedings. The relevant provisions are found in sections </w:t>
      </w:r>
      <w:r w:rsidR="00E73196">
        <w:rPr>
          <w:rFonts w:ascii="Avenir Next" w:hAnsi="Avenir Next" w:cs="Arial"/>
          <w:color w:val="808080" w:themeColor="background1" w:themeShade="80"/>
          <w:sz w:val="22"/>
          <w:szCs w:val="22"/>
          <w:lang w:val="en-GB"/>
        </w:rPr>
        <w:t xml:space="preserve">580-581 of the Australian Corporations Act 2001. </w:t>
      </w:r>
      <w:r w:rsidR="004B7F8F">
        <w:rPr>
          <w:rFonts w:ascii="Avenir Next" w:hAnsi="Avenir Next" w:cs="Arial"/>
          <w:color w:val="808080" w:themeColor="background1" w:themeShade="80"/>
          <w:sz w:val="22"/>
          <w:szCs w:val="22"/>
          <w:lang w:val="en-GB"/>
        </w:rPr>
        <w:t xml:space="preserve">Whilst the Italian courts would have jurisdiction over the insolvency proceedings, under section 581 of the Corporations Act 2001, the Australian Courts </w:t>
      </w:r>
      <w:r w:rsidR="004F37BF">
        <w:rPr>
          <w:rFonts w:ascii="Avenir Next" w:hAnsi="Avenir Next" w:cs="Arial"/>
          <w:color w:val="808080" w:themeColor="background1" w:themeShade="80"/>
          <w:sz w:val="22"/>
          <w:szCs w:val="22"/>
          <w:lang w:val="en-GB"/>
        </w:rPr>
        <w:t>are required to "</w:t>
      </w:r>
      <w:r w:rsidR="004F37BF">
        <w:rPr>
          <w:rFonts w:ascii="Avenir Next" w:hAnsi="Avenir Next" w:cs="Arial"/>
          <w:i/>
          <w:iCs/>
          <w:color w:val="808080" w:themeColor="background1" w:themeShade="80"/>
          <w:sz w:val="22"/>
          <w:szCs w:val="22"/>
          <w:lang w:val="en-GB"/>
        </w:rPr>
        <w:t>act in aid of and be auxiliary to"</w:t>
      </w:r>
      <w:r w:rsidR="004F37BF">
        <w:rPr>
          <w:rFonts w:ascii="Avenir Next" w:hAnsi="Avenir Next" w:cs="Arial"/>
          <w:color w:val="808080" w:themeColor="background1" w:themeShade="80"/>
          <w:sz w:val="22"/>
          <w:szCs w:val="22"/>
          <w:lang w:val="en-GB"/>
        </w:rPr>
        <w:t xml:space="preserve">, the Italian Courts when establishing the real rights of security over Australian assets in an Italian insolvency. </w:t>
      </w:r>
    </w:p>
    <w:p w14:paraId="49D3A08A" w14:textId="77777777" w:rsidR="004F37BF" w:rsidRDefault="004F37BF" w:rsidP="00E73196">
      <w:pPr>
        <w:ind w:left="426"/>
        <w:jc w:val="both"/>
        <w:rPr>
          <w:rFonts w:ascii="Avenir Next" w:hAnsi="Avenir Next" w:cs="Arial"/>
          <w:color w:val="808080" w:themeColor="background1" w:themeShade="80"/>
          <w:sz w:val="22"/>
          <w:szCs w:val="22"/>
          <w:lang w:val="en-GB"/>
        </w:rPr>
      </w:pPr>
    </w:p>
    <w:p w14:paraId="2A42E946" w14:textId="7C48867A" w:rsidR="0048678F" w:rsidRPr="0048678F" w:rsidRDefault="004F37BF" w:rsidP="004F37B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Australia has adopted the </w:t>
      </w:r>
      <w:r w:rsidR="0048678F">
        <w:rPr>
          <w:rFonts w:ascii="Avenir Next" w:hAnsi="Avenir Next" w:cs="Arial"/>
          <w:color w:val="808080" w:themeColor="background1" w:themeShade="80"/>
          <w:sz w:val="22"/>
          <w:szCs w:val="22"/>
          <w:lang w:val="en-GB"/>
        </w:rPr>
        <w:t xml:space="preserve">UNCITRAL Model Law on Cross-Border </w:t>
      </w:r>
      <w:r>
        <w:rPr>
          <w:rFonts w:ascii="Avenir Next" w:hAnsi="Avenir Next" w:cs="Arial"/>
          <w:color w:val="808080" w:themeColor="background1" w:themeShade="80"/>
          <w:sz w:val="22"/>
          <w:szCs w:val="22"/>
          <w:lang w:val="en-GB"/>
        </w:rPr>
        <w:t>Insolvency</w:t>
      </w:r>
      <w:r w:rsidR="0048678F">
        <w:rPr>
          <w:rFonts w:ascii="Avenir Next" w:hAnsi="Avenir Next" w:cs="Arial"/>
          <w:color w:val="808080" w:themeColor="background1" w:themeShade="80"/>
          <w:sz w:val="22"/>
          <w:szCs w:val="22"/>
          <w:lang w:val="en-GB"/>
        </w:rPr>
        <w:t xml:space="preserve">, through the cross-border </w:t>
      </w:r>
      <w:r>
        <w:rPr>
          <w:rFonts w:ascii="Avenir Next" w:hAnsi="Avenir Next" w:cs="Arial"/>
          <w:color w:val="808080" w:themeColor="background1" w:themeShade="80"/>
          <w:sz w:val="22"/>
          <w:szCs w:val="22"/>
          <w:lang w:val="en-GB"/>
        </w:rPr>
        <w:t>insolvency</w:t>
      </w:r>
      <w:r w:rsidR="0048678F">
        <w:rPr>
          <w:rFonts w:ascii="Avenir Next" w:hAnsi="Avenir Next" w:cs="Arial"/>
          <w:color w:val="808080" w:themeColor="background1" w:themeShade="80"/>
          <w:sz w:val="22"/>
          <w:szCs w:val="22"/>
          <w:lang w:val="en-GB"/>
        </w:rPr>
        <w:t xml:space="preserve"> act 2008</w:t>
      </w:r>
      <w:r>
        <w:rPr>
          <w:rFonts w:ascii="Avenir Next" w:hAnsi="Avenir Next" w:cs="Arial"/>
          <w:color w:val="808080" w:themeColor="background1" w:themeShade="80"/>
          <w:sz w:val="22"/>
          <w:szCs w:val="22"/>
          <w:lang w:val="en-GB"/>
        </w:rPr>
        <w:t xml:space="preserve">, and is therefore subject to the cooperation </w:t>
      </w:r>
      <w:r w:rsidR="0092624D">
        <w:rPr>
          <w:rFonts w:ascii="Avenir Next" w:hAnsi="Avenir Next" w:cs="Arial"/>
          <w:color w:val="808080" w:themeColor="background1" w:themeShade="80"/>
          <w:sz w:val="22"/>
          <w:szCs w:val="22"/>
          <w:lang w:val="en-GB"/>
        </w:rPr>
        <w:t xml:space="preserve">requirements of the Model Law.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4C0D" w14:textId="77777777" w:rsidR="00564527" w:rsidRDefault="00564527" w:rsidP="00241B44">
      <w:r>
        <w:separator/>
      </w:r>
    </w:p>
  </w:endnote>
  <w:endnote w:type="continuationSeparator" w:id="0">
    <w:p w14:paraId="2512B5B0" w14:textId="77777777" w:rsidR="00564527" w:rsidRDefault="0056452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p w14:paraId="1F73CAC6" w14:textId="2055B9F3" w:rsidR="00CF5EF4" w:rsidRPr="00A31881" w:rsidRDefault="00CF5EF4" w:rsidP="00FC7B47">
    <w:pPr>
      <w:pStyle w:val="Footer"/>
      <w:ind w:right="360"/>
      <w:rPr>
        <w:rFonts w:ascii="Arial" w:hAnsi="Arial" w:cs="Arial"/>
        <w:sz w:val="18"/>
        <w:szCs w:val="18"/>
      </w:rPr>
    </w:pPr>
    <w:r>
      <w:rPr>
        <w:rFonts w:ascii="Arial" w:hAnsi="Arial" w:cs="Arial"/>
        <w:sz w:val="18"/>
        <w:szCs w:val="18"/>
      </w:rPr>
      <w:fldChar w:fldCharType="begin"/>
    </w:r>
    <w:r w:rsidR="00E52A3A">
      <w:rPr>
        <w:rFonts w:ascii="Arial" w:hAnsi="Arial" w:cs="Arial"/>
        <w:sz w:val="18"/>
        <w:szCs w:val="18"/>
      </w:rPr>
      <w:instrText xml:space="preserve">DOCPROPERTY DOCXDOCID DMS=FileSystem Format=&lt;&lt;NAME&gt;&gt;-&lt;&lt;SDTE&gt;&gt; \* MERGEFORMAT </w:instrText>
    </w:r>
    <w:r>
      <w:rPr>
        <w:rFonts w:ascii="Arial" w:hAnsi="Arial" w:cs="Arial"/>
        <w:sz w:val="18"/>
        <w:szCs w:val="18"/>
      </w:rPr>
      <w:fldChar w:fldCharType="separate"/>
    </w:r>
    <w:r w:rsidR="00E52A3A">
      <w:rPr>
        <w:rFonts w:ascii="Arial" w:hAnsi="Arial" w:cs="Arial"/>
        <w:sz w:val="18"/>
        <w:szCs w:val="18"/>
      </w:rPr>
      <w:t>FC202324-1387.assessment1summative-14/11/2023</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2A5F281" w:rsidR="00B64A85" w:rsidRDefault="004518BF" w:rsidP="0052732A">
    <w:pPr>
      <w:pStyle w:val="Footer"/>
      <w:ind w:right="360"/>
      <w:rPr>
        <w:rFonts w:ascii="Avenir Next" w:hAnsi="Avenir Next" w:cs="Arial"/>
        <w:sz w:val="22"/>
        <w:szCs w:val="22"/>
      </w:rPr>
    </w:pPr>
    <w:r w:rsidRPr="00555596">
      <w:rPr>
        <w:rFonts w:ascii="Avenir Next" w:hAnsi="Avenir Next" w:cs="Arial"/>
        <w:sz w:val="22"/>
        <w:szCs w:val="22"/>
      </w:rPr>
      <w:t>FC202324-1387</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8B4B" w14:textId="70D2D242" w:rsidR="00CF5EF4" w:rsidRDefault="0020342B">
    <w:pPr>
      <w:pStyle w:val="Footer"/>
    </w:pPr>
    <w:r>
      <w:fldChar w:fldCharType="begin"/>
    </w:r>
    <w:r w:rsidR="00E52A3A">
      <w:instrText xml:space="preserve">DOCPROPERTY DOCXDOCID DMS=FileSystem Format=&lt;&lt;NAME&gt;&gt;-&lt;&lt;SDTE&gt;&gt; \* MERGEFORMAT </w:instrText>
    </w:r>
    <w:r>
      <w:fldChar w:fldCharType="separate"/>
    </w:r>
    <w:r w:rsidR="00E52A3A">
      <w:t>FC202324-1387.assessment1summative-14/11/2023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2DE1" w14:textId="77777777" w:rsidR="00564527" w:rsidRDefault="00564527" w:rsidP="00241B44">
      <w:r>
        <w:separator/>
      </w:r>
    </w:p>
  </w:footnote>
  <w:footnote w:type="continuationSeparator" w:id="0">
    <w:p w14:paraId="0D53DA12" w14:textId="77777777" w:rsidR="00564527" w:rsidRDefault="00564527" w:rsidP="00241B44">
      <w:r>
        <w:continuationSeparator/>
      </w:r>
    </w:p>
  </w:footnote>
  <w:footnote w:id="1">
    <w:p w14:paraId="3597C34A" w14:textId="5F9B79FD" w:rsidR="00BC7C4D" w:rsidRDefault="00BC7C4D">
      <w:pPr>
        <w:pStyle w:val="FootnoteText"/>
      </w:pPr>
      <w:r>
        <w:rPr>
          <w:rStyle w:val="FootnoteReference"/>
        </w:rPr>
        <w:footnoteRef/>
      </w:r>
      <w:r>
        <w:t xml:space="preserve"> </w:t>
      </w:r>
      <w:r w:rsidR="00B46E02">
        <w:t xml:space="preserve">I Fletcher, </w:t>
      </w:r>
      <w:r w:rsidR="00B46E02">
        <w:rPr>
          <w:i/>
          <w:iCs/>
        </w:rPr>
        <w:t xml:space="preserve">The Law of Insolvency, </w:t>
      </w:r>
      <w:r w:rsidR="00B46E02">
        <w:t>London (Sweet &amp; Maxwell, 5</w:t>
      </w:r>
      <w:r w:rsidR="00B46E02" w:rsidRPr="00B46E02">
        <w:rPr>
          <w:vertAlign w:val="superscript"/>
        </w:rPr>
        <w:t>th</w:t>
      </w:r>
      <w:r w:rsidR="00B46E02">
        <w:t xml:space="preserve"> Ed, 2017)</w:t>
      </w:r>
      <w:r>
        <w:t xml:space="preserve"> Chapter 1 </w:t>
      </w:r>
    </w:p>
  </w:footnote>
  <w:footnote w:id="2">
    <w:p w14:paraId="19CAC08C" w14:textId="4B0EB4A5" w:rsidR="00675117" w:rsidRPr="00675117" w:rsidRDefault="00675117">
      <w:pPr>
        <w:pStyle w:val="FootnoteText"/>
      </w:pPr>
      <w:r>
        <w:rPr>
          <w:rStyle w:val="FootnoteReference"/>
        </w:rPr>
        <w:footnoteRef/>
      </w:r>
      <w:r>
        <w:t xml:space="preserve"> Sealy and Hooley in M A Clarke et al </w:t>
      </w:r>
      <w:r>
        <w:rPr>
          <w:i/>
          <w:iCs/>
        </w:rPr>
        <w:t>Commercial Law</w:t>
      </w:r>
      <w:r>
        <w:t xml:space="preserve"> (Oxford University Press, 2017), Chapter 28</w:t>
      </w:r>
    </w:p>
  </w:footnote>
  <w:footnote w:id="3">
    <w:p w14:paraId="295D3107" w14:textId="691D5C37" w:rsidR="0056729E" w:rsidRDefault="0056729E">
      <w:pPr>
        <w:pStyle w:val="FootnoteText"/>
      </w:pPr>
      <w:r>
        <w:rPr>
          <w:rStyle w:val="FootnoteReference"/>
        </w:rPr>
        <w:footnoteRef/>
      </w:r>
      <w:r>
        <w:t xml:space="preserve"> </w:t>
      </w:r>
      <w:r w:rsidR="00B46E02">
        <w:t xml:space="preserve">I Fletcher, </w:t>
      </w:r>
      <w:r w:rsidR="00B46E02">
        <w:rPr>
          <w:i/>
          <w:iCs/>
        </w:rPr>
        <w:t xml:space="preserve">The Law of Insolvency, </w:t>
      </w:r>
      <w:r w:rsidR="00B46E02">
        <w:t>London (Sweet &amp; Maxwell, 5</w:t>
      </w:r>
      <w:r w:rsidR="00B46E02" w:rsidRPr="00B46E02">
        <w:rPr>
          <w:vertAlign w:val="superscript"/>
        </w:rPr>
        <w:t>th</w:t>
      </w:r>
      <w:r w:rsidR="00B46E02">
        <w:t xml:space="preserve"> Ed, 2017) Chapter 1</w:t>
      </w:r>
    </w:p>
  </w:footnote>
  <w:footnote w:id="4">
    <w:p w14:paraId="6732DA27" w14:textId="565E8EAA" w:rsidR="00414125" w:rsidRDefault="00414125">
      <w:pPr>
        <w:pStyle w:val="FootnoteText"/>
      </w:pPr>
      <w:r>
        <w:rPr>
          <w:rStyle w:val="FootnoteReference"/>
        </w:rPr>
        <w:footnoteRef/>
      </w:r>
      <w:r>
        <w:t xml:space="preserve"> </w:t>
      </w:r>
      <w:r w:rsidR="002C6695">
        <w:t xml:space="preserve">PJ Omar </w:t>
      </w:r>
      <w:r w:rsidR="002C6695" w:rsidRPr="004A709B">
        <w:rPr>
          <w:i/>
          <w:iCs/>
        </w:rPr>
        <w:t>'The Landscape of International Insolvency'</w:t>
      </w:r>
      <w:r w:rsidR="002C6695">
        <w:t xml:space="preserve"> (2022), IIR 173</w:t>
      </w:r>
      <w:r>
        <w:t xml:space="preserve"> </w:t>
      </w:r>
    </w:p>
  </w:footnote>
  <w:footnote w:id="5">
    <w:p w14:paraId="0DA89345" w14:textId="4951BDD5" w:rsidR="006B0AA6" w:rsidRDefault="006B0AA6">
      <w:pPr>
        <w:pStyle w:val="FootnoteText"/>
      </w:pPr>
      <w:r>
        <w:rPr>
          <w:rStyle w:val="FootnoteReference"/>
        </w:rPr>
        <w:footnoteRef/>
      </w:r>
      <w:r>
        <w:t xml:space="preserve"> 'A </w:t>
      </w:r>
      <w:r w:rsidRPr="004A709B">
        <w:rPr>
          <w:i/>
          <w:iCs/>
        </w:rPr>
        <w:t>Fresh View on the Hard/Soft Law Divide: Implications for International Insolvency of Enterprise Groups'</w:t>
      </w:r>
      <w:r>
        <w:t xml:space="preserve">, I </w:t>
      </w:r>
      <w:proofErr w:type="spellStart"/>
      <w:r>
        <w:t>Mevorach</w:t>
      </w:r>
      <w:proofErr w:type="spellEnd"/>
      <w:r>
        <w:t xml:space="preserve"> (University of Nottingham), Michigan Journal of International Law</w:t>
      </w:r>
    </w:p>
  </w:footnote>
  <w:footnote w:id="6">
    <w:p w14:paraId="730B0124" w14:textId="674C395C" w:rsidR="00766047" w:rsidRDefault="00766047">
      <w:pPr>
        <w:pStyle w:val="FootnoteText"/>
      </w:pPr>
      <w:r>
        <w:rPr>
          <w:rStyle w:val="FootnoteReference"/>
        </w:rPr>
        <w:footnoteRef/>
      </w:r>
      <w:r>
        <w:t xml:space="preserve"> </w:t>
      </w:r>
      <w:r w:rsidR="00CA0634">
        <w:t>'</w:t>
      </w:r>
      <w:r>
        <w:t>The Future of Cross Border Insolvency: Overcoming Biases and Closing Gaps</w:t>
      </w:r>
      <w:r w:rsidR="00CA0634">
        <w:t>'</w:t>
      </w:r>
      <w:r>
        <w:t xml:space="preserve">, I </w:t>
      </w:r>
      <w:proofErr w:type="spellStart"/>
      <w:r>
        <w:t>Mevorach</w:t>
      </w:r>
      <w:proofErr w:type="spellEnd"/>
      <w:r>
        <w:t xml:space="preserve"> (Oxford University Press) 2018)</w:t>
      </w:r>
      <w:r w:rsidR="00CA06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CC1A" w14:textId="77777777" w:rsidR="00F64552" w:rsidRDefault="00F6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06A" w14:textId="77777777" w:rsidR="00F64552" w:rsidRDefault="00F64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6D3D" w14:textId="77777777" w:rsidR="00F64552" w:rsidRDefault="00F6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5E86EFE"/>
    <w:multiLevelType w:val="hybridMultilevel"/>
    <w:tmpl w:val="86DE7430"/>
    <w:lvl w:ilvl="0" w:tplc="F4C863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79A3CE1"/>
    <w:multiLevelType w:val="hybridMultilevel"/>
    <w:tmpl w:val="B78C1D56"/>
    <w:lvl w:ilvl="0" w:tplc="058C42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3"/>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5"/>
  </w:num>
  <w:num w:numId="8" w16cid:durableId="269552992">
    <w:abstractNumId w:val="34"/>
  </w:num>
  <w:num w:numId="9" w16cid:durableId="1367413161">
    <w:abstractNumId w:val="14"/>
  </w:num>
  <w:num w:numId="10" w16cid:durableId="220823057">
    <w:abstractNumId w:val="30"/>
  </w:num>
  <w:num w:numId="11" w16cid:durableId="858086195">
    <w:abstractNumId w:val="11"/>
  </w:num>
  <w:num w:numId="12" w16cid:durableId="2144808366">
    <w:abstractNumId w:val="31"/>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2"/>
  </w:num>
  <w:num w:numId="26" w16cid:durableId="824904852">
    <w:abstractNumId w:val="35"/>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621957476">
    <w:abstractNumId w:val="5"/>
  </w:num>
  <w:num w:numId="36" w16cid:durableId="20849873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25AC"/>
    <w:rsid w:val="0002322B"/>
    <w:rsid w:val="000250C7"/>
    <w:rsid w:val="00025C83"/>
    <w:rsid w:val="00031918"/>
    <w:rsid w:val="000329A6"/>
    <w:rsid w:val="00034C0C"/>
    <w:rsid w:val="000371C1"/>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3CB"/>
    <w:rsid w:val="00086BDD"/>
    <w:rsid w:val="00090933"/>
    <w:rsid w:val="00092378"/>
    <w:rsid w:val="00093BE8"/>
    <w:rsid w:val="00093FE2"/>
    <w:rsid w:val="0009471C"/>
    <w:rsid w:val="0009504E"/>
    <w:rsid w:val="000977DC"/>
    <w:rsid w:val="000A01B9"/>
    <w:rsid w:val="000A0C1B"/>
    <w:rsid w:val="000A35DA"/>
    <w:rsid w:val="000A51A6"/>
    <w:rsid w:val="000A68ED"/>
    <w:rsid w:val="000A74CA"/>
    <w:rsid w:val="000A74D4"/>
    <w:rsid w:val="000B5B93"/>
    <w:rsid w:val="000B5FF1"/>
    <w:rsid w:val="000B609F"/>
    <w:rsid w:val="000B6B56"/>
    <w:rsid w:val="000D0C9F"/>
    <w:rsid w:val="000D55A8"/>
    <w:rsid w:val="000D57BE"/>
    <w:rsid w:val="000D6876"/>
    <w:rsid w:val="000E0165"/>
    <w:rsid w:val="000E18BE"/>
    <w:rsid w:val="000E3A82"/>
    <w:rsid w:val="000E3C5A"/>
    <w:rsid w:val="000E406D"/>
    <w:rsid w:val="000E40DF"/>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69C"/>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55268"/>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B7A1F"/>
    <w:rsid w:val="001C45FC"/>
    <w:rsid w:val="001C594A"/>
    <w:rsid w:val="001D0335"/>
    <w:rsid w:val="001D1BF7"/>
    <w:rsid w:val="001D3C71"/>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34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63"/>
    <w:rsid w:val="002B2970"/>
    <w:rsid w:val="002C1227"/>
    <w:rsid w:val="002C13C8"/>
    <w:rsid w:val="002C17E4"/>
    <w:rsid w:val="002C1906"/>
    <w:rsid w:val="002C259C"/>
    <w:rsid w:val="002C3547"/>
    <w:rsid w:val="002C6695"/>
    <w:rsid w:val="002D0021"/>
    <w:rsid w:val="002D10A3"/>
    <w:rsid w:val="002D1C88"/>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47AF"/>
    <w:rsid w:val="0030558B"/>
    <w:rsid w:val="00306678"/>
    <w:rsid w:val="00306E87"/>
    <w:rsid w:val="00310FC2"/>
    <w:rsid w:val="003134B4"/>
    <w:rsid w:val="00313E86"/>
    <w:rsid w:val="003144EF"/>
    <w:rsid w:val="0032538A"/>
    <w:rsid w:val="0032570A"/>
    <w:rsid w:val="00326292"/>
    <w:rsid w:val="00326415"/>
    <w:rsid w:val="00330937"/>
    <w:rsid w:val="00330F31"/>
    <w:rsid w:val="003326F0"/>
    <w:rsid w:val="00334648"/>
    <w:rsid w:val="00336CA6"/>
    <w:rsid w:val="00336D9B"/>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392"/>
    <w:rsid w:val="00391B12"/>
    <w:rsid w:val="003937B9"/>
    <w:rsid w:val="003944CA"/>
    <w:rsid w:val="003948D5"/>
    <w:rsid w:val="003957FD"/>
    <w:rsid w:val="00396821"/>
    <w:rsid w:val="00396CE5"/>
    <w:rsid w:val="003979A3"/>
    <w:rsid w:val="00397D3A"/>
    <w:rsid w:val="003A00FE"/>
    <w:rsid w:val="003A051E"/>
    <w:rsid w:val="003A0BBE"/>
    <w:rsid w:val="003A2448"/>
    <w:rsid w:val="003A2F5D"/>
    <w:rsid w:val="003A3128"/>
    <w:rsid w:val="003A4416"/>
    <w:rsid w:val="003A5AD1"/>
    <w:rsid w:val="003A60FF"/>
    <w:rsid w:val="003A696A"/>
    <w:rsid w:val="003B170F"/>
    <w:rsid w:val="003B3A0D"/>
    <w:rsid w:val="003B3C5F"/>
    <w:rsid w:val="003C1451"/>
    <w:rsid w:val="003C2017"/>
    <w:rsid w:val="003C335E"/>
    <w:rsid w:val="003C4471"/>
    <w:rsid w:val="003C473E"/>
    <w:rsid w:val="003D0A6D"/>
    <w:rsid w:val="003D100A"/>
    <w:rsid w:val="003D3045"/>
    <w:rsid w:val="003D3410"/>
    <w:rsid w:val="003D4300"/>
    <w:rsid w:val="003D47CB"/>
    <w:rsid w:val="003D485F"/>
    <w:rsid w:val="003D6AC4"/>
    <w:rsid w:val="003D7B57"/>
    <w:rsid w:val="003E004D"/>
    <w:rsid w:val="003E064D"/>
    <w:rsid w:val="003E0B16"/>
    <w:rsid w:val="003E2D1B"/>
    <w:rsid w:val="003E2E7C"/>
    <w:rsid w:val="003E67D1"/>
    <w:rsid w:val="003F0B80"/>
    <w:rsid w:val="003F500E"/>
    <w:rsid w:val="003F655E"/>
    <w:rsid w:val="003F6E57"/>
    <w:rsid w:val="003F71D9"/>
    <w:rsid w:val="003F74D9"/>
    <w:rsid w:val="00400920"/>
    <w:rsid w:val="00403F09"/>
    <w:rsid w:val="00404EF7"/>
    <w:rsid w:val="00405DC1"/>
    <w:rsid w:val="00411E1B"/>
    <w:rsid w:val="00414125"/>
    <w:rsid w:val="00414BF9"/>
    <w:rsid w:val="00415DFF"/>
    <w:rsid w:val="00415F1F"/>
    <w:rsid w:val="004174FA"/>
    <w:rsid w:val="0042108F"/>
    <w:rsid w:val="004214D4"/>
    <w:rsid w:val="004216EA"/>
    <w:rsid w:val="00421E41"/>
    <w:rsid w:val="004235F4"/>
    <w:rsid w:val="00426969"/>
    <w:rsid w:val="00426B64"/>
    <w:rsid w:val="00430FED"/>
    <w:rsid w:val="00432928"/>
    <w:rsid w:val="0043296A"/>
    <w:rsid w:val="00434A8C"/>
    <w:rsid w:val="00437297"/>
    <w:rsid w:val="00437ABE"/>
    <w:rsid w:val="00440AC5"/>
    <w:rsid w:val="00440EDD"/>
    <w:rsid w:val="004417C1"/>
    <w:rsid w:val="00444284"/>
    <w:rsid w:val="004442F1"/>
    <w:rsid w:val="00445CE6"/>
    <w:rsid w:val="004468B1"/>
    <w:rsid w:val="00446987"/>
    <w:rsid w:val="004518BF"/>
    <w:rsid w:val="004534C2"/>
    <w:rsid w:val="00453967"/>
    <w:rsid w:val="0045446F"/>
    <w:rsid w:val="00454C9D"/>
    <w:rsid w:val="0045683E"/>
    <w:rsid w:val="0046142D"/>
    <w:rsid w:val="0046274F"/>
    <w:rsid w:val="0046298C"/>
    <w:rsid w:val="00463259"/>
    <w:rsid w:val="00464F21"/>
    <w:rsid w:val="004659E0"/>
    <w:rsid w:val="00466ED6"/>
    <w:rsid w:val="004679FB"/>
    <w:rsid w:val="00467C71"/>
    <w:rsid w:val="0047084C"/>
    <w:rsid w:val="00470A63"/>
    <w:rsid w:val="00470C55"/>
    <w:rsid w:val="004715C1"/>
    <w:rsid w:val="004731F4"/>
    <w:rsid w:val="00481FC8"/>
    <w:rsid w:val="0048258B"/>
    <w:rsid w:val="004827A3"/>
    <w:rsid w:val="00482FE3"/>
    <w:rsid w:val="00484689"/>
    <w:rsid w:val="00486065"/>
    <w:rsid w:val="00486776"/>
    <w:rsid w:val="0048678F"/>
    <w:rsid w:val="004868BB"/>
    <w:rsid w:val="00491675"/>
    <w:rsid w:val="00493855"/>
    <w:rsid w:val="00497558"/>
    <w:rsid w:val="00497CF9"/>
    <w:rsid w:val="004A27CB"/>
    <w:rsid w:val="004A2B2C"/>
    <w:rsid w:val="004A57DD"/>
    <w:rsid w:val="004A709B"/>
    <w:rsid w:val="004A7B51"/>
    <w:rsid w:val="004A7D71"/>
    <w:rsid w:val="004A7EF3"/>
    <w:rsid w:val="004B0EBE"/>
    <w:rsid w:val="004B10C5"/>
    <w:rsid w:val="004B11FD"/>
    <w:rsid w:val="004B23A2"/>
    <w:rsid w:val="004B25E4"/>
    <w:rsid w:val="004B428D"/>
    <w:rsid w:val="004B607C"/>
    <w:rsid w:val="004B7F8F"/>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6D64"/>
    <w:rsid w:val="004F1534"/>
    <w:rsid w:val="004F2DD1"/>
    <w:rsid w:val="004F301B"/>
    <w:rsid w:val="004F3375"/>
    <w:rsid w:val="004F37BF"/>
    <w:rsid w:val="004F3F1F"/>
    <w:rsid w:val="004F55F1"/>
    <w:rsid w:val="004F5FDF"/>
    <w:rsid w:val="0050156C"/>
    <w:rsid w:val="00504AFA"/>
    <w:rsid w:val="005059A4"/>
    <w:rsid w:val="00515756"/>
    <w:rsid w:val="00515F63"/>
    <w:rsid w:val="005177FE"/>
    <w:rsid w:val="0052257D"/>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545"/>
    <w:rsid w:val="00555C4D"/>
    <w:rsid w:val="00560534"/>
    <w:rsid w:val="0056391B"/>
    <w:rsid w:val="00564527"/>
    <w:rsid w:val="005650E2"/>
    <w:rsid w:val="00566D80"/>
    <w:rsid w:val="0056729E"/>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A8A"/>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B7FC0"/>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390"/>
    <w:rsid w:val="005E2B20"/>
    <w:rsid w:val="005E5A66"/>
    <w:rsid w:val="005E605E"/>
    <w:rsid w:val="005E645E"/>
    <w:rsid w:val="005E6AF1"/>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3F79"/>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33B"/>
    <w:rsid w:val="00654C2F"/>
    <w:rsid w:val="00655438"/>
    <w:rsid w:val="00657087"/>
    <w:rsid w:val="0065715A"/>
    <w:rsid w:val="006578EC"/>
    <w:rsid w:val="006643E7"/>
    <w:rsid w:val="006661EF"/>
    <w:rsid w:val="006746CB"/>
    <w:rsid w:val="00674B61"/>
    <w:rsid w:val="00675117"/>
    <w:rsid w:val="00677AEB"/>
    <w:rsid w:val="00680EF2"/>
    <w:rsid w:val="00682663"/>
    <w:rsid w:val="00682A3E"/>
    <w:rsid w:val="006850AE"/>
    <w:rsid w:val="00686C53"/>
    <w:rsid w:val="00687A1D"/>
    <w:rsid w:val="00692852"/>
    <w:rsid w:val="00693172"/>
    <w:rsid w:val="00695A40"/>
    <w:rsid w:val="00697EA1"/>
    <w:rsid w:val="006A051A"/>
    <w:rsid w:val="006A2646"/>
    <w:rsid w:val="006A3580"/>
    <w:rsid w:val="006A371C"/>
    <w:rsid w:val="006A44B2"/>
    <w:rsid w:val="006A6530"/>
    <w:rsid w:val="006A695F"/>
    <w:rsid w:val="006A6D1D"/>
    <w:rsid w:val="006B0AA6"/>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E7EFD"/>
    <w:rsid w:val="006F1820"/>
    <w:rsid w:val="006F18EB"/>
    <w:rsid w:val="006F2E9B"/>
    <w:rsid w:val="006F4AC5"/>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0C36"/>
    <w:rsid w:val="00740D61"/>
    <w:rsid w:val="00741BCD"/>
    <w:rsid w:val="00741D74"/>
    <w:rsid w:val="00743531"/>
    <w:rsid w:val="007452BB"/>
    <w:rsid w:val="00745A5B"/>
    <w:rsid w:val="007462D9"/>
    <w:rsid w:val="00746A22"/>
    <w:rsid w:val="00751986"/>
    <w:rsid w:val="0075428A"/>
    <w:rsid w:val="00756ABD"/>
    <w:rsid w:val="007574E3"/>
    <w:rsid w:val="007576A3"/>
    <w:rsid w:val="007603F5"/>
    <w:rsid w:val="00760A70"/>
    <w:rsid w:val="00760BB2"/>
    <w:rsid w:val="0076181C"/>
    <w:rsid w:val="00764DB0"/>
    <w:rsid w:val="00765D82"/>
    <w:rsid w:val="00766047"/>
    <w:rsid w:val="007671EB"/>
    <w:rsid w:val="0076764D"/>
    <w:rsid w:val="0076766F"/>
    <w:rsid w:val="00770DF5"/>
    <w:rsid w:val="00773735"/>
    <w:rsid w:val="0077498C"/>
    <w:rsid w:val="00777070"/>
    <w:rsid w:val="007815D1"/>
    <w:rsid w:val="00782B3F"/>
    <w:rsid w:val="00784128"/>
    <w:rsid w:val="007849D8"/>
    <w:rsid w:val="0078662F"/>
    <w:rsid w:val="00790B4C"/>
    <w:rsid w:val="0079206E"/>
    <w:rsid w:val="00793173"/>
    <w:rsid w:val="007958F0"/>
    <w:rsid w:val="00797E1B"/>
    <w:rsid w:val="007A0273"/>
    <w:rsid w:val="007A12A4"/>
    <w:rsid w:val="007B1E13"/>
    <w:rsid w:val="007B267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28E7"/>
    <w:rsid w:val="007E3AA5"/>
    <w:rsid w:val="007E3ADF"/>
    <w:rsid w:val="007E41A0"/>
    <w:rsid w:val="007E43C3"/>
    <w:rsid w:val="007E530F"/>
    <w:rsid w:val="007E6BA4"/>
    <w:rsid w:val="007F19A2"/>
    <w:rsid w:val="007F21A1"/>
    <w:rsid w:val="007F41F8"/>
    <w:rsid w:val="007F5B4C"/>
    <w:rsid w:val="007F60AF"/>
    <w:rsid w:val="00801B30"/>
    <w:rsid w:val="00802BA6"/>
    <w:rsid w:val="00803BE9"/>
    <w:rsid w:val="00803D1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1A05"/>
    <w:rsid w:val="00841E70"/>
    <w:rsid w:val="00845226"/>
    <w:rsid w:val="008473AA"/>
    <w:rsid w:val="00851A7A"/>
    <w:rsid w:val="00852883"/>
    <w:rsid w:val="00852F37"/>
    <w:rsid w:val="008571F6"/>
    <w:rsid w:val="00857A02"/>
    <w:rsid w:val="00861E51"/>
    <w:rsid w:val="00870B96"/>
    <w:rsid w:val="008723F3"/>
    <w:rsid w:val="00873097"/>
    <w:rsid w:val="00873246"/>
    <w:rsid w:val="00875E2E"/>
    <w:rsid w:val="00880F99"/>
    <w:rsid w:val="00881DA8"/>
    <w:rsid w:val="00881DE6"/>
    <w:rsid w:val="008837A6"/>
    <w:rsid w:val="008841E5"/>
    <w:rsid w:val="00884D7C"/>
    <w:rsid w:val="00886AB5"/>
    <w:rsid w:val="0089145D"/>
    <w:rsid w:val="00892467"/>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54FD"/>
    <w:rsid w:val="008C66E0"/>
    <w:rsid w:val="008D0122"/>
    <w:rsid w:val="008D3E17"/>
    <w:rsid w:val="008D540F"/>
    <w:rsid w:val="008D5D34"/>
    <w:rsid w:val="008D7718"/>
    <w:rsid w:val="008E220E"/>
    <w:rsid w:val="008E3339"/>
    <w:rsid w:val="008E3ADC"/>
    <w:rsid w:val="008E4F14"/>
    <w:rsid w:val="008E5941"/>
    <w:rsid w:val="008E64D3"/>
    <w:rsid w:val="008E6F11"/>
    <w:rsid w:val="008F20FC"/>
    <w:rsid w:val="008F3248"/>
    <w:rsid w:val="008F36A6"/>
    <w:rsid w:val="008F50C4"/>
    <w:rsid w:val="008F5FFE"/>
    <w:rsid w:val="0090037B"/>
    <w:rsid w:val="009021B6"/>
    <w:rsid w:val="00905A43"/>
    <w:rsid w:val="009064FE"/>
    <w:rsid w:val="009078CE"/>
    <w:rsid w:val="009078FC"/>
    <w:rsid w:val="009108EF"/>
    <w:rsid w:val="00911C23"/>
    <w:rsid w:val="00912C79"/>
    <w:rsid w:val="00913FB9"/>
    <w:rsid w:val="00915010"/>
    <w:rsid w:val="0091528C"/>
    <w:rsid w:val="009173D1"/>
    <w:rsid w:val="0092350E"/>
    <w:rsid w:val="00923CCC"/>
    <w:rsid w:val="0092478E"/>
    <w:rsid w:val="009255DB"/>
    <w:rsid w:val="0092624D"/>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0D4C"/>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5997"/>
    <w:rsid w:val="00997A85"/>
    <w:rsid w:val="009A0501"/>
    <w:rsid w:val="009A1996"/>
    <w:rsid w:val="009A2BCA"/>
    <w:rsid w:val="009A4050"/>
    <w:rsid w:val="009A5354"/>
    <w:rsid w:val="009A67B6"/>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DE3"/>
    <w:rsid w:val="009E2E27"/>
    <w:rsid w:val="009E44C0"/>
    <w:rsid w:val="009E4DE3"/>
    <w:rsid w:val="009E50C1"/>
    <w:rsid w:val="009F0C29"/>
    <w:rsid w:val="009F0C5A"/>
    <w:rsid w:val="009F71C3"/>
    <w:rsid w:val="00A02198"/>
    <w:rsid w:val="00A03559"/>
    <w:rsid w:val="00A047EE"/>
    <w:rsid w:val="00A057CA"/>
    <w:rsid w:val="00A136AF"/>
    <w:rsid w:val="00A13F8F"/>
    <w:rsid w:val="00A149B7"/>
    <w:rsid w:val="00A177BC"/>
    <w:rsid w:val="00A17930"/>
    <w:rsid w:val="00A2274A"/>
    <w:rsid w:val="00A235B7"/>
    <w:rsid w:val="00A249AC"/>
    <w:rsid w:val="00A254A0"/>
    <w:rsid w:val="00A27A7A"/>
    <w:rsid w:val="00A301D1"/>
    <w:rsid w:val="00A31881"/>
    <w:rsid w:val="00A40529"/>
    <w:rsid w:val="00A407EF"/>
    <w:rsid w:val="00A411B7"/>
    <w:rsid w:val="00A42023"/>
    <w:rsid w:val="00A45800"/>
    <w:rsid w:val="00A46B4C"/>
    <w:rsid w:val="00A50D53"/>
    <w:rsid w:val="00A5117B"/>
    <w:rsid w:val="00A560B6"/>
    <w:rsid w:val="00A566E3"/>
    <w:rsid w:val="00A56CF7"/>
    <w:rsid w:val="00A56DBC"/>
    <w:rsid w:val="00A60074"/>
    <w:rsid w:val="00A64150"/>
    <w:rsid w:val="00A641E0"/>
    <w:rsid w:val="00A646E2"/>
    <w:rsid w:val="00A651A9"/>
    <w:rsid w:val="00A6627C"/>
    <w:rsid w:val="00A70C3C"/>
    <w:rsid w:val="00A71019"/>
    <w:rsid w:val="00A72B4A"/>
    <w:rsid w:val="00A73B60"/>
    <w:rsid w:val="00A81029"/>
    <w:rsid w:val="00A82AFB"/>
    <w:rsid w:val="00A8485D"/>
    <w:rsid w:val="00A86584"/>
    <w:rsid w:val="00A86B29"/>
    <w:rsid w:val="00A90BDB"/>
    <w:rsid w:val="00A90C9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3E1E"/>
    <w:rsid w:val="00AE4D6F"/>
    <w:rsid w:val="00AF228E"/>
    <w:rsid w:val="00AF455B"/>
    <w:rsid w:val="00AF5899"/>
    <w:rsid w:val="00B0123F"/>
    <w:rsid w:val="00B04004"/>
    <w:rsid w:val="00B12F13"/>
    <w:rsid w:val="00B14819"/>
    <w:rsid w:val="00B17AA9"/>
    <w:rsid w:val="00B20235"/>
    <w:rsid w:val="00B221FF"/>
    <w:rsid w:val="00B2292D"/>
    <w:rsid w:val="00B23DE5"/>
    <w:rsid w:val="00B246B1"/>
    <w:rsid w:val="00B26B31"/>
    <w:rsid w:val="00B30A70"/>
    <w:rsid w:val="00B32674"/>
    <w:rsid w:val="00B333FE"/>
    <w:rsid w:val="00B3503B"/>
    <w:rsid w:val="00B366EC"/>
    <w:rsid w:val="00B378FA"/>
    <w:rsid w:val="00B42352"/>
    <w:rsid w:val="00B46E0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316"/>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76C9"/>
    <w:rsid w:val="00BB09FD"/>
    <w:rsid w:val="00BB0F2B"/>
    <w:rsid w:val="00BB5A37"/>
    <w:rsid w:val="00BB6955"/>
    <w:rsid w:val="00BB6F7A"/>
    <w:rsid w:val="00BC1043"/>
    <w:rsid w:val="00BC3FD8"/>
    <w:rsid w:val="00BC48EB"/>
    <w:rsid w:val="00BC4A7D"/>
    <w:rsid w:val="00BC585F"/>
    <w:rsid w:val="00BC5898"/>
    <w:rsid w:val="00BC5D7D"/>
    <w:rsid w:val="00BC6BCE"/>
    <w:rsid w:val="00BC7C4D"/>
    <w:rsid w:val="00BC7F2E"/>
    <w:rsid w:val="00BD0299"/>
    <w:rsid w:val="00BD0F7F"/>
    <w:rsid w:val="00BD23B4"/>
    <w:rsid w:val="00BD288F"/>
    <w:rsid w:val="00BD3363"/>
    <w:rsid w:val="00BD3F18"/>
    <w:rsid w:val="00BD64FB"/>
    <w:rsid w:val="00BD71D7"/>
    <w:rsid w:val="00BD7D49"/>
    <w:rsid w:val="00BE2464"/>
    <w:rsid w:val="00BF1C1F"/>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2511"/>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0938"/>
    <w:rsid w:val="00C71F4F"/>
    <w:rsid w:val="00C72848"/>
    <w:rsid w:val="00C750BA"/>
    <w:rsid w:val="00C7736C"/>
    <w:rsid w:val="00C80272"/>
    <w:rsid w:val="00C81E2C"/>
    <w:rsid w:val="00C82D87"/>
    <w:rsid w:val="00C8712A"/>
    <w:rsid w:val="00C92A0D"/>
    <w:rsid w:val="00C952A2"/>
    <w:rsid w:val="00C963D3"/>
    <w:rsid w:val="00CA0634"/>
    <w:rsid w:val="00CA0B50"/>
    <w:rsid w:val="00CA1802"/>
    <w:rsid w:val="00CA6E99"/>
    <w:rsid w:val="00CB262C"/>
    <w:rsid w:val="00CB2CBB"/>
    <w:rsid w:val="00CB3EB6"/>
    <w:rsid w:val="00CB7283"/>
    <w:rsid w:val="00CB76F7"/>
    <w:rsid w:val="00CB7CAC"/>
    <w:rsid w:val="00CC3E30"/>
    <w:rsid w:val="00CC467D"/>
    <w:rsid w:val="00CC5051"/>
    <w:rsid w:val="00CC5335"/>
    <w:rsid w:val="00CC579C"/>
    <w:rsid w:val="00CC5BA4"/>
    <w:rsid w:val="00CC5ECB"/>
    <w:rsid w:val="00CC7728"/>
    <w:rsid w:val="00CD0E2B"/>
    <w:rsid w:val="00CD0FFE"/>
    <w:rsid w:val="00CD34DB"/>
    <w:rsid w:val="00CD377A"/>
    <w:rsid w:val="00CD4998"/>
    <w:rsid w:val="00CD499F"/>
    <w:rsid w:val="00CD5FBF"/>
    <w:rsid w:val="00CD7DBC"/>
    <w:rsid w:val="00CE1035"/>
    <w:rsid w:val="00CE62CA"/>
    <w:rsid w:val="00CF01D6"/>
    <w:rsid w:val="00CF2819"/>
    <w:rsid w:val="00CF4F9D"/>
    <w:rsid w:val="00CF5AD8"/>
    <w:rsid w:val="00CF5EF4"/>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3A93"/>
    <w:rsid w:val="00D4685B"/>
    <w:rsid w:val="00D5192B"/>
    <w:rsid w:val="00D561CE"/>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1F"/>
    <w:rsid w:val="00DB482A"/>
    <w:rsid w:val="00DB56F2"/>
    <w:rsid w:val="00DB5A5A"/>
    <w:rsid w:val="00DB5D9B"/>
    <w:rsid w:val="00DB6EF5"/>
    <w:rsid w:val="00DC02A7"/>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B46"/>
    <w:rsid w:val="00E05837"/>
    <w:rsid w:val="00E07C5A"/>
    <w:rsid w:val="00E10A73"/>
    <w:rsid w:val="00E12C13"/>
    <w:rsid w:val="00E15BA9"/>
    <w:rsid w:val="00E161D2"/>
    <w:rsid w:val="00E177E2"/>
    <w:rsid w:val="00E17BF1"/>
    <w:rsid w:val="00E204CA"/>
    <w:rsid w:val="00E22DE4"/>
    <w:rsid w:val="00E25FB8"/>
    <w:rsid w:val="00E26E19"/>
    <w:rsid w:val="00E31DF3"/>
    <w:rsid w:val="00E37049"/>
    <w:rsid w:val="00E4126D"/>
    <w:rsid w:val="00E450A4"/>
    <w:rsid w:val="00E506BE"/>
    <w:rsid w:val="00E518B6"/>
    <w:rsid w:val="00E525B9"/>
    <w:rsid w:val="00E52A3A"/>
    <w:rsid w:val="00E53AE9"/>
    <w:rsid w:val="00E54ADD"/>
    <w:rsid w:val="00E55547"/>
    <w:rsid w:val="00E55E9B"/>
    <w:rsid w:val="00E6211B"/>
    <w:rsid w:val="00E6302B"/>
    <w:rsid w:val="00E64302"/>
    <w:rsid w:val="00E6452F"/>
    <w:rsid w:val="00E64F45"/>
    <w:rsid w:val="00E6525B"/>
    <w:rsid w:val="00E6742D"/>
    <w:rsid w:val="00E71CB0"/>
    <w:rsid w:val="00E72F8D"/>
    <w:rsid w:val="00E73196"/>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6A9E"/>
    <w:rsid w:val="00EA0879"/>
    <w:rsid w:val="00EA0913"/>
    <w:rsid w:val="00EA4D77"/>
    <w:rsid w:val="00EA5317"/>
    <w:rsid w:val="00EA6550"/>
    <w:rsid w:val="00EA7BAB"/>
    <w:rsid w:val="00EB02BE"/>
    <w:rsid w:val="00EB146B"/>
    <w:rsid w:val="00EB21D4"/>
    <w:rsid w:val="00EB25C5"/>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177"/>
    <w:rsid w:val="00EF090E"/>
    <w:rsid w:val="00EF16B6"/>
    <w:rsid w:val="00EF1B1A"/>
    <w:rsid w:val="00EF2D08"/>
    <w:rsid w:val="00EF5705"/>
    <w:rsid w:val="00EF6653"/>
    <w:rsid w:val="00F033DA"/>
    <w:rsid w:val="00F0424E"/>
    <w:rsid w:val="00F106CE"/>
    <w:rsid w:val="00F1096A"/>
    <w:rsid w:val="00F12AA4"/>
    <w:rsid w:val="00F12F7B"/>
    <w:rsid w:val="00F13FB1"/>
    <w:rsid w:val="00F14F23"/>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4552"/>
    <w:rsid w:val="00F65FB6"/>
    <w:rsid w:val="00F66A31"/>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6CD"/>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E7584"/>
    <w:rsid w:val="00FF0BFE"/>
    <w:rsid w:val="00FF0D81"/>
    <w:rsid w:val="00FF22DC"/>
    <w:rsid w:val="00FF296F"/>
    <w:rsid w:val="00FF332F"/>
    <w:rsid w:val="00FF3529"/>
    <w:rsid w:val="00FF374B"/>
    <w:rsid w:val="00FF549A"/>
    <w:rsid w:val="00FF5E23"/>
    <w:rsid w:val="00FF64CE"/>
    <w:rsid w:val="00FF7578"/>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customStyle="1" w:styleId="italic">
    <w:name w:val="italic"/>
    <w:basedOn w:val="DefaultParagraphFont"/>
    <w:rsid w:val="00FE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1733839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Metadata/LabelInfo.xml><?xml version="1.0" encoding="utf-8"?>
<clbl:labelList xmlns:clbl="http://schemas.microsoft.com/office/2020/mipLabelMetadata">
  <clbl:label id="{ebc75974-4c05-4e8d-bc32-9bd992881176}" enabled="0" method="" siteId="{ebc75974-4c05-4e8d-bc32-9bd992881176}" removed="1"/>
</clbl:labelList>
</file>

<file path=docProps/app.xml><?xml version="1.0" encoding="utf-8"?>
<Properties xmlns="http://schemas.openxmlformats.org/officeDocument/2006/extended-properties" xmlns:vt="http://schemas.openxmlformats.org/officeDocument/2006/docPropsVTypes">
  <Template>Normal.dotm</Template>
  <TotalTime>162</TotalTime>
  <Pages>12</Pages>
  <Words>4720</Words>
  <Characters>25777</Characters>
  <Application>Microsoft Office Word</Application>
  <DocSecurity>0</DocSecurity>
  <Lines>548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Rivett</cp:lastModifiedBy>
  <cp:revision>124</cp:revision>
  <cp:lastPrinted>2020-06-12T02:43:00Z</cp:lastPrinted>
  <dcterms:created xsi:type="dcterms:W3CDTF">2023-10-17T20:24:00Z</dcterms:created>
  <dcterms:modified xsi:type="dcterms:W3CDTF">2023-11-14T19:16:00Z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DOCXDOCID">
    <vt:lpwstr>FC202324-1387.assessment1summative-14/11/2023</vt:lpwstr>
  </property>
  <property fmtid="{D5CDD505-2E9C-101B-9397-08002B2CF9AE}" pid="4" name="DocXFormat">
    <vt:lpwstr>FILE-DATE</vt:lpwstr>
  </property>
  <property fmtid="{D5CDD505-2E9C-101B-9397-08002B2CF9AE}" pid="5" name="DocXLocation">
    <vt:lpwstr>EveryPage</vt:lpwstr>
  </property>
</Properties>
</file>