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C8484B">
        <w:rPr>
          <w:rFonts w:ascii="Avenir Next" w:hAnsi="Avenir Next" w:cs="Arial"/>
          <w:sz w:val="22"/>
          <w:szCs w:val="22"/>
          <w:highlight w:val="yellow"/>
        </w:rPr>
        <w:t xml:space="preserve">This statement is untrue since the word </w:t>
      </w:r>
      <w:r w:rsidR="00823AB4" w:rsidRPr="00C8484B">
        <w:rPr>
          <w:rFonts w:ascii="Avenir Next" w:hAnsi="Avenir Next" w:cs="Arial"/>
          <w:sz w:val="22"/>
          <w:szCs w:val="22"/>
          <w:highlight w:val="yellow"/>
        </w:rPr>
        <w:t>“</w:t>
      </w:r>
      <w:r w:rsidRPr="00C8484B">
        <w:rPr>
          <w:rFonts w:ascii="Avenir Next" w:hAnsi="Avenir Next" w:cs="Arial"/>
          <w:sz w:val="22"/>
          <w:szCs w:val="22"/>
          <w:highlight w:val="yellow"/>
        </w:rPr>
        <w:t>bankruptcy</w:t>
      </w:r>
      <w:r w:rsidR="00823AB4" w:rsidRPr="00C8484B">
        <w:rPr>
          <w:rFonts w:ascii="Avenir Next" w:hAnsi="Avenir Next" w:cs="Arial"/>
          <w:sz w:val="22"/>
          <w:szCs w:val="22"/>
          <w:highlight w:val="yellow"/>
        </w:rPr>
        <w:t>”</w:t>
      </w:r>
      <w:r w:rsidRPr="00C8484B">
        <w:rPr>
          <w:rFonts w:ascii="Avenir Next" w:hAnsi="Avenir Next" w:cs="Arial"/>
          <w:sz w:val="22"/>
          <w:szCs w:val="22"/>
          <w:highlight w:val="yellow"/>
        </w:rPr>
        <w:t xml:space="preserve"> is believed to derive from non-English origins and has a historical root from destroying a vendor’s place of business</w:t>
      </w:r>
      <w:r w:rsidRPr="00DA42DA">
        <w:rPr>
          <w:rFonts w:ascii="Avenir Next" w:hAnsi="Avenir Next" w:cs="Arial"/>
          <w:sz w:val="22"/>
          <w:szCs w:val="22"/>
        </w:rPr>
        <w:t>.</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C8484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r w:rsidRPr="00DA42DA">
        <w:rPr>
          <w:rFonts w:ascii="Avenir Next" w:hAnsi="Avenir Next" w:cs="Arial"/>
          <w:sz w:val="22"/>
          <w:szCs w:val="22"/>
        </w:rPr>
        <w:t>.</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8484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8484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9AEB939"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8484B">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w:t>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C8484B">
        <w:rPr>
          <w:rFonts w:ascii="Avenir Next" w:hAnsi="Avenir Next" w:cs="Arial"/>
          <w:sz w:val="22"/>
          <w:szCs w:val="22"/>
          <w:highlight w:val="yellow"/>
        </w:rPr>
        <w:t>This statement is untrue because treaties and conventions are public international law, not private international law</w:t>
      </w:r>
      <w:r w:rsidRPr="00DA42DA">
        <w:rPr>
          <w:rFonts w:ascii="Avenir Next" w:hAnsi="Avenir Next" w:cs="Arial"/>
          <w:sz w:val="22"/>
          <w:szCs w:val="22"/>
        </w:rPr>
        <w:t>.</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C95347">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r>
        <w:rPr>
          <w:rFonts w:ascii="Avenir Next" w:eastAsiaTheme="minorHAnsi" w:hAnsi="Avenir Next" w:cs="Arial"/>
          <w:sz w:val="22"/>
          <w:szCs w:val="22"/>
          <w:lang w:val="en-GB"/>
        </w:rPr>
        <w:t>.</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35387851" w14:textId="77777777" w:rsidR="002E295C" w:rsidRDefault="002E295C" w:rsidP="008071D5">
      <w:pPr>
        <w:jc w:val="both"/>
        <w:rPr>
          <w:rFonts w:ascii="Avenir Next Demi Bold" w:hAnsi="Avenir Next Demi Bold" w:cs="Arial"/>
          <w:b/>
          <w:bCs/>
          <w:sz w:val="22"/>
          <w:szCs w:val="22"/>
        </w:rPr>
      </w:pPr>
    </w:p>
    <w:p w14:paraId="7A4344AB" w14:textId="2B24936D"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C95347">
        <w:rPr>
          <w:rFonts w:ascii="Avenir Next" w:hAnsi="Avenir Next" w:cs="Arial"/>
          <w:sz w:val="22"/>
          <w:szCs w:val="22"/>
          <w:highlight w:val="yellow"/>
        </w:rPr>
        <w:t>The statement is untrue because Australia has separate Acts dealing with corporate insolvency and personal bankruptcy</w:t>
      </w:r>
      <w:r w:rsidRPr="00DA42DA">
        <w:rPr>
          <w:rFonts w:ascii="Avenir Next" w:hAnsi="Avenir Next" w:cs="Arial"/>
          <w:sz w:val="22"/>
          <w:szCs w:val="22"/>
        </w:rPr>
        <w:t>.</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C95347">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C95347">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C95347">
        <w:rPr>
          <w:rFonts w:ascii="Avenir Next" w:hAnsi="Avenir Next" w:cs="Arial"/>
          <w:sz w:val="22"/>
          <w:szCs w:val="22"/>
          <w:highlight w:val="yellow"/>
        </w:rPr>
        <w:t>This statement is untrue because universalism corresponds well to globali</w:t>
      </w:r>
      <w:r w:rsidR="00142E15" w:rsidRPr="00C95347">
        <w:rPr>
          <w:rFonts w:ascii="Avenir Next" w:hAnsi="Avenir Next" w:cs="Arial"/>
          <w:sz w:val="22"/>
          <w:szCs w:val="22"/>
          <w:highlight w:val="yellow"/>
        </w:rPr>
        <w:t>s</w:t>
      </w:r>
      <w:r w:rsidRPr="00C95347">
        <w:rPr>
          <w:rFonts w:ascii="Avenir Next" w:hAnsi="Avenir Next" w:cs="Arial"/>
          <w:sz w:val="22"/>
          <w:szCs w:val="22"/>
          <w:highlight w:val="yellow"/>
        </w:rPr>
        <w:t>ation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0908AF5" w:rsidR="00CC7728" w:rsidRDefault="005C53D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has its roots in Roman Law. Roman law had elements of insolvency law in procedures which provided for assignment of property, liquidation of assets and arrangements with creditors, and which evolved from individual to collective processes of debt collection.</w:t>
      </w:r>
      <w:r w:rsidR="00AB4A0A">
        <w:rPr>
          <w:rFonts w:ascii="Avenir Next" w:hAnsi="Avenir Next" w:cs="Arial"/>
          <w:color w:val="808080" w:themeColor="background1" w:themeShade="80"/>
          <w:sz w:val="22"/>
          <w:szCs w:val="22"/>
          <w:lang w:val="en-GB"/>
        </w:rPr>
        <w:t xml:space="preserve"> Currently, countries with insolvency systems that have historical roots in civil law are mainly those with historical linkages (e.g., by way of colonization) with European countries which themselves have civil law systems such as France, Germany, Spain, Portugal and Netherlands.</w:t>
      </w:r>
    </w:p>
    <w:p w14:paraId="542FB278" w14:textId="44DE7ACA" w:rsidR="00CB1536" w:rsidRDefault="00CB1536" w:rsidP="00692852">
      <w:pPr>
        <w:jc w:val="both"/>
        <w:rPr>
          <w:rFonts w:ascii="Avenir Next" w:hAnsi="Avenir Next" w:cs="Arial"/>
          <w:color w:val="808080" w:themeColor="background1" w:themeShade="80"/>
          <w:sz w:val="22"/>
          <w:szCs w:val="22"/>
          <w:lang w:val="en-GB"/>
        </w:rPr>
      </w:pPr>
    </w:p>
    <w:p w14:paraId="26195F04" w14:textId="39828772" w:rsidR="00CB1536" w:rsidRDefault="00CB153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law has its roots in England and Wales. Similar to civil law, English Insolvency law first developed individual debt collection measures before collective measures emerged. </w:t>
      </w:r>
      <w:r w:rsidR="005F250F">
        <w:rPr>
          <w:rFonts w:ascii="Avenir Next" w:hAnsi="Avenir Next" w:cs="Arial"/>
          <w:color w:val="808080" w:themeColor="background1" w:themeShade="80"/>
          <w:sz w:val="22"/>
          <w:szCs w:val="22"/>
          <w:lang w:val="en-GB"/>
        </w:rPr>
        <w:t>Concepts such as supervision, examination and discharge followed subsequently. Currently, countries with insolvency systems that have historical roots in English law are mainly those with historical linkages (e.g., by way of colonization) with England.</w:t>
      </w:r>
    </w:p>
    <w:p w14:paraId="1B9B57CE" w14:textId="77777777" w:rsidR="00E52EE5" w:rsidRDefault="00E52EE5" w:rsidP="00DF0F12">
      <w:pPr>
        <w:jc w:val="both"/>
        <w:rPr>
          <w:rFonts w:ascii="Avenir Next" w:hAnsi="Avenir Next" w:cs="Arial"/>
          <w:color w:val="808080" w:themeColor="background1" w:themeShade="80"/>
          <w:sz w:val="22"/>
          <w:szCs w:val="22"/>
          <w:lang w:val="en-GB"/>
        </w:rPr>
      </w:pPr>
    </w:p>
    <w:p w14:paraId="0B8C1244" w14:textId="263E124A" w:rsidR="00DA42DA" w:rsidRDefault="005F250F" w:rsidP="00DF0F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Comparatively, countries with insolvency systems that have historical roots in English law refer to both written laws and superior court pronouncements </w:t>
      </w:r>
      <w:r w:rsidR="00E52EE5">
        <w:rPr>
          <w:rFonts w:ascii="Avenir Next" w:hAnsi="Avenir Next" w:cs="Arial"/>
          <w:color w:val="808080" w:themeColor="background1" w:themeShade="80"/>
          <w:sz w:val="22"/>
          <w:szCs w:val="22"/>
          <w:lang w:val="en-GB"/>
        </w:rPr>
        <w:t xml:space="preserve">- </w:t>
      </w:r>
      <w:r w:rsidR="00DF0F12">
        <w:rPr>
          <w:rFonts w:ascii="Avenir Next" w:hAnsi="Avenir Next" w:cs="Arial"/>
          <w:color w:val="808080" w:themeColor="background1" w:themeShade="80"/>
          <w:sz w:val="22"/>
          <w:szCs w:val="22"/>
          <w:lang w:val="en-GB"/>
        </w:rPr>
        <w:t xml:space="preserve">binding </w:t>
      </w:r>
      <w:r>
        <w:rPr>
          <w:rFonts w:ascii="Avenir Next" w:hAnsi="Avenir Next" w:cs="Arial"/>
          <w:color w:val="808080" w:themeColor="background1" w:themeShade="80"/>
          <w:sz w:val="22"/>
          <w:szCs w:val="22"/>
          <w:lang w:val="en-GB"/>
        </w:rPr>
        <w:t>precedents</w:t>
      </w:r>
      <w:r w:rsidR="00DF0F12">
        <w:rPr>
          <w:rFonts w:ascii="Avenir Next" w:hAnsi="Avenir Next" w:cs="Arial"/>
          <w:color w:val="808080" w:themeColor="background1" w:themeShade="80"/>
          <w:sz w:val="22"/>
          <w:szCs w:val="22"/>
          <w:lang w:val="en-GB"/>
        </w:rPr>
        <w:t xml:space="preserve"> under the doctrine of</w:t>
      </w:r>
      <w:r w:rsidR="00DF0F12" w:rsidRPr="00DF0F12">
        <w:t xml:space="preserve"> </w:t>
      </w:r>
      <w:r w:rsidR="00DF0F12" w:rsidRPr="00DF0F12">
        <w:rPr>
          <w:rFonts w:ascii="Avenir Next" w:hAnsi="Avenir Next" w:cs="Arial"/>
          <w:i/>
          <w:iCs/>
          <w:color w:val="808080" w:themeColor="background1" w:themeShade="80"/>
          <w:sz w:val="22"/>
          <w:szCs w:val="22"/>
          <w:lang w:val="en-GB"/>
        </w:rPr>
        <w:t>stare decisis</w:t>
      </w:r>
      <w:r w:rsidR="00E52EE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for applicable laws on insolvency, while countries with insolvency systems that have historical roots in civil law</w:t>
      </w:r>
      <w:r w:rsidR="000E311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primarily</w:t>
      </w:r>
      <w:r w:rsidR="000E311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rely on their written civil insolvency codes for applicable laws on insolvency</w:t>
      </w:r>
      <w:r w:rsidR="00E52EE5">
        <w:rPr>
          <w:rFonts w:ascii="Avenir Next" w:hAnsi="Avenir Next" w:cs="Arial"/>
          <w:color w:val="808080" w:themeColor="background1" w:themeShade="80"/>
          <w:sz w:val="22"/>
          <w:szCs w:val="22"/>
          <w:lang w:val="en-GB"/>
        </w:rPr>
        <w:t xml:space="preserve"> - </w:t>
      </w:r>
      <w:r w:rsidR="00DF0F12">
        <w:rPr>
          <w:rFonts w:ascii="Avenir Next" w:hAnsi="Avenir Next" w:cs="Arial"/>
          <w:color w:val="808080" w:themeColor="background1" w:themeShade="80"/>
          <w:sz w:val="22"/>
          <w:szCs w:val="22"/>
          <w:lang w:val="en-GB"/>
        </w:rPr>
        <w:t xml:space="preserve">past </w:t>
      </w:r>
      <w:r>
        <w:rPr>
          <w:rFonts w:ascii="Avenir Next" w:hAnsi="Avenir Next" w:cs="Arial"/>
          <w:color w:val="808080" w:themeColor="background1" w:themeShade="80"/>
          <w:sz w:val="22"/>
          <w:szCs w:val="22"/>
          <w:lang w:val="en-GB"/>
        </w:rPr>
        <w:t xml:space="preserve">court pronouncements </w:t>
      </w:r>
      <w:r w:rsidR="00DF0F12">
        <w:rPr>
          <w:rFonts w:ascii="Avenir Next" w:hAnsi="Avenir Next" w:cs="Arial"/>
          <w:color w:val="808080" w:themeColor="background1" w:themeShade="80"/>
          <w:sz w:val="22"/>
          <w:szCs w:val="22"/>
          <w:lang w:val="en-GB"/>
        </w:rPr>
        <w:t xml:space="preserve">are considered persuasive rather than binding under the doctrine of </w:t>
      </w:r>
      <w:r w:rsidR="00DF0F12" w:rsidRPr="00DF0F12">
        <w:rPr>
          <w:rFonts w:ascii="Avenir Next" w:hAnsi="Avenir Next" w:cs="Arial"/>
          <w:i/>
          <w:iCs/>
          <w:color w:val="808080" w:themeColor="background1" w:themeShade="80"/>
          <w:sz w:val="22"/>
          <w:szCs w:val="22"/>
          <w:lang w:val="en-GB"/>
        </w:rPr>
        <w:t>Jurisprudence constante</w:t>
      </w:r>
      <w:r w:rsidR="00E52EE5">
        <w:rPr>
          <w:rFonts w:ascii="Avenir Next" w:hAnsi="Avenir Next" w:cs="Arial"/>
          <w:color w:val="808080" w:themeColor="background1" w:themeShade="80"/>
          <w:sz w:val="22"/>
          <w:szCs w:val="22"/>
          <w:lang w:val="en-GB"/>
        </w:rPr>
        <w:t xml:space="preserve">. </w:t>
      </w:r>
      <w:r w:rsidR="00DF0F12">
        <w:rPr>
          <w:rFonts w:ascii="Avenir Next" w:hAnsi="Avenir Next" w:cs="Arial"/>
          <w:color w:val="808080" w:themeColor="background1" w:themeShade="80"/>
          <w:sz w:val="22"/>
          <w:szCs w:val="22"/>
          <w:lang w:val="en-GB"/>
        </w:rPr>
        <w:t xml:space="preserve">(Vincy Fon and Francesco Parisi, </w:t>
      </w:r>
      <w:r w:rsidR="00DF0F12" w:rsidRPr="00DF0F12">
        <w:rPr>
          <w:rFonts w:ascii="Avenir Next" w:hAnsi="Avenir Next" w:cs="Arial"/>
          <w:i/>
          <w:iCs/>
          <w:color w:val="808080" w:themeColor="background1" w:themeShade="80"/>
          <w:sz w:val="22"/>
          <w:szCs w:val="22"/>
          <w:lang w:val="en-GB"/>
        </w:rPr>
        <w:t>“Judicial Precedents in Civil Law Systems: A Dynamic Analysis”</w:t>
      </w:r>
      <w:r w:rsidR="00DF0F12">
        <w:rPr>
          <w:rFonts w:ascii="Avenir Next" w:hAnsi="Avenir Next" w:cs="Arial"/>
          <w:color w:val="808080" w:themeColor="background1" w:themeShade="80"/>
          <w:sz w:val="22"/>
          <w:szCs w:val="22"/>
          <w:lang w:val="en-GB"/>
        </w:rPr>
        <w:t xml:space="preserve">, </w:t>
      </w:r>
      <w:r w:rsidR="00DF0F12" w:rsidRPr="00DF0F12">
        <w:rPr>
          <w:rFonts w:ascii="Avenir Next" w:hAnsi="Avenir Next" w:cs="Arial"/>
          <w:color w:val="808080" w:themeColor="background1" w:themeShade="80"/>
          <w:sz w:val="22"/>
          <w:szCs w:val="22"/>
          <w:lang w:val="en-GB"/>
        </w:rPr>
        <w:t>American Law &amp; Economics</w:t>
      </w:r>
      <w:r w:rsidR="00DF0F12">
        <w:rPr>
          <w:rFonts w:ascii="Avenir Next" w:hAnsi="Avenir Next" w:cs="Arial"/>
          <w:color w:val="808080" w:themeColor="background1" w:themeShade="80"/>
          <w:sz w:val="22"/>
          <w:szCs w:val="22"/>
          <w:lang w:val="en-GB"/>
        </w:rPr>
        <w:t xml:space="preserve"> </w:t>
      </w:r>
      <w:r w:rsidR="00DF0F12" w:rsidRPr="00DF0F12">
        <w:rPr>
          <w:rFonts w:ascii="Avenir Next" w:hAnsi="Avenir Next" w:cs="Arial"/>
          <w:color w:val="808080" w:themeColor="background1" w:themeShade="80"/>
          <w:sz w:val="22"/>
          <w:szCs w:val="22"/>
          <w:lang w:val="en-GB"/>
        </w:rPr>
        <w:t>Association Annual Meetings</w:t>
      </w:r>
      <w:r w:rsidR="00DF0F12">
        <w:rPr>
          <w:rFonts w:ascii="Avenir Next" w:hAnsi="Avenir Next" w:cs="Arial"/>
          <w:color w:val="808080" w:themeColor="background1" w:themeShade="80"/>
          <w:sz w:val="22"/>
          <w:szCs w:val="22"/>
          <w:lang w:val="en-GB"/>
        </w:rPr>
        <w:t xml:space="preserve">, Paper 10, Page 3 – Page </w:t>
      </w:r>
      <w:r w:rsidR="00E52EE5">
        <w:rPr>
          <w:rFonts w:ascii="Avenir Next" w:hAnsi="Avenir Next" w:cs="Arial"/>
          <w:color w:val="808080" w:themeColor="background1" w:themeShade="80"/>
          <w:sz w:val="22"/>
          <w:szCs w:val="22"/>
          <w:lang w:val="en-GB"/>
        </w:rPr>
        <w:t>5</w:t>
      </w:r>
      <w:r w:rsidR="00DF0F12">
        <w:rPr>
          <w:rFonts w:ascii="Avenir Next" w:hAnsi="Avenir Next" w:cs="Arial"/>
          <w:color w:val="808080" w:themeColor="background1" w:themeShade="80"/>
          <w:sz w:val="22"/>
          <w:szCs w:val="22"/>
          <w:lang w:val="en-GB"/>
        </w:rPr>
        <w:t>)</w:t>
      </w:r>
      <w:r w:rsidR="000E311E">
        <w:rPr>
          <w:rFonts w:ascii="Avenir Next" w:hAnsi="Avenir Next" w:cs="Arial"/>
          <w:color w:val="808080" w:themeColor="background1" w:themeShade="80"/>
          <w:sz w:val="22"/>
          <w:szCs w:val="22"/>
          <w:lang w:val="en-GB"/>
        </w:rPr>
        <w:t>.</w:t>
      </w:r>
    </w:p>
    <w:p w14:paraId="36505C87" w14:textId="43FA70FF" w:rsidR="000537BE" w:rsidRDefault="000537BE" w:rsidP="00DF0F12">
      <w:pPr>
        <w:jc w:val="both"/>
        <w:rPr>
          <w:rFonts w:ascii="Avenir Next" w:hAnsi="Avenir Next" w:cs="Arial"/>
          <w:color w:val="808080" w:themeColor="background1" w:themeShade="80"/>
          <w:sz w:val="22"/>
          <w:szCs w:val="22"/>
          <w:lang w:val="en-GB"/>
        </w:rPr>
      </w:pPr>
    </w:p>
    <w:p w14:paraId="79CDCB30" w14:textId="3D448056" w:rsidR="000537BE" w:rsidRDefault="000537BE" w:rsidP="00DF0F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cross-borders insolvency, countries with insolvency systems that have historical roots in civil law are viewed as leaning towards territorialism while countries with insolvency systems that have historical roots in English common law are viewed as leaning towards universalism.</w:t>
      </w:r>
    </w:p>
    <w:p w14:paraId="4F7D9BAA" w14:textId="77777777" w:rsidR="005F250F" w:rsidRDefault="005F250F" w:rsidP="005F250F">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39E27B5" w14:textId="77638981" w:rsidR="00C82D87" w:rsidRDefault="000537BE" w:rsidP="00F551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cross-border insolvency</w:t>
      </w:r>
      <w:r w:rsidR="00F551C4">
        <w:rPr>
          <w:rFonts w:ascii="Avenir Next" w:hAnsi="Avenir Next" w:cs="Arial"/>
          <w:color w:val="808080" w:themeColor="background1" w:themeShade="80"/>
          <w:sz w:val="22"/>
          <w:szCs w:val="22"/>
          <w:lang w:val="en-GB"/>
        </w:rPr>
        <w:t xml:space="preserve"> (i.e., an insolvent debtor with assets or creditors in more than one state) </w:t>
      </w:r>
      <w:r>
        <w:rPr>
          <w:rFonts w:ascii="Avenir Next" w:hAnsi="Avenir Next" w:cs="Arial"/>
          <w:color w:val="808080" w:themeColor="background1" w:themeShade="80"/>
          <w:sz w:val="22"/>
          <w:szCs w:val="22"/>
          <w:lang w:val="en-GB"/>
        </w:rPr>
        <w:t xml:space="preserve">, Universalism is a principle that advocates for their being a single insolvency proceeding in respect of </w:t>
      </w:r>
      <w:r w:rsidR="00F551C4">
        <w:rPr>
          <w:rFonts w:ascii="Avenir Next" w:hAnsi="Avenir Next" w:cs="Arial"/>
          <w:color w:val="808080" w:themeColor="background1" w:themeShade="80"/>
          <w:sz w:val="22"/>
          <w:szCs w:val="22"/>
          <w:lang w:val="en-GB"/>
        </w:rPr>
        <w:t>the insolvent debtor, with this insolvency proceeding being opened in the debtor’s centre of interests</w:t>
      </w:r>
      <w:r w:rsidR="002E295C">
        <w:rPr>
          <w:rFonts w:ascii="Avenir Next" w:hAnsi="Avenir Next" w:cs="Arial"/>
          <w:color w:val="808080" w:themeColor="background1" w:themeShade="80"/>
          <w:sz w:val="22"/>
          <w:szCs w:val="22"/>
          <w:lang w:val="en-GB"/>
        </w:rPr>
        <w:t xml:space="preserve"> (COMI)</w:t>
      </w:r>
      <w:r w:rsidR="00F551C4">
        <w:rPr>
          <w:rFonts w:ascii="Avenir Next" w:hAnsi="Avenir Next" w:cs="Arial"/>
          <w:color w:val="808080" w:themeColor="background1" w:themeShade="80"/>
          <w:sz w:val="22"/>
          <w:szCs w:val="22"/>
          <w:lang w:val="en-GB"/>
        </w:rPr>
        <w:t>, with the courts of state in which the debtor’s centres of interests is located having exclusive jurisdiction in respect of these insolvency proceeding, and the insolvency laws of this state having exclusive application. Under universalism, all the assets and creditors of the debtor across the different states will be administered under this single insolvency proceeding.</w:t>
      </w:r>
    </w:p>
    <w:p w14:paraId="3F0A7B0B" w14:textId="101F1972" w:rsidR="00F551C4" w:rsidRDefault="00F551C4" w:rsidP="00F551C4">
      <w:pPr>
        <w:jc w:val="both"/>
        <w:rPr>
          <w:rFonts w:ascii="Avenir Next" w:hAnsi="Avenir Next" w:cs="Arial"/>
          <w:color w:val="808080" w:themeColor="background1" w:themeShade="80"/>
          <w:sz w:val="22"/>
          <w:szCs w:val="22"/>
          <w:lang w:val="en-GB"/>
        </w:rPr>
      </w:pPr>
    </w:p>
    <w:p w14:paraId="141FEE4D" w14:textId="23958C07" w:rsidR="00F551C4" w:rsidRDefault="00F551C4" w:rsidP="00F551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Territorialism is a principle that advocates for their being concurrent/separate insolvency proceedings in each of the states where an insolvent debtor has interests (i.e., assets/liabilities), with the effect of each of the insolvency proceedings being restricted to within the respective state it is opened in – i.e., each state will have its own insolvency proceedings in respect of the debtor, with such proceedings being restricted to creditors and assets that are within that specific jurisdiction. The courts of each state would have exclusive jurisdiction over the proceedings in their state and the laws of that state will apply to the insolvency proceedings.</w:t>
      </w:r>
    </w:p>
    <w:p w14:paraId="3B29BC63" w14:textId="4B2D059E" w:rsidR="00F551C4" w:rsidRDefault="00F551C4" w:rsidP="00F551C4">
      <w:pPr>
        <w:jc w:val="both"/>
        <w:rPr>
          <w:rFonts w:ascii="Avenir Next" w:hAnsi="Avenir Next" w:cs="Arial"/>
          <w:color w:val="808080" w:themeColor="background1" w:themeShade="80"/>
          <w:sz w:val="22"/>
          <w:szCs w:val="22"/>
          <w:lang w:val="en-GB"/>
        </w:rPr>
      </w:pPr>
    </w:p>
    <w:p w14:paraId="3D562B1D" w14:textId="17E08FD4" w:rsidR="00F551C4" w:rsidRDefault="00F551C4" w:rsidP="00F551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Modified universalism</w:t>
      </w:r>
      <w:r w:rsidR="001E4826">
        <w:rPr>
          <w:rFonts w:ascii="Avenir Next" w:hAnsi="Avenir Next" w:cs="Arial"/>
          <w:color w:val="808080" w:themeColor="background1" w:themeShade="80"/>
          <w:sz w:val="22"/>
          <w:szCs w:val="22"/>
          <w:lang w:val="en-GB"/>
        </w:rPr>
        <w:t xml:space="preserve"> is a principle under which advocates for a single “main proceeding</w:t>
      </w:r>
      <w:r w:rsidR="002E295C">
        <w:rPr>
          <w:rFonts w:ascii="Avenir Next" w:hAnsi="Avenir Next" w:cs="Arial"/>
          <w:color w:val="808080" w:themeColor="background1" w:themeShade="80"/>
          <w:sz w:val="22"/>
          <w:szCs w:val="22"/>
          <w:lang w:val="en-GB"/>
        </w:rPr>
        <w:t>”</w:t>
      </w:r>
      <w:r w:rsidR="001E4826">
        <w:rPr>
          <w:rFonts w:ascii="Avenir Next" w:hAnsi="Avenir Next" w:cs="Arial"/>
          <w:color w:val="808080" w:themeColor="background1" w:themeShade="80"/>
          <w:sz w:val="22"/>
          <w:szCs w:val="22"/>
          <w:lang w:val="en-GB"/>
        </w:rPr>
        <w:t xml:space="preserve"> being opened where the debtor has its centre of interests and for secondary</w:t>
      </w:r>
      <w:r w:rsidR="002E295C">
        <w:rPr>
          <w:rFonts w:ascii="Avenir Next" w:hAnsi="Avenir Next" w:cs="Arial"/>
          <w:color w:val="808080" w:themeColor="background1" w:themeShade="80"/>
          <w:sz w:val="22"/>
          <w:szCs w:val="22"/>
          <w:lang w:val="en-GB"/>
        </w:rPr>
        <w:t>/ancillary</w:t>
      </w:r>
      <w:r w:rsidR="001E4826">
        <w:rPr>
          <w:rFonts w:ascii="Avenir Next" w:hAnsi="Avenir Next" w:cs="Arial"/>
          <w:color w:val="808080" w:themeColor="background1" w:themeShade="80"/>
          <w:sz w:val="22"/>
          <w:szCs w:val="22"/>
          <w:lang w:val="en-GB"/>
        </w:rPr>
        <w:t xml:space="preserve"> proceedings to be opened in the other states where the debtor has interests (assets/liabilities) with the courts and insolvency representatives administering/acting in the main and secondary</w:t>
      </w:r>
      <w:r w:rsidR="002E295C">
        <w:rPr>
          <w:rFonts w:ascii="Avenir Next" w:hAnsi="Avenir Next" w:cs="Arial"/>
          <w:color w:val="808080" w:themeColor="background1" w:themeShade="80"/>
          <w:sz w:val="22"/>
          <w:szCs w:val="22"/>
          <w:lang w:val="en-GB"/>
        </w:rPr>
        <w:t>/ancillary</w:t>
      </w:r>
      <w:r w:rsidR="001E4826">
        <w:rPr>
          <w:rFonts w:ascii="Avenir Next" w:hAnsi="Avenir Next" w:cs="Arial"/>
          <w:color w:val="808080" w:themeColor="background1" w:themeShade="80"/>
          <w:sz w:val="22"/>
          <w:szCs w:val="22"/>
          <w:lang w:val="en-GB"/>
        </w:rPr>
        <w:t xml:space="preserve"> proceedings cooperating with each other. This principle is an attempt at addressing some of the shortcomings of Universalism, such as, difficulty in establishing a single state which should be regarded as being the debtor’s centre of interests.</w:t>
      </w:r>
    </w:p>
    <w:p w14:paraId="0E8B6374" w14:textId="77777777" w:rsidR="001E4826" w:rsidRPr="00F551C4" w:rsidRDefault="001E4826" w:rsidP="00F551C4">
      <w:pPr>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DB73A94" w:rsidR="00DA42DA" w:rsidRDefault="00787B4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 has 3 different treaties, amongst different states, that include provisions aimed at addressing cross-borders insolvency issues, namely, The Montevideo Treaties of 1889 and 1940, and the Havana Convention on Private International Law of 1928</w:t>
      </w:r>
      <w:r w:rsidR="00230993">
        <w:rPr>
          <w:rFonts w:ascii="Avenir Next" w:hAnsi="Avenir Next" w:cs="Arial"/>
          <w:color w:val="808080" w:themeColor="background1" w:themeShade="80"/>
          <w:sz w:val="22"/>
          <w:szCs w:val="22"/>
          <w:lang w:val="en-GB"/>
        </w:rPr>
        <w:t xml:space="preserve"> (Bustamante Code)</w:t>
      </w:r>
      <w:r>
        <w:rPr>
          <w:rFonts w:ascii="Avenir Next" w:hAnsi="Avenir Next" w:cs="Arial"/>
          <w:color w:val="808080" w:themeColor="background1" w:themeShade="80"/>
          <w:sz w:val="22"/>
          <w:szCs w:val="22"/>
          <w:lang w:val="en-GB"/>
        </w:rPr>
        <w:t xml:space="preserve"> (which includes both Latin and Middle American Countries).</w:t>
      </w:r>
    </w:p>
    <w:p w14:paraId="3138DF31" w14:textId="6DD724E7" w:rsidR="00787B4C" w:rsidRDefault="00787B4C" w:rsidP="00DA42DA">
      <w:pPr>
        <w:jc w:val="both"/>
        <w:rPr>
          <w:rFonts w:ascii="Avenir Next" w:hAnsi="Avenir Next" w:cs="Arial"/>
          <w:color w:val="808080" w:themeColor="background1" w:themeShade="80"/>
          <w:sz w:val="22"/>
          <w:szCs w:val="22"/>
          <w:lang w:val="en-GB"/>
        </w:rPr>
      </w:pPr>
    </w:p>
    <w:p w14:paraId="71AFA468" w14:textId="0253FE55" w:rsidR="00787B4C" w:rsidRDefault="00787B4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treaties have </w:t>
      </w:r>
      <w:r w:rsidR="00022328">
        <w:rPr>
          <w:rFonts w:ascii="Avenir Next" w:hAnsi="Avenir Next" w:cs="Arial"/>
          <w:color w:val="808080" w:themeColor="background1" w:themeShade="80"/>
          <w:sz w:val="22"/>
          <w:szCs w:val="22"/>
          <w:lang w:val="en-GB"/>
        </w:rPr>
        <w:t>different</w:t>
      </w:r>
      <w:r>
        <w:rPr>
          <w:rFonts w:ascii="Avenir Next" w:hAnsi="Avenir Next" w:cs="Arial"/>
          <w:color w:val="808080" w:themeColor="background1" w:themeShade="80"/>
          <w:sz w:val="22"/>
          <w:szCs w:val="22"/>
          <w:lang w:val="en-GB"/>
        </w:rPr>
        <w:t xml:space="preserve"> signatories with The Montevideo Treaty of 1889 having 6 signatories, The Montevideo Treaty of 1940 having 3 signatories (from within the 6 signatories of The Montevideo Treaty of 1889) and the Havana Convention on Private International Law of 1928 having </w:t>
      </w:r>
      <w:r w:rsidR="00022328">
        <w:rPr>
          <w:rFonts w:ascii="Avenir Next" w:hAnsi="Avenir Next" w:cs="Arial"/>
          <w:color w:val="808080" w:themeColor="background1" w:themeShade="80"/>
          <w:sz w:val="22"/>
          <w:szCs w:val="22"/>
          <w:lang w:val="en-GB"/>
        </w:rPr>
        <w:t>15</w:t>
      </w:r>
      <w:r>
        <w:rPr>
          <w:rFonts w:ascii="Avenir Next" w:hAnsi="Avenir Next" w:cs="Arial"/>
          <w:color w:val="808080" w:themeColor="background1" w:themeShade="80"/>
          <w:sz w:val="22"/>
          <w:szCs w:val="22"/>
          <w:lang w:val="en-GB"/>
        </w:rPr>
        <w:t xml:space="preserve"> Signatories </w:t>
      </w:r>
      <w:r w:rsidR="00022328">
        <w:rPr>
          <w:rFonts w:ascii="Avenir Next" w:hAnsi="Avenir Next" w:cs="Arial"/>
          <w:color w:val="808080" w:themeColor="background1" w:themeShade="80"/>
          <w:sz w:val="22"/>
          <w:szCs w:val="22"/>
          <w:lang w:val="en-GB"/>
        </w:rPr>
        <w:t xml:space="preserve">(of whom (i) only 2 were signatories to </w:t>
      </w:r>
      <w:r>
        <w:rPr>
          <w:rFonts w:ascii="Avenir Next" w:hAnsi="Avenir Next" w:cs="Arial"/>
          <w:color w:val="808080" w:themeColor="background1" w:themeShade="80"/>
          <w:sz w:val="22"/>
          <w:szCs w:val="22"/>
          <w:lang w:val="en-GB"/>
        </w:rPr>
        <w:t>The Montevideo Treaty of 1889</w:t>
      </w:r>
      <w:r w:rsidR="00022328">
        <w:rPr>
          <w:rFonts w:ascii="Avenir Next" w:hAnsi="Avenir Next" w:cs="Arial"/>
          <w:color w:val="808080" w:themeColor="background1" w:themeShade="80"/>
          <w:sz w:val="22"/>
          <w:szCs w:val="22"/>
          <w:lang w:val="en-GB"/>
        </w:rPr>
        <w:t>, and (ii) none were signatories to The Montevideo Treaty of 1940).</w:t>
      </w:r>
    </w:p>
    <w:p w14:paraId="6B50A26C" w14:textId="0F73F523" w:rsidR="007049B9" w:rsidRDefault="007049B9" w:rsidP="00DA42DA">
      <w:pPr>
        <w:jc w:val="both"/>
        <w:rPr>
          <w:rFonts w:ascii="Avenir Next" w:hAnsi="Avenir Next" w:cs="Arial"/>
          <w:color w:val="808080" w:themeColor="background1" w:themeShade="80"/>
          <w:sz w:val="22"/>
          <w:szCs w:val="22"/>
          <w:lang w:val="en-GB"/>
        </w:rPr>
      </w:pPr>
    </w:p>
    <w:p w14:paraId="6E8FF97B" w14:textId="66F4F8A5" w:rsidR="007049B9" w:rsidRDefault="007049B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Montevideo Treaties and </w:t>
      </w:r>
      <w:r w:rsidR="002E295C">
        <w:rPr>
          <w:rFonts w:ascii="Avenir Next" w:hAnsi="Avenir Next" w:cs="Arial"/>
          <w:color w:val="808080" w:themeColor="background1" w:themeShade="80"/>
          <w:sz w:val="22"/>
          <w:szCs w:val="22"/>
          <w:lang w:val="en-GB"/>
        </w:rPr>
        <w:t>Bustamante Code</w:t>
      </w:r>
      <w:r>
        <w:rPr>
          <w:rFonts w:ascii="Avenir Next" w:hAnsi="Avenir Next" w:cs="Arial"/>
          <w:color w:val="808080" w:themeColor="background1" w:themeShade="80"/>
          <w:sz w:val="22"/>
          <w:szCs w:val="22"/>
          <w:lang w:val="en-GB"/>
        </w:rPr>
        <w:t xml:space="preserve"> were in favour of a single proceedings in respect of a debtor even in instances where the debtor had presence or interests in more than one jurisdiction, and </w:t>
      </w:r>
      <w:r w:rsidR="002E295C">
        <w:rPr>
          <w:rFonts w:ascii="Avenir Next" w:hAnsi="Avenir Next" w:cs="Arial"/>
          <w:color w:val="808080" w:themeColor="background1" w:themeShade="80"/>
          <w:sz w:val="22"/>
          <w:szCs w:val="22"/>
          <w:lang w:val="en-GB"/>
        </w:rPr>
        <w:t>accommodative</w:t>
      </w:r>
      <w:r>
        <w:rPr>
          <w:rFonts w:ascii="Avenir Next" w:hAnsi="Avenir Next" w:cs="Arial"/>
          <w:color w:val="808080" w:themeColor="background1" w:themeShade="80"/>
          <w:sz w:val="22"/>
          <w:szCs w:val="22"/>
          <w:lang w:val="en-GB"/>
        </w:rPr>
        <w:t xml:space="preserve"> </w:t>
      </w:r>
      <w:r w:rsidR="002E295C">
        <w:rPr>
          <w:rFonts w:ascii="Avenir Next" w:hAnsi="Avenir Next" w:cs="Arial"/>
          <w:color w:val="808080" w:themeColor="background1" w:themeShade="80"/>
          <w:sz w:val="22"/>
          <w:szCs w:val="22"/>
          <w:lang w:val="en-GB"/>
        </w:rPr>
        <w:t>of the idea of</w:t>
      </w:r>
      <w:r>
        <w:rPr>
          <w:rFonts w:ascii="Avenir Next" w:hAnsi="Avenir Next" w:cs="Arial"/>
          <w:color w:val="808080" w:themeColor="background1" w:themeShade="80"/>
          <w:sz w:val="22"/>
          <w:szCs w:val="22"/>
          <w:lang w:val="en-GB"/>
        </w:rPr>
        <w:t xml:space="preserve"> concurrent proceedings where the debtor had autonomous/economically separate operating units in different states. </w:t>
      </w:r>
    </w:p>
    <w:p w14:paraId="694EBE2E" w14:textId="0CE2DC28" w:rsidR="00022328" w:rsidRDefault="00022328" w:rsidP="00DA42DA">
      <w:pPr>
        <w:jc w:val="both"/>
        <w:rPr>
          <w:rFonts w:ascii="Avenir Next" w:hAnsi="Avenir Next" w:cs="Arial"/>
          <w:color w:val="808080" w:themeColor="background1" w:themeShade="80"/>
          <w:sz w:val="22"/>
          <w:szCs w:val="22"/>
          <w:lang w:val="en-GB"/>
        </w:rPr>
      </w:pPr>
    </w:p>
    <w:p w14:paraId="6A803E53" w14:textId="6DA9829F" w:rsidR="004417C1" w:rsidRDefault="00230993"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Treaties were clear in their favour for the Doctrine of Domicile</w:t>
      </w:r>
      <w:r w:rsidR="00967E04">
        <w:rPr>
          <w:rFonts w:ascii="Avenir Next" w:hAnsi="Avenir Next" w:cs="Arial"/>
          <w:color w:val="808080" w:themeColor="background1" w:themeShade="80"/>
          <w:sz w:val="22"/>
          <w:szCs w:val="22"/>
          <w:lang w:val="en-GB"/>
        </w:rPr>
        <w:t xml:space="preserve"> (Commercial domicile or centre of main interest of a Debtor)</w:t>
      </w:r>
      <w:r>
        <w:rPr>
          <w:rFonts w:ascii="Avenir Next" w:hAnsi="Avenir Next" w:cs="Arial"/>
          <w:color w:val="808080" w:themeColor="background1" w:themeShade="80"/>
          <w:sz w:val="22"/>
          <w:szCs w:val="22"/>
          <w:lang w:val="en-GB"/>
        </w:rPr>
        <w:t xml:space="preserve">, while the Bustamante Code was silent on the applicability of </w:t>
      </w:r>
      <w:r w:rsidR="00967E04">
        <w:rPr>
          <w:rFonts w:ascii="Avenir Next" w:hAnsi="Avenir Next" w:cs="Arial"/>
          <w:color w:val="808080" w:themeColor="background1" w:themeShade="80"/>
          <w:sz w:val="22"/>
          <w:szCs w:val="22"/>
          <w:lang w:val="en-GB"/>
        </w:rPr>
        <w:t xml:space="preserve"> the Doctrines of </w:t>
      </w:r>
      <w:r>
        <w:rPr>
          <w:rFonts w:ascii="Avenir Next" w:hAnsi="Avenir Next" w:cs="Arial"/>
          <w:color w:val="808080" w:themeColor="background1" w:themeShade="80"/>
          <w:sz w:val="22"/>
          <w:szCs w:val="22"/>
          <w:lang w:val="en-GB"/>
        </w:rPr>
        <w:t>Domicile or Nationality</w:t>
      </w:r>
      <w:r w:rsidR="00967E04">
        <w:rPr>
          <w:rFonts w:ascii="Avenir Next" w:hAnsi="Avenir Next" w:cs="Arial"/>
          <w:color w:val="808080" w:themeColor="background1" w:themeShade="80"/>
          <w:sz w:val="22"/>
          <w:szCs w:val="22"/>
          <w:lang w:val="en-GB"/>
        </w:rPr>
        <w:t xml:space="preserve"> (Place of Incorporation of a Debtor).</w:t>
      </w:r>
      <w:r>
        <w:rPr>
          <w:rFonts w:ascii="Avenir Next" w:hAnsi="Avenir Next" w:cs="Arial"/>
          <w:color w:val="808080" w:themeColor="background1" w:themeShade="80"/>
          <w:sz w:val="22"/>
          <w:szCs w:val="22"/>
          <w:lang w:val="en-GB"/>
        </w:rPr>
        <w:t xml:space="preserve"> (“</w:t>
      </w:r>
      <w:r w:rsidRPr="00230993">
        <w:rPr>
          <w:rFonts w:ascii="Avenir Next" w:hAnsi="Avenir Next" w:cs="Arial"/>
          <w:color w:val="808080" w:themeColor="background1" w:themeShade="80"/>
          <w:sz w:val="22"/>
          <w:szCs w:val="22"/>
          <w:lang w:val="en-GB"/>
        </w:rPr>
        <w:t>The Birth of Modern Private International Law: The Treaties of Montevideo (1889, amended 1940)</w:t>
      </w:r>
      <w:r>
        <w:rPr>
          <w:rFonts w:ascii="Avenir Next" w:hAnsi="Avenir Next" w:cs="Arial"/>
          <w:color w:val="808080" w:themeColor="background1" w:themeShade="80"/>
          <w:sz w:val="22"/>
          <w:szCs w:val="22"/>
          <w:lang w:val="en-GB"/>
        </w:rPr>
        <w:t xml:space="preserve">” by </w:t>
      </w:r>
      <w:r w:rsidRPr="00230993">
        <w:rPr>
          <w:rFonts w:ascii="Avenir Next" w:hAnsi="Avenir Next" w:cs="Arial"/>
          <w:color w:val="808080" w:themeColor="background1" w:themeShade="80"/>
          <w:sz w:val="22"/>
          <w:szCs w:val="22"/>
          <w:lang w:val="en-GB"/>
        </w:rPr>
        <w:t>Ana Delić</w:t>
      </w:r>
      <w:r>
        <w:rPr>
          <w:rFonts w:ascii="Avenir Next" w:hAnsi="Avenir Next" w:cs="Arial"/>
          <w:color w:val="808080" w:themeColor="background1" w:themeShade="80"/>
          <w:sz w:val="22"/>
          <w:szCs w:val="22"/>
          <w:lang w:val="en-GB"/>
        </w:rPr>
        <w:t xml:space="preserve">, </w:t>
      </w:r>
      <w:r w:rsidRPr="00230993">
        <w:rPr>
          <w:rFonts w:ascii="Avenir Next" w:hAnsi="Avenir Next" w:cs="Arial"/>
          <w:color w:val="808080" w:themeColor="background1" w:themeShade="80"/>
          <w:sz w:val="22"/>
          <w:szCs w:val="22"/>
          <w:lang w:val="en-GB"/>
        </w:rPr>
        <w:t>Oxford Public International Law</w:t>
      </w:r>
      <w:r>
        <w:rPr>
          <w:rFonts w:ascii="Avenir Next" w:hAnsi="Avenir Next" w:cs="Arial"/>
          <w:color w:val="808080" w:themeColor="background1" w:themeShade="80"/>
          <w:sz w:val="22"/>
          <w:szCs w:val="22"/>
          <w:lang w:val="en-GB"/>
        </w:rPr>
        <w:t xml:space="preserve">, </w:t>
      </w:r>
      <w:hyperlink r:id="rId12" w:history="1">
        <w:r w:rsidRPr="0083616D">
          <w:rPr>
            <w:rStyle w:val="Hyperlink"/>
            <w:rFonts w:ascii="Avenir Next" w:hAnsi="Avenir Next" w:cs="Arial"/>
            <w:sz w:val="22"/>
            <w:szCs w:val="22"/>
            <w:lang w:val="en-GB"/>
          </w:rPr>
          <w:t>https://opil.ouplaw.com/page/530</w:t>
        </w:r>
      </w:hyperlink>
      <w:r>
        <w:rPr>
          <w:rFonts w:ascii="Avenir Next" w:hAnsi="Avenir Next" w:cs="Arial"/>
          <w:color w:val="808080" w:themeColor="background1" w:themeShade="80"/>
          <w:sz w:val="22"/>
          <w:szCs w:val="22"/>
          <w:lang w:val="en-GB"/>
        </w:rPr>
        <w:t>, Monday, 13 November 2023, 12:15PM EAT)</w:t>
      </w:r>
      <w:r w:rsidR="00967E04">
        <w:rPr>
          <w:rFonts w:ascii="Avenir Next" w:hAnsi="Avenir Next" w:cs="Arial"/>
          <w:color w:val="808080" w:themeColor="background1" w:themeShade="80"/>
          <w:sz w:val="22"/>
          <w:szCs w:val="22"/>
          <w:lang w:val="en-GB"/>
        </w:rPr>
        <w:t>.</w:t>
      </w:r>
    </w:p>
    <w:p w14:paraId="72921412" w14:textId="77777777" w:rsidR="00230993" w:rsidRPr="004216EA" w:rsidRDefault="00230993"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38981B6" w14:textId="7B2B294D" w:rsidR="00CF6642" w:rsidRDefault="00AF348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and “Insolvency” should not be used interchangeably, particularly, in communication to a </w:t>
      </w:r>
      <w:r w:rsidR="00F83D86">
        <w:rPr>
          <w:rFonts w:ascii="Avenir Next" w:hAnsi="Avenir Next" w:cs="Arial"/>
          <w:color w:val="808080" w:themeColor="background1" w:themeShade="80"/>
          <w:sz w:val="22"/>
          <w:szCs w:val="22"/>
          <w:lang w:val="en-GB"/>
        </w:rPr>
        <w:t>diverse</w:t>
      </w:r>
      <w:r>
        <w:rPr>
          <w:rFonts w:ascii="Avenir Next" w:hAnsi="Avenir Next" w:cs="Arial"/>
          <w:color w:val="808080" w:themeColor="background1" w:themeShade="80"/>
          <w:sz w:val="22"/>
          <w:szCs w:val="22"/>
          <w:lang w:val="en-GB"/>
        </w:rPr>
        <w:t xml:space="preserve"> (by State) audience. This is because while some systems use the terms interchangeably, others use them to </w:t>
      </w:r>
      <w:r w:rsidR="00CF6642">
        <w:rPr>
          <w:rFonts w:ascii="Avenir Next" w:hAnsi="Avenir Next" w:cs="Arial"/>
          <w:color w:val="808080" w:themeColor="background1" w:themeShade="80"/>
          <w:sz w:val="22"/>
          <w:szCs w:val="22"/>
          <w:lang w:val="en-GB"/>
        </w:rPr>
        <w:t>refer to different things. For example, some jurisdictions like Australia and Kenya use “Bankruptcy” to refer to the insolvency of Natura</w:t>
      </w:r>
      <w:r w:rsidR="00F83D86">
        <w:rPr>
          <w:rFonts w:ascii="Avenir Next" w:hAnsi="Avenir Next" w:cs="Arial"/>
          <w:color w:val="808080" w:themeColor="background1" w:themeShade="80"/>
          <w:sz w:val="22"/>
          <w:szCs w:val="22"/>
          <w:lang w:val="en-GB"/>
        </w:rPr>
        <w:t>l</w:t>
      </w:r>
      <w:r w:rsidR="00CF6642">
        <w:rPr>
          <w:rFonts w:ascii="Avenir Next" w:hAnsi="Avenir Next" w:cs="Arial"/>
          <w:color w:val="808080" w:themeColor="background1" w:themeShade="80"/>
          <w:sz w:val="22"/>
          <w:szCs w:val="22"/>
          <w:lang w:val="en-GB"/>
        </w:rPr>
        <w:t xml:space="preserve"> Persons/Individuals and “Insolvency” to refer to the insolvency of corporations. A slightly different, but equally differentiated use of the terms, is </w:t>
      </w:r>
      <w:r w:rsidR="00CF6642">
        <w:rPr>
          <w:rFonts w:ascii="Avenir Next" w:hAnsi="Avenir Next" w:cs="Arial"/>
          <w:color w:val="808080" w:themeColor="background1" w:themeShade="80"/>
          <w:sz w:val="22"/>
          <w:szCs w:val="22"/>
          <w:lang w:val="en-GB"/>
        </w:rPr>
        <w:lastRenderedPageBreak/>
        <w:t>where some systems use the term “Insolvency” to refer to the state of the debtor’s affairs (i.e., inability to pay debts as and when they fall due or liabilities exceed assets) and use the term “Bankruptcy” to refer to a situation where insolvency proceedings have commenced in relation to the debtor. Considering the terms do not have an accepted universal meaning, they should not be used interchangeably.</w:t>
      </w:r>
    </w:p>
    <w:p w14:paraId="1F149A12" w14:textId="4E880818" w:rsidR="00CF6642" w:rsidRDefault="00CF6642" w:rsidP="00D07DA3">
      <w:pPr>
        <w:spacing w:before="60" w:after="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essential characteristics of a “bankruptcy” </w:t>
      </w:r>
      <w:r w:rsidR="00D07DA3">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“insolvency” are:</w:t>
      </w:r>
    </w:p>
    <w:p w14:paraId="4A30D075" w14:textId="278AD509" w:rsidR="00CF6642" w:rsidRDefault="00CF6642"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Inability of the debtor to pay their debts as and when they become due </w:t>
      </w:r>
      <w:r w:rsidRPr="00CF6642">
        <w:rPr>
          <w:rFonts w:ascii="Avenir Next" w:hAnsi="Avenir Next" w:cs="Arial"/>
          <w:color w:val="808080" w:themeColor="background1" w:themeShade="80"/>
          <w:sz w:val="22"/>
          <w:szCs w:val="22"/>
          <w:lang w:val="en-GB"/>
        </w:rPr>
        <w:t>OR the debtor’s liabilities exceeding their assets;</w:t>
      </w:r>
    </w:p>
    <w:p w14:paraId="141B783D" w14:textId="41DC66DC" w:rsidR="00CF6642" w:rsidRDefault="00CF6642"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Suspension of </w:t>
      </w:r>
      <w:r w:rsidR="00D07D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unilateral</w:t>
      </w:r>
      <w:r w:rsidR="00D07D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enforcement action by creditors after commencement of bankruptcy/insolvency procedure</w:t>
      </w:r>
      <w:r w:rsidR="00F83D8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This is because the procedures are collective enforcement </w:t>
      </w:r>
      <w:r w:rsidR="00D07DA3">
        <w:rPr>
          <w:rFonts w:ascii="Avenir Next" w:hAnsi="Avenir Next" w:cs="Arial"/>
          <w:color w:val="808080" w:themeColor="background1" w:themeShade="80"/>
          <w:sz w:val="22"/>
          <w:szCs w:val="22"/>
          <w:lang w:val="en-GB"/>
        </w:rPr>
        <w:t>action that is intended to address the satisfaction of the debts of all creditors in line with applicable laws.</w:t>
      </w:r>
    </w:p>
    <w:p w14:paraId="139018D1" w14:textId="454B6040" w:rsidR="00D07DA3" w:rsidRDefault="00D07DA3"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Pooling of assets of the insolvent debtor to satisfy creditor debts in line with applicable waterfalls;</w:t>
      </w:r>
    </w:p>
    <w:p w14:paraId="2C1E0D76" w14:textId="21B1C47D" w:rsidR="00D07DA3" w:rsidRDefault="00D07DA3"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sidRPr="00D07DA3">
        <w:rPr>
          <w:rFonts w:ascii="Avenir Next" w:hAnsi="Avenir Next" w:cs="Arial"/>
          <w:i/>
          <w:iCs/>
          <w:color w:val="808080" w:themeColor="background1" w:themeShade="80"/>
          <w:sz w:val="22"/>
          <w:szCs w:val="22"/>
          <w:lang w:val="en-GB"/>
        </w:rPr>
        <w:t>Pari Passu</w:t>
      </w:r>
      <w:r w:rsidRPr="00D07DA3">
        <w:rPr>
          <w:rFonts w:ascii="Avenir Next" w:hAnsi="Avenir Next" w:cs="Arial"/>
          <w:color w:val="808080" w:themeColor="background1" w:themeShade="80"/>
          <w:sz w:val="22"/>
          <w:szCs w:val="22"/>
          <w:lang w:val="en-GB"/>
        </w:rPr>
        <w:t xml:space="preserve"> payment of creditors that rank equally under the </w:t>
      </w:r>
      <w:r>
        <w:rPr>
          <w:rFonts w:ascii="Avenir Next" w:hAnsi="Avenir Next" w:cs="Arial"/>
          <w:color w:val="808080" w:themeColor="background1" w:themeShade="80"/>
          <w:sz w:val="22"/>
          <w:szCs w:val="22"/>
          <w:lang w:val="en-GB"/>
        </w:rPr>
        <w:t>statutory/</w:t>
      </w:r>
      <w:r w:rsidRPr="00D07DA3">
        <w:rPr>
          <w:rFonts w:ascii="Avenir Next" w:hAnsi="Avenir Next" w:cs="Arial"/>
          <w:color w:val="808080" w:themeColor="background1" w:themeShade="80"/>
          <w:sz w:val="22"/>
          <w:szCs w:val="22"/>
          <w:lang w:val="en-GB"/>
        </w:rPr>
        <w:t>insolvency waterfall</w:t>
      </w:r>
      <w:r w:rsidR="00BA7949">
        <w:rPr>
          <w:rFonts w:ascii="Avenir Next" w:hAnsi="Avenir Next" w:cs="Arial"/>
          <w:color w:val="808080" w:themeColor="background1" w:themeShade="80"/>
          <w:sz w:val="22"/>
          <w:szCs w:val="22"/>
          <w:lang w:val="en-GB"/>
        </w:rPr>
        <w:t>;</w:t>
      </w:r>
    </w:p>
    <w:p w14:paraId="3BCBC3B4" w14:textId="1B4C801F" w:rsidR="00BA7949" w:rsidRPr="00BA7949" w:rsidRDefault="00BA7949"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sidRPr="00BA7949">
        <w:rPr>
          <w:rFonts w:ascii="Avenir Next" w:hAnsi="Avenir Next" w:cs="Arial"/>
          <w:color w:val="808080" w:themeColor="background1" w:themeShade="80"/>
          <w:sz w:val="22"/>
          <w:szCs w:val="22"/>
          <w:lang w:val="en-GB"/>
        </w:rPr>
        <w:t xml:space="preserve">Investigation of root causes of the insolvency/failure; and </w:t>
      </w:r>
    </w:p>
    <w:p w14:paraId="60DBEEFD" w14:textId="5648D57C" w:rsidR="00BA7949" w:rsidRPr="00BA7949" w:rsidRDefault="00BA7949" w:rsidP="00D07DA3">
      <w:pPr>
        <w:pStyle w:val="ListParagraph"/>
        <w:numPr>
          <w:ilvl w:val="0"/>
          <w:numId w:val="35"/>
        </w:numPr>
        <w:spacing w:before="60" w:after="6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Voidance of any transactions where it can be satisfactorily demonstrated that the insolvent debtor dealt with assets in an improper manner, say, by giving preferences to specific creditors or transferring assets at undervalue, thereby, occasioning loss of value to the estate.</w:t>
      </w:r>
    </w:p>
    <w:p w14:paraId="6C72447C" w14:textId="66FC9D8C" w:rsidR="00D07DA3" w:rsidRDefault="00D07DA3" w:rsidP="00AF34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differences between “bankruptcy”/”insolvency” of individuals and corporations are that:</w:t>
      </w:r>
    </w:p>
    <w:p w14:paraId="50E7C851" w14:textId="3F62D160" w:rsidR="00D07DA3" w:rsidRDefault="00D07DA3" w:rsidP="00D07DA3">
      <w:pPr>
        <w:pStyle w:val="ListParagraph"/>
        <w:numPr>
          <w:ilvl w:val="0"/>
          <w:numId w:val="36"/>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Whereas the insolvency of a corporation can result in its liquidation (i.e., ceasing to exist and being struck off the register of companies), the insolvency of an individual does not result in the individual ceasing to exist</w:t>
      </w:r>
      <w:r w:rsidR="00BA7949">
        <w:rPr>
          <w:rFonts w:ascii="Avenir Next" w:hAnsi="Avenir Next" w:cs="Arial"/>
          <w:color w:val="808080" w:themeColor="background1" w:themeShade="80"/>
          <w:sz w:val="22"/>
          <w:szCs w:val="22"/>
          <w:lang w:val="en-GB"/>
        </w:rPr>
        <w:t>;</w:t>
      </w:r>
    </w:p>
    <w:p w14:paraId="0A2205F5" w14:textId="0C9E3C9B" w:rsidR="00AF3489" w:rsidRDefault="00D07DA3" w:rsidP="00D07DA3">
      <w:pPr>
        <w:pStyle w:val="ListParagraph"/>
        <w:numPr>
          <w:ilvl w:val="0"/>
          <w:numId w:val="36"/>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insolvency of individuals often includes the concept of “excluded assets” (i.e., assets that are not considered part of the insolvent estate and which are, therefore, not available for application in satisfying creditor claims), insolvency of corporations usually does not include such </w:t>
      </w:r>
      <w:r w:rsidR="00BA7949">
        <w:rPr>
          <w:rFonts w:ascii="Avenir Next" w:hAnsi="Avenir Next" w:cs="Arial"/>
          <w:color w:val="808080" w:themeColor="background1" w:themeShade="80"/>
          <w:sz w:val="22"/>
          <w:szCs w:val="22"/>
          <w:lang w:val="en-GB"/>
        </w:rPr>
        <w:t>a concept, with the standard practice being that all the assets of the corporation are available to be applied towards satisfaction of either specific or general claims against the corporation; and</w:t>
      </w:r>
    </w:p>
    <w:p w14:paraId="15DC1110" w14:textId="27A615E6" w:rsidR="00AF3489" w:rsidRPr="00BA7949" w:rsidRDefault="00BA7949" w:rsidP="0013001E">
      <w:pPr>
        <w:pStyle w:val="ListParagraph"/>
        <w:numPr>
          <w:ilvl w:val="0"/>
          <w:numId w:val="36"/>
        </w:numPr>
        <w:spacing w:before="120" w:after="120"/>
        <w:contextualSpacing w:val="0"/>
        <w:jc w:val="both"/>
        <w:rPr>
          <w:rFonts w:ascii="Avenir Next" w:hAnsi="Avenir Next" w:cs="Arial"/>
          <w:color w:val="808080" w:themeColor="background1" w:themeShade="80"/>
          <w:sz w:val="22"/>
          <w:szCs w:val="22"/>
          <w:lang w:val="en-GB"/>
        </w:rPr>
      </w:pPr>
      <w:r w:rsidRPr="00BA7949">
        <w:rPr>
          <w:rFonts w:ascii="Avenir Next" w:hAnsi="Avenir Next" w:cs="Arial"/>
          <w:color w:val="808080" w:themeColor="background1" w:themeShade="80"/>
          <w:sz w:val="22"/>
          <w:szCs w:val="22"/>
          <w:lang w:val="en-GB"/>
        </w:rPr>
        <w:t xml:space="preserve">Usually, the </w:t>
      </w:r>
      <w:r>
        <w:rPr>
          <w:rFonts w:ascii="Avenir Next" w:hAnsi="Avenir Next" w:cs="Arial"/>
          <w:color w:val="808080" w:themeColor="background1" w:themeShade="80"/>
          <w:sz w:val="22"/>
          <w:szCs w:val="22"/>
          <w:lang w:val="en-GB"/>
        </w:rPr>
        <w:t>primary objective of insolvency proceedings against individual debtors is to protect the debtors from harassment by their creditors and to accord them the opportunity for a fresh start (i.e., discharge)</w:t>
      </w:r>
      <w:r w:rsidR="00F83D86">
        <w:rPr>
          <w:rFonts w:ascii="Avenir Next" w:hAnsi="Avenir Next" w:cs="Arial"/>
          <w:color w:val="808080" w:themeColor="background1" w:themeShade="80"/>
          <w:sz w:val="22"/>
          <w:szCs w:val="22"/>
          <w:lang w:val="en-GB"/>
        </w:rPr>
        <w:t>. On the other hand,</w:t>
      </w:r>
      <w:r>
        <w:rPr>
          <w:rFonts w:ascii="Avenir Next" w:hAnsi="Avenir Next" w:cs="Arial"/>
          <w:color w:val="808080" w:themeColor="background1" w:themeShade="80"/>
          <w:sz w:val="22"/>
          <w:szCs w:val="22"/>
          <w:lang w:val="en-GB"/>
        </w:rPr>
        <w:t xml:space="preserve"> the primary objective of insolvency proceedings against a corporation is, to the extent possible, preserve whole or part of the business of the insolvent debtor, under the same or other Company, and to satisfy the claims of the creditors of the debtor in whole or in part out of the assets of </w:t>
      </w:r>
      <w:r w:rsidR="00EF6A70">
        <w:rPr>
          <w:rFonts w:ascii="Avenir Next" w:hAnsi="Avenir Next" w:cs="Arial"/>
          <w:color w:val="808080" w:themeColor="background1" w:themeShade="80"/>
          <w:sz w:val="22"/>
          <w:szCs w:val="22"/>
          <w:lang w:val="en-GB"/>
        </w:rPr>
        <w:t xml:space="preserve">the debtor, taking appropriate action against officers of the debtor </w:t>
      </w:r>
      <w:r w:rsidR="00F64130">
        <w:rPr>
          <w:rFonts w:ascii="Avenir Next" w:hAnsi="Avenir Next" w:cs="Arial"/>
          <w:color w:val="808080" w:themeColor="background1" w:themeShade="80"/>
          <w:sz w:val="22"/>
          <w:szCs w:val="22"/>
          <w:lang w:val="en-GB"/>
        </w:rPr>
        <w:t>c</w:t>
      </w:r>
      <w:r w:rsidR="00EF6A70">
        <w:rPr>
          <w:rFonts w:ascii="Avenir Next" w:hAnsi="Avenir Next" w:cs="Arial"/>
          <w:color w:val="808080" w:themeColor="background1" w:themeShade="80"/>
          <w:sz w:val="22"/>
          <w:szCs w:val="22"/>
          <w:lang w:val="en-GB"/>
        </w:rPr>
        <w:t>ompany who may have, by virtue of the</w:t>
      </w:r>
      <w:r w:rsidR="00F83D86">
        <w:rPr>
          <w:rFonts w:ascii="Avenir Next" w:hAnsi="Avenir Next" w:cs="Arial"/>
          <w:color w:val="808080" w:themeColor="background1" w:themeShade="80"/>
          <w:sz w:val="22"/>
          <w:szCs w:val="22"/>
          <w:lang w:val="en-GB"/>
        </w:rPr>
        <w:t>ir</w:t>
      </w:r>
      <w:r w:rsidR="00EF6A70">
        <w:rPr>
          <w:rFonts w:ascii="Avenir Next" w:hAnsi="Avenir Next" w:cs="Arial"/>
          <w:color w:val="808080" w:themeColor="background1" w:themeShade="80"/>
          <w:sz w:val="22"/>
          <w:szCs w:val="22"/>
          <w:lang w:val="en-GB"/>
        </w:rPr>
        <w:t xml:space="preserve"> actions or inactions, exposed themselves to personal liability in the period leading to or after commencement of the insolvency.</w:t>
      </w: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63FFAE2E" w:rsidR="00DA42DA" w:rsidRDefault="000D10F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challenges that arise in cross-border insolvency and that make it difficult to develop a single global cross-border insolvency dispensation include:</w:t>
      </w:r>
    </w:p>
    <w:p w14:paraId="62C9F945" w14:textId="796CAEBE" w:rsidR="000D10F0" w:rsidRDefault="000D10F0" w:rsidP="00DA42DA">
      <w:pPr>
        <w:jc w:val="both"/>
        <w:rPr>
          <w:rFonts w:ascii="Avenir Next" w:hAnsi="Avenir Next" w:cs="Arial"/>
          <w:color w:val="808080" w:themeColor="background1" w:themeShade="80"/>
          <w:sz w:val="22"/>
          <w:szCs w:val="22"/>
          <w:lang w:val="en-GB"/>
        </w:rPr>
      </w:pPr>
    </w:p>
    <w:p w14:paraId="4B2E0AB6" w14:textId="646B4505" w:rsidR="005340DD" w:rsidRDefault="005340DD" w:rsidP="005340DD">
      <w:pPr>
        <w:pStyle w:val="ListParagraph"/>
        <w:numPr>
          <w:ilvl w:val="0"/>
          <w:numId w:val="37"/>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Varying thresholds/definitions of insolvency across jurisdictions – There is no globally accepted definition/threshold for insolvency</w:t>
      </w:r>
      <w:r w:rsidR="001233B8">
        <w:rPr>
          <w:rFonts w:ascii="Avenir Next" w:hAnsi="Avenir Next" w:cs="Arial"/>
          <w:color w:val="808080" w:themeColor="background1" w:themeShade="80"/>
          <w:sz w:val="22"/>
          <w:szCs w:val="22"/>
          <w:lang w:val="en-GB"/>
        </w:rPr>
        <w:t xml:space="preserve"> with reference to either cash flows or net assets</w:t>
      </w:r>
      <w:r>
        <w:rPr>
          <w:rFonts w:ascii="Avenir Next" w:hAnsi="Avenir Next" w:cs="Arial"/>
          <w:color w:val="808080" w:themeColor="background1" w:themeShade="80"/>
          <w:sz w:val="22"/>
          <w:szCs w:val="22"/>
          <w:lang w:val="en-GB"/>
        </w:rPr>
        <w:t>. This poses the risk that a corporation that may be considered insolvent in one jurisdiction may be considered solvent in another jurisdiction. This risk is heightened where jurisdictions adopt a territorial approach to insolvency</w:t>
      </w:r>
      <w:r w:rsidR="001233B8">
        <w:rPr>
          <w:rFonts w:ascii="Avenir Next" w:hAnsi="Avenir Next" w:cs="Arial"/>
          <w:color w:val="808080" w:themeColor="background1" w:themeShade="80"/>
          <w:sz w:val="22"/>
          <w:szCs w:val="22"/>
          <w:lang w:val="en-GB"/>
        </w:rPr>
        <w:t xml:space="preserve"> which further distorts/complicates the measurement of cash flows/net assets</w:t>
      </w:r>
      <w:r w:rsidR="00F83D86">
        <w:rPr>
          <w:rFonts w:ascii="Avenir Next" w:hAnsi="Avenir Next" w:cs="Arial"/>
          <w:color w:val="808080" w:themeColor="background1" w:themeShade="80"/>
          <w:sz w:val="22"/>
          <w:szCs w:val="22"/>
          <w:lang w:val="en-GB"/>
        </w:rPr>
        <w:t xml:space="preserve"> of a debtor</w:t>
      </w:r>
      <w:r w:rsidR="001233B8">
        <w:rPr>
          <w:rFonts w:ascii="Avenir Next" w:hAnsi="Avenir Next" w:cs="Arial"/>
          <w:color w:val="808080" w:themeColor="background1" w:themeShade="80"/>
          <w:sz w:val="22"/>
          <w:szCs w:val="22"/>
          <w:lang w:val="en-GB"/>
        </w:rPr>
        <w:t xml:space="preserve"> for purposes of assessing solvency</w:t>
      </w:r>
      <w:r w:rsidR="00262042">
        <w:rPr>
          <w:rFonts w:ascii="Avenir Next" w:hAnsi="Avenir Next" w:cs="Arial"/>
          <w:color w:val="808080" w:themeColor="background1" w:themeShade="80"/>
          <w:sz w:val="22"/>
          <w:szCs w:val="22"/>
          <w:lang w:val="en-GB"/>
        </w:rPr>
        <w:t>;</w:t>
      </w:r>
    </w:p>
    <w:p w14:paraId="5978B7B1" w14:textId="449D1970" w:rsidR="000D10F0" w:rsidRDefault="000D10F0" w:rsidP="001233B8">
      <w:pPr>
        <w:pStyle w:val="ListParagraph"/>
        <w:numPr>
          <w:ilvl w:val="0"/>
          <w:numId w:val="37"/>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Varying policy considerations in relation to insolvency – while some states have pro-creditor insolvency systems (i.e., exhibiting conservative approach to discharge of insolvent debtors), other states have pro-debtor insolvency systems (i.e., exhibiting liberal approach to discharge of insolvent debtors). This can create conflict of objective</w:t>
      </w:r>
      <w:r w:rsidR="00262042">
        <w:rPr>
          <w:rFonts w:ascii="Avenir Next" w:hAnsi="Avenir Next" w:cs="Arial"/>
          <w:color w:val="808080" w:themeColor="background1" w:themeShade="80"/>
          <w:sz w:val="22"/>
          <w:szCs w:val="22"/>
          <w:lang w:val="en-GB"/>
        </w:rPr>
        <w:t xml:space="preserve">s </w:t>
      </w:r>
      <w:r w:rsidR="00C935A9">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00C935A9">
        <w:rPr>
          <w:rFonts w:ascii="Avenir Next" w:hAnsi="Avenir Next" w:cs="Arial"/>
          <w:color w:val="808080" w:themeColor="background1" w:themeShade="80"/>
          <w:sz w:val="22"/>
          <w:szCs w:val="22"/>
          <w:lang w:val="en-GB"/>
        </w:rPr>
        <w:t xml:space="preserve">any proposed </w:t>
      </w:r>
      <w:r>
        <w:rPr>
          <w:rFonts w:ascii="Avenir Next" w:hAnsi="Avenir Next" w:cs="Arial"/>
          <w:color w:val="808080" w:themeColor="background1" w:themeShade="80"/>
          <w:sz w:val="22"/>
          <w:szCs w:val="22"/>
          <w:lang w:val="en-GB"/>
        </w:rPr>
        <w:t xml:space="preserve">cross-border insolvency </w:t>
      </w:r>
      <w:r w:rsidR="00C935A9">
        <w:rPr>
          <w:rFonts w:ascii="Avenir Next" w:hAnsi="Avenir Next" w:cs="Arial"/>
          <w:color w:val="808080" w:themeColor="background1" w:themeShade="80"/>
          <w:sz w:val="22"/>
          <w:szCs w:val="22"/>
          <w:lang w:val="en-GB"/>
        </w:rPr>
        <w:t>laws</w:t>
      </w:r>
      <w:r>
        <w:rPr>
          <w:rFonts w:ascii="Avenir Next" w:hAnsi="Avenir Next" w:cs="Arial"/>
          <w:color w:val="808080" w:themeColor="background1" w:themeShade="80"/>
          <w:sz w:val="22"/>
          <w:szCs w:val="22"/>
          <w:lang w:val="en-GB"/>
        </w:rPr>
        <w:t xml:space="preserve"> where the pro-debtor jurisdiction</w:t>
      </w:r>
      <w:r w:rsidR="00C935A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may be in favour of reorganization/Business Rescue procedures while the pro-creditor jurisdiction</w:t>
      </w:r>
      <w:r w:rsidR="00C935A9">
        <w:rPr>
          <w:rFonts w:ascii="Avenir Next" w:hAnsi="Avenir Next" w:cs="Arial"/>
          <w:color w:val="808080" w:themeColor="background1" w:themeShade="80"/>
          <w:sz w:val="22"/>
          <w:szCs w:val="22"/>
          <w:lang w:val="en-GB"/>
        </w:rPr>
        <w:t xml:space="preserve">s may be </w:t>
      </w:r>
      <w:r>
        <w:rPr>
          <w:rFonts w:ascii="Avenir Next" w:hAnsi="Avenir Next" w:cs="Arial"/>
          <w:color w:val="808080" w:themeColor="background1" w:themeShade="80"/>
          <w:sz w:val="22"/>
          <w:szCs w:val="22"/>
          <w:lang w:val="en-GB"/>
        </w:rPr>
        <w:t>is in favour of liquidation</w:t>
      </w:r>
      <w:r w:rsidR="00C935A9">
        <w:rPr>
          <w:rFonts w:ascii="Avenir Next" w:hAnsi="Avenir Next" w:cs="Arial"/>
          <w:color w:val="808080" w:themeColor="background1" w:themeShade="80"/>
          <w:sz w:val="22"/>
          <w:szCs w:val="22"/>
          <w:lang w:val="en-GB"/>
        </w:rPr>
        <w:t>-type</w:t>
      </w:r>
      <w:r>
        <w:rPr>
          <w:rFonts w:ascii="Avenir Next" w:hAnsi="Avenir Next" w:cs="Arial"/>
          <w:color w:val="808080" w:themeColor="background1" w:themeShade="80"/>
          <w:sz w:val="22"/>
          <w:szCs w:val="22"/>
          <w:lang w:val="en-GB"/>
        </w:rPr>
        <w:t xml:space="preserve"> procedures;</w:t>
      </w:r>
    </w:p>
    <w:p w14:paraId="42D9A6A9" w14:textId="0718EDA6" w:rsidR="001233B8" w:rsidRPr="001233B8" w:rsidRDefault="001233B8" w:rsidP="001233B8">
      <w:pPr>
        <w:pStyle w:val="ListParagraph"/>
        <w:numPr>
          <w:ilvl w:val="0"/>
          <w:numId w:val="37"/>
        </w:numPr>
        <w:spacing w:before="120" w:after="120"/>
        <w:contextualSpacing w:val="0"/>
        <w:jc w:val="both"/>
        <w:rPr>
          <w:rFonts w:ascii="Avenir Next" w:hAnsi="Avenir Next" w:cs="Arial"/>
          <w:color w:val="808080" w:themeColor="background1" w:themeShade="80"/>
          <w:sz w:val="22"/>
          <w:szCs w:val="22"/>
          <w:lang w:val="en-GB"/>
        </w:rPr>
      </w:pPr>
      <w:r w:rsidRPr="001233B8">
        <w:rPr>
          <w:rFonts w:ascii="Avenir Next" w:hAnsi="Avenir Next" w:cs="Arial"/>
          <w:color w:val="808080" w:themeColor="background1" w:themeShade="80"/>
          <w:sz w:val="22"/>
          <w:szCs w:val="22"/>
          <w:lang w:val="en-GB"/>
        </w:rPr>
        <w:t xml:space="preserve">Differences in </w:t>
      </w:r>
      <w:r>
        <w:rPr>
          <w:rFonts w:ascii="Avenir Next" w:hAnsi="Avenir Next" w:cs="Arial"/>
          <w:color w:val="808080" w:themeColor="background1" w:themeShade="80"/>
          <w:sz w:val="22"/>
          <w:szCs w:val="22"/>
          <w:lang w:val="en-GB"/>
        </w:rPr>
        <w:t xml:space="preserve">other </w:t>
      </w:r>
      <w:r w:rsidRPr="001233B8">
        <w:rPr>
          <w:rFonts w:ascii="Avenir Next" w:hAnsi="Avenir Next" w:cs="Arial"/>
          <w:color w:val="808080" w:themeColor="background1" w:themeShade="80"/>
          <w:sz w:val="22"/>
          <w:szCs w:val="22"/>
          <w:lang w:val="en-GB"/>
        </w:rPr>
        <w:t xml:space="preserve">Substantive </w:t>
      </w:r>
      <w:r>
        <w:rPr>
          <w:rFonts w:ascii="Avenir Next" w:hAnsi="Avenir Next" w:cs="Arial"/>
          <w:color w:val="808080" w:themeColor="background1" w:themeShade="80"/>
          <w:sz w:val="22"/>
          <w:szCs w:val="22"/>
          <w:lang w:val="en-GB"/>
        </w:rPr>
        <w:t xml:space="preserve">Domestic </w:t>
      </w:r>
      <w:r w:rsidRPr="001233B8">
        <w:rPr>
          <w:rFonts w:ascii="Avenir Next" w:hAnsi="Avenir Next" w:cs="Arial"/>
          <w:color w:val="808080" w:themeColor="background1" w:themeShade="80"/>
          <w:sz w:val="22"/>
          <w:szCs w:val="22"/>
          <w:lang w:val="en-GB"/>
        </w:rPr>
        <w:t xml:space="preserve">Laws </w:t>
      </w:r>
      <w:r>
        <w:rPr>
          <w:rFonts w:ascii="Avenir Next" w:hAnsi="Avenir Next" w:cs="Arial"/>
          <w:color w:val="808080" w:themeColor="background1" w:themeShade="80"/>
          <w:sz w:val="22"/>
          <w:szCs w:val="22"/>
          <w:lang w:val="en-GB"/>
        </w:rPr>
        <w:t>(</w:t>
      </w:r>
      <w:r w:rsidRPr="001233B8">
        <w:rPr>
          <w:rFonts w:ascii="Avenir Next" w:hAnsi="Avenir Next" w:cs="Arial"/>
          <w:color w:val="808080" w:themeColor="background1" w:themeShade="80"/>
          <w:sz w:val="22"/>
          <w:szCs w:val="22"/>
          <w:lang w:val="en-GB"/>
        </w:rPr>
        <w:t>over and above the Insolvency-specific Laws</w:t>
      </w:r>
      <w:r>
        <w:rPr>
          <w:rFonts w:ascii="Avenir Next" w:hAnsi="Avenir Next" w:cs="Arial"/>
          <w:color w:val="808080" w:themeColor="background1" w:themeShade="80"/>
          <w:sz w:val="22"/>
          <w:szCs w:val="22"/>
          <w:lang w:val="en-GB"/>
        </w:rPr>
        <w:t>) – Insolvency laws are greatly influenced by other substantive laws of a country, such as laws relating to Taking of</w:t>
      </w:r>
      <w:r w:rsidRPr="001233B8">
        <w:rPr>
          <w:rFonts w:ascii="Avenir Next" w:hAnsi="Avenir Next" w:cs="Arial"/>
          <w:color w:val="808080" w:themeColor="background1" w:themeShade="80"/>
          <w:sz w:val="22"/>
          <w:szCs w:val="22"/>
          <w:lang w:val="en-GB"/>
        </w:rPr>
        <w:t xml:space="preserve"> Securities and means of Conveying Title</w:t>
      </w:r>
      <w:r w:rsidR="00262042">
        <w:rPr>
          <w:rFonts w:ascii="Avenir Next" w:hAnsi="Avenir Next" w:cs="Arial"/>
          <w:color w:val="808080" w:themeColor="background1" w:themeShade="80"/>
          <w:sz w:val="22"/>
          <w:szCs w:val="22"/>
          <w:lang w:val="en-GB"/>
        </w:rPr>
        <w:t>, as well as other provisions of protecting title and value available to creditors such as set-off and netting arrangements, retention of title etc</w:t>
      </w:r>
      <w:r w:rsidRPr="001233B8">
        <w:rPr>
          <w:rFonts w:ascii="Avenir Next" w:hAnsi="Avenir Next" w:cs="Arial"/>
          <w:color w:val="808080" w:themeColor="background1" w:themeShade="80"/>
          <w:sz w:val="22"/>
          <w:szCs w:val="22"/>
          <w:lang w:val="en-GB"/>
        </w:rPr>
        <w:t>. Material differences in Substantive Laws</w:t>
      </w:r>
      <w:r>
        <w:rPr>
          <w:rFonts w:ascii="Avenir Next" w:hAnsi="Avenir Next" w:cs="Arial"/>
          <w:color w:val="808080" w:themeColor="background1" w:themeShade="80"/>
          <w:sz w:val="22"/>
          <w:szCs w:val="22"/>
          <w:lang w:val="en-GB"/>
        </w:rPr>
        <w:t xml:space="preserve"> across jurisdictions pose a significant challenge to harmonization of cross-border insolvency dispensations since </w:t>
      </w:r>
      <w:r w:rsidR="009760FF">
        <w:rPr>
          <w:rFonts w:ascii="Avenir Next" w:hAnsi="Avenir Next" w:cs="Arial"/>
          <w:color w:val="808080" w:themeColor="background1" w:themeShade="80"/>
          <w:sz w:val="22"/>
          <w:szCs w:val="22"/>
          <w:lang w:val="en-GB"/>
        </w:rPr>
        <w:t xml:space="preserve">the cross-border insolvency dispensations would also be </w:t>
      </w:r>
      <w:r>
        <w:rPr>
          <w:rFonts w:ascii="Avenir Next" w:hAnsi="Avenir Next" w:cs="Arial"/>
          <w:color w:val="808080" w:themeColor="background1" w:themeShade="80"/>
          <w:sz w:val="22"/>
          <w:szCs w:val="22"/>
          <w:lang w:val="en-GB"/>
        </w:rPr>
        <w:t xml:space="preserve">dependent on and influenced by </w:t>
      </w:r>
      <w:r w:rsidR="009760FF">
        <w:rPr>
          <w:rFonts w:ascii="Avenir Next" w:hAnsi="Avenir Next" w:cs="Arial"/>
          <w:color w:val="808080" w:themeColor="background1" w:themeShade="80"/>
          <w:sz w:val="22"/>
          <w:szCs w:val="22"/>
          <w:lang w:val="en-GB"/>
        </w:rPr>
        <w:t>domestic</w:t>
      </w:r>
      <w:r>
        <w:rPr>
          <w:rFonts w:ascii="Avenir Next" w:hAnsi="Avenir Next" w:cs="Arial"/>
          <w:color w:val="808080" w:themeColor="background1" w:themeShade="80"/>
          <w:sz w:val="22"/>
          <w:szCs w:val="22"/>
          <w:lang w:val="en-GB"/>
        </w:rPr>
        <w:t xml:space="preserve"> Substantive Laws</w:t>
      </w:r>
      <w:r w:rsidRPr="001233B8">
        <w:rPr>
          <w:rFonts w:ascii="Avenir Next" w:hAnsi="Avenir Next" w:cs="Arial"/>
          <w:color w:val="808080" w:themeColor="background1" w:themeShade="80"/>
          <w:sz w:val="22"/>
          <w:szCs w:val="22"/>
          <w:lang w:val="en-GB"/>
        </w:rPr>
        <w:t>.</w:t>
      </w:r>
      <w:r w:rsidR="00262042">
        <w:rPr>
          <w:rFonts w:ascii="Avenir Next" w:hAnsi="Avenir Next" w:cs="Arial"/>
          <w:color w:val="808080" w:themeColor="background1" w:themeShade="80"/>
          <w:sz w:val="22"/>
          <w:szCs w:val="22"/>
          <w:lang w:val="en-GB"/>
        </w:rPr>
        <w:t xml:space="preserve"> More broadly, material differences across substantive and procedural law </w:t>
      </w:r>
      <w:r w:rsidR="00C935A9">
        <w:rPr>
          <w:rFonts w:ascii="Avenir Next" w:hAnsi="Avenir Next" w:cs="Arial"/>
          <w:color w:val="808080" w:themeColor="background1" w:themeShade="80"/>
          <w:sz w:val="22"/>
          <w:szCs w:val="22"/>
          <w:lang w:val="en-GB"/>
        </w:rPr>
        <w:t>aspects</w:t>
      </w:r>
      <w:r w:rsidR="00262042">
        <w:rPr>
          <w:rFonts w:ascii="Avenir Next" w:hAnsi="Avenir Next" w:cs="Arial"/>
          <w:color w:val="808080" w:themeColor="background1" w:themeShade="80"/>
          <w:sz w:val="22"/>
          <w:szCs w:val="22"/>
          <w:lang w:val="en-GB"/>
        </w:rPr>
        <w:t xml:space="preserve"> of civil and common law regimes pose a significant challenge to </w:t>
      </w:r>
      <w:r w:rsidR="009760FF">
        <w:rPr>
          <w:rFonts w:ascii="Avenir Next" w:hAnsi="Avenir Next" w:cs="Arial"/>
          <w:color w:val="808080" w:themeColor="background1" w:themeShade="80"/>
          <w:sz w:val="22"/>
          <w:szCs w:val="22"/>
          <w:lang w:val="en-GB"/>
        </w:rPr>
        <w:t>global</w:t>
      </w:r>
      <w:r w:rsidR="00262042">
        <w:rPr>
          <w:rFonts w:ascii="Avenir Next" w:hAnsi="Avenir Next" w:cs="Arial"/>
          <w:color w:val="808080" w:themeColor="background1" w:themeShade="80"/>
          <w:sz w:val="22"/>
          <w:szCs w:val="22"/>
          <w:lang w:val="en-GB"/>
        </w:rPr>
        <w:t xml:space="preserve"> harmonization;</w:t>
      </w:r>
    </w:p>
    <w:p w14:paraId="262F429A" w14:textId="1CE11B41" w:rsidR="00C952A2" w:rsidRDefault="001233B8" w:rsidP="00262042">
      <w:pPr>
        <w:pStyle w:val="ListParagraph"/>
        <w:numPr>
          <w:ilvl w:val="0"/>
          <w:numId w:val="37"/>
        </w:numPr>
        <w:spacing w:before="120" w:after="120"/>
        <w:contextualSpacing w:val="0"/>
        <w:jc w:val="both"/>
        <w:rPr>
          <w:rFonts w:ascii="Avenir Next" w:hAnsi="Avenir Next" w:cs="Arial"/>
          <w:color w:val="808080" w:themeColor="background1" w:themeShade="80"/>
          <w:sz w:val="22"/>
          <w:szCs w:val="22"/>
          <w:lang w:val="en-GB"/>
        </w:rPr>
      </w:pPr>
      <w:r w:rsidRPr="001233B8">
        <w:rPr>
          <w:rFonts w:ascii="Avenir Next" w:hAnsi="Avenir Next" w:cs="Arial"/>
          <w:color w:val="808080" w:themeColor="background1" w:themeShade="80"/>
          <w:sz w:val="22"/>
          <w:szCs w:val="22"/>
          <w:lang w:val="en-GB"/>
        </w:rPr>
        <w:t xml:space="preserve">Differences in other fiscal and socio-political policy considerations may also create difficulties in </w:t>
      </w:r>
      <w:r w:rsidR="00262042">
        <w:rPr>
          <w:rFonts w:ascii="Avenir Next" w:hAnsi="Avenir Next" w:cs="Arial"/>
          <w:color w:val="808080" w:themeColor="background1" w:themeShade="80"/>
          <w:sz w:val="22"/>
          <w:szCs w:val="22"/>
          <w:lang w:val="en-GB"/>
        </w:rPr>
        <w:t>attempts to create a single cross-border insolvency dispensation</w:t>
      </w:r>
      <w:r w:rsidRPr="001233B8">
        <w:rPr>
          <w:rFonts w:ascii="Avenir Next" w:hAnsi="Avenir Next" w:cs="Arial"/>
          <w:color w:val="808080" w:themeColor="background1" w:themeShade="80"/>
          <w:sz w:val="22"/>
          <w:szCs w:val="22"/>
          <w:lang w:val="en-GB"/>
        </w:rPr>
        <w:t xml:space="preserve">. For example, </w:t>
      </w:r>
      <w:r w:rsidR="00C935A9">
        <w:rPr>
          <w:rFonts w:ascii="Avenir Next" w:hAnsi="Avenir Next" w:cs="Arial"/>
          <w:color w:val="808080" w:themeColor="background1" w:themeShade="80"/>
          <w:sz w:val="22"/>
          <w:szCs w:val="22"/>
          <w:lang w:val="en-GB"/>
        </w:rPr>
        <w:t>some governments will take a protectionist stance (i.e.,</w:t>
      </w:r>
      <w:r w:rsidRPr="001233B8">
        <w:rPr>
          <w:rFonts w:ascii="Avenir Next" w:hAnsi="Avenir Next" w:cs="Arial"/>
          <w:color w:val="808080" w:themeColor="background1" w:themeShade="80"/>
          <w:sz w:val="22"/>
          <w:szCs w:val="22"/>
          <w:lang w:val="en-GB"/>
        </w:rPr>
        <w:t xml:space="preserve"> choose to protect local creditors at the expense of foreign creditors/stakeholders</w:t>
      </w:r>
      <w:r w:rsidR="00C935A9">
        <w:rPr>
          <w:rFonts w:ascii="Avenir Next" w:hAnsi="Avenir Next" w:cs="Arial"/>
          <w:color w:val="808080" w:themeColor="background1" w:themeShade="80"/>
          <w:sz w:val="22"/>
          <w:szCs w:val="22"/>
          <w:lang w:val="en-GB"/>
        </w:rPr>
        <w:t>)</w:t>
      </w:r>
      <w:r w:rsidRPr="001233B8">
        <w:rPr>
          <w:rFonts w:ascii="Avenir Next" w:hAnsi="Avenir Next" w:cs="Arial"/>
          <w:color w:val="808080" w:themeColor="background1" w:themeShade="80"/>
          <w:sz w:val="22"/>
          <w:szCs w:val="22"/>
          <w:lang w:val="en-GB"/>
        </w:rPr>
        <w:t xml:space="preserve"> for political capital. This is also true for differences in other socio-economic policies</w:t>
      </w:r>
      <w:r w:rsidR="00C935A9">
        <w:rPr>
          <w:rFonts w:ascii="Avenir Next" w:hAnsi="Avenir Next" w:cs="Arial"/>
          <w:color w:val="808080" w:themeColor="background1" w:themeShade="80"/>
          <w:sz w:val="22"/>
          <w:szCs w:val="22"/>
          <w:lang w:val="en-GB"/>
        </w:rPr>
        <w:t xml:space="preserve"> across states,</w:t>
      </w:r>
      <w:r w:rsidRPr="001233B8">
        <w:rPr>
          <w:rFonts w:ascii="Avenir Next" w:hAnsi="Avenir Next" w:cs="Arial"/>
          <w:color w:val="808080" w:themeColor="background1" w:themeShade="80"/>
          <w:sz w:val="22"/>
          <w:szCs w:val="22"/>
          <w:lang w:val="en-GB"/>
        </w:rPr>
        <w:t xml:space="preserve"> e.g., protectionist approach to labour rights</w:t>
      </w:r>
      <w:r w:rsidR="000E5AFD">
        <w:rPr>
          <w:rFonts w:ascii="Avenir Next" w:hAnsi="Avenir Next" w:cs="Arial"/>
          <w:color w:val="808080" w:themeColor="background1" w:themeShade="80"/>
          <w:sz w:val="22"/>
          <w:szCs w:val="22"/>
          <w:lang w:val="en-GB"/>
        </w:rPr>
        <w:t xml:space="preserve"> and varying priority/preferential claims in insolvencies</w:t>
      </w:r>
      <w:r w:rsidRPr="001233B8">
        <w:rPr>
          <w:rFonts w:ascii="Avenir Next" w:hAnsi="Avenir Next" w:cs="Arial"/>
          <w:color w:val="808080" w:themeColor="background1" w:themeShade="80"/>
          <w:sz w:val="22"/>
          <w:szCs w:val="22"/>
          <w:lang w:val="en-GB"/>
        </w:rPr>
        <w:t xml:space="preserve"> etc.</w:t>
      </w:r>
      <w:r w:rsidR="00262042">
        <w:rPr>
          <w:rFonts w:ascii="Avenir Next" w:hAnsi="Avenir Next" w:cs="Arial"/>
          <w:color w:val="808080" w:themeColor="background1" w:themeShade="80"/>
          <w:sz w:val="22"/>
          <w:szCs w:val="22"/>
          <w:lang w:val="en-GB"/>
        </w:rPr>
        <w:t xml:space="preserve"> To the extent different state</w:t>
      </w:r>
      <w:r w:rsidR="00C935A9">
        <w:rPr>
          <w:rFonts w:ascii="Avenir Next" w:hAnsi="Avenir Next" w:cs="Arial"/>
          <w:color w:val="808080" w:themeColor="background1" w:themeShade="80"/>
          <w:sz w:val="22"/>
          <w:szCs w:val="22"/>
          <w:lang w:val="en-GB"/>
        </w:rPr>
        <w:t>s</w:t>
      </w:r>
      <w:r w:rsidR="00262042">
        <w:rPr>
          <w:rFonts w:ascii="Avenir Next" w:hAnsi="Avenir Next" w:cs="Arial"/>
          <w:color w:val="808080" w:themeColor="background1" w:themeShade="80"/>
          <w:sz w:val="22"/>
          <w:szCs w:val="22"/>
          <w:lang w:val="en-GB"/>
        </w:rPr>
        <w:t xml:space="preserve"> have different socio-political priorities, harmonization of cross-border insolvency laws will remain challenged</w:t>
      </w:r>
      <w:r w:rsidR="009760FF">
        <w:rPr>
          <w:rFonts w:ascii="Avenir Next" w:hAnsi="Avenir Next" w:cs="Arial"/>
          <w:color w:val="808080" w:themeColor="background1" w:themeShade="80"/>
          <w:sz w:val="22"/>
          <w:szCs w:val="22"/>
          <w:lang w:val="en-GB"/>
        </w:rPr>
        <w:t>; and</w:t>
      </w:r>
    </w:p>
    <w:p w14:paraId="5BFB7D7F" w14:textId="0A05A901" w:rsidR="009760FF" w:rsidRDefault="009760FF" w:rsidP="00262042">
      <w:pPr>
        <w:pStyle w:val="ListParagraph"/>
        <w:numPr>
          <w:ilvl w:val="0"/>
          <w:numId w:val="37"/>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Difficulty in identifying or agreeing on Centres of Main Interest for businesses</w:t>
      </w:r>
      <w:r w:rsidR="000E5AFD">
        <w:rPr>
          <w:rFonts w:ascii="Avenir Next" w:hAnsi="Avenir Next" w:cs="Arial"/>
          <w:color w:val="808080" w:themeColor="background1" w:themeShade="80"/>
          <w:sz w:val="22"/>
          <w:szCs w:val="22"/>
          <w:lang w:val="en-GB"/>
        </w:rPr>
        <w:t>. This challenge is</w:t>
      </w:r>
      <w:r>
        <w:rPr>
          <w:rFonts w:ascii="Avenir Next" w:hAnsi="Avenir Next" w:cs="Arial"/>
          <w:color w:val="808080" w:themeColor="background1" w:themeShade="80"/>
          <w:sz w:val="22"/>
          <w:szCs w:val="22"/>
          <w:lang w:val="en-GB"/>
        </w:rPr>
        <w:t>, particularly,</w:t>
      </w:r>
      <w:r w:rsidR="000E5AFD">
        <w:rPr>
          <w:rFonts w:ascii="Avenir Next" w:hAnsi="Avenir Next" w:cs="Arial"/>
          <w:color w:val="808080" w:themeColor="background1" w:themeShade="80"/>
          <w:sz w:val="22"/>
          <w:szCs w:val="22"/>
          <w:lang w:val="en-GB"/>
        </w:rPr>
        <w:t xml:space="preserve"> amplified</w:t>
      </w:r>
      <w:r>
        <w:rPr>
          <w:rFonts w:ascii="Avenir Next" w:hAnsi="Avenir Next" w:cs="Arial"/>
          <w:color w:val="808080" w:themeColor="background1" w:themeShade="80"/>
          <w:sz w:val="22"/>
          <w:szCs w:val="22"/>
          <w:lang w:val="en-GB"/>
        </w:rPr>
        <w:t xml:space="preserve"> in the case of group corporations. States have different views on relevant doctrines such as Doctrines of Domicile and Nationality. Creating harmonized dispensation for cross-border insolvency will remain challenged to the extent divergence exists in relation to core principles such as identification of the debtor’s COMI</w:t>
      </w:r>
      <w:r w:rsidR="000E5AFD">
        <w:rPr>
          <w:rFonts w:ascii="Avenir Next" w:hAnsi="Avenir Next" w:cs="Arial"/>
          <w:color w:val="808080" w:themeColor="background1" w:themeShade="80"/>
          <w:sz w:val="22"/>
          <w:szCs w:val="22"/>
          <w:lang w:val="en-GB"/>
        </w:rPr>
        <w:t xml:space="preserve">, and concern about inherent risks of the COMI </w:t>
      </w:r>
      <w:r w:rsidR="009107DF">
        <w:rPr>
          <w:rFonts w:ascii="Avenir Next" w:hAnsi="Avenir Next" w:cs="Arial"/>
          <w:color w:val="808080" w:themeColor="background1" w:themeShade="80"/>
          <w:sz w:val="22"/>
          <w:szCs w:val="22"/>
          <w:lang w:val="en-GB"/>
        </w:rPr>
        <w:t>principle</w:t>
      </w:r>
      <w:r w:rsidR="000E5AFD">
        <w:rPr>
          <w:rFonts w:ascii="Avenir Next" w:hAnsi="Avenir Next" w:cs="Arial"/>
          <w:color w:val="808080" w:themeColor="background1" w:themeShade="80"/>
          <w:sz w:val="22"/>
          <w:szCs w:val="22"/>
          <w:lang w:val="en-GB"/>
        </w:rPr>
        <w:t>, such as forum shopping, persist.</w:t>
      </w: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6514F34" w:rsidR="006A44B2" w:rsidRDefault="00F70655" w:rsidP="00F706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9760F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H</w:t>
      </w:r>
      <w:r w:rsidR="009760FF">
        <w:rPr>
          <w:rFonts w:ascii="Avenir Next" w:hAnsi="Avenir Next" w:cs="Arial"/>
          <w:color w:val="808080" w:themeColor="background1" w:themeShade="80"/>
          <w:sz w:val="22"/>
          <w:szCs w:val="22"/>
          <w:lang w:val="en-GB"/>
        </w:rPr>
        <w:t>ard Law</w:t>
      </w:r>
      <w:r>
        <w:rPr>
          <w:rFonts w:ascii="Avenir Next" w:hAnsi="Avenir Next" w:cs="Arial"/>
          <w:color w:val="808080" w:themeColor="background1" w:themeShade="80"/>
          <w:sz w:val="22"/>
          <w:szCs w:val="22"/>
          <w:lang w:val="en-GB"/>
        </w:rPr>
        <w:t>” refers to binding laws which impose legal obligations that are capable of being enforced before a court of law. (</w:t>
      </w:r>
      <w:hyperlink r:id="rId13" w:history="1">
        <w:r w:rsidRPr="0083616D">
          <w:rPr>
            <w:rStyle w:val="Hyperlink"/>
            <w:rFonts w:ascii="Avenir Next" w:hAnsi="Avenir Next" w:cs="Arial"/>
            <w:sz w:val="22"/>
            <w:szCs w:val="22"/>
            <w:lang w:val="en-GB"/>
          </w:rPr>
          <w:t>https://www.ecchr.eu/en/glossary/hard-law-soft-law/</w:t>
        </w:r>
      </w:hyperlink>
      <w:r>
        <w:rPr>
          <w:rFonts w:ascii="Avenir Next" w:hAnsi="Avenir Next" w:cs="Arial"/>
          <w:color w:val="808080" w:themeColor="background1" w:themeShade="80"/>
          <w:sz w:val="22"/>
          <w:szCs w:val="22"/>
          <w:lang w:val="en-GB"/>
        </w:rPr>
        <w:t xml:space="preserve">, 13 November 2023, 14.45PM). In the context of international insolvency, “Hard Law” refers to treaties and conventions, touching on the administration of cross-border insolvencies, which states become parties/signatories to, giving them legal effect under their own domestic laws. Examples of “Hard Laws” relating to international insolvencies include the Montevideo Treaties and the Bustamante </w:t>
      </w:r>
      <w:r>
        <w:rPr>
          <w:rFonts w:ascii="Avenir Next" w:hAnsi="Avenir Next" w:cs="Arial"/>
          <w:color w:val="808080" w:themeColor="background1" w:themeShade="80"/>
          <w:sz w:val="22"/>
          <w:szCs w:val="22"/>
          <w:lang w:val="en-GB"/>
        </w:rPr>
        <w:lastRenderedPageBreak/>
        <w:t>Code (Latin America), the EIR Recast 2015 (Europe) and the Nordic Convention of 1933</w:t>
      </w:r>
      <w:r w:rsidR="0099328D">
        <w:rPr>
          <w:rFonts w:ascii="Avenir Next" w:hAnsi="Avenir Next" w:cs="Arial"/>
          <w:color w:val="808080" w:themeColor="background1" w:themeShade="80"/>
          <w:sz w:val="22"/>
          <w:szCs w:val="22"/>
          <w:lang w:val="en-GB"/>
        </w:rPr>
        <w:t xml:space="preserve"> (Scandinavian countries). “Hard Laws” on International Insolvency have been hard to agree on. However, where states have managed to find common ground and enter into such multilateral agreements, the agreements have promoted the efficient and effective management of cross-border insolvencies relating to the states that are party to the same agreements.</w:t>
      </w:r>
      <w:r w:rsidR="00687A92">
        <w:rPr>
          <w:rFonts w:ascii="Avenir Next" w:hAnsi="Avenir Next" w:cs="Arial"/>
          <w:color w:val="808080" w:themeColor="background1" w:themeShade="80"/>
          <w:sz w:val="22"/>
          <w:szCs w:val="22"/>
          <w:lang w:val="en-GB"/>
        </w:rPr>
        <w:t xml:space="preserve"> The successful</w:t>
      </w:r>
      <w:r w:rsidR="00F83D86">
        <w:rPr>
          <w:rFonts w:ascii="Avenir Next" w:hAnsi="Avenir Next" w:cs="Arial"/>
          <w:color w:val="808080" w:themeColor="background1" w:themeShade="80"/>
          <w:sz w:val="22"/>
          <w:szCs w:val="22"/>
          <w:lang w:val="en-GB"/>
        </w:rPr>
        <w:t xml:space="preserve"> adoption and</w:t>
      </w:r>
      <w:r w:rsidR="00687A92">
        <w:rPr>
          <w:rFonts w:ascii="Avenir Next" w:hAnsi="Avenir Next" w:cs="Arial"/>
          <w:color w:val="808080" w:themeColor="background1" w:themeShade="80"/>
          <w:sz w:val="22"/>
          <w:szCs w:val="22"/>
          <w:lang w:val="en-GB"/>
        </w:rPr>
        <w:t xml:space="preserve"> implementation of “Hard Laws” has, however, been restricted to regional blocks, with little to no global influence.</w:t>
      </w:r>
    </w:p>
    <w:p w14:paraId="725138B5" w14:textId="30F96753" w:rsidR="0099328D" w:rsidRDefault="0099328D" w:rsidP="00F70655">
      <w:pPr>
        <w:jc w:val="both"/>
        <w:rPr>
          <w:rFonts w:ascii="Avenir Next" w:hAnsi="Avenir Next" w:cs="Arial"/>
          <w:color w:val="808080" w:themeColor="background1" w:themeShade="80"/>
          <w:sz w:val="22"/>
          <w:szCs w:val="22"/>
          <w:lang w:val="en-GB"/>
        </w:rPr>
      </w:pPr>
    </w:p>
    <w:p w14:paraId="6AFDA075" w14:textId="3F6F93B0" w:rsidR="0099328D" w:rsidRPr="00DA42DA" w:rsidRDefault="0099328D" w:rsidP="00B327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“Soft Law” generally refers to agreements, principles or declarations that are not legally binding(</w:t>
      </w:r>
      <w:hyperlink r:id="rId14" w:history="1">
        <w:r w:rsidRPr="0083616D">
          <w:rPr>
            <w:rStyle w:val="Hyperlink"/>
            <w:rFonts w:ascii="Avenir Next" w:hAnsi="Avenir Next" w:cs="Arial"/>
            <w:sz w:val="22"/>
            <w:szCs w:val="22"/>
            <w:lang w:val="en-GB"/>
          </w:rPr>
          <w:t>https://www.ecchr.eu/en/glossary/hard-law-soft-law/</w:t>
        </w:r>
      </w:hyperlink>
      <w:r>
        <w:rPr>
          <w:rFonts w:ascii="Avenir Next" w:hAnsi="Avenir Next" w:cs="Arial"/>
          <w:color w:val="808080" w:themeColor="background1" w:themeShade="80"/>
          <w:sz w:val="22"/>
          <w:szCs w:val="22"/>
          <w:lang w:val="en-GB"/>
        </w:rPr>
        <w:t>,</w:t>
      </w:r>
      <w:r w:rsidR="00687A9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13 November 2023, 14.45PM). In the context of international insolvency, “Soft Law” refers to </w:t>
      </w:r>
      <w:r w:rsidR="007566A7">
        <w:rPr>
          <w:rFonts w:ascii="Avenir Next" w:hAnsi="Avenir Next" w:cs="Arial"/>
          <w:color w:val="808080" w:themeColor="background1" w:themeShade="80"/>
          <w:sz w:val="22"/>
          <w:szCs w:val="22"/>
          <w:lang w:val="en-GB"/>
        </w:rPr>
        <w:t xml:space="preserve">instruments on international insolvency law developed by multilateral bodies with a view to promoting greater efficiency in resolution of international insolvency matters by promoting approaches such as harmonization of domestic insolvency laws, uniform choice of law principles, uniform recognition laws and co-operation and coordination in recognition and enforcement. Examples of “Soft Law” on international Insolvency include the </w:t>
      </w:r>
      <w:r w:rsidR="007566A7" w:rsidRPr="007566A7">
        <w:rPr>
          <w:rFonts w:ascii="Avenir Next" w:hAnsi="Avenir Next" w:cs="Arial"/>
          <w:color w:val="808080" w:themeColor="background1" w:themeShade="80"/>
          <w:sz w:val="22"/>
          <w:szCs w:val="22"/>
          <w:lang w:val="en-GB"/>
        </w:rPr>
        <w:t xml:space="preserve">UNCITRAL </w:t>
      </w:r>
      <w:r w:rsidR="00B327FA" w:rsidRPr="00B327FA">
        <w:rPr>
          <w:rFonts w:ascii="Avenir Next" w:hAnsi="Avenir Next" w:cs="Arial"/>
          <w:color w:val="808080" w:themeColor="background1" w:themeShade="80"/>
          <w:sz w:val="22"/>
          <w:szCs w:val="22"/>
          <w:lang w:val="en-GB"/>
        </w:rPr>
        <w:t>Model Law on Cross-border Insolvency (</w:t>
      </w:r>
      <w:r w:rsidR="00B327FA">
        <w:rPr>
          <w:rFonts w:ascii="Avenir Next" w:hAnsi="Avenir Next" w:cs="Arial"/>
          <w:color w:val="808080" w:themeColor="background1" w:themeShade="80"/>
          <w:sz w:val="22"/>
          <w:szCs w:val="22"/>
          <w:lang w:val="en-GB"/>
        </w:rPr>
        <w:t xml:space="preserve">1997) </w:t>
      </w:r>
      <w:r w:rsidR="007566A7">
        <w:rPr>
          <w:rFonts w:ascii="Avenir Next" w:hAnsi="Avenir Next" w:cs="Arial"/>
          <w:color w:val="808080" w:themeColor="background1" w:themeShade="80"/>
          <w:sz w:val="22"/>
          <w:szCs w:val="22"/>
          <w:lang w:val="en-GB"/>
        </w:rPr>
        <w:t xml:space="preserve">and the </w:t>
      </w:r>
      <w:r w:rsidR="00B327FA" w:rsidRPr="00B327FA">
        <w:rPr>
          <w:rFonts w:ascii="Avenir Next" w:hAnsi="Avenir Next" w:cs="Arial"/>
          <w:color w:val="808080" w:themeColor="background1" w:themeShade="80"/>
          <w:sz w:val="22"/>
          <w:szCs w:val="22"/>
          <w:lang w:val="en-GB"/>
        </w:rPr>
        <w:t>ALI</w:t>
      </w:r>
      <w:r w:rsidR="00B327FA">
        <w:rPr>
          <w:rFonts w:ascii="Avenir Next" w:hAnsi="Avenir Next" w:cs="Arial"/>
          <w:color w:val="808080" w:themeColor="background1" w:themeShade="80"/>
          <w:sz w:val="22"/>
          <w:szCs w:val="22"/>
          <w:lang w:val="en-GB"/>
        </w:rPr>
        <w:t>-</w:t>
      </w:r>
      <w:r w:rsidR="00B327FA" w:rsidRPr="00B327FA">
        <w:rPr>
          <w:rFonts w:ascii="Avenir Next" w:hAnsi="Avenir Next" w:cs="Arial"/>
          <w:color w:val="808080" w:themeColor="background1" w:themeShade="80"/>
          <w:sz w:val="22"/>
          <w:szCs w:val="22"/>
          <w:lang w:val="en-GB"/>
        </w:rPr>
        <w:t>NAFTA Guidelines Applicable to Court-to-Court Communications in Cross</w:t>
      </w:r>
      <w:r w:rsidR="00B327FA">
        <w:rPr>
          <w:rFonts w:ascii="Avenir Next" w:hAnsi="Avenir Next" w:cs="Arial"/>
          <w:color w:val="808080" w:themeColor="background1" w:themeShade="80"/>
          <w:sz w:val="22"/>
          <w:szCs w:val="22"/>
          <w:lang w:val="en-GB"/>
        </w:rPr>
        <w:t xml:space="preserve"> </w:t>
      </w:r>
      <w:r w:rsidR="00B327FA" w:rsidRPr="00B327FA">
        <w:rPr>
          <w:rFonts w:ascii="Avenir Next" w:hAnsi="Avenir Next" w:cs="Arial"/>
          <w:color w:val="808080" w:themeColor="background1" w:themeShade="80"/>
          <w:sz w:val="22"/>
          <w:szCs w:val="22"/>
          <w:lang w:val="en-GB"/>
        </w:rPr>
        <w:t>Border Cases</w:t>
      </w:r>
      <w:r w:rsidR="00B327FA">
        <w:rPr>
          <w:rFonts w:ascii="Avenir Next" w:hAnsi="Avenir Next" w:cs="Arial"/>
          <w:color w:val="808080" w:themeColor="background1" w:themeShade="80"/>
          <w:sz w:val="22"/>
          <w:szCs w:val="22"/>
          <w:lang w:val="en-GB"/>
        </w:rPr>
        <w:t xml:space="preserve"> </w:t>
      </w:r>
      <w:r w:rsidR="00B327FA" w:rsidRPr="00B327FA">
        <w:rPr>
          <w:rFonts w:ascii="Avenir Next" w:hAnsi="Avenir Next" w:cs="Arial"/>
          <w:color w:val="808080" w:themeColor="background1" w:themeShade="80"/>
          <w:sz w:val="22"/>
          <w:szCs w:val="22"/>
          <w:lang w:val="en-GB"/>
        </w:rPr>
        <w:t>(2000)</w:t>
      </w:r>
      <w:r w:rsidR="007566A7">
        <w:rPr>
          <w:rFonts w:ascii="Avenir Next" w:hAnsi="Avenir Next" w:cs="Arial"/>
          <w:color w:val="808080" w:themeColor="background1" w:themeShade="80"/>
          <w:sz w:val="22"/>
          <w:szCs w:val="22"/>
          <w:lang w:val="en-GB"/>
        </w:rPr>
        <w:t>. “Soft Laws” have had greater success in promoting resolution of issues that arise in the context of international insolvencies because some of the “Soft Laws”</w:t>
      </w:r>
      <w:r w:rsidR="00B327FA">
        <w:rPr>
          <w:rFonts w:ascii="Avenir Next" w:hAnsi="Avenir Next" w:cs="Arial"/>
          <w:color w:val="808080" w:themeColor="background1" w:themeShade="80"/>
          <w:sz w:val="22"/>
          <w:szCs w:val="22"/>
          <w:lang w:val="en-GB"/>
        </w:rPr>
        <w:t xml:space="preserve">, such as the </w:t>
      </w:r>
      <w:r w:rsidR="00B327FA" w:rsidRPr="007566A7">
        <w:rPr>
          <w:rFonts w:ascii="Avenir Next" w:hAnsi="Avenir Next" w:cs="Arial"/>
          <w:color w:val="808080" w:themeColor="background1" w:themeShade="80"/>
          <w:sz w:val="22"/>
          <w:szCs w:val="22"/>
          <w:lang w:val="en-GB"/>
        </w:rPr>
        <w:t xml:space="preserve">UNCITRAL </w:t>
      </w:r>
      <w:r w:rsidR="00B327FA" w:rsidRPr="00B327FA">
        <w:rPr>
          <w:rFonts w:ascii="Avenir Next" w:hAnsi="Avenir Next" w:cs="Arial"/>
          <w:color w:val="808080" w:themeColor="background1" w:themeShade="80"/>
          <w:sz w:val="22"/>
          <w:szCs w:val="22"/>
          <w:lang w:val="en-GB"/>
        </w:rPr>
        <w:t>Model Law on Cross-border Insolvency</w:t>
      </w:r>
      <w:r w:rsidR="00B327FA">
        <w:rPr>
          <w:rFonts w:ascii="Avenir Next" w:hAnsi="Avenir Next" w:cs="Arial"/>
          <w:color w:val="808080" w:themeColor="background1" w:themeShade="80"/>
          <w:sz w:val="22"/>
          <w:szCs w:val="22"/>
          <w:lang w:val="en-GB"/>
        </w:rPr>
        <w:t xml:space="preserve">, </w:t>
      </w:r>
      <w:r w:rsidR="007566A7">
        <w:rPr>
          <w:rFonts w:ascii="Avenir Next" w:hAnsi="Avenir Next" w:cs="Arial"/>
          <w:color w:val="808080" w:themeColor="background1" w:themeShade="80"/>
          <w:sz w:val="22"/>
          <w:szCs w:val="22"/>
          <w:lang w:val="en-GB"/>
        </w:rPr>
        <w:t xml:space="preserve">have been </w:t>
      </w:r>
      <w:r w:rsidR="00B327FA">
        <w:rPr>
          <w:rFonts w:ascii="Avenir Next" w:hAnsi="Avenir Next" w:cs="Arial"/>
          <w:color w:val="808080" w:themeColor="background1" w:themeShade="80"/>
          <w:sz w:val="22"/>
          <w:szCs w:val="22"/>
          <w:lang w:val="en-GB"/>
        </w:rPr>
        <w:t>adopted quite widely across the globe going beyond the regional borders that most “Hard Laws” have. With more and more countries adopting similar</w:t>
      </w:r>
      <w:r w:rsidR="00F83D86">
        <w:rPr>
          <w:rFonts w:ascii="Avenir Next" w:hAnsi="Avenir Next" w:cs="Arial"/>
          <w:color w:val="808080" w:themeColor="background1" w:themeShade="80"/>
          <w:sz w:val="22"/>
          <w:szCs w:val="22"/>
          <w:lang w:val="en-GB"/>
        </w:rPr>
        <w:t xml:space="preserve"> (model)</w:t>
      </w:r>
      <w:r w:rsidR="00B327FA">
        <w:rPr>
          <w:rFonts w:ascii="Avenir Next" w:hAnsi="Avenir Next" w:cs="Arial"/>
          <w:color w:val="808080" w:themeColor="background1" w:themeShade="80"/>
          <w:sz w:val="22"/>
          <w:szCs w:val="22"/>
          <w:lang w:val="en-GB"/>
        </w:rPr>
        <w:t xml:space="preserve"> laws in relation to cross-border insolvencies, there is increasing certainty on the conduct of cross-border insolvencies and the resolution of issues that arise.</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22BBC7B6" w14:textId="77777777" w:rsidR="00AB63F9" w:rsidRDefault="001B1E15"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Bankruptcy Trustee should consider applying to the UK Courts for recognition under Article 9</w:t>
      </w:r>
      <w:r w:rsidR="00AB63F9">
        <w:rPr>
          <w:rFonts w:ascii="Avenir Next" w:hAnsi="Avenir Next" w:cs="Arial"/>
          <w:color w:val="808080" w:themeColor="background1" w:themeShade="80"/>
          <w:sz w:val="22"/>
          <w:szCs w:val="22"/>
          <w:lang w:val="en-GB"/>
        </w:rPr>
        <w:t xml:space="preserve"> (</w:t>
      </w:r>
      <w:r w:rsidR="00AB63F9" w:rsidRPr="00AB63F9">
        <w:rPr>
          <w:rFonts w:ascii="Avenir Next" w:hAnsi="Avenir Next" w:cs="Arial"/>
          <w:color w:val="808080" w:themeColor="background1" w:themeShade="80"/>
          <w:sz w:val="22"/>
          <w:szCs w:val="22"/>
          <w:lang w:val="en-GB"/>
        </w:rPr>
        <w:t>Right of direct access</w:t>
      </w:r>
      <w:r w:rsidR="00AB63F9">
        <w:rPr>
          <w:rFonts w:ascii="Avenir Next" w:hAnsi="Avenir Next" w:cs="Arial"/>
          <w:color w:val="808080" w:themeColor="background1" w:themeShade="80"/>
          <w:sz w:val="22"/>
          <w:szCs w:val="22"/>
          <w:lang w:val="en-GB"/>
        </w:rPr>
        <w:t xml:space="preserve">) and </w:t>
      </w:r>
      <w:r w:rsidR="00AB63F9" w:rsidRPr="00AB63F9">
        <w:rPr>
          <w:rFonts w:ascii="Avenir Next" w:hAnsi="Avenir Next" w:cs="Arial"/>
          <w:color w:val="808080" w:themeColor="background1" w:themeShade="80"/>
          <w:sz w:val="22"/>
          <w:szCs w:val="22"/>
          <w:lang w:val="en-GB"/>
        </w:rPr>
        <w:t xml:space="preserve">Article 15 </w:t>
      </w:r>
      <w:r w:rsidR="00AB63F9">
        <w:rPr>
          <w:rFonts w:ascii="Avenir Next" w:hAnsi="Avenir Next" w:cs="Arial"/>
          <w:color w:val="808080" w:themeColor="background1" w:themeShade="80"/>
          <w:sz w:val="22"/>
          <w:szCs w:val="22"/>
          <w:lang w:val="en-GB"/>
        </w:rPr>
        <w:t>(</w:t>
      </w:r>
      <w:r w:rsidR="00AB63F9" w:rsidRPr="00AB63F9">
        <w:rPr>
          <w:rFonts w:ascii="Avenir Next" w:hAnsi="Avenir Next" w:cs="Arial"/>
          <w:color w:val="808080" w:themeColor="background1" w:themeShade="80"/>
          <w:sz w:val="22"/>
          <w:szCs w:val="22"/>
          <w:lang w:val="en-GB"/>
        </w:rPr>
        <w:t>Application for recognition of a foreign proceeding</w:t>
      </w:r>
      <w:r w:rsidR="00AB63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of Schedule 1 (</w:t>
      </w:r>
      <w:r w:rsidRPr="001B1E15">
        <w:rPr>
          <w:rFonts w:ascii="Avenir Next" w:hAnsi="Avenir Next" w:cs="Arial"/>
          <w:color w:val="808080" w:themeColor="background1" w:themeShade="80"/>
          <w:sz w:val="22"/>
          <w:szCs w:val="22"/>
          <w:lang w:val="en-GB"/>
        </w:rPr>
        <w:t>U</w:t>
      </w:r>
      <w:r w:rsidR="00AB63F9">
        <w:rPr>
          <w:rFonts w:ascii="Avenir Next" w:hAnsi="Avenir Next" w:cs="Arial"/>
          <w:color w:val="808080" w:themeColor="background1" w:themeShade="80"/>
          <w:sz w:val="22"/>
          <w:szCs w:val="22"/>
          <w:lang w:val="en-GB"/>
        </w:rPr>
        <w:t>NCITRAL</w:t>
      </w:r>
      <w:r w:rsidRPr="001B1E15">
        <w:rPr>
          <w:rFonts w:ascii="Avenir Next" w:hAnsi="Avenir Next" w:cs="Arial"/>
          <w:color w:val="808080" w:themeColor="background1" w:themeShade="80"/>
          <w:sz w:val="22"/>
          <w:szCs w:val="22"/>
          <w:lang w:val="en-GB"/>
        </w:rPr>
        <w:t xml:space="preserve"> Model Law On Cross-Border Insolvency</w:t>
      </w:r>
      <w:r>
        <w:rPr>
          <w:rFonts w:ascii="Avenir Next" w:hAnsi="Avenir Next" w:cs="Arial"/>
          <w:color w:val="808080" w:themeColor="background1" w:themeShade="80"/>
          <w:sz w:val="22"/>
          <w:szCs w:val="22"/>
          <w:lang w:val="en-GB"/>
        </w:rPr>
        <w:t xml:space="preserve">) of </w:t>
      </w:r>
      <w:r w:rsidRPr="001B1E15">
        <w:rPr>
          <w:rFonts w:ascii="Avenir Next" w:hAnsi="Avenir Next" w:cs="Arial"/>
          <w:color w:val="808080" w:themeColor="background1" w:themeShade="80"/>
          <w:sz w:val="22"/>
          <w:szCs w:val="22"/>
          <w:lang w:val="en-GB"/>
        </w:rPr>
        <w:t xml:space="preserve">The Cross-Border Insolvency Regulations </w:t>
      </w:r>
      <w:r>
        <w:rPr>
          <w:rFonts w:ascii="Avenir Next" w:hAnsi="Avenir Next" w:cs="Arial"/>
          <w:color w:val="808080" w:themeColor="background1" w:themeShade="80"/>
          <w:sz w:val="22"/>
          <w:szCs w:val="22"/>
          <w:lang w:val="en-GB"/>
        </w:rPr>
        <w:t>(</w:t>
      </w:r>
      <w:r w:rsidRPr="001B1E15">
        <w:rPr>
          <w:rFonts w:ascii="Avenir Next" w:hAnsi="Avenir Next" w:cs="Arial"/>
          <w:color w:val="808080" w:themeColor="background1" w:themeShade="80"/>
          <w:sz w:val="22"/>
          <w:szCs w:val="22"/>
          <w:lang w:val="en-GB"/>
        </w:rPr>
        <w:t>2006</w:t>
      </w:r>
      <w:r>
        <w:rPr>
          <w:rFonts w:ascii="Avenir Next" w:hAnsi="Avenir Next" w:cs="Arial"/>
          <w:color w:val="808080" w:themeColor="background1" w:themeShade="80"/>
          <w:sz w:val="22"/>
          <w:szCs w:val="22"/>
          <w:lang w:val="en-GB"/>
        </w:rPr>
        <w:t>) (</w:t>
      </w:r>
      <w:hyperlink r:id="rId15" w:history="1">
        <w:r w:rsidRPr="0083616D">
          <w:rPr>
            <w:rStyle w:val="Hyperlink"/>
            <w:rFonts w:ascii="Avenir Next" w:hAnsi="Avenir Next" w:cs="Arial"/>
            <w:sz w:val="22"/>
            <w:szCs w:val="22"/>
            <w:lang w:val="en-GB"/>
          </w:rPr>
          <w:t>https://www.legislation.gov.uk/uksi/2006/1030/schedule/1/</w:t>
        </w:r>
      </w:hyperlink>
      <w:r>
        <w:rPr>
          <w:rFonts w:ascii="Avenir Next" w:hAnsi="Avenir Next" w:cs="Arial"/>
          <w:color w:val="808080" w:themeColor="background1" w:themeShade="80"/>
          <w:sz w:val="22"/>
          <w:szCs w:val="22"/>
          <w:lang w:val="en-GB"/>
        </w:rPr>
        <w:t xml:space="preserve">, 13 November 2023, </w:t>
      </w:r>
      <w:r w:rsidR="00AB63F9">
        <w:rPr>
          <w:rFonts w:ascii="Avenir Next" w:hAnsi="Avenir Next" w:cs="Arial"/>
          <w:color w:val="808080" w:themeColor="background1" w:themeShade="80"/>
          <w:sz w:val="22"/>
          <w:szCs w:val="22"/>
          <w:lang w:val="en-GB"/>
        </w:rPr>
        <w:t>22:02PM EAT) which allow a foreign representative to apply directly to a court in the UK (Article 9) and more specifically, to apply for recognition of foreign proceedings (Article 15).</w:t>
      </w:r>
    </w:p>
    <w:p w14:paraId="4AE4AB44" w14:textId="77777777" w:rsidR="00AB63F9" w:rsidRDefault="00AB63F9" w:rsidP="00DB5A5A">
      <w:pPr>
        <w:jc w:val="both"/>
        <w:rPr>
          <w:rFonts w:ascii="Avenir Next" w:hAnsi="Avenir Next" w:cs="Arial"/>
          <w:color w:val="808080" w:themeColor="background1" w:themeShade="80"/>
          <w:sz w:val="22"/>
          <w:szCs w:val="22"/>
          <w:lang w:val="en-GB"/>
        </w:rPr>
      </w:pPr>
    </w:p>
    <w:p w14:paraId="4184BAFC" w14:textId="74009677" w:rsidR="002253D8" w:rsidRPr="002253D8" w:rsidRDefault="00AB63F9"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application can be buttressed with references to the common law position that UK courts have powers to assist foreign insolvency proceedings (</w:t>
      </w:r>
      <w:r w:rsidR="005666DE">
        <w:rPr>
          <w:rFonts w:ascii="Avenir Next" w:hAnsi="Avenir Next" w:cs="Arial"/>
          <w:color w:val="808080" w:themeColor="background1" w:themeShade="80"/>
          <w:sz w:val="22"/>
          <w:szCs w:val="22"/>
          <w:lang w:val="en-GB"/>
        </w:rPr>
        <w:t xml:space="preserve">universalism or </w:t>
      </w:r>
      <w:r>
        <w:rPr>
          <w:rFonts w:ascii="Avenir Next" w:hAnsi="Avenir Next" w:cs="Arial"/>
          <w:color w:val="808080" w:themeColor="background1" w:themeShade="80"/>
          <w:sz w:val="22"/>
          <w:szCs w:val="22"/>
          <w:lang w:val="en-GB"/>
        </w:rPr>
        <w:t>modified universalism), as determined by various case law</w:t>
      </w:r>
      <w:r w:rsidR="005666DE">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0FEF1CA2" w:rsidR="002253D8" w:rsidRDefault="00401E6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source(s) to use in a cross-border insolvency matter between Italy and Germany are the </w:t>
      </w:r>
      <w:r w:rsidRPr="00401E6F">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(to guide on which jurisdiction’s insolvency regime ought to apply in the case) and the </w:t>
      </w:r>
      <w:r w:rsidR="00EF35F3">
        <w:rPr>
          <w:rFonts w:ascii="Avenir Next" w:hAnsi="Avenir Next" w:cs="Arial"/>
          <w:color w:val="808080" w:themeColor="background1" w:themeShade="80"/>
          <w:sz w:val="22"/>
          <w:szCs w:val="22"/>
          <w:lang w:val="en-GB"/>
        </w:rPr>
        <w:t>Italian</w:t>
      </w:r>
      <w:r>
        <w:rPr>
          <w:rFonts w:ascii="Avenir Next" w:hAnsi="Avenir Next" w:cs="Arial"/>
          <w:color w:val="808080" w:themeColor="background1" w:themeShade="80"/>
          <w:sz w:val="22"/>
          <w:szCs w:val="22"/>
          <w:lang w:val="en-GB"/>
        </w:rPr>
        <w:t xml:space="preserve"> </w:t>
      </w:r>
      <w:r w:rsidRPr="00401E6F">
        <w:rPr>
          <w:rFonts w:ascii="Avenir Next" w:hAnsi="Avenir Next" w:cs="Arial"/>
          <w:color w:val="808080" w:themeColor="background1" w:themeShade="80"/>
          <w:sz w:val="22"/>
          <w:szCs w:val="22"/>
          <w:lang w:val="en-GB"/>
        </w:rPr>
        <w:t>Crisis and Insolvency Code</w:t>
      </w:r>
      <w:r w:rsidR="00EF35F3">
        <w:rPr>
          <w:rFonts w:ascii="Avenir Next" w:hAnsi="Avenir Next" w:cs="Arial"/>
          <w:color w:val="808080" w:themeColor="background1" w:themeShade="80"/>
          <w:sz w:val="22"/>
          <w:szCs w:val="22"/>
          <w:lang w:val="en-GB"/>
        </w:rPr>
        <w:t>.</w:t>
      </w:r>
    </w:p>
    <w:p w14:paraId="632A3C5B" w14:textId="665A502A" w:rsidR="00EF35F3" w:rsidRDefault="00EF35F3" w:rsidP="002253D8">
      <w:pPr>
        <w:jc w:val="both"/>
        <w:rPr>
          <w:rFonts w:ascii="Avenir Next" w:hAnsi="Avenir Next" w:cs="Arial"/>
          <w:color w:val="808080" w:themeColor="background1" w:themeShade="80"/>
          <w:sz w:val="22"/>
          <w:szCs w:val="22"/>
          <w:lang w:val="en-GB"/>
        </w:rPr>
      </w:pPr>
    </w:p>
    <w:p w14:paraId="3A586918" w14:textId="143597D9" w:rsidR="00EF35F3" w:rsidRPr="00EF35F3" w:rsidRDefault="00EF35F3" w:rsidP="00EF35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proceedings should be opened in Italy which, under the </w:t>
      </w:r>
      <w:r w:rsidRPr="00401E6F">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is the Company’s COMI. The </w:t>
      </w:r>
      <w:r w:rsidRPr="00401E6F">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defines COMI as the “</w:t>
      </w:r>
      <w:r w:rsidRPr="00EF35F3">
        <w:rPr>
          <w:rFonts w:ascii="Avenir Next" w:hAnsi="Avenir Next" w:cs="Arial"/>
          <w:color w:val="808080" w:themeColor="background1" w:themeShade="80"/>
          <w:sz w:val="22"/>
          <w:szCs w:val="22"/>
          <w:lang w:val="en-GB"/>
        </w:rPr>
        <w:t>place where the debtor conducts the administration of its interests on a regular basis and which is ascertainable</w:t>
      </w:r>
    </w:p>
    <w:p w14:paraId="31C244AF" w14:textId="69C2DA9A" w:rsidR="00EF35F3" w:rsidRPr="00EF35F3" w:rsidRDefault="00EF35F3" w:rsidP="00EF35F3">
      <w:pPr>
        <w:jc w:val="both"/>
        <w:rPr>
          <w:rFonts w:ascii="Avenir Next" w:hAnsi="Avenir Next" w:cs="Arial"/>
          <w:color w:val="808080" w:themeColor="background1" w:themeShade="80"/>
          <w:szCs w:val="20"/>
          <w:lang w:val="en-GB"/>
        </w:rPr>
      </w:pPr>
      <w:r w:rsidRPr="00EF35F3">
        <w:rPr>
          <w:rFonts w:ascii="Avenir Next" w:hAnsi="Avenir Next" w:cs="Arial"/>
          <w:color w:val="808080" w:themeColor="background1" w:themeShade="80"/>
          <w:sz w:val="22"/>
          <w:szCs w:val="22"/>
          <w:lang w:val="en-GB"/>
        </w:rPr>
        <w:t>by third parties</w:t>
      </w:r>
      <w:r>
        <w:rPr>
          <w:rFonts w:ascii="Avenir Next" w:hAnsi="Avenir Next" w:cs="Arial"/>
          <w:color w:val="808080" w:themeColor="background1" w:themeShade="80"/>
          <w:sz w:val="22"/>
          <w:szCs w:val="22"/>
          <w:lang w:val="en-GB"/>
        </w:rPr>
        <w:t>”. The Company’s COMI and Administrative Headquarters are in Italy. (</w:t>
      </w:r>
      <w:r w:rsidR="007E279D">
        <w:rPr>
          <w:rFonts w:ascii="Avenir Next" w:hAnsi="Avenir Next" w:cs="Arial"/>
          <w:color w:val="808080" w:themeColor="background1" w:themeShade="80"/>
          <w:sz w:val="22"/>
          <w:szCs w:val="22"/>
          <w:lang w:val="en-GB"/>
        </w:rPr>
        <w:t xml:space="preserve">Paragraph 1, </w:t>
      </w:r>
      <w:r>
        <w:rPr>
          <w:rFonts w:ascii="Avenir Next" w:hAnsi="Avenir Next" w:cs="Arial"/>
          <w:color w:val="808080" w:themeColor="background1" w:themeShade="80"/>
          <w:sz w:val="22"/>
          <w:szCs w:val="22"/>
          <w:lang w:val="en-GB"/>
        </w:rPr>
        <w:t xml:space="preserve">Article 3 - International Jurisdiction, </w:t>
      </w:r>
      <w:r w:rsidRPr="00EF35F3">
        <w:rPr>
          <w:rFonts w:ascii="Avenir Next" w:hAnsi="Avenir Next" w:cs="Arial"/>
          <w:color w:val="808080" w:themeColor="background1" w:themeShade="80"/>
          <w:sz w:val="22"/>
          <w:szCs w:val="22"/>
          <w:lang w:val="en-GB"/>
        </w:rPr>
        <w:t>Regulation (EU) 2015/848 Of The European Parliament And Of The Council</w:t>
      </w:r>
      <w:r>
        <w:rPr>
          <w:rFonts w:ascii="Avenir Next" w:hAnsi="Avenir Next" w:cs="Arial"/>
          <w:color w:val="808080" w:themeColor="background1" w:themeShade="80"/>
          <w:sz w:val="22"/>
          <w:szCs w:val="22"/>
          <w:lang w:val="en-GB"/>
        </w:rPr>
        <w:t xml:space="preserve">, </w:t>
      </w:r>
      <w:hyperlink r:id="rId16" w:history="1">
        <w:r w:rsidRPr="0083616D">
          <w:rPr>
            <w:rStyle w:val="Hyperlink"/>
            <w:rFonts w:ascii="Avenir Next" w:hAnsi="Avenir Next" w:cs="Arial"/>
            <w:sz w:val="22"/>
            <w:szCs w:val="22"/>
            <w:lang w:val="en-GB"/>
          </w:rPr>
          <w:t>https://eur-lex.europa.eu/legal-content/EN/TXT/PDF/?uri=CELEX:32015R0848</w:t>
        </w:r>
      </w:hyperlink>
      <w:r>
        <w:rPr>
          <w:rFonts w:ascii="Avenir Next" w:hAnsi="Avenir Next" w:cs="Arial"/>
          <w:color w:val="808080" w:themeColor="background1" w:themeShade="80"/>
          <w:sz w:val="22"/>
          <w:szCs w:val="22"/>
          <w:lang w:val="en-GB"/>
        </w:rPr>
        <w:t>, 13 November 2023, 22:37PM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9AF8E96" w:rsidR="002253D8" w:rsidRPr="002253D8" w:rsidRDefault="005666DE"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w:t>
      </w:r>
      <w:bookmarkStart w:id="0" w:name="_Hlk150806678"/>
      <w:r>
        <w:rPr>
          <w:rFonts w:ascii="Avenir Next" w:hAnsi="Avenir Next" w:cs="Arial"/>
          <w:color w:val="808080" w:themeColor="background1" w:themeShade="80"/>
          <w:sz w:val="22"/>
          <w:szCs w:val="22"/>
          <w:lang w:val="en-GB"/>
        </w:rPr>
        <w:t xml:space="preserve">EU (Recast) Insolvency Regulation </w:t>
      </w:r>
      <w:bookmarkEnd w:id="0"/>
      <w:r>
        <w:rPr>
          <w:rFonts w:ascii="Avenir Next" w:hAnsi="Avenir Next" w:cs="Arial"/>
          <w:color w:val="808080" w:themeColor="background1" w:themeShade="80"/>
          <w:sz w:val="22"/>
          <w:szCs w:val="22"/>
          <w:lang w:val="en-GB"/>
        </w:rPr>
        <w:t xml:space="preserve">is relevant only for </w:t>
      </w:r>
      <w:r w:rsidR="00EF35F3">
        <w:rPr>
          <w:rFonts w:ascii="Avenir Next" w:hAnsi="Avenir Next" w:cs="Arial"/>
          <w:color w:val="808080" w:themeColor="background1" w:themeShade="80"/>
          <w:sz w:val="22"/>
          <w:szCs w:val="22"/>
          <w:lang w:val="en-GB"/>
        </w:rPr>
        <w:t>EU Member States.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38FCE7E" w:rsidR="002253D8" w:rsidRPr="00DA42DA" w:rsidRDefault="007E279D"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Dutch Bankruptcy Act will apply in relation to proceedings and securities located in the Netherlands. This is because the EU (Recast) Insolvency Regulations recognize the difference in substantive laws across the member states and provides that security rights be determined according to </w:t>
      </w:r>
      <w:r w:rsidRPr="007E279D">
        <w:rPr>
          <w:rFonts w:ascii="Avenir Next" w:hAnsi="Avenir Next" w:cs="Arial"/>
          <w:i/>
          <w:iCs/>
          <w:color w:val="808080" w:themeColor="background1" w:themeShade="80"/>
          <w:sz w:val="22"/>
          <w:szCs w:val="22"/>
          <w:lang w:val="en-GB"/>
        </w:rPr>
        <w:t>lex situs</w:t>
      </w:r>
      <w:r>
        <w:rPr>
          <w:rFonts w:ascii="Avenir Next" w:hAnsi="Avenir Next" w:cs="Arial"/>
          <w:color w:val="808080" w:themeColor="background1" w:themeShade="80"/>
          <w:sz w:val="22"/>
          <w:szCs w:val="22"/>
          <w:lang w:val="en-GB"/>
        </w:rPr>
        <w:t xml:space="preserve"> and </w:t>
      </w:r>
      <w:r w:rsidR="00F83D86">
        <w:rPr>
          <w:rFonts w:ascii="Avenir Next" w:hAnsi="Avenir Next" w:cs="Arial"/>
          <w:color w:val="808080" w:themeColor="background1" w:themeShade="80"/>
          <w:sz w:val="22"/>
          <w:szCs w:val="22"/>
          <w:lang w:val="en-GB"/>
        </w:rPr>
        <w:t xml:space="preserve">that they </w:t>
      </w:r>
      <w:r>
        <w:rPr>
          <w:rFonts w:ascii="Avenir Next" w:hAnsi="Avenir Next" w:cs="Arial"/>
          <w:color w:val="808080" w:themeColor="background1" w:themeShade="80"/>
          <w:sz w:val="22"/>
          <w:szCs w:val="22"/>
          <w:lang w:val="en-GB"/>
        </w:rPr>
        <w:t>should not be affected by the commencement of insolvency proceedings (</w:t>
      </w:r>
      <w:hyperlink r:id="rId17" w:history="1">
        <w:r w:rsidRPr="0083616D">
          <w:rPr>
            <w:rStyle w:val="Hyperlink"/>
            <w:rFonts w:ascii="Avenir Next" w:hAnsi="Avenir Next" w:cs="Arial"/>
            <w:sz w:val="22"/>
            <w:szCs w:val="22"/>
            <w:lang w:val="en-GB"/>
          </w:rPr>
          <w:t>https://eur-lex.europa.eu/legal-content/EN/TXT/PDF/?uri=CELEX:32015R0848</w:t>
        </w:r>
      </w:hyperlink>
      <w:r>
        <w:rPr>
          <w:rFonts w:ascii="Avenir Next" w:hAnsi="Avenir Next" w:cs="Arial"/>
          <w:color w:val="808080" w:themeColor="background1" w:themeShade="80"/>
          <w:sz w:val="22"/>
          <w:szCs w:val="22"/>
          <w:lang w:val="en-GB"/>
        </w:rPr>
        <w:t>, Paragraph 68, 13 November 2023, 22:59PM.</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8CC86F8" w:rsidR="002253D8" w:rsidRPr="00DA42DA" w:rsidRDefault="00A733DC" w:rsidP="0000788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Corporations Act (2001) and the Cross</w:t>
      </w:r>
      <w:r w:rsidR="004451B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Border</w:t>
      </w:r>
      <w:r w:rsidR="004451B0">
        <w:rPr>
          <w:rFonts w:ascii="Avenir Next" w:hAnsi="Avenir Next" w:cs="Arial"/>
          <w:color w:val="808080" w:themeColor="background1" w:themeShade="80"/>
          <w:sz w:val="22"/>
          <w:szCs w:val="22"/>
          <w:lang w:val="en-GB"/>
        </w:rPr>
        <w:t xml:space="preserve"> Insolvency</w:t>
      </w:r>
      <w:r>
        <w:rPr>
          <w:rFonts w:ascii="Avenir Next" w:hAnsi="Avenir Next" w:cs="Arial"/>
          <w:color w:val="808080" w:themeColor="background1" w:themeShade="80"/>
          <w:sz w:val="22"/>
          <w:szCs w:val="22"/>
          <w:lang w:val="en-GB"/>
        </w:rPr>
        <w:t xml:space="preserve"> Act (2008) of Australia will be applicable.</w:t>
      </w:r>
      <w:r w:rsidR="004451B0">
        <w:rPr>
          <w:rFonts w:ascii="Avenir Next" w:hAnsi="Avenir Next" w:cs="Arial"/>
          <w:color w:val="808080" w:themeColor="background1" w:themeShade="80"/>
          <w:sz w:val="22"/>
          <w:szCs w:val="22"/>
          <w:lang w:val="en-GB"/>
        </w:rPr>
        <w:t xml:space="preserve"> The rights of secured creditors are not affected by recognition granted to foreign proceedings under the Cross-Border Insolvency Act – Australian insolvency law</w:t>
      </w:r>
      <w:r w:rsidR="00007884">
        <w:rPr>
          <w:rFonts w:ascii="Avenir Next" w:hAnsi="Avenir Next" w:cs="Arial"/>
          <w:color w:val="808080" w:themeColor="background1" w:themeShade="80"/>
          <w:sz w:val="22"/>
          <w:szCs w:val="22"/>
          <w:lang w:val="en-GB"/>
        </w:rPr>
        <w:t xml:space="preserve"> generally</w:t>
      </w:r>
      <w:r w:rsidR="004451B0">
        <w:rPr>
          <w:rFonts w:ascii="Avenir Next" w:hAnsi="Avenir Next" w:cs="Arial"/>
          <w:color w:val="808080" w:themeColor="background1" w:themeShade="80"/>
          <w:sz w:val="22"/>
          <w:szCs w:val="22"/>
          <w:lang w:val="en-GB"/>
        </w:rPr>
        <w:t>, even in the context of other types of domestic insolvency matters, preserves the rights of secured creditors (</w:t>
      </w:r>
      <w:hyperlink r:id="rId18" w:history="1">
        <w:r w:rsidR="00007884" w:rsidRPr="0083616D">
          <w:rPr>
            <w:rStyle w:val="Hyperlink"/>
            <w:rFonts w:ascii="Avenir Next" w:hAnsi="Avenir Next" w:cs="Arial"/>
            <w:sz w:val="22"/>
            <w:szCs w:val="22"/>
            <w:lang w:val="en-GB"/>
          </w:rPr>
          <w:t>https://www.fedcourt.gov.au/law-and-practice/national-practice-areas/admiralty/admiralty-papers/julie-soars-2015</w:t>
        </w:r>
      </w:hyperlink>
      <w:r w:rsidR="00007884">
        <w:rPr>
          <w:rFonts w:ascii="Avenir Next" w:hAnsi="Avenir Next" w:cs="Arial"/>
          <w:color w:val="808080" w:themeColor="background1" w:themeShade="80"/>
          <w:sz w:val="22"/>
          <w:szCs w:val="22"/>
          <w:lang w:val="en-GB"/>
        </w:rPr>
        <w:t xml:space="preserve"> </w:t>
      </w:r>
      <w:r w:rsidR="004451B0">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9"/>
      <w:footerReference w:type="default" r:id="rId2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B52A" w14:textId="77777777" w:rsidR="00D44050" w:rsidRDefault="00D44050" w:rsidP="00241B44">
      <w:r>
        <w:separator/>
      </w:r>
    </w:p>
  </w:endnote>
  <w:endnote w:type="continuationSeparator" w:id="0">
    <w:p w14:paraId="0628ACC8" w14:textId="77777777" w:rsidR="00D44050" w:rsidRDefault="00D440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90EA7B4" w:rsidR="00B64A85" w:rsidRPr="00297BDF" w:rsidRDefault="001E4826" w:rsidP="0052732A">
    <w:pPr>
      <w:pStyle w:val="Footer"/>
      <w:ind w:right="360"/>
      <w:rPr>
        <w:rFonts w:ascii="Avenir Next" w:hAnsi="Avenir Next" w:cs="Arial"/>
        <w:sz w:val="22"/>
        <w:szCs w:val="22"/>
      </w:rPr>
    </w:pPr>
    <w:r>
      <w:rPr>
        <w:rFonts w:ascii="Avenir Next" w:hAnsi="Avenir Next" w:cs="Arial"/>
        <w:sz w:val="22"/>
        <w:szCs w:val="22"/>
      </w:rPr>
      <w:t>202223-986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5D29" w14:textId="77777777" w:rsidR="00D44050" w:rsidRDefault="00D44050" w:rsidP="00241B44">
      <w:r>
        <w:separator/>
      </w:r>
    </w:p>
  </w:footnote>
  <w:footnote w:type="continuationSeparator" w:id="0">
    <w:p w14:paraId="1112B8C4" w14:textId="77777777" w:rsidR="00D44050" w:rsidRDefault="00D440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EA6A68"/>
    <w:multiLevelType w:val="hybridMultilevel"/>
    <w:tmpl w:val="E0D28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2C0781"/>
    <w:multiLevelType w:val="hybridMultilevel"/>
    <w:tmpl w:val="0FE08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1C741D"/>
    <w:multiLevelType w:val="hybridMultilevel"/>
    <w:tmpl w:val="B91A8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4"/>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2"/>
  </w:num>
  <w:num w:numId="12" w16cid:durableId="2144808366">
    <w:abstractNumId w:val="32"/>
  </w:num>
  <w:num w:numId="13" w16cid:durableId="1139104618">
    <w:abstractNumId w:val="23"/>
  </w:num>
  <w:num w:numId="14" w16cid:durableId="1203787949">
    <w:abstractNumId w:val="22"/>
  </w:num>
  <w:num w:numId="15" w16cid:durableId="1140149903">
    <w:abstractNumId w:val="6"/>
  </w:num>
  <w:num w:numId="16" w16cid:durableId="1714226930">
    <w:abstractNumId w:val="25"/>
  </w:num>
  <w:num w:numId="17" w16cid:durableId="1711415350">
    <w:abstractNumId w:val="20"/>
  </w:num>
  <w:num w:numId="18" w16cid:durableId="35542391">
    <w:abstractNumId w:val="21"/>
  </w:num>
  <w:num w:numId="19" w16cid:durableId="2050493181">
    <w:abstractNumId w:val="28"/>
  </w:num>
  <w:num w:numId="20" w16cid:durableId="1469859581">
    <w:abstractNumId w:val="11"/>
  </w:num>
  <w:num w:numId="21" w16cid:durableId="408573765">
    <w:abstractNumId w:val="18"/>
  </w:num>
  <w:num w:numId="22" w16cid:durableId="482936912">
    <w:abstractNumId w:val="0"/>
  </w:num>
  <w:num w:numId="23" w16cid:durableId="1308701288">
    <w:abstractNumId w:val="27"/>
  </w:num>
  <w:num w:numId="24" w16cid:durableId="1716081525">
    <w:abstractNumId w:val="1"/>
  </w:num>
  <w:num w:numId="25" w16cid:durableId="797064315">
    <w:abstractNumId w:val="33"/>
  </w:num>
  <w:num w:numId="26" w16cid:durableId="824904852">
    <w:abstractNumId w:val="36"/>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712122553">
    <w:abstractNumId w:val="2"/>
  </w:num>
  <w:num w:numId="36" w16cid:durableId="937251019">
    <w:abstractNumId w:val="19"/>
  </w:num>
  <w:num w:numId="37" w16cid:durableId="32246536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8BD"/>
    <w:rsid w:val="00003D8F"/>
    <w:rsid w:val="0000420A"/>
    <w:rsid w:val="00004AE7"/>
    <w:rsid w:val="00007884"/>
    <w:rsid w:val="00010BA0"/>
    <w:rsid w:val="00015EE6"/>
    <w:rsid w:val="00020557"/>
    <w:rsid w:val="00022328"/>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37BE"/>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10F0"/>
    <w:rsid w:val="000D55A8"/>
    <w:rsid w:val="000D57BE"/>
    <w:rsid w:val="000D6876"/>
    <w:rsid w:val="000E0165"/>
    <w:rsid w:val="000E311E"/>
    <w:rsid w:val="000E3A82"/>
    <w:rsid w:val="000E3C5A"/>
    <w:rsid w:val="000E406D"/>
    <w:rsid w:val="000E4841"/>
    <w:rsid w:val="000E5AFD"/>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3B8"/>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1E15"/>
    <w:rsid w:val="001B5016"/>
    <w:rsid w:val="001B6CEE"/>
    <w:rsid w:val="001C45FC"/>
    <w:rsid w:val="001C594A"/>
    <w:rsid w:val="001D1BF7"/>
    <w:rsid w:val="001D4862"/>
    <w:rsid w:val="001D632F"/>
    <w:rsid w:val="001D7EF2"/>
    <w:rsid w:val="001E1FB4"/>
    <w:rsid w:val="001E23FD"/>
    <w:rsid w:val="001E25B9"/>
    <w:rsid w:val="001E392F"/>
    <w:rsid w:val="001E4826"/>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0993"/>
    <w:rsid w:val="00231611"/>
    <w:rsid w:val="00231CAE"/>
    <w:rsid w:val="00231F38"/>
    <w:rsid w:val="002362AB"/>
    <w:rsid w:val="002400DB"/>
    <w:rsid w:val="002406A4"/>
    <w:rsid w:val="0024116D"/>
    <w:rsid w:val="00241B44"/>
    <w:rsid w:val="00245EFB"/>
    <w:rsid w:val="002526C5"/>
    <w:rsid w:val="002529D2"/>
    <w:rsid w:val="0025386E"/>
    <w:rsid w:val="00254AB3"/>
    <w:rsid w:val="00262042"/>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295C"/>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1E6F"/>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1B0"/>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0DD"/>
    <w:rsid w:val="0053523A"/>
    <w:rsid w:val="00537970"/>
    <w:rsid w:val="00540E3A"/>
    <w:rsid w:val="00542E08"/>
    <w:rsid w:val="005433D7"/>
    <w:rsid w:val="00543941"/>
    <w:rsid w:val="00544127"/>
    <w:rsid w:val="005508BB"/>
    <w:rsid w:val="00553EB2"/>
    <w:rsid w:val="00555C4D"/>
    <w:rsid w:val="00560534"/>
    <w:rsid w:val="0056391B"/>
    <w:rsid w:val="005650E2"/>
    <w:rsid w:val="005666DE"/>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53DF"/>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50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87A92"/>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9B9"/>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6A7"/>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87B4C"/>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6BB4"/>
    <w:rsid w:val="007D7C92"/>
    <w:rsid w:val="007D7E30"/>
    <w:rsid w:val="007E1154"/>
    <w:rsid w:val="007E1212"/>
    <w:rsid w:val="007E279D"/>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7DF"/>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67E04"/>
    <w:rsid w:val="009703BD"/>
    <w:rsid w:val="009708BB"/>
    <w:rsid w:val="009727DF"/>
    <w:rsid w:val="009729E8"/>
    <w:rsid w:val="00975009"/>
    <w:rsid w:val="00975640"/>
    <w:rsid w:val="00975B29"/>
    <w:rsid w:val="009760FF"/>
    <w:rsid w:val="00976DA5"/>
    <w:rsid w:val="009773BA"/>
    <w:rsid w:val="00980DF0"/>
    <w:rsid w:val="00981608"/>
    <w:rsid w:val="00984680"/>
    <w:rsid w:val="00990F04"/>
    <w:rsid w:val="00991272"/>
    <w:rsid w:val="00991428"/>
    <w:rsid w:val="00992676"/>
    <w:rsid w:val="0099328D"/>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67F4"/>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3DC"/>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4A0A"/>
    <w:rsid w:val="00AB5A37"/>
    <w:rsid w:val="00AB61D6"/>
    <w:rsid w:val="00AB63F9"/>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3489"/>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27FA"/>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7949"/>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484B"/>
    <w:rsid w:val="00C8712A"/>
    <w:rsid w:val="00C92A0D"/>
    <w:rsid w:val="00C935A9"/>
    <w:rsid w:val="00C952A2"/>
    <w:rsid w:val="00C95347"/>
    <w:rsid w:val="00C963D3"/>
    <w:rsid w:val="00CA0B50"/>
    <w:rsid w:val="00CA1802"/>
    <w:rsid w:val="00CA1B40"/>
    <w:rsid w:val="00CA6E99"/>
    <w:rsid w:val="00CB1536"/>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6642"/>
    <w:rsid w:val="00CF70DC"/>
    <w:rsid w:val="00CF717B"/>
    <w:rsid w:val="00D068C5"/>
    <w:rsid w:val="00D07DA3"/>
    <w:rsid w:val="00D07F87"/>
    <w:rsid w:val="00D148DC"/>
    <w:rsid w:val="00D1688E"/>
    <w:rsid w:val="00D17FDC"/>
    <w:rsid w:val="00D223E4"/>
    <w:rsid w:val="00D2550E"/>
    <w:rsid w:val="00D256C6"/>
    <w:rsid w:val="00D25F51"/>
    <w:rsid w:val="00D35229"/>
    <w:rsid w:val="00D35ADE"/>
    <w:rsid w:val="00D35EAE"/>
    <w:rsid w:val="00D44050"/>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0F12"/>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2EE5"/>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35F3"/>
    <w:rsid w:val="00EF5705"/>
    <w:rsid w:val="00EF6653"/>
    <w:rsid w:val="00EF6A70"/>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1C4"/>
    <w:rsid w:val="00F5524B"/>
    <w:rsid w:val="00F5710B"/>
    <w:rsid w:val="00F61DD2"/>
    <w:rsid w:val="00F62000"/>
    <w:rsid w:val="00F63720"/>
    <w:rsid w:val="00F64130"/>
    <w:rsid w:val="00F65FB6"/>
    <w:rsid w:val="00F66AFF"/>
    <w:rsid w:val="00F70655"/>
    <w:rsid w:val="00F71433"/>
    <w:rsid w:val="00F71CE8"/>
    <w:rsid w:val="00F738B0"/>
    <w:rsid w:val="00F801C5"/>
    <w:rsid w:val="00F83231"/>
    <w:rsid w:val="00F83D86"/>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2AD"/>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23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chr.eu/en/glossary/hard-law-soft-law/" TargetMode="External"/><Relationship Id="rId18" Type="http://schemas.openxmlformats.org/officeDocument/2006/relationships/hyperlink" Target="https://www.fedcourt.gov.au/law-and-practice/national-practice-areas/admiralty/admiralty-papers/julie-soars-20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il.ouplaw.com/page/530" TargetMode="External"/><Relationship Id="rId17" Type="http://schemas.openxmlformats.org/officeDocument/2006/relationships/hyperlink" Target="https://eur-lex.europa.eu/legal-content/EN/TXT/PDF/?uri=CELEX:32015R0848" TargetMode="External"/><Relationship Id="rId2" Type="http://schemas.openxmlformats.org/officeDocument/2006/relationships/customXml" Target="../customXml/item2.xml"/><Relationship Id="rId16" Type="http://schemas.openxmlformats.org/officeDocument/2006/relationships/hyperlink" Target="https://eur-lex.europa.eu/legal-content/EN/TXT/PDF/?uri=CELEX:32015R084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06/1030/schedule/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chr.eu/en/glossary/hard-law-soft-la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13</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19</cp:revision>
  <cp:lastPrinted>2020-06-12T02:43:00Z</cp:lastPrinted>
  <dcterms:created xsi:type="dcterms:W3CDTF">2023-11-12T13:05:00Z</dcterms:created>
  <dcterms:modified xsi:type="dcterms:W3CDTF">2023-11-14T15:36:00Z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