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A60DE4" w:rsidRDefault="00806382" w:rsidP="00806382">
      <w:pPr>
        <w:pStyle w:val="ListParagraph"/>
        <w:numPr>
          <w:ilvl w:val="0"/>
          <w:numId w:val="15"/>
        </w:numPr>
        <w:ind w:left="425" w:hanging="357"/>
        <w:jc w:val="both"/>
        <w:rPr>
          <w:rFonts w:ascii="Avenir Next" w:hAnsi="Avenir Next" w:cs="Arial"/>
          <w:sz w:val="22"/>
          <w:szCs w:val="22"/>
          <w:highlight w:val="yellow"/>
        </w:rPr>
      </w:pPr>
      <w:r w:rsidRPr="00A60DE4">
        <w:rPr>
          <w:rFonts w:ascii="Avenir Next" w:hAnsi="Avenir Next" w:cs="Arial"/>
          <w:sz w:val="22"/>
          <w:szCs w:val="22"/>
          <w:highlight w:val="yellow"/>
        </w:rPr>
        <w:t xml:space="preserve">This statement is untrue since the word </w:t>
      </w:r>
      <w:r w:rsidR="00823AB4" w:rsidRPr="00A60DE4">
        <w:rPr>
          <w:rFonts w:ascii="Avenir Next" w:hAnsi="Avenir Next" w:cs="Arial"/>
          <w:sz w:val="22"/>
          <w:szCs w:val="22"/>
          <w:highlight w:val="yellow"/>
        </w:rPr>
        <w:t>“</w:t>
      </w:r>
      <w:r w:rsidRPr="00A60DE4">
        <w:rPr>
          <w:rFonts w:ascii="Avenir Next" w:hAnsi="Avenir Next" w:cs="Arial"/>
          <w:sz w:val="22"/>
          <w:szCs w:val="22"/>
          <w:highlight w:val="yellow"/>
        </w:rPr>
        <w:t>bankruptcy</w:t>
      </w:r>
      <w:r w:rsidR="00823AB4" w:rsidRPr="00A60DE4">
        <w:rPr>
          <w:rFonts w:ascii="Avenir Next" w:hAnsi="Avenir Next" w:cs="Arial"/>
          <w:sz w:val="22"/>
          <w:szCs w:val="22"/>
          <w:highlight w:val="yellow"/>
        </w:rPr>
        <w:t>”</w:t>
      </w:r>
      <w:r w:rsidRPr="00A60DE4">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A60DE4" w:rsidRDefault="001211E6" w:rsidP="001211E6">
      <w:pPr>
        <w:pStyle w:val="ListParagraph"/>
        <w:numPr>
          <w:ilvl w:val="0"/>
          <w:numId w:val="16"/>
        </w:numPr>
        <w:ind w:left="426"/>
        <w:jc w:val="both"/>
        <w:rPr>
          <w:rFonts w:ascii="Avenir Next" w:hAnsi="Avenir Next" w:cs="Arial"/>
          <w:sz w:val="22"/>
          <w:szCs w:val="22"/>
          <w:highlight w:val="yellow"/>
        </w:rPr>
      </w:pPr>
      <w:r w:rsidRPr="00A60DE4">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 xml:space="preserve">relevant factor for the English Court hearing the matter to consider whether Germany has adopted the </w:t>
      </w:r>
      <w:proofErr w:type="spellStart"/>
      <w:r w:rsidRPr="00AE4D6F">
        <w:rPr>
          <w:rFonts w:ascii="Avenir Next" w:eastAsiaTheme="minorHAnsi" w:hAnsi="Avenir Next" w:cs="Arial"/>
          <w:sz w:val="22"/>
          <w:szCs w:val="22"/>
          <w:lang w:val="en-GB"/>
        </w:rPr>
        <w:t>UNCITRAL</w:t>
      </w:r>
      <w:proofErr w:type="spellEnd"/>
      <w:r w:rsidRPr="00AE4D6F">
        <w:rPr>
          <w:rFonts w:ascii="Avenir Next" w:eastAsiaTheme="minorHAnsi" w:hAnsi="Avenir Next" w:cs="Arial"/>
          <w:sz w:val="22"/>
          <w:szCs w:val="22"/>
          <w:lang w:val="en-GB"/>
        </w:rPr>
        <w:t xml:space="preserve">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A60DE4"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A60DE4">
        <w:rPr>
          <w:rFonts w:ascii="Avenir Next" w:eastAsiaTheme="minorHAnsi" w:hAnsi="Avenir Next" w:cs="Arial"/>
          <w:sz w:val="22"/>
          <w:szCs w:val="22"/>
          <w:highlight w:val="yellow"/>
          <w:lang w:val="en-GB"/>
        </w:rPr>
        <w:t xml:space="preserve">The English Court will be able to consider the request based on its 2006 Insolvency Regulations (the adopted </w:t>
      </w:r>
      <w:proofErr w:type="spellStart"/>
      <w:r w:rsidRPr="00A60DE4">
        <w:rPr>
          <w:rFonts w:ascii="Avenir Next" w:eastAsiaTheme="minorHAnsi" w:hAnsi="Avenir Next" w:cs="Arial"/>
          <w:sz w:val="22"/>
          <w:szCs w:val="22"/>
          <w:highlight w:val="yellow"/>
          <w:lang w:val="en-GB"/>
        </w:rPr>
        <w:t>UNCITRAL</w:t>
      </w:r>
      <w:proofErr w:type="spellEnd"/>
      <w:r w:rsidRPr="00A60DE4">
        <w:rPr>
          <w:rFonts w:ascii="Avenir Next" w:eastAsiaTheme="minorHAnsi" w:hAnsi="Avenir Next" w:cs="Arial"/>
          <w:sz w:val="22"/>
          <w:szCs w:val="22"/>
          <w:highlight w:val="yellow"/>
          <w:lang w:val="en-GB"/>
        </w:rPr>
        <w:t xml:space="preserve">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0A37EC"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0A37EC">
        <w:rPr>
          <w:rFonts w:ascii="Avenir Next" w:hAnsi="Avenir Next" w:cs="Arial"/>
          <w:sz w:val="22"/>
          <w:szCs w:val="22"/>
          <w:highlight w:val="yellow"/>
          <w:lang w:val="en-GB"/>
        </w:rPr>
        <w:t xml:space="preserve">This statement is incorrect since a statutory discharge of debt was only introduced in 1705 in England.    </w:t>
      </w:r>
      <w:r w:rsidRPr="000A37EC">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0A37EC" w:rsidRDefault="006514CD" w:rsidP="006514CD">
      <w:pPr>
        <w:pStyle w:val="ListParagraph"/>
        <w:numPr>
          <w:ilvl w:val="0"/>
          <w:numId w:val="19"/>
        </w:numPr>
        <w:ind w:left="425" w:hanging="357"/>
        <w:jc w:val="both"/>
        <w:rPr>
          <w:rFonts w:ascii="Avenir Next" w:hAnsi="Avenir Next" w:cs="Arial"/>
          <w:sz w:val="22"/>
          <w:szCs w:val="22"/>
          <w:highlight w:val="yellow"/>
        </w:rPr>
      </w:pPr>
      <w:r w:rsidRPr="000A37EC">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0A37EC"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 xml:space="preserve">best </w:t>
      </w:r>
      <w:r w:rsidRPr="000A37EC">
        <w:rPr>
          <w:rFonts w:ascii="Avenir Next Demi Bold" w:hAnsi="Avenir Next Demi Bold" w:cs="Arial"/>
          <w:b/>
          <w:bCs/>
          <w:sz w:val="22"/>
          <w:szCs w:val="22"/>
          <w:u w:val="single"/>
        </w:rPr>
        <w:t>response</w:t>
      </w:r>
      <w:r w:rsidRPr="000A37EC">
        <w:rPr>
          <w:rFonts w:ascii="Avenir Next" w:hAnsi="Avenir Next" w:cs="Arial"/>
          <w:sz w:val="22"/>
          <w:szCs w:val="22"/>
        </w:rPr>
        <w:t xml:space="preserve"> to this question:</w:t>
      </w:r>
    </w:p>
    <w:p w14:paraId="63CF3E92" w14:textId="77777777" w:rsidR="00D761ED" w:rsidRPr="000A37EC"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Pr="000A37EC"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0A37EC">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Upholding the rights of creditors to assets, </w:t>
      </w:r>
      <w:proofErr w:type="gramStart"/>
      <w:r>
        <w:rPr>
          <w:rFonts w:ascii="Avenir Next" w:eastAsiaTheme="minorHAnsi" w:hAnsi="Avenir Next" w:cs="Arial"/>
          <w:sz w:val="22"/>
          <w:szCs w:val="22"/>
          <w:lang w:val="en-GB"/>
        </w:rPr>
        <w:t>investigating</w:t>
      </w:r>
      <w:proofErr w:type="gramEnd"/>
      <w:r>
        <w:rPr>
          <w:rFonts w:ascii="Avenir Next" w:eastAsiaTheme="minorHAnsi" w:hAnsi="Avenir Next" w:cs="Arial"/>
          <w:sz w:val="22"/>
          <w:szCs w:val="22"/>
          <w:lang w:val="en-GB"/>
        </w:rPr>
        <w:t xml:space="preserve">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0A37EC"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0A37EC">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2804E0" w:rsidRDefault="00AD76EF" w:rsidP="00AD76EF">
      <w:pPr>
        <w:pStyle w:val="ListParagraph"/>
        <w:numPr>
          <w:ilvl w:val="0"/>
          <w:numId w:val="17"/>
        </w:numPr>
        <w:ind w:left="426"/>
        <w:jc w:val="both"/>
        <w:rPr>
          <w:rFonts w:ascii="Avenir Next" w:hAnsi="Avenir Next" w:cs="Arial"/>
          <w:sz w:val="22"/>
          <w:szCs w:val="22"/>
          <w:highlight w:val="yellow"/>
        </w:rPr>
      </w:pPr>
      <w:r w:rsidRPr="002804E0">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2804E0"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2804E0">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2804E0" w:rsidRDefault="009661DE" w:rsidP="009661DE">
      <w:pPr>
        <w:pStyle w:val="ListParagraph"/>
        <w:numPr>
          <w:ilvl w:val="0"/>
          <w:numId w:val="23"/>
        </w:numPr>
        <w:ind w:left="426"/>
        <w:jc w:val="both"/>
        <w:rPr>
          <w:rFonts w:ascii="Avenir Next" w:hAnsi="Avenir Next" w:cs="Arial"/>
          <w:sz w:val="22"/>
          <w:szCs w:val="22"/>
          <w:highlight w:val="yellow"/>
        </w:rPr>
      </w:pPr>
      <w:r w:rsidRPr="002804E0">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2804E0" w:rsidRDefault="003B3A0D" w:rsidP="003B3A0D">
      <w:pPr>
        <w:pStyle w:val="ListParagraph"/>
        <w:numPr>
          <w:ilvl w:val="0"/>
          <w:numId w:val="24"/>
        </w:numPr>
        <w:ind w:left="426"/>
        <w:jc w:val="both"/>
        <w:rPr>
          <w:rFonts w:ascii="Avenir Next" w:hAnsi="Avenir Next" w:cs="Arial"/>
          <w:sz w:val="22"/>
          <w:szCs w:val="22"/>
          <w:highlight w:val="yellow"/>
        </w:rPr>
      </w:pPr>
      <w:r w:rsidRPr="002804E0">
        <w:rPr>
          <w:rFonts w:ascii="Avenir Next" w:hAnsi="Avenir Next" w:cs="Arial"/>
          <w:sz w:val="22"/>
          <w:szCs w:val="22"/>
          <w:highlight w:val="yellow"/>
        </w:rPr>
        <w:t xml:space="preserve">This statement is untrue because universalism corresponds well to </w:t>
      </w:r>
      <w:proofErr w:type="spellStart"/>
      <w:r w:rsidRPr="002804E0">
        <w:rPr>
          <w:rFonts w:ascii="Avenir Next" w:hAnsi="Avenir Next" w:cs="Arial"/>
          <w:sz w:val="22"/>
          <w:szCs w:val="22"/>
          <w:highlight w:val="yellow"/>
        </w:rPr>
        <w:t>globali</w:t>
      </w:r>
      <w:r w:rsidR="00142E15" w:rsidRPr="002804E0">
        <w:rPr>
          <w:rFonts w:ascii="Avenir Next" w:hAnsi="Avenir Next" w:cs="Arial"/>
          <w:sz w:val="22"/>
          <w:szCs w:val="22"/>
          <w:highlight w:val="yellow"/>
        </w:rPr>
        <w:t>s</w:t>
      </w:r>
      <w:r w:rsidRPr="002804E0">
        <w:rPr>
          <w:rFonts w:ascii="Avenir Next" w:hAnsi="Avenir Next" w:cs="Arial"/>
          <w:sz w:val="22"/>
          <w:szCs w:val="22"/>
          <w:highlight w:val="yellow"/>
        </w:rPr>
        <w:t>ation</w:t>
      </w:r>
      <w:proofErr w:type="spellEnd"/>
      <w:r w:rsidRPr="002804E0">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5DC2A5C1" w14:textId="77777777" w:rsidR="00A322D5" w:rsidRPr="00A322D5" w:rsidRDefault="00A322D5" w:rsidP="00A322D5">
      <w:pPr>
        <w:rPr>
          <w:rFonts w:ascii="Avenir Next" w:hAnsi="Avenir Next" w:cs="Arial"/>
          <w:color w:val="808080" w:themeColor="background1" w:themeShade="80"/>
          <w:sz w:val="22"/>
          <w:szCs w:val="22"/>
          <w:lang w:val="en-GB"/>
        </w:rPr>
      </w:pPr>
      <w:r w:rsidRPr="00A322D5">
        <w:rPr>
          <w:rFonts w:ascii="Avenir Next" w:hAnsi="Avenir Next" w:cs="Arial"/>
          <w:color w:val="808080" w:themeColor="background1" w:themeShade="80"/>
          <w:sz w:val="22"/>
          <w:szCs w:val="22"/>
          <w:lang w:val="en-GB"/>
        </w:rPr>
        <w:t xml:space="preserve">Civil law systems originated from Roman law and the later codes that developed in continental Europe, such as those of France, Germany, the Netherlands, </w:t>
      </w:r>
      <w:proofErr w:type="gramStart"/>
      <w:r w:rsidRPr="00A322D5">
        <w:rPr>
          <w:rFonts w:ascii="Avenir Next" w:hAnsi="Avenir Next" w:cs="Arial"/>
          <w:color w:val="808080" w:themeColor="background1" w:themeShade="80"/>
          <w:sz w:val="22"/>
          <w:szCs w:val="22"/>
          <w:lang w:val="en-GB"/>
        </w:rPr>
        <w:t>Spain</w:t>
      </w:r>
      <w:proofErr w:type="gramEnd"/>
      <w:r w:rsidRPr="00A322D5">
        <w:rPr>
          <w:rFonts w:ascii="Avenir Next" w:hAnsi="Avenir Next" w:cs="Arial"/>
          <w:color w:val="808080" w:themeColor="background1" w:themeShade="80"/>
          <w:sz w:val="22"/>
          <w:szCs w:val="22"/>
          <w:lang w:val="en-GB"/>
        </w:rPr>
        <w:t xml:space="preserve"> and Portugal. These systems tend to rely on detailed and codified rules for insolvency law, with a strong focus on protecting creditor rights and ensuring judicial oversight. They also tend to be less sympathetic to debtors who seek discharge and a fresh start.</w:t>
      </w:r>
    </w:p>
    <w:p w14:paraId="0F5DBFB9" w14:textId="77777777" w:rsidR="00A322D5" w:rsidRPr="00A322D5" w:rsidRDefault="00A322D5" w:rsidP="00A322D5">
      <w:pPr>
        <w:rPr>
          <w:rFonts w:ascii="Avenir Next" w:hAnsi="Avenir Next" w:cs="Arial"/>
          <w:color w:val="808080" w:themeColor="background1" w:themeShade="80"/>
          <w:sz w:val="22"/>
          <w:szCs w:val="22"/>
          <w:lang w:val="en-GB"/>
        </w:rPr>
      </w:pPr>
    </w:p>
    <w:p w14:paraId="22514DAC" w14:textId="1A90D12F" w:rsidR="002804E0" w:rsidRDefault="00A322D5" w:rsidP="00A322D5">
      <w:pPr>
        <w:jc w:val="both"/>
        <w:rPr>
          <w:rFonts w:ascii="Avenir Next" w:hAnsi="Avenir Next" w:cs="Arial"/>
          <w:color w:val="808080" w:themeColor="background1" w:themeShade="80"/>
          <w:sz w:val="22"/>
          <w:szCs w:val="22"/>
          <w:lang w:val="en-GB"/>
        </w:rPr>
      </w:pPr>
      <w:r w:rsidRPr="00A322D5">
        <w:rPr>
          <w:rFonts w:ascii="Avenir Next" w:hAnsi="Avenir Next" w:cs="Arial"/>
          <w:color w:val="808080" w:themeColor="background1" w:themeShade="80"/>
          <w:sz w:val="22"/>
          <w:szCs w:val="22"/>
          <w:lang w:val="en-GB"/>
        </w:rPr>
        <w:t xml:space="preserve">Common law systems inherited their legal traditions from the common law and equity of England and Wales, and spread to countries such as the United States, Australia, Canada, India, South </w:t>
      </w:r>
      <w:proofErr w:type="gramStart"/>
      <w:r w:rsidRPr="00A322D5">
        <w:rPr>
          <w:rFonts w:ascii="Avenir Next" w:hAnsi="Avenir Next" w:cs="Arial"/>
          <w:color w:val="808080" w:themeColor="background1" w:themeShade="80"/>
          <w:sz w:val="22"/>
          <w:szCs w:val="22"/>
          <w:lang w:val="en-GB"/>
        </w:rPr>
        <w:t>Africa</w:t>
      </w:r>
      <w:proofErr w:type="gramEnd"/>
      <w:r w:rsidRPr="00A322D5">
        <w:rPr>
          <w:rFonts w:ascii="Avenir Next" w:hAnsi="Avenir Next" w:cs="Arial"/>
          <w:color w:val="808080" w:themeColor="background1" w:themeShade="80"/>
          <w:sz w:val="22"/>
          <w:szCs w:val="22"/>
          <w:lang w:val="en-GB"/>
        </w:rPr>
        <w:t xml:space="preserve"> and many former British colonies. These systems tend to adopt a more flexible and pragmatic approach to insolvency law, with a balance between creditor and debtor interests. They also tend to be more generous to debtors who seek rehabilitation and a second chance.</w:t>
      </w:r>
    </w:p>
    <w:p w14:paraId="16ED1618" w14:textId="77777777" w:rsidR="00A322D5" w:rsidRDefault="00A322D5" w:rsidP="00A322D5">
      <w:pPr>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64F8052F" w14:textId="77777777" w:rsidR="00A322D5" w:rsidRDefault="00A322D5" w:rsidP="00A322D5">
      <w:pPr>
        <w:jc w:val="both"/>
        <w:rPr>
          <w:rFonts w:ascii="Avenir Next" w:hAnsi="Avenir Next" w:cs="Arial"/>
          <w:color w:val="808080" w:themeColor="background1" w:themeShade="80"/>
          <w:sz w:val="22"/>
          <w:szCs w:val="22"/>
          <w:lang w:val="en-GB"/>
        </w:rPr>
      </w:pPr>
      <w:r w:rsidRPr="00A322D5">
        <w:rPr>
          <w:rFonts w:ascii="Avenir Next" w:hAnsi="Avenir Next" w:cs="Arial"/>
          <w:color w:val="808080" w:themeColor="background1" w:themeShade="80"/>
          <w:sz w:val="22"/>
          <w:szCs w:val="22"/>
          <w:lang w:val="en-GB"/>
        </w:rPr>
        <w:t>Universalism is the idea that only one insolvency proceeding should take place in the country where the debtor has its main business base (COMI), and that this proceeding should apply to all the debtor's assets and debts, no matter where they are located. This means that the law of the COMI country would govern the whole insolvency process and its effects worldwide.</w:t>
      </w:r>
    </w:p>
    <w:p w14:paraId="77750676" w14:textId="77777777" w:rsidR="00A322D5" w:rsidRPr="00A322D5" w:rsidRDefault="00A322D5" w:rsidP="00A322D5">
      <w:pPr>
        <w:jc w:val="both"/>
        <w:rPr>
          <w:rFonts w:ascii="Avenir Next" w:hAnsi="Avenir Next" w:cs="Arial"/>
          <w:color w:val="808080" w:themeColor="background1" w:themeShade="80"/>
          <w:sz w:val="22"/>
          <w:szCs w:val="22"/>
          <w:lang w:val="en-GB"/>
        </w:rPr>
      </w:pPr>
    </w:p>
    <w:p w14:paraId="19EBBCF6" w14:textId="77777777" w:rsidR="00A322D5" w:rsidRDefault="00A322D5" w:rsidP="00A322D5">
      <w:pPr>
        <w:jc w:val="both"/>
        <w:rPr>
          <w:rFonts w:ascii="Avenir Next" w:hAnsi="Avenir Next" w:cs="Arial"/>
          <w:color w:val="808080" w:themeColor="background1" w:themeShade="80"/>
          <w:sz w:val="22"/>
          <w:szCs w:val="22"/>
          <w:lang w:val="en-GB"/>
        </w:rPr>
      </w:pPr>
      <w:r w:rsidRPr="00A322D5">
        <w:rPr>
          <w:rFonts w:ascii="Avenir Next" w:hAnsi="Avenir Next" w:cs="Arial"/>
          <w:color w:val="808080" w:themeColor="background1" w:themeShade="80"/>
          <w:sz w:val="22"/>
          <w:szCs w:val="22"/>
          <w:lang w:val="en-GB"/>
        </w:rPr>
        <w:t>Territorialism is the opposite idea that each country has the right and power to deal with the debtor's assets and debts within its borders, regardless of the debtor's COMI or any other insolvency proceeding elsewhere. This means that different insolvency proceedings could happen at the same time in different countries, each using its own law and protecting its own interests and creditors, without caring about the impact on the debtor's global situation and the overall outcome for creditors.</w:t>
      </w:r>
    </w:p>
    <w:p w14:paraId="2D620E95" w14:textId="77777777" w:rsidR="00A322D5" w:rsidRPr="00A322D5" w:rsidRDefault="00A322D5" w:rsidP="00A322D5">
      <w:pPr>
        <w:jc w:val="both"/>
        <w:rPr>
          <w:rFonts w:ascii="Avenir Next" w:hAnsi="Avenir Next" w:cs="Arial"/>
          <w:color w:val="808080" w:themeColor="background1" w:themeShade="80"/>
          <w:sz w:val="22"/>
          <w:szCs w:val="22"/>
          <w:lang w:val="en-GB"/>
        </w:rPr>
      </w:pPr>
    </w:p>
    <w:p w14:paraId="66943441" w14:textId="03BCD787" w:rsidR="00284F9C" w:rsidRDefault="00A322D5" w:rsidP="00A322D5">
      <w:pPr>
        <w:jc w:val="both"/>
        <w:rPr>
          <w:rFonts w:ascii="Avenir Next" w:hAnsi="Avenir Next" w:cs="Arial"/>
          <w:color w:val="808080" w:themeColor="background1" w:themeShade="80"/>
          <w:sz w:val="22"/>
          <w:szCs w:val="22"/>
          <w:lang w:val="en-GB"/>
        </w:rPr>
      </w:pPr>
      <w:r w:rsidRPr="00A322D5">
        <w:rPr>
          <w:rFonts w:ascii="Avenir Next" w:hAnsi="Avenir Next" w:cs="Arial"/>
          <w:color w:val="808080" w:themeColor="background1" w:themeShade="80"/>
          <w:sz w:val="22"/>
          <w:szCs w:val="22"/>
          <w:lang w:val="en-GB"/>
        </w:rPr>
        <w:t xml:space="preserve">Modified universalism is a middle ground between universalism and territorialism that allows for a main insolvency proceeding in the COMI country, but also accepts the possibility of other proceedings in countries where the debtor has some assets or interests. This means that the courts and authorities involved in the different proceedings </w:t>
      </w:r>
      <w:proofErr w:type="gramStart"/>
      <w:r w:rsidRPr="00A322D5">
        <w:rPr>
          <w:rFonts w:ascii="Avenir Next" w:hAnsi="Avenir Next" w:cs="Arial"/>
          <w:color w:val="808080" w:themeColor="background1" w:themeShade="80"/>
          <w:sz w:val="22"/>
          <w:szCs w:val="22"/>
          <w:lang w:val="en-GB"/>
        </w:rPr>
        <w:t>have to</w:t>
      </w:r>
      <w:proofErr w:type="gramEnd"/>
      <w:r w:rsidRPr="00A322D5">
        <w:rPr>
          <w:rFonts w:ascii="Avenir Next" w:hAnsi="Avenir Next" w:cs="Arial"/>
          <w:color w:val="808080" w:themeColor="background1" w:themeShade="80"/>
          <w:sz w:val="22"/>
          <w:szCs w:val="22"/>
          <w:lang w:val="en-GB"/>
        </w:rPr>
        <w:t xml:space="preserve"> work together and co-ordinate their actions, and that they respect the differences and independence of national insolvency laws.</w:t>
      </w:r>
    </w:p>
    <w:p w14:paraId="1BCA0C3C" w14:textId="77777777" w:rsidR="00A322D5" w:rsidRPr="004216EA" w:rsidRDefault="00A322D5" w:rsidP="00A322D5">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4144AF91" w14:textId="77777777" w:rsidR="00A322D5" w:rsidRPr="00A322D5" w:rsidRDefault="00A322D5" w:rsidP="00A322D5">
      <w:pPr>
        <w:rPr>
          <w:rFonts w:ascii="Avenir Next" w:hAnsi="Avenir Next" w:cs="Arial"/>
          <w:color w:val="808080" w:themeColor="background1" w:themeShade="80"/>
          <w:sz w:val="22"/>
          <w:szCs w:val="22"/>
          <w:lang w:val="en-GB"/>
        </w:rPr>
      </w:pPr>
      <w:r w:rsidRPr="00A322D5">
        <w:rPr>
          <w:rFonts w:ascii="Avenir Next" w:hAnsi="Avenir Next" w:cs="Arial"/>
          <w:color w:val="808080" w:themeColor="background1" w:themeShade="80"/>
          <w:sz w:val="22"/>
          <w:szCs w:val="22"/>
          <w:lang w:val="en-GB"/>
        </w:rPr>
        <w:t>To address the challenges of international insolvency, Latin America has undertaken several initiatives, such as:</w:t>
      </w:r>
    </w:p>
    <w:p w14:paraId="031014C9" w14:textId="77777777" w:rsidR="00A322D5" w:rsidRPr="00A322D5" w:rsidRDefault="00A322D5" w:rsidP="00A322D5">
      <w:pPr>
        <w:rPr>
          <w:rFonts w:ascii="Avenir Next" w:hAnsi="Avenir Next" w:cs="Arial"/>
          <w:color w:val="808080" w:themeColor="background1" w:themeShade="80"/>
          <w:sz w:val="22"/>
          <w:szCs w:val="22"/>
          <w:lang w:val="en-GB"/>
        </w:rPr>
      </w:pPr>
    </w:p>
    <w:p w14:paraId="1AFA24F6" w14:textId="77777777" w:rsidR="00A322D5" w:rsidRPr="00A322D5" w:rsidRDefault="00A322D5" w:rsidP="00A322D5">
      <w:pPr>
        <w:pStyle w:val="ListParagraph"/>
        <w:numPr>
          <w:ilvl w:val="0"/>
          <w:numId w:val="35"/>
        </w:numPr>
        <w:rPr>
          <w:rFonts w:ascii="Avenir Next" w:hAnsi="Avenir Next" w:cs="Arial"/>
          <w:color w:val="808080" w:themeColor="background1" w:themeShade="80"/>
          <w:sz w:val="22"/>
          <w:szCs w:val="22"/>
          <w:lang w:val="en-GB"/>
        </w:rPr>
      </w:pPr>
      <w:r w:rsidRPr="00A322D5">
        <w:rPr>
          <w:rFonts w:ascii="Avenir Next" w:hAnsi="Avenir Next" w:cs="Arial"/>
          <w:color w:val="808080" w:themeColor="background1" w:themeShade="80"/>
          <w:sz w:val="22"/>
          <w:szCs w:val="22"/>
          <w:lang w:val="en-GB"/>
        </w:rPr>
        <w:t>The Montevideo Treaties of 1889 and 1940, which set up a system for recognizing and enforcing bankruptcy and insolvency judgments among six states, based on where the debtor had its commercial domicile or its independent businesses.</w:t>
      </w:r>
    </w:p>
    <w:p w14:paraId="09689EDB" w14:textId="77777777" w:rsidR="00A322D5" w:rsidRPr="00A322D5" w:rsidRDefault="00A322D5" w:rsidP="00A322D5">
      <w:pPr>
        <w:pStyle w:val="ListParagraph"/>
        <w:numPr>
          <w:ilvl w:val="0"/>
          <w:numId w:val="35"/>
        </w:numPr>
        <w:rPr>
          <w:rFonts w:ascii="Avenir Next" w:hAnsi="Avenir Next" w:cs="Arial"/>
          <w:color w:val="808080" w:themeColor="background1" w:themeShade="80"/>
          <w:sz w:val="22"/>
          <w:szCs w:val="22"/>
          <w:lang w:val="en-GB"/>
        </w:rPr>
      </w:pPr>
      <w:r w:rsidRPr="00A322D5">
        <w:rPr>
          <w:rFonts w:ascii="Avenir Next" w:hAnsi="Avenir Next" w:cs="Arial"/>
          <w:color w:val="808080" w:themeColor="background1" w:themeShade="80"/>
          <w:sz w:val="22"/>
          <w:szCs w:val="22"/>
          <w:lang w:val="en-GB"/>
        </w:rPr>
        <w:t xml:space="preserve">The Havana Convention on Private International Law (Bustamante Code) of 1928, which established a common framework for bankruptcy and insolvency proceedings among 15 </w:t>
      </w:r>
      <w:r w:rsidRPr="00A322D5">
        <w:rPr>
          <w:rFonts w:ascii="Avenir Next" w:hAnsi="Avenir Next" w:cs="Arial"/>
          <w:color w:val="808080" w:themeColor="background1" w:themeShade="80"/>
          <w:sz w:val="22"/>
          <w:szCs w:val="22"/>
          <w:lang w:val="en-GB"/>
        </w:rPr>
        <w:lastRenderedPageBreak/>
        <w:t>Latin and Middle American states, based on where the debtor had its civil or commercial domicile and applying the law of that place to the effects of the proceedings.</w:t>
      </w:r>
    </w:p>
    <w:p w14:paraId="211D3F06" w14:textId="77777777" w:rsidR="00A322D5" w:rsidRPr="00A322D5" w:rsidRDefault="00A322D5" w:rsidP="00A322D5">
      <w:pPr>
        <w:rPr>
          <w:rFonts w:ascii="Avenir Next" w:hAnsi="Avenir Next" w:cs="Arial"/>
          <w:color w:val="808080" w:themeColor="background1" w:themeShade="80"/>
          <w:sz w:val="22"/>
          <w:szCs w:val="22"/>
          <w:lang w:val="en-GB"/>
        </w:rPr>
      </w:pPr>
    </w:p>
    <w:p w14:paraId="0DA2E57E" w14:textId="495FD0E6" w:rsidR="00A322D5" w:rsidRPr="00A322D5" w:rsidRDefault="00A322D5" w:rsidP="00A322D5">
      <w:pPr>
        <w:pStyle w:val="ListParagraph"/>
        <w:numPr>
          <w:ilvl w:val="0"/>
          <w:numId w:val="35"/>
        </w:numPr>
        <w:rPr>
          <w:rFonts w:ascii="Avenir Next" w:hAnsi="Avenir Next" w:cs="Arial"/>
          <w:color w:val="808080" w:themeColor="background1" w:themeShade="80"/>
          <w:sz w:val="22"/>
          <w:szCs w:val="22"/>
          <w:lang w:val="en-GB"/>
        </w:rPr>
      </w:pPr>
      <w:r w:rsidRPr="00A322D5">
        <w:rPr>
          <w:rFonts w:ascii="Avenir Next" w:hAnsi="Avenir Next" w:cs="Arial"/>
          <w:color w:val="808080" w:themeColor="background1" w:themeShade="80"/>
          <w:sz w:val="22"/>
          <w:szCs w:val="22"/>
          <w:lang w:val="en-GB"/>
        </w:rPr>
        <w:t xml:space="preserve">The adoption of the </w:t>
      </w:r>
      <w:proofErr w:type="spellStart"/>
      <w:r w:rsidRPr="00A322D5">
        <w:rPr>
          <w:rFonts w:ascii="Avenir Next" w:hAnsi="Avenir Next" w:cs="Arial"/>
          <w:color w:val="808080" w:themeColor="background1" w:themeShade="80"/>
          <w:sz w:val="22"/>
          <w:szCs w:val="22"/>
          <w:lang w:val="en-GB"/>
        </w:rPr>
        <w:t>UNCITRAL</w:t>
      </w:r>
      <w:proofErr w:type="spellEnd"/>
      <w:r w:rsidRPr="00A322D5">
        <w:rPr>
          <w:rFonts w:ascii="Avenir Next" w:hAnsi="Avenir Next" w:cs="Arial"/>
          <w:color w:val="808080" w:themeColor="background1" w:themeShade="80"/>
          <w:sz w:val="22"/>
          <w:szCs w:val="22"/>
          <w:lang w:val="en-GB"/>
        </w:rPr>
        <w:t xml:space="preserve"> Model Law on Cross-Border Insolvency by some Latin American states, such as Mexico, Chile, Colombia, </w:t>
      </w:r>
      <w:proofErr w:type="gramStart"/>
      <w:r w:rsidRPr="00A322D5">
        <w:rPr>
          <w:rFonts w:ascii="Avenir Next" w:hAnsi="Avenir Next" w:cs="Arial"/>
          <w:color w:val="808080" w:themeColor="background1" w:themeShade="80"/>
          <w:sz w:val="22"/>
          <w:szCs w:val="22"/>
          <w:lang w:val="en-GB"/>
        </w:rPr>
        <w:t>Peru</w:t>
      </w:r>
      <w:proofErr w:type="gramEnd"/>
      <w:r w:rsidRPr="00A322D5">
        <w:rPr>
          <w:rFonts w:ascii="Avenir Next" w:hAnsi="Avenir Next" w:cs="Arial"/>
          <w:color w:val="808080" w:themeColor="background1" w:themeShade="80"/>
          <w:sz w:val="22"/>
          <w:szCs w:val="22"/>
          <w:lang w:val="en-GB"/>
        </w:rPr>
        <w:t xml:space="preserve"> and Panama.</w:t>
      </w:r>
    </w:p>
    <w:p w14:paraId="4E6E767E" w14:textId="77777777" w:rsidR="00A322D5" w:rsidRDefault="00A322D5" w:rsidP="00A322D5">
      <w:pPr>
        <w:rPr>
          <w:rFonts w:ascii="Avenir Next" w:hAnsi="Avenir Next" w:cs="Arial"/>
          <w:color w:val="808080" w:themeColor="background1" w:themeShade="80"/>
          <w:sz w:val="22"/>
          <w:szCs w:val="22"/>
          <w:lang w:val="en-GB"/>
        </w:rPr>
      </w:pPr>
    </w:p>
    <w:p w14:paraId="3D4AD383" w14:textId="036ED859" w:rsidR="00A322D5" w:rsidRPr="00A322D5" w:rsidRDefault="00A322D5" w:rsidP="00A322D5">
      <w:pPr>
        <w:rPr>
          <w:rFonts w:ascii="Avenir Next" w:hAnsi="Avenir Next" w:cs="Arial"/>
          <w:color w:val="808080" w:themeColor="background1" w:themeShade="80"/>
          <w:sz w:val="22"/>
          <w:szCs w:val="22"/>
          <w:lang w:val="en-GB"/>
        </w:rPr>
      </w:pPr>
      <w:r w:rsidRPr="00A322D5">
        <w:rPr>
          <w:rFonts w:ascii="Avenir Next" w:hAnsi="Avenir Next" w:cs="Arial"/>
          <w:color w:val="808080" w:themeColor="background1" w:themeShade="80"/>
          <w:sz w:val="22"/>
          <w:szCs w:val="22"/>
          <w:lang w:val="en-GB"/>
        </w:rPr>
        <w:t>These initiatives differ in several ways:</w:t>
      </w:r>
    </w:p>
    <w:p w14:paraId="7AA12007" w14:textId="77777777" w:rsidR="00A322D5" w:rsidRPr="00A322D5" w:rsidRDefault="00A322D5" w:rsidP="00A322D5">
      <w:pPr>
        <w:rPr>
          <w:rFonts w:ascii="Avenir Next" w:hAnsi="Avenir Next" w:cs="Arial"/>
          <w:color w:val="808080" w:themeColor="background1" w:themeShade="80"/>
          <w:sz w:val="22"/>
          <w:szCs w:val="22"/>
          <w:lang w:val="en-GB"/>
        </w:rPr>
      </w:pPr>
    </w:p>
    <w:p w14:paraId="1256ABC6" w14:textId="7464D531" w:rsidR="00A322D5" w:rsidRDefault="00A322D5" w:rsidP="00A322D5">
      <w:pPr>
        <w:pStyle w:val="ListParagraph"/>
        <w:numPr>
          <w:ilvl w:val="0"/>
          <w:numId w:val="36"/>
        </w:numPr>
        <w:rPr>
          <w:rFonts w:ascii="Avenir Next" w:hAnsi="Avenir Next" w:cs="Arial"/>
          <w:color w:val="808080" w:themeColor="background1" w:themeShade="80"/>
          <w:sz w:val="22"/>
          <w:szCs w:val="22"/>
          <w:lang w:val="en-GB"/>
        </w:rPr>
      </w:pPr>
      <w:r w:rsidRPr="00A322D5">
        <w:rPr>
          <w:rFonts w:ascii="Avenir Next" w:hAnsi="Avenir Next" w:cs="Arial"/>
          <w:color w:val="808080" w:themeColor="background1" w:themeShade="80"/>
          <w:sz w:val="22"/>
          <w:szCs w:val="22"/>
          <w:lang w:val="en-GB"/>
        </w:rPr>
        <w:t>The Montevideo Treaties and the Havana Convention are binding treaties that create uniform rules of private international law for the contracting states, while the Model Law is a non-binding template that states can adapt to their own insolvency laws.</w:t>
      </w:r>
    </w:p>
    <w:p w14:paraId="0895C2F5" w14:textId="77777777" w:rsidR="009D30C0" w:rsidRPr="00A322D5" w:rsidRDefault="009D30C0" w:rsidP="009D30C0">
      <w:pPr>
        <w:pStyle w:val="ListParagraph"/>
        <w:rPr>
          <w:rFonts w:ascii="Avenir Next" w:hAnsi="Avenir Next" w:cs="Arial"/>
          <w:color w:val="808080" w:themeColor="background1" w:themeShade="80"/>
          <w:sz w:val="22"/>
          <w:szCs w:val="22"/>
          <w:lang w:val="en-GB"/>
        </w:rPr>
      </w:pPr>
    </w:p>
    <w:p w14:paraId="22088EE4" w14:textId="77777777" w:rsidR="00A322D5" w:rsidRPr="00A322D5" w:rsidRDefault="00A322D5" w:rsidP="00A322D5">
      <w:pPr>
        <w:pStyle w:val="ListParagraph"/>
        <w:numPr>
          <w:ilvl w:val="0"/>
          <w:numId w:val="36"/>
        </w:numPr>
        <w:rPr>
          <w:rFonts w:ascii="Avenir Next" w:hAnsi="Avenir Next" w:cs="Arial"/>
          <w:color w:val="808080" w:themeColor="background1" w:themeShade="80"/>
          <w:sz w:val="22"/>
          <w:szCs w:val="22"/>
          <w:lang w:val="en-GB"/>
        </w:rPr>
      </w:pPr>
      <w:r w:rsidRPr="00A322D5">
        <w:rPr>
          <w:rFonts w:ascii="Avenir Next" w:hAnsi="Avenir Next" w:cs="Arial"/>
          <w:color w:val="808080" w:themeColor="background1" w:themeShade="80"/>
          <w:sz w:val="22"/>
          <w:szCs w:val="22"/>
          <w:lang w:val="en-GB"/>
        </w:rPr>
        <w:t>The Montevideo Treaties and the Havana Convention follow a territorial approach to jurisdiction and recognition, based on the debtor's domicile or establishment, while the Model Law follows a universalist approach, based on the debtor's centre of main interests and the principle of cooperation among courts and insolvency representatives.</w:t>
      </w:r>
    </w:p>
    <w:p w14:paraId="269EDAB4" w14:textId="77777777" w:rsidR="00A322D5" w:rsidRPr="00A322D5" w:rsidRDefault="00A322D5" w:rsidP="00A322D5">
      <w:pPr>
        <w:rPr>
          <w:rFonts w:ascii="Avenir Next" w:hAnsi="Avenir Next" w:cs="Arial"/>
          <w:color w:val="808080" w:themeColor="background1" w:themeShade="80"/>
          <w:sz w:val="22"/>
          <w:szCs w:val="22"/>
          <w:lang w:val="en-GB"/>
        </w:rPr>
      </w:pPr>
    </w:p>
    <w:p w14:paraId="1068D452" w14:textId="276B166F" w:rsidR="00AC411E" w:rsidRPr="00A322D5" w:rsidRDefault="00A322D5" w:rsidP="00A322D5">
      <w:pPr>
        <w:pStyle w:val="ListParagraph"/>
        <w:numPr>
          <w:ilvl w:val="0"/>
          <w:numId w:val="36"/>
        </w:numPr>
        <w:jc w:val="both"/>
        <w:rPr>
          <w:rFonts w:ascii="Avenir Next" w:hAnsi="Avenir Next" w:cs="Arial"/>
          <w:color w:val="808080" w:themeColor="background1" w:themeShade="80"/>
          <w:sz w:val="22"/>
          <w:szCs w:val="22"/>
          <w:lang w:val="en-GB"/>
        </w:rPr>
      </w:pPr>
      <w:r w:rsidRPr="00A322D5">
        <w:rPr>
          <w:rFonts w:ascii="Avenir Next" w:hAnsi="Avenir Next" w:cs="Arial"/>
          <w:color w:val="808080" w:themeColor="background1" w:themeShade="80"/>
          <w:sz w:val="22"/>
          <w:szCs w:val="22"/>
          <w:lang w:val="en-GB"/>
        </w:rPr>
        <w:t>The Montevideo Treaties and the Havana Convention do not have specific mechanisms for cooperation or coordination among concurrent proceedings, while the Model Law has detailed provisions for communication, coordination and cooperation among courts and insolvency representatives in cross-border cases.</w:t>
      </w:r>
    </w:p>
    <w:p w14:paraId="0865E03E" w14:textId="77777777" w:rsidR="00A322D5" w:rsidRPr="004216EA" w:rsidRDefault="00A322D5" w:rsidP="00A322D5">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41B21B78" w14:textId="77777777" w:rsidR="009D30C0" w:rsidRPr="009D30C0" w:rsidRDefault="009D30C0" w:rsidP="009D30C0">
      <w:pPr>
        <w:rPr>
          <w:rFonts w:ascii="Avenir Next" w:hAnsi="Avenir Next" w:cs="Arial"/>
          <w:color w:val="808080" w:themeColor="background1" w:themeShade="80"/>
          <w:sz w:val="22"/>
          <w:szCs w:val="22"/>
          <w:lang w:val="en-GB"/>
        </w:rPr>
      </w:pPr>
      <w:r w:rsidRPr="009D30C0">
        <w:rPr>
          <w:rFonts w:ascii="Avenir Next" w:hAnsi="Avenir Next" w:cs="Arial"/>
          <w:color w:val="808080" w:themeColor="background1" w:themeShade="80"/>
          <w:sz w:val="22"/>
          <w:szCs w:val="22"/>
          <w:lang w:val="en-GB"/>
        </w:rPr>
        <w:t>I do not agree that the terms "bankruptcy" and "insolvency" can be used interchangeably, because they may have different meanings and implications depending on the context and the legal system. In general, both terms refer to the situation where a debtor cannot pay his or her debts as they fall due, but there are some nuances and distinctions that I will explain below.</w:t>
      </w:r>
    </w:p>
    <w:p w14:paraId="68D4ABA0" w14:textId="77777777" w:rsidR="009D30C0" w:rsidRPr="009D30C0" w:rsidRDefault="009D30C0" w:rsidP="009D30C0">
      <w:pPr>
        <w:rPr>
          <w:rFonts w:ascii="Avenir Next" w:hAnsi="Avenir Next" w:cs="Arial"/>
          <w:color w:val="808080" w:themeColor="background1" w:themeShade="80"/>
          <w:sz w:val="22"/>
          <w:szCs w:val="22"/>
          <w:lang w:val="en-GB"/>
        </w:rPr>
      </w:pPr>
    </w:p>
    <w:p w14:paraId="41C8FB95" w14:textId="4D510F53" w:rsidR="009D30C0" w:rsidRPr="009D30C0" w:rsidRDefault="009D30C0" w:rsidP="009D30C0">
      <w:pPr>
        <w:rPr>
          <w:rFonts w:ascii="Avenir Next" w:hAnsi="Avenir Next" w:cs="Arial"/>
          <w:color w:val="808080" w:themeColor="background1" w:themeShade="80"/>
          <w:sz w:val="22"/>
          <w:szCs w:val="22"/>
          <w:lang w:val="en-GB"/>
        </w:rPr>
      </w:pPr>
      <w:r w:rsidRPr="009D30C0">
        <w:rPr>
          <w:rFonts w:ascii="Avenir Next" w:hAnsi="Avenir Next" w:cs="Arial"/>
          <w:color w:val="808080" w:themeColor="background1" w:themeShade="80"/>
          <w:sz w:val="22"/>
          <w:szCs w:val="22"/>
          <w:lang w:val="en-GB"/>
        </w:rPr>
        <w:t xml:space="preserve">One way to look at the difference between the terms is to think of "insolvency" as a financial condition and "bankruptcy" as a legal status or procedure. A debtor is insolvent when </w:t>
      </w:r>
      <w:r>
        <w:rPr>
          <w:rFonts w:ascii="Avenir Next" w:hAnsi="Avenir Next" w:cs="Arial"/>
          <w:color w:val="808080" w:themeColor="background1" w:themeShade="80"/>
          <w:sz w:val="22"/>
          <w:szCs w:val="22"/>
          <w:lang w:val="en-GB"/>
        </w:rPr>
        <w:t>their</w:t>
      </w:r>
      <w:r w:rsidRPr="009D30C0">
        <w:rPr>
          <w:rFonts w:ascii="Avenir Next" w:hAnsi="Avenir Next" w:cs="Arial"/>
          <w:color w:val="808080" w:themeColor="background1" w:themeShade="80"/>
          <w:sz w:val="22"/>
          <w:szCs w:val="22"/>
          <w:lang w:val="en-GB"/>
        </w:rPr>
        <w:t xml:space="preserve"> liabilities exceed </w:t>
      </w:r>
      <w:r>
        <w:rPr>
          <w:rFonts w:ascii="Avenir Next" w:hAnsi="Avenir Next" w:cs="Arial"/>
          <w:color w:val="808080" w:themeColor="background1" w:themeShade="80"/>
          <w:sz w:val="22"/>
          <w:szCs w:val="22"/>
          <w:lang w:val="en-GB"/>
        </w:rPr>
        <w:t>their</w:t>
      </w:r>
      <w:r w:rsidRPr="009D30C0">
        <w:rPr>
          <w:rFonts w:ascii="Avenir Next" w:hAnsi="Avenir Next" w:cs="Arial"/>
          <w:color w:val="808080" w:themeColor="background1" w:themeShade="80"/>
          <w:sz w:val="22"/>
          <w:szCs w:val="22"/>
          <w:lang w:val="en-GB"/>
        </w:rPr>
        <w:t xml:space="preserve"> assets, or when </w:t>
      </w:r>
      <w:r>
        <w:rPr>
          <w:rFonts w:ascii="Avenir Next" w:hAnsi="Avenir Next" w:cs="Arial"/>
          <w:color w:val="808080" w:themeColor="background1" w:themeShade="80"/>
          <w:sz w:val="22"/>
          <w:szCs w:val="22"/>
          <w:lang w:val="en-GB"/>
        </w:rPr>
        <w:t>they do</w:t>
      </w:r>
      <w:r w:rsidRPr="009D30C0">
        <w:rPr>
          <w:rFonts w:ascii="Avenir Next" w:hAnsi="Avenir Next" w:cs="Arial"/>
          <w:color w:val="808080" w:themeColor="background1" w:themeShade="80"/>
          <w:sz w:val="22"/>
          <w:szCs w:val="22"/>
          <w:lang w:val="en-GB"/>
        </w:rPr>
        <w:t xml:space="preserve"> not have enough cash flow to meet current obligations. A debtor is bankrupt when </w:t>
      </w:r>
      <w:r>
        <w:rPr>
          <w:rFonts w:ascii="Avenir Next" w:hAnsi="Avenir Next" w:cs="Arial"/>
          <w:color w:val="808080" w:themeColor="background1" w:themeShade="80"/>
          <w:sz w:val="22"/>
          <w:szCs w:val="22"/>
          <w:lang w:val="en-GB"/>
        </w:rPr>
        <w:t>they</w:t>
      </w:r>
      <w:r w:rsidRPr="009D30C0">
        <w:rPr>
          <w:rFonts w:ascii="Avenir Next" w:hAnsi="Avenir Next" w:cs="Arial"/>
          <w:color w:val="808080" w:themeColor="background1" w:themeShade="80"/>
          <w:sz w:val="22"/>
          <w:szCs w:val="22"/>
          <w:lang w:val="en-GB"/>
        </w:rPr>
        <w:t xml:space="preserve"> go through a legal process to seek relief from </w:t>
      </w:r>
      <w:r>
        <w:rPr>
          <w:rFonts w:ascii="Avenir Next" w:hAnsi="Avenir Next" w:cs="Arial"/>
          <w:color w:val="808080" w:themeColor="background1" w:themeShade="80"/>
          <w:sz w:val="22"/>
          <w:szCs w:val="22"/>
          <w:lang w:val="en-GB"/>
        </w:rPr>
        <w:t>their</w:t>
      </w:r>
      <w:r w:rsidRPr="009D30C0">
        <w:rPr>
          <w:rFonts w:ascii="Avenir Next" w:hAnsi="Avenir Next" w:cs="Arial"/>
          <w:color w:val="808080" w:themeColor="background1" w:themeShade="80"/>
          <w:sz w:val="22"/>
          <w:szCs w:val="22"/>
          <w:lang w:val="en-GB"/>
        </w:rPr>
        <w:t xml:space="preserve"> creditors. Therefore, insolvency is a prerequisite for bankruptcy, but not every insolvent debtor may file for bankruptcy, and not every bankrupt debtor may be insolvent at the time of filing.</w:t>
      </w:r>
    </w:p>
    <w:p w14:paraId="56685087" w14:textId="77777777" w:rsidR="009D30C0" w:rsidRPr="009D30C0" w:rsidRDefault="009D30C0" w:rsidP="009D30C0">
      <w:pPr>
        <w:rPr>
          <w:rFonts w:ascii="Avenir Next" w:hAnsi="Avenir Next" w:cs="Arial"/>
          <w:color w:val="808080" w:themeColor="background1" w:themeShade="80"/>
          <w:sz w:val="22"/>
          <w:szCs w:val="22"/>
          <w:lang w:val="en-GB"/>
        </w:rPr>
      </w:pPr>
    </w:p>
    <w:p w14:paraId="7AE63D3B" w14:textId="73D03858" w:rsidR="009D30C0" w:rsidRPr="009D30C0" w:rsidRDefault="009D30C0" w:rsidP="009D30C0">
      <w:pPr>
        <w:rPr>
          <w:rFonts w:ascii="Avenir Next" w:hAnsi="Avenir Next" w:cs="Arial"/>
          <w:color w:val="808080" w:themeColor="background1" w:themeShade="80"/>
          <w:sz w:val="22"/>
          <w:szCs w:val="22"/>
          <w:lang w:val="en-GB"/>
        </w:rPr>
      </w:pPr>
      <w:r w:rsidRPr="009D30C0">
        <w:rPr>
          <w:rFonts w:ascii="Avenir Next" w:hAnsi="Avenir Next" w:cs="Arial"/>
          <w:color w:val="808080" w:themeColor="background1" w:themeShade="80"/>
          <w:sz w:val="22"/>
          <w:szCs w:val="22"/>
          <w:lang w:val="en-GB"/>
        </w:rPr>
        <w:t>Another way to look at the difference between the terms is to think of "bankruptcy" as a term that only applies to individuals, and "insolvency" as a term that applies to both individuals and corporations. This may reflect the historical origins of the terms, as bankruptcy was originally a collective debt-collecting mechanism that applied to merchants or traders, while insolvency was a broader concept that could apply to any debtor.</w:t>
      </w:r>
    </w:p>
    <w:p w14:paraId="6DC7F9BD" w14:textId="77777777" w:rsidR="009D30C0" w:rsidRPr="009D30C0" w:rsidRDefault="009D30C0" w:rsidP="009D30C0">
      <w:pPr>
        <w:rPr>
          <w:rFonts w:ascii="Avenir Next" w:hAnsi="Avenir Next" w:cs="Arial"/>
          <w:color w:val="808080" w:themeColor="background1" w:themeShade="80"/>
          <w:sz w:val="22"/>
          <w:szCs w:val="22"/>
          <w:lang w:val="en-GB"/>
        </w:rPr>
      </w:pPr>
    </w:p>
    <w:p w14:paraId="0DCFD5B9" w14:textId="3AE4EDD5" w:rsidR="00DD526C" w:rsidRDefault="009D30C0" w:rsidP="009D30C0">
      <w:pPr>
        <w:jc w:val="both"/>
        <w:rPr>
          <w:rFonts w:ascii="Avenir Next" w:hAnsi="Avenir Next" w:cs="Arial"/>
          <w:color w:val="808080" w:themeColor="background1" w:themeShade="80"/>
          <w:sz w:val="22"/>
          <w:szCs w:val="22"/>
          <w:lang w:val="en-GB"/>
        </w:rPr>
      </w:pPr>
      <w:r w:rsidRPr="009D30C0">
        <w:rPr>
          <w:rFonts w:ascii="Avenir Next" w:hAnsi="Avenir Next" w:cs="Arial"/>
          <w:color w:val="808080" w:themeColor="background1" w:themeShade="80"/>
          <w:sz w:val="22"/>
          <w:szCs w:val="22"/>
          <w:lang w:val="en-GB"/>
        </w:rPr>
        <w:lastRenderedPageBreak/>
        <w:t>In summary, the terms "bankruptcy" and "insolvency" may not be used interchangeably in some contexts and legal systems, because they may have different meanings and implications. Therefore, it is important to be aware of the specific definitions and characteristics of the terms in the relevant jurisdiction.</w:t>
      </w:r>
      <w:r>
        <w:rPr>
          <w:rFonts w:ascii="Avenir Next" w:hAnsi="Avenir Next" w:cs="Arial"/>
          <w:color w:val="808080" w:themeColor="background1" w:themeShade="80"/>
          <w:sz w:val="22"/>
          <w:szCs w:val="22"/>
          <w:lang w:val="en-GB"/>
        </w:rPr>
        <w:t xml:space="preserve"> </w:t>
      </w:r>
    </w:p>
    <w:p w14:paraId="0EE5A3EB" w14:textId="77777777" w:rsidR="00384C2A" w:rsidRPr="001F5204" w:rsidRDefault="00384C2A" w:rsidP="00384C2A">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58DC1955" w14:textId="3EF109D4" w:rsidR="00384C2A" w:rsidRDefault="009D30C0" w:rsidP="00384C2A">
      <w:pPr>
        <w:jc w:val="both"/>
        <w:rPr>
          <w:rFonts w:ascii="Avenir Next" w:hAnsi="Avenir Next" w:cs="Arial"/>
          <w:color w:val="808080" w:themeColor="background1" w:themeShade="80"/>
          <w:sz w:val="22"/>
          <w:szCs w:val="22"/>
          <w:lang w:val="en-GB"/>
        </w:rPr>
      </w:pPr>
      <w:r w:rsidRPr="009D30C0">
        <w:rPr>
          <w:rFonts w:ascii="Avenir Next" w:hAnsi="Avenir Next" w:cs="Arial"/>
          <w:color w:val="808080" w:themeColor="background1" w:themeShade="80"/>
          <w:sz w:val="22"/>
          <w:szCs w:val="22"/>
          <w:lang w:val="en-GB"/>
        </w:rPr>
        <w:t xml:space="preserve">Cross-border insolvency poses many challenges that make it hard to create a single global system for dealing with it. One challenge is the variety of the insolvency laws in different countries, which are shaped by their own legal systems, </w:t>
      </w:r>
      <w:proofErr w:type="gramStart"/>
      <w:r w:rsidRPr="009D30C0">
        <w:rPr>
          <w:rFonts w:ascii="Avenir Next" w:hAnsi="Avenir Next" w:cs="Arial"/>
          <w:color w:val="808080" w:themeColor="background1" w:themeShade="80"/>
          <w:sz w:val="22"/>
          <w:szCs w:val="22"/>
          <w:lang w:val="en-GB"/>
        </w:rPr>
        <w:t>goals,  and</w:t>
      </w:r>
      <w:proofErr w:type="gramEnd"/>
      <w:r w:rsidRPr="009D30C0">
        <w:rPr>
          <w:rFonts w:ascii="Avenir Next" w:hAnsi="Avenir Next" w:cs="Arial"/>
          <w:color w:val="808080" w:themeColor="background1" w:themeShade="80"/>
          <w:sz w:val="22"/>
          <w:szCs w:val="22"/>
          <w:lang w:val="en-GB"/>
        </w:rPr>
        <w:t xml:space="preserve"> values. To align these laws, States would need to agree on a lot of issues and give up some control over their own insolvency rules. Another challenge is the absence of a global court or body that can oversee and enforce cross-border insolvency cases, especially when the debtor has assets, creditors, operations, or contracts in more than one country. This makes it difficult for courts and insolvency professionals to work together and to respect and follow foreign insolvency decisions and orders. A third challenge is the possibility of conflicts among the parties involved in cross-border insolvency cases, such as creditors, debtors, shareholders, employees, regulators, and tax authorities. These parties may have different interests for the insolvency </w:t>
      </w:r>
      <w:proofErr w:type="gramStart"/>
      <w:r w:rsidRPr="009D30C0">
        <w:rPr>
          <w:rFonts w:ascii="Avenir Next" w:hAnsi="Avenir Next" w:cs="Arial"/>
          <w:color w:val="808080" w:themeColor="background1" w:themeShade="80"/>
          <w:sz w:val="22"/>
          <w:szCs w:val="22"/>
          <w:lang w:val="en-GB"/>
        </w:rPr>
        <w:t>outcome, and</w:t>
      </w:r>
      <w:proofErr w:type="gramEnd"/>
      <w:r w:rsidRPr="009D30C0">
        <w:rPr>
          <w:rFonts w:ascii="Avenir Next" w:hAnsi="Avenir Next" w:cs="Arial"/>
          <w:color w:val="808080" w:themeColor="background1" w:themeShade="80"/>
          <w:sz w:val="22"/>
          <w:szCs w:val="22"/>
          <w:lang w:val="en-GB"/>
        </w:rPr>
        <w:t xml:space="preserve"> may try to use or abuse the choice of forum</w:t>
      </w:r>
      <w:r>
        <w:rPr>
          <w:rFonts w:ascii="Avenir Next" w:hAnsi="Avenir Next" w:cs="Arial"/>
          <w:color w:val="808080" w:themeColor="background1" w:themeShade="80"/>
          <w:sz w:val="22"/>
          <w:szCs w:val="22"/>
          <w:lang w:val="en-GB"/>
        </w:rPr>
        <w:t xml:space="preserve"> </w:t>
      </w:r>
      <w:r w:rsidRPr="009D30C0">
        <w:rPr>
          <w:rFonts w:ascii="Avenir Next" w:hAnsi="Avenir Next" w:cs="Arial"/>
          <w:color w:val="808080" w:themeColor="background1" w:themeShade="80"/>
          <w:sz w:val="22"/>
          <w:szCs w:val="22"/>
          <w:lang w:val="en-GB"/>
        </w:rPr>
        <w:t>to their benefit. This may result in forum shopping, asset shifting, fraud, or evasion of liabilities.</w:t>
      </w:r>
    </w:p>
    <w:p w14:paraId="09EE9AC3" w14:textId="77777777" w:rsidR="009D30C0" w:rsidRPr="004216EA" w:rsidRDefault="009D30C0" w:rsidP="00384C2A">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6940CAD5" w14:textId="544DAD39" w:rsidR="009D30C0" w:rsidRPr="009D30C0" w:rsidRDefault="009D30C0" w:rsidP="009D30C0">
      <w:pPr>
        <w:rPr>
          <w:rFonts w:ascii="Avenir Next" w:hAnsi="Avenir Next" w:cs="Arial"/>
          <w:color w:val="808080" w:themeColor="background1" w:themeShade="80"/>
          <w:sz w:val="22"/>
          <w:szCs w:val="22"/>
          <w:lang w:val="en-GB"/>
        </w:rPr>
      </w:pPr>
      <w:r w:rsidRPr="009D30C0">
        <w:rPr>
          <w:rFonts w:ascii="Avenir Next" w:hAnsi="Avenir Next" w:cs="Arial"/>
          <w:color w:val="808080" w:themeColor="background1" w:themeShade="80"/>
          <w:sz w:val="22"/>
          <w:szCs w:val="22"/>
          <w:lang w:val="en-GB"/>
        </w:rPr>
        <w:t xml:space="preserve">Hard law and soft law are different ways of regulating or influencing how States or other actors behave at the international level. Hard law means legally binding rules that are specific, </w:t>
      </w:r>
      <w:proofErr w:type="gramStart"/>
      <w:r w:rsidRPr="009D30C0">
        <w:rPr>
          <w:rFonts w:ascii="Avenir Next" w:hAnsi="Avenir Next" w:cs="Arial"/>
          <w:color w:val="808080" w:themeColor="background1" w:themeShade="80"/>
          <w:sz w:val="22"/>
          <w:szCs w:val="22"/>
          <w:lang w:val="en-GB"/>
        </w:rPr>
        <w:t>enforceable</w:t>
      </w:r>
      <w:proofErr w:type="gramEnd"/>
      <w:r w:rsidRPr="009D30C0">
        <w:rPr>
          <w:rFonts w:ascii="Avenir Next" w:hAnsi="Avenir Next" w:cs="Arial"/>
          <w:color w:val="808080" w:themeColor="background1" w:themeShade="80"/>
          <w:sz w:val="22"/>
          <w:szCs w:val="22"/>
          <w:lang w:val="en-GB"/>
        </w:rPr>
        <w:t xml:space="preserve"> and subject to dispute resolution, such as treaties</w:t>
      </w:r>
      <w:r>
        <w:rPr>
          <w:rFonts w:ascii="Avenir Next" w:hAnsi="Avenir Next" w:cs="Arial"/>
          <w:color w:val="808080" w:themeColor="background1" w:themeShade="80"/>
          <w:sz w:val="22"/>
          <w:szCs w:val="22"/>
          <w:lang w:val="en-GB"/>
        </w:rPr>
        <w:t xml:space="preserve"> or</w:t>
      </w:r>
      <w:r w:rsidRPr="009D30C0">
        <w:rPr>
          <w:rFonts w:ascii="Avenir Next" w:hAnsi="Avenir Next" w:cs="Arial"/>
          <w:color w:val="808080" w:themeColor="background1" w:themeShade="80"/>
          <w:sz w:val="22"/>
          <w:szCs w:val="22"/>
          <w:lang w:val="en-GB"/>
        </w:rPr>
        <w:t xml:space="preserve"> conventions. Soft law means non-binding suggestions, guidelines, principles or standards that are often general</w:t>
      </w:r>
      <w:r>
        <w:rPr>
          <w:rFonts w:ascii="Avenir Next" w:hAnsi="Avenir Next" w:cs="Arial"/>
          <w:color w:val="808080" w:themeColor="background1" w:themeShade="80"/>
          <w:sz w:val="22"/>
          <w:szCs w:val="22"/>
          <w:lang w:val="en-GB"/>
        </w:rPr>
        <w:t xml:space="preserve"> and</w:t>
      </w:r>
      <w:r w:rsidRPr="009D30C0">
        <w:rPr>
          <w:rFonts w:ascii="Avenir Next" w:hAnsi="Avenir Next" w:cs="Arial"/>
          <w:color w:val="808080" w:themeColor="background1" w:themeShade="80"/>
          <w:sz w:val="22"/>
          <w:szCs w:val="22"/>
          <w:lang w:val="en-GB"/>
        </w:rPr>
        <w:t xml:space="preserve"> flexible, such as </w:t>
      </w:r>
      <w:proofErr w:type="gramStart"/>
      <w:r w:rsidRPr="009D30C0">
        <w:rPr>
          <w:rFonts w:ascii="Avenir Next" w:hAnsi="Avenir Next" w:cs="Arial"/>
          <w:color w:val="808080" w:themeColor="background1" w:themeShade="80"/>
          <w:sz w:val="22"/>
          <w:szCs w:val="22"/>
          <w:lang w:val="en-GB"/>
        </w:rPr>
        <w:t>declarations,  codes</w:t>
      </w:r>
      <w:proofErr w:type="gramEnd"/>
      <w:r w:rsidRPr="009D30C0">
        <w:rPr>
          <w:rFonts w:ascii="Avenir Next" w:hAnsi="Avenir Next" w:cs="Arial"/>
          <w:color w:val="808080" w:themeColor="background1" w:themeShade="80"/>
          <w:sz w:val="22"/>
          <w:szCs w:val="22"/>
          <w:lang w:val="en-GB"/>
        </w:rPr>
        <w:t xml:space="preserve"> of conduct or model laws.</w:t>
      </w:r>
    </w:p>
    <w:p w14:paraId="75B243D6" w14:textId="77777777" w:rsidR="009D30C0" w:rsidRPr="009D30C0" w:rsidRDefault="009D30C0" w:rsidP="009D30C0">
      <w:pPr>
        <w:rPr>
          <w:rFonts w:ascii="Avenir Next" w:hAnsi="Avenir Next" w:cs="Arial"/>
          <w:color w:val="808080" w:themeColor="background1" w:themeShade="80"/>
          <w:sz w:val="22"/>
          <w:szCs w:val="22"/>
          <w:lang w:val="en-GB"/>
        </w:rPr>
      </w:pPr>
    </w:p>
    <w:p w14:paraId="52E16F9D" w14:textId="76B8D6D5" w:rsidR="009D30C0" w:rsidRPr="009D30C0" w:rsidRDefault="009D30C0" w:rsidP="009D30C0">
      <w:pPr>
        <w:rPr>
          <w:rFonts w:ascii="Avenir Next" w:hAnsi="Avenir Next" w:cs="Arial"/>
          <w:color w:val="808080" w:themeColor="background1" w:themeShade="80"/>
          <w:sz w:val="22"/>
          <w:szCs w:val="22"/>
          <w:lang w:val="en-GB"/>
        </w:rPr>
      </w:pPr>
      <w:r w:rsidRPr="009D30C0">
        <w:rPr>
          <w:rFonts w:ascii="Avenir Next" w:hAnsi="Avenir Next" w:cs="Arial"/>
          <w:color w:val="808080" w:themeColor="background1" w:themeShade="80"/>
          <w:sz w:val="22"/>
          <w:szCs w:val="22"/>
          <w:lang w:val="en-GB"/>
        </w:rPr>
        <w:t xml:space="preserve">International insolvency is a field where hard law and soft law have been used to deal with the problems and challenges that happen when a debtor has assets, creditors, </w:t>
      </w:r>
      <w:proofErr w:type="gramStart"/>
      <w:r w:rsidRPr="009D30C0">
        <w:rPr>
          <w:rFonts w:ascii="Avenir Next" w:hAnsi="Avenir Next" w:cs="Arial"/>
          <w:color w:val="808080" w:themeColor="background1" w:themeShade="80"/>
          <w:sz w:val="22"/>
          <w:szCs w:val="22"/>
          <w:lang w:val="en-GB"/>
        </w:rPr>
        <w:t>operations</w:t>
      </w:r>
      <w:proofErr w:type="gramEnd"/>
      <w:r w:rsidRPr="009D30C0">
        <w:rPr>
          <w:rFonts w:ascii="Avenir Next" w:hAnsi="Avenir Next" w:cs="Arial"/>
          <w:color w:val="808080" w:themeColor="background1" w:themeShade="80"/>
          <w:sz w:val="22"/>
          <w:szCs w:val="22"/>
          <w:lang w:val="en-GB"/>
        </w:rPr>
        <w:t xml:space="preserve"> or interests in more than one State or legal system. These problems and challenges include, for example, deciding which State has the authority, recognition, </w:t>
      </w:r>
      <w:proofErr w:type="gramStart"/>
      <w:r w:rsidRPr="009D30C0">
        <w:rPr>
          <w:rFonts w:ascii="Avenir Next" w:hAnsi="Avenir Next" w:cs="Arial"/>
          <w:color w:val="808080" w:themeColor="background1" w:themeShade="80"/>
          <w:sz w:val="22"/>
          <w:szCs w:val="22"/>
          <w:lang w:val="en-GB"/>
        </w:rPr>
        <w:t>enforcement</w:t>
      </w:r>
      <w:proofErr w:type="gramEnd"/>
      <w:r w:rsidRPr="009D30C0">
        <w:rPr>
          <w:rFonts w:ascii="Avenir Next" w:hAnsi="Avenir Next" w:cs="Arial"/>
          <w:color w:val="808080" w:themeColor="background1" w:themeShade="80"/>
          <w:sz w:val="22"/>
          <w:szCs w:val="22"/>
          <w:lang w:val="en-GB"/>
        </w:rPr>
        <w:t xml:space="preserve"> and law to apply to insolvency proceedings, and making sure that courts, insolvency representatives and stakeholders cooperate</w:t>
      </w:r>
      <w:r w:rsidR="0021066D">
        <w:rPr>
          <w:rFonts w:ascii="Avenir Next" w:hAnsi="Avenir Next" w:cs="Arial"/>
          <w:color w:val="808080" w:themeColor="background1" w:themeShade="80"/>
          <w:sz w:val="22"/>
          <w:szCs w:val="22"/>
          <w:lang w:val="en-GB"/>
        </w:rPr>
        <w:t xml:space="preserve"> in </w:t>
      </w:r>
      <w:r w:rsidRPr="009D30C0">
        <w:rPr>
          <w:rFonts w:ascii="Avenir Next" w:hAnsi="Avenir Next" w:cs="Arial"/>
          <w:color w:val="808080" w:themeColor="background1" w:themeShade="80"/>
          <w:sz w:val="22"/>
          <w:szCs w:val="22"/>
          <w:lang w:val="en-GB"/>
        </w:rPr>
        <w:t>cross-border cases.</w:t>
      </w:r>
    </w:p>
    <w:p w14:paraId="2D83B214" w14:textId="77777777" w:rsidR="009D30C0" w:rsidRPr="009D30C0" w:rsidRDefault="009D30C0" w:rsidP="009D30C0">
      <w:pPr>
        <w:rPr>
          <w:rFonts w:ascii="Avenir Next" w:hAnsi="Avenir Next" w:cs="Arial"/>
          <w:color w:val="808080" w:themeColor="background1" w:themeShade="80"/>
          <w:sz w:val="22"/>
          <w:szCs w:val="22"/>
          <w:lang w:val="en-GB"/>
        </w:rPr>
      </w:pPr>
    </w:p>
    <w:p w14:paraId="30536D27" w14:textId="77777777" w:rsidR="009D30C0" w:rsidRPr="009D30C0" w:rsidRDefault="009D30C0" w:rsidP="009D30C0">
      <w:pPr>
        <w:rPr>
          <w:rFonts w:ascii="Avenir Next" w:hAnsi="Avenir Next" w:cs="Arial"/>
          <w:color w:val="808080" w:themeColor="background1" w:themeShade="80"/>
          <w:sz w:val="22"/>
          <w:szCs w:val="22"/>
          <w:lang w:val="en-GB"/>
        </w:rPr>
      </w:pPr>
      <w:r w:rsidRPr="009D30C0">
        <w:rPr>
          <w:rFonts w:ascii="Avenir Next" w:hAnsi="Avenir Next" w:cs="Arial"/>
          <w:color w:val="808080" w:themeColor="background1" w:themeShade="80"/>
          <w:sz w:val="22"/>
          <w:szCs w:val="22"/>
          <w:lang w:val="en-GB"/>
        </w:rPr>
        <w:t>Some examples of hard law instruments in international insolvency are:</w:t>
      </w:r>
    </w:p>
    <w:p w14:paraId="0B8F3A60" w14:textId="77777777" w:rsidR="009D30C0" w:rsidRPr="009D30C0" w:rsidRDefault="009D30C0" w:rsidP="009D30C0">
      <w:pPr>
        <w:rPr>
          <w:rFonts w:ascii="Avenir Next" w:hAnsi="Avenir Next" w:cs="Arial"/>
          <w:color w:val="808080" w:themeColor="background1" w:themeShade="80"/>
          <w:sz w:val="22"/>
          <w:szCs w:val="22"/>
          <w:lang w:val="en-GB"/>
        </w:rPr>
      </w:pPr>
    </w:p>
    <w:p w14:paraId="10BF3A1D" w14:textId="7CE785B3" w:rsidR="009D30C0" w:rsidRPr="0021066D" w:rsidRDefault="009D30C0" w:rsidP="0021066D">
      <w:pPr>
        <w:pStyle w:val="ListParagraph"/>
        <w:numPr>
          <w:ilvl w:val="0"/>
          <w:numId w:val="37"/>
        </w:numPr>
        <w:rPr>
          <w:rFonts w:ascii="Avenir Next" w:hAnsi="Avenir Next" w:cs="Arial"/>
          <w:color w:val="808080" w:themeColor="background1" w:themeShade="80"/>
          <w:sz w:val="22"/>
          <w:szCs w:val="22"/>
          <w:lang w:val="en-GB"/>
        </w:rPr>
      </w:pPr>
      <w:r w:rsidRPr="0021066D">
        <w:rPr>
          <w:rFonts w:ascii="Avenir Next" w:hAnsi="Avenir Next" w:cs="Arial"/>
          <w:color w:val="808080" w:themeColor="background1" w:themeShade="80"/>
          <w:sz w:val="22"/>
          <w:szCs w:val="22"/>
          <w:lang w:val="en-GB"/>
        </w:rPr>
        <w:t>The European Insolvency Regulation (EIR) and its Recast version.</w:t>
      </w:r>
    </w:p>
    <w:p w14:paraId="132517B8" w14:textId="59011F5C" w:rsidR="009D30C0" w:rsidRPr="0021066D" w:rsidRDefault="009D30C0" w:rsidP="0021066D">
      <w:pPr>
        <w:pStyle w:val="ListParagraph"/>
        <w:numPr>
          <w:ilvl w:val="0"/>
          <w:numId w:val="37"/>
        </w:numPr>
        <w:rPr>
          <w:rFonts w:ascii="Avenir Next" w:hAnsi="Avenir Next" w:cs="Arial"/>
          <w:color w:val="808080" w:themeColor="background1" w:themeShade="80"/>
          <w:sz w:val="22"/>
          <w:szCs w:val="22"/>
          <w:lang w:val="en-GB"/>
        </w:rPr>
      </w:pPr>
      <w:r w:rsidRPr="0021066D">
        <w:rPr>
          <w:rFonts w:ascii="Avenir Next" w:hAnsi="Avenir Next" w:cs="Arial"/>
          <w:color w:val="808080" w:themeColor="background1" w:themeShade="80"/>
          <w:sz w:val="22"/>
          <w:szCs w:val="22"/>
          <w:lang w:val="en-GB"/>
        </w:rPr>
        <w:t>The Nordic Convention on Bankruptcy (1933.</w:t>
      </w:r>
    </w:p>
    <w:p w14:paraId="110BB5A1" w14:textId="3EA36B0C" w:rsidR="009D30C0" w:rsidRPr="0021066D" w:rsidRDefault="009D30C0" w:rsidP="0021066D">
      <w:pPr>
        <w:pStyle w:val="ListParagraph"/>
        <w:numPr>
          <w:ilvl w:val="0"/>
          <w:numId w:val="37"/>
        </w:numPr>
        <w:rPr>
          <w:rFonts w:ascii="Avenir Next" w:hAnsi="Avenir Next" w:cs="Arial"/>
          <w:color w:val="808080" w:themeColor="background1" w:themeShade="80"/>
          <w:sz w:val="22"/>
          <w:szCs w:val="22"/>
          <w:lang w:val="en-GB"/>
        </w:rPr>
      </w:pPr>
      <w:r w:rsidRPr="0021066D">
        <w:rPr>
          <w:rFonts w:ascii="Avenir Next" w:hAnsi="Avenir Next" w:cs="Arial"/>
          <w:color w:val="808080" w:themeColor="background1" w:themeShade="80"/>
          <w:sz w:val="22"/>
          <w:szCs w:val="22"/>
          <w:lang w:val="en-GB"/>
        </w:rPr>
        <w:t>Bilateral treaties or conventions on insolvency or related matters, such as the Convention between the United Kingdom and the United States of America for the Reciprocal Recognition and Enforcement of Judgments in Bankruptcy (1934).</w:t>
      </w:r>
    </w:p>
    <w:p w14:paraId="44789149" w14:textId="77777777" w:rsidR="0021066D" w:rsidRPr="009D30C0" w:rsidRDefault="0021066D" w:rsidP="009D30C0">
      <w:pPr>
        <w:rPr>
          <w:rFonts w:ascii="Avenir Next" w:hAnsi="Avenir Next" w:cs="Arial"/>
          <w:color w:val="808080" w:themeColor="background1" w:themeShade="80"/>
          <w:sz w:val="22"/>
          <w:szCs w:val="22"/>
          <w:lang w:val="en-GB"/>
        </w:rPr>
      </w:pPr>
    </w:p>
    <w:p w14:paraId="0943956B" w14:textId="77777777" w:rsidR="009D30C0" w:rsidRPr="009D30C0" w:rsidRDefault="009D30C0" w:rsidP="009D30C0">
      <w:pPr>
        <w:rPr>
          <w:rFonts w:ascii="Avenir Next" w:hAnsi="Avenir Next" w:cs="Arial"/>
          <w:color w:val="808080" w:themeColor="background1" w:themeShade="80"/>
          <w:sz w:val="22"/>
          <w:szCs w:val="22"/>
          <w:lang w:val="en-GB"/>
        </w:rPr>
      </w:pPr>
      <w:r w:rsidRPr="009D30C0">
        <w:rPr>
          <w:rFonts w:ascii="Avenir Next" w:hAnsi="Avenir Next" w:cs="Arial"/>
          <w:color w:val="808080" w:themeColor="background1" w:themeShade="80"/>
          <w:sz w:val="22"/>
          <w:szCs w:val="22"/>
          <w:lang w:val="en-GB"/>
        </w:rPr>
        <w:t>Some examples of soft law instruments in international insolvency are:</w:t>
      </w:r>
    </w:p>
    <w:p w14:paraId="00C7D8A1" w14:textId="77777777" w:rsidR="009D30C0" w:rsidRPr="009D30C0" w:rsidRDefault="009D30C0" w:rsidP="009D30C0">
      <w:pPr>
        <w:rPr>
          <w:rFonts w:ascii="Avenir Next" w:hAnsi="Avenir Next" w:cs="Arial"/>
          <w:color w:val="808080" w:themeColor="background1" w:themeShade="80"/>
          <w:sz w:val="22"/>
          <w:szCs w:val="22"/>
          <w:lang w:val="en-GB"/>
        </w:rPr>
      </w:pPr>
    </w:p>
    <w:p w14:paraId="0DCE5928" w14:textId="252082AD" w:rsidR="009D30C0" w:rsidRPr="0021066D" w:rsidRDefault="009D30C0" w:rsidP="0021066D">
      <w:pPr>
        <w:pStyle w:val="ListParagraph"/>
        <w:numPr>
          <w:ilvl w:val="0"/>
          <w:numId w:val="38"/>
        </w:numPr>
        <w:rPr>
          <w:rFonts w:ascii="Avenir Next" w:hAnsi="Avenir Next" w:cs="Arial"/>
          <w:color w:val="808080" w:themeColor="background1" w:themeShade="80"/>
          <w:sz w:val="22"/>
          <w:szCs w:val="22"/>
          <w:lang w:val="en-GB"/>
        </w:rPr>
      </w:pPr>
      <w:r w:rsidRPr="0021066D">
        <w:rPr>
          <w:rFonts w:ascii="Avenir Next" w:hAnsi="Avenir Next" w:cs="Arial"/>
          <w:color w:val="808080" w:themeColor="background1" w:themeShade="80"/>
          <w:sz w:val="22"/>
          <w:szCs w:val="22"/>
          <w:lang w:val="en-GB"/>
        </w:rPr>
        <w:t xml:space="preserve">The </w:t>
      </w:r>
      <w:proofErr w:type="spellStart"/>
      <w:r w:rsidRPr="0021066D">
        <w:rPr>
          <w:rFonts w:ascii="Avenir Next" w:hAnsi="Avenir Next" w:cs="Arial"/>
          <w:color w:val="808080" w:themeColor="background1" w:themeShade="80"/>
          <w:sz w:val="22"/>
          <w:szCs w:val="22"/>
          <w:lang w:val="en-GB"/>
        </w:rPr>
        <w:t>UNCITRAL</w:t>
      </w:r>
      <w:proofErr w:type="spellEnd"/>
      <w:r w:rsidRPr="0021066D">
        <w:rPr>
          <w:rFonts w:ascii="Avenir Next" w:hAnsi="Avenir Next" w:cs="Arial"/>
          <w:color w:val="808080" w:themeColor="background1" w:themeShade="80"/>
          <w:sz w:val="22"/>
          <w:szCs w:val="22"/>
          <w:lang w:val="en-GB"/>
        </w:rPr>
        <w:t xml:space="preserve"> Model Law on Cross-Border Insolvency (1997) and the </w:t>
      </w:r>
      <w:proofErr w:type="spellStart"/>
      <w:r w:rsidRPr="0021066D">
        <w:rPr>
          <w:rFonts w:ascii="Avenir Next" w:hAnsi="Avenir Next" w:cs="Arial"/>
          <w:color w:val="808080" w:themeColor="background1" w:themeShade="80"/>
          <w:sz w:val="22"/>
          <w:szCs w:val="22"/>
          <w:lang w:val="en-GB"/>
        </w:rPr>
        <w:t>UNCITRAL</w:t>
      </w:r>
      <w:proofErr w:type="spellEnd"/>
      <w:r w:rsidRPr="0021066D">
        <w:rPr>
          <w:rFonts w:ascii="Avenir Next" w:hAnsi="Avenir Next" w:cs="Arial"/>
          <w:color w:val="808080" w:themeColor="background1" w:themeShade="80"/>
          <w:sz w:val="22"/>
          <w:szCs w:val="22"/>
          <w:lang w:val="en-GB"/>
        </w:rPr>
        <w:t xml:space="preserve"> Model Law on Recognition and Enforcement of Insolvency-Related Judgments (2018)</w:t>
      </w:r>
      <w:r w:rsidR="0021066D" w:rsidRPr="0021066D">
        <w:rPr>
          <w:rFonts w:ascii="Avenir Next" w:hAnsi="Avenir Next" w:cs="Arial"/>
          <w:color w:val="808080" w:themeColor="background1" w:themeShade="80"/>
          <w:sz w:val="22"/>
          <w:szCs w:val="22"/>
          <w:lang w:val="en-GB"/>
        </w:rPr>
        <w:t>.</w:t>
      </w:r>
    </w:p>
    <w:p w14:paraId="403EFDA4" w14:textId="1F3A9832" w:rsidR="009D30C0" w:rsidRPr="0021066D" w:rsidRDefault="009D30C0" w:rsidP="0021066D">
      <w:pPr>
        <w:pStyle w:val="ListParagraph"/>
        <w:numPr>
          <w:ilvl w:val="0"/>
          <w:numId w:val="38"/>
        </w:numPr>
        <w:rPr>
          <w:rFonts w:ascii="Avenir Next" w:hAnsi="Avenir Next" w:cs="Arial"/>
          <w:color w:val="808080" w:themeColor="background1" w:themeShade="80"/>
          <w:sz w:val="22"/>
          <w:szCs w:val="22"/>
          <w:lang w:val="en-GB"/>
        </w:rPr>
      </w:pPr>
      <w:r w:rsidRPr="0021066D">
        <w:rPr>
          <w:rFonts w:ascii="Avenir Next" w:hAnsi="Avenir Next" w:cs="Arial"/>
          <w:color w:val="808080" w:themeColor="background1" w:themeShade="80"/>
          <w:sz w:val="22"/>
          <w:szCs w:val="22"/>
          <w:lang w:val="en-GB"/>
        </w:rPr>
        <w:t>The World Bank Principles for Effective Insolvency and Creditor/Debtor Regimes (2016)</w:t>
      </w:r>
      <w:r w:rsidR="0021066D" w:rsidRPr="0021066D">
        <w:rPr>
          <w:rFonts w:ascii="Avenir Next" w:hAnsi="Avenir Next" w:cs="Arial"/>
          <w:color w:val="808080" w:themeColor="background1" w:themeShade="80"/>
          <w:sz w:val="22"/>
          <w:szCs w:val="22"/>
          <w:lang w:val="en-GB"/>
        </w:rPr>
        <w:t>.</w:t>
      </w:r>
    </w:p>
    <w:p w14:paraId="4B956511" w14:textId="44939ACF" w:rsidR="009D30C0" w:rsidRPr="0021066D" w:rsidRDefault="009D30C0" w:rsidP="0021066D">
      <w:pPr>
        <w:pStyle w:val="ListParagraph"/>
        <w:numPr>
          <w:ilvl w:val="0"/>
          <w:numId w:val="38"/>
        </w:numPr>
        <w:rPr>
          <w:rFonts w:ascii="Avenir Next" w:hAnsi="Avenir Next" w:cs="Arial"/>
          <w:color w:val="808080" w:themeColor="background1" w:themeShade="80"/>
          <w:sz w:val="22"/>
          <w:szCs w:val="22"/>
          <w:lang w:val="en-GB"/>
        </w:rPr>
      </w:pPr>
      <w:r w:rsidRPr="0021066D">
        <w:rPr>
          <w:rFonts w:ascii="Avenir Next" w:hAnsi="Avenir Next" w:cs="Arial"/>
          <w:color w:val="808080" w:themeColor="background1" w:themeShade="80"/>
          <w:sz w:val="22"/>
          <w:szCs w:val="22"/>
          <w:lang w:val="en-GB"/>
        </w:rPr>
        <w:t xml:space="preserve">The </w:t>
      </w:r>
      <w:proofErr w:type="spellStart"/>
      <w:r w:rsidRPr="0021066D">
        <w:rPr>
          <w:rFonts w:ascii="Avenir Next" w:hAnsi="Avenir Next" w:cs="Arial"/>
          <w:color w:val="808080" w:themeColor="background1" w:themeShade="80"/>
          <w:sz w:val="22"/>
          <w:szCs w:val="22"/>
          <w:lang w:val="en-GB"/>
        </w:rPr>
        <w:t>UNCITRAL</w:t>
      </w:r>
      <w:proofErr w:type="spellEnd"/>
      <w:r w:rsidRPr="0021066D">
        <w:rPr>
          <w:rFonts w:ascii="Avenir Next" w:hAnsi="Avenir Next" w:cs="Arial"/>
          <w:color w:val="808080" w:themeColor="background1" w:themeShade="80"/>
          <w:sz w:val="22"/>
          <w:szCs w:val="22"/>
          <w:lang w:val="en-GB"/>
        </w:rPr>
        <w:t xml:space="preserve"> Legislative Guide on Insolvency Law (2004) and its supplements</w:t>
      </w:r>
      <w:r w:rsidR="0021066D" w:rsidRPr="0021066D">
        <w:rPr>
          <w:rFonts w:ascii="Avenir Next" w:hAnsi="Avenir Next" w:cs="Arial"/>
          <w:color w:val="808080" w:themeColor="background1" w:themeShade="80"/>
          <w:sz w:val="22"/>
          <w:szCs w:val="22"/>
          <w:lang w:val="en-GB"/>
        </w:rPr>
        <w:t>.</w:t>
      </w:r>
    </w:p>
    <w:p w14:paraId="32C288E9" w14:textId="77777777" w:rsidR="0021066D" w:rsidRPr="009D30C0" w:rsidRDefault="0021066D" w:rsidP="0021066D">
      <w:pPr>
        <w:rPr>
          <w:rFonts w:ascii="Avenir Next" w:hAnsi="Avenir Next" w:cs="Arial"/>
          <w:color w:val="808080" w:themeColor="background1" w:themeShade="80"/>
          <w:sz w:val="22"/>
          <w:szCs w:val="22"/>
          <w:lang w:val="en-GB"/>
        </w:rPr>
      </w:pPr>
    </w:p>
    <w:p w14:paraId="7978F9D9" w14:textId="10B56E22" w:rsidR="00384C2A" w:rsidRDefault="009D30C0" w:rsidP="009D30C0">
      <w:pPr>
        <w:jc w:val="both"/>
        <w:rPr>
          <w:rFonts w:ascii="Avenir Next" w:hAnsi="Avenir Next" w:cs="Arial"/>
          <w:color w:val="808080" w:themeColor="background1" w:themeShade="80"/>
          <w:sz w:val="22"/>
          <w:szCs w:val="22"/>
          <w:lang w:val="en-GB"/>
        </w:rPr>
      </w:pPr>
      <w:r w:rsidRPr="009D30C0">
        <w:rPr>
          <w:rFonts w:ascii="Avenir Next" w:hAnsi="Avenir Next" w:cs="Arial"/>
          <w:color w:val="808080" w:themeColor="background1" w:themeShade="80"/>
          <w:sz w:val="22"/>
          <w:szCs w:val="22"/>
          <w:lang w:val="en-GB"/>
        </w:rPr>
        <w:t xml:space="preserve">Hard and soft laws have different advantages and disadvantages in providing solutions to the challenges of international insolvency. </w:t>
      </w:r>
      <w:proofErr w:type="gramStart"/>
      <w:r w:rsidRPr="009D30C0">
        <w:rPr>
          <w:rFonts w:ascii="Avenir Next" w:hAnsi="Avenir Next" w:cs="Arial"/>
          <w:color w:val="808080" w:themeColor="background1" w:themeShade="80"/>
          <w:sz w:val="22"/>
          <w:szCs w:val="22"/>
          <w:lang w:val="en-GB"/>
        </w:rPr>
        <w:t>Generally speaking, hard</w:t>
      </w:r>
      <w:proofErr w:type="gramEnd"/>
      <w:r w:rsidRPr="009D30C0">
        <w:rPr>
          <w:rFonts w:ascii="Avenir Next" w:hAnsi="Avenir Next" w:cs="Arial"/>
          <w:color w:val="808080" w:themeColor="background1" w:themeShade="80"/>
          <w:sz w:val="22"/>
          <w:szCs w:val="22"/>
          <w:lang w:val="en-GB"/>
        </w:rPr>
        <w:t xml:space="preserve"> laws create clear</w:t>
      </w:r>
      <w:r w:rsidR="0021066D">
        <w:rPr>
          <w:rFonts w:ascii="Avenir Next" w:hAnsi="Avenir Next" w:cs="Arial"/>
          <w:color w:val="808080" w:themeColor="background1" w:themeShade="80"/>
          <w:sz w:val="22"/>
          <w:szCs w:val="22"/>
          <w:lang w:val="en-GB"/>
        </w:rPr>
        <w:t xml:space="preserve"> </w:t>
      </w:r>
      <w:r w:rsidRPr="009D30C0">
        <w:rPr>
          <w:rFonts w:ascii="Avenir Next" w:hAnsi="Avenir Next" w:cs="Arial"/>
          <w:color w:val="808080" w:themeColor="background1" w:themeShade="80"/>
          <w:sz w:val="22"/>
          <w:szCs w:val="22"/>
          <w:lang w:val="en-GB"/>
        </w:rPr>
        <w:t>and enforceable obligations and rights for the parties involved in cross-border insolvency cases, but they also have difficulties in reaching agreement, ratification</w:t>
      </w:r>
      <w:r w:rsidR="0021066D">
        <w:rPr>
          <w:rFonts w:ascii="Avenir Next" w:hAnsi="Avenir Next" w:cs="Arial"/>
          <w:color w:val="808080" w:themeColor="background1" w:themeShade="80"/>
          <w:sz w:val="22"/>
          <w:szCs w:val="22"/>
          <w:lang w:val="en-GB"/>
        </w:rPr>
        <w:t xml:space="preserve"> </w:t>
      </w:r>
      <w:r w:rsidRPr="009D30C0">
        <w:rPr>
          <w:rFonts w:ascii="Avenir Next" w:hAnsi="Avenir Next" w:cs="Arial"/>
          <w:color w:val="808080" w:themeColor="background1" w:themeShade="80"/>
          <w:sz w:val="22"/>
          <w:szCs w:val="22"/>
          <w:lang w:val="en-GB"/>
        </w:rPr>
        <w:t>and compliance among States with different legal systems. Soft laws, on the other hand, are more adaptable</w:t>
      </w:r>
      <w:r w:rsidR="0021066D">
        <w:rPr>
          <w:rFonts w:ascii="Avenir Next" w:hAnsi="Avenir Next" w:cs="Arial"/>
          <w:color w:val="808080" w:themeColor="background1" w:themeShade="80"/>
          <w:sz w:val="22"/>
          <w:szCs w:val="22"/>
          <w:lang w:val="en-GB"/>
        </w:rPr>
        <w:t xml:space="preserve"> </w:t>
      </w:r>
      <w:r w:rsidRPr="009D30C0">
        <w:rPr>
          <w:rFonts w:ascii="Avenir Next" w:hAnsi="Avenir Next" w:cs="Arial"/>
          <w:color w:val="808080" w:themeColor="background1" w:themeShade="80"/>
          <w:sz w:val="22"/>
          <w:szCs w:val="22"/>
          <w:lang w:val="en-GB"/>
        </w:rPr>
        <w:t>and persuasive for States to adopt or follow, but they also have difficulties in ensuring consistency</w:t>
      </w:r>
      <w:r w:rsidR="0021066D">
        <w:rPr>
          <w:rFonts w:ascii="Avenir Next" w:hAnsi="Avenir Next" w:cs="Arial"/>
          <w:color w:val="808080" w:themeColor="background1" w:themeShade="80"/>
          <w:sz w:val="22"/>
          <w:szCs w:val="22"/>
          <w:lang w:val="en-GB"/>
        </w:rPr>
        <w:t xml:space="preserve"> </w:t>
      </w:r>
      <w:r w:rsidRPr="009D30C0">
        <w:rPr>
          <w:rFonts w:ascii="Avenir Next" w:hAnsi="Avenir Next" w:cs="Arial"/>
          <w:color w:val="808080" w:themeColor="background1" w:themeShade="80"/>
          <w:sz w:val="22"/>
          <w:szCs w:val="22"/>
          <w:lang w:val="en-GB"/>
        </w:rPr>
        <w:t xml:space="preserve">and impact among States with different levels of commitment. Therefore, the choice and use of hard and soft laws in international insolvency may depend on various factors, such as the nature, scope of the </w:t>
      </w:r>
      <w:proofErr w:type="gramStart"/>
      <w:r w:rsidRPr="009D30C0">
        <w:rPr>
          <w:rFonts w:ascii="Avenir Next" w:hAnsi="Avenir Next" w:cs="Arial"/>
          <w:color w:val="808080" w:themeColor="background1" w:themeShade="80"/>
          <w:sz w:val="22"/>
          <w:szCs w:val="22"/>
          <w:lang w:val="en-GB"/>
        </w:rPr>
        <w:t>instrument,  needs</w:t>
      </w:r>
      <w:proofErr w:type="gramEnd"/>
      <w:r w:rsidRPr="009D30C0">
        <w:rPr>
          <w:rFonts w:ascii="Avenir Next" w:hAnsi="Avenir Next" w:cs="Arial"/>
          <w:color w:val="808080" w:themeColor="background1" w:themeShade="80"/>
          <w:sz w:val="22"/>
          <w:szCs w:val="22"/>
          <w:lang w:val="en-GB"/>
        </w:rPr>
        <w:t xml:space="preserve"> and preferences of the States and stakeholders.</w:t>
      </w:r>
    </w:p>
    <w:p w14:paraId="35B6F847" w14:textId="77777777" w:rsidR="009D30C0" w:rsidRPr="004216EA" w:rsidRDefault="009D30C0" w:rsidP="009D30C0">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17A4A2DC" w14:textId="77777777" w:rsidR="0021066D" w:rsidRPr="0021066D" w:rsidRDefault="0021066D" w:rsidP="0021066D">
      <w:pPr>
        <w:rPr>
          <w:rFonts w:ascii="Avenir Next" w:hAnsi="Avenir Next" w:cs="Arial"/>
          <w:color w:val="808080" w:themeColor="background1" w:themeShade="80"/>
          <w:sz w:val="22"/>
          <w:szCs w:val="22"/>
          <w:lang w:val="en-GB"/>
        </w:rPr>
      </w:pPr>
      <w:r w:rsidRPr="0021066D">
        <w:rPr>
          <w:rFonts w:ascii="Avenir Next" w:hAnsi="Avenir Next" w:cs="Arial"/>
          <w:color w:val="808080" w:themeColor="background1" w:themeShade="80"/>
          <w:sz w:val="22"/>
          <w:szCs w:val="22"/>
          <w:lang w:val="en-GB"/>
        </w:rPr>
        <w:t>If I were the American insolvent estate representative, I would consider using one or more of the following cross-border sources to request recognition in England for the US liquidation of Norton Cars Inc:</w:t>
      </w:r>
    </w:p>
    <w:p w14:paraId="2208962F" w14:textId="77777777" w:rsidR="0021066D" w:rsidRPr="0021066D" w:rsidRDefault="0021066D" w:rsidP="0021066D">
      <w:pPr>
        <w:rPr>
          <w:rFonts w:ascii="Avenir Next" w:hAnsi="Avenir Next" w:cs="Arial"/>
          <w:color w:val="808080" w:themeColor="background1" w:themeShade="80"/>
          <w:sz w:val="22"/>
          <w:szCs w:val="22"/>
          <w:lang w:val="en-GB"/>
        </w:rPr>
      </w:pPr>
    </w:p>
    <w:p w14:paraId="3E764EC2" w14:textId="3121D189" w:rsidR="0021066D" w:rsidRPr="0021066D" w:rsidRDefault="0021066D" w:rsidP="0021066D">
      <w:pPr>
        <w:pStyle w:val="ListParagraph"/>
        <w:numPr>
          <w:ilvl w:val="0"/>
          <w:numId w:val="39"/>
        </w:numPr>
        <w:rPr>
          <w:rFonts w:ascii="Avenir Next" w:hAnsi="Avenir Next" w:cs="Arial"/>
          <w:color w:val="808080" w:themeColor="background1" w:themeShade="80"/>
          <w:sz w:val="22"/>
          <w:szCs w:val="22"/>
          <w:lang w:val="en-GB"/>
        </w:rPr>
      </w:pPr>
      <w:r w:rsidRPr="0021066D">
        <w:rPr>
          <w:rFonts w:ascii="Avenir Next" w:hAnsi="Avenir Next" w:cs="Arial"/>
          <w:color w:val="808080" w:themeColor="background1" w:themeShade="80"/>
          <w:sz w:val="22"/>
          <w:szCs w:val="22"/>
          <w:lang w:val="en-GB"/>
        </w:rPr>
        <w:t xml:space="preserve">The </w:t>
      </w:r>
      <w:proofErr w:type="spellStart"/>
      <w:r w:rsidRPr="0021066D">
        <w:rPr>
          <w:rFonts w:ascii="Avenir Next" w:hAnsi="Avenir Next" w:cs="Arial"/>
          <w:color w:val="808080" w:themeColor="background1" w:themeShade="80"/>
          <w:sz w:val="22"/>
          <w:szCs w:val="22"/>
          <w:lang w:val="en-GB"/>
        </w:rPr>
        <w:t>MLCBI</w:t>
      </w:r>
      <w:proofErr w:type="spellEnd"/>
      <w:r w:rsidRPr="0021066D">
        <w:rPr>
          <w:rFonts w:ascii="Avenir Next" w:hAnsi="Avenir Next" w:cs="Arial"/>
          <w:color w:val="808080" w:themeColor="background1" w:themeShade="80"/>
          <w:sz w:val="22"/>
          <w:szCs w:val="22"/>
          <w:lang w:val="en-GB"/>
        </w:rPr>
        <w:t>, which the UK has adopted through the Cross-Border Insolvency Regulations 2006 (</w:t>
      </w:r>
      <w:proofErr w:type="spellStart"/>
      <w:r w:rsidRPr="0021066D">
        <w:rPr>
          <w:rFonts w:ascii="Avenir Next" w:hAnsi="Avenir Next" w:cs="Arial"/>
          <w:color w:val="808080" w:themeColor="background1" w:themeShade="80"/>
          <w:sz w:val="22"/>
          <w:szCs w:val="22"/>
          <w:lang w:val="en-GB"/>
        </w:rPr>
        <w:t>CBIR</w:t>
      </w:r>
      <w:proofErr w:type="spellEnd"/>
      <w:r w:rsidRPr="0021066D">
        <w:rPr>
          <w:rFonts w:ascii="Avenir Next" w:hAnsi="Avenir Next" w:cs="Arial"/>
          <w:color w:val="808080" w:themeColor="background1" w:themeShade="80"/>
          <w:sz w:val="22"/>
          <w:szCs w:val="22"/>
          <w:lang w:val="en-GB"/>
        </w:rPr>
        <w:t xml:space="preserve">). This source provides a framework for foreign insolvency proceedings and representatives to be recognised and co-operated with by the English court, </w:t>
      </w:r>
      <w:proofErr w:type="gramStart"/>
      <w:r w:rsidRPr="0021066D">
        <w:rPr>
          <w:rFonts w:ascii="Avenir Next" w:hAnsi="Avenir Next" w:cs="Arial"/>
          <w:color w:val="808080" w:themeColor="background1" w:themeShade="80"/>
          <w:sz w:val="22"/>
          <w:szCs w:val="22"/>
          <w:lang w:val="en-GB"/>
        </w:rPr>
        <w:t>as long as</w:t>
      </w:r>
      <w:proofErr w:type="gramEnd"/>
      <w:r w:rsidRPr="0021066D">
        <w:rPr>
          <w:rFonts w:ascii="Avenir Next" w:hAnsi="Avenir Next" w:cs="Arial"/>
          <w:color w:val="808080" w:themeColor="background1" w:themeShade="80"/>
          <w:sz w:val="22"/>
          <w:szCs w:val="22"/>
          <w:lang w:val="en-GB"/>
        </w:rPr>
        <w:t xml:space="preserve"> they </w:t>
      </w:r>
      <w:r w:rsidRPr="0021066D">
        <w:rPr>
          <w:rFonts w:ascii="Avenir Next" w:hAnsi="Avenir Next" w:cs="Arial"/>
          <w:color w:val="808080" w:themeColor="background1" w:themeShade="80"/>
          <w:sz w:val="22"/>
          <w:szCs w:val="22"/>
          <w:lang w:val="en-GB"/>
        </w:rPr>
        <w:lastRenderedPageBreak/>
        <w:t xml:space="preserve">meet certain conditions. I could apply to the English court for recognition of the US liquidation as a foreign main or non-main proceeding, depending on whether the US is the centre of main interests or an establishment of Norton Cars Inc. Recognition would give me certain powers and rights under the </w:t>
      </w:r>
      <w:proofErr w:type="spellStart"/>
      <w:r w:rsidRPr="0021066D">
        <w:rPr>
          <w:rFonts w:ascii="Avenir Next" w:hAnsi="Avenir Next" w:cs="Arial"/>
          <w:color w:val="808080" w:themeColor="background1" w:themeShade="80"/>
          <w:sz w:val="22"/>
          <w:szCs w:val="22"/>
          <w:lang w:val="en-GB"/>
        </w:rPr>
        <w:t>MLCBI</w:t>
      </w:r>
      <w:proofErr w:type="spellEnd"/>
      <w:r w:rsidRPr="0021066D">
        <w:rPr>
          <w:rFonts w:ascii="Avenir Next" w:hAnsi="Avenir Next" w:cs="Arial"/>
          <w:color w:val="808080" w:themeColor="background1" w:themeShade="80"/>
          <w:sz w:val="22"/>
          <w:szCs w:val="22"/>
          <w:lang w:val="en-GB"/>
        </w:rPr>
        <w:t xml:space="preserve"> and the </w:t>
      </w:r>
      <w:proofErr w:type="spellStart"/>
      <w:r w:rsidRPr="0021066D">
        <w:rPr>
          <w:rFonts w:ascii="Avenir Next" w:hAnsi="Avenir Next" w:cs="Arial"/>
          <w:color w:val="808080" w:themeColor="background1" w:themeShade="80"/>
          <w:sz w:val="22"/>
          <w:szCs w:val="22"/>
          <w:lang w:val="en-GB"/>
        </w:rPr>
        <w:t>CBIR</w:t>
      </w:r>
      <w:proofErr w:type="spellEnd"/>
      <w:r w:rsidRPr="0021066D">
        <w:rPr>
          <w:rFonts w:ascii="Avenir Next" w:hAnsi="Avenir Next" w:cs="Arial"/>
          <w:color w:val="808080" w:themeColor="background1" w:themeShade="80"/>
          <w:sz w:val="22"/>
          <w:szCs w:val="22"/>
          <w:lang w:val="en-GB"/>
        </w:rPr>
        <w:t>, such as staying actions against the company's assets in England, requesting co-operation and assistance from the English court and local insolvency officials, and participating in local insolvency proceedings. Recognition would also mean that the US law as the foreign proceeding would apply to some matters, such as the distribution of assets, the avoidance of transactions, and the discharge of debts, unless they go against English public policy.</w:t>
      </w:r>
    </w:p>
    <w:p w14:paraId="5BB83F78" w14:textId="77777777" w:rsidR="0021066D" w:rsidRPr="0021066D" w:rsidRDefault="0021066D" w:rsidP="0021066D">
      <w:pPr>
        <w:rPr>
          <w:rFonts w:ascii="Avenir Next" w:hAnsi="Avenir Next" w:cs="Arial"/>
          <w:color w:val="808080" w:themeColor="background1" w:themeShade="80"/>
          <w:sz w:val="22"/>
          <w:szCs w:val="22"/>
          <w:lang w:val="en-GB"/>
        </w:rPr>
      </w:pPr>
    </w:p>
    <w:p w14:paraId="4667B403" w14:textId="6360244A" w:rsidR="0021066D" w:rsidRPr="0021066D" w:rsidRDefault="0021066D" w:rsidP="0021066D">
      <w:pPr>
        <w:pStyle w:val="ListParagraph"/>
        <w:numPr>
          <w:ilvl w:val="0"/>
          <w:numId w:val="39"/>
        </w:numPr>
        <w:rPr>
          <w:rFonts w:ascii="Avenir Next" w:hAnsi="Avenir Next" w:cs="Arial"/>
          <w:color w:val="808080" w:themeColor="background1" w:themeShade="80"/>
          <w:sz w:val="22"/>
          <w:szCs w:val="22"/>
          <w:lang w:val="en-GB"/>
        </w:rPr>
      </w:pPr>
      <w:r w:rsidRPr="0021066D">
        <w:rPr>
          <w:rFonts w:ascii="Avenir Next" w:hAnsi="Avenir Next" w:cs="Arial"/>
          <w:color w:val="808080" w:themeColor="background1" w:themeShade="80"/>
          <w:sz w:val="22"/>
          <w:szCs w:val="22"/>
          <w:lang w:val="en-GB"/>
        </w:rPr>
        <w:t>Section 426 of the IA 1986, which allows the English court to assist and support the courts of some designated countries or territories, including the US, in insolvency matters. I could ask for the assistance of the English court under section 426</w:t>
      </w:r>
      <w:r>
        <w:rPr>
          <w:rFonts w:ascii="Avenir Next" w:hAnsi="Avenir Next" w:cs="Arial"/>
          <w:color w:val="808080" w:themeColor="background1" w:themeShade="80"/>
          <w:sz w:val="22"/>
          <w:szCs w:val="22"/>
          <w:lang w:val="en-GB"/>
        </w:rPr>
        <w:t xml:space="preserve"> </w:t>
      </w:r>
      <w:r w:rsidRPr="0021066D">
        <w:rPr>
          <w:rFonts w:ascii="Avenir Next" w:hAnsi="Avenir Next" w:cs="Arial"/>
          <w:color w:val="808080" w:themeColor="background1" w:themeShade="80"/>
          <w:sz w:val="22"/>
          <w:szCs w:val="22"/>
          <w:lang w:val="en-GB"/>
        </w:rPr>
        <w:t>to recognise and enforce the US liquidation order or any other orders made in the US proceeding.</w:t>
      </w:r>
    </w:p>
    <w:p w14:paraId="1371B3A1" w14:textId="77777777" w:rsidR="0021066D" w:rsidRPr="0021066D" w:rsidRDefault="0021066D" w:rsidP="0021066D">
      <w:pPr>
        <w:rPr>
          <w:rFonts w:ascii="Avenir Next" w:hAnsi="Avenir Next" w:cs="Arial"/>
          <w:color w:val="808080" w:themeColor="background1" w:themeShade="80"/>
          <w:sz w:val="22"/>
          <w:szCs w:val="22"/>
          <w:lang w:val="en-GB"/>
        </w:rPr>
      </w:pPr>
    </w:p>
    <w:p w14:paraId="78746182" w14:textId="140ACA53" w:rsidR="00CA5C8C" w:rsidRPr="0021066D" w:rsidRDefault="0021066D" w:rsidP="0021066D">
      <w:pPr>
        <w:pStyle w:val="ListParagraph"/>
        <w:numPr>
          <w:ilvl w:val="0"/>
          <w:numId w:val="39"/>
        </w:numPr>
        <w:jc w:val="both"/>
        <w:rPr>
          <w:rFonts w:ascii="Avenir Next" w:hAnsi="Avenir Next" w:cs="Arial"/>
          <w:color w:val="808080" w:themeColor="background1" w:themeShade="80"/>
          <w:sz w:val="22"/>
          <w:szCs w:val="22"/>
          <w:lang w:val="en-GB"/>
        </w:rPr>
      </w:pPr>
      <w:r w:rsidRPr="0021066D">
        <w:rPr>
          <w:rFonts w:ascii="Avenir Next" w:hAnsi="Avenir Next" w:cs="Arial"/>
          <w:color w:val="808080" w:themeColor="background1" w:themeShade="80"/>
          <w:sz w:val="22"/>
          <w:szCs w:val="22"/>
          <w:lang w:val="en-GB"/>
        </w:rPr>
        <w:t xml:space="preserve">The common law principle of (modified) universalism, which recognises the main authority of the court of the principal liquidation to deal with the company's assets and liabilities </w:t>
      </w:r>
      <w:proofErr w:type="gramStart"/>
      <w:r w:rsidRPr="0021066D">
        <w:rPr>
          <w:rFonts w:ascii="Avenir Next" w:hAnsi="Avenir Next" w:cs="Arial"/>
          <w:color w:val="808080" w:themeColor="background1" w:themeShade="80"/>
          <w:sz w:val="22"/>
          <w:szCs w:val="22"/>
          <w:lang w:val="en-GB"/>
        </w:rPr>
        <w:t>worldwide, and</w:t>
      </w:r>
      <w:proofErr w:type="gramEnd"/>
      <w:r w:rsidRPr="0021066D">
        <w:rPr>
          <w:rFonts w:ascii="Avenir Next" w:hAnsi="Avenir Next" w:cs="Arial"/>
          <w:color w:val="808080" w:themeColor="background1" w:themeShade="80"/>
          <w:sz w:val="22"/>
          <w:szCs w:val="22"/>
          <w:lang w:val="en-GB"/>
        </w:rPr>
        <w:t xml:space="preserve"> requires the English court to co-operate with the foreign court, unless it is unjust or against public policy. I could rely on this principle to seek the recognition and enforcement of the US liquidation </w:t>
      </w:r>
      <w:proofErr w:type="gramStart"/>
      <w:r w:rsidRPr="0021066D">
        <w:rPr>
          <w:rFonts w:ascii="Avenir Next" w:hAnsi="Avenir Next" w:cs="Arial"/>
          <w:color w:val="808080" w:themeColor="background1" w:themeShade="80"/>
          <w:sz w:val="22"/>
          <w:szCs w:val="22"/>
          <w:lang w:val="en-GB"/>
        </w:rPr>
        <w:t>order</w:t>
      </w:r>
      <w:proofErr w:type="gramEnd"/>
      <w:r w:rsidRPr="0021066D">
        <w:rPr>
          <w:rFonts w:ascii="Avenir Next" w:hAnsi="Avenir Next" w:cs="Arial"/>
          <w:color w:val="808080" w:themeColor="background1" w:themeShade="80"/>
          <w:sz w:val="22"/>
          <w:szCs w:val="22"/>
          <w:lang w:val="en-GB"/>
        </w:rPr>
        <w:t xml:space="preserve"> or any other orders made in the US proceeding, or to ask for the company's assets in England to be sent to the US for distribution under the US law.</w:t>
      </w:r>
    </w:p>
    <w:p w14:paraId="7C84E78B" w14:textId="77777777" w:rsidR="0021066D" w:rsidRPr="00DB5A5A" w:rsidRDefault="0021066D" w:rsidP="0021066D">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46BEB2DA" w14:textId="72C53866" w:rsidR="009C2006" w:rsidRPr="009C2006" w:rsidRDefault="009C2006" w:rsidP="009C2006">
      <w:pPr>
        <w:rPr>
          <w:rFonts w:ascii="Avenir Next" w:hAnsi="Avenir Next" w:cs="Arial"/>
          <w:color w:val="808080" w:themeColor="background1" w:themeShade="80"/>
          <w:sz w:val="22"/>
          <w:szCs w:val="22"/>
          <w:lang w:val="en-GB"/>
        </w:rPr>
      </w:pPr>
      <w:r w:rsidRPr="009C2006">
        <w:rPr>
          <w:rFonts w:ascii="Avenir Next" w:hAnsi="Avenir Next" w:cs="Arial"/>
          <w:color w:val="808080" w:themeColor="background1" w:themeShade="80"/>
          <w:sz w:val="22"/>
          <w:szCs w:val="22"/>
          <w:lang w:val="en-GB"/>
        </w:rPr>
        <w:t>The legal sources that I would use in a cross-border insolvency case between Italy and Germany are:</w:t>
      </w:r>
    </w:p>
    <w:p w14:paraId="1CE03974" w14:textId="77777777" w:rsidR="009C2006" w:rsidRPr="009C2006" w:rsidRDefault="009C2006" w:rsidP="009C2006">
      <w:pPr>
        <w:rPr>
          <w:rFonts w:ascii="Avenir Next" w:hAnsi="Avenir Next" w:cs="Arial"/>
          <w:color w:val="808080" w:themeColor="background1" w:themeShade="80"/>
          <w:sz w:val="22"/>
          <w:szCs w:val="22"/>
          <w:lang w:val="en-GB"/>
        </w:rPr>
      </w:pPr>
    </w:p>
    <w:p w14:paraId="6108CBF7" w14:textId="250E220A" w:rsidR="009C2006" w:rsidRPr="009C2006" w:rsidRDefault="009C2006" w:rsidP="009C2006">
      <w:pPr>
        <w:pStyle w:val="ListParagraph"/>
        <w:numPr>
          <w:ilvl w:val="0"/>
          <w:numId w:val="40"/>
        </w:numPr>
        <w:rPr>
          <w:rFonts w:ascii="Avenir Next" w:hAnsi="Avenir Next" w:cs="Arial"/>
          <w:color w:val="808080" w:themeColor="background1" w:themeShade="80"/>
          <w:sz w:val="22"/>
          <w:szCs w:val="22"/>
          <w:lang w:val="en-GB"/>
        </w:rPr>
      </w:pPr>
      <w:r w:rsidRPr="009C2006">
        <w:rPr>
          <w:rFonts w:ascii="Avenir Next" w:hAnsi="Avenir Next" w:cs="Arial"/>
          <w:color w:val="808080" w:themeColor="background1" w:themeShade="80"/>
          <w:sz w:val="22"/>
          <w:szCs w:val="22"/>
          <w:lang w:val="en-GB"/>
        </w:rPr>
        <w:t>The EIR Recast, which is a binding EU regulation that applies to insolvency cases opened in EU countries (except Denmark) after 26 June 2017.</w:t>
      </w:r>
    </w:p>
    <w:p w14:paraId="29859EBE" w14:textId="77777777" w:rsidR="009C2006" w:rsidRPr="009C2006" w:rsidRDefault="009C2006" w:rsidP="009C2006">
      <w:pPr>
        <w:rPr>
          <w:rFonts w:ascii="Avenir Next" w:hAnsi="Avenir Next" w:cs="Arial"/>
          <w:color w:val="808080" w:themeColor="background1" w:themeShade="80"/>
          <w:sz w:val="22"/>
          <w:szCs w:val="22"/>
          <w:lang w:val="en-GB"/>
        </w:rPr>
      </w:pPr>
    </w:p>
    <w:p w14:paraId="0627BAF7" w14:textId="746DA9C2" w:rsidR="009C2006" w:rsidRPr="009C2006" w:rsidRDefault="009C2006" w:rsidP="009C2006">
      <w:pPr>
        <w:pStyle w:val="ListParagraph"/>
        <w:numPr>
          <w:ilvl w:val="0"/>
          <w:numId w:val="40"/>
        </w:numPr>
        <w:rPr>
          <w:rFonts w:ascii="Avenir Next" w:hAnsi="Avenir Next" w:cs="Arial"/>
          <w:color w:val="808080" w:themeColor="background1" w:themeShade="80"/>
          <w:sz w:val="22"/>
          <w:szCs w:val="22"/>
          <w:lang w:val="en-GB"/>
        </w:rPr>
      </w:pPr>
      <w:r w:rsidRPr="009C2006">
        <w:rPr>
          <w:rFonts w:ascii="Avenir Next" w:hAnsi="Avenir Next" w:cs="Arial"/>
          <w:color w:val="808080" w:themeColor="background1" w:themeShade="80"/>
          <w:sz w:val="22"/>
          <w:szCs w:val="22"/>
          <w:lang w:val="en-GB"/>
        </w:rPr>
        <w:t xml:space="preserve">The </w:t>
      </w:r>
      <w:proofErr w:type="spellStart"/>
      <w:r w:rsidRPr="009C2006">
        <w:rPr>
          <w:rFonts w:ascii="Avenir Next" w:hAnsi="Avenir Next" w:cs="Arial"/>
          <w:color w:val="808080" w:themeColor="background1" w:themeShade="80"/>
          <w:sz w:val="22"/>
          <w:szCs w:val="22"/>
          <w:lang w:val="en-GB"/>
        </w:rPr>
        <w:t>MLCBI</w:t>
      </w:r>
      <w:proofErr w:type="spellEnd"/>
      <w:r w:rsidRPr="009C2006">
        <w:rPr>
          <w:rFonts w:ascii="Avenir Next" w:hAnsi="Avenir Next" w:cs="Arial"/>
          <w:color w:val="808080" w:themeColor="background1" w:themeShade="80"/>
          <w:sz w:val="22"/>
          <w:szCs w:val="22"/>
          <w:lang w:val="en-GB"/>
        </w:rPr>
        <w:t>, which is a non-binding model law that provides a template for national laws on cross-border insolvency.</w:t>
      </w:r>
    </w:p>
    <w:p w14:paraId="3D3C4456" w14:textId="77777777" w:rsidR="009C2006" w:rsidRPr="009C2006" w:rsidRDefault="009C2006" w:rsidP="009C2006">
      <w:pPr>
        <w:rPr>
          <w:rFonts w:ascii="Avenir Next" w:hAnsi="Avenir Next" w:cs="Arial"/>
          <w:color w:val="808080" w:themeColor="background1" w:themeShade="80"/>
          <w:sz w:val="22"/>
          <w:szCs w:val="22"/>
          <w:lang w:val="en-GB"/>
        </w:rPr>
      </w:pPr>
    </w:p>
    <w:p w14:paraId="4C167055" w14:textId="77777777" w:rsidR="009C2006" w:rsidRPr="009C2006" w:rsidRDefault="009C2006" w:rsidP="009C2006">
      <w:pPr>
        <w:pStyle w:val="ListParagraph"/>
        <w:numPr>
          <w:ilvl w:val="0"/>
          <w:numId w:val="40"/>
        </w:numPr>
        <w:rPr>
          <w:rFonts w:ascii="Avenir Next" w:hAnsi="Avenir Next" w:cs="Arial"/>
          <w:color w:val="808080" w:themeColor="background1" w:themeShade="80"/>
          <w:sz w:val="22"/>
          <w:szCs w:val="22"/>
          <w:lang w:val="en-GB"/>
        </w:rPr>
      </w:pPr>
      <w:r w:rsidRPr="009C2006">
        <w:rPr>
          <w:rFonts w:ascii="Avenir Next" w:hAnsi="Avenir Next" w:cs="Arial"/>
          <w:color w:val="808080" w:themeColor="background1" w:themeShade="80"/>
          <w:sz w:val="22"/>
          <w:szCs w:val="22"/>
          <w:lang w:val="en-GB"/>
        </w:rPr>
        <w:t xml:space="preserve">The domestic insolvency laws of Italy and Germany, which may apply to some aspects of the insolvency case that are not governed by the EIR Recast or the </w:t>
      </w:r>
      <w:proofErr w:type="spellStart"/>
      <w:r w:rsidRPr="009C2006">
        <w:rPr>
          <w:rFonts w:ascii="Avenir Next" w:hAnsi="Avenir Next" w:cs="Arial"/>
          <w:color w:val="808080" w:themeColor="background1" w:themeShade="80"/>
          <w:sz w:val="22"/>
          <w:szCs w:val="22"/>
          <w:lang w:val="en-GB"/>
        </w:rPr>
        <w:t>MLCBI</w:t>
      </w:r>
      <w:proofErr w:type="spellEnd"/>
      <w:r w:rsidRPr="009C2006">
        <w:rPr>
          <w:rFonts w:ascii="Avenir Next" w:hAnsi="Avenir Next" w:cs="Arial"/>
          <w:color w:val="808080" w:themeColor="background1" w:themeShade="80"/>
          <w:sz w:val="22"/>
          <w:szCs w:val="22"/>
          <w:lang w:val="en-GB"/>
        </w:rPr>
        <w:t>, such as the insolvency law of the country where the case is opened, the ranking and distribution of claims, the rights and obligations of the debtor and the creditors, and the avoidance of fraudulent or preferential transactions.</w:t>
      </w:r>
    </w:p>
    <w:p w14:paraId="13E04599" w14:textId="77777777" w:rsidR="009C2006" w:rsidRPr="009C2006" w:rsidRDefault="009C2006" w:rsidP="009C2006">
      <w:pPr>
        <w:rPr>
          <w:rFonts w:ascii="Avenir Next" w:hAnsi="Avenir Next" w:cs="Arial"/>
          <w:color w:val="808080" w:themeColor="background1" w:themeShade="80"/>
          <w:sz w:val="22"/>
          <w:szCs w:val="22"/>
          <w:lang w:val="en-GB"/>
        </w:rPr>
      </w:pPr>
    </w:p>
    <w:p w14:paraId="1DDAB475" w14:textId="2C6D9D3E" w:rsidR="009C2006" w:rsidRPr="009C2006" w:rsidRDefault="009C2006" w:rsidP="009C2006">
      <w:pPr>
        <w:rPr>
          <w:rFonts w:ascii="Avenir Next" w:hAnsi="Avenir Next" w:cs="Arial"/>
          <w:color w:val="808080" w:themeColor="background1" w:themeShade="80"/>
          <w:sz w:val="22"/>
          <w:szCs w:val="22"/>
          <w:lang w:val="en-GB"/>
        </w:rPr>
      </w:pPr>
      <w:r w:rsidRPr="009C2006">
        <w:rPr>
          <w:rFonts w:ascii="Avenir Next" w:hAnsi="Avenir Next" w:cs="Arial"/>
          <w:color w:val="808080" w:themeColor="background1" w:themeShade="80"/>
          <w:sz w:val="22"/>
          <w:szCs w:val="22"/>
          <w:lang w:val="en-GB"/>
        </w:rPr>
        <w:t xml:space="preserve">The main case should be opened in the country where the debtor has its COMI, according to the EIR Recast and the </w:t>
      </w:r>
      <w:proofErr w:type="spellStart"/>
      <w:r w:rsidRPr="009C2006">
        <w:rPr>
          <w:rFonts w:ascii="Avenir Next" w:hAnsi="Avenir Next" w:cs="Arial"/>
          <w:color w:val="808080" w:themeColor="background1" w:themeShade="80"/>
          <w:sz w:val="22"/>
          <w:szCs w:val="22"/>
          <w:lang w:val="en-GB"/>
        </w:rPr>
        <w:t>MLCBI</w:t>
      </w:r>
      <w:proofErr w:type="spellEnd"/>
      <w:r w:rsidRPr="009C2006">
        <w:rPr>
          <w:rFonts w:ascii="Avenir Next" w:hAnsi="Avenir Next" w:cs="Arial"/>
          <w:color w:val="808080" w:themeColor="background1" w:themeShade="80"/>
          <w:sz w:val="22"/>
          <w:szCs w:val="22"/>
          <w:lang w:val="en-GB"/>
        </w:rPr>
        <w:t>. The COMI is presumed to be the place of the debtor's registered office, unless proven otherwise.</w:t>
      </w:r>
    </w:p>
    <w:p w14:paraId="6A49B6FB" w14:textId="77777777" w:rsidR="009C2006" w:rsidRPr="009C2006" w:rsidRDefault="009C2006" w:rsidP="009C2006">
      <w:pPr>
        <w:rPr>
          <w:rFonts w:ascii="Avenir Next" w:hAnsi="Avenir Next" w:cs="Arial"/>
          <w:color w:val="808080" w:themeColor="background1" w:themeShade="80"/>
          <w:sz w:val="22"/>
          <w:szCs w:val="22"/>
          <w:lang w:val="en-GB"/>
        </w:rPr>
      </w:pPr>
    </w:p>
    <w:p w14:paraId="205B069E" w14:textId="36D05B23" w:rsidR="00CA5C8C" w:rsidRPr="009C2006" w:rsidRDefault="009C2006" w:rsidP="009C2006">
      <w:pPr>
        <w:jc w:val="both"/>
        <w:rPr>
          <w:rFonts w:ascii="Avenir Next" w:hAnsi="Avenir Next" w:cs="Arial"/>
          <w:color w:val="808080" w:themeColor="background1" w:themeShade="80"/>
          <w:sz w:val="22"/>
          <w:szCs w:val="22"/>
          <w:lang w:val="en-GB"/>
        </w:rPr>
      </w:pPr>
      <w:r w:rsidRPr="009C2006">
        <w:rPr>
          <w:rFonts w:ascii="Avenir Next" w:hAnsi="Avenir Next" w:cs="Arial"/>
          <w:color w:val="808080" w:themeColor="background1" w:themeShade="80"/>
          <w:sz w:val="22"/>
          <w:szCs w:val="22"/>
          <w:lang w:val="en-GB"/>
        </w:rPr>
        <w:lastRenderedPageBreak/>
        <w:t xml:space="preserve">In this case, </w:t>
      </w:r>
      <w:proofErr w:type="gramStart"/>
      <w:r w:rsidRPr="009C2006">
        <w:rPr>
          <w:rFonts w:ascii="Avenir Next" w:hAnsi="Avenir Next" w:cs="Arial"/>
          <w:color w:val="808080" w:themeColor="background1" w:themeShade="80"/>
          <w:sz w:val="22"/>
          <w:szCs w:val="22"/>
          <w:lang w:val="en-GB"/>
        </w:rPr>
        <w:t>assuming that</w:t>
      </w:r>
      <w:proofErr w:type="gramEnd"/>
      <w:r w:rsidRPr="009C2006">
        <w:rPr>
          <w:rFonts w:ascii="Avenir Next" w:hAnsi="Avenir Next" w:cs="Arial"/>
          <w:color w:val="808080" w:themeColor="background1" w:themeShade="80"/>
          <w:sz w:val="22"/>
          <w:szCs w:val="22"/>
          <w:lang w:val="en-GB"/>
        </w:rPr>
        <w:t xml:space="preserve"> Norton Cars Inc moved its COMI to Italy when England left the EU, and that this move was genuine and not just for the purpose of forum shopping, the main case should be opened in Italy. However, this presumption may be challenged by creditors or other parties who can show that the COMI is </w:t>
      </w:r>
      <w:proofErr w:type="gramStart"/>
      <w:r w:rsidRPr="009C2006">
        <w:rPr>
          <w:rFonts w:ascii="Avenir Next" w:hAnsi="Avenir Next" w:cs="Arial"/>
          <w:color w:val="808080" w:themeColor="background1" w:themeShade="80"/>
          <w:sz w:val="22"/>
          <w:szCs w:val="22"/>
          <w:lang w:val="en-GB"/>
        </w:rPr>
        <w:t>actually in</w:t>
      </w:r>
      <w:proofErr w:type="gramEnd"/>
      <w:r w:rsidRPr="009C2006">
        <w:rPr>
          <w:rFonts w:ascii="Avenir Next" w:hAnsi="Avenir Next" w:cs="Arial"/>
          <w:color w:val="808080" w:themeColor="background1" w:themeShade="80"/>
          <w:sz w:val="22"/>
          <w:szCs w:val="22"/>
          <w:lang w:val="en-GB"/>
        </w:rPr>
        <w:t xml:space="preserve"> another country, such as Germany, where the debtor's main operations take place. The court that receives the request to open the main case would have to examine the evidence and decide whether the COMI is in Italy or in another country. If the court finds that the COMI is in Italy, it </w:t>
      </w:r>
      <w:proofErr w:type="gramStart"/>
      <w:r w:rsidRPr="009C2006">
        <w:rPr>
          <w:rFonts w:ascii="Avenir Next" w:hAnsi="Avenir Next" w:cs="Arial"/>
          <w:color w:val="808080" w:themeColor="background1" w:themeShade="80"/>
          <w:sz w:val="22"/>
          <w:szCs w:val="22"/>
          <w:lang w:val="en-GB"/>
        </w:rPr>
        <w:t>would</w:t>
      </w:r>
      <w:proofErr w:type="gramEnd"/>
      <w:r w:rsidRPr="009C2006">
        <w:rPr>
          <w:rFonts w:ascii="Avenir Next" w:hAnsi="Avenir Next" w:cs="Arial"/>
          <w:color w:val="808080" w:themeColor="background1" w:themeShade="80"/>
          <w:sz w:val="22"/>
          <w:szCs w:val="22"/>
          <w:lang w:val="en-GB"/>
        </w:rPr>
        <w:t xml:space="preserve"> open the main case and issue a decision that would be automatically recognized and enforced in other EU countries, subject to certain exceptions. If the court finds that the COMI is in another country, it </w:t>
      </w:r>
      <w:proofErr w:type="gramStart"/>
      <w:r w:rsidRPr="009C2006">
        <w:rPr>
          <w:rFonts w:ascii="Avenir Next" w:hAnsi="Avenir Next" w:cs="Arial"/>
          <w:color w:val="808080" w:themeColor="background1" w:themeShade="80"/>
          <w:sz w:val="22"/>
          <w:szCs w:val="22"/>
          <w:lang w:val="en-GB"/>
        </w:rPr>
        <w:t>would</w:t>
      </w:r>
      <w:proofErr w:type="gramEnd"/>
      <w:r w:rsidRPr="009C2006">
        <w:rPr>
          <w:rFonts w:ascii="Avenir Next" w:hAnsi="Avenir Next" w:cs="Arial"/>
          <w:color w:val="808080" w:themeColor="background1" w:themeShade="80"/>
          <w:sz w:val="22"/>
          <w:szCs w:val="22"/>
          <w:lang w:val="en-GB"/>
        </w:rPr>
        <w:t xml:space="preserve"> not open the main case and refer the matter to the court of that country. Alternatively, the court may open a secondary case in Italy, if the debtor has an establishment there, and if the secondary case is compatible with the main case.</w:t>
      </w:r>
    </w:p>
    <w:p w14:paraId="133F722D" w14:textId="77777777" w:rsidR="009C2006" w:rsidRPr="009F0C5A" w:rsidRDefault="009C2006" w:rsidP="00CA5C8C">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27BD7F63" w14:textId="3AB017F6" w:rsidR="00CA5C8C" w:rsidRDefault="009C2006" w:rsidP="009C2006">
      <w:pPr>
        <w:jc w:val="both"/>
        <w:rPr>
          <w:rFonts w:ascii="Avenir Next" w:hAnsi="Avenir Next" w:cs="Arial"/>
          <w:color w:val="808080" w:themeColor="background1" w:themeShade="80"/>
          <w:sz w:val="22"/>
          <w:szCs w:val="22"/>
          <w:lang w:val="en-GB"/>
        </w:rPr>
      </w:pPr>
      <w:r w:rsidRPr="009C2006">
        <w:rPr>
          <w:rFonts w:ascii="Avenir Next" w:hAnsi="Avenir Next" w:cs="Arial"/>
          <w:color w:val="808080" w:themeColor="background1" w:themeShade="80"/>
          <w:sz w:val="22"/>
          <w:szCs w:val="22"/>
          <w:lang w:val="en-GB"/>
        </w:rPr>
        <w:t xml:space="preserve">No, the EU (Recast) Insolvency Regulation does not apply to courts in India, South </w:t>
      </w:r>
      <w:proofErr w:type="gramStart"/>
      <w:r w:rsidRPr="009C2006">
        <w:rPr>
          <w:rFonts w:ascii="Avenir Next" w:hAnsi="Avenir Next" w:cs="Arial"/>
          <w:color w:val="808080" w:themeColor="background1" w:themeShade="80"/>
          <w:sz w:val="22"/>
          <w:szCs w:val="22"/>
          <w:lang w:val="en-GB"/>
        </w:rPr>
        <w:t>Africa</w:t>
      </w:r>
      <w:proofErr w:type="gramEnd"/>
      <w:r w:rsidRPr="009C2006">
        <w:rPr>
          <w:rFonts w:ascii="Avenir Next" w:hAnsi="Avenir Next" w:cs="Arial"/>
          <w:color w:val="808080" w:themeColor="background1" w:themeShade="80"/>
          <w:sz w:val="22"/>
          <w:szCs w:val="22"/>
          <w:lang w:val="en-GB"/>
        </w:rPr>
        <w:t xml:space="preserve"> or Australia when they deal with the recognition of an EU insolvency representative who has been appointed according to the regulation. This regulation only governs insolvency proceedings that start in EU member states and the way that courts and insolvency practitioners from those states cooperate and recognise each other. It does not cover third countries outside the EU, unless they have a specific agreement with the EU on this issue.</w:t>
      </w:r>
    </w:p>
    <w:p w14:paraId="1C2685F2" w14:textId="77777777" w:rsidR="009C2006" w:rsidRDefault="009C2006" w:rsidP="009C2006">
      <w:pPr>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5E2D8FD3" w14:textId="77777777" w:rsidR="009C2006" w:rsidRPr="009C2006" w:rsidRDefault="009C2006" w:rsidP="009C2006">
      <w:pPr>
        <w:ind w:left="426"/>
        <w:rPr>
          <w:rFonts w:ascii="Avenir Next" w:hAnsi="Avenir Next" w:cs="Arial"/>
          <w:color w:val="808080" w:themeColor="background1" w:themeShade="80"/>
          <w:sz w:val="22"/>
          <w:szCs w:val="22"/>
          <w:lang w:val="en-GB"/>
        </w:rPr>
      </w:pPr>
      <w:r w:rsidRPr="009C2006">
        <w:rPr>
          <w:rFonts w:ascii="Avenir Next" w:hAnsi="Avenir Next" w:cs="Arial"/>
          <w:color w:val="808080" w:themeColor="background1" w:themeShade="80"/>
          <w:sz w:val="22"/>
          <w:szCs w:val="22"/>
          <w:lang w:val="en-GB"/>
        </w:rPr>
        <w:t xml:space="preserve">The applicable law for the insolvency proceeding and the security interests in the Netherlands depends on whether the EU Regulation on Insolvency Proceedings (EIR Recast) applies or not. This regulation sets out rules for determining jurisdiction, recognition, </w:t>
      </w:r>
      <w:proofErr w:type="gramStart"/>
      <w:r w:rsidRPr="009C2006">
        <w:rPr>
          <w:rFonts w:ascii="Avenir Next" w:hAnsi="Avenir Next" w:cs="Arial"/>
          <w:color w:val="808080" w:themeColor="background1" w:themeShade="80"/>
          <w:sz w:val="22"/>
          <w:szCs w:val="22"/>
          <w:lang w:val="en-GB"/>
        </w:rPr>
        <w:t>cooperation</w:t>
      </w:r>
      <w:proofErr w:type="gramEnd"/>
      <w:r w:rsidRPr="009C2006">
        <w:rPr>
          <w:rFonts w:ascii="Avenir Next" w:hAnsi="Avenir Next" w:cs="Arial"/>
          <w:color w:val="808080" w:themeColor="background1" w:themeShade="80"/>
          <w:sz w:val="22"/>
          <w:szCs w:val="22"/>
          <w:lang w:val="en-GB"/>
        </w:rPr>
        <w:t xml:space="preserve"> and coordination of cross-border insolvency cases within the EU. However, it does not cover insolvency cases that start in a non-EU country, such as the USA, or cases involving certain types of financial institutions and funds.</w:t>
      </w:r>
    </w:p>
    <w:p w14:paraId="14F37430" w14:textId="77777777" w:rsidR="009C2006" w:rsidRPr="009C2006" w:rsidRDefault="009C2006" w:rsidP="009C2006">
      <w:pPr>
        <w:ind w:left="426"/>
        <w:rPr>
          <w:rFonts w:ascii="Avenir Next" w:hAnsi="Avenir Next" w:cs="Arial"/>
          <w:color w:val="808080" w:themeColor="background1" w:themeShade="80"/>
          <w:sz w:val="22"/>
          <w:szCs w:val="22"/>
          <w:lang w:val="en-GB"/>
        </w:rPr>
      </w:pPr>
    </w:p>
    <w:p w14:paraId="5ABD0371" w14:textId="77777777" w:rsidR="009C2006" w:rsidRPr="009C2006" w:rsidRDefault="009C2006" w:rsidP="009C2006">
      <w:pPr>
        <w:ind w:left="426"/>
        <w:rPr>
          <w:rFonts w:ascii="Avenir Next" w:hAnsi="Avenir Next" w:cs="Arial"/>
          <w:color w:val="808080" w:themeColor="background1" w:themeShade="80"/>
          <w:sz w:val="22"/>
          <w:szCs w:val="22"/>
          <w:lang w:val="en-GB"/>
        </w:rPr>
      </w:pPr>
      <w:r w:rsidRPr="009C2006">
        <w:rPr>
          <w:rFonts w:ascii="Avenir Next" w:hAnsi="Avenir Next" w:cs="Arial"/>
          <w:color w:val="808080" w:themeColor="background1" w:themeShade="80"/>
          <w:sz w:val="22"/>
          <w:szCs w:val="22"/>
          <w:lang w:val="en-GB"/>
        </w:rPr>
        <w:t xml:space="preserve">If the EIR Recast applies, the main insolvency proceeding will be governed by the law of the member state where the debtor has its centre of main interests (COMI), unless the debtor has an establishment in another member state, which could allow for secondary proceedings there. The COMI is the place where the debtor conducts its main business activities and is visible to its creditors and the public. It is presumed to be the place of the registered </w:t>
      </w:r>
      <w:proofErr w:type="gramStart"/>
      <w:r w:rsidRPr="009C2006">
        <w:rPr>
          <w:rFonts w:ascii="Avenir Next" w:hAnsi="Avenir Next" w:cs="Arial"/>
          <w:color w:val="808080" w:themeColor="background1" w:themeShade="80"/>
          <w:sz w:val="22"/>
          <w:szCs w:val="22"/>
          <w:lang w:val="en-GB"/>
        </w:rPr>
        <w:t>office, unless</w:t>
      </w:r>
      <w:proofErr w:type="gramEnd"/>
      <w:r w:rsidRPr="009C2006">
        <w:rPr>
          <w:rFonts w:ascii="Avenir Next" w:hAnsi="Avenir Next" w:cs="Arial"/>
          <w:color w:val="808080" w:themeColor="background1" w:themeShade="80"/>
          <w:sz w:val="22"/>
          <w:szCs w:val="22"/>
          <w:lang w:val="en-GB"/>
        </w:rPr>
        <w:t xml:space="preserve"> there is evidence to the contrary. In this case, the COMI of Norton Cars Inc is in Italy, where it moved its registered office after the UK left the EU. Therefore, the Italian law will apply to the main </w:t>
      </w:r>
      <w:r w:rsidRPr="009C2006">
        <w:rPr>
          <w:rFonts w:ascii="Avenir Next" w:hAnsi="Avenir Next" w:cs="Arial"/>
          <w:color w:val="808080" w:themeColor="background1" w:themeShade="80"/>
          <w:sz w:val="22"/>
          <w:szCs w:val="22"/>
          <w:lang w:val="en-GB"/>
        </w:rPr>
        <w:lastRenderedPageBreak/>
        <w:t>proceeding, unless someone can prove that the real head office and decision-making centre of the company is elsewhere.</w:t>
      </w:r>
    </w:p>
    <w:p w14:paraId="2039F41F" w14:textId="77777777" w:rsidR="009C2006" w:rsidRPr="009C2006" w:rsidRDefault="009C2006" w:rsidP="009C2006">
      <w:pPr>
        <w:ind w:left="426"/>
        <w:rPr>
          <w:rFonts w:ascii="Avenir Next" w:hAnsi="Avenir Next" w:cs="Arial"/>
          <w:color w:val="808080" w:themeColor="background1" w:themeShade="80"/>
          <w:sz w:val="22"/>
          <w:szCs w:val="22"/>
          <w:lang w:val="en-GB"/>
        </w:rPr>
      </w:pPr>
    </w:p>
    <w:p w14:paraId="571FCE1F" w14:textId="2B97503B" w:rsidR="00CA5C8C" w:rsidRDefault="009C2006" w:rsidP="009C2006">
      <w:pPr>
        <w:ind w:left="426"/>
        <w:jc w:val="both"/>
        <w:rPr>
          <w:rFonts w:ascii="Avenir Next" w:hAnsi="Avenir Next" w:cs="Arial"/>
          <w:color w:val="808080" w:themeColor="background1" w:themeShade="80"/>
          <w:sz w:val="22"/>
          <w:szCs w:val="22"/>
          <w:lang w:val="en-GB"/>
        </w:rPr>
      </w:pPr>
      <w:r w:rsidRPr="009C2006">
        <w:rPr>
          <w:rFonts w:ascii="Avenir Next" w:hAnsi="Avenir Next" w:cs="Arial"/>
          <w:color w:val="808080" w:themeColor="background1" w:themeShade="80"/>
          <w:sz w:val="22"/>
          <w:szCs w:val="22"/>
          <w:lang w:val="en-GB"/>
        </w:rPr>
        <w:t xml:space="preserve">The security interests in the Netherlands will be governed by the law of the Netherlands. </w:t>
      </w:r>
      <w:r>
        <w:rPr>
          <w:rFonts w:ascii="Avenir Next" w:hAnsi="Avenir Next" w:cs="Arial"/>
          <w:color w:val="808080" w:themeColor="background1" w:themeShade="80"/>
          <w:sz w:val="22"/>
          <w:szCs w:val="22"/>
          <w:lang w:val="en-GB"/>
        </w:rPr>
        <w:t>T</w:t>
      </w:r>
      <w:r w:rsidRPr="009C2006">
        <w:rPr>
          <w:rFonts w:ascii="Avenir Next" w:hAnsi="Avenir Next" w:cs="Arial"/>
          <w:color w:val="808080" w:themeColor="background1" w:themeShade="80"/>
          <w:sz w:val="22"/>
          <w:szCs w:val="22"/>
          <w:lang w:val="en-GB"/>
        </w:rPr>
        <w:t xml:space="preserve">he opening of insolvency proceedings in one member state does not affect the rights of creditors or third parties who have rights over the debtor's assets located in another member state at the time of the opening. These rights include security interests, such as mortgages, </w:t>
      </w:r>
      <w:proofErr w:type="gramStart"/>
      <w:r w:rsidRPr="009C2006">
        <w:rPr>
          <w:rFonts w:ascii="Avenir Next" w:hAnsi="Avenir Next" w:cs="Arial"/>
          <w:color w:val="808080" w:themeColor="background1" w:themeShade="80"/>
          <w:sz w:val="22"/>
          <w:szCs w:val="22"/>
          <w:lang w:val="en-GB"/>
        </w:rPr>
        <w:t>pledges</w:t>
      </w:r>
      <w:proofErr w:type="gramEnd"/>
      <w:r w:rsidRPr="009C2006">
        <w:rPr>
          <w:rFonts w:ascii="Avenir Next" w:hAnsi="Avenir Next" w:cs="Arial"/>
          <w:color w:val="808080" w:themeColor="background1" w:themeShade="80"/>
          <w:sz w:val="22"/>
          <w:szCs w:val="22"/>
          <w:lang w:val="en-GB"/>
        </w:rPr>
        <w:t xml:space="preserve"> or liens. Therefore, the Italian proceeding will not interfere with the rights of the secured creditors in the Netherlands, and the Dutch law will determine the existence, </w:t>
      </w:r>
      <w:proofErr w:type="gramStart"/>
      <w:r w:rsidRPr="009C2006">
        <w:rPr>
          <w:rFonts w:ascii="Avenir Next" w:hAnsi="Avenir Next" w:cs="Arial"/>
          <w:color w:val="808080" w:themeColor="background1" w:themeShade="80"/>
          <w:sz w:val="22"/>
          <w:szCs w:val="22"/>
          <w:lang w:val="en-GB"/>
        </w:rPr>
        <w:t>validity</w:t>
      </w:r>
      <w:proofErr w:type="gramEnd"/>
      <w:r w:rsidRPr="009C2006">
        <w:rPr>
          <w:rFonts w:ascii="Avenir Next" w:hAnsi="Avenir Next" w:cs="Arial"/>
          <w:color w:val="808080" w:themeColor="background1" w:themeShade="80"/>
          <w:sz w:val="22"/>
          <w:szCs w:val="22"/>
          <w:lang w:val="en-GB"/>
        </w:rPr>
        <w:t xml:space="preserve"> and enforcement of those rights.</w:t>
      </w:r>
    </w:p>
    <w:p w14:paraId="61A151CC" w14:textId="77777777" w:rsidR="009C2006" w:rsidRPr="004827A3" w:rsidRDefault="009C2006" w:rsidP="009C2006">
      <w:pPr>
        <w:ind w:left="426"/>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76E1C47A" w14:textId="1A49085C" w:rsidR="009C2006" w:rsidRDefault="009C2006" w:rsidP="009C2006">
      <w:pPr>
        <w:ind w:left="426"/>
        <w:rPr>
          <w:rFonts w:ascii="Avenir Next" w:hAnsi="Avenir Next" w:cs="Arial"/>
          <w:color w:val="808080" w:themeColor="background1" w:themeShade="80"/>
          <w:sz w:val="22"/>
          <w:szCs w:val="22"/>
          <w:lang w:val="en-GB"/>
        </w:rPr>
      </w:pPr>
      <w:r w:rsidRPr="009C2006">
        <w:rPr>
          <w:rFonts w:ascii="Avenir Next" w:hAnsi="Avenir Next" w:cs="Arial"/>
          <w:color w:val="808080" w:themeColor="background1" w:themeShade="80"/>
          <w:sz w:val="22"/>
          <w:szCs w:val="22"/>
          <w:lang w:val="en-GB"/>
        </w:rPr>
        <w:t xml:space="preserve">If Australia has adopted the </w:t>
      </w:r>
      <w:proofErr w:type="spellStart"/>
      <w:r w:rsidRPr="009C2006">
        <w:rPr>
          <w:rFonts w:ascii="Avenir Next" w:hAnsi="Avenir Next" w:cs="Arial"/>
          <w:color w:val="808080" w:themeColor="background1" w:themeShade="80"/>
          <w:sz w:val="22"/>
          <w:szCs w:val="22"/>
          <w:lang w:val="en-GB"/>
        </w:rPr>
        <w:t>UNCITRAL</w:t>
      </w:r>
      <w:proofErr w:type="spellEnd"/>
      <w:r w:rsidRPr="009C2006">
        <w:rPr>
          <w:rFonts w:ascii="Avenir Next" w:hAnsi="Avenir Next" w:cs="Arial"/>
          <w:color w:val="808080" w:themeColor="background1" w:themeShade="80"/>
          <w:sz w:val="22"/>
          <w:szCs w:val="22"/>
          <w:lang w:val="en-GB"/>
        </w:rPr>
        <w:t xml:space="preserve"> Model Law on Cross-Border Insolvency (</w:t>
      </w:r>
      <w:proofErr w:type="spellStart"/>
      <w:r w:rsidRPr="009C2006">
        <w:rPr>
          <w:rFonts w:ascii="Avenir Next" w:hAnsi="Avenir Next" w:cs="Arial"/>
          <w:color w:val="808080" w:themeColor="background1" w:themeShade="80"/>
          <w:sz w:val="22"/>
          <w:szCs w:val="22"/>
          <w:lang w:val="en-GB"/>
        </w:rPr>
        <w:t>MLCBI</w:t>
      </w:r>
      <w:proofErr w:type="spellEnd"/>
      <w:r w:rsidRPr="009C2006">
        <w:rPr>
          <w:rFonts w:ascii="Avenir Next" w:hAnsi="Avenir Next" w:cs="Arial"/>
          <w:color w:val="808080" w:themeColor="background1" w:themeShade="80"/>
          <w:sz w:val="22"/>
          <w:szCs w:val="22"/>
          <w:lang w:val="en-GB"/>
        </w:rPr>
        <w:t xml:space="preserve">), the law of Australia will apply to both the insolvency proceeding and the real rights of security situated in Australia. </w:t>
      </w:r>
    </w:p>
    <w:p w14:paraId="683EFFAE" w14:textId="77777777" w:rsidR="009C2006" w:rsidRPr="009C2006" w:rsidRDefault="009C2006" w:rsidP="009C2006">
      <w:pPr>
        <w:ind w:left="426"/>
        <w:rPr>
          <w:rFonts w:ascii="Avenir Next" w:hAnsi="Avenir Next" w:cs="Arial"/>
          <w:color w:val="808080" w:themeColor="background1" w:themeShade="80"/>
          <w:sz w:val="22"/>
          <w:szCs w:val="22"/>
          <w:lang w:val="en-GB"/>
        </w:rPr>
      </w:pPr>
    </w:p>
    <w:p w14:paraId="4E3B7002" w14:textId="575F990E" w:rsidR="009C2006" w:rsidRPr="009C2006" w:rsidRDefault="009C2006" w:rsidP="009C2006">
      <w:pPr>
        <w:ind w:left="426"/>
        <w:rPr>
          <w:rFonts w:ascii="Avenir Next" w:hAnsi="Avenir Next" w:cs="Arial"/>
          <w:color w:val="808080" w:themeColor="background1" w:themeShade="80"/>
          <w:sz w:val="22"/>
          <w:szCs w:val="22"/>
          <w:lang w:val="en-GB"/>
        </w:rPr>
      </w:pPr>
      <w:r w:rsidRPr="009C2006">
        <w:rPr>
          <w:rFonts w:ascii="Avenir Next" w:hAnsi="Avenir Next" w:cs="Arial"/>
          <w:color w:val="808080" w:themeColor="background1" w:themeShade="80"/>
          <w:sz w:val="22"/>
          <w:szCs w:val="22"/>
          <w:lang w:val="en-GB"/>
        </w:rPr>
        <w:t xml:space="preserve">Australia has incorporated the </w:t>
      </w:r>
      <w:proofErr w:type="spellStart"/>
      <w:r w:rsidRPr="009C2006">
        <w:rPr>
          <w:rFonts w:ascii="Avenir Next" w:hAnsi="Avenir Next" w:cs="Arial"/>
          <w:color w:val="808080" w:themeColor="background1" w:themeShade="80"/>
          <w:sz w:val="22"/>
          <w:szCs w:val="22"/>
          <w:lang w:val="en-GB"/>
        </w:rPr>
        <w:t>MLCBI</w:t>
      </w:r>
      <w:proofErr w:type="spellEnd"/>
      <w:r w:rsidRPr="009C2006">
        <w:rPr>
          <w:rFonts w:ascii="Avenir Next" w:hAnsi="Avenir Next" w:cs="Arial"/>
          <w:color w:val="808080" w:themeColor="background1" w:themeShade="80"/>
          <w:sz w:val="22"/>
          <w:szCs w:val="22"/>
          <w:lang w:val="en-GB"/>
        </w:rPr>
        <w:t xml:space="preserve"> into its domestic law through the Cross-Border Insolvency Act 2008. Under this Act, a foreign representative can apply to the Federal Court of Australia for recognition of a foreign proceeding in which they have been appointed. The Italian insolvency proceeding is a foreign proceeding, and the Italian insolvent estate representative can seek recognition in Australia.</w:t>
      </w:r>
    </w:p>
    <w:p w14:paraId="5944E7F3" w14:textId="77777777" w:rsidR="009C2006" w:rsidRPr="009C2006" w:rsidRDefault="009C2006" w:rsidP="009C2006">
      <w:pPr>
        <w:ind w:left="426"/>
        <w:rPr>
          <w:rFonts w:ascii="Avenir Next" w:hAnsi="Avenir Next" w:cs="Arial"/>
          <w:color w:val="808080" w:themeColor="background1" w:themeShade="80"/>
          <w:sz w:val="22"/>
          <w:szCs w:val="22"/>
          <w:lang w:val="en-GB"/>
        </w:rPr>
      </w:pPr>
    </w:p>
    <w:p w14:paraId="63C1667B" w14:textId="27EB9926" w:rsidR="007815D1" w:rsidRDefault="009C2006" w:rsidP="009C2006">
      <w:pPr>
        <w:ind w:left="426"/>
        <w:jc w:val="both"/>
        <w:rPr>
          <w:rFonts w:ascii="Avenir Next Demi Bold" w:hAnsi="Avenir Next Demi Bold" w:cs="Arial"/>
          <w:b/>
          <w:bCs/>
          <w:sz w:val="22"/>
          <w:szCs w:val="22"/>
          <w:lang w:val="en-GB"/>
        </w:rPr>
      </w:pPr>
      <w:r w:rsidRPr="009C2006">
        <w:rPr>
          <w:rFonts w:ascii="Avenir Next" w:hAnsi="Avenir Next" w:cs="Arial"/>
          <w:color w:val="808080" w:themeColor="background1" w:themeShade="80"/>
          <w:sz w:val="22"/>
          <w:szCs w:val="22"/>
          <w:lang w:val="en-GB"/>
        </w:rPr>
        <w:t xml:space="preserve">The recognition of a foreign proceeding does not affect the rights of a secured creditor to realise or otherwise deal with its security interest, according to the Act. Therefore, the Italian insolvency proceeding will not interfere with the rights of the secured creditors in Australia, and the law of Australia will govern the existence, </w:t>
      </w:r>
      <w:proofErr w:type="gramStart"/>
      <w:r w:rsidRPr="009C2006">
        <w:rPr>
          <w:rFonts w:ascii="Avenir Next" w:hAnsi="Avenir Next" w:cs="Arial"/>
          <w:color w:val="808080" w:themeColor="background1" w:themeShade="80"/>
          <w:sz w:val="22"/>
          <w:szCs w:val="22"/>
          <w:lang w:val="en-GB"/>
        </w:rPr>
        <w:t>validity</w:t>
      </w:r>
      <w:proofErr w:type="gramEnd"/>
      <w:r w:rsidRPr="009C2006">
        <w:rPr>
          <w:rFonts w:ascii="Avenir Next" w:hAnsi="Avenir Next" w:cs="Arial"/>
          <w:color w:val="808080" w:themeColor="background1" w:themeShade="80"/>
          <w:sz w:val="22"/>
          <w:szCs w:val="22"/>
          <w:lang w:val="en-GB"/>
        </w:rPr>
        <w:t xml:space="preserve"> and enforcement of those rights.</w:t>
      </w:r>
      <w:r w:rsidR="007815D1" w:rsidRPr="00F3144D">
        <w:rPr>
          <w:rFonts w:ascii="Avenir Next Demi Bold" w:hAnsi="Avenir Next Demi Bold" w:cs="Arial"/>
          <w:b/>
          <w:bCs/>
          <w:sz w:val="22"/>
          <w:szCs w:val="22"/>
          <w:lang w:val="en-GB"/>
        </w:rPr>
        <w:t xml:space="preserve"> </w:t>
      </w:r>
    </w:p>
    <w:p w14:paraId="7C6EC230" w14:textId="77777777" w:rsidR="00967D73" w:rsidRPr="00CB3EB6" w:rsidRDefault="00967D73" w:rsidP="009C2006">
      <w:pPr>
        <w:ind w:left="426"/>
        <w:jc w:val="both"/>
        <w:rPr>
          <w:rFonts w:ascii="Avenir Next Demi Bold" w:hAnsi="Avenir Next Demi Bold" w:cs="Arial"/>
          <w:b/>
          <w:bCs/>
          <w:sz w:val="22"/>
          <w:szCs w:val="22"/>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CC1E" w14:textId="77777777" w:rsidR="000833AC" w:rsidRDefault="000833AC" w:rsidP="00241B44">
      <w:r>
        <w:separator/>
      </w:r>
    </w:p>
  </w:endnote>
  <w:endnote w:type="continuationSeparator" w:id="0">
    <w:p w14:paraId="042FCCFE" w14:textId="77777777" w:rsidR="000833AC" w:rsidRDefault="000833A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DA53487" w:rsidR="00B64A85" w:rsidRPr="00297BDF" w:rsidRDefault="002979B4" w:rsidP="0052732A">
    <w:pPr>
      <w:pStyle w:val="Footer"/>
      <w:ind w:right="360"/>
      <w:rPr>
        <w:rFonts w:ascii="Avenir Next" w:hAnsi="Avenir Next" w:cs="Arial"/>
        <w:sz w:val="22"/>
        <w:szCs w:val="22"/>
      </w:rPr>
    </w:pPr>
    <w:r>
      <w:rPr>
        <w:rFonts w:ascii="Avenir Next" w:hAnsi="Avenir Next" w:cs="Arial"/>
        <w:sz w:val="22"/>
        <w:szCs w:val="22"/>
      </w:rPr>
      <w:t>FC202324-1253</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539C" w14:textId="77777777" w:rsidR="000833AC" w:rsidRDefault="000833AC" w:rsidP="00241B44">
      <w:r>
        <w:separator/>
      </w:r>
    </w:p>
  </w:footnote>
  <w:footnote w:type="continuationSeparator" w:id="0">
    <w:p w14:paraId="608ECE43" w14:textId="77777777" w:rsidR="000833AC" w:rsidRDefault="000833A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E16"/>
    <w:multiLevelType w:val="hybridMultilevel"/>
    <w:tmpl w:val="D9985F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17534A2"/>
    <w:multiLevelType w:val="hybridMultilevel"/>
    <w:tmpl w:val="C1B6F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F516D"/>
    <w:multiLevelType w:val="hybridMultilevel"/>
    <w:tmpl w:val="123601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2229F"/>
    <w:multiLevelType w:val="hybridMultilevel"/>
    <w:tmpl w:val="C096B4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64379C"/>
    <w:multiLevelType w:val="hybridMultilevel"/>
    <w:tmpl w:val="19A63F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5CA545D"/>
    <w:multiLevelType w:val="hybridMultilevel"/>
    <w:tmpl w:val="738C4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1"/>
  </w:num>
  <w:num w:numId="2" w16cid:durableId="460732777">
    <w:abstractNumId w:val="37"/>
  </w:num>
  <w:num w:numId="3" w16cid:durableId="1558668659">
    <w:abstractNumId w:val="3"/>
  </w:num>
  <w:num w:numId="4" w16cid:durableId="737018892">
    <w:abstractNumId w:val="5"/>
  </w:num>
  <w:num w:numId="5" w16cid:durableId="1158809076">
    <w:abstractNumId w:val="26"/>
  </w:num>
  <w:num w:numId="6" w16cid:durableId="415711827">
    <w:abstractNumId w:val="32"/>
  </w:num>
  <w:num w:numId="7" w16cid:durableId="1401949473">
    <w:abstractNumId w:val="19"/>
  </w:num>
  <w:num w:numId="8" w16cid:durableId="269552992">
    <w:abstractNumId w:val="38"/>
  </w:num>
  <w:num w:numId="9" w16cid:durableId="1367413161">
    <w:abstractNumId w:val="18"/>
  </w:num>
  <w:num w:numId="10" w16cid:durableId="220823057">
    <w:abstractNumId w:val="34"/>
  </w:num>
  <w:num w:numId="11" w16cid:durableId="858086195">
    <w:abstractNumId w:val="15"/>
  </w:num>
  <w:num w:numId="12" w16cid:durableId="2144808366">
    <w:abstractNumId w:val="35"/>
  </w:num>
  <w:num w:numId="13" w16cid:durableId="1139104618">
    <w:abstractNumId w:val="25"/>
  </w:num>
  <w:num w:numId="14" w16cid:durableId="1203787949">
    <w:abstractNumId w:val="24"/>
  </w:num>
  <w:num w:numId="15" w16cid:durableId="1140149903">
    <w:abstractNumId w:val="7"/>
  </w:num>
  <w:num w:numId="16" w16cid:durableId="1714226930">
    <w:abstractNumId w:val="27"/>
  </w:num>
  <w:num w:numId="17" w16cid:durableId="1711415350">
    <w:abstractNumId w:val="22"/>
  </w:num>
  <w:num w:numId="18" w16cid:durableId="35542391">
    <w:abstractNumId w:val="23"/>
  </w:num>
  <w:num w:numId="19" w16cid:durableId="2050493181">
    <w:abstractNumId w:val="30"/>
  </w:num>
  <w:num w:numId="20" w16cid:durableId="1469859581">
    <w:abstractNumId w:val="14"/>
  </w:num>
  <w:num w:numId="21" w16cid:durableId="408573765">
    <w:abstractNumId w:val="21"/>
  </w:num>
  <w:num w:numId="22" w16cid:durableId="482936912">
    <w:abstractNumId w:val="1"/>
  </w:num>
  <w:num w:numId="23" w16cid:durableId="1308701288">
    <w:abstractNumId w:val="29"/>
  </w:num>
  <w:num w:numId="24" w16cid:durableId="1716081525">
    <w:abstractNumId w:val="2"/>
  </w:num>
  <w:num w:numId="25" w16cid:durableId="797064315">
    <w:abstractNumId w:val="36"/>
  </w:num>
  <w:num w:numId="26" w16cid:durableId="824904852">
    <w:abstractNumId w:val="39"/>
  </w:num>
  <w:num w:numId="27" w16cid:durableId="372002461">
    <w:abstractNumId w:val="13"/>
  </w:num>
  <w:num w:numId="28" w16cid:durableId="1256015074">
    <w:abstractNumId w:val="11"/>
  </w:num>
  <w:num w:numId="29" w16cid:durableId="1376738983">
    <w:abstractNumId w:val="8"/>
  </w:num>
  <w:num w:numId="30" w16cid:durableId="1903177138">
    <w:abstractNumId w:val="16"/>
  </w:num>
  <w:num w:numId="31" w16cid:durableId="1164859915">
    <w:abstractNumId w:val="4"/>
  </w:num>
  <w:num w:numId="32" w16cid:durableId="684208392">
    <w:abstractNumId w:val="20"/>
  </w:num>
  <w:num w:numId="33" w16cid:durableId="732118212">
    <w:abstractNumId w:val="28"/>
  </w:num>
  <w:num w:numId="34" w16cid:durableId="1912503881">
    <w:abstractNumId w:val="17"/>
  </w:num>
  <w:num w:numId="35" w16cid:durableId="1482504175">
    <w:abstractNumId w:val="0"/>
  </w:num>
  <w:num w:numId="36" w16cid:durableId="1790510144">
    <w:abstractNumId w:val="10"/>
  </w:num>
  <w:num w:numId="37" w16cid:durableId="1754889518">
    <w:abstractNumId w:val="12"/>
  </w:num>
  <w:num w:numId="38" w16cid:durableId="464810821">
    <w:abstractNumId w:val="33"/>
  </w:num>
  <w:num w:numId="39" w16cid:durableId="451827461">
    <w:abstractNumId w:val="6"/>
  </w:num>
  <w:num w:numId="40" w16cid:durableId="172911241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33AC"/>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37EC"/>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066D"/>
    <w:rsid w:val="00212B14"/>
    <w:rsid w:val="00213BDC"/>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04E0"/>
    <w:rsid w:val="0028252D"/>
    <w:rsid w:val="00284EBE"/>
    <w:rsid w:val="00284F9C"/>
    <w:rsid w:val="00286720"/>
    <w:rsid w:val="002872E1"/>
    <w:rsid w:val="00287B2E"/>
    <w:rsid w:val="00287D4D"/>
    <w:rsid w:val="00290116"/>
    <w:rsid w:val="0029433F"/>
    <w:rsid w:val="00294829"/>
    <w:rsid w:val="00295742"/>
    <w:rsid w:val="0029690F"/>
    <w:rsid w:val="00297288"/>
    <w:rsid w:val="002979B4"/>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C2A"/>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67D73"/>
    <w:rsid w:val="009703BD"/>
    <w:rsid w:val="009708BB"/>
    <w:rsid w:val="00971DBD"/>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006"/>
    <w:rsid w:val="009C2442"/>
    <w:rsid w:val="009C2628"/>
    <w:rsid w:val="009C26AB"/>
    <w:rsid w:val="009C27B1"/>
    <w:rsid w:val="009C5201"/>
    <w:rsid w:val="009C687D"/>
    <w:rsid w:val="009C7F17"/>
    <w:rsid w:val="009D0811"/>
    <w:rsid w:val="009D0E12"/>
    <w:rsid w:val="009D0EE1"/>
    <w:rsid w:val="009D30C0"/>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322D5"/>
    <w:rsid w:val="00A40529"/>
    <w:rsid w:val="00A407EF"/>
    <w:rsid w:val="00A411B7"/>
    <w:rsid w:val="00A42023"/>
    <w:rsid w:val="00A45800"/>
    <w:rsid w:val="00A46B4C"/>
    <w:rsid w:val="00A5117B"/>
    <w:rsid w:val="00A560B6"/>
    <w:rsid w:val="00A566E3"/>
    <w:rsid w:val="00A56CF7"/>
    <w:rsid w:val="00A56DBC"/>
    <w:rsid w:val="00A60074"/>
    <w:rsid w:val="00A60DE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411E"/>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5C8C"/>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010">
      <w:bodyDiv w:val="1"/>
      <w:marLeft w:val="0"/>
      <w:marRight w:val="0"/>
      <w:marTop w:val="0"/>
      <w:marBottom w:val="0"/>
      <w:divBdr>
        <w:top w:val="none" w:sz="0" w:space="0" w:color="auto"/>
        <w:left w:val="none" w:sz="0" w:space="0" w:color="auto"/>
        <w:bottom w:val="none" w:sz="0" w:space="0" w:color="auto"/>
        <w:right w:val="none" w:sz="0" w:space="0" w:color="auto"/>
      </w:divBdr>
    </w:div>
    <w:div w:id="106975106">
      <w:bodyDiv w:val="1"/>
      <w:marLeft w:val="0"/>
      <w:marRight w:val="0"/>
      <w:marTop w:val="0"/>
      <w:marBottom w:val="0"/>
      <w:divBdr>
        <w:top w:val="none" w:sz="0" w:space="0" w:color="auto"/>
        <w:left w:val="none" w:sz="0" w:space="0" w:color="auto"/>
        <w:bottom w:val="none" w:sz="0" w:space="0" w:color="auto"/>
        <w:right w:val="none" w:sz="0" w:space="0" w:color="auto"/>
      </w:divBdr>
    </w:div>
    <w:div w:id="360056594">
      <w:bodyDiv w:val="1"/>
      <w:marLeft w:val="0"/>
      <w:marRight w:val="0"/>
      <w:marTop w:val="0"/>
      <w:marBottom w:val="0"/>
      <w:divBdr>
        <w:top w:val="none" w:sz="0" w:space="0" w:color="auto"/>
        <w:left w:val="none" w:sz="0" w:space="0" w:color="auto"/>
        <w:bottom w:val="none" w:sz="0" w:space="0" w:color="auto"/>
        <w:right w:val="none" w:sz="0" w:space="0" w:color="auto"/>
      </w:divBdr>
    </w:div>
    <w:div w:id="417949166">
      <w:bodyDiv w:val="1"/>
      <w:marLeft w:val="0"/>
      <w:marRight w:val="0"/>
      <w:marTop w:val="0"/>
      <w:marBottom w:val="0"/>
      <w:divBdr>
        <w:top w:val="none" w:sz="0" w:space="0" w:color="auto"/>
        <w:left w:val="none" w:sz="0" w:space="0" w:color="auto"/>
        <w:bottom w:val="none" w:sz="0" w:space="0" w:color="auto"/>
        <w:right w:val="none" w:sz="0" w:space="0" w:color="auto"/>
      </w:divBdr>
    </w:div>
    <w:div w:id="48864369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52758324">
      <w:bodyDiv w:val="1"/>
      <w:marLeft w:val="0"/>
      <w:marRight w:val="0"/>
      <w:marTop w:val="0"/>
      <w:marBottom w:val="0"/>
      <w:divBdr>
        <w:top w:val="none" w:sz="0" w:space="0" w:color="auto"/>
        <w:left w:val="none" w:sz="0" w:space="0" w:color="auto"/>
        <w:bottom w:val="none" w:sz="0" w:space="0" w:color="auto"/>
        <w:right w:val="none" w:sz="0" w:space="0" w:color="auto"/>
      </w:divBdr>
    </w:div>
    <w:div w:id="819004992">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32221597">
      <w:bodyDiv w:val="1"/>
      <w:marLeft w:val="0"/>
      <w:marRight w:val="0"/>
      <w:marTop w:val="0"/>
      <w:marBottom w:val="0"/>
      <w:divBdr>
        <w:top w:val="none" w:sz="0" w:space="0" w:color="auto"/>
        <w:left w:val="none" w:sz="0" w:space="0" w:color="auto"/>
        <w:bottom w:val="none" w:sz="0" w:space="0" w:color="auto"/>
        <w:right w:val="none" w:sz="0" w:space="0" w:color="auto"/>
      </w:divBdr>
    </w:div>
    <w:div w:id="1166433338">
      <w:bodyDiv w:val="1"/>
      <w:marLeft w:val="0"/>
      <w:marRight w:val="0"/>
      <w:marTop w:val="0"/>
      <w:marBottom w:val="0"/>
      <w:divBdr>
        <w:top w:val="none" w:sz="0" w:space="0" w:color="auto"/>
        <w:left w:val="none" w:sz="0" w:space="0" w:color="auto"/>
        <w:bottom w:val="none" w:sz="0" w:space="0" w:color="auto"/>
        <w:right w:val="none" w:sz="0" w:space="0" w:color="auto"/>
      </w:divBdr>
    </w:div>
    <w:div w:id="1230265087">
      <w:bodyDiv w:val="1"/>
      <w:marLeft w:val="0"/>
      <w:marRight w:val="0"/>
      <w:marTop w:val="0"/>
      <w:marBottom w:val="0"/>
      <w:divBdr>
        <w:top w:val="none" w:sz="0" w:space="0" w:color="auto"/>
        <w:left w:val="none" w:sz="0" w:space="0" w:color="auto"/>
        <w:bottom w:val="none" w:sz="0" w:space="0" w:color="auto"/>
        <w:right w:val="none" w:sz="0" w:space="0" w:color="auto"/>
      </w:divBdr>
    </w:div>
    <w:div w:id="1242132155">
      <w:bodyDiv w:val="1"/>
      <w:marLeft w:val="0"/>
      <w:marRight w:val="0"/>
      <w:marTop w:val="0"/>
      <w:marBottom w:val="0"/>
      <w:divBdr>
        <w:top w:val="none" w:sz="0" w:space="0" w:color="auto"/>
        <w:left w:val="none" w:sz="0" w:space="0" w:color="auto"/>
        <w:bottom w:val="none" w:sz="0" w:space="0" w:color="auto"/>
        <w:right w:val="none" w:sz="0" w:space="0" w:color="auto"/>
      </w:divBdr>
    </w:div>
    <w:div w:id="1511290340">
      <w:bodyDiv w:val="1"/>
      <w:marLeft w:val="0"/>
      <w:marRight w:val="0"/>
      <w:marTop w:val="0"/>
      <w:marBottom w:val="0"/>
      <w:divBdr>
        <w:top w:val="none" w:sz="0" w:space="0" w:color="auto"/>
        <w:left w:val="none" w:sz="0" w:space="0" w:color="auto"/>
        <w:bottom w:val="none" w:sz="0" w:space="0" w:color="auto"/>
        <w:right w:val="none" w:sz="0" w:space="0" w:color="auto"/>
      </w:divBdr>
    </w:div>
    <w:div w:id="1629512145">
      <w:bodyDiv w:val="1"/>
      <w:marLeft w:val="0"/>
      <w:marRight w:val="0"/>
      <w:marTop w:val="0"/>
      <w:marBottom w:val="0"/>
      <w:divBdr>
        <w:top w:val="none" w:sz="0" w:space="0" w:color="auto"/>
        <w:left w:val="none" w:sz="0" w:space="0" w:color="auto"/>
        <w:bottom w:val="none" w:sz="0" w:space="0" w:color="auto"/>
        <w:right w:val="none" w:sz="0" w:space="0" w:color="auto"/>
      </w:divBdr>
    </w:div>
    <w:div w:id="1878620375">
      <w:bodyDiv w:val="1"/>
      <w:marLeft w:val="0"/>
      <w:marRight w:val="0"/>
      <w:marTop w:val="0"/>
      <w:marBottom w:val="0"/>
      <w:divBdr>
        <w:top w:val="none" w:sz="0" w:space="0" w:color="auto"/>
        <w:left w:val="none" w:sz="0" w:space="0" w:color="auto"/>
        <w:bottom w:val="none" w:sz="0" w:space="0" w:color="auto"/>
        <w:right w:val="none" w:sz="0" w:space="0" w:color="auto"/>
      </w:divBdr>
    </w:div>
    <w:div w:id="195169427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35576275">
      <w:bodyDiv w:val="1"/>
      <w:marLeft w:val="0"/>
      <w:marRight w:val="0"/>
      <w:marTop w:val="0"/>
      <w:marBottom w:val="0"/>
      <w:divBdr>
        <w:top w:val="none" w:sz="0" w:space="0" w:color="auto"/>
        <w:left w:val="none" w:sz="0" w:space="0" w:color="auto"/>
        <w:bottom w:val="none" w:sz="0" w:space="0" w:color="auto"/>
        <w:right w:val="none" w:sz="0" w:space="0" w:color="auto"/>
      </w:divBdr>
    </w:div>
    <w:div w:id="204632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5113</Words>
  <Characters>29404</Characters>
  <Application>Microsoft Office Word</Application>
  <DocSecurity>0</DocSecurity>
  <Lines>653</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Allen &amp; Overy</cp:lastModifiedBy>
  <cp:revision>6</cp:revision>
  <cp:lastPrinted>2020-06-12T02:43:00Z</cp:lastPrinted>
  <dcterms:created xsi:type="dcterms:W3CDTF">2023-11-11T11:15:00Z</dcterms:created>
  <dcterms:modified xsi:type="dcterms:W3CDTF">2023-11-14T14:19:00Z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42e67a54-274b-43d7-8098-b3ba5f50e576_Enabled">
    <vt:lpwstr>true</vt:lpwstr>
  </property>
  <property fmtid="{D5CDD505-2E9C-101B-9397-08002B2CF9AE}" pid="4" name="MSIP_Label_42e67a54-274b-43d7-8098-b3ba5f50e576_SetDate">
    <vt:lpwstr>2023-11-11T11:15:15Z</vt:lpwstr>
  </property>
  <property fmtid="{D5CDD505-2E9C-101B-9397-08002B2CF9AE}" pid="5" name="MSIP_Label_42e67a54-274b-43d7-8098-b3ba5f50e576_Method">
    <vt:lpwstr>Standard</vt:lpwstr>
  </property>
  <property fmtid="{D5CDD505-2E9C-101B-9397-08002B2CF9AE}" pid="6" name="MSIP_Label_42e67a54-274b-43d7-8098-b3ba5f50e576_Name">
    <vt:lpwstr>42e67a54-274b-43d7-8098-b3ba5f50e576</vt:lpwstr>
  </property>
  <property fmtid="{D5CDD505-2E9C-101B-9397-08002B2CF9AE}" pid="7" name="MSIP_Label_42e67a54-274b-43d7-8098-b3ba5f50e576_SiteId">
    <vt:lpwstr>7f0b44d2-04f8-4672-bf5d-4676796468a3</vt:lpwstr>
  </property>
  <property fmtid="{D5CDD505-2E9C-101B-9397-08002B2CF9AE}" pid="8" name="MSIP_Label_42e67a54-274b-43d7-8098-b3ba5f50e576_ActionId">
    <vt:lpwstr>129162fe-174a-45dd-b266-a0e6019e3aa1</vt:lpwstr>
  </property>
  <property fmtid="{D5CDD505-2E9C-101B-9397-08002B2CF9AE}" pid="9" name="MSIP_Label_42e67a54-274b-43d7-8098-b3ba5f50e576_ContentBits">
    <vt:lpwstr>0</vt:lpwstr>
  </property>
</Properties>
</file>