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E672BC" w:rsidRDefault="00806382" w:rsidP="00806382">
      <w:pPr>
        <w:pStyle w:val="ListParagraph"/>
        <w:numPr>
          <w:ilvl w:val="0"/>
          <w:numId w:val="15"/>
        </w:numPr>
        <w:ind w:left="425" w:hanging="357"/>
        <w:jc w:val="both"/>
        <w:rPr>
          <w:rFonts w:ascii="Avenir Next" w:hAnsi="Avenir Next" w:cs="Arial"/>
          <w:sz w:val="22"/>
          <w:szCs w:val="22"/>
          <w:highlight w:val="yellow"/>
        </w:rPr>
      </w:pPr>
      <w:r w:rsidRPr="00E672BC">
        <w:rPr>
          <w:rFonts w:ascii="Avenir Next" w:hAnsi="Avenir Next" w:cs="Arial"/>
          <w:sz w:val="22"/>
          <w:szCs w:val="22"/>
          <w:highlight w:val="yellow"/>
        </w:rPr>
        <w:t xml:space="preserve">This statement is untrue since the word </w:t>
      </w:r>
      <w:r w:rsidR="00823AB4" w:rsidRPr="00E672BC">
        <w:rPr>
          <w:rFonts w:ascii="Avenir Next" w:hAnsi="Avenir Next" w:cs="Arial"/>
          <w:sz w:val="22"/>
          <w:szCs w:val="22"/>
          <w:highlight w:val="yellow"/>
        </w:rPr>
        <w:t>“</w:t>
      </w:r>
      <w:r w:rsidRPr="00E672BC">
        <w:rPr>
          <w:rFonts w:ascii="Avenir Next" w:hAnsi="Avenir Next" w:cs="Arial"/>
          <w:sz w:val="22"/>
          <w:szCs w:val="22"/>
          <w:highlight w:val="yellow"/>
        </w:rPr>
        <w:t>bankruptcy</w:t>
      </w:r>
      <w:r w:rsidR="00823AB4" w:rsidRPr="00E672BC">
        <w:rPr>
          <w:rFonts w:ascii="Avenir Next" w:hAnsi="Avenir Next" w:cs="Arial"/>
          <w:sz w:val="22"/>
          <w:szCs w:val="22"/>
          <w:highlight w:val="yellow"/>
        </w:rPr>
        <w:t>”</w:t>
      </w:r>
      <w:r w:rsidRPr="00E672BC">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an ”executory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E672BC" w:rsidRDefault="001211E6" w:rsidP="001211E6">
      <w:pPr>
        <w:pStyle w:val="ListParagraph"/>
        <w:numPr>
          <w:ilvl w:val="0"/>
          <w:numId w:val="16"/>
        </w:numPr>
        <w:ind w:left="426"/>
        <w:jc w:val="both"/>
        <w:rPr>
          <w:rFonts w:ascii="Avenir Next" w:hAnsi="Avenir Next" w:cs="Arial"/>
          <w:sz w:val="22"/>
          <w:szCs w:val="22"/>
          <w:highlight w:val="yellow"/>
        </w:rPr>
      </w:pPr>
      <w:r w:rsidRPr="00E672BC">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87502B"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87502B">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7A7C2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7A7C2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7A7C2E" w:rsidRDefault="00A42023" w:rsidP="00A42023">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7A7C2E">
        <w:rPr>
          <w:rFonts w:ascii="Avenir Next" w:hAnsi="Avenir Next" w:cs="Arial"/>
          <w:sz w:val="22"/>
          <w:szCs w:val="22"/>
          <w:highlight w:val="yellow"/>
          <w:lang w:val="en-GB"/>
        </w:rPr>
        <w:t xml:space="preserve">This statement is incorrect since a statutory discharge of debt was only introduced in 1705 in England.    </w:t>
      </w:r>
      <w:r w:rsidRPr="007A7C2E">
        <w:rPr>
          <w:rFonts w:ascii="Avenir Next" w:hAnsi="Avenir Next" w:cs="Arial"/>
          <w:sz w:val="22"/>
          <w:szCs w:val="22"/>
          <w:highlight w:val="yellow"/>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7A7C2E" w:rsidRDefault="006514CD" w:rsidP="006514CD">
      <w:pPr>
        <w:pStyle w:val="ListParagraph"/>
        <w:numPr>
          <w:ilvl w:val="0"/>
          <w:numId w:val="19"/>
        </w:numPr>
        <w:ind w:left="425" w:hanging="357"/>
        <w:jc w:val="both"/>
        <w:rPr>
          <w:rFonts w:ascii="Avenir Next" w:hAnsi="Avenir Next" w:cs="Arial"/>
          <w:sz w:val="22"/>
          <w:szCs w:val="22"/>
          <w:highlight w:val="yellow"/>
        </w:rPr>
      </w:pPr>
      <w:r w:rsidRPr="007A7C2E">
        <w:rPr>
          <w:rFonts w:ascii="Avenir Next" w:hAnsi="Avenir Next" w:cs="Arial"/>
          <w:sz w:val="22"/>
          <w:szCs w:val="22"/>
          <w:highlight w:val="yellow"/>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ListParagraph"/>
        <w:numPr>
          <w:ilvl w:val="0"/>
          <w:numId w:val="19"/>
        </w:numPr>
        <w:ind w:left="425" w:hanging="357"/>
        <w:jc w:val="both"/>
        <w:rPr>
          <w:rFonts w:ascii="Avenir Next" w:hAnsi="Avenir Next" w:cs="Arial"/>
          <w:sz w:val="22"/>
          <w:szCs w:val="22"/>
        </w:rPr>
      </w:pPr>
      <w:r w:rsidRPr="00DA42DA">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proofErr w:type="spellStart"/>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Pr="00DA7B01"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7B01">
        <w:rPr>
          <w:rFonts w:ascii="Avenir Next" w:eastAsiaTheme="minorHAnsi" w:hAnsi="Avenir Next" w:cs="Arial"/>
          <w:sz w:val="22"/>
          <w:szCs w:val="22"/>
          <w:highlight w:val="yellow"/>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DA42DA"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DA42DA">
        <w:rPr>
          <w:rFonts w:ascii="Avenir Next" w:eastAsiaTheme="minorHAnsi" w:hAnsi="Avenir Next" w:cs="Arial"/>
          <w:sz w:val="22"/>
          <w:szCs w:val="22"/>
          <w:lang w:val="en-GB"/>
        </w:rPr>
        <w:t xml:space="preserve"> 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DA7B01" w:rsidRDefault="00AD76EF" w:rsidP="00AD76EF">
      <w:pPr>
        <w:pStyle w:val="ListParagraph"/>
        <w:numPr>
          <w:ilvl w:val="0"/>
          <w:numId w:val="17"/>
        </w:numPr>
        <w:ind w:left="426"/>
        <w:jc w:val="both"/>
        <w:rPr>
          <w:rFonts w:ascii="Avenir Next" w:hAnsi="Avenir Next" w:cs="Arial"/>
          <w:sz w:val="22"/>
          <w:szCs w:val="22"/>
          <w:highlight w:val="yellow"/>
        </w:rPr>
      </w:pPr>
      <w:r w:rsidRPr="00DA7B01">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DA7B01"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DA7B01">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DA7B01" w:rsidRDefault="009661DE" w:rsidP="009661DE">
      <w:pPr>
        <w:pStyle w:val="ListParagraph"/>
        <w:numPr>
          <w:ilvl w:val="0"/>
          <w:numId w:val="23"/>
        </w:numPr>
        <w:ind w:left="426"/>
        <w:jc w:val="both"/>
        <w:rPr>
          <w:rFonts w:ascii="Avenir Next" w:hAnsi="Avenir Next" w:cs="Arial"/>
          <w:sz w:val="22"/>
          <w:szCs w:val="22"/>
          <w:highlight w:val="yellow"/>
        </w:rPr>
      </w:pPr>
      <w:r w:rsidRPr="00DA7B01">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DA7B01" w:rsidRDefault="003B3A0D" w:rsidP="003B3A0D">
      <w:pPr>
        <w:pStyle w:val="ListParagraph"/>
        <w:numPr>
          <w:ilvl w:val="0"/>
          <w:numId w:val="24"/>
        </w:numPr>
        <w:ind w:left="426"/>
        <w:jc w:val="both"/>
        <w:rPr>
          <w:rFonts w:ascii="Avenir Next" w:hAnsi="Avenir Next" w:cs="Arial"/>
          <w:sz w:val="22"/>
          <w:szCs w:val="22"/>
          <w:highlight w:val="yellow"/>
        </w:rPr>
      </w:pPr>
      <w:r w:rsidRPr="00DA7B01">
        <w:rPr>
          <w:rFonts w:ascii="Avenir Next" w:hAnsi="Avenir Next" w:cs="Arial"/>
          <w:sz w:val="22"/>
          <w:szCs w:val="22"/>
          <w:highlight w:val="yellow"/>
        </w:rPr>
        <w:t xml:space="preserve">This statement is untrue because modified universalism enables a </w:t>
      </w:r>
      <w:r w:rsidRPr="00DA7B01">
        <w:rPr>
          <w:rFonts w:ascii="Avenir Next" w:hAnsi="Avenir Next"/>
          <w:sz w:val="22"/>
          <w:szCs w:val="22"/>
          <w:highlight w:val="yellow"/>
        </w:rPr>
        <w:t xml:space="preserve">“main proceeding” to be opened in the State where the </w:t>
      </w:r>
      <w:proofErr w:type="spellStart"/>
      <w:r w:rsidR="004A2B2C" w:rsidRPr="00DA7B01">
        <w:rPr>
          <w:rFonts w:ascii="Avenir Next" w:hAnsi="Avenir Next"/>
          <w:sz w:val="22"/>
          <w:szCs w:val="22"/>
          <w:highlight w:val="yellow"/>
        </w:rPr>
        <w:t>centre</w:t>
      </w:r>
      <w:proofErr w:type="spellEnd"/>
      <w:r w:rsidRPr="00DA7B01">
        <w:rPr>
          <w:rFonts w:ascii="Avenir Next" w:hAnsi="Avenir Next"/>
          <w:sz w:val="22"/>
          <w:szCs w:val="22"/>
          <w:highlight w:val="yellow"/>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DA42DA" w:rsidRDefault="003B3A0D" w:rsidP="003B3A0D">
      <w:pPr>
        <w:pStyle w:val="ListParagraph"/>
        <w:numPr>
          <w:ilvl w:val="0"/>
          <w:numId w:val="24"/>
        </w:numPr>
        <w:ind w:left="426"/>
        <w:jc w:val="both"/>
        <w:rPr>
          <w:rFonts w:ascii="Avenir Next" w:hAnsi="Avenir Next" w:cs="Arial"/>
          <w:sz w:val="22"/>
          <w:szCs w:val="22"/>
        </w:rPr>
      </w:pPr>
      <w:r w:rsidRPr="00DA42DA">
        <w:rPr>
          <w:rFonts w:ascii="Avenir Next" w:hAnsi="Avenir Next" w:cs="Arial"/>
          <w:sz w:val="22"/>
          <w:szCs w:val="22"/>
        </w:rPr>
        <w:t xml:space="preserve">This statement is untrue because universalism corresponds well to </w:t>
      </w:r>
      <w:proofErr w:type="spellStart"/>
      <w:r w:rsidRPr="00DA42DA">
        <w:rPr>
          <w:rFonts w:ascii="Avenir Next" w:hAnsi="Avenir Next" w:cs="Arial"/>
          <w:sz w:val="22"/>
          <w:szCs w:val="22"/>
        </w:rPr>
        <w:t>globali</w:t>
      </w:r>
      <w:r w:rsidR="00142E15" w:rsidRPr="00DA42DA">
        <w:rPr>
          <w:rFonts w:ascii="Avenir Next" w:hAnsi="Avenir Next" w:cs="Arial"/>
          <w:sz w:val="22"/>
          <w:szCs w:val="22"/>
        </w:rPr>
        <w:t>s</w:t>
      </w:r>
      <w:r w:rsidRPr="00DA42DA">
        <w:rPr>
          <w:rFonts w:ascii="Avenir Next" w:hAnsi="Avenir Next" w:cs="Arial"/>
          <w:sz w:val="22"/>
          <w:szCs w:val="22"/>
        </w:rPr>
        <w:t>ation</w:t>
      </w:r>
      <w:proofErr w:type="spellEnd"/>
      <w:r w:rsidRPr="00DA42DA">
        <w:rPr>
          <w:rFonts w:ascii="Avenir Next" w:hAnsi="Avenir Next" w:cs="Arial"/>
          <w:sz w:val="22"/>
          <w:szCs w:val="22"/>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4D9CEC8C" w14:textId="063684BB" w:rsidR="002165C0" w:rsidRDefault="002165C0"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Countries which have historical roots in English law, such as the UK, Australia and Singapore recognise the notion of a floating charge whereas this form of security is not generally recognised in countries which have historical roots in civil law such as the Netherlands, France and Germany.</w:t>
      </w:r>
    </w:p>
    <w:p w14:paraId="6C603CC3" w14:textId="77777777" w:rsidR="00800B38" w:rsidRDefault="00800B38" w:rsidP="00692852">
      <w:pPr>
        <w:jc w:val="both"/>
        <w:rPr>
          <w:rFonts w:ascii="Avenir Next" w:hAnsi="Avenir Next" w:cs="Arial"/>
          <w:color w:val="808080" w:themeColor="background1" w:themeShade="80"/>
          <w:sz w:val="22"/>
          <w:szCs w:val="22"/>
          <w:lang w:val="en-GB"/>
        </w:rPr>
      </w:pPr>
    </w:p>
    <w:p w14:paraId="20D9A0D1" w14:textId="51790415" w:rsidR="00800B38" w:rsidRDefault="00800B38"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Generally, countries whose insolvency laws have historical roots in the civil law are more inclined to take a territorial approach to jurisdiction whereas countries which have roots in the English common law are more closely aligned with universalism, albeit in their respective modified forms.</w:t>
      </w:r>
    </w:p>
    <w:p w14:paraId="1A14478A" w14:textId="77777777" w:rsidR="00800B38" w:rsidRDefault="00800B38" w:rsidP="00692852">
      <w:pPr>
        <w:jc w:val="both"/>
        <w:rPr>
          <w:rFonts w:ascii="Avenir Next" w:hAnsi="Avenir Next" w:cs="Arial"/>
          <w:color w:val="808080" w:themeColor="background1" w:themeShade="80"/>
          <w:sz w:val="22"/>
          <w:szCs w:val="22"/>
          <w:lang w:val="en-GB"/>
        </w:rPr>
      </w:pPr>
    </w:p>
    <w:p w14:paraId="0B8C1244" w14:textId="77777777" w:rsidR="00DA42DA" w:rsidRDefault="00DA42DA" w:rsidP="00800B38">
      <w:pPr>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3D53C34C" w14:textId="615377B5" w:rsidR="00800B38" w:rsidRDefault="00800B38" w:rsidP="00800B38">
      <w:pPr>
        <w:autoSpaceDE w:val="0"/>
        <w:autoSpaceDN w:val="0"/>
        <w:adjustRightInd w:val="0"/>
        <w:jc w:val="both"/>
        <w:rPr>
          <w:rFonts w:ascii="Avenir Next" w:hAnsi="Avenir Next" w:cs="Arial"/>
          <w:color w:val="808080" w:themeColor="background1" w:themeShade="80"/>
          <w:sz w:val="22"/>
          <w:szCs w:val="22"/>
          <w:lang w:val="en-GB"/>
        </w:rPr>
      </w:pPr>
      <w:r w:rsidRPr="00800B38">
        <w:rPr>
          <w:rFonts w:ascii="Avenir Next" w:hAnsi="Avenir Next" w:cs="Arial"/>
          <w:color w:val="808080" w:themeColor="background1" w:themeShade="80"/>
          <w:sz w:val="22"/>
          <w:szCs w:val="22"/>
          <w:lang w:val="en-GB"/>
        </w:rPr>
        <w:t xml:space="preserve">Universalism is an approach that allows for </w:t>
      </w:r>
      <w:r>
        <w:rPr>
          <w:rFonts w:ascii="Avenir Next" w:hAnsi="Avenir Next" w:cs="Arial"/>
          <w:color w:val="808080" w:themeColor="background1" w:themeShade="80"/>
          <w:sz w:val="22"/>
          <w:szCs w:val="22"/>
          <w:lang w:val="en-GB"/>
        </w:rPr>
        <w:t xml:space="preserve">only one </w:t>
      </w:r>
      <w:r w:rsidR="00B05975">
        <w:rPr>
          <w:rFonts w:ascii="Avenir Next" w:hAnsi="Avenir Next" w:cs="Arial"/>
          <w:color w:val="808080" w:themeColor="background1" w:themeShade="80"/>
          <w:sz w:val="22"/>
          <w:szCs w:val="22"/>
          <w:lang w:val="en-GB"/>
        </w:rPr>
        <w:t xml:space="preserve">main </w:t>
      </w:r>
      <w:r>
        <w:rPr>
          <w:rFonts w:ascii="Avenir Next" w:hAnsi="Avenir Next" w:cs="Arial"/>
          <w:color w:val="808080" w:themeColor="background1" w:themeShade="80"/>
          <w:sz w:val="22"/>
          <w:szCs w:val="22"/>
          <w:lang w:val="en-GB"/>
        </w:rPr>
        <w:t xml:space="preserve">insolvency law to apply </w:t>
      </w:r>
      <w:r w:rsidR="00B05975">
        <w:rPr>
          <w:rFonts w:ascii="Avenir Next" w:hAnsi="Avenir Next" w:cs="Arial"/>
          <w:color w:val="808080" w:themeColor="background1" w:themeShade="80"/>
          <w:sz w:val="22"/>
          <w:szCs w:val="22"/>
          <w:lang w:val="en-GB"/>
        </w:rPr>
        <w:t>more than one insolvency proceedings in different jurisdictions</w:t>
      </w:r>
      <w:r>
        <w:rPr>
          <w:rFonts w:ascii="Avenir Next" w:hAnsi="Avenir Next" w:cs="Arial"/>
          <w:color w:val="808080" w:themeColor="background1" w:themeShade="80"/>
          <w:sz w:val="22"/>
          <w:szCs w:val="22"/>
          <w:lang w:val="en-GB"/>
        </w:rPr>
        <w:t xml:space="preserve">, such that </w:t>
      </w:r>
      <w:r w:rsidR="00B05975">
        <w:rPr>
          <w:rFonts w:ascii="Avenir Next" w:hAnsi="Avenir Next" w:cs="Arial"/>
          <w:color w:val="808080" w:themeColor="background1" w:themeShade="80"/>
          <w:sz w:val="22"/>
          <w:szCs w:val="22"/>
          <w:lang w:val="en-GB"/>
        </w:rPr>
        <w:t>where the main</w:t>
      </w:r>
      <w:r>
        <w:rPr>
          <w:rFonts w:ascii="Avenir Next" w:hAnsi="Avenir Next" w:cs="Arial"/>
          <w:color w:val="808080" w:themeColor="background1" w:themeShade="80"/>
          <w:sz w:val="22"/>
          <w:szCs w:val="22"/>
          <w:lang w:val="en-GB"/>
        </w:rPr>
        <w:t xml:space="preserve"> proceedings in one jurisdiction</w:t>
      </w:r>
      <w:r w:rsidR="00B05975">
        <w:rPr>
          <w:rFonts w:ascii="Avenir Next" w:hAnsi="Avenir Next" w:cs="Arial"/>
          <w:color w:val="808080" w:themeColor="background1" w:themeShade="80"/>
          <w:sz w:val="22"/>
          <w:szCs w:val="22"/>
          <w:lang w:val="en-GB"/>
        </w:rPr>
        <w:t xml:space="preserve"> (typically the debtor’s centre of main interests)</w:t>
      </w:r>
      <w:r>
        <w:rPr>
          <w:rFonts w:ascii="Avenir Next" w:hAnsi="Avenir Next" w:cs="Arial"/>
          <w:color w:val="808080" w:themeColor="background1" w:themeShade="80"/>
          <w:sz w:val="22"/>
          <w:szCs w:val="22"/>
          <w:lang w:val="en-GB"/>
        </w:rPr>
        <w:t xml:space="preserve"> is commenced, the orders made under those </w:t>
      </w:r>
      <w:r w:rsidR="00B05975">
        <w:rPr>
          <w:rFonts w:ascii="Avenir Next" w:hAnsi="Avenir Next" w:cs="Arial"/>
          <w:color w:val="808080" w:themeColor="background1" w:themeShade="80"/>
          <w:sz w:val="22"/>
          <w:szCs w:val="22"/>
          <w:lang w:val="en-GB"/>
        </w:rPr>
        <w:t xml:space="preserve">main </w:t>
      </w:r>
      <w:r>
        <w:rPr>
          <w:rFonts w:ascii="Avenir Next" w:hAnsi="Avenir Next" w:cs="Arial"/>
          <w:color w:val="808080" w:themeColor="background1" w:themeShade="80"/>
          <w:sz w:val="22"/>
          <w:szCs w:val="22"/>
          <w:lang w:val="en-GB"/>
        </w:rPr>
        <w:t>proceedings will have worldwide effect, even outside the territorial jurisdiction of that one State. The focus is on identifying where the debtor has its centre of main interests, which is most closely connected to the debtor’s interests</w:t>
      </w:r>
      <w:r w:rsidR="00430C53">
        <w:rPr>
          <w:rFonts w:ascii="Avenir Next" w:hAnsi="Avenir Next" w:cs="Arial"/>
          <w:color w:val="808080" w:themeColor="background1" w:themeShade="80"/>
          <w:sz w:val="22"/>
          <w:szCs w:val="22"/>
          <w:lang w:val="en-GB"/>
        </w:rPr>
        <w:t xml:space="preserve">, </w:t>
      </w:r>
      <w:r w:rsidR="00B05975">
        <w:rPr>
          <w:rFonts w:ascii="Avenir Next" w:hAnsi="Avenir Next" w:cs="Arial"/>
          <w:color w:val="808080" w:themeColor="background1" w:themeShade="80"/>
          <w:sz w:val="22"/>
          <w:szCs w:val="22"/>
          <w:lang w:val="en-GB"/>
        </w:rPr>
        <w:t xml:space="preserve">so that the main proceedings and its outcome </w:t>
      </w:r>
      <w:r w:rsidR="00430C53">
        <w:rPr>
          <w:rFonts w:ascii="Avenir Next" w:hAnsi="Avenir Next" w:cs="Arial"/>
          <w:color w:val="808080" w:themeColor="background1" w:themeShade="80"/>
          <w:sz w:val="22"/>
          <w:szCs w:val="22"/>
          <w:lang w:val="en-GB"/>
        </w:rPr>
        <w:t xml:space="preserve">will bind and attach to all other assets outside of that jurisdiction. </w:t>
      </w:r>
    </w:p>
    <w:p w14:paraId="7B05F4F7" w14:textId="77777777" w:rsidR="00800B38" w:rsidRPr="00800B38" w:rsidRDefault="00800B38" w:rsidP="00800B38">
      <w:pPr>
        <w:autoSpaceDE w:val="0"/>
        <w:autoSpaceDN w:val="0"/>
        <w:adjustRightInd w:val="0"/>
        <w:jc w:val="both"/>
        <w:rPr>
          <w:rFonts w:ascii="Avenir Next" w:hAnsi="Avenir Next" w:cs="Arial"/>
          <w:color w:val="808080" w:themeColor="background1" w:themeShade="80"/>
          <w:sz w:val="22"/>
          <w:szCs w:val="22"/>
          <w:lang w:val="en-GB"/>
        </w:rPr>
      </w:pPr>
    </w:p>
    <w:p w14:paraId="039E27B5" w14:textId="1065EAB8" w:rsidR="00C82D87" w:rsidRDefault="00800B38" w:rsidP="00800B38">
      <w:pPr>
        <w:autoSpaceDE w:val="0"/>
        <w:autoSpaceDN w:val="0"/>
        <w:adjustRightInd w:val="0"/>
        <w:jc w:val="both"/>
        <w:rPr>
          <w:rFonts w:ascii="Avenir Next" w:hAnsi="Avenir Next" w:cs="Arial"/>
          <w:color w:val="808080" w:themeColor="background1" w:themeShade="80"/>
          <w:sz w:val="22"/>
          <w:szCs w:val="22"/>
          <w:lang w:val="en-GB"/>
        </w:rPr>
      </w:pPr>
      <w:r w:rsidRPr="00800B38">
        <w:rPr>
          <w:rFonts w:ascii="Avenir Next" w:hAnsi="Avenir Next" w:cs="Arial"/>
          <w:color w:val="808080" w:themeColor="background1" w:themeShade="80"/>
          <w:sz w:val="22"/>
          <w:szCs w:val="22"/>
          <w:lang w:val="en-GB"/>
        </w:rPr>
        <w:t>Territorialism</w:t>
      </w:r>
      <w:r>
        <w:rPr>
          <w:rFonts w:ascii="Avenir Next" w:hAnsi="Avenir Next" w:cs="Arial"/>
          <w:color w:val="808080" w:themeColor="background1" w:themeShade="80"/>
          <w:sz w:val="22"/>
          <w:szCs w:val="22"/>
          <w:lang w:val="en-GB"/>
        </w:rPr>
        <w:t xml:space="preserve"> on the other hand,</w:t>
      </w:r>
      <w:r w:rsidRPr="00800B38">
        <w:rPr>
          <w:rFonts w:ascii="Avenir Next" w:hAnsi="Avenir Next" w:cs="Arial"/>
          <w:color w:val="808080" w:themeColor="background1" w:themeShade="80"/>
          <w:sz w:val="22"/>
          <w:szCs w:val="22"/>
          <w:lang w:val="en-GB"/>
        </w:rPr>
        <w:t xml:space="preserve"> is an approach that prescribes that the consequences of an</w:t>
      </w:r>
      <w:r>
        <w:rPr>
          <w:rFonts w:ascii="Avenir Next" w:hAnsi="Avenir Next" w:cs="Arial"/>
          <w:color w:val="808080" w:themeColor="background1" w:themeShade="80"/>
          <w:sz w:val="22"/>
          <w:szCs w:val="22"/>
          <w:lang w:val="en-GB"/>
        </w:rPr>
        <w:t xml:space="preserve"> </w:t>
      </w:r>
      <w:r w:rsidRPr="00800B38">
        <w:rPr>
          <w:rFonts w:ascii="Avenir Next" w:hAnsi="Avenir Next" w:cs="Arial"/>
          <w:color w:val="808080" w:themeColor="background1" w:themeShade="80"/>
          <w:sz w:val="22"/>
          <w:szCs w:val="22"/>
          <w:lang w:val="en-GB"/>
        </w:rPr>
        <w:t>insolvency proceeding will only apply to the State where the insolvency proceeding</w:t>
      </w:r>
      <w:r>
        <w:rPr>
          <w:rFonts w:ascii="Avenir Next" w:hAnsi="Avenir Next" w:cs="Arial"/>
          <w:color w:val="808080" w:themeColor="background1" w:themeShade="80"/>
          <w:sz w:val="22"/>
          <w:szCs w:val="22"/>
          <w:lang w:val="en-GB"/>
        </w:rPr>
        <w:t xml:space="preserve"> </w:t>
      </w:r>
      <w:r w:rsidRPr="00800B38">
        <w:rPr>
          <w:rFonts w:ascii="Avenir Next" w:hAnsi="Avenir Next" w:cs="Arial"/>
          <w:color w:val="808080" w:themeColor="background1" w:themeShade="80"/>
          <w:sz w:val="22"/>
          <w:szCs w:val="22"/>
          <w:lang w:val="en-GB"/>
        </w:rPr>
        <w:t>has been opened and can lead to a multiplicity of insolvency</w:t>
      </w:r>
      <w:r>
        <w:rPr>
          <w:rFonts w:ascii="Avenir Next" w:hAnsi="Avenir Next" w:cs="Arial"/>
          <w:color w:val="808080" w:themeColor="background1" w:themeShade="80"/>
          <w:sz w:val="22"/>
          <w:szCs w:val="22"/>
          <w:lang w:val="en-GB"/>
        </w:rPr>
        <w:t xml:space="preserve"> proceedings</w:t>
      </w:r>
      <w:r w:rsidR="00B05975">
        <w:rPr>
          <w:rFonts w:ascii="Avenir Next" w:hAnsi="Avenir Next" w:cs="Arial"/>
          <w:color w:val="808080" w:themeColor="background1" w:themeShade="80"/>
          <w:sz w:val="22"/>
          <w:szCs w:val="22"/>
          <w:lang w:val="en-GB"/>
        </w:rPr>
        <w:t xml:space="preserve"> in many different States where the debtor’s assets may be located</w:t>
      </w:r>
      <w:r>
        <w:rPr>
          <w:rFonts w:ascii="Avenir Next" w:hAnsi="Avenir Next" w:cs="Arial"/>
          <w:color w:val="808080" w:themeColor="background1" w:themeShade="80"/>
          <w:sz w:val="22"/>
          <w:szCs w:val="22"/>
          <w:lang w:val="en-GB"/>
        </w:rPr>
        <w:t>.</w:t>
      </w:r>
      <w:r w:rsidR="00430C53">
        <w:rPr>
          <w:rFonts w:ascii="Avenir Next" w:hAnsi="Avenir Next" w:cs="Arial"/>
          <w:color w:val="808080" w:themeColor="background1" w:themeShade="80"/>
          <w:sz w:val="22"/>
          <w:szCs w:val="22"/>
          <w:lang w:val="en-GB"/>
        </w:rPr>
        <w:t xml:space="preserve"> This approach is </w:t>
      </w:r>
      <w:r w:rsidR="00B05975">
        <w:rPr>
          <w:rFonts w:ascii="Avenir Next" w:hAnsi="Avenir Next" w:cs="Arial"/>
          <w:color w:val="808080" w:themeColor="background1" w:themeShade="80"/>
          <w:sz w:val="22"/>
          <w:szCs w:val="22"/>
          <w:lang w:val="en-GB"/>
        </w:rPr>
        <w:t>aligned</w:t>
      </w:r>
      <w:r w:rsidR="00430C53">
        <w:rPr>
          <w:rFonts w:ascii="Avenir Next" w:hAnsi="Avenir Next" w:cs="Arial"/>
          <w:color w:val="808080" w:themeColor="background1" w:themeShade="80"/>
          <w:sz w:val="22"/>
          <w:szCs w:val="22"/>
          <w:lang w:val="en-GB"/>
        </w:rPr>
        <w:t xml:space="preserve"> with the idea that each state is only responsible for the </w:t>
      </w:r>
      <w:r w:rsidR="00B05975">
        <w:rPr>
          <w:rFonts w:ascii="Avenir Next" w:hAnsi="Avenir Next" w:cs="Arial"/>
          <w:color w:val="808080" w:themeColor="background1" w:themeShade="80"/>
          <w:sz w:val="22"/>
          <w:szCs w:val="22"/>
          <w:lang w:val="en-GB"/>
        </w:rPr>
        <w:t>assets</w:t>
      </w:r>
      <w:r w:rsidR="00430C53">
        <w:rPr>
          <w:rFonts w:ascii="Avenir Next" w:hAnsi="Avenir Next" w:cs="Arial"/>
          <w:color w:val="808080" w:themeColor="background1" w:themeShade="80"/>
          <w:sz w:val="22"/>
          <w:szCs w:val="22"/>
          <w:lang w:val="en-GB"/>
        </w:rPr>
        <w:t xml:space="preserve"> within its jurisdiction and there will be no interference by other courts in relation to the</w:t>
      </w:r>
      <w:r w:rsidR="00B05975">
        <w:rPr>
          <w:rFonts w:ascii="Avenir Next" w:hAnsi="Avenir Next" w:cs="Arial"/>
          <w:color w:val="808080" w:themeColor="background1" w:themeShade="80"/>
          <w:sz w:val="22"/>
          <w:szCs w:val="22"/>
          <w:lang w:val="en-GB"/>
        </w:rPr>
        <w:t xml:space="preserve"> assets</w:t>
      </w:r>
      <w:r w:rsidR="00430C53">
        <w:rPr>
          <w:rFonts w:ascii="Avenir Next" w:hAnsi="Avenir Next" w:cs="Arial"/>
          <w:color w:val="808080" w:themeColor="background1" w:themeShade="80"/>
          <w:sz w:val="22"/>
          <w:szCs w:val="22"/>
          <w:lang w:val="en-GB"/>
        </w:rPr>
        <w:t xml:space="preserve"> within its jurisdiction. </w:t>
      </w:r>
    </w:p>
    <w:p w14:paraId="67087DDC" w14:textId="77777777" w:rsidR="00800B38" w:rsidRDefault="00800B38" w:rsidP="00800B38">
      <w:pPr>
        <w:autoSpaceDE w:val="0"/>
        <w:autoSpaceDN w:val="0"/>
        <w:adjustRightInd w:val="0"/>
        <w:jc w:val="both"/>
        <w:rPr>
          <w:rFonts w:ascii="Avenir Next" w:hAnsi="Avenir Next" w:cs="Arial"/>
          <w:color w:val="808080" w:themeColor="background1" w:themeShade="80"/>
          <w:sz w:val="22"/>
          <w:szCs w:val="22"/>
          <w:lang w:val="en-GB"/>
        </w:rPr>
      </w:pPr>
    </w:p>
    <w:p w14:paraId="3A9ED943" w14:textId="6D21F9BD" w:rsidR="00800B38" w:rsidRPr="00430C53" w:rsidRDefault="00800B38" w:rsidP="00800B38">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Modified universalism is a blend of both concepts above, as </w:t>
      </w:r>
      <w:r w:rsidR="00430C53">
        <w:rPr>
          <w:rFonts w:ascii="Avenir Next" w:hAnsi="Avenir Next" w:cs="Arial"/>
          <w:color w:val="808080" w:themeColor="background1" w:themeShade="80"/>
          <w:sz w:val="22"/>
          <w:szCs w:val="22"/>
          <w:lang w:val="en-GB"/>
        </w:rPr>
        <w:t>many States have presently adopted an approach closer to territorialism. This concept of modified universalism allows for the “</w:t>
      </w:r>
      <w:r w:rsidR="00430C53">
        <w:rPr>
          <w:rFonts w:ascii="Avenir Next" w:hAnsi="Avenir Next" w:cs="Arial"/>
          <w:i/>
          <w:iCs/>
          <w:color w:val="808080" w:themeColor="background1" w:themeShade="80"/>
          <w:sz w:val="22"/>
          <w:szCs w:val="22"/>
          <w:lang w:val="en-GB"/>
        </w:rPr>
        <w:t>main proceeding</w:t>
      </w:r>
      <w:r w:rsidR="00430C53">
        <w:rPr>
          <w:rFonts w:ascii="Avenir Next" w:hAnsi="Avenir Next" w:cs="Arial"/>
          <w:color w:val="808080" w:themeColor="background1" w:themeShade="80"/>
          <w:sz w:val="22"/>
          <w:szCs w:val="22"/>
          <w:lang w:val="en-GB"/>
        </w:rPr>
        <w:t xml:space="preserve">” to be opened in the state where the centre of main interests has been determined, but the orders made in that state will be supported by secondary or ancillary proceedings in another State. In the case of modified universalism, the courts of the various states involved will have to cooperate with each other. </w:t>
      </w:r>
    </w:p>
    <w:p w14:paraId="71B56376" w14:textId="77777777" w:rsidR="00800B38" w:rsidRPr="00800B38" w:rsidRDefault="00800B38" w:rsidP="00800B38">
      <w:pPr>
        <w:ind w:left="720" w:hanging="720"/>
        <w:jc w:val="both"/>
        <w:rPr>
          <w:rFonts w:ascii="Avenir Next" w:hAnsi="Avenir Next" w:cs="Arial"/>
          <w:color w:val="808080" w:themeColor="background1" w:themeShade="80"/>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61900735" w14:textId="5FEB3C0A" w:rsidR="00DA42DA" w:rsidRDefault="00430C53"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Some of the initiatives that have been made to assist with the resolution of international insolvency issues in Latin America include: (a) the Montevideo treaties; </w:t>
      </w:r>
      <w:r w:rsidR="00DC1B50">
        <w:rPr>
          <w:rFonts w:ascii="Avenir Next" w:hAnsi="Avenir Next" w:cs="Arial"/>
          <w:color w:val="808080" w:themeColor="background1" w:themeShade="80"/>
          <w:sz w:val="22"/>
          <w:szCs w:val="22"/>
          <w:lang w:val="en-GB"/>
        </w:rPr>
        <w:t xml:space="preserve">and (b) the Havana Convention on Private International Law (the Bustamante Code). </w:t>
      </w:r>
    </w:p>
    <w:p w14:paraId="53B0F4C7" w14:textId="77777777" w:rsidR="00DC1B50" w:rsidRDefault="00DC1B50" w:rsidP="00DA42DA">
      <w:pPr>
        <w:jc w:val="both"/>
        <w:rPr>
          <w:rFonts w:ascii="Avenir Next" w:hAnsi="Avenir Next" w:cs="Arial"/>
          <w:color w:val="808080" w:themeColor="background1" w:themeShade="80"/>
          <w:sz w:val="22"/>
          <w:szCs w:val="22"/>
          <w:lang w:val="en-GB"/>
        </w:rPr>
      </w:pPr>
    </w:p>
    <w:p w14:paraId="369269FD" w14:textId="083A55D3" w:rsidR="00DC1B50" w:rsidRDefault="00DC1B5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Montevideo treaties include the Montevideo Treaty on International Commercial Law 1889 the Montevideo Treaty on International Commercial Terrestrial Law 1940 which includes provisions on </w:t>
      </w:r>
      <w:r>
        <w:rPr>
          <w:rFonts w:ascii="Avenir Next" w:hAnsi="Avenir Next" w:cs="Arial"/>
          <w:color w:val="808080" w:themeColor="background1" w:themeShade="80"/>
          <w:sz w:val="22"/>
          <w:szCs w:val="22"/>
          <w:lang w:val="en-GB"/>
        </w:rPr>
        <w:lastRenderedPageBreak/>
        <w:t xml:space="preserve">Bankruptcy and the 1940 Montevideo Treaty on International Procedural Law which includes a section on Civil Meetings of Creditors. </w:t>
      </w:r>
    </w:p>
    <w:p w14:paraId="0007C91D" w14:textId="77777777" w:rsidR="00DC1B50" w:rsidRDefault="00DC1B50" w:rsidP="00DA42DA">
      <w:pPr>
        <w:jc w:val="both"/>
        <w:rPr>
          <w:rFonts w:ascii="Avenir Next" w:hAnsi="Avenir Next" w:cs="Arial"/>
          <w:color w:val="808080" w:themeColor="background1" w:themeShade="80"/>
          <w:sz w:val="22"/>
          <w:szCs w:val="22"/>
          <w:lang w:val="en-GB"/>
        </w:rPr>
      </w:pPr>
    </w:p>
    <w:p w14:paraId="32CDC5AE" w14:textId="2869BA56" w:rsidR="00DC1B50" w:rsidRDefault="00DC1B5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Of the three, the 1889 treaty has gained the most traction and has been ratified by 6 States. It covers personal and corporate insolvency and allocates bankruptcy jurisdiction based on the debtor’s commercial domicile. Specifically:</w:t>
      </w:r>
    </w:p>
    <w:p w14:paraId="0CC7DB3A" w14:textId="77777777" w:rsidR="00DC1B50" w:rsidRDefault="00DC1B50" w:rsidP="00DA42DA">
      <w:pPr>
        <w:jc w:val="both"/>
        <w:rPr>
          <w:rFonts w:ascii="Avenir Next" w:hAnsi="Avenir Next" w:cs="Arial"/>
          <w:color w:val="808080" w:themeColor="background1" w:themeShade="80"/>
          <w:sz w:val="22"/>
          <w:szCs w:val="22"/>
          <w:lang w:val="en-GB"/>
        </w:rPr>
      </w:pPr>
    </w:p>
    <w:p w14:paraId="19843198" w14:textId="18BC7FD4" w:rsidR="00DC1B50" w:rsidRDefault="00DC1B50" w:rsidP="00DC1B50">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Where the debtor has a commercial domicile in one treaty State, even if the debtor occasionally trades in more than one State or has branches or agents in another State, one set of proceedings</w:t>
      </w:r>
      <w:r w:rsidR="00B05975">
        <w:rPr>
          <w:rFonts w:ascii="Avenir Next" w:hAnsi="Avenir Next" w:cs="Arial"/>
          <w:color w:val="808080" w:themeColor="background1" w:themeShade="80"/>
          <w:sz w:val="22"/>
          <w:szCs w:val="22"/>
          <w:lang w:val="en-GB"/>
        </w:rPr>
        <w:t xml:space="preserve"> will be commenced</w:t>
      </w:r>
      <w:r>
        <w:rPr>
          <w:rFonts w:ascii="Avenir Next" w:hAnsi="Avenir Next" w:cs="Arial"/>
          <w:color w:val="808080" w:themeColor="background1" w:themeShade="80"/>
          <w:sz w:val="22"/>
          <w:szCs w:val="22"/>
          <w:lang w:val="en-GB"/>
        </w:rPr>
        <w:t xml:space="preserve"> in the commercial domicile; and </w:t>
      </w:r>
    </w:p>
    <w:p w14:paraId="4E47A696" w14:textId="77777777" w:rsidR="00DC1B50" w:rsidRDefault="00DC1B50" w:rsidP="00DC1B50">
      <w:pPr>
        <w:pStyle w:val="ListParagraph"/>
        <w:jc w:val="both"/>
        <w:rPr>
          <w:rFonts w:ascii="Avenir Next" w:hAnsi="Avenir Next" w:cs="Arial"/>
          <w:color w:val="808080" w:themeColor="background1" w:themeShade="80"/>
          <w:sz w:val="22"/>
          <w:szCs w:val="22"/>
          <w:lang w:val="en-GB"/>
        </w:rPr>
      </w:pPr>
    </w:p>
    <w:p w14:paraId="1A653674" w14:textId="1DF971EB" w:rsidR="00DC1B50" w:rsidRDefault="00DC1B50" w:rsidP="00384F24">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Where the debtor has two or more economically autonomous businesses in different treaty States, it provides for the possibility of concurrent proceedings. When insolvency proceedings are open in one of the States, then a local creditor in the other State(s) containing an economically autonomous business may open bankruptcy proceedings in that State or take other civil action against the debtor. </w:t>
      </w:r>
    </w:p>
    <w:p w14:paraId="63CAB3B0" w14:textId="77777777" w:rsidR="00DC1B50" w:rsidRPr="00DC1B50" w:rsidRDefault="00DC1B50" w:rsidP="00DC1B50">
      <w:pPr>
        <w:pStyle w:val="ListParagraph"/>
        <w:rPr>
          <w:rFonts w:ascii="Avenir Next" w:hAnsi="Avenir Next" w:cs="Arial"/>
          <w:color w:val="808080" w:themeColor="background1" w:themeShade="80"/>
          <w:sz w:val="22"/>
          <w:szCs w:val="22"/>
          <w:lang w:val="en-GB"/>
        </w:rPr>
      </w:pPr>
    </w:p>
    <w:p w14:paraId="188C9206" w14:textId="2DDD9DC0" w:rsidR="00DC1B50" w:rsidRDefault="00DC1B50" w:rsidP="00DC1B5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Havana Convention has been ratified by 15 Latin American States. Compared to the Montevideo Treaties above, the Havana Convention better facilitates an approach closer to universalism in that it provides that if the insolvent or bankrupt debtor has only one civil or commercial domicile, there can only be </w:t>
      </w:r>
      <w:r>
        <w:rPr>
          <w:rFonts w:ascii="Avenir Next" w:hAnsi="Avenir Next" w:cs="Arial"/>
          <w:i/>
          <w:iCs/>
          <w:color w:val="808080" w:themeColor="background1" w:themeShade="80"/>
          <w:sz w:val="22"/>
          <w:szCs w:val="22"/>
          <w:lang w:val="en-GB"/>
        </w:rPr>
        <w:t>one</w:t>
      </w:r>
      <w:r>
        <w:rPr>
          <w:rFonts w:ascii="Avenir Next" w:hAnsi="Avenir Next" w:cs="Arial"/>
          <w:color w:val="808080" w:themeColor="background1" w:themeShade="80"/>
          <w:sz w:val="22"/>
          <w:szCs w:val="22"/>
          <w:lang w:val="en-GB"/>
        </w:rPr>
        <w:t xml:space="preserve"> preventive proceeding in insolvency or bankruptcy in respect of all his assets and liabilities in all other contracting States: Article 414. </w:t>
      </w:r>
    </w:p>
    <w:p w14:paraId="67A912D7" w14:textId="77777777" w:rsidR="00DC1B50" w:rsidRDefault="00DC1B50" w:rsidP="00DC1B50">
      <w:pPr>
        <w:jc w:val="both"/>
        <w:rPr>
          <w:rFonts w:ascii="Avenir Next" w:hAnsi="Avenir Next" w:cs="Arial"/>
          <w:color w:val="808080" w:themeColor="background1" w:themeShade="80"/>
          <w:sz w:val="22"/>
          <w:szCs w:val="22"/>
          <w:lang w:val="en-GB"/>
        </w:rPr>
      </w:pPr>
    </w:p>
    <w:p w14:paraId="50E59A3A" w14:textId="77777777" w:rsidR="00AB0F7A" w:rsidRDefault="00DC1B50" w:rsidP="00DC1B5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given the necessary complications of a fully universalism-based approach, it allows for a modified universalism in that there may still be concurrent proceedings in other contracting States that contain commercial establishments that operate entirely separately from the debtor economically. </w:t>
      </w:r>
    </w:p>
    <w:p w14:paraId="115FC95B" w14:textId="77777777" w:rsidR="00AB0F7A" w:rsidRDefault="00AB0F7A" w:rsidP="00DC1B50">
      <w:pPr>
        <w:jc w:val="both"/>
        <w:rPr>
          <w:rFonts w:ascii="Avenir Next" w:hAnsi="Avenir Next" w:cs="Arial"/>
          <w:color w:val="808080" w:themeColor="background1" w:themeShade="80"/>
          <w:sz w:val="22"/>
          <w:szCs w:val="22"/>
          <w:lang w:val="en-GB"/>
        </w:rPr>
      </w:pPr>
    </w:p>
    <w:p w14:paraId="5B2C03DD" w14:textId="3B79F3FB" w:rsidR="00AB0F7A" w:rsidRPr="00DC1B50" w:rsidRDefault="00DC1B50" w:rsidP="00DC1B5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that way, it is also similar to the Montevideo Treaties.</w:t>
      </w:r>
      <w:r w:rsidR="00AB0F7A">
        <w:rPr>
          <w:rFonts w:ascii="Avenir Next" w:hAnsi="Avenir Next" w:cs="Arial"/>
          <w:color w:val="808080" w:themeColor="background1" w:themeShade="80"/>
          <w:sz w:val="22"/>
          <w:szCs w:val="22"/>
          <w:lang w:val="en-GB"/>
        </w:rPr>
        <w:t xml:space="preserve"> The main difference is that while the Montevideo treaties expressly provides for the cooperation of other contracting states where the debtor has two or more economically autonomous businesses in different treaty States, the Havana Convention does not provide for any specific procedures for cooperation of concurrent proceedings in that scenario. </w:t>
      </w:r>
    </w:p>
    <w:p w14:paraId="69959B4D" w14:textId="09E731A8" w:rsidR="00DC1B50" w:rsidRPr="004216EA" w:rsidRDefault="00DC1B50"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It is said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71773D47" w14:textId="2DEF1169" w:rsidR="00DA42DA" w:rsidRDefault="00AB0F7A"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 </w:t>
      </w:r>
      <w:r w:rsidR="00EB7D8A">
        <w:rPr>
          <w:rFonts w:ascii="Avenir Next" w:hAnsi="Avenir Next" w:cs="Arial"/>
          <w:color w:val="808080" w:themeColor="background1" w:themeShade="80"/>
          <w:sz w:val="22"/>
          <w:szCs w:val="22"/>
          <w:lang w:val="en-GB"/>
        </w:rPr>
        <w:t>dis</w:t>
      </w:r>
      <w:r>
        <w:rPr>
          <w:rFonts w:ascii="Avenir Next" w:hAnsi="Avenir Next" w:cs="Arial"/>
          <w:color w:val="808080" w:themeColor="background1" w:themeShade="80"/>
          <w:sz w:val="22"/>
          <w:szCs w:val="22"/>
          <w:lang w:val="en-GB"/>
        </w:rPr>
        <w:t xml:space="preserve">agree that the terms “bankruptcy” and “insolvency” may be used interchangeably. </w:t>
      </w:r>
    </w:p>
    <w:p w14:paraId="4780526A" w14:textId="77777777" w:rsidR="00AB0F7A" w:rsidRDefault="00AB0F7A" w:rsidP="00DA42DA">
      <w:pPr>
        <w:jc w:val="both"/>
        <w:rPr>
          <w:rFonts w:ascii="Avenir Next" w:hAnsi="Avenir Next" w:cs="Arial"/>
          <w:color w:val="808080" w:themeColor="background1" w:themeShade="80"/>
          <w:sz w:val="22"/>
          <w:szCs w:val="22"/>
          <w:lang w:val="en-GB"/>
        </w:rPr>
      </w:pPr>
    </w:p>
    <w:p w14:paraId="6FF7666B" w14:textId="77777777" w:rsidR="00EB7D8A" w:rsidRDefault="00EB7D8A"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w:t>
      </w:r>
      <w:r w:rsidR="00AB0F7A">
        <w:rPr>
          <w:rFonts w:ascii="Avenir Next" w:hAnsi="Avenir Next" w:cs="Arial"/>
          <w:color w:val="808080" w:themeColor="background1" w:themeShade="80"/>
          <w:sz w:val="22"/>
          <w:szCs w:val="22"/>
          <w:lang w:val="en-GB"/>
        </w:rPr>
        <w:t xml:space="preserve"> distinction may be made in that “insolvency” means the state of financial affairs of a debtor whereas “bankruptcy” refers to the formal state of being put into a formal bankruptcy proceeding</w:t>
      </w:r>
      <w:r>
        <w:rPr>
          <w:rFonts w:ascii="Avenir Next" w:hAnsi="Avenir Next" w:cs="Arial"/>
          <w:color w:val="808080" w:themeColor="background1" w:themeShade="80"/>
          <w:sz w:val="22"/>
          <w:szCs w:val="22"/>
          <w:lang w:val="en-GB"/>
        </w:rPr>
        <w:t xml:space="preserve">. </w:t>
      </w:r>
    </w:p>
    <w:p w14:paraId="6B76BD21" w14:textId="77777777" w:rsidR="00EB7D8A" w:rsidRDefault="00EB7D8A" w:rsidP="00DA42DA">
      <w:pPr>
        <w:jc w:val="both"/>
        <w:rPr>
          <w:rFonts w:ascii="Avenir Next" w:hAnsi="Avenir Next" w:cs="Arial"/>
          <w:color w:val="808080" w:themeColor="background1" w:themeShade="80"/>
          <w:sz w:val="22"/>
          <w:szCs w:val="22"/>
          <w:lang w:val="en-GB"/>
        </w:rPr>
      </w:pPr>
    </w:p>
    <w:p w14:paraId="448F2F18" w14:textId="41F124CA" w:rsidR="00AB0F7A" w:rsidRDefault="00EB7D8A"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That is a distinction of form and not just of substance as insolvency does not always lead to bankruptcy, as there may be informal arrangements, negotiations, or alternative restructuring solutions to address the financial challenges.</w:t>
      </w:r>
      <w:r w:rsidR="00AB0F7A">
        <w:rPr>
          <w:rFonts w:ascii="Avenir Next" w:hAnsi="Avenir Next" w:cs="Arial"/>
          <w:color w:val="808080" w:themeColor="background1" w:themeShade="80"/>
          <w:sz w:val="22"/>
          <w:szCs w:val="22"/>
          <w:lang w:val="en-GB"/>
        </w:rPr>
        <w:t xml:space="preserve"> </w:t>
      </w:r>
    </w:p>
    <w:p w14:paraId="5E177D31" w14:textId="77777777" w:rsidR="00E04B5A" w:rsidRDefault="00E04B5A" w:rsidP="00DA42DA">
      <w:pPr>
        <w:jc w:val="both"/>
        <w:rPr>
          <w:rFonts w:ascii="Avenir Next" w:hAnsi="Avenir Next" w:cs="Arial"/>
          <w:color w:val="808080" w:themeColor="background1" w:themeShade="80"/>
          <w:sz w:val="22"/>
          <w:szCs w:val="22"/>
          <w:lang w:val="en-GB"/>
        </w:rPr>
      </w:pPr>
    </w:p>
    <w:p w14:paraId="4617836A" w14:textId="31F94AD8" w:rsidR="00EB7D8A" w:rsidRDefault="00E04B5A"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other typical “distinction” made between the two terms, </w:t>
      </w:r>
      <w:proofErr w:type="spellStart"/>
      <w:r>
        <w:rPr>
          <w:rFonts w:ascii="Avenir Next" w:hAnsi="Avenir Next" w:cs="Arial"/>
          <w:color w:val="808080" w:themeColor="background1" w:themeShade="80"/>
          <w:sz w:val="22"/>
          <w:szCs w:val="22"/>
          <w:lang w:val="en-GB"/>
        </w:rPr>
        <w:t>ie</w:t>
      </w:r>
      <w:proofErr w:type="spellEnd"/>
      <w:r>
        <w:rPr>
          <w:rFonts w:ascii="Avenir Next" w:hAnsi="Avenir Next" w:cs="Arial"/>
          <w:color w:val="808080" w:themeColor="background1" w:themeShade="80"/>
          <w:sz w:val="22"/>
          <w:szCs w:val="22"/>
          <w:lang w:val="en-GB"/>
        </w:rPr>
        <w:t xml:space="preserve"> that “insolvency” is used in relation to a corporation whereas “bankruptcy” is used in relation to individuals</w:t>
      </w:r>
      <w:r w:rsidR="00EB7D8A">
        <w:rPr>
          <w:rFonts w:ascii="Avenir Next" w:hAnsi="Avenir Next" w:cs="Arial"/>
          <w:color w:val="808080" w:themeColor="background1" w:themeShade="80"/>
          <w:sz w:val="22"/>
          <w:szCs w:val="22"/>
          <w:lang w:val="en-GB"/>
        </w:rPr>
        <w:t xml:space="preserve">. That distinction again is one of form and not just of substance. As Sealey and Hooley correctly identified, there are different purposes to be served when considering insolvency/bankruptcy proceedings as against a corporation compared to an individual. </w:t>
      </w:r>
    </w:p>
    <w:p w14:paraId="2B000ABE" w14:textId="77777777" w:rsidR="00EB7D8A" w:rsidRDefault="00EB7D8A" w:rsidP="00DA42DA">
      <w:pPr>
        <w:jc w:val="both"/>
        <w:rPr>
          <w:rFonts w:ascii="Avenir Next" w:hAnsi="Avenir Next" w:cs="Arial"/>
          <w:color w:val="808080" w:themeColor="background1" w:themeShade="80"/>
          <w:sz w:val="22"/>
          <w:szCs w:val="22"/>
          <w:lang w:val="en-GB"/>
        </w:rPr>
      </w:pPr>
    </w:p>
    <w:p w14:paraId="56F84B4F" w14:textId="0747B4D4" w:rsidR="00EB7D8A" w:rsidRDefault="00EB7D8A"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individuals, the objective is to protect the debtor from harassment by his creditors and ultimately enable the debtor to make a fresh start and reduce indebtedness, taking into account his personal circumstances. Therefore for individuals, some legal systems recognise the concept of exempt or excluded assets, whereas no such concession is made for corporations. </w:t>
      </w:r>
    </w:p>
    <w:p w14:paraId="5ACFB3A7" w14:textId="77777777" w:rsidR="00EB7D8A" w:rsidRDefault="00EB7D8A" w:rsidP="00DA42DA">
      <w:pPr>
        <w:jc w:val="both"/>
        <w:rPr>
          <w:rFonts w:ascii="Avenir Next" w:hAnsi="Avenir Next" w:cs="Arial"/>
          <w:color w:val="808080" w:themeColor="background1" w:themeShade="80"/>
          <w:sz w:val="22"/>
          <w:szCs w:val="22"/>
          <w:lang w:val="en-GB"/>
        </w:rPr>
      </w:pPr>
    </w:p>
    <w:p w14:paraId="4B31974F" w14:textId="47289096" w:rsidR="00EB7D8A" w:rsidRDefault="00EB7D8A"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corporations, individual wrongdoing and liabilities come to the fore. While the business may be preserved if it is viable, the continuation of the corporation itself is not a priority, and individuals who have abused the corporation will be made liable for the company’s state of indebtedness. </w:t>
      </w:r>
    </w:p>
    <w:p w14:paraId="5AA7C31B" w14:textId="77777777" w:rsidR="00EB7D8A" w:rsidRDefault="00EB7D8A" w:rsidP="00DA42DA">
      <w:pPr>
        <w:jc w:val="both"/>
        <w:rPr>
          <w:rFonts w:ascii="Avenir Next" w:hAnsi="Avenir Next" w:cs="Arial"/>
          <w:color w:val="808080" w:themeColor="background1" w:themeShade="80"/>
          <w:sz w:val="22"/>
          <w:szCs w:val="22"/>
          <w:lang w:val="en-GB"/>
        </w:rPr>
      </w:pPr>
    </w:p>
    <w:p w14:paraId="6FB4269F" w14:textId="40C7EFEF" w:rsidR="00E04B5A" w:rsidRDefault="00EB7D8A"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While there are similarities below, as Wood identified, these similarities do not detract from the differences above and it would be neater to properly distinguish between the two terms:</w:t>
      </w:r>
      <w:r w:rsidR="00B07519">
        <w:rPr>
          <w:rFonts w:ascii="Avenir Next" w:hAnsi="Avenir Next" w:cs="Arial"/>
          <w:color w:val="808080" w:themeColor="background1" w:themeShade="80"/>
          <w:sz w:val="22"/>
          <w:szCs w:val="22"/>
          <w:lang w:val="en-GB"/>
        </w:rPr>
        <w:t xml:space="preserve"> </w:t>
      </w:r>
    </w:p>
    <w:p w14:paraId="19082B8A" w14:textId="77777777" w:rsidR="00B07519" w:rsidRDefault="00B07519" w:rsidP="00DA42DA">
      <w:pPr>
        <w:jc w:val="both"/>
        <w:rPr>
          <w:rFonts w:ascii="Avenir Next" w:hAnsi="Avenir Next" w:cs="Arial"/>
          <w:color w:val="808080" w:themeColor="background1" w:themeShade="80"/>
          <w:sz w:val="22"/>
          <w:szCs w:val="22"/>
          <w:lang w:val="en-GB"/>
        </w:rPr>
      </w:pPr>
    </w:p>
    <w:p w14:paraId="32E6A366" w14:textId="005BBEDE" w:rsidR="00B07519" w:rsidRDefault="00B07519" w:rsidP="00B07519">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Actions by creditors against the insolvent/bankrupt are stayed; </w:t>
      </w:r>
    </w:p>
    <w:p w14:paraId="2F7BB89A" w14:textId="0E022660" w:rsidR="00B07519" w:rsidRDefault="00B07519" w:rsidP="00B07519">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Assets of the debtor are pooled so that they are available to creditors, generally; </w:t>
      </w:r>
    </w:p>
    <w:p w14:paraId="2C504831" w14:textId="531FFA7A" w:rsidR="00AB0F7A" w:rsidRPr="00EB7D8A" w:rsidRDefault="00B07519" w:rsidP="009C3417">
      <w:pPr>
        <w:pStyle w:val="ListParagraph"/>
        <w:numPr>
          <w:ilvl w:val="0"/>
          <w:numId w:val="36"/>
        </w:numPr>
        <w:jc w:val="both"/>
        <w:rPr>
          <w:rFonts w:ascii="Avenir Next" w:hAnsi="Avenir Next" w:cs="Arial"/>
          <w:color w:val="808080" w:themeColor="background1" w:themeShade="80"/>
          <w:sz w:val="22"/>
          <w:szCs w:val="22"/>
          <w:lang w:val="en-GB"/>
        </w:rPr>
      </w:pPr>
      <w:r w:rsidRPr="00EB7D8A">
        <w:rPr>
          <w:rFonts w:ascii="Avenir Next" w:hAnsi="Avenir Next" w:cs="Arial"/>
          <w:color w:val="808080" w:themeColor="background1" w:themeShade="80"/>
          <w:sz w:val="22"/>
          <w:szCs w:val="22"/>
          <w:lang w:val="en-GB"/>
        </w:rPr>
        <w:t xml:space="preserve">Creditors are paid off </w:t>
      </w:r>
      <w:proofErr w:type="spellStart"/>
      <w:r w:rsidRPr="00EB7D8A">
        <w:rPr>
          <w:rFonts w:ascii="Avenir Next" w:hAnsi="Avenir Next" w:cs="Arial"/>
          <w:i/>
          <w:iCs/>
          <w:color w:val="808080" w:themeColor="background1" w:themeShade="80"/>
          <w:sz w:val="22"/>
          <w:szCs w:val="22"/>
          <w:lang w:val="en-GB"/>
        </w:rPr>
        <w:t>pari</w:t>
      </w:r>
      <w:proofErr w:type="spellEnd"/>
      <w:r w:rsidRPr="00EB7D8A">
        <w:rPr>
          <w:rFonts w:ascii="Avenir Next" w:hAnsi="Avenir Next" w:cs="Arial"/>
          <w:i/>
          <w:iCs/>
          <w:color w:val="808080" w:themeColor="background1" w:themeShade="80"/>
          <w:sz w:val="22"/>
          <w:szCs w:val="22"/>
          <w:lang w:val="en-GB"/>
        </w:rPr>
        <w:t xml:space="preserve"> passu</w:t>
      </w:r>
      <w:r w:rsidRPr="00EB7D8A">
        <w:rPr>
          <w:rFonts w:ascii="Avenir Next" w:hAnsi="Avenir Next" w:cs="Arial"/>
          <w:color w:val="808080" w:themeColor="background1" w:themeShade="80"/>
          <w:sz w:val="22"/>
          <w:szCs w:val="22"/>
          <w:lang w:val="en-GB"/>
        </w:rPr>
        <w:t xml:space="preserve"> from that pool of assets, save for priority or secured creditors. </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1A3FB392" w14:textId="27C52B02" w:rsidR="00EB7D8A" w:rsidRDefault="00EB7D8A" w:rsidP="00DA42DA">
      <w:pPr>
        <w:jc w:val="both"/>
        <w:rPr>
          <w:rFonts w:ascii="Avenir Next" w:hAnsi="Avenir Next" w:cs="Arial"/>
          <w:color w:val="808080" w:themeColor="background1" w:themeShade="80"/>
          <w:sz w:val="22"/>
          <w:szCs w:val="22"/>
          <w:lang w:val="en-GB"/>
        </w:rPr>
      </w:pPr>
      <w:r w:rsidRPr="00EB7D8A">
        <w:rPr>
          <w:rFonts w:ascii="Avenir Next" w:hAnsi="Avenir Next" w:cs="Arial"/>
          <w:color w:val="808080" w:themeColor="background1" w:themeShade="80"/>
          <w:sz w:val="22"/>
          <w:szCs w:val="22"/>
          <w:lang w:val="en-GB"/>
        </w:rPr>
        <w:t xml:space="preserve">Cross-border insolvency refers to situations where a financially distressed </w:t>
      </w:r>
      <w:r>
        <w:rPr>
          <w:rFonts w:ascii="Avenir Next" w:hAnsi="Avenir Next" w:cs="Arial"/>
          <w:color w:val="808080" w:themeColor="background1" w:themeShade="80"/>
          <w:sz w:val="22"/>
          <w:szCs w:val="22"/>
          <w:lang w:val="en-GB"/>
        </w:rPr>
        <w:t xml:space="preserve">corporation or individual </w:t>
      </w:r>
      <w:r w:rsidRPr="00EB7D8A">
        <w:rPr>
          <w:rFonts w:ascii="Avenir Next" w:hAnsi="Avenir Next" w:cs="Arial"/>
          <w:color w:val="808080" w:themeColor="background1" w:themeShade="80"/>
          <w:sz w:val="22"/>
          <w:szCs w:val="22"/>
          <w:lang w:val="en-GB"/>
        </w:rPr>
        <w:t xml:space="preserve">has assets and creditors in multiple jurisdictions. </w:t>
      </w:r>
      <w:r>
        <w:rPr>
          <w:rFonts w:ascii="Avenir Next" w:hAnsi="Avenir Next" w:cs="Arial"/>
          <w:color w:val="808080" w:themeColor="background1" w:themeShade="80"/>
          <w:sz w:val="22"/>
          <w:szCs w:val="22"/>
          <w:lang w:val="en-GB"/>
        </w:rPr>
        <w:t>There are unavoidable challenges in unifying the approach between States in such circumstances given the inevitable</w:t>
      </w:r>
      <w:r w:rsidRPr="00EB7D8A">
        <w:rPr>
          <w:rFonts w:ascii="Avenir Next" w:hAnsi="Avenir Next" w:cs="Arial"/>
          <w:color w:val="808080" w:themeColor="background1" w:themeShade="80"/>
          <w:sz w:val="22"/>
          <w:szCs w:val="22"/>
          <w:lang w:val="en-GB"/>
        </w:rPr>
        <w:t xml:space="preserve"> diversity of legal systems</w:t>
      </w:r>
      <w:r>
        <w:rPr>
          <w:rFonts w:ascii="Avenir Next" w:hAnsi="Avenir Next" w:cs="Arial"/>
          <w:color w:val="808080" w:themeColor="background1" w:themeShade="80"/>
          <w:sz w:val="22"/>
          <w:szCs w:val="22"/>
          <w:lang w:val="en-GB"/>
        </w:rPr>
        <w:t xml:space="preserve"> and </w:t>
      </w:r>
      <w:r w:rsidRPr="00EB7D8A">
        <w:rPr>
          <w:rFonts w:ascii="Avenir Next" w:hAnsi="Avenir Next" w:cs="Arial"/>
          <w:color w:val="808080" w:themeColor="background1" w:themeShade="80"/>
          <w:sz w:val="22"/>
          <w:szCs w:val="22"/>
          <w:lang w:val="en-GB"/>
        </w:rPr>
        <w:t>cultural differences</w:t>
      </w:r>
      <w:r>
        <w:rPr>
          <w:rFonts w:ascii="Avenir Next" w:hAnsi="Avenir Next" w:cs="Arial"/>
          <w:color w:val="808080" w:themeColor="background1" w:themeShade="80"/>
          <w:sz w:val="22"/>
          <w:szCs w:val="22"/>
          <w:lang w:val="en-GB"/>
        </w:rPr>
        <w:t xml:space="preserve"> across the different States involved</w:t>
      </w:r>
      <w:r w:rsidRPr="00EB7D8A">
        <w:rPr>
          <w:rFonts w:ascii="Avenir Next" w:hAnsi="Avenir Next" w:cs="Arial"/>
          <w:color w:val="808080" w:themeColor="background1" w:themeShade="80"/>
          <w:sz w:val="22"/>
          <w:szCs w:val="22"/>
          <w:lang w:val="en-GB"/>
        </w:rPr>
        <w:t xml:space="preserve">. </w:t>
      </w:r>
    </w:p>
    <w:p w14:paraId="4CFA78C6" w14:textId="77777777" w:rsidR="00EB7D8A" w:rsidRDefault="00EB7D8A" w:rsidP="00DA42DA">
      <w:pPr>
        <w:jc w:val="both"/>
        <w:rPr>
          <w:rFonts w:ascii="Avenir Next" w:hAnsi="Avenir Next" w:cs="Arial"/>
          <w:color w:val="808080" w:themeColor="background1" w:themeShade="80"/>
          <w:sz w:val="22"/>
          <w:szCs w:val="22"/>
          <w:lang w:val="en-GB"/>
        </w:rPr>
      </w:pPr>
    </w:p>
    <w:p w14:paraId="6B5CF002" w14:textId="520FC2DE" w:rsidR="00DA42DA" w:rsidRDefault="00EB7D8A" w:rsidP="00DA42DA">
      <w:pPr>
        <w:jc w:val="both"/>
        <w:rPr>
          <w:rFonts w:ascii="Avenir Next" w:hAnsi="Avenir Next" w:cs="Arial"/>
          <w:color w:val="808080" w:themeColor="background1" w:themeShade="80"/>
          <w:sz w:val="22"/>
          <w:szCs w:val="22"/>
          <w:lang w:val="en-GB"/>
        </w:rPr>
      </w:pPr>
      <w:r w:rsidRPr="00EB7D8A">
        <w:rPr>
          <w:rFonts w:ascii="Avenir Next" w:hAnsi="Avenir Next" w:cs="Arial"/>
          <w:color w:val="808080" w:themeColor="background1" w:themeShade="80"/>
          <w:sz w:val="22"/>
          <w:szCs w:val="22"/>
          <w:lang w:val="en-GB"/>
        </w:rPr>
        <w:t>Some of the key challenges include:</w:t>
      </w:r>
      <w:r>
        <w:rPr>
          <w:rFonts w:ascii="Avenir Next" w:hAnsi="Avenir Next" w:cs="Arial"/>
          <w:color w:val="808080" w:themeColor="background1" w:themeShade="80"/>
          <w:sz w:val="22"/>
          <w:szCs w:val="22"/>
          <w:lang w:val="en-GB"/>
        </w:rPr>
        <w:t xml:space="preserve"> </w:t>
      </w:r>
    </w:p>
    <w:p w14:paraId="235AD4A9" w14:textId="77777777" w:rsidR="00EB7D8A" w:rsidRDefault="00EB7D8A" w:rsidP="00DA42DA">
      <w:pPr>
        <w:jc w:val="both"/>
        <w:rPr>
          <w:rFonts w:ascii="Avenir Next" w:hAnsi="Avenir Next" w:cs="Arial"/>
          <w:color w:val="808080" w:themeColor="background1" w:themeShade="80"/>
          <w:sz w:val="22"/>
          <w:szCs w:val="22"/>
          <w:lang w:val="en-GB"/>
        </w:rPr>
      </w:pPr>
    </w:p>
    <w:p w14:paraId="1BB3A7CC" w14:textId="6B166C12" w:rsidR="00EB7D8A" w:rsidRDefault="00EB7D8A" w:rsidP="00EB7D8A">
      <w:pPr>
        <w:pStyle w:val="ListParagraph"/>
        <w:numPr>
          <w:ilvl w:val="0"/>
          <w:numId w:val="3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different legal systems: </w:t>
      </w:r>
      <w:r w:rsidR="00C13769">
        <w:rPr>
          <w:rFonts w:ascii="Avenir Next" w:hAnsi="Avenir Next" w:cs="Arial"/>
          <w:color w:val="808080" w:themeColor="background1" w:themeShade="80"/>
          <w:sz w:val="22"/>
          <w:szCs w:val="22"/>
          <w:lang w:val="en-GB"/>
        </w:rPr>
        <w:t xml:space="preserve">As of now, there are many competing and divergent legal systems that are difficult to reconcile. Some states take a more debtor-friendly approach while others are more pro-creditor. Further, some laws are governed by the common law while others by the civil law. Many countries also have different systems for ranking creditors’ claims and the treatment of secured and unsecured creditors. As the starting points for each legal system is at present at opposite ends, it will be difficult to harmonise these differences in a short period of time. </w:t>
      </w:r>
    </w:p>
    <w:p w14:paraId="18C48138" w14:textId="77777777" w:rsidR="00C13769" w:rsidRDefault="00C13769" w:rsidP="00C13769">
      <w:pPr>
        <w:pStyle w:val="ListParagraph"/>
        <w:jc w:val="both"/>
        <w:rPr>
          <w:rFonts w:ascii="Avenir Next" w:hAnsi="Avenir Next" w:cs="Arial"/>
          <w:color w:val="808080" w:themeColor="background1" w:themeShade="80"/>
          <w:sz w:val="22"/>
          <w:szCs w:val="22"/>
          <w:lang w:val="en-GB"/>
        </w:rPr>
      </w:pPr>
    </w:p>
    <w:p w14:paraId="756CDC92" w14:textId="06C4206B" w:rsidR="00C13769" w:rsidRPr="00EB7D8A" w:rsidRDefault="00C13769" w:rsidP="00EB7D8A">
      <w:pPr>
        <w:pStyle w:val="ListParagraph"/>
        <w:numPr>
          <w:ilvl w:val="0"/>
          <w:numId w:val="3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Each State has conflicting public policies which will hinder any universal application of insolvency laws, for example, whether extra protection is given to employees, local key industries or public interests specific to that State. </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6AB4A420" w14:textId="77777777" w:rsidR="00B05975" w:rsidRDefault="00B05975" w:rsidP="00692852">
      <w:pPr>
        <w:widowControl w:val="0"/>
        <w:ind w:left="720" w:hanging="720"/>
        <w:jc w:val="both"/>
        <w:rPr>
          <w:rFonts w:ascii="Avenir Next Demi Bold" w:hAnsi="Avenir Next Demi Bold" w:cs="Arial"/>
          <w:b/>
          <w:bCs/>
          <w:sz w:val="22"/>
          <w:szCs w:val="22"/>
          <w:shd w:val="clear" w:color="auto" w:fill="FFFFFF"/>
          <w:lang w:val="en-GB"/>
        </w:rPr>
      </w:pPr>
    </w:p>
    <w:p w14:paraId="4B3595C7" w14:textId="12809A85"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lastRenderedPageBreak/>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774AB1EE" w14:textId="4EFD0FB3" w:rsidR="006A44B2" w:rsidRDefault="00C13769"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“Hard law” refers to legally binding and enforceable rules and regulations, including treaties, conventions and international agreements. One such example is the Nordic Convention 1933 which facilities cross-border cooperation in the Nordic jurisdictions, and the Istanbul Convention, Council of Europe Treaty Series Number 136.</w:t>
      </w:r>
    </w:p>
    <w:p w14:paraId="080EB50C" w14:textId="77777777" w:rsidR="00C13769" w:rsidRDefault="00C13769" w:rsidP="006A44B2">
      <w:pPr>
        <w:jc w:val="both"/>
        <w:rPr>
          <w:rFonts w:ascii="Avenir Next" w:hAnsi="Avenir Next" w:cs="Arial"/>
          <w:color w:val="808080" w:themeColor="background1" w:themeShade="80"/>
          <w:sz w:val="22"/>
          <w:szCs w:val="22"/>
          <w:lang w:val="en-GB"/>
        </w:rPr>
      </w:pPr>
    </w:p>
    <w:p w14:paraId="501F076C" w14:textId="579298AD" w:rsidR="00C13769" w:rsidRDefault="00C13769"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other hand, “soft law” refers to non-binding, voluntary guidelines or recommendations that do not create legally enforceable obligations. Compared to “hard law”, soft law instruments are more flexible and can be adopted and adapted by each State. </w:t>
      </w:r>
    </w:p>
    <w:p w14:paraId="200BFF6D" w14:textId="77777777" w:rsidR="00C13769" w:rsidRDefault="00C13769" w:rsidP="006A44B2">
      <w:pPr>
        <w:jc w:val="both"/>
        <w:rPr>
          <w:rFonts w:ascii="Avenir Next" w:hAnsi="Avenir Next" w:cs="Arial"/>
          <w:color w:val="808080" w:themeColor="background1" w:themeShade="80"/>
          <w:sz w:val="22"/>
          <w:szCs w:val="22"/>
          <w:lang w:val="en-GB"/>
        </w:rPr>
      </w:pPr>
    </w:p>
    <w:p w14:paraId="0ECD4AF5" w14:textId="5B8C8589" w:rsidR="00C13769" w:rsidRDefault="00C13769"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“Soft law” has been the most successful in solving the challenges of international insolvency. One pertinent example is the UNCITRAL Model Law on Cross-Border Insolvency, which allows member States to adopt the form of the draft recommended legislation but also make the necessary modifications where needed. This flexibility has likely been key to its success. </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countries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Apart from the USA and various European states, Norton Cars Inc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9BAD469"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provides the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4184BAFC" w14:textId="1E69817E" w:rsidR="002253D8" w:rsidRPr="002253D8" w:rsidRDefault="00755AE3"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She may rely on the Cross-Border Insolvency Regulations 2006, which is based on the UNCITRAL Model Law on Cross-Border Insolvency</w:t>
      </w:r>
      <w:r w:rsidR="00B5164A">
        <w:rPr>
          <w:rFonts w:ascii="Avenir Next" w:hAnsi="Avenir Next" w:cs="Arial"/>
          <w:color w:val="808080" w:themeColor="background1" w:themeShade="80"/>
          <w:sz w:val="22"/>
          <w:szCs w:val="22"/>
          <w:lang w:val="en-GB"/>
        </w:rPr>
        <w:t xml:space="preserve"> and apply to Court to request recognition of the liquidation under American law. </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69938086" w14:textId="6009649D" w:rsidR="002253D8" w:rsidRDefault="00B5164A"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appropriate legal source to be used is the EU Regulation on Insolvency Proceedings (Recast) 2015 (the “</w:t>
      </w:r>
      <w:r>
        <w:rPr>
          <w:rFonts w:ascii="Avenir Next" w:hAnsi="Avenir Next" w:cs="Arial"/>
          <w:b/>
          <w:bCs/>
          <w:color w:val="808080" w:themeColor="background1" w:themeShade="80"/>
          <w:sz w:val="22"/>
          <w:szCs w:val="22"/>
          <w:lang w:val="en-GB"/>
        </w:rPr>
        <w:t>EIR Recast</w:t>
      </w:r>
      <w:r>
        <w:rPr>
          <w:rFonts w:ascii="Avenir Next" w:hAnsi="Avenir Next" w:cs="Arial"/>
          <w:color w:val="808080" w:themeColor="background1" w:themeShade="80"/>
          <w:sz w:val="22"/>
          <w:szCs w:val="22"/>
          <w:lang w:val="en-GB"/>
        </w:rPr>
        <w:t>”).</w:t>
      </w:r>
    </w:p>
    <w:p w14:paraId="23B05A9E" w14:textId="77777777" w:rsidR="00B5164A" w:rsidRDefault="00B5164A" w:rsidP="002253D8">
      <w:pPr>
        <w:jc w:val="both"/>
        <w:rPr>
          <w:rFonts w:ascii="Avenir Next" w:hAnsi="Avenir Next" w:cs="Arial"/>
          <w:color w:val="808080" w:themeColor="background1" w:themeShade="80"/>
          <w:sz w:val="22"/>
          <w:szCs w:val="22"/>
          <w:lang w:val="en-GB"/>
        </w:rPr>
      </w:pPr>
    </w:p>
    <w:p w14:paraId="3FC0FCAE" w14:textId="6E7B3650" w:rsidR="00B5164A" w:rsidRDefault="00B5164A"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main proceeding should be opened in the “centre of the debtor’s main interests”</w:t>
      </w:r>
      <w:r w:rsidR="0017321A">
        <w:rPr>
          <w:rFonts w:ascii="Avenir Next" w:hAnsi="Avenir Next" w:cs="Arial"/>
          <w:color w:val="808080" w:themeColor="background1" w:themeShade="80"/>
          <w:sz w:val="22"/>
          <w:szCs w:val="22"/>
          <w:lang w:val="en-GB"/>
        </w:rPr>
        <w:t xml:space="preserve"> (“COMI”), i.e. the place where the company conducts the administration of its interests on a regular basis and which is ascertainable by third parties</w:t>
      </w:r>
      <w:r>
        <w:rPr>
          <w:rFonts w:ascii="Avenir Next" w:hAnsi="Avenir Next" w:cs="Arial"/>
          <w:color w:val="808080" w:themeColor="background1" w:themeShade="80"/>
          <w:sz w:val="22"/>
          <w:szCs w:val="22"/>
          <w:lang w:val="en-GB"/>
        </w:rPr>
        <w:t>: Art 3(1) of the EIR Recast.</w:t>
      </w:r>
    </w:p>
    <w:p w14:paraId="4D8F11C9" w14:textId="77777777" w:rsidR="0017321A" w:rsidRDefault="0017321A" w:rsidP="002253D8">
      <w:pPr>
        <w:jc w:val="both"/>
        <w:rPr>
          <w:rFonts w:ascii="Avenir Next" w:hAnsi="Avenir Next" w:cs="Arial"/>
          <w:color w:val="808080" w:themeColor="background1" w:themeShade="80"/>
          <w:sz w:val="22"/>
          <w:szCs w:val="22"/>
          <w:lang w:val="en-GB"/>
        </w:rPr>
      </w:pPr>
    </w:p>
    <w:p w14:paraId="113E5AC8" w14:textId="4D27A772" w:rsidR="0017321A" w:rsidRDefault="0017321A"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presumption is that the COMI is the place of the company’s registered office which in this case is Italy, but this presumption only applies if the COMI was not moved within 3 months prior to the insolvency proceedings. That is not an issue here as it has been 3 years since Brexit and since the COMI was moved from England to Italy. </w:t>
      </w:r>
    </w:p>
    <w:p w14:paraId="5967A696" w14:textId="77777777" w:rsidR="0017321A" w:rsidRDefault="0017321A" w:rsidP="002253D8">
      <w:pPr>
        <w:jc w:val="both"/>
        <w:rPr>
          <w:rFonts w:ascii="Avenir Next" w:hAnsi="Avenir Next" w:cs="Arial"/>
          <w:color w:val="808080" w:themeColor="background1" w:themeShade="80"/>
          <w:sz w:val="22"/>
          <w:szCs w:val="22"/>
          <w:lang w:val="en-GB"/>
        </w:rPr>
      </w:pPr>
    </w:p>
    <w:p w14:paraId="49982E8E" w14:textId="6D2571E4" w:rsidR="0017321A" w:rsidRPr="0017321A" w:rsidRDefault="0017321A"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does not matter that the main operations occurred in Germany, given that its management was directed from Italy as the Court will consider whether the company’s “</w:t>
      </w:r>
      <w:r>
        <w:rPr>
          <w:rFonts w:ascii="Avenir Next" w:hAnsi="Avenir Next" w:cs="Arial"/>
          <w:i/>
          <w:iCs/>
          <w:color w:val="808080" w:themeColor="background1" w:themeShade="80"/>
          <w:sz w:val="22"/>
          <w:szCs w:val="22"/>
          <w:lang w:val="en-GB"/>
        </w:rPr>
        <w:t>actual centre of management and supervision and of the management of its interests</w:t>
      </w:r>
      <w:r>
        <w:rPr>
          <w:rFonts w:ascii="Avenir Next" w:hAnsi="Avenir Next" w:cs="Arial"/>
          <w:color w:val="808080" w:themeColor="background1" w:themeShade="80"/>
          <w:sz w:val="22"/>
          <w:szCs w:val="22"/>
          <w:lang w:val="en-GB"/>
        </w:rPr>
        <w:t xml:space="preserve">” (preamble of EIR Recast at [30]) is located in Italy. In this case, its management was directed from Italy. </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2F20688C" w:rsidR="002253D8" w:rsidRPr="002253D8" w:rsidRDefault="0017321A"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 as the EIR Recast only applies within the European Union and its member states. </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2F16E5EA" w14:textId="77777777" w:rsidR="003508FA" w:rsidRDefault="003508FA" w:rsidP="003508F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Italy and the Netherlands is part of the EU, this issue is governed by the EIR Recast. </w:t>
      </w:r>
    </w:p>
    <w:p w14:paraId="50A484CD" w14:textId="77777777" w:rsidR="003508FA" w:rsidRDefault="003508FA" w:rsidP="003508FA">
      <w:pPr>
        <w:jc w:val="both"/>
        <w:rPr>
          <w:rFonts w:ascii="Avenir Next" w:hAnsi="Avenir Next" w:cs="Arial"/>
          <w:color w:val="808080" w:themeColor="background1" w:themeShade="80"/>
          <w:sz w:val="22"/>
          <w:szCs w:val="22"/>
          <w:lang w:val="en-GB"/>
        </w:rPr>
      </w:pPr>
    </w:p>
    <w:p w14:paraId="13039970" w14:textId="1C7F09B7" w:rsidR="002253D8" w:rsidRDefault="003508FA" w:rsidP="003508F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7.1 of the EIR Recast provides that “</w:t>
      </w:r>
      <w:r>
        <w:rPr>
          <w:rFonts w:ascii="Avenir Next" w:hAnsi="Avenir Next" w:cs="Arial"/>
          <w:i/>
          <w:iCs/>
          <w:color w:val="808080" w:themeColor="background1" w:themeShade="80"/>
          <w:sz w:val="22"/>
          <w:szCs w:val="22"/>
          <w:lang w:val="en-GB"/>
        </w:rPr>
        <w:t>the law applicable to insolvency proceedings and their effects shall be that of the Member State within the territory of which such proceedings are opened</w:t>
      </w:r>
      <w:r>
        <w:rPr>
          <w:rFonts w:ascii="Avenir Next" w:hAnsi="Avenir Next" w:cs="Arial"/>
          <w:color w:val="808080" w:themeColor="background1" w:themeShade="80"/>
          <w:sz w:val="22"/>
          <w:szCs w:val="22"/>
          <w:lang w:val="en-GB"/>
        </w:rPr>
        <w:t xml:space="preserve">”. </w:t>
      </w:r>
    </w:p>
    <w:p w14:paraId="6DA88E63" w14:textId="77777777" w:rsidR="003508FA" w:rsidRDefault="003508FA" w:rsidP="003508FA">
      <w:pPr>
        <w:jc w:val="both"/>
        <w:rPr>
          <w:rFonts w:ascii="Avenir Next" w:hAnsi="Avenir Next" w:cs="Arial"/>
          <w:color w:val="808080" w:themeColor="background1" w:themeShade="80"/>
          <w:sz w:val="22"/>
          <w:szCs w:val="22"/>
          <w:lang w:val="en-GB"/>
        </w:rPr>
      </w:pPr>
    </w:p>
    <w:p w14:paraId="0E44ABDC" w14:textId="62D23810" w:rsidR="003508FA" w:rsidRDefault="003508FA" w:rsidP="003508F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where security rights are concerned, paragraph 68 of the preamble to the EIR Recast provides that: </w:t>
      </w:r>
    </w:p>
    <w:p w14:paraId="343009C7" w14:textId="77777777" w:rsidR="003508FA" w:rsidRPr="003508FA" w:rsidRDefault="003508FA" w:rsidP="003508FA">
      <w:pPr>
        <w:pStyle w:val="normal0"/>
        <w:spacing w:before="120" w:beforeAutospacing="0" w:after="0" w:afterAutospacing="0" w:line="312" w:lineRule="atLeast"/>
        <w:jc w:val="both"/>
        <w:rPr>
          <w:rFonts w:ascii="Avenir Next" w:hAnsi="Avenir Next" w:cs="Arial"/>
          <w:i/>
          <w:iCs/>
          <w:color w:val="808080" w:themeColor="background1" w:themeShade="80"/>
          <w:sz w:val="22"/>
          <w:szCs w:val="22"/>
          <w:lang w:val="en-GB" w:eastAsia="en-US"/>
        </w:rPr>
      </w:pPr>
      <w:r w:rsidRPr="003508FA">
        <w:rPr>
          <w:rFonts w:ascii="Avenir Next" w:hAnsi="Avenir Next" w:cs="Arial"/>
          <w:i/>
          <w:iCs/>
          <w:color w:val="808080" w:themeColor="background1" w:themeShade="80"/>
          <w:sz w:val="22"/>
          <w:szCs w:val="22"/>
          <w:u w:val="single"/>
          <w:lang w:val="en-GB" w:eastAsia="en-US"/>
        </w:rPr>
        <w:t>The basis, validity and extent of rights </w:t>
      </w:r>
      <w:r w:rsidRPr="003508FA">
        <w:rPr>
          <w:rFonts w:ascii="Avenir Next" w:hAnsi="Avenir Next" w:cs="Arial"/>
          <w:color w:val="808080" w:themeColor="background1" w:themeShade="80"/>
          <w:sz w:val="22"/>
          <w:szCs w:val="22"/>
          <w:u w:val="single"/>
          <w:lang w:val="en-GB" w:eastAsia="en-US"/>
        </w:rPr>
        <w:t>in rem</w:t>
      </w:r>
      <w:r w:rsidRPr="003508FA">
        <w:rPr>
          <w:rFonts w:ascii="Avenir Next" w:hAnsi="Avenir Next" w:cs="Arial"/>
          <w:i/>
          <w:iCs/>
          <w:color w:val="808080" w:themeColor="background1" w:themeShade="80"/>
          <w:sz w:val="22"/>
          <w:szCs w:val="22"/>
          <w:u w:val="single"/>
          <w:lang w:val="en-GB" w:eastAsia="en-US"/>
        </w:rPr>
        <w:t> should therefore normally be determined according to the </w:t>
      </w:r>
      <w:r w:rsidRPr="003508FA">
        <w:rPr>
          <w:rFonts w:ascii="Avenir Next" w:hAnsi="Avenir Next" w:cs="Arial"/>
          <w:color w:val="808080" w:themeColor="background1" w:themeShade="80"/>
          <w:sz w:val="22"/>
          <w:szCs w:val="22"/>
          <w:u w:val="single"/>
          <w:lang w:val="en-GB" w:eastAsia="en-US"/>
        </w:rPr>
        <w:t>lex situs</w:t>
      </w:r>
      <w:r w:rsidRPr="003508FA">
        <w:rPr>
          <w:rFonts w:ascii="Avenir Next" w:hAnsi="Avenir Next" w:cs="Arial"/>
          <w:i/>
          <w:iCs/>
          <w:color w:val="808080" w:themeColor="background1" w:themeShade="80"/>
          <w:sz w:val="22"/>
          <w:szCs w:val="22"/>
          <w:u w:val="single"/>
          <w:lang w:val="en-GB" w:eastAsia="en-US"/>
        </w:rPr>
        <w:t> and not be affected by the opening of insolvency proceedings.</w:t>
      </w:r>
      <w:r w:rsidRPr="003508FA">
        <w:rPr>
          <w:rFonts w:ascii="Avenir Next" w:hAnsi="Avenir Next" w:cs="Arial"/>
          <w:i/>
          <w:iCs/>
          <w:color w:val="808080" w:themeColor="background1" w:themeShade="80"/>
          <w:sz w:val="22"/>
          <w:szCs w:val="22"/>
          <w:lang w:val="en-GB" w:eastAsia="en-US"/>
        </w:rPr>
        <w:t xml:space="preserve"> The proprietor of a right </w:t>
      </w:r>
      <w:r w:rsidRPr="003508FA">
        <w:rPr>
          <w:rFonts w:ascii="Avenir Next" w:hAnsi="Avenir Next" w:cs="Arial"/>
          <w:color w:val="808080" w:themeColor="background1" w:themeShade="80"/>
          <w:sz w:val="22"/>
          <w:szCs w:val="22"/>
          <w:lang w:val="en-GB" w:eastAsia="en-US"/>
        </w:rPr>
        <w:t>in rem</w:t>
      </w:r>
      <w:r w:rsidRPr="003508FA">
        <w:rPr>
          <w:rFonts w:ascii="Avenir Next" w:hAnsi="Avenir Next" w:cs="Arial"/>
          <w:i/>
          <w:iCs/>
          <w:color w:val="808080" w:themeColor="background1" w:themeShade="80"/>
          <w:sz w:val="22"/>
          <w:szCs w:val="22"/>
          <w:lang w:val="en-GB" w:eastAsia="en-US"/>
        </w:rPr>
        <w:t xml:space="preserve"> should therefore be able to continue to assert its right to segregation or separate settlement of the collateral security. </w:t>
      </w:r>
      <w:r w:rsidRPr="003508FA">
        <w:rPr>
          <w:rFonts w:ascii="Avenir Next" w:hAnsi="Avenir Next" w:cs="Arial"/>
          <w:i/>
          <w:iCs/>
          <w:color w:val="808080" w:themeColor="background1" w:themeShade="80"/>
          <w:sz w:val="22"/>
          <w:szCs w:val="22"/>
          <w:u w:val="single"/>
          <w:lang w:val="en-GB" w:eastAsia="en-US"/>
        </w:rPr>
        <w:t>Where assets are subject to rights </w:t>
      </w:r>
      <w:r w:rsidRPr="003508FA">
        <w:rPr>
          <w:rFonts w:ascii="Avenir Next" w:hAnsi="Avenir Next" w:cs="Arial"/>
          <w:color w:val="808080" w:themeColor="background1" w:themeShade="80"/>
          <w:sz w:val="22"/>
          <w:szCs w:val="22"/>
          <w:u w:val="single"/>
          <w:lang w:val="en-GB" w:eastAsia="en-US"/>
        </w:rPr>
        <w:t>in rem</w:t>
      </w:r>
      <w:r w:rsidRPr="003508FA">
        <w:rPr>
          <w:rFonts w:ascii="Avenir Next" w:hAnsi="Avenir Next" w:cs="Arial"/>
          <w:i/>
          <w:iCs/>
          <w:color w:val="808080" w:themeColor="background1" w:themeShade="80"/>
          <w:sz w:val="22"/>
          <w:szCs w:val="22"/>
          <w:u w:val="single"/>
          <w:lang w:val="en-GB" w:eastAsia="en-US"/>
        </w:rPr>
        <w:t> under the </w:t>
      </w:r>
      <w:r w:rsidRPr="003508FA">
        <w:rPr>
          <w:rFonts w:ascii="Avenir Next" w:hAnsi="Avenir Next" w:cs="Arial"/>
          <w:color w:val="808080" w:themeColor="background1" w:themeShade="80"/>
          <w:sz w:val="22"/>
          <w:szCs w:val="22"/>
          <w:u w:val="single"/>
          <w:lang w:val="en-GB" w:eastAsia="en-US"/>
        </w:rPr>
        <w:t>lex situs</w:t>
      </w:r>
      <w:r w:rsidRPr="003508FA">
        <w:rPr>
          <w:rFonts w:ascii="Avenir Next" w:hAnsi="Avenir Next" w:cs="Arial"/>
          <w:i/>
          <w:iCs/>
          <w:color w:val="808080" w:themeColor="background1" w:themeShade="80"/>
          <w:sz w:val="22"/>
          <w:szCs w:val="22"/>
          <w:u w:val="single"/>
          <w:lang w:val="en-GB" w:eastAsia="en-US"/>
        </w:rPr>
        <w:t> in one Member State but the main insolvency proceedings are being carried out in another Member State, the insolvency practitioner in the main insolvency proceedings should be able to request the opening of secondary insolvency proceedings in the jurisdiction where the rights </w:t>
      </w:r>
      <w:r w:rsidRPr="003508FA">
        <w:rPr>
          <w:rFonts w:ascii="Avenir Next" w:hAnsi="Avenir Next" w:cs="Arial"/>
          <w:color w:val="808080" w:themeColor="background1" w:themeShade="80"/>
          <w:sz w:val="22"/>
          <w:szCs w:val="22"/>
          <w:u w:val="single"/>
          <w:lang w:val="en-GB" w:eastAsia="en-US"/>
        </w:rPr>
        <w:t>in rem</w:t>
      </w:r>
      <w:r w:rsidRPr="003508FA">
        <w:rPr>
          <w:rFonts w:ascii="Avenir Next" w:hAnsi="Avenir Next" w:cs="Arial"/>
          <w:i/>
          <w:iCs/>
          <w:color w:val="808080" w:themeColor="background1" w:themeShade="80"/>
          <w:sz w:val="22"/>
          <w:szCs w:val="22"/>
          <w:u w:val="single"/>
          <w:lang w:val="en-GB" w:eastAsia="en-US"/>
        </w:rPr>
        <w:t> arise if the debtor has an establishment there</w:t>
      </w:r>
      <w:r w:rsidRPr="003508FA">
        <w:rPr>
          <w:rFonts w:ascii="Avenir Next" w:hAnsi="Avenir Next" w:cs="Arial"/>
          <w:i/>
          <w:iCs/>
          <w:color w:val="808080" w:themeColor="background1" w:themeShade="80"/>
          <w:sz w:val="22"/>
          <w:szCs w:val="22"/>
          <w:lang w:val="en-GB" w:eastAsia="en-US"/>
        </w:rPr>
        <w:t>. If secondary insolvency proceedings are not opened, any surplus on the sale of an asset covered by rights </w:t>
      </w:r>
      <w:r w:rsidRPr="003508FA">
        <w:rPr>
          <w:rFonts w:ascii="Avenir Next" w:hAnsi="Avenir Next" w:cs="Arial"/>
          <w:color w:val="808080" w:themeColor="background1" w:themeShade="80"/>
          <w:sz w:val="22"/>
          <w:szCs w:val="22"/>
          <w:lang w:val="en-GB" w:eastAsia="en-US"/>
        </w:rPr>
        <w:t>in rem</w:t>
      </w:r>
      <w:r w:rsidRPr="003508FA">
        <w:rPr>
          <w:rFonts w:ascii="Avenir Next" w:hAnsi="Avenir Next" w:cs="Arial"/>
          <w:i/>
          <w:iCs/>
          <w:color w:val="808080" w:themeColor="background1" w:themeShade="80"/>
          <w:sz w:val="22"/>
          <w:szCs w:val="22"/>
          <w:lang w:val="en-GB" w:eastAsia="en-US"/>
        </w:rPr>
        <w:t> should be paid to the insolvency practitioner in the main insolvency proceedings.</w:t>
      </w:r>
    </w:p>
    <w:p w14:paraId="71AF7BAF" w14:textId="77777777" w:rsidR="003508FA" w:rsidRDefault="003508FA" w:rsidP="003508FA">
      <w:pPr>
        <w:jc w:val="both"/>
        <w:rPr>
          <w:rFonts w:ascii="Avenir Next" w:hAnsi="Avenir Next" w:cs="Arial"/>
          <w:color w:val="808080" w:themeColor="background1" w:themeShade="80"/>
          <w:sz w:val="22"/>
          <w:szCs w:val="22"/>
          <w:lang w:val="en-GB"/>
        </w:rPr>
      </w:pPr>
    </w:p>
    <w:p w14:paraId="21382B81" w14:textId="7C216DF1" w:rsidR="003508FA" w:rsidRPr="003508FA" w:rsidRDefault="003508FA" w:rsidP="003508F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Therefore, Dutch law will apply to the real rights of security situated in the Netherlands, and the insolvency practitioner must take out an application in the Courts of Netherland.</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7E04150C" w14:textId="77777777" w:rsidR="0038069F" w:rsidRDefault="0038069F" w:rsidP="003508F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Australia is not part of the EU, the EIR Recast will not apply. </w:t>
      </w:r>
    </w:p>
    <w:p w14:paraId="3EB9FEEE" w14:textId="77777777" w:rsidR="0038069F" w:rsidRDefault="0038069F" w:rsidP="003508FA">
      <w:pPr>
        <w:jc w:val="both"/>
        <w:rPr>
          <w:rFonts w:ascii="Avenir Next" w:hAnsi="Avenir Next" w:cs="Arial"/>
          <w:color w:val="808080" w:themeColor="background1" w:themeShade="80"/>
          <w:sz w:val="22"/>
          <w:szCs w:val="22"/>
          <w:lang w:val="en-GB"/>
        </w:rPr>
      </w:pPr>
    </w:p>
    <w:p w14:paraId="5156B24B" w14:textId="10BE8A89" w:rsidR="002253D8" w:rsidRPr="00DA42DA" w:rsidRDefault="0038069F" w:rsidP="003508F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Australia has incorporated the Model Law into its domestic law through the Cross-Border Insolvency Act 200. Australian law will therefore apply. </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DF496" w14:textId="77777777" w:rsidR="0051241C" w:rsidRDefault="0051241C" w:rsidP="00241B44">
      <w:r>
        <w:separator/>
      </w:r>
    </w:p>
  </w:endnote>
  <w:endnote w:type="continuationSeparator" w:id="0">
    <w:p w14:paraId="3644AFC0" w14:textId="77777777" w:rsidR="0051241C" w:rsidRDefault="0051241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4480BFD0" w:rsidR="00B64A85" w:rsidRPr="00297BDF" w:rsidRDefault="00B05975" w:rsidP="0052732A">
    <w:pPr>
      <w:pStyle w:val="Footer"/>
      <w:ind w:right="360"/>
      <w:rPr>
        <w:rFonts w:ascii="Avenir Next" w:hAnsi="Avenir Next" w:cs="Arial"/>
        <w:sz w:val="22"/>
        <w:szCs w:val="22"/>
      </w:rPr>
    </w:pPr>
    <w:r w:rsidRPr="00B05975">
      <w:rPr>
        <w:rFonts w:ascii="Avenir Next" w:hAnsi="Avenir Next" w:cs="Arial"/>
        <w:sz w:val="22"/>
        <w:szCs w:val="22"/>
      </w:rPr>
      <w:t>FC202324-1458</w:t>
    </w:r>
    <w:r w:rsidR="00B64A85" w:rsidRPr="00B05975">
      <w:rPr>
        <w:rFonts w:ascii="Avenir Next" w:hAnsi="Avenir Next" w:cs="Arial"/>
        <w:sz w:val="22"/>
        <w:szCs w:val="22"/>
      </w:rPr>
      <w:t>.</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D9B89" w14:textId="77777777" w:rsidR="0051241C" w:rsidRDefault="0051241C" w:rsidP="00241B44">
      <w:r>
        <w:separator/>
      </w:r>
    </w:p>
  </w:footnote>
  <w:footnote w:type="continuationSeparator" w:id="0">
    <w:p w14:paraId="1485B033" w14:textId="77777777" w:rsidR="0051241C" w:rsidRDefault="0051241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7EEA"/>
    <w:multiLevelType w:val="hybridMultilevel"/>
    <w:tmpl w:val="D1DEBE00"/>
    <w:lvl w:ilvl="0" w:tplc="3B6CF3E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3E53796"/>
    <w:multiLevelType w:val="hybridMultilevel"/>
    <w:tmpl w:val="A48280D2"/>
    <w:lvl w:ilvl="0" w:tplc="CAB6556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AAD6525"/>
    <w:multiLevelType w:val="hybridMultilevel"/>
    <w:tmpl w:val="5BBE23DA"/>
    <w:lvl w:ilvl="0" w:tplc="F196C90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9"/>
  </w:num>
  <w:num w:numId="2" w16cid:durableId="460732777">
    <w:abstractNumId w:val="34"/>
  </w:num>
  <w:num w:numId="3" w16cid:durableId="1558668659">
    <w:abstractNumId w:val="3"/>
  </w:num>
  <w:num w:numId="4" w16cid:durableId="737018892">
    <w:abstractNumId w:val="5"/>
  </w:num>
  <w:num w:numId="5" w16cid:durableId="1158809076">
    <w:abstractNumId w:val="22"/>
  </w:num>
  <w:num w:numId="6" w16cid:durableId="415711827">
    <w:abstractNumId w:val="30"/>
  </w:num>
  <w:num w:numId="7" w16cid:durableId="1401949473">
    <w:abstractNumId w:val="15"/>
  </w:num>
  <w:num w:numId="8" w16cid:durableId="269552992">
    <w:abstractNumId w:val="35"/>
  </w:num>
  <w:num w:numId="9" w16cid:durableId="1367413161">
    <w:abstractNumId w:val="14"/>
  </w:num>
  <w:num w:numId="10" w16cid:durableId="220823057">
    <w:abstractNumId w:val="31"/>
  </w:num>
  <w:num w:numId="11" w16cid:durableId="858086195">
    <w:abstractNumId w:val="11"/>
  </w:num>
  <w:num w:numId="12" w16cid:durableId="2144808366">
    <w:abstractNumId w:val="32"/>
  </w:num>
  <w:num w:numId="13" w16cid:durableId="1139104618">
    <w:abstractNumId w:val="21"/>
  </w:num>
  <w:num w:numId="14" w16cid:durableId="1203787949">
    <w:abstractNumId w:val="20"/>
  </w:num>
  <w:num w:numId="15" w16cid:durableId="1140149903">
    <w:abstractNumId w:val="6"/>
  </w:num>
  <w:num w:numId="16" w16cid:durableId="1714226930">
    <w:abstractNumId w:val="23"/>
  </w:num>
  <w:num w:numId="17" w16cid:durableId="1711415350">
    <w:abstractNumId w:val="18"/>
  </w:num>
  <w:num w:numId="18" w16cid:durableId="35542391">
    <w:abstractNumId w:val="19"/>
  </w:num>
  <w:num w:numId="19" w16cid:durableId="2050493181">
    <w:abstractNumId w:val="27"/>
  </w:num>
  <w:num w:numId="20" w16cid:durableId="1469859581">
    <w:abstractNumId w:val="10"/>
  </w:num>
  <w:num w:numId="21" w16cid:durableId="408573765">
    <w:abstractNumId w:val="17"/>
  </w:num>
  <w:num w:numId="22" w16cid:durableId="482936912">
    <w:abstractNumId w:val="1"/>
  </w:num>
  <w:num w:numId="23" w16cid:durableId="1308701288">
    <w:abstractNumId w:val="26"/>
  </w:num>
  <w:num w:numId="24" w16cid:durableId="1716081525">
    <w:abstractNumId w:val="2"/>
  </w:num>
  <w:num w:numId="25" w16cid:durableId="797064315">
    <w:abstractNumId w:val="33"/>
  </w:num>
  <w:num w:numId="26" w16cid:durableId="824904852">
    <w:abstractNumId w:val="36"/>
  </w:num>
  <w:num w:numId="27" w16cid:durableId="372002461">
    <w:abstractNumId w:val="9"/>
  </w:num>
  <w:num w:numId="28" w16cid:durableId="1256015074">
    <w:abstractNumId w:val="8"/>
  </w:num>
  <w:num w:numId="29" w16cid:durableId="1376738983">
    <w:abstractNumId w:val="7"/>
  </w:num>
  <w:num w:numId="30" w16cid:durableId="1903177138">
    <w:abstractNumId w:val="12"/>
  </w:num>
  <w:num w:numId="31" w16cid:durableId="1164859915">
    <w:abstractNumId w:val="4"/>
  </w:num>
  <w:num w:numId="32" w16cid:durableId="684208392">
    <w:abstractNumId w:val="16"/>
  </w:num>
  <w:num w:numId="33" w16cid:durableId="732118212">
    <w:abstractNumId w:val="24"/>
  </w:num>
  <w:num w:numId="34" w16cid:durableId="1912503881">
    <w:abstractNumId w:val="13"/>
  </w:num>
  <w:num w:numId="35" w16cid:durableId="1271817852">
    <w:abstractNumId w:val="25"/>
  </w:num>
  <w:num w:numId="36" w16cid:durableId="2084837930">
    <w:abstractNumId w:val="28"/>
  </w:num>
  <w:num w:numId="37" w16cid:durableId="329450386">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SG" w:vendorID="64" w:dllVersion="0" w:nlCheck="1" w:checkStyle="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50F6C"/>
    <w:rsid w:val="00152348"/>
    <w:rsid w:val="0015328F"/>
    <w:rsid w:val="0015456D"/>
    <w:rsid w:val="00161F1B"/>
    <w:rsid w:val="001620AF"/>
    <w:rsid w:val="00162829"/>
    <w:rsid w:val="0016472D"/>
    <w:rsid w:val="00164B28"/>
    <w:rsid w:val="001677CC"/>
    <w:rsid w:val="0017321A"/>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A7ECF"/>
    <w:rsid w:val="001B0F70"/>
    <w:rsid w:val="001B5016"/>
    <w:rsid w:val="001B6CEE"/>
    <w:rsid w:val="001C45FC"/>
    <w:rsid w:val="001C594A"/>
    <w:rsid w:val="001D1BF7"/>
    <w:rsid w:val="001D4862"/>
    <w:rsid w:val="001D632F"/>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5C0"/>
    <w:rsid w:val="00216CB4"/>
    <w:rsid w:val="002173C5"/>
    <w:rsid w:val="00223780"/>
    <w:rsid w:val="002253D8"/>
    <w:rsid w:val="0022719C"/>
    <w:rsid w:val="00231611"/>
    <w:rsid w:val="00231CAE"/>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08FA"/>
    <w:rsid w:val="00355B57"/>
    <w:rsid w:val="00361A0A"/>
    <w:rsid w:val="00361DF9"/>
    <w:rsid w:val="00363D71"/>
    <w:rsid w:val="0036565C"/>
    <w:rsid w:val="0036625E"/>
    <w:rsid w:val="00367162"/>
    <w:rsid w:val="00372CD4"/>
    <w:rsid w:val="0037386C"/>
    <w:rsid w:val="0037465A"/>
    <w:rsid w:val="0038069F"/>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451"/>
    <w:rsid w:val="003C2017"/>
    <w:rsid w:val="003C4471"/>
    <w:rsid w:val="003C473E"/>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174FA"/>
    <w:rsid w:val="0042108F"/>
    <w:rsid w:val="00421200"/>
    <w:rsid w:val="004214D4"/>
    <w:rsid w:val="004216EA"/>
    <w:rsid w:val="004235F4"/>
    <w:rsid w:val="00426969"/>
    <w:rsid w:val="00426B64"/>
    <w:rsid w:val="00430C53"/>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241C"/>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16E52"/>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5AE3"/>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206E"/>
    <w:rsid w:val="00793173"/>
    <w:rsid w:val="007958F0"/>
    <w:rsid w:val="00797E1B"/>
    <w:rsid w:val="007A12A4"/>
    <w:rsid w:val="007A7C2E"/>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0B38"/>
    <w:rsid w:val="00801B30"/>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7849"/>
    <w:rsid w:val="008279C0"/>
    <w:rsid w:val="00841E70"/>
    <w:rsid w:val="00845226"/>
    <w:rsid w:val="008473AA"/>
    <w:rsid w:val="00851A7A"/>
    <w:rsid w:val="00852883"/>
    <w:rsid w:val="00852F37"/>
    <w:rsid w:val="008571F6"/>
    <w:rsid w:val="00857A02"/>
    <w:rsid w:val="00861E51"/>
    <w:rsid w:val="00870B96"/>
    <w:rsid w:val="008723F3"/>
    <w:rsid w:val="00873246"/>
    <w:rsid w:val="0087502B"/>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40529"/>
    <w:rsid w:val="00A407EF"/>
    <w:rsid w:val="00A411B7"/>
    <w:rsid w:val="00A42023"/>
    <w:rsid w:val="00A45800"/>
    <w:rsid w:val="00A46B4C"/>
    <w:rsid w:val="00A5117B"/>
    <w:rsid w:val="00A560B6"/>
    <w:rsid w:val="00A566E3"/>
    <w:rsid w:val="00A56CF7"/>
    <w:rsid w:val="00A56DBC"/>
    <w:rsid w:val="00A60074"/>
    <w:rsid w:val="00A641E0"/>
    <w:rsid w:val="00A646E2"/>
    <w:rsid w:val="00A651A9"/>
    <w:rsid w:val="00A6627C"/>
    <w:rsid w:val="00A71019"/>
    <w:rsid w:val="00A73B60"/>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0F7A"/>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F228E"/>
    <w:rsid w:val="00AF455B"/>
    <w:rsid w:val="00AF5899"/>
    <w:rsid w:val="00B0123F"/>
    <w:rsid w:val="00B04004"/>
    <w:rsid w:val="00B05975"/>
    <w:rsid w:val="00B07519"/>
    <w:rsid w:val="00B12F13"/>
    <w:rsid w:val="00B14819"/>
    <w:rsid w:val="00B17AA9"/>
    <w:rsid w:val="00B20235"/>
    <w:rsid w:val="00B221FF"/>
    <w:rsid w:val="00B2292D"/>
    <w:rsid w:val="00B246B1"/>
    <w:rsid w:val="00B26B31"/>
    <w:rsid w:val="00B30A70"/>
    <w:rsid w:val="00B32674"/>
    <w:rsid w:val="00B333FE"/>
    <w:rsid w:val="00B3503B"/>
    <w:rsid w:val="00B366EC"/>
    <w:rsid w:val="00B378FA"/>
    <w:rsid w:val="00B42352"/>
    <w:rsid w:val="00B51227"/>
    <w:rsid w:val="00B5164A"/>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3769"/>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2B0A"/>
    <w:rsid w:val="00C673EB"/>
    <w:rsid w:val="00C71F4F"/>
    <w:rsid w:val="00C72848"/>
    <w:rsid w:val="00C750BA"/>
    <w:rsid w:val="00C7736C"/>
    <w:rsid w:val="00C80272"/>
    <w:rsid w:val="00C82D87"/>
    <w:rsid w:val="00C8712A"/>
    <w:rsid w:val="00C92A0D"/>
    <w:rsid w:val="00C952A2"/>
    <w:rsid w:val="00C963D3"/>
    <w:rsid w:val="00CA0B50"/>
    <w:rsid w:val="00CA1802"/>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192B"/>
    <w:rsid w:val="00D57C59"/>
    <w:rsid w:val="00D60215"/>
    <w:rsid w:val="00D60874"/>
    <w:rsid w:val="00D63EFD"/>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97393"/>
    <w:rsid w:val="00DA42DA"/>
    <w:rsid w:val="00DA42EF"/>
    <w:rsid w:val="00DA7B01"/>
    <w:rsid w:val="00DB1A35"/>
    <w:rsid w:val="00DB243C"/>
    <w:rsid w:val="00DB482A"/>
    <w:rsid w:val="00DB56F2"/>
    <w:rsid w:val="00DB5A5A"/>
    <w:rsid w:val="00DB5D9B"/>
    <w:rsid w:val="00DB6EF5"/>
    <w:rsid w:val="00DC1B50"/>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4B5A"/>
    <w:rsid w:val="00E05837"/>
    <w:rsid w:val="00E07C5A"/>
    <w:rsid w:val="00E10A73"/>
    <w:rsid w:val="00E12C13"/>
    <w:rsid w:val="00E15BA9"/>
    <w:rsid w:val="00E161D2"/>
    <w:rsid w:val="00E177E2"/>
    <w:rsid w:val="00E17BF1"/>
    <w:rsid w:val="00E22DE4"/>
    <w:rsid w:val="00E25FB8"/>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302"/>
    <w:rsid w:val="00E6452F"/>
    <w:rsid w:val="00E64F45"/>
    <w:rsid w:val="00E6525B"/>
    <w:rsid w:val="00E672BC"/>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B7D8A"/>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 w:type="paragraph" w:customStyle="1" w:styleId="normal0">
    <w:name w:val="normal"/>
    <w:basedOn w:val="Normal"/>
    <w:rsid w:val="003508FA"/>
    <w:pPr>
      <w:spacing w:before="100" w:beforeAutospacing="1" w:after="100" w:afterAutospacing="1"/>
    </w:pPr>
    <w:rPr>
      <w:rFonts w:ascii="Times New Roman" w:hAnsi="Times New Roman" w:cs="Times New Roman"/>
      <w:sz w:val="24"/>
      <w:lang w:val="en-SG" w:eastAsia="en-SG"/>
    </w:rPr>
  </w:style>
  <w:style w:type="character" w:customStyle="1" w:styleId="italic">
    <w:name w:val="italic"/>
    <w:basedOn w:val="DefaultParagraphFont"/>
    <w:rsid w:val="00350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71840858">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4440</Words>
  <Characters>25313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Ayana Ki</cp:lastModifiedBy>
  <cp:revision>4</cp:revision>
  <cp:lastPrinted>2020-06-12T02:43:00Z</cp:lastPrinted>
  <dcterms:created xsi:type="dcterms:W3CDTF">2023-11-14T12:41:00Z</dcterms:created>
  <dcterms:modified xsi:type="dcterms:W3CDTF">2023-11-14T12:59:00Z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