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14085F" w:rsidRDefault="00806382" w:rsidP="00806382">
      <w:pPr>
        <w:pStyle w:val="ListParagraph"/>
        <w:numPr>
          <w:ilvl w:val="0"/>
          <w:numId w:val="15"/>
        </w:numPr>
        <w:ind w:left="425" w:hanging="357"/>
        <w:jc w:val="both"/>
        <w:rPr>
          <w:rFonts w:ascii="Avenir Next" w:hAnsi="Avenir Next" w:cs="Arial"/>
          <w:sz w:val="22"/>
          <w:szCs w:val="22"/>
          <w:highlight w:val="yellow"/>
        </w:rPr>
      </w:pPr>
      <w:r w:rsidRPr="0014085F">
        <w:rPr>
          <w:rFonts w:ascii="Avenir Next" w:hAnsi="Avenir Next" w:cs="Arial"/>
          <w:sz w:val="22"/>
          <w:szCs w:val="22"/>
          <w:highlight w:val="yellow"/>
        </w:rPr>
        <w:t xml:space="preserve">This statement is untrue since the word </w:t>
      </w:r>
      <w:r w:rsidR="00823AB4" w:rsidRPr="0014085F">
        <w:rPr>
          <w:rFonts w:ascii="Avenir Next" w:hAnsi="Avenir Next" w:cs="Arial"/>
          <w:sz w:val="22"/>
          <w:szCs w:val="22"/>
          <w:highlight w:val="yellow"/>
        </w:rPr>
        <w:t>“</w:t>
      </w:r>
      <w:r w:rsidRPr="0014085F">
        <w:rPr>
          <w:rFonts w:ascii="Avenir Next" w:hAnsi="Avenir Next" w:cs="Arial"/>
          <w:sz w:val="22"/>
          <w:szCs w:val="22"/>
          <w:highlight w:val="yellow"/>
        </w:rPr>
        <w:t>bankruptcy</w:t>
      </w:r>
      <w:r w:rsidR="00823AB4" w:rsidRPr="0014085F">
        <w:rPr>
          <w:rFonts w:ascii="Avenir Next" w:hAnsi="Avenir Next" w:cs="Arial"/>
          <w:sz w:val="22"/>
          <w:szCs w:val="22"/>
          <w:highlight w:val="yellow"/>
        </w:rPr>
        <w:t>”</w:t>
      </w:r>
      <w:r w:rsidRPr="0014085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85202" w:rsidRDefault="001211E6" w:rsidP="001211E6">
      <w:pPr>
        <w:pStyle w:val="ListParagraph"/>
        <w:numPr>
          <w:ilvl w:val="0"/>
          <w:numId w:val="16"/>
        </w:numPr>
        <w:ind w:left="426"/>
        <w:jc w:val="both"/>
        <w:rPr>
          <w:rFonts w:ascii="Avenir Next" w:hAnsi="Avenir Next" w:cs="Arial"/>
          <w:sz w:val="22"/>
          <w:szCs w:val="22"/>
          <w:highlight w:val="yellow"/>
        </w:rPr>
      </w:pPr>
      <w:r w:rsidRPr="0078520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44CB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44CB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4E746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4E746C">
        <w:rPr>
          <w:rFonts w:ascii="Avenir Next" w:hAnsi="Avenir Next" w:cs="Arial"/>
          <w:sz w:val="22"/>
          <w:szCs w:val="22"/>
          <w:highlight w:val="yellow"/>
          <w:lang w:val="en-GB"/>
        </w:rPr>
        <w:t xml:space="preserve">This statement is incorrect since a statutory discharge of debt was only introduced in 1705 in England.    </w:t>
      </w:r>
      <w:r w:rsidRPr="004E746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85202" w:rsidRDefault="006514CD" w:rsidP="006514CD">
      <w:pPr>
        <w:pStyle w:val="ListParagraph"/>
        <w:numPr>
          <w:ilvl w:val="0"/>
          <w:numId w:val="19"/>
        </w:numPr>
        <w:ind w:left="425" w:hanging="357"/>
        <w:jc w:val="both"/>
        <w:rPr>
          <w:rFonts w:ascii="Avenir Next" w:hAnsi="Avenir Next" w:cs="Arial"/>
          <w:sz w:val="22"/>
          <w:szCs w:val="22"/>
          <w:highlight w:val="yellow"/>
        </w:rPr>
      </w:pPr>
      <w:r w:rsidRPr="00785202">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4E746C"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4E746C">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9D0790" w:rsidRDefault="00AD76EF" w:rsidP="00AD76EF">
      <w:pPr>
        <w:pStyle w:val="ListParagraph"/>
        <w:numPr>
          <w:ilvl w:val="0"/>
          <w:numId w:val="17"/>
        </w:numPr>
        <w:ind w:left="426"/>
        <w:jc w:val="both"/>
        <w:rPr>
          <w:rFonts w:ascii="Avenir Next" w:hAnsi="Avenir Next" w:cs="Arial"/>
          <w:sz w:val="22"/>
          <w:szCs w:val="22"/>
          <w:highlight w:val="yellow"/>
        </w:rPr>
      </w:pPr>
      <w:r w:rsidRPr="009D079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53C6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953C64">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85202" w:rsidRDefault="009661DE" w:rsidP="009661DE">
      <w:pPr>
        <w:pStyle w:val="ListParagraph"/>
        <w:numPr>
          <w:ilvl w:val="0"/>
          <w:numId w:val="23"/>
        </w:numPr>
        <w:ind w:left="426"/>
        <w:jc w:val="both"/>
        <w:rPr>
          <w:rFonts w:ascii="Avenir Next" w:hAnsi="Avenir Next" w:cs="Arial"/>
          <w:sz w:val="22"/>
          <w:szCs w:val="22"/>
          <w:highlight w:val="yellow"/>
        </w:rPr>
      </w:pPr>
      <w:r w:rsidRPr="0078520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8E2095" w:rsidRDefault="003B3A0D" w:rsidP="003B3A0D">
      <w:pPr>
        <w:pStyle w:val="ListParagraph"/>
        <w:numPr>
          <w:ilvl w:val="0"/>
          <w:numId w:val="24"/>
        </w:numPr>
        <w:ind w:left="426"/>
        <w:jc w:val="both"/>
        <w:rPr>
          <w:rFonts w:ascii="Avenir Next" w:hAnsi="Avenir Next" w:cs="Arial"/>
          <w:sz w:val="22"/>
          <w:szCs w:val="22"/>
          <w:highlight w:val="yellow"/>
        </w:rPr>
      </w:pPr>
      <w:r w:rsidRPr="008E2095">
        <w:rPr>
          <w:rFonts w:ascii="Avenir Next" w:hAnsi="Avenir Next" w:cs="Arial"/>
          <w:sz w:val="22"/>
          <w:szCs w:val="22"/>
          <w:highlight w:val="yellow"/>
        </w:rPr>
        <w:t>This statement is untrue because universalism corresponds well to globali</w:t>
      </w:r>
      <w:r w:rsidR="00142E15" w:rsidRPr="008E2095">
        <w:rPr>
          <w:rFonts w:ascii="Avenir Next" w:hAnsi="Avenir Next" w:cs="Arial"/>
          <w:sz w:val="22"/>
          <w:szCs w:val="22"/>
          <w:highlight w:val="yellow"/>
        </w:rPr>
        <w:t>s</w:t>
      </w:r>
      <w:r w:rsidRPr="008E2095">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0CF010DD" w:rsidR="00CC7728" w:rsidRPr="00DA42DA"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B7BA5">
        <w:rPr>
          <w:rFonts w:ascii="Avenir Next" w:hAnsi="Avenir Next" w:cs="Arial"/>
          <w:color w:val="808080" w:themeColor="background1" w:themeShade="80"/>
          <w:sz w:val="22"/>
          <w:szCs w:val="22"/>
          <w:lang w:val="en-GB"/>
        </w:rPr>
        <w:t>Civil law systems have origins that are pro-creditor</w:t>
      </w:r>
      <w:r w:rsidRPr="00DA42DA">
        <w:rPr>
          <w:rFonts w:ascii="Avenir Next" w:hAnsi="Avenir Next" w:cs="Arial"/>
          <w:color w:val="808080" w:themeColor="background1" w:themeShade="80"/>
          <w:sz w:val="22"/>
          <w:szCs w:val="22"/>
          <w:lang w:val="en-GB"/>
        </w:rPr>
        <w:t>Type answer here]</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6BBD239" w:rsidR="00DA42DA" w:rsidRPr="00DA42DA" w:rsidRDefault="0011428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Universalism/Universality focuses on </w:t>
      </w:r>
      <w:r w:rsidR="00652288">
        <w:rPr>
          <w:rFonts w:ascii="Avenir Next" w:hAnsi="Avenir Next" w:cs="Arial"/>
          <w:color w:val="808080" w:themeColor="background1" w:themeShade="80"/>
          <w:sz w:val="22"/>
          <w:szCs w:val="22"/>
          <w:lang w:val="en-GB"/>
        </w:rPr>
        <w:t xml:space="preserve">a single legal system (usually that of </w:t>
      </w:r>
      <w:r>
        <w:rPr>
          <w:rFonts w:ascii="Avenir Next" w:hAnsi="Avenir Next" w:cs="Arial"/>
          <w:color w:val="808080" w:themeColor="background1" w:themeShade="80"/>
          <w:sz w:val="22"/>
          <w:szCs w:val="22"/>
          <w:lang w:val="en-GB"/>
        </w:rPr>
        <w:t>the Centre of Main Interest</w:t>
      </w:r>
      <w:r w:rsidR="0065228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with insolvency </w:t>
      </w:r>
      <w:r w:rsidR="00652288">
        <w:rPr>
          <w:rFonts w:ascii="Avenir Next" w:hAnsi="Avenir Next" w:cs="Arial"/>
          <w:color w:val="808080" w:themeColor="background1" w:themeShade="80"/>
          <w:sz w:val="22"/>
          <w:szCs w:val="22"/>
          <w:lang w:val="en-GB"/>
        </w:rPr>
        <w:t xml:space="preserve">in other jurisdictions following (or being subject to) </w:t>
      </w:r>
      <w:r>
        <w:rPr>
          <w:rFonts w:ascii="Avenir Next" w:hAnsi="Avenir Next" w:cs="Arial"/>
          <w:color w:val="808080" w:themeColor="background1" w:themeShade="80"/>
          <w:sz w:val="22"/>
          <w:szCs w:val="22"/>
          <w:lang w:val="en-GB"/>
        </w:rPr>
        <w:t>the law of the COMI.</w:t>
      </w:r>
      <w:r w:rsidR="00544CBB">
        <w:rPr>
          <w:rFonts w:ascii="Avenir Next" w:hAnsi="Avenir Next" w:cs="Arial"/>
          <w:color w:val="808080" w:themeColor="background1" w:themeShade="80"/>
          <w:sz w:val="22"/>
          <w:szCs w:val="22"/>
          <w:lang w:val="en-GB"/>
        </w:rPr>
        <w:t xml:space="preserve"> True universalism envisions only a single insolvency proceeding covering the debtor’s assets wherever located.</w:t>
      </w:r>
      <w:r>
        <w:rPr>
          <w:rFonts w:ascii="Avenir Next" w:hAnsi="Avenir Next" w:cs="Arial"/>
          <w:color w:val="808080" w:themeColor="background1" w:themeShade="80"/>
          <w:sz w:val="22"/>
          <w:szCs w:val="22"/>
          <w:lang w:val="en-GB"/>
        </w:rPr>
        <w:t xml:space="preserve"> </w:t>
      </w:r>
      <w:r w:rsidR="00652288">
        <w:rPr>
          <w:rFonts w:ascii="Avenir Next" w:hAnsi="Avenir Next" w:cs="Arial"/>
          <w:color w:val="808080" w:themeColor="background1" w:themeShade="80"/>
          <w:sz w:val="22"/>
          <w:szCs w:val="22"/>
          <w:lang w:val="en-GB"/>
        </w:rPr>
        <w:t xml:space="preserve">The “main” proceeding has universal effect, regardless of the country/jurisdiction. </w:t>
      </w:r>
      <w:r>
        <w:rPr>
          <w:rFonts w:ascii="Avenir Next" w:hAnsi="Avenir Next" w:cs="Arial"/>
          <w:color w:val="808080" w:themeColor="background1" w:themeShade="80"/>
          <w:sz w:val="22"/>
          <w:szCs w:val="22"/>
          <w:lang w:val="en-GB"/>
        </w:rPr>
        <w:t>Territoriality focuses on the laws of individual jurisdictions</w:t>
      </w:r>
      <w:r w:rsidR="00652288">
        <w:rPr>
          <w:rFonts w:ascii="Avenir Next" w:hAnsi="Avenir Next" w:cs="Arial"/>
          <w:color w:val="808080" w:themeColor="background1" w:themeShade="80"/>
          <w:sz w:val="22"/>
          <w:szCs w:val="22"/>
          <w:lang w:val="en-GB"/>
        </w:rPr>
        <w:t>, with each jurisdiction’s insolvency proceeding applying only to that jurisdiction</w:t>
      </w:r>
      <w:r>
        <w:rPr>
          <w:rFonts w:ascii="Avenir Next" w:hAnsi="Avenir Next" w:cs="Arial"/>
          <w:color w:val="808080" w:themeColor="background1" w:themeShade="80"/>
          <w:sz w:val="22"/>
          <w:szCs w:val="22"/>
          <w:lang w:val="en-GB"/>
        </w:rPr>
        <w:t>.</w:t>
      </w:r>
      <w:r w:rsidR="00652288">
        <w:rPr>
          <w:rFonts w:ascii="Avenir Next" w:hAnsi="Avenir Next" w:cs="Arial"/>
          <w:color w:val="808080" w:themeColor="background1" w:themeShade="80"/>
          <w:sz w:val="22"/>
          <w:szCs w:val="22"/>
          <w:lang w:val="en-GB"/>
        </w:rPr>
        <w:t xml:space="preserve"> There is therefore no “main” proceeding, and multiple different proceedings will have to be commenced in every jurisdiction. Modified universalism refers to the practical version of universality, given the intractable problems of creating a global insolvency system. Modified universalism focuses on the law of the COMI, which is considered the “main” proceeding, and insolvency proceedings opened in other jurisdictions are ancillary to the “main” proceedings. Courts across jurisdictions take heed of the decisions of other courts in other jurisdictions, and those of the COMI court in particular.</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784F7E82" w:rsidR="00DA42DA" w:rsidRPr="00DA42DA" w:rsidRDefault="00C3410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American states have adopted multilateral agreements that include sections on cross-border insolvency; the two Montevideo Treaties and the Bustamante Code. As between the two Montevideo Treaties, the 1889 version has been ratified by more Latin American countries, whereas the 1940 version has only been ratified by three countries. The 1940 version is therefore only applicable when Argentina, Paraguay, and Uruguay are the only countries involved. As compared to the Bustamante Code, different countries have signed. Only Bolivia and Peru are parties to the 1889 Montevideo Treaty and the Bustamante Code, resulting in limited overlap.</w:t>
      </w:r>
      <w:r w:rsidR="004125A8">
        <w:rPr>
          <w:rFonts w:ascii="Avenir Next" w:hAnsi="Avenir Next" w:cs="Arial"/>
          <w:color w:val="808080" w:themeColor="background1" w:themeShade="80"/>
          <w:sz w:val="22"/>
          <w:szCs w:val="22"/>
          <w:lang w:val="en-GB"/>
        </w:rPr>
        <w:t xml:space="preserve"> In terms of operation, the 1889 Montevideo Treaty follows the principle of universality if the debtor is only domiciled in one treaty state, but allows for concurrent proceedings if the debtor has multiple autonomous businesses across several treaty states. The Bustamante Code more closely follows the principle of universality in that it provides for a single proceeding throughout treaty states, but also allows for concurrent proceedings if the debtor has entirely separate establishments in different states.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62A61B41" w:rsidR="00DA42DA" w:rsidRPr="00DA42DA" w:rsidRDefault="003B4C3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 disagree with this statement, but mostly because my jurisdiction does not regard the two terms as being interchangeable. I accept that this might be the case in different jurisdictions and depending on the language used. </w:t>
      </w:r>
      <w:r w:rsidR="00207B5B">
        <w:rPr>
          <w:rFonts w:ascii="Avenir Next" w:hAnsi="Avenir Next" w:cs="Arial"/>
          <w:color w:val="808080" w:themeColor="background1" w:themeShade="80"/>
          <w:sz w:val="22"/>
          <w:szCs w:val="22"/>
          <w:lang w:val="en-GB"/>
        </w:rPr>
        <w:t>Insolvency refers to the insolvency of a corporation, whereas bankruptcy refers to the bankruptcy of a natural person/human being. However, in other jurisdictions, insolvency might refer to a financial status</w:t>
      </w:r>
      <w:r w:rsidR="0024564A">
        <w:rPr>
          <w:rFonts w:ascii="Avenir Next" w:hAnsi="Avenir Next" w:cs="Arial"/>
          <w:color w:val="808080" w:themeColor="background1" w:themeShade="80"/>
          <w:sz w:val="22"/>
          <w:szCs w:val="22"/>
          <w:lang w:val="en-GB"/>
        </w:rPr>
        <w:t xml:space="preserve"> (for example, balance sheet insolvent or cash-flow insolvent)</w:t>
      </w:r>
      <w:r w:rsidR="00207B5B">
        <w:rPr>
          <w:rFonts w:ascii="Avenir Next" w:hAnsi="Avenir Next" w:cs="Arial"/>
          <w:color w:val="808080" w:themeColor="background1" w:themeShade="80"/>
          <w:sz w:val="22"/>
          <w:szCs w:val="22"/>
          <w:lang w:val="en-GB"/>
        </w:rPr>
        <w:t>, whereas bankruptcy refers to the</w:t>
      </w:r>
      <w:r w:rsidR="0024564A">
        <w:rPr>
          <w:rFonts w:ascii="Avenir Next" w:hAnsi="Avenir Next" w:cs="Arial"/>
          <w:color w:val="808080" w:themeColor="background1" w:themeShade="80"/>
          <w:sz w:val="22"/>
          <w:szCs w:val="22"/>
          <w:lang w:val="en-GB"/>
        </w:rPr>
        <w:t xml:space="preserve"> </w:t>
      </w:r>
      <w:r w:rsidR="0024564A">
        <w:rPr>
          <w:rFonts w:ascii="Avenir Next" w:hAnsi="Avenir Next" w:cs="Arial"/>
          <w:color w:val="808080" w:themeColor="background1" w:themeShade="80"/>
          <w:sz w:val="22"/>
          <w:szCs w:val="22"/>
          <w:lang w:val="en-GB"/>
        </w:rPr>
        <w:t>applicable</w:t>
      </w:r>
      <w:r w:rsidR="00207B5B">
        <w:rPr>
          <w:rFonts w:ascii="Avenir Next" w:hAnsi="Avenir Next" w:cs="Arial"/>
          <w:color w:val="808080" w:themeColor="background1" w:themeShade="80"/>
          <w:sz w:val="22"/>
          <w:szCs w:val="22"/>
          <w:lang w:val="en-GB"/>
        </w:rPr>
        <w:t xml:space="preserve"> legal proceedings. </w:t>
      </w:r>
      <w:r w:rsidR="0024564A">
        <w:rPr>
          <w:rFonts w:ascii="Avenir Next" w:hAnsi="Avenir Next" w:cs="Arial"/>
          <w:color w:val="808080" w:themeColor="background1" w:themeShade="80"/>
          <w:sz w:val="22"/>
          <w:szCs w:val="22"/>
          <w:lang w:val="en-GB"/>
        </w:rPr>
        <w:t xml:space="preserve">As for essential characteristics, Wood identifies shared principles: (1) individual actions against the debtor are subject to a moratorium; (2) there is at least some degree of asset pooling for distribution, subject to exceptions; and (3) distribution is generally on a </w:t>
      </w:r>
      <w:r w:rsidR="0024564A" w:rsidRPr="0024564A">
        <w:rPr>
          <w:rFonts w:ascii="Avenir Next" w:hAnsi="Avenir Next" w:cs="Arial"/>
          <w:i/>
          <w:iCs/>
          <w:color w:val="808080" w:themeColor="background1" w:themeShade="80"/>
          <w:sz w:val="22"/>
          <w:szCs w:val="22"/>
          <w:lang w:val="en-GB"/>
        </w:rPr>
        <w:t>pari passu</w:t>
      </w:r>
      <w:r w:rsidR="0024564A">
        <w:rPr>
          <w:rFonts w:ascii="Avenir Next" w:hAnsi="Avenir Next" w:cs="Arial"/>
          <w:color w:val="808080" w:themeColor="background1" w:themeShade="80"/>
          <w:sz w:val="22"/>
          <w:szCs w:val="22"/>
          <w:lang w:val="en-GB"/>
        </w:rPr>
        <w:t xml:space="preserve"> basis, again subject to exceptions. For my part, I can add that another essential characteristic is that insolvency and bankruptcy are generally matters which the state has some interest in and oversight over.</w:t>
      </w:r>
      <w:r w:rsidR="00627093">
        <w:rPr>
          <w:rFonts w:ascii="Avenir Next" w:hAnsi="Avenir Next" w:cs="Arial"/>
          <w:color w:val="808080" w:themeColor="background1" w:themeShade="80"/>
          <w:sz w:val="22"/>
          <w:szCs w:val="22"/>
          <w:lang w:val="en-GB"/>
        </w:rPr>
        <w:t xml:space="preserve"> This might be through the judicial or quasi-judicial process, or at least through some formal administrative body.</w:t>
      </w:r>
      <w:r w:rsidR="0024564A">
        <w:rPr>
          <w:rFonts w:ascii="Avenir Next" w:hAnsi="Avenir Next" w:cs="Arial"/>
          <w:color w:val="808080" w:themeColor="background1" w:themeShade="80"/>
          <w:sz w:val="22"/>
          <w:szCs w:val="22"/>
          <w:lang w:val="en-GB"/>
        </w:rPr>
        <w:t xml:space="preserve"> Sealy and Hooley identify distinguishing features between insolvency for corporations and bankruptcy for individuals, in terms of the objectives of each regime. Whilst insolvency seeks to preserve the business to the extent possible</w:t>
      </w:r>
      <w:r w:rsidR="00627093">
        <w:rPr>
          <w:rFonts w:ascii="Avenir Next" w:hAnsi="Avenir Next" w:cs="Arial"/>
          <w:color w:val="808080" w:themeColor="background1" w:themeShade="80"/>
          <w:sz w:val="22"/>
          <w:szCs w:val="22"/>
          <w:lang w:val="en-GB"/>
        </w:rPr>
        <w:t xml:space="preserve"> and might seek to attach personal liability if the corporate form/separation of legal personality has been abused, bankruptcy for individuals is more rehabilitative and seeks to find a fair way to deal with the debtor’s liabilities while ensuring that they may still contribute productively to society. Very broadly speaking, it is likely to be easier to cause a company to enter into insolvency than to cause a person to become a bankrupt, because the very purpose of the corporate form is to undertake liability. </w:t>
      </w:r>
      <w:r w:rsidR="00A91D1E">
        <w:rPr>
          <w:rFonts w:ascii="Avenir Next" w:hAnsi="Avenir Next" w:cs="Arial"/>
          <w:color w:val="808080" w:themeColor="background1" w:themeShade="80"/>
          <w:sz w:val="22"/>
          <w:szCs w:val="22"/>
          <w:lang w:val="en-GB"/>
        </w:rPr>
        <w:t>Another practical difference is likely to be the availability of rescue mechanisms. While a corporation may be temporarily managed by insolvency practitioners to try to find a viable solution, while a bankrupt cannot.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0D79CD4E" w:rsidR="00DA42DA" w:rsidRPr="00DA42DA" w:rsidRDefault="004E7F7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Global consensus is impossible due to differences in values</w:t>
      </w:r>
      <w:r w:rsidR="007E41AA">
        <w:rPr>
          <w:rFonts w:ascii="Avenir Next" w:hAnsi="Avenir Next" w:cs="Arial"/>
          <w:color w:val="808080" w:themeColor="background1" w:themeShade="80"/>
          <w:sz w:val="22"/>
          <w:szCs w:val="22"/>
          <w:lang w:val="en-GB"/>
        </w:rPr>
        <w:t>, culture,</w:t>
      </w:r>
      <w:r>
        <w:rPr>
          <w:rFonts w:ascii="Avenir Next" w:hAnsi="Avenir Next" w:cs="Arial"/>
          <w:color w:val="808080" w:themeColor="background1" w:themeShade="80"/>
          <w:sz w:val="22"/>
          <w:szCs w:val="22"/>
          <w:lang w:val="en-GB"/>
        </w:rPr>
        <w:t xml:space="preserve"> and </w:t>
      </w:r>
      <w:r w:rsidR="002441CD">
        <w:rPr>
          <w:rFonts w:ascii="Avenir Next" w:hAnsi="Avenir Next" w:cs="Arial"/>
          <w:color w:val="808080" w:themeColor="background1" w:themeShade="80"/>
          <w:sz w:val="22"/>
          <w:szCs w:val="22"/>
          <w:lang w:val="en-GB"/>
        </w:rPr>
        <w:t xml:space="preserve">political </w:t>
      </w:r>
      <w:r>
        <w:rPr>
          <w:rFonts w:ascii="Avenir Next" w:hAnsi="Avenir Next" w:cs="Arial"/>
          <w:color w:val="808080" w:themeColor="background1" w:themeShade="80"/>
          <w:sz w:val="22"/>
          <w:szCs w:val="22"/>
          <w:lang w:val="en-GB"/>
        </w:rPr>
        <w:t xml:space="preserve">outlook. </w:t>
      </w:r>
      <w:r w:rsidR="00114287">
        <w:rPr>
          <w:rFonts w:ascii="Avenir Next" w:hAnsi="Avenir Next" w:cs="Arial"/>
          <w:color w:val="808080" w:themeColor="background1" w:themeShade="80"/>
          <w:sz w:val="22"/>
          <w:szCs w:val="22"/>
          <w:lang w:val="en-GB"/>
        </w:rPr>
        <w:t xml:space="preserve">There is no universal legal authority or enforcement body to facilitate a single global cross-border insolvency dispensation. </w:t>
      </w:r>
      <w:r>
        <w:rPr>
          <w:rFonts w:ascii="Avenir Next" w:hAnsi="Avenir Next" w:cs="Arial"/>
          <w:color w:val="808080" w:themeColor="background1" w:themeShade="80"/>
          <w:sz w:val="22"/>
          <w:szCs w:val="22"/>
          <w:lang w:val="en-GB"/>
        </w:rPr>
        <w:t>Different states may have different public policy approaches towards insolvency; some might be pro-debtor while others might be pro-creditor. Different states might prioritise different groups of people, such as employee-creditors, over other types of creditors.</w:t>
      </w:r>
      <w:r w:rsidR="00F11D63">
        <w:rPr>
          <w:rFonts w:ascii="Avenir Next" w:hAnsi="Avenir Next" w:cs="Arial"/>
          <w:color w:val="808080" w:themeColor="background1" w:themeShade="80"/>
          <w:sz w:val="22"/>
          <w:szCs w:val="22"/>
          <w:lang w:val="en-GB"/>
        </w:rPr>
        <w:t xml:space="preserve"> Different states may also be underpinned by fundamentally different legal traditions, for example, the common law concept of a trust, which can ringfence property from insolvency</w:t>
      </w:r>
      <w:r w:rsidR="002F3F5D">
        <w:rPr>
          <w:rFonts w:ascii="Avenir Next" w:hAnsi="Avenir Next" w:cs="Arial"/>
          <w:color w:val="808080" w:themeColor="background1" w:themeShade="80"/>
          <w:sz w:val="22"/>
          <w:szCs w:val="22"/>
          <w:lang w:val="en-GB"/>
        </w:rPr>
        <w:t>, or the concept of a floating charge, might not exist in other jurisdictions</w:t>
      </w:r>
      <w:r w:rsidR="00F11D63">
        <w:rPr>
          <w:rFonts w:ascii="Avenir Next" w:hAnsi="Avenir Next" w:cs="Arial"/>
          <w:color w:val="808080" w:themeColor="background1" w:themeShade="80"/>
          <w:sz w:val="22"/>
          <w:szCs w:val="22"/>
          <w:lang w:val="en-GB"/>
        </w:rPr>
        <w:t>.</w:t>
      </w:r>
      <w:r w:rsidR="00215527">
        <w:rPr>
          <w:rFonts w:ascii="Avenir Next" w:hAnsi="Avenir Next" w:cs="Arial"/>
          <w:color w:val="808080" w:themeColor="background1" w:themeShade="80"/>
          <w:sz w:val="22"/>
          <w:szCs w:val="22"/>
          <w:lang w:val="en-GB"/>
        </w:rPr>
        <w:t xml:space="preserve"> Other political differences between different state may also come in the way of judicial cooperation and recognition.</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6AA2443" w:rsidR="006A44B2" w:rsidRPr="00DA42DA" w:rsidRDefault="00245C5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in the international insolvency context essentially refers to binding treaties and conventions between different states. Such treaties and conventions become hard law when ratified and taken into the domestic law of the state (be it by monism or dualism).</w:t>
      </w:r>
      <w:r w:rsidR="00F9565D">
        <w:rPr>
          <w:rFonts w:ascii="Avenir Next" w:hAnsi="Avenir Next" w:cs="Arial"/>
          <w:color w:val="808080" w:themeColor="background1" w:themeShade="80"/>
          <w:sz w:val="22"/>
          <w:szCs w:val="22"/>
          <w:lang w:val="en-GB"/>
        </w:rPr>
        <w:t xml:space="preserve"> Soft law refers to non-binding instruments, typically model laws, promulgated by some institution or by some consensus. Whether or not hard law or soft law can be regarded as successful depends on the metric applied. In the course materials, success is measured by adoption rate or how widespread the instrument has been accepted. In such case, soft law is likely to be more successful as it simply provides some framework or starting point, and countries may decide how precisely they want to adopt the framework. This is </w:t>
      </w:r>
      <w:r w:rsidR="00F9565D">
        <w:rPr>
          <w:rFonts w:ascii="Avenir Next" w:hAnsi="Avenir Next" w:cs="Arial"/>
          <w:color w:val="808080" w:themeColor="background1" w:themeShade="80"/>
          <w:sz w:val="22"/>
          <w:szCs w:val="22"/>
          <w:lang w:val="en-GB"/>
        </w:rPr>
        <w:lastRenderedPageBreak/>
        <w:t>more comfortable from a sovereignty perspective. For example, the UNCITRAL Model Law on Cross-border Insolvency has been widely adopted, and the Asian Principles of Business Restructuring covers a promising number of jurisdictions. However, if success is measured by uniformity of implementation and functionality as a cross-border mechanism, hard law solutions are more successful</w:t>
      </w:r>
      <w:r w:rsidR="00EF5A73">
        <w:rPr>
          <w:rFonts w:ascii="Avenir Next" w:hAnsi="Avenir Next" w:cs="Arial"/>
          <w:color w:val="808080" w:themeColor="background1" w:themeShade="80"/>
          <w:sz w:val="22"/>
          <w:szCs w:val="22"/>
          <w:lang w:val="en-GB"/>
        </w:rPr>
        <w:t xml:space="preserve"> but limited in scope</w:t>
      </w:r>
      <w:r w:rsidR="00F9565D">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37FDDE79" w:rsidR="002253D8" w:rsidRPr="002253D8" w:rsidRDefault="00C4531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legislation is the </w:t>
      </w:r>
      <w:r w:rsidRPr="00C45314">
        <w:rPr>
          <w:rFonts w:ascii="Avenir Next" w:hAnsi="Avenir Next" w:cs="Arial"/>
          <w:color w:val="808080" w:themeColor="background1" w:themeShade="80"/>
          <w:sz w:val="22"/>
          <w:szCs w:val="22"/>
          <w:lang w:val="en-GB"/>
        </w:rPr>
        <w:t>Model Law in the Cross-Border Insolvency Regulations 2006</w:t>
      </w:r>
      <w:r>
        <w:rPr>
          <w:rFonts w:ascii="Avenir Next" w:hAnsi="Avenir Next" w:cs="Arial"/>
          <w:color w:val="808080" w:themeColor="background1" w:themeShade="80"/>
          <w:sz w:val="22"/>
          <w:szCs w:val="22"/>
          <w:lang w:val="en-GB"/>
        </w:rPr>
        <w:t>.</w:t>
      </w:r>
      <w:r w:rsidR="009C5F27">
        <w:rPr>
          <w:rFonts w:ascii="Avenir Next" w:hAnsi="Avenir Next" w:cs="Arial"/>
          <w:color w:val="808080" w:themeColor="background1" w:themeShade="80"/>
          <w:sz w:val="22"/>
          <w:szCs w:val="22"/>
          <w:lang w:val="en-GB"/>
        </w:rPr>
        <w:t xml:space="preserve"> The common law is of course relevant to interpretation and application.</w:t>
      </w:r>
      <w:r>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 xml:space="preserve">UK Insolvency Act 1986 </w:t>
      </w:r>
      <w:r>
        <w:rPr>
          <w:rFonts w:ascii="Avenir Next" w:hAnsi="Avenir Next" w:cs="Arial"/>
          <w:color w:val="808080" w:themeColor="background1" w:themeShade="80"/>
          <w:sz w:val="22"/>
          <w:szCs w:val="22"/>
          <w:lang w:val="en-GB"/>
        </w:rPr>
        <w:t>is less relevant as the USA is not a country recognised under s 426 of that act.</w:t>
      </w:r>
      <w:r w:rsidR="00006324">
        <w:rPr>
          <w:rFonts w:ascii="Avenir Next" w:hAnsi="Avenir Next" w:cs="Arial"/>
          <w:color w:val="808080" w:themeColor="background1" w:themeShade="80"/>
          <w:sz w:val="22"/>
          <w:szCs w:val="22"/>
          <w:lang w:val="en-GB"/>
        </w:rPr>
        <w:t xml:space="preserve"> Even though the EIR will still be applicable as this situation is pre-Brexit, the EIR is not relevant to the American insolvency.</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4F2F79A6" w:rsidR="002253D8" w:rsidRPr="00DA42DA" w:rsidRDefault="009C5F27"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EU Insolvency Regulation is applicable as between Italy and Germany. As the COMI is located in Italy, the Italian courts are the place where the main proceeding should be opened. Subsidiary proceedings may be opened in Germany, as Norton Cars has an establishment in Germany.</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0B52341" w:rsidR="002253D8" w:rsidRPr="002253D8" w:rsidRDefault="009C5F27"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Though it is possible that they might </w:t>
      </w:r>
      <w:r w:rsidRPr="009C5F27">
        <w:rPr>
          <w:rFonts w:ascii="Avenir Next" w:hAnsi="Avenir Next" w:cs="Arial"/>
          <w:i/>
          <w:iCs/>
          <w:color w:val="808080" w:themeColor="background1" w:themeShade="80"/>
          <w:sz w:val="22"/>
          <w:szCs w:val="22"/>
          <w:lang w:val="en-GB"/>
        </w:rPr>
        <w:t>consider</w:t>
      </w:r>
      <w:r>
        <w:rPr>
          <w:rFonts w:ascii="Avenir Next" w:hAnsi="Avenir Next" w:cs="Arial"/>
          <w:color w:val="808080" w:themeColor="background1" w:themeShade="80"/>
          <w:sz w:val="22"/>
          <w:szCs w:val="22"/>
          <w:lang w:val="en-GB"/>
        </w:rPr>
        <w:t xml:space="preserve"> (not apply) the EIR for their domestic law.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492811C" w:rsidR="002253D8" w:rsidRPr="00DA42DA" w:rsidRDefault="002F3F5D"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and Dutch law will apply to the real rights of security. If the property itself is situated in the Netherlands, it is governed by Dutch law per Art 5 of the EIR.</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1BA25B2D" w:rsidR="002253D8" w:rsidRPr="00DA42DA" w:rsidRDefault="002F3F5D"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Australian law will apply.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7A95" w14:textId="77777777" w:rsidR="00053DE7" w:rsidRDefault="00053DE7" w:rsidP="00241B44">
      <w:r>
        <w:separator/>
      </w:r>
    </w:p>
  </w:endnote>
  <w:endnote w:type="continuationSeparator" w:id="0">
    <w:p w14:paraId="6CF5D523" w14:textId="77777777" w:rsidR="00053DE7" w:rsidRDefault="00053D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0166542" w:rsidR="00B64A85" w:rsidRPr="00297BDF" w:rsidRDefault="003602C9" w:rsidP="0052732A">
    <w:pPr>
      <w:pStyle w:val="Footer"/>
      <w:ind w:right="360"/>
      <w:rPr>
        <w:rFonts w:ascii="Avenir Next" w:hAnsi="Avenir Next" w:cs="Arial"/>
        <w:sz w:val="22"/>
        <w:szCs w:val="22"/>
      </w:rPr>
    </w:pPr>
    <w:r w:rsidRPr="003602C9">
      <w:rPr>
        <w:rFonts w:ascii="Avenir Next" w:hAnsi="Avenir Next" w:cs="Arial"/>
        <w:sz w:val="22"/>
        <w:szCs w:val="22"/>
      </w:rPr>
      <w:t>202324-1376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0B39" w14:textId="77777777" w:rsidR="00053DE7" w:rsidRDefault="00053DE7" w:rsidP="00241B44">
      <w:r>
        <w:separator/>
      </w:r>
    </w:p>
  </w:footnote>
  <w:footnote w:type="continuationSeparator" w:id="0">
    <w:p w14:paraId="61B6443C" w14:textId="77777777" w:rsidR="00053DE7" w:rsidRDefault="00053D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324"/>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3DE7"/>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287"/>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085F"/>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07B5B"/>
    <w:rsid w:val="00212B14"/>
    <w:rsid w:val="00215527"/>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41CD"/>
    <w:rsid w:val="0024564A"/>
    <w:rsid w:val="00245C59"/>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3F5D"/>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6E7"/>
    <w:rsid w:val="00336CA6"/>
    <w:rsid w:val="0033768C"/>
    <w:rsid w:val="00337938"/>
    <w:rsid w:val="00340769"/>
    <w:rsid w:val="00341A65"/>
    <w:rsid w:val="00341AA6"/>
    <w:rsid w:val="00342E57"/>
    <w:rsid w:val="003500E5"/>
    <w:rsid w:val="00355B57"/>
    <w:rsid w:val="003602C9"/>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4C3A"/>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25A8"/>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B7BA5"/>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746C"/>
    <w:rsid w:val="004E7F77"/>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814"/>
    <w:rsid w:val="00543941"/>
    <w:rsid w:val="00544127"/>
    <w:rsid w:val="00544CBB"/>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D78E5"/>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093"/>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288"/>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5202"/>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1AA"/>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1FE2"/>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095"/>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3C64"/>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5F27"/>
    <w:rsid w:val="009C687D"/>
    <w:rsid w:val="009C7F17"/>
    <w:rsid w:val="009D0790"/>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1D1E"/>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692C"/>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10D"/>
    <w:rsid w:val="00C3453F"/>
    <w:rsid w:val="00C34A50"/>
    <w:rsid w:val="00C35026"/>
    <w:rsid w:val="00C35671"/>
    <w:rsid w:val="00C35B77"/>
    <w:rsid w:val="00C376EB"/>
    <w:rsid w:val="00C4187E"/>
    <w:rsid w:val="00C444EC"/>
    <w:rsid w:val="00C44FFC"/>
    <w:rsid w:val="00C45314"/>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5A73"/>
    <w:rsid w:val="00EF6653"/>
    <w:rsid w:val="00F033DA"/>
    <w:rsid w:val="00F0424E"/>
    <w:rsid w:val="00F106CE"/>
    <w:rsid w:val="00F1096A"/>
    <w:rsid w:val="00F11D63"/>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65D"/>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Ng</cp:lastModifiedBy>
  <cp:revision>29</cp:revision>
  <cp:lastPrinted>2020-06-12T02:43:00Z</cp:lastPrinted>
  <dcterms:created xsi:type="dcterms:W3CDTF">2023-11-14T07:21:00Z</dcterms:created>
  <dcterms:modified xsi:type="dcterms:W3CDTF">2023-11-14T12:53:00Z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