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483104" w:rsidRDefault="00806382" w:rsidP="00806382">
      <w:pPr>
        <w:pStyle w:val="ListParagraph"/>
        <w:numPr>
          <w:ilvl w:val="0"/>
          <w:numId w:val="15"/>
        </w:numPr>
        <w:ind w:left="425" w:hanging="357"/>
        <w:jc w:val="both"/>
        <w:rPr>
          <w:rFonts w:ascii="Avenir Next" w:hAnsi="Avenir Next" w:cs="Arial"/>
          <w:sz w:val="22"/>
          <w:szCs w:val="22"/>
          <w:highlight w:val="yellow"/>
        </w:rPr>
      </w:pPr>
      <w:r w:rsidRPr="00483104">
        <w:rPr>
          <w:rFonts w:ascii="Avenir Next" w:hAnsi="Avenir Next" w:cs="Arial"/>
          <w:sz w:val="22"/>
          <w:szCs w:val="22"/>
          <w:highlight w:val="yellow"/>
        </w:rPr>
        <w:t xml:space="preserve">This statement is untrue since the word </w:t>
      </w:r>
      <w:r w:rsidR="00823AB4" w:rsidRPr="00483104">
        <w:rPr>
          <w:rFonts w:ascii="Avenir Next" w:hAnsi="Avenir Next" w:cs="Arial"/>
          <w:sz w:val="22"/>
          <w:szCs w:val="22"/>
          <w:highlight w:val="yellow"/>
        </w:rPr>
        <w:t>“</w:t>
      </w:r>
      <w:r w:rsidRPr="00483104">
        <w:rPr>
          <w:rFonts w:ascii="Avenir Next" w:hAnsi="Avenir Next" w:cs="Arial"/>
          <w:sz w:val="22"/>
          <w:szCs w:val="22"/>
          <w:highlight w:val="yellow"/>
        </w:rPr>
        <w:t>bankruptcy</w:t>
      </w:r>
      <w:r w:rsidR="00823AB4" w:rsidRPr="00483104">
        <w:rPr>
          <w:rFonts w:ascii="Avenir Next" w:hAnsi="Avenir Next" w:cs="Arial"/>
          <w:sz w:val="22"/>
          <w:szCs w:val="22"/>
          <w:highlight w:val="yellow"/>
        </w:rPr>
        <w:t>”</w:t>
      </w:r>
      <w:r w:rsidRPr="00483104">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ED6829" w:rsidRDefault="001211E6" w:rsidP="001211E6">
      <w:pPr>
        <w:pStyle w:val="ListParagraph"/>
        <w:numPr>
          <w:ilvl w:val="0"/>
          <w:numId w:val="16"/>
        </w:numPr>
        <w:ind w:left="426"/>
        <w:jc w:val="both"/>
        <w:rPr>
          <w:rFonts w:ascii="Avenir Next" w:hAnsi="Avenir Next" w:cs="Arial"/>
          <w:sz w:val="22"/>
          <w:szCs w:val="22"/>
          <w:highlight w:val="yellow"/>
        </w:rPr>
      </w:pPr>
      <w:r w:rsidRPr="00ED6829">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B638E8"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B638E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3A359B"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3A359B">
        <w:rPr>
          <w:rFonts w:ascii="Avenir Next" w:hAnsi="Avenir Next" w:cs="Arial"/>
          <w:sz w:val="22"/>
          <w:szCs w:val="22"/>
          <w:highlight w:val="yellow"/>
          <w:lang w:val="en-GB"/>
        </w:rPr>
        <w:t xml:space="preserve">This statement is incorrect since a statutory discharge of debt was only introduced in 1705 in England.    </w:t>
      </w:r>
      <w:r w:rsidRPr="003A359B">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4F798C" w:rsidRDefault="006514CD" w:rsidP="006514CD">
      <w:pPr>
        <w:pStyle w:val="ListParagraph"/>
        <w:numPr>
          <w:ilvl w:val="0"/>
          <w:numId w:val="19"/>
        </w:numPr>
        <w:ind w:left="425" w:hanging="357"/>
        <w:jc w:val="both"/>
        <w:rPr>
          <w:rFonts w:ascii="Avenir Next" w:hAnsi="Avenir Next" w:cs="Arial"/>
          <w:sz w:val="22"/>
          <w:szCs w:val="22"/>
          <w:highlight w:val="yellow"/>
        </w:rPr>
      </w:pPr>
      <w:r w:rsidRPr="004F798C">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A65846"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A65846">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BB1DF3"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BB1DF3">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534C4" w:rsidRDefault="00AD76EF" w:rsidP="00AD76EF">
      <w:pPr>
        <w:pStyle w:val="ListParagraph"/>
        <w:numPr>
          <w:ilvl w:val="0"/>
          <w:numId w:val="17"/>
        </w:numPr>
        <w:ind w:left="426"/>
        <w:jc w:val="both"/>
        <w:rPr>
          <w:rFonts w:ascii="Avenir Next" w:hAnsi="Avenir Next" w:cs="Arial"/>
          <w:sz w:val="22"/>
          <w:szCs w:val="22"/>
          <w:highlight w:val="yellow"/>
        </w:rPr>
      </w:pPr>
      <w:r w:rsidRPr="00F534C4">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9D1E51"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9D1E51">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9D1E51" w:rsidRDefault="009661DE" w:rsidP="009661DE">
      <w:pPr>
        <w:pStyle w:val="ListParagraph"/>
        <w:numPr>
          <w:ilvl w:val="0"/>
          <w:numId w:val="23"/>
        </w:numPr>
        <w:ind w:left="426"/>
        <w:jc w:val="both"/>
        <w:rPr>
          <w:rFonts w:ascii="Avenir Next" w:hAnsi="Avenir Next" w:cs="Arial"/>
          <w:sz w:val="22"/>
          <w:szCs w:val="22"/>
          <w:highlight w:val="yellow"/>
        </w:rPr>
      </w:pPr>
      <w:r w:rsidRPr="009D1E51">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F3B82" w:rsidRDefault="003B3A0D" w:rsidP="003B3A0D">
      <w:pPr>
        <w:pStyle w:val="ListParagraph"/>
        <w:numPr>
          <w:ilvl w:val="0"/>
          <w:numId w:val="24"/>
        </w:numPr>
        <w:ind w:left="426"/>
        <w:jc w:val="both"/>
        <w:rPr>
          <w:rFonts w:ascii="Avenir Next" w:hAnsi="Avenir Next" w:cs="Arial"/>
          <w:sz w:val="22"/>
          <w:szCs w:val="22"/>
          <w:highlight w:val="yellow"/>
        </w:rPr>
      </w:pPr>
      <w:r w:rsidRPr="00AF3B82">
        <w:rPr>
          <w:rFonts w:ascii="Avenir Next" w:hAnsi="Avenir Next" w:cs="Arial"/>
          <w:sz w:val="22"/>
          <w:szCs w:val="22"/>
          <w:highlight w:val="yellow"/>
        </w:rPr>
        <w:t xml:space="preserve">This statement is true because </w:t>
      </w:r>
      <w:proofErr w:type="spellStart"/>
      <w:r w:rsidRPr="00AF3B82">
        <w:rPr>
          <w:rFonts w:ascii="Avenir Next" w:hAnsi="Avenir Next" w:cs="Arial"/>
          <w:sz w:val="22"/>
          <w:szCs w:val="22"/>
          <w:highlight w:val="yellow"/>
        </w:rPr>
        <w:t>globali</w:t>
      </w:r>
      <w:r w:rsidR="00142E15" w:rsidRPr="00AF3B82">
        <w:rPr>
          <w:rFonts w:ascii="Avenir Next" w:hAnsi="Avenir Next" w:cs="Arial"/>
          <w:sz w:val="22"/>
          <w:szCs w:val="22"/>
          <w:highlight w:val="yellow"/>
        </w:rPr>
        <w:t>s</w:t>
      </w:r>
      <w:r w:rsidRPr="00AF3B82">
        <w:rPr>
          <w:rFonts w:ascii="Avenir Next" w:hAnsi="Avenir Next" w:cs="Arial"/>
          <w:sz w:val="22"/>
          <w:szCs w:val="22"/>
          <w:highlight w:val="yellow"/>
        </w:rPr>
        <w:t>ation</w:t>
      </w:r>
      <w:proofErr w:type="spellEnd"/>
      <w:r w:rsidRPr="00AF3B82">
        <w:rPr>
          <w:rFonts w:ascii="Avenir Next" w:hAnsi="Avenir Next" w:cs="Arial"/>
          <w:sz w:val="22"/>
          <w:szCs w:val="22"/>
          <w:highlight w:val="yellow"/>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6CBEF1B5" w14:textId="2BD144FB" w:rsidR="00BC7C6C" w:rsidRDefault="006E437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whose insolvency law systems have historical roots in </w:t>
      </w:r>
      <w:r w:rsidR="00F63E51">
        <w:rPr>
          <w:rFonts w:ascii="Avenir Next" w:hAnsi="Avenir Next" w:cs="Arial"/>
          <w:color w:val="808080" w:themeColor="background1" w:themeShade="80"/>
          <w:sz w:val="22"/>
          <w:szCs w:val="22"/>
          <w:lang w:val="en-GB"/>
        </w:rPr>
        <w:t>English law include England, America and Australia</w:t>
      </w:r>
      <w:r w:rsidR="00EE7877">
        <w:rPr>
          <w:rFonts w:ascii="Avenir Next" w:hAnsi="Avenir Next" w:cs="Arial"/>
          <w:color w:val="808080" w:themeColor="background1" w:themeShade="80"/>
          <w:sz w:val="22"/>
          <w:szCs w:val="22"/>
          <w:lang w:val="en-GB"/>
        </w:rPr>
        <w:t>, India</w:t>
      </w:r>
      <w:r w:rsidR="00B449BE">
        <w:rPr>
          <w:rFonts w:ascii="Avenir Next" w:hAnsi="Avenir Next" w:cs="Arial"/>
          <w:color w:val="808080" w:themeColor="background1" w:themeShade="80"/>
          <w:sz w:val="22"/>
          <w:szCs w:val="22"/>
          <w:lang w:val="en-GB"/>
        </w:rPr>
        <w:t>, and</w:t>
      </w:r>
      <w:r w:rsidR="00EE7877">
        <w:rPr>
          <w:rFonts w:ascii="Avenir Next" w:hAnsi="Avenir Next" w:cs="Arial"/>
          <w:color w:val="808080" w:themeColor="background1" w:themeShade="80"/>
          <w:sz w:val="22"/>
          <w:szCs w:val="22"/>
          <w:lang w:val="en-GB"/>
        </w:rPr>
        <w:t xml:space="preserve"> parts of Africa</w:t>
      </w:r>
      <w:r w:rsidR="00F63E51">
        <w:rPr>
          <w:rFonts w:ascii="Avenir Next" w:hAnsi="Avenir Next" w:cs="Arial"/>
          <w:color w:val="808080" w:themeColor="background1" w:themeShade="80"/>
          <w:sz w:val="22"/>
          <w:szCs w:val="22"/>
          <w:lang w:val="en-GB"/>
        </w:rPr>
        <w:t xml:space="preserve">. </w:t>
      </w:r>
      <w:r w:rsidR="00165519">
        <w:rPr>
          <w:rFonts w:ascii="Avenir Next" w:hAnsi="Avenir Next" w:cs="Arial"/>
          <w:color w:val="808080" w:themeColor="background1" w:themeShade="80"/>
          <w:sz w:val="22"/>
          <w:szCs w:val="22"/>
          <w:lang w:val="en-GB"/>
        </w:rPr>
        <w:t xml:space="preserve">In the past, English law did not provide for imprisonment for unpaid debts until the thirteenth century, with </w:t>
      </w:r>
      <w:r w:rsidR="00096303">
        <w:rPr>
          <w:rFonts w:ascii="Avenir Next" w:hAnsi="Avenir Next" w:cs="Arial"/>
          <w:color w:val="808080" w:themeColor="background1" w:themeShade="80"/>
          <w:sz w:val="22"/>
          <w:szCs w:val="22"/>
          <w:lang w:val="en-GB"/>
        </w:rPr>
        <w:t xml:space="preserve">the imprisonment of debtors being abolished in 1869. </w:t>
      </w:r>
      <w:r w:rsidR="00ED20A1">
        <w:rPr>
          <w:rFonts w:ascii="Avenir Next" w:hAnsi="Avenir Next" w:cs="Arial"/>
          <w:color w:val="808080" w:themeColor="background1" w:themeShade="80"/>
          <w:sz w:val="22"/>
          <w:szCs w:val="22"/>
          <w:lang w:val="en-GB"/>
        </w:rPr>
        <w:t xml:space="preserve">As for bankruptcy laws, these started in 1542 (the first English Bankruptcy Act of 1542) to </w:t>
      </w:r>
      <w:r w:rsidR="00C46603">
        <w:rPr>
          <w:rFonts w:ascii="Avenir Next" w:hAnsi="Avenir Next" w:cs="Arial"/>
          <w:color w:val="808080" w:themeColor="background1" w:themeShade="80"/>
          <w:sz w:val="22"/>
          <w:szCs w:val="22"/>
          <w:lang w:val="en-GB"/>
        </w:rPr>
        <w:t xml:space="preserve">provide for the taking of possession of assets </w:t>
      </w:r>
      <w:r w:rsidR="00D920D1">
        <w:rPr>
          <w:rFonts w:ascii="Avenir Next" w:hAnsi="Avenir Next" w:cs="Arial"/>
          <w:color w:val="808080" w:themeColor="background1" w:themeShade="80"/>
          <w:sz w:val="22"/>
          <w:szCs w:val="22"/>
          <w:lang w:val="en-GB"/>
        </w:rPr>
        <w:t>from dishonest and absconding debtors. The 1542 Act further provided fo</w:t>
      </w:r>
      <w:r w:rsidR="00F943D2">
        <w:rPr>
          <w:rFonts w:ascii="Avenir Next" w:hAnsi="Avenir Next" w:cs="Arial"/>
          <w:color w:val="808080" w:themeColor="background1" w:themeShade="80"/>
          <w:sz w:val="22"/>
          <w:szCs w:val="22"/>
          <w:lang w:val="en-GB"/>
        </w:rPr>
        <w:t xml:space="preserve">r creditors to apply for commissioners, who could proceed against a trading debtor. </w:t>
      </w:r>
      <w:r w:rsidR="00DF689C">
        <w:rPr>
          <w:rFonts w:ascii="Avenir Next" w:hAnsi="Avenir Next" w:cs="Arial"/>
          <w:color w:val="808080" w:themeColor="background1" w:themeShade="80"/>
          <w:sz w:val="22"/>
          <w:szCs w:val="22"/>
          <w:lang w:val="en-GB"/>
        </w:rPr>
        <w:t xml:space="preserve">This enabled the compulsory administration and distribution </w:t>
      </w:r>
      <w:r w:rsidR="00EC57F1">
        <w:rPr>
          <w:rFonts w:ascii="Avenir Next" w:hAnsi="Avenir Next" w:cs="Arial"/>
          <w:color w:val="808080" w:themeColor="background1" w:themeShade="80"/>
          <w:sz w:val="22"/>
          <w:szCs w:val="22"/>
          <w:lang w:val="en-GB"/>
        </w:rPr>
        <w:t>of assets equally amongst the creditors. This formed the foundational principles</w:t>
      </w:r>
      <w:r w:rsidR="008E17F9">
        <w:rPr>
          <w:rFonts w:ascii="Avenir Next" w:hAnsi="Avenir Next" w:cs="Arial"/>
          <w:color w:val="808080" w:themeColor="background1" w:themeShade="80"/>
          <w:sz w:val="22"/>
          <w:szCs w:val="22"/>
          <w:lang w:val="en-GB"/>
        </w:rPr>
        <w:t xml:space="preserve"> of the </w:t>
      </w:r>
      <w:proofErr w:type="spellStart"/>
      <w:r w:rsidR="008E17F9">
        <w:rPr>
          <w:rFonts w:ascii="Avenir Next" w:hAnsi="Avenir Next" w:cs="Arial"/>
          <w:i/>
          <w:iCs/>
          <w:color w:val="808080" w:themeColor="background1" w:themeShade="80"/>
          <w:sz w:val="22"/>
          <w:szCs w:val="22"/>
          <w:lang w:val="en-GB"/>
        </w:rPr>
        <w:t>pari</w:t>
      </w:r>
      <w:proofErr w:type="spellEnd"/>
      <w:r w:rsidR="008E17F9">
        <w:rPr>
          <w:rFonts w:ascii="Avenir Next" w:hAnsi="Avenir Next" w:cs="Arial"/>
          <w:i/>
          <w:iCs/>
          <w:color w:val="808080" w:themeColor="background1" w:themeShade="80"/>
          <w:sz w:val="22"/>
          <w:szCs w:val="22"/>
          <w:lang w:val="en-GB"/>
        </w:rPr>
        <w:t xml:space="preserve"> passu </w:t>
      </w:r>
      <w:r w:rsidR="008E17F9">
        <w:rPr>
          <w:rFonts w:ascii="Avenir Next" w:hAnsi="Avenir Next" w:cs="Arial"/>
          <w:color w:val="808080" w:themeColor="background1" w:themeShade="80"/>
          <w:sz w:val="22"/>
          <w:szCs w:val="22"/>
          <w:lang w:val="en-GB"/>
        </w:rPr>
        <w:t xml:space="preserve">distribution amongst creditors, and collective participation by all creditors. </w:t>
      </w:r>
    </w:p>
    <w:p w14:paraId="18004B5C" w14:textId="7772E528" w:rsidR="008E17F9" w:rsidRDefault="008E17F9" w:rsidP="00692852">
      <w:pPr>
        <w:jc w:val="both"/>
        <w:rPr>
          <w:rFonts w:ascii="Avenir Next" w:hAnsi="Avenir Next" w:cs="Arial"/>
          <w:color w:val="808080" w:themeColor="background1" w:themeShade="80"/>
          <w:sz w:val="22"/>
          <w:szCs w:val="22"/>
          <w:lang w:val="en-GB"/>
        </w:rPr>
      </w:pPr>
    </w:p>
    <w:p w14:paraId="3A159087" w14:textId="35E30B6F" w:rsidR="008E17F9" w:rsidRPr="008E17F9" w:rsidRDefault="00CB5331" w:rsidP="0069285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the development of the civil law systems, </w:t>
      </w:r>
      <w:r w:rsidR="00351E4A">
        <w:rPr>
          <w:rFonts w:ascii="Avenir Next" w:hAnsi="Avenir Next" w:cs="Arial"/>
          <w:color w:val="808080" w:themeColor="background1" w:themeShade="80"/>
          <w:sz w:val="22"/>
          <w:szCs w:val="22"/>
          <w:lang w:val="en-GB"/>
        </w:rPr>
        <w:t xml:space="preserve">these bankruptcy concepts under English law were developed from individual debt-collecting procedures to a collective (bankruptcy) procedure. </w:t>
      </w:r>
    </w:p>
    <w:p w14:paraId="13F53ED3" w14:textId="77777777" w:rsidR="00BC7C6C" w:rsidRDefault="00BC7C6C" w:rsidP="00692852">
      <w:pPr>
        <w:jc w:val="both"/>
        <w:rPr>
          <w:rFonts w:ascii="Avenir Next" w:hAnsi="Avenir Next" w:cs="Arial"/>
          <w:color w:val="808080" w:themeColor="background1" w:themeShade="80"/>
          <w:sz w:val="22"/>
          <w:szCs w:val="22"/>
          <w:lang w:val="en-GB"/>
        </w:rPr>
      </w:pPr>
    </w:p>
    <w:p w14:paraId="304C2FB2" w14:textId="7C1157B0" w:rsidR="00CC7728" w:rsidRDefault="00F63E51"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whose insolvency law systems have historical roots in civil law include the Netherlands, France</w:t>
      </w:r>
      <w:r w:rsidR="00EE7877">
        <w:rPr>
          <w:rFonts w:ascii="Avenir Next" w:hAnsi="Avenir Next" w:cs="Arial"/>
          <w:color w:val="808080" w:themeColor="background1" w:themeShade="80"/>
          <w:sz w:val="22"/>
          <w:szCs w:val="22"/>
          <w:lang w:val="en-GB"/>
        </w:rPr>
        <w:t>, Germany</w:t>
      </w:r>
      <w:r w:rsidR="001706E3">
        <w:rPr>
          <w:rFonts w:ascii="Avenir Next" w:hAnsi="Avenir Next" w:cs="Arial"/>
          <w:color w:val="808080" w:themeColor="background1" w:themeShade="80"/>
          <w:sz w:val="22"/>
          <w:szCs w:val="22"/>
          <w:lang w:val="en-GB"/>
        </w:rPr>
        <w:t xml:space="preserve">, </w:t>
      </w:r>
      <w:r w:rsidR="00EE7877">
        <w:rPr>
          <w:rFonts w:ascii="Avenir Next" w:hAnsi="Avenir Next" w:cs="Arial"/>
          <w:color w:val="808080" w:themeColor="background1" w:themeShade="80"/>
          <w:sz w:val="22"/>
          <w:szCs w:val="22"/>
          <w:lang w:val="en-GB"/>
        </w:rPr>
        <w:t>Spain</w:t>
      </w:r>
      <w:r w:rsidR="001706E3">
        <w:rPr>
          <w:rFonts w:ascii="Avenir Next" w:hAnsi="Avenir Next" w:cs="Arial"/>
          <w:color w:val="808080" w:themeColor="background1" w:themeShade="80"/>
          <w:sz w:val="22"/>
          <w:szCs w:val="22"/>
          <w:lang w:val="en-GB"/>
        </w:rPr>
        <w:t xml:space="preserve">, parts of Africa and </w:t>
      </w:r>
      <w:r w:rsidR="00834DC5">
        <w:rPr>
          <w:rFonts w:ascii="Avenir Next" w:hAnsi="Avenir Next" w:cs="Arial"/>
          <w:color w:val="808080" w:themeColor="background1" w:themeShade="80"/>
          <w:sz w:val="22"/>
          <w:szCs w:val="22"/>
          <w:lang w:val="en-GB"/>
        </w:rPr>
        <w:t>much of Latin America</w:t>
      </w:r>
      <w:r w:rsidR="00EE7877">
        <w:rPr>
          <w:rFonts w:ascii="Avenir Next" w:hAnsi="Avenir Next" w:cs="Arial"/>
          <w:color w:val="808080" w:themeColor="background1" w:themeShade="80"/>
          <w:sz w:val="22"/>
          <w:szCs w:val="22"/>
          <w:lang w:val="en-GB"/>
        </w:rPr>
        <w:t xml:space="preserve">. </w:t>
      </w:r>
      <w:r w:rsidR="00482C83">
        <w:rPr>
          <w:rFonts w:ascii="Avenir Next" w:hAnsi="Avenir Next" w:cs="Arial"/>
          <w:color w:val="808080" w:themeColor="background1" w:themeShade="80"/>
          <w:sz w:val="22"/>
          <w:szCs w:val="22"/>
          <w:lang w:val="en-GB"/>
        </w:rPr>
        <w:t xml:space="preserve">The roots of the civil law system can be traced back to Roman law and the third table of the Twelve Tables which dealt with the execution of judgments. </w:t>
      </w:r>
      <w:r w:rsidR="005C4332">
        <w:rPr>
          <w:rFonts w:ascii="Avenir Next" w:hAnsi="Avenir Next" w:cs="Arial"/>
          <w:color w:val="808080" w:themeColor="background1" w:themeShade="80"/>
          <w:sz w:val="22"/>
          <w:szCs w:val="22"/>
          <w:lang w:val="en-GB"/>
        </w:rPr>
        <w:t>The concept of debt execution evolved from the past practice of the debtor pledging his/or own body for loan repayment</w:t>
      </w:r>
      <w:r w:rsidR="00C46BB0">
        <w:rPr>
          <w:rFonts w:ascii="Avenir Next" w:hAnsi="Avenir Next" w:cs="Arial"/>
          <w:color w:val="808080" w:themeColor="background1" w:themeShade="80"/>
          <w:sz w:val="22"/>
          <w:szCs w:val="22"/>
          <w:lang w:val="en-GB"/>
        </w:rPr>
        <w:t>, and the fact that the debtor could be imprisoned, face the death penalty, or sold as a slave to secure repayment of the debt.</w:t>
      </w:r>
    </w:p>
    <w:p w14:paraId="6F44D396" w14:textId="77777777" w:rsidR="005961F9" w:rsidRDefault="005961F9" w:rsidP="00692852">
      <w:pPr>
        <w:jc w:val="both"/>
        <w:rPr>
          <w:rFonts w:ascii="Avenir Next" w:hAnsi="Avenir Next" w:cs="Arial"/>
          <w:color w:val="808080" w:themeColor="background1" w:themeShade="80"/>
          <w:sz w:val="22"/>
          <w:szCs w:val="22"/>
          <w:lang w:val="en-GB"/>
        </w:rPr>
      </w:pPr>
    </w:p>
    <w:p w14:paraId="7E46F963" w14:textId="650455EE" w:rsidR="00CF1731" w:rsidRPr="00DA42DA" w:rsidRDefault="00CF1731"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Fletcher, the roots of bankruptcy law can be found from the following procedures of Roman law: the assignment of property; forced liquidation of assets; and composition with creditors. </w:t>
      </w:r>
      <w:r w:rsidR="00D25B20">
        <w:rPr>
          <w:rFonts w:ascii="Avenir Next" w:hAnsi="Avenir Next" w:cs="Arial"/>
          <w:color w:val="808080" w:themeColor="background1" w:themeShade="80"/>
          <w:sz w:val="22"/>
          <w:szCs w:val="22"/>
          <w:lang w:val="en-GB"/>
        </w:rPr>
        <w:t xml:space="preserve">These procedures were developed from individual debt collection steps to collective debt collecting mechanism when the debtor </w:t>
      </w:r>
      <w:r w:rsidR="00AD0533">
        <w:rPr>
          <w:rFonts w:ascii="Avenir Next" w:hAnsi="Avenir Next" w:cs="Arial"/>
          <w:color w:val="808080" w:themeColor="background1" w:themeShade="80"/>
          <w:sz w:val="22"/>
          <w:szCs w:val="22"/>
          <w:lang w:val="en-GB"/>
        </w:rPr>
        <w:t xml:space="preserve">becomes insolvent. </w:t>
      </w:r>
      <w:r w:rsidR="00D25B20">
        <w:rPr>
          <w:rFonts w:ascii="Avenir Next" w:hAnsi="Avenir Next" w:cs="Arial"/>
          <w:color w:val="808080" w:themeColor="background1" w:themeShade="80"/>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0B4D71B1" w:rsidR="00DA42DA" w:rsidRDefault="0070433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universalism </w:t>
      </w:r>
      <w:r w:rsidR="00562C9A">
        <w:rPr>
          <w:rFonts w:ascii="Avenir Next" w:hAnsi="Avenir Next" w:cs="Arial"/>
          <w:color w:val="808080" w:themeColor="background1" w:themeShade="80"/>
          <w:sz w:val="22"/>
          <w:szCs w:val="22"/>
          <w:lang w:val="en-GB"/>
        </w:rPr>
        <w:t xml:space="preserve">entails there being only one insolvency proceeding which covers </w:t>
      </w:r>
      <w:proofErr w:type="gramStart"/>
      <w:r w:rsidR="00562C9A">
        <w:rPr>
          <w:rFonts w:ascii="Avenir Next" w:hAnsi="Avenir Next" w:cs="Arial"/>
          <w:color w:val="808080" w:themeColor="background1" w:themeShade="80"/>
          <w:sz w:val="22"/>
          <w:szCs w:val="22"/>
          <w:lang w:val="en-GB"/>
        </w:rPr>
        <w:t>all of</w:t>
      </w:r>
      <w:proofErr w:type="gramEnd"/>
      <w:r w:rsidR="00562C9A">
        <w:rPr>
          <w:rFonts w:ascii="Avenir Next" w:hAnsi="Avenir Next" w:cs="Arial"/>
          <w:color w:val="808080" w:themeColor="background1" w:themeShade="80"/>
          <w:sz w:val="22"/>
          <w:szCs w:val="22"/>
          <w:lang w:val="en-GB"/>
        </w:rPr>
        <w:t xml:space="preserve"> a debtor’s assets and debts worldwide. Therefore, once the insolvency proceedings have been started, </w:t>
      </w:r>
      <w:r w:rsidR="005B2D4C">
        <w:rPr>
          <w:rFonts w:ascii="Avenir Next" w:hAnsi="Avenir Next" w:cs="Arial"/>
          <w:color w:val="808080" w:themeColor="background1" w:themeShade="80"/>
          <w:sz w:val="22"/>
          <w:szCs w:val="22"/>
          <w:lang w:val="en-GB"/>
        </w:rPr>
        <w:t>it should not be possible to start any other insolvency proceedings</w:t>
      </w:r>
      <w:r w:rsidR="00511BC5">
        <w:rPr>
          <w:rFonts w:ascii="Avenir Next" w:hAnsi="Avenir Next" w:cs="Arial"/>
          <w:color w:val="808080" w:themeColor="background1" w:themeShade="80"/>
          <w:sz w:val="22"/>
          <w:szCs w:val="22"/>
          <w:lang w:val="en-GB"/>
        </w:rPr>
        <w:t xml:space="preserve">. Other forms of execution on the debtor’s assets should not be possible as well. </w:t>
      </w:r>
      <w:r w:rsidR="00B10EFC">
        <w:rPr>
          <w:rFonts w:ascii="Avenir Next" w:hAnsi="Avenir Next" w:cs="Arial"/>
          <w:color w:val="808080" w:themeColor="background1" w:themeShade="80"/>
          <w:sz w:val="22"/>
          <w:szCs w:val="22"/>
          <w:lang w:val="en-GB"/>
        </w:rPr>
        <w:t xml:space="preserve">All the debtor’s assets would be included in that sole insolvency proceeding, and all the creditors would have equal opportunity to participate </w:t>
      </w:r>
      <w:r w:rsidR="004025AD">
        <w:rPr>
          <w:rFonts w:ascii="Avenir Next" w:hAnsi="Avenir Next" w:cs="Arial"/>
          <w:color w:val="808080" w:themeColor="background1" w:themeShade="80"/>
          <w:sz w:val="22"/>
          <w:szCs w:val="22"/>
          <w:lang w:val="en-GB"/>
        </w:rPr>
        <w:t xml:space="preserve">in the proceedings, with their claims being treated equally. </w:t>
      </w:r>
      <w:r w:rsidR="00F044FB">
        <w:rPr>
          <w:rFonts w:ascii="Avenir Next" w:hAnsi="Avenir Next" w:cs="Arial"/>
          <w:color w:val="808080" w:themeColor="background1" w:themeShade="80"/>
          <w:sz w:val="22"/>
          <w:szCs w:val="22"/>
          <w:lang w:val="en-GB"/>
        </w:rPr>
        <w:t xml:space="preserve">The officeholder would be empowered to deal with the </w:t>
      </w:r>
      <w:r w:rsidR="00475FF4">
        <w:rPr>
          <w:rFonts w:ascii="Avenir Next" w:hAnsi="Avenir Next" w:cs="Arial"/>
          <w:color w:val="808080" w:themeColor="background1" w:themeShade="80"/>
          <w:sz w:val="22"/>
          <w:szCs w:val="22"/>
          <w:lang w:val="en-GB"/>
        </w:rPr>
        <w:t xml:space="preserve">debtor’s assets as necessary in the sole insolvency proceedings. </w:t>
      </w:r>
    </w:p>
    <w:p w14:paraId="632A0FAC" w14:textId="77777777" w:rsidR="00475FF4" w:rsidRDefault="00475FF4" w:rsidP="00DA42DA">
      <w:pPr>
        <w:jc w:val="both"/>
        <w:rPr>
          <w:rFonts w:ascii="Avenir Next" w:hAnsi="Avenir Next" w:cs="Arial"/>
          <w:color w:val="808080" w:themeColor="background1" w:themeShade="80"/>
          <w:sz w:val="22"/>
          <w:szCs w:val="22"/>
          <w:lang w:val="en-GB"/>
        </w:rPr>
      </w:pPr>
    </w:p>
    <w:p w14:paraId="4F925676" w14:textId="2B81776D" w:rsidR="00475FF4" w:rsidRDefault="004246A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modified universalism does not </w:t>
      </w:r>
      <w:r w:rsidR="00767D70">
        <w:rPr>
          <w:rFonts w:ascii="Avenir Next" w:hAnsi="Avenir Next" w:cs="Arial"/>
          <w:color w:val="808080" w:themeColor="background1" w:themeShade="80"/>
          <w:sz w:val="22"/>
          <w:szCs w:val="22"/>
          <w:lang w:val="en-GB"/>
        </w:rPr>
        <w:t xml:space="preserve">entail there being only one insolvency proceeding which covers </w:t>
      </w:r>
      <w:proofErr w:type="gramStart"/>
      <w:r w:rsidR="00767D70">
        <w:rPr>
          <w:rFonts w:ascii="Avenir Next" w:hAnsi="Avenir Next" w:cs="Arial"/>
          <w:color w:val="808080" w:themeColor="background1" w:themeShade="80"/>
          <w:sz w:val="22"/>
          <w:szCs w:val="22"/>
          <w:lang w:val="en-GB"/>
        </w:rPr>
        <w:t>all of</w:t>
      </w:r>
      <w:proofErr w:type="gramEnd"/>
      <w:r w:rsidR="00767D70">
        <w:rPr>
          <w:rFonts w:ascii="Avenir Next" w:hAnsi="Avenir Next" w:cs="Arial"/>
          <w:color w:val="808080" w:themeColor="background1" w:themeShade="80"/>
          <w:sz w:val="22"/>
          <w:szCs w:val="22"/>
          <w:lang w:val="en-GB"/>
        </w:rPr>
        <w:t xml:space="preserve"> a debtor’s assets and debts worldwide. Instead, modified universalism involves </w:t>
      </w:r>
      <w:r w:rsidR="0086354A">
        <w:rPr>
          <w:rFonts w:ascii="Avenir Next" w:hAnsi="Avenir Next" w:cs="Arial"/>
          <w:color w:val="808080" w:themeColor="background1" w:themeShade="80"/>
          <w:sz w:val="22"/>
          <w:szCs w:val="22"/>
          <w:lang w:val="en-GB"/>
        </w:rPr>
        <w:t xml:space="preserve">there being a “main proceeding” being started in the country of the debtor’s centre of main interests (“COMI”), which is to be determined. Additionally, the “main proceeding” would be supported by other secondary or ancillary proceedings in other countries. </w:t>
      </w:r>
      <w:r w:rsidR="00034A16">
        <w:rPr>
          <w:rFonts w:ascii="Avenir Next" w:hAnsi="Avenir Next" w:cs="Arial"/>
          <w:color w:val="808080" w:themeColor="background1" w:themeShade="80"/>
          <w:sz w:val="22"/>
          <w:szCs w:val="22"/>
          <w:lang w:val="en-GB"/>
        </w:rPr>
        <w:t>The various courts dealing with these respective proceedings are supposed to co-operate with each other</w:t>
      </w:r>
      <w:r w:rsidR="00B65B13">
        <w:rPr>
          <w:rFonts w:ascii="Avenir Next" w:hAnsi="Avenir Next" w:cs="Arial"/>
          <w:color w:val="808080" w:themeColor="background1" w:themeShade="80"/>
          <w:sz w:val="22"/>
          <w:szCs w:val="22"/>
          <w:lang w:val="en-GB"/>
        </w:rPr>
        <w:t xml:space="preserve">. </w:t>
      </w:r>
    </w:p>
    <w:p w14:paraId="4C61C854" w14:textId="77777777" w:rsidR="00B65B13" w:rsidRDefault="00B65B13" w:rsidP="00DA42DA">
      <w:pPr>
        <w:jc w:val="both"/>
        <w:rPr>
          <w:rFonts w:ascii="Avenir Next" w:hAnsi="Avenir Next" w:cs="Arial"/>
          <w:color w:val="808080" w:themeColor="background1" w:themeShade="80"/>
          <w:sz w:val="22"/>
          <w:szCs w:val="22"/>
          <w:lang w:val="en-GB"/>
        </w:rPr>
      </w:pPr>
    </w:p>
    <w:p w14:paraId="1E574AD9" w14:textId="686B098B" w:rsidR="00B65B13" w:rsidRPr="00DA42DA" w:rsidRDefault="00791A6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territorialism is starkly different from universalism and modified universalism because it entails insolvency proceedings being commenced in every country or jurisdiction where the debtor holds assets. These individual proceedings would be limited </w:t>
      </w:r>
      <w:r w:rsidR="00C2057F">
        <w:rPr>
          <w:rFonts w:ascii="Avenir Next" w:hAnsi="Avenir Next" w:cs="Arial"/>
          <w:color w:val="808080" w:themeColor="background1" w:themeShade="80"/>
          <w:sz w:val="22"/>
          <w:szCs w:val="22"/>
          <w:lang w:val="en-GB"/>
        </w:rPr>
        <w:t xml:space="preserve">to property within the country or </w:t>
      </w:r>
      <w:r w:rsidR="00C2057F">
        <w:rPr>
          <w:rFonts w:ascii="Avenir Next" w:hAnsi="Avenir Next" w:cs="Arial"/>
          <w:color w:val="808080" w:themeColor="background1" w:themeShade="80"/>
          <w:sz w:val="22"/>
          <w:szCs w:val="22"/>
          <w:lang w:val="en-GB"/>
        </w:rPr>
        <w:lastRenderedPageBreak/>
        <w:t xml:space="preserve">jurisdiction where the proceedings are opened. This necessarily means that it would be possible for there to be multiple concurrent insolvency proceedings relating to the same debtor. </w:t>
      </w:r>
      <w:r w:rsidR="00AA58F8">
        <w:rPr>
          <w:rFonts w:ascii="Avenir Next" w:hAnsi="Avenir Next" w:cs="Arial"/>
          <w:color w:val="808080" w:themeColor="background1" w:themeShade="80"/>
          <w:sz w:val="22"/>
          <w:szCs w:val="22"/>
          <w:lang w:val="en-GB"/>
        </w:rPr>
        <w:t xml:space="preserve">Accordingly, each individual proceeding would be </w:t>
      </w:r>
      <w:r w:rsidR="00DE3E38">
        <w:rPr>
          <w:rFonts w:ascii="Avenir Next" w:hAnsi="Avenir Next" w:cs="Arial"/>
          <w:color w:val="808080" w:themeColor="background1" w:themeShade="80"/>
          <w:sz w:val="22"/>
          <w:szCs w:val="22"/>
          <w:lang w:val="en-GB"/>
        </w:rPr>
        <w:t xml:space="preserve">limited to claims and mandates within the national borders of that country or jurisdiction. </w:t>
      </w:r>
      <w:r w:rsidR="006209A5">
        <w:rPr>
          <w:rFonts w:ascii="Avenir Next" w:hAnsi="Avenir Next" w:cs="Arial"/>
          <w:color w:val="808080" w:themeColor="background1" w:themeShade="80"/>
          <w:sz w:val="22"/>
          <w:szCs w:val="22"/>
          <w:lang w:val="en-GB"/>
        </w:rPr>
        <w:t>National interests would thus be protected (</w:t>
      </w:r>
      <w:proofErr w:type="gramStart"/>
      <w:r w:rsidR="006209A5">
        <w:rPr>
          <w:rFonts w:ascii="Avenir Next" w:hAnsi="Avenir Next" w:cs="Arial"/>
          <w:color w:val="808080" w:themeColor="background1" w:themeShade="80"/>
          <w:sz w:val="22"/>
          <w:szCs w:val="22"/>
          <w:lang w:val="en-GB"/>
        </w:rPr>
        <w:t>i.e.</w:t>
      </w:r>
      <w:proofErr w:type="gramEnd"/>
      <w:r w:rsidR="006209A5">
        <w:rPr>
          <w:rFonts w:ascii="Avenir Next" w:hAnsi="Avenir Next" w:cs="Arial"/>
          <w:color w:val="808080" w:themeColor="background1" w:themeShade="80"/>
          <w:sz w:val="22"/>
          <w:szCs w:val="22"/>
          <w:lang w:val="en-GB"/>
        </w:rPr>
        <w:t xml:space="preserve"> the interests of local creditors) before assets are transmitted abroad.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784DDE5C" w:rsidR="00DA42DA" w:rsidRDefault="0080215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Latin American countries have </w:t>
      </w:r>
      <w:r w:rsidR="00AB56A4">
        <w:rPr>
          <w:rFonts w:ascii="Avenir Next" w:hAnsi="Avenir Next" w:cs="Arial"/>
          <w:color w:val="808080" w:themeColor="background1" w:themeShade="80"/>
          <w:sz w:val="22"/>
          <w:szCs w:val="22"/>
          <w:lang w:val="en-GB"/>
        </w:rPr>
        <w:t>concluded treaties on private international law and commerce which includes a chapter or title on bankruptcy or insolvency</w:t>
      </w:r>
      <w:r w:rsidR="007F784C">
        <w:rPr>
          <w:rFonts w:ascii="Avenir Next" w:hAnsi="Avenir Next" w:cs="Arial"/>
          <w:color w:val="808080" w:themeColor="background1" w:themeShade="80"/>
          <w:sz w:val="22"/>
          <w:szCs w:val="22"/>
          <w:lang w:val="en-GB"/>
        </w:rPr>
        <w:t xml:space="preserve">, such as the Montevideo treaties in 189 and 1940, and the Havana Convention on Private International Law in 1928. </w:t>
      </w:r>
    </w:p>
    <w:p w14:paraId="01A5401D" w14:textId="77777777" w:rsidR="007F784C" w:rsidRDefault="007F784C" w:rsidP="00DA42DA">
      <w:pPr>
        <w:jc w:val="both"/>
        <w:rPr>
          <w:rFonts w:ascii="Avenir Next" w:hAnsi="Avenir Next" w:cs="Arial"/>
          <w:color w:val="808080" w:themeColor="background1" w:themeShade="80"/>
          <w:sz w:val="22"/>
          <w:szCs w:val="22"/>
          <w:lang w:val="en-GB"/>
        </w:rPr>
      </w:pPr>
    </w:p>
    <w:p w14:paraId="04DA6BB0" w14:textId="6017F414" w:rsidR="007F784C" w:rsidRDefault="007F784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 the Montevideo treaties</w:t>
      </w:r>
      <w:r w:rsidR="009E5534">
        <w:rPr>
          <w:rFonts w:ascii="Avenir Next" w:hAnsi="Avenir Next" w:cs="Arial"/>
          <w:color w:val="808080" w:themeColor="background1" w:themeShade="80"/>
          <w:sz w:val="22"/>
          <w:szCs w:val="22"/>
          <w:lang w:val="en-GB"/>
        </w:rPr>
        <w:t xml:space="preserve">, the earlier treaty was ratified in 1889 by Argentina, Bolivia, Columbia, Paraguay, Peru, and Uruguay, whilst the later treaty was ratified in 1940 by Argentina, Paraguay, Uruguay. </w:t>
      </w:r>
      <w:r w:rsidR="00BF5A0E">
        <w:rPr>
          <w:rFonts w:ascii="Avenir Next" w:hAnsi="Avenir Next" w:cs="Arial"/>
          <w:color w:val="808080" w:themeColor="background1" w:themeShade="80"/>
          <w:sz w:val="22"/>
          <w:szCs w:val="22"/>
          <w:lang w:val="en-GB"/>
        </w:rPr>
        <w:t xml:space="preserve">The earlier treaty relates to personal and corporate insolvency and provides for the jurisdiction of the bankruptcy to be based off the debtor’s commercial domicile. Specifically, if a debtor is commercially domiciled in a treaty state, </w:t>
      </w:r>
      <w:r w:rsidR="00502C09">
        <w:rPr>
          <w:rFonts w:ascii="Avenir Next" w:hAnsi="Avenir Next" w:cs="Arial"/>
          <w:color w:val="808080" w:themeColor="background1" w:themeShade="80"/>
          <w:sz w:val="22"/>
          <w:szCs w:val="22"/>
          <w:lang w:val="en-GB"/>
        </w:rPr>
        <w:t xml:space="preserve">there would be one set of proceedings in that </w:t>
      </w:r>
      <w:proofErr w:type="gramStart"/>
      <w:r w:rsidR="00502C09">
        <w:rPr>
          <w:rFonts w:ascii="Avenir Next" w:hAnsi="Avenir Next" w:cs="Arial"/>
          <w:color w:val="808080" w:themeColor="background1" w:themeShade="80"/>
          <w:sz w:val="22"/>
          <w:szCs w:val="22"/>
          <w:lang w:val="en-GB"/>
        </w:rPr>
        <w:t>particular commercial</w:t>
      </w:r>
      <w:proofErr w:type="gramEnd"/>
      <w:r w:rsidR="00502C09">
        <w:rPr>
          <w:rFonts w:ascii="Avenir Next" w:hAnsi="Avenir Next" w:cs="Arial"/>
          <w:color w:val="808080" w:themeColor="background1" w:themeShade="80"/>
          <w:sz w:val="22"/>
          <w:szCs w:val="22"/>
          <w:lang w:val="en-GB"/>
        </w:rPr>
        <w:t xml:space="preserve"> domicile, notwithstanding that the debtor occasionally trades outside that state, or has branches or agents in other states. </w:t>
      </w:r>
      <w:r w:rsidR="00697BBE">
        <w:rPr>
          <w:rFonts w:ascii="Avenir Next" w:hAnsi="Avenir Next" w:cs="Arial"/>
          <w:color w:val="808080" w:themeColor="background1" w:themeShade="80"/>
          <w:sz w:val="22"/>
          <w:szCs w:val="22"/>
          <w:lang w:val="en-GB"/>
        </w:rPr>
        <w:t xml:space="preserve">Moreover, if a debtor has more than one autonomous </w:t>
      </w:r>
      <w:proofErr w:type="gramStart"/>
      <w:r w:rsidR="00697BBE">
        <w:rPr>
          <w:rFonts w:ascii="Avenir Next" w:hAnsi="Avenir Next" w:cs="Arial"/>
          <w:color w:val="808080" w:themeColor="background1" w:themeShade="80"/>
          <w:sz w:val="22"/>
          <w:szCs w:val="22"/>
          <w:lang w:val="en-GB"/>
        </w:rPr>
        <w:t>businesses</w:t>
      </w:r>
      <w:proofErr w:type="gramEnd"/>
      <w:r w:rsidR="00697BBE">
        <w:rPr>
          <w:rFonts w:ascii="Avenir Next" w:hAnsi="Avenir Next" w:cs="Arial"/>
          <w:color w:val="808080" w:themeColor="background1" w:themeShade="80"/>
          <w:sz w:val="22"/>
          <w:szCs w:val="22"/>
          <w:lang w:val="en-GB"/>
        </w:rPr>
        <w:t xml:space="preserve"> in different treaty states, there is an option for concurrent proceedings. </w:t>
      </w:r>
      <w:r w:rsidR="00E377F4">
        <w:rPr>
          <w:rFonts w:ascii="Avenir Next" w:hAnsi="Avenir Next" w:cs="Arial"/>
          <w:color w:val="808080" w:themeColor="background1" w:themeShade="80"/>
          <w:sz w:val="22"/>
          <w:szCs w:val="22"/>
          <w:lang w:val="en-GB"/>
        </w:rPr>
        <w:t xml:space="preserve">When </w:t>
      </w:r>
      <w:r w:rsidR="00E56367">
        <w:rPr>
          <w:rFonts w:ascii="Avenir Next" w:hAnsi="Avenir Next" w:cs="Arial"/>
          <w:color w:val="808080" w:themeColor="background1" w:themeShade="80"/>
          <w:sz w:val="22"/>
          <w:szCs w:val="22"/>
          <w:lang w:val="en-GB"/>
        </w:rPr>
        <w:t xml:space="preserve">insolvency proceedings against one of the autonomous businesses are opened in a treaty state, a local creditor in another treaty state (which contains an economically autonomous business) may open bankruptcy proceedings in that treaty state as well, or other relevant civil action. </w:t>
      </w:r>
    </w:p>
    <w:p w14:paraId="77F8669B" w14:textId="77777777" w:rsidR="00E56367" w:rsidRDefault="00E56367" w:rsidP="00DA42DA">
      <w:pPr>
        <w:jc w:val="both"/>
        <w:rPr>
          <w:rFonts w:ascii="Avenir Next" w:hAnsi="Avenir Next" w:cs="Arial"/>
          <w:color w:val="808080" w:themeColor="background1" w:themeShade="80"/>
          <w:sz w:val="22"/>
          <w:szCs w:val="22"/>
          <w:lang w:val="en-GB"/>
        </w:rPr>
      </w:pPr>
    </w:p>
    <w:p w14:paraId="07C874EE" w14:textId="581F6A75" w:rsidR="00E56367" w:rsidRPr="00DA42DA" w:rsidRDefault="00F9049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the Havana Convention on Private International Law in 1928 </w:t>
      </w:r>
      <w:r w:rsidR="00D0094E">
        <w:rPr>
          <w:rFonts w:ascii="Avenir Next" w:hAnsi="Avenir Next" w:cs="Arial"/>
          <w:color w:val="808080" w:themeColor="background1" w:themeShade="80"/>
          <w:sz w:val="22"/>
          <w:szCs w:val="22"/>
          <w:lang w:val="en-GB"/>
        </w:rPr>
        <w:t xml:space="preserve">was concluded between </w:t>
      </w:r>
      <w:r w:rsidR="00C348DE">
        <w:rPr>
          <w:rFonts w:ascii="Avenir Next" w:hAnsi="Avenir Next" w:cs="Arial"/>
          <w:color w:val="808080" w:themeColor="background1" w:themeShade="80"/>
          <w:sz w:val="22"/>
          <w:szCs w:val="22"/>
          <w:lang w:val="en-GB"/>
        </w:rPr>
        <w:t>Bolivia,</w:t>
      </w:r>
      <w:r w:rsidR="00950A98">
        <w:rPr>
          <w:rFonts w:ascii="Avenir Next" w:hAnsi="Avenir Next" w:cs="Arial"/>
          <w:color w:val="808080" w:themeColor="background1" w:themeShade="80"/>
          <w:sz w:val="22"/>
          <w:szCs w:val="22"/>
          <w:lang w:val="en-GB"/>
        </w:rPr>
        <w:t xml:space="preserve"> </w:t>
      </w:r>
      <w:r w:rsidR="00D0094E">
        <w:rPr>
          <w:rFonts w:ascii="Avenir Next" w:hAnsi="Avenir Next" w:cs="Arial"/>
          <w:color w:val="808080" w:themeColor="background1" w:themeShade="80"/>
          <w:sz w:val="22"/>
          <w:szCs w:val="22"/>
          <w:lang w:val="en-GB"/>
        </w:rPr>
        <w:t>Braz</w:t>
      </w:r>
      <w:r w:rsidR="00C348DE">
        <w:rPr>
          <w:rFonts w:ascii="Avenir Next" w:hAnsi="Avenir Next" w:cs="Arial"/>
          <w:color w:val="808080" w:themeColor="background1" w:themeShade="80"/>
          <w:sz w:val="22"/>
          <w:szCs w:val="22"/>
          <w:lang w:val="en-GB"/>
        </w:rPr>
        <w:t>il</w:t>
      </w:r>
      <w:r w:rsidR="00D0094E">
        <w:rPr>
          <w:rFonts w:ascii="Avenir Next" w:hAnsi="Avenir Next" w:cs="Arial"/>
          <w:color w:val="808080" w:themeColor="background1" w:themeShade="80"/>
          <w:sz w:val="22"/>
          <w:szCs w:val="22"/>
          <w:lang w:val="en-GB"/>
        </w:rPr>
        <w:t xml:space="preserve">, Chile, Costa Rica, Cuba, Dominican Republic, Ecuador, El Salvador, Guatemala, Haiti, Honduras, Nicaragua, Panama, Peru, and Venezuela. </w:t>
      </w:r>
      <w:r w:rsidR="00D96211">
        <w:rPr>
          <w:rFonts w:ascii="Avenir Next" w:hAnsi="Avenir Next" w:cs="Arial"/>
          <w:color w:val="808080" w:themeColor="background1" w:themeShade="80"/>
          <w:sz w:val="22"/>
          <w:szCs w:val="22"/>
          <w:lang w:val="en-GB"/>
        </w:rPr>
        <w:t xml:space="preserve">It is more supportive of an approach which allows for a single proceeding consisting of universal effects in its region as compared to the </w:t>
      </w:r>
      <w:r w:rsidR="00185515">
        <w:rPr>
          <w:rFonts w:ascii="Avenir Next" w:hAnsi="Avenir Next" w:cs="Arial"/>
          <w:color w:val="808080" w:themeColor="background1" w:themeShade="80"/>
          <w:sz w:val="22"/>
          <w:szCs w:val="22"/>
          <w:lang w:val="en-GB"/>
        </w:rPr>
        <w:t xml:space="preserve">Montevideo treaties. </w:t>
      </w:r>
      <w:r w:rsidR="001168A8">
        <w:rPr>
          <w:rFonts w:ascii="Avenir Next" w:hAnsi="Avenir Next" w:cs="Arial"/>
          <w:color w:val="808080" w:themeColor="background1" w:themeShade="80"/>
          <w:sz w:val="22"/>
          <w:szCs w:val="22"/>
          <w:lang w:val="en-GB"/>
        </w:rPr>
        <w:t>For instance, Article 414 provides that if a debtor only has one civil or commercial domicile, “there can be only one preventive proceeding in insolvency or bankruptcy, or one suspension of payments, or a composition</w:t>
      </w:r>
      <w:r w:rsidR="001815AF">
        <w:rPr>
          <w:rFonts w:ascii="Avenir Next" w:hAnsi="Avenir Next" w:cs="Arial"/>
          <w:color w:val="808080" w:themeColor="background1" w:themeShade="80"/>
          <w:sz w:val="22"/>
          <w:szCs w:val="22"/>
          <w:lang w:val="en-GB"/>
        </w:rPr>
        <w:t xml:space="preserve">… in respect of all his assets and his liabilities in the contracting States”. </w:t>
      </w:r>
      <w:r w:rsidR="00F878E8">
        <w:rPr>
          <w:rFonts w:ascii="Avenir Next" w:hAnsi="Avenir Next" w:cs="Arial"/>
          <w:color w:val="808080" w:themeColor="background1" w:themeShade="80"/>
          <w:sz w:val="22"/>
          <w:szCs w:val="22"/>
          <w:lang w:val="en-GB"/>
        </w:rPr>
        <w:t xml:space="preserve">However, it is </w:t>
      </w:r>
      <w:proofErr w:type="gramStart"/>
      <w:r w:rsidR="00F878E8">
        <w:rPr>
          <w:rFonts w:ascii="Avenir Next" w:hAnsi="Avenir Next" w:cs="Arial"/>
          <w:color w:val="808080" w:themeColor="background1" w:themeShade="80"/>
          <w:sz w:val="22"/>
          <w:szCs w:val="22"/>
          <w:lang w:val="en-GB"/>
        </w:rPr>
        <w:t>similar to</w:t>
      </w:r>
      <w:proofErr w:type="gramEnd"/>
      <w:r w:rsidR="00F878E8">
        <w:rPr>
          <w:rFonts w:ascii="Avenir Next" w:hAnsi="Avenir Next" w:cs="Arial"/>
          <w:color w:val="808080" w:themeColor="background1" w:themeShade="80"/>
          <w:sz w:val="22"/>
          <w:szCs w:val="22"/>
          <w:lang w:val="en-GB"/>
        </w:rPr>
        <w:t xml:space="preserve"> the Montevideo treaties in the sense that there may be concurrent proceedings under the Havana Convention where </w:t>
      </w:r>
      <w:r w:rsidR="003D79EE">
        <w:rPr>
          <w:rFonts w:ascii="Avenir Next" w:hAnsi="Avenir Next" w:cs="Arial"/>
          <w:color w:val="808080" w:themeColor="background1" w:themeShade="80"/>
          <w:sz w:val="22"/>
          <w:szCs w:val="22"/>
          <w:lang w:val="en-GB"/>
        </w:rPr>
        <w:t xml:space="preserve">it relates to commercial establishments that are </w:t>
      </w:r>
      <w:r w:rsidR="004D3A46">
        <w:rPr>
          <w:rFonts w:ascii="Avenir Next" w:hAnsi="Avenir Next" w:cs="Arial"/>
          <w:color w:val="808080" w:themeColor="background1" w:themeShade="80"/>
          <w:sz w:val="22"/>
          <w:szCs w:val="22"/>
          <w:lang w:val="en-GB"/>
        </w:rPr>
        <w:t>operated in a manner that is entirely economically separate</w:t>
      </w:r>
      <w:r w:rsidR="00367EEF">
        <w:rPr>
          <w:rFonts w:ascii="Avenir Next" w:hAnsi="Avenir Next" w:cs="Arial"/>
          <w:color w:val="808080" w:themeColor="background1" w:themeShade="80"/>
          <w:sz w:val="22"/>
          <w:szCs w:val="22"/>
          <w:lang w:val="en-GB"/>
        </w:rPr>
        <w:t xml:space="preserve"> from the debtor. </w:t>
      </w:r>
      <w:r w:rsidR="006416CB">
        <w:rPr>
          <w:rFonts w:ascii="Avenir Next" w:hAnsi="Avenir Next" w:cs="Arial"/>
          <w:color w:val="808080" w:themeColor="background1" w:themeShade="80"/>
          <w:sz w:val="22"/>
          <w:szCs w:val="22"/>
          <w:lang w:val="en-GB"/>
        </w:rPr>
        <w:t xml:space="preserve">Where there are </w:t>
      </w:r>
      <w:r w:rsidR="00B518F4">
        <w:rPr>
          <w:rFonts w:ascii="Avenir Next" w:hAnsi="Avenir Next" w:cs="Arial"/>
          <w:color w:val="808080" w:themeColor="background1" w:themeShade="80"/>
          <w:sz w:val="22"/>
          <w:szCs w:val="22"/>
          <w:lang w:val="en-GB"/>
        </w:rPr>
        <w:t xml:space="preserve">concurrent proceedings, the Havana Convention does not provide for cooperation or coordination for the concurrent proceedings.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3CD03BBA" w14:textId="77777777" w:rsidR="004B0B5B" w:rsidRDefault="00C95BA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 disagree with the statement that the terms “bankruptcy” and “insolvency” may be used interchangeably. </w:t>
      </w:r>
      <w:r w:rsidR="0066533C">
        <w:rPr>
          <w:rFonts w:ascii="Avenir Next" w:hAnsi="Avenir Next" w:cs="Arial"/>
          <w:color w:val="808080" w:themeColor="background1" w:themeShade="80"/>
          <w:sz w:val="22"/>
          <w:szCs w:val="22"/>
          <w:lang w:val="en-GB"/>
        </w:rPr>
        <w:t>This is because I am from a jurisdiction (Singapore) which generally uses “bankruptcy</w:t>
      </w:r>
      <w:r w:rsidR="00602297">
        <w:rPr>
          <w:rFonts w:ascii="Avenir Next" w:hAnsi="Avenir Next" w:cs="Arial"/>
          <w:color w:val="808080" w:themeColor="background1" w:themeShade="80"/>
          <w:sz w:val="22"/>
          <w:szCs w:val="22"/>
          <w:lang w:val="en-GB"/>
        </w:rPr>
        <w:t>”</w:t>
      </w:r>
      <w:r w:rsidR="0066533C">
        <w:rPr>
          <w:rFonts w:ascii="Avenir Next" w:hAnsi="Avenir Next" w:cs="Arial"/>
          <w:color w:val="808080" w:themeColor="background1" w:themeShade="80"/>
          <w:sz w:val="22"/>
          <w:szCs w:val="22"/>
          <w:lang w:val="en-GB"/>
        </w:rPr>
        <w:t xml:space="preserve"> to describe </w:t>
      </w:r>
      <w:r w:rsidR="00602297">
        <w:rPr>
          <w:rFonts w:ascii="Avenir Next" w:hAnsi="Avenir Next" w:cs="Arial"/>
          <w:color w:val="808080" w:themeColor="background1" w:themeShade="80"/>
          <w:sz w:val="22"/>
          <w:szCs w:val="22"/>
          <w:lang w:val="en-GB"/>
        </w:rPr>
        <w:t xml:space="preserve">the </w:t>
      </w:r>
      <w:r w:rsidR="0066533C">
        <w:rPr>
          <w:rFonts w:ascii="Avenir Next" w:hAnsi="Avenir Next" w:cs="Arial"/>
          <w:color w:val="808080" w:themeColor="background1" w:themeShade="80"/>
          <w:sz w:val="22"/>
          <w:szCs w:val="22"/>
          <w:lang w:val="en-GB"/>
        </w:rPr>
        <w:t xml:space="preserve">insolvency of an individual, and </w:t>
      </w:r>
      <w:r w:rsidR="00602297">
        <w:rPr>
          <w:rFonts w:ascii="Avenir Next" w:hAnsi="Avenir Next" w:cs="Arial"/>
          <w:color w:val="808080" w:themeColor="background1" w:themeShade="80"/>
          <w:sz w:val="22"/>
          <w:szCs w:val="22"/>
          <w:lang w:val="en-GB"/>
        </w:rPr>
        <w:t xml:space="preserve">“insolvency” to describe the insolvency of a corporation. For example, </w:t>
      </w:r>
      <w:r w:rsidR="00DB6100">
        <w:rPr>
          <w:rFonts w:ascii="Avenir Next" w:hAnsi="Avenir Next" w:cs="Arial"/>
          <w:color w:val="808080" w:themeColor="background1" w:themeShade="80"/>
          <w:sz w:val="22"/>
          <w:szCs w:val="22"/>
          <w:lang w:val="en-GB"/>
        </w:rPr>
        <w:t xml:space="preserve">in Singapore, </w:t>
      </w:r>
      <w:r w:rsidR="00602297">
        <w:rPr>
          <w:rFonts w:ascii="Avenir Next" w:hAnsi="Avenir Next" w:cs="Arial"/>
          <w:color w:val="808080" w:themeColor="background1" w:themeShade="80"/>
          <w:sz w:val="22"/>
          <w:szCs w:val="22"/>
          <w:lang w:val="en-GB"/>
        </w:rPr>
        <w:t xml:space="preserve">prior to recent insolvency reforms </w:t>
      </w:r>
      <w:r w:rsidR="00045F48">
        <w:rPr>
          <w:rFonts w:ascii="Avenir Next" w:hAnsi="Avenir Next" w:cs="Arial"/>
          <w:color w:val="808080" w:themeColor="background1" w:themeShade="80"/>
          <w:sz w:val="22"/>
          <w:szCs w:val="22"/>
          <w:lang w:val="en-GB"/>
        </w:rPr>
        <w:t xml:space="preserve">that </w:t>
      </w:r>
      <w:r w:rsidR="00A024DE">
        <w:rPr>
          <w:rFonts w:ascii="Avenir Next" w:hAnsi="Avenir Next" w:cs="Arial"/>
          <w:color w:val="808080" w:themeColor="background1" w:themeShade="80"/>
          <w:sz w:val="22"/>
          <w:szCs w:val="22"/>
          <w:lang w:val="en-GB"/>
        </w:rPr>
        <w:t>consolidate</w:t>
      </w:r>
      <w:r w:rsidR="00045F48">
        <w:rPr>
          <w:rFonts w:ascii="Avenir Next" w:hAnsi="Avenir Next" w:cs="Arial"/>
          <w:color w:val="808080" w:themeColor="background1" w:themeShade="80"/>
          <w:sz w:val="22"/>
          <w:szCs w:val="22"/>
          <w:lang w:val="en-GB"/>
        </w:rPr>
        <w:t>d</w:t>
      </w:r>
      <w:r w:rsidR="00A024DE">
        <w:rPr>
          <w:rFonts w:ascii="Avenir Next" w:hAnsi="Avenir Next" w:cs="Arial"/>
          <w:color w:val="808080" w:themeColor="background1" w:themeShade="80"/>
          <w:sz w:val="22"/>
          <w:szCs w:val="22"/>
          <w:lang w:val="en-GB"/>
        </w:rPr>
        <w:t xml:space="preserve"> most of the insolvency and bankruptcy provisions under the Insolvency, Restructuring and Dissolution Act 2018</w:t>
      </w:r>
      <w:r w:rsidR="00045F48">
        <w:rPr>
          <w:rFonts w:ascii="Avenir Next" w:hAnsi="Avenir Next" w:cs="Arial"/>
          <w:color w:val="808080" w:themeColor="background1" w:themeShade="80"/>
          <w:sz w:val="22"/>
          <w:szCs w:val="22"/>
          <w:lang w:val="en-GB"/>
        </w:rPr>
        <w:t>, the insolvency of individuals was previously dealt with primarily under the Bankruptcy Act</w:t>
      </w:r>
      <w:r w:rsidR="00570B30">
        <w:rPr>
          <w:rFonts w:ascii="Avenir Next" w:hAnsi="Avenir Next" w:cs="Arial"/>
          <w:color w:val="808080" w:themeColor="background1" w:themeShade="80"/>
          <w:sz w:val="22"/>
          <w:szCs w:val="22"/>
          <w:lang w:val="en-GB"/>
        </w:rPr>
        <w:t>, and the insolvency of companies was dealt with under the Companies Act.</w:t>
      </w:r>
      <w:r w:rsidR="007F7B6F">
        <w:rPr>
          <w:rFonts w:ascii="Avenir Next" w:hAnsi="Avenir Next" w:cs="Arial"/>
          <w:color w:val="808080" w:themeColor="background1" w:themeShade="80"/>
          <w:sz w:val="22"/>
          <w:szCs w:val="22"/>
          <w:lang w:val="en-GB"/>
        </w:rPr>
        <w:t xml:space="preserve"> Therefore,</w:t>
      </w:r>
      <w:r w:rsidR="0022721C">
        <w:rPr>
          <w:rFonts w:ascii="Avenir Next" w:hAnsi="Avenir Next" w:cs="Arial"/>
          <w:color w:val="808080" w:themeColor="background1" w:themeShade="80"/>
          <w:sz w:val="22"/>
          <w:szCs w:val="22"/>
          <w:lang w:val="en-GB"/>
        </w:rPr>
        <w:t xml:space="preserve"> </w:t>
      </w:r>
      <w:r w:rsidR="007F7B6F">
        <w:rPr>
          <w:rFonts w:ascii="Avenir Next" w:hAnsi="Avenir Next" w:cs="Arial"/>
          <w:color w:val="808080" w:themeColor="background1" w:themeShade="80"/>
          <w:sz w:val="22"/>
          <w:szCs w:val="22"/>
          <w:lang w:val="en-GB"/>
        </w:rPr>
        <w:t>based on the common practice of my jurisdiction</w:t>
      </w:r>
      <w:r w:rsidR="0022721C">
        <w:rPr>
          <w:rFonts w:ascii="Avenir Next" w:hAnsi="Avenir Next" w:cs="Arial"/>
          <w:color w:val="808080" w:themeColor="background1" w:themeShade="80"/>
          <w:sz w:val="22"/>
          <w:szCs w:val="22"/>
          <w:lang w:val="en-GB"/>
        </w:rPr>
        <w:t xml:space="preserve">, I am of the view that “bankruptcy” refers to the insolvency of an individual, and “insolvency” refers to the insolvency of a company. </w:t>
      </w:r>
    </w:p>
    <w:p w14:paraId="020111A0" w14:textId="77777777" w:rsidR="004B0B5B" w:rsidRDefault="004B0B5B" w:rsidP="00DA42DA">
      <w:pPr>
        <w:jc w:val="both"/>
        <w:rPr>
          <w:rFonts w:ascii="Avenir Next" w:hAnsi="Avenir Next" w:cs="Arial"/>
          <w:color w:val="808080" w:themeColor="background1" w:themeShade="80"/>
          <w:sz w:val="22"/>
          <w:szCs w:val="22"/>
          <w:lang w:val="en-GB"/>
        </w:rPr>
      </w:pPr>
    </w:p>
    <w:p w14:paraId="71773D47" w14:textId="0EC85790" w:rsidR="00DA42DA" w:rsidRDefault="00E5212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for what “bankruptcy” and “insolvency” means generally, </w:t>
      </w:r>
      <w:r w:rsidR="00A362EF">
        <w:rPr>
          <w:rFonts w:ascii="Avenir Next" w:hAnsi="Avenir Next" w:cs="Arial"/>
          <w:color w:val="808080" w:themeColor="background1" w:themeShade="80"/>
          <w:sz w:val="22"/>
          <w:szCs w:val="22"/>
          <w:lang w:val="en-GB"/>
        </w:rPr>
        <w:t xml:space="preserve">“bankruptcy” refers to the formal proceedings </w:t>
      </w:r>
      <w:r w:rsidR="008474CF">
        <w:rPr>
          <w:rFonts w:ascii="Avenir Next" w:hAnsi="Avenir Next" w:cs="Arial"/>
          <w:color w:val="808080" w:themeColor="background1" w:themeShade="80"/>
          <w:sz w:val="22"/>
          <w:szCs w:val="22"/>
          <w:lang w:val="en-GB"/>
        </w:rPr>
        <w:t xml:space="preserve">that have been instituted where one is put in the official state of being bankrupt. </w:t>
      </w:r>
      <w:r w:rsidR="006F44C9">
        <w:rPr>
          <w:rFonts w:ascii="Avenir Next" w:hAnsi="Avenir Next" w:cs="Arial"/>
          <w:color w:val="808080" w:themeColor="background1" w:themeShade="80"/>
          <w:sz w:val="22"/>
          <w:szCs w:val="22"/>
          <w:lang w:val="en-GB"/>
        </w:rPr>
        <w:t xml:space="preserve">“Insolvency” on the other hand, refers to a situation where a debtor is unable to repay debts as they fall due (cash flow or commercial insolvency), </w:t>
      </w:r>
      <w:r w:rsidR="00901C67">
        <w:rPr>
          <w:rFonts w:ascii="Avenir Next" w:hAnsi="Avenir Next" w:cs="Arial"/>
          <w:color w:val="808080" w:themeColor="background1" w:themeShade="80"/>
          <w:sz w:val="22"/>
          <w:szCs w:val="22"/>
          <w:lang w:val="en-GB"/>
        </w:rPr>
        <w:t xml:space="preserve">or where the assets of a debtor are less than that of the liabilities (balance sheet insolvency). </w:t>
      </w:r>
    </w:p>
    <w:p w14:paraId="7A0EC915" w14:textId="77777777" w:rsidR="00FC65D9" w:rsidRDefault="00FC65D9" w:rsidP="00DA42DA">
      <w:pPr>
        <w:jc w:val="both"/>
        <w:rPr>
          <w:rFonts w:ascii="Avenir Next" w:hAnsi="Avenir Next" w:cs="Arial"/>
          <w:color w:val="808080" w:themeColor="background1" w:themeShade="80"/>
          <w:sz w:val="22"/>
          <w:szCs w:val="22"/>
          <w:lang w:val="en-GB"/>
        </w:rPr>
      </w:pPr>
    </w:p>
    <w:p w14:paraId="09DCDDE9" w14:textId="593A9C7B" w:rsidR="00FC65D9" w:rsidRDefault="00FC65D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am of the view that it may be advantageous to have “bankruptcy” refer to individuals and “insolvency” refer to companies. This is because </w:t>
      </w:r>
      <w:r w:rsidR="00DB1BB2">
        <w:rPr>
          <w:rFonts w:ascii="Avenir Next" w:hAnsi="Avenir Next" w:cs="Arial"/>
          <w:color w:val="808080" w:themeColor="background1" w:themeShade="80"/>
          <w:sz w:val="22"/>
          <w:szCs w:val="22"/>
          <w:lang w:val="en-GB"/>
        </w:rPr>
        <w:t xml:space="preserve">there are different considerations in relation to the insolvency of individuals and companies. Having a different conceptual term assigned to each scenario may make it easier to delineate between the </w:t>
      </w:r>
      <w:r w:rsidR="00C15939">
        <w:rPr>
          <w:rFonts w:ascii="Avenir Next" w:hAnsi="Avenir Next" w:cs="Arial"/>
          <w:color w:val="808080" w:themeColor="background1" w:themeShade="80"/>
          <w:sz w:val="22"/>
          <w:szCs w:val="22"/>
          <w:lang w:val="en-GB"/>
        </w:rPr>
        <w:t>contrasting policy considerations for both. With respect to the bankruptcy of an individual, one policy consideration is to protect the debtor from continual harassment by his creditors, and to provide the opportunity for the debtor to make a fresh start. This is especially so in cases where the bankruptcy has not been brought about by the conduct of debtor (</w:t>
      </w:r>
      <w:proofErr w:type="gramStart"/>
      <w:r w:rsidR="00C15939">
        <w:rPr>
          <w:rFonts w:ascii="Avenir Next" w:hAnsi="Avenir Next" w:cs="Arial"/>
          <w:color w:val="808080" w:themeColor="background1" w:themeShade="80"/>
          <w:sz w:val="22"/>
          <w:szCs w:val="22"/>
          <w:lang w:val="en-GB"/>
        </w:rPr>
        <w:t>e.g.</w:t>
      </w:r>
      <w:proofErr w:type="gramEnd"/>
      <w:r w:rsidR="00C15939">
        <w:rPr>
          <w:rFonts w:ascii="Avenir Next" w:hAnsi="Avenir Next" w:cs="Arial"/>
          <w:color w:val="808080" w:themeColor="background1" w:themeShade="80"/>
          <w:sz w:val="22"/>
          <w:szCs w:val="22"/>
          <w:lang w:val="en-GB"/>
        </w:rPr>
        <w:t xml:space="preserve"> Covid-19 pandemic or other market related factors). </w:t>
      </w:r>
      <w:r w:rsidR="00440366">
        <w:rPr>
          <w:rFonts w:ascii="Avenir Next" w:hAnsi="Avenir Next" w:cs="Arial"/>
          <w:color w:val="808080" w:themeColor="background1" w:themeShade="80"/>
          <w:sz w:val="22"/>
          <w:szCs w:val="22"/>
          <w:lang w:val="en-GB"/>
        </w:rPr>
        <w:t xml:space="preserve">In this connection, the bankruptcy proceedings for individuals would have to take into consideration how to best reduce indebtedness of the individual by getting the individual to make contributions from the present assets and future income, whilst </w:t>
      </w:r>
      <w:proofErr w:type="gramStart"/>
      <w:r w:rsidR="00440366">
        <w:rPr>
          <w:rFonts w:ascii="Avenir Next" w:hAnsi="Avenir Next" w:cs="Arial"/>
          <w:color w:val="808080" w:themeColor="background1" w:themeShade="80"/>
          <w:sz w:val="22"/>
          <w:szCs w:val="22"/>
          <w:lang w:val="en-GB"/>
        </w:rPr>
        <w:t>taking into account</w:t>
      </w:r>
      <w:proofErr w:type="gramEnd"/>
      <w:r w:rsidR="00440366">
        <w:rPr>
          <w:rFonts w:ascii="Avenir Next" w:hAnsi="Avenir Next" w:cs="Arial"/>
          <w:color w:val="808080" w:themeColor="background1" w:themeShade="80"/>
          <w:sz w:val="22"/>
          <w:szCs w:val="22"/>
          <w:lang w:val="en-GB"/>
        </w:rPr>
        <w:t xml:space="preserve"> the need for a fresh start, as well as other personal circumstances into consideration.</w:t>
      </w:r>
      <w:r w:rsidR="00237F73">
        <w:rPr>
          <w:rFonts w:ascii="Avenir Next" w:hAnsi="Avenir Next" w:cs="Arial"/>
          <w:color w:val="808080" w:themeColor="background1" w:themeShade="80"/>
          <w:sz w:val="22"/>
          <w:szCs w:val="22"/>
          <w:lang w:val="en-GB"/>
        </w:rPr>
        <w:t xml:space="preserve"> Importantly, unlike </w:t>
      </w:r>
      <w:r w:rsidR="009F1E52">
        <w:rPr>
          <w:rFonts w:ascii="Avenir Next" w:hAnsi="Avenir Next" w:cs="Arial"/>
          <w:color w:val="808080" w:themeColor="background1" w:themeShade="80"/>
          <w:sz w:val="22"/>
          <w:szCs w:val="22"/>
          <w:lang w:val="en-GB"/>
        </w:rPr>
        <w:t xml:space="preserve">the insolvency of companies, in the bankruptcy of individuals, the principle of </w:t>
      </w:r>
      <w:r w:rsidR="003E3A2E">
        <w:rPr>
          <w:rFonts w:ascii="Avenir Next" w:hAnsi="Avenir Next" w:cs="Arial"/>
          <w:color w:val="808080" w:themeColor="background1" w:themeShade="80"/>
          <w:sz w:val="22"/>
          <w:szCs w:val="22"/>
          <w:lang w:val="en-GB"/>
        </w:rPr>
        <w:t xml:space="preserve">excluded assets applies to allow the individual to keep some of the assets required to maintain himself or any dependents. For example, </w:t>
      </w:r>
      <w:r w:rsidR="00CA183E">
        <w:rPr>
          <w:rFonts w:ascii="Avenir Next" w:hAnsi="Avenir Next" w:cs="Arial"/>
          <w:color w:val="808080" w:themeColor="background1" w:themeShade="80"/>
          <w:sz w:val="22"/>
          <w:szCs w:val="22"/>
          <w:lang w:val="en-GB"/>
        </w:rPr>
        <w:t>in Singapore, the ownership of public housing flats</w:t>
      </w:r>
      <w:r w:rsidR="00E77AB4">
        <w:rPr>
          <w:rFonts w:ascii="Avenir Next" w:hAnsi="Avenir Next" w:cs="Arial"/>
          <w:color w:val="808080" w:themeColor="background1" w:themeShade="80"/>
          <w:sz w:val="22"/>
          <w:szCs w:val="22"/>
          <w:lang w:val="en-GB"/>
        </w:rPr>
        <w:t xml:space="preserve">, and of </w:t>
      </w:r>
      <w:r w:rsidR="002B5748">
        <w:rPr>
          <w:rFonts w:ascii="Avenir Next" w:hAnsi="Avenir Next" w:cs="Arial"/>
          <w:color w:val="808080" w:themeColor="background1" w:themeShade="80"/>
          <w:sz w:val="22"/>
          <w:szCs w:val="22"/>
          <w:lang w:val="en-GB"/>
        </w:rPr>
        <w:t>mandated retirement funds (in the Central Provident Fund account)</w:t>
      </w:r>
      <w:r w:rsidR="00CA183E">
        <w:rPr>
          <w:rFonts w:ascii="Avenir Next" w:hAnsi="Avenir Next" w:cs="Arial"/>
          <w:color w:val="808080" w:themeColor="background1" w:themeShade="80"/>
          <w:sz w:val="22"/>
          <w:szCs w:val="22"/>
          <w:lang w:val="en-GB"/>
        </w:rPr>
        <w:t xml:space="preserve"> is excluded from bankruptcy proceedings and remains with the individua</w:t>
      </w:r>
      <w:r w:rsidR="00FD0E9E">
        <w:rPr>
          <w:rFonts w:ascii="Avenir Next" w:hAnsi="Avenir Next" w:cs="Arial"/>
          <w:color w:val="808080" w:themeColor="background1" w:themeShade="80"/>
          <w:sz w:val="22"/>
          <w:szCs w:val="22"/>
          <w:lang w:val="en-GB"/>
        </w:rPr>
        <w:t xml:space="preserve">l bankrupt. </w:t>
      </w:r>
    </w:p>
    <w:p w14:paraId="388B5501" w14:textId="77777777" w:rsidR="00440366" w:rsidRDefault="00440366" w:rsidP="00DA42DA">
      <w:pPr>
        <w:jc w:val="both"/>
        <w:rPr>
          <w:rFonts w:ascii="Avenir Next" w:hAnsi="Avenir Next" w:cs="Arial"/>
          <w:color w:val="808080" w:themeColor="background1" w:themeShade="80"/>
          <w:sz w:val="22"/>
          <w:szCs w:val="22"/>
          <w:lang w:val="en-GB"/>
        </w:rPr>
      </w:pPr>
    </w:p>
    <w:p w14:paraId="08707689" w14:textId="63B2E6B2" w:rsidR="00440366" w:rsidRDefault="0044036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the insolvency </w:t>
      </w:r>
      <w:r w:rsidR="004236F3">
        <w:rPr>
          <w:rFonts w:ascii="Avenir Next" w:hAnsi="Avenir Next" w:cs="Arial"/>
          <w:color w:val="808080" w:themeColor="background1" w:themeShade="80"/>
          <w:sz w:val="22"/>
          <w:szCs w:val="22"/>
          <w:lang w:val="en-GB"/>
        </w:rPr>
        <w:t xml:space="preserve">of companies, different policy considerations apply where as far as it is possible, consideration should be given to how the business can be preserved, or at least the viable parts thereof. </w:t>
      </w:r>
      <w:r w:rsidR="0045747D">
        <w:rPr>
          <w:rFonts w:ascii="Avenir Next" w:hAnsi="Avenir Next" w:cs="Arial"/>
          <w:color w:val="808080" w:themeColor="background1" w:themeShade="80"/>
          <w:sz w:val="22"/>
          <w:szCs w:val="22"/>
          <w:lang w:val="en-GB"/>
        </w:rPr>
        <w:t xml:space="preserve">Additionally, since the actions of companies are directed through their legal minds, the </w:t>
      </w:r>
      <w:proofErr w:type="gramStart"/>
      <w:r w:rsidR="0045747D">
        <w:rPr>
          <w:rFonts w:ascii="Avenir Next" w:hAnsi="Avenir Next" w:cs="Arial"/>
          <w:color w:val="808080" w:themeColor="background1" w:themeShade="80"/>
          <w:sz w:val="22"/>
          <w:szCs w:val="22"/>
          <w:lang w:val="en-GB"/>
        </w:rPr>
        <w:t>directors</w:t>
      </w:r>
      <w:proofErr w:type="gramEnd"/>
      <w:r w:rsidR="0045747D">
        <w:rPr>
          <w:rFonts w:ascii="Avenir Next" w:hAnsi="Avenir Next" w:cs="Arial"/>
          <w:color w:val="808080" w:themeColor="background1" w:themeShade="80"/>
          <w:sz w:val="22"/>
          <w:szCs w:val="22"/>
          <w:lang w:val="en-GB"/>
        </w:rPr>
        <w:t xml:space="preserve"> and other officers, where this </w:t>
      </w:r>
      <w:r w:rsidR="003B2DE6">
        <w:rPr>
          <w:rFonts w:ascii="Avenir Next" w:hAnsi="Avenir Next" w:cs="Arial"/>
          <w:color w:val="808080" w:themeColor="background1" w:themeShade="80"/>
          <w:sz w:val="22"/>
          <w:szCs w:val="22"/>
          <w:lang w:val="en-GB"/>
        </w:rPr>
        <w:t xml:space="preserve">structure has been abused, consideration must be given to how personal liability can be imposed on responsible persons who have perpetrated such misconduct. </w:t>
      </w:r>
      <w:r w:rsidR="006A0AF0">
        <w:rPr>
          <w:rFonts w:ascii="Avenir Next" w:hAnsi="Avenir Next" w:cs="Arial"/>
          <w:color w:val="808080" w:themeColor="background1" w:themeShade="80"/>
          <w:sz w:val="22"/>
          <w:szCs w:val="22"/>
          <w:lang w:val="en-GB"/>
        </w:rPr>
        <w:t>Moreover</w:t>
      </w:r>
      <w:r w:rsidR="003B2DE6">
        <w:rPr>
          <w:rFonts w:ascii="Avenir Next" w:hAnsi="Avenir Next" w:cs="Arial"/>
          <w:color w:val="808080" w:themeColor="background1" w:themeShade="80"/>
          <w:sz w:val="22"/>
          <w:szCs w:val="22"/>
          <w:lang w:val="en-GB"/>
        </w:rPr>
        <w:t xml:space="preserve">, in my view, the policy consideration of </w:t>
      </w:r>
      <w:r w:rsidR="009961F3">
        <w:rPr>
          <w:rFonts w:ascii="Avenir Next" w:hAnsi="Avenir Next" w:cs="Arial"/>
          <w:color w:val="808080" w:themeColor="background1" w:themeShade="80"/>
          <w:sz w:val="22"/>
          <w:szCs w:val="22"/>
          <w:lang w:val="en-GB"/>
        </w:rPr>
        <w:t xml:space="preserve">a fresh start for the company is not one that is </w:t>
      </w:r>
      <w:proofErr w:type="gramStart"/>
      <w:r w:rsidR="009961F3">
        <w:rPr>
          <w:rFonts w:ascii="Avenir Next" w:hAnsi="Avenir Next" w:cs="Arial"/>
          <w:color w:val="808080" w:themeColor="background1" w:themeShade="80"/>
          <w:sz w:val="22"/>
          <w:szCs w:val="22"/>
          <w:lang w:val="en-GB"/>
        </w:rPr>
        <w:t>taken into account</w:t>
      </w:r>
      <w:proofErr w:type="gramEnd"/>
      <w:r w:rsidR="006A0AF0">
        <w:rPr>
          <w:rFonts w:ascii="Avenir Next" w:hAnsi="Avenir Next" w:cs="Arial"/>
          <w:color w:val="808080" w:themeColor="background1" w:themeShade="80"/>
          <w:sz w:val="22"/>
          <w:szCs w:val="22"/>
          <w:lang w:val="en-GB"/>
        </w:rPr>
        <w:t xml:space="preserve"> because the company (unlike the individual) can be simply wound up and the assets divided amongst the creditors. </w:t>
      </w:r>
    </w:p>
    <w:p w14:paraId="4F53401E" w14:textId="77777777" w:rsidR="006A0AF0" w:rsidRDefault="006A0AF0" w:rsidP="00DA42DA">
      <w:pPr>
        <w:jc w:val="both"/>
        <w:rPr>
          <w:rFonts w:ascii="Avenir Next" w:hAnsi="Avenir Next" w:cs="Arial"/>
          <w:color w:val="808080" w:themeColor="background1" w:themeShade="80"/>
          <w:sz w:val="22"/>
          <w:szCs w:val="22"/>
          <w:lang w:val="en-GB"/>
        </w:rPr>
      </w:pPr>
    </w:p>
    <w:p w14:paraId="00B92CA2" w14:textId="6D7ADDEC" w:rsidR="006A0AF0" w:rsidRPr="001C62BE" w:rsidRDefault="00F8610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vein, when it comes to creditors, both the bankruptcy of an individual or insolvency of a company are similar as </w:t>
      </w:r>
      <w:r w:rsidR="001C62BE">
        <w:rPr>
          <w:rFonts w:ascii="Avenir Next" w:hAnsi="Avenir Next" w:cs="Arial"/>
          <w:color w:val="808080" w:themeColor="background1" w:themeShade="80"/>
          <w:sz w:val="22"/>
          <w:szCs w:val="22"/>
          <w:lang w:val="en-GB"/>
        </w:rPr>
        <w:t xml:space="preserve">the general principle of ensuring a </w:t>
      </w:r>
      <w:r w:rsidR="001C62BE">
        <w:rPr>
          <w:rFonts w:ascii="Avenir Next" w:hAnsi="Avenir Next" w:cs="Arial"/>
          <w:i/>
          <w:iCs/>
          <w:color w:val="808080" w:themeColor="background1" w:themeShade="80"/>
          <w:sz w:val="22"/>
          <w:szCs w:val="22"/>
          <w:lang w:val="en-GB"/>
        </w:rPr>
        <w:t xml:space="preserve">par passu </w:t>
      </w:r>
      <w:r w:rsidR="001C62BE">
        <w:rPr>
          <w:rFonts w:ascii="Avenir Next" w:hAnsi="Avenir Next" w:cs="Arial"/>
          <w:color w:val="808080" w:themeColor="background1" w:themeShade="80"/>
          <w:sz w:val="22"/>
          <w:szCs w:val="22"/>
          <w:lang w:val="en-GB"/>
        </w:rPr>
        <w:t>distribution of assets amongst creditors applies, and the concept of priority claims for certain types of creditors apply as well (</w:t>
      </w:r>
      <w:proofErr w:type="gramStart"/>
      <w:r w:rsidR="001C62BE">
        <w:rPr>
          <w:rFonts w:ascii="Avenir Next" w:hAnsi="Avenir Next" w:cs="Arial"/>
          <w:color w:val="808080" w:themeColor="background1" w:themeShade="80"/>
          <w:sz w:val="22"/>
          <w:szCs w:val="22"/>
          <w:lang w:val="en-GB"/>
        </w:rPr>
        <w:t>e.g.</w:t>
      </w:r>
      <w:proofErr w:type="gramEnd"/>
      <w:r w:rsidR="001C62BE">
        <w:rPr>
          <w:rFonts w:ascii="Avenir Next" w:hAnsi="Avenir Next" w:cs="Arial"/>
          <w:color w:val="808080" w:themeColor="background1" w:themeShade="80"/>
          <w:sz w:val="22"/>
          <w:szCs w:val="22"/>
          <w:lang w:val="en-GB"/>
        </w:rPr>
        <w:t xml:space="preserve"> secured creditors). </w:t>
      </w:r>
      <w:r w:rsidR="0009368C">
        <w:rPr>
          <w:rFonts w:ascii="Avenir Next" w:hAnsi="Avenir Next" w:cs="Arial"/>
          <w:color w:val="808080" w:themeColor="background1" w:themeShade="80"/>
          <w:sz w:val="22"/>
          <w:szCs w:val="22"/>
          <w:lang w:val="en-GB"/>
        </w:rPr>
        <w:t xml:space="preserve">There is also the need to reclaim voidable dispositions where the assets of the debtor have been improperly dealt with by the creditors.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lastRenderedPageBreak/>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68BCC4B7" w:rsidR="00DA42DA" w:rsidRDefault="0052532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many difficulties arising in cross-border insolvency that make it difficult to develop a single global cross-border insolvency dispensation. These challenges include</w:t>
      </w:r>
      <w:r w:rsidR="00C567B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first, </w:t>
      </w:r>
      <w:r w:rsidR="00407F3C">
        <w:rPr>
          <w:rFonts w:ascii="Avenir Next" w:hAnsi="Avenir Next" w:cs="Arial"/>
          <w:color w:val="808080" w:themeColor="background1" w:themeShade="80"/>
          <w:sz w:val="22"/>
          <w:szCs w:val="22"/>
          <w:lang w:val="en-GB"/>
        </w:rPr>
        <w:t xml:space="preserve">the territorial limits </w:t>
      </w:r>
      <w:r w:rsidR="000C6681">
        <w:rPr>
          <w:rFonts w:ascii="Avenir Next" w:hAnsi="Avenir Next" w:cs="Arial"/>
          <w:color w:val="808080" w:themeColor="background1" w:themeShade="80"/>
          <w:sz w:val="22"/>
          <w:szCs w:val="22"/>
          <w:lang w:val="en-GB"/>
        </w:rPr>
        <w:t xml:space="preserve">of </w:t>
      </w:r>
      <w:r w:rsidR="009F2B37">
        <w:rPr>
          <w:rFonts w:ascii="Avenir Next" w:hAnsi="Avenir Next" w:cs="Arial"/>
          <w:color w:val="808080" w:themeColor="background1" w:themeShade="80"/>
          <w:sz w:val="22"/>
          <w:szCs w:val="22"/>
          <w:lang w:val="en-GB"/>
        </w:rPr>
        <w:t xml:space="preserve">enforcement associated with </w:t>
      </w:r>
      <w:r w:rsidR="000C6681">
        <w:rPr>
          <w:rFonts w:ascii="Avenir Next" w:hAnsi="Avenir Next" w:cs="Arial"/>
          <w:color w:val="808080" w:themeColor="background1" w:themeShade="80"/>
          <w:sz w:val="22"/>
          <w:szCs w:val="22"/>
          <w:lang w:val="en-GB"/>
        </w:rPr>
        <w:t>a country’s jurisdiction</w:t>
      </w:r>
      <w:r w:rsidR="0059562E">
        <w:rPr>
          <w:rFonts w:ascii="Avenir Next" w:hAnsi="Avenir Next" w:cs="Arial"/>
          <w:color w:val="808080" w:themeColor="background1" w:themeShade="80"/>
          <w:sz w:val="22"/>
          <w:szCs w:val="22"/>
          <w:lang w:val="en-GB"/>
        </w:rPr>
        <w:t xml:space="preserve">. Given these territorial limits, </w:t>
      </w:r>
      <w:r w:rsidR="000745D0">
        <w:rPr>
          <w:rFonts w:ascii="Avenir Next" w:hAnsi="Avenir Next" w:cs="Arial"/>
          <w:color w:val="808080" w:themeColor="background1" w:themeShade="80"/>
          <w:sz w:val="22"/>
          <w:szCs w:val="22"/>
          <w:lang w:val="en-GB"/>
        </w:rPr>
        <w:t>multiple insolvency proceedings might be commenced against the debtor in different countries</w:t>
      </w:r>
      <w:r w:rsidR="00C567B4">
        <w:rPr>
          <w:rFonts w:ascii="Avenir Next" w:hAnsi="Avenir Next" w:cs="Arial"/>
          <w:color w:val="808080" w:themeColor="background1" w:themeShade="80"/>
          <w:sz w:val="22"/>
          <w:szCs w:val="22"/>
          <w:lang w:val="en-GB"/>
        </w:rPr>
        <w:t xml:space="preserve">. </w:t>
      </w:r>
      <w:r w:rsidR="001E4A7F">
        <w:rPr>
          <w:rFonts w:ascii="Avenir Next" w:hAnsi="Avenir Next" w:cs="Arial"/>
          <w:color w:val="808080" w:themeColor="background1" w:themeShade="80"/>
          <w:sz w:val="22"/>
          <w:szCs w:val="22"/>
          <w:lang w:val="en-GB"/>
        </w:rPr>
        <w:t xml:space="preserve">Second, </w:t>
      </w:r>
      <w:r w:rsidR="009504F6">
        <w:rPr>
          <w:rFonts w:ascii="Avenir Next" w:hAnsi="Avenir Next" w:cs="Arial"/>
          <w:color w:val="808080" w:themeColor="background1" w:themeShade="80"/>
          <w:sz w:val="22"/>
          <w:szCs w:val="22"/>
          <w:lang w:val="en-GB"/>
        </w:rPr>
        <w:t xml:space="preserve">the different </w:t>
      </w:r>
      <w:r w:rsidR="00F60FAA">
        <w:rPr>
          <w:rFonts w:ascii="Avenir Next" w:hAnsi="Avenir Next" w:cs="Arial"/>
          <w:color w:val="808080" w:themeColor="background1" w:themeShade="80"/>
          <w:sz w:val="22"/>
          <w:szCs w:val="22"/>
          <w:lang w:val="en-GB"/>
        </w:rPr>
        <w:t xml:space="preserve">insolvency regimes that are available in different legal systems, where creditors may not be able to obtain certain remedies, or certain priorities. </w:t>
      </w:r>
      <w:r w:rsidR="00EA41E9">
        <w:rPr>
          <w:rFonts w:ascii="Avenir Next" w:hAnsi="Avenir Next" w:cs="Arial"/>
          <w:color w:val="808080" w:themeColor="background1" w:themeShade="80"/>
          <w:sz w:val="22"/>
          <w:szCs w:val="22"/>
          <w:lang w:val="en-GB"/>
        </w:rPr>
        <w:t xml:space="preserve">This could lead to much uncertainty over the treatment of creditors’ rights and </w:t>
      </w:r>
      <w:r w:rsidR="00D6590B">
        <w:rPr>
          <w:rFonts w:ascii="Avenir Next" w:hAnsi="Avenir Next" w:cs="Arial"/>
          <w:color w:val="808080" w:themeColor="background1" w:themeShade="80"/>
          <w:sz w:val="22"/>
          <w:szCs w:val="22"/>
          <w:lang w:val="en-GB"/>
        </w:rPr>
        <w:t>would encourage forum shopping.</w:t>
      </w:r>
    </w:p>
    <w:p w14:paraId="4DED8990" w14:textId="77777777" w:rsidR="00D6590B" w:rsidRDefault="00D6590B" w:rsidP="00DA42DA">
      <w:pPr>
        <w:jc w:val="both"/>
        <w:rPr>
          <w:rFonts w:ascii="Avenir Next" w:hAnsi="Avenir Next" w:cs="Arial"/>
          <w:color w:val="808080" w:themeColor="background1" w:themeShade="80"/>
          <w:sz w:val="22"/>
          <w:szCs w:val="22"/>
          <w:lang w:val="en-GB"/>
        </w:rPr>
      </w:pPr>
    </w:p>
    <w:p w14:paraId="5AF529A7" w14:textId="28BA92B3" w:rsidR="00D6590B" w:rsidRPr="00DA42DA" w:rsidRDefault="00D6590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w:t>
      </w:r>
      <w:r w:rsidR="00D16804">
        <w:rPr>
          <w:rFonts w:ascii="Avenir Next" w:hAnsi="Avenir Next" w:cs="Arial"/>
          <w:color w:val="808080" w:themeColor="background1" w:themeShade="80"/>
          <w:sz w:val="22"/>
          <w:szCs w:val="22"/>
          <w:lang w:val="en-GB"/>
        </w:rPr>
        <w:t xml:space="preserve">there needs to be coordination and cooperation between the courts of different countries in a cross-border insolvency situation </w:t>
      </w:r>
      <w:r w:rsidR="00411F45">
        <w:rPr>
          <w:rFonts w:ascii="Avenir Next" w:hAnsi="Avenir Next" w:cs="Arial"/>
          <w:color w:val="808080" w:themeColor="background1" w:themeShade="80"/>
          <w:sz w:val="22"/>
          <w:szCs w:val="22"/>
          <w:lang w:val="en-GB"/>
        </w:rPr>
        <w:t xml:space="preserve">where there are multiple proceedings. </w:t>
      </w:r>
      <w:r w:rsidR="00B06713">
        <w:rPr>
          <w:rFonts w:ascii="Avenir Next" w:hAnsi="Avenir Next" w:cs="Arial"/>
          <w:color w:val="808080" w:themeColor="background1" w:themeShade="80"/>
          <w:sz w:val="22"/>
          <w:szCs w:val="22"/>
          <w:lang w:val="en-GB"/>
        </w:rPr>
        <w:t xml:space="preserve">In such situations of parallel </w:t>
      </w:r>
      <w:r w:rsidR="00E35A0C">
        <w:rPr>
          <w:rFonts w:ascii="Avenir Next" w:hAnsi="Avenir Next" w:cs="Arial"/>
          <w:color w:val="808080" w:themeColor="background1" w:themeShade="80"/>
          <w:sz w:val="22"/>
          <w:szCs w:val="22"/>
          <w:lang w:val="en-GB"/>
        </w:rPr>
        <w:t xml:space="preserve">insolvency proceedings being commenced, a lack of cooperation may lead to unnecessary losses for creditors </w:t>
      </w:r>
      <w:r w:rsidR="00F023C7">
        <w:rPr>
          <w:rFonts w:ascii="Avenir Next" w:hAnsi="Avenir Next" w:cs="Arial"/>
          <w:color w:val="808080" w:themeColor="background1" w:themeShade="80"/>
          <w:sz w:val="22"/>
          <w:szCs w:val="22"/>
          <w:lang w:val="en-GB"/>
        </w:rPr>
        <w:t xml:space="preserve">as it may be more difficult for a rescue or a scheme to be reached. </w:t>
      </w:r>
      <w:r w:rsidR="00EC4B7C">
        <w:rPr>
          <w:rFonts w:ascii="Avenir Next" w:hAnsi="Avenir Next" w:cs="Arial"/>
          <w:color w:val="808080" w:themeColor="background1" w:themeShade="80"/>
          <w:sz w:val="22"/>
          <w:szCs w:val="22"/>
          <w:lang w:val="en-GB"/>
        </w:rPr>
        <w:t xml:space="preserve">Fourth, </w:t>
      </w:r>
      <w:r w:rsidR="00491C9D">
        <w:rPr>
          <w:rFonts w:ascii="Avenir Next" w:hAnsi="Avenir Next" w:cs="Arial"/>
          <w:color w:val="808080" w:themeColor="background1" w:themeShade="80"/>
          <w:sz w:val="22"/>
          <w:szCs w:val="22"/>
          <w:lang w:val="en-GB"/>
        </w:rPr>
        <w:t xml:space="preserve">not all domestic legal systems are properly equipped to deal with </w:t>
      </w:r>
      <w:r w:rsidR="002D5C36">
        <w:rPr>
          <w:rFonts w:ascii="Avenir Next" w:hAnsi="Avenir Next" w:cs="Arial"/>
          <w:color w:val="808080" w:themeColor="background1" w:themeShade="80"/>
          <w:sz w:val="22"/>
          <w:szCs w:val="22"/>
          <w:lang w:val="en-GB"/>
        </w:rPr>
        <w:t xml:space="preserve">cross-border insolvency. This could exacerbate the earlier issues raised.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1104A189" w:rsidR="006A44B2" w:rsidRDefault="00BD594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 refers to rules and regulations which are binding on countries</w:t>
      </w:r>
      <w:r w:rsidR="009E11FA">
        <w:rPr>
          <w:rFonts w:ascii="Avenir Next" w:hAnsi="Avenir Next" w:cs="Arial"/>
          <w:color w:val="808080" w:themeColor="background1" w:themeShade="80"/>
          <w:sz w:val="22"/>
          <w:szCs w:val="22"/>
          <w:lang w:val="en-GB"/>
        </w:rPr>
        <w:t xml:space="preserve">. For instance, </w:t>
      </w:r>
      <w:r w:rsidR="0069186C">
        <w:rPr>
          <w:rFonts w:ascii="Avenir Next" w:hAnsi="Avenir Next" w:cs="Arial"/>
          <w:color w:val="808080" w:themeColor="background1" w:themeShade="80"/>
          <w:sz w:val="22"/>
          <w:szCs w:val="22"/>
          <w:lang w:val="en-GB"/>
        </w:rPr>
        <w:t>treaties and conventions to which countries become signatories to and accordingly bind themselves and affect their domestic law form part of a country’s “hard law”.</w:t>
      </w:r>
      <w:r w:rsidR="009E11FA">
        <w:rPr>
          <w:rFonts w:ascii="Avenir Next" w:hAnsi="Avenir Next" w:cs="Arial"/>
          <w:color w:val="808080" w:themeColor="background1" w:themeShade="80"/>
          <w:sz w:val="22"/>
          <w:szCs w:val="22"/>
          <w:lang w:val="en-GB"/>
        </w:rPr>
        <w:t xml:space="preserve"> In the context of international insolvencies, </w:t>
      </w:r>
      <w:r w:rsidR="00845E52">
        <w:rPr>
          <w:rFonts w:ascii="Avenir Next" w:hAnsi="Avenir Next" w:cs="Arial"/>
          <w:color w:val="808080" w:themeColor="background1" w:themeShade="80"/>
          <w:sz w:val="22"/>
          <w:szCs w:val="22"/>
          <w:lang w:val="en-GB"/>
        </w:rPr>
        <w:t xml:space="preserve">these would mean </w:t>
      </w:r>
      <w:r w:rsidR="000757CD">
        <w:rPr>
          <w:rFonts w:ascii="Avenir Next" w:hAnsi="Avenir Next" w:cs="Arial"/>
          <w:color w:val="808080" w:themeColor="background1" w:themeShade="80"/>
          <w:sz w:val="22"/>
          <w:szCs w:val="22"/>
          <w:lang w:val="en-GB"/>
        </w:rPr>
        <w:t>that d</w:t>
      </w:r>
      <w:r w:rsidR="00A364B3">
        <w:rPr>
          <w:rFonts w:ascii="Avenir Next" w:hAnsi="Avenir Next" w:cs="Arial"/>
          <w:color w:val="808080" w:themeColor="background1" w:themeShade="80"/>
          <w:sz w:val="22"/>
          <w:szCs w:val="22"/>
          <w:lang w:val="en-GB"/>
        </w:rPr>
        <w:t xml:space="preserve">omestic </w:t>
      </w:r>
      <w:r w:rsidR="009A60B3">
        <w:rPr>
          <w:rFonts w:ascii="Avenir Next" w:hAnsi="Avenir Next" w:cs="Arial"/>
          <w:color w:val="808080" w:themeColor="background1" w:themeShade="80"/>
          <w:sz w:val="22"/>
          <w:szCs w:val="22"/>
          <w:lang w:val="en-GB"/>
        </w:rPr>
        <w:t xml:space="preserve">insolvency </w:t>
      </w:r>
      <w:r w:rsidR="00845E52">
        <w:rPr>
          <w:rFonts w:ascii="Avenir Next" w:hAnsi="Avenir Next" w:cs="Arial"/>
          <w:color w:val="808080" w:themeColor="background1" w:themeShade="80"/>
          <w:sz w:val="22"/>
          <w:szCs w:val="22"/>
          <w:lang w:val="en-GB"/>
        </w:rPr>
        <w:t xml:space="preserve">rules and regulations </w:t>
      </w:r>
      <w:r w:rsidR="0035002E">
        <w:rPr>
          <w:rFonts w:ascii="Avenir Next" w:hAnsi="Avenir Next" w:cs="Arial"/>
          <w:color w:val="808080" w:themeColor="background1" w:themeShade="80"/>
          <w:sz w:val="22"/>
          <w:szCs w:val="22"/>
          <w:lang w:val="en-GB"/>
        </w:rPr>
        <w:t xml:space="preserve">are affected by </w:t>
      </w:r>
      <w:r w:rsidR="00095BB2">
        <w:rPr>
          <w:rFonts w:ascii="Avenir Next" w:hAnsi="Avenir Next" w:cs="Arial"/>
          <w:color w:val="808080" w:themeColor="background1" w:themeShade="80"/>
          <w:sz w:val="22"/>
          <w:szCs w:val="22"/>
          <w:lang w:val="en-GB"/>
        </w:rPr>
        <w:t>the treaties and conventions which the country has signed.</w:t>
      </w:r>
      <w:r w:rsidR="00B035A6">
        <w:rPr>
          <w:rFonts w:ascii="Avenir Next" w:hAnsi="Avenir Next" w:cs="Arial"/>
          <w:color w:val="808080" w:themeColor="background1" w:themeShade="80"/>
          <w:sz w:val="22"/>
          <w:szCs w:val="22"/>
          <w:lang w:val="en-GB"/>
        </w:rPr>
        <w:t xml:space="preserve"> </w:t>
      </w:r>
      <w:r w:rsidR="00070443">
        <w:rPr>
          <w:rFonts w:ascii="Avenir Next" w:hAnsi="Avenir Next" w:cs="Arial"/>
          <w:color w:val="808080" w:themeColor="background1" w:themeShade="80"/>
          <w:sz w:val="22"/>
          <w:szCs w:val="22"/>
          <w:lang w:val="en-GB"/>
        </w:rPr>
        <w:t xml:space="preserve">The successful multilateral treaty, the Nordic Convention (1933) is an example of “hard law” </w:t>
      </w:r>
      <w:r w:rsidR="00185463">
        <w:rPr>
          <w:rFonts w:ascii="Avenir Next" w:hAnsi="Avenir Next" w:cs="Arial"/>
          <w:color w:val="808080" w:themeColor="background1" w:themeShade="80"/>
          <w:sz w:val="22"/>
          <w:szCs w:val="22"/>
          <w:lang w:val="en-GB"/>
        </w:rPr>
        <w:t xml:space="preserve">where the Nordic Convention recognises the law of the place </w:t>
      </w:r>
      <w:r w:rsidR="00552097">
        <w:rPr>
          <w:rFonts w:ascii="Avenir Next" w:hAnsi="Avenir Next" w:cs="Arial"/>
          <w:color w:val="808080" w:themeColor="background1" w:themeShade="80"/>
          <w:sz w:val="22"/>
          <w:szCs w:val="22"/>
          <w:lang w:val="en-GB"/>
        </w:rPr>
        <w:t xml:space="preserve">where the insolvency adjudication is located, as being determinative of almost all the effects of the related orders in all </w:t>
      </w:r>
      <w:r w:rsidR="00C46AF6">
        <w:rPr>
          <w:rFonts w:ascii="Avenir Next" w:hAnsi="Avenir Next" w:cs="Arial"/>
          <w:color w:val="808080" w:themeColor="background1" w:themeShade="80"/>
          <w:sz w:val="22"/>
          <w:szCs w:val="22"/>
          <w:lang w:val="en-GB"/>
        </w:rPr>
        <w:t>signatories</w:t>
      </w:r>
      <w:r w:rsidR="00552097">
        <w:rPr>
          <w:rFonts w:ascii="Avenir Next" w:hAnsi="Avenir Next" w:cs="Arial"/>
          <w:color w:val="808080" w:themeColor="background1" w:themeShade="80"/>
          <w:sz w:val="22"/>
          <w:szCs w:val="22"/>
          <w:lang w:val="en-GB"/>
        </w:rPr>
        <w:t xml:space="preserve">, without the need for further formalities to be taken. </w:t>
      </w:r>
    </w:p>
    <w:p w14:paraId="4B98187D" w14:textId="77777777" w:rsidR="00C46AF6" w:rsidRDefault="00C46AF6" w:rsidP="006A44B2">
      <w:pPr>
        <w:jc w:val="both"/>
        <w:rPr>
          <w:rFonts w:ascii="Avenir Next" w:hAnsi="Avenir Next" w:cs="Arial"/>
          <w:color w:val="808080" w:themeColor="background1" w:themeShade="80"/>
          <w:sz w:val="22"/>
          <w:szCs w:val="22"/>
          <w:lang w:val="en-GB"/>
        </w:rPr>
      </w:pPr>
    </w:p>
    <w:p w14:paraId="3362CFD1" w14:textId="5F0A8AA6" w:rsidR="00C46AF6" w:rsidRPr="00DA42DA" w:rsidRDefault="00C46AF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w:t>
      </w:r>
      <w:r w:rsidR="005A7615">
        <w:rPr>
          <w:rFonts w:ascii="Avenir Next" w:hAnsi="Avenir Next" w:cs="Arial"/>
          <w:color w:val="808080" w:themeColor="background1" w:themeShade="80"/>
          <w:sz w:val="22"/>
          <w:szCs w:val="22"/>
          <w:lang w:val="en-GB"/>
        </w:rPr>
        <w:t xml:space="preserve">unlike treaties and conventions which seek to bind, </w:t>
      </w:r>
      <w:r>
        <w:rPr>
          <w:rFonts w:ascii="Avenir Next" w:hAnsi="Avenir Next" w:cs="Arial"/>
          <w:color w:val="808080" w:themeColor="background1" w:themeShade="80"/>
          <w:sz w:val="22"/>
          <w:szCs w:val="22"/>
          <w:lang w:val="en-GB"/>
        </w:rPr>
        <w:t>“soft law”</w:t>
      </w:r>
      <w:r w:rsidR="000E3DC2">
        <w:rPr>
          <w:rFonts w:ascii="Avenir Next" w:hAnsi="Avenir Next" w:cs="Arial"/>
          <w:color w:val="808080" w:themeColor="background1" w:themeShade="80"/>
          <w:sz w:val="22"/>
          <w:szCs w:val="22"/>
          <w:lang w:val="en-GB"/>
        </w:rPr>
        <w:t xml:space="preserve"> </w:t>
      </w:r>
      <w:r w:rsidR="005A7615">
        <w:rPr>
          <w:rFonts w:ascii="Avenir Next" w:hAnsi="Avenir Next" w:cs="Arial"/>
          <w:color w:val="808080" w:themeColor="background1" w:themeShade="80"/>
          <w:sz w:val="22"/>
          <w:szCs w:val="22"/>
          <w:lang w:val="en-GB"/>
        </w:rPr>
        <w:t xml:space="preserve">refers to approaches that seek to influence, such as </w:t>
      </w:r>
      <w:r w:rsidR="00DA197C">
        <w:rPr>
          <w:rFonts w:ascii="Avenir Next" w:hAnsi="Avenir Next" w:cs="Arial"/>
          <w:color w:val="808080" w:themeColor="background1" w:themeShade="80"/>
          <w:sz w:val="22"/>
          <w:szCs w:val="22"/>
          <w:lang w:val="en-GB"/>
        </w:rPr>
        <w:t>legislative guides and model legislation</w:t>
      </w:r>
      <w:r w:rsidR="00C070F0">
        <w:rPr>
          <w:rFonts w:ascii="Avenir Next" w:hAnsi="Avenir Next" w:cs="Arial"/>
          <w:color w:val="808080" w:themeColor="background1" w:themeShade="80"/>
          <w:sz w:val="22"/>
          <w:szCs w:val="22"/>
          <w:lang w:val="en-GB"/>
        </w:rPr>
        <w:t>.</w:t>
      </w:r>
      <w:r w:rsidR="00227651">
        <w:rPr>
          <w:rFonts w:ascii="Avenir Next" w:hAnsi="Avenir Next" w:cs="Arial"/>
          <w:color w:val="808080" w:themeColor="background1" w:themeShade="80"/>
          <w:sz w:val="22"/>
          <w:szCs w:val="22"/>
          <w:lang w:val="en-GB"/>
        </w:rPr>
        <w:t xml:space="preserve"> These “soft law” options are not binding on </w:t>
      </w:r>
      <w:proofErr w:type="gramStart"/>
      <w:r w:rsidR="00227651">
        <w:rPr>
          <w:rFonts w:ascii="Avenir Next" w:hAnsi="Avenir Next" w:cs="Arial"/>
          <w:color w:val="808080" w:themeColor="background1" w:themeShade="80"/>
          <w:sz w:val="22"/>
          <w:szCs w:val="22"/>
          <w:lang w:val="en-GB"/>
        </w:rPr>
        <w:t>parties</w:t>
      </w:r>
      <w:r w:rsidR="001339FA">
        <w:rPr>
          <w:rFonts w:ascii="Avenir Next" w:hAnsi="Avenir Next" w:cs="Arial"/>
          <w:color w:val="808080" w:themeColor="background1" w:themeShade="80"/>
          <w:sz w:val="22"/>
          <w:szCs w:val="22"/>
          <w:lang w:val="en-GB"/>
        </w:rPr>
        <w:t>, but</w:t>
      </w:r>
      <w:proofErr w:type="gramEnd"/>
      <w:r w:rsidR="001339FA">
        <w:rPr>
          <w:rFonts w:ascii="Avenir Next" w:hAnsi="Avenir Next" w:cs="Arial"/>
          <w:color w:val="808080" w:themeColor="background1" w:themeShade="80"/>
          <w:sz w:val="22"/>
          <w:szCs w:val="22"/>
          <w:lang w:val="en-GB"/>
        </w:rPr>
        <w:t xml:space="preserve"> are instead an approach that encourages </w:t>
      </w:r>
      <w:r w:rsidR="00F573EC">
        <w:rPr>
          <w:rFonts w:ascii="Avenir Next" w:hAnsi="Avenir Next" w:cs="Arial"/>
          <w:color w:val="808080" w:themeColor="background1" w:themeShade="80"/>
          <w:sz w:val="22"/>
          <w:szCs w:val="22"/>
          <w:lang w:val="en-GB"/>
        </w:rPr>
        <w:t xml:space="preserve">countries to voluntarily align their </w:t>
      </w:r>
      <w:r w:rsidR="008D08B1">
        <w:rPr>
          <w:rFonts w:ascii="Avenir Next" w:hAnsi="Avenir Next" w:cs="Arial"/>
          <w:color w:val="808080" w:themeColor="background1" w:themeShade="80"/>
          <w:sz w:val="22"/>
          <w:szCs w:val="22"/>
          <w:lang w:val="en-GB"/>
        </w:rPr>
        <w:t xml:space="preserve">domestic insolvency regimes </w:t>
      </w:r>
      <w:r w:rsidR="0020637F">
        <w:rPr>
          <w:rFonts w:ascii="Avenir Next" w:hAnsi="Avenir Next" w:cs="Arial"/>
          <w:color w:val="808080" w:themeColor="background1" w:themeShade="80"/>
          <w:sz w:val="22"/>
          <w:szCs w:val="22"/>
          <w:lang w:val="en-GB"/>
        </w:rPr>
        <w:t>with the unified approach proposed.</w:t>
      </w:r>
      <w:r w:rsidR="00C070F0">
        <w:rPr>
          <w:rFonts w:ascii="Avenir Next" w:hAnsi="Avenir Next" w:cs="Arial"/>
          <w:color w:val="808080" w:themeColor="background1" w:themeShade="80"/>
          <w:sz w:val="22"/>
          <w:szCs w:val="22"/>
          <w:lang w:val="en-GB"/>
        </w:rPr>
        <w:t xml:space="preserve"> F</w:t>
      </w:r>
      <w:r w:rsidR="00227651">
        <w:rPr>
          <w:rFonts w:ascii="Avenir Next" w:hAnsi="Avenir Next" w:cs="Arial"/>
          <w:color w:val="808080" w:themeColor="background1" w:themeShade="80"/>
          <w:sz w:val="22"/>
          <w:szCs w:val="22"/>
          <w:lang w:val="en-GB"/>
        </w:rPr>
        <w:t xml:space="preserve">or instance, </w:t>
      </w:r>
      <w:r w:rsidR="0020637F">
        <w:rPr>
          <w:rFonts w:ascii="Avenir Next" w:hAnsi="Avenir Next" w:cs="Arial"/>
          <w:color w:val="808080" w:themeColor="background1" w:themeShade="80"/>
          <w:sz w:val="22"/>
          <w:szCs w:val="22"/>
          <w:lang w:val="en-GB"/>
        </w:rPr>
        <w:t xml:space="preserve">the Model Law on Cross-border Insolvency developed by UNCITRAL </w:t>
      </w:r>
      <w:r w:rsidR="00D61404">
        <w:rPr>
          <w:rFonts w:ascii="Avenir Next" w:hAnsi="Avenir Next" w:cs="Arial"/>
          <w:color w:val="808080" w:themeColor="background1" w:themeShade="80"/>
          <w:sz w:val="22"/>
          <w:szCs w:val="22"/>
          <w:lang w:val="en-GB"/>
        </w:rPr>
        <w:t xml:space="preserve">has been gathering momentum as an effective and influential solution to international insolvency law as more countries have begun adopting it.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38DFD078" w:rsidR="002253D8" w:rsidRDefault="00CE34FC"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two </w:t>
      </w:r>
      <w:r w:rsidR="0005507B">
        <w:rPr>
          <w:rFonts w:ascii="Avenir Next" w:hAnsi="Avenir Next" w:cs="Arial"/>
          <w:color w:val="808080" w:themeColor="background1" w:themeShade="80"/>
          <w:sz w:val="22"/>
          <w:szCs w:val="22"/>
          <w:lang w:val="en-GB"/>
        </w:rPr>
        <w:t xml:space="preserve">ways through which the American insolvent estate representative can use to request recognition in terms of English Law to deal with the English assets of Norton Cars Inc. First, </w:t>
      </w:r>
      <w:r w:rsidR="00E6763B">
        <w:rPr>
          <w:rFonts w:ascii="Avenir Next" w:hAnsi="Avenir Next" w:cs="Arial"/>
          <w:color w:val="808080" w:themeColor="background1" w:themeShade="80"/>
          <w:sz w:val="22"/>
          <w:szCs w:val="22"/>
          <w:lang w:val="en-GB"/>
        </w:rPr>
        <w:t xml:space="preserve">the representative </w:t>
      </w:r>
      <w:r w:rsidR="00EE6342">
        <w:rPr>
          <w:rFonts w:ascii="Avenir Next" w:hAnsi="Avenir Next" w:cs="Arial"/>
          <w:color w:val="808080" w:themeColor="background1" w:themeShade="80"/>
          <w:sz w:val="22"/>
          <w:szCs w:val="22"/>
          <w:lang w:val="en-GB"/>
        </w:rPr>
        <w:t xml:space="preserve">may request for </w:t>
      </w:r>
      <w:r w:rsidR="0065385A">
        <w:rPr>
          <w:rFonts w:ascii="Avenir Next" w:hAnsi="Avenir Next" w:cs="Arial"/>
          <w:color w:val="808080" w:themeColor="background1" w:themeShade="80"/>
          <w:sz w:val="22"/>
          <w:szCs w:val="22"/>
          <w:lang w:val="en-GB"/>
        </w:rPr>
        <w:t xml:space="preserve">recognition under the </w:t>
      </w:r>
      <w:r w:rsidR="00636E4D">
        <w:rPr>
          <w:rFonts w:ascii="Avenir Next" w:hAnsi="Avenir Next" w:cs="Arial"/>
          <w:color w:val="808080" w:themeColor="background1" w:themeShade="80"/>
          <w:sz w:val="22"/>
          <w:szCs w:val="22"/>
          <w:lang w:val="en-GB"/>
        </w:rPr>
        <w:t>UN</w:t>
      </w:r>
      <w:r w:rsidR="00E332FB">
        <w:rPr>
          <w:rFonts w:ascii="Avenir Next" w:hAnsi="Avenir Next" w:cs="Arial"/>
          <w:color w:val="808080" w:themeColor="background1" w:themeShade="80"/>
          <w:sz w:val="22"/>
          <w:szCs w:val="22"/>
          <w:lang w:val="en-GB"/>
        </w:rPr>
        <w:t xml:space="preserve">CITRAL Model Law on Cross-Border Insolvency which England has </w:t>
      </w:r>
      <w:r w:rsidR="00FA43B5">
        <w:rPr>
          <w:rFonts w:ascii="Avenir Next" w:hAnsi="Avenir Next" w:cs="Arial"/>
          <w:color w:val="808080" w:themeColor="background1" w:themeShade="80"/>
          <w:sz w:val="22"/>
          <w:szCs w:val="22"/>
          <w:lang w:val="en-GB"/>
        </w:rPr>
        <w:t xml:space="preserve">adopted in 2006. </w:t>
      </w:r>
      <w:r w:rsidR="00475E23">
        <w:rPr>
          <w:rFonts w:ascii="Avenir Next" w:hAnsi="Avenir Next" w:cs="Arial"/>
          <w:color w:val="808080" w:themeColor="background1" w:themeShade="80"/>
          <w:sz w:val="22"/>
          <w:szCs w:val="22"/>
          <w:lang w:val="en-GB"/>
        </w:rPr>
        <w:t xml:space="preserve">Second, the representative may request for recognition under </w:t>
      </w:r>
      <w:r w:rsidR="007A0257">
        <w:rPr>
          <w:rFonts w:ascii="Avenir Next" w:hAnsi="Avenir Next" w:cs="Arial"/>
          <w:color w:val="808080" w:themeColor="background1" w:themeShade="80"/>
          <w:sz w:val="22"/>
          <w:szCs w:val="22"/>
          <w:lang w:val="en-GB"/>
        </w:rPr>
        <w:t xml:space="preserve">the English common law </w:t>
      </w:r>
      <w:r w:rsidR="00131DF7">
        <w:rPr>
          <w:rFonts w:ascii="Avenir Next" w:hAnsi="Avenir Next" w:cs="Arial"/>
          <w:color w:val="808080" w:themeColor="background1" w:themeShade="80"/>
          <w:sz w:val="22"/>
          <w:szCs w:val="22"/>
          <w:lang w:val="en-GB"/>
        </w:rPr>
        <w:t xml:space="preserve">jurisdiction </w:t>
      </w:r>
      <w:r w:rsidR="00EE2403">
        <w:rPr>
          <w:rFonts w:ascii="Avenir Next" w:hAnsi="Avenir Next" w:cs="Arial"/>
          <w:color w:val="808080" w:themeColor="background1" w:themeShade="80"/>
          <w:sz w:val="22"/>
          <w:szCs w:val="22"/>
          <w:lang w:val="en-GB"/>
        </w:rPr>
        <w:t xml:space="preserve">for the English courts to grant assistance to </w:t>
      </w:r>
      <w:r w:rsidR="0001160E">
        <w:rPr>
          <w:rFonts w:ascii="Avenir Next" w:hAnsi="Avenir Next" w:cs="Arial"/>
          <w:color w:val="808080" w:themeColor="background1" w:themeShade="80"/>
          <w:sz w:val="22"/>
          <w:szCs w:val="22"/>
          <w:lang w:val="en-GB"/>
        </w:rPr>
        <w:t xml:space="preserve">foreign insolvency proceedings. </w:t>
      </w:r>
    </w:p>
    <w:p w14:paraId="3EE1CB6A" w14:textId="77777777" w:rsidR="00031B89" w:rsidRDefault="00031B89" w:rsidP="00DB5A5A">
      <w:pPr>
        <w:jc w:val="both"/>
        <w:rPr>
          <w:rFonts w:ascii="Avenir Next" w:hAnsi="Avenir Next" w:cs="Arial"/>
          <w:color w:val="808080" w:themeColor="background1" w:themeShade="80"/>
          <w:sz w:val="22"/>
          <w:szCs w:val="22"/>
          <w:lang w:val="en-GB"/>
        </w:rPr>
      </w:pPr>
    </w:p>
    <w:p w14:paraId="3E0D28DA" w14:textId="71A31E1C" w:rsidR="00031B89" w:rsidRPr="002253D8" w:rsidRDefault="00031B89"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side note, </w:t>
      </w:r>
      <w:r w:rsidR="00D4691A">
        <w:rPr>
          <w:rFonts w:ascii="Avenir Next" w:hAnsi="Avenir Next" w:cs="Arial"/>
          <w:color w:val="808080" w:themeColor="background1" w:themeShade="80"/>
          <w:sz w:val="22"/>
          <w:szCs w:val="22"/>
          <w:lang w:val="en-GB"/>
        </w:rPr>
        <w:t xml:space="preserve">the representative cannot request for assistance via </w:t>
      </w:r>
      <w:r w:rsidR="00E06F00">
        <w:rPr>
          <w:rFonts w:ascii="Avenir Next" w:hAnsi="Avenir Next" w:cs="Arial"/>
          <w:color w:val="808080" w:themeColor="background1" w:themeShade="80"/>
          <w:sz w:val="22"/>
          <w:szCs w:val="22"/>
          <w:lang w:val="en-GB"/>
        </w:rPr>
        <w:t>s</w:t>
      </w:r>
      <w:r w:rsidR="00607A29">
        <w:rPr>
          <w:rFonts w:ascii="Avenir Next" w:hAnsi="Avenir Next" w:cs="Arial"/>
          <w:color w:val="808080" w:themeColor="background1" w:themeShade="80"/>
          <w:sz w:val="22"/>
          <w:szCs w:val="22"/>
          <w:lang w:val="en-GB"/>
        </w:rPr>
        <w:t xml:space="preserve"> 426 </w:t>
      </w:r>
      <w:r w:rsidR="006F6C82">
        <w:rPr>
          <w:rFonts w:ascii="Avenir Next" w:hAnsi="Avenir Next" w:cs="Arial"/>
          <w:color w:val="808080" w:themeColor="background1" w:themeShade="80"/>
          <w:sz w:val="22"/>
          <w:szCs w:val="22"/>
          <w:lang w:val="en-GB"/>
        </w:rPr>
        <w:t xml:space="preserve">of the English Insolvency Act 1986 </w:t>
      </w:r>
      <w:r w:rsidR="00D4691A">
        <w:rPr>
          <w:rFonts w:ascii="Avenir Next" w:hAnsi="Avenir Next" w:cs="Arial"/>
          <w:color w:val="808080" w:themeColor="background1" w:themeShade="80"/>
          <w:sz w:val="22"/>
          <w:szCs w:val="22"/>
          <w:lang w:val="en-GB"/>
        </w:rPr>
        <w:t xml:space="preserve">because the </w:t>
      </w:r>
      <w:r w:rsidR="007B7DFD">
        <w:rPr>
          <w:rFonts w:ascii="Avenir Next" w:hAnsi="Avenir Next" w:cs="Arial"/>
          <w:color w:val="808080" w:themeColor="background1" w:themeShade="80"/>
          <w:sz w:val="22"/>
          <w:szCs w:val="22"/>
          <w:lang w:val="en-GB"/>
        </w:rPr>
        <w:t xml:space="preserve">US is not a relevant country under </w:t>
      </w:r>
      <w:r w:rsidR="00341921">
        <w:rPr>
          <w:rFonts w:ascii="Avenir Next" w:hAnsi="Avenir Next" w:cs="Arial"/>
          <w:color w:val="808080" w:themeColor="background1" w:themeShade="80"/>
          <w:sz w:val="22"/>
          <w:szCs w:val="22"/>
          <w:lang w:val="en-GB"/>
        </w:rPr>
        <w:t xml:space="preserve">the Act.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28A227B0" w:rsidR="002253D8" w:rsidRDefault="00592BF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Italy and Germany are both part of the European Union, the applicable legal source</w:t>
      </w:r>
      <w:r w:rsidR="00B96497">
        <w:rPr>
          <w:rFonts w:ascii="Avenir Next" w:hAnsi="Avenir Next" w:cs="Arial"/>
          <w:color w:val="808080" w:themeColor="background1" w:themeShade="80"/>
          <w:sz w:val="22"/>
          <w:szCs w:val="22"/>
          <w:lang w:val="en-GB"/>
        </w:rPr>
        <w:t xml:space="preserve"> to be used in such a cross-border insolvency is</w:t>
      </w:r>
      <w:r w:rsidR="002E1C1A">
        <w:rPr>
          <w:rFonts w:ascii="Avenir Next" w:hAnsi="Avenir Next" w:cs="Arial"/>
          <w:color w:val="808080" w:themeColor="background1" w:themeShade="80"/>
          <w:sz w:val="22"/>
          <w:szCs w:val="22"/>
          <w:lang w:val="en-GB"/>
        </w:rPr>
        <w:t xml:space="preserve"> </w:t>
      </w:r>
      <w:r w:rsidR="0083203B">
        <w:rPr>
          <w:rFonts w:ascii="Avenir Next" w:hAnsi="Avenir Next" w:cs="Arial"/>
          <w:color w:val="808080" w:themeColor="background1" w:themeShade="80"/>
          <w:sz w:val="22"/>
          <w:szCs w:val="22"/>
          <w:lang w:val="en-GB"/>
        </w:rPr>
        <w:t xml:space="preserve">the </w:t>
      </w:r>
      <w:r w:rsidR="00D35FF4">
        <w:rPr>
          <w:rFonts w:ascii="Avenir Next" w:hAnsi="Avenir Next" w:cs="Arial"/>
          <w:color w:val="808080" w:themeColor="background1" w:themeShade="80"/>
          <w:sz w:val="22"/>
          <w:szCs w:val="22"/>
          <w:lang w:val="en-GB"/>
        </w:rPr>
        <w:t>EU (Recast) Insolvency Regulation</w:t>
      </w:r>
      <w:r w:rsidR="002D6791">
        <w:rPr>
          <w:rFonts w:ascii="Avenir Next" w:hAnsi="Avenir Next" w:cs="Arial"/>
          <w:color w:val="808080" w:themeColor="background1" w:themeShade="80"/>
          <w:sz w:val="22"/>
          <w:szCs w:val="22"/>
          <w:lang w:val="en-GB"/>
        </w:rPr>
        <w:t xml:space="preserve"> </w:t>
      </w:r>
      <w:r w:rsidR="00FB61B2">
        <w:rPr>
          <w:rFonts w:ascii="Avenir Next" w:hAnsi="Avenir Next" w:cs="Arial"/>
          <w:color w:val="808080" w:themeColor="background1" w:themeShade="80"/>
          <w:sz w:val="22"/>
          <w:szCs w:val="22"/>
          <w:lang w:val="en-GB"/>
        </w:rPr>
        <w:t>and any subsequent amendments</w:t>
      </w:r>
      <w:r w:rsidR="002D6B69">
        <w:rPr>
          <w:rFonts w:ascii="Avenir Next" w:hAnsi="Avenir Next" w:cs="Arial"/>
          <w:color w:val="808080" w:themeColor="background1" w:themeShade="80"/>
          <w:sz w:val="22"/>
          <w:szCs w:val="22"/>
          <w:lang w:val="en-GB"/>
        </w:rPr>
        <w:t xml:space="preserve"> to the EIR Recast</w:t>
      </w:r>
      <w:r w:rsidR="00FB61B2">
        <w:rPr>
          <w:rFonts w:ascii="Avenir Next" w:hAnsi="Avenir Next" w:cs="Arial"/>
          <w:color w:val="808080" w:themeColor="background1" w:themeShade="80"/>
          <w:sz w:val="22"/>
          <w:szCs w:val="22"/>
          <w:lang w:val="en-GB"/>
        </w:rPr>
        <w:t xml:space="preserve"> such as the Regulation 2021/2260 of 15 December 2021</w:t>
      </w:r>
      <w:r w:rsidR="00FC5C3B">
        <w:rPr>
          <w:rFonts w:ascii="Avenir Next" w:hAnsi="Avenir Next" w:cs="Arial"/>
          <w:color w:val="808080" w:themeColor="background1" w:themeShade="80"/>
          <w:sz w:val="22"/>
          <w:szCs w:val="22"/>
          <w:lang w:val="en-GB"/>
        </w:rPr>
        <w:t xml:space="preserve"> (“EIR Recast”)</w:t>
      </w:r>
      <w:r w:rsidR="00FB61B2">
        <w:rPr>
          <w:rFonts w:ascii="Avenir Next" w:hAnsi="Avenir Next" w:cs="Arial"/>
          <w:color w:val="808080" w:themeColor="background1" w:themeShade="80"/>
          <w:sz w:val="22"/>
          <w:szCs w:val="22"/>
          <w:lang w:val="en-GB"/>
        </w:rPr>
        <w:t xml:space="preserve">. </w:t>
      </w:r>
      <w:r w:rsidR="00A03CC2">
        <w:rPr>
          <w:rFonts w:ascii="Avenir Next" w:hAnsi="Avenir Next" w:cs="Arial"/>
          <w:color w:val="808080" w:themeColor="background1" w:themeShade="80"/>
          <w:sz w:val="22"/>
          <w:szCs w:val="22"/>
          <w:lang w:val="en-GB"/>
        </w:rPr>
        <w:t xml:space="preserve">According to the EIR Recast, jurisdictional competence is allocated to the court of the country within which the </w:t>
      </w:r>
      <w:r w:rsidR="004755FF">
        <w:rPr>
          <w:rFonts w:ascii="Avenir Next" w:hAnsi="Avenir Next" w:cs="Arial"/>
          <w:color w:val="808080" w:themeColor="background1" w:themeShade="80"/>
          <w:sz w:val="22"/>
          <w:szCs w:val="22"/>
          <w:lang w:val="en-GB"/>
        </w:rPr>
        <w:t xml:space="preserve">debtor’s COMI is located in. Therefore, in the present case, </w:t>
      </w:r>
      <w:r w:rsidR="00560AE6">
        <w:rPr>
          <w:rFonts w:ascii="Avenir Next" w:hAnsi="Avenir Next" w:cs="Arial"/>
          <w:color w:val="808080" w:themeColor="background1" w:themeShade="80"/>
          <w:sz w:val="22"/>
          <w:szCs w:val="22"/>
          <w:lang w:val="en-GB"/>
        </w:rPr>
        <w:t xml:space="preserve">since the COMI is in Italy (having shifted from England), the main proceedings should be opened in Italy. </w:t>
      </w:r>
      <w:r w:rsidR="002149BF">
        <w:rPr>
          <w:rFonts w:ascii="Avenir Next" w:hAnsi="Avenir Next" w:cs="Arial"/>
          <w:color w:val="808080" w:themeColor="background1" w:themeShade="80"/>
          <w:sz w:val="22"/>
          <w:szCs w:val="22"/>
          <w:lang w:val="en-GB"/>
        </w:rPr>
        <w:t xml:space="preserve">In any event, it must be observed that the management of Norton Cars Inc operations are directed from Italy as well. </w:t>
      </w:r>
    </w:p>
    <w:p w14:paraId="503AA176" w14:textId="77777777" w:rsidR="003E5103" w:rsidRDefault="003E5103" w:rsidP="002253D8">
      <w:pPr>
        <w:jc w:val="both"/>
        <w:rPr>
          <w:rFonts w:ascii="Avenir Next" w:hAnsi="Avenir Next" w:cs="Arial"/>
          <w:color w:val="808080" w:themeColor="background1" w:themeShade="80"/>
          <w:sz w:val="22"/>
          <w:szCs w:val="22"/>
          <w:lang w:val="en-GB"/>
        </w:rPr>
      </w:pPr>
    </w:p>
    <w:p w14:paraId="616EF848" w14:textId="13F5B7E4" w:rsidR="003E5103" w:rsidRPr="00DA42DA" w:rsidRDefault="003E5103"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besides the main proceeding being opened in Italy, </w:t>
      </w:r>
      <w:r w:rsidR="00F26973">
        <w:rPr>
          <w:rFonts w:ascii="Avenir Next" w:hAnsi="Avenir Next" w:cs="Arial"/>
          <w:color w:val="808080" w:themeColor="background1" w:themeShade="80"/>
          <w:sz w:val="22"/>
          <w:szCs w:val="22"/>
          <w:lang w:val="en-GB"/>
        </w:rPr>
        <w:t xml:space="preserve">the EIR Recast allows for subsidiary territorial proceedings to be opened in Germany as well, because Norton Cars Inc has an “establishment” in Germany. This is due to Norton Cars Inc having its main operations in Germany. </w:t>
      </w:r>
      <w:r w:rsidR="00237B60">
        <w:rPr>
          <w:rFonts w:ascii="Avenir Next" w:hAnsi="Avenir Next" w:cs="Arial"/>
          <w:color w:val="808080" w:themeColor="background1" w:themeShade="80"/>
          <w:sz w:val="22"/>
          <w:szCs w:val="22"/>
          <w:lang w:val="en-GB"/>
        </w:rPr>
        <w:t xml:space="preserve">Such subsidiary proceeding in Germany can either be “independent proceedings” that are opened </w:t>
      </w:r>
      <w:r w:rsidR="00237B60">
        <w:rPr>
          <w:rFonts w:ascii="Avenir Next" w:hAnsi="Avenir Next" w:cs="Arial"/>
          <w:color w:val="808080" w:themeColor="background1" w:themeShade="80"/>
          <w:sz w:val="22"/>
          <w:szCs w:val="22"/>
          <w:lang w:val="en-GB"/>
        </w:rPr>
        <w:lastRenderedPageBreak/>
        <w:t xml:space="preserve">prior to the main proceedings in Italy, or “secondary proceedings” that are opened after the bankruptcy adjudication in Italy.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1B965BC3" w:rsidR="002253D8" w:rsidRPr="002253D8" w:rsidRDefault="00F128E0"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w:t>
      </w:r>
      <w:r w:rsidR="00D35FF4">
        <w:rPr>
          <w:rFonts w:ascii="Avenir Next" w:hAnsi="Avenir Next" w:cs="Arial"/>
          <w:color w:val="808080" w:themeColor="background1" w:themeShade="80"/>
          <w:sz w:val="22"/>
          <w:szCs w:val="22"/>
          <w:lang w:val="en-GB"/>
        </w:rPr>
        <w:t xml:space="preserve">the Indian, South </w:t>
      </w:r>
      <w:proofErr w:type="gramStart"/>
      <w:r w:rsidR="00D35FF4">
        <w:rPr>
          <w:rFonts w:ascii="Avenir Next" w:hAnsi="Avenir Next" w:cs="Arial"/>
          <w:color w:val="808080" w:themeColor="background1" w:themeShade="80"/>
          <w:sz w:val="22"/>
          <w:szCs w:val="22"/>
          <w:lang w:val="en-GB"/>
        </w:rPr>
        <w:t>African</w:t>
      </w:r>
      <w:proofErr w:type="gramEnd"/>
      <w:r w:rsidR="00D35FF4">
        <w:rPr>
          <w:rFonts w:ascii="Avenir Next" w:hAnsi="Avenir Next" w:cs="Arial"/>
          <w:color w:val="808080" w:themeColor="background1" w:themeShade="80"/>
          <w:sz w:val="22"/>
          <w:szCs w:val="22"/>
          <w:lang w:val="en-GB"/>
        </w:rPr>
        <w:t xml:space="preserve"> or Australian court would not be eligible to apply the </w:t>
      </w:r>
      <w:r w:rsidR="00A10B92">
        <w:rPr>
          <w:rFonts w:ascii="Avenir Next" w:hAnsi="Avenir Next" w:cs="Arial"/>
          <w:color w:val="808080" w:themeColor="background1" w:themeShade="80"/>
          <w:sz w:val="22"/>
          <w:szCs w:val="22"/>
          <w:lang w:val="en-GB"/>
        </w:rPr>
        <w:t xml:space="preserve">EU (Recast) Insolvency Regulation as they are not part of the EU. </w:t>
      </w:r>
      <w:r w:rsidR="009B5464">
        <w:rPr>
          <w:rFonts w:ascii="Avenir Next" w:hAnsi="Avenir Next" w:cs="Arial"/>
          <w:color w:val="808080" w:themeColor="background1" w:themeShade="80"/>
          <w:sz w:val="22"/>
          <w:szCs w:val="22"/>
          <w:lang w:val="en-GB"/>
        </w:rPr>
        <w:t xml:space="preserve">The EU (Recast) Insolvency Regulation is only </w:t>
      </w:r>
      <w:r w:rsidR="00A811A8">
        <w:rPr>
          <w:rFonts w:ascii="Avenir Next" w:hAnsi="Avenir Next" w:cs="Arial"/>
          <w:color w:val="808080" w:themeColor="background1" w:themeShade="80"/>
          <w:sz w:val="22"/>
          <w:szCs w:val="22"/>
          <w:lang w:val="en-GB"/>
        </w:rPr>
        <w:t xml:space="preserve">applicable between EU members. </w:t>
      </w:r>
      <w:r w:rsidR="00D35FF4">
        <w:rPr>
          <w:rFonts w:ascii="Avenir Next" w:hAnsi="Avenir Next" w:cs="Arial"/>
          <w:color w:val="808080" w:themeColor="background1" w:themeShade="80"/>
          <w:sz w:val="22"/>
          <w:szCs w:val="22"/>
          <w:lang w:val="en-GB"/>
        </w:rPr>
        <w:t xml:space="preserve">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705C87AE" w:rsidR="002253D8" w:rsidRPr="00ED6873" w:rsidRDefault="00C055D5" w:rsidP="002D0A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w:t>
      </w:r>
      <w:r w:rsidR="008E2478">
        <w:rPr>
          <w:rFonts w:ascii="Avenir Next" w:hAnsi="Avenir Next" w:cs="Arial"/>
          <w:color w:val="808080" w:themeColor="background1" w:themeShade="80"/>
          <w:sz w:val="22"/>
          <w:szCs w:val="22"/>
          <w:lang w:val="en-GB"/>
        </w:rPr>
        <w:t xml:space="preserve">Italy and Netherlands are part of the EU, the EU (Recast) Insolvency Regulation (“EIR Recast”) is applicable in the present case. </w:t>
      </w:r>
      <w:r w:rsidR="00E97BB7">
        <w:rPr>
          <w:rFonts w:ascii="Avenir Next" w:hAnsi="Avenir Next" w:cs="Arial"/>
          <w:color w:val="808080" w:themeColor="background1" w:themeShade="80"/>
          <w:sz w:val="22"/>
          <w:szCs w:val="22"/>
          <w:lang w:val="en-GB"/>
        </w:rPr>
        <w:t xml:space="preserve">Article 7 of the EIR Recast applies such that Italian law </w:t>
      </w:r>
      <w:r w:rsidR="002538BB">
        <w:rPr>
          <w:rFonts w:ascii="Avenir Next" w:hAnsi="Avenir Next" w:cs="Arial"/>
          <w:color w:val="808080" w:themeColor="background1" w:themeShade="80"/>
          <w:sz w:val="22"/>
          <w:szCs w:val="22"/>
          <w:lang w:val="en-GB"/>
        </w:rPr>
        <w:t xml:space="preserve">will apply in the present case because the insolvency proceedings </w:t>
      </w:r>
      <w:r w:rsidR="000E2086">
        <w:rPr>
          <w:rFonts w:ascii="Avenir Next" w:hAnsi="Avenir Next" w:cs="Arial"/>
          <w:color w:val="808080" w:themeColor="background1" w:themeShade="80"/>
          <w:sz w:val="22"/>
          <w:szCs w:val="22"/>
          <w:lang w:val="en-GB"/>
        </w:rPr>
        <w:t xml:space="preserve">had been opened in terms of Italian law. </w:t>
      </w:r>
      <w:r w:rsidR="000401AF">
        <w:rPr>
          <w:rFonts w:ascii="Avenir Next" w:hAnsi="Avenir Next" w:cs="Arial"/>
          <w:color w:val="808080" w:themeColor="background1" w:themeShade="80"/>
          <w:sz w:val="22"/>
          <w:szCs w:val="22"/>
          <w:lang w:val="en-GB"/>
        </w:rPr>
        <w:t xml:space="preserve">However, Article 8 of the EIR Recast applies </w:t>
      </w:r>
      <w:r w:rsidR="00ED6873">
        <w:rPr>
          <w:rFonts w:ascii="Avenir Next" w:hAnsi="Avenir Next" w:cs="Arial"/>
          <w:color w:val="808080" w:themeColor="background1" w:themeShade="80"/>
          <w:sz w:val="22"/>
          <w:szCs w:val="22"/>
          <w:lang w:val="en-GB"/>
        </w:rPr>
        <w:t xml:space="preserve">in relation to the assets in Netherlands which are subject to the real rights of security. </w:t>
      </w:r>
      <w:proofErr w:type="gramStart"/>
      <w:r w:rsidR="00ED6873">
        <w:rPr>
          <w:rFonts w:ascii="Avenir Next" w:hAnsi="Avenir Next" w:cs="Arial"/>
          <w:color w:val="808080" w:themeColor="background1" w:themeShade="80"/>
          <w:sz w:val="22"/>
          <w:szCs w:val="22"/>
          <w:lang w:val="en-GB"/>
        </w:rPr>
        <w:t>In particular, Article</w:t>
      </w:r>
      <w:proofErr w:type="gramEnd"/>
      <w:r w:rsidR="00ED6873">
        <w:rPr>
          <w:rFonts w:ascii="Avenir Next" w:hAnsi="Avenir Next" w:cs="Arial"/>
          <w:color w:val="808080" w:themeColor="background1" w:themeShade="80"/>
          <w:sz w:val="22"/>
          <w:szCs w:val="22"/>
          <w:lang w:val="en-GB"/>
        </w:rPr>
        <w:t xml:space="preserve"> 8 provides that “the opening of insolvency proceedings shall not affect the rights </w:t>
      </w:r>
      <w:r w:rsidR="00ED6873">
        <w:rPr>
          <w:rFonts w:ascii="Avenir Next" w:hAnsi="Avenir Next" w:cs="Arial"/>
          <w:i/>
          <w:iCs/>
          <w:color w:val="808080" w:themeColor="background1" w:themeShade="80"/>
          <w:sz w:val="22"/>
          <w:szCs w:val="22"/>
          <w:lang w:val="en-GB"/>
        </w:rPr>
        <w:t>in rem</w:t>
      </w:r>
      <w:r w:rsidR="00ED6873">
        <w:rPr>
          <w:rFonts w:ascii="Avenir Next" w:hAnsi="Avenir Next" w:cs="Arial"/>
          <w:color w:val="808080" w:themeColor="background1" w:themeShade="80"/>
          <w:sz w:val="22"/>
          <w:szCs w:val="22"/>
          <w:lang w:val="en-GB"/>
        </w:rPr>
        <w:t xml:space="preserve"> of creditors </w:t>
      </w:r>
      <w:r w:rsidR="00350920">
        <w:rPr>
          <w:rFonts w:ascii="Avenir Next" w:hAnsi="Avenir Next" w:cs="Arial"/>
          <w:color w:val="808080" w:themeColor="background1" w:themeShade="80"/>
          <w:sz w:val="22"/>
          <w:szCs w:val="22"/>
          <w:lang w:val="en-GB"/>
        </w:rPr>
        <w:t xml:space="preserve">or third parties in respect of tangible or intangible, moveable or immoveable assets… belonging to the debtor which are situated within the territory of another Member State at the time of the opening of proceedings”. </w:t>
      </w:r>
      <w:r w:rsidR="0097748D">
        <w:rPr>
          <w:rFonts w:ascii="Avenir Next" w:hAnsi="Avenir Next" w:cs="Arial"/>
          <w:color w:val="808080" w:themeColor="background1" w:themeShade="80"/>
          <w:sz w:val="22"/>
          <w:szCs w:val="22"/>
          <w:lang w:val="en-GB"/>
        </w:rPr>
        <w:t xml:space="preserve">Therefore, </w:t>
      </w:r>
      <w:r w:rsidR="00057EE4">
        <w:rPr>
          <w:rFonts w:ascii="Avenir Next" w:hAnsi="Avenir Next" w:cs="Arial"/>
          <w:color w:val="808080" w:themeColor="background1" w:themeShade="80"/>
          <w:sz w:val="22"/>
          <w:szCs w:val="22"/>
          <w:lang w:val="en-GB"/>
        </w:rPr>
        <w:t xml:space="preserve">Italian law will not apply to the assets in Netherlands that are subject to real rights of security. Dutch law would apply to these assets instead.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3C8C5E77" w:rsidR="002253D8" w:rsidRDefault="00C11494" w:rsidP="002D0A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Australia is not part of the EU, the EIR Recast is not applicable in the present case. </w:t>
      </w:r>
      <w:r w:rsidR="00DC4E47">
        <w:rPr>
          <w:rFonts w:ascii="Avenir Next" w:hAnsi="Avenir Next" w:cs="Arial"/>
          <w:color w:val="808080" w:themeColor="background1" w:themeShade="80"/>
          <w:sz w:val="22"/>
          <w:szCs w:val="22"/>
          <w:lang w:val="en-GB"/>
        </w:rPr>
        <w:t xml:space="preserve">Australian law will thus </w:t>
      </w:r>
      <w:r w:rsidR="00F00B9A">
        <w:rPr>
          <w:rFonts w:ascii="Avenir Next" w:hAnsi="Avenir Next" w:cs="Arial"/>
          <w:color w:val="808080" w:themeColor="background1" w:themeShade="80"/>
          <w:sz w:val="22"/>
          <w:szCs w:val="22"/>
          <w:lang w:val="en-GB"/>
        </w:rPr>
        <w:t>apply to any concurrent insolvency proceedings taking place in Australia</w:t>
      </w:r>
      <w:r w:rsidR="002D0A8B">
        <w:rPr>
          <w:rFonts w:ascii="Avenir Next" w:hAnsi="Avenir Next" w:cs="Arial"/>
          <w:color w:val="808080" w:themeColor="background1" w:themeShade="80"/>
          <w:sz w:val="22"/>
          <w:szCs w:val="22"/>
          <w:lang w:val="en-GB"/>
        </w:rPr>
        <w:t xml:space="preserve">, as well as govern any real rights of security over assets located in Australia. </w:t>
      </w:r>
    </w:p>
    <w:p w14:paraId="4EAE7D86" w14:textId="77777777" w:rsidR="002D0A8B" w:rsidRDefault="002D0A8B" w:rsidP="002253D8">
      <w:pPr>
        <w:ind w:firstLine="426"/>
        <w:jc w:val="both"/>
        <w:rPr>
          <w:rFonts w:ascii="Avenir Next" w:hAnsi="Avenir Next" w:cs="Arial"/>
          <w:color w:val="808080" w:themeColor="background1" w:themeShade="80"/>
          <w:sz w:val="22"/>
          <w:szCs w:val="22"/>
          <w:lang w:val="en-GB"/>
        </w:rPr>
      </w:pPr>
    </w:p>
    <w:p w14:paraId="36C84E93" w14:textId="34B9E475" w:rsidR="002D0A8B" w:rsidRPr="00DA42DA" w:rsidRDefault="002D0A8B" w:rsidP="002D0A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0B528B">
        <w:rPr>
          <w:rFonts w:ascii="Avenir Next" w:hAnsi="Avenir Next" w:cs="Arial"/>
          <w:color w:val="808080" w:themeColor="background1" w:themeShade="80"/>
          <w:sz w:val="22"/>
          <w:szCs w:val="22"/>
          <w:lang w:val="en-GB"/>
        </w:rPr>
        <w:t xml:space="preserve">insolvency representative can take note that Australia has similar statutory provisions </w:t>
      </w:r>
      <w:proofErr w:type="gramStart"/>
      <w:r w:rsidR="000B528B">
        <w:rPr>
          <w:rFonts w:ascii="Avenir Next" w:hAnsi="Avenir Next" w:cs="Arial"/>
          <w:color w:val="808080" w:themeColor="background1" w:themeShade="80"/>
          <w:sz w:val="22"/>
          <w:szCs w:val="22"/>
          <w:lang w:val="en-GB"/>
        </w:rPr>
        <w:t>similar to</w:t>
      </w:r>
      <w:proofErr w:type="gramEnd"/>
      <w:r w:rsidR="000B528B">
        <w:rPr>
          <w:rFonts w:ascii="Avenir Next" w:hAnsi="Avenir Next" w:cs="Arial"/>
          <w:color w:val="808080" w:themeColor="background1" w:themeShade="80"/>
          <w:sz w:val="22"/>
          <w:szCs w:val="22"/>
          <w:lang w:val="en-GB"/>
        </w:rPr>
        <w:t xml:space="preserve"> the UK’s s 426 Insolvency Act which permit cooperation between Australian and foreign courts </w:t>
      </w:r>
      <w:r w:rsidR="0025134A">
        <w:rPr>
          <w:rFonts w:ascii="Avenir Next" w:hAnsi="Avenir Next" w:cs="Arial"/>
          <w:color w:val="808080" w:themeColor="background1" w:themeShade="80"/>
          <w:sz w:val="22"/>
          <w:szCs w:val="22"/>
          <w:lang w:val="en-GB"/>
        </w:rPr>
        <w:t xml:space="preserve">for liquidation matters. </w:t>
      </w:r>
      <w:r w:rsidR="00E05038">
        <w:rPr>
          <w:rFonts w:ascii="Avenir Next" w:hAnsi="Avenir Next" w:cs="Arial"/>
          <w:color w:val="808080" w:themeColor="background1" w:themeShade="80"/>
          <w:sz w:val="22"/>
          <w:szCs w:val="22"/>
          <w:lang w:val="en-GB"/>
        </w:rPr>
        <w:t xml:space="preserve">The insolvency representative should also note that Australia has adopted the UNCITRAL Model Law on Cross-border Insolvency and therefore, </w:t>
      </w:r>
      <w:r w:rsidR="00CB3936">
        <w:rPr>
          <w:rFonts w:ascii="Avenir Next" w:hAnsi="Avenir Next" w:cs="Arial"/>
          <w:color w:val="808080" w:themeColor="background1" w:themeShade="80"/>
          <w:sz w:val="22"/>
          <w:szCs w:val="22"/>
          <w:lang w:val="en-GB"/>
        </w:rPr>
        <w:t xml:space="preserve">it may be advantageous to make use of any of the relevant recognition and enforcement provisions that relate to the issues of the real rights of security over the Australian assets.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98BA657" w:rsidR="00B64A85" w:rsidRPr="00297BDF" w:rsidRDefault="008153DE" w:rsidP="0052732A">
    <w:pPr>
      <w:pStyle w:val="Footer"/>
      <w:ind w:right="360"/>
      <w:rPr>
        <w:rFonts w:ascii="Avenir Next" w:hAnsi="Avenir Next" w:cs="Arial"/>
        <w:sz w:val="22"/>
        <w:szCs w:val="22"/>
      </w:rPr>
    </w:pPr>
    <w:r>
      <w:rPr>
        <w:rFonts w:ascii="Avenir Next" w:hAnsi="Avenir Next" w:cs="Arial"/>
        <w:sz w:val="22"/>
        <w:szCs w:val="22"/>
      </w:rPr>
      <w:t>FC202324-1381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160E"/>
    <w:rsid w:val="00015EE6"/>
    <w:rsid w:val="00020557"/>
    <w:rsid w:val="0002322B"/>
    <w:rsid w:val="000250C7"/>
    <w:rsid w:val="00025C83"/>
    <w:rsid w:val="00031918"/>
    <w:rsid w:val="00031B89"/>
    <w:rsid w:val="000329A6"/>
    <w:rsid w:val="00034A16"/>
    <w:rsid w:val="00034C0C"/>
    <w:rsid w:val="00037621"/>
    <w:rsid w:val="000401AF"/>
    <w:rsid w:val="000419D4"/>
    <w:rsid w:val="00043365"/>
    <w:rsid w:val="000436F0"/>
    <w:rsid w:val="00043960"/>
    <w:rsid w:val="00044D46"/>
    <w:rsid w:val="00045088"/>
    <w:rsid w:val="00045904"/>
    <w:rsid w:val="00045DC7"/>
    <w:rsid w:val="00045F48"/>
    <w:rsid w:val="00046789"/>
    <w:rsid w:val="000521C4"/>
    <w:rsid w:val="00052A5E"/>
    <w:rsid w:val="0005310B"/>
    <w:rsid w:val="00054EC2"/>
    <w:rsid w:val="0005507B"/>
    <w:rsid w:val="00055EB9"/>
    <w:rsid w:val="00057BF2"/>
    <w:rsid w:val="00057EE4"/>
    <w:rsid w:val="0006130F"/>
    <w:rsid w:val="00062D42"/>
    <w:rsid w:val="00062E85"/>
    <w:rsid w:val="000649D1"/>
    <w:rsid w:val="00064C44"/>
    <w:rsid w:val="00065166"/>
    <w:rsid w:val="00066AE7"/>
    <w:rsid w:val="00070443"/>
    <w:rsid w:val="0007091D"/>
    <w:rsid w:val="000745D0"/>
    <w:rsid w:val="000757CD"/>
    <w:rsid w:val="00076483"/>
    <w:rsid w:val="00080757"/>
    <w:rsid w:val="0008155B"/>
    <w:rsid w:val="000815BB"/>
    <w:rsid w:val="00081A63"/>
    <w:rsid w:val="00082609"/>
    <w:rsid w:val="0008457E"/>
    <w:rsid w:val="000851CC"/>
    <w:rsid w:val="00085349"/>
    <w:rsid w:val="00085D4B"/>
    <w:rsid w:val="00086BDD"/>
    <w:rsid w:val="00090933"/>
    <w:rsid w:val="00092378"/>
    <w:rsid w:val="0009368C"/>
    <w:rsid w:val="00093BE8"/>
    <w:rsid w:val="00093FE2"/>
    <w:rsid w:val="0009471C"/>
    <w:rsid w:val="0009504E"/>
    <w:rsid w:val="00095BB2"/>
    <w:rsid w:val="00096303"/>
    <w:rsid w:val="000977DC"/>
    <w:rsid w:val="000A01B9"/>
    <w:rsid w:val="000A0C1B"/>
    <w:rsid w:val="000A68ED"/>
    <w:rsid w:val="000A74CA"/>
    <w:rsid w:val="000A74D4"/>
    <w:rsid w:val="000B528B"/>
    <w:rsid w:val="000B5B93"/>
    <w:rsid w:val="000B5FF1"/>
    <w:rsid w:val="000B609F"/>
    <w:rsid w:val="000B6B56"/>
    <w:rsid w:val="000C6681"/>
    <w:rsid w:val="000D0C9F"/>
    <w:rsid w:val="000D55A8"/>
    <w:rsid w:val="000D57BE"/>
    <w:rsid w:val="000D6876"/>
    <w:rsid w:val="000E0165"/>
    <w:rsid w:val="000E2086"/>
    <w:rsid w:val="000E3A82"/>
    <w:rsid w:val="000E3C5A"/>
    <w:rsid w:val="000E3DC2"/>
    <w:rsid w:val="000E406D"/>
    <w:rsid w:val="000E4841"/>
    <w:rsid w:val="000E5CB4"/>
    <w:rsid w:val="000E6630"/>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68A8"/>
    <w:rsid w:val="001174E6"/>
    <w:rsid w:val="00120B4D"/>
    <w:rsid w:val="001211E6"/>
    <w:rsid w:val="001213F4"/>
    <w:rsid w:val="0012303D"/>
    <w:rsid w:val="00123855"/>
    <w:rsid w:val="00124B70"/>
    <w:rsid w:val="00125A7C"/>
    <w:rsid w:val="00126A4D"/>
    <w:rsid w:val="00131D42"/>
    <w:rsid w:val="00131DF7"/>
    <w:rsid w:val="0013278B"/>
    <w:rsid w:val="001339FA"/>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5519"/>
    <w:rsid w:val="001677CC"/>
    <w:rsid w:val="001706E3"/>
    <w:rsid w:val="00173647"/>
    <w:rsid w:val="00180548"/>
    <w:rsid w:val="00180AC4"/>
    <w:rsid w:val="00180B1E"/>
    <w:rsid w:val="00180CCE"/>
    <w:rsid w:val="00181438"/>
    <w:rsid w:val="001815AF"/>
    <w:rsid w:val="0018267A"/>
    <w:rsid w:val="001826E6"/>
    <w:rsid w:val="00182779"/>
    <w:rsid w:val="001830DF"/>
    <w:rsid w:val="00183285"/>
    <w:rsid w:val="001833C2"/>
    <w:rsid w:val="00185463"/>
    <w:rsid w:val="00185515"/>
    <w:rsid w:val="00193AB3"/>
    <w:rsid w:val="00193AD3"/>
    <w:rsid w:val="001966D9"/>
    <w:rsid w:val="00197963"/>
    <w:rsid w:val="001A620B"/>
    <w:rsid w:val="001A716A"/>
    <w:rsid w:val="001A7E9A"/>
    <w:rsid w:val="001A7ECF"/>
    <w:rsid w:val="001B0F70"/>
    <w:rsid w:val="001B5016"/>
    <w:rsid w:val="001B6CEE"/>
    <w:rsid w:val="001C45FC"/>
    <w:rsid w:val="001C594A"/>
    <w:rsid w:val="001C62BE"/>
    <w:rsid w:val="001D1BF7"/>
    <w:rsid w:val="001D4862"/>
    <w:rsid w:val="001D5545"/>
    <w:rsid w:val="001D632F"/>
    <w:rsid w:val="001D7EF2"/>
    <w:rsid w:val="001E1FB4"/>
    <w:rsid w:val="001E23FD"/>
    <w:rsid w:val="001E25B9"/>
    <w:rsid w:val="001E392F"/>
    <w:rsid w:val="001E49E0"/>
    <w:rsid w:val="001E4A7F"/>
    <w:rsid w:val="001E7B5A"/>
    <w:rsid w:val="001F0BCF"/>
    <w:rsid w:val="001F1478"/>
    <w:rsid w:val="001F2AF5"/>
    <w:rsid w:val="001F5204"/>
    <w:rsid w:val="001F603D"/>
    <w:rsid w:val="001F7412"/>
    <w:rsid w:val="001F7C77"/>
    <w:rsid w:val="00201386"/>
    <w:rsid w:val="00202C2B"/>
    <w:rsid w:val="00205B31"/>
    <w:rsid w:val="0020637F"/>
    <w:rsid w:val="0020725B"/>
    <w:rsid w:val="0020730B"/>
    <w:rsid w:val="00212B14"/>
    <w:rsid w:val="002149BF"/>
    <w:rsid w:val="00216499"/>
    <w:rsid w:val="002164C0"/>
    <w:rsid w:val="00216CB4"/>
    <w:rsid w:val="002173C5"/>
    <w:rsid w:val="00223780"/>
    <w:rsid w:val="002253D8"/>
    <w:rsid w:val="0022719C"/>
    <w:rsid w:val="0022721C"/>
    <w:rsid w:val="00227651"/>
    <w:rsid w:val="00231611"/>
    <w:rsid w:val="00231CAE"/>
    <w:rsid w:val="00231F38"/>
    <w:rsid w:val="002362AB"/>
    <w:rsid w:val="00237B60"/>
    <w:rsid w:val="00237F73"/>
    <w:rsid w:val="002400DB"/>
    <w:rsid w:val="002406A4"/>
    <w:rsid w:val="0024116D"/>
    <w:rsid w:val="00241B44"/>
    <w:rsid w:val="00245EFB"/>
    <w:rsid w:val="0025134A"/>
    <w:rsid w:val="002526C5"/>
    <w:rsid w:val="002529D2"/>
    <w:rsid w:val="0025386E"/>
    <w:rsid w:val="002538BB"/>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5748"/>
    <w:rsid w:val="002C1227"/>
    <w:rsid w:val="002C13C8"/>
    <w:rsid w:val="002C259C"/>
    <w:rsid w:val="002C3547"/>
    <w:rsid w:val="002D0021"/>
    <w:rsid w:val="002D0A8B"/>
    <w:rsid w:val="002D10A3"/>
    <w:rsid w:val="002D2356"/>
    <w:rsid w:val="002D295D"/>
    <w:rsid w:val="002D3473"/>
    <w:rsid w:val="002D5C36"/>
    <w:rsid w:val="002D6791"/>
    <w:rsid w:val="002D6B69"/>
    <w:rsid w:val="002E1C1A"/>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921"/>
    <w:rsid w:val="00341A65"/>
    <w:rsid w:val="00341AA6"/>
    <w:rsid w:val="00342E57"/>
    <w:rsid w:val="0035002E"/>
    <w:rsid w:val="003500E5"/>
    <w:rsid w:val="00350920"/>
    <w:rsid w:val="00351817"/>
    <w:rsid w:val="00351E4A"/>
    <w:rsid w:val="00355B57"/>
    <w:rsid w:val="00361A0A"/>
    <w:rsid w:val="00361DF9"/>
    <w:rsid w:val="00363D71"/>
    <w:rsid w:val="0036565C"/>
    <w:rsid w:val="0036625E"/>
    <w:rsid w:val="00367162"/>
    <w:rsid w:val="00367EEF"/>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359B"/>
    <w:rsid w:val="003A5AD1"/>
    <w:rsid w:val="003A60FF"/>
    <w:rsid w:val="003A696A"/>
    <w:rsid w:val="003B170F"/>
    <w:rsid w:val="003B2DE6"/>
    <w:rsid w:val="003B3A0D"/>
    <w:rsid w:val="003B3C5F"/>
    <w:rsid w:val="003C1451"/>
    <w:rsid w:val="003C2017"/>
    <w:rsid w:val="003C4471"/>
    <w:rsid w:val="003C473E"/>
    <w:rsid w:val="003D0A6D"/>
    <w:rsid w:val="003D100A"/>
    <w:rsid w:val="003D3045"/>
    <w:rsid w:val="003D3410"/>
    <w:rsid w:val="003D4300"/>
    <w:rsid w:val="003D485F"/>
    <w:rsid w:val="003D6AC4"/>
    <w:rsid w:val="003D79EE"/>
    <w:rsid w:val="003D7B57"/>
    <w:rsid w:val="003E004D"/>
    <w:rsid w:val="003E064D"/>
    <w:rsid w:val="003E0B16"/>
    <w:rsid w:val="003E2D1B"/>
    <w:rsid w:val="003E2E7C"/>
    <w:rsid w:val="003E3A2E"/>
    <w:rsid w:val="003E5103"/>
    <w:rsid w:val="003E67D1"/>
    <w:rsid w:val="003F0B80"/>
    <w:rsid w:val="003F500E"/>
    <w:rsid w:val="003F655E"/>
    <w:rsid w:val="003F74D9"/>
    <w:rsid w:val="00400920"/>
    <w:rsid w:val="004025AD"/>
    <w:rsid w:val="00403F09"/>
    <w:rsid w:val="00404EF7"/>
    <w:rsid w:val="00405DC1"/>
    <w:rsid w:val="00407F3C"/>
    <w:rsid w:val="00411E1B"/>
    <w:rsid w:val="00411F45"/>
    <w:rsid w:val="00414BF9"/>
    <w:rsid w:val="00415DFF"/>
    <w:rsid w:val="00415F1F"/>
    <w:rsid w:val="004174FA"/>
    <w:rsid w:val="0042108F"/>
    <w:rsid w:val="004214D4"/>
    <w:rsid w:val="004216EA"/>
    <w:rsid w:val="004235F4"/>
    <w:rsid w:val="004236F3"/>
    <w:rsid w:val="004246A3"/>
    <w:rsid w:val="00426969"/>
    <w:rsid w:val="00426B64"/>
    <w:rsid w:val="00430FED"/>
    <w:rsid w:val="00434A8C"/>
    <w:rsid w:val="00437297"/>
    <w:rsid w:val="00437ABE"/>
    <w:rsid w:val="00440366"/>
    <w:rsid w:val="00440AC5"/>
    <w:rsid w:val="00440EDD"/>
    <w:rsid w:val="004417C1"/>
    <w:rsid w:val="00444284"/>
    <w:rsid w:val="004442F1"/>
    <w:rsid w:val="00445CE6"/>
    <w:rsid w:val="00446987"/>
    <w:rsid w:val="004534C2"/>
    <w:rsid w:val="00453967"/>
    <w:rsid w:val="0045446F"/>
    <w:rsid w:val="00454C9D"/>
    <w:rsid w:val="0045683E"/>
    <w:rsid w:val="0045747D"/>
    <w:rsid w:val="0046142D"/>
    <w:rsid w:val="0046274F"/>
    <w:rsid w:val="0046298C"/>
    <w:rsid w:val="00463259"/>
    <w:rsid w:val="00464F21"/>
    <w:rsid w:val="004659E0"/>
    <w:rsid w:val="00466ED6"/>
    <w:rsid w:val="00467C71"/>
    <w:rsid w:val="0047084C"/>
    <w:rsid w:val="00470A63"/>
    <w:rsid w:val="00470C55"/>
    <w:rsid w:val="004715C1"/>
    <w:rsid w:val="004731F4"/>
    <w:rsid w:val="004755FF"/>
    <w:rsid w:val="00475E23"/>
    <w:rsid w:val="00475FF4"/>
    <w:rsid w:val="00481FC8"/>
    <w:rsid w:val="0048258B"/>
    <w:rsid w:val="004827A3"/>
    <w:rsid w:val="00482C83"/>
    <w:rsid w:val="00482FE3"/>
    <w:rsid w:val="00483104"/>
    <w:rsid w:val="00484689"/>
    <w:rsid w:val="00486065"/>
    <w:rsid w:val="00486776"/>
    <w:rsid w:val="004868BB"/>
    <w:rsid w:val="00491675"/>
    <w:rsid w:val="00491C9D"/>
    <w:rsid w:val="00493855"/>
    <w:rsid w:val="00497558"/>
    <w:rsid w:val="00497CF9"/>
    <w:rsid w:val="004A27CB"/>
    <w:rsid w:val="004A2B2C"/>
    <w:rsid w:val="004A57DD"/>
    <w:rsid w:val="004A7B51"/>
    <w:rsid w:val="004A7D71"/>
    <w:rsid w:val="004A7EF3"/>
    <w:rsid w:val="004B0B5B"/>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3A46"/>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4F798C"/>
    <w:rsid w:val="0050156C"/>
    <w:rsid w:val="00502C09"/>
    <w:rsid w:val="00504AFA"/>
    <w:rsid w:val="005059A4"/>
    <w:rsid w:val="00511BC5"/>
    <w:rsid w:val="00515756"/>
    <w:rsid w:val="00515F63"/>
    <w:rsid w:val="005177FE"/>
    <w:rsid w:val="0052263B"/>
    <w:rsid w:val="00524728"/>
    <w:rsid w:val="00524840"/>
    <w:rsid w:val="0052532E"/>
    <w:rsid w:val="00525459"/>
    <w:rsid w:val="00525C99"/>
    <w:rsid w:val="0052732A"/>
    <w:rsid w:val="00527527"/>
    <w:rsid w:val="00530010"/>
    <w:rsid w:val="00530CA0"/>
    <w:rsid w:val="00532283"/>
    <w:rsid w:val="005323A7"/>
    <w:rsid w:val="005331CA"/>
    <w:rsid w:val="005337E0"/>
    <w:rsid w:val="0053523A"/>
    <w:rsid w:val="00537970"/>
    <w:rsid w:val="00540E3A"/>
    <w:rsid w:val="00542243"/>
    <w:rsid w:val="00542E08"/>
    <w:rsid w:val="005433D7"/>
    <w:rsid w:val="00543941"/>
    <w:rsid w:val="00544127"/>
    <w:rsid w:val="005508BB"/>
    <w:rsid w:val="00552097"/>
    <w:rsid w:val="00553EB2"/>
    <w:rsid w:val="00555C4D"/>
    <w:rsid w:val="00560534"/>
    <w:rsid w:val="00560AE6"/>
    <w:rsid w:val="00562C9A"/>
    <w:rsid w:val="0056391B"/>
    <w:rsid w:val="005650E2"/>
    <w:rsid w:val="00566D80"/>
    <w:rsid w:val="00567AD7"/>
    <w:rsid w:val="00570B30"/>
    <w:rsid w:val="005716C3"/>
    <w:rsid w:val="00573594"/>
    <w:rsid w:val="00575B2D"/>
    <w:rsid w:val="005800D0"/>
    <w:rsid w:val="005833D0"/>
    <w:rsid w:val="005846F3"/>
    <w:rsid w:val="005859D2"/>
    <w:rsid w:val="0058622F"/>
    <w:rsid w:val="005865D6"/>
    <w:rsid w:val="00586968"/>
    <w:rsid w:val="00590880"/>
    <w:rsid w:val="00590FE6"/>
    <w:rsid w:val="00591631"/>
    <w:rsid w:val="00592BF4"/>
    <w:rsid w:val="00592E7F"/>
    <w:rsid w:val="00592F82"/>
    <w:rsid w:val="005936B3"/>
    <w:rsid w:val="005953ED"/>
    <w:rsid w:val="0059562E"/>
    <w:rsid w:val="00595B58"/>
    <w:rsid w:val="005961F9"/>
    <w:rsid w:val="005966E3"/>
    <w:rsid w:val="005A0CCA"/>
    <w:rsid w:val="005A2152"/>
    <w:rsid w:val="005A2194"/>
    <w:rsid w:val="005A2628"/>
    <w:rsid w:val="005A383D"/>
    <w:rsid w:val="005A43F4"/>
    <w:rsid w:val="005A5ACB"/>
    <w:rsid w:val="005A726D"/>
    <w:rsid w:val="005A7615"/>
    <w:rsid w:val="005B0BB2"/>
    <w:rsid w:val="005B1440"/>
    <w:rsid w:val="005B2AA0"/>
    <w:rsid w:val="005B2D4C"/>
    <w:rsid w:val="005B503A"/>
    <w:rsid w:val="005B67AC"/>
    <w:rsid w:val="005C01B0"/>
    <w:rsid w:val="005C2790"/>
    <w:rsid w:val="005C36E9"/>
    <w:rsid w:val="005C3B3A"/>
    <w:rsid w:val="005C41CF"/>
    <w:rsid w:val="005C4332"/>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2297"/>
    <w:rsid w:val="0060397D"/>
    <w:rsid w:val="00604723"/>
    <w:rsid w:val="00607A29"/>
    <w:rsid w:val="00610388"/>
    <w:rsid w:val="00612092"/>
    <w:rsid w:val="00612CA5"/>
    <w:rsid w:val="00614858"/>
    <w:rsid w:val="006153EC"/>
    <w:rsid w:val="00616E52"/>
    <w:rsid w:val="006208BB"/>
    <w:rsid w:val="006209A5"/>
    <w:rsid w:val="00621A17"/>
    <w:rsid w:val="0062260C"/>
    <w:rsid w:val="00627CC9"/>
    <w:rsid w:val="00627E7B"/>
    <w:rsid w:val="00630542"/>
    <w:rsid w:val="00630727"/>
    <w:rsid w:val="00631E7B"/>
    <w:rsid w:val="00632E44"/>
    <w:rsid w:val="0063316D"/>
    <w:rsid w:val="00633DC9"/>
    <w:rsid w:val="00634622"/>
    <w:rsid w:val="00636808"/>
    <w:rsid w:val="00636E4D"/>
    <w:rsid w:val="0064043F"/>
    <w:rsid w:val="00641515"/>
    <w:rsid w:val="0064169B"/>
    <w:rsid w:val="006416CB"/>
    <w:rsid w:val="00643ABE"/>
    <w:rsid w:val="00646108"/>
    <w:rsid w:val="006514CD"/>
    <w:rsid w:val="00651E87"/>
    <w:rsid w:val="006521CD"/>
    <w:rsid w:val="00652A22"/>
    <w:rsid w:val="00653584"/>
    <w:rsid w:val="0065385A"/>
    <w:rsid w:val="00654C2F"/>
    <w:rsid w:val="00655438"/>
    <w:rsid w:val="00657087"/>
    <w:rsid w:val="0065715A"/>
    <w:rsid w:val="006578EC"/>
    <w:rsid w:val="006643E7"/>
    <w:rsid w:val="0066533C"/>
    <w:rsid w:val="006661EF"/>
    <w:rsid w:val="006746CB"/>
    <w:rsid w:val="00677AEB"/>
    <w:rsid w:val="00680EF2"/>
    <w:rsid w:val="00682663"/>
    <w:rsid w:val="00682A3E"/>
    <w:rsid w:val="006850AE"/>
    <w:rsid w:val="00686C53"/>
    <w:rsid w:val="00687A1D"/>
    <w:rsid w:val="0069186C"/>
    <w:rsid w:val="00692852"/>
    <w:rsid w:val="00695A40"/>
    <w:rsid w:val="00697BBE"/>
    <w:rsid w:val="00697EA1"/>
    <w:rsid w:val="006A051A"/>
    <w:rsid w:val="006A0AF0"/>
    <w:rsid w:val="006A2646"/>
    <w:rsid w:val="006A44B2"/>
    <w:rsid w:val="006A6530"/>
    <w:rsid w:val="006A695F"/>
    <w:rsid w:val="006A6D1D"/>
    <w:rsid w:val="006B0A9F"/>
    <w:rsid w:val="006B2893"/>
    <w:rsid w:val="006B37B2"/>
    <w:rsid w:val="006B435A"/>
    <w:rsid w:val="006B4539"/>
    <w:rsid w:val="006B4C64"/>
    <w:rsid w:val="006B5AE8"/>
    <w:rsid w:val="006C06C6"/>
    <w:rsid w:val="006C5CE2"/>
    <w:rsid w:val="006D0529"/>
    <w:rsid w:val="006D0605"/>
    <w:rsid w:val="006D176A"/>
    <w:rsid w:val="006D564C"/>
    <w:rsid w:val="006D6BD5"/>
    <w:rsid w:val="006E1CB0"/>
    <w:rsid w:val="006E254C"/>
    <w:rsid w:val="006E2974"/>
    <w:rsid w:val="006E4374"/>
    <w:rsid w:val="006E481A"/>
    <w:rsid w:val="006E5298"/>
    <w:rsid w:val="006E6A1F"/>
    <w:rsid w:val="006E6A6A"/>
    <w:rsid w:val="006E77B0"/>
    <w:rsid w:val="006F18EB"/>
    <w:rsid w:val="006F2E9B"/>
    <w:rsid w:val="006F44C9"/>
    <w:rsid w:val="006F6B2E"/>
    <w:rsid w:val="006F6C82"/>
    <w:rsid w:val="006F734A"/>
    <w:rsid w:val="00700D83"/>
    <w:rsid w:val="0070433E"/>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67D70"/>
    <w:rsid w:val="00770DF5"/>
    <w:rsid w:val="0077498C"/>
    <w:rsid w:val="00777070"/>
    <w:rsid w:val="007815D1"/>
    <w:rsid w:val="00782B3F"/>
    <w:rsid w:val="00784128"/>
    <w:rsid w:val="007849D8"/>
    <w:rsid w:val="0078662F"/>
    <w:rsid w:val="00790B4C"/>
    <w:rsid w:val="00791A60"/>
    <w:rsid w:val="0079206E"/>
    <w:rsid w:val="00793173"/>
    <w:rsid w:val="007958F0"/>
    <w:rsid w:val="00797E1B"/>
    <w:rsid w:val="007A0257"/>
    <w:rsid w:val="007A12A4"/>
    <w:rsid w:val="007A2B9F"/>
    <w:rsid w:val="007B1E13"/>
    <w:rsid w:val="007B3B1B"/>
    <w:rsid w:val="007B5180"/>
    <w:rsid w:val="007B5F0B"/>
    <w:rsid w:val="007B7DFD"/>
    <w:rsid w:val="007C0111"/>
    <w:rsid w:val="007C0260"/>
    <w:rsid w:val="007C0663"/>
    <w:rsid w:val="007C1FCC"/>
    <w:rsid w:val="007C2831"/>
    <w:rsid w:val="007C2AA1"/>
    <w:rsid w:val="007C2BE7"/>
    <w:rsid w:val="007C3439"/>
    <w:rsid w:val="007C6201"/>
    <w:rsid w:val="007C76A5"/>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784C"/>
    <w:rsid w:val="007F7B6F"/>
    <w:rsid w:val="00801B30"/>
    <w:rsid w:val="0080215E"/>
    <w:rsid w:val="00803BE9"/>
    <w:rsid w:val="00804000"/>
    <w:rsid w:val="0080454E"/>
    <w:rsid w:val="00804C32"/>
    <w:rsid w:val="00806302"/>
    <w:rsid w:val="00806382"/>
    <w:rsid w:val="00807119"/>
    <w:rsid w:val="008071D5"/>
    <w:rsid w:val="00807FE8"/>
    <w:rsid w:val="00811865"/>
    <w:rsid w:val="00814A55"/>
    <w:rsid w:val="008153DE"/>
    <w:rsid w:val="0081547D"/>
    <w:rsid w:val="00823AB4"/>
    <w:rsid w:val="0082483F"/>
    <w:rsid w:val="00827849"/>
    <w:rsid w:val="008279C0"/>
    <w:rsid w:val="0083203B"/>
    <w:rsid w:val="00834DC5"/>
    <w:rsid w:val="00841E70"/>
    <w:rsid w:val="00845226"/>
    <w:rsid w:val="00845E52"/>
    <w:rsid w:val="008473AA"/>
    <w:rsid w:val="008474CF"/>
    <w:rsid w:val="00851A7A"/>
    <w:rsid w:val="0085241A"/>
    <w:rsid w:val="00852883"/>
    <w:rsid w:val="00852F37"/>
    <w:rsid w:val="008571F6"/>
    <w:rsid w:val="00857A02"/>
    <w:rsid w:val="00861E51"/>
    <w:rsid w:val="0086354A"/>
    <w:rsid w:val="00870B96"/>
    <w:rsid w:val="00871DC7"/>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08B1"/>
    <w:rsid w:val="008D3E17"/>
    <w:rsid w:val="008D5D34"/>
    <w:rsid w:val="008D7718"/>
    <w:rsid w:val="008E17F9"/>
    <w:rsid w:val="008E220E"/>
    <w:rsid w:val="008E2478"/>
    <w:rsid w:val="008E3339"/>
    <w:rsid w:val="008E3ADC"/>
    <w:rsid w:val="008E4F14"/>
    <w:rsid w:val="008E5941"/>
    <w:rsid w:val="008E64D3"/>
    <w:rsid w:val="008E6F11"/>
    <w:rsid w:val="008F20FC"/>
    <w:rsid w:val="008F3248"/>
    <w:rsid w:val="008F50C4"/>
    <w:rsid w:val="008F5FFE"/>
    <w:rsid w:val="0090037B"/>
    <w:rsid w:val="00901C67"/>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04F6"/>
    <w:rsid w:val="00950A98"/>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7748D"/>
    <w:rsid w:val="00980DF0"/>
    <w:rsid w:val="00981608"/>
    <w:rsid w:val="00984680"/>
    <w:rsid w:val="00990F04"/>
    <w:rsid w:val="00991272"/>
    <w:rsid w:val="00991428"/>
    <w:rsid w:val="00992676"/>
    <w:rsid w:val="009961F3"/>
    <w:rsid w:val="00997A85"/>
    <w:rsid w:val="009A0501"/>
    <w:rsid w:val="009A2BCA"/>
    <w:rsid w:val="009A4050"/>
    <w:rsid w:val="009A5354"/>
    <w:rsid w:val="009A60B3"/>
    <w:rsid w:val="009A6A10"/>
    <w:rsid w:val="009A7172"/>
    <w:rsid w:val="009B0723"/>
    <w:rsid w:val="009B07AD"/>
    <w:rsid w:val="009B0883"/>
    <w:rsid w:val="009B15E2"/>
    <w:rsid w:val="009B5464"/>
    <w:rsid w:val="009C0B8E"/>
    <w:rsid w:val="009C1527"/>
    <w:rsid w:val="009C1BC8"/>
    <w:rsid w:val="009C2442"/>
    <w:rsid w:val="009C2628"/>
    <w:rsid w:val="009C26AB"/>
    <w:rsid w:val="009C27B1"/>
    <w:rsid w:val="009C5201"/>
    <w:rsid w:val="009C687D"/>
    <w:rsid w:val="009C7F17"/>
    <w:rsid w:val="009D0811"/>
    <w:rsid w:val="009D0E12"/>
    <w:rsid w:val="009D0EE1"/>
    <w:rsid w:val="009D1E51"/>
    <w:rsid w:val="009D382E"/>
    <w:rsid w:val="009D43D0"/>
    <w:rsid w:val="009D510C"/>
    <w:rsid w:val="009D5CDB"/>
    <w:rsid w:val="009D6709"/>
    <w:rsid w:val="009E11FA"/>
    <w:rsid w:val="009E13C1"/>
    <w:rsid w:val="009E2A9C"/>
    <w:rsid w:val="009E2AEB"/>
    <w:rsid w:val="009E2E27"/>
    <w:rsid w:val="009E44C0"/>
    <w:rsid w:val="009E4DE3"/>
    <w:rsid w:val="009E50C1"/>
    <w:rsid w:val="009E5534"/>
    <w:rsid w:val="009F0C29"/>
    <w:rsid w:val="009F0C5A"/>
    <w:rsid w:val="009F1E52"/>
    <w:rsid w:val="009F2B37"/>
    <w:rsid w:val="00A02198"/>
    <w:rsid w:val="00A024DE"/>
    <w:rsid w:val="00A03CC2"/>
    <w:rsid w:val="00A047EE"/>
    <w:rsid w:val="00A057CA"/>
    <w:rsid w:val="00A10B92"/>
    <w:rsid w:val="00A136AF"/>
    <w:rsid w:val="00A13F8F"/>
    <w:rsid w:val="00A149B7"/>
    <w:rsid w:val="00A177BC"/>
    <w:rsid w:val="00A17930"/>
    <w:rsid w:val="00A2274A"/>
    <w:rsid w:val="00A235B7"/>
    <w:rsid w:val="00A249AC"/>
    <w:rsid w:val="00A27A7A"/>
    <w:rsid w:val="00A301D1"/>
    <w:rsid w:val="00A31881"/>
    <w:rsid w:val="00A362EF"/>
    <w:rsid w:val="00A364B3"/>
    <w:rsid w:val="00A40529"/>
    <w:rsid w:val="00A407EF"/>
    <w:rsid w:val="00A411B7"/>
    <w:rsid w:val="00A42023"/>
    <w:rsid w:val="00A45800"/>
    <w:rsid w:val="00A46B4C"/>
    <w:rsid w:val="00A47213"/>
    <w:rsid w:val="00A5117B"/>
    <w:rsid w:val="00A560B6"/>
    <w:rsid w:val="00A566E3"/>
    <w:rsid w:val="00A56CF7"/>
    <w:rsid w:val="00A56DBC"/>
    <w:rsid w:val="00A60074"/>
    <w:rsid w:val="00A641E0"/>
    <w:rsid w:val="00A646E2"/>
    <w:rsid w:val="00A651A9"/>
    <w:rsid w:val="00A65846"/>
    <w:rsid w:val="00A6627C"/>
    <w:rsid w:val="00A67724"/>
    <w:rsid w:val="00A71019"/>
    <w:rsid w:val="00A73B60"/>
    <w:rsid w:val="00A77F90"/>
    <w:rsid w:val="00A81029"/>
    <w:rsid w:val="00A811A8"/>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8F8"/>
    <w:rsid w:val="00AA5A58"/>
    <w:rsid w:val="00AA670C"/>
    <w:rsid w:val="00AB1B60"/>
    <w:rsid w:val="00AB56A4"/>
    <w:rsid w:val="00AB5A37"/>
    <w:rsid w:val="00AB61D6"/>
    <w:rsid w:val="00AB685C"/>
    <w:rsid w:val="00AB6C2D"/>
    <w:rsid w:val="00AC08F7"/>
    <w:rsid w:val="00AC126D"/>
    <w:rsid w:val="00AC3075"/>
    <w:rsid w:val="00AC36E5"/>
    <w:rsid w:val="00AC3839"/>
    <w:rsid w:val="00AC7082"/>
    <w:rsid w:val="00AD0533"/>
    <w:rsid w:val="00AD0662"/>
    <w:rsid w:val="00AD1B6B"/>
    <w:rsid w:val="00AD331C"/>
    <w:rsid w:val="00AD57A5"/>
    <w:rsid w:val="00AD65A8"/>
    <w:rsid w:val="00AD74AD"/>
    <w:rsid w:val="00AD76EF"/>
    <w:rsid w:val="00AD7A9A"/>
    <w:rsid w:val="00AE027F"/>
    <w:rsid w:val="00AE4D6F"/>
    <w:rsid w:val="00AF228E"/>
    <w:rsid w:val="00AF3B82"/>
    <w:rsid w:val="00AF455B"/>
    <w:rsid w:val="00AF5899"/>
    <w:rsid w:val="00B0123F"/>
    <w:rsid w:val="00B035A6"/>
    <w:rsid w:val="00B04004"/>
    <w:rsid w:val="00B06713"/>
    <w:rsid w:val="00B10EFC"/>
    <w:rsid w:val="00B12F13"/>
    <w:rsid w:val="00B1313B"/>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449BE"/>
    <w:rsid w:val="00B51227"/>
    <w:rsid w:val="00B518F4"/>
    <w:rsid w:val="00B51975"/>
    <w:rsid w:val="00B52E4D"/>
    <w:rsid w:val="00B54F90"/>
    <w:rsid w:val="00B55C9E"/>
    <w:rsid w:val="00B56B95"/>
    <w:rsid w:val="00B607DF"/>
    <w:rsid w:val="00B6109D"/>
    <w:rsid w:val="00B638E8"/>
    <w:rsid w:val="00B6409C"/>
    <w:rsid w:val="00B64845"/>
    <w:rsid w:val="00B64A85"/>
    <w:rsid w:val="00B65B13"/>
    <w:rsid w:val="00B66053"/>
    <w:rsid w:val="00B7193E"/>
    <w:rsid w:val="00B72999"/>
    <w:rsid w:val="00B72FD7"/>
    <w:rsid w:val="00B736DF"/>
    <w:rsid w:val="00B74FBD"/>
    <w:rsid w:val="00B7513B"/>
    <w:rsid w:val="00B82586"/>
    <w:rsid w:val="00B829A3"/>
    <w:rsid w:val="00B84CE9"/>
    <w:rsid w:val="00B86537"/>
    <w:rsid w:val="00B86DB1"/>
    <w:rsid w:val="00B87869"/>
    <w:rsid w:val="00B87A61"/>
    <w:rsid w:val="00B92D5B"/>
    <w:rsid w:val="00B9417E"/>
    <w:rsid w:val="00B948AE"/>
    <w:rsid w:val="00B96497"/>
    <w:rsid w:val="00BA1648"/>
    <w:rsid w:val="00BA2637"/>
    <w:rsid w:val="00BA2919"/>
    <w:rsid w:val="00BA35FF"/>
    <w:rsid w:val="00BB09FD"/>
    <w:rsid w:val="00BB0F2B"/>
    <w:rsid w:val="00BB1DF3"/>
    <w:rsid w:val="00BB5A37"/>
    <w:rsid w:val="00BB6955"/>
    <w:rsid w:val="00BB6F7A"/>
    <w:rsid w:val="00BC1043"/>
    <w:rsid w:val="00BC3FD8"/>
    <w:rsid w:val="00BC48EB"/>
    <w:rsid w:val="00BC4A7D"/>
    <w:rsid w:val="00BC585F"/>
    <w:rsid w:val="00BC5898"/>
    <w:rsid w:val="00BC5D7D"/>
    <w:rsid w:val="00BC6BCE"/>
    <w:rsid w:val="00BC7C6C"/>
    <w:rsid w:val="00BC7F2E"/>
    <w:rsid w:val="00BD0299"/>
    <w:rsid w:val="00BD0F7F"/>
    <w:rsid w:val="00BD23B4"/>
    <w:rsid w:val="00BD288F"/>
    <w:rsid w:val="00BD3363"/>
    <w:rsid w:val="00BD3F18"/>
    <w:rsid w:val="00BD594E"/>
    <w:rsid w:val="00BD64FB"/>
    <w:rsid w:val="00BD71D7"/>
    <w:rsid w:val="00BD7D49"/>
    <w:rsid w:val="00BE2464"/>
    <w:rsid w:val="00BF2B49"/>
    <w:rsid w:val="00BF2E7A"/>
    <w:rsid w:val="00BF3D02"/>
    <w:rsid w:val="00BF40B9"/>
    <w:rsid w:val="00BF50F7"/>
    <w:rsid w:val="00BF5A0E"/>
    <w:rsid w:val="00BF5D90"/>
    <w:rsid w:val="00C00231"/>
    <w:rsid w:val="00C01017"/>
    <w:rsid w:val="00C02F29"/>
    <w:rsid w:val="00C04632"/>
    <w:rsid w:val="00C055D5"/>
    <w:rsid w:val="00C070F0"/>
    <w:rsid w:val="00C07B0B"/>
    <w:rsid w:val="00C11494"/>
    <w:rsid w:val="00C15939"/>
    <w:rsid w:val="00C15A16"/>
    <w:rsid w:val="00C1724E"/>
    <w:rsid w:val="00C20337"/>
    <w:rsid w:val="00C2057F"/>
    <w:rsid w:val="00C20AFE"/>
    <w:rsid w:val="00C22A25"/>
    <w:rsid w:val="00C26E4B"/>
    <w:rsid w:val="00C27CF8"/>
    <w:rsid w:val="00C31102"/>
    <w:rsid w:val="00C31C63"/>
    <w:rsid w:val="00C33C84"/>
    <w:rsid w:val="00C3453F"/>
    <w:rsid w:val="00C348DE"/>
    <w:rsid w:val="00C34A50"/>
    <w:rsid w:val="00C35026"/>
    <w:rsid w:val="00C35671"/>
    <w:rsid w:val="00C35B77"/>
    <w:rsid w:val="00C376EB"/>
    <w:rsid w:val="00C4187E"/>
    <w:rsid w:val="00C444EC"/>
    <w:rsid w:val="00C44FFC"/>
    <w:rsid w:val="00C45A03"/>
    <w:rsid w:val="00C46603"/>
    <w:rsid w:val="00C46AF6"/>
    <w:rsid w:val="00C46BB0"/>
    <w:rsid w:val="00C46EC1"/>
    <w:rsid w:val="00C50F86"/>
    <w:rsid w:val="00C53E2C"/>
    <w:rsid w:val="00C550C8"/>
    <w:rsid w:val="00C56136"/>
    <w:rsid w:val="00C567B4"/>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5BAE"/>
    <w:rsid w:val="00C963D3"/>
    <w:rsid w:val="00CA0B50"/>
    <w:rsid w:val="00CA1802"/>
    <w:rsid w:val="00CA183E"/>
    <w:rsid w:val="00CA2036"/>
    <w:rsid w:val="00CA6E99"/>
    <w:rsid w:val="00CB262C"/>
    <w:rsid w:val="00CB2CBB"/>
    <w:rsid w:val="00CB3936"/>
    <w:rsid w:val="00CB3EB6"/>
    <w:rsid w:val="00CB5331"/>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34FC"/>
    <w:rsid w:val="00CE62CA"/>
    <w:rsid w:val="00CF01D6"/>
    <w:rsid w:val="00CF1731"/>
    <w:rsid w:val="00CF2819"/>
    <w:rsid w:val="00CF4F9D"/>
    <w:rsid w:val="00CF5AD8"/>
    <w:rsid w:val="00CF70DC"/>
    <w:rsid w:val="00CF717B"/>
    <w:rsid w:val="00D0094E"/>
    <w:rsid w:val="00D068C5"/>
    <w:rsid w:val="00D07F87"/>
    <w:rsid w:val="00D148DC"/>
    <w:rsid w:val="00D16804"/>
    <w:rsid w:val="00D1688E"/>
    <w:rsid w:val="00D17FDC"/>
    <w:rsid w:val="00D223E4"/>
    <w:rsid w:val="00D2550E"/>
    <w:rsid w:val="00D256C6"/>
    <w:rsid w:val="00D25B20"/>
    <w:rsid w:val="00D25F51"/>
    <w:rsid w:val="00D35229"/>
    <w:rsid w:val="00D35ADE"/>
    <w:rsid w:val="00D35EAE"/>
    <w:rsid w:val="00D35FF4"/>
    <w:rsid w:val="00D4685B"/>
    <w:rsid w:val="00D4691A"/>
    <w:rsid w:val="00D5192B"/>
    <w:rsid w:val="00D57C59"/>
    <w:rsid w:val="00D60215"/>
    <w:rsid w:val="00D60874"/>
    <w:rsid w:val="00D61404"/>
    <w:rsid w:val="00D63EFD"/>
    <w:rsid w:val="00D6588F"/>
    <w:rsid w:val="00D6590B"/>
    <w:rsid w:val="00D676F1"/>
    <w:rsid w:val="00D714E4"/>
    <w:rsid w:val="00D761ED"/>
    <w:rsid w:val="00D829EB"/>
    <w:rsid w:val="00D84752"/>
    <w:rsid w:val="00D86851"/>
    <w:rsid w:val="00D86A74"/>
    <w:rsid w:val="00D86B3B"/>
    <w:rsid w:val="00D8748A"/>
    <w:rsid w:val="00D905E4"/>
    <w:rsid w:val="00D910D5"/>
    <w:rsid w:val="00D920D1"/>
    <w:rsid w:val="00D93196"/>
    <w:rsid w:val="00D931A2"/>
    <w:rsid w:val="00D96211"/>
    <w:rsid w:val="00D97393"/>
    <w:rsid w:val="00DA16F7"/>
    <w:rsid w:val="00DA197C"/>
    <w:rsid w:val="00DA42DA"/>
    <w:rsid w:val="00DA42EF"/>
    <w:rsid w:val="00DB1A35"/>
    <w:rsid w:val="00DB1BB2"/>
    <w:rsid w:val="00DB243C"/>
    <w:rsid w:val="00DB482A"/>
    <w:rsid w:val="00DB56F2"/>
    <w:rsid w:val="00DB5A5A"/>
    <w:rsid w:val="00DB5D9B"/>
    <w:rsid w:val="00DB6100"/>
    <w:rsid w:val="00DB6EF5"/>
    <w:rsid w:val="00DC2A3F"/>
    <w:rsid w:val="00DC2BEC"/>
    <w:rsid w:val="00DC2FDB"/>
    <w:rsid w:val="00DC3089"/>
    <w:rsid w:val="00DC38CC"/>
    <w:rsid w:val="00DC4420"/>
    <w:rsid w:val="00DC4E47"/>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3E38"/>
    <w:rsid w:val="00DE475E"/>
    <w:rsid w:val="00DE6633"/>
    <w:rsid w:val="00DF056D"/>
    <w:rsid w:val="00DF4D51"/>
    <w:rsid w:val="00DF687B"/>
    <w:rsid w:val="00DF689C"/>
    <w:rsid w:val="00DF75F8"/>
    <w:rsid w:val="00DF7A3A"/>
    <w:rsid w:val="00DF7AD4"/>
    <w:rsid w:val="00E009E1"/>
    <w:rsid w:val="00E00C00"/>
    <w:rsid w:val="00E00E54"/>
    <w:rsid w:val="00E01C69"/>
    <w:rsid w:val="00E041F9"/>
    <w:rsid w:val="00E05038"/>
    <w:rsid w:val="00E05837"/>
    <w:rsid w:val="00E06F00"/>
    <w:rsid w:val="00E07C5A"/>
    <w:rsid w:val="00E10A73"/>
    <w:rsid w:val="00E12C13"/>
    <w:rsid w:val="00E15BA9"/>
    <w:rsid w:val="00E161D2"/>
    <w:rsid w:val="00E177E2"/>
    <w:rsid w:val="00E17BF1"/>
    <w:rsid w:val="00E22DE4"/>
    <w:rsid w:val="00E25FB8"/>
    <w:rsid w:val="00E26E19"/>
    <w:rsid w:val="00E31DF3"/>
    <w:rsid w:val="00E332FB"/>
    <w:rsid w:val="00E35A0C"/>
    <w:rsid w:val="00E37049"/>
    <w:rsid w:val="00E377F4"/>
    <w:rsid w:val="00E4126D"/>
    <w:rsid w:val="00E450A4"/>
    <w:rsid w:val="00E506BE"/>
    <w:rsid w:val="00E518B6"/>
    <w:rsid w:val="00E5212B"/>
    <w:rsid w:val="00E525B9"/>
    <w:rsid w:val="00E53AE9"/>
    <w:rsid w:val="00E54ADD"/>
    <w:rsid w:val="00E55547"/>
    <w:rsid w:val="00E55E9B"/>
    <w:rsid w:val="00E56367"/>
    <w:rsid w:val="00E6211B"/>
    <w:rsid w:val="00E6302B"/>
    <w:rsid w:val="00E64302"/>
    <w:rsid w:val="00E6452F"/>
    <w:rsid w:val="00E64F45"/>
    <w:rsid w:val="00E6525B"/>
    <w:rsid w:val="00E6742D"/>
    <w:rsid w:val="00E6763B"/>
    <w:rsid w:val="00E71CB0"/>
    <w:rsid w:val="00E72F8D"/>
    <w:rsid w:val="00E7537E"/>
    <w:rsid w:val="00E7793C"/>
    <w:rsid w:val="00E77AB4"/>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97BB7"/>
    <w:rsid w:val="00EA0879"/>
    <w:rsid w:val="00EA0913"/>
    <w:rsid w:val="00EA41E9"/>
    <w:rsid w:val="00EA4D77"/>
    <w:rsid w:val="00EA5317"/>
    <w:rsid w:val="00EA6550"/>
    <w:rsid w:val="00EA7BAB"/>
    <w:rsid w:val="00EB02BE"/>
    <w:rsid w:val="00EB146B"/>
    <w:rsid w:val="00EB14B1"/>
    <w:rsid w:val="00EB21D4"/>
    <w:rsid w:val="00EB2845"/>
    <w:rsid w:val="00EB45AC"/>
    <w:rsid w:val="00EB488B"/>
    <w:rsid w:val="00EB6668"/>
    <w:rsid w:val="00EB6A2F"/>
    <w:rsid w:val="00EC3875"/>
    <w:rsid w:val="00EC4B7C"/>
    <w:rsid w:val="00EC549E"/>
    <w:rsid w:val="00EC57F1"/>
    <w:rsid w:val="00EC6E55"/>
    <w:rsid w:val="00ED0BC4"/>
    <w:rsid w:val="00ED151E"/>
    <w:rsid w:val="00ED20A1"/>
    <w:rsid w:val="00ED3CDA"/>
    <w:rsid w:val="00ED617A"/>
    <w:rsid w:val="00ED6829"/>
    <w:rsid w:val="00ED6873"/>
    <w:rsid w:val="00EE1A0E"/>
    <w:rsid w:val="00EE2403"/>
    <w:rsid w:val="00EE4971"/>
    <w:rsid w:val="00EE5A48"/>
    <w:rsid w:val="00EE5F7D"/>
    <w:rsid w:val="00EE6342"/>
    <w:rsid w:val="00EE6390"/>
    <w:rsid w:val="00EE7278"/>
    <w:rsid w:val="00EE7877"/>
    <w:rsid w:val="00EF090E"/>
    <w:rsid w:val="00EF16B6"/>
    <w:rsid w:val="00EF1B1A"/>
    <w:rsid w:val="00EF2D08"/>
    <w:rsid w:val="00EF5705"/>
    <w:rsid w:val="00EF6653"/>
    <w:rsid w:val="00F00B9A"/>
    <w:rsid w:val="00F023C7"/>
    <w:rsid w:val="00F033DA"/>
    <w:rsid w:val="00F0424E"/>
    <w:rsid w:val="00F044FB"/>
    <w:rsid w:val="00F106CE"/>
    <w:rsid w:val="00F1096A"/>
    <w:rsid w:val="00F128E0"/>
    <w:rsid w:val="00F12AA4"/>
    <w:rsid w:val="00F12F7B"/>
    <w:rsid w:val="00F13FB1"/>
    <w:rsid w:val="00F15181"/>
    <w:rsid w:val="00F1640B"/>
    <w:rsid w:val="00F2025D"/>
    <w:rsid w:val="00F20842"/>
    <w:rsid w:val="00F26460"/>
    <w:rsid w:val="00F26973"/>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34C4"/>
    <w:rsid w:val="00F53FCD"/>
    <w:rsid w:val="00F54776"/>
    <w:rsid w:val="00F5524B"/>
    <w:rsid w:val="00F5710B"/>
    <w:rsid w:val="00F573EC"/>
    <w:rsid w:val="00F60FAA"/>
    <w:rsid w:val="00F61DD2"/>
    <w:rsid w:val="00F62000"/>
    <w:rsid w:val="00F63720"/>
    <w:rsid w:val="00F63E51"/>
    <w:rsid w:val="00F65FB6"/>
    <w:rsid w:val="00F66AFF"/>
    <w:rsid w:val="00F71433"/>
    <w:rsid w:val="00F71CE8"/>
    <w:rsid w:val="00F738B0"/>
    <w:rsid w:val="00F801C5"/>
    <w:rsid w:val="00F83231"/>
    <w:rsid w:val="00F85A51"/>
    <w:rsid w:val="00F85C0B"/>
    <w:rsid w:val="00F85DB2"/>
    <w:rsid w:val="00F86107"/>
    <w:rsid w:val="00F878E8"/>
    <w:rsid w:val="00F9049D"/>
    <w:rsid w:val="00F91FA7"/>
    <w:rsid w:val="00F943D2"/>
    <w:rsid w:val="00F95955"/>
    <w:rsid w:val="00F96AF1"/>
    <w:rsid w:val="00F97C5B"/>
    <w:rsid w:val="00FA29FD"/>
    <w:rsid w:val="00FA2A46"/>
    <w:rsid w:val="00FA3739"/>
    <w:rsid w:val="00FA3D50"/>
    <w:rsid w:val="00FA43B5"/>
    <w:rsid w:val="00FA43E7"/>
    <w:rsid w:val="00FB2C81"/>
    <w:rsid w:val="00FB61B2"/>
    <w:rsid w:val="00FB6703"/>
    <w:rsid w:val="00FB7C8F"/>
    <w:rsid w:val="00FB7D52"/>
    <w:rsid w:val="00FB7D6D"/>
    <w:rsid w:val="00FC2741"/>
    <w:rsid w:val="00FC30E1"/>
    <w:rsid w:val="00FC337F"/>
    <w:rsid w:val="00FC374A"/>
    <w:rsid w:val="00FC4F43"/>
    <w:rsid w:val="00FC5C3B"/>
    <w:rsid w:val="00FC5D26"/>
    <w:rsid w:val="00FC65D9"/>
    <w:rsid w:val="00FC7B47"/>
    <w:rsid w:val="00FD0169"/>
    <w:rsid w:val="00FD035C"/>
    <w:rsid w:val="00FD0E9E"/>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13</Pages>
  <Words>5132</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Goh</cp:lastModifiedBy>
  <cp:revision>255</cp:revision>
  <cp:lastPrinted>2020-06-12T02:43:00Z</cp:lastPrinted>
  <dcterms:created xsi:type="dcterms:W3CDTF">2023-07-14T10:19:00Z</dcterms:created>
  <dcterms:modified xsi:type="dcterms:W3CDTF">2023-11-14T08:19:00Z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