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772F8E3C"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w:t>
      </w:r>
      <w:r w:rsidR="008F6F21">
        <w:rPr>
          <w:rFonts w:ascii="Calibri" w:hAnsi="Calibri" w:cs="Calibri"/>
          <w:color w:val="979797"/>
          <w:shd w:val="clear" w:color="auto" w:fill="FFFFFF"/>
        </w:rPr>
        <w:t>FC202324-1467</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untrue since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210328" w:rsidRDefault="00806382" w:rsidP="00806382">
      <w:pPr>
        <w:pStyle w:val="ListParagraph"/>
        <w:numPr>
          <w:ilvl w:val="0"/>
          <w:numId w:val="15"/>
        </w:numPr>
        <w:ind w:left="425" w:hanging="357"/>
        <w:jc w:val="both"/>
        <w:rPr>
          <w:rFonts w:ascii="Avenir Next" w:hAnsi="Avenir Next" w:cs="Arial"/>
          <w:sz w:val="22"/>
          <w:szCs w:val="22"/>
          <w:highlight w:val="yellow"/>
        </w:rPr>
      </w:pPr>
      <w:r w:rsidRPr="00210328">
        <w:rPr>
          <w:rFonts w:ascii="Avenir Next" w:hAnsi="Avenir Next" w:cs="Arial"/>
          <w:sz w:val="22"/>
          <w:szCs w:val="22"/>
          <w:highlight w:val="yellow"/>
        </w:rPr>
        <w:t xml:space="preserve">This statement is true, although the word </w:t>
      </w:r>
      <w:r w:rsidR="00823AB4" w:rsidRPr="00210328">
        <w:rPr>
          <w:rFonts w:ascii="Avenir Next" w:hAnsi="Avenir Next" w:cs="Arial"/>
          <w:sz w:val="22"/>
          <w:szCs w:val="22"/>
          <w:highlight w:val="yellow"/>
        </w:rPr>
        <w:t>“</w:t>
      </w:r>
      <w:r w:rsidRPr="00210328">
        <w:rPr>
          <w:rFonts w:ascii="Avenir Next" w:hAnsi="Avenir Next" w:cs="Arial"/>
          <w:sz w:val="22"/>
          <w:szCs w:val="22"/>
          <w:highlight w:val="yellow"/>
        </w:rPr>
        <w:t>bankruptcy</w:t>
      </w:r>
      <w:r w:rsidR="00823AB4" w:rsidRPr="00210328">
        <w:rPr>
          <w:rFonts w:ascii="Avenir Next" w:hAnsi="Avenir Next" w:cs="Arial"/>
          <w:sz w:val="22"/>
          <w:szCs w:val="22"/>
          <w:highlight w:val="yellow"/>
        </w:rPr>
        <w:t>”</w:t>
      </w:r>
      <w:r w:rsidRPr="00210328">
        <w:rPr>
          <w:rFonts w:ascii="Avenir Next" w:hAnsi="Avenir Next" w:cs="Arial"/>
          <w:sz w:val="22"/>
          <w:szCs w:val="22"/>
          <w:highlight w:val="yellow"/>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E6534" w:rsidRDefault="001211E6" w:rsidP="001211E6">
      <w:pPr>
        <w:pStyle w:val="ListParagraph"/>
        <w:numPr>
          <w:ilvl w:val="0"/>
          <w:numId w:val="16"/>
        </w:numPr>
        <w:ind w:left="426"/>
        <w:jc w:val="both"/>
        <w:rPr>
          <w:rFonts w:ascii="Avenir Next" w:hAnsi="Avenir Next" w:cs="Arial"/>
          <w:sz w:val="22"/>
          <w:szCs w:val="22"/>
          <w:highlight w:val="yellow"/>
        </w:rPr>
      </w:pPr>
      <w:r w:rsidRPr="007E6534">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7E6534"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7E6534">
        <w:rPr>
          <w:rFonts w:ascii="Avenir Next" w:eastAsiaTheme="minorHAnsi" w:hAnsi="Avenir Next" w:cs="Arial"/>
          <w:sz w:val="22"/>
          <w:szCs w:val="22"/>
          <w:highlight w:val="yellow"/>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210328"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210328">
        <w:rPr>
          <w:rFonts w:ascii="Avenir Next" w:hAnsi="Avenir Next" w:cs="Arial"/>
          <w:sz w:val="22"/>
          <w:szCs w:val="22"/>
          <w:highlight w:val="yellow"/>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A42DA">
        <w:rPr>
          <w:rFonts w:ascii="Avenir Next" w:hAnsi="Avenir Next" w:cs="Arial"/>
          <w:sz w:val="22"/>
          <w:szCs w:val="22"/>
          <w:lang w:val="en-GB"/>
        </w:rPr>
        <w:t xml:space="preserve">This statement is incorrect since a statutory discharge of debt was only introduced in 1705 in England.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210328"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210328">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0400E8" w:rsidRDefault="006514CD" w:rsidP="006514CD">
      <w:pPr>
        <w:pStyle w:val="ListParagraph"/>
        <w:numPr>
          <w:ilvl w:val="0"/>
          <w:numId w:val="19"/>
        </w:numPr>
        <w:ind w:left="425" w:hanging="357"/>
        <w:jc w:val="both"/>
        <w:rPr>
          <w:rFonts w:ascii="Avenir Next" w:hAnsi="Avenir Next" w:cs="Arial"/>
          <w:sz w:val="22"/>
          <w:szCs w:val="22"/>
          <w:highlight w:val="yellow"/>
        </w:rPr>
      </w:pPr>
      <w:r w:rsidRPr="000400E8">
        <w:rPr>
          <w:rFonts w:ascii="Avenir Next" w:hAnsi="Avenir Next" w:cs="Arial"/>
          <w:sz w:val="22"/>
          <w:szCs w:val="22"/>
          <w:highlight w:val="yellow"/>
        </w:rPr>
        <w:t xml:space="preserve">The statement is untrue since treaties and conventions are </w:t>
      </w:r>
      <w:r w:rsidR="00DA42DA" w:rsidRPr="000400E8">
        <w:rPr>
          <w:rFonts w:ascii="Avenir Next" w:hAnsi="Avenir Next" w:cs="Arial"/>
          <w:sz w:val="22"/>
          <w:szCs w:val="22"/>
          <w:highlight w:val="yellow"/>
        </w:rPr>
        <w:t>“</w:t>
      </w:r>
      <w:r w:rsidRPr="000400E8">
        <w:rPr>
          <w:rFonts w:ascii="Avenir Next" w:hAnsi="Avenir Next" w:cs="Arial"/>
          <w:sz w:val="22"/>
          <w:szCs w:val="22"/>
          <w:highlight w:val="yellow"/>
        </w:rPr>
        <w:t>soft law</w:t>
      </w:r>
      <w:r w:rsidR="00DA42DA" w:rsidRPr="000400E8">
        <w:rPr>
          <w:rFonts w:ascii="Avenir Next" w:hAnsi="Avenir Next" w:cs="Arial"/>
          <w:sz w:val="22"/>
          <w:szCs w:val="22"/>
          <w:highlight w:val="yellow"/>
        </w:rPr>
        <w:t>”</w:t>
      </w:r>
      <w:r w:rsidRPr="000400E8">
        <w:rPr>
          <w:rFonts w:ascii="Avenir Next" w:hAnsi="Avenir Next" w:cs="Arial"/>
          <w:sz w:val="22"/>
          <w:szCs w:val="22"/>
          <w:highlight w:val="yellow"/>
        </w:rPr>
        <w:t xml:space="preserve">, not </w:t>
      </w:r>
      <w:r w:rsidR="00DA42DA" w:rsidRPr="000400E8">
        <w:rPr>
          <w:rFonts w:ascii="Avenir Next" w:hAnsi="Avenir Next" w:cs="Arial"/>
          <w:sz w:val="22"/>
          <w:szCs w:val="22"/>
          <w:highlight w:val="yellow"/>
        </w:rPr>
        <w:t>“</w:t>
      </w:r>
      <w:r w:rsidRPr="000400E8">
        <w:rPr>
          <w:rFonts w:ascii="Avenir Next" w:hAnsi="Avenir Next" w:cs="Arial"/>
          <w:sz w:val="22"/>
          <w:szCs w:val="22"/>
          <w:highlight w:val="yellow"/>
        </w:rPr>
        <w:t>hard law</w:t>
      </w:r>
      <w:r w:rsidR="00DA42DA" w:rsidRPr="000400E8">
        <w:rPr>
          <w:rFonts w:ascii="Avenir Next" w:hAnsi="Avenir Next" w:cs="Arial"/>
          <w:sz w:val="22"/>
          <w:szCs w:val="22"/>
          <w:highlight w:val="yellow"/>
        </w:rPr>
        <w:t>”</w:t>
      </w:r>
      <w:r w:rsidRPr="000400E8">
        <w:rPr>
          <w:rFonts w:ascii="Avenir Next" w:hAnsi="Avenir Next" w:cs="Arial"/>
          <w:sz w:val="22"/>
          <w:szCs w:val="22"/>
          <w:highlight w:val="yellow"/>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0400E8"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0400E8">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0400E8"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0400E8">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400E8" w:rsidRDefault="00AD76EF" w:rsidP="00AD76EF">
      <w:pPr>
        <w:pStyle w:val="ListParagraph"/>
        <w:numPr>
          <w:ilvl w:val="0"/>
          <w:numId w:val="17"/>
        </w:numPr>
        <w:ind w:left="426"/>
        <w:jc w:val="both"/>
        <w:rPr>
          <w:rFonts w:ascii="Avenir Next" w:hAnsi="Avenir Next" w:cs="Arial"/>
          <w:sz w:val="22"/>
          <w:szCs w:val="22"/>
          <w:highlight w:val="yellow"/>
        </w:rPr>
      </w:pPr>
      <w:r w:rsidRPr="000400E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0400E8"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0400E8">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210328" w:rsidRDefault="009661DE" w:rsidP="009661DE">
      <w:pPr>
        <w:pStyle w:val="ListParagraph"/>
        <w:numPr>
          <w:ilvl w:val="0"/>
          <w:numId w:val="23"/>
        </w:numPr>
        <w:ind w:left="426"/>
        <w:jc w:val="both"/>
        <w:rPr>
          <w:rFonts w:ascii="Avenir Next" w:hAnsi="Avenir Next" w:cs="Arial"/>
          <w:sz w:val="22"/>
          <w:szCs w:val="22"/>
          <w:highlight w:val="yellow"/>
        </w:rPr>
      </w:pPr>
      <w:r w:rsidRPr="00210328">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8B77A9" w:rsidRDefault="009661DE" w:rsidP="004F3F1F">
      <w:pPr>
        <w:pStyle w:val="ListParagraph"/>
        <w:numPr>
          <w:ilvl w:val="0"/>
          <w:numId w:val="23"/>
        </w:numPr>
        <w:ind w:left="426"/>
        <w:jc w:val="both"/>
        <w:rPr>
          <w:rFonts w:ascii="Avenir Next" w:hAnsi="Avenir Next" w:cs="Arial"/>
          <w:sz w:val="22"/>
          <w:szCs w:val="22"/>
        </w:rPr>
      </w:pPr>
      <w:r w:rsidRPr="008B77A9">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A9365B" w:rsidRDefault="003B3A0D" w:rsidP="003B3A0D">
      <w:pPr>
        <w:pStyle w:val="ListParagraph"/>
        <w:numPr>
          <w:ilvl w:val="0"/>
          <w:numId w:val="24"/>
        </w:numPr>
        <w:ind w:left="426"/>
        <w:jc w:val="both"/>
        <w:rPr>
          <w:rFonts w:ascii="Avenir Next" w:hAnsi="Avenir Next" w:cs="Arial"/>
          <w:sz w:val="22"/>
          <w:szCs w:val="22"/>
          <w:highlight w:val="yellow"/>
        </w:rPr>
      </w:pPr>
      <w:r w:rsidRPr="00A9365B">
        <w:rPr>
          <w:rFonts w:ascii="Avenir Next" w:hAnsi="Avenir Next" w:cs="Arial"/>
          <w:sz w:val="22"/>
          <w:szCs w:val="22"/>
          <w:highlight w:val="yellow"/>
        </w:rPr>
        <w:t xml:space="preserve">This statement is true because modified universalism enables a </w:t>
      </w:r>
      <w:r w:rsidRPr="00A9365B">
        <w:rPr>
          <w:rFonts w:ascii="Avenir Next" w:hAnsi="Avenir Next"/>
          <w:sz w:val="22"/>
          <w:szCs w:val="22"/>
          <w:highlight w:val="yellow"/>
        </w:rPr>
        <w:t xml:space="preserve">“main proceeding” to be opened in the State where the </w:t>
      </w:r>
      <w:proofErr w:type="spellStart"/>
      <w:r w:rsidR="004A2B2C" w:rsidRPr="00A9365B">
        <w:rPr>
          <w:rFonts w:ascii="Avenir Next" w:hAnsi="Avenir Next"/>
          <w:sz w:val="22"/>
          <w:szCs w:val="22"/>
          <w:highlight w:val="yellow"/>
        </w:rPr>
        <w:t>centre</w:t>
      </w:r>
      <w:proofErr w:type="spellEnd"/>
      <w:r w:rsidRPr="00A9365B">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5A83350C" w14:textId="77777777" w:rsidR="00A923AA" w:rsidRDefault="00A923AA" w:rsidP="00692852">
      <w:pPr>
        <w:jc w:val="both"/>
        <w:rPr>
          <w:rFonts w:ascii="Avenir Next Demi Bold" w:hAnsi="Avenir Next Demi Bold" w:cs="Arial"/>
          <w:b/>
          <w:bCs/>
          <w:sz w:val="22"/>
          <w:szCs w:val="22"/>
          <w:lang w:val="en-GB"/>
        </w:rPr>
      </w:pPr>
    </w:p>
    <w:p w14:paraId="7696FBE0" w14:textId="77777777" w:rsidR="00A923AA" w:rsidRDefault="00A923AA" w:rsidP="00692852">
      <w:pPr>
        <w:jc w:val="both"/>
        <w:rPr>
          <w:rFonts w:ascii="Avenir Next Demi Bold" w:hAnsi="Avenir Next Demi Bold" w:cs="Arial"/>
          <w:b/>
          <w:bCs/>
          <w:sz w:val="22"/>
          <w:szCs w:val="22"/>
          <w:lang w:val="en-GB"/>
        </w:rPr>
      </w:pPr>
    </w:p>
    <w:p w14:paraId="1949BD82" w14:textId="77777777" w:rsidR="00A923AA" w:rsidRDefault="00A923AA" w:rsidP="00692852">
      <w:pPr>
        <w:jc w:val="both"/>
        <w:rPr>
          <w:rFonts w:ascii="Avenir Next Demi Bold" w:hAnsi="Avenir Next Demi Bold" w:cs="Arial"/>
          <w:b/>
          <w:bCs/>
          <w:sz w:val="22"/>
          <w:szCs w:val="22"/>
          <w:lang w:val="en-GB"/>
        </w:rPr>
      </w:pPr>
    </w:p>
    <w:p w14:paraId="3CF7E4E4" w14:textId="77777777" w:rsidR="00A923AA" w:rsidRDefault="00A923AA" w:rsidP="00692852">
      <w:pPr>
        <w:jc w:val="both"/>
        <w:rPr>
          <w:rFonts w:ascii="Avenir Next Demi Bold" w:hAnsi="Avenir Next Demi Bold" w:cs="Arial"/>
          <w:b/>
          <w:bCs/>
          <w:sz w:val="22"/>
          <w:szCs w:val="22"/>
          <w:lang w:val="en-GB"/>
        </w:rPr>
      </w:pPr>
    </w:p>
    <w:p w14:paraId="0D14CF4E" w14:textId="77777777" w:rsidR="00A923AA" w:rsidRDefault="00A923AA" w:rsidP="00692852">
      <w:pPr>
        <w:jc w:val="both"/>
        <w:rPr>
          <w:rFonts w:ascii="Avenir Next Demi Bold" w:hAnsi="Avenir Next Demi Bold" w:cs="Arial"/>
          <w:b/>
          <w:bCs/>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tbl>
      <w:tblPr>
        <w:tblStyle w:val="TableGrid"/>
        <w:tblW w:w="0" w:type="auto"/>
        <w:tblLook w:val="04A0" w:firstRow="1" w:lastRow="0" w:firstColumn="1" w:lastColumn="0" w:noHBand="0" w:noVBand="1"/>
      </w:tblPr>
      <w:tblGrid>
        <w:gridCol w:w="9016"/>
      </w:tblGrid>
      <w:tr w:rsidR="00701D10" w14:paraId="5E03A887" w14:textId="77777777" w:rsidTr="00701D10">
        <w:tc>
          <w:tcPr>
            <w:tcW w:w="9016" w:type="dxa"/>
          </w:tcPr>
          <w:p w14:paraId="4D653A41" w14:textId="77777777" w:rsidR="00701D10" w:rsidRPr="00A923AA" w:rsidRDefault="00701D10" w:rsidP="00701D10">
            <w:pPr>
              <w:jc w:val="both"/>
              <w:rPr>
                <w:rFonts w:ascii="Arial" w:hAnsi="Arial" w:cs="Arial"/>
                <w:sz w:val="22"/>
                <w:szCs w:val="22"/>
                <w:lang w:val="en-GB"/>
              </w:rPr>
            </w:pPr>
            <w:r w:rsidRPr="00A923AA">
              <w:rPr>
                <w:rFonts w:ascii="Arial" w:hAnsi="Arial" w:cs="Arial"/>
                <w:sz w:val="22"/>
                <w:szCs w:val="22"/>
                <w:lang w:val="en-GB"/>
              </w:rPr>
              <w:t>Legal systems play a major role in development of law in any particular jurisdiction. Since Civil Law and Common Law are one of the most conventional legal systems across the world, it is imperative to base the insolvency system from here.</w:t>
            </w:r>
          </w:p>
          <w:p w14:paraId="3F78A914" w14:textId="77777777" w:rsidR="00701D10" w:rsidRPr="00A923AA" w:rsidRDefault="00701D10" w:rsidP="00701D10">
            <w:pPr>
              <w:ind w:left="720"/>
              <w:jc w:val="both"/>
              <w:rPr>
                <w:rFonts w:ascii="Arial" w:hAnsi="Arial" w:cs="Arial"/>
                <w:sz w:val="22"/>
                <w:szCs w:val="22"/>
                <w:lang w:val="en-GB"/>
              </w:rPr>
            </w:pPr>
          </w:p>
          <w:p w14:paraId="12FB3976" w14:textId="77777777" w:rsidR="00701D10" w:rsidRPr="00A923AA" w:rsidRDefault="00701D10" w:rsidP="00701D10">
            <w:pPr>
              <w:pStyle w:val="ListParagraph"/>
              <w:numPr>
                <w:ilvl w:val="0"/>
                <w:numId w:val="35"/>
              </w:numPr>
              <w:ind w:left="880"/>
              <w:jc w:val="both"/>
              <w:rPr>
                <w:rFonts w:ascii="Arial" w:hAnsi="Arial" w:cs="Arial"/>
                <w:sz w:val="22"/>
                <w:szCs w:val="22"/>
                <w:lang w:val="en-GB"/>
              </w:rPr>
            </w:pPr>
            <w:r w:rsidRPr="00A923AA">
              <w:rPr>
                <w:rFonts w:ascii="Arial" w:hAnsi="Arial" w:cs="Arial"/>
                <w:sz w:val="22"/>
                <w:szCs w:val="22"/>
                <w:lang w:val="en-GB"/>
              </w:rPr>
              <w:t xml:space="preserve">THE ORIGINS </w:t>
            </w:r>
          </w:p>
          <w:p w14:paraId="4AD82B80" w14:textId="77777777" w:rsidR="00701D10" w:rsidRPr="00A923AA" w:rsidRDefault="00701D10" w:rsidP="00701D10">
            <w:pPr>
              <w:pStyle w:val="ListParagraph"/>
              <w:numPr>
                <w:ilvl w:val="1"/>
                <w:numId w:val="35"/>
              </w:numPr>
              <w:ind w:left="1163"/>
              <w:jc w:val="both"/>
              <w:rPr>
                <w:rFonts w:ascii="Arial" w:hAnsi="Arial" w:cs="Arial"/>
                <w:sz w:val="22"/>
                <w:szCs w:val="22"/>
                <w:lang w:val="en-GB"/>
              </w:rPr>
            </w:pPr>
            <w:r w:rsidRPr="00A923AA">
              <w:rPr>
                <w:rFonts w:ascii="Arial" w:hAnsi="Arial" w:cs="Arial"/>
                <w:sz w:val="22"/>
                <w:szCs w:val="22"/>
                <w:lang w:val="en-GB"/>
              </w:rPr>
              <w:t xml:space="preserve">Roman Idea? </w:t>
            </w:r>
            <w:proofErr w:type="spellStart"/>
            <w:r w:rsidRPr="00A923AA">
              <w:rPr>
                <w:rFonts w:ascii="Arial" w:hAnsi="Arial" w:cs="Arial"/>
                <w:sz w:val="22"/>
                <w:szCs w:val="22"/>
                <w:shd w:val="clear" w:color="auto" w:fill="FFFFFF"/>
              </w:rPr>
              <w:t>Lex</w:t>
            </w:r>
            <w:proofErr w:type="spellEnd"/>
            <w:r w:rsidRPr="00A923AA">
              <w:rPr>
                <w:rFonts w:ascii="Arial" w:hAnsi="Arial" w:cs="Arial"/>
                <w:sz w:val="22"/>
                <w:szCs w:val="22"/>
                <w:shd w:val="clear" w:color="auto" w:fill="FFFFFF"/>
              </w:rPr>
              <w:t xml:space="preserve"> </w:t>
            </w:r>
            <w:proofErr w:type="spellStart"/>
            <w:r w:rsidRPr="00A923AA">
              <w:rPr>
                <w:rFonts w:ascii="Arial" w:hAnsi="Arial" w:cs="Arial"/>
                <w:sz w:val="22"/>
                <w:szCs w:val="22"/>
                <w:shd w:val="clear" w:color="auto" w:fill="FFFFFF"/>
              </w:rPr>
              <w:t>Mercatoria</w:t>
            </w:r>
            <w:proofErr w:type="spellEnd"/>
            <w:r w:rsidRPr="00A923AA">
              <w:rPr>
                <w:rFonts w:ascii="Arial" w:hAnsi="Arial" w:cs="Arial"/>
                <w:sz w:val="22"/>
                <w:szCs w:val="22"/>
                <w:shd w:val="clear" w:color="auto" w:fill="FFFFFF"/>
              </w:rPr>
              <w:t xml:space="preserve">, Civil Law </w:t>
            </w:r>
            <w:proofErr w:type="spellStart"/>
            <w:r w:rsidRPr="00A923AA">
              <w:rPr>
                <w:rFonts w:ascii="Arial" w:hAnsi="Arial" w:cs="Arial"/>
                <w:sz w:val="22"/>
                <w:szCs w:val="22"/>
                <w:shd w:val="clear" w:color="auto" w:fill="FFFFFF"/>
              </w:rPr>
              <w:t>syatems</w:t>
            </w:r>
            <w:proofErr w:type="spellEnd"/>
            <w:r w:rsidRPr="00A923AA">
              <w:rPr>
                <w:rFonts w:ascii="Arial" w:hAnsi="Arial" w:cs="Arial"/>
                <w:sz w:val="22"/>
                <w:szCs w:val="22"/>
                <w:shd w:val="clear" w:color="auto" w:fill="FFFFFF"/>
              </w:rPr>
              <w:t xml:space="preserve"> &amp; Europe</w:t>
            </w:r>
          </w:p>
          <w:p w14:paraId="25601D8F" w14:textId="54B30866" w:rsidR="00701D10" w:rsidRPr="00701D10" w:rsidRDefault="00701D10" w:rsidP="00701D10">
            <w:pPr>
              <w:pStyle w:val="ListParagraph"/>
              <w:ind w:left="1163"/>
              <w:jc w:val="both"/>
              <w:rPr>
                <w:rFonts w:ascii="Arial" w:hAnsi="Arial" w:cs="Arial"/>
                <w:sz w:val="22"/>
                <w:szCs w:val="22"/>
                <w:shd w:val="clear" w:color="auto" w:fill="FFFFFF"/>
              </w:rPr>
            </w:pPr>
            <w:r w:rsidRPr="00A923AA">
              <w:rPr>
                <w:rFonts w:ascii="Arial" w:hAnsi="Arial" w:cs="Arial"/>
                <w:sz w:val="22"/>
                <w:szCs w:val="22"/>
                <w:lang w:val="en-GB"/>
              </w:rPr>
              <w:t>Etymologically speaking, the word “bankruptcy” is of Italian origin meaning “break the bench”. It can be said that the roots of bankruptcy law can be attributed to Roman Law (Civil Law)</w:t>
            </w:r>
            <w:r>
              <w:rPr>
                <w:rFonts w:ascii="Arial" w:hAnsi="Arial" w:cs="Arial"/>
                <w:sz w:val="22"/>
                <w:szCs w:val="22"/>
                <w:lang w:val="en-GB"/>
              </w:rPr>
              <w:t xml:space="preserve">. </w:t>
            </w:r>
            <w:r>
              <w:rPr>
                <w:rFonts w:ascii="Arial" w:hAnsi="Arial" w:cs="Arial"/>
                <w:sz w:val="22"/>
                <w:szCs w:val="22"/>
                <w:shd w:val="clear" w:color="auto" w:fill="FFFFFF"/>
              </w:rPr>
              <w:t>They</w:t>
            </w:r>
            <w:r w:rsidRPr="00A923AA">
              <w:rPr>
                <w:rFonts w:ascii="Arial" w:hAnsi="Arial" w:cs="Arial"/>
                <w:sz w:val="22"/>
                <w:szCs w:val="22"/>
                <w:shd w:val="clear" w:color="auto" w:fill="FFFFFF"/>
              </w:rPr>
              <w:t xml:space="preserve"> were all individual measures but led further to the </w:t>
            </w:r>
            <w:r w:rsidRPr="00A923AA">
              <w:rPr>
                <w:rFonts w:ascii="Arial" w:hAnsi="Arial" w:cs="Arial"/>
                <w:i/>
                <w:sz w:val="22"/>
                <w:szCs w:val="22"/>
                <w:shd w:val="clear" w:color="auto" w:fill="FFFFFF"/>
              </w:rPr>
              <w:t>development of collective debt mechanisms</w:t>
            </w:r>
            <w:r w:rsidRPr="00A923AA">
              <w:rPr>
                <w:rFonts w:ascii="Arial" w:hAnsi="Arial" w:cs="Arial"/>
                <w:sz w:val="22"/>
                <w:szCs w:val="22"/>
                <w:shd w:val="clear" w:color="auto" w:fill="FFFFFF"/>
              </w:rPr>
              <w:t xml:space="preserve"> and </w:t>
            </w:r>
            <w:r w:rsidRPr="00A923AA">
              <w:rPr>
                <w:rFonts w:ascii="Arial" w:hAnsi="Arial" w:cs="Arial"/>
                <w:i/>
                <w:sz w:val="22"/>
                <w:szCs w:val="22"/>
                <w:shd w:val="clear" w:color="auto" w:fill="FFFFFF"/>
              </w:rPr>
              <w:t>from execution of man to that of his assets instead</w:t>
            </w:r>
            <w:r w:rsidRPr="00A923AA">
              <w:rPr>
                <w:rFonts w:ascii="Arial" w:hAnsi="Arial" w:cs="Arial"/>
                <w:sz w:val="22"/>
                <w:szCs w:val="22"/>
                <w:shd w:val="clear" w:color="auto" w:fill="FFFFFF"/>
              </w:rPr>
              <w:t>. It further developed in Europe along with the trade custom and usage leading to instances of bankruptcy legislation in these regions between 13</w:t>
            </w:r>
            <w:r w:rsidRPr="00A923AA">
              <w:rPr>
                <w:rFonts w:ascii="Arial" w:hAnsi="Arial" w:cs="Arial"/>
                <w:sz w:val="22"/>
                <w:szCs w:val="22"/>
                <w:shd w:val="clear" w:color="auto" w:fill="FFFFFF"/>
                <w:vertAlign w:val="superscript"/>
              </w:rPr>
              <w:t>th</w:t>
            </w:r>
            <w:r w:rsidRPr="00A923AA">
              <w:rPr>
                <w:rFonts w:ascii="Arial" w:hAnsi="Arial" w:cs="Arial"/>
                <w:sz w:val="22"/>
                <w:szCs w:val="22"/>
                <w:shd w:val="clear" w:color="auto" w:fill="FFFFFF"/>
              </w:rPr>
              <w:t xml:space="preserve"> and 17</w:t>
            </w:r>
            <w:r w:rsidRPr="00A923AA">
              <w:rPr>
                <w:rFonts w:ascii="Arial" w:hAnsi="Arial" w:cs="Arial"/>
                <w:sz w:val="22"/>
                <w:szCs w:val="22"/>
                <w:shd w:val="clear" w:color="auto" w:fill="FFFFFF"/>
                <w:vertAlign w:val="superscript"/>
              </w:rPr>
              <w:t>th</w:t>
            </w:r>
            <w:r w:rsidRPr="00A923AA">
              <w:rPr>
                <w:rFonts w:ascii="Arial" w:hAnsi="Arial" w:cs="Arial"/>
                <w:sz w:val="22"/>
                <w:szCs w:val="22"/>
                <w:shd w:val="clear" w:color="auto" w:fill="FFFFFF"/>
              </w:rPr>
              <w:t xml:space="preserve"> century.</w:t>
            </w:r>
          </w:p>
          <w:p w14:paraId="735AB6DC" w14:textId="77777777" w:rsidR="00701D10" w:rsidRPr="00A923AA" w:rsidRDefault="00701D10" w:rsidP="00701D10">
            <w:pPr>
              <w:pStyle w:val="ListParagraph"/>
              <w:numPr>
                <w:ilvl w:val="1"/>
                <w:numId w:val="35"/>
              </w:numPr>
              <w:ind w:left="1163"/>
              <w:jc w:val="both"/>
              <w:rPr>
                <w:rFonts w:ascii="Arial" w:hAnsi="Arial" w:cs="Arial"/>
                <w:sz w:val="22"/>
                <w:szCs w:val="22"/>
                <w:lang w:val="en-GB"/>
              </w:rPr>
            </w:pPr>
            <w:r w:rsidRPr="00A923AA">
              <w:rPr>
                <w:rFonts w:ascii="Arial" w:hAnsi="Arial" w:cs="Arial"/>
                <w:sz w:val="22"/>
                <w:szCs w:val="22"/>
                <w:shd w:val="clear" w:color="auto" w:fill="FFFFFF"/>
              </w:rPr>
              <w:t>English idea in 16</w:t>
            </w:r>
            <w:r w:rsidRPr="00A923AA">
              <w:rPr>
                <w:rFonts w:ascii="Arial" w:hAnsi="Arial" w:cs="Arial"/>
                <w:sz w:val="22"/>
                <w:szCs w:val="22"/>
                <w:shd w:val="clear" w:color="auto" w:fill="FFFFFF"/>
                <w:vertAlign w:val="superscript"/>
              </w:rPr>
              <w:t>th</w:t>
            </w:r>
            <w:r w:rsidRPr="00A923AA">
              <w:rPr>
                <w:rFonts w:ascii="Arial" w:hAnsi="Arial" w:cs="Arial"/>
                <w:sz w:val="22"/>
                <w:szCs w:val="22"/>
                <w:shd w:val="clear" w:color="auto" w:fill="FFFFFF"/>
              </w:rPr>
              <w:t xml:space="preserve"> Century</w:t>
            </w:r>
          </w:p>
          <w:p w14:paraId="21D27F4F" w14:textId="33182A8F" w:rsidR="00701D10" w:rsidRPr="00701D10" w:rsidRDefault="00701D10" w:rsidP="00701D10">
            <w:pPr>
              <w:pStyle w:val="ListParagraph"/>
              <w:ind w:left="1163"/>
              <w:jc w:val="both"/>
              <w:rPr>
                <w:rFonts w:ascii="Arial" w:hAnsi="Arial" w:cs="Arial"/>
                <w:sz w:val="22"/>
                <w:szCs w:val="22"/>
                <w:shd w:val="clear" w:color="auto" w:fill="FFFFFF"/>
              </w:rPr>
            </w:pPr>
            <w:r w:rsidRPr="00A923AA">
              <w:rPr>
                <w:rFonts w:ascii="Arial" w:hAnsi="Arial" w:cs="Arial"/>
                <w:sz w:val="22"/>
                <w:szCs w:val="22"/>
                <w:shd w:val="clear" w:color="auto" w:fill="FFFFFF"/>
              </w:rPr>
              <w:t>Although the non-payment of debt leading to imprisonment was prevalent from the end of 13</w:t>
            </w:r>
            <w:r w:rsidRPr="00A923AA">
              <w:rPr>
                <w:rFonts w:ascii="Arial" w:hAnsi="Arial" w:cs="Arial"/>
                <w:sz w:val="22"/>
                <w:szCs w:val="22"/>
                <w:shd w:val="clear" w:color="auto" w:fill="FFFFFF"/>
                <w:vertAlign w:val="superscript"/>
              </w:rPr>
              <w:t>th</w:t>
            </w:r>
            <w:r w:rsidRPr="00A923AA">
              <w:rPr>
                <w:rFonts w:ascii="Arial" w:hAnsi="Arial" w:cs="Arial"/>
                <w:sz w:val="22"/>
                <w:szCs w:val="22"/>
                <w:shd w:val="clear" w:color="auto" w:fill="FFFFFF"/>
              </w:rPr>
              <w:t xml:space="preserve"> century, it was only in the 16</w:t>
            </w:r>
            <w:r w:rsidRPr="00A923AA">
              <w:rPr>
                <w:rFonts w:ascii="Arial" w:hAnsi="Arial" w:cs="Arial"/>
                <w:sz w:val="22"/>
                <w:szCs w:val="22"/>
                <w:shd w:val="clear" w:color="auto" w:fill="FFFFFF"/>
                <w:vertAlign w:val="superscript"/>
              </w:rPr>
              <w:t>th</w:t>
            </w:r>
            <w:r w:rsidRPr="00A923AA">
              <w:rPr>
                <w:rFonts w:ascii="Arial" w:hAnsi="Arial" w:cs="Arial"/>
                <w:sz w:val="22"/>
                <w:szCs w:val="22"/>
                <w:shd w:val="clear" w:color="auto" w:fill="FFFFFF"/>
              </w:rPr>
              <w:t xml:space="preserve"> century, the word “bankruptcy” finds its first mention vide statute English Bankruptcy Act, 1842 which viewed defaulters as “quasi criminals”.</w:t>
            </w:r>
          </w:p>
          <w:p w14:paraId="236AB977" w14:textId="46B62752" w:rsidR="00701D10" w:rsidRPr="00A923AA" w:rsidRDefault="00701D10" w:rsidP="00701D10">
            <w:pPr>
              <w:pStyle w:val="ListParagraph"/>
              <w:numPr>
                <w:ilvl w:val="1"/>
                <w:numId w:val="35"/>
              </w:numPr>
              <w:ind w:left="1163"/>
              <w:jc w:val="both"/>
              <w:rPr>
                <w:rFonts w:ascii="Arial" w:hAnsi="Arial" w:cs="Arial"/>
                <w:sz w:val="22"/>
                <w:szCs w:val="22"/>
                <w:shd w:val="clear" w:color="auto" w:fill="FFFFFF"/>
              </w:rPr>
            </w:pPr>
            <w:r>
              <w:rPr>
                <w:rFonts w:ascii="Arial" w:hAnsi="Arial" w:cs="Arial"/>
                <w:sz w:val="22"/>
                <w:szCs w:val="22"/>
                <w:shd w:val="clear" w:color="auto" w:fill="FFFFFF"/>
              </w:rPr>
              <w:t>Toda</w:t>
            </w:r>
            <w:r w:rsidRPr="00A923AA">
              <w:rPr>
                <w:rFonts w:ascii="Arial" w:hAnsi="Arial" w:cs="Arial"/>
                <w:sz w:val="22"/>
                <w:szCs w:val="22"/>
                <w:shd w:val="clear" w:color="auto" w:fill="FFFFFF"/>
              </w:rPr>
              <w:t>y….</w:t>
            </w:r>
          </w:p>
          <w:p w14:paraId="5059D3CF" w14:textId="77777777" w:rsidR="00701D10" w:rsidRPr="00A923AA" w:rsidRDefault="00701D10" w:rsidP="00701D10">
            <w:pPr>
              <w:pStyle w:val="ListParagraph"/>
              <w:ind w:left="1163"/>
              <w:jc w:val="both"/>
              <w:rPr>
                <w:rFonts w:ascii="Arial" w:hAnsi="Arial" w:cs="Arial"/>
                <w:sz w:val="22"/>
                <w:szCs w:val="22"/>
                <w:shd w:val="clear" w:color="auto" w:fill="FFFFFF"/>
              </w:rPr>
            </w:pPr>
            <w:r w:rsidRPr="00A923AA">
              <w:rPr>
                <w:rFonts w:ascii="Arial" w:hAnsi="Arial" w:cs="Arial"/>
                <w:sz w:val="22"/>
                <w:szCs w:val="22"/>
                <w:shd w:val="clear" w:color="auto" w:fill="FFFFFF"/>
              </w:rPr>
              <w:t>Certain aspects of law will always be affected by local culture, rights, creditor or debtor centricity-security rights, its enforcement, and such other path dependencies.</w:t>
            </w:r>
          </w:p>
          <w:p w14:paraId="211F9447" w14:textId="77777777" w:rsidR="00701D10" w:rsidRPr="00A923AA" w:rsidRDefault="00701D10" w:rsidP="00701D10">
            <w:pPr>
              <w:pStyle w:val="ListParagraph"/>
              <w:ind w:left="880"/>
              <w:jc w:val="both"/>
              <w:rPr>
                <w:rFonts w:ascii="Arial" w:hAnsi="Arial" w:cs="Arial"/>
                <w:sz w:val="22"/>
                <w:szCs w:val="22"/>
                <w:shd w:val="clear" w:color="auto" w:fill="FFFFFF"/>
              </w:rPr>
            </w:pPr>
          </w:p>
          <w:p w14:paraId="538826BB" w14:textId="77777777" w:rsidR="00701D10" w:rsidRPr="00A923AA" w:rsidRDefault="00701D10" w:rsidP="00701D10">
            <w:pPr>
              <w:pStyle w:val="ListParagraph"/>
              <w:numPr>
                <w:ilvl w:val="0"/>
                <w:numId w:val="35"/>
              </w:numPr>
              <w:ind w:left="880"/>
              <w:jc w:val="both"/>
              <w:rPr>
                <w:rFonts w:ascii="Arial" w:hAnsi="Arial" w:cs="Arial"/>
                <w:sz w:val="22"/>
                <w:szCs w:val="22"/>
                <w:lang w:val="en-GB"/>
              </w:rPr>
            </w:pPr>
            <w:r w:rsidRPr="00A923AA">
              <w:rPr>
                <w:rFonts w:ascii="Arial" w:hAnsi="Arial" w:cs="Arial"/>
                <w:sz w:val="22"/>
                <w:szCs w:val="22"/>
                <w:lang w:val="en-GB"/>
              </w:rPr>
              <w:t>Some instances of countries and their legal systems</w:t>
            </w:r>
          </w:p>
          <w:p w14:paraId="2942C3F4" w14:textId="77777777" w:rsidR="00701D10" w:rsidRPr="00A923AA" w:rsidRDefault="00701D10" w:rsidP="00701D10">
            <w:pPr>
              <w:pStyle w:val="ListParagraph"/>
              <w:numPr>
                <w:ilvl w:val="1"/>
                <w:numId w:val="35"/>
              </w:numPr>
              <w:ind w:left="1305"/>
              <w:jc w:val="both"/>
              <w:rPr>
                <w:rFonts w:ascii="Arial" w:hAnsi="Arial" w:cs="Arial"/>
                <w:sz w:val="22"/>
                <w:szCs w:val="22"/>
                <w:lang w:val="en-GB"/>
              </w:rPr>
            </w:pPr>
            <w:r w:rsidRPr="00A923AA">
              <w:rPr>
                <w:rFonts w:ascii="Arial" w:hAnsi="Arial" w:cs="Arial"/>
                <w:sz w:val="22"/>
                <w:szCs w:val="22"/>
                <w:lang w:val="en-GB"/>
              </w:rPr>
              <w:t>Americas (Common Law</w:t>
            </w:r>
            <w:proofErr w:type="gramStart"/>
            <w:r w:rsidRPr="00A923AA">
              <w:rPr>
                <w:rFonts w:ascii="Arial" w:hAnsi="Arial" w:cs="Arial"/>
                <w:sz w:val="22"/>
                <w:szCs w:val="22"/>
                <w:lang w:val="en-GB"/>
              </w:rPr>
              <w:t>)-</w:t>
            </w:r>
            <w:proofErr w:type="gramEnd"/>
            <w:r w:rsidRPr="00A923AA">
              <w:rPr>
                <w:rFonts w:ascii="Arial" w:hAnsi="Arial" w:cs="Arial"/>
                <w:sz w:val="22"/>
                <w:szCs w:val="22"/>
                <w:lang w:val="en-GB"/>
              </w:rPr>
              <w:t xml:space="preserve"> Here the Bankruptcy law is a federal legislation and the jurisdiction is regarded as pro-debtor with “balance sheet” test as a determinant to bankruptcy application. The USA has adopted the UNCITRAL Model Law.</w:t>
            </w:r>
          </w:p>
          <w:p w14:paraId="01643053" w14:textId="77777777" w:rsidR="00701D10" w:rsidRPr="00A923AA" w:rsidRDefault="00701D10" w:rsidP="00701D10">
            <w:pPr>
              <w:pStyle w:val="ListParagraph"/>
              <w:numPr>
                <w:ilvl w:val="1"/>
                <w:numId w:val="35"/>
              </w:numPr>
              <w:ind w:left="1305"/>
              <w:jc w:val="both"/>
              <w:rPr>
                <w:rFonts w:ascii="Arial" w:hAnsi="Arial" w:cs="Arial"/>
                <w:sz w:val="22"/>
                <w:szCs w:val="22"/>
                <w:lang w:val="en-GB"/>
              </w:rPr>
            </w:pPr>
            <w:r w:rsidRPr="00A923AA">
              <w:rPr>
                <w:rFonts w:ascii="Arial" w:hAnsi="Arial" w:cs="Arial"/>
                <w:sz w:val="22"/>
                <w:szCs w:val="22"/>
                <w:lang w:val="en-GB"/>
              </w:rPr>
              <w:t>Australia (Common Law</w:t>
            </w:r>
            <w:proofErr w:type="gramStart"/>
            <w:r w:rsidRPr="00A923AA">
              <w:rPr>
                <w:rFonts w:ascii="Arial" w:hAnsi="Arial" w:cs="Arial"/>
                <w:sz w:val="22"/>
                <w:szCs w:val="22"/>
                <w:lang w:val="en-GB"/>
              </w:rPr>
              <w:t>)-</w:t>
            </w:r>
            <w:proofErr w:type="gramEnd"/>
            <w:r w:rsidRPr="00A923AA">
              <w:rPr>
                <w:rFonts w:ascii="Arial" w:hAnsi="Arial" w:cs="Arial"/>
                <w:sz w:val="22"/>
                <w:szCs w:val="22"/>
                <w:lang w:val="en-GB"/>
              </w:rPr>
              <w:t xml:space="preserve"> Regarded as a frontrunner in insolvency legislations, the jurisdiction does not have a unified bankruptcy legislation. Australia has to</w:t>
            </w:r>
            <w:r>
              <w:rPr>
                <w:rFonts w:ascii="Arial" w:hAnsi="Arial" w:cs="Arial"/>
                <w:sz w:val="22"/>
                <w:szCs w:val="22"/>
                <w:lang w:val="en-GB"/>
              </w:rPr>
              <w:t>o adopted the model law on</w:t>
            </w:r>
            <w:r w:rsidRPr="00A923AA">
              <w:rPr>
                <w:rFonts w:ascii="Arial" w:hAnsi="Arial" w:cs="Arial"/>
                <w:sz w:val="22"/>
                <w:szCs w:val="22"/>
                <w:lang w:val="en-GB"/>
              </w:rPr>
              <w:t xml:space="preserve"> cross border insolvency.</w:t>
            </w:r>
          </w:p>
          <w:p w14:paraId="7B9E9AF8" w14:textId="77777777" w:rsidR="00701D10" w:rsidRPr="00A923AA" w:rsidRDefault="00701D10" w:rsidP="00701D10">
            <w:pPr>
              <w:pStyle w:val="ListParagraph"/>
              <w:numPr>
                <w:ilvl w:val="1"/>
                <w:numId w:val="35"/>
              </w:numPr>
              <w:ind w:left="1305"/>
              <w:jc w:val="both"/>
              <w:rPr>
                <w:rFonts w:ascii="Arial" w:hAnsi="Arial" w:cs="Arial"/>
                <w:sz w:val="22"/>
                <w:szCs w:val="22"/>
                <w:lang w:val="en-GB"/>
              </w:rPr>
            </w:pPr>
            <w:r w:rsidRPr="00A923AA">
              <w:rPr>
                <w:rFonts w:ascii="Arial" w:hAnsi="Arial" w:cs="Arial"/>
                <w:sz w:val="22"/>
                <w:szCs w:val="22"/>
                <w:lang w:val="en-GB"/>
              </w:rPr>
              <w:t>Netherlands (Civil Law</w:t>
            </w:r>
            <w:proofErr w:type="gramStart"/>
            <w:r w:rsidRPr="00A923AA">
              <w:rPr>
                <w:rFonts w:ascii="Arial" w:hAnsi="Arial" w:cs="Arial"/>
                <w:sz w:val="22"/>
                <w:szCs w:val="22"/>
                <w:lang w:val="en-GB"/>
              </w:rPr>
              <w:t>)-</w:t>
            </w:r>
            <w:proofErr w:type="gramEnd"/>
            <w:r w:rsidRPr="00A923AA">
              <w:rPr>
                <w:rFonts w:ascii="Arial" w:hAnsi="Arial" w:cs="Arial"/>
                <w:sz w:val="22"/>
                <w:szCs w:val="22"/>
                <w:lang w:val="en-GB"/>
              </w:rPr>
              <w:t xml:space="preserve"> Initially insolvency was regulated through ordinances until the introduction of </w:t>
            </w:r>
            <w:proofErr w:type="spellStart"/>
            <w:r w:rsidRPr="00A923AA">
              <w:rPr>
                <w:rFonts w:ascii="Arial" w:hAnsi="Arial" w:cs="Arial"/>
                <w:sz w:val="22"/>
                <w:szCs w:val="22"/>
                <w:lang w:val="en-GB"/>
              </w:rPr>
              <w:t>schuldsaneringswet</w:t>
            </w:r>
            <w:proofErr w:type="spellEnd"/>
            <w:r w:rsidRPr="00A923AA">
              <w:rPr>
                <w:rFonts w:ascii="Arial" w:hAnsi="Arial" w:cs="Arial"/>
                <w:sz w:val="22"/>
                <w:szCs w:val="22"/>
                <w:lang w:val="en-GB"/>
              </w:rPr>
              <w:t xml:space="preserve"> in 18</w:t>
            </w:r>
            <w:r w:rsidRPr="00A923AA">
              <w:rPr>
                <w:rFonts w:ascii="Arial" w:hAnsi="Arial" w:cs="Arial"/>
                <w:sz w:val="22"/>
                <w:szCs w:val="22"/>
                <w:vertAlign w:val="superscript"/>
                <w:lang w:val="en-GB"/>
              </w:rPr>
              <w:t>th</w:t>
            </w:r>
            <w:r w:rsidRPr="00A923AA">
              <w:rPr>
                <w:rFonts w:ascii="Arial" w:hAnsi="Arial" w:cs="Arial"/>
                <w:sz w:val="22"/>
                <w:szCs w:val="22"/>
                <w:lang w:val="en-GB"/>
              </w:rPr>
              <w:t xml:space="preserve"> Century that paved way for “fresh start” process in Dutch Bankruptcy Law. Initially, a pro creditor in their approach, however with the unification and introduction of consumer credit, there has been some new developments. </w:t>
            </w:r>
          </w:p>
          <w:p w14:paraId="0EAC0C7E" w14:textId="77777777" w:rsidR="00701D10" w:rsidRPr="00A923AA" w:rsidRDefault="00701D10" w:rsidP="00701D10">
            <w:pPr>
              <w:pStyle w:val="ListParagraph"/>
              <w:numPr>
                <w:ilvl w:val="1"/>
                <w:numId w:val="35"/>
              </w:numPr>
              <w:ind w:left="1305"/>
              <w:jc w:val="both"/>
              <w:rPr>
                <w:rFonts w:ascii="Arial" w:hAnsi="Arial" w:cs="Arial"/>
                <w:sz w:val="22"/>
                <w:szCs w:val="22"/>
                <w:lang w:val="en-GB"/>
              </w:rPr>
            </w:pPr>
            <w:r w:rsidRPr="00A923AA">
              <w:rPr>
                <w:rFonts w:ascii="Arial" w:hAnsi="Arial" w:cs="Arial"/>
                <w:sz w:val="22"/>
                <w:szCs w:val="22"/>
                <w:lang w:val="en-GB"/>
              </w:rPr>
              <w:t>French (Civil Law</w:t>
            </w:r>
            <w:proofErr w:type="gramStart"/>
            <w:r w:rsidRPr="00A923AA">
              <w:rPr>
                <w:rFonts w:ascii="Arial" w:hAnsi="Arial" w:cs="Arial"/>
                <w:sz w:val="22"/>
                <w:szCs w:val="22"/>
                <w:lang w:val="en-GB"/>
              </w:rPr>
              <w:t>)-</w:t>
            </w:r>
            <w:proofErr w:type="gramEnd"/>
            <w:r w:rsidRPr="00A923AA">
              <w:rPr>
                <w:rFonts w:ascii="Arial" w:hAnsi="Arial" w:cs="Arial"/>
                <w:sz w:val="22"/>
                <w:szCs w:val="22"/>
                <w:lang w:val="en-GB"/>
              </w:rPr>
              <w:t xml:space="preserve"> The ordinance De Commerce of 1673 formed the foundation for their commercial and insolvency law in 1807,1838 and thereon. </w:t>
            </w:r>
          </w:p>
          <w:p w14:paraId="7967E81B" w14:textId="77777777" w:rsidR="00701D10" w:rsidRPr="00A923AA" w:rsidRDefault="00701D10" w:rsidP="00701D10">
            <w:pPr>
              <w:pStyle w:val="ListParagraph"/>
              <w:numPr>
                <w:ilvl w:val="2"/>
                <w:numId w:val="35"/>
              </w:numPr>
              <w:ind w:left="1305"/>
              <w:jc w:val="both"/>
              <w:rPr>
                <w:rFonts w:ascii="Arial" w:hAnsi="Arial" w:cs="Arial"/>
                <w:sz w:val="22"/>
                <w:szCs w:val="22"/>
                <w:lang w:val="en-GB"/>
              </w:rPr>
            </w:pPr>
            <w:r w:rsidRPr="00A923AA">
              <w:rPr>
                <w:rFonts w:ascii="Arial" w:hAnsi="Arial" w:cs="Arial"/>
                <w:sz w:val="22"/>
                <w:szCs w:val="22"/>
                <w:lang w:val="en-GB"/>
              </w:rPr>
              <w:t>1807- Pro Creditor Approach- Arrest and Detention of Debtors</w:t>
            </w:r>
          </w:p>
          <w:p w14:paraId="224045B4" w14:textId="77777777" w:rsidR="00701D10" w:rsidRPr="00A923AA" w:rsidRDefault="00701D10" w:rsidP="00701D10">
            <w:pPr>
              <w:pStyle w:val="ListParagraph"/>
              <w:numPr>
                <w:ilvl w:val="2"/>
                <w:numId w:val="35"/>
              </w:numPr>
              <w:ind w:left="1305"/>
              <w:jc w:val="both"/>
              <w:rPr>
                <w:rFonts w:ascii="Arial" w:hAnsi="Arial" w:cs="Arial"/>
                <w:sz w:val="22"/>
                <w:szCs w:val="22"/>
                <w:lang w:val="en-GB"/>
              </w:rPr>
            </w:pPr>
            <w:r w:rsidRPr="00A923AA">
              <w:rPr>
                <w:rFonts w:ascii="Arial" w:hAnsi="Arial" w:cs="Arial"/>
                <w:sz w:val="22"/>
                <w:szCs w:val="22"/>
                <w:lang w:val="en-GB"/>
              </w:rPr>
              <w:t>1889- Judicial Liquidation- Liquidation of Assets</w:t>
            </w:r>
          </w:p>
          <w:p w14:paraId="16BEC177" w14:textId="77777777" w:rsidR="00701D10" w:rsidRPr="00A923AA" w:rsidRDefault="00701D10" w:rsidP="00701D10">
            <w:pPr>
              <w:pStyle w:val="ListParagraph"/>
              <w:numPr>
                <w:ilvl w:val="2"/>
                <w:numId w:val="35"/>
              </w:numPr>
              <w:ind w:left="1305"/>
              <w:jc w:val="both"/>
              <w:rPr>
                <w:rFonts w:ascii="Arial" w:hAnsi="Arial" w:cs="Arial"/>
                <w:sz w:val="22"/>
                <w:szCs w:val="22"/>
                <w:lang w:val="en-GB"/>
              </w:rPr>
            </w:pPr>
            <w:r w:rsidRPr="00A923AA">
              <w:rPr>
                <w:rFonts w:ascii="Arial" w:hAnsi="Arial" w:cs="Arial"/>
                <w:sz w:val="22"/>
                <w:szCs w:val="22"/>
                <w:lang w:val="en-GB"/>
              </w:rPr>
              <w:t xml:space="preserve">1935- </w:t>
            </w:r>
            <w:proofErr w:type="spellStart"/>
            <w:r w:rsidRPr="00A923AA">
              <w:rPr>
                <w:rFonts w:ascii="Arial" w:hAnsi="Arial" w:cs="Arial"/>
                <w:sz w:val="22"/>
                <w:szCs w:val="22"/>
                <w:lang w:val="en-GB"/>
              </w:rPr>
              <w:t>Treatmet</w:t>
            </w:r>
            <w:proofErr w:type="spellEnd"/>
            <w:r w:rsidRPr="00A923AA">
              <w:rPr>
                <w:rFonts w:ascii="Arial" w:hAnsi="Arial" w:cs="Arial"/>
                <w:sz w:val="22"/>
                <w:szCs w:val="22"/>
                <w:lang w:val="en-GB"/>
              </w:rPr>
              <w:t xml:space="preserve"> of failed businesses</w:t>
            </w:r>
          </w:p>
          <w:p w14:paraId="2F10B91D" w14:textId="77777777" w:rsidR="00701D10" w:rsidRPr="00A923AA" w:rsidRDefault="00701D10" w:rsidP="00701D10">
            <w:pPr>
              <w:pStyle w:val="ListParagraph"/>
              <w:numPr>
                <w:ilvl w:val="2"/>
                <w:numId w:val="35"/>
              </w:numPr>
              <w:ind w:left="1305"/>
              <w:jc w:val="both"/>
              <w:rPr>
                <w:rFonts w:ascii="Arial" w:hAnsi="Arial" w:cs="Arial"/>
                <w:sz w:val="22"/>
                <w:szCs w:val="22"/>
                <w:lang w:val="en-GB"/>
              </w:rPr>
            </w:pPr>
            <w:r w:rsidRPr="00A923AA">
              <w:rPr>
                <w:rFonts w:ascii="Arial" w:hAnsi="Arial" w:cs="Arial"/>
                <w:sz w:val="22"/>
                <w:szCs w:val="22"/>
                <w:lang w:val="en-GB"/>
              </w:rPr>
              <w:t>1967- Reorganisation and Moratorium</w:t>
            </w:r>
          </w:p>
          <w:p w14:paraId="2F9A60EF" w14:textId="77777777" w:rsidR="00701D10" w:rsidRPr="00A923AA" w:rsidRDefault="00701D10" w:rsidP="00701D10">
            <w:pPr>
              <w:pStyle w:val="ListParagraph"/>
              <w:numPr>
                <w:ilvl w:val="2"/>
                <w:numId w:val="35"/>
              </w:numPr>
              <w:ind w:left="1305"/>
              <w:jc w:val="both"/>
              <w:rPr>
                <w:rFonts w:ascii="Arial" w:hAnsi="Arial" w:cs="Arial"/>
                <w:sz w:val="22"/>
                <w:szCs w:val="22"/>
                <w:lang w:val="en-GB"/>
              </w:rPr>
            </w:pPr>
            <w:r w:rsidRPr="00A923AA">
              <w:rPr>
                <w:rFonts w:ascii="Arial" w:hAnsi="Arial" w:cs="Arial"/>
                <w:sz w:val="22"/>
                <w:szCs w:val="22"/>
                <w:lang w:val="en-GB"/>
              </w:rPr>
              <w:t>1985- A comprehensive legislation</w:t>
            </w:r>
          </w:p>
          <w:p w14:paraId="30664221" w14:textId="77777777" w:rsidR="00701D10" w:rsidRDefault="00701D10" w:rsidP="00701D10">
            <w:pPr>
              <w:jc w:val="both"/>
              <w:rPr>
                <w:rFonts w:ascii="Times New Roman" w:hAnsi="Times New Roman" w:cs="Times New Roman"/>
                <w:sz w:val="22"/>
                <w:szCs w:val="22"/>
                <w:shd w:val="clear" w:color="auto" w:fill="FFFFFF"/>
              </w:rPr>
            </w:pPr>
          </w:p>
        </w:tc>
      </w:tr>
    </w:tbl>
    <w:p w14:paraId="76199FDE" w14:textId="77777777" w:rsidR="00191C75" w:rsidRDefault="00191C75" w:rsidP="00701D10">
      <w:pPr>
        <w:jc w:val="both"/>
        <w:rPr>
          <w:rFonts w:ascii="Times New Roman" w:hAnsi="Times New Roman" w:cs="Times New Roman"/>
          <w:sz w:val="22"/>
          <w:szCs w:val="22"/>
          <w:shd w:val="clear" w:color="auto" w:fill="FFFFFF"/>
        </w:rPr>
      </w:pPr>
    </w:p>
    <w:p w14:paraId="1E2D8C9A" w14:textId="77777777" w:rsidR="00191C75" w:rsidRDefault="00191C75" w:rsidP="00045CE1">
      <w:pPr>
        <w:ind w:left="720"/>
        <w:jc w:val="both"/>
        <w:rPr>
          <w:rFonts w:ascii="Times New Roman" w:hAnsi="Times New Roman" w:cs="Times New Roman"/>
          <w:sz w:val="22"/>
          <w:szCs w:val="22"/>
          <w:shd w:val="clear" w:color="auto" w:fill="FFFFFF"/>
        </w:rPr>
      </w:pPr>
    </w:p>
    <w:p w14:paraId="0B8C1244" w14:textId="57F01E62" w:rsidR="00DA42DA" w:rsidRDefault="00DA42DA" w:rsidP="00701D10">
      <w:pPr>
        <w:jc w:val="both"/>
        <w:rPr>
          <w:rFonts w:ascii="Times New Roman" w:hAnsi="Times New Roman" w:cs="Times New Roman"/>
          <w:sz w:val="22"/>
          <w:szCs w:val="22"/>
          <w:shd w:val="clear" w:color="auto" w:fill="FFFFFF"/>
        </w:rPr>
      </w:pPr>
    </w:p>
    <w:p w14:paraId="31CA6C72" w14:textId="77777777" w:rsidR="00701D10" w:rsidRPr="00701D10" w:rsidRDefault="00701D10" w:rsidP="00701D10">
      <w:pPr>
        <w:jc w:val="both"/>
        <w:rPr>
          <w:rFonts w:ascii="Times New Roman" w:hAnsi="Times New Roman" w:cs="Times New Roman"/>
          <w:sz w:val="22"/>
          <w:szCs w:val="22"/>
          <w:shd w:val="clear" w:color="auto" w:fill="FFFFFF"/>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tbl>
      <w:tblPr>
        <w:tblStyle w:val="TableGrid"/>
        <w:tblW w:w="0" w:type="auto"/>
        <w:tblLook w:val="04A0" w:firstRow="1" w:lastRow="0" w:firstColumn="1" w:lastColumn="0" w:noHBand="0" w:noVBand="1"/>
      </w:tblPr>
      <w:tblGrid>
        <w:gridCol w:w="9016"/>
      </w:tblGrid>
      <w:tr w:rsidR="00701D10" w14:paraId="0B2BF9CF" w14:textId="77777777" w:rsidTr="00701D10">
        <w:tc>
          <w:tcPr>
            <w:tcW w:w="9016" w:type="dxa"/>
          </w:tcPr>
          <w:p w14:paraId="311B244F" w14:textId="77777777" w:rsidR="00701D10" w:rsidRDefault="00701D10" w:rsidP="00701D10">
            <w:pPr>
              <w:ind w:left="720"/>
              <w:jc w:val="both"/>
              <w:rPr>
                <w:rFonts w:ascii="Times New Roman" w:hAnsi="Times New Roman" w:cs="Times New Roman"/>
                <w:sz w:val="22"/>
                <w:szCs w:val="22"/>
                <w:lang w:val="en-GB"/>
              </w:rPr>
            </w:pPr>
            <w:r w:rsidRPr="008459A6">
              <w:rPr>
                <w:rFonts w:ascii="Times New Roman" w:hAnsi="Times New Roman" w:cs="Times New Roman"/>
                <w:sz w:val="22"/>
                <w:szCs w:val="22"/>
                <w:lang w:val="en-GB"/>
              </w:rPr>
              <w:t xml:space="preserve">In addressing the problems associated with cross border insolvency, one line of approach taken is the principle of universalism and the principle of territorialism. </w:t>
            </w:r>
          </w:p>
          <w:p w14:paraId="794CC7AF" w14:textId="77777777" w:rsidR="00701D10" w:rsidRDefault="00701D10" w:rsidP="00701D10">
            <w:pPr>
              <w:pStyle w:val="ListParagraph"/>
              <w:numPr>
                <w:ilvl w:val="0"/>
                <w:numId w:val="36"/>
              </w:numPr>
              <w:jc w:val="both"/>
              <w:rPr>
                <w:rFonts w:ascii="Times New Roman" w:hAnsi="Times New Roman" w:cs="Times New Roman"/>
                <w:sz w:val="22"/>
                <w:szCs w:val="22"/>
                <w:lang w:val="en-GB"/>
              </w:rPr>
            </w:pPr>
            <w:r w:rsidRPr="008459A6">
              <w:rPr>
                <w:rFonts w:ascii="Times New Roman" w:hAnsi="Times New Roman" w:cs="Times New Roman"/>
                <w:sz w:val="22"/>
                <w:szCs w:val="22"/>
                <w:lang w:val="en-GB"/>
              </w:rPr>
              <w:t>Universalism</w:t>
            </w:r>
            <w:r>
              <w:rPr>
                <w:rFonts w:ascii="Times New Roman" w:hAnsi="Times New Roman" w:cs="Times New Roman"/>
                <w:sz w:val="22"/>
                <w:szCs w:val="22"/>
                <w:lang w:val="en-GB"/>
              </w:rPr>
              <w:t>- One insolvency proceeding covering all of debtors assets and debts worldwide.</w:t>
            </w:r>
          </w:p>
          <w:p w14:paraId="11956E60"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Ideal solution- Only one proceeding commences and no other proceedings entertained. </w:t>
            </w:r>
            <w:r w:rsidRPr="008459A6">
              <w:rPr>
                <w:rFonts w:ascii="Times New Roman" w:hAnsi="Times New Roman" w:cs="Times New Roman"/>
                <w:sz w:val="22"/>
                <w:szCs w:val="22"/>
                <w:lang w:val="en-GB"/>
              </w:rPr>
              <w:t>All assets included and all creditors entitled to participate in such a setting.</w:t>
            </w:r>
          </w:p>
          <w:p w14:paraId="2CB81EA2" w14:textId="77777777" w:rsidR="00701D10" w:rsidRPr="00790F56"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Efficiency and Low transaction costs coinciding</w:t>
            </w:r>
            <w:r w:rsidRPr="00790F56">
              <w:rPr>
                <w:rFonts w:ascii="Times New Roman" w:hAnsi="Times New Roman" w:cs="Times New Roman"/>
                <w:sz w:val="22"/>
                <w:szCs w:val="22"/>
                <w:lang w:val="en-GB"/>
              </w:rPr>
              <w:t xml:space="preserve"> with the onset of globalisation- If businesses affairs spread across jurisdictions, the states must ensure that its distress must also be addressed unified.</w:t>
            </w:r>
          </w:p>
          <w:p w14:paraId="2E7C0AD0"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Opponents point out the difficulties- The states must cooperate on the Choice of Law and Priority Rules- Ascertainment of Single State is a diplomatic affair-</w:t>
            </w:r>
          </w:p>
          <w:p w14:paraId="67B79EDC"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Practical Issues- Creates uncertainty in domestic markets and vulnerable to strategic manipulation.</w:t>
            </w:r>
          </w:p>
          <w:p w14:paraId="0A563AD6" w14:textId="77777777" w:rsidR="00701D10" w:rsidRPr="008459A6" w:rsidRDefault="00701D10" w:rsidP="00701D10">
            <w:pPr>
              <w:pStyle w:val="ListParagraph"/>
              <w:ind w:left="1800"/>
              <w:jc w:val="both"/>
              <w:rPr>
                <w:rFonts w:ascii="Times New Roman" w:hAnsi="Times New Roman" w:cs="Times New Roman"/>
                <w:sz w:val="22"/>
                <w:szCs w:val="22"/>
                <w:lang w:val="en-GB"/>
              </w:rPr>
            </w:pPr>
          </w:p>
          <w:p w14:paraId="291BE036" w14:textId="77777777" w:rsidR="00701D10" w:rsidRDefault="00701D10" w:rsidP="00701D10">
            <w:pPr>
              <w:pStyle w:val="ListParagraph"/>
              <w:numPr>
                <w:ilvl w:val="0"/>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Territorialism- The insolvency proceedings may commence in every state where the debtor holds asset but should be territorially limited and property be restricted to that state where proceedings are opened.  </w:t>
            </w:r>
          </w:p>
          <w:p w14:paraId="2D75417F"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Concurrent proceedings in line with national laws. Preference to national interests before assets are transmitted abroad.</w:t>
            </w:r>
          </w:p>
          <w:p w14:paraId="065E82BA"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Addressing local interests and local creditors who evaluate local assets before rendering credit is a good idea but this also leads to a situation where local creditors may suffer with inability to participate in beyond local assets- foreign proceedings. Only a very strong/large creditor would be enabled to access such a setting then.</w:t>
            </w:r>
          </w:p>
          <w:p w14:paraId="72C9C806"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Thresholds for insolvency- wherein the debtor may be declared insolvency in one state whereas the not in other states where the asset is located.</w:t>
            </w:r>
          </w:p>
          <w:p w14:paraId="420B7FB2" w14:textId="77777777" w:rsidR="00701D10" w:rsidRDefault="00701D10" w:rsidP="00701D10">
            <w:pPr>
              <w:pStyle w:val="ListParagraph"/>
              <w:ind w:left="1800"/>
              <w:jc w:val="both"/>
              <w:rPr>
                <w:rFonts w:ascii="Times New Roman" w:hAnsi="Times New Roman" w:cs="Times New Roman"/>
                <w:sz w:val="22"/>
                <w:szCs w:val="22"/>
                <w:lang w:val="en-GB"/>
              </w:rPr>
            </w:pPr>
          </w:p>
          <w:p w14:paraId="4E2EB0B2" w14:textId="77777777" w:rsidR="00701D10" w:rsidRDefault="00701D10" w:rsidP="00701D10">
            <w:pPr>
              <w:pStyle w:val="ListParagraph"/>
              <w:numPr>
                <w:ilvl w:val="0"/>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Solution- Somewhere in between? There comes the modified universalism or modified territorialism-</w:t>
            </w:r>
            <w:r w:rsidRPr="001E0B1B">
              <w:rPr>
                <w:rFonts w:ascii="Times New Roman" w:hAnsi="Times New Roman" w:cs="Times New Roman"/>
                <w:sz w:val="22"/>
                <w:szCs w:val="22"/>
                <w:lang w:val="en-GB"/>
              </w:rPr>
              <w:t>Territoriality is costly and universalism has a cooperation problem that we find a mix of approach in between.</w:t>
            </w:r>
          </w:p>
          <w:p w14:paraId="703D7F1E"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Modified Universalism- An actual unity of proceeding concept wherein it allows for more than one proceeding to be originated, for instance in the state where debtor has centre of main interests (COMI). This will lead to a scenario wherein the “main proceeding” will have worldwide effect with a possibility of a “non-main proceeding” in other states concurrently subject to overall regulation under the “main proceeding”.</w:t>
            </w:r>
          </w:p>
          <w:p w14:paraId="024295AB"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sidRPr="001E0B1B">
              <w:rPr>
                <w:rFonts w:ascii="Times New Roman" w:hAnsi="Times New Roman" w:cs="Times New Roman"/>
                <w:sz w:val="22"/>
                <w:szCs w:val="22"/>
                <w:lang w:val="en-GB"/>
              </w:rPr>
              <w:t xml:space="preserve"> </w:t>
            </w:r>
            <w:r>
              <w:rPr>
                <w:rFonts w:ascii="Times New Roman" w:hAnsi="Times New Roman" w:cs="Times New Roman"/>
                <w:sz w:val="22"/>
                <w:szCs w:val="22"/>
                <w:lang w:val="en-GB"/>
              </w:rPr>
              <w:t>Cooperative Territorialism- Every state has jurisdiction over their matters and the courts endeavour to collaborate through proper communication and cooperation amongst themselves</w:t>
            </w:r>
          </w:p>
          <w:p w14:paraId="4F7466A9"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Contractual planning of distress resolution by having clauses in </w:t>
            </w:r>
            <w:proofErr w:type="spellStart"/>
            <w:r>
              <w:rPr>
                <w:rFonts w:ascii="Times New Roman" w:hAnsi="Times New Roman" w:cs="Times New Roman"/>
                <w:sz w:val="22"/>
                <w:szCs w:val="22"/>
                <w:lang w:val="en-GB"/>
              </w:rPr>
              <w:t>AoA</w:t>
            </w:r>
            <w:proofErr w:type="spellEnd"/>
            <w:r>
              <w:rPr>
                <w:rFonts w:ascii="Times New Roman" w:hAnsi="Times New Roman" w:cs="Times New Roman"/>
                <w:sz w:val="22"/>
                <w:szCs w:val="22"/>
                <w:lang w:val="en-GB"/>
              </w:rPr>
              <w:t>.</w:t>
            </w:r>
          </w:p>
          <w:p w14:paraId="3F933B50" w14:textId="77777777" w:rsidR="00701D10"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Co-operation protocols which are specific or general.</w:t>
            </w:r>
          </w:p>
          <w:p w14:paraId="0E573559" w14:textId="77777777" w:rsidR="00701D10" w:rsidRPr="001E0B1B" w:rsidRDefault="00701D10" w:rsidP="00701D10">
            <w:pPr>
              <w:pStyle w:val="ListParagraph"/>
              <w:numPr>
                <w:ilvl w:val="1"/>
                <w:numId w:val="36"/>
              </w:numPr>
              <w:jc w:val="both"/>
              <w:rPr>
                <w:rFonts w:ascii="Times New Roman" w:hAnsi="Times New Roman" w:cs="Times New Roman"/>
                <w:sz w:val="22"/>
                <w:szCs w:val="22"/>
                <w:lang w:val="en-GB"/>
              </w:rPr>
            </w:pPr>
            <w:r>
              <w:rPr>
                <w:rFonts w:ascii="Times New Roman" w:hAnsi="Times New Roman" w:cs="Times New Roman"/>
                <w:sz w:val="22"/>
                <w:szCs w:val="22"/>
                <w:lang w:val="en-GB"/>
              </w:rPr>
              <w:t>Internationalist Principle- Do what is best.</w:t>
            </w:r>
            <w:r w:rsidRPr="001E0B1B">
              <w:rPr>
                <w:rFonts w:ascii="Times New Roman" w:hAnsi="Times New Roman" w:cs="Times New Roman"/>
                <w:sz w:val="22"/>
                <w:szCs w:val="22"/>
                <w:lang w:val="en-GB"/>
              </w:rPr>
              <w:t xml:space="preserve"> </w:t>
            </w:r>
          </w:p>
          <w:p w14:paraId="26D9C374" w14:textId="77777777" w:rsidR="00701D10" w:rsidRDefault="00701D10" w:rsidP="00F40A9B">
            <w:pPr>
              <w:jc w:val="both"/>
              <w:rPr>
                <w:rFonts w:ascii="Times New Roman" w:hAnsi="Times New Roman" w:cs="Times New Roman"/>
                <w:sz w:val="22"/>
                <w:szCs w:val="22"/>
                <w:lang w:val="en-GB"/>
              </w:rPr>
            </w:pPr>
          </w:p>
        </w:tc>
      </w:tr>
    </w:tbl>
    <w:p w14:paraId="7A87B146" w14:textId="77777777" w:rsidR="00F40A9B" w:rsidRDefault="00F40A9B" w:rsidP="00F40A9B">
      <w:pPr>
        <w:jc w:val="both"/>
        <w:rPr>
          <w:rFonts w:ascii="Times New Roman" w:hAnsi="Times New Roman" w:cs="Times New Roman"/>
          <w:sz w:val="22"/>
          <w:szCs w:val="22"/>
          <w:lang w:val="en-GB"/>
        </w:rPr>
      </w:pPr>
    </w:p>
    <w:p w14:paraId="34516371" w14:textId="4075EDFA" w:rsidR="00C72848" w:rsidRPr="00E17BF1" w:rsidRDefault="00C72848" w:rsidP="00F40A9B">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57D0DD18" w14:textId="77777777" w:rsidR="00701D10" w:rsidRDefault="00701D10" w:rsidP="006208BB">
      <w:pPr>
        <w:jc w:val="both"/>
        <w:rPr>
          <w:rFonts w:ascii="Avenir Next" w:hAnsi="Avenir Next" w:cs="Arial"/>
          <w:sz w:val="22"/>
          <w:szCs w:val="22"/>
          <w:lang w:val="en-GB"/>
        </w:rPr>
      </w:pPr>
    </w:p>
    <w:tbl>
      <w:tblPr>
        <w:tblStyle w:val="TableGrid"/>
        <w:tblW w:w="0" w:type="auto"/>
        <w:tblLook w:val="04A0" w:firstRow="1" w:lastRow="0" w:firstColumn="1" w:lastColumn="0" w:noHBand="0" w:noVBand="1"/>
      </w:tblPr>
      <w:tblGrid>
        <w:gridCol w:w="9016"/>
      </w:tblGrid>
      <w:tr w:rsidR="00701D10" w14:paraId="15117806" w14:textId="77777777" w:rsidTr="00701D10">
        <w:tc>
          <w:tcPr>
            <w:tcW w:w="9016" w:type="dxa"/>
          </w:tcPr>
          <w:p w14:paraId="762D01C1" w14:textId="77777777" w:rsidR="00701D10" w:rsidRDefault="00701D10" w:rsidP="00701D10">
            <w:pPr>
              <w:jc w:val="both"/>
              <w:rPr>
                <w:rFonts w:ascii="Avenir Next" w:hAnsi="Avenir Next" w:cs="Arial"/>
                <w:sz w:val="22"/>
                <w:szCs w:val="22"/>
                <w:lang w:val="en-GB"/>
              </w:rPr>
            </w:pPr>
          </w:p>
          <w:p w14:paraId="37A93409" w14:textId="77777777" w:rsidR="00701D10" w:rsidRDefault="00701D10" w:rsidP="00701D10">
            <w:pPr>
              <w:ind w:left="720"/>
              <w:jc w:val="both"/>
              <w:rPr>
                <w:rFonts w:ascii="Arial" w:hAnsi="Arial" w:cs="Arial"/>
                <w:sz w:val="22"/>
                <w:szCs w:val="22"/>
                <w:lang w:val="en-GB"/>
              </w:rPr>
            </w:pPr>
            <w:r w:rsidRPr="002A4DBA">
              <w:rPr>
                <w:rFonts w:ascii="Arial" w:hAnsi="Arial" w:cs="Arial"/>
                <w:sz w:val="22"/>
                <w:szCs w:val="22"/>
                <w:lang w:val="en-GB"/>
              </w:rPr>
              <w:t xml:space="preserve">Latin America geographically refers to the regions that were once ruled by the Portuguese, French and Spanish empire. UN has identified 33 nations as part of the Latin Americas. </w:t>
            </w:r>
          </w:p>
          <w:p w14:paraId="713E1EE6" w14:textId="77777777" w:rsidR="00701D10" w:rsidRDefault="00701D10" w:rsidP="00701D10">
            <w:pPr>
              <w:ind w:left="720"/>
              <w:jc w:val="both"/>
              <w:rPr>
                <w:rFonts w:ascii="Arial" w:hAnsi="Arial" w:cs="Arial"/>
                <w:sz w:val="22"/>
                <w:szCs w:val="22"/>
                <w:lang w:val="en-GB"/>
              </w:rPr>
            </w:pPr>
          </w:p>
          <w:p w14:paraId="77345164" w14:textId="77777777" w:rsidR="00701D10" w:rsidRDefault="00701D10" w:rsidP="00701D10">
            <w:pPr>
              <w:ind w:left="720"/>
              <w:jc w:val="both"/>
              <w:rPr>
                <w:rFonts w:ascii="Arial" w:hAnsi="Arial" w:cs="Arial"/>
                <w:sz w:val="22"/>
                <w:szCs w:val="22"/>
                <w:lang w:val="en-GB"/>
              </w:rPr>
            </w:pPr>
            <w:r>
              <w:rPr>
                <w:rFonts w:ascii="Arial" w:hAnsi="Arial" w:cs="Arial"/>
                <w:sz w:val="22"/>
                <w:szCs w:val="22"/>
                <w:lang w:val="en-GB"/>
              </w:rPr>
              <w:t>These states have tried to achieve address the international insolvency issues amongst themselves by way of some multilateral agreements, namely,:</w:t>
            </w:r>
          </w:p>
          <w:p w14:paraId="2D2362A3" w14:textId="77777777" w:rsidR="00701D10" w:rsidRDefault="00701D10" w:rsidP="00701D10">
            <w:pPr>
              <w:pStyle w:val="ListParagraph"/>
              <w:numPr>
                <w:ilvl w:val="0"/>
                <w:numId w:val="36"/>
              </w:numPr>
              <w:jc w:val="both"/>
              <w:rPr>
                <w:rFonts w:ascii="Arial" w:hAnsi="Arial" w:cs="Arial"/>
                <w:sz w:val="22"/>
                <w:szCs w:val="22"/>
                <w:lang w:val="en-GB"/>
              </w:rPr>
            </w:pPr>
            <w:r>
              <w:rPr>
                <w:rFonts w:ascii="Arial" w:hAnsi="Arial" w:cs="Arial"/>
                <w:sz w:val="22"/>
                <w:szCs w:val="22"/>
                <w:lang w:val="en-GB"/>
              </w:rPr>
              <w:t>Montevideo Treaties (1889) &amp; (1940)</w:t>
            </w:r>
          </w:p>
          <w:p w14:paraId="418BE40D" w14:textId="77777777" w:rsidR="00701D10" w:rsidRDefault="00701D10" w:rsidP="00701D10">
            <w:pPr>
              <w:pStyle w:val="ListParagraph"/>
              <w:numPr>
                <w:ilvl w:val="0"/>
                <w:numId w:val="36"/>
              </w:numPr>
              <w:jc w:val="both"/>
              <w:rPr>
                <w:rFonts w:ascii="Arial" w:hAnsi="Arial" w:cs="Arial"/>
                <w:sz w:val="22"/>
                <w:szCs w:val="22"/>
                <w:lang w:val="en-GB"/>
              </w:rPr>
            </w:pPr>
            <w:r>
              <w:rPr>
                <w:rFonts w:ascii="Arial" w:hAnsi="Arial" w:cs="Arial"/>
                <w:sz w:val="22"/>
                <w:szCs w:val="22"/>
                <w:lang w:val="en-GB"/>
              </w:rPr>
              <w:t>Havana Convention of Private International Law @ Bustamante Code (1928)</w:t>
            </w:r>
          </w:p>
          <w:p w14:paraId="2EB8A296" w14:textId="77777777" w:rsidR="00701D10" w:rsidRDefault="00701D10" w:rsidP="00701D10">
            <w:pPr>
              <w:ind w:left="720"/>
              <w:jc w:val="both"/>
              <w:rPr>
                <w:rFonts w:ascii="Arial" w:hAnsi="Arial" w:cs="Arial"/>
                <w:sz w:val="22"/>
                <w:szCs w:val="22"/>
                <w:lang w:val="en-GB"/>
              </w:rPr>
            </w:pPr>
          </w:p>
          <w:tbl>
            <w:tblPr>
              <w:tblStyle w:val="TableGrid"/>
              <w:tblW w:w="0" w:type="auto"/>
              <w:tblInd w:w="720" w:type="dxa"/>
              <w:tblLook w:val="04A0" w:firstRow="1" w:lastRow="0" w:firstColumn="1" w:lastColumn="0" w:noHBand="0" w:noVBand="1"/>
            </w:tblPr>
            <w:tblGrid>
              <w:gridCol w:w="1914"/>
              <w:gridCol w:w="2444"/>
              <w:gridCol w:w="1549"/>
              <w:gridCol w:w="2163"/>
            </w:tblGrid>
            <w:tr w:rsidR="00701D10" w14:paraId="08DB68F2" w14:textId="77777777" w:rsidTr="00C241C1">
              <w:tc>
                <w:tcPr>
                  <w:tcW w:w="1968" w:type="dxa"/>
                </w:tcPr>
                <w:p w14:paraId="7C42227D" w14:textId="77777777" w:rsidR="00701D10" w:rsidRDefault="00701D10" w:rsidP="00701D10">
                  <w:pPr>
                    <w:jc w:val="both"/>
                    <w:rPr>
                      <w:rFonts w:ascii="Arial" w:hAnsi="Arial" w:cs="Arial"/>
                      <w:sz w:val="22"/>
                      <w:szCs w:val="22"/>
                      <w:lang w:val="en-GB"/>
                    </w:rPr>
                  </w:pPr>
                </w:p>
              </w:tc>
              <w:tc>
                <w:tcPr>
                  <w:tcW w:w="2552" w:type="dxa"/>
                </w:tcPr>
                <w:p w14:paraId="103218FD" w14:textId="77777777" w:rsidR="00701D10" w:rsidRDefault="00701D10" w:rsidP="00701D10">
                  <w:pPr>
                    <w:jc w:val="both"/>
                    <w:rPr>
                      <w:rFonts w:ascii="Arial" w:hAnsi="Arial" w:cs="Arial"/>
                      <w:sz w:val="22"/>
                      <w:szCs w:val="22"/>
                      <w:lang w:val="en-GB"/>
                    </w:rPr>
                  </w:pPr>
                  <w:r>
                    <w:rPr>
                      <w:rFonts w:ascii="Arial" w:hAnsi="Arial" w:cs="Arial"/>
                      <w:sz w:val="22"/>
                      <w:szCs w:val="22"/>
                      <w:lang w:val="en-GB"/>
                    </w:rPr>
                    <w:t>Montevideo Treaty (1889)</w:t>
                  </w:r>
                </w:p>
              </w:tc>
              <w:tc>
                <w:tcPr>
                  <w:tcW w:w="1559" w:type="dxa"/>
                </w:tcPr>
                <w:p w14:paraId="6CF553E3" w14:textId="77777777" w:rsidR="00701D10" w:rsidRDefault="00701D10" w:rsidP="00701D10">
                  <w:pPr>
                    <w:jc w:val="both"/>
                    <w:rPr>
                      <w:rFonts w:ascii="Arial" w:hAnsi="Arial" w:cs="Arial"/>
                      <w:sz w:val="22"/>
                      <w:szCs w:val="22"/>
                      <w:lang w:val="en-GB"/>
                    </w:rPr>
                  </w:pPr>
                  <w:r>
                    <w:rPr>
                      <w:rFonts w:ascii="Arial" w:hAnsi="Arial" w:cs="Arial"/>
                      <w:sz w:val="22"/>
                      <w:szCs w:val="22"/>
                      <w:lang w:val="en-GB"/>
                    </w:rPr>
                    <w:t>Montevideo Treaty (1940)</w:t>
                  </w:r>
                </w:p>
              </w:tc>
              <w:tc>
                <w:tcPr>
                  <w:tcW w:w="2217" w:type="dxa"/>
                </w:tcPr>
                <w:p w14:paraId="1AA00B3A" w14:textId="77777777" w:rsidR="00701D10" w:rsidRPr="002A4DBA" w:rsidRDefault="00701D10" w:rsidP="00701D10">
                  <w:pPr>
                    <w:jc w:val="both"/>
                    <w:rPr>
                      <w:rFonts w:ascii="Arial" w:hAnsi="Arial" w:cs="Arial"/>
                      <w:b/>
                      <w:sz w:val="22"/>
                      <w:szCs w:val="22"/>
                      <w:lang w:val="en-GB"/>
                    </w:rPr>
                  </w:pPr>
                  <w:r>
                    <w:rPr>
                      <w:rFonts w:ascii="Arial" w:hAnsi="Arial" w:cs="Arial"/>
                      <w:sz w:val="22"/>
                      <w:szCs w:val="22"/>
                      <w:lang w:val="en-GB"/>
                    </w:rPr>
                    <w:t>Bustamante Code (1928)</w:t>
                  </w:r>
                </w:p>
              </w:tc>
            </w:tr>
            <w:tr w:rsidR="00701D10" w14:paraId="3F7CBEF4" w14:textId="77777777" w:rsidTr="00C241C1">
              <w:tc>
                <w:tcPr>
                  <w:tcW w:w="1968" w:type="dxa"/>
                </w:tcPr>
                <w:p w14:paraId="6455BA38" w14:textId="77777777" w:rsidR="00701D10" w:rsidRDefault="00701D10" w:rsidP="00701D10">
                  <w:pPr>
                    <w:jc w:val="both"/>
                    <w:rPr>
                      <w:rFonts w:ascii="Arial" w:hAnsi="Arial" w:cs="Arial"/>
                      <w:sz w:val="22"/>
                      <w:szCs w:val="22"/>
                      <w:lang w:val="en-GB"/>
                    </w:rPr>
                  </w:pPr>
                  <w:r>
                    <w:rPr>
                      <w:rFonts w:ascii="Arial" w:hAnsi="Arial" w:cs="Arial"/>
                      <w:sz w:val="22"/>
                      <w:szCs w:val="22"/>
                      <w:lang w:val="en-GB"/>
                    </w:rPr>
                    <w:t>Adopting States</w:t>
                  </w:r>
                </w:p>
              </w:tc>
              <w:tc>
                <w:tcPr>
                  <w:tcW w:w="2552" w:type="dxa"/>
                </w:tcPr>
                <w:p w14:paraId="47D5D9EC" w14:textId="77777777" w:rsidR="00701D10" w:rsidRDefault="00701D10" w:rsidP="00701D10">
                  <w:pPr>
                    <w:jc w:val="both"/>
                    <w:rPr>
                      <w:rFonts w:ascii="Arial" w:hAnsi="Arial" w:cs="Arial"/>
                      <w:sz w:val="22"/>
                      <w:szCs w:val="22"/>
                      <w:lang w:val="en-GB"/>
                    </w:rPr>
                  </w:pPr>
                  <w:r w:rsidRPr="006442E6">
                    <w:rPr>
                      <w:rFonts w:ascii="Arial" w:hAnsi="Arial" w:cs="Arial"/>
                      <w:i/>
                      <w:color w:val="70AD47" w:themeColor="accent6"/>
                      <w:sz w:val="22"/>
                      <w:szCs w:val="22"/>
                      <w:lang w:val="en-GB"/>
                    </w:rPr>
                    <w:t>Argentina,</w:t>
                  </w:r>
                  <w:r>
                    <w:rPr>
                      <w:rFonts w:ascii="Arial" w:hAnsi="Arial" w:cs="Arial"/>
                      <w:sz w:val="22"/>
                      <w:szCs w:val="22"/>
                      <w:lang w:val="en-GB"/>
                    </w:rPr>
                    <w:t xml:space="preserve"> </w:t>
                  </w:r>
                  <w:r w:rsidRPr="00866359">
                    <w:rPr>
                      <w:rFonts w:ascii="Arial" w:hAnsi="Arial" w:cs="Arial"/>
                      <w:b/>
                      <w:sz w:val="22"/>
                      <w:szCs w:val="22"/>
                      <w:lang w:val="en-GB"/>
                    </w:rPr>
                    <w:t>Bolivia</w:t>
                  </w:r>
                  <w:r>
                    <w:rPr>
                      <w:rFonts w:ascii="Arial" w:hAnsi="Arial" w:cs="Arial"/>
                      <w:sz w:val="22"/>
                      <w:szCs w:val="22"/>
                      <w:lang w:val="en-GB"/>
                    </w:rPr>
                    <w:t xml:space="preserve">, Columbia, </w:t>
                  </w:r>
                  <w:r w:rsidRPr="006442E6">
                    <w:rPr>
                      <w:rFonts w:ascii="Arial" w:hAnsi="Arial" w:cs="Arial"/>
                      <w:i/>
                      <w:color w:val="70AD47" w:themeColor="accent6"/>
                      <w:sz w:val="22"/>
                      <w:szCs w:val="22"/>
                      <w:lang w:val="en-GB"/>
                    </w:rPr>
                    <w:t>Paraguay,</w:t>
                  </w:r>
                  <w:r w:rsidRPr="006442E6">
                    <w:rPr>
                      <w:rFonts w:ascii="Arial" w:hAnsi="Arial" w:cs="Arial"/>
                      <w:color w:val="70AD47" w:themeColor="accent6"/>
                      <w:sz w:val="22"/>
                      <w:szCs w:val="22"/>
                      <w:lang w:val="en-GB"/>
                    </w:rPr>
                    <w:t xml:space="preserve"> </w:t>
                  </w:r>
                  <w:r w:rsidRPr="00866359">
                    <w:rPr>
                      <w:rFonts w:ascii="Arial" w:hAnsi="Arial" w:cs="Arial"/>
                      <w:b/>
                      <w:sz w:val="22"/>
                      <w:szCs w:val="22"/>
                      <w:lang w:val="en-GB"/>
                    </w:rPr>
                    <w:t>Peru,</w:t>
                  </w:r>
                  <w:r>
                    <w:rPr>
                      <w:rFonts w:ascii="Arial" w:hAnsi="Arial" w:cs="Arial"/>
                      <w:sz w:val="22"/>
                      <w:szCs w:val="22"/>
                      <w:lang w:val="en-GB"/>
                    </w:rPr>
                    <w:t xml:space="preserve"> </w:t>
                  </w:r>
                  <w:r w:rsidRPr="002A4DBA">
                    <w:rPr>
                      <w:rFonts w:ascii="Arial" w:hAnsi="Arial" w:cs="Arial"/>
                      <w:i/>
                      <w:sz w:val="22"/>
                      <w:szCs w:val="22"/>
                      <w:lang w:val="en-GB"/>
                    </w:rPr>
                    <w:t xml:space="preserve">and </w:t>
                  </w:r>
                  <w:r w:rsidRPr="006442E6">
                    <w:rPr>
                      <w:rFonts w:ascii="Arial" w:hAnsi="Arial" w:cs="Arial"/>
                      <w:i/>
                      <w:color w:val="70AD47" w:themeColor="accent6"/>
                      <w:sz w:val="22"/>
                      <w:szCs w:val="22"/>
                      <w:lang w:val="en-GB"/>
                    </w:rPr>
                    <w:t>Uruguay</w:t>
                  </w:r>
                </w:p>
              </w:tc>
              <w:tc>
                <w:tcPr>
                  <w:tcW w:w="1559" w:type="dxa"/>
                </w:tcPr>
                <w:p w14:paraId="72161BEE" w14:textId="77777777" w:rsidR="00701D10" w:rsidRPr="002A4DBA" w:rsidRDefault="00701D10" w:rsidP="00701D10">
                  <w:pPr>
                    <w:jc w:val="both"/>
                    <w:rPr>
                      <w:rFonts w:ascii="Arial" w:hAnsi="Arial" w:cs="Arial"/>
                      <w:i/>
                      <w:sz w:val="22"/>
                      <w:szCs w:val="22"/>
                      <w:lang w:val="en-GB"/>
                    </w:rPr>
                  </w:pPr>
                  <w:r w:rsidRPr="006442E6">
                    <w:rPr>
                      <w:rFonts w:ascii="Arial" w:hAnsi="Arial" w:cs="Arial"/>
                      <w:i/>
                      <w:color w:val="70AD47" w:themeColor="accent6"/>
                      <w:sz w:val="22"/>
                      <w:szCs w:val="22"/>
                      <w:lang w:val="en-GB"/>
                    </w:rPr>
                    <w:t>Argentina, Paraguay, and Uruguay</w:t>
                  </w:r>
                </w:p>
              </w:tc>
              <w:tc>
                <w:tcPr>
                  <w:tcW w:w="2217" w:type="dxa"/>
                </w:tcPr>
                <w:p w14:paraId="553A7A90" w14:textId="77777777" w:rsidR="00701D10" w:rsidRDefault="00701D10" w:rsidP="00701D10">
                  <w:pPr>
                    <w:jc w:val="both"/>
                    <w:rPr>
                      <w:rFonts w:ascii="Arial" w:hAnsi="Arial" w:cs="Arial"/>
                      <w:sz w:val="22"/>
                      <w:szCs w:val="22"/>
                      <w:lang w:val="en-GB"/>
                    </w:rPr>
                  </w:pPr>
                  <w:r w:rsidRPr="00866359">
                    <w:rPr>
                      <w:rFonts w:ascii="Arial" w:hAnsi="Arial" w:cs="Arial"/>
                      <w:b/>
                      <w:sz w:val="22"/>
                      <w:szCs w:val="22"/>
                      <w:lang w:val="en-GB"/>
                    </w:rPr>
                    <w:t>Bolivia</w:t>
                  </w:r>
                  <w:r>
                    <w:rPr>
                      <w:rFonts w:ascii="Arial" w:hAnsi="Arial" w:cs="Arial"/>
                      <w:sz w:val="22"/>
                      <w:szCs w:val="22"/>
                      <w:lang w:val="en-GB"/>
                    </w:rPr>
                    <w:t xml:space="preserve">, Brazil, Chile, Costa Rica, Cuba, Dominican Republic, </w:t>
                  </w:r>
                  <w:proofErr w:type="spellStart"/>
                  <w:r>
                    <w:rPr>
                      <w:rFonts w:ascii="Arial" w:hAnsi="Arial" w:cs="Arial"/>
                      <w:sz w:val="22"/>
                      <w:szCs w:val="22"/>
                      <w:lang w:val="en-GB"/>
                    </w:rPr>
                    <w:t>Equador</w:t>
                  </w:r>
                  <w:proofErr w:type="spellEnd"/>
                  <w:r>
                    <w:rPr>
                      <w:rFonts w:ascii="Arial" w:hAnsi="Arial" w:cs="Arial"/>
                      <w:sz w:val="22"/>
                      <w:szCs w:val="22"/>
                      <w:lang w:val="en-GB"/>
                    </w:rPr>
                    <w:t xml:space="preserve">, El Salvador, </w:t>
                  </w:r>
                  <w:proofErr w:type="spellStart"/>
                  <w:r>
                    <w:rPr>
                      <w:rFonts w:ascii="Arial" w:hAnsi="Arial" w:cs="Arial"/>
                      <w:sz w:val="22"/>
                      <w:szCs w:val="22"/>
                      <w:lang w:val="en-GB"/>
                    </w:rPr>
                    <w:t>Guatemela</w:t>
                  </w:r>
                  <w:proofErr w:type="spellEnd"/>
                  <w:r>
                    <w:rPr>
                      <w:rFonts w:ascii="Arial" w:hAnsi="Arial" w:cs="Arial"/>
                      <w:sz w:val="22"/>
                      <w:szCs w:val="22"/>
                      <w:lang w:val="en-GB"/>
                    </w:rPr>
                    <w:t xml:space="preserve">, Haiti, Honduras, </w:t>
                  </w:r>
                  <w:proofErr w:type="spellStart"/>
                  <w:r>
                    <w:rPr>
                      <w:rFonts w:ascii="Arial" w:hAnsi="Arial" w:cs="Arial"/>
                      <w:sz w:val="22"/>
                      <w:szCs w:val="22"/>
                      <w:lang w:val="en-GB"/>
                    </w:rPr>
                    <w:t>Nicargua</w:t>
                  </w:r>
                  <w:proofErr w:type="spellEnd"/>
                  <w:r w:rsidRPr="00866359">
                    <w:rPr>
                      <w:rFonts w:ascii="Arial" w:hAnsi="Arial" w:cs="Arial"/>
                      <w:b/>
                      <w:sz w:val="22"/>
                      <w:szCs w:val="22"/>
                      <w:lang w:val="en-GB"/>
                    </w:rPr>
                    <w:t>, Peru,</w:t>
                  </w:r>
                  <w:r>
                    <w:rPr>
                      <w:rFonts w:ascii="Arial" w:hAnsi="Arial" w:cs="Arial"/>
                      <w:sz w:val="22"/>
                      <w:szCs w:val="22"/>
                      <w:lang w:val="en-GB"/>
                    </w:rPr>
                    <w:t xml:space="preserve"> and Venezuela</w:t>
                  </w:r>
                </w:p>
              </w:tc>
            </w:tr>
            <w:tr w:rsidR="00701D10" w14:paraId="3C144E9C" w14:textId="77777777" w:rsidTr="00C241C1">
              <w:tc>
                <w:tcPr>
                  <w:tcW w:w="1968" w:type="dxa"/>
                </w:tcPr>
                <w:p w14:paraId="2FB66BE9" w14:textId="77777777" w:rsidR="00701D10" w:rsidRDefault="00701D10" w:rsidP="00701D10">
                  <w:pPr>
                    <w:jc w:val="both"/>
                    <w:rPr>
                      <w:rFonts w:ascii="Arial" w:hAnsi="Arial" w:cs="Arial"/>
                      <w:sz w:val="22"/>
                      <w:szCs w:val="22"/>
                      <w:lang w:val="en-GB"/>
                    </w:rPr>
                  </w:pPr>
                  <w:r>
                    <w:rPr>
                      <w:rFonts w:ascii="Arial" w:hAnsi="Arial" w:cs="Arial"/>
                      <w:sz w:val="22"/>
                      <w:szCs w:val="22"/>
                      <w:lang w:val="en-GB"/>
                    </w:rPr>
                    <w:t>Coverage</w:t>
                  </w:r>
                </w:p>
              </w:tc>
              <w:tc>
                <w:tcPr>
                  <w:tcW w:w="2552" w:type="dxa"/>
                </w:tcPr>
                <w:p w14:paraId="04569840" w14:textId="77777777" w:rsidR="00701D10" w:rsidRPr="002A4DBA" w:rsidRDefault="00701D10" w:rsidP="00701D10">
                  <w:pPr>
                    <w:jc w:val="both"/>
                    <w:rPr>
                      <w:rFonts w:ascii="Arial" w:hAnsi="Arial" w:cs="Arial"/>
                      <w:i/>
                      <w:sz w:val="22"/>
                      <w:szCs w:val="22"/>
                      <w:lang w:val="en-GB"/>
                    </w:rPr>
                  </w:pPr>
                  <w:r>
                    <w:rPr>
                      <w:rFonts w:ascii="Arial" w:hAnsi="Arial" w:cs="Arial"/>
                      <w:i/>
                      <w:sz w:val="22"/>
                      <w:szCs w:val="22"/>
                      <w:lang w:val="en-GB"/>
                    </w:rPr>
                    <w:t>Covers personal and corporate insolvencies</w:t>
                  </w:r>
                </w:p>
              </w:tc>
              <w:tc>
                <w:tcPr>
                  <w:tcW w:w="1559" w:type="dxa"/>
                </w:tcPr>
                <w:p w14:paraId="091B711F" w14:textId="77777777" w:rsidR="00701D10" w:rsidRPr="002A4DBA" w:rsidRDefault="00701D10" w:rsidP="00701D10">
                  <w:pPr>
                    <w:jc w:val="both"/>
                    <w:rPr>
                      <w:rFonts w:ascii="Arial" w:hAnsi="Arial" w:cs="Arial"/>
                      <w:i/>
                      <w:sz w:val="22"/>
                      <w:szCs w:val="22"/>
                      <w:lang w:val="en-GB"/>
                    </w:rPr>
                  </w:pPr>
                  <w:r>
                    <w:rPr>
                      <w:rFonts w:ascii="Arial" w:hAnsi="Arial" w:cs="Arial"/>
                      <w:i/>
                      <w:sz w:val="22"/>
                      <w:szCs w:val="22"/>
                      <w:lang w:val="en-GB"/>
                    </w:rPr>
                    <w:t>An extension of 1840 treaty but only three member states have ratified it</w:t>
                  </w:r>
                </w:p>
              </w:tc>
              <w:tc>
                <w:tcPr>
                  <w:tcW w:w="2217" w:type="dxa"/>
                </w:tcPr>
                <w:p w14:paraId="7CCF69A1" w14:textId="77777777" w:rsidR="00701D10" w:rsidRDefault="00701D10" w:rsidP="00701D10">
                  <w:pPr>
                    <w:jc w:val="both"/>
                    <w:rPr>
                      <w:rFonts w:ascii="Arial" w:hAnsi="Arial" w:cs="Arial"/>
                      <w:sz w:val="22"/>
                      <w:szCs w:val="22"/>
                      <w:lang w:val="en-GB"/>
                    </w:rPr>
                  </w:pPr>
                  <w:r>
                    <w:rPr>
                      <w:rFonts w:ascii="Arial" w:hAnsi="Arial" w:cs="Arial"/>
                      <w:sz w:val="22"/>
                      <w:szCs w:val="22"/>
                      <w:lang w:val="en-GB"/>
                    </w:rPr>
                    <w:t>Argentina, Columbia, Paraguay and Uruguay are not parties</w:t>
                  </w:r>
                </w:p>
              </w:tc>
            </w:tr>
            <w:tr w:rsidR="00701D10" w14:paraId="4EB4BBD9" w14:textId="77777777" w:rsidTr="00C241C1">
              <w:tc>
                <w:tcPr>
                  <w:tcW w:w="1968" w:type="dxa"/>
                </w:tcPr>
                <w:p w14:paraId="721879BB" w14:textId="77777777" w:rsidR="00701D10" w:rsidRDefault="00701D10" w:rsidP="00701D10">
                  <w:pPr>
                    <w:jc w:val="both"/>
                    <w:rPr>
                      <w:rFonts w:ascii="Arial" w:hAnsi="Arial" w:cs="Arial"/>
                      <w:sz w:val="22"/>
                      <w:szCs w:val="22"/>
                      <w:lang w:val="en-GB"/>
                    </w:rPr>
                  </w:pPr>
                  <w:r>
                    <w:rPr>
                      <w:rFonts w:ascii="Arial" w:hAnsi="Arial" w:cs="Arial"/>
                      <w:sz w:val="22"/>
                      <w:szCs w:val="22"/>
                      <w:lang w:val="en-GB"/>
                    </w:rPr>
                    <w:t>Jurisdiction allocation</w:t>
                  </w:r>
                </w:p>
              </w:tc>
              <w:tc>
                <w:tcPr>
                  <w:tcW w:w="2552" w:type="dxa"/>
                </w:tcPr>
                <w:p w14:paraId="3002EA94" w14:textId="77777777" w:rsidR="00701D10" w:rsidRPr="00EB7784" w:rsidRDefault="00701D10" w:rsidP="00701D10">
                  <w:pPr>
                    <w:jc w:val="both"/>
                    <w:rPr>
                      <w:rFonts w:ascii="Arial" w:hAnsi="Arial" w:cs="Arial"/>
                      <w:sz w:val="22"/>
                      <w:szCs w:val="22"/>
                      <w:lang w:val="en-GB"/>
                    </w:rPr>
                  </w:pPr>
                  <w:r w:rsidRPr="00EB7784">
                    <w:rPr>
                      <w:rFonts w:ascii="Arial" w:hAnsi="Arial" w:cs="Arial"/>
                      <w:sz w:val="22"/>
                      <w:szCs w:val="22"/>
                      <w:lang w:val="en-GB"/>
                    </w:rPr>
                    <w:t>Based on commercial domicile in one  treaty state; provides for one set of proceedings in commercial domicile even if the debtor has operations in other member states</w:t>
                  </w:r>
                </w:p>
              </w:tc>
              <w:tc>
                <w:tcPr>
                  <w:tcW w:w="1559" w:type="dxa"/>
                </w:tcPr>
                <w:p w14:paraId="7AEDFC1D" w14:textId="77777777" w:rsidR="00701D10" w:rsidRDefault="00701D10" w:rsidP="00701D10">
                  <w:pPr>
                    <w:jc w:val="both"/>
                    <w:rPr>
                      <w:rFonts w:ascii="Arial" w:hAnsi="Arial" w:cs="Arial"/>
                      <w:i/>
                      <w:sz w:val="22"/>
                      <w:szCs w:val="22"/>
                      <w:lang w:val="en-GB"/>
                    </w:rPr>
                  </w:pPr>
                  <w:r>
                    <w:rPr>
                      <w:rFonts w:ascii="Arial" w:hAnsi="Arial" w:cs="Arial"/>
                      <w:i/>
                      <w:sz w:val="22"/>
                      <w:szCs w:val="22"/>
                      <w:lang w:val="en-GB"/>
                    </w:rPr>
                    <w:t>International Commercial Law 1940-</w:t>
                  </w:r>
                </w:p>
                <w:p w14:paraId="16EDE843" w14:textId="77777777" w:rsidR="00701D10" w:rsidRDefault="00701D10" w:rsidP="00701D10">
                  <w:pPr>
                    <w:jc w:val="both"/>
                    <w:rPr>
                      <w:rFonts w:ascii="Arial" w:hAnsi="Arial" w:cs="Arial"/>
                      <w:i/>
                      <w:sz w:val="22"/>
                      <w:szCs w:val="22"/>
                      <w:lang w:val="en-GB"/>
                    </w:rPr>
                  </w:pPr>
                </w:p>
                <w:p w14:paraId="3FF41267" w14:textId="77777777" w:rsidR="00701D10" w:rsidRDefault="00701D10" w:rsidP="00701D10">
                  <w:pPr>
                    <w:jc w:val="both"/>
                    <w:rPr>
                      <w:rFonts w:ascii="Arial" w:hAnsi="Arial" w:cs="Arial"/>
                      <w:i/>
                      <w:sz w:val="22"/>
                      <w:szCs w:val="22"/>
                      <w:lang w:val="en-GB"/>
                    </w:rPr>
                  </w:pPr>
                  <w:r>
                    <w:rPr>
                      <w:rFonts w:ascii="Arial" w:hAnsi="Arial" w:cs="Arial"/>
                      <w:i/>
                      <w:sz w:val="22"/>
                      <w:szCs w:val="22"/>
                      <w:lang w:val="en-GB"/>
                    </w:rPr>
                    <w:t>Enhanced Title VIII on “Bankruptcy” issues</w:t>
                  </w:r>
                </w:p>
                <w:p w14:paraId="1172DEE0" w14:textId="77777777" w:rsidR="00701D10" w:rsidRDefault="00701D10" w:rsidP="00701D10">
                  <w:pPr>
                    <w:jc w:val="both"/>
                    <w:rPr>
                      <w:rFonts w:ascii="Arial" w:hAnsi="Arial" w:cs="Arial"/>
                      <w:i/>
                      <w:sz w:val="22"/>
                      <w:szCs w:val="22"/>
                      <w:lang w:val="en-GB"/>
                    </w:rPr>
                  </w:pPr>
                </w:p>
              </w:tc>
              <w:tc>
                <w:tcPr>
                  <w:tcW w:w="2217" w:type="dxa"/>
                </w:tcPr>
                <w:p w14:paraId="7EDCE899" w14:textId="77777777" w:rsidR="00701D10" w:rsidRDefault="00701D10" w:rsidP="00701D10">
                  <w:pPr>
                    <w:jc w:val="both"/>
                    <w:rPr>
                      <w:rFonts w:ascii="Arial" w:hAnsi="Arial" w:cs="Arial"/>
                      <w:sz w:val="22"/>
                      <w:szCs w:val="22"/>
                      <w:lang w:val="en-GB"/>
                    </w:rPr>
                  </w:pPr>
                  <w:r>
                    <w:rPr>
                      <w:rFonts w:ascii="Arial" w:hAnsi="Arial" w:cs="Arial"/>
                      <w:sz w:val="22"/>
                      <w:szCs w:val="22"/>
                      <w:lang w:val="en-GB"/>
                    </w:rPr>
                    <w:t>Unity of Proceedings in line with “universalism effect” approach.</w:t>
                  </w:r>
                </w:p>
                <w:p w14:paraId="7BD442BE" w14:textId="77777777" w:rsidR="00701D10" w:rsidRDefault="00701D10" w:rsidP="00701D10">
                  <w:pPr>
                    <w:jc w:val="both"/>
                    <w:rPr>
                      <w:rFonts w:ascii="Arial" w:hAnsi="Arial" w:cs="Arial"/>
                      <w:sz w:val="22"/>
                      <w:szCs w:val="22"/>
                      <w:lang w:val="en-GB"/>
                    </w:rPr>
                  </w:pPr>
                </w:p>
                <w:p w14:paraId="19117B52" w14:textId="77777777" w:rsidR="00701D10" w:rsidRDefault="00701D10" w:rsidP="00701D10">
                  <w:pPr>
                    <w:jc w:val="both"/>
                    <w:rPr>
                      <w:rFonts w:ascii="Arial" w:hAnsi="Arial" w:cs="Arial"/>
                      <w:sz w:val="22"/>
                      <w:szCs w:val="22"/>
                      <w:lang w:val="en-GB"/>
                    </w:rPr>
                  </w:pPr>
                </w:p>
              </w:tc>
            </w:tr>
            <w:tr w:rsidR="00701D10" w14:paraId="4C4A605C" w14:textId="77777777" w:rsidTr="00C241C1">
              <w:tc>
                <w:tcPr>
                  <w:tcW w:w="1968" w:type="dxa"/>
                </w:tcPr>
                <w:p w14:paraId="0697637B" w14:textId="77777777" w:rsidR="00701D10" w:rsidRDefault="00701D10" w:rsidP="00701D10">
                  <w:pPr>
                    <w:jc w:val="both"/>
                    <w:rPr>
                      <w:rFonts w:ascii="Arial" w:hAnsi="Arial" w:cs="Arial"/>
                      <w:sz w:val="22"/>
                      <w:szCs w:val="22"/>
                      <w:lang w:val="en-GB"/>
                    </w:rPr>
                  </w:pPr>
                  <w:r>
                    <w:rPr>
                      <w:rFonts w:ascii="Arial" w:hAnsi="Arial" w:cs="Arial"/>
                      <w:sz w:val="22"/>
                      <w:szCs w:val="22"/>
                      <w:lang w:val="en-GB"/>
                    </w:rPr>
                    <w:t>Concurrent Proceedings</w:t>
                  </w:r>
                </w:p>
              </w:tc>
              <w:tc>
                <w:tcPr>
                  <w:tcW w:w="2552" w:type="dxa"/>
                </w:tcPr>
                <w:p w14:paraId="78D00B85" w14:textId="77777777" w:rsidR="00701D10" w:rsidRPr="00EB7784" w:rsidRDefault="00701D10" w:rsidP="00701D10">
                  <w:pPr>
                    <w:jc w:val="both"/>
                    <w:rPr>
                      <w:rFonts w:ascii="Arial" w:hAnsi="Arial" w:cs="Arial"/>
                      <w:sz w:val="22"/>
                      <w:szCs w:val="22"/>
                      <w:lang w:val="en-GB"/>
                    </w:rPr>
                  </w:pPr>
                  <w:r w:rsidRPr="00EB7784">
                    <w:rPr>
                      <w:rFonts w:ascii="Arial" w:hAnsi="Arial" w:cs="Arial"/>
                      <w:sz w:val="22"/>
                      <w:szCs w:val="22"/>
                      <w:lang w:val="en-GB"/>
                    </w:rPr>
                    <w:t>Possible if debtor has two or more economically autonomous business in different treaty states empowering the local creditors to initiate the same in their local state</w:t>
                  </w:r>
                </w:p>
              </w:tc>
              <w:tc>
                <w:tcPr>
                  <w:tcW w:w="1559" w:type="dxa"/>
                </w:tcPr>
                <w:p w14:paraId="6056E31A" w14:textId="77777777" w:rsidR="00701D10" w:rsidRDefault="00701D10" w:rsidP="00701D10">
                  <w:pPr>
                    <w:jc w:val="both"/>
                    <w:rPr>
                      <w:rFonts w:ascii="Arial" w:hAnsi="Arial" w:cs="Arial"/>
                      <w:i/>
                      <w:sz w:val="22"/>
                      <w:szCs w:val="22"/>
                      <w:lang w:val="en-GB"/>
                    </w:rPr>
                  </w:pPr>
                  <w:r>
                    <w:rPr>
                      <w:rFonts w:ascii="Arial" w:hAnsi="Arial" w:cs="Arial"/>
                      <w:i/>
                      <w:sz w:val="22"/>
                      <w:szCs w:val="22"/>
                      <w:lang w:val="en-GB"/>
                    </w:rPr>
                    <w:t>International Procedural Law 1940</w:t>
                  </w:r>
                </w:p>
                <w:p w14:paraId="00534AF8" w14:textId="77777777" w:rsidR="00701D10" w:rsidRDefault="00701D10" w:rsidP="00701D10">
                  <w:pPr>
                    <w:jc w:val="both"/>
                    <w:rPr>
                      <w:rFonts w:ascii="Arial" w:hAnsi="Arial" w:cs="Arial"/>
                      <w:i/>
                      <w:sz w:val="22"/>
                      <w:szCs w:val="22"/>
                      <w:lang w:val="en-GB"/>
                    </w:rPr>
                  </w:pPr>
                </w:p>
                <w:p w14:paraId="166FBC80" w14:textId="77777777" w:rsidR="00701D10" w:rsidRDefault="00701D10" w:rsidP="00701D10">
                  <w:pPr>
                    <w:jc w:val="both"/>
                    <w:rPr>
                      <w:rFonts w:ascii="Arial" w:hAnsi="Arial" w:cs="Arial"/>
                      <w:i/>
                      <w:sz w:val="22"/>
                      <w:szCs w:val="22"/>
                      <w:lang w:val="en-GB"/>
                    </w:rPr>
                  </w:pPr>
                  <w:r>
                    <w:rPr>
                      <w:rFonts w:ascii="Arial" w:hAnsi="Arial" w:cs="Arial"/>
                      <w:i/>
                      <w:sz w:val="22"/>
                      <w:szCs w:val="22"/>
                      <w:lang w:val="en-GB"/>
                    </w:rPr>
                    <w:t>Title IV on Civil Meetings of Creditors</w:t>
                  </w:r>
                </w:p>
                <w:p w14:paraId="579F3B03" w14:textId="77777777" w:rsidR="00701D10" w:rsidRDefault="00701D10" w:rsidP="00701D10">
                  <w:pPr>
                    <w:jc w:val="both"/>
                    <w:rPr>
                      <w:rFonts w:ascii="Arial" w:hAnsi="Arial" w:cs="Arial"/>
                      <w:i/>
                      <w:sz w:val="22"/>
                      <w:szCs w:val="22"/>
                      <w:lang w:val="en-GB"/>
                    </w:rPr>
                  </w:pPr>
                </w:p>
              </w:tc>
              <w:tc>
                <w:tcPr>
                  <w:tcW w:w="2217" w:type="dxa"/>
                </w:tcPr>
                <w:p w14:paraId="12A7D95C" w14:textId="77777777" w:rsidR="00701D10" w:rsidRDefault="00701D10" w:rsidP="00701D10">
                  <w:pPr>
                    <w:jc w:val="both"/>
                    <w:rPr>
                      <w:rFonts w:ascii="Arial" w:hAnsi="Arial" w:cs="Arial"/>
                      <w:sz w:val="22"/>
                      <w:szCs w:val="22"/>
                      <w:lang w:val="en-GB"/>
                    </w:rPr>
                  </w:pPr>
                  <w:r>
                    <w:rPr>
                      <w:rFonts w:ascii="Arial" w:hAnsi="Arial" w:cs="Arial"/>
                      <w:sz w:val="22"/>
                      <w:szCs w:val="22"/>
                      <w:lang w:val="en-GB"/>
                    </w:rPr>
                    <w:t>Separate concurrent proceeding possible in treaty states that contain commercial establishments operating entirely separately economically.</w:t>
                  </w:r>
                </w:p>
              </w:tc>
            </w:tr>
          </w:tbl>
          <w:p w14:paraId="5C5F7D44" w14:textId="77777777" w:rsidR="00701D10" w:rsidRPr="002A4DBA" w:rsidRDefault="00701D10" w:rsidP="00701D10">
            <w:pPr>
              <w:ind w:left="720"/>
              <w:jc w:val="both"/>
              <w:rPr>
                <w:rFonts w:ascii="Arial" w:hAnsi="Arial" w:cs="Arial"/>
                <w:sz w:val="22"/>
                <w:szCs w:val="22"/>
                <w:lang w:val="en-GB"/>
              </w:rPr>
            </w:pPr>
          </w:p>
          <w:p w14:paraId="5507533F" w14:textId="77777777" w:rsidR="00701D10" w:rsidRDefault="00701D10" w:rsidP="006208BB">
            <w:pPr>
              <w:jc w:val="both"/>
              <w:rPr>
                <w:rFonts w:ascii="Avenir Next" w:hAnsi="Avenir Next" w:cs="Arial"/>
                <w:sz w:val="22"/>
                <w:szCs w:val="22"/>
                <w:lang w:val="en-GB"/>
              </w:rPr>
            </w:pPr>
          </w:p>
        </w:tc>
      </w:tr>
    </w:tbl>
    <w:p w14:paraId="02BEC12E" w14:textId="77777777" w:rsidR="00701D10" w:rsidRDefault="00701D10" w:rsidP="006208BB">
      <w:pPr>
        <w:jc w:val="both"/>
        <w:rPr>
          <w:rFonts w:ascii="Avenir Next" w:hAnsi="Avenir Next" w:cs="Arial"/>
          <w:sz w:val="22"/>
          <w:szCs w:val="22"/>
          <w:lang w:val="en-GB"/>
        </w:rPr>
      </w:pPr>
    </w:p>
    <w:p w14:paraId="1C5F3F90" w14:textId="77777777" w:rsidR="00FF0D81" w:rsidRPr="004216EA" w:rsidRDefault="00FF0D81" w:rsidP="00692852">
      <w:pPr>
        <w:jc w:val="both"/>
        <w:rPr>
          <w:rFonts w:ascii="Avenir Next" w:hAnsi="Avenir Next" w:cs="Arial"/>
          <w:sz w:val="22"/>
          <w:szCs w:val="22"/>
          <w:lang w:val="en-GB"/>
        </w:rPr>
      </w:pPr>
    </w:p>
    <w:p w14:paraId="6A803E53" w14:textId="77777777" w:rsidR="004417C1" w:rsidRDefault="004417C1" w:rsidP="00384F24">
      <w:pPr>
        <w:jc w:val="both"/>
        <w:rPr>
          <w:rFonts w:ascii="Avenir Next" w:hAnsi="Avenir Next" w:cs="Arial"/>
          <w:sz w:val="22"/>
          <w:szCs w:val="22"/>
          <w:lang w:val="en-GB"/>
        </w:rPr>
      </w:pPr>
    </w:p>
    <w:p w14:paraId="4B55BF19" w14:textId="77777777" w:rsidR="00866359" w:rsidRDefault="00866359" w:rsidP="00384F24">
      <w:pPr>
        <w:jc w:val="both"/>
        <w:rPr>
          <w:rFonts w:ascii="Avenir Next" w:hAnsi="Avenir Next" w:cs="Arial"/>
          <w:sz w:val="22"/>
          <w:szCs w:val="22"/>
          <w:lang w:val="en-GB"/>
        </w:rPr>
      </w:pPr>
    </w:p>
    <w:p w14:paraId="339107E9" w14:textId="77777777" w:rsidR="00866359" w:rsidRPr="004216EA" w:rsidRDefault="00866359"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922412F" w14:textId="77777777" w:rsidR="006442E6" w:rsidRDefault="006442E6" w:rsidP="003A00FE">
      <w:pPr>
        <w:jc w:val="both"/>
        <w:rPr>
          <w:rFonts w:ascii="Avenir Next" w:hAnsi="Avenir Next" w:cs="Arial"/>
          <w:sz w:val="22"/>
          <w:szCs w:val="22"/>
          <w:lang w:val="en-GB"/>
        </w:rPr>
      </w:pPr>
    </w:p>
    <w:tbl>
      <w:tblPr>
        <w:tblStyle w:val="TableGrid"/>
        <w:tblW w:w="0" w:type="auto"/>
        <w:tblLook w:val="04A0" w:firstRow="1" w:lastRow="0" w:firstColumn="1" w:lastColumn="0" w:noHBand="0" w:noVBand="1"/>
      </w:tblPr>
      <w:tblGrid>
        <w:gridCol w:w="9016"/>
      </w:tblGrid>
      <w:tr w:rsidR="00701D10" w14:paraId="1C737E17" w14:textId="77777777" w:rsidTr="00701D10">
        <w:tc>
          <w:tcPr>
            <w:tcW w:w="9016" w:type="dxa"/>
          </w:tcPr>
          <w:p w14:paraId="742A85CE" w14:textId="77777777" w:rsidR="00701D10" w:rsidRPr="006442E6" w:rsidRDefault="00701D10" w:rsidP="00701D10">
            <w:pPr>
              <w:pStyle w:val="ListParagraph"/>
              <w:numPr>
                <w:ilvl w:val="0"/>
                <w:numId w:val="38"/>
              </w:numPr>
              <w:jc w:val="both"/>
              <w:rPr>
                <w:rFonts w:ascii="Arial" w:hAnsi="Arial" w:cs="Arial"/>
                <w:sz w:val="22"/>
                <w:szCs w:val="22"/>
                <w:lang w:val="en-GB"/>
              </w:rPr>
            </w:pPr>
            <w:r w:rsidRPr="006442E6">
              <w:rPr>
                <w:rFonts w:ascii="Arial" w:hAnsi="Arial" w:cs="Arial"/>
                <w:sz w:val="22"/>
                <w:szCs w:val="22"/>
                <w:lang w:val="en-GB"/>
              </w:rPr>
              <w:t xml:space="preserve">Bankruptcy and Insolvency- </w:t>
            </w:r>
            <w:r>
              <w:rPr>
                <w:rFonts w:ascii="Arial" w:hAnsi="Arial" w:cs="Arial"/>
                <w:sz w:val="22"/>
                <w:szCs w:val="22"/>
                <w:lang w:val="en-GB"/>
              </w:rPr>
              <w:t>Meaning</w:t>
            </w:r>
          </w:p>
          <w:p w14:paraId="1E5C1D4F" w14:textId="77777777" w:rsidR="00701D10" w:rsidRDefault="00701D10" w:rsidP="00701D10">
            <w:pPr>
              <w:pStyle w:val="ListParagraph"/>
              <w:numPr>
                <w:ilvl w:val="0"/>
                <w:numId w:val="37"/>
              </w:numPr>
              <w:jc w:val="both"/>
              <w:rPr>
                <w:rFonts w:ascii="Arial" w:hAnsi="Arial" w:cs="Arial"/>
                <w:sz w:val="22"/>
                <w:szCs w:val="22"/>
                <w:lang w:val="en-GB"/>
              </w:rPr>
            </w:pPr>
            <w:r w:rsidRPr="00A923AA">
              <w:rPr>
                <w:rFonts w:ascii="Arial" w:hAnsi="Arial" w:cs="Arial"/>
                <w:sz w:val="22"/>
                <w:szCs w:val="22"/>
                <w:lang w:val="en-GB"/>
              </w:rPr>
              <w:t>Etymologically speaking, the word “bankruptcy” is of Italian o</w:t>
            </w:r>
            <w:r>
              <w:rPr>
                <w:rFonts w:ascii="Arial" w:hAnsi="Arial" w:cs="Arial"/>
                <w:sz w:val="22"/>
                <w:szCs w:val="22"/>
                <w:lang w:val="en-GB"/>
              </w:rPr>
              <w:t xml:space="preserve">rigin meaning “break the bench” which referred to a situation wherein the debtor being unable to pay his debts in a market and that the creditors closed the debtors business by breaking the bench or the counter. </w:t>
            </w:r>
          </w:p>
          <w:p w14:paraId="4EDD21B6" w14:textId="77777777" w:rsidR="00701D10" w:rsidRDefault="00701D10" w:rsidP="00701D10">
            <w:pPr>
              <w:pStyle w:val="ListParagraph"/>
              <w:numPr>
                <w:ilvl w:val="0"/>
                <w:numId w:val="37"/>
              </w:numPr>
              <w:jc w:val="both"/>
              <w:rPr>
                <w:rFonts w:ascii="Arial" w:hAnsi="Arial" w:cs="Arial"/>
                <w:sz w:val="22"/>
                <w:szCs w:val="22"/>
                <w:lang w:val="en-GB"/>
              </w:rPr>
            </w:pPr>
            <w:r>
              <w:rPr>
                <w:rFonts w:ascii="Arial" w:hAnsi="Arial" w:cs="Arial"/>
                <w:sz w:val="22"/>
                <w:szCs w:val="22"/>
                <w:lang w:val="en-GB"/>
              </w:rPr>
              <w:t xml:space="preserve">Nomenclature- Some systems use the term insolvency and some others use bankruptcy. For instance- Australia and India where insolvency is a terminology for insolvency of corporations and bankruptcy is for insolvency of individuals. </w:t>
            </w:r>
          </w:p>
          <w:p w14:paraId="14631DEF" w14:textId="77777777" w:rsidR="00701D10" w:rsidRDefault="00701D10" w:rsidP="00701D10">
            <w:pPr>
              <w:pStyle w:val="ListParagraph"/>
              <w:numPr>
                <w:ilvl w:val="0"/>
                <w:numId w:val="37"/>
              </w:numPr>
              <w:jc w:val="both"/>
              <w:rPr>
                <w:rFonts w:ascii="Arial" w:hAnsi="Arial" w:cs="Arial"/>
                <w:sz w:val="22"/>
                <w:szCs w:val="22"/>
                <w:lang w:val="en-GB"/>
              </w:rPr>
            </w:pPr>
            <w:r>
              <w:rPr>
                <w:rFonts w:ascii="Arial" w:hAnsi="Arial" w:cs="Arial"/>
                <w:sz w:val="22"/>
                <w:szCs w:val="22"/>
                <w:lang w:val="en-GB"/>
              </w:rPr>
              <w:t xml:space="preserve">Meaning- Insolvency is more of a state of affair in finance subject wherein the liabilities exceed the assets in a given balance sheet or wherein a debtor is unable to pay </w:t>
            </w:r>
            <w:proofErr w:type="spellStart"/>
            <w:r>
              <w:rPr>
                <w:rFonts w:ascii="Arial" w:hAnsi="Arial" w:cs="Arial"/>
                <w:sz w:val="22"/>
                <w:szCs w:val="22"/>
                <w:lang w:val="en-GB"/>
              </w:rPr>
              <w:t>hid</w:t>
            </w:r>
            <w:proofErr w:type="spellEnd"/>
            <w:r>
              <w:rPr>
                <w:rFonts w:ascii="Arial" w:hAnsi="Arial" w:cs="Arial"/>
                <w:sz w:val="22"/>
                <w:szCs w:val="22"/>
                <w:lang w:val="en-GB"/>
              </w:rPr>
              <w:t xml:space="preserve"> debts. </w:t>
            </w:r>
          </w:p>
          <w:p w14:paraId="398012FF" w14:textId="77777777" w:rsidR="00701D10" w:rsidRDefault="00701D10" w:rsidP="00701D10">
            <w:pPr>
              <w:pStyle w:val="ListParagraph"/>
              <w:ind w:left="1080"/>
              <w:jc w:val="both"/>
              <w:rPr>
                <w:rFonts w:ascii="Arial" w:hAnsi="Arial" w:cs="Arial"/>
                <w:sz w:val="22"/>
                <w:szCs w:val="22"/>
                <w:lang w:val="en-GB"/>
              </w:rPr>
            </w:pPr>
          </w:p>
          <w:p w14:paraId="01658AD2" w14:textId="77777777" w:rsidR="00701D10" w:rsidRPr="00D73560" w:rsidRDefault="00701D10" w:rsidP="00701D10">
            <w:pPr>
              <w:pStyle w:val="ListParagraph"/>
              <w:numPr>
                <w:ilvl w:val="0"/>
                <w:numId w:val="38"/>
              </w:numPr>
              <w:jc w:val="both"/>
              <w:rPr>
                <w:rFonts w:ascii="Avenir Next" w:hAnsi="Avenir Next" w:cs="Arial"/>
                <w:sz w:val="22"/>
                <w:szCs w:val="22"/>
                <w:lang w:val="en-GB"/>
              </w:rPr>
            </w:pPr>
            <w:r w:rsidRPr="00D73560">
              <w:rPr>
                <w:rFonts w:ascii="Arial" w:hAnsi="Arial" w:cs="Arial"/>
                <w:sz w:val="22"/>
                <w:szCs w:val="22"/>
                <w:lang w:val="en-GB"/>
              </w:rPr>
              <w:t>Essential features of insolvency or bankruptcy law as laid down by Wood</w:t>
            </w:r>
            <w:r>
              <w:rPr>
                <w:rStyle w:val="FootnoteReference"/>
                <w:rFonts w:ascii="Arial" w:hAnsi="Arial" w:cs="Arial"/>
                <w:sz w:val="22"/>
                <w:szCs w:val="22"/>
                <w:lang w:val="en-GB"/>
              </w:rPr>
              <w:footnoteReference w:id="1"/>
            </w:r>
          </w:p>
          <w:p w14:paraId="2F8B4706" w14:textId="77777777" w:rsidR="00701D10" w:rsidRPr="00D73560" w:rsidRDefault="00701D10" w:rsidP="00701D10">
            <w:pPr>
              <w:pStyle w:val="ListParagraph"/>
              <w:numPr>
                <w:ilvl w:val="1"/>
                <w:numId w:val="38"/>
              </w:numPr>
              <w:jc w:val="both"/>
              <w:rPr>
                <w:rFonts w:ascii="Avenir Next" w:hAnsi="Avenir Next" w:cs="Arial"/>
                <w:sz w:val="22"/>
                <w:szCs w:val="22"/>
                <w:lang w:val="en-GB"/>
              </w:rPr>
            </w:pPr>
            <w:r>
              <w:rPr>
                <w:rFonts w:ascii="Arial" w:hAnsi="Arial" w:cs="Arial"/>
                <w:sz w:val="22"/>
                <w:szCs w:val="22"/>
                <w:lang w:val="en-GB"/>
              </w:rPr>
              <w:t>Automatic stay on actions of individual creditors vide moratorium</w:t>
            </w:r>
          </w:p>
          <w:p w14:paraId="0D307585" w14:textId="77777777" w:rsidR="00701D10" w:rsidRPr="00D73560" w:rsidRDefault="00701D10" w:rsidP="00701D10">
            <w:pPr>
              <w:pStyle w:val="ListParagraph"/>
              <w:numPr>
                <w:ilvl w:val="1"/>
                <w:numId w:val="38"/>
              </w:numPr>
              <w:jc w:val="both"/>
              <w:rPr>
                <w:rFonts w:ascii="Avenir Next" w:hAnsi="Avenir Next" w:cs="Arial"/>
                <w:sz w:val="22"/>
                <w:szCs w:val="22"/>
                <w:lang w:val="en-GB"/>
              </w:rPr>
            </w:pPr>
            <w:r>
              <w:rPr>
                <w:rFonts w:ascii="Arial" w:hAnsi="Arial" w:cs="Arial"/>
                <w:sz w:val="22"/>
                <w:szCs w:val="22"/>
                <w:lang w:val="en-GB"/>
              </w:rPr>
              <w:t>Ascertainment, tracing and pooling of assets</w:t>
            </w:r>
          </w:p>
          <w:p w14:paraId="1719211C" w14:textId="77777777" w:rsidR="00701D10" w:rsidRPr="008A58F7" w:rsidRDefault="00701D10" w:rsidP="00701D10">
            <w:pPr>
              <w:pStyle w:val="ListParagraph"/>
              <w:numPr>
                <w:ilvl w:val="1"/>
                <w:numId w:val="38"/>
              </w:numPr>
              <w:jc w:val="both"/>
              <w:rPr>
                <w:rFonts w:ascii="Avenir Next" w:hAnsi="Avenir Next"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Pari</w:t>
            </w:r>
            <w:proofErr w:type="spellEnd"/>
            <w:r>
              <w:rPr>
                <w:rFonts w:ascii="Arial" w:hAnsi="Arial" w:cs="Arial"/>
                <w:sz w:val="22"/>
                <w:szCs w:val="22"/>
                <w:lang w:val="en-GB"/>
              </w:rPr>
              <w:t xml:space="preserve"> </w:t>
            </w:r>
            <w:proofErr w:type="spellStart"/>
            <w:r>
              <w:rPr>
                <w:rFonts w:ascii="Arial" w:hAnsi="Arial" w:cs="Arial"/>
                <w:sz w:val="22"/>
                <w:szCs w:val="22"/>
                <w:lang w:val="en-GB"/>
              </w:rPr>
              <w:t>Passu</w:t>
            </w:r>
            <w:proofErr w:type="spellEnd"/>
            <w:r>
              <w:rPr>
                <w:rFonts w:ascii="Arial" w:hAnsi="Arial" w:cs="Arial"/>
                <w:sz w:val="22"/>
                <w:szCs w:val="22"/>
                <w:lang w:val="en-GB"/>
              </w:rPr>
              <w:t xml:space="preserve"> Principle</w:t>
            </w:r>
          </w:p>
          <w:p w14:paraId="3A17EA54" w14:textId="77777777" w:rsidR="00701D10" w:rsidRPr="008A58F7" w:rsidRDefault="00701D10" w:rsidP="00701D10">
            <w:pPr>
              <w:pStyle w:val="ListParagraph"/>
              <w:ind w:left="1800"/>
              <w:jc w:val="both"/>
              <w:rPr>
                <w:rFonts w:ascii="Avenir Next" w:hAnsi="Avenir Next" w:cs="Arial"/>
                <w:sz w:val="22"/>
                <w:szCs w:val="22"/>
                <w:lang w:val="en-GB"/>
              </w:rPr>
            </w:pPr>
          </w:p>
          <w:p w14:paraId="42856EB9" w14:textId="77777777" w:rsidR="00701D10" w:rsidRPr="00601B50" w:rsidRDefault="00701D10" w:rsidP="00701D10">
            <w:pPr>
              <w:pStyle w:val="ListParagraph"/>
              <w:numPr>
                <w:ilvl w:val="0"/>
                <w:numId w:val="38"/>
              </w:numPr>
              <w:jc w:val="both"/>
              <w:rPr>
                <w:rFonts w:ascii="Arial" w:hAnsi="Arial" w:cs="Arial"/>
                <w:sz w:val="22"/>
                <w:szCs w:val="22"/>
                <w:lang w:val="en-GB"/>
              </w:rPr>
            </w:pPr>
            <w:r w:rsidRPr="00601B50">
              <w:rPr>
                <w:rFonts w:ascii="Arial" w:hAnsi="Arial" w:cs="Arial"/>
                <w:sz w:val="22"/>
                <w:szCs w:val="22"/>
                <w:lang w:val="en-GB"/>
              </w:rPr>
              <w:t>Differences that may arise for individuals with that of corporations</w:t>
            </w:r>
            <w:r w:rsidRPr="00601B50">
              <w:rPr>
                <w:rStyle w:val="FootnoteReference"/>
                <w:rFonts w:ascii="Arial" w:hAnsi="Arial" w:cs="Arial"/>
                <w:sz w:val="22"/>
                <w:szCs w:val="22"/>
                <w:lang w:val="en-GB"/>
              </w:rPr>
              <w:footnoteReference w:id="2"/>
            </w:r>
          </w:p>
          <w:p w14:paraId="13F5750B" w14:textId="77777777" w:rsidR="00701D10" w:rsidRPr="00601B50" w:rsidRDefault="00701D10" w:rsidP="00701D10">
            <w:pPr>
              <w:pStyle w:val="ListParagraph"/>
              <w:ind w:left="1080"/>
              <w:jc w:val="both"/>
              <w:rPr>
                <w:rFonts w:ascii="Arial" w:hAnsi="Arial" w:cs="Arial"/>
                <w:sz w:val="22"/>
                <w:szCs w:val="22"/>
                <w:lang w:val="en-GB"/>
              </w:rPr>
            </w:pPr>
            <w:r w:rsidRPr="00601B50">
              <w:rPr>
                <w:rFonts w:ascii="Arial" w:hAnsi="Arial" w:cs="Arial"/>
                <w:sz w:val="22"/>
                <w:szCs w:val="22"/>
                <w:lang w:val="en-GB"/>
              </w:rPr>
              <w:t xml:space="preserve">- Individuals have unlimited liability (single unit involved) – therefore the object here is protect from creditors harassment, enable fresh start, </w:t>
            </w:r>
            <w:proofErr w:type="spellStart"/>
            <w:r w:rsidRPr="00601B50">
              <w:rPr>
                <w:rFonts w:ascii="Arial" w:hAnsi="Arial" w:cs="Arial"/>
                <w:sz w:val="22"/>
                <w:szCs w:val="22"/>
                <w:lang w:val="en-GB"/>
              </w:rPr>
              <w:t>etc</w:t>
            </w:r>
            <w:proofErr w:type="spellEnd"/>
          </w:p>
          <w:p w14:paraId="4A97E590" w14:textId="77777777" w:rsidR="00701D10" w:rsidRPr="00601B50" w:rsidRDefault="00701D10" w:rsidP="00701D10">
            <w:pPr>
              <w:pStyle w:val="ListParagraph"/>
              <w:ind w:left="1080"/>
              <w:jc w:val="both"/>
              <w:rPr>
                <w:rFonts w:ascii="Arial" w:hAnsi="Arial" w:cs="Arial"/>
                <w:sz w:val="22"/>
                <w:szCs w:val="22"/>
                <w:lang w:val="en-GB"/>
              </w:rPr>
            </w:pPr>
            <w:r w:rsidRPr="00601B50">
              <w:rPr>
                <w:rFonts w:ascii="Arial" w:hAnsi="Arial" w:cs="Arial"/>
                <w:sz w:val="22"/>
                <w:szCs w:val="22"/>
                <w:lang w:val="en-GB"/>
              </w:rPr>
              <w:t>- Corporations have limited liability in general (lot of stakeholders involved)- therefore the object here is preserve businesses wherever feasible and where limited liability abused- impose personal liability on persons responsible.</w:t>
            </w:r>
          </w:p>
          <w:p w14:paraId="404E927D" w14:textId="77777777" w:rsidR="00701D10" w:rsidRPr="00601B50" w:rsidRDefault="00701D10" w:rsidP="00701D10">
            <w:pPr>
              <w:pStyle w:val="ListParagraph"/>
              <w:ind w:left="1080"/>
              <w:jc w:val="both"/>
              <w:rPr>
                <w:rFonts w:ascii="Arial" w:hAnsi="Arial" w:cs="Arial"/>
                <w:sz w:val="22"/>
                <w:szCs w:val="22"/>
                <w:lang w:val="en-GB"/>
              </w:rPr>
            </w:pPr>
            <w:r w:rsidRPr="00601B50">
              <w:rPr>
                <w:rFonts w:ascii="Arial" w:hAnsi="Arial" w:cs="Arial"/>
                <w:sz w:val="22"/>
                <w:szCs w:val="22"/>
                <w:lang w:val="en-GB"/>
              </w:rPr>
              <w:t xml:space="preserve">- The </w:t>
            </w:r>
            <w:proofErr w:type="spellStart"/>
            <w:r w:rsidRPr="00601B50">
              <w:rPr>
                <w:rFonts w:ascii="Arial" w:hAnsi="Arial" w:cs="Arial"/>
                <w:sz w:val="22"/>
                <w:szCs w:val="22"/>
                <w:lang w:val="en-GB"/>
              </w:rPr>
              <w:t>Pari</w:t>
            </w:r>
            <w:proofErr w:type="spellEnd"/>
            <w:r w:rsidRPr="00601B50">
              <w:rPr>
                <w:rFonts w:ascii="Arial" w:hAnsi="Arial" w:cs="Arial"/>
                <w:sz w:val="22"/>
                <w:szCs w:val="22"/>
                <w:lang w:val="en-GB"/>
              </w:rPr>
              <w:t xml:space="preserve"> </w:t>
            </w:r>
            <w:proofErr w:type="spellStart"/>
            <w:r w:rsidRPr="00601B50">
              <w:rPr>
                <w:rFonts w:ascii="Arial" w:hAnsi="Arial" w:cs="Arial"/>
                <w:sz w:val="22"/>
                <w:szCs w:val="22"/>
                <w:lang w:val="en-GB"/>
              </w:rPr>
              <w:t>Passu</w:t>
            </w:r>
            <w:proofErr w:type="spellEnd"/>
            <w:r w:rsidRPr="00601B50">
              <w:rPr>
                <w:rFonts w:ascii="Arial" w:hAnsi="Arial" w:cs="Arial"/>
                <w:sz w:val="22"/>
                <w:szCs w:val="22"/>
                <w:lang w:val="en-GB"/>
              </w:rPr>
              <w:t xml:space="preserve"> Treatment however remains applicable to both the cases.</w:t>
            </w:r>
          </w:p>
          <w:p w14:paraId="2ADE09B5" w14:textId="76E55A11" w:rsidR="00601B50" w:rsidRPr="00601B50" w:rsidRDefault="00601B50" w:rsidP="00701D10">
            <w:pPr>
              <w:pStyle w:val="ListParagraph"/>
              <w:ind w:left="1080"/>
              <w:jc w:val="both"/>
              <w:rPr>
                <w:rFonts w:ascii="Arial" w:hAnsi="Arial" w:cs="Arial"/>
                <w:b/>
                <w:sz w:val="22"/>
                <w:szCs w:val="22"/>
                <w:lang w:val="en-GB"/>
              </w:rPr>
            </w:pPr>
            <w:r w:rsidRPr="00601B50">
              <w:rPr>
                <w:rFonts w:ascii="Arial" w:hAnsi="Arial" w:cs="Arial"/>
                <w:sz w:val="22"/>
                <w:szCs w:val="22"/>
                <w:lang w:val="en-GB"/>
              </w:rPr>
              <w:t xml:space="preserve">- </w:t>
            </w:r>
            <w:r w:rsidRPr="00601B50">
              <w:rPr>
                <w:rFonts w:ascii="Arial" w:hAnsi="Arial" w:cs="Arial"/>
                <w:sz w:val="22"/>
                <w:szCs w:val="22"/>
              </w:rPr>
              <w:t>Notion of exempt / excluded assets only applies to natural persons.</w:t>
            </w:r>
          </w:p>
          <w:p w14:paraId="546E099C" w14:textId="77777777" w:rsidR="00701D10" w:rsidRDefault="00701D10" w:rsidP="00692852">
            <w:pPr>
              <w:jc w:val="both"/>
              <w:rPr>
                <w:rFonts w:ascii="Avenir Next" w:hAnsi="Avenir Next" w:cs="Arial"/>
                <w:color w:val="808080" w:themeColor="background1" w:themeShade="80"/>
                <w:sz w:val="22"/>
                <w:szCs w:val="22"/>
                <w:lang w:val="en-GB"/>
              </w:rPr>
            </w:pPr>
          </w:p>
        </w:tc>
      </w:tr>
    </w:tbl>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3FE9EF5C" w14:textId="42DEBF8B" w:rsidR="00DF0CDE"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2858657F" w14:textId="77777777" w:rsidR="00701D10" w:rsidRPr="00DF0CDE" w:rsidRDefault="00DF0CDE" w:rsidP="00701D10">
      <w:pPr>
        <w:jc w:val="both"/>
        <w:rPr>
          <w:rFonts w:ascii="Arial" w:hAnsi="Arial" w:cs="Arial"/>
          <w:sz w:val="22"/>
          <w:szCs w:val="22"/>
          <w:lang w:val="en-GB"/>
        </w:rPr>
      </w:pPr>
      <w:r>
        <w:rPr>
          <w:rFonts w:ascii="Avenir Next" w:hAnsi="Avenir Next" w:cs="Arial"/>
          <w:sz w:val="22"/>
          <w:szCs w:val="22"/>
          <w:lang w:val="en-GB"/>
        </w:rPr>
        <w:tab/>
      </w:r>
    </w:p>
    <w:tbl>
      <w:tblPr>
        <w:tblStyle w:val="TableGrid"/>
        <w:tblW w:w="0" w:type="auto"/>
        <w:tblLook w:val="04A0" w:firstRow="1" w:lastRow="0" w:firstColumn="1" w:lastColumn="0" w:noHBand="0" w:noVBand="1"/>
      </w:tblPr>
      <w:tblGrid>
        <w:gridCol w:w="9016"/>
      </w:tblGrid>
      <w:tr w:rsidR="00701D10" w14:paraId="51108FB3" w14:textId="77777777" w:rsidTr="00701D10">
        <w:tc>
          <w:tcPr>
            <w:tcW w:w="9016" w:type="dxa"/>
          </w:tcPr>
          <w:p w14:paraId="0365A591" w14:textId="77777777" w:rsidR="00701D10" w:rsidRDefault="00701D10" w:rsidP="00701D10">
            <w:pPr>
              <w:jc w:val="both"/>
              <w:rPr>
                <w:rFonts w:ascii="Arial" w:hAnsi="Arial" w:cs="Arial"/>
                <w:sz w:val="22"/>
                <w:szCs w:val="22"/>
                <w:lang w:val="en-GB"/>
              </w:rPr>
            </w:pPr>
            <w:r w:rsidRPr="00DF0CDE">
              <w:rPr>
                <w:rFonts w:ascii="Arial" w:hAnsi="Arial" w:cs="Arial"/>
                <w:sz w:val="22"/>
                <w:szCs w:val="22"/>
                <w:lang w:val="en-GB"/>
              </w:rPr>
              <w:t>These are some of the challenges that arise in cross border insolvency-</w:t>
            </w:r>
          </w:p>
          <w:p w14:paraId="6D8D4F7D" w14:textId="77777777" w:rsidR="00701D10" w:rsidRDefault="00701D10" w:rsidP="00701D10">
            <w:pPr>
              <w:pStyle w:val="ListParagraph"/>
              <w:numPr>
                <w:ilvl w:val="0"/>
                <w:numId w:val="36"/>
              </w:numPr>
              <w:jc w:val="both"/>
              <w:rPr>
                <w:rFonts w:ascii="Arial" w:hAnsi="Arial" w:cs="Arial"/>
                <w:sz w:val="22"/>
                <w:szCs w:val="22"/>
                <w:lang w:val="en-GB"/>
              </w:rPr>
            </w:pPr>
            <w:r w:rsidRPr="00DF0CDE">
              <w:rPr>
                <w:rFonts w:ascii="Arial" w:hAnsi="Arial" w:cs="Arial"/>
                <w:sz w:val="22"/>
                <w:szCs w:val="22"/>
                <w:lang w:val="en-GB"/>
              </w:rPr>
              <w:t>Universalism, territorialism, diplomacy and sovereign supremacy</w:t>
            </w:r>
            <w:r>
              <w:rPr>
                <w:rFonts w:ascii="Arial" w:hAnsi="Arial" w:cs="Arial"/>
                <w:sz w:val="22"/>
                <w:szCs w:val="22"/>
                <w:lang w:val="en-GB"/>
              </w:rPr>
              <w:t>- Every state would wish to retain their sovereign supremacy for various reasons such as national interests, diplomatic interests, interests of local creditors</w:t>
            </w:r>
          </w:p>
          <w:p w14:paraId="612F67DE" w14:textId="77777777" w:rsidR="00701D10" w:rsidRDefault="00701D10" w:rsidP="00701D10">
            <w:pPr>
              <w:pStyle w:val="ListParagraph"/>
              <w:numPr>
                <w:ilvl w:val="0"/>
                <w:numId w:val="36"/>
              </w:numPr>
              <w:jc w:val="both"/>
              <w:rPr>
                <w:rFonts w:ascii="Arial" w:hAnsi="Arial" w:cs="Arial"/>
                <w:sz w:val="22"/>
                <w:szCs w:val="22"/>
                <w:lang w:val="en-GB"/>
              </w:rPr>
            </w:pPr>
            <w:r>
              <w:rPr>
                <w:rFonts w:ascii="Arial" w:hAnsi="Arial" w:cs="Arial"/>
                <w:sz w:val="22"/>
                <w:szCs w:val="22"/>
                <w:lang w:val="en-GB"/>
              </w:rPr>
              <w:t>LEGAL SYSTEMS- the differences in legal systems namely the civil law and the common law system may affect the states to bring about a uniform framework in addressing insolvency.</w:t>
            </w:r>
          </w:p>
          <w:p w14:paraId="72B09A6B" w14:textId="77777777" w:rsidR="00701D10" w:rsidRDefault="00701D10" w:rsidP="00701D10">
            <w:pPr>
              <w:pStyle w:val="ListParagraph"/>
              <w:numPr>
                <w:ilvl w:val="0"/>
                <w:numId w:val="36"/>
              </w:numPr>
              <w:jc w:val="both"/>
              <w:rPr>
                <w:rFonts w:ascii="Arial" w:hAnsi="Arial" w:cs="Arial"/>
                <w:sz w:val="22"/>
                <w:szCs w:val="22"/>
                <w:lang w:val="en-GB"/>
              </w:rPr>
            </w:pPr>
            <w:r>
              <w:rPr>
                <w:rFonts w:ascii="Arial" w:hAnsi="Arial" w:cs="Arial"/>
                <w:sz w:val="22"/>
                <w:szCs w:val="22"/>
                <w:lang w:val="en-GB"/>
              </w:rPr>
              <w:t xml:space="preserve">PUBLIC POLICY – All states have different priorities in respect of rescue process- Some prefer to save labourers, while some prefer to save capital wastage. Some prefer to rescue whereas some prefer to recover. Such preferences are partially due to prevailing conditions/norms in a particular state. </w:t>
            </w:r>
          </w:p>
          <w:p w14:paraId="7C20F4DA" w14:textId="77777777" w:rsidR="00701D10" w:rsidRDefault="00701D10" w:rsidP="00701D10">
            <w:pPr>
              <w:pStyle w:val="ListParagraph"/>
              <w:numPr>
                <w:ilvl w:val="0"/>
                <w:numId w:val="36"/>
              </w:numPr>
              <w:jc w:val="both"/>
              <w:rPr>
                <w:rFonts w:ascii="Arial" w:hAnsi="Arial" w:cs="Arial"/>
                <w:sz w:val="22"/>
                <w:szCs w:val="22"/>
                <w:lang w:val="en-GB"/>
              </w:rPr>
            </w:pPr>
            <w:r>
              <w:rPr>
                <w:rFonts w:ascii="Arial" w:hAnsi="Arial" w:cs="Arial"/>
                <w:sz w:val="22"/>
                <w:szCs w:val="22"/>
                <w:lang w:val="en-GB"/>
              </w:rPr>
              <w:lastRenderedPageBreak/>
              <w:t>APPROACH AND RIGHTS- Differences in approach and differences in contractual &amp; property rights- Some jurisdiction prefer to be debtor centric such as US and while others may prefer creditor centricity such as European States which altogether change the approach as well as the property rights in a particular state.</w:t>
            </w:r>
          </w:p>
          <w:p w14:paraId="175E4450" w14:textId="77777777" w:rsidR="00701D10" w:rsidRDefault="00701D10" w:rsidP="00701D10">
            <w:pPr>
              <w:pStyle w:val="ListParagraph"/>
              <w:numPr>
                <w:ilvl w:val="0"/>
                <w:numId w:val="36"/>
              </w:numPr>
              <w:jc w:val="both"/>
              <w:rPr>
                <w:rFonts w:ascii="Arial" w:hAnsi="Arial" w:cs="Arial"/>
                <w:sz w:val="22"/>
                <w:szCs w:val="22"/>
                <w:lang w:val="en-GB"/>
              </w:rPr>
            </w:pPr>
            <w:r>
              <w:rPr>
                <w:rFonts w:ascii="Arial" w:hAnsi="Arial" w:cs="Arial"/>
                <w:sz w:val="22"/>
                <w:szCs w:val="22"/>
                <w:lang w:val="en-GB"/>
              </w:rPr>
              <w:t xml:space="preserve">STRATEGIC REASONS- Forum shopping and strategic manipulation by private players is also seen as one of the challenges in the age of globalisation of corporations and their operations. </w:t>
            </w:r>
          </w:p>
          <w:p w14:paraId="76670A5D" w14:textId="6A058DF0" w:rsidR="00601B50" w:rsidRDefault="00601B50" w:rsidP="00701D10">
            <w:pPr>
              <w:pStyle w:val="ListParagraph"/>
              <w:numPr>
                <w:ilvl w:val="0"/>
                <w:numId w:val="36"/>
              </w:numPr>
              <w:jc w:val="both"/>
              <w:rPr>
                <w:rFonts w:ascii="Arial" w:hAnsi="Arial" w:cs="Arial"/>
                <w:sz w:val="22"/>
                <w:szCs w:val="22"/>
                <w:lang w:val="en-GB"/>
              </w:rPr>
            </w:pPr>
            <w:r>
              <w:rPr>
                <w:rFonts w:ascii="Arial" w:hAnsi="Arial" w:cs="Arial"/>
                <w:sz w:val="22"/>
                <w:szCs w:val="22"/>
                <w:lang w:val="en-GB"/>
              </w:rPr>
              <w:t>RECOGNITION of foreign laws and representatives.</w:t>
            </w:r>
          </w:p>
          <w:p w14:paraId="166F60F2" w14:textId="77777777" w:rsidR="00701D10" w:rsidRPr="00DF0CDE" w:rsidRDefault="00701D10" w:rsidP="00701D10">
            <w:pPr>
              <w:pStyle w:val="ListParagraph"/>
              <w:numPr>
                <w:ilvl w:val="0"/>
                <w:numId w:val="36"/>
              </w:numPr>
              <w:jc w:val="both"/>
              <w:rPr>
                <w:rFonts w:ascii="Arial" w:hAnsi="Arial" w:cs="Arial"/>
                <w:sz w:val="22"/>
                <w:szCs w:val="22"/>
                <w:lang w:val="en-GB"/>
              </w:rPr>
            </w:pPr>
            <w:r>
              <w:rPr>
                <w:rFonts w:ascii="Arial" w:hAnsi="Arial" w:cs="Arial"/>
                <w:sz w:val="22"/>
                <w:szCs w:val="22"/>
                <w:lang w:val="en-GB"/>
              </w:rPr>
              <w:t>CO-ORDINATION- Recognition and cooperation is another issue concerning the resolution of cross border insolvency.</w:t>
            </w:r>
          </w:p>
          <w:p w14:paraId="7937143E" w14:textId="77777777" w:rsidR="00701D10" w:rsidRDefault="00701D10" w:rsidP="00701D10">
            <w:pPr>
              <w:jc w:val="both"/>
              <w:rPr>
                <w:rFonts w:ascii="Arial" w:hAnsi="Arial" w:cs="Arial"/>
                <w:sz w:val="22"/>
                <w:szCs w:val="22"/>
                <w:lang w:val="en-GB"/>
              </w:rPr>
            </w:pPr>
          </w:p>
        </w:tc>
      </w:tr>
    </w:tbl>
    <w:p w14:paraId="493B955E" w14:textId="469DA1E3" w:rsidR="00DF0CDE" w:rsidRPr="00DF0CDE" w:rsidRDefault="00DF0CDE" w:rsidP="00701D10">
      <w:pPr>
        <w:jc w:val="both"/>
        <w:rPr>
          <w:rFonts w:ascii="Arial" w:hAnsi="Arial" w:cs="Arial"/>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tbl>
      <w:tblPr>
        <w:tblStyle w:val="TableGrid"/>
        <w:tblW w:w="0" w:type="auto"/>
        <w:tblInd w:w="720" w:type="dxa"/>
        <w:tblLook w:val="04A0" w:firstRow="1" w:lastRow="0" w:firstColumn="1" w:lastColumn="0" w:noHBand="0" w:noVBand="1"/>
      </w:tblPr>
      <w:tblGrid>
        <w:gridCol w:w="8296"/>
      </w:tblGrid>
      <w:tr w:rsidR="00701D10" w14:paraId="6700A2F6" w14:textId="77777777" w:rsidTr="00701D10">
        <w:tc>
          <w:tcPr>
            <w:tcW w:w="9016" w:type="dxa"/>
          </w:tcPr>
          <w:p w14:paraId="1E789E8C" w14:textId="77777777" w:rsidR="00701D10" w:rsidRDefault="00701D10" w:rsidP="00701D10">
            <w:pPr>
              <w:ind w:left="720"/>
              <w:jc w:val="both"/>
              <w:rPr>
                <w:rFonts w:ascii="Arial" w:hAnsi="Arial" w:cs="Arial"/>
                <w:color w:val="808080" w:themeColor="background1" w:themeShade="80"/>
                <w:sz w:val="22"/>
                <w:szCs w:val="22"/>
                <w:lang w:val="en-GB"/>
              </w:rPr>
            </w:pPr>
            <w:r w:rsidRPr="00AB3717">
              <w:rPr>
                <w:rFonts w:ascii="Arial" w:hAnsi="Arial" w:cs="Arial"/>
                <w:sz w:val="22"/>
                <w:szCs w:val="22"/>
                <w:lang w:val="en-GB"/>
              </w:rPr>
              <w:t xml:space="preserve">The topic of international insolvency is incomplete without the key concept of hard law </w:t>
            </w:r>
            <w:proofErr w:type="spellStart"/>
            <w:r w:rsidRPr="00AB3717">
              <w:rPr>
                <w:rFonts w:ascii="Arial" w:hAnsi="Arial" w:cs="Arial"/>
                <w:sz w:val="22"/>
                <w:szCs w:val="22"/>
                <w:lang w:val="en-GB"/>
              </w:rPr>
              <w:t>vs</w:t>
            </w:r>
            <w:proofErr w:type="spellEnd"/>
            <w:r w:rsidRPr="00AB3717">
              <w:rPr>
                <w:rFonts w:ascii="Arial" w:hAnsi="Arial" w:cs="Arial"/>
                <w:sz w:val="22"/>
                <w:szCs w:val="22"/>
                <w:lang w:val="en-GB"/>
              </w:rPr>
              <w:t xml:space="preserve"> soft law as they are the modes through which insolvency is sought to be regulated</w:t>
            </w:r>
            <w:r>
              <w:rPr>
                <w:rFonts w:ascii="Arial" w:hAnsi="Arial" w:cs="Arial"/>
                <w:color w:val="808080" w:themeColor="background1" w:themeShade="80"/>
                <w:sz w:val="22"/>
                <w:szCs w:val="22"/>
                <w:lang w:val="en-GB"/>
              </w:rPr>
              <w:t xml:space="preserve">. </w:t>
            </w:r>
            <w:r w:rsidRPr="00AB3717">
              <w:rPr>
                <w:rFonts w:ascii="Arial" w:hAnsi="Arial" w:cs="Arial"/>
                <w:sz w:val="22"/>
                <w:szCs w:val="22"/>
                <w:lang w:val="en-GB"/>
              </w:rPr>
              <w:t>Since international insolvency has issues beyond national law and therefore involve international dimension and its consequent regulation</w:t>
            </w:r>
            <w:r>
              <w:rPr>
                <w:rFonts w:ascii="Arial" w:hAnsi="Arial" w:cs="Arial"/>
                <w:color w:val="808080" w:themeColor="background1" w:themeShade="80"/>
                <w:sz w:val="22"/>
                <w:szCs w:val="22"/>
                <w:lang w:val="en-GB"/>
              </w:rPr>
              <w:t>.</w:t>
            </w:r>
          </w:p>
          <w:p w14:paraId="146718E9" w14:textId="77777777" w:rsidR="00701D10" w:rsidRDefault="00701D10" w:rsidP="00701D10">
            <w:pPr>
              <w:ind w:left="720"/>
              <w:jc w:val="both"/>
              <w:rPr>
                <w:rFonts w:ascii="Arial" w:hAnsi="Arial" w:cs="Arial"/>
                <w:color w:val="808080" w:themeColor="background1" w:themeShade="80"/>
                <w:sz w:val="22"/>
                <w:szCs w:val="22"/>
                <w:lang w:val="en-GB"/>
              </w:rPr>
            </w:pPr>
          </w:p>
          <w:p w14:paraId="52335106" w14:textId="77777777" w:rsidR="00701D10" w:rsidRDefault="00701D10" w:rsidP="00701D10">
            <w:pPr>
              <w:ind w:left="720"/>
              <w:jc w:val="both"/>
              <w:rPr>
                <w:rFonts w:ascii="Arial" w:hAnsi="Arial" w:cs="Arial"/>
                <w:sz w:val="22"/>
                <w:szCs w:val="22"/>
                <w:lang w:val="en-GB"/>
              </w:rPr>
            </w:pPr>
            <w:r w:rsidRPr="00AB3717">
              <w:rPr>
                <w:rFonts w:ascii="Arial" w:hAnsi="Arial" w:cs="Arial"/>
                <w:sz w:val="22"/>
                <w:szCs w:val="22"/>
                <w:lang w:val="en-GB"/>
              </w:rPr>
              <w:t xml:space="preserve">International Law can be categorised into Public International Law wherein the parties are usually states and comes into effect by states locally adopting the same in their jurisdiction. And private international law is a setup wherein there are parties including non-state actors </w:t>
            </w:r>
            <w:r>
              <w:rPr>
                <w:rFonts w:ascii="Arial" w:hAnsi="Arial" w:cs="Arial"/>
                <w:sz w:val="22"/>
                <w:szCs w:val="22"/>
                <w:lang w:val="en-GB"/>
              </w:rPr>
              <w:t xml:space="preserve">determining actions in private matters. International Insolvency whether a matter of public or private international law isn’t as simple as the explanation sounds as involves a smart mix of state mechanism as well as private bargaining. </w:t>
            </w:r>
          </w:p>
          <w:p w14:paraId="15B83DBB" w14:textId="77777777" w:rsidR="00701D10" w:rsidRDefault="00701D10" w:rsidP="00701D10">
            <w:pPr>
              <w:ind w:left="720"/>
              <w:jc w:val="both"/>
              <w:rPr>
                <w:rFonts w:ascii="Arial" w:hAnsi="Arial" w:cs="Arial"/>
                <w:sz w:val="22"/>
                <w:szCs w:val="22"/>
                <w:lang w:val="en-GB"/>
              </w:rPr>
            </w:pPr>
          </w:p>
          <w:p w14:paraId="5824EDA6" w14:textId="77777777" w:rsidR="00701D10" w:rsidRDefault="00701D10" w:rsidP="00701D10">
            <w:pPr>
              <w:ind w:left="720"/>
              <w:jc w:val="both"/>
              <w:rPr>
                <w:rFonts w:ascii="Arial" w:hAnsi="Arial" w:cs="Arial"/>
                <w:sz w:val="22"/>
                <w:szCs w:val="22"/>
                <w:lang w:val="en-GB"/>
              </w:rPr>
            </w:pPr>
            <w:r>
              <w:rPr>
                <w:rFonts w:ascii="Arial" w:hAnsi="Arial" w:cs="Arial"/>
                <w:sz w:val="22"/>
                <w:szCs w:val="22"/>
                <w:lang w:val="en-GB"/>
              </w:rPr>
              <w:t>Hard Laws are those laws enacted by the state in their legislature. In terms of public international law, the states after signing the international treaties are obligated under the very same treaties to bring about a law to that effect. Until such enactment, the treaty so signed is infructuous.</w:t>
            </w:r>
          </w:p>
          <w:p w14:paraId="1BBDD46C" w14:textId="77777777" w:rsidR="00701D10" w:rsidRDefault="00701D10" w:rsidP="00701D10">
            <w:pPr>
              <w:ind w:left="720"/>
              <w:jc w:val="both"/>
              <w:rPr>
                <w:rFonts w:ascii="Arial" w:hAnsi="Arial" w:cs="Arial"/>
                <w:sz w:val="22"/>
                <w:szCs w:val="22"/>
                <w:lang w:val="en-GB"/>
              </w:rPr>
            </w:pPr>
          </w:p>
          <w:p w14:paraId="5C8AE1EA" w14:textId="77777777" w:rsidR="00701D10" w:rsidRDefault="00701D10" w:rsidP="00701D10">
            <w:pPr>
              <w:ind w:left="720"/>
              <w:jc w:val="both"/>
              <w:rPr>
                <w:rFonts w:ascii="Arial" w:hAnsi="Arial" w:cs="Arial"/>
                <w:sz w:val="22"/>
                <w:szCs w:val="22"/>
                <w:lang w:val="en-GB"/>
              </w:rPr>
            </w:pPr>
            <w:r>
              <w:rPr>
                <w:rFonts w:ascii="Arial" w:hAnsi="Arial" w:cs="Arial"/>
                <w:sz w:val="22"/>
                <w:szCs w:val="22"/>
                <w:lang w:val="en-GB"/>
              </w:rPr>
              <w:t>Soft laws are those laws that come into practice by usage, conventions and sometimes by “nudges” and there are a lot of multilateral institutions (UNIDROIT &amp; UNCITRAL) working in this area as well. These soft laws have been more successful as they are generally effectuated by markets in the interest of trade and commerce. I would see these soft laws as more akin to “</w:t>
            </w:r>
            <w:proofErr w:type="spellStart"/>
            <w:r>
              <w:rPr>
                <w:rFonts w:ascii="Arial" w:hAnsi="Arial" w:cs="Arial"/>
                <w:sz w:val="22"/>
                <w:szCs w:val="22"/>
                <w:lang w:val="en-GB"/>
              </w:rPr>
              <w:t>lex</w:t>
            </w:r>
            <w:proofErr w:type="spellEnd"/>
            <w:r>
              <w:rPr>
                <w:rFonts w:ascii="Arial" w:hAnsi="Arial" w:cs="Arial"/>
                <w:sz w:val="22"/>
                <w:szCs w:val="22"/>
                <w:lang w:val="en-GB"/>
              </w:rPr>
              <w:t xml:space="preserve"> </w:t>
            </w:r>
            <w:proofErr w:type="spellStart"/>
            <w:r>
              <w:rPr>
                <w:rFonts w:ascii="Arial" w:hAnsi="Arial" w:cs="Arial"/>
                <w:sz w:val="22"/>
                <w:szCs w:val="22"/>
                <w:lang w:val="en-GB"/>
              </w:rPr>
              <w:t>mercatoria</w:t>
            </w:r>
            <w:proofErr w:type="spellEnd"/>
            <w:r>
              <w:rPr>
                <w:rFonts w:ascii="Arial" w:hAnsi="Arial" w:cs="Arial"/>
                <w:sz w:val="22"/>
                <w:szCs w:val="22"/>
                <w:lang w:val="en-GB"/>
              </w:rPr>
              <w:t>” and the state generally doesn’t intervene in such trade/custom usage.</w:t>
            </w:r>
          </w:p>
          <w:p w14:paraId="5709AE11" w14:textId="77777777" w:rsidR="00701D10" w:rsidRDefault="00701D10" w:rsidP="00701D10">
            <w:pPr>
              <w:ind w:left="720"/>
              <w:jc w:val="both"/>
              <w:rPr>
                <w:rFonts w:ascii="Arial" w:hAnsi="Arial" w:cs="Arial"/>
                <w:sz w:val="22"/>
                <w:szCs w:val="22"/>
                <w:lang w:val="en-GB"/>
              </w:rPr>
            </w:pPr>
          </w:p>
          <w:p w14:paraId="296796C6" w14:textId="77777777" w:rsidR="00701D10" w:rsidRDefault="00701D10" w:rsidP="00701D10">
            <w:pPr>
              <w:ind w:left="720"/>
              <w:jc w:val="both"/>
              <w:rPr>
                <w:rFonts w:ascii="Arial" w:hAnsi="Arial" w:cs="Arial"/>
                <w:sz w:val="22"/>
                <w:szCs w:val="22"/>
                <w:lang w:val="en-GB"/>
              </w:rPr>
            </w:pPr>
            <w:r>
              <w:rPr>
                <w:rFonts w:ascii="Arial" w:hAnsi="Arial" w:cs="Arial"/>
                <w:sz w:val="22"/>
                <w:szCs w:val="22"/>
                <w:lang w:val="en-GB"/>
              </w:rPr>
              <w:t xml:space="preserve">However, unlike contractual rights, the </w:t>
            </w:r>
            <w:proofErr w:type="spellStart"/>
            <w:r>
              <w:rPr>
                <w:rFonts w:ascii="Arial" w:hAnsi="Arial" w:cs="Arial"/>
                <w:sz w:val="22"/>
                <w:szCs w:val="22"/>
                <w:lang w:val="en-GB"/>
              </w:rPr>
              <w:t>crossborder</w:t>
            </w:r>
            <w:proofErr w:type="spellEnd"/>
            <w:r>
              <w:rPr>
                <w:rFonts w:ascii="Arial" w:hAnsi="Arial" w:cs="Arial"/>
                <w:sz w:val="22"/>
                <w:szCs w:val="22"/>
                <w:lang w:val="en-GB"/>
              </w:rPr>
              <w:t xml:space="preserve"> insolvency isn’t purely a private matter. In most jurisdictions, bankruptcy is part of public law and is </w:t>
            </w:r>
            <w:proofErr w:type="spellStart"/>
            <w:r>
              <w:rPr>
                <w:rFonts w:ascii="Arial" w:hAnsi="Arial" w:cs="Arial"/>
                <w:sz w:val="22"/>
                <w:szCs w:val="22"/>
                <w:lang w:val="en-GB"/>
              </w:rPr>
              <w:t>expressely</w:t>
            </w:r>
            <w:proofErr w:type="spellEnd"/>
            <w:r>
              <w:rPr>
                <w:rFonts w:ascii="Arial" w:hAnsi="Arial" w:cs="Arial"/>
                <w:sz w:val="22"/>
                <w:szCs w:val="22"/>
                <w:lang w:val="en-GB"/>
              </w:rPr>
              <w:t xml:space="preserve"> non-</w:t>
            </w:r>
            <w:proofErr w:type="spellStart"/>
            <w:r>
              <w:rPr>
                <w:rFonts w:ascii="Arial" w:hAnsi="Arial" w:cs="Arial"/>
                <w:sz w:val="22"/>
                <w:szCs w:val="22"/>
                <w:lang w:val="en-GB"/>
              </w:rPr>
              <w:t>arbitrable</w:t>
            </w:r>
            <w:proofErr w:type="spellEnd"/>
            <w:r>
              <w:rPr>
                <w:rFonts w:ascii="Arial" w:hAnsi="Arial" w:cs="Arial"/>
                <w:sz w:val="22"/>
                <w:szCs w:val="22"/>
                <w:lang w:val="en-GB"/>
              </w:rPr>
              <w:t xml:space="preserve"> that the challenge is that it requires more “hard law” than </w:t>
            </w:r>
            <w:proofErr w:type="spellStart"/>
            <w:r>
              <w:rPr>
                <w:rFonts w:ascii="Arial" w:hAnsi="Arial" w:cs="Arial"/>
                <w:sz w:val="22"/>
                <w:szCs w:val="22"/>
                <w:lang w:val="en-GB"/>
              </w:rPr>
              <w:t>softlaws</w:t>
            </w:r>
            <w:proofErr w:type="spellEnd"/>
            <w:r>
              <w:rPr>
                <w:rFonts w:ascii="Arial" w:hAnsi="Arial" w:cs="Arial"/>
                <w:sz w:val="22"/>
                <w:szCs w:val="22"/>
                <w:lang w:val="en-GB"/>
              </w:rPr>
              <w:t xml:space="preserve">. Yes, UNCITRAL model law works as a quasi between the both the worlds but there is a long way to go.    </w:t>
            </w:r>
          </w:p>
          <w:p w14:paraId="62335995" w14:textId="77777777" w:rsidR="00701D10" w:rsidRDefault="00701D10" w:rsidP="00AB3717">
            <w:pPr>
              <w:jc w:val="both"/>
              <w:rPr>
                <w:rFonts w:ascii="Arial" w:hAnsi="Arial" w:cs="Arial"/>
                <w:sz w:val="22"/>
                <w:szCs w:val="22"/>
                <w:lang w:val="en-GB"/>
              </w:rPr>
            </w:pPr>
          </w:p>
        </w:tc>
      </w:tr>
    </w:tbl>
    <w:p w14:paraId="10500D62" w14:textId="77777777" w:rsidR="00FB6560" w:rsidRDefault="00FB6560" w:rsidP="00AB3717">
      <w:pPr>
        <w:ind w:left="720"/>
        <w:jc w:val="both"/>
        <w:rPr>
          <w:rFonts w:ascii="Arial" w:hAnsi="Arial" w:cs="Arial"/>
          <w:sz w:val="22"/>
          <w:szCs w:val="22"/>
          <w:lang w:val="en-GB"/>
        </w:rPr>
      </w:pPr>
    </w:p>
    <w:p w14:paraId="21642EB7" w14:textId="77777777" w:rsidR="00FB6560" w:rsidRPr="00AB3717" w:rsidRDefault="00FB6560" w:rsidP="00AB3717">
      <w:pPr>
        <w:ind w:left="720"/>
        <w:jc w:val="both"/>
        <w:rPr>
          <w:rFonts w:ascii="Arial" w:hAnsi="Arial" w:cs="Arial"/>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6B3A5A87"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w:t>
      </w:r>
      <w:r w:rsidR="00701D10">
        <w:rPr>
          <w:rFonts w:ascii="Avenir Next" w:hAnsi="Avenir Next" w:cs="Arial"/>
          <w:sz w:val="22"/>
          <w:szCs w:val="22"/>
        </w:rPr>
        <w:t xml:space="preserve">dquarters were later moved to </w:t>
      </w:r>
      <w:r w:rsidRPr="00F85C0B">
        <w:rPr>
          <w:rFonts w:ascii="Avenir Next" w:hAnsi="Avenir Next" w:cs="Arial"/>
          <w:sz w:val="22"/>
          <w:szCs w:val="22"/>
        </w:rPr>
        <w:t xml:space="preserve">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4C398928"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w:t>
      </w:r>
      <w:r w:rsidR="00701D10">
        <w:rPr>
          <w:rFonts w:ascii="Avenir Next" w:hAnsi="Avenir Next" w:cs="Arial"/>
          <w:sz w:val="22"/>
          <w:szCs w:val="28"/>
        </w:rPr>
        <w:t xml:space="preserve">Ltd, manufactures and provides </w:t>
      </w:r>
      <w:r w:rsidRPr="00F85C0B">
        <w:rPr>
          <w:rFonts w:ascii="Avenir Next" w:hAnsi="Avenir Next" w:cs="Arial"/>
          <w:sz w:val="22"/>
          <w:szCs w:val="28"/>
        </w:rPr>
        <w:t xml:space="preserve">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is struggling financially due to little interest in the sports car market amongst consumers. </w:t>
      </w:r>
    </w:p>
    <w:p w14:paraId="564F9CB2" w14:textId="77777777" w:rsidR="00701D10" w:rsidRDefault="00701D10" w:rsidP="00F85C0B">
      <w:pPr>
        <w:jc w:val="both"/>
        <w:rPr>
          <w:rFonts w:ascii="Avenir Next" w:hAnsi="Avenir Next" w:cs="Arial"/>
          <w:sz w:val="22"/>
          <w:szCs w:val="28"/>
        </w:rPr>
      </w:pPr>
    </w:p>
    <w:tbl>
      <w:tblPr>
        <w:tblStyle w:val="TableGrid"/>
        <w:tblW w:w="0" w:type="auto"/>
        <w:tblLook w:val="04A0" w:firstRow="1" w:lastRow="0" w:firstColumn="1" w:lastColumn="0" w:noHBand="0" w:noVBand="1"/>
      </w:tblPr>
      <w:tblGrid>
        <w:gridCol w:w="9016"/>
      </w:tblGrid>
      <w:tr w:rsidR="00701D10" w14:paraId="3EA7D111" w14:textId="77777777" w:rsidTr="00701D10">
        <w:tc>
          <w:tcPr>
            <w:tcW w:w="9016" w:type="dxa"/>
          </w:tcPr>
          <w:p w14:paraId="5401DC68" w14:textId="5A442561" w:rsidR="00701D10" w:rsidRDefault="006E34FC" w:rsidP="00F85C0B">
            <w:pPr>
              <w:jc w:val="both"/>
              <w:rPr>
                <w:rFonts w:ascii="Avenir Next" w:hAnsi="Avenir Next" w:cs="Arial"/>
                <w:sz w:val="22"/>
                <w:szCs w:val="28"/>
              </w:rPr>
            </w:pPr>
            <w:r>
              <w:rPr>
                <w:rFonts w:ascii="Avenir Next" w:hAnsi="Avenir Next" w:cs="Arial"/>
                <w:sz w:val="22"/>
                <w:szCs w:val="28"/>
              </w:rPr>
              <w:t>Facts</w:t>
            </w:r>
          </w:p>
          <w:p w14:paraId="56627819" w14:textId="77777777" w:rsidR="006E34FC" w:rsidRDefault="006E34FC" w:rsidP="006E34FC">
            <w:pPr>
              <w:pStyle w:val="ListParagraph"/>
              <w:numPr>
                <w:ilvl w:val="0"/>
                <w:numId w:val="41"/>
              </w:numPr>
              <w:jc w:val="both"/>
              <w:rPr>
                <w:rFonts w:ascii="Avenir Next" w:hAnsi="Avenir Next" w:cs="Arial"/>
                <w:sz w:val="22"/>
                <w:szCs w:val="28"/>
              </w:rPr>
            </w:pPr>
            <w:r>
              <w:rPr>
                <w:rFonts w:ascii="Avenir Next" w:hAnsi="Avenir Next" w:cs="Arial"/>
                <w:sz w:val="22"/>
                <w:szCs w:val="28"/>
              </w:rPr>
              <w:t xml:space="preserve">Incorporated initially in USA and later moved to Nottingham UK </w:t>
            </w:r>
          </w:p>
          <w:p w14:paraId="783356ED" w14:textId="77777777" w:rsidR="006E34FC" w:rsidRDefault="006E34FC" w:rsidP="006E34FC">
            <w:pPr>
              <w:pStyle w:val="ListParagraph"/>
              <w:numPr>
                <w:ilvl w:val="0"/>
                <w:numId w:val="41"/>
              </w:numPr>
              <w:jc w:val="both"/>
              <w:rPr>
                <w:rFonts w:ascii="Avenir Next" w:hAnsi="Avenir Next" w:cs="Arial"/>
                <w:sz w:val="22"/>
                <w:szCs w:val="28"/>
              </w:rPr>
            </w:pPr>
            <w:proofErr w:type="spellStart"/>
            <w:r>
              <w:rPr>
                <w:rFonts w:ascii="Avenir Next" w:hAnsi="Avenir Next" w:cs="Arial"/>
                <w:sz w:val="22"/>
                <w:szCs w:val="28"/>
              </w:rPr>
              <w:t>Brexit</w:t>
            </w:r>
            <w:proofErr w:type="spellEnd"/>
            <w:r>
              <w:rPr>
                <w:rFonts w:ascii="Avenir Next" w:hAnsi="Avenir Next" w:cs="Arial"/>
                <w:sz w:val="22"/>
                <w:szCs w:val="28"/>
              </w:rPr>
              <w:t xml:space="preserve"> and COMI moved to Italy</w:t>
            </w:r>
          </w:p>
          <w:p w14:paraId="1C769FD4" w14:textId="18E42AC0" w:rsidR="006E34FC" w:rsidRDefault="006E34FC" w:rsidP="006E34FC">
            <w:pPr>
              <w:pStyle w:val="ListParagraph"/>
              <w:numPr>
                <w:ilvl w:val="0"/>
                <w:numId w:val="41"/>
              </w:numPr>
              <w:jc w:val="both"/>
              <w:rPr>
                <w:rFonts w:ascii="Avenir Next" w:hAnsi="Avenir Next" w:cs="Arial"/>
                <w:sz w:val="22"/>
                <w:szCs w:val="28"/>
              </w:rPr>
            </w:pPr>
            <w:r>
              <w:rPr>
                <w:rFonts w:ascii="Avenir Next" w:hAnsi="Avenir Next" w:cs="Arial"/>
                <w:sz w:val="22"/>
                <w:szCs w:val="28"/>
              </w:rPr>
              <w:t xml:space="preserve">Norton Car </w:t>
            </w:r>
            <w:r w:rsidR="00601B50">
              <w:rPr>
                <w:rFonts w:ascii="Avenir Next" w:hAnsi="Avenir Next" w:cs="Arial"/>
                <w:sz w:val="22"/>
                <w:szCs w:val="28"/>
              </w:rPr>
              <w:t xml:space="preserve">Main </w:t>
            </w:r>
            <w:r>
              <w:rPr>
                <w:rFonts w:ascii="Avenir Next" w:hAnsi="Avenir Next" w:cs="Arial"/>
                <w:sz w:val="22"/>
                <w:szCs w:val="28"/>
              </w:rPr>
              <w:t>operations- USA, EU and European Continents operations</w:t>
            </w:r>
          </w:p>
          <w:p w14:paraId="6817206F" w14:textId="0448C352" w:rsidR="006E34FC" w:rsidRDefault="006E34FC" w:rsidP="006E34FC">
            <w:pPr>
              <w:pStyle w:val="ListParagraph"/>
              <w:numPr>
                <w:ilvl w:val="0"/>
                <w:numId w:val="41"/>
              </w:numPr>
              <w:jc w:val="both"/>
              <w:rPr>
                <w:rFonts w:ascii="Avenir Next" w:hAnsi="Avenir Next" w:cs="Arial"/>
                <w:sz w:val="22"/>
                <w:szCs w:val="28"/>
              </w:rPr>
            </w:pPr>
            <w:r>
              <w:rPr>
                <w:rFonts w:ascii="Avenir Next" w:hAnsi="Avenir Next" w:cs="Arial"/>
                <w:sz w:val="22"/>
                <w:szCs w:val="28"/>
              </w:rPr>
              <w:t>Another Gladiator Subsidiary operations- provides engines to Cars in Germany</w:t>
            </w:r>
          </w:p>
          <w:p w14:paraId="42FB52E4" w14:textId="10263B6C" w:rsidR="006E34FC" w:rsidRPr="006E34FC" w:rsidRDefault="006E34FC" w:rsidP="006E34FC">
            <w:pPr>
              <w:pStyle w:val="ListParagraph"/>
              <w:numPr>
                <w:ilvl w:val="0"/>
                <w:numId w:val="41"/>
              </w:numPr>
              <w:jc w:val="both"/>
              <w:rPr>
                <w:rFonts w:ascii="Avenir Next" w:hAnsi="Avenir Next" w:cs="Arial"/>
                <w:sz w:val="22"/>
                <w:szCs w:val="28"/>
              </w:rPr>
            </w:pPr>
            <w:r>
              <w:rPr>
                <w:rFonts w:ascii="Avenir Next" w:hAnsi="Avenir Next" w:cs="Arial"/>
                <w:sz w:val="22"/>
                <w:szCs w:val="28"/>
              </w:rPr>
              <w:t>Financial Distress</w:t>
            </w:r>
          </w:p>
        </w:tc>
      </w:tr>
    </w:tbl>
    <w:p w14:paraId="473B3859" w14:textId="77777777" w:rsidR="00701D10" w:rsidRPr="00F85C0B" w:rsidRDefault="00701D10" w:rsidP="00F85C0B">
      <w:pPr>
        <w:jc w:val="both"/>
        <w:rPr>
          <w:rFonts w:ascii="Avenir Next" w:hAnsi="Avenir Next" w:cs="Arial"/>
          <w:sz w:val="22"/>
          <w:szCs w:val="28"/>
        </w:rPr>
      </w:pP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14:paraId="7679E3C6" w14:textId="77777777" w:rsidR="00601B50" w:rsidRDefault="00601B50" w:rsidP="00DB5A5A">
      <w:pPr>
        <w:jc w:val="both"/>
        <w:rPr>
          <w:rFonts w:ascii="Avenir Next" w:hAnsi="Avenir Next" w:cs="Arial"/>
          <w:sz w:val="22"/>
          <w:szCs w:val="28"/>
        </w:rPr>
      </w:pPr>
    </w:p>
    <w:tbl>
      <w:tblPr>
        <w:tblStyle w:val="TableGrid"/>
        <w:tblW w:w="0" w:type="auto"/>
        <w:tblLook w:val="04A0" w:firstRow="1" w:lastRow="0" w:firstColumn="1" w:lastColumn="0" w:noHBand="0" w:noVBand="1"/>
      </w:tblPr>
      <w:tblGrid>
        <w:gridCol w:w="9016"/>
      </w:tblGrid>
      <w:tr w:rsidR="00601B50" w14:paraId="388BBA91" w14:textId="77777777" w:rsidTr="00601B50">
        <w:tc>
          <w:tcPr>
            <w:tcW w:w="9016" w:type="dxa"/>
          </w:tcPr>
          <w:p w14:paraId="001C2B88" w14:textId="072D0BB6" w:rsidR="00601B50" w:rsidRPr="004C3700" w:rsidRDefault="00601B50" w:rsidP="004C3700">
            <w:pPr>
              <w:jc w:val="both"/>
              <w:rPr>
                <w:rFonts w:ascii="Arial" w:hAnsi="Arial" w:cs="Arial"/>
                <w:sz w:val="22"/>
                <w:szCs w:val="28"/>
              </w:rPr>
            </w:pPr>
            <w:r w:rsidRPr="004C3700">
              <w:rPr>
                <w:rFonts w:ascii="Arial" w:hAnsi="Arial" w:cs="Arial"/>
                <w:sz w:val="22"/>
                <w:szCs w:val="28"/>
              </w:rPr>
              <w:t>Issue:</w:t>
            </w:r>
            <w:r w:rsidR="00E41A71" w:rsidRPr="004C3700">
              <w:rPr>
                <w:rFonts w:ascii="Arial" w:hAnsi="Arial" w:cs="Arial"/>
                <w:sz w:val="22"/>
                <w:szCs w:val="28"/>
              </w:rPr>
              <w:t xml:space="preserve"> </w:t>
            </w:r>
            <w:r w:rsidR="004C3700" w:rsidRPr="004C3700">
              <w:rPr>
                <w:rFonts w:ascii="Arial" w:hAnsi="Arial" w:cs="Arial"/>
                <w:sz w:val="22"/>
                <w:szCs w:val="28"/>
              </w:rPr>
              <w:t xml:space="preserve">To </w:t>
            </w:r>
            <w:r w:rsidRPr="004C3700">
              <w:rPr>
                <w:rFonts w:ascii="Arial" w:hAnsi="Arial" w:cs="Arial"/>
                <w:sz w:val="22"/>
                <w:szCs w:val="28"/>
              </w:rPr>
              <w:t>advise on applicable English Cross Border Insolvency Law to deal with assets situated in England</w:t>
            </w:r>
          </w:p>
          <w:p w14:paraId="53BEA2A6" w14:textId="77777777" w:rsidR="00601B50" w:rsidRPr="004C3700" w:rsidRDefault="00601B50" w:rsidP="004C3700">
            <w:pPr>
              <w:jc w:val="both"/>
              <w:rPr>
                <w:rFonts w:ascii="Arial" w:hAnsi="Arial" w:cs="Arial"/>
                <w:sz w:val="22"/>
                <w:szCs w:val="28"/>
              </w:rPr>
            </w:pPr>
          </w:p>
          <w:p w14:paraId="5C4D278C" w14:textId="0710A4B2" w:rsidR="00601B50" w:rsidRPr="004C3700" w:rsidRDefault="00601B50" w:rsidP="004C3700">
            <w:pPr>
              <w:jc w:val="both"/>
              <w:rPr>
                <w:rFonts w:ascii="Arial" w:hAnsi="Arial" w:cs="Arial"/>
                <w:sz w:val="22"/>
                <w:szCs w:val="28"/>
              </w:rPr>
            </w:pPr>
            <w:r w:rsidRPr="004C3700">
              <w:rPr>
                <w:rFonts w:ascii="Arial" w:hAnsi="Arial" w:cs="Arial"/>
                <w:sz w:val="22"/>
                <w:szCs w:val="28"/>
              </w:rPr>
              <w:t xml:space="preserve">Rule: UNCITRAL Model Law and </w:t>
            </w:r>
            <w:r w:rsidR="00E41A71" w:rsidRPr="004C3700">
              <w:rPr>
                <w:rFonts w:ascii="Arial" w:hAnsi="Arial" w:cs="Arial"/>
                <w:sz w:val="22"/>
                <w:szCs w:val="28"/>
              </w:rPr>
              <w:t xml:space="preserve">UK </w:t>
            </w:r>
            <w:r w:rsidRPr="004C3700">
              <w:rPr>
                <w:rFonts w:ascii="Arial" w:hAnsi="Arial" w:cs="Arial"/>
                <w:sz w:val="22"/>
                <w:szCs w:val="28"/>
              </w:rPr>
              <w:t>Cross Border Insolvency Regulations 2006</w:t>
            </w:r>
          </w:p>
          <w:p w14:paraId="577E4CE0" w14:textId="77777777" w:rsidR="004C3700" w:rsidRPr="004C3700" w:rsidRDefault="004C3700" w:rsidP="004C3700">
            <w:pPr>
              <w:pStyle w:val="legp1paratext"/>
              <w:shd w:val="clear" w:color="auto" w:fill="FFFFFF"/>
              <w:spacing w:before="0" w:beforeAutospacing="0" w:after="120" w:afterAutospacing="0"/>
              <w:jc w:val="both"/>
              <w:rPr>
                <w:rFonts w:ascii="Arial" w:hAnsi="Arial" w:cs="Arial"/>
                <w:sz w:val="22"/>
                <w:szCs w:val="22"/>
              </w:rPr>
            </w:pPr>
            <w:r w:rsidRPr="004C3700">
              <w:rPr>
                <w:rFonts w:ascii="Arial" w:hAnsi="Arial" w:cs="Arial"/>
                <w:sz w:val="22"/>
                <w:szCs w:val="22"/>
              </w:rPr>
              <w:t xml:space="preserve">Article 1(a)  states that the Model Law applies where assistance is sought in Great Britain by a foreign court or a foreign representative in connection with a foreign proceeding; </w:t>
            </w:r>
          </w:p>
          <w:p w14:paraId="16F3047F" w14:textId="77777777" w:rsidR="00601B50" w:rsidRPr="004C3700" w:rsidRDefault="00601B50" w:rsidP="00DB5A5A">
            <w:pPr>
              <w:jc w:val="both"/>
              <w:rPr>
                <w:rFonts w:ascii="Arial" w:hAnsi="Arial" w:cs="Arial"/>
                <w:sz w:val="22"/>
                <w:szCs w:val="28"/>
              </w:rPr>
            </w:pPr>
          </w:p>
          <w:p w14:paraId="12431946" w14:textId="0135D638" w:rsidR="00B47A5A" w:rsidRPr="004C3700" w:rsidRDefault="00601B50" w:rsidP="00B47A5A">
            <w:pPr>
              <w:jc w:val="both"/>
              <w:rPr>
                <w:rFonts w:ascii="Arial" w:hAnsi="Arial" w:cs="Arial"/>
                <w:sz w:val="22"/>
                <w:szCs w:val="28"/>
              </w:rPr>
            </w:pPr>
            <w:r w:rsidRPr="004C3700">
              <w:rPr>
                <w:rFonts w:ascii="Arial" w:hAnsi="Arial" w:cs="Arial"/>
                <w:sz w:val="22"/>
                <w:szCs w:val="28"/>
              </w:rPr>
              <w:t xml:space="preserve">Analysis: </w:t>
            </w:r>
            <w:r w:rsidR="004C3700">
              <w:rPr>
                <w:rFonts w:ascii="Arial" w:hAnsi="Arial" w:cs="Arial"/>
                <w:sz w:val="22"/>
                <w:szCs w:val="28"/>
              </w:rPr>
              <w:t xml:space="preserve">USA and UK both have adopted the UNCITRAL Model Law </w:t>
            </w:r>
            <w:proofErr w:type="spellStart"/>
            <w:r w:rsidR="004C3700">
              <w:rPr>
                <w:rFonts w:ascii="Arial" w:hAnsi="Arial" w:cs="Arial"/>
                <w:sz w:val="22"/>
                <w:szCs w:val="28"/>
              </w:rPr>
              <w:t>w.e.f</w:t>
            </w:r>
            <w:proofErr w:type="spellEnd"/>
            <w:r w:rsidR="004C3700">
              <w:rPr>
                <w:rFonts w:ascii="Arial" w:hAnsi="Arial" w:cs="Arial"/>
                <w:sz w:val="22"/>
                <w:szCs w:val="28"/>
              </w:rPr>
              <w:t xml:space="preserve"> 2006. </w:t>
            </w:r>
          </w:p>
          <w:p w14:paraId="03BE1326" w14:textId="1518F848" w:rsidR="004C3700" w:rsidRDefault="00E41A71" w:rsidP="004C3700">
            <w:pPr>
              <w:jc w:val="both"/>
              <w:rPr>
                <w:rFonts w:ascii="Arial" w:hAnsi="Arial" w:cs="Arial"/>
                <w:sz w:val="22"/>
                <w:szCs w:val="28"/>
              </w:rPr>
            </w:pPr>
            <w:r w:rsidRPr="004C3700">
              <w:rPr>
                <w:rFonts w:ascii="Arial" w:hAnsi="Arial" w:cs="Arial"/>
                <w:sz w:val="22"/>
                <w:szCs w:val="28"/>
              </w:rPr>
              <w:t>Given the Centre of Main Interest</w:t>
            </w:r>
            <w:r w:rsidR="00B47A5A" w:rsidRPr="004C3700">
              <w:rPr>
                <w:rFonts w:ascii="Arial" w:hAnsi="Arial" w:cs="Arial"/>
                <w:sz w:val="22"/>
                <w:szCs w:val="28"/>
              </w:rPr>
              <w:t xml:space="preserve"> presumption in favor of place of incorporation</w:t>
            </w:r>
            <w:r w:rsidR="00613463">
              <w:rPr>
                <w:rFonts w:ascii="Arial" w:hAnsi="Arial" w:cs="Arial"/>
                <w:sz w:val="22"/>
                <w:szCs w:val="28"/>
              </w:rPr>
              <w:t xml:space="preserve"> unless rebutted</w:t>
            </w:r>
            <w:r w:rsidR="004C3700" w:rsidRPr="004C3700">
              <w:rPr>
                <w:rFonts w:ascii="Arial" w:hAnsi="Arial" w:cs="Arial"/>
                <w:sz w:val="22"/>
                <w:szCs w:val="28"/>
              </w:rPr>
              <w:t xml:space="preserve">. </w:t>
            </w:r>
          </w:p>
          <w:p w14:paraId="7CF7A5C2" w14:textId="77777777" w:rsidR="004C3700" w:rsidRPr="004C3700" w:rsidRDefault="004C3700" w:rsidP="004C3700">
            <w:pPr>
              <w:jc w:val="both"/>
              <w:rPr>
                <w:rFonts w:ascii="Arial" w:hAnsi="Arial" w:cs="Arial"/>
                <w:sz w:val="22"/>
                <w:szCs w:val="28"/>
              </w:rPr>
            </w:pPr>
          </w:p>
          <w:p w14:paraId="439F0B5C" w14:textId="185BBFF7" w:rsidR="004C3700" w:rsidRDefault="00B47A5A" w:rsidP="004C3700">
            <w:pPr>
              <w:jc w:val="both"/>
              <w:rPr>
                <w:rFonts w:ascii="Arial" w:hAnsi="Arial" w:cs="Arial"/>
                <w:sz w:val="22"/>
                <w:szCs w:val="28"/>
              </w:rPr>
            </w:pPr>
            <w:r w:rsidRPr="004C3700">
              <w:rPr>
                <w:rFonts w:ascii="Arial" w:hAnsi="Arial" w:cs="Arial"/>
                <w:sz w:val="22"/>
                <w:szCs w:val="28"/>
              </w:rPr>
              <w:t xml:space="preserve">But the facts stating the shifting of Headquarters and main businesses to UK indicate </w:t>
            </w:r>
            <w:r w:rsidR="004C3700">
              <w:rPr>
                <w:rFonts w:ascii="Arial" w:hAnsi="Arial" w:cs="Arial"/>
                <w:sz w:val="22"/>
                <w:szCs w:val="28"/>
              </w:rPr>
              <w:t>COMI shifted</w:t>
            </w:r>
            <w:r w:rsidRPr="004C3700">
              <w:rPr>
                <w:rFonts w:ascii="Arial" w:hAnsi="Arial" w:cs="Arial"/>
                <w:sz w:val="22"/>
                <w:szCs w:val="28"/>
              </w:rPr>
              <w:t xml:space="preserve"> hence the UK be</w:t>
            </w:r>
            <w:r w:rsidR="004C3700">
              <w:rPr>
                <w:rFonts w:ascii="Arial" w:hAnsi="Arial" w:cs="Arial"/>
                <w:sz w:val="22"/>
                <w:szCs w:val="28"/>
              </w:rPr>
              <w:t>comes the jurisdiction that may</w:t>
            </w:r>
            <w:r w:rsidRPr="004C3700">
              <w:rPr>
                <w:rFonts w:ascii="Arial" w:hAnsi="Arial" w:cs="Arial"/>
                <w:sz w:val="22"/>
                <w:szCs w:val="28"/>
              </w:rPr>
              <w:t xml:space="preserve"> commence main proceeding</w:t>
            </w:r>
            <w:r w:rsidR="004C3700">
              <w:rPr>
                <w:rFonts w:ascii="Arial" w:hAnsi="Arial" w:cs="Arial"/>
                <w:sz w:val="22"/>
                <w:szCs w:val="28"/>
              </w:rPr>
              <w:t>.</w:t>
            </w:r>
            <w:r w:rsidRPr="004C3700">
              <w:rPr>
                <w:rFonts w:ascii="Arial" w:hAnsi="Arial" w:cs="Arial"/>
                <w:sz w:val="22"/>
                <w:szCs w:val="28"/>
              </w:rPr>
              <w:t xml:space="preserve"> </w:t>
            </w:r>
          </w:p>
          <w:p w14:paraId="1F6ABC39" w14:textId="77777777" w:rsidR="004C3700" w:rsidRDefault="004C3700" w:rsidP="004C3700">
            <w:pPr>
              <w:jc w:val="both"/>
              <w:rPr>
                <w:rFonts w:ascii="Arial" w:hAnsi="Arial" w:cs="Arial"/>
                <w:sz w:val="22"/>
                <w:szCs w:val="28"/>
              </w:rPr>
            </w:pPr>
          </w:p>
          <w:p w14:paraId="6DC1A2B4" w14:textId="12E02DFE" w:rsidR="004C3700" w:rsidRDefault="004C3700" w:rsidP="004C3700">
            <w:pPr>
              <w:jc w:val="both"/>
              <w:rPr>
                <w:rFonts w:ascii="Avenir Next" w:hAnsi="Avenir Next" w:cs="Arial"/>
                <w:sz w:val="22"/>
                <w:szCs w:val="28"/>
              </w:rPr>
            </w:pPr>
            <w:r>
              <w:rPr>
                <w:rFonts w:ascii="Arial" w:hAnsi="Arial" w:cs="Arial"/>
                <w:sz w:val="22"/>
                <w:szCs w:val="28"/>
              </w:rPr>
              <w:t xml:space="preserve">Conclusion: </w:t>
            </w:r>
            <w:r w:rsidRPr="004C3700">
              <w:rPr>
                <w:rFonts w:ascii="Arial" w:hAnsi="Arial" w:cs="Arial"/>
                <w:sz w:val="22"/>
                <w:szCs w:val="28"/>
              </w:rPr>
              <w:t>Either ways the model law will be the applicable law here.</w:t>
            </w:r>
          </w:p>
        </w:tc>
      </w:tr>
    </w:tbl>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tbl>
      <w:tblPr>
        <w:tblStyle w:val="TableGrid"/>
        <w:tblW w:w="0" w:type="auto"/>
        <w:tblLook w:val="04A0" w:firstRow="1" w:lastRow="0" w:firstColumn="1" w:lastColumn="0" w:noHBand="0" w:noVBand="1"/>
      </w:tblPr>
      <w:tblGrid>
        <w:gridCol w:w="9016"/>
      </w:tblGrid>
      <w:tr w:rsidR="004C3700" w14:paraId="0A51F263" w14:textId="77777777" w:rsidTr="004C3700">
        <w:tc>
          <w:tcPr>
            <w:tcW w:w="9016" w:type="dxa"/>
          </w:tcPr>
          <w:p w14:paraId="04CC7611" w14:textId="3A554B80" w:rsidR="004C3700" w:rsidRPr="00613463" w:rsidRDefault="004C3700" w:rsidP="00692852">
            <w:pPr>
              <w:jc w:val="both"/>
              <w:rPr>
                <w:rFonts w:ascii="Arial" w:hAnsi="Arial" w:cs="Arial"/>
                <w:szCs w:val="20"/>
              </w:rPr>
            </w:pPr>
            <w:r w:rsidRPr="00613463">
              <w:rPr>
                <w:rFonts w:ascii="Arial" w:hAnsi="Arial" w:cs="Arial"/>
                <w:szCs w:val="20"/>
              </w:rPr>
              <w:t>Issue: Advise as to applicable law/ appropriate legal source in CBI b/w Italy and Germany</w:t>
            </w:r>
          </w:p>
          <w:p w14:paraId="781179D4" w14:textId="517BA430" w:rsidR="005854A6" w:rsidRPr="00613463" w:rsidRDefault="005854A6" w:rsidP="00692852">
            <w:pPr>
              <w:jc w:val="both"/>
              <w:rPr>
                <w:rFonts w:ascii="Arial" w:hAnsi="Arial" w:cs="Arial"/>
                <w:szCs w:val="20"/>
              </w:rPr>
            </w:pPr>
            <w:r w:rsidRPr="00613463">
              <w:rPr>
                <w:rFonts w:ascii="Arial" w:hAnsi="Arial" w:cs="Arial"/>
                <w:szCs w:val="20"/>
              </w:rPr>
              <w:t>Determination of Main Proceeding.</w:t>
            </w:r>
          </w:p>
          <w:p w14:paraId="758517C4" w14:textId="77777777" w:rsidR="004C3700" w:rsidRPr="00613463" w:rsidRDefault="004C3700" w:rsidP="00692852">
            <w:pPr>
              <w:jc w:val="both"/>
              <w:rPr>
                <w:rFonts w:ascii="Arial" w:hAnsi="Arial" w:cs="Arial"/>
                <w:szCs w:val="20"/>
              </w:rPr>
            </w:pPr>
          </w:p>
          <w:p w14:paraId="1FF96152" w14:textId="0CF7F63D" w:rsidR="005854A6" w:rsidRPr="00613463" w:rsidRDefault="004C3700" w:rsidP="00692852">
            <w:pPr>
              <w:jc w:val="both"/>
              <w:rPr>
                <w:rFonts w:ascii="Arial" w:hAnsi="Arial" w:cs="Arial"/>
                <w:szCs w:val="20"/>
              </w:rPr>
            </w:pPr>
            <w:r w:rsidRPr="00613463">
              <w:rPr>
                <w:rFonts w:ascii="Arial" w:hAnsi="Arial" w:cs="Arial"/>
                <w:szCs w:val="20"/>
              </w:rPr>
              <w:t xml:space="preserve">Rule: </w:t>
            </w:r>
            <w:r w:rsidR="005854A6" w:rsidRPr="00613463">
              <w:rPr>
                <w:rFonts w:ascii="Arial" w:hAnsi="Arial" w:cs="Arial"/>
                <w:szCs w:val="20"/>
              </w:rPr>
              <w:t>European Commission Regulation on Insolvency Proceeding 2000</w:t>
            </w:r>
            <w:r w:rsidR="00330D13">
              <w:rPr>
                <w:rFonts w:ascii="Arial" w:hAnsi="Arial" w:cs="Arial"/>
                <w:szCs w:val="20"/>
              </w:rPr>
              <w:t xml:space="preserve"> and the Recast Regulations 2015</w:t>
            </w:r>
          </w:p>
          <w:p w14:paraId="3FD82C3A" w14:textId="77777777" w:rsidR="005854A6" w:rsidRPr="00613463" w:rsidRDefault="005854A6" w:rsidP="00692852">
            <w:pPr>
              <w:jc w:val="both"/>
              <w:rPr>
                <w:rFonts w:ascii="Arial" w:hAnsi="Arial" w:cs="Arial"/>
                <w:szCs w:val="20"/>
              </w:rPr>
            </w:pPr>
          </w:p>
          <w:p w14:paraId="44D13C76" w14:textId="77777777" w:rsidR="005854A6" w:rsidRDefault="005854A6" w:rsidP="00692852">
            <w:pPr>
              <w:jc w:val="both"/>
              <w:rPr>
                <w:rFonts w:ascii="Arial" w:hAnsi="Arial" w:cs="Arial"/>
                <w:szCs w:val="20"/>
              </w:rPr>
            </w:pPr>
            <w:r w:rsidRPr="00613463">
              <w:rPr>
                <w:rFonts w:ascii="Arial" w:hAnsi="Arial" w:cs="Arial"/>
                <w:szCs w:val="20"/>
              </w:rPr>
              <w:t>Analysis- The Regulation applies to all member states within the EU (except Denmark). Note that Germany and Italy have not adopted the UNCITRAL Model Law.</w:t>
            </w:r>
          </w:p>
          <w:p w14:paraId="084CCE4E" w14:textId="77777777" w:rsidR="00613463" w:rsidRDefault="00613463" w:rsidP="00692852">
            <w:pPr>
              <w:jc w:val="both"/>
              <w:rPr>
                <w:rFonts w:ascii="Arial" w:hAnsi="Arial" w:cs="Arial"/>
                <w:szCs w:val="20"/>
              </w:rPr>
            </w:pPr>
          </w:p>
          <w:p w14:paraId="0593382B" w14:textId="47237304" w:rsidR="00613463" w:rsidRPr="00613463" w:rsidRDefault="00330D13" w:rsidP="00692852">
            <w:pPr>
              <w:jc w:val="both"/>
              <w:rPr>
                <w:rFonts w:ascii="Arial" w:hAnsi="Arial" w:cs="Arial"/>
                <w:szCs w:val="20"/>
              </w:rPr>
            </w:pPr>
            <w:r>
              <w:rPr>
                <w:rFonts w:ascii="Arial" w:hAnsi="Arial" w:cs="Arial"/>
                <w:szCs w:val="20"/>
              </w:rPr>
              <w:t>According to the regulations, COMI</w:t>
            </w:r>
            <w:r>
              <w:rPr>
                <w:rStyle w:val="FootnoteReference"/>
                <w:rFonts w:ascii="Arial" w:hAnsi="Arial" w:cs="Arial"/>
                <w:szCs w:val="20"/>
              </w:rPr>
              <w:footnoteReference w:id="3"/>
            </w:r>
            <w:r>
              <w:rPr>
                <w:rFonts w:ascii="Arial" w:hAnsi="Arial" w:cs="Arial"/>
                <w:szCs w:val="20"/>
              </w:rPr>
              <w:t xml:space="preserve"> determination is more focused on management</w:t>
            </w:r>
            <w:r>
              <w:rPr>
                <w:rStyle w:val="FootnoteReference"/>
                <w:rFonts w:ascii="Arial" w:hAnsi="Arial" w:cs="Arial"/>
                <w:szCs w:val="20"/>
              </w:rPr>
              <w:footnoteReference w:id="4"/>
            </w:r>
            <w:r>
              <w:rPr>
                <w:rFonts w:ascii="Arial" w:hAnsi="Arial" w:cs="Arial"/>
                <w:szCs w:val="20"/>
              </w:rPr>
              <w:t xml:space="preserve"> and the establishment is defined to include operations. A corporations may have multiple establishments but the COMI is determinant on where the management decisions are taken. </w:t>
            </w:r>
            <w:r w:rsidR="001B0A24">
              <w:rPr>
                <w:rFonts w:ascii="Arial" w:hAnsi="Arial" w:cs="Arial"/>
                <w:szCs w:val="20"/>
              </w:rPr>
              <w:t>ITALY is the state where main proceedings must commence.</w:t>
            </w:r>
          </w:p>
          <w:p w14:paraId="0F56AE1E" w14:textId="77777777" w:rsidR="005854A6" w:rsidRPr="00613463" w:rsidRDefault="005854A6" w:rsidP="00692852">
            <w:pPr>
              <w:jc w:val="both"/>
              <w:rPr>
                <w:rFonts w:ascii="Arial" w:hAnsi="Arial" w:cs="Arial"/>
                <w:szCs w:val="20"/>
              </w:rPr>
            </w:pPr>
          </w:p>
          <w:p w14:paraId="0B625EDD" w14:textId="77777777" w:rsidR="005854A6" w:rsidRPr="00613463" w:rsidRDefault="005854A6" w:rsidP="00692852">
            <w:pPr>
              <w:jc w:val="both"/>
              <w:rPr>
                <w:rFonts w:ascii="Arial" w:hAnsi="Arial" w:cs="Arial"/>
                <w:szCs w:val="20"/>
              </w:rPr>
            </w:pPr>
            <w:r w:rsidRPr="00613463">
              <w:rPr>
                <w:rFonts w:ascii="Arial" w:hAnsi="Arial" w:cs="Arial"/>
                <w:szCs w:val="20"/>
              </w:rPr>
              <w:t>Pertaining to the determination of main proceeding is a difficult one for the following reasons namely:-</w:t>
            </w:r>
          </w:p>
          <w:p w14:paraId="2238E3D8" w14:textId="77777777" w:rsidR="00613463" w:rsidRDefault="00613463" w:rsidP="00613463">
            <w:pPr>
              <w:pStyle w:val="ListParagraph"/>
              <w:numPr>
                <w:ilvl w:val="0"/>
                <w:numId w:val="42"/>
              </w:numPr>
              <w:jc w:val="both"/>
              <w:rPr>
                <w:rFonts w:ascii="Arial" w:hAnsi="Arial" w:cs="Arial"/>
                <w:szCs w:val="20"/>
              </w:rPr>
            </w:pPr>
            <w:r w:rsidRPr="00613463">
              <w:rPr>
                <w:rFonts w:ascii="Arial" w:hAnsi="Arial" w:cs="Arial"/>
                <w:szCs w:val="20"/>
              </w:rPr>
              <w:t xml:space="preserve">The regulation has an intent to have a common framework for commencement of proceedings, automatic recognition and cooperation of different member states. However, it does not intend to </w:t>
            </w:r>
            <w:proofErr w:type="spellStart"/>
            <w:r w:rsidRPr="00613463">
              <w:rPr>
                <w:rFonts w:ascii="Arial" w:hAnsi="Arial" w:cs="Arial"/>
                <w:szCs w:val="20"/>
              </w:rPr>
              <w:t>harmonise</w:t>
            </w:r>
            <w:proofErr w:type="spellEnd"/>
            <w:r w:rsidRPr="00613463">
              <w:rPr>
                <w:rFonts w:ascii="Arial" w:hAnsi="Arial" w:cs="Arial"/>
                <w:szCs w:val="20"/>
              </w:rPr>
              <w:t xml:space="preserve"> the laws due to which each member state may differ in their approach.</w:t>
            </w:r>
          </w:p>
          <w:p w14:paraId="21754FC8" w14:textId="7B8987BE" w:rsidR="00613463" w:rsidRPr="00613463" w:rsidRDefault="00613463" w:rsidP="00613463">
            <w:pPr>
              <w:pStyle w:val="ListParagraph"/>
              <w:numPr>
                <w:ilvl w:val="0"/>
                <w:numId w:val="42"/>
              </w:numPr>
              <w:jc w:val="both"/>
              <w:rPr>
                <w:rFonts w:ascii="Arial" w:hAnsi="Arial" w:cs="Arial"/>
                <w:szCs w:val="20"/>
              </w:rPr>
            </w:pPr>
            <w:r w:rsidRPr="00613463">
              <w:rPr>
                <w:rFonts w:ascii="Arial" w:hAnsi="Arial" w:cs="Arial"/>
                <w:sz w:val="22"/>
                <w:szCs w:val="22"/>
              </w:rPr>
              <w:t xml:space="preserve">As a consequence, there is no mechanism for determining which set of proceedings are to be regarded as the main proceedings if two or more jurisdictions claims that their own proceedings are the main proceedings. [Re </w:t>
            </w:r>
            <w:proofErr w:type="spellStart"/>
            <w:r w:rsidRPr="00613463">
              <w:rPr>
                <w:rFonts w:ascii="Arial" w:hAnsi="Arial" w:cs="Arial"/>
                <w:sz w:val="22"/>
                <w:szCs w:val="22"/>
              </w:rPr>
              <w:t>Eurofood</w:t>
            </w:r>
            <w:proofErr w:type="spellEnd"/>
            <w:r w:rsidRPr="00613463">
              <w:rPr>
                <w:rFonts w:ascii="Arial" w:hAnsi="Arial" w:cs="Arial"/>
                <w:sz w:val="22"/>
                <w:szCs w:val="22"/>
              </w:rPr>
              <w:t xml:space="preserve"> IFSC Ltd (Case C-341/04), [2006] ECR 1-701]</w:t>
            </w:r>
          </w:p>
          <w:p w14:paraId="66297FA7" w14:textId="77777777" w:rsidR="00613463" w:rsidRDefault="00613463" w:rsidP="00613463">
            <w:pPr>
              <w:jc w:val="both"/>
              <w:rPr>
                <w:rFonts w:ascii="Arial" w:hAnsi="Arial" w:cs="Arial"/>
                <w:szCs w:val="20"/>
              </w:rPr>
            </w:pPr>
          </w:p>
          <w:p w14:paraId="36004203" w14:textId="77777777" w:rsidR="001B0A24" w:rsidRDefault="001B0A24" w:rsidP="00613463">
            <w:pPr>
              <w:jc w:val="both"/>
              <w:rPr>
                <w:rFonts w:ascii="Arial" w:hAnsi="Arial" w:cs="Arial"/>
                <w:szCs w:val="20"/>
              </w:rPr>
            </w:pPr>
            <w:r>
              <w:rPr>
                <w:rFonts w:ascii="Arial" w:hAnsi="Arial" w:cs="Arial"/>
                <w:szCs w:val="20"/>
              </w:rPr>
              <w:t>Conclusion:</w:t>
            </w:r>
          </w:p>
          <w:p w14:paraId="338BB94C" w14:textId="77777777" w:rsidR="001B0A24" w:rsidRPr="00613463" w:rsidRDefault="001B0A24" w:rsidP="001B0A24">
            <w:pPr>
              <w:jc w:val="both"/>
              <w:rPr>
                <w:rFonts w:ascii="Arial" w:hAnsi="Arial" w:cs="Arial"/>
                <w:szCs w:val="20"/>
              </w:rPr>
            </w:pPr>
            <w:r>
              <w:rPr>
                <w:rFonts w:ascii="Arial" w:hAnsi="Arial" w:cs="Arial"/>
                <w:szCs w:val="20"/>
              </w:rPr>
              <w:t xml:space="preserve">Applicable legal source- </w:t>
            </w:r>
            <w:r w:rsidRPr="00613463">
              <w:rPr>
                <w:rFonts w:ascii="Arial" w:hAnsi="Arial" w:cs="Arial"/>
                <w:szCs w:val="20"/>
              </w:rPr>
              <w:t>European Commission Regulation on Insolvency Proceeding 2000</w:t>
            </w:r>
            <w:r>
              <w:rPr>
                <w:rFonts w:ascii="Arial" w:hAnsi="Arial" w:cs="Arial"/>
                <w:szCs w:val="20"/>
              </w:rPr>
              <w:t xml:space="preserve"> and the Recast Regulations 2015</w:t>
            </w:r>
          </w:p>
          <w:p w14:paraId="42F13399" w14:textId="753E3BF2" w:rsidR="001B0A24" w:rsidRDefault="001B0A24" w:rsidP="00613463">
            <w:pPr>
              <w:jc w:val="both"/>
              <w:rPr>
                <w:rFonts w:ascii="Arial" w:hAnsi="Arial" w:cs="Arial"/>
                <w:szCs w:val="20"/>
              </w:rPr>
            </w:pPr>
          </w:p>
          <w:p w14:paraId="0E130275" w14:textId="549EC699" w:rsidR="004C3700" w:rsidRPr="001B0A24" w:rsidRDefault="001B0A24" w:rsidP="00692852">
            <w:pPr>
              <w:jc w:val="both"/>
              <w:rPr>
                <w:rFonts w:ascii="Arial" w:hAnsi="Arial" w:cs="Arial"/>
                <w:szCs w:val="20"/>
              </w:rPr>
            </w:pPr>
            <w:r>
              <w:rPr>
                <w:rFonts w:ascii="Arial" w:hAnsi="Arial" w:cs="Arial"/>
                <w:szCs w:val="20"/>
              </w:rPr>
              <w:t>COMI is at Italy- Main Proceeding will commence at Italy.</w:t>
            </w:r>
            <w:r w:rsidR="005854A6">
              <w:rPr>
                <w:rFonts w:ascii="Avenir Next" w:hAnsi="Avenir Next"/>
                <w:sz w:val="22"/>
                <w:szCs w:val="22"/>
              </w:rPr>
              <w:t xml:space="preserve"> </w:t>
            </w:r>
          </w:p>
        </w:tc>
      </w:tr>
    </w:tbl>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429C73B3" w14:textId="77777777" w:rsidR="00672E2C" w:rsidRDefault="00672E2C" w:rsidP="007815D1">
      <w:pPr>
        <w:jc w:val="both"/>
        <w:rPr>
          <w:rFonts w:ascii="Avenir Next" w:hAnsi="Avenir Next" w:cs="Arial"/>
          <w:sz w:val="22"/>
          <w:szCs w:val="28"/>
        </w:rPr>
      </w:pPr>
    </w:p>
    <w:tbl>
      <w:tblPr>
        <w:tblStyle w:val="TableGrid"/>
        <w:tblW w:w="0" w:type="auto"/>
        <w:tblLook w:val="04A0" w:firstRow="1" w:lastRow="0" w:firstColumn="1" w:lastColumn="0" w:noHBand="0" w:noVBand="1"/>
      </w:tblPr>
      <w:tblGrid>
        <w:gridCol w:w="9016"/>
      </w:tblGrid>
      <w:tr w:rsidR="00672E2C" w14:paraId="4E6CBFCA" w14:textId="77777777" w:rsidTr="00672E2C">
        <w:tc>
          <w:tcPr>
            <w:tcW w:w="9016" w:type="dxa"/>
          </w:tcPr>
          <w:p w14:paraId="1AB5E05B" w14:textId="5EAA1E7A" w:rsidR="00672E2C" w:rsidRPr="00672E2C" w:rsidRDefault="00672E2C" w:rsidP="007815D1">
            <w:pPr>
              <w:jc w:val="both"/>
              <w:rPr>
                <w:rFonts w:ascii="Arial" w:hAnsi="Arial" w:cs="Arial"/>
                <w:sz w:val="22"/>
                <w:szCs w:val="22"/>
              </w:rPr>
            </w:pPr>
            <w:r w:rsidRPr="00672E2C">
              <w:rPr>
                <w:rFonts w:ascii="Arial" w:hAnsi="Arial" w:cs="Arial"/>
                <w:sz w:val="22"/>
                <w:szCs w:val="22"/>
              </w:rPr>
              <w:t xml:space="preserve">Yes, the EU Recast as well as the Insolvency Regulation has the effect of domestic law wherein it is invoked to determine the COMI amongst </w:t>
            </w:r>
            <w:r>
              <w:rPr>
                <w:rFonts w:ascii="Arial" w:hAnsi="Arial" w:cs="Arial"/>
                <w:sz w:val="22"/>
                <w:szCs w:val="22"/>
              </w:rPr>
              <w:t xml:space="preserve">EU </w:t>
            </w:r>
            <w:r w:rsidRPr="00672E2C">
              <w:rPr>
                <w:rFonts w:ascii="Arial" w:hAnsi="Arial" w:cs="Arial"/>
                <w:sz w:val="22"/>
                <w:szCs w:val="22"/>
              </w:rPr>
              <w:t xml:space="preserve">member states and if this determination falls in line with the UNCITRAL model law (in case of Australia (2008) and </w:t>
            </w:r>
            <w:r w:rsidRPr="00672E2C">
              <w:rPr>
                <w:rFonts w:ascii="Arial" w:hAnsi="Arial" w:cs="Arial"/>
                <w:sz w:val="22"/>
                <w:szCs w:val="22"/>
              </w:rPr>
              <w:lastRenderedPageBreak/>
              <w:t>South Africa (2000)) and local law (in case of India)</w:t>
            </w:r>
            <w:r>
              <w:rPr>
                <w:rFonts w:ascii="Arial" w:hAnsi="Arial" w:cs="Arial"/>
                <w:sz w:val="22"/>
                <w:szCs w:val="22"/>
              </w:rPr>
              <w:t>, I believe the courts will recognize the same.</w:t>
            </w:r>
          </w:p>
        </w:tc>
      </w:tr>
    </w:tbl>
    <w:p w14:paraId="070F6017" w14:textId="77777777" w:rsidR="00672E2C" w:rsidRDefault="00672E2C" w:rsidP="007815D1">
      <w:pPr>
        <w:jc w:val="both"/>
        <w:rPr>
          <w:rFonts w:ascii="Avenir Next" w:hAnsi="Avenir Next" w:cs="Arial"/>
          <w:sz w:val="22"/>
          <w:szCs w:val="28"/>
        </w:rPr>
      </w:pPr>
    </w:p>
    <w:p w14:paraId="65A5455C" w14:textId="77777777" w:rsidR="002253D8" w:rsidRDefault="002253D8" w:rsidP="007815D1">
      <w:pPr>
        <w:jc w:val="both"/>
        <w:rPr>
          <w:rFonts w:ascii="Avenir Next" w:hAnsi="Avenir Next" w:cs="Arial"/>
          <w:sz w:val="22"/>
          <w:szCs w:val="28"/>
        </w:rPr>
      </w:pP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tbl>
      <w:tblPr>
        <w:tblStyle w:val="TableGrid"/>
        <w:tblW w:w="0" w:type="auto"/>
        <w:tblInd w:w="426" w:type="dxa"/>
        <w:tblLook w:val="04A0" w:firstRow="1" w:lastRow="0" w:firstColumn="1" w:lastColumn="0" w:noHBand="0" w:noVBand="1"/>
      </w:tblPr>
      <w:tblGrid>
        <w:gridCol w:w="8590"/>
      </w:tblGrid>
      <w:tr w:rsidR="00672E2C" w14:paraId="0CF4C063" w14:textId="77777777" w:rsidTr="00672E2C">
        <w:tc>
          <w:tcPr>
            <w:tcW w:w="9016" w:type="dxa"/>
          </w:tcPr>
          <w:p w14:paraId="121D36FB" w14:textId="77777777" w:rsidR="00672E2C" w:rsidRDefault="00672E2C" w:rsidP="00672E2C">
            <w:pPr>
              <w:pStyle w:val="ListParagraph"/>
              <w:ind w:left="360"/>
              <w:jc w:val="both"/>
              <w:rPr>
                <w:rFonts w:ascii="Arial" w:hAnsi="Arial" w:cs="Arial"/>
                <w:sz w:val="22"/>
                <w:szCs w:val="22"/>
                <w:lang w:val="en-GB"/>
              </w:rPr>
            </w:pPr>
          </w:p>
          <w:p w14:paraId="24854DB7" w14:textId="77777777" w:rsidR="00672E2C" w:rsidRPr="00672E2C" w:rsidRDefault="00672E2C" w:rsidP="00672E2C">
            <w:pPr>
              <w:pStyle w:val="ListParagraph"/>
              <w:ind w:left="360"/>
              <w:jc w:val="both"/>
              <w:rPr>
                <w:rFonts w:ascii="Arial" w:hAnsi="Arial" w:cs="Arial"/>
                <w:sz w:val="24"/>
                <w:lang w:val="en-GB"/>
              </w:rPr>
            </w:pPr>
            <w:r w:rsidRPr="00672E2C">
              <w:rPr>
                <w:rFonts w:ascii="Arial" w:hAnsi="Arial" w:cs="Arial"/>
                <w:sz w:val="22"/>
                <w:szCs w:val="22"/>
                <w:lang w:val="en-GB"/>
              </w:rPr>
              <w:t>The applicable law will be the EU Insolvency Regulation 2000 as Netherlands form part of the EU.</w:t>
            </w:r>
          </w:p>
          <w:p w14:paraId="3352DCFE" w14:textId="77777777" w:rsidR="00672E2C" w:rsidRDefault="00672E2C" w:rsidP="00672E2C">
            <w:pPr>
              <w:pStyle w:val="ListParagraph"/>
              <w:ind w:left="360"/>
              <w:jc w:val="both"/>
              <w:rPr>
                <w:rFonts w:ascii="Avenir Next" w:hAnsi="Avenir Next" w:cs="Arial"/>
                <w:sz w:val="22"/>
                <w:szCs w:val="28"/>
              </w:rPr>
            </w:pPr>
          </w:p>
        </w:tc>
      </w:tr>
    </w:tbl>
    <w:p w14:paraId="6807C146" w14:textId="77777777" w:rsidR="002253D8" w:rsidRDefault="002253D8" w:rsidP="002253D8">
      <w:pPr>
        <w:pStyle w:val="ListParagraph"/>
        <w:ind w:left="426"/>
        <w:jc w:val="both"/>
        <w:rPr>
          <w:rFonts w:ascii="Avenir Next" w:hAnsi="Avenir Next" w:cs="Arial"/>
          <w:sz w:val="22"/>
          <w:szCs w:val="28"/>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tbl>
      <w:tblPr>
        <w:tblStyle w:val="TableGrid"/>
        <w:tblW w:w="0" w:type="auto"/>
        <w:tblInd w:w="421" w:type="dxa"/>
        <w:tblLook w:val="04A0" w:firstRow="1" w:lastRow="0" w:firstColumn="1" w:lastColumn="0" w:noHBand="0" w:noVBand="1"/>
      </w:tblPr>
      <w:tblGrid>
        <w:gridCol w:w="8595"/>
      </w:tblGrid>
      <w:tr w:rsidR="00672E2C" w14:paraId="26148F7B" w14:textId="77777777" w:rsidTr="00672E2C">
        <w:tc>
          <w:tcPr>
            <w:tcW w:w="8595" w:type="dxa"/>
          </w:tcPr>
          <w:p w14:paraId="2540128E" w14:textId="60EF3F0D" w:rsidR="00672E2C" w:rsidRPr="00672E2C" w:rsidRDefault="00672E2C" w:rsidP="00672E2C">
            <w:pPr>
              <w:jc w:val="both"/>
              <w:rPr>
                <w:rFonts w:ascii="Arial" w:hAnsi="Arial" w:cs="Arial"/>
                <w:sz w:val="22"/>
                <w:szCs w:val="28"/>
              </w:rPr>
            </w:pPr>
            <w:r w:rsidRPr="00672E2C">
              <w:rPr>
                <w:rFonts w:ascii="Arial" w:hAnsi="Arial" w:cs="Arial"/>
                <w:sz w:val="22"/>
                <w:szCs w:val="28"/>
              </w:rPr>
              <w:t xml:space="preserve">Since Australia has adopted the UNCITRAL Model Law </w:t>
            </w:r>
            <w:proofErr w:type="spellStart"/>
            <w:r w:rsidRPr="00672E2C">
              <w:rPr>
                <w:rFonts w:ascii="Arial" w:hAnsi="Arial" w:cs="Arial"/>
                <w:sz w:val="22"/>
                <w:szCs w:val="28"/>
              </w:rPr>
              <w:t>w.e.f</w:t>
            </w:r>
            <w:proofErr w:type="spellEnd"/>
            <w:r w:rsidRPr="00672E2C">
              <w:rPr>
                <w:rFonts w:ascii="Arial" w:hAnsi="Arial" w:cs="Arial"/>
                <w:sz w:val="22"/>
                <w:szCs w:val="28"/>
              </w:rPr>
              <w:t xml:space="preserve"> 2008 and that this is a foreign proceeding involving cross border insolvency, the applicable law is UNCITRAL Model Law.</w:t>
            </w:r>
          </w:p>
        </w:tc>
      </w:tr>
    </w:tbl>
    <w:p w14:paraId="66E3C20E" w14:textId="576ED10D" w:rsidR="002253D8" w:rsidRPr="002253D8" w:rsidRDefault="002253D8" w:rsidP="00672E2C">
      <w:pPr>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bookmarkStart w:id="0" w:name="_GoBack"/>
      <w:bookmarkEnd w:id="0"/>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E6067" w14:textId="77777777" w:rsidR="005C04E9" w:rsidRDefault="005C04E9" w:rsidP="00241B44">
      <w:r>
        <w:separator/>
      </w:r>
    </w:p>
  </w:endnote>
  <w:endnote w:type="continuationSeparator" w:id="0">
    <w:p w14:paraId="4632C1F7" w14:textId="77777777" w:rsidR="005C04E9" w:rsidRDefault="005C04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672E2C">
          <w:rPr>
            <w:rStyle w:val="PageNumber"/>
            <w:rFonts w:ascii="Avenir Next" w:hAnsi="Avenir Next" w:cs="Arial"/>
            <w:noProof/>
            <w:sz w:val="22"/>
            <w:szCs w:val="22"/>
          </w:rPr>
          <w:t>14</w:t>
        </w:r>
        <w:r w:rsidRPr="00297BDF">
          <w:rPr>
            <w:rStyle w:val="PageNumber"/>
            <w:rFonts w:ascii="Avenir Next" w:hAnsi="Avenir Next" w:cs="Arial"/>
            <w:sz w:val="22"/>
            <w:szCs w:val="22"/>
          </w:rPr>
          <w:fldChar w:fldCharType="end"/>
        </w:r>
      </w:p>
    </w:sdtContent>
  </w:sdt>
  <w:p w14:paraId="12ABA5E1" w14:textId="58B75CE2" w:rsidR="00B64A85" w:rsidRPr="007E6534" w:rsidRDefault="007E6534" w:rsidP="007E6534">
    <w:r w:rsidRPr="007E6534">
      <w:t>FC202324-1467.assessment1summative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1215" w14:textId="77777777" w:rsidR="005C04E9" w:rsidRDefault="005C04E9" w:rsidP="00241B44">
      <w:r>
        <w:separator/>
      </w:r>
    </w:p>
  </w:footnote>
  <w:footnote w:type="continuationSeparator" w:id="0">
    <w:p w14:paraId="055A18FF" w14:textId="77777777" w:rsidR="005C04E9" w:rsidRDefault="005C04E9" w:rsidP="00241B44">
      <w:r>
        <w:continuationSeparator/>
      </w:r>
    </w:p>
  </w:footnote>
  <w:footnote w:id="1">
    <w:p w14:paraId="2156A2B3" w14:textId="77777777" w:rsidR="00701D10" w:rsidRPr="00D73560" w:rsidRDefault="00701D10" w:rsidP="00701D10">
      <w:pPr>
        <w:pStyle w:val="FootnoteText"/>
        <w:rPr>
          <w:rFonts w:ascii="Arial" w:hAnsi="Arial" w:cs="Arial"/>
          <w:sz w:val="18"/>
          <w:szCs w:val="18"/>
        </w:rPr>
      </w:pPr>
      <w:r w:rsidRPr="00D73560">
        <w:rPr>
          <w:rStyle w:val="FootnoteReference"/>
          <w:rFonts w:ascii="Arial" w:hAnsi="Arial" w:cs="Arial"/>
          <w:sz w:val="18"/>
          <w:szCs w:val="18"/>
        </w:rPr>
        <w:footnoteRef/>
      </w:r>
      <w:r w:rsidRPr="00D73560">
        <w:rPr>
          <w:rFonts w:ascii="Arial" w:hAnsi="Arial" w:cs="Arial"/>
          <w:sz w:val="18"/>
          <w:szCs w:val="18"/>
        </w:rPr>
        <w:t xml:space="preserve"> P R Wood, Principles of International Insolvency (Sweet &amp; Maxwell, 2007)</w:t>
      </w:r>
    </w:p>
  </w:footnote>
  <w:footnote w:id="2">
    <w:p w14:paraId="13AC65FA" w14:textId="77777777" w:rsidR="00701D10" w:rsidRDefault="00701D10" w:rsidP="00701D10">
      <w:pPr>
        <w:pStyle w:val="FootnoteText"/>
      </w:pPr>
      <w:r w:rsidRPr="00D73560">
        <w:rPr>
          <w:rStyle w:val="FootnoteReference"/>
          <w:rFonts w:ascii="Arial" w:hAnsi="Arial" w:cs="Arial"/>
          <w:sz w:val="18"/>
          <w:szCs w:val="18"/>
        </w:rPr>
        <w:footnoteRef/>
      </w:r>
      <w:r w:rsidRPr="00D73560">
        <w:rPr>
          <w:rFonts w:ascii="Arial" w:hAnsi="Arial" w:cs="Arial"/>
          <w:sz w:val="18"/>
          <w:szCs w:val="18"/>
        </w:rPr>
        <w:t xml:space="preserve"> Sealy and Hooley's Commercial Law: Text, Cases, and Materials (Oxford University Press, 2017)</w:t>
      </w:r>
    </w:p>
  </w:footnote>
  <w:footnote w:id="3">
    <w:p w14:paraId="67F9A010" w14:textId="02790A0C" w:rsidR="00330D13" w:rsidRPr="00330D13" w:rsidRDefault="00330D13">
      <w:pPr>
        <w:pStyle w:val="FootnoteText"/>
        <w:rPr>
          <w:rFonts w:ascii="Arial" w:hAnsi="Arial" w:cs="Arial"/>
          <w:sz w:val="18"/>
          <w:szCs w:val="18"/>
        </w:rPr>
      </w:pPr>
      <w:r w:rsidRPr="00330D13">
        <w:rPr>
          <w:rStyle w:val="FootnoteReference"/>
          <w:rFonts w:ascii="Arial" w:hAnsi="Arial" w:cs="Arial"/>
          <w:sz w:val="18"/>
          <w:szCs w:val="18"/>
        </w:rPr>
        <w:footnoteRef/>
      </w:r>
      <w:r w:rsidRPr="00330D13">
        <w:rPr>
          <w:rFonts w:ascii="Arial" w:hAnsi="Arial" w:cs="Arial"/>
          <w:sz w:val="18"/>
          <w:szCs w:val="18"/>
        </w:rPr>
        <w:t xml:space="preserve"> Article 3 of Recast Regulations 2015- “………</w:t>
      </w:r>
      <w:r w:rsidRPr="00330D13">
        <w:rPr>
          <w:rFonts w:ascii="Arial" w:hAnsi="Arial" w:cs="Arial"/>
          <w:sz w:val="18"/>
          <w:szCs w:val="18"/>
        </w:rPr>
        <w:t xml:space="preserve">The </w:t>
      </w:r>
      <w:proofErr w:type="spellStart"/>
      <w:r w:rsidRPr="00330D13">
        <w:rPr>
          <w:rFonts w:ascii="Arial" w:hAnsi="Arial" w:cs="Arial"/>
          <w:sz w:val="18"/>
          <w:szCs w:val="18"/>
        </w:rPr>
        <w:t>centre</w:t>
      </w:r>
      <w:proofErr w:type="spellEnd"/>
      <w:r w:rsidRPr="00330D13">
        <w:rPr>
          <w:rFonts w:ascii="Arial" w:hAnsi="Arial" w:cs="Arial"/>
          <w:sz w:val="18"/>
          <w:szCs w:val="18"/>
        </w:rPr>
        <w:t xml:space="preserve"> of main interests shall be the place where the debtor conducts the administration of its interests on a regular basis and which is ascertainable by third parties</w:t>
      </w:r>
      <w:r w:rsidRPr="00330D13">
        <w:rPr>
          <w:rFonts w:ascii="Arial" w:hAnsi="Arial" w:cs="Arial"/>
          <w:sz w:val="18"/>
          <w:szCs w:val="18"/>
        </w:rPr>
        <w:t>……”</w:t>
      </w:r>
    </w:p>
  </w:footnote>
  <w:footnote w:id="4">
    <w:p w14:paraId="254A2EB2" w14:textId="12B0FA2B" w:rsidR="00330D13" w:rsidRDefault="00330D13" w:rsidP="00330D13">
      <w:pPr>
        <w:pStyle w:val="FootnoteText"/>
        <w:jc w:val="both"/>
      </w:pPr>
      <w:r w:rsidRPr="00330D13">
        <w:rPr>
          <w:rStyle w:val="FootnoteReference"/>
          <w:rFonts w:ascii="Arial" w:hAnsi="Arial" w:cs="Arial"/>
          <w:sz w:val="18"/>
          <w:szCs w:val="18"/>
        </w:rPr>
        <w:footnoteRef/>
      </w:r>
      <w:r w:rsidRPr="00330D13">
        <w:rPr>
          <w:rFonts w:ascii="Arial" w:hAnsi="Arial" w:cs="Arial"/>
          <w:sz w:val="18"/>
          <w:szCs w:val="18"/>
        </w:rPr>
        <w:t xml:space="preserve"> </w:t>
      </w:r>
      <w:r w:rsidRPr="00330D13">
        <w:rPr>
          <w:rFonts w:ascii="Arial" w:hAnsi="Arial" w:cs="Arial"/>
          <w:i/>
          <w:sz w:val="18"/>
          <w:szCs w:val="18"/>
        </w:rPr>
        <w:t>Clause (30) of the Recast Regulation 2015 object recitals reads as follows “……..In the case of a company, it should be possible to rebut this presumption where the company's central administration is located in a Member State other than that of its registered office, and where a comprehensive assessment of all the relevant factors establishes, in a manner that is ascertainable by third parties, that the company's actual Centre of management and supervision and of the management of its interests is located in that other Member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A45617"/>
    <w:multiLevelType w:val="hybridMultilevel"/>
    <w:tmpl w:val="8C3422B4"/>
    <w:lvl w:ilvl="0" w:tplc="9B3E256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A8064F5"/>
    <w:multiLevelType w:val="hybridMultilevel"/>
    <w:tmpl w:val="B60C6B08"/>
    <w:lvl w:ilvl="0" w:tplc="BF0A9244">
      <w:start w:val="2"/>
      <w:numFmt w:val="bullet"/>
      <w:lvlText w:val="-"/>
      <w:lvlJc w:val="left"/>
      <w:pPr>
        <w:ind w:left="1440" w:hanging="360"/>
      </w:pPr>
      <w:rPr>
        <w:rFonts w:ascii="Arial" w:eastAsia="Times New Roman"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E320FA5"/>
    <w:multiLevelType w:val="hybridMultilevel"/>
    <w:tmpl w:val="07DA81AE"/>
    <w:lvl w:ilvl="0" w:tplc="260CDF52">
      <w:start w:val="1"/>
      <w:numFmt w:val="bullet"/>
      <w:lvlText w:val="-"/>
      <w:lvlJc w:val="left"/>
      <w:pPr>
        <w:ind w:left="720" w:hanging="360"/>
      </w:pPr>
      <w:rPr>
        <w:rFonts w:ascii="Avenir Next" w:eastAsia="Times New Roman" w:hAnsi="Avenir Next"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77B5212"/>
    <w:multiLevelType w:val="hybridMultilevel"/>
    <w:tmpl w:val="2ED64456"/>
    <w:lvl w:ilvl="0" w:tplc="5DFAA69C">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89F1D8E"/>
    <w:multiLevelType w:val="hybridMultilevel"/>
    <w:tmpl w:val="C546BF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9C44A0"/>
    <w:multiLevelType w:val="hybridMultilevel"/>
    <w:tmpl w:val="4AF059C0"/>
    <w:lvl w:ilvl="0" w:tplc="451A5CD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A890DA0"/>
    <w:multiLevelType w:val="hybridMultilevel"/>
    <w:tmpl w:val="D518BA66"/>
    <w:lvl w:ilvl="0" w:tplc="EAB4B9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BBF413B"/>
    <w:multiLevelType w:val="hybridMultilevel"/>
    <w:tmpl w:val="BFD86B76"/>
    <w:lvl w:ilvl="0" w:tplc="9EC8F558">
      <w:start w:val="3"/>
      <w:numFmt w:val="bullet"/>
      <w:lvlText w:val=""/>
      <w:lvlJc w:val="left"/>
      <w:pPr>
        <w:ind w:left="1080" w:hanging="360"/>
      </w:pPr>
      <w:rPr>
        <w:rFonts w:ascii="Wingdings" w:eastAsia="Times New Roman" w:hAnsi="Wingdings"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33"/>
  </w:num>
  <w:num w:numId="2">
    <w:abstractNumId w:val="39"/>
  </w:num>
  <w:num w:numId="3">
    <w:abstractNumId w:val="3"/>
  </w:num>
  <w:num w:numId="4">
    <w:abstractNumId w:val="6"/>
  </w:num>
  <w:num w:numId="5">
    <w:abstractNumId w:val="27"/>
  </w:num>
  <w:num w:numId="6">
    <w:abstractNumId w:val="34"/>
  </w:num>
  <w:num w:numId="7">
    <w:abstractNumId w:val="20"/>
  </w:num>
  <w:num w:numId="8">
    <w:abstractNumId w:val="40"/>
  </w:num>
  <w:num w:numId="9">
    <w:abstractNumId w:val="19"/>
  </w:num>
  <w:num w:numId="10">
    <w:abstractNumId w:val="36"/>
  </w:num>
  <w:num w:numId="11">
    <w:abstractNumId w:val="16"/>
  </w:num>
  <w:num w:numId="12">
    <w:abstractNumId w:val="37"/>
  </w:num>
  <w:num w:numId="13">
    <w:abstractNumId w:val="26"/>
  </w:num>
  <w:num w:numId="14">
    <w:abstractNumId w:val="25"/>
  </w:num>
  <w:num w:numId="15">
    <w:abstractNumId w:val="9"/>
  </w:num>
  <w:num w:numId="16">
    <w:abstractNumId w:val="28"/>
  </w:num>
  <w:num w:numId="17">
    <w:abstractNumId w:val="23"/>
  </w:num>
  <w:num w:numId="18">
    <w:abstractNumId w:val="24"/>
  </w:num>
  <w:num w:numId="19">
    <w:abstractNumId w:val="31"/>
  </w:num>
  <w:num w:numId="20">
    <w:abstractNumId w:val="15"/>
  </w:num>
  <w:num w:numId="21">
    <w:abstractNumId w:val="22"/>
  </w:num>
  <w:num w:numId="22">
    <w:abstractNumId w:val="0"/>
  </w:num>
  <w:num w:numId="23">
    <w:abstractNumId w:val="30"/>
  </w:num>
  <w:num w:numId="24">
    <w:abstractNumId w:val="1"/>
  </w:num>
  <w:num w:numId="25">
    <w:abstractNumId w:val="38"/>
  </w:num>
  <w:num w:numId="26">
    <w:abstractNumId w:val="41"/>
  </w:num>
  <w:num w:numId="27">
    <w:abstractNumId w:val="14"/>
  </w:num>
  <w:num w:numId="28">
    <w:abstractNumId w:val="13"/>
  </w:num>
  <w:num w:numId="29">
    <w:abstractNumId w:val="11"/>
  </w:num>
  <w:num w:numId="30">
    <w:abstractNumId w:val="17"/>
  </w:num>
  <w:num w:numId="31">
    <w:abstractNumId w:val="4"/>
  </w:num>
  <w:num w:numId="32">
    <w:abstractNumId w:val="21"/>
  </w:num>
  <w:num w:numId="33">
    <w:abstractNumId w:val="29"/>
  </w:num>
  <w:num w:numId="34">
    <w:abstractNumId w:val="18"/>
  </w:num>
  <w:num w:numId="35">
    <w:abstractNumId w:val="8"/>
  </w:num>
  <w:num w:numId="36">
    <w:abstractNumId w:val="35"/>
  </w:num>
  <w:num w:numId="37">
    <w:abstractNumId w:val="32"/>
  </w:num>
  <w:num w:numId="38">
    <w:abstractNumId w:val="12"/>
  </w:num>
  <w:num w:numId="39">
    <w:abstractNumId w:val="5"/>
  </w:num>
  <w:num w:numId="40">
    <w:abstractNumId w:val="10"/>
  </w:num>
  <w:num w:numId="41">
    <w:abstractNumId w:val="7"/>
  </w:num>
  <w:num w:numId="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00E8"/>
    <w:rsid w:val="000419D4"/>
    <w:rsid w:val="00043365"/>
    <w:rsid w:val="000436F0"/>
    <w:rsid w:val="00043960"/>
    <w:rsid w:val="00044D46"/>
    <w:rsid w:val="00045088"/>
    <w:rsid w:val="00045904"/>
    <w:rsid w:val="00045CE1"/>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221B"/>
    <w:rsid w:val="00173647"/>
    <w:rsid w:val="00180548"/>
    <w:rsid w:val="00180AC4"/>
    <w:rsid w:val="00180B1E"/>
    <w:rsid w:val="00180CCE"/>
    <w:rsid w:val="00181438"/>
    <w:rsid w:val="0018267A"/>
    <w:rsid w:val="001826E6"/>
    <w:rsid w:val="00182779"/>
    <w:rsid w:val="001830DF"/>
    <w:rsid w:val="00183285"/>
    <w:rsid w:val="001833C2"/>
    <w:rsid w:val="00191C75"/>
    <w:rsid w:val="00193AB3"/>
    <w:rsid w:val="00193AD3"/>
    <w:rsid w:val="001966D9"/>
    <w:rsid w:val="00197963"/>
    <w:rsid w:val="001A620B"/>
    <w:rsid w:val="001A716A"/>
    <w:rsid w:val="001A7E9A"/>
    <w:rsid w:val="001A7ECF"/>
    <w:rsid w:val="001B0A24"/>
    <w:rsid w:val="001B0F70"/>
    <w:rsid w:val="001B5016"/>
    <w:rsid w:val="001B6CEE"/>
    <w:rsid w:val="001C45FC"/>
    <w:rsid w:val="001C594A"/>
    <w:rsid w:val="001D1BF7"/>
    <w:rsid w:val="001D4862"/>
    <w:rsid w:val="001D632F"/>
    <w:rsid w:val="001D7EF2"/>
    <w:rsid w:val="001E0B1B"/>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0328"/>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4DBA"/>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D13"/>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3D80"/>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3700"/>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4A6"/>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04E9"/>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1B50"/>
    <w:rsid w:val="0060397D"/>
    <w:rsid w:val="00604723"/>
    <w:rsid w:val="00610388"/>
    <w:rsid w:val="00612092"/>
    <w:rsid w:val="00612CA5"/>
    <w:rsid w:val="00613463"/>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42E6"/>
    <w:rsid w:val="00646108"/>
    <w:rsid w:val="006514CD"/>
    <w:rsid w:val="00651E87"/>
    <w:rsid w:val="006521CD"/>
    <w:rsid w:val="00652A22"/>
    <w:rsid w:val="00653584"/>
    <w:rsid w:val="00654C2F"/>
    <w:rsid w:val="00655438"/>
    <w:rsid w:val="00657087"/>
    <w:rsid w:val="0065715A"/>
    <w:rsid w:val="006578EC"/>
    <w:rsid w:val="006643E7"/>
    <w:rsid w:val="006661EF"/>
    <w:rsid w:val="00672E2C"/>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34FC"/>
    <w:rsid w:val="006E481A"/>
    <w:rsid w:val="006E5298"/>
    <w:rsid w:val="006E6A1F"/>
    <w:rsid w:val="006E6A6A"/>
    <w:rsid w:val="006E77B0"/>
    <w:rsid w:val="006F18EB"/>
    <w:rsid w:val="006F2E9B"/>
    <w:rsid w:val="006F6B2E"/>
    <w:rsid w:val="006F734A"/>
    <w:rsid w:val="00700D83"/>
    <w:rsid w:val="00701D10"/>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0F56"/>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534"/>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3B9"/>
    <w:rsid w:val="0082483F"/>
    <w:rsid w:val="00827849"/>
    <w:rsid w:val="008279C0"/>
    <w:rsid w:val="00841E70"/>
    <w:rsid w:val="00845226"/>
    <w:rsid w:val="008459A6"/>
    <w:rsid w:val="008473AA"/>
    <w:rsid w:val="00851A7A"/>
    <w:rsid w:val="00852883"/>
    <w:rsid w:val="00852F37"/>
    <w:rsid w:val="008571F6"/>
    <w:rsid w:val="00857A02"/>
    <w:rsid w:val="00861E51"/>
    <w:rsid w:val="00866359"/>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58F7"/>
    <w:rsid w:val="008A6841"/>
    <w:rsid w:val="008A6CFE"/>
    <w:rsid w:val="008B40E7"/>
    <w:rsid w:val="008B4681"/>
    <w:rsid w:val="008B4B58"/>
    <w:rsid w:val="008B5333"/>
    <w:rsid w:val="008B5476"/>
    <w:rsid w:val="008B6223"/>
    <w:rsid w:val="008B77A9"/>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8F6F21"/>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057B"/>
    <w:rsid w:val="00A81029"/>
    <w:rsid w:val="00A82AFB"/>
    <w:rsid w:val="00A8485D"/>
    <w:rsid w:val="00A86584"/>
    <w:rsid w:val="00A86B29"/>
    <w:rsid w:val="00A90BDB"/>
    <w:rsid w:val="00A923AA"/>
    <w:rsid w:val="00A9365B"/>
    <w:rsid w:val="00A94F10"/>
    <w:rsid w:val="00A96062"/>
    <w:rsid w:val="00A96489"/>
    <w:rsid w:val="00A96BB0"/>
    <w:rsid w:val="00A97D88"/>
    <w:rsid w:val="00AA0E39"/>
    <w:rsid w:val="00AA1F76"/>
    <w:rsid w:val="00AA23CE"/>
    <w:rsid w:val="00AA2CBD"/>
    <w:rsid w:val="00AA5A58"/>
    <w:rsid w:val="00AA670C"/>
    <w:rsid w:val="00AB1B60"/>
    <w:rsid w:val="00AB3717"/>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7A5A"/>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67DAC"/>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3560"/>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0CDE"/>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1A71"/>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B7784"/>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0A9B"/>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560"/>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24"/>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table" w:styleId="TableGrid">
    <w:name w:val="Table Grid"/>
    <w:basedOn w:val="TableNormal"/>
    <w:uiPriority w:val="39"/>
    <w:rsid w:val="002A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p1paratext">
    <w:name w:val="legp1paratext"/>
    <w:basedOn w:val="Normal"/>
    <w:rsid w:val="004C3700"/>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999613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981736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4A7AEC13-133B-4B03-837B-AEA114D4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14</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Shriram</dc:creator>
  <cp:keywords/>
  <dc:description/>
  <cp:lastModifiedBy>SaiRam</cp:lastModifiedBy>
  <cp:revision>8</cp:revision>
  <cp:lastPrinted>2020-06-12T02:43:00Z</cp:lastPrinted>
  <dcterms:created xsi:type="dcterms:W3CDTF">2023-11-12T09:03:00Z</dcterms:created>
  <dcterms:modified xsi:type="dcterms:W3CDTF">2023-11-14T06:56:00Z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