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719DDBB"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E627FB">
        <w:rPr>
          <w:rFonts w:ascii="Avenir Next" w:hAnsi="Avenir Next" w:cs="Arial"/>
          <w:sz w:val="22"/>
          <w:szCs w:val="22"/>
          <w:highlight w:val="yellow"/>
        </w:rPr>
        <w:t xml:space="preserve">This statement is untrue since the word </w:t>
      </w:r>
      <w:r w:rsidR="00823AB4" w:rsidRPr="00E627FB">
        <w:rPr>
          <w:rFonts w:ascii="Avenir Next" w:hAnsi="Avenir Next" w:cs="Arial"/>
          <w:sz w:val="22"/>
          <w:szCs w:val="22"/>
          <w:highlight w:val="yellow"/>
        </w:rPr>
        <w:t>“</w:t>
      </w:r>
      <w:r w:rsidRPr="00E627FB">
        <w:rPr>
          <w:rFonts w:ascii="Avenir Next" w:hAnsi="Avenir Next" w:cs="Arial"/>
          <w:sz w:val="22"/>
          <w:szCs w:val="22"/>
          <w:highlight w:val="yellow"/>
        </w:rPr>
        <w:t>bankruptcy</w:t>
      </w:r>
      <w:r w:rsidR="00823AB4" w:rsidRPr="00E627FB">
        <w:rPr>
          <w:rFonts w:ascii="Avenir Next" w:hAnsi="Avenir Next" w:cs="Arial"/>
          <w:sz w:val="22"/>
          <w:szCs w:val="22"/>
          <w:highlight w:val="yellow"/>
        </w:rPr>
        <w:t>”</w:t>
      </w:r>
      <w:r w:rsidRPr="00E627FB">
        <w:rPr>
          <w:rFonts w:ascii="Avenir Next" w:hAnsi="Avenir Next" w:cs="Arial"/>
          <w:sz w:val="22"/>
          <w:szCs w:val="22"/>
          <w:highlight w:val="yellow"/>
        </w:rPr>
        <w:t xml:space="preserve"> is believed to derive from non-English origins and has a historical root from destroying a vendor’s place of business</w:t>
      </w:r>
      <w:r w:rsidR="00E627FB">
        <w:rPr>
          <w:rFonts w:ascii="Avenir Next" w:hAnsi="Avenir Next" w:cs="Arial"/>
          <w:sz w:val="22"/>
          <w:szCs w:val="22"/>
        </w:rPr>
        <w:t>6</w:t>
      </w:r>
      <w:r w:rsidRPr="00DA42DA">
        <w:rPr>
          <w:rFonts w:ascii="Avenir Next" w:hAnsi="Avenir Next" w:cs="Arial"/>
          <w:sz w:val="22"/>
          <w:szCs w:val="22"/>
        </w:rPr>
        <w:t>.</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D13D5" w:rsidRDefault="001211E6" w:rsidP="001211E6">
      <w:pPr>
        <w:pStyle w:val="ListParagraph"/>
        <w:numPr>
          <w:ilvl w:val="0"/>
          <w:numId w:val="16"/>
        </w:numPr>
        <w:ind w:left="426"/>
        <w:jc w:val="both"/>
        <w:rPr>
          <w:rFonts w:ascii="Avenir Next" w:hAnsi="Avenir Next" w:cs="Arial"/>
          <w:sz w:val="22"/>
          <w:szCs w:val="22"/>
          <w:highlight w:val="yellow"/>
        </w:rPr>
      </w:pPr>
      <w:r w:rsidRPr="000D13D5">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D13D5"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D13D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80D2B">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C9697F" w:rsidRDefault="006514CD" w:rsidP="006514CD">
      <w:pPr>
        <w:pStyle w:val="ListParagraph"/>
        <w:numPr>
          <w:ilvl w:val="0"/>
          <w:numId w:val="19"/>
        </w:numPr>
        <w:ind w:left="425" w:hanging="357"/>
        <w:jc w:val="both"/>
        <w:rPr>
          <w:rFonts w:ascii="Avenir Next" w:hAnsi="Avenir Next" w:cs="Arial"/>
          <w:sz w:val="22"/>
          <w:szCs w:val="22"/>
          <w:highlight w:val="yellow"/>
        </w:rPr>
      </w:pPr>
      <w:r w:rsidRPr="00C9697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9697F"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9697F">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A03093" w:rsidRDefault="00AD76EF" w:rsidP="00AD76EF">
      <w:pPr>
        <w:pStyle w:val="ListParagraph"/>
        <w:numPr>
          <w:ilvl w:val="0"/>
          <w:numId w:val="17"/>
        </w:numPr>
        <w:ind w:left="426"/>
        <w:jc w:val="both"/>
        <w:rPr>
          <w:rFonts w:ascii="Avenir Next" w:hAnsi="Avenir Next" w:cs="Arial"/>
          <w:sz w:val="22"/>
          <w:szCs w:val="22"/>
          <w:highlight w:val="yellow"/>
        </w:rPr>
      </w:pPr>
      <w:r w:rsidRPr="00A0309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A03093" w:rsidRDefault="008E5941" w:rsidP="008E5941">
      <w:pPr>
        <w:autoSpaceDE w:val="0"/>
        <w:autoSpaceDN w:val="0"/>
        <w:adjustRightInd w:val="0"/>
        <w:jc w:val="both"/>
        <w:rPr>
          <w:rFonts w:ascii="Avenir Next" w:hAnsi="Avenir Next" w:cs="Arial"/>
          <w:sz w:val="22"/>
          <w:szCs w:val="22"/>
          <w:highlight w:val="yellow"/>
          <w:lang w:val="en-GB"/>
        </w:rPr>
      </w:pPr>
    </w:p>
    <w:p w14:paraId="17A9A12A" w14:textId="77777777" w:rsidR="008E5941" w:rsidRPr="00A03093"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03093">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lastRenderedPageBreak/>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0E5A5F" w:rsidRDefault="009661DE" w:rsidP="009661DE">
      <w:pPr>
        <w:pStyle w:val="ListParagraph"/>
        <w:numPr>
          <w:ilvl w:val="0"/>
          <w:numId w:val="23"/>
        </w:numPr>
        <w:ind w:left="426"/>
        <w:jc w:val="both"/>
        <w:rPr>
          <w:rFonts w:ascii="Avenir Next" w:hAnsi="Avenir Next" w:cs="Arial"/>
          <w:sz w:val="22"/>
          <w:szCs w:val="22"/>
          <w:highlight w:val="yellow"/>
        </w:rPr>
      </w:pPr>
      <w:r w:rsidRPr="000E5A5F">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0E5A5F" w:rsidRDefault="003B3A0D" w:rsidP="003B3A0D">
      <w:pPr>
        <w:pStyle w:val="ListParagraph"/>
        <w:numPr>
          <w:ilvl w:val="0"/>
          <w:numId w:val="24"/>
        </w:numPr>
        <w:ind w:left="426"/>
        <w:jc w:val="both"/>
        <w:rPr>
          <w:rFonts w:ascii="Avenir Next" w:hAnsi="Avenir Next" w:cs="Arial"/>
          <w:sz w:val="22"/>
          <w:szCs w:val="22"/>
          <w:highlight w:val="yellow"/>
        </w:rPr>
      </w:pPr>
      <w:r w:rsidRPr="000E5A5F">
        <w:rPr>
          <w:rFonts w:ascii="Avenir Next" w:hAnsi="Avenir Next" w:cs="Arial"/>
          <w:sz w:val="22"/>
          <w:szCs w:val="22"/>
          <w:highlight w:val="yellow"/>
        </w:rPr>
        <w:t xml:space="preserve">This statement is untrue because universalism corresponds well to </w:t>
      </w:r>
      <w:proofErr w:type="spellStart"/>
      <w:r w:rsidRPr="000E5A5F">
        <w:rPr>
          <w:rFonts w:ascii="Avenir Next" w:hAnsi="Avenir Next" w:cs="Arial"/>
          <w:sz w:val="22"/>
          <w:szCs w:val="22"/>
          <w:highlight w:val="yellow"/>
        </w:rPr>
        <w:t>globali</w:t>
      </w:r>
      <w:r w:rsidR="00142E15" w:rsidRPr="000E5A5F">
        <w:rPr>
          <w:rFonts w:ascii="Avenir Next" w:hAnsi="Avenir Next" w:cs="Arial"/>
          <w:sz w:val="22"/>
          <w:szCs w:val="22"/>
          <w:highlight w:val="yellow"/>
        </w:rPr>
        <w:t>s</w:t>
      </w:r>
      <w:r w:rsidRPr="000E5A5F">
        <w:rPr>
          <w:rFonts w:ascii="Avenir Next" w:hAnsi="Avenir Next" w:cs="Arial"/>
          <w:sz w:val="22"/>
          <w:szCs w:val="22"/>
          <w:highlight w:val="yellow"/>
        </w:rPr>
        <w:t>ation</w:t>
      </w:r>
      <w:proofErr w:type="spellEnd"/>
      <w:r w:rsidRPr="000E5A5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47F61EA5" w14:textId="77777777" w:rsidR="00981659" w:rsidRDefault="00616E52"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63D0DB86" w14:textId="77777777" w:rsidR="00981659" w:rsidRDefault="00981659" w:rsidP="00692852">
      <w:pPr>
        <w:jc w:val="both"/>
        <w:rPr>
          <w:rFonts w:ascii="Avenir Next" w:hAnsi="Avenir Next" w:cs="Arial"/>
          <w:sz w:val="22"/>
          <w:szCs w:val="22"/>
          <w:lang w:val="en-GB"/>
        </w:rPr>
      </w:pPr>
    </w:p>
    <w:p w14:paraId="52DC7514" w14:textId="77777777" w:rsidR="003114B8" w:rsidRDefault="003114B8" w:rsidP="00692852">
      <w:pPr>
        <w:jc w:val="both"/>
        <w:rPr>
          <w:rFonts w:ascii="Avenir Next" w:hAnsi="Avenir Next" w:cs="Arial"/>
          <w:color w:val="808080" w:themeColor="background1" w:themeShade="80"/>
          <w:sz w:val="22"/>
          <w:szCs w:val="22"/>
          <w:lang w:val="en-GB"/>
        </w:rPr>
      </w:pPr>
    </w:p>
    <w:p w14:paraId="3D80161B" w14:textId="055D5BB6" w:rsidR="003114B8" w:rsidRPr="003114B8" w:rsidRDefault="003114B8" w:rsidP="00692852">
      <w:pPr>
        <w:jc w:val="both"/>
        <w:rPr>
          <w:rFonts w:ascii="Avenir Next" w:hAnsi="Avenir Next" w:cs="Arial"/>
          <w:color w:val="808080" w:themeColor="background1" w:themeShade="80"/>
          <w:sz w:val="22"/>
          <w:szCs w:val="22"/>
          <w:u w:val="single"/>
          <w:lang w:val="en-GB"/>
        </w:rPr>
      </w:pPr>
      <w:r w:rsidRPr="003114B8">
        <w:rPr>
          <w:rFonts w:ascii="Avenir Next" w:hAnsi="Avenir Next" w:cs="Arial"/>
          <w:color w:val="808080" w:themeColor="background1" w:themeShade="80"/>
          <w:sz w:val="22"/>
          <w:szCs w:val="22"/>
          <w:u w:val="single"/>
          <w:lang w:val="en-GB"/>
        </w:rPr>
        <w:lastRenderedPageBreak/>
        <w:t>Civil law</w:t>
      </w:r>
    </w:p>
    <w:p w14:paraId="6994169A" w14:textId="77777777" w:rsidR="003114B8" w:rsidRDefault="003114B8" w:rsidP="00692852">
      <w:pPr>
        <w:jc w:val="both"/>
        <w:rPr>
          <w:rFonts w:ascii="Avenir Next" w:hAnsi="Avenir Next" w:cs="Arial"/>
          <w:color w:val="808080" w:themeColor="background1" w:themeShade="80"/>
          <w:sz w:val="22"/>
          <w:szCs w:val="22"/>
          <w:lang w:val="en-GB"/>
        </w:rPr>
      </w:pPr>
    </w:p>
    <w:p w14:paraId="7F25325A" w14:textId="2F7BDAA7" w:rsidR="00D96130" w:rsidRDefault="00D9613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are (broadly speaking) those emanating from continental Europe and this is often reflected in the fact that countries adopting a civil law approach today are those that were subject to colonial control from continental European countries.</w:t>
      </w:r>
    </w:p>
    <w:p w14:paraId="07493A3C" w14:textId="77777777" w:rsidR="00D96130" w:rsidRDefault="00D96130" w:rsidP="00692852">
      <w:pPr>
        <w:jc w:val="both"/>
        <w:rPr>
          <w:rFonts w:ascii="Avenir Next" w:hAnsi="Avenir Next" w:cs="Arial"/>
          <w:color w:val="808080" w:themeColor="background1" w:themeShade="80"/>
          <w:sz w:val="22"/>
          <w:szCs w:val="22"/>
          <w:lang w:val="en-GB"/>
        </w:rPr>
      </w:pPr>
    </w:p>
    <w:p w14:paraId="7EC01240" w14:textId="4EEC2CFE" w:rsidR="00D96130" w:rsidRDefault="0088778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w:t>
      </w:r>
      <w:r w:rsidR="00D96130">
        <w:rPr>
          <w:rFonts w:ascii="Avenir Next" w:hAnsi="Avenir Next" w:cs="Arial"/>
          <w:color w:val="808080" w:themeColor="background1" w:themeShade="80"/>
          <w:sz w:val="22"/>
          <w:szCs w:val="22"/>
          <w:lang w:val="en-GB"/>
        </w:rPr>
        <w:t>istorically, civil law emanated from Roman law and consisted of the brutal concept of the debtor pledging his body for his debts. According to I F Fletcher,</w:t>
      </w:r>
      <w:r w:rsidR="00D96130">
        <w:rPr>
          <w:rStyle w:val="FootnoteReference"/>
          <w:rFonts w:ascii="Avenir Next" w:hAnsi="Avenir Next" w:cs="Arial"/>
          <w:color w:val="808080" w:themeColor="background1" w:themeShade="80"/>
          <w:sz w:val="22"/>
          <w:szCs w:val="22"/>
          <w:lang w:val="en-GB"/>
        </w:rPr>
        <w:footnoteReference w:id="1"/>
      </w:r>
      <w:r w:rsidR="00D96130">
        <w:rPr>
          <w:rFonts w:ascii="Avenir Next" w:hAnsi="Avenir Next" w:cs="Arial"/>
          <w:color w:val="808080" w:themeColor="background1" w:themeShade="80"/>
          <w:sz w:val="22"/>
          <w:szCs w:val="22"/>
          <w:lang w:val="en-GB"/>
        </w:rPr>
        <w:t xml:space="preserve"> Roman law can be seen as the root of the principle of </w:t>
      </w:r>
      <w:r w:rsidR="00D96130">
        <w:rPr>
          <w:rFonts w:ascii="Avenir Next" w:hAnsi="Avenir Next" w:cs="Arial"/>
          <w:color w:val="808080" w:themeColor="background1" w:themeShade="80"/>
          <w:sz w:val="22"/>
          <w:szCs w:val="22"/>
          <w:lang w:val="en-GB"/>
        </w:rPr>
        <w:t>bankruptcy as a collective debt collect</w:t>
      </w:r>
      <w:r w:rsidR="00D96130">
        <w:rPr>
          <w:rFonts w:ascii="Avenir Next" w:hAnsi="Avenir Next" w:cs="Arial"/>
          <w:color w:val="808080" w:themeColor="background1" w:themeShade="80"/>
          <w:sz w:val="22"/>
          <w:szCs w:val="22"/>
          <w:lang w:val="en-GB"/>
        </w:rPr>
        <w:t>ion procedure. The civil law also developed as a result of customs between merchants trading on the continent. Originally seen as being pro-creditor, there was an eventual move towards the concept of discharge</w:t>
      </w:r>
      <w:r w:rsidR="0000748F">
        <w:rPr>
          <w:rFonts w:ascii="Avenir Next" w:hAnsi="Avenir Next" w:cs="Arial"/>
          <w:color w:val="808080" w:themeColor="background1" w:themeShade="80"/>
          <w:sz w:val="22"/>
          <w:szCs w:val="22"/>
          <w:lang w:val="en-GB"/>
        </w:rPr>
        <w:t xml:space="preserve"> of debts.</w:t>
      </w:r>
    </w:p>
    <w:p w14:paraId="5D373FCB" w14:textId="6598AC60" w:rsidR="00AF7527" w:rsidRDefault="00AF7527" w:rsidP="00692852">
      <w:pPr>
        <w:jc w:val="both"/>
        <w:rPr>
          <w:rFonts w:ascii="Avenir Next" w:hAnsi="Avenir Next" w:cs="Arial"/>
          <w:color w:val="808080" w:themeColor="background1" w:themeShade="80"/>
          <w:sz w:val="22"/>
          <w:szCs w:val="22"/>
          <w:lang w:val="en-GB"/>
        </w:rPr>
      </w:pPr>
    </w:p>
    <w:p w14:paraId="2D19D21E" w14:textId="16E4B6CD" w:rsidR="00AF7527" w:rsidRDefault="0000748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Most</w:t>
      </w:r>
      <w:r w:rsidR="00D96130">
        <w:rPr>
          <w:rFonts w:ascii="Avenir Next" w:hAnsi="Avenir Next" w:cs="Arial"/>
          <w:color w:val="808080" w:themeColor="background1" w:themeShade="80"/>
          <w:sz w:val="22"/>
          <w:szCs w:val="22"/>
          <w:lang w:val="en-GB"/>
        </w:rPr>
        <w:t xml:space="preserve"> Latin American countries adopt a civil law </w:t>
      </w:r>
      <w:r w:rsidR="009F0AEE">
        <w:rPr>
          <w:rFonts w:ascii="Avenir Next" w:hAnsi="Avenir Next" w:cs="Arial"/>
          <w:color w:val="808080" w:themeColor="background1" w:themeShade="80"/>
          <w:sz w:val="22"/>
          <w:szCs w:val="22"/>
          <w:lang w:val="en-GB"/>
        </w:rPr>
        <w:t>foundation</w:t>
      </w:r>
      <w:r w:rsidR="00D96130">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have</w:t>
      </w:r>
      <w:r w:rsidR="00D96130">
        <w:rPr>
          <w:rFonts w:ascii="Avenir Next" w:hAnsi="Avenir Next" w:cs="Arial"/>
          <w:color w:val="808080" w:themeColor="background1" w:themeShade="80"/>
          <w:sz w:val="22"/>
          <w:szCs w:val="22"/>
          <w:lang w:val="en-GB"/>
        </w:rPr>
        <w:t xml:space="preserve"> been successful in a harmonising approach across the region. African nations that were subject to colonial </w:t>
      </w:r>
      <w:r w:rsidR="009F0AEE">
        <w:rPr>
          <w:rFonts w:ascii="Avenir Next" w:hAnsi="Avenir Next" w:cs="Arial"/>
          <w:color w:val="808080" w:themeColor="background1" w:themeShade="80"/>
          <w:sz w:val="22"/>
          <w:szCs w:val="22"/>
          <w:lang w:val="en-GB"/>
        </w:rPr>
        <w:t xml:space="preserve">control from </w:t>
      </w:r>
      <w:r w:rsidR="00713C55">
        <w:rPr>
          <w:rFonts w:ascii="Avenir Next" w:hAnsi="Avenir Next" w:cs="Arial"/>
          <w:color w:val="808080" w:themeColor="background1" w:themeShade="80"/>
          <w:sz w:val="22"/>
          <w:szCs w:val="22"/>
          <w:lang w:val="en-GB"/>
        </w:rPr>
        <w:t xml:space="preserve">continental </w:t>
      </w:r>
      <w:r w:rsidR="009F0AEE">
        <w:rPr>
          <w:rFonts w:ascii="Avenir Next" w:hAnsi="Avenir Next" w:cs="Arial"/>
          <w:color w:val="808080" w:themeColor="background1" w:themeShade="80"/>
          <w:sz w:val="22"/>
          <w:szCs w:val="22"/>
          <w:lang w:val="en-GB"/>
        </w:rPr>
        <w:t>European countries</w:t>
      </w:r>
      <w:r w:rsidR="00713C55">
        <w:rPr>
          <w:rFonts w:ascii="Avenir Next" w:hAnsi="Avenir Next" w:cs="Arial"/>
          <w:color w:val="808080" w:themeColor="background1" w:themeShade="80"/>
          <w:sz w:val="22"/>
          <w:szCs w:val="22"/>
          <w:lang w:val="en-GB"/>
        </w:rPr>
        <w:t xml:space="preserve"> also tend to adopt a civil law approach.</w:t>
      </w:r>
    </w:p>
    <w:p w14:paraId="1B7DCF5D" w14:textId="2027F78F" w:rsidR="00981659" w:rsidRDefault="00981659" w:rsidP="00692852">
      <w:pPr>
        <w:jc w:val="both"/>
        <w:rPr>
          <w:rFonts w:ascii="Avenir Next" w:hAnsi="Avenir Next" w:cs="Arial"/>
          <w:color w:val="808080" w:themeColor="background1" w:themeShade="80"/>
          <w:sz w:val="22"/>
          <w:szCs w:val="22"/>
          <w:lang w:val="en-GB"/>
        </w:rPr>
      </w:pPr>
    </w:p>
    <w:p w14:paraId="3850E3B2" w14:textId="77748234" w:rsidR="003114B8" w:rsidRPr="003114B8" w:rsidRDefault="003114B8" w:rsidP="00692852">
      <w:pPr>
        <w:jc w:val="both"/>
        <w:rPr>
          <w:rFonts w:ascii="Avenir Next" w:hAnsi="Avenir Next" w:cs="Arial"/>
          <w:color w:val="808080" w:themeColor="background1" w:themeShade="80"/>
          <w:sz w:val="22"/>
          <w:szCs w:val="22"/>
          <w:u w:val="single"/>
          <w:lang w:val="en-GB"/>
        </w:rPr>
      </w:pPr>
      <w:r w:rsidRPr="003114B8">
        <w:rPr>
          <w:rFonts w:ascii="Avenir Next" w:hAnsi="Avenir Next" w:cs="Arial"/>
          <w:color w:val="808080" w:themeColor="background1" w:themeShade="80"/>
          <w:sz w:val="22"/>
          <w:szCs w:val="22"/>
          <w:u w:val="single"/>
          <w:lang w:val="en-GB"/>
        </w:rPr>
        <w:t>English law</w:t>
      </w:r>
    </w:p>
    <w:p w14:paraId="4BB3EC71" w14:textId="77777777" w:rsidR="003114B8" w:rsidRDefault="003114B8" w:rsidP="00692852">
      <w:pPr>
        <w:jc w:val="both"/>
        <w:rPr>
          <w:rFonts w:ascii="Avenir Next" w:hAnsi="Avenir Next" w:cs="Arial"/>
          <w:color w:val="808080" w:themeColor="background1" w:themeShade="80"/>
          <w:sz w:val="22"/>
          <w:szCs w:val="22"/>
          <w:lang w:val="en-GB"/>
        </w:rPr>
      </w:pPr>
    </w:p>
    <w:p w14:paraId="49807229" w14:textId="406195A8" w:rsidR="00A170FC" w:rsidRDefault="00713C5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w:t>
      </w:r>
      <w:r w:rsidR="00BA61CA">
        <w:rPr>
          <w:rFonts w:ascii="Avenir Next" w:hAnsi="Avenir Next" w:cs="Arial"/>
          <w:color w:val="808080" w:themeColor="background1" w:themeShade="80"/>
          <w:sz w:val="22"/>
          <w:szCs w:val="22"/>
          <w:lang w:val="en-GB"/>
        </w:rPr>
        <w:t xml:space="preserve">history of English </w:t>
      </w:r>
      <w:r>
        <w:rPr>
          <w:rFonts w:ascii="Avenir Next" w:hAnsi="Avenir Next" w:cs="Arial"/>
          <w:color w:val="808080" w:themeColor="background1" w:themeShade="80"/>
          <w:sz w:val="22"/>
          <w:szCs w:val="22"/>
          <w:lang w:val="en-GB"/>
        </w:rPr>
        <w:t>bankruptcy</w:t>
      </w:r>
      <w:r w:rsidR="00BA61CA">
        <w:rPr>
          <w:rFonts w:ascii="Avenir Next" w:hAnsi="Avenir Next" w:cs="Arial"/>
          <w:color w:val="808080" w:themeColor="background1" w:themeShade="80"/>
          <w:sz w:val="22"/>
          <w:szCs w:val="22"/>
          <w:lang w:val="en-GB"/>
        </w:rPr>
        <w:t xml:space="preserve"> law</w:t>
      </w:r>
      <w:r>
        <w:rPr>
          <w:rFonts w:ascii="Avenir Next" w:hAnsi="Avenir Next" w:cs="Arial"/>
          <w:color w:val="808080" w:themeColor="background1" w:themeShade="80"/>
          <w:sz w:val="22"/>
          <w:szCs w:val="22"/>
          <w:lang w:val="en-GB"/>
        </w:rPr>
        <w:t xml:space="preserve">, whilst this stems back many decades, it was the English Bankruptcy Act of 1542 that </w:t>
      </w:r>
      <w:r w:rsidR="00981659">
        <w:rPr>
          <w:rFonts w:ascii="Avenir Next" w:hAnsi="Avenir Next" w:cs="Arial"/>
          <w:color w:val="808080" w:themeColor="background1" w:themeShade="80"/>
          <w:sz w:val="22"/>
          <w:szCs w:val="22"/>
          <w:lang w:val="en-GB"/>
        </w:rPr>
        <w:t xml:space="preserve">contained </w:t>
      </w:r>
      <w:r>
        <w:rPr>
          <w:rFonts w:ascii="Avenir Next" w:hAnsi="Avenir Next" w:cs="Arial"/>
          <w:color w:val="808080" w:themeColor="background1" w:themeShade="80"/>
          <w:sz w:val="22"/>
          <w:szCs w:val="22"/>
          <w:lang w:val="en-GB"/>
        </w:rPr>
        <w:t xml:space="preserve">the </w:t>
      </w:r>
      <w:r w:rsidR="00981659">
        <w:rPr>
          <w:rFonts w:ascii="Avenir Next" w:hAnsi="Avenir Next" w:cs="Arial"/>
          <w:color w:val="808080" w:themeColor="background1" w:themeShade="80"/>
          <w:sz w:val="22"/>
          <w:szCs w:val="22"/>
          <w:lang w:val="en-GB"/>
        </w:rPr>
        <w:t xml:space="preserve">seeds of two fundamental principles on which modern insolvency law based: </w:t>
      </w:r>
      <w:r>
        <w:rPr>
          <w:rFonts w:ascii="Avenir Next" w:hAnsi="Avenir Next" w:cs="Arial"/>
          <w:color w:val="808080" w:themeColor="background1" w:themeShade="80"/>
          <w:sz w:val="22"/>
          <w:szCs w:val="22"/>
          <w:lang w:val="en-GB"/>
        </w:rPr>
        <w:t xml:space="preserve">a) </w:t>
      </w:r>
      <w:r w:rsidR="00981659">
        <w:rPr>
          <w:rFonts w:ascii="Avenir Next" w:hAnsi="Avenir Next" w:cs="Arial"/>
          <w:color w:val="808080" w:themeColor="background1" w:themeShade="80"/>
          <w:sz w:val="22"/>
          <w:szCs w:val="22"/>
          <w:lang w:val="en-GB"/>
        </w:rPr>
        <w:t xml:space="preserve">collective participation by creditors and </w:t>
      </w:r>
      <w:r>
        <w:rPr>
          <w:rFonts w:ascii="Avenir Next" w:hAnsi="Avenir Next" w:cs="Arial"/>
          <w:color w:val="808080" w:themeColor="background1" w:themeShade="80"/>
          <w:sz w:val="22"/>
          <w:szCs w:val="22"/>
          <w:lang w:val="en-GB"/>
        </w:rPr>
        <w:t xml:space="preserve">b) </w:t>
      </w:r>
      <w:r w:rsidR="00981659">
        <w:rPr>
          <w:rFonts w:ascii="Avenir Next" w:hAnsi="Avenir Next" w:cs="Arial"/>
          <w:color w:val="808080" w:themeColor="background1" w:themeShade="80"/>
          <w:sz w:val="22"/>
          <w:szCs w:val="22"/>
          <w:lang w:val="en-GB"/>
        </w:rPr>
        <w:t xml:space="preserve">a </w:t>
      </w:r>
      <w:r w:rsidR="00981659" w:rsidRPr="00BA61CA">
        <w:rPr>
          <w:rFonts w:ascii="Avenir Next" w:hAnsi="Avenir Next" w:cs="Arial"/>
          <w:i/>
          <w:color w:val="808080" w:themeColor="background1" w:themeShade="80"/>
          <w:sz w:val="22"/>
          <w:szCs w:val="22"/>
          <w:lang w:val="en-GB"/>
        </w:rPr>
        <w:t>pari passu</w:t>
      </w:r>
      <w:r w:rsidR="00981659">
        <w:rPr>
          <w:rFonts w:ascii="Avenir Next" w:hAnsi="Avenir Next" w:cs="Arial"/>
          <w:color w:val="808080" w:themeColor="background1" w:themeShade="80"/>
          <w:sz w:val="22"/>
          <w:szCs w:val="22"/>
          <w:lang w:val="en-GB"/>
        </w:rPr>
        <w:t xml:space="preserve"> </w:t>
      </w:r>
      <w:r w:rsidR="0088516C">
        <w:rPr>
          <w:rFonts w:ascii="Avenir Next" w:hAnsi="Avenir Next" w:cs="Arial"/>
          <w:color w:val="808080" w:themeColor="background1" w:themeShade="80"/>
          <w:sz w:val="22"/>
          <w:szCs w:val="22"/>
          <w:lang w:val="en-GB"/>
        </w:rPr>
        <w:t xml:space="preserve">(i.e. proportionate) </w:t>
      </w:r>
      <w:r w:rsidR="00981659">
        <w:rPr>
          <w:rFonts w:ascii="Avenir Next" w:hAnsi="Avenir Next" w:cs="Arial"/>
          <w:color w:val="808080" w:themeColor="background1" w:themeShade="80"/>
          <w:sz w:val="22"/>
          <w:szCs w:val="22"/>
          <w:lang w:val="en-GB"/>
        </w:rPr>
        <w:t xml:space="preserve">distribution </w:t>
      </w:r>
      <w:r>
        <w:rPr>
          <w:rFonts w:ascii="Avenir Next" w:hAnsi="Avenir Next" w:cs="Arial"/>
          <w:color w:val="808080" w:themeColor="background1" w:themeShade="80"/>
          <w:sz w:val="22"/>
          <w:szCs w:val="22"/>
          <w:lang w:val="en-GB"/>
        </w:rPr>
        <w:t>amongst creditors</w:t>
      </w:r>
      <w:r w:rsidR="00981659">
        <w:rPr>
          <w:rFonts w:ascii="Avenir Next" w:hAnsi="Avenir Next" w:cs="Arial"/>
          <w:color w:val="808080" w:themeColor="background1" w:themeShade="80"/>
          <w:sz w:val="22"/>
          <w:szCs w:val="22"/>
          <w:lang w:val="en-GB"/>
        </w:rPr>
        <w:t xml:space="preserve"> from available assets.</w:t>
      </w:r>
      <w:r>
        <w:rPr>
          <w:rFonts w:ascii="Avenir Next" w:hAnsi="Avenir Next" w:cs="Arial"/>
          <w:color w:val="808080" w:themeColor="background1" w:themeShade="80"/>
          <w:sz w:val="22"/>
          <w:szCs w:val="22"/>
          <w:lang w:val="en-GB"/>
        </w:rPr>
        <w:t xml:space="preserve"> The</w:t>
      </w:r>
      <w:r w:rsidR="00981659">
        <w:rPr>
          <w:rFonts w:ascii="Avenir Next" w:hAnsi="Avenir Next" w:cs="Arial"/>
          <w:color w:val="808080" w:themeColor="background1" w:themeShade="80"/>
          <w:sz w:val="22"/>
          <w:szCs w:val="22"/>
          <w:lang w:val="en-GB"/>
        </w:rPr>
        <w:t xml:space="preserve"> </w:t>
      </w:r>
      <w:r w:rsidR="00A2101B">
        <w:rPr>
          <w:rFonts w:ascii="Avenir Next" w:hAnsi="Avenir Next" w:cs="Arial"/>
          <w:color w:val="808080" w:themeColor="background1" w:themeShade="80"/>
          <w:sz w:val="22"/>
          <w:szCs w:val="22"/>
          <w:lang w:val="en-GB"/>
        </w:rPr>
        <w:t xml:space="preserve">Statute of Anne </w:t>
      </w:r>
      <w:r>
        <w:rPr>
          <w:rFonts w:ascii="Avenir Next" w:hAnsi="Avenir Next" w:cs="Arial"/>
          <w:color w:val="808080" w:themeColor="background1" w:themeShade="80"/>
          <w:sz w:val="22"/>
          <w:szCs w:val="22"/>
          <w:lang w:val="en-GB"/>
        </w:rPr>
        <w:t xml:space="preserve">(in </w:t>
      </w:r>
      <w:r w:rsidR="00A2101B">
        <w:rPr>
          <w:rFonts w:ascii="Avenir Next" w:hAnsi="Avenir Next" w:cs="Arial"/>
          <w:color w:val="808080" w:themeColor="background1" w:themeShade="80"/>
          <w:sz w:val="22"/>
          <w:szCs w:val="22"/>
          <w:lang w:val="en-GB"/>
        </w:rPr>
        <w:t>1705</w:t>
      </w:r>
      <w:r>
        <w:rPr>
          <w:rFonts w:ascii="Avenir Next" w:hAnsi="Avenir Next" w:cs="Arial"/>
          <w:color w:val="808080" w:themeColor="background1" w:themeShade="80"/>
          <w:sz w:val="22"/>
          <w:szCs w:val="22"/>
          <w:lang w:val="en-GB"/>
        </w:rPr>
        <w:t xml:space="preserve">) introduced the </w:t>
      </w:r>
      <w:r w:rsidR="00A2101B">
        <w:rPr>
          <w:rFonts w:ascii="Avenir Next" w:hAnsi="Avenir Next" w:cs="Arial"/>
          <w:color w:val="808080" w:themeColor="background1" w:themeShade="80"/>
          <w:sz w:val="22"/>
          <w:szCs w:val="22"/>
          <w:lang w:val="en-GB"/>
        </w:rPr>
        <w:t xml:space="preserve">statutory </w:t>
      </w:r>
      <w:r>
        <w:rPr>
          <w:rFonts w:ascii="Avenir Next" w:hAnsi="Avenir Next" w:cs="Arial"/>
          <w:color w:val="808080" w:themeColor="background1" w:themeShade="80"/>
          <w:sz w:val="22"/>
          <w:szCs w:val="22"/>
          <w:lang w:val="en-GB"/>
        </w:rPr>
        <w:t xml:space="preserve">discharge of debts, which has </w:t>
      </w:r>
      <w:r w:rsidR="00A2101B">
        <w:rPr>
          <w:rFonts w:ascii="Avenir Next" w:hAnsi="Avenir Next" w:cs="Arial"/>
          <w:color w:val="808080" w:themeColor="background1" w:themeShade="80"/>
          <w:sz w:val="22"/>
          <w:szCs w:val="22"/>
          <w:lang w:val="en-GB"/>
        </w:rPr>
        <w:t>remained in</w:t>
      </w:r>
      <w:r>
        <w:rPr>
          <w:rFonts w:ascii="Avenir Next" w:hAnsi="Avenir Next" w:cs="Arial"/>
          <w:color w:val="808080" w:themeColor="background1" w:themeShade="80"/>
          <w:sz w:val="22"/>
          <w:szCs w:val="22"/>
          <w:lang w:val="en-GB"/>
        </w:rPr>
        <w:t xml:space="preserve"> most</w:t>
      </w:r>
      <w:r w:rsidR="00A2101B">
        <w:rPr>
          <w:rFonts w:ascii="Avenir Next" w:hAnsi="Avenir Next" w:cs="Arial"/>
          <w:color w:val="808080" w:themeColor="background1" w:themeShade="80"/>
          <w:sz w:val="22"/>
          <w:szCs w:val="22"/>
          <w:lang w:val="en-GB"/>
        </w:rPr>
        <w:t xml:space="preserve"> modern </w:t>
      </w:r>
      <w:r w:rsidR="0076069B">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laws</w:t>
      </w:r>
      <w:r w:rsidR="00A2101B">
        <w:rPr>
          <w:rFonts w:ascii="Avenir Next" w:hAnsi="Avenir Next" w:cs="Arial"/>
          <w:color w:val="808080" w:themeColor="background1" w:themeShade="80"/>
          <w:sz w:val="22"/>
          <w:szCs w:val="22"/>
          <w:lang w:val="en-GB"/>
        </w:rPr>
        <w:t>.</w:t>
      </w:r>
      <w:r w:rsidR="0076069B">
        <w:rPr>
          <w:rFonts w:ascii="Avenir Next" w:hAnsi="Avenir Next" w:cs="Arial"/>
          <w:color w:val="808080" w:themeColor="background1" w:themeShade="80"/>
          <w:sz w:val="22"/>
          <w:szCs w:val="22"/>
          <w:lang w:val="en-GB"/>
        </w:rPr>
        <w:t xml:space="preserve"> </w:t>
      </w:r>
      <w:r w:rsidR="00A170FC">
        <w:rPr>
          <w:rFonts w:ascii="Avenir Next" w:hAnsi="Avenir Next" w:cs="Arial"/>
          <w:color w:val="808080" w:themeColor="background1" w:themeShade="80"/>
          <w:sz w:val="22"/>
          <w:szCs w:val="22"/>
          <w:lang w:val="en-GB"/>
        </w:rPr>
        <w:t>The legislation introduced in</w:t>
      </w:r>
      <w:r w:rsidR="00BA61CA">
        <w:rPr>
          <w:rFonts w:ascii="Avenir Next" w:hAnsi="Avenir Next" w:cs="Arial"/>
          <w:color w:val="808080" w:themeColor="background1" w:themeShade="80"/>
          <w:sz w:val="22"/>
          <w:szCs w:val="22"/>
          <w:lang w:val="en-GB"/>
        </w:rPr>
        <w:t xml:space="preserve"> England in</w:t>
      </w:r>
      <w:r w:rsidR="00A170FC">
        <w:rPr>
          <w:rFonts w:ascii="Avenir Next" w:hAnsi="Avenir Next" w:cs="Arial"/>
          <w:color w:val="808080" w:themeColor="background1" w:themeShade="80"/>
          <w:sz w:val="22"/>
          <w:szCs w:val="22"/>
          <w:lang w:val="en-GB"/>
        </w:rPr>
        <w:t xml:space="preserve"> 1883 is thought to be the foundation of the current Insolvency Act 1986 –</w:t>
      </w:r>
      <w:r w:rsidR="00BA61CA">
        <w:rPr>
          <w:rFonts w:ascii="Avenir Next" w:hAnsi="Avenir Next" w:cs="Arial"/>
          <w:color w:val="808080" w:themeColor="background1" w:themeShade="80"/>
          <w:sz w:val="22"/>
          <w:szCs w:val="22"/>
          <w:lang w:val="en-GB"/>
        </w:rPr>
        <w:t xml:space="preserve"> including principle of </w:t>
      </w:r>
      <w:r w:rsidR="00A170FC">
        <w:rPr>
          <w:rFonts w:ascii="Avenir Next" w:hAnsi="Avenir Next" w:cs="Arial"/>
          <w:color w:val="808080" w:themeColor="background1" w:themeShade="80"/>
          <w:sz w:val="22"/>
          <w:szCs w:val="22"/>
          <w:lang w:val="en-GB"/>
        </w:rPr>
        <w:t xml:space="preserve">enforcing a fair and independent approach, which encourages appropriate supervision and discourages dishonesty. </w:t>
      </w:r>
    </w:p>
    <w:p w14:paraId="320BE70A" w14:textId="77777777" w:rsidR="00A170FC" w:rsidRDefault="00A170FC" w:rsidP="00692852">
      <w:pPr>
        <w:jc w:val="both"/>
        <w:rPr>
          <w:rFonts w:ascii="Avenir Next" w:hAnsi="Avenir Next" w:cs="Arial"/>
          <w:color w:val="808080" w:themeColor="background1" w:themeShade="80"/>
          <w:sz w:val="22"/>
          <w:szCs w:val="22"/>
          <w:lang w:val="en-GB"/>
        </w:rPr>
      </w:pPr>
    </w:p>
    <w:p w14:paraId="658626E2" w14:textId="6AA7438D" w:rsidR="00981659" w:rsidRDefault="00A170F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is one country that </w:t>
      </w:r>
      <w:r w:rsidR="00BA61CA">
        <w:rPr>
          <w:rFonts w:ascii="Avenir Next" w:hAnsi="Avenir Next" w:cs="Arial"/>
          <w:color w:val="808080" w:themeColor="background1" w:themeShade="80"/>
          <w:sz w:val="22"/>
          <w:szCs w:val="22"/>
          <w:lang w:val="en-GB"/>
        </w:rPr>
        <w:t xml:space="preserve">has an </w:t>
      </w:r>
      <w:r>
        <w:rPr>
          <w:rFonts w:ascii="Avenir Next" w:hAnsi="Avenir Next" w:cs="Arial"/>
          <w:color w:val="808080" w:themeColor="background1" w:themeShade="80"/>
          <w:sz w:val="22"/>
          <w:szCs w:val="22"/>
          <w:lang w:val="en-GB"/>
        </w:rPr>
        <w:t xml:space="preserve">English common law </w:t>
      </w:r>
      <w:r w:rsidR="00BA61CA">
        <w:rPr>
          <w:rFonts w:ascii="Avenir Next" w:hAnsi="Avenir Next" w:cs="Arial"/>
          <w:color w:val="808080" w:themeColor="background1" w:themeShade="80"/>
          <w:sz w:val="22"/>
          <w:szCs w:val="22"/>
          <w:lang w:val="en-GB"/>
        </w:rPr>
        <w:t>foundation</w:t>
      </w:r>
      <w:r>
        <w:rPr>
          <w:rFonts w:ascii="Avenir Next" w:hAnsi="Avenir Next" w:cs="Arial"/>
          <w:color w:val="808080" w:themeColor="background1" w:themeShade="80"/>
          <w:sz w:val="22"/>
          <w:szCs w:val="22"/>
          <w:lang w:val="en-GB"/>
        </w:rPr>
        <w:t>, although (unlike the Insolvency Act 1986, it has separate legislation for corporate and personal bankruptcy). African nations that were subject to English colonial rule also tend to adopt English common law as a basis for their own insolvency laws (as does India)</w:t>
      </w:r>
      <w:r w:rsidR="00FE2EE8">
        <w:rPr>
          <w:rFonts w:ascii="Avenir Next" w:hAnsi="Avenir Next" w:cs="Arial"/>
          <w:color w:val="808080" w:themeColor="background1" w:themeShade="80"/>
          <w:sz w:val="22"/>
          <w:szCs w:val="22"/>
          <w:lang w:val="en-GB"/>
        </w:rPr>
        <w:t>, although some of these S</w:t>
      </w:r>
      <w:r w:rsidR="00BA61CA">
        <w:rPr>
          <w:rFonts w:ascii="Avenir Next" w:hAnsi="Avenir Next" w:cs="Arial"/>
          <w:color w:val="808080" w:themeColor="background1" w:themeShade="80"/>
          <w:sz w:val="22"/>
          <w:szCs w:val="22"/>
          <w:lang w:val="en-GB"/>
        </w:rPr>
        <w:t>tates have also started introducing their own, modern approaches to insolvency</w:t>
      </w:r>
      <w:r>
        <w:rPr>
          <w:rFonts w:ascii="Avenir Next" w:hAnsi="Avenir Next" w:cs="Arial"/>
          <w:color w:val="808080" w:themeColor="background1" w:themeShade="80"/>
          <w:sz w:val="22"/>
          <w:szCs w:val="22"/>
          <w:lang w:val="en-GB"/>
        </w:rPr>
        <w:t xml:space="preserve">. </w:t>
      </w:r>
    </w:p>
    <w:p w14:paraId="17863EAB" w14:textId="06963D0A" w:rsidR="00981659" w:rsidRDefault="00981659" w:rsidP="00692852">
      <w:pPr>
        <w:jc w:val="both"/>
        <w:rPr>
          <w:rFonts w:ascii="Avenir Next" w:hAnsi="Avenir Next" w:cs="Arial"/>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4A8D8C11" w14:textId="5F229402" w:rsidR="00086A1B" w:rsidRPr="00086A1B" w:rsidRDefault="00086A1B" w:rsidP="00086A1B">
      <w:pPr>
        <w:jc w:val="both"/>
        <w:rPr>
          <w:rFonts w:ascii="Avenir Next" w:hAnsi="Avenir Next" w:cs="Arial"/>
          <w:color w:val="808080" w:themeColor="background1" w:themeShade="80"/>
          <w:sz w:val="22"/>
          <w:szCs w:val="22"/>
          <w:lang w:val="en-GB"/>
        </w:rPr>
      </w:pPr>
      <w:r w:rsidRPr="00CF1CC1">
        <w:rPr>
          <w:rFonts w:ascii="Avenir Next" w:hAnsi="Avenir Next" w:cs="Arial"/>
          <w:b/>
          <w:color w:val="808080" w:themeColor="background1" w:themeShade="80"/>
          <w:sz w:val="22"/>
          <w:szCs w:val="22"/>
          <w:lang w:val="en-GB"/>
        </w:rPr>
        <w:t xml:space="preserve">Universality </w:t>
      </w:r>
      <w:r w:rsidRPr="00086A1B">
        <w:rPr>
          <w:rFonts w:ascii="Avenir Next" w:hAnsi="Avenir Next" w:cs="Arial"/>
          <w:color w:val="808080" w:themeColor="background1" w:themeShade="80"/>
          <w:sz w:val="22"/>
          <w:szCs w:val="22"/>
          <w:lang w:val="en-GB"/>
        </w:rPr>
        <w:t>is a concept that advocates for one set of insolvency proceedings governing all worldwide aspects of the debtor's insolvency. This would mean that once one set of proceedings in underway (typically in the debtor's centre of main interest) no others could be commenced.</w:t>
      </w:r>
      <w:r w:rsidR="007E0D8E">
        <w:rPr>
          <w:rFonts w:ascii="Avenir Next" w:hAnsi="Avenir Next" w:cs="Arial"/>
          <w:color w:val="808080" w:themeColor="background1" w:themeShade="80"/>
          <w:sz w:val="22"/>
          <w:szCs w:val="22"/>
          <w:lang w:val="en-GB"/>
        </w:rPr>
        <w:t xml:space="preserve"> Furthermore, as a matter of recognition and enforcement, universalism would require that other </w:t>
      </w:r>
      <w:r w:rsidR="00FE2EE8">
        <w:rPr>
          <w:rFonts w:ascii="Avenir Next" w:hAnsi="Avenir Next" w:cs="Arial"/>
          <w:color w:val="808080" w:themeColor="background1" w:themeShade="80"/>
          <w:sz w:val="22"/>
          <w:szCs w:val="22"/>
          <w:lang w:val="en-GB"/>
        </w:rPr>
        <w:t>S</w:t>
      </w:r>
      <w:r w:rsidR="007E0D8E">
        <w:rPr>
          <w:rFonts w:ascii="Avenir Next" w:hAnsi="Avenir Next" w:cs="Arial"/>
          <w:color w:val="808080" w:themeColor="background1" w:themeShade="80"/>
          <w:sz w:val="22"/>
          <w:szCs w:val="22"/>
          <w:lang w:val="en-GB"/>
        </w:rPr>
        <w:t xml:space="preserve">tates recognise the one set of insolvency proceeding which have extra territorial </w:t>
      </w:r>
      <w:r w:rsidR="00FE2EE8">
        <w:rPr>
          <w:rFonts w:ascii="Avenir Next" w:hAnsi="Avenir Next" w:cs="Arial"/>
          <w:color w:val="808080" w:themeColor="background1" w:themeShade="80"/>
          <w:sz w:val="22"/>
          <w:szCs w:val="22"/>
          <w:lang w:val="en-GB"/>
        </w:rPr>
        <w:t>effect in their own S</w:t>
      </w:r>
      <w:r w:rsidR="007E0D8E">
        <w:rPr>
          <w:rFonts w:ascii="Avenir Next" w:hAnsi="Avenir Next" w:cs="Arial"/>
          <w:color w:val="808080" w:themeColor="background1" w:themeShade="80"/>
          <w:sz w:val="22"/>
          <w:szCs w:val="22"/>
          <w:lang w:val="en-GB"/>
        </w:rPr>
        <w:t>tate.</w:t>
      </w:r>
      <w:r w:rsidRPr="00086A1B">
        <w:rPr>
          <w:rFonts w:ascii="Avenir Next" w:hAnsi="Avenir Next" w:cs="Arial"/>
          <w:color w:val="808080" w:themeColor="background1" w:themeShade="80"/>
          <w:sz w:val="22"/>
          <w:szCs w:val="22"/>
          <w:lang w:val="en-GB"/>
        </w:rPr>
        <w:t xml:space="preserve"> Universalism seeks to address the reality of many businesses being multi-national. However, in practice, it is thought to be impractical, as each State will be reluctant to completely cede power.</w:t>
      </w:r>
    </w:p>
    <w:p w14:paraId="33433EF2" w14:textId="77777777" w:rsidR="00086A1B" w:rsidRPr="00086A1B" w:rsidRDefault="00086A1B" w:rsidP="00086A1B">
      <w:pPr>
        <w:ind w:left="720" w:hanging="720"/>
        <w:jc w:val="both"/>
        <w:rPr>
          <w:rFonts w:ascii="Avenir Next" w:hAnsi="Avenir Next" w:cs="Arial"/>
          <w:color w:val="808080" w:themeColor="background1" w:themeShade="80"/>
          <w:sz w:val="22"/>
          <w:szCs w:val="22"/>
          <w:lang w:val="en-GB"/>
        </w:rPr>
      </w:pPr>
    </w:p>
    <w:p w14:paraId="35D28A6E" w14:textId="77777777" w:rsidR="00086A1B" w:rsidRPr="00086A1B" w:rsidRDefault="00086A1B" w:rsidP="00086A1B">
      <w:pPr>
        <w:jc w:val="both"/>
        <w:rPr>
          <w:rFonts w:ascii="Avenir Next" w:hAnsi="Avenir Next" w:cs="Arial"/>
          <w:color w:val="808080" w:themeColor="background1" w:themeShade="80"/>
          <w:sz w:val="22"/>
          <w:szCs w:val="22"/>
          <w:lang w:val="en-GB"/>
        </w:rPr>
      </w:pPr>
      <w:r w:rsidRPr="00CF1CC1">
        <w:rPr>
          <w:rFonts w:ascii="Avenir Next" w:hAnsi="Avenir Next" w:cs="Arial"/>
          <w:b/>
          <w:color w:val="808080" w:themeColor="background1" w:themeShade="80"/>
          <w:sz w:val="22"/>
          <w:szCs w:val="22"/>
          <w:lang w:val="en-GB"/>
        </w:rPr>
        <w:t>Territoriality</w:t>
      </w:r>
      <w:r w:rsidRPr="00086A1B">
        <w:rPr>
          <w:rFonts w:ascii="Avenir Next" w:hAnsi="Avenir Next" w:cs="Arial"/>
          <w:color w:val="808080" w:themeColor="background1" w:themeShade="80"/>
          <w:sz w:val="22"/>
          <w:szCs w:val="22"/>
          <w:lang w:val="en-GB"/>
        </w:rPr>
        <w:t xml:space="preserve">, in contrast, is the principle that insolvency proceedings could (or should) be commenced in every State where the debtor has an interest, with each State's courts </w:t>
      </w:r>
      <w:r w:rsidRPr="00086A1B">
        <w:rPr>
          <w:rFonts w:ascii="Avenir Next" w:hAnsi="Avenir Next" w:cs="Arial"/>
          <w:color w:val="808080" w:themeColor="background1" w:themeShade="80"/>
          <w:sz w:val="22"/>
          <w:szCs w:val="22"/>
          <w:lang w:val="en-GB"/>
        </w:rPr>
        <w:lastRenderedPageBreak/>
        <w:t>applying its own rules to the relevant assets within its jurisdiction, without any reference to concurrent foreign proceedings. This would also mean that creditors would be restricted as to where they could file their claims. Territorialism has the obvious drawback of inconsistent treatment of creditors and added costs. There may also be issues such as different States applying different definitions of "insolvency" such that the debtor is insolvent in one State but not another.</w:t>
      </w:r>
    </w:p>
    <w:p w14:paraId="6915607F" w14:textId="77777777" w:rsidR="00086A1B" w:rsidRPr="00086A1B" w:rsidRDefault="00086A1B" w:rsidP="00086A1B">
      <w:pPr>
        <w:ind w:left="720" w:hanging="720"/>
        <w:jc w:val="both"/>
        <w:rPr>
          <w:rFonts w:ascii="Avenir Next" w:hAnsi="Avenir Next" w:cs="Arial"/>
          <w:color w:val="808080" w:themeColor="background1" w:themeShade="80"/>
          <w:sz w:val="22"/>
          <w:szCs w:val="22"/>
          <w:lang w:val="en-GB"/>
        </w:rPr>
      </w:pPr>
    </w:p>
    <w:p w14:paraId="7423CD5D" w14:textId="77777777" w:rsidR="00086A1B" w:rsidRPr="00086A1B" w:rsidRDefault="00086A1B" w:rsidP="00086A1B">
      <w:pPr>
        <w:jc w:val="both"/>
        <w:rPr>
          <w:rFonts w:ascii="Avenir Next" w:hAnsi="Avenir Next" w:cs="Arial"/>
          <w:color w:val="808080" w:themeColor="background1" w:themeShade="80"/>
          <w:sz w:val="22"/>
          <w:szCs w:val="22"/>
          <w:lang w:val="en-GB"/>
        </w:rPr>
      </w:pPr>
      <w:r w:rsidRPr="00086A1B">
        <w:rPr>
          <w:rFonts w:ascii="Avenir Next" w:hAnsi="Avenir Next" w:cs="Arial"/>
          <w:color w:val="808080" w:themeColor="background1" w:themeShade="80"/>
          <w:sz w:val="22"/>
          <w:szCs w:val="22"/>
          <w:lang w:val="en-GB"/>
        </w:rPr>
        <w:t>In practice, a hybrid approach of "</w:t>
      </w:r>
      <w:r w:rsidRPr="00CF1CC1">
        <w:rPr>
          <w:rFonts w:ascii="Avenir Next" w:hAnsi="Avenir Next" w:cs="Arial"/>
          <w:b/>
          <w:color w:val="808080" w:themeColor="background1" w:themeShade="80"/>
          <w:sz w:val="22"/>
          <w:szCs w:val="22"/>
          <w:lang w:val="en-GB"/>
        </w:rPr>
        <w:t>modified universalism</w:t>
      </w:r>
      <w:r w:rsidRPr="00086A1B">
        <w:rPr>
          <w:rFonts w:ascii="Avenir Next" w:hAnsi="Avenir Next" w:cs="Arial"/>
          <w:color w:val="808080" w:themeColor="background1" w:themeShade="80"/>
          <w:sz w:val="22"/>
          <w:szCs w:val="22"/>
          <w:lang w:val="en-GB"/>
        </w:rPr>
        <w:t>" has emerged, which acknowledges that there can be concurrent insolvency proceedings in different States, but that there will be a "main proceeding" in the debtor's centre of main interest, to which other proceedings are subordinate.</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44F875E" w:rsidR="00DA42DA" w:rsidRDefault="005F62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Latin American region has been very successful in instituting initiatives to harmonise cross-border insolvency issues.</w:t>
      </w:r>
      <w:r w:rsidR="00791EB2">
        <w:rPr>
          <w:rFonts w:ascii="Avenir Next" w:hAnsi="Avenir Next" w:cs="Arial"/>
          <w:color w:val="808080" w:themeColor="background1" w:themeShade="80"/>
          <w:sz w:val="22"/>
          <w:szCs w:val="22"/>
          <w:lang w:val="en-GB"/>
        </w:rPr>
        <w:t xml:space="preserve"> These include: </w:t>
      </w:r>
    </w:p>
    <w:p w14:paraId="2A090627" w14:textId="77777777" w:rsidR="00791EB2" w:rsidRDefault="00791EB2" w:rsidP="00DA42DA">
      <w:pPr>
        <w:jc w:val="both"/>
        <w:rPr>
          <w:rFonts w:ascii="Avenir Next" w:hAnsi="Avenir Next" w:cs="Arial"/>
          <w:color w:val="808080" w:themeColor="background1" w:themeShade="80"/>
          <w:sz w:val="22"/>
          <w:szCs w:val="22"/>
          <w:lang w:val="en-GB"/>
        </w:rPr>
      </w:pPr>
    </w:p>
    <w:p w14:paraId="68591B2F" w14:textId="38AE0CD3" w:rsidR="00791EB2" w:rsidRDefault="00791EB2" w:rsidP="00791EB2">
      <w:pPr>
        <w:pStyle w:val="ListParagraph"/>
        <w:numPr>
          <w:ilvl w:val="0"/>
          <w:numId w:val="35"/>
        </w:numPr>
        <w:jc w:val="both"/>
        <w:rPr>
          <w:rFonts w:ascii="Avenir Next" w:hAnsi="Avenir Next" w:cs="Arial"/>
          <w:color w:val="808080" w:themeColor="background1" w:themeShade="80"/>
          <w:sz w:val="22"/>
          <w:szCs w:val="22"/>
          <w:lang w:val="en-GB"/>
        </w:rPr>
      </w:pPr>
      <w:r w:rsidRPr="00CF1CC1">
        <w:rPr>
          <w:rFonts w:ascii="Avenir Next" w:hAnsi="Avenir Next" w:cs="Arial"/>
          <w:b/>
          <w:color w:val="808080" w:themeColor="background1" w:themeShade="80"/>
          <w:sz w:val="22"/>
          <w:szCs w:val="22"/>
          <w:lang w:val="en-GB"/>
        </w:rPr>
        <w:t>The Montevideo Treaties of 1889 and 1940:</w:t>
      </w:r>
      <w:r w:rsidR="00603DF3" w:rsidRPr="00CF1CC1">
        <w:rPr>
          <w:rFonts w:ascii="Avenir Next" w:hAnsi="Avenir Next" w:cs="Arial"/>
          <w:b/>
          <w:color w:val="808080" w:themeColor="background1" w:themeShade="80"/>
          <w:sz w:val="22"/>
          <w:szCs w:val="22"/>
          <w:lang w:val="en-GB"/>
        </w:rPr>
        <w:t xml:space="preserve"> </w:t>
      </w:r>
      <w:r w:rsidR="00603DF3" w:rsidRPr="00AE614E">
        <w:rPr>
          <w:rFonts w:ascii="Avenir Next" w:hAnsi="Avenir Next" w:cs="Arial"/>
          <w:color w:val="808080" w:themeColor="background1" w:themeShade="80"/>
          <w:sz w:val="22"/>
          <w:szCs w:val="22"/>
          <w:lang w:val="en-GB"/>
        </w:rPr>
        <w:t>The</w:t>
      </w:r>
      <w:r w:rsidR="00603DF3">
        <w:rPr>
          <w:rFonts w:ascii="Avenir Next" w:hAnsi="Avenir Next" w:cs="Arial"/>
          <w:color w:val="808080" w:themeColor="background1" w:themeShade="80"/>
          <w:sz w:val="22"/>
          <w:szCs w:val="22"/>
          <w:lang w:val="en-GB"/>
        </w:rPr>
        <w:t xml:space="preserve"> Treaty of 1889 has more signatories (Argentina, Bolivia, and Columbia, Paraguay. Peru and Uruguay) </w:t>
      </w:r>
      <w:r w:rsidR="001166E5">
        <w:rPr>
          <w:rFonts w:ascii="Avenir Next" w:hAnsi="Avenir Next" w:cs="Arial"/>
          <w:color w:val="808080" w:themeColor="background1" w:themeShade="80"/>
          <w:sz w:val="22"/>
          <w:szCs w:val="22"/>
          <w:lang w:val="en-GB"/>
        </w:rPr>
        <w:t>than the 1940 Treaty. T</w:t>
      </w:r>
      <w:r w:rsidR="00603DF3">
        <w:rPr>
          <w:rFonts w:ascii="Avenir Next" w:hAnsi="Avenir Next" w:cs="Arial"/>
          <w:color w:val="808080" w:themeColor="background1" w:themeShade="80"/>
          <w:sz w:val="22"/>
          <w:szCs w:val="22"/>
          <w:lang w:val="en-GB"/>
        </w:rPr>
        <w:t>he only signatories to the 1940 Treaty are Argentina, Paraguay and Uruguay. The 1889 Treaty covers both personal and corporate insolvency. Where the debtor has a com</w:t>
      </w:r>
      <w:r w:rsidR="00FE2EE8">
        <w:rPr>
          <w:rFonts w:ascii="Avenir Next" w:hAnsi="Avenir Next" w:cs="Arial"/>
          <w:color w:val="808080" w:themeColor="background1" w:themeShade="80"/>
          <w:sz w:val="22"/>
          <w:szCs w:val="22"/>
          <w:lang w:val="en-GB"/>
        </w:rPr>
        <w:t xml:space="preserve">mercial domicile in one </w:t>
      </w:r>
      <w:proofErr w:type="gramStart"/>
      <w:r w:rsidR="00FE2EE8">
        <w:rPr>
          <w:rFonts w:ascii="Avenir Next" w:hAnsi="Avenir Next" w:cs="Arial"/>
          <w:color w:val="808080" w:themeColor="background1" w:themeShade="80"/>
          <w:sz w:val="22"/>
          <w:szCs w:val="22"/>
          <w:lang w:val="en-GB"/>
        </w:rPr>
        <w:t>treaty</w:t>
      </w:r>
      <w:proofErr w:type="gramEnd"/>
      <w:r w:rsidR="00FE2EE8">
        <w:rPr>
          <w:rFonts w:ascii="Avenir Next" w:hAnsi="Avenir Next" w:cs="Arial"/>
          <w:color w:val="808080" w:themeColor="background1" w:themeShade="80"/>
          <w:sz w:val="22"/>
          <w:szCs w:val="22"/>
          <w:lang w:val="en-GB"/>
        </w:rPr>
        <w:t xml:space="preserve"> S</w:t>
      </w:r>
      <w:r w:rsidR="00603DF3">
        <w:rPr>
          <w:rFonts w:ascii="Avenir Next" w:hAnsi="Avenir Next" w:cs="Arial"/>
          <w:color w:val="808080" w:themeColor="background1" w:themeShade="80"/>
          <w:sz w:val="22"/>
          <w:szCs w:val="22"/>
          <w:lang w:val="en-GB"/>
        </w:rPr>
        <w:t>tate, there will be one set of proceedings i</w:t>
      </w:r>
      <w:r w:rsidR="00FE2EE8">
        <w:rPr>
          <w:rFonts w:ascii="Avenir Next" w:hAnsi="Avenir Next" w:cs="Arial"/>
          <w:color w:val="808080" w:themeColor="background1" w:themeShade="80"/>
          <w:sz w:val="22"/>
          <w:szCs w:val="22"/>
          <w:lang w:val="en-GB"/>
        </w:rPr>
        <w:t>n that S</w:t>
      </w:r>
      <w:r w:rsidR="00603DF3">
        <w:rPr>
          <w:rFonts w:ascii="Avenir Next" w:hAnsi="Avenir Next" w:cs="Arial"/>
          <w:color w:val="808080" w:themeColor="background1" w:themeShade="80"/>
          <w:sz w:val="22"/>
          <w:szCs w:val="22"/>
          <w:lang w:val="en-GB"/>
        </w:rPr>
        <w:t>tate. Where the debtor has two or more economically autonomous business in different</w:t>
      </w:r>
      <w:r w:rsidR="00FE2EE8">
        <w:rPr>
          <w:rFonts w:ascii="Avenir Next" w:hAnsi="Avenir Next" w:cs="Arial"/>
          <w:color w:val="808080" w:themeColor="background1" w:themeShade="80"/>
          <w:sz w:val="22"/>
          <w:szCs w:val="22"/>
          <w:lang w:val="en-GB"/>
        </w:rPr>
        <w:t xml:space="preserve"> treaty S</w:t>
      </w:r>
      <w:r w:rsidR="00603DF3">
        <w:rPr>
          <w:rFonts w:ascii="Avenir Next" w:hAnsi="Avenir Next" w:cs="Arial"/>
          <w:color w:val="808080" w:themeColor="background1" w:themeShade="80"/>
          <w:sz w:val="22"/>
          <w:szCs w:val="22"/>
          <w:lang w:val="en-GB"/>
        </w:rPr>
        <w:t>tates, the Treaty allows for concurrent proceedings.</w:t>
      </w:r>
    </w:p>
    <w:p w14:paraId="1AE85A60" w14:textId="77777777" w:rsidR="00791EB2" w:rsidRDefault="00791EB2" w:rsidP="00791EB2">
      <w:pPr>
        <w:pStyle w:val="ListParagraph"/>
        <w:jc w:val="both"/>
        <w:rPr>
          <w:rFonts w:ascii="Avenir Next" w:hAnsi="Avenir Next" w:cs="Arial"/>
          <w:color w:val="808080" w:themeColor="background1" w:themeShade="80"/>
          <w:sz w:val="22"/>
          <w:szCs w:val="22"/>
          <w:lang w:val="en-GB"/>
        </w:rPr>
      </w:pPr>
    </w:p>
    <w:p w14:paraId="1A0BA664" w14:textId="39921A87" w:rsidR="00791EB2" w:rsidRDefault="00791EB2" w:rsidP="00791EB2">
      <w:pPr>
        <w:pStyle w:val="ListParagraph"/>
        <w:numPr>
          <w:ilvl w:val="0"/>
          <w:numId w:val="35"/>
        </w:numPr>
        <w:jc w:val="both"/>
        <w:rPr>
          <w:rFonts w:ascii="Avenir Next" w:hAnsi="Avenir Next" w:cs="Arial"/>
          <w:color w:val="808080" w:themeColor="background1" w:themeShade="80"/>
          <w:sz w:val="22"/>
          <w:szCs w:val="22"/>
          <w:lang w:val="en-GB"/>
        </w:rPr>
      </w:pPr>
      <w:r w:rsidRPr="00CF1CC1">
        <w:rPr>
          <w:rFonts w:ascii="Avenir Next" w:hAnsi="Avenir Next" w:cs="Arial"/>
          <w:b/>
          <w:color w:val="808080" w:themeColor="background1" w:themeShade="80"/>
          <w:sz w:val="22"/>
          <w:szCs w:val="22"/>
          <w:lang w:val="en-GB"/>
        </w:rPr>
        <w:t>The Havana Convention on Private International Law of 1928 (also known as the Bustamante Code)</w:t>
      </w:r>
      <w:r w:rsidR="00762C73" w:rsidRPr="00CF1CC1">
        <w:rPr>
          <w:rFonts w:ascii="Avenir Next" w:hAnsi="Avenir Next" w:cs="Arial"/>
          <w:b/>
          <w:color w:val="808080" w:themeColor="background1" w:themeShade="80"/>
          <w:sz w:val="22"/>
          <w:szCs w:val="22"/>
          <w:lang w:val="en-GB"/>
        </w:rPr>
        <w:t>:</w:t>
      </w:r>
      <w:r w:rsidR="00762C73">
        <w:rPr>
          <w:rFonts w:ascii="Avenir Next" w:hAnsi="Avenir Next" w:cs="Arial"/>
          <w:color w:val="808080" w:themeColor="background1" w:themeShade="80"/>
          <w:sz w:val="22"/>
          <w:szCs w:val="22"/>
          <w:lang w:val="en-GB"/>
        </w:rPr>
        <w:t xml:space="preserve"> There a large number of signatories </w:t>
      </w:r>
      <w:r w:rsidR="001166E5">
        <w:rPr>
          <w:rFonts w:ascii="Avenir Next" w:hAnsi="Avenir Next" w:cs="Arial"/>
          <w:color w:val="808080" w:themeColor="background1" w:themeShade="80"/>
          <w:sz w:val="22"/>
          <w:szCs w:val="22"/>
          <w:lang w:val="en-GB"/>
        </w:rPr>
        <w:t>to the Havana C</w:t>
      </w:r>
      <w:r w:rsidR="00762C73">
        <w:rPr>
          <w:rFonts w:ascii="Avenir Next" w:hAnsi="Avenir Next" w:cs="Arial"/>
          <w:color w:val="808080" w:themeColor="background1" w:themeShade="80"/>
          <w:sz w:val="22"/>
          <w:szCs w:val="22"/>
          <w:lang w:val="en-GB"/>
        </w:rPr>
        <w:t>onvention (with Bolivia and Peru being parties to both the Havana Convention and the 1889 Montevideo Treaty). The Havana Convention is more focussed</w:t>
      </w:r>
      <w:r w:rsidR="001166E5">
        <w:rPr>
          <w:rFonts w:ascii="Avenir Next" w:hAnsi="Avenir Next" w:cs="Arial"/>
          <w:color w:val="808080" w:themeColor="background1" w:themeShade="80"/>
          <w:sz w:val="22"/>
          <w:szCs w:val="22"/>
          <w:lang w:val="en-GB"/>
        </w:rPr>
        <w:t xml:space="preserve"> that the Montevideo Treaties on there being a</w:t>
      </w:r>
      <w:r w:rsidR="00762C73">
        <w:rPr>
          <w:rFonts w:ascii="Avenir Next" w:hAnsi="Avenir Next" w:cs="Arial"/>
          <w:color w:val="808080" w:themeColor="background1" w:themeShade="80"/>
          <w:sz w:val="22"/>
          <w:szCs w:val="22"/>
          <w:lang w:val="en-GB"/>
        </w:rPr>
        <w:t xml:space="preserve"> single, universal bankruptcy proceeding</w:t>
      </w:r>
      <w:r w:rsidR="001166E5">
        <w:rPr>
          <w:rFonts w:ascii="Avenir Next" w:hAnsi="Avenir Next" w:cs="Arial"/>
          <w:color w:val="808080" w:themeColor="background1" w:themeShade="80"/>
          <w:sz w:val="22"/>
          <w:szCs w:val="22"/>
          <w:lang w:val="en-GB"/>
        </w:rPr>
        <w:t xml:space="preserve"> that would apply</w:t>
      </w:r>
      <w:r w:rsidR="00762C73">
        <w:rPr>
          <w:rFonts w:ascii="Avenir Next" w:hAnsi="Avenir Next" w:cs="Arial"/>
          <w:color w:val="808080" w:themeColor="background1" w:themeShade="80"/>
          <w:sz w:val="22"/>
          <w:szCs w:val="22"/>
          <w:lang w:val="en-GB"/>
        </w:rPr>
        <w:t xml:space="preserve"> throughout the region</w:t>
      </w:r>
      <w:r w:rsidR="001166E5">
        <w:rPr>
          <w:rFonts w:ascii="Avenir Next" w:hAnsi="Avenir Next" w:cs="Arial"/>
          <w:color w:val="808080" w:themeColor="background1" w:themeShade="80"/>
          <w:sz w:val="22"/>
          <w:szCs w:val="22"/>
          <w:lang w:val="en-GB"/>
        </w:rPr>
        <w:t xml:space="preserve">. Nonetheless, </w:t>
      </w:r>
      <w:r w:rsidR="00AD3D99">
        <w:rPr>
          <w:rFonts w:ascii="Avenir Next" w:hAnsi="Avenir Next" w:cs="Arial"/>
          <w:color w:val="808080" w:themeColor="background1" w:themeShade="80"/>
          <w:sz w:val="22"/>
          <w:szCs w:val="22"/>
          <w:lang w:val="en-GB"/>
        </w:rPr>
        <w:t xml:space="preserve">there will be similarities </w:t>
      </w:r>
      <w:r w:rsidR="001166E5">
        <w:rPr>
          <w:rFonts w:ascii="Avenir Next" w:hAnsi="Avenir Next" w:cs="Arial"/>
          <w:color w:val="808080" w:themeColor="background1" w:themeShade="80"/>
          <w:sz w:val="22"/>
          <w:szCs w:val="22"/>
          <w:lang w:val="en-GB"/>
        </w:rPr>
        <w:t xml:space="preserve">with the Montevideo Treaties </w:t>
      </w:r>
      <w:r w:rsidR="00AD3D99">
        <w:rPr>
          <w:rFonts w:ascii="Avenir Next" w:hAnsi="Avenir Next" w:cs="Arial"/>
          <w:color w:val="808080" w:themeColor="background1" w:themeShade="80"/>
          <w:sz w:val="22"/>
          <w:szCs w:val="22"/>
          <w:lang w:val="en-GB"/>
        </w:rPr>
        <w:t xml:space="preserve">where there are business that operate entirely economically independent branches </w:t>
      </w:r>
      <w:r w:rsidR="001166E5">
        <w:rPr>
          <w:rFonts w:ascii="Avenir Next" w:hAnsi="Avenir Next" w:cs="Arial"/>
          <w:color w:val="808080" w:themeColor="background1" w:themeShade="80"/>
          <w:sz w:val="22"/>
          <w:szCs w:val="22"/>
          <w:lang w:val="en-GB"/>
        </w:rPr>
        <w:t>in different countries in the region</w:t>
      </w:r>
      <w:r w:rsidR="00AD3D99">
        <w:rPr>
          <w:rFonts w:ascii="Avenir Next" w:hAnsi="Avenir Next" w:cs="Arial"/>
          <w:color w:val="808080" w:themeColor="background1" w:themeShade="80"/>
          <w:sz w:val="22"/>
          <w:szCs w:val="22"/>
          <w:lang w:val="en-GB"/>
        </w:rPr>
        <w:t>.</w:t>
      </w:r>
      <w:r w:rsidR="00FA06F3">
        <w:rPr>
          <w:rFonts w:ascii="Avenir Next" w:hAnsi="Avenir Next" w:cs="Arial"/>
          <w:color w:val="808080" w:themeColor="background1" w:themeShade="80"/>
          <w:sz w:val="22"/>
          <w:szCs w:val="22"/>
          <w:lang w:val="en-GB"/>
        </w:rPr>
        <w:t xml:space="preserve"> In cases where there are concurrent proceedings, the Havana Convention does not provide for co-operation or co-ordination of those proceedings. </w:t>
      </w:r>
    </w:p>
    <w:p w14:paraId="047D1683" w14:textId="77777777" w:rsidR="00791EB2" w:rsidRPr="00791EB2" w:rsidRDefault="00791EB2" w:rsidP="00791EB2">
      <w:pPr>
        <w:pStyle w:val="ListParagraph"/>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76C423F1" w14:textId="6CB91A66" w:rsidR="008E3ADC" w:rsidRDefault="003A00FE" w:rsidP="00692852">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1436BD0F" w14:textId="351673D5" w:rsidR="00066445" w:rsidRDefault="00066445" w:rsidP="00692852">
      <w:pPr>
        <w:jc w:val="both"/>
        <w:rPr>
          <w:rFonts w:ascii="Avenir Next" w:hAnsi="Avenir Next" w:cs="Arial"/>
          <w:sz w:val="22"/>
          <w:szCs w:val="22"/>
          <w:lang w:val="en-GB"/>
        </w:rPr>
      </w:pPr>
    </w:p>
    <w:p w14:paraId="58CF28C3" w14:textId="7569299C" w:rsidR="00066445" w:rsidRDefault="00FE2EE8" w:rsidP="00E403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some S</w:t>
      </w:r>
      <w:r w:rsidR="00CA17F2">
        <w:rPr>
          <w:rFonts w:ascii="Avenir Next" w:hAnsi="Avenir Next" w:cs="Arial"/>
          <w:color w:val="808080" w:themeColor="background1" w:themeShade="80"/>
          <w:sz w:val="22"/>
          <w:szCs w:val="22"/>
          <w:lang w:val="en-GB"/>
        </w:rPr>
        <w:t>tates do use the terms "insolvency" and "bankruptcy</w:t>
      </w:r>
      <w:r w:rsidR="00DF5C8A">
        <w:rPr>
          <w:rFonts w:ascii="Avenir Next" w:hAnsi="Avenir Next" w:cs="Arial"/>
          <w:color w:val="808080" w:themeColor="background1" w:themeShade="80"/>
          <w:sz w:val="22"/>
          <w:szCs w:val="22"/>
          <w:lang w:val="en-GB"/>
        </w:rPr>
        <w:t>" interchangeably</w:t>
      </w:r>
      <w:r w:rsidR="00CA17F2">
        <w:rPr>
          <w:rFonts w:ascii="Avenir Next" w:hAnsi="Avenir Next" w:cs="Arial"/>
          <w:color w:val="808080" w:themeColor="background1" w:themeShade="80"/>
          <w:sz w:val="22"/>
          <w:szCs w:val="22"/>
          <w:lang w:val="en-GB"/>
        </w:rPr>
        <w:t xml:space="preserve">, it is </w:t>
      </w:r>
      <w:r w:rsidR="00776587">
        <w:rPr>
          <w:rFonts w:ascii="Avenir Next" w:hAnsi="Avenir Next" w:cs="Arial"/>
          <w:color w:val="808080" w:themeColor="background1" w:themeShade="80"/>
          <w:sz w:val="22"/>
          <w:szCs w:val="22"/>
          <w:lang w:val="en-GB"/>
        </w:rPr>
        <w:t xml:space="preserve">advisable to use </w:t>
      </w:r>
      <w:r w:rsidR="00066445">
        <w:rPr>
          <w:rFonts w:ascii="Avenir Next" w:hAnsi="Avenir Next" w:cs="Arial"/>
          <w:color w:val="808080" w:themeColor="background1" w:themeShade="80"/>
          <w:sz w:val="22"/>
          <w:szCs w:val="22"/>
          <w:lang w:val="en-GB"/>
        </w:rPr>
        <w:t xml:space="preserve">the terms </w:t>
      </w:r>
      <w:r w:rsidR="00CA17F2">
        <w:rPr>
          <w:rFonts w:ascii="Avenir Next" w:hAnsi="Avenir Next" w:cs="Arial"/>
          <w:color w:val="808080" w:themeColor="background1" w:themeShade="80"/>
          <w:sz w:val="22"/>
          <w:szCs w:val="22"/>
          <w:lang w:val="en-GB"/>
        </w:rPr>
        <w:t>with caution,</w:t>
      </w:r>
      <w:r w:rsidR="00066445">
        <w:rPr>
          <w:rFonts w:ascii="Avenir Next" w:hAnsi="Avenir Next" w:cs="Arial"/>
          <w:color w:val="808080" w:themeColor="background1" w:themeShade="80"/>
          <w:sz w:val="22"/>
          <w:szCs w:val="22"/>
          <w:lang w:val="en-GB"/>
        </w:rPr>
        <w:t xml:space="preserve"> </w:t>
      </w:r>
      <w:r w:rsidR="00776587">
        <w:rPr>
          <w:rFonts w:ascii="Avenir Next" w:hAnsi="Avenir Next" w:cs="Arial"/>
          <w:color w:val="808080" w:themeColor="background1" w:themeShade="80"/>
          <w:sz w:val="22"/>
          <w:szCs w:val="22"/>
          <w:lang w:val="en-GB"/>
        </w:rPr>
        <w:t xml:space="preserve">as different </w:t>
      </w:r>
      <w:r w:rsidR="00066445">
        <w:rPr>
          <w:rFonts w:ascii="Avenir Next" w:hAnsi="Avenir Next" w:cs="Arial"/>
          <w:color w:val="808080" w:themeColor="background1" w:themeShade="80"/>
          <w:sz w:val="22"/>
          <w:szCs w:val="22"/>
          <w:lang w:val="en-GB"/>
        </w:rPr>
        <w:t>nation</w:t>
      </w:r>
      <w:r w:rsidR="0077658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/S</w:t>
      </w:r>
      <w:r w:rsidR="00066445">
        <w:rPr>
          <w:rFonts w:ascii="Avenir Next" w:hAnsi="Avenir Next" w:cs="Arial"/>
          <w:color w:val="808080" w:themeColor="background1" w:themeShade="80"/>
          <w:sz w:val="22"/>
          <w:szCs w:val="22"/>
          <w:lang w:val="en-GB"/>
        </w:rPr>
        <w:t>tate</w:t>
      </w:r>
      <w:r w:rsidR="00776587">
        <w:rPr>
          <w:rFonts w:ascii="Avenir Next" w:hAnsi="Avenir Next" w:cs="Arial"/>
          <w:color w:val="808080" w:themeColor="background1" w:themeShade="80"/>
          <w:sz w:val="22"/>
          <w:szCs w:val="22"/>
          <w:lang w:val="en-GB"/>
        </w:rPr>
        <w:t xml:space="preserve">s may adopt the use of </w:t>
      </w:r>
      <w:r>
        <w:rPr>
          <w:rFonts w:ascii="Avenir Next" w:hAnsi="Avenir Next" w:cs="Arial"/>
          <w:color w:val="808080" w:themeColor="background1" w:themeShade="80"/>
          <w:sz w:val="22"/>
          <w:szCs w:val="22"/>
          <w:lang w:val="en-GB"/>
        </w:rPr>
        <w:lastRenderedPageBreak/>
        <w:t>one or the other, whilst some S</w:t>
      </w:r>
      <w:r w:rsidR="00776587">
        <w:rPr>
          <w:rFonts w:ascii="Avenir Next" w:hAnsi="Avenir Next" w:cs="Arial"/>
          <w:color w:val="808080" w:themeColor="background1" w:themeShade="80"/>
          <w:sz w:val="22"/>
          <w:szCs w:val="22"/>
          <w:lang w:val="en-GB"/>
        </w:rPr>
        <w:t xml:space="preserve">tates use both but in different contexts  (for example, in Australia, "insolvency" usually refers to a corporation whilst "bankruptcy" refers to an individual).  </w:t>
      </w:r>
    </w:p>
    <w:p w14:paraId="75FB0E3B" w14:textId="32A116A1" w:rsidR="00066445" w:rsidRDefault="00066445" w:rsidP="00E40326">
      <w:pPr>
        <w:jc w:val="both"/>
        <w:rPr>
          <w:rFonts w:ascii="Avenir Next" w:hAnsi="Avenir Next" w:cs="Arial"/>
          <w:color w:val="808080" w:themeColor="background1" w:themeShade="80"/>
          <w:sz w:val="22"/>
          <w:szCs w:val="22"/>
          <w:lang w:val="en-GB"/>
        </w:rPr>
      </w:pPr>
    </w:p>
    <w:p w14:paraId="68EDF015" w14:textId="4F78C4CF" w:rsidR="00066445" w:rsidRDefault="00FE2EE8" w:rsidP="00776587">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S</w:t>
      </w:r>
      <w:r w:rsidR="00CA17F2">
        <w:rPr>
          <w:rFonts w:ascii="Avenir Next" w:hAnsi="Avenir Next" w:cs="Arial"/>
          <w:color w:val="808080" w:themeColor="background1" w:themeShade="80"/>
          <w:sz w:val="22"/>
          <w:szCs w:val="22"/>
          <w:lang w:val="en-GB"/>
        </w:rPr>
        <w:t xml:space="preserve">tates, if using both terms, will use "insolvency" to describe the state of financial affairs of the debtor (i.e. are they insolvent?) whilst "bankruptcy" is the formal process </w:t>
      </w:r>
      <w:r w:rsidR="00DF5C8A">
        <w:rPr>
          <w:rFonts w:ascii="Avenir Next" w:hAnsi="Avenir Next" w:cs="Arial"/>
          <w:color w:val="808080" w:themeColor="background1" w:themeShade="80"/>
          <w:sz w:val="22"/>
          <w:szCs w:val="22"/>
          <w:lang w:val="en-GB"/>
        </w:rPr>
        <w:t>o</w:t>
      </w:r>
      <w:r w:rsidR="00CA17F2">
        <w:rPr>
          <w:rFonts w:ascii="Avenir Next" w:hAnsi="Avenir Next" w:cs="Arial"/>
          <w:color w:val="808080" w:themeColor="background1" w:themeShade="80"/>
          <w:sz w:val="22"/>
          <w:szCs w:val="22"/>
          <w:lang w:val="en-GB"/>
        </w:rPr>
        <w:t>f being but into a bankruptcy proceeding.</w:t>
      </w:r>
      <w:r w:rsidR="00EE082A">
        <w:rPr>
          <w:rFonts w:ascii="Avenir Next" w:hAnsi="Avenir Next" w:cs="Arial"/>
          <w:color w:val="808080" w:themeColor="background1" w:themeShade="80"/>
          <w:sz w:val="22"/>
          <w:szCs w:val="22"/>
          <w:lang w:val="en-GB"/>
        </w:rPr>
        <w:t xml:space="preserve"> Another potential distinction is whether the </w:t>
      </w:r>
      <w:r>
        <w:rPr>
          <w:rFonts w:ascii="Avenir Next" w:hAnsi="Avenir Next" w:cs="Arial"/>
          <w:color w:val="808080" w:themeColor="background1" w:themeShade="80"/>
          <w:sz w:val="22"/>
          <w:szCs w:val="22"/>
          <w:lang w:val="en-GB"/>
        </w:rPr>
        <w:t>S</w:t>
      </w:r>
      <w:r w:rsidR="00EE082A">
        <w:rPr>
          <w:rFonts w:ascii="Avenir Next" w:hAnsi="Avenir Next" w:cs="Arial"/>
          <w:color w:val="808080" w:themeColor="background1" w:themeShade="80"/>
          <w:sz w:val="22"/>
          <w:szCs w:val="22"/>
          <w:lang w:val="en-GB"/>
        </w:rPr>
        <w:t>tate defines insolvency on a "balance sheet" basis (i.e. where the liab</w:t>
      </w:r>
      <w:r w:rsidR="00DF5C8A">
        <w:rPr>
          <w:rFonts w:ascii="Avenir Next" w:hAnsi="Avenir Next" w:cs="Arial"/>
          <w:color w:val="808080" w:themeColor="background1" w:themeShade="80"/>
          <w:sz w:val="22"/>
          <w:szCs w:val="22"/>
          <w:lang w:val="en-GB"/>
        </w:rPr>
        <w:t>ilities of the debtor exceed its</w:t>
      </w:r>
      <w:r w:rsidR="00EE082A">
        <w:rPr>
          <w:rFonts w:ascii="Avenir Next" w:hAnsi="Avenir Next" w:cs="Arial"/>
          <w:color w:val="808080" w:themeColor="background1" w:themeShade="80"/>
          <w:sz w:val="22"/>
          <w:szCs w:val="22"/>
          <w:lang w:val="en-GB"/>
        </w:rPr>
        <w:t xml:space="preserve"> assets or a "cash flow" basis (referring to the ability to pay debts as they fall due).</w:t>
      </w:r>
    </w:p>
    <w:p w14:paraId="31FBECEF" w14:textId="77777777" w:rsidR="00D31CFB" w:rsidRDefault="00D31CFB" w:rsidP="00D31CFB">
      <w:pPr>
        <w:pStyle w:val="ListParagraph"/>
        <w:ind w:left="1080"/>
        <w:jc w:val="both"/>
        <w:rPr>
          <w:rFonts w:ascii="Avenir Next" w:hAnsi="Avenir Next" w:cs="Arial"/>
          <w:color w:val="808080" w:themeColor="background1" w:themeShade="80"/>
          <w:sz w:val="22"/>
          <w:szCs w:val="22"/>
          <w:lang w:val="en-GB"/>
        </w:rPr>
      </w:pPr>
    </w:p>
    <w:p w14:paraId="1185BB5D" w14:textId="2C7417F2" w:rsidR="00214261" w:rsidRDefault="00D31CFB" w:rsidP="00776587">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 R Wood</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helpfully </w:t>
      </w:r>
      <w:r w:rsidR="00214261">
        <w:rPr>
          <w:rFonts w:ascii="Avenir Next" w:hAnsi="Avenir Next" w:cs="Arial"/>
          <w:color w:val="808080" w:themeColor="background1" w:themeShade="80"/>
          <w:sz w:val="22"/>
          <w:szCs w:val="22"/>
          <w:lang w:val="en-GB"/>
        </w:rPr>
        <w:t>identifies</w:t>
      </w:r>
      <w:r>
        <w:rPr>
          <w:rFonts w:ascii="Avenir Next" w:hAnsi="Avenir Next" w:cs="Arial"/>
          <w:color w:val="808080" w:themeColor="background1" w:themeShade="80"/>
          <w:sz w:val="22"/>
          <w:szCs w:val="22"/>
          <w:lang w:val="en-GB"/>
        </w:rPr>
        <w:t xml:space="preserve"> the following thre</w:t>
      </w:r>
      <w:r w:rsidR="001561FA">
        <w:rPr>
          <w:rFonts w:ascii="Avenir Next" w:hAnsi="Avenir Next" w:cs="Arial"/>
          <w:color w:val="808080" w:themeColor="background1" w:themeShade="80"/>
          <w:sz w:val="22"/>
          <w:szCs w:val="22"/>
          <w:lang w:val="en-GB"/>
        </w:rPr>
        <w:t xml:space="preserve">e essential characteristics of </w:t>
      </w:r>
      <w:r w:rsidR="00214261">
        <w:rPr>
          <w:rFonts w:ascii="Avenir Next" w:hAnsi="Avenir Next" w:cs="Arial"/>
          <w:color w:val="808080" w:themeColor="background1" w:themeShade="80"/>
          <w:sz w:val="22"/>
          <w:szCs w:val="22"/>
          <w:lang w:val="en-GB"/>
        </w:rPr>
        <w:t>bankruptcy</w:t>
      </w:r>
      <w:r w:rsidR="001561FA">
        <w:rPr>
          <w:rFonts w:ascii="Avenir Next" w:hAnsi="Avenir Next" w:cs="Arial"/>
          <w:color w:val="808080" w:themeColor="background1" w:themeShade="80"/>
          <w:sz w:val="22"/>
          <w:szCs w:val="22"/>
          <w:lang w:val="en-GB"/>
        </w:rPr>
        <w:t>/insolvency</w:t>
      </w:r>
      <w:r w:rsidR="00214261">
        <w:rPr>
          <w:rFonts w:ascii="Avenir Next" w:hAnsi="Avenir Next" w:cs="Arial"/>
          <w:color w:val="808080" w:themeColor="background1" w:themeShade="80"/>
          <w:sz w:val="22"/>
          <w:szCs w:val="22"/>
          <w:lang w:val="en-GB"/>
        </w:rPr>
        <w:t>:</w:t>
      </w:r>
    </w:p>
    <w:p w14:paraId="38BE3D30" w14:textId="77777777" w:rsidR="00214261" w:rsidRPr="00214261" w:rsidRDefault="00214261" w:rsidP="00214261">
      <w:pPr>
        <w:pStyle w:val="ListParagraph"/>
        <w:rPr>
          <w:rFonts w:ascii="Avenir Next" w:hAnsi="Avenir Next" w:cs="Arial"/>
          <w:color w:val="808080" w:themeColor="background1" w:themeShade="80"/>
          <w:sz w:val="22"/>
          <w:szCs w:val="22"/>
          <w:lang w:val="en-GB"/>
        </w:rPr>
      </w:pPr>
    </w:p>
    <w:p w14:paraId="0BDDDBBD" w14:textId="5110FBC5" w:rsidR="00214261" w:rsidRDefault="001561FA" w:rsidP="00214261">
      <w:pPr>
        <w:pStyle w:val="ListParagraph"/>
        <w:numPr>
          <w:ilvl w:val="0"/>
          <w:numId w:val="35"/>
        </w:numPr>
        <w:ind w:left="13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14261">
        <w:rPr>
          <w:rFonts w:ascii="Avenir Next" w:hAnsi="Avenir Next" w:cs="Arial"/>
          <w:color w:val="808080" w:themeColor="background1" w:themeShade="80"/>
          <w:sz w:val="22"/>
          <w:szCs w:val="22"/>
          <w:lang w:val="en-GB"/>
        </w:rPr>
        <w:t>he stay, or automatic moratorium, on creditor actions (which Wood ultimately concludes to be the only truly universal feature of insolvency);</w:t>
      </w:r>
    </w:p>
    <w:p w14:paraId="35BDB947" w14:textId="6DFCE71D" w:rsidR="00214261" w:rsidRDefault="001561FA" w:rsidP="00214261">
      <w:pPr>
        <w:pStyle w:val="ListParagraph"/>
        <w:numPr>
          <w:ilvl w:val="0"/>
          <w:numId w:val="35"/>
        </w:numPr>
        <w:ind w:left="13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214261">
        <w:rPr>
          <w:rFonts w:ascii="Avenir Next" w:hAnsi="Avenir Next" w:cs="Arial"/>
          <w:color w:val="808080" w:themeColor="background1" w:themeShade="80"/>
          <w:sz w:val="22"/>
          <w:szCs w:val="22"/>
          <w:lang w:val="en-GB"/>
        </w:rPr>
        <w:t>ssets being pooled t</w:t>
      </w:r>
      <w:r w:rsidR="00FE2EE8">
        <w:rPr>
          <w:rFonts w:ascii="Avenir Next" w:hAnsi="Avenir Next" w:cs="Arial"/>
          <w:color w:val="808080" w:themeColor="background1" w:themeShade="80"/>
          <w:sz w:val="22"/>
          <w:szCs w:val="22"/>
          <w:lang w:val="en-GB"/>
        </w:rPr>
        <w:t>o pay creditors (although some S</w:t>
      </w:r>
      <w:r w:rsidR="00214261">
        <w:rPr>
          <w:rFonts w:ascii="Avenir Next" w:hAnsi="Avenir Next" w:cs="Arial"/>
          <w:color w:val="808080" w:themeColor="background1" w:themeShade="80"/>
          <w:sz w:val="22"/>
          <w:szCs w:val="22"/>
          <w:lang w:val="en-GB"/>
        </w:rPr>
        <w:t>tates do not follow this principle strictly); and</w:t>
      </w:r>
    </w:p>
    <w:p w14:paraId="14F00A70" w14:textId="4C12F2FA" w:rsidR="00CA17F2" w:rsidRDefault="001561FA" w:rsidP="00214261">
      <w:pPr>
        <w:pStyle w:val="ListParagraph"/>
        <w:numPr>
          <w:ilvl w:val="0"/>
          <w:numId w:val="35"/>
        </w:numPr>
        <w:ind w:left="135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c</w:t>
      </w:r>
      <w:r w:rsidR="00214261">
        <w:rPr>
          <w:rFonts w:ascii="Avenir Next" w:hAnsi="Avenir Next" w:cs="Arial"/>
          <w:color w:val="808080" w:themeColor="background1" w:themeShade="80"/>
          <w:sz w:val="22"/>
          <w:szCs w:val="22"/>
          <w:lang w:val="en-GB"/>
        </w:rPr>
        <w:t>reditors</w:t>
      </w:r>
      <w:proofErr w:type="gramEnd"/>
      <w:r w:rsidR="00214261">
        <w:rPr>
          <w:rFonts w:ascii="Avenir Next" w:hAnsi="Avenir Next" w:cs="Arial"/>
          <w:color w:val="808080" w:themeColor="background1" w:themeShade="80"/>
          <w:sz w:val="22"/>
          <w:szCs w:val="22"/>
          <w:lang w:val="en-GB"/>
        </w:rPr>
        <w:t xml:space="preserve"> being paid </w:t>
      </w:r>
      <w:r w:rsidR="00214261" w:rsidRPr="001561FA">
        <w:rPr>
          <w:rFonts w:ascii="Avenir Next" w:hAnsi="Avenir Next" w:cs="Arial"/>
          <w:i/>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w:t>
      </w:r>
      <w:r w:rsidR="00FE2EE8">
        <w:rPr>
          <w:rFonts w:ascii="Avenir Next" w:hAnsi="Avenir Next" w:cs="Arial"/>
          <w:color w:val="808080" w:themeColor="background1" w:themeShade="80"/>
          <w:sz w:val="22"/>
          <w:szCs w:val="22"/>
          <w:lang w:val="en-GB"/>
        </w:rPr>
        <w:t>(although most S</w:t>
      </w:r>
      <w:r w:rsidR="00214261">
        <w:rPr>
          <w:rFonts w:ascii="Avenir Next" w:hAnsi="Avenir Next" w:cs="Arial"/>
          <w:color w:val="808080" w:themeColor="background1" w:themeShade="80"/>
          <w:sz w:val="22"/>
          <w:szCs w:val="22"/>
          <w:lang w:val="en-GB"/>
        </w:rPr>
        <w:t xml:space="preserve">tates acknowledge priority and secured creditors which creates many exceptions to this "rule"). </w:t>
      </w:r>
    </w:p>
    <w:p w14:paraId="5E5C9D3F" w14:textId="77777777" w:rsidR="00D31CFB" w:rsidRPr="00D31CFB" w:rsidRDefault="00D31CFB" w:rsidP="00D31CFB">
      <w:pPr>
        <w:pStyle w:val="ListParagraph"/>
        <w:rPr>
          <w:rFonts w:ascii="Avenir Next" w:hAnsi="Avenir Next" w:cs="Arial"/>
          <w:color w:val="808080" w:themeColor="background1" w:themeShade="80"/>
          <w:sz w:val="22"/>
          <w:szCs w:val="22"/>
          <w:lang w:val="en-GB"/>
        </w:rPr>
      </w:pPr>
    </w:p>
    <w:p w14:paraId="0B6EFFDA" w14:textId="2BF59166" w:rsidR="00E40326" w:rsidRPr="00D31CFB" w:rsidRDefault="00875DE8" w:rsidP="00E40326">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the different considerations arising in personal and corporate insolvency,</w:t>
      </w:r>
      <w:r>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i</w:t>
      </w:r>
      <w:r w:rsidR="00E40326" w:rsidRPr="00D31CFB">
        <w:rPr>
          <w:rFonts w:ascii="Avenir Next" w:hAnsi="Avenir Next" w:cs="Arial"/>
          <w:color w:val="808080" w:themeColor="background1" w:themeShade="80"/>
          <w:sz w:val="22"/>
          <w:szCs w:val="22"/>
          <w:lang w:val="en-GB"/>
        </w:rPr>
        <w:t>n the case of an individual's bankruptcy, the Cour</w:t>
      </w:r>
      <w:r w:rsidR="00807CC5">
        <w:rPr>
          <w:rFonts w:ascii="Avenir Next" w:hAnsi="Avenir Next" w:cs="Arial"/>
          <w:color w:val="808080" w:themeColor="background1" w:themeShade="80"/>
          <w:sz w:val="22"/>
          <w:szCs w:val="22"/>
          <w:lang w:val="en-GB"/>
        </w:rPr>
        <w:t>ts are usually keen to protect</w:t>
      </w:r>
      <w:r w:rsidR="00E40326" w:rsidRPr="00D31CFB">
        <w:rPr>
          <w:rFonts w:ascii="Avenir Next" w:hAnsi="Avenir Next" w:cs="Arial"/>
          <w:color w:val="808080" w:themeColor="background1" w:themeShade="80"/>
          <w:sz w:val="22"/>
          <w:szCs w:val="22"/>
          <w:lang w:val="en-GB"/>
        </w:rPr>
        <w:t xml:space="preserve"> a debtor from harassment from creditors and enable them to "wipe the slate clean". There will also be an acknowledgment that some assets (such as assets essential for the maintenance of the debtor and their family) should be protected from the insolvency.</w:t>
      </w:r>
    </w:p>
    <w:p w14:paraId="3C5A03FF" w14:textId="77777777" w:rsidR="00E40326" w:rsidRPr="00E40326" w:rsidRDefault="00E40326" w:rsidP="00E40326">
      <w:pPr>
        <w:jc w:val="both"/>
        <w:rPr>
          <w:rFonts w:ascii="Avenir Next" w:hAnsi="Avenir Next" w:cs="Arial"/>
          <w:color w:val="808080" w:themeColor="background1" w:themeShade="80"/>
          <w:sz w:val="22"/>
          <w:szCs w:val="22"/>
          <w:lang w:val="en-GB"/>
        </w:rPr>
      </w:pPr>
    </w:p>
    <w:p w14:paraId="64581125" w14:textId="07B4EB78" w:rsidR="00E40326" w:rsidRPr="00E40326" w:rsidRDefault="00E40326" w:rsidP="00875DE8">
      <w:pPr>
        <w:ind w:left="1080"/>
        <w:jc w:val="both"/>
        <w:rPr>
          <w:rFonts w:ascii="Avenir Next" w:hAnsi="Avenir Next" w:cs="Arial"/>
          <w:color w:val="808080" w:themeColor="background1" w:themeShade="80"/>
          <w:sz w:val="22"/>
          <w:szCs w:val="22"/>
          <w:lang w:val="en-GB"/>
        </w:rPr>
      </w:pPr>
      <w:r w:rsidRPr="00E40326">
        <w:rPr>
          <w:rFonts w:ascii="Avenir Next" w:hAnsi="Avenir Next" w:cs="Arial"/>
          <w:color w:val="808080" w:themeColor="background1" w:themeShade="80"/>
          <w:sz w:val="22"/>
          <w:szCs w:val="22"/>
          <w:lang w:val="en-GB"/>
        </w:rPr>
        <w:t>For corporations, most system</w:t>
      </w:r>
      <w:r>
        <w:rPr>
          <w:rFonts w:ascii="Avenir Next" w:hAnsi="Avenir Next" w:cs="Arial"/>
          <w:color w:val="808080" w:themeColor="background1" w:themeShade="80"/>
          <w:sz w:val="22"/>
          <w:szCs w:val="22"/>
          <w:lang w:val="en-GB"/>
        </w:rPr>
        <w:t>s</w:t>
      </w:r>
      <w:r w:rsidRPr="00E40326">
        <w:rPr>
          <w:rFonts w:ascii="Avenir Next" w:hAnsi="Avenir Next" w:cs="Arial"/>
          <w:color w:val="808080" w:themeColor="background1" w:themeShade="80"/>
          <w:sz w:val="22"/>
          <w:szCs w:val="22"/>
          <w:lang w:val="en-GB"/>
        </w:rPr>
        <w:t xml:space="preserve"> will, where possible, seek to preserve the business (acknowledging it usually has more value as a going concern) or where this is not possible, preserve the viable parts of the business. It may also be appropriate to apportion personal liability (e.g. on a director) where that person's position has been abused. </w:t>
      </w:r>
    </w:p>
    <w:p w14:paraId="2196AB89" w14:textId="77777777" w:rsidR="00E40326" w:rsidRPr="00E40326" w:rsidRDefault="00E40326" w:rsidP="00E40326">
      <w:pPr>
        <w:jc w:val="both"/>
        <w:rPr>
          <w:rFonts w:ascii="Avenir Next" w:hAnsi="Avenir Next" w:cs="Arial"/>
          <w:color w:val="808080" w:themeColor="background1" w:themeShade="80"/>
          <w:sz w:val="22"/>
          <w:szCs w:val="22"/>
          <w:lang w:val="en-GB"/>
        </w:rPr>
      </w:pPr>
    </w:p>
    <w:p w14:paraId="2C3F5A3F" w14:textId="77777777" w:rsidR="00E40326" w:rsidRPr="00E40326" w:rsidRDefault="00E40326" w:rsidP="00875DE8">
      <w:pPr>
        <w:ind w:left="1080"/>
        <w:jc w:val="both"/>
        <w:rPr>
          <w:rFonts w:ascii="Avenir Next" w:hAnsi="Avenir Next" w:cs="Arial"/>
          <w:color w:val="808080" w:themeColor="background1" w:themeShade="80"/>
          <w:sz w:val="22"/>
          <w:szCs w:val="22"/>
          <w:lang w:val="en-GB"/>
        </w:rPr>
      </w:pPr>
      <w:r w:rsidRPr="00E40326">
        <w:rPr>
          <w:rFonts w:ascii="Avenir Next" w:hAnsi="Avenir Next" w:cs="Arial"/>
          <w:color w:val="808080" w:themeColor="background1" w:themeShade="80"/>
          <w:sz w:val="22"/>
          <w:szCs w:val="22"/>
          <w:lang w:val="en-GB"/>
        </w:rPr>
        <w:t xml:space="preserve">In both cases, the aim is to ensure a </w:t>
      </w:r>
      <w:r w:rsidRPr="00E40326">
        <w:rPr>
          <w:rFonts w:ascii="Avenir Next" w:hAnsi="Avenir Next" w:cs="Arial"/>
          <w:i/>
          <w:color w:val="808080" w:themeColor="background1" w:themeShade="80"/>
          <w:sz w:val="22"/>
          <w:szCs w:val="22"/>
          <w:lang w:val="en-GB"/>
        </w:rPr>
        <w:t>pari passu</w:t>
      </w:r>
      <w:r w:rsidRPr="00E40326">
        <w:rPr>
          <w:rFonts w:ascii="Avenir Next" w:hAnsi="Avenir Next" w:cs="Arial"/>
          <w:color w:val="808080" w:themeColor="background1" w:themeShade="80"/>
          <w:sz w:val="22"/>
          <w:szCs w:val="22"/>
          <w:lang w:val="en-GB"/>
        </w:rPr>
        <w:t xml:space="preserve"> distribution amongst creditors (except those with priority or security), ensure secured creditors are dealt with fairly and to maximise the value of the estate (e.g. through investigating voidable transactions).</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C5A372B" w14:textId="7BC378FE" w:rsidR="00971226" w:rsidRPr="00971226" w:rsidRDefault="00971226" w:rsidP="00971226">
      <w:p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There are a multitude of difficulties that may rise in a cross-border insolvency situation.</w:t>
      </w:r>
      <w:r w:rsidR="00FE2EE8">
        <w:rPr>
          <w:rFonts w:ascii="Avenir Next" w:hAnsi="Avenir Next" w:cs="Arial"/>
          <w:color w:val="808080" w:themeColor="background1" w:themeShade="80"/>
          <w:sz w:val="22"/>
          <w:szCs w:val="22"/>
          <w:lang w:val="en-GB"/>
        </w:rPr>
        <w:t xml:space="preserve"> At the outset, different S</w:t>
      </w:r>
      <w:r>
        <w:rPr>
          <w:rFonts w:ascii="Avenir Next" w:hAnsi="Avenir Next" w:cs="Arial"/>
          <w:color w:val="808080" w:themeColor="background1" w:themeShade="80"/>
          <w:sz w:val="22"/>
          <w:szCs w:val="22"/>
          <w:lang w:val="en-GB"/>
        </w:rPr>
        <w:t>tate</w:t>
      </w:r>
      <w:r w:rsidRPr="00971226">
        <w:rPr>
          <w:rFonts w:ascii="Avenir Next" w:hAnsi="Avenir Next" w:cs="Arial"/>
          <w:color w:val="808080" w:themeColor="background1" w:themeShade="80"/>
          <w:sz w:val="22"/>
          <w:szCs w:val="22"/>
          <w:lang w:val="en-GB"/>
        </w:rPr>
        <w:t>s may have different tests for "insolvency</w:t>
      </w:r>
      <w:r>
        <w:rPr>
          <w:rFonts w:ascii="Avenir Next" w:hAnsi="Avenir Next" w:cs="Arial"/>
          <w:color w:val="808080" w:themeColor="background1" w:themeShade="80"/>
          <w:sz w:val="22"/>
          <w:szCs w:val="22"/>
          <w:lang w:val="en-GB"/>
        </w:rPr>
        <w:t>", as noted at 3.1 above</w:t>
      </w:r>
      <w:r w:rsidRPr="00971226">
        <w:rPr>
          <w:rFonts w:ascii="Avenir Next" w:hAnsi="Avenir Next" w:cs="Arial"/>
          <w:color w:val="808080" w:themeColor="background1" w:themeShade="80"/>
          <w:sz w:val="22"/>
          <w:szCs w:val="22"/>
          <w:lang w:val="en-GB"/>
        </w:rPr>
        <w:t>. Without a consistent definition, the situation may arises where insolvency pro</w:t>
      </w:r>
      <w:r w:rsidR="00FE2EE8">
        <w:rPr>
          <w:rFonts w:ascii="Avenir Next" w:hAnsi="Avenir Next" w:cs="Arial"/>
          <w:color w:val="808080" w:themeColor="background1" w:themeShade="80"/>
          <w:sz w:val="22"/>
          <w:szCs w:val="22"/>
          <w:lang w:val="en-GB"/>
        </w:rPr>
        <w:t>ceedings have commenced in one S</w:t>
      </w:r>
      <w:r w:rsidRPr="00971226">
        <w:rPr>
          <w:rFonts w:ascii="Avenir Next" w:hAnsi="Avenir Next" w:cs="Arial"/>
          <w:color w:val="808080" w:themeColor="background1" w:themeShade="80"/>
          <w:sz w:val="22"/>
          <w:szCs w:val="22"/>
          <w:lang w:val="en-GB"/>
        </w:rPr>
        <w:t>tate but the debtor is n</w:t>
      </w:r>
      <w:r>
        <w:rPr>
          <w:rFonts w:ascii="Avenir Next" w:hAnsi="Avenir Next" w:cs="Arial"/>
          <w:color w:val="808080" w:themeColor="background1" w:themeShade="80"/>
          <w:sz w:val="22"/>
          <w:szCs w:val="22"/>
          <w:lang w:val="en-GB"/>
        </w:rPr>
        <w:t xml:space="preserve">ot deemed insolvent in another </w:t>
      </w:r>
      <w:r w:rsidR="00FE2EE8">
        <w:rPr>
          <w:rFonts w:ascii="Avenir Next" w:hAnsi="Avenir Next" w:cs="Arial"/>
          <w:color w:val="808080" w:themeColor="background1" w:themeShade="80"/>
          <w:sz w:val="22"/>
          <w:szCs w:val="22"/>
          <w:lang w:val="en-GB"/>
        </w:rPr>
        <w:t>S</w:t>
      </w:r>
      <w:r w:rsidRPr="00971226">
        <w:rPr>
          <w:rFonts w:ascii="Avenir Next" w:hAnsi="Avenir Next" w:cs="Arial"/>
          <w:color w:val="808080" w:themeColor="background1" w:themeShade="80"/>
          <w:sz w:val="22"/>
          <w:szCs w:val="22"/>
          <w:lang w:val="en-GB"/>
        </w:rPr>
        <w:t>tate where they hold significant assets.</w:t>
      </w:r>
    </w:p>
    <w:p w14:paraId="6C033141" w14:textId="77777777" w:rsidR="00971226" w:rsidRPr="00971226" w:rsidRDefault="00971226" w:rsidP="00971226">
      <w:pPr>
        <w:jc w:val="both"/>
        <w:rPr>
          <w:rFonts w:ascii="Avenir Next" w:hAnsi="Avenir Next" w:cs="Arial"/>
          <w:color w:val="808080" w:themeColor="background1" w:themeShade="80"/>
          <w:sz w:val="22"/>
          <w:szCs w:val="22"/>
          <w:lang w:val="en-GB"/>
        </w:rPr>
      </w:pPr>
    </w:p>
    <w:p w14:paraId="51857323" w14:textId="77FB9724" w:rsidR="00971226" w:rsidRPr="00971226" w:rsidRDefault="00971226" w:rsidP="00971226">
      <w:p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lastRenderedPageBreak/>
        <w:t xml:space="preserve">Differences may also arise depending on whether a </w:t>
      </w:r>
      <w:r w:rsidR="00FE2EE8">
        <w:rPr>
          <w:rFonts w:ascii="Avenir Next" w:hAnsi="Avenir Next" w:cs="Arial"/>
          <w:color w:val="808080" w:themeColor="background1" w:themeShade="80"/>
          <w:sz w:val="22"/>
          <w:szCs w:val="22"/>
          <w:lang w:val="en-GB"/>
        </w:rPr>
        <w:t>S</w:t>
      </w:r>
      <w:r w:rsidRPr="00971226">
        <w:rPr>
          <w:rFonts w:ascii="Avenir Next" w:hAnsi="Avenir Next" w:cs="Arial"/>
          <w:color w:val="808080" w:themeColor="background1" w:themeShade="80"/>
          <w:sz w:val="22"/>
          <w:szCs w:val="22"/>
          <w:lang w:val="en-GB"/>
        </w:rPr>
        <w:t xml:space="preserve">tate is "creditor-friendly" or "debtor-friendly", which is likely to affect the local legislation and tools available to an insolvency practitioner – this includes categories such as: </w:t>
      </w:r>
    </w:p>
    <w:p w14:paraId="079EEE8B" w14:textId="77777777" w:rsidR="00971226" w:rsidRPr="00971226" w:rsidRDefault="00971226" w:rsidP="00971226">
      <w:pPr>
        <w:numPr>
          <w:ilvl w:val="0"/>
          <w:numId w:val="37"/>
        </w:num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voidable dispositions;</w:t>
      </w:r>
    </w:p>
    <w:p w14:paraId="77320264" w14:textId="77777777" w:rsidR="00971226" w:rsidRPr="00971226" w:rsidRDefault="00971226" w:rsidP="00971226">
      <w:pPr>
        <w:numPr>
          <w:ilvl w:val="0"/>
          <w:numId w:val="37"/>
        </w:num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the effectiveness of certain types of security;</w:t>
      </w:r>
    </w:p>
    <w:p w14:paraId="5492A37F" w14:textId="77777777" w:rsidR="00971226" w:rsidRPr="00971226" w:rsidRDefault="00971226" w:rsidP="00971226">
      <w:pPr>
        <w:numPr>
          <w:ilvl w:val="0"/>
          <w:numId w:val="37"/>
        </w:num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whether there is a moratorium on creditor actions;</w:t>
      </w:r>
    </w:p>
    <w:p w14:paraId="18973201" w14:textId="77777777" w:rsidR="00971226" w:rsidRPr="00971226" w:rsidRDefault="00971226" w:rsidP="00971226">
      <w:pPr>
        <w:numPr>
          <w:ilvl w:val="0"/>
          <w:numId w:val="37"/>
        </w:num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which creditors are considered "preferred" – e.g. differences in public policy approaches to salaries due to employees; and</w:t>
      </w:r>
    </w:p>
    <w:p w14:paraId="7B66154B" w14:textId="77777777" w:rsidR="00971226" w:rsidRPr="00971226" w:rsidRDefault="00971226" w:rsidP="00971226">
      <w:pPr>
        <w:numPr>
          <w:ilvl w:val="0"/>
          <w:numId w:val="37"/>
        </w:numPr>
        <w:jc w:val="both"/>
        <w:rPr>
          <w:rFonts w:ascii="Avenir Next" w:hAnsi="Avenir Next" w:cs="Arial"/>
          <w:color w:val="808080" w:themeColor="background1" w:themeShade="80"/>
          <w:sz w:val="22"/>
          <w:szCs w:val="22"/>
          <w:lang w:val="en-GB"/>
        </w:rPr>
      </w:pPr>
      <w:proofErr w:type="gramStart"/>
      <w:r w:rsidRPr="00971226">
        <w:rPr>
          <w:rFonts w:ascii="Avenir Next" w:hAnsi="Avenir Next" w:cs="Arial"/>
          <w:color w:val="808080" w:themeColor="background1" w:themeShade="80"/>
          <w:sz w:val="22"/>
          <w:szCs w:val="22"/>
          <w:lang w:val="en-GB"/>
        </w:rPr>
        <w:t>the</w:t>
      </w:r>
      <w:proofErr w:type="gramEnd"/>
      <w:r w:rsidRPr="00971226">
        <w:rPr>
          <w:rFonts w:ascii="Avenir Next" w:hAnsi="Avenir Next" w:cs="Arial"/>
          <w:color w:val="808080" w:themeColor="background1" w:themeShade="80"/>
          <w:sz w:val="22"/>
          <w:szCs w:val="22"/>
          <w:lang w:val="en-GB"/>
        </w:rPr>
        <w:t xml:space="preserve"> extent to which creditors can participate in the insolvency (and the co-ordination of their claims).</w:t>
      </w:r>
    </w:p>
    <w:p w14:paraId="164BE2A6" w14:textId="77777777" w:rsidR="00971226" w:rsidRPr="00971226" w:rsidRDefault="00971226" w:rsidP="00971226">
      <w:pPr>
        <w:jc w:val="both"/>
        <w:rPr>
          <w:rFonts w:ascii="Avenir Next" w:hAnsi="Avenir Next" w:cs="Arial"/>
          <w:color w:val="808080" w:themeColor="background1" w:themeShade="80"/>
          <w:sz w:val="22"/>
          <w:szCs w:val="22"/>
          <w:lang w:val="en-GB"/>
        </w:rPr>
      </w:pPr>
    </w:p>
    <w:p w14:paraId="6D83F85A" w14:textId="0EDD1F3B" w:rsidR="00AC7F24" w:rsidRDefault="00971226" w:rsidP="00971226">
      <w:pPr>
        <w:jc w:val="both"/>
        <w:rPr>
          <w:rFonts w:ascii="Avenir Next" w:hAnsi="Avenir Next" w:cs="Arial"/>
          <w:color w:val="808080" w:themeColor="background1" w:themeShade="80"/>
          <w:sz w:val="22"/>
          <w:szCs w:val="22"/>
          <w:lang w:val="en-GB"/>
        </w:rPr>
      </w:pPr>
      <w:r w:rsidRPr="00971226">
        <w:rPr>
          <w:rFonts w:ascii="Avenir Next" w:hAnsi="Avenir Next" w:cs="Arial"/>
          <w:color w:val="808080" w:themeColor="background1" w:themeShade="80"/>
          <w:sz w:val="22"/>
          <w:szCs w:val="22"/>
          <w:lang w:val="en-GB"/>
        </w:rPr>
        <w:t>Additio</w:t>
      </w:r>
      <w:r w:rsidR="00FE2EE8">
        <w:rPr>
          <w:rFonts w:ascii="Avenir Next" w:hAnsi="Avenir Next" w:cs="Arial"/>
          <w:color w:val="808080" w:themeColor="background1" w:themeShade="80"/>
          <w:sz w:val="22"/>
          <w:szCs w:val="22"/>
          <w:lang w:val="en-GB"/>
        </w:rPr>
        <w:t>nally, S</w:t>
      </w:r>
      <w:r w:rsidRPr="00971226">
        <w:rPr>
          <w:rFonts w:ascii="Avenir Next" w:hAnsi="Avenir Next" w:cs="Arial"/>
          <w:color w:val="808080" w:themeColor="background1" w:themeShade="80"/>
          <w:sz w:val="22"/>
          <w:szCs w:val="22"/>
          <w:lang w:val="en-GB"/>
        </w:rPr>
        <w:t xml:space="preserve">tates will have different approaches to the recognition of foreign insolvency representatives and the recognition of foreign insolvency judgments, leading to potential difficulties in enforcement. </w:t>
      </w:r>
    </w:p>
    <w:p w14:paraId="2A40193A" w14:textId="77777777" w:rsidR="00AC7F24" w:rsidRDefault="00AC7F24" w:rsidP="00971226">
      <w:pPr>
        <w:jc w:val="both"/>
        <w:rPr>
          <w:rFonts w:ascii="Avenir Next" w:hAnsi="Avenir Next" w:cs="Arial"/>
          <w:color w:val="808080" w:themeColor="background1" w:themeShade="80"/>
          <w:sz w:val="22"/>
          <w:szCs w:val="22"/>
          <w:lang w:val="en-GB"/>
        </w:rPr>
      </w:pPr>
    </w:p>
    <w:p w14:paraId="64410B25" w14:textId="6B656621" w:rsidR="00AC7F24" w:rsidRDefault="00AC7F24" w:rsidP="009712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useful summary of the issues, J L Westbrook, has identified nine key issues in cross-border insolvency cases:</w:t>
      </w:r>
      <w:r>
        <w:rPr>
          <w:rStyle w:val="FootnoteReference"/>
          <w:rFonts w:ascii="Avenir Next" w:hAnsi="Avenir Next" w:cs="Arial"/>
          <w:color w:val="808080" w:themeColor="background1" w:themeShade="80"/>
          <w:sz w:val="22"/>
          <w:szCs w:val="22"/>
          <w:lang w:val="en-GB"/>
        </w:rPr>
        <w:footnoteReference w:id="4"/>
      </w:r>
    </w:p>
    <w:p w14:paraId="621B8A58" w14:textId="77777777" w:rsidR="00AC7F24" w:rsidRDefault="00AC7F24" w:rsidP="00971226">
      <w:pPr>
        <w:jc w:val="both"/>
        <w:rPr>
          <w:rFonts w:ascii="Avenir Next" w:hAnsi="Avenir Next" w:cs="Arial"/>
          <w:color w:val="808080" w:themeColor="background1" w:themeShade="80"/>
          <w:sz w:val="22"/>
          <w:szCs w:val="22"/>
          <w:lang w:val="en-GB"/>
        </w:rPr>
      </w:pPr>
    </w:p>
    <w:p w14:paraId="7842AC47" w14:textId="53BEC5A7" w:rsidR="00971226"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standing for (and recognition of) the foreign representative;</w:t>
      </w:r>
    </w:p>
    <w:p w14:paraId="23F395DD" w14:textId="79E6DB9C"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2883E084" w14:textId="63334CB8"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42132754" w14:textId="626CC8DA"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 (i.e. how are contracts</w:t>
      </w:r>
      <w:r w:rsidR="008C2A9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commenced between the debtor and a th</w:t>
      </w:r>
      <w:r w:rsidR="008C2A93">
        <w:rPr>
          <w:rFonts w:ascii="Avenir Next" w:hAnsi="Avenir Next" w:cs="Arial"/>
          <w:color w:val="808080" w:themeColor="background1" w:themeShade="80"/>
          <w:sz w:val="22"/>
          <w:szCs w:val="22"/>
          <w:lang w:val="en-GB"/>
        </w:rPr>
        <w:t>ird party before the bankruptcy</w:t>
      </w:r>
      <w:r>
        <w:rPr>
          <w:rFonts w:ascii="Avenir Next" w:hAnsi="Avenir Next" w:cs="Arial"/>
          <w:color w:val="808080" w:themeColor="background1" w:themeShade="80"/>
          <w:sz w:val="22"/>
          <w:szCs w:val="22"/>
          <w:lang w:val="en-GB"/>
        </w:rPr>
        <w:t xml:space="preserve"> but not executed, treated);</w:t>
      </w:r>
    </w:p>
    <w:p w14:paraId="00B317E5" w14:textId="67BAF558"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procedures;</w:t>
      </w:r>
    </w:p>
    <w:p w14:paraId="0A631C58" w14:textId="5B3BA58B"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 (as noted above, for example, in relation to employee salaries);</w:t>
      </w:r>
    </w:p>
    <w:p w14:paraId="48A6E7CF" w14:textId="2B337DA4"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 powers (for example, how far back can the trustee in bankruptcy/liquidator look when considering if a transaction was a voidable preference or a transaction at an undervalue</w:t>
      </w:r>
      <w:r w:rsidR="008C2A9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0710817C" w14:textId="714BF928" w:rsid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 and</w:t>
      </w:r>
    </w:p>
    <w:p w14:paraId="0AA25D2F" w14:textId="6E799CAC" w:rsidR="00AC7F24" w:rsidRPr="00AC7F24" w:rsidRDefault="00AC7F24" w:rsidP="00AC7F24">
      <w:pPr>
        <w:pStyle w:val="ListParagraph"/>
        <w:numPr>
          <w:ilvl w:val="0"/>
          <w:numId w:val="38"/>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conflict</w:t>
      </w:r>
      <w:proofErr w:type="gramEnd"/>
      <w:r>
        <w:rPr>
          <w:rFonts w:ascii="Avenir Next" w:hAnsi="Avenir Next" w:cs="Arial"/>
          <w:color w:val="808080" w:themeColor="background1" w:themeShade="80"/>
          <w:sz w:val="22"/>
          <w:szCs w:val="22"/>
          <w:lang w:val="en-GB"/>
        </w:rPr>
        <w:t xml:space="preserve"> of law issues.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E26C9B2" w:rsidR="006A44B2" w:rsidRDefault="00DF729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provisions are those that provide a binding means to </w:t>
      </w:r>
      <w:r w:rsidR="00254804">
        <w:rPr>
          <w:rFonts w:ascii="Avenir Next" w:hAnsi="Avenir Next" w:cs="Arial"/>
          <w:color w:val="808080" w:themeColor="background1" w:themeShade="80"/>
          <w:sz w:val="22"/>
          <w:szCs w:val="22"/>
          <w:lang w:val="en-GB"/>
        </w:rPr>
        <w:t>affect</w:t>
      </w:r>
      <w:r>
        <w:rPr>
          <w:rFonts w:ascii="Avenir Next" w:hAnsi="Avenir Next" w:cs="Arial"/>
          <w:color w:val="808080" w:themeColor="background1" w:themeShade="80"/>
          <w:sz w:val="22"/>
          <w:szCs w:val="22"/>
          <w:lang w:val="en-GB"/>
        </w:rPr>
        <w:t xml:space="preserve"> a State's legislation/domestic law</w:t>
      </w:r>
      <w:r w:rsidR="00B436AE">
        <w:rPr>
          <w:rFonts w:ascii="Avenir Next" w:hAnsi="Avenir Next" w:cs="Arial"/>
          <w:color w:val="808080" w:themeColor="background1" w:themeShade="80"/>
          <w:sz w:val="22"/>
          <w:szCs w:val="22"/>
          <w:lang w:val="en-GB"/>
        </w:rPr>
        <w:t xml:space="preserve"> (e.g. treaties)</w:t>
      </w:r>
      <w:r w:rsidR="00257AF2">
        <w:rPr>
          <w:rFonts w:ascii="Avenir Next" w:hAnsi="Avenir Next" w:cs="Arial"/>
          <w:color w:val="808080" w:themeColor="background1" w:themeShade="80"/>
          <w:sz w:val="22"/>
          <w:szCs w:val="22"/>
          <w:lang w:val="en-GB"/>
        </w:rPr>
        <w:t xml:space="preserve">, whilst "soft law" </w:t>
      </w:r>
      <w:r w:rsidR="00254804">
        <w:rPr>
          <w:rFonts w:ascii="Avenir Next" w:hAnsi="Avenir Next" w:cs="Arial"/>
          <w:color w:val="808080" w:themeColor="background1" w:themeShade="80"/>
          <w:sz w:val="22"/>
          <w:szCs w:val="22"/>
          <w:lang w:val="en-GB"/>
        </w:rPr>
        <w:t xml:space="preserve">provisions </w:t>
      </w:r>
      <w:r w:rsidR="00257AF2">
        <w:rPr>
          <w:rFonts w:ascii="Avenir Next" w:hAnsi="Avenir Next" w:cs="Arial"/>
          <w:color w:val="808080" w:themeColor="background1" w:themeShade="80"/>
          <w:sz w:val="22"/>
          <w:szCs w:val="22"/>
          <w:lang w:val="en-GB"/>
        </w:rPr>
        <w:t>merely seek to influence it</w:t>
      </w:r>
      <w:r w:rsidR="00B436AE">
        <w:rPr>
          <w:rFonts w:ascii="Avenir Next" w:hAnsi="Avenir Next" w:cs="Arial"/>
          <w:color w:val="808080" w:themeColor="background1" w:themeShade="80"/>
          <w:sz w:val="22"/>
          <w:szCs w:val="22"/>
          <w:lang w:val="en-GB"/>
        </w:rPr>
        <w:t xml:space="preserve"> (e.g. through guidelines and principles)</w:t>
      </w:r>
      <w:r w:rsidR="00257AF2">
        <w:rPr>
          <w:rFonts w:ascii="Avenir Next" w:hAnsi="Avenir Next" w:cs="Arial"/>
          <w:color w:val="808080" w:themeColor="background1" w:themeShade="80"/>
          <w:sz w:val="22"/>
          <w:szCs w:val="22"/>
          <w:lang w:val="en-GB"/>
        </w:rPr>
        <w:t>.</w:t>
      </w:r>
    </w:p>
    <w:p w14:paraId="4718AED9" w14:textId="5C37B528" w:rsidR="009B77E4" w:rsidRDefault="009B77E4" w:rsidP="006A44B2">
      <w:pPr>
        <w:jc w:val="both"/>
        <w:rPr>
          <w:rFonts w:ascii="Avenir Next" w:hAnsi="Avenir Next" w:cs="Arial"/>
          <w:color w:val="808080" w:themeColor="background1" w:themeShade="80"/>
          <w:sz w:val="22"/>
          <w:szCs w:val="22"/>
          <w:lang w:val="en-GB"/>
        </w:rPr>
      </w:pPr>
    </w:p>
    <w:p w14:paraId="602DB431" w14:textId="0BF45BA0" w:rsidR="009B77E4" w:rsidRDefault="00707F1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multi-jurisdictional treaties have had varied success. </w:t>
      </w:r>
      <w:r w:rsidR="00B436AE">
        <w:rPr>
          <w:rFonts w:ascii="Avenir Next" w:hAnsi="Avenir Next" w:cs="Arial"/>
          <w:color w:val="808080" w:themeColor="background1" w:themeShade="80"/>
          <w:sz w:val="22"/>
          <w:szCs w:val="22"/>
          <w:lang w:val="en-GB"/>
        </w:rPr>
        <w:t>P</w:t>
      </w:r>
      <w:r w:rsidR="00B436AE">
        <w:rPr>
          <w:rFonts w:ascii="Avenir Next" w:hAnsi="Avenir Next" w:cs="Arial"/>
          <w:color w:val="808080" w:themeColor="background1" w:themeShade="80"/>
          <w:sz w:val="22"/>
          <w:szCs w:val="22"/>
          <w:lang w:val="en-GB"/>
        </w:rPr>
        <w:t>erhaps as getting so many nations to agree a binding legal obligation that may result in them ceding power to another State's courts has been unpalatable</w:t>
      </w:r>
      <w:r w:rsidR="00B436AE">
        <w:rPr>
          <w:rFonts w:ascii="Avenir Next" w:hAnsi="Avenir Next" w:cs="Arial"/>
          <w:color w:val="808080" w:themeColor="background1" w:themeShade="80"/>
          <w:sz w:val="22"/>
          <w:szCs w:val="22"/>
          <w:lang w:val="en-GB"/>
        </w:rPr>
        <w:t xml:space="preserve">. </w:t>
      </w:r>
      <w:r w:rsidR="009B77E4">
        <w:rPr>
          <w:rFonts w:ascii="Avenir Next" w:hAnsi="Avenir Next" w:cs="Arial"/>
          <w:color w:val="808080" w:themeColor="background1" w:themeShade="80"/>
          <w:sz w:val="22"/>
          <w:szCs w:val="22"/>
          <w:lang w:val="en-GB"/>
        </w:rPr>
        <w:t xml:space="preserve">A successful example </w:t>
      </w:r>
      <w:r w:rsidR="00B436AE">
        <w:rPr>
          <w:rFonts w:ascii="Avenir Next" w:hAnsi="Avenir Next" w:cs="Arial"/>
          <w:color w:val="808080" w:themeColor="background1" w:themeShade="80"/>
          <w:sz w:val="22"/>
          <w:szCs w:val="22"/>
          <w:lang w:val="en-GB"/>
        </w:rPr>
        <w:t xml:space="preserve">in </w:t>
      </w:r>
      <w:r w:rsidR="009B77E4">
        <w:rPr>
          <w:rFonts w:ascii="Avenir Next" w:hAnsi="Avenir Next" w:cs="Arial"/>
          <w:color w:val="808080" w:themeColor="background1" w:themeShade="80"/>
          <w:sz w:val="22"/>
          <w:szCs w:val="22"/>
          <w:lang w:val="en-GB"/>
        </w:rPr>
        <w:t>a cross-border insolvency context is the European Insolvency Regulation 2000 (recast in 2015). There are also countless bilateral tr</w:t>
      </w:r>
      <w:r w:rsidR="00B436AE">
        <w:rPr>
          <w:rFonts w:ascii="Avenir Next" w:hAnsi="Avenir Next" w:cs="Arial"/>
          <w:color w:val="808080" w:themeColor="background1" w:themeShade="80"/>
          <w:sz w:val="22"/>
          <w:szCs w:val="22"/>
          <w:lang w:val="en-GB"/>
        </w:rPr>
        <w:t>eaties existing between nation</w:t>
      </w:r>
      <w:r w:rsidR="009B77E4">
        <w:rPr>
          <w:rFonts w:ascii="Avenir Next" w:hAnsi="Avenir Next" w:cs="Arial"/>
          <w:color w:val="808080" w:themeColor="background1" w:themeShade="80"/>
          <w:sz w:val="22"/>
          <w:szCs w:val="22"/>
          <w:lang w:val="en-GB"/>
        </w:rPr>
        <w:t>s, which govern insolvency proceedings.</w:t>
      </w:r>
    </w:p>
    <w:p w14:paraId="44EAEEA9" w14:textId="38D64AF9" w:rsidR="00707F14" w:rsidRDefault="00707F14" w:rsidP="006A44B2">
      <w:pPr>
        <w:jc w:val="both"/>
        <w:rPr>
          <w:rFonts w:ascii="Avenir Next" w:hAnsi="Avenir Next" w:cs="Arial"/>
          <w:color w:val="808080" w:themeColor="background1" w:themeShade="80"/>
          <w:sz w:val="22"/>
          <w:szCs w:val="22"/>
          <w:lang w:val="en-GB"/>
        </w:rPr>
      </w:pPr>
    </w:p>
    <w:p w14:paraId="100705C8" w14:textId="52D22CE8" w:rsidR="00707F14" w:rsidRDefault="00707F14"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has generally been more success, on a multi-national level, in </w:t>
      </w:r>
      <w:r w:rsidR="00B436AE">
        <w:rPr>
          <w:rFonts w:ascii="Avenir Next" w:hAnsi="Avenir Next" w:cs="Arial"/>
          <w:color w:val="808080" w:themeColor="background1" w:themeShade="80"/>
          <w:sz w:val="22"/>
          <w:szCs w:val="22"/>
          <w:lang w:val="en-GB"/>
        </w:rPr>
        <w:t>implemen</w:t>
      </w:r>
      <w:r>
        <w:rPr>
          <w:rFonts w:ascii="Avenir Next" w:hAnsi="Avenir Next" w:cs="Arial"/>
          <w:color w:val="808080" w:themeColor="background1" w:themeShade="80"/>
          <w:sz w:val="22"/>
          <w:szCs w:val="22"/>
          <w:lang w:val="en-GB"/>
        </w:rPr>
        <w:t xml:space="preserve">ting </w:t>
      </w:r>
      <w:r w:rsidR="00B436AE">
        <w:rPr>
          <w:rFonts w:ascii="Avenir Next" w:hAnsi="Avenir Next" w:cs="Arial"/>
          <w:color w:val="808080" w:themeColor="background1" w:themeShade="80"/>
          <w:sz w:val="22"/>
          <w:szCs w:val="22"/>
          <w:lang w:val="en-GB"/>
        </w:rPr>
        <w:t>"soft law" solutions.</w:t>
      </w:r>
    </w:p>
    <w:p w14:paraId="2E61B56E" w14:textId="23264DBB" w:rsidR="00707F14" w:rsidRDefault="00707F14" w:rsidP="006A44B2">
      <w:pPr>
        <w:jc w:val="both"/>
        <w:rPr>
          <w:rFonts w:ascii="Avenir Next" w:hAnsi="Avenir Next" w:cs="Arial"/>
          <w:color w:val="808080" w:themeColor="background1" w:themeShade="80"/>
          <w:sz w:val="22"/>
          <w:szCs w:val="22"/>
          <w:lang w:val="en-GB"/>
        </w:rPr>
      </w:pPr>
    </w:p>
    <w:p w14:paraId="694531CD" w14:textId="7A2C985D" w:rsidR="006C70CE" w:rsidRDefault="00707F14" w:rsidP="00707F14">
      <w:pPr>
        <w:jc w:val="both"/>
        <w:rPr>
          <w:rFonts w:ascii="Avenir Next" w:hAnsi="Avenir Next" w:cs="Arial"/>
          <w:color w:val="808080" w:themeColor="background1" w:themeShade="80"/>
          <w:sz w:val="22"/>
          <w:szCs w:val="22"/>
          <w:lang w:val="en-GB"/>
        </w:rPr>
      </w:pPr>
      <w:r w:rsidRPr="00707F14">
        <w:rPr>
          <w:rFonts w:ascii="Avenir Next" w:hAnsi="Avenir Next" w:cs="Arial"/>
          <w:color w:val="808080" w:themeColor="background1" w:themeShade="80"/>
          <w:sz w:val="22"/>
          <w:szCs w:val="22"/>
          <w:lang w:val="en-GB"/>
        </w:rPr>
        <w:lastRenderedPageBreak/>
        <w:t xml:space="preserve">One of the most important </w:t>
      </w:r>
      <w:r>
        <w:rPr>
          <w:rFonts w:ascii="Avenir Next" w:hAnsi="Avenir Next" w:cs="Arial"/>
          <w:color w:val="808080" w:themeColor="background1" w:themeShade="80"/>
          <w:sz w:val="22"/>
          <w:szCs w:val="22"/>
          <w:lang w:val="en-GB"/>
        </w:rPr>
        <w:t xml:space="preserve">"soft law" </w:t>
      </w:r>
      <w:r w:rsidRPr="00707F14">
        <w:rPr>
          <w:rFonts w:ascii="Avenir Next" w:hAnsi="Avenir Next" w:cs="Arial"/>
          <w:color w:val="808080" w:themeColor="background1" w:themeShade="80"/>
          <w:sz w:val="22"/>
          <w:szCs w:val="22"/>
          <w:lang w:val="en-GB"/>
        </w:rPr>
        <w:t xml:space="preserve">developments in international insolvency is the continuing adoption by States of the </w:t>
      </w:r>
      <w:r w:rsidRPr="00707F14">
        <w:rPr>
          <w:rFonts w:ascii="Avenir Next" w:hAnsi="Avenir Next" w:cs="Arial"/>
          <w:i/>
          <w:color w:val="808080" w:themeColor="background1" w:themeShade="80"/>
          <w:sz w:val="22"/>
          <w:szCs w:val="22"/>
          <w:lang w:val="en-GB"/>
        </w:rPr>
        <w:t>UNCITRAL Model Law</w:t>
      </w:r>
      <w:r w:rsidRPr="00707F14">
        <w:rPr>
          <w:rFonts w:ascii="Avenir Next" w:hAnsi="Avenir Next" w:cs="Arial"/>
          <w:color w:val="808080" w:themeColor="background1" w:themeShade="80"/>
          <w:sz w:val="22"/>
          <w:szCs w:val="22"/>
          <w:lang w:val="en-GB"/>
        </w:rPr>
        <w:t xml:space="preserve">. </w:t>
      </w:r>
      <w:r w:rsidR="00B436AE">
        <w:rPr>
          <w:rFonts w:ascii="Avenir Next" w:hAnsi="Avenir Next" w:cs="Arial"/>
          <w:color w:val="808080" w:themeColor="background1" w:themeShade="80"/>
          <w:sz w:val="22"/>
          <w:szCs w:val="22"/>
          <w:lang w:val="en-GB"/>
        </w:rPr>
        <w:t xml:space="preserve">Its provisions/recommendations </w:t>
      </w:r>
      <w:r w:rsidRPr="00707F14">
        <w:rPr>
          <w:rFonts w:ascii="Avenir Next" w:hAnsi="Avenir Next" w:cs="Arial"/>
          <w:color w:val="808080" w:themeColor="background1" w:themeShade="80"/>
          <w:sz w:val="22"/>
          <w:szCs w:val="22"/>
          <w:lang w:val="en-GB"/>
        </w:rPr>
        <w:t>focus on increasing the co-operation and co-ordination efforts of insolvency Courts</w:t>
      </w:r>
      <w:r w:rsidR="00B436AE">
        <w:rPr>
          <w:rFonts w:ascii="Avenir Next" w:hAnsi="Avenir Next" w:cs="Arial"/>
          <w:color w:val="808080" w:themeColor="background1" w:themeShade="80"/>
          <w:sz w:val="22"/>
          <w:szCs w:val="22"/>
          <w:lang w:val="en-GB"/>
        </w:rPr>
        <w:t>. A</w:t>
      </w:r>
      <w:r w:rsidRPr="00707F14">
        <w:rPr>
          <w:rFonts w:ascii="Avenir Next" w:hAnsi="Avenir Next" w:cs="Arial"/>
          <w:color w:val="808080" w:themeColor="background1" w:themeShade="80"/>
          <w:sz w:val="22"/>
          <w:szCs w:val="22"/>
          <w:lang w:val="en-GB"/>
        </w:rPr>
        <w:t xml:space="preserve"> number of </w:t>
      </w:r>
      <w:r w:rsidR="00B436AE">
        <w:rPr>
          <w:rFonts w:ascii="Avenir Next" w:hAnsi="Avenir Next" w:cs="Arial"/>
          <w:color w:val="808080" w:themeColor="background1" w:themeShade="80"/>
          <w:sz w:val="22"/>
          <w:szCs w:val="22"/>
          <w:lang w:val="en-GB"/>
        </w:rPr>
        <w:t xml:space="preserve">legal/judicial </w:t>
      </w:r>
      <w:r w:rsidRPr="00707F14">
        <w:rPr>
          <w:rFonts w:ascii="Avenir Next" w:hAnsi="Avenir Next" w:cs="Arial"/>
          <w:color w:val="808080" w:themeColor="background1" w:themeShade="80"/>
          <w:sz w:val="22"/>
          <w:szCs w:val="22"/>
          <w:lang w:val="en-GB"/>
        </w:rPr>
        <w:t>bodies</w:t>
      </w:r>
      <w:r w:rsidR="00B436AE">
        <w:rPr>
          <w:rFonts w:ascii="Avenir Next" w:hAnsi="Avenir Next" w:cs="Arial"/>
          <w:color w:val="808080" w:themeColor="background1" w:themeShade="80"/>
          <w:sz w:val="22"/>
          <w:szCs w:val="22"/>
          <w:lang w:val="en-GB"/>
        </w:rPr>
        <w:t xml:space="preserve"> have issued </w:t>
      </w:r>
      <w:r w:rsidRPr="00707F14">
        <w:rPr>
          <w:rFonts w:ascii="Avenir Next" w:hAnsi="Avenir Next" w:cs="Arial"/>
          <w:color w:val="808080" w:themeColor="background1" w:themeShade="80"/>
          <w:sz w:val="22"/>
          <w:szCs w:val="22"/>
          <w:lang w:val="en-GB"/>
        </w:rPr>
        <w:t>guidelines which a</w:t>
      </w:r>
      <w:r w:rsidR="00B436AE">
        <w:rPr>
          <w:rFonts w:ascii="Avenir Next" w:hAnsi="Avenir Next" w:cs="Arial"/>
          <w:color w:val="808080" w:themeColor="background1" w:themeShade="80"/>
          <w:sz w:val="22"/>
          <w:szCs w:val="22"/>
          <w:lang w:val="en-GB"/>
        </w:rPr>
        <w:t xml:space="preserve">ccept or advocate the </w:t>
      </w:r>
      <w:r w:rsidR="00B436AE" w:rsidRPr="00B436AE">
        <w:rPr>
          <w:rFonts w:ascii="Avenir Next" w:hAnsi="Avenir Next" w:cs="Arial"/>
          <w:i/>
          <w:color w:val="808080" w:themeColor="background1" w:themeShade="80"/>
          <w:sz w:val="22"/>
          <w:szCs w:val="22"/>
          <w:lang w:val="en-GB"/>
        </w:rPr>
        <w:t>Model L</w:t>
      </w:r>
      <w:r w:rsidRPr="00B436AE">
        <w:rPr>
          <w:rFonts w:ascii="Avenir Next" w:hAnsi="Avenir Next" w:cs="Arial"/>
          <w:i/>
          <w:color w:val="808080" w:themeColor="background1" w:themeShade="80"/>
          <w:sz w:val="22"/>
          <w:szCs w:val="22"/>
          <w:lang w:val="en-GB"/>
        </w:rPr>
        <w:t>aw</w:t>
      </w:r>
      <w:r w:rsidR="00B436AE">
        <w:rPr>
          <w:rFonts w:ascii="Avenir Next" w:hAnsi="Avenir Next" w:cs="Arial"/>
          <w:color w:val="808080" w:themeColor="background1" w:themeShade="80"/>
          <w:sz w:val="22"/>
          <w:szCs w:val="22"/>
          <w:lang w:val="en-GB"/>
        </w:rPr>
        <w:t xml:space="preserve"> – for example the</w:t>
      </w:r>
      <w:r w:rsidR="006C70CE">
        <w:rPr>
          <w:rFonts w:ascii="Avenir Next" w:hAnsi="Avenir Next" w:cs="Arial"/>
          <w:color w:val="808080" w:themeColor="background1" w:themeShade="80"/>
          <w:sz w:val="22"/>
          <w:szCs w:val="22"/>
          <w:lang w:val="en-GB"/>
        </w:rPr>
        <w:t xml:space="preserve"> </w:t>
      </w:r>
      <w:r w:rsidR="006C70CE" w:rsidRPr="006C70CE">
        <w:rPr>
          <w:rFonts w:ascii="Avenir Next" w:hAnsi="Avenir Next" w:cs="Arial"/>
          <w:color w:val="808080" w:themeColor="background1" w:themeShade="80"/>
          <w:sz w:val="22"/>
          <w:szCs w:val="22"/>
          <w:lang w:val="en-GB"/>
        </w:rPr>
        <w:t>American Law Institute</w:t>
      </w:r>
      <w:r w:rsidR="006C70CE">
        <w:rPr>
          <w:rFonts w:ascii="Avenir Next" w:hAnsi="Avenir Next" w:cs="Arial"/>
          <w:color w:val="808080" w:themeColor="background1" w:themeShade="80"/>
          <w:sz w:val="22"/>
          <w:szCs w:val="22"/>
          <w:lang w:val="en-GB"/>
        </w:rPr>
        <w:t xml:space="preserve"> (with its NAFTA Principles, applicable in North America) and </w:t>
      </w:r>
      <w:r w:rsidR="006C70CE" w:rsidRPr="006C70CE">
        <w:rPr>
          <w:rFonts w:ascii="Avenir Next" w:hAnsi="Avenir Next" w:cs="Arial"/>
          <w:color w:val="808080" w:themeColor="background1" w:themeShade="80"/>
          <w:sz w:val="22"/>
          <w:szCs w:val="22"/>
          <w:lang w:val="en-GB"/>
        </w:rPr>
        <w:t>the Judicial Insolvency Network</w:t>
      </w:r>
      <w:r w:rsidR="006C70CE">
        <w:rPr>
          <w:rFonts w:ascii="Avenir Next" w:hAnsi="Avenir Next" w:cs="Arial"/>
          <w:color w:val="808080" w:themeColor="background1" w:themeShade="80"/>
          <w:sz w:val="22"/>
          <w:szCs w:val="22"/>
          <w:lang w:val="en-GB"/>
        </w:rPr>
        <w:t>.</w:t>
      </w:r>
    </w:p>
    <w:p w14:paraId="20B91CBD" w14:textId="7E750464" w:rsidR="006C70CE" w:rsidRDefault="006C70CE" w:rsidP="00707F14">
      <w:pPr>
        <w:jc w:val="both"/>
        <w:rPr>
          <w:rFonts w:ascii="Avenir Next" w:hAnsi="Avenir Next" w:cs="Arial"/>
          <w:color w:val="808080" w:themeColor="background1" w:themeShade="80"/>
          <w:sz w:val="22"/>
          <w:szCs w:val="22"/>
          <w:lang w:val="en-GB"/>
        </w:rPr>
      </w:pPr>
    </w:p>
    <w:p w14:paraId="6A36672A" w14:textId="4F3CE468" w:rsidR="006C70CE" w:rsidRPr="00707F14" w:rsidRDefault="006C70CE" w:rsidP="00707F14">
      <w:pPr>
        <w:jc w:val="both"/>
        <w:rPr>
          <w:rFonts w:ascii="Avenir Next" w:hAnsi="Avenir Next" w:cs="Arial"/>
          <w:color w:val="808080" w:themeColor="background1" w:themeShade="80"/>
          <w:sz w:val="22"/>
          <w:szCs w:val="22"/>
          <w:lang w:val="en-GB"/>
        </w:rPr>
      </w:pPr>
      <w:r w:rsidRPr="006C70CE">
        <w:rPr>
          <w:rFonts w:ascii="Avenir Next" w:hAnsi="Avenir Next" w:cs="Arial"/>
          <w:color w:val="808080" w:themeColor="background1" w:themeShade="80"/>
          <w:sz w:val="22"/>
          <w:szCs w:val="22"/>
          <w:lang w:val="en-GB"/>
        </w:rPr>
        <w:t xml:space="preserve">The impact these various </w:t>
      </w:r>
      <w:r w:rsidR="000854DE">
        <w:rPr>
          <w:rFonts w:ascii="Avenir Next" w:hAnsi="Avenir Next" w:cs="Arial"/>
          <w:color w:val="808080" w:themeColor="background1" w:themeShade="80"/>
          <w:sz w:val="22"/>
          <w:szCs w:val="22"/>
          <w:lang w:val="en-GB"/>
        </w:rPr>
        <w:t xml:space="preserve">guidelines (beyond the </w:t>
      </w:r>
      <w:r w:rsidR="000854DE">
        <w:rPr>
          <w:rFonts w:ascii="Avenir Next" w:hAnsi="Avenir Next" w:cs="Arial"/>
          <w:i/>
          <w:color w:val="808080" w:themeColor="background1" w:themeShade="80"/>
          <w:sz w:val="22"/>
          <w:szCs w:val="22"/>
          <w:lang w:val="en-GB"/>
        </w:rPr>
        <w:t xml:space="preserve">Model </w:t>
      </w:r>
      <w:r w:rsidR="000854DE" w:rsidRPr="000854DE">
        <w:rPr>
          <w:rFonts w:ascii="Avenir Next" w:hAnsi="Avenir Next" w:cs="Arial"/>
          <w:i/>
          <w:color w:val="808080" w:themeColor="background1" w:themeShade="80"/>
          <w:sz w:val="22"/>
          <w:szCs w:val="22"/>
          <w:lang w:val="en-GB"/>
        </w:rPr>
        <w:t>Law</w:t>
      </w:r>
      <w:r w:rsidR="000854DE">
        <w:rPr>
          <w:rFonts w:ascii="Avenir Next" w:hAnsi="Avenir Next" w:cs="Arial"/>
          <w:color w:val="808080" w:themeColor="background1" w:themeShade="80"/>
          <w:sz w:val="22"/>
          <w:szCs w:val="22"/>
          <w:lang w:val="en-GB"/>
        </w:rPr>
        <w:t>) have had is debatable</w:t>
      </w:r>
      <w:r w:rsidRPr="006C70CE">
        <w:rPr>
          <w:rFonts w:ascii="Avenir Next" w:hAnsi="Avenir Next" w:cs="Arial"/>
          <w:color w:val="808080" w:themeColor="background1" w:themeShade="80"/>
          <w:sz w:val="22"/>
          <w:szCs w:val="22"/>
          <w:lang w:val="en-GB"/>
        </w:rPr>
        <w:t xml:space="preserve">. </w:t>
      </w:r>
      <w:r w:rsidR="000854DE">
        <w:rPr>
          <w:rFonts w:ascii="Avenir Next" w:hAnsi="Avenir Next" w:cs="Arial"/>
          <w:color w:val="808080" w:themeColor="background1" w:themeShade="80"/>
          <w:sz w:val="22"/>
          <w:szCs w:val="22"/>
          <w:lang w:val="en-GB"/>
        </w:rPr>
        <w:t>T</w:t>
      </w:r>
      <w:r w:rsidRPr="006C70CE">
        <w:rPr>
          <w:rFonts w:ascii="Avenir Next" w:hAnsi="Avenir Next" w:cs="Arial"/>
          <w:color w:val="808080" w:themeColor="background1" w:themeShade="80"/>
          <w:sz w:val="22"/>
          <w:szCs w:val="22"/>
          <w:lang w:val="en-GB"/>
        </w:rPr>
        <w:t xml:space="preserve">here </w:t>
      </w:r>
      <w:r w:rsidR="000854DE">
        <w:rPr>
          <w:rFonts w:ascii="Avenir Next" w:hAnsi="Avenir Next" w:cs="Arial"/>
          <w:color w:val="808080" w:themeColor="background1" w:themeShade="80"/>
          <w:sz w:val="22"/>
          <w:szCs w:val="22"/>
          <w:lang w:val="en-GB"/>
        </w:rPr>
        <w:t xml:space="preserve">appears to be </w:t>
      </w:r>
      <w:r w:rsidRPr="006C70CE">
        <w:rPr>
          <w:rFonts w:ascii="Avenir Next" w:hAnsi="Avenir Next" w:cs="Arial"/>
          <w:color w:val="808080" w:themeColor="background1" w:themeShade="80"/>
          <w:sz w:val="22"/>
          <w:szCs w:val="22"/>
          <w:lang w:val="en-GB"/>
        </w:rPr>
        <w:t xml:space="preserve">a risk of a "too many cooks" situation, with numerous guidelines/principles being adopted by some States and not others. </w:t>
      </w:r>
      <w:r>
        <w:rPr>
          <w:rFonts w:ascii="Avenir Next" w:hAnsi="Avenir Next" w:cs="Arial"/>
          <w:color w:val="808080" w:themeColor="background1" w:themeShade="80"/>
          <w:sz w:val="22"/>
          <w:szCs w:val="22"/>
          <w:lang w:val="en-GB"/>
        </w:rPr>
        <w:t>Si</w:t>
      </w:r>
      <w:r w:rsidRPr="006C70CE">
        <w:rPr>
          <w:rFonts w:ascii="Avenir Next" w:hAnsi="Avenir Next" w:cs="Arial"/>
          <w:color w:val="808080" w:themeColor="background1" w:themeShade="80"/>
          <w:sz w:val="22"/>
          <w:szCs w:val="22"/>
          <w:lang w:val="en-GB"/>
        </w:rPr>
        <w:t xml:space="preserve">gnificant changes to international co-operation are likely to need some unification of the various project groups to avoid a piecemeal development of the practice area. </w:t>
      </w:r>
      <w:r>
        <w:rPr>
          <w:rFonts w:ascii="Avenir Next" w:hAnsi="Avenir Next" w:cs="Arial"/>
          <w:color w:val="808080" w:themeColor="background1" w:themeShade="80"/>
          <w:sz w:val="22"/>
          <w:szCs w:val="22"/>
          <w:lang w:val="en-GB"/>
        </w:rPr>
        <w:t>States will also be subject to political pressures and the pressures of foreign investors</w:t>
      </w:r>
      <w:r w:rsidR="000854DE">
        <w:rPr>
          <w:rFonts w:ascii="Avenir Next" w:hAnsi="Avenir Next" w:cs="Arial"/>
          <w:color w:val="808080" w:themeColor="background1" w:themeShade="80"/>
          <w:sz w:val="22"/>
          <w:szCs w:val="22"/>
          <w:lang w:val="en-GB"/>
        </w:rPr>
        <w:t xml:space="preserve"> (e.g. wanting tough creditor protections)</w:t>
      </w:r>
      <w:r>
        <w:rPr>
          <w:rFonts w:ascii="Avenir Next" w:hAnsi="Avenir Next" w:cs="Arial"/>
          <w:color w:val="808080" w:themeColor="background1" w:themeShade="80"/>
          <w:sz w:val="22"/>
          <w:szCs w:val="22"/>
          <w:lang w:val="en-GB"/>
        </w:rPr>
        <w:t xml:space="preserve">, which </w:t>
      </w:r>
      <w:r w:rsidR="000854DE">
        <w:rPr>
          <w:rFonts w:ascii="Avenir Next" w:hAnsi="Avenir Next" w:cs="Arial"/>
          <w:color w:val="808080" w:themeColor="background1" w:themeShade="80"/>
          <w:sz w:val="22"/>
          <w:szCs w:val="22"/>
          <w:lang w:val="en-GB"/>
        </w:rPr>
        <w:t>affects the extent to which States</w:t>
      </w:r>
      <w:r>
        <w:rPr>
          <w:rFonts w:ascii="Avenir Next" w:hAnsi="Avenir Next" w:cs="Arial"/>
          <w:color w:val="808080" w:themeColor="background1" w:themeShade="80"/>
          <w:sz w:val="22"/>
          <w:szCs w:val="22"/>
          <w:lang w:val="en-GB"/>
        </w:rPr>
        <w:t xml:space="preserve"> are willing to adopt soft law guidance.</w:t>
      </w:r>
    </w:p>
    <w:p w14:paraId="0F80C84B" w14:textId="77777777" w:rsidR="00707F14" w:rsidRPr="00DA42DA" w:rsidRDefault="00707F14"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79DB07C1"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w:t>
      </w:r>
      <w:r w:rsidR="00B35101">
        <w:rPr>
          <w:rFonts w:ascii="Avenir Next" w:hAnsi="Avenir Next" w:cs="Arial"/>
          <w:sz w:val="22"/>
          <w:szCs w:val="28"/>
        </w:rPr>
        <w:t xml:space="preserve">Ltd, manufactures and provides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309515D" w:rsidR="002253D8" w:rsidRDefault="002253D8" w:rsidP="00DB5A5A">
      <w:pPr>
        <w:jc w:val="both"/>
        <w:rPr>
          <w:rFonts w:ascii="Avenir Next" w:hAnsi="Avenir Next" w:cs="Arial"/>
          <w:sz w:val="22"/>
          <w:szCs w:val="28"/>
        </w:rPr>
      </w:pPr>
    </w:p>
    <w:p w14:paraId="3935B954" w14:textId="09279A25" w:rsidR="00F61D4C" w:rsidRDefault="00421AD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three </w:t>
      </w:r>
      <w:r w:rsidR="00F61D4C">
        <w:rPr>
          <w:rFonts w:ascii="Avenir Next" w:hAnsi="Avenir Next" w:cs="Arial"/>
          <w:color w:val="808080" w:themeColor="background1" w:themeShade="80"/>
          <w:sz w:val="22"/>
          <w:szCs w:val="22"/>
          <w:lang w:val="en-GB"/>
        </w:rPr>
        <w:t>ways in which the American insolvency practitioner might request the assistance of the English Court:</w:t>
      </w:r>
      <w:r>
        <w:rPr>
          <w:rStyle w:val="FootnoteReference"/>
          <w:rFonts w:ascii="Avenir Next" w:hAnsi="Avenir Next" w:cs="Arial"/>
          <w:color w:val="808080" w:themeColor="background1" w:themeShade="80"/>
          <w:sz w:val="22"/>
          <w:szCs w:val="22"/>
          <w:lang w:val="en-GB"/>
        </w:rPr>
        <w:footnoteReference w:id="5"/>
      </w:r>
    </w:p>
    <w:p w14:paraId="63D17DBD" w14:textId="77777777" w:rsidR="00F61D4C" w:rsidRDefault="00F61D4C" w:rsidP="00DB5A5A">
      <w:pPr>
        <w:jc w:val="both"/>
        <w:rPr>
          <w:rFonts w:ascii="Avenir Next" w:hAnsi="Avenir Next" w:cs="Arial"/>
          <w:color w:val="808080" w:themeColor="background1" w:themeShade="80"/>
          <w:sz w:val="22"/>
          <w:szCs w:val="22"/>
          <w:lang w:val="en-GB"/>
        </w:rPr>
      </w:pPr>
    </w:p>
    <w:p w14:paraId="06C58670" w14:textId="2D6089B8" w:rsidR="00ED201C" w:rsidRPr="00F61D4C" w:rsidRDefault="00ED201C" w:rsidP="00F61D4C">
      <w:pPr>
        <w:pStyle w:val="ListParagraph"/>
        <w:numPr>
          <w:ilvl w:val="0"/>
          <w:numId w:val="39"/>
        </w:numPr>
        <w:ind w:hanging="720"/>
        <w:jc w:val="both"/>
        <w:rPr>
          <w:rFonts w:ascii="Avenir Next" w:hAnsi="Avenir Next" w:cs="Arial"/>
          <w:color w:val="808080" w:themeColor="background1" w:themeShade="80"/>
          <w:sz w:val="22"/>
          <w:szCs w:val="22"/>
          <w:u w:val="single"/>
          <w:lang w:val="en-GB"/>
        </w:rPr>
      </w:pPr>
      <w:r w:rsidRPr="00F61D4C">
        <w:rPr>
          <w:rFonts w:ascii="Avenir Next" w:hAnsi="Avenir Next" w:cs="Arial"/>
          <w:color w:val="808080" w:themeColor="background1" w:themeShade="80"/>
          <w:sz w:val="22"/>
          <w:szCs w:val="22"/>
          <w:u w:val="single"/>
          <w:lang w:val="en-GB"/>
        </w:rPr>
        <w:t>EU Provisions</w:t>
      </w:r>
    </w:p>
    <w:p w14:paraId="5D7BC73E" w14:textId="77777777" w:rsidR="00ED201C" w:rsidRDefault="00ED201C" w:rsidP="00DB5A5A">
      <w:pPr>
        <w:jc w:val="both"/>
        <w:rPr>
          <w:rFonts w:ascii="Avenir Next" w:hAnsi="Avenir Next" w:cs="Arial"/>
          <w:color w:val="808080" w:themeColor="background1" w:themeShade="80"/>
          <w:sz w:val="22"/>
          <w:szCs w:val="22"/>
          <w:lang w:val="en-GB"/>
        </w:rPr>
      </w:pPr>
    </w:p>
    <w:p w14:paraId="4AD3ADAC" w14:textId="63053C22" w:rsidR="00B35101" w:rsidRDefault="00B3510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unclear whether the liquidation is taking place at a time when the </w:t>
      </w:r>
      <w:r>
        <w:rPr>
          <w:rFonts w:ascii="Avenir Next" w:hAnsi="Avenir Next" w:cs="Arial"/>
          <w:color w:val="808080" w:themeColor="background1" w:themeShade="80"/>
          <w:sz w:val="22"/>
          <w:szCs w:val="22"/>
          <w:lang w:val="en-GB"/>
        </w:rPr>
        <w:t>European Insolvency Regulations recast ("</w:t>
      </w:r>
      <w:r w:rsidRPr="00BD6444">
        <w:rPr>
          <w:rFonts w:ascii="Avenir Next" w:hAnsi="Avenir Next" w:cs="Arial"/>
          <w:b/>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still applies to the UK. The EIR Recast </w:t>
      </w:r>
      <w:r>
        <w:rPr>
          <w:rFonts w:ascii="Avenir Next" w:hAnsi="Avenir Next" w:cs="Arial"/>
          <w:color w:val="808080" w:themeColor="background1" w:themeShade="80"/>
          <w:sz w:val="22"/>
          <w:szCs w:val="22"/>
          <w:lang w:val="en-GB"/>
        </w:rPr>
        <w:t>ceas</w:t>
      </w:r>
      <w:r>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to apply to </w:t>
      </w:r>
      <w:r>
        <w:rPr>
          <w:rFonts w:ascii="Avenir Next" w:hAnsi="Avenir Next" w:cs="Arial"/>
          <w:color w:val="808080" w:themeColor="background1" w:themeShade="80"/>
          <w:sz w:val="22"/>
          <w:szCs w:val="22"/>
          <w:lang w:val="en-GB"/>
        </w:rPr>
        <w:lastRenderedPageBreak/>
        <w:t xml:space="preserve">the UK </w:t>
      </w:r>
      <w:r>
        <w:rPr>
          <w:rFonts w:ascii="Avenir Next" w:hAnsi="Avenir Next" w:cs="Arial"/>
          <w:color w:val="808080" w:themeColor="background1" w:themeShade="80"/>
          <w:sz w:val="22"/>
          <w:szCs w:val="22"/>
          <w:lang w:val="en-GB"/>
        </w:rPr>
        <w:t>at 11pm on</w:t>
      </w:r>
      <w:r>
        <w:rPr>
          <w:rFonts w:ascii="Avenir Next" w:hAnsi="Avenir Next" w:cs="Arial"/>
          <w:color w:val="808080" w:themeColor="background1" w:themeShade="80"/>
          <w:sz w:val="22"/>
          <w:szCs w:val="22"/>
          <w:lang w:val="en-GB"/>
        </w:rPr>
        <w:t xml:space="preserve"> 31 December 2020</w:t>
      </w:r>
      <w:r>
        <w:rPr>
          <w:rFonts w:ascii="Avenir Next" w:hAnsi="Avenir Next" w:cs="Arial"/>
          <w:color w:val="808080" w:themeColor="background1" w:themeShade="80"/>
          <w:sz w:val="22"/>
          <w:szCs w:val="22"/>
          <w:lang w:val="en-GB"/>
        </w:rPr>
        <w:t xml:space="preserve"> and so it seems likely that when Norton Cars Inc. ("</w:t>
      </w:r>
      <w:r w:rsidRPr="00B35101">
        <w:rPr>
          <w:rFonts w:ascii="Avenir Next" w:hAnsi="Avenir Next" w:cs="Arial"/>
          <w:b/>
          <w:color w:val="808080" w:themeColor="background1" w:themeShade="80"/>
          <w:sz w:val="22"/>
          <w:szCs w:val="22"/>
          <w:lang w:val="en-GB"/>
        </w:rPr>
        <w:t>Norton</w:t>
      </w:r>
      <w:r>
        <w:rPr>
          <w:rFonts w:ascii="Avenir Next" w:hAnsi="Avenir Next" w:cs="Arial"/>
          <w:color w:val="808080" w:themeColor="background1" w:themeShade="80"/>
          <w:sz w:val="22"/>
          <w:szCs w:val="22"/>
          <w:lang w:val="en-GB"/>
        </w:rPr>
        <w:t xml:space="preserve">") was still headquartered in England, this would have been when the EIR Recast still applied (i.e. </w:t>
      </w:r>
      <w:r w:rsidR="0038003F">
        <w:rPr>
          <w:rFonts w:ascii="Avenir Next" w:hAnsi="Avenir Next" w:cs="Arial"/>
          <w:color w:val="808080" w:themeColor="background1" w:themeShade="80"/>
          <w:sz w:val="22"/>
          <w:szCs w:val="22"/>
          <w:lang w:val="en-GB"/>
        </w:rPr>
        <w:t>there was not a significant gap before Norton moved its headquarters)</w:t>
      </w:r>
      <w:r w:rsidR="009A3728">
        <w:rPr>
          <w:rFonts w:ascii="Avenir Next" w:hAnsi="Avenir Next" w:cs="Arial"/>
          <w:color w:val="808080" w:themeColor="background1" w:themeShade="80"/>
          <w:sz w:val="22"/>
          <w:szCs w:val="22"/>
          <w:lang w:val="en-GB"/>
        </w:rPr>
        <w:t>.</w:t>
      </w:r>
      <w:r w:rsidR="00593108" w:rsidRPr="00593108">
        <w:rPr>
          <w:rFonts w:ascii="Avenir Next" w:hAnsi="Avenir Next" w:cs="Arial"/>
          <w:color w:val="808080" w:themeColor="background1" w:themeShade="80"/>
          <w:sz w:val="22"/>
          <w:szCs w:val="22"/>
          <w:lang w:val="en-GB"/>
        </w:rPr>
        <w:t xml:space="preserve"> </w:t>
      </w:r>
    </w:p>
    <w:p w14:paraId="06A41579" w14:textId="5977A7A1" w:rsidR="00056C4B" w:rsidRDefault="00056C4B" w:rsidP="00DB5A5A">
      <w:pPr>
        <w:jc w:val="both"/>
        <w:rPr>
          <w:rFonts w:ascii="Avenir Next" w:hAnsi="Avenir Next" w:cs="Arial"/>
          <w:color w:val="808080" w:themeColor="background1" w:themeShade="80"/>
          <w:sz w:val="22"/>
          <w:szCs w:val="22"/>
          <w:lang w:val="en-GB"/>
        </w:rPr>
      </w:pPr>
    </w:p>
    <w:p w14:paraId="5E66BC2E" w14:textId="607A3959" w:rsidR="00056C4B" w:rsidRDefault="00056C4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American liquidator commences insolvency proceedings in the UK when the EIR Recast still applies</w:t>
      </w:r>
      <w:r w:rsidR="00AD232B">
        <w:rPr>
          <w:rFonts w:ascii="Avenir Next" w:hAnsi="Avenir Next" w:cs="Arial"/>
          <w:color w:val="808080" w:themeColor="background1" w:themeShade="80"/>
          <w:sz w:val="22"/>
          <w:szCs w:val="22"/>
          <w:lang w:val="en-GB"/>
        </w:rPr>
        <w:t xml:space="preserve"> then t</w:t>
      </w:r>
      <w:r w:rsidR="00AD232B" w:rsidRPr="00AD232B">
        <w:rPr>
          <w:rFonts w:ascii="Avenir Next" w:hAnsi="Avenir Next" w:cs="Arial"/>
          <w:color w:val="808080" w:themeColor="background1" w:themeShade="80"/>
          <w:sz w:val="22"/>
          <w:szCs w:val="22"/>
          <w:lang w:val="en-GB"/>
        </w:rPr>
        <w:t xml:space="preserve">he EIR Recast provides that the State that should govern the bankruptcy </w:t>
      </w:r>
      <w:r w:rsidR="005B5D17">
        <w:rPr>
          <w:rFonts w:ascii="Avenir Next" w:hAnsi="Avenir Next" w:cs="Arial"/>
          <w:color w:val="808080" w:themeColor="background1" w:themeShade="80"/>
          <w:sz w:val="22"/>
          <w:szCs w:val="22"/>
          <w:lang w:val="en-GB"/>
        </w:rPr>
        <w:t xml:space="preserve">across Member States </w:t>
      </w:r>
      <w:r w:rsidR="00AD232B" w:rsidRPr="00AD232B">
        <w:rPr>
          <w:rFonts w:ascii="Avenir Next" w:hAnsi="Avenir Next" w:cs="Arial"/>
          <w:color w:val="808080" w:themeColor="background1" w:themeShade="80"/>
          <w:sz w:val="22"/>
          <w:szCs w:val="22"/>
          <w:lang w:val="en-GB"/>
        </w:rPr>
        <w:t>is where the debtor's "centre of main interest" ("</w:t>
      </w:r>
      <w:r w:rsidR="00AD232B" w:rsidRPr="00AD232B">
        <w:rPr>
          <w:rFonts w:ascii="Avenir Next" w:hAnsi="Avenir Next" w:cs="Arial"/>
          <w:b/>
          <w:color w:val="808080" w:themeColor="background1" w:themeShade="80"/>
          <w:sz w:val="22"/>
          <w:szCs w:val="22"/>
          <w:lang w:val="en-GB"/>
        </w:rPr>
        <w:t>COMI</w:t>
      </w:r>
      <w:r w:rsidR="00AD232B" w:rsidRPr="00AD232B">
        <w:rPr>
          <w:rFonts w:ascii="Avenir Next" w:hAnsi="Avenir Next" w:cs="Arial"/>
          <w:color w:val="808080" w:themeColor="background1" w:themeShade="80"/>
          <w:sz w:val="22"/>
          <w:szCs w:val="22"/>
          <w:lang w:val="en-GB"/>
        </w:rPr>
        <w:t>") lies</w:t>
      </w:r>
      <w:r w:rsidR="00AD232B">
        <w:rPr>
          <w:rFonts w:ascii="Avenir Next" w:hAnsi="Avenir Next" w:cs="Arial"/>
          <w:color w:val="808080" w:themeColor="background1" w:themeShade="80"/>
          <w:sz w:val="22"/>
          <w:szCs w:val="22"/>
          <w:lang w:val="en-GB"/>
        </w:rPr>
        <w:t xml:space="preserve">. On the information given, this would the England. </w:t>
      </w:r>
      <w:r w:rsidR="00AD232B" w:rsidRPr="00AD232B">
        <w:rPr>
          <w:rFonts w:ascii="Avenir Next" w:hAnsi="Avenir Next" w:cs="Arial"/>
          <w:color w:val="808080" w:themeColor="background1" w:themeShade="80"/>
          <w:sz w:val="22"/>
          <w:szCs w:val="22"/>
          <w:lang w:val="en-GB"/>
        </w:rPr>
        <w:t>The EIR Recast provides a number of presumptions as to the COMI, the main one being where the company has its registered office</w:t>
      </w:r>
      <w:r w:rsidR="00AD232B">
        <w:rPr>
          <w:rFonts w:ascii="Avenir Next" w:hAnsi="Avenir Next" w:cs="Arial"/>
          <w:color w:val="808080" w:themeColor="background1" w:themeShade="80"/>
          <w:sz w:val="22"/>
          <w:szCs w:val="22"/>
          <w:lang w:val="en-GB"/>
        </w:rPr>
        <w:t>. Furthermore, t</w:t>
      </w:r>
      <w:r w:rsidR="00AD232B" w:rsidRPr="00AD232B">
        <w:rPr>
          <w:rFonts w:ascii="Avenir Next" w:hAnsi="Avenir Next" w:cs="Arial"/>
          <w:color w:val="808080" w:themeColor="background1" w:themeShade="80"/>
          <w:sz w:val="22"/>
          <w:szCs w:val="22"/>
          <w:lang w:val="en-GB"/>
        </w:rPr>
        <w:t xml:space="preserve">he EIR Recast provides a general rule that the applicable law </w:t>
      </w:r>
      <w:r w:rsidR="00823807">
        <w:rPr>
          <w:rFonts w:ascii="Avenir Next" w:hAnsi="Avenir Next" w:cs="Arial"/>
          <w:color w:val="808080" w:themeColor="background1" w:themeShade="80"/>
          <w:sz w:val="22"/>
          <w:szCs w:val="22"/>
          <w:lang w:val="en-GB"/>
        </w:rPr>
        <w:t>of</w:t>
      </w:r>
      <w:r w:rsidR="00AD232B" w:rsidRPr="00AD232B">
        <w:rPr>
          <w:rFonts w:ascii="Avenir Next" w:hAnsi="Avenir Next" w:cs="Arial"/>
          <w:color w:val="808080" w:themeColor="background1" w:themeShade="80"/>
          <w:sz w:val="22"/>
          <w:szCs w:val="22"/>
          <w:lang w:val="en-GB"/>
        </w:rPr>
        <w:t xml:space="preserve"> the insolvency proceedings is the law of that State in which the proceedings have been commenced</w:t>
      </w:r>
      <w:r w:rsidR="00AD232B">
        <w:rPr>
          <w:rFonts w:ascii="Avenir Next" w:hAnsi="Avenir Next" w:cs="Arial"/>
          <w:color w:val="808080" w:themeColor="background1" w:themeShade="80"/>
          <w:sz w:val="22"/>
          <w:szCs w:val="22"/>
          <w:lang w:val="en-GB"/>
        </w:rPr>
        <w:t xml:space="preserve">. </w:t>
      </w:r>
    </w:p>
    <w:p w14:paraId="12308B51" w14:textId="2A8B0D1C" w:rsidR="002B05E8" w:rsidRDefault="002B05E8" w:rsidP="00DB5A5A">
      <w:pPr>
        <w:jc w:val="both"/>
        <w:rPr>
          <w:rFonts w:ascii="Avenir Next" w:hAnsi="Avenir Next" w:cs="Arial"/>
          <w:color w:val="808080" w:themeColor="background1" w:themeShade="80"/>
          <w:sz w:val="22"/>
          <w:szCs w:val="22"/>
          <w:lang w:val="en-GB"/>
        </w:rPr>
      </w:pPr>
    </w:p>
    <w:p w14:paraId="3382BA5F" w14:textId="033DBDE1" w:rsidR="002B05E8" w:rsidRDefault="002B05E8" w:rsidP="00F61D4C">
      <w:pPr>
        <w:pStyle w:val="ListParagraph"/>
        <w:numPr>
          <w:ilvl w:val="0"/>
          <w:numId w:val="39"/>
        </w:numPr>
        <w:ind w:hanging="720"/>
        <w:jc w:val="both"/>
        <w:rPr>
          <w:rFonts w:ascii="Avenir Next" w:hAnsi="Avenir Next" w:cs="Arial"/>
          <w:color w:val="808080" w:themeColor="background1" w:themeShade="80"/>
          <w:sz w:val="22"/>
          <w:szCs w:val="22"/>
          <w:u w:val="single"/>
          <w:lang w:val="en-GB"/>
        </w:rPr>
      </w:pPr>
      <w:r w:rsidRPr="00F61D4C">
        <w:rPr>
          <w:rFonts w:ascii="Avenir Next" w:hAnsi="Avenir Next" w:cs="Arial"/>
          <w:color w:val="808080" w:themeColor="background1" w:themeShade="80"/>
          <w:sz w:val="22"/>
          <w:szCs w:val="22"/>
          <w:u w:val="single"/>
          <w:lang w:val="en-GB"/>
        </w:rPr>
        <w:t>UNCITRAL Model Law</w:t>
      </w:r>
      <w:r w:rsidR="002F1DBA">
        <w:rPr>
          <w:rFonts w:ascii="Avenir Next" w:hAnsi="Avenir Next" w:cs="Arial"/>
          <w:color w:val="808080" w:themeColor="background1" w:themeShade="80"/>
          <w:sz w:val="22"/>
          <w:szCs w:val="22"/>
          <w:u w:val="single"/>
          <w:lang w:val="en-GB"/>
        </w:rPr>
        <w:t>/CBIR</w:t>
      </w:r>
    </w:p>
    <w:p w14:paraId="7D3069B8" w14:textId="03233EC9" w:rsidR="009100AB" w:rsidRPr="009100AB" w:rsidRDefault="009100AB" w:rsidP="009100AB">
      <w:pPr>
        <w:jc w:val="both"/>
        <w:rPr>
          <w:rFonts w:ascii="Avenir Next" w:hAnsi="Avenir Next" w:cs="Arial"/>
          <w:color w:val="808080" w:themeColor="background1" w:themeShade="80"/>
          <w:sz w:val="22"/>
          <w:szCs w:val="22"/>
          <w:lang w:val="en-GB"/>
        </w:rPr>
      </w:pPr>
    </w:p>
    <w:p w14:paraId="3DE103B6" w14:textId="1986A6BC" w:rsidR="009100AB" w:rsidRPr="002F1DBA" w:rsidRDefault="009100AB" w:rsidP="009100AB">
      <w:pPr>
        <w:jc w:val="both"/>
        <w:rPr>
          <w:rFonts w:ascii="Avenir Next" w:hAnsi="Avenir Next" w:cs="Arial"/>
          <w:color w:val="808080" w:themeColor="background1" w:themeShade="80"/>
          <w:sz w:val="22"/>
          <w:szCs w:val="22"/>
          <w:lang w:val="en-GB"/>
        </w:rPr>
      </w:pPr>
      <w:r w:rsidRPr="009100AB">
        <w:rPr>
          <w:rFonts w:ascii="Avenir Next" w:hAnsi="Avenir Next" w:cs="Arial"/>
          <w:color w:val="808080" w:themeColor="background1" w:themeShade="80"/>
          <w:sz w:val="22"/>
          <w:szCs w:val="22"/>
          <w:lang w:val="en-GB"/>
        </w:rPr>
        <w:t xml:space="preserve">The liquidator may rely on the provisions of </w:t>
      </w:r>
      <w:r w:rsidR="00823807">
        <w:rPr>
          <w:rFonts w:ascii="Avenir Next" w:hAnsi="Avenir Next" w:cs="Arial"/>
          <w:color w:val="808080" w:themeColor="background1" w:themeShade="80"/>
          <w:sz w:val="22"/>
          <w:szCs w:val="22"/>
          <w:lang w:val="en-GB"/>
        </w:rPr>
        <w:t>the Cross Border Insolvency Regulations 2006 ("</w:t>
      </w:r>
      <w:r w:rsidR="00823807" w:rsidRPr="002F1DBA">
        <w:rPr>
          <w:rFonts w:ascii="Avenir Next" w:hAnsi="Avenir Next" w:cs="Arial"/>
          <w:b/>
          <w:color w:val="808080" w:themeColor="background1" w:themeShade="80"/>
          <w:sz w:val="22"/>
          <w:szCs w:val="22"/>
          <w:lang w:val="en-GB"/>
        </w:rPr>
        <w:t>CBIR</w:t>
      </w:r>
      <w:r w:rsidR="00823807">
        <w:rPr>
          <w:rFonts w:ascii="Avenir Next" w:hAnsi="Avenir Next" w:cs="Arial"/>
          <w:color w:val="808080" w:themeColor="background1" w:themeShade="80"/>
          <w:sz w:val="22"/>
          <w:szCs w:val="22"/>
          <w:lang w:val="en-GB"/>
        </w:rPr>
        <w:t>")</w:t>
      </w:r>
      <w:r w:rsidR="00823807">
        <w:rPr>
          <w:rFonts w:ascii="Avenir Next" w:hAnsi="Avenir Next" w:cs="Arial"/>
          <w:color w:val="808080" w:themeColor="background1" w:themeShade="80"/>
          <w:sz w:val="22"/>
          <w:szCs w:val="22"/>
          <w:lang w:val="en-GB"/>
        </w:rPr>
        <w:t xml:space="preserve"> (which incorporated </w:t>
      </w:r>
      <w:r w:rsidRPr="009100AB">
        <w:rPr>
          <w:rFonts w:ascii="Avenir Next" w:hAnsi="Avenir Next" w:cs="Arial"/>
          <w:color w:val="808080" w:themeColor="background1" w:themeShade="80"/>
          <w:sz w:val="22"/>
          <w:szCs w:val="22"/>
          <w:lang w:val="en-GB"/>
        </w:rPr>
        <w:t xml:space="preserve">the </w:t>
      </w:r>
      <w:r w:rsidRPr="009100AB">
        <w:rPr>
          <w:rFonts w:ascii="Avenir Next" w:hAnsi="Avenir Next" w:cs="Arial"/>
          <w:color w:val="808080" w:themeColor="background1" w:themeShade="80"/>
          <w:sz w:val="22"/>
          <w:szCs w:val="22"/>
          <w:lang w:val="en-GB"/>
        </w:rPr>
        <w:t xml:space="preserve">UNCITRAL Model Law </w:t>
      </w:r>
      <w:r w:rsidRPr="009100AB">
        <w:rPr>
          <w:rFonts w:ascii="Avenir Next" w:hAnsi="Avenir Next" w:cs="Arial"/>
          <w:color w:val="808080" w:themeColor="background1" w:themeShade="80"/>
          <w:sz w:val="22"/>
          <w:szCs w:val="22"/>
          <w:lang w:val="en-GB"/>
        </w:rPr>
        <w:t xml:space="preserve">on Cross-Border Insolvency </w:t>
      </w:r>
      <w:r w:rsidR="00F04FA6">
        <w:rPr>
          <w:rFonts w:ascii="Avenir Next" w:hAnsi="Avenir Next" w:cs="Arial"/>
          <w:color w:val="808080" w:themeColor="background1" w:themeShade="80"/>
          <w:sz w:val="22"/>
          <w:szCs w:val="22"/>
          <w:lang w:val="en-GB"/>
        </w:rPr>
        <w:t>("</w:t>
      </w:r>
      <w:r w:rsidR="00F04FA6" w:rsidRPr="00F04FA6">
        <w:rPr>
          <w:rFonts w:ascii="Avenir Next" w:hAnsi="Avenir Next" w:cs="Arial"/>
          <w:b/>
          <w:color w:val="808080" w:themeColor="background1" w:themeShade="80"/>
          <w:sz w:val="22"/>
          <w:szCs w:val="22"/>
          <w:lang w:val="en-GB"/>
        </w:rPr>
        <w:t>Model Law</w:t>
      </w:r>
      <w:r w:rsidR="00F04FA6">
        <w:rPr>
          <w:rFonts w:ascii="Avenir Next" w:hAnsi="Avenir Next" w:cs="Arial"/>
          <w:color w:val="808080" w:themeColor="background1" w:themeShade="80"/>
          <w:sz w:val="22"/>
          <w:szCs w:val="22"/>
          <w:lang w:val="en-GB"/>
        </w:rPr>
        <w:t xml:space="preserve">") </w:t>
      </w:r>
      <w:r w:rsidR="002F1DBA">
        <w:rPr>
          <w:rFonts w:ascii="Avenir Next" w:hAnsi="Avenir Next" w:cs="Arial"/>
          <w:color w:val="808080" w:themeColor="background1" w:themeShade="80"/>
          <w:sz w:val="22"/>
          <w:szCs w:val="22"/>
          <w:lang w:val="en-GB"/>
        </w:rPr>
        <w:t>with only minor amendment</w:t>
      </w:r>
      <w:r w:rsidR="00823807">
        <w:rPr>
          <w:rFonts w:ascii="Avenir Next" w:hAnsi="Avenir Next" w:cs="Arial"/>
          <w:color w:val="808080" w:themeColor="background1" w:themeShade="80"/>
          <w:sz w:val="22"/>
          <w:szCs w:val="22"/>
          <w:lang w:val="en-GB"/>
        </w:rPr>
        <w:t xml:space="preserve">s). </w:t>
      </w:r>
      <w:r w:rsidR="00957489">
        <w:rPr>
          <w:rFonts w:ascii="Avenir Next" w:hAnsi="Avenir Next" w:cs="Arial"/>
          <w:color w:val="808080" w:themeColor="background1" w:themeShade="80"/>
          <w:sz w:val="22"/>
          <w:szCs w:val="22"/>
          <w:lang w:val="en-GB"/>
        </w:rPr>
        <w:t>Any insolvency practitioner can apply for recognition under CBIR</w:t>
      </w:r>
      <w:r w:rsidR="00F803FC">
        <w:rPr>
          <w:rFonts w:ascii="Avenir Next" w:hAnsi="Avenir Next" w:cs="Arial"/>
          <w:color w:val="808080" w:themeColor="background1" w:themeShade="80"/>
          <w:sz w:val="22"/>
          <w:szCs w:val="22"/>
          <w:lang w:val="en-GB"/>
        </w:rPr>
        <w:t xml:space="preserve"> (article 15, Schedule 1)</w:t>
      </w:r>
      <w:r w:rsidR="00957489">
        <w:rPr>
          <w:rFonts w:ascii="Avenir Next" w:hAnsi="Avenir Next" w:cs="Arial"/>
          <w:color w:val="808080" w:themeColor="background1" w:themeShade="80"/>
          <w:sz w:val="22"/>
          <w:szCs w:val="22"/>
          <w:lang w:val="en-GB"/>
        </w:rPr>
        <w:t>.</w:t>
      </w:r>
      <w:r w:rsidR="00F803FC">
        <w:rPr>
          <w:rFonts w:ascii="Avenir Next" w:hAnsi="Avenir Next" w:cs="Arial"/>
          <w:color w:val="808080" w:themeColor="background1" w:themeShade="80"/>
          <w:sz w:val="22"/>
          <w:szCs w:val="22"/>
          <w:lang w:val="en-GB"/>
        </w:rPr>
        <w:t xml:space="preserve"> The CBIR distinguishes between foreign "main" proceedings and foreign "non-main" proceedings. </w:t>
      </w:r>
      <w:r w:rsidR="009F160C">
        <w:rPr>
          <w:rFonts w:ascii="Avenir Next" w:hAnsi="Avenir Next" w:cs="Arial"/>
          <w:color w:val="808080" w:themeColor="background1" w:themeShade="80"/>
          <w:sz w:val="22"/>
          <w:szCs w:val="22"/>
          <w:lang w:val="en-GB"/>
        </w:rPr>
        <w:t>"Main" proceedings are where the foreign insolvency proceedings are taking place in the debtor's COMI,</w:t>
      </w:r>
      <w:r w:rsidR="009F160C">
        <w:rPr>
          <w:rStyle w:val="FootnoteReference"/>
          <w:rFonts w:ascii="Avenir Next" w:hAnsi="Avenir Next" w:cs="Arial"/>
          <w:color w:val="808080" w:themeColor="background1" w:themeShade="80"/>
          <w:sz w:val="22"/>
          <w:szCs w:val="22"/>
          <w:lang w:val="en-GB"/>
        </w:rPr>
        <w:footnoteReference w:id="6"/>
      </w:r>
      <w:r w:rsidR="009F160C">
        <w:rPr>
          <w:rFonts w:ascii="Avenir Next" w:hAnsi="Avenir Next" w:cs="Arial"/>
          <w:color w:val="808080" w:themeColor="background1" w:themeShade="80"/>
          <w:sz w:val="22"/>
          <w:szCs w:val="22"/>
          <w:lang w:val="en-GB"/>
        </w:rPr>
        <w:t xml:space="preserve"> with a rebuttable presumption this is where the debtor has its registered office. On present facts, this is not the USA, so the USA insolvency proceedings would be "non-main" proceedings. There is no automatic stay on creditor actions in the case of non-main foreign proceedings. </w:t>
      </w:r>
    </w:p>
    <w:p w14:paraId="7A2C653B" w14:textId="7AC727C7" w:rsidR="009100AB" w:rsidRDefault="009100AB" w:rsidP="009100AB">
      <w:pPr>
        <w:jc w:val="both"/>
        <w:rPr>
          <w:rFonts w:ascii="Avenir Next" w:hAnsi="Avenir Next" w:cs="Arial"/>
          <w:color w:val="808080" w:themeColor="background1" w:themeShade="80"/>
          <w:sz w:val="22"/>
          <w:szCs w:val="22"/>
          <w:u w:val="single"/>
          <w:lang w:val="en-GB"/>
        </w:rPr>
      </w:pPr>
    </w:p>
    <w:p w14:paraId="1C18506A" w14:textId="21F2ACEC" w:rsidR="00F61D4C" w:rsidRDefault="00F61D4C" w:rsidP="00F61D4C">
      <w:pPr>
        <w:pStyle w:val="ListParagraph"/>
        <w:numPr>
          <w:ilvl w:val="0"/>
          <w:numId w:val="39"/>
        </w:numPr>
        <w:ind w:hanging="720"/>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Common Law</w:t>
      </w:r>
    </w:p>
    <w:p w14:paraId="75E09094" w14:textId="7E252AA5" w:rsidR="00E046BB" w:rsidRDefault="00E046BB" w:rsidP="00E046BB">
      <w:pPr>
        <w:jc w:val="both"/>
        <w:rPr>
          <w:rFonts w:ascii="Avenir Next" w:hAnsi="Avenir Next" w:cs="Arial"/>
          <w:color w:val="808080" w:themeColor="background1" w:themeShade="80"/>
          <w:sz w:val="22"/>
          <w:szCs w:val="22"/>
          <w:u w:val="single"/>
          <w:lang w:val="en-GB"/>
        </w:rPr>
      </w:pPr>
    </w:p>
    <w:p w14:paraId="72E1EC2E" w14:textId="4BE20450" w:rsidR="00E046BB" w:rsidRPr="00E046BB" w:rsidRDefault="00E046BB" w:rsidP="00E046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common law in respect of cross-border insolvency is somewhat in flux and an office holder would be better advised to rely on the clearer principles of either the EIR Recast or CBIR. The main common law principle remaining as good law is that there is a common law power to assist a foreign insolvency officer-holder (as far as the Court properly can, subject to domestic law and domestic public policy).</w:t>
      </w:r>
      <w:r>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 xml:space="preserve"> </w:t>
      </w:r>
    </w:p>
    <w:p w14:paraId="0333D6CE" w14:textId="77777777" w:rsidR="00B35101" w:rsidRDefault="00B35101"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8A07E67" w14:textId="771FF755" w:rsidR="00D2317C" w:rsidRPr="00D2317C" w:rsidRDefault="00D2317C" w:rsidP="002253D8">
      <w:pPr>
        <w:jc w:val="both"/>
        <w:rPr>
          <w:rFonts w:ascii="Avenir Next" w:hAnsi="Avenir Next" w:cs="Arial"/>
          <w:color w:val="808080" w:themeColor="background1" w:themeShade="80"/>
          <w:sz w:val="22"/>
          <w:szCs w:val="22"/>
          <w:u w:val="single"/>
          <w:lang w:val="en-GB"/>
        </w:rPr>
      </w:pPr>
      <w:r w:rsidRPr="00D2317C">
        <w:rPr>
          <w:rFonts w:ascii="Avenir Next" w:hAnsi="Avenir Next" w:cs="Arial"/>
          <w:color w:val="808080" w:themeColor="background1" w:themeShade="80"/>
          <w:sz w:val="22"/>
          <w:szCs w:val="22"/>
          <w:u w:val="single"/>
          <w:lang w:val="en-GB"/>
        </w:rPr>
        <w:t>Jurisdiction</w:t>
      </w:r>
    </w:p>
    <w:p w14:paraId="2060783C" w14:textId="77777777" w:rsidR="00D2317C" w:rsidRDefault="00D2317C" w:rsidP="002253D8">
      <w:pPr>
        <w:jc w:val="both"/>
        <w:rPr>
          <w:rFonts w:ascii="Avenir Next" w:hAnsi="Avenir Next" w:cs="Arial"/>
          <w:color w:val="808080" w:themeColor="background1" w:themeShade="80"/>
          <w:sz w:val="22"/>
          <w:szCs w:val="22"/>
          <w:lang w:val="en-GB"/>
        </w:rPr>
      </w:pPr>
    </w:p>
    <w:p w14:paraId="69938086" w14:textId="468E88A2" w:rsidR="002253D8" w:rsidRDefault="00D0102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Italy and Germany are both subject to the EIR Recast. </w:t>
      </w:r>
    </w:p>
    <w:p w14:paraId="1E320C2D" w14:textId="55BC5182" w:rsidR="000277DF" w:rsidRDefault="000277DF" w:rsidP="002253D8">
      <w:pPr>
        <w:jc w:val="both"/>
        <w:rPr>
          <w:rFonts w:ascii="Avenir Next" w:hAnsi="Avenir Next" w:cs="Arial"/>
          <w:color w:val="808080" w:themeColor="background1" w:themeShade="80"/>
          <w:sz w:val="22"/>
          <w:szCs w:val="22"/>
          <w:lang w:val="en-GB"/>
        </w:rPr>
      </w:pPr>
    </w:p>
    <w:p w14:paraId="348FDACB" w14:textId="007D4F16" w:rsidR="000277DF" w:rsidRDefault="000277D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COMI is, indeed Italy, then this is where the main proceedings should be initiated. </w:t>
      </w:r>
      <w:r w:rsidR="00AD232B">
        <w:rPr>
          <w:rFonts w:ascii="Avenir Next" w:hAnsi="Avenir Next" w:cs="Arial"/>
          <w:color w:val="808080" w:themeColor="background1" w:themeShade="80"/>
          <w:sz w:val="22"/>
          <w:szCs w:val="22"/>
          <w:lang w:val="en-GB"/>
        </w:rPr>
        <w:t>A</w:t>
      </w:r>
      <w:r w:rsidR="003049F3">
        <w:rPr>
          <w:rFonts w:ascii="Avenir Next" w:hAnsi="Avenir Next" w:cs="Arial"/>
          <w:color w:val="808080" w:themeColor="background1" w:themeShade="80"/>
          <w:sz w:val="22"/>
          <w:szCs w:val="22"/>
          <w:lang w:val="en-GB"/>
        </w:rPr>
        <w:t>s</w:t>
      </w:r>
      <w:r w:rsidR="00AD232B">
        <w:rPr>
          <w:rFonts w:ascii="Avenir Next" w:hAnsi="Avenir Next" w:cs="Arial"/>
          <w:color w:val="808080" w:themeColor="background1" w:themeShade="80"/>
          <w:sz w:val="22"/>
          <w:szCs w:val="22"/>
          <w:lang w:val="en-GB"/>
        </w:rPr>
        <w:t xml:space="preserve"> noted above, t</w:t>
      </w:r>
      <w:r>
        <w:rPr>
          <w:rFonts w:ascii="Avenir Next" w:hAnsi="Avenir Next" w:cs="Arial"/>
          <w:color w:val="808080" w:themeColor="background1" w:themeShade="80"/>
          <w:sz w:val="22"/>
          <w:szCs w:val="22"/>
          <w:lang w:val="en-GB"/>
        </w:rPr>
        <w:t>he EIR Recast provides a number of presumptions as to the COMI, the main one being where the company has its registered office.</w:t>
      </w:r>
      <w:r>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Although there is a provision that the presumption shall not apply if the COMI has moved from another Member State in the three months prior to the insolvency proceedings being commenced, as the UK is no longer a Member State there is no so-called "suspect" period here. Although one could try and rebut the presumption of the COMI on the basis of the activity in Germany, as management is also based in Italy, it would appear unproblematic that Italy is the COMI and the main proceedings should be commenced there.</w:t>
      </w:r>
    </w:p>
    <w:p w14:paraId="6773B2D3" w14:textId="04E2C1A9" w:rsidR="00802044" w:rsidRDefault="00802044" w:rsidP="002253D8">
      <w:pPr>
        <w:jc w:val="both"/>
        <w:rPr>
          <w:rFonts w:ascii="Avenir Next" w:hAnsi="Avenir Next" w:cs="Arial"/>
          <w:color w:val="808080" w:themeColor="background1" w:themeShade="80"/>
          <w:sz w:val="22"/>
          <w:szCs w:val="22"/>
          <w:lang w:val="en-GB"/>
        </w:rPr>
      </w:pPr>
    </w:p>
    <w:p w14:paraId="0A2C2213" w14:textId="5E723F6C" w:rsidR="00802044" w:rsidRDefault="00802044" w:rsidP="002253D8">
      <w:pPr>
        <w:jc w:val="both"/>
        <w:rPr>
          <w:rFonts w:ascii="Avenir Next" w:hAnsi="Avenir Next" w:cs="Arial"/>
          <w:color w:val="808080" w:themeColor="background1" w:themeShade="80"/>
          <w:sz w:val="22"/>
          <w:szCs w:val="22"/>
          <w:lang w:val="en-GB"/>
        </w:rPr>
      </w:pPr>
      <w:r w:rsidRPr="00802044">
        <w:rPr>
          <w:rFonts w:ascii="Avenir Next" w:hAnsi="Avenir Next" w:cs="Arial"/>
          <w:color w:val="808080" w:themeColor="background1" w:themeShade="80"/>
          <w:sz w:val="22"/>
          <w:szCs w:val="22"/>
          <w:lang w:val="en-GB"/>
        </w:rPr>
        <w:t>The EIR Recast allows for subsidiary proceedings in any place the debtor has an "establishment." An establishment is defined as being "</w:t>
      </w:r>
      <w:r w:rsidRPr="00802044">
        <w:rPr>
          <w:rFonts w:ascii="Avenir Next" w:hAnsi="Avenir Next" w:cs="Arial"/>
          <w:i/>
          <w:color w:val="808080" w:themeColor="background1" w:themeShade="80"/>
          <w:sz w:val="22"/>
          <w:szCs w:val="22"/>
          <w:lang w:val="en-GB"/>
        </w:rPr>
        <w:t>any place of operations…where the debtor carries out a non-transitory economic activity with human means and assets</w:t>
      </w:r>
      <w:r w:rsidRPr="00802044">
        <w:rPr>
          <w:rFonts w:ascii="Avenir Next" w:hAnsi="Avenir Next" w:cs="Arial"/>
          <w:color w:val="808080" w:themeColor="background1" w:themeShade="80"/>
          <w:sz w:val="22"/>
          <w:szCs w:val="22"/>
          <w:lang w:val="en-GB"/>
        </w:rPr>
        <w:t>" in the three months prior to a request to initiate insolvency proceedings.</w:t>
      </w:r>
      <w:r w:rsidRPr="00802044">
        <w:rPr>
          <w:rFonts w:ascii="Avenir Next" w:hAnsi="Avenir Next" w:cs="Arial"/>
          <w:color w:val="808080" w:themeColor="background1" w:themeShade="80"/>
          <w:sz w:val="22"/>
          <w:szCs w:val="22"/>
          <w:vertAlign w:val="superscript"/>
          <w:lang w:val="en-GB"/>
        </w:rPr>
        <w:footnoteReference w:id="9"/>
      </w:r>
      <w:r w:rsidRPr="00802044">
        <w:rPr>
          <w:rFonts w:ascii="Avenir Next" w:hAnsi="Avenir Next" w:cs="Arial"/>
          <w:color w:val="808080" w:themeColor="background1" w:themeShade="80"/>
          <w:sz w:val="22"/>
          <w:szCs w:val="22"/>
          <w:lang w:val="en-GB"/>
        </w:rPr>
        <w:t xml:space="preserve"> These subsidiary proceedings can either be "independent" (if they were initiated prior to the main proceedings) or "secondary" if initiated after the main proceedings.</w:t>
      </w:r>
    </w:p>
    <w:p w14:paraId="7A4B8E33" w14:textId="63B22D37" w:rsidR="00706E27" w:rsidRDefault="00706E27" w:rsidP="002253D8">
      <w:pPr>
        <w:jc w:val="both"/>
        <w:rPr>
          <w:rFonts w:ascii="Avenir Next" w:hAnsi="Avenir Next" w:cs="Arial"/>
          <w:color w:val="808080" w:themeColor="background1" w:themeShade="80"/>
          <w:sz w:val="22"/>
          <w:szCs w:val="22"/>
          <w:lang w:val="en-GB"/>
        </w:rPr>
      </w:pPr>
    </w:p>
    <w:p w14:paraId="457D8354" w14:textId="27A54ECD" w:rsidR="00706E27" w:rsidRDefault="00706E27"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deal with assets in Germany </w:t>
      </w:r>
      <w:r w:rsidR="00802044">
        <w:rPr>
          <w:rFonts w:ascii="Avenir Next" w:hAnsi="Avenir Next" w:cs="Arial"/>
          <w:color w:val="808080" w:themeColor="background1" w:themeShade="80"/>
          <w:sz w:val="22"/>
          <w:szCs w:val="22"/>
          <w:lang w:val="en-GB"/>
        </w:rPr>
        <w:t>(including the subsidiary Gladiator Manufacturing Ltd (albeit it is not clear where Gladiator has its registered office)</w:t>
      </w:r>
      <w:r w:rsidR="003049F3">
        <w:rPr>
          <w:rFonts w:ascii="Avenir Next" w:hAnsi="Avenir Next" w:cs="Arial"/>
          <w:color w:val="808080" w:themeColor="background1" w:themeShade="80"/>
          <w:sz w:val="22"/>
          <w:szCs w:val="22"/>
          <w:lang w:val="en-GB"/>
        </w:rPr>
        <w:t>)</w:t>
      </w:r>
      <w:r w:rsidR="00802044">
        <w:rPr>
          <w:rFonts w:ascii="Avenir Next" w:hAnsi="Avenir Next" w:cs="Arial"/>
          <w:color w:val="808080" w:themeColor="background1" w:themeShade="80"/>
          <w:sz w:val="22"/>
          <w:szCs w:val="22"/>
          <w:lang w:val="en-GB"/>
        </w:rPr>
        <w:t xml:space="preserve"> via secondary proceedings, it would need to be established that Norton has an "establishment" in Germany.</w:t>
      </w:r>
      <w:r w:rsidR="00A55B37">
        <w:rPr>
          <w:rFonts w:ascii="Avenir Next" w:hAnsi="Avenir Next" w:cs="Arial"/>
          <w:color w:val="808080" w:themeColor="background1" w:themeShade="80"/>
          <w:sz w:val="22"/>
          <w:szCs w:val="22"/>
          <w:lang w:val="en-GB"/>
        </w:rPr>
        <w:t xml:space="preserve"> Based on the information we have (</w:t>
      </w:r>
      <w:r w:rsidR="003049F3">
        <w:rPr>
          <w:rFonts w:ascii="Avenir Next" w:hAnsi="Avenir Next" w:cs="Arial"/>
          <w:color w:val="808080" w:themeColor="background1" w:themeShade="80"/>
          <w:sz w:val="22"/>
          <w:szCs w:val="22"/>
          <w:lang w:val="en-GB"/>
        </w:rPr>
        <w:t xml:space="preserve">i.e. </w:t>
      </w:r>
      <w:r w:rsidR="00A55B37">
        <w:rPr>
          <w:rFonts w:ascii="Avenir Next" w:hAnsi="Avenir Next" w:cs="Arial"/>
          <w:color w:val="808080" w:themeColor="background1" w:themeShade="80"/>
          <w:sz w:val="22"/>
          <w:szCs w:val="22"/>
          <w:lang w:val="en-GB"/>
        </w:rPr>
        <w:t>that the main operations of Norton are in Germany, as well as the business of its subsidiary, Gladiator) it would appear that secondary proceedings could be commenced in Germany.</w:t>
      </w:r>
    </w:p>
    <w:p w14:paraId="64B05360" w14:textId="48929897" w:rsidR="00D2317C" w:rsidRDefault="00D2317C" w:rsidP="002253D8">
      <w:pPr>
        <w:jc w:val="both"/>
        <w:rPr>
          <w:rFonts w:ascii="Avenir Next" w:hAnsi="Avenir Next" w:cs="Arial"/>
          <w:color w:val="808080" w:themeColor="background1" w:themeShade="80"/>
          <w:sz w:val="22"/>
          <w:szCs w:val="22"/>
          <w:lang w:val="en-GB"/>
        </w:rPr>
      </w:pPr>
    </w:p>
    <w:p w14:paraId="3AF4AB94" w14:textId="34129197" w:rsidR="00D2317C" w:rsidRPr="00D2317C" w:rsidRDefault="00D2317C" w:rsidP="002253D8">
      <w:pPr>
        <w:jc w:val="both"/>
        <w:rPr>
          <w:rFonts w:ascii="Avenir Next" w:hAnsi="Avenir Next" w:cs="Arial"/>
          <w:color w:val="808080" w:themeColor="background1" w:themeShade="80"/>
          <w:sz w:val="22"/>
          <w:szCs w:val="22"/>
          <w:u w:val="single"/>
          <w:lang w:val="en-GB"/>
        </w:rPr>
      </w:pPr>
      <w:r w:rsidRPr="00D2317C">
        <w:rPr>
          <w:rFonts w:ascii="Avenir Next" w:hAnsi="Avenir Next" w:cs="Arial"/>
          <w:color w:val="808080" w:themeColor="background1" w:themeShade="80"/>
          <w:sz w:val="22"/>
          <w:szCs w:val="22"/>
          <w:u w:val="single"/>
          <w:lang w:val="en-GB"/>
        </w:rPr>
        <w:t>Applicable law</w:t>
      </w:r>
    </w:p>
    <w:p w14:paraId="47681BC8" w14:textId="3056E74F" w:rsidR="00D2317C" w:rsidRDefault="00D2317C" w:rsidP="002253D8">
      <w:pPr>
        <w:jc w:val="both"/>
        <w:rPr>
          <w:rFonts w:ascii="Avenir Next" w:hAnsi="Avenir Next" w:cs="Arial"/>
          <w:color w:val="808080" w:themeColor="background1" w:themeShade="80"/>
          <w:sz w:val="22"/>
          <w:szCs w:val="22"/>
          <w:lang w:val="en-GB"/>
        </w:rPr>
      </w:pPr>
    </w:p>
    <w:p w14:paraId="10F49AB8" w14:textId="3728D9C6" w:rsidR="00D2317C" w:rsidRPr="00DA42DA" w:rsidRDefault="007355E9"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provides a general rule that the applicable law </w:t>
      </w:r>
      <w:r w:rsidR="005E1771">
        <w:rPr>
          <w:rFonts w:ascii="Avenir Next" w:hAnsi="Avenir Next" w:cs="Arial"/>
          <w:color w:val="808080" w:themeColor="background1" w:themeShade="80"/>
          <w:sz w:val="22"/>
          <w:szCs w:val="22"/>
          <w:lang w:val="en-GB"/>
        </w:rPr>
        <w:t xml:space="preserve">to the insolvency proceedings </w:t>
      </w:r>
      <w:r>
        <w:rPr>
          <w:rFonts w:ascii="Avenir Next" w:hAnsi="Avenir Next" w:cs="Arial"/>
          <w:color w:val="808080" w:themeColor="background1" w:themeShade="80"/>
          <w:sz w:val="22"/>
          <w:szCs w:val="22"/>
          <w:lang w:val="en-GB"/>
        </w:rPr>
        <w:t>is the law of that State</w:t>
      </w:r>
      <w:r w:rsidR="005E1771">
        <w:rPr>
          <w:rFonts w:ascii="Avenir Next" w:hAnsi="Avenir Next" w:cs="Arial"/>
          <w:color w:val="808080" w:themeColor="background1" w:themeShade="80"/>
          <w:sz w:val="22"/>
          <w:szCs w:val="22"/>
          <w:lang w:val="en-GB"/>
        </w:rPr>
        <w:t xml:space="preserve"> in which the proceedings have been commenced</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0"/>
      </w:r>
      <w:r w:rsidR="002B2CFB">
        <w:rPr>
          <w:rFonts w:ascii="Avenir Next" w:hAnsi="Avenir Next" w:cs="Arial"/>
          <w:color w:val="808080" w:themeColor="background1" w:themeShade="80"/>
          <w:sz w:val="22"/>
          <w:szCs w:val="22"/>
          <w:lang w:val="en-GB"/>
        </w:rPr>
        <w:t xml:space="preserve"> The EIR Recast sets out uniform rules on conflict of law</w:t>
      </w:r>
      <w:r w:rsidR="005E1771">
        <w:rPr>
          <w:rFonts w:ascii="Avenir Next" w:hAnsi="Avenir Next" w:cs="Arial"/>
          <w:color w:val="808080" w:themeColor="background1" w:themeShade="80"/>
          <w:sz w:val="22"/>
          <w:szCs w:val="22"/>
          <w:lang w:val="en-GB"/>
        </w:rPr>
        <w:t>s</w:t>
      </w:r>
      <w:r w:rsidR="002B2CFB">
        <w:rPr>
          <w:rFonts w:ascii="Avenir Next" w:hAnsi="Avenir Next" w:cs="Arial"/>
          <w:color w:val="808080" w:themeColor="background1" w:themeShade="80"/>
          <w:sz w:val="22"/>
          <w:szCs w:val="22"/>
          <w:lang w:val="en-GB"/>
        </w:rPr>
        <w:t xml:space="preserve"> that override any national rules.</w:t>
      </w:r>
      <w:r w:rsidR="00726A6A">
        <w:rPr>
          <w:rFonts w:ascii="Avenir Next" w:hAnsi="Avenir Next" w:cs="Arial"/>
          <w:color w:val="808080" w:themeColor="background1" w:themeShade="80"/>
          <w:sz w:val="22"/>
          <w:szCs w:val="22"/>
          <w:lang w:val="en-GB"/>
        </w:rPr>
        <w:t xml:space="preserve"> The general rule </w:t>
      </w:r>
      <w:r w:rsidR="005E1771">
        <w:rPr>
          <w:rFonts w:ascii="Avenir Next" w:hAnsi="Avenir Next" w:cs="Arial"/>
          <w:color w:val="808080" w:themeColor="background1" w:themeShade="80"/>
          <w:sz w:val="22"/>
          <w:szCs w:val="22"/>
          <w:lang w:val="en-GB"/>
        </w:rPr>
        <w:t xml:space="preserve">under the EIR Recast </w:t>
      </w:r>
      <w:r w:rsidR="00726A6A">
        <w:rPr>
          <w:rFonts w:ascii="Avenir Next" w:hAnsi="Avenir Next" w:cs="Arial"/>
          <w:color w:val="808080" w:themeColor="background1" w:themeShade="80"/>
          <w:sz w:val="22"/>
          <w:szCs w:val="22"/>
          <w:lang w:val="en-GB"/>
        </w:rPr>
        <w:t>applies to secondary proceedings also. Thus secondary proceedings commenced in Germany will follow German law.</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54BA088" w:rsidR="002253D8" w:rsidRPr="002253D8" w:rsidRDefault="007C40F2"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 the EIR Recast has only been effected into the laws of Member States. It would be a matter for the domestic insolvency law of India, South Africa or Australia as to whether their Courts would recognise an EU-appointed insolvency representative.</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BF54C55" w14:textId="4B742F7E" w:rsidR="00E44DC3" w:rsidRDefault="00E44DC3" w:rsidP="00E44DC3">
      <w:pPr>
        <w:ind w:left="45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 of EIR Recast provides the general rule that the law of the insolvency </w:t>
      </w:r>
      <w:r w:rsidR="00755FBC">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the law of the State where proceedings are commenced (the </w:t>
      </w:r>
      <w:proofErr w:type="spellStart"/>
      <w:r>
        <w:rPr>
          <w:rFonts w:ascii="Avenir Next" w:hAnsi="Avenir Next" w:cs="Arial"/>
          <w:i/>
          <w:color w:val="808080" w:themeColor="background1" w:themeShade="80"/>
          <w:sz w:val="22"/>
          <w:szCs w:val="22"/>
          <w:lang w:val="en-GB"/>
        </w:rPr>
        <w:t>lex</w:t>
      </w:r>
      <w:proofErr w:type="spellEnd"/>
      <w:r>
        <w:rPr>
          <w:rFonts w:ascii="Avenir Next" w:hAnsi="Avenir Next" w:cs="Arial"/>
          <w:i/>
          <w:color w:val="808080" w:themeColor="background1" w:themeShade="80"/>
          <w:sz w:val="22"/>
          <w:szCs w:val="22"/>
          <w:lang w:val="en-GB"/>
        </w:rPr>
        <w:t xml:space="preserve"> </w:t>
      </w:r>
      <w:proofErr w:type="spellStart"/>
      <w:r>
        <w:rPr>
          <w:rFonts w:ascii="Avenir Next" w:hAnsi="Avenir Next" w:cs="Arial"/>
          <w:i/>
          <w:color w:val="808080" w:themeColor="background1" w:themeShade="80"/>
          <w:sz w:val="22"/>
          <w:szCs w:val="22"/>
          <w:lang w:val="en-GB"/>
        </w:rPr>
        <w:t>concursus</w:t>
      </w:r>
      <w:proofErr w:type="spellEnd"/>
      <w:r>
        <w:rPr>
          <w:rFonts w:ascii="Avenir Next" w:hAnsi="Avenir Next" w:cs="Arial"/>
          <w:i/>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 this case, Italy. This would mean Italian law governing the rights of creditors and the realisation of assets including those subject to security. As a general rule of Italian insolvency law, secured creditors cannot bring individual enforcement actions in relation to the secured asset once the bankruptcy has been declared (Article 51 of the Italian Bankruptcy Law</w:t>
      </w:r>
      <w:r w:rsidR="00755FB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On this basis, the s</w:t>
      </w:r>
      <w:r w:rsidR="00755FBC">
        <w:rPr>
          <w:rFonts w:ascii="Avenir Next" w:hAnsi="Avenir Next" w:cs="Arial"/>
          <w:color w:val="808080" w:themeColor="background1" w:themeShade="80"/>
          <w:sz w:val="22"/>
          <w:szCs w:val="22"/>
          <w:lang w:val="en-GB"/>
        </w:rPr>
        <w:t>ecured asset would be treated</w:t>
      </w:r>
      <w:r>
        <w:rPr>
          <w:rFonts w:ascii="Avenir Next" w:hAnsi="Avenir Next" w:cs="Arial"/>
          <w:color w:val="808080" w:themeColor="background1" w:themeShade="80"/>
          <w:sz w:val="22"/>
          <w:szCs w:val="22"/>
          <w:lang w:val="en-GB"/>
        </w:rPr>
        <w:t xml:space="preserve"> like any other.</w:t>
      </w:r>
    </w:p>
    <w:p w14:paraId="28AB410B" w14:textId="13D5D25D" w:rsidR="00E44DC3" w:rsidRDefault="00E44DC3" w:rsidP="00E44DC3">
      <w:pPr>
        <w:ind w:left="450"/>
        <w:jc w:val="both"/>
        <w:rPr>
          <w:rFonts w:ascii="Avenir Next" w:hAnsi="Avenir Next" w:cs="Arial"/>
          <w:color w:val="808080" w:themeColor="background1" w:themeShade="80"/>
          <w:sz w:val="22"/>
          <w:szCs w:val="22"/>
          <w:lang w:val="en-GB"/>
        </w:rPr>
      </w:pPr>
    </w:p>
    <w:p w14:paraId="0CF3F3DC" w14:textId="29324219" w:rsidR="00E44DC3" w:rsidRPr="00E44DC3" w:rsidRDefault="00E44DC3" w:rsidP="00E44DC3">
      <w:pPr>
        <w:ind w:left="450"/>
        <w:jc w:val="both"/>
        <w:rPr>
          <w:rFonts w:ascii="Avenir Next" w:hAnsi="Avenir Next" w:cs="Arial"/>
          <w:color w:val="808080" w:themeColor="background1" w:themeShade="80"/>
          <w:sz w:val="22"/>
          <w:szCs w:val="22"/>
          <w:lang w:val="en-GB"/>
        </w:rPr>
      </w:pPr>
      <w:r w:rsidRPr="00E44DC3">
        <w:rPr>
          <w:rFonts w:ascii="Avenir Next" w:hAnsi="Avenir Next" w:cs="Arial"/>
          <w:color w:val="808080" w:themeColor="background1" w:themeShade="80"/>
          <w:sz w:val="22"/>
          <w:szCs w:val="22"/>
          <w:u w:val="single"/>
          <w:lang w:val="en-GB"/>
        </w:rPr>
        <w:t>However</w:t>
      </w:r>
      <w:r>
        <w:rPr>
          <w:rFonts w:ascii="Avenir Next" w:hAnsi="Avenir Next" w:cs="Arial"/>
          <w:color w:val="808080" w:themeColor="background1" w:themeShade="80"/>
          <w:sz w:val="22"/>
          <w:szCs w:val="22"/>
          <w:lang w:val="en-GB"/>
        </w:rPr>
        <w:t xml:space="preserve">, an exception to Article 7 is in relation to rights </w:t>
      </w:r>
      <w:r>
        <w:rPr>
          <w:rFonts w:ascii="Avenir Next" w:hAnsi="Avenir Next" w:cs="Arial"/>
          <w:i/>
          <w:color w:val="808080" w:themeColor="background1" w:themeShade="80"/>
          <w:sz w:val="22"/>
          <w:szCs w:val="22"/>
          <w:lang w:val="en-GB"/>
        </w:rPr>
        <w:t xml:space="preserve">in rem </w:t>
      </w:r>
      <w:r>
        <w:rPr>
          <w:rFonts w:ascii="Avenir Next" w:hAnsi="Avenir Next" w:cs="Arial"/>
          <w:color w:val="808080" w:themeColor="background1" w:themeShade="80"/>
          <w:sz w:val="22"/>
          <w:szCs w:val="22"/>
          <w:lang w:val="en-GB"/>
        </w:rPr>
        <w:t>of creditors in respect of assets of the debtor, situated within Member States.</w:t>
      </w:r>
      <w:r>
        <w:rPr>
          <w:rStyle w:val="FootnoteReference"/>
          <w:rFonts w:ascii="Avenir Next" w:hAnsi="Avenir Next" w:cs="Arial"/>
          <w:i/>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If,</w:t>
      </w:r>
      <w:r w:rsidR="00755FBC">
        <w:rPr>
          <w:rFonts w:ascii="Avenir Next" w:hAnsi="Avenir Next" w:cs="Arial"/>
          <w:color w:val="808080" w:themeColor="background1" w:themeShade="80"/>
          <w:sz w:val="22"/>
          <w:szCs w:val="22"/>
          <w:lang w:val="en-GB"/>
        </w:rPr>
        <w:t xml:space="preserve"> in</w:t>
      </w:r>
      <w:r>
        <w:rPr>
          <w:rFonts w:ascii="Avenir Next" w:hAnsi="Avenir Next" w:cs="Arial"/>
          <w:color w:val="808080" w:themeColor="background1" w:themeShade="80"/>
          <w:sz w:val="22"/>
          <w:szCs w:val="22"/>
          <w:lang w:val="en-GB"/>
        </w:rPr>
        <w:t xml:space="preserve"> </w:t>
      </w:r>
      <w:r w:rsidR="00755FBC">
        <w:rPr>
          <w:rFonts w:ascii="Avenir Next" w:hAnsi="Avenir Next" w:cs="Arial"/>
          <w:color w:val="808080" w:themeColor="background1" w:themeShade="80"/>
          <w:sz w:val="22"/>
          <w:szCs w:val="22"/>
          <w:lang w:val="en-GB"/>
        </w:rPr>
        <w:t>the wording of the</w:t>
      </w:r>
      <w:r>
        <w:rPr>
          <w:rFonts w:ascii="Avenir Next" w:hAnsi="Avenir Next" w:cs="Arial"/>
          <w:color w:val="808080" w:themeColor="background1" w:themeShade="80"/>
          <w:sz w:val="22"/>
          <w:szCs w:val="22"/>
          <w:lang w:val="en-GB"/>
        </w:rPr>
        <w:t xml:space="preserve"> above</w:t>
      </w:r>
      <w:r w:rsidR="006B299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"real rights of security" </w:t>
      </w:r>
      <w:r w:rsidR="006B2997">
        <w:rPr>
          <w:rFonts w:ascii="Avenir Next" w:hAnsi="Avenir Next" w:cs="Arial"/>
          <w:color w:val="808080" w:themeColor="background1" w:themeShade="80"/>
          <w:sz w:val="22"/>
          <w:szCs w:val="22"/>
          <w:lang w:val="en-GB"/>
        </w:rPr>
        <w:t xml:space="preserve">can be taken to mean a right </w:t>
      </w:r>
      <w:r w:rsidR="006B2997">
        <w:rPr>
          <w:rFonts w:ascii="Avenir Next" w:hAnsi="Avenir Next" w:cs="Arial"/>
          <w:i/>
          <w:color w:val="808080" w:themeColor="background1" w:themeShade="80"/>
          <w:sz w:val="22"/>
          <w:szCs w:val="22"/>
          <w:lang w:val="en-GB"/>
        </w:rPr>
        <w:t xml:space="preserve">in rem </w:t>
      </w:r>
      <w:r w:rsidR="006B2997">
        <w:rPr>
          <w:rFonts w:ascii="Avenir Next" w:hAnsi="Avenir Next" w:cs="Arial"/>
          <w:color w:val="808080" w:themeColor="background1" w:themeShade="80"/>
          <w:sz w:val="22"/>
          <w:szCs w:val="22"/>
          <w:lang w:val="en-GB"/>
        </w:rPr>
        <w:t>(i.e. over real estate)</w:t>
      </w:r>
      <w:r>
        <w:rPr>
          <w:rFonts w:ascii="Avenir Next" w:hAnsi="Avenir Next" w:cs="Arial"/>
          <w:color w:val="808080" w:themeColor="background1" w:themeShade="80"/>
          <w:sz w:val="22"/>
          <w:szCs w:val="22"/>
          <w:lang w:val="en-GB"/>
        </w:rPr>
        <w:t>, then Article 7 does not apply.</w:t>
      </w:r>
      <w:r w:rsidR="006B2997">
        <w:rPr>
          <w:rFonts w:ascii="Avenir Next" w:hAnsi="Avenir Next" w:cs="Arial"/>
          <w:color w:val="808080" w:themeColor="background1" w:themeShade="80"/>
          <w:sz w:val="22"/>
          <w:szCs w:val="22"/>
          <w:lang w:val="en-GB"/>
        </w:rPr>
        <w:t xml:space="preserve"> As a general rule, the law of where the asset is sited applies. A</w:t>
      </w:r>
      <w:r>
        <w:rPr>
          <w:rFonts w:ascii="Avenir Next" w:hAnsi="Avenir Next" w:cs="Arial"/>
          <w:color w:val="808080" w:themeColor="background1" w:themeShade="80"/>
          <w:sz w:val="22"/>
          <w:szCs w:val="22"/>
          <w:lang w:val="en-GB"/>
        </w:rPr>
        <w:t xml:space="preserve">rticle 57 of the Dutch Bankruptcy Act </w:t>
      </w:r>
      <w:r w:rsidR="006B2997">
        <w:rPr>
          <w:rFonts w:ascii="Avenir Next" w:hAnsi="Avenir Next" w:cs="Arial"/>
          <w:color w:val="808080" w:themeColor="background1" w:themeShade="80"/>
          <w:sz w:val="22"/>
          <w:szCs w:val="22"/>
          <w:lang w:val="en-GB"/>
        </w:rPr>
        <w:t>would apply</w:t>
      </w:r>
      <w:r>
        <w:rPr>
          <w:rFonts w:ascii="Avenir Next" w:hAnsi="Avenir Next" w:cs="Arial"/>
          <w:color w:val="808080" w:themeColor="background1" w:themeShade="80"/>
          <w:sz w:val="22"/>
          <w:szCs w:val="22"/>
          <w:lang w:val="en-GB"/>
        </w:rPr>
        <w:t>, meaning the creditor could exercise their right of recovery as if there was no liquidation process.</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472950A" w14:textId="61EF8D84" w:rsidR="00AF1322" w:rsidRPr="004E7F69" w:rsidRDefault="00AF1322" w:rsidP="00FF3C93">
      <w:pPr>
        <w:ind w:left="450" w:hanging="2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 EIR Recast only applies where the encumbered asset is situated in a Member State, so different rules will apply to Australia. </w:t>
      </w:r>
      <w:r w:rsidR="000775BC">
        <w:rPr>
          <w:rFonts w:ascii="Avenir Next" w:hAnsi="Avenir Next" w:cs="Arial"/>
          <w:color w:val="808080" w:themeColor="background1" w:themeShade="80"/>
          <w:sz w:val="22"/>
          <w:szCs w:val="22"/>
          <w:lang w:val="en-GB"/>
        </w:rPr>
        <w:t xml:space="preserve">The EIR Recast does not address this situation so there are varying views as to approach. </w:t>
      </w:r>
      <w:r w:rsidR="004E7F69">
        <w:rPr>
          <w:rFonts w:ascii="Avenir Next" w:hAnsi="Avenir Next" w:cs="Arial"/>
          <w:color w:val="808080" w:themeColor="background1" w:themeShade="80"/>
          <w:sz w:val="22"/>
          <w:szCs w:val="22"/>
          <w:lang w:val="en-GB"/>
        </w:rPr>
        <w:t xml:space="preserve">The decision of the Court of Justice of the European Union in </w:t>
      </w:r>
      <w:r w:rsidR="004E7F69" w:rsidRPr="004E7F69">
        <w:rPr>
          <w:rFonts w:ascii="Avenir Next" w:hAnsi="Avenir Next" w:cs="Arial"/>
          <w:i/>
          <w:color w:val="808080" w:themeColor="background1" w:themeShade="80"/>
          <w:sz w:val="22"/>
          <w:szCs w:val="22"/>
          <w:lang w:val="en-GB"/>
        </w:rPr>
        <w:t xml:space="preserve">Ralph Schmidt v Lilly </w:t>
      </w:r>
      <w:proofErr w:type="spellStart"/>
      <w:r w:rsidR="004E7F69" w:rsidRPr="004E7F69">
        <w:rPr>
          <w:rFonts w:ascii="Avenir Next" w:hAnsi="Avenir Next" w:cs="Arial"/>
          <w:i/>
          <w:color w:val="808080" w:themeColor="background1" w:themeShade="80"/>
          <w:sz w:val="22"/>
          <w:szCs w:val="22"/>
          <w:lang w:val="en-GB"/>
        </w:rPr>
        <w:t>Hertel</w:t>
      </w:r>
      <w:proofErr w:type="spellEnd"/>
      <w:r w:rsidR="004E7F69">
        <w:rPr>
          <w:rStyle w:val="FootnoteReference"/>
          <w:rFonts w:ascii="Avenir Next" w:hAnsi="Avenir Next" w:cs="Arial"/>
          <w:color w:val="808080" w:themeColor="background1" w:themeShade="80"/>
          <w:sz w:val="22"/>
          <w:szCs w:val="22"/>
          <w:lang w:val="en-GB"/>
        </w:rPr>
        <w:footnoteReference w:id="12"/>
      </w:r>
      <w:r w:rsidR="004E7F69">
        <w:rPr>
          <w:rFonts w:ascii="Avenir Next" w:hAnsi="Avenir Next" w:cs="Arial"/>
          <w:i/>
          <w:color w:val="808080" w:themeColor="background1" w:themeShade="80"/>
          <w:sz w:val="22"/>
          <w:szCs w:val="22"/>
          <w:lang w:val="en-GB"/>
        </w:rPr>
        <w:t xml:space="preserve"> </w:t>
      </w:r>
      <w:r w:rsidR="004E7F69">
        <w:rPr>
          <w:rFonts w:ascii="Avenir Next" w:hAnsi="Avenir Next" w:cs="Arial"/>
          <w:color w:val="808080" w:themeColor="background1" w:themeShade="80"/>
          <w:sz w:val="22"/>
          <w:szCs w:val="22"/>
          <w:lang w:val="en-GB"/>
        </w:rPr>
        <w:t xml:space="preserve">saw the CJEU take a wider view of the applicability of the EIR Recast, such that it could apply to relations with non-Member States. Thus there is an argument that Italian law would apply (as per the Article 51 provisions outlined </w:t>
      </w:r>
      <w:r w:rsidR="009B2FCF">
        <w:rPr>
          <w:rFonts w:ascii="Avenir Next" w:hAnsi="Avenir Next" w:cs="Arial"/>
          <w:color w:val="808080" w:themeColor="background1" w:themeShade="80"/>
          <w:sz w:val="22"/>
          <w:szCs w:val="22"/>
          <w:lang w:val="en-GB"/>
        </w:rPr>
        <w:t xml:space="preserve">at 4.4 </w:t>
      </w:r>
      <w:bookmarkStart w:id="0" w:name="_GoBack"/>
      <w:bookmarkEnd w:id="0"/>
      <w:r w:rsidR="009B2FCF">
        <w:rPr>
          <w:rFonts w:ascii="Avenir Next" w:hAnsi="Avenir Next" w:cs="Arial"/>
          <w:color w:val="808080" w:themeColor="background1" w:themeShade="80"/>
          <w:sz w:val="22"/>
          <w:szCs w:val="22"/>
          <w:lang w:val="en-GB"/>
        </w:rPr>
        <w:t xml:space="preserve">a) </w:t>
      </w:r>
      <w:r w:rsidR="004E7F69">
        <w:rPr>
          <w:rFonts w:ascii="Avenir Next" w:hAnsi="Avenir Next" w:cs="Arial"/>
          <w:color w:val="808080" w:themeColor="background1" w:themeShade="80"/>
          <w:sz w:val="22"/>
          <w:szCs w:val="22"/>
          <w:lang w:val="en-GB"/>
        </w:rPr>
        <w:t>above</w:t>
      </w:r>
      <w:r w:rsidR="009B2FCF">
        <w:rPr>
          <w:rFonts w:ascii="Avenir Next" w:hAnsi="Avenir Next" w:cs="Arial"/>
          <w:color w:val="808080" w:themeColor="background1" w:themeShade="80"/>
          <w:sz w:val="22"/>
          <w:szCs w:val="22"/>
          <w:lang w:val="en-GB"/>
        </w:rPr>
        <w:t>)</w:t>
      </w:r>
      <w:r w:rsidR="004E7F69">
        <w:rPr>
          <w:rFonts w:ascii="Avenir Next" w:hAnsi="Avenir Next" w:cs="Arial"/>
          <w:color w:val="808080" w:themeColor="background1" w:themeShade="80"/>
          <w:sz w:val="22"/>
          <w:szCs w:val="22"/>
          <w:lang w:val="en-GB"/>
        </w:rPr>
        <w:t>.</w:t>
      </w:r>
    </w:p>
    <w:p w14:paraId="68E6D052" w14:textId="77777777" w:rsidR="00AF1322" w:rsidRDefault="00AF1322" w:rsidP="00FF3C93">
      <w:pPr>
        <w:ind w:left="450" w:hanging="24"/>
        <w:jc w:val="both"/>
        <w:rPr>
          <w:rFonts w:ascii="Avenir Next" w:hAnsi="Avenir Next" w:cs="Arial"/>
          <w:color w:val="808080" w:themeColor="background1" w:themeShade="80"/>
          <w:sz w:val="22"/>
          <w:szCs w:val="22"/>
          <w:lang w:val="en-GB"/>
        </w:rPr>
      </w:pPr>
    </w:p>
    <w:p w14:paraId="5156B24B" w14:textId="7C6A8D9B" w:rsidR="002253D8" w:rsidRPr="00DA42DA" w:rsidRDefault="00E520AE" w:rsidP="00FF3C93">
      <w:pPr>
        <w:ind w:left="450" w:hanging="2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contrary view is that in any proceedings where enforcement is required over an Australian asset, the insolvency practitioner would need to commence proceedings in the Australian courts and it would therefore be a question of a) Australia's approach to cross-border insolvency and conflict of laws</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and b) its law in relation to rights of secured creditors.</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5135" w14:textId="77777777" w:rsidR="00682663" w:rsidRDefault="00682663" w:rsidP="00241B44">
      <w:r>
        <w:separator/>
      </w:r>
    </w:p>
  </w:endnote>
  <w:endnote w:type="continuationSeparator" w:id="0">
    <w:p w14:paraId="338CE371" w14:textId="77777777" w:rsidR="00682663" w:rsidRDefault="006826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6A2CE5FC"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9B2FCF">
          <w:rPr>
            <w:rStyle w:val="PageNumber"/>
            <w:rFonts w:ascii="Avenir Next" w:hAnsi="Avenir Next" w:cs="Arial"/>
            <w:noProof/>
            <w:sz w:val="22"/>
            <w:szCs w:val="22"/>
          </w:rPr>
          <w:t>13</w:t>
        </w:r>
        <w:r w:rsidRPr="00297BDF">
          <w:rPr>
            <w:rStyle w:val="PageNumber"/>
            <w:rFonts w:ascii="Avenir Next" w:hAnsi="Avenir Next" w:cs="Arial"/>
            <w:sz w:val="22"/>
            <w:szCs w:val="22"/>
          </w:rPr>
          <w:fldChar w:fldCharType="end"/>
        </w:r>
      </w:p>
    </w:sdtContent>
  </w:sdt>
  <w:p w14:paraId="12ABA5E1" w14:textId="63354D95" w:rsidR="00B64A85" w:rsidRPr="00297BDF" w:rsidRDefault="00C10AEA" w:rsidP="00C10AEA">
    <w:pPr>
      <w:pStyle w:val="Footer"/>
      <w:ind w:right="360"/>
      <w:rPr>
        <w:rFonts w:ascii="Avenir Next" w:hAnsi="Avenir Next" w:cs="Arial"/>
        <w:sz w:val="22"/>
        <w:szCs w:val="22"/>
      </w:rPr>
    </w:pPr>
    <w:r w:rsidRPr="00C10AEA">
      <w:rPr>
        <w:rFonts w:ascii="Avenir Next" w:hAnsi="Avenir Next" w:cs="Arial"/>
        <w:sz w:val="22"/>
        <w:szCs w:val="22"/>
      </w:rPr>
      <w:t>FC202324-1361.assessment1summative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C2BB8AF366423EAFB48355FF783D31"/>
      </w:placeholder>
      <w:temporary/>
      <w:showingPlcHdr/>
      <w15:appearance w15:val="hidden"/>
    </w:sdtPr>
    <w:sdtContent>
      <w:p w14:paraId="09F89ECA" w14:textId="77777777" w:rsidR="00C10AEA" w:rsidRDefault="00C10AEA">
        <w:pPr>
          <w:pStyle w:val="Footer"/>
        </w:pPr>
        <w:r>
          <w:t>[Type here]</w:t>
        </w:r>
      </w:p>
    </w:sdtContent>
  </w:sdt>
  <w:p w14:paraId="733D1918" w14:textId="77777777" w:rsidR="00C10AEA" w:rsidRDefault="00C1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8D74" w14:textId="77777777" w:rsidR="00682663" w:rsidRDefault="00682663" w:rsidP="00241B44">
      <w:r>
        <w:separator/>
      </w:r>
    </w:p>
  </w:footnote>
  <w:footnote w:type="continuationSeparator" w:id="0">
    <w:p w14:paraId="2381DB73" w14:textId="77777777" w:rsidR="00682663" w:rsidRDefault="00682663" w:rsidP="00241B44">
      <w:r>
        <w:continuationSeparator/>
      </w:r>
    </w:p>
  </w:footnote>
  <w:footnote w:id="1">
    <w:p w14:paraId="7C5045F8" w14:textId="4E99EB47" w:rsidR="00D96130" w:rsidRPr="00D31CFB" w:rsidRDefault="00D96130">
      <w:pPr>
        <w:pStyle w:val="FootnoteText"/>
      </w:pPr>
      <w:r>
        <w:rPr>
          <w:rStyle w:val="FootnoteReference"/>
        </w:rPr>
        <w:footnoteRef/>
      </w:r>
      <w:r>
        <w:t xml:space="preserve"> </w:t>
      </w:r>
      <w:r w:rsidR="00D31CFB">
        <w:rPr>
          <w:i/>
        </w:rPr>
        <w:t>The Law of Insolvency</w:t>
      </w:r>
      <w:r w:rsidR="00D31CFB">
        <w:t>, London (Sweet and Maxwell, 5</w:t>
      </w:r>
      <w:r w:rsidR="00D31CFB" w:rsidRPr="00D31CFB">
        <w:rPr>
          <w:vertAlign w:val="superscript"/>
        </w:rPr>
        <w:t>th</w:t>
      </w:r>
      <w:r w:rsidR="00D31CFB">
        <w:t xml:space="preserve"> Edition, 2017) at p.6</w:t>
      </w:r>
    </w:p>
  </w:footnote>
  <w:footnote w:id="2">
    <w:p w14:paraId="3E005EAD" w14:textId="1E96E146" w:rsidR="00D31CFB" w:rsidRDefault="00D31CFB">
      <w:pPr>
        <w:pStyle w:val="FootnoteText"/>
      </w:pPr>
      <w:r>
        <w:rPr>
          <w:rStyle w:val="FootnoteReference"/>
        </w:rPr>
        <w:footnoteRef/>
      </w:r>
      <w:r>
        <w:t xml:space="preserve"> </w:t>
      </w:r>
      <w:r w:rsidRPr="00D31CFB">
        <w:rPr>
          <w:i/>
        </w:rPr>
        <w:t xml:space="preserve">Principles of International Insolvency </w:t>
      </w:r>
      <w:r w:rsidRPr="00D31CFB">
        <w:t xml:space="preserve">(Sweet and Maxwell, 2007) </w:t>
      </w:r>
      <w:r>
        <w:t>p.3</w:t>
      </w:r>
    </w:p>
  </w:footnote>
  <w:footnote w:id="3">
    <w:p w14:paraId="028282D0" w14:textId="52034154" w:rsidR="00875DE8" w:rsidRDefault="00875DE8">
      <w:pPr>
        <w:pStyle w:val="FootnoteText"/>
      </w:pPr>
      <w:r>
        <w:rPr>
          <w:rStyle w:val="FootnoteReference"/>
        </w:rPr>
        <w:footnoteRef/>
      </w:r>
      <w:r>
        <w:t xml:space="preserve"> Also discussed by </w:t>
      </w:r>
      <w:proofErr w:type="spellStart"/>
      <w:r>
        <w:t>Sealey</w:t>
      </w:r>
      <w:proofErr w:type="spellEnd"/>
      <w:r>
        <w:t xml:space="preserve"> and Hooley in M </w:t>
      </w:r>
      <w:proofErr w:type="gramStart"/>
      <w:r>
        <w:t>A</w:t>
      </w:r>
      <w:proofErr w:type="gramEnd"/>
      <w:r>
        <w:t xml:space="preserve"> Clarke </w:t>
      </w:r>
      <w:r w:rsidRPr="00875DE8">
        <w:rPr>
          <w:i/>
        </w:rPr>
        <w:t>et al, Commercial Law</w:t>
      </w:r>
      <w:r>
        <w:t xml:space="preserve"> (Oxford University Press, 2017) Chapter 28.</w:t>
      </w:r>
    </w:p>
  </w:footnote>
  <w:footnote w:id="4">
    <w:p w14:paraId="2C0BFE18" w14:textId="1C07E261" w:rsidR="00AC7F24" w:rsidRDefault="00AC7F24">
      <w:pPr>
        <w:pStyle w:val="FootnoteText"/>
      </w:pPr>
      <w:r>
        <w:rPr>
          <w:rStyle w:val="FootnoteReference"/>
        </w:rPr>
        <w:footnoteRef/>
      </w:r>
      <w:r>
        <w:t xml:space="preserve"> "Developments in Transnational Bankruptcy" (1995) 39, </w:t>
      </w:r>
      <w:r w:rsidRPr="00AC7F24">
        <w:rPr>
          <w:i/>
        </w:rPr>
        <w:t>St Louis University Law Journal</w:t>
      </w:r>
      <w:r>
        <w:t xml:space="preserve"> 753, pp.753-757.</w:t>
      </w:r>
    </w:p>
  </w:footnote>
  <w:footnote w:id="5">
    <w:p w14:paraId="4F5140CD" w14:textId="27B91BDF" w:rsidR="00421AD3" w:rsidRDefault="00421AD3">
      <w:pPr>
        <w:pStyle w:val="FootnoteText"/>
      </w:pPr>
      <w:r>
        <w:rPr>
          <w:rStyle w:val="FootnoteReference"/>
        </w:rPr>
        <w:footnoteRef/>
      </w:r>
      <w:r>
        <w:t xml:space="preserve"> The cross-border provisions of section 426 Insolvency Act 1986 not applying to the USA.</w:t>
      </w:r>
    </w:p>
  </w:footnote>
  <w:footnote w:id="6">
    <w:p w14:paraId="3031BA35" w14:textId="382E7D85" w:rsidR="009F160C" w:rsidRDefault="009F160C">
      <w:pPr>
        <w:pStyle w:val="FootnoteText"/>
      </w:pPr>
      <w:r>
        <w:rPr>
          <w:rStyle w:val="FootnoteReference"/>
        </w:rPr>
        <w:footnoteRef/>
      </w:r>
      <w:r>
        <w:t xml:space="preserve"> CBIR article 2(g), Schedule 1</w:t>
      </w:r>
    </w:p>
  </w:footnote>
  <w:footnote w:id="7">
    <w:p w14:paraId="1B6A9A68" w14:textId="0E2DBD02" w:rsidR="00E046BB" w:rsidRPr="00E046BB" w:rsidRDefault="00E046BB">
      <w:pPr>
        <w:pStyle w:val="FootnoteText"/>
      </w:pPr>
      <w:r>
        <w:rPr>
          <w:rStyle w:val="FootnoteReference"/>
        </w:rPr>
        <w:footnoteRef/>
      </w:r>
      <w:r>
        <w:t xml:space="preserve"> As per Lord Hoffman's judgment in the Privy Council decision in </w:t>
      </w:r>
      <w:r>
        <w:rPr>
          <w:i/>
        </w:rPr>
        <w:t xml:space="preserve">Cambridge Gas Transport Corp v The Official Committee of Unsecured Creditors of Navigator Holdings Plc </w:t>
      </w:r>
      <w:r>
        <w:t>[2006] UKPC (the other principles expounded by Lord Hoffman having been disapproved in later judgments).</w:t>
      </w:r>
    </w:p>
  </w:footnote>
  <w:footnote w:id="8">
    <w:p w14:paraId="6F50FABD" w14:textId="2CCCABA6" w:rsidR="000277DF" w:rsidRDefault="000277DF">
      <w:pPr>
        <w:pStyle w:val="FootnoteText"/>
      </w:pPr>
      <w:r>
        <w:rPr>
          <w:rStyle w:val="FootnoteReference"/>
        </w:rPr>
        <w:footnoteRef/>
      </w:r>
      <w:r>
        <w:t xml:space="preserve"> EIR Recast Article 3(1)</w:t>
      </w:r>
    </w:p>
  </w:footnote>
  <w:footnote w:id="9">
    <w:p w14:paraId="26EBA047" w14:textId="77777777" w:rsidR="00802044" w:rsidRDefault="00802044" w:rsidP="00802044">
      <w:pPr>
        <w:pStyle w:val="FootnoteText"/>
      </w:pPr>
      <w:r>
        <w:rPr>
          <w:rStyle w:val="FootnoteReference"/>
        </w:rPr>
        <w:footnoteRef/>
      </w:r>
      <w:r>
        <w:t xml:space="preserve"> EIR Recast Article 2(10)</w:t>
      </w:r>
    </w:p>
  </w:footnote>
  <w:footnote w:id="10">
    <w:p w14:paraId="6A762CA9" w14:textId="5BFC4898" w:rsidR="007355E9" w:rsidRDefault="007355E9">
      <w:pPr>
        <w:pStyle w:val="FootnoteText"/>
      </w:pPr>
      <w:r>
        <w:rPr>
          <w:rStyle w:val="FootnoteReference"/>
        </w:rPr>
        <w:footnoteRef/>
      </w:r>
      <w:r>
        <w:t xml:space="preserve"> EIR Recast Article 7(1)</w:t>
      </w:r>
    </w:p>
  </w:footnote>
  <w:footnote w:id="11">
    <w:p w14:paraId="2CD290E9" w14:textId="6E699F0C" w:rsidR="00E44DC3" w:rsidRDefault="00E44DC3">
      <w:pPr>
        <w:pStyle w:val="FootnoteText"/>
      </w:pPr>
      <w:r>
        <w:rPr>
          <w:rStyle w:val="FootnoteReference"/>
        </w:rPr>
        <w:footnoteRef/>
      </w:r>
      <w:r>
        <w:t xml:space="preserve"> EIR Recast Article 8</w:t>
      </w:r>
    </w:p>
  </w:footnote>
  <w:footnote w:id="12">
    <w:p w14:paraId="7BE3936D" w14:textId="54580582" w:rsidR="004E7F69" w:rsidRDefault="004E7F69">
      <w:pPr>
        <w:pStyle w:val="FootnoteText"/>
      </w:pPr>
      <w:r>
        <w:rPr>
          <w:rStyle w:val="FootnoteReference"/>
        </w:rPr>
        <w:footnoteRef/>
      </w:r>
      <w:r>
        <w:t xml:space="preserve"> Case C-328/12 (16 January 2014)</w:t>
      </w:r>
    </w:p>
  </w:footnote>
  <w:footnote w:id="13">
    <w:p w14:paraId="590D6813" w14:textId="382B9246" w:rsidR="00E520AE" w:rsidRDefault="00E520AE">
      <w:pPr>
        <w:pStyle w:val="FootnoteText"/>
      </w:pPr>
      <w:r>
        <w:rPr>
          <w:rStyle w:val="FootnoteReference"/>
        </w:rPr>
        <w:footnoteRef/>
      </w:r>
      <w:r>
        <w:t xml:space="preserve"> </w:t>
      </w:r>
      <w:r>
        <w:rPr>
          <w:lang w:val="en-GB"/>
        </w:rPr>
        <w:t>N</w:t>
      </w:r>
      <w:r w:rsidRPr="00E520AE">
        <w:rPr>
          <w:lang w:val="en-GB"/>
        </w:rPr>
        <w:t>oting th</w:t>
      </w:r>
      <w:r>
        <w:rPr>
          <w:lang w:val="en-GB"/>
        </w:rPr>
        <w:t xml:space="preserve">at </w:t>
      </w:r>
      <w:r w:rsidRPr="00E520AE">
        <w:rPr>
          <w:lang w:val="en-GB"/>
        </w:rPr>
        <w:t>Australia has statutory provisions at sections 580-581 of the Corporations Act 2001 in relation to co-operation in cross-border insolvency</w:t>
      </w:r>
      <w:r>
        <w:rPr>
          <w:lang w:val="en-GB"/>
        </w:rPr>
        <w:t xml:space="preserve"> and </w:t>
      </w:r>
      <w:r w:rsidRPr="00E520AE">
        <w:rPr>
          <w:lang w:val="en-GB"/>
        </w:rPr>
        <w:t>has also adopted the Model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EF471A8"/>
    <w:multiLevelType w:val="hybridMultilevel"/>
    <w:tmpl w:val="8FE81B9E"/>
    <w:lvl w:ilvl="0" w:tplc="3690B0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336B6F"/>
    <w:multiLevelType w:val="hybridMultilevel"/>
    <w:tmpl w:val="9DF2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E5EBF"/>
    <w:multiLevelType w:val="hybridMultilevel"/>
    <w:tmpl w:val="4E28E266"/>
    <w:lvl w:ilvl="0" w:tplc="8B8ACAC4">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9AF1C3C"/>
    <w:multiLevelType w:val="hybridMultilevel"/>
    <w:tmpl w:val="8FE81B9E"/>
    <w:lvl w:ilvl="0" w:tplc="3690B0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F13B2"/>
    <w:multiLevelType w:val="hybridMultilevel"/>
    <w:tmpl w:val="F8AEBEF2"/>
    <w:lvl w:ilvl="0" w:tplc="D1B0CB8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9" w15:restartNumberingAfterBreak="0">
    <w:nsid w:val="7E056AB2"/>
    <w:multiLevelType w:val="hybridMultilevel"/>
    <w:tmpl w:val="CD40C7FA"/>
    <w:lvl w:ilvl="0" w:tplc="C3F4DE3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9"/>
  </w:num>
  <w:num w:numId="2">
    <w:abstractNumId w:val="36"/>
  </w:num>
  <w:num w:numId="3">
    <w:abstractNumId w:val="2"/>
  </w:num>
  <w:num w:numId="4">
    <w:abstractNumId w:val="4"/>
  </w:num>
  <w:num w:numId="5">
    <w:abstractNumId w:val="24"/>
  </w:num>
  <w:num w:numId="6">
    <w:abstractNumId w:val="30"/>
  </w:num>
  <w:num w:numId="7">
    <w:abstractNumId w:val="15"/>
  </w:num>
  <w:num w:numId="8">
    <w:abstractNumId w:val="37"/>
  </w:num>
  <w:num w:numId="9">
    <w:abstractNumId w:val="14"/>
  </w:num>
  <w:num w:numId="10">
    <w:abstractNumId w:val="33"/>
  </w:num>
  <w:num w:numId="11">
    <w:abstractNumId w:val="11"/>
  </w:num>
  <w:num w:numId="12">
    <w:abstractNumId w:val="34"/>
  </w:num>
  <w:num w:numId="13">
    <w:abstractNumId w:val="21"/>
  </w:num>
  <w:num w:numId="14">
    <w:abstractNumId w:val="20"/>
  </w:num>
  <w:num w:numId="15">
    <w:abstractNumId w:val="5"/>
  </w:num>
  <w:num w:numId="16">
    <w:abstractNumId w:val="25"/>
  </w:num>
  <w:num w:numId="17">
    <w:abstractNumId w:val="18"/>
  </w:num>
  <w:num w:numId="18">
    <w:abstractNumId w:val="19"/>
  </w:num>
  <w:num w:numId="19">
    <w:abstractNumId w:val="28"/>
  </w:num>
  <w:num w:numId="20">
    <w:abstractNumId w:val="9"/>
  </w:num>
  <w:num w:numId="21">
    <w:abstractNumId w:val="17"/>
  </w:num>
  <w:num w:numId="22">
    <w:abstractNumId w:val="0"/>
  </w:num>
  <w:num w:numId="23">
    <w:abstractNumId w:val="27"/>
  </w:num>
  <w:num w:numId="24">
    <w:abstractNumId w:val="1"/>
  </w:num>
  <w:num w:numId="25">
    <w:abstractNumId w:val="35"/>
  </w:num>
  <w:num w:numId="26">
    <w:abstractNumId w:val="38"/>
  </w:num>
  <w:num w:numId="27">
    <w:abstractNumId w:val="8"/>
  </w:num>
  <w:num w:numId="28">
    <w:abstractNumId w:val="7"/>
  </w:num>
  <w:num w:numId="29">
    <w:abstractNumId w:val="6"/>
  </w:num>
  <w:num w:numId="30">
    <w:abstractNumId w:val="12"/>
  </w:num>
  <w:num w:numId="31">
    <w:abstractNumId w:val="3"/>
  </w:num>
  <w:num w:numId="32">
    <w:abstractNumId w:val="16"/>
  </w:num>
  <w:num w:numId="33">
    <w:abstractNumId w:val="26"/>
  </w:num>
  <w:num w:numId="34">
    <w:abstractNumId w:val="13"/>
  </w:num>
  <w:num w:numId="35">
    <w:abstractNumId w:val="23"/>
  </w:num>
  <w:num w:numId="36">
    <w:abstractNumId w:val="31"/>
  </w:num>
  <w:num w:numId="37">
    <w:abstractNumId w:val="22"/>
  </w:num>
  <w:num w:numId="38">
    <w:abstractNumId w:val="10"/>
  </w:num>
  <w:num w:numId="39">
    <w:abstractNumId w:val="32"/>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48F"/>
    <w:rsid w:val="00010BA0"/>
    <w:rsid w:val="00015EE6"/>
    <w:rsid w:val="00020557"/>
    <w:rsid w:val="0002322B"/>
    <w:rsid w:val="000250C7"/>
    <w:rsid w:val="00025C83"/>
    <w:rsid w:val="000277DF"/>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6C4B"/>
    <w:rsid w:val="00057BF2"/>
    <w:rsid w:val="0006130F"/>
    <w:rsid w:val="00062D42"/>
    <w:rsid w:val="00062E85"/>
    <w:rsid w:val="000649D1"/>
    <w:rsid w:val="00064C44"/>
    <w:rsid w:val="00065166"/>
    <w:rsid w:val="00066445"/>
    <w:rsid w:val="00066AE7"/>
    <w:rsid w:val="0007091D"/>
    <w:rsid w:val="00076483"/>
    <w:rsid w:val="000775BC"/>
    <w:rsid w:val="00080757"/>
    <w:rsid w:val="00080FB6"/>
    <w:rsid w:val="0008155B"/>
    <w:rsid w:val="000815BB"/>
    <w:rsid w:val="00081A63"/>
    <w:rsid w:val="00082609"/>
    <w:rsid w:val="0008457E"/>
    <w:rsid w:val="000851CC"/>
    <w:rsid w:val="00085349"/>
    <w:rsid w:val="000854DE"/>
    <w:rsid w:val="00085D4B"/>
    <w:rsid w:val="00086A1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13D5"/>
    <w:rsid w:val="000D55A8"/>
    <w:rsid w:val="000D57BE"/>
    <w:rsid w:val="000D6876"/>
    <w:rsid w:val="000D69A3"/>
    <w:rsid w:val="000E0165"/>
    <w:rsid w:val="000E3A82"/>
    <w:rsid w:val="000E3C5A"/>
    <w:rsid w:val="000E406D"/>
    <w:rsid w:val="000E4841"/>
    <w:rsid w:val="000E5A5F"/>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66E5"/>
    <w:rsid w:val="001174E6"/>
    <w:rsid w:val="00120B4D"/>
    <w:rsid w:val="001211E6"/>
    <w:rsid w:val="0012303D"/>
    <w:rsid w:val="00123855"/>
    <w:rsid w:val="00124B70"/>
    <w:rsid w:val="00125A7C"/>
    <w:rsid w:val="00126A4D"/>
    <w:rsid w:val="00131D42"/>
    <w:rsid w:val="0013278B"/>
    <w:rsid w:val="00135FFC"/>
    <w:rsid w:val="00136505"/>
    <w:rsid w:val="00136E97"/>
    <w:rsid w:val="0014171F"/>
    <w:rsid w:val="00142E15"/>
    <w:rsid w:val="0014622C"/>
    <w:rsid w:val="00150F6C"/>
    <w:rsid w:val="00152348"/>
    <w:rsid w:val="0015328F"/>
    <w:rsid w:val="0015456D"/>
    <w:rsid w:val="001561FA"/>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4261"/>
    <w:rsid w:val="00216499"/>
    <w:rsid w:val="002164C0"/>
    <w:rsid w:val="00216CB4"/>
    <w:rsid w:val="002173C5"/>
    <w:rsid w:val="00223780"/>
    <w:rsid w:val="002253D8"/>
    <w:rsid w:val="0022719C"/>
    <w:rsid w:val="00231611"/>
    <w:rsid w:val="00231CAE"/>
    <w:rsid w:val="00231F38"/>
    <w:rsid w:val="00232CCF"/>
    <w:rsid w:val="002362AB"/>
    <w:rsid w:val="002400DB"/>
    <w:rsid w:val="002406A4"/>
    <w:rsid w:val="0024116D"/>
    <w:rsid w:val="00241B44"/>
    <w:rsid w:val="00245EFB"/>
    <w:rsid w:val="002526C5"/>
    <w:rsid w:val="002529D2"/>
    <w:rsid w:val="0025386E"/>
    <w:rsid w:val="00254804"/>
    <w:rsid w:val="00254AB3"/>
    <w:rsid w:val="00257AF2"/>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05E8"/>
    <w:rsid w:val="002B1C45"/>
    <w:rsid w:val="002B2970"/>
    <w:rsid w:val="002B2CFB"/>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1DBA"/>
    <w:rsid w:val="002F2B8D"/>
    <w:rsid w:val="002F3440"/>
    <w:rsid w:val="002F3B17"/>
    <w:rsid w:val="002F5876"/>
    <w:rsid w:val="002F5DD8"/>
    <w:rsid w:val="002F75A3"/>
    <w:rsid w:val="002F75CD"/>
    <w:rsid w:val="002F7EB5"/>
    <w:rsid w:val="0030201F"/>
    <w:rsid w:val="00303C2F"/>
    <w:rsid w:val="00304036"/>
    <w:rsid w:val="003049F3"/>
    <w:rsid w:val="0030558B"/>
    <w:rsid w:val="00306E87"/>
    <w:rsid w:val="00310FC2"/>
    <w:rsid w:val="003114B8"/>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003F"/>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9B1"/>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1AD3"/>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1593"/>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7F69"/>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108"/>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5D17"/>
    <w:rsid w:val="005B67AC"/>
    <w:rsid w:val="005C01B0"/>
    <w:rsid w:val="005C0EDB"/>
    <w:rsid w:val="005C2790"/>
    <w:rsid w:val="005C36E9"/>
    <w:rsid w:val="005C3B3A"/>
    <w:rsid w:val="005C41CF"/>
    <w:rsid w:val="005C4FF2"/>
    <w:rsid w:val="005C6778"/>
    <w:rsid w:val="005D0511"/>
    <w:rsid w:val="005D3437"/>
    <w:rsid w:val="005D43E0"/>
    <w:rsid w:val="005D5579"/>
    <w:rsid w:val="005D58A3"/>
    <w:rsid w:val="005D5FD0"/>
    <w:rsid w:val="005D72F3"/>
    <w:rsid w:val="005E1771"/>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5F628C"/>
    <w:rsid w:val="0060397D"/>
    <w:rsid w:val="00603DF3"/>
    <w:rsid w:val="00604723"/>
    <w:rsid w:val="00610388"/>
    <w:rsid w:val="00612092"/>
    <w:rsid w:val="00612CA5"/>
    <w:rsid w:val="00614858"/>
    <w:rsid w:val="006153EC"/>
    <w:rsid w:val="00616E52"/>
    <w:rsid w:val="006208BB"/>
    <w:rsid w:val="006219A3"/>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0D09"/>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2997"/>
    <w:rsid w:val="006B37B2"/>
    <w:rsid w:val="006B435A"/>
    <w:rsid w:val="006B4539"/>
    <w:rsid w:val="006B4C64"/>
    <w:rsid w:val="006B5AE8"/>
    <w:rsid w:val="006C5CE2"/>
    <w:rsid w:val="006C70CE"/>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6E27"/>
    <w:rsid w:val="00707321"/>
    <w:rsid w:val="007074E9"/>
    <w:rsid w:val="00707954"/>
    <w:rsid w:val="00707BC5"/>
    <w:rsid w:val="00707F14"/>
    <w:rsid w:val="00713C55"/>
    <w:rsid w:val="00713CA6"/>
    <w:rsid w:val="00713DA4"/>
    <w:rsid w:val="007142FA"/>
    <w:rsid w:val="00714BF1"/>
    <w:rsid w:val="00721383"/>
    <w:rsid w:val="007216AD"/>
    <w:rsid w:val="00726A6A"/>
    <w:rsid w:val="00726E9A"/>
    <w:rsid w:val="00727864"/>
    <w:rsid w:val="007333CC"/>
    <w:rsid w:val="007335D8"/>
    <w:rsid w:val="0073399A"/>
    <w:rsid w:val="00734FD4"/>
    <w:rsid w:val="007355E9"/>
    <w:rsid w:val="007369C7"/>
    <w:rsid w:val="00741BCD"/>
    <w:rsid w:val="00741D74"/>
    <w:rsid w:val="00743531"/>
    <w:rsid w:val="007452BB"/>
    <w:rsid w:val="00745A5B"/>
    <w:rsid w:val="007462D9"/>
    <w:rsid w:val="00746A22"/>
    <w:rsid w:val="00751986"/>
    <w:rsid w:val="0075428A"/>
    <w:rsid w:val="00755FBC"/>
    <w:rsid w:val="00756ABD"/>
    <w:rsid w:val="007576A3"/>
    <w:rsid w:val="007603F5"/>
    <w:rsid w:val="0076069B"/>
    <w:rsid w:val="00760A70"/>
    <w:rsid w:val="00760BB2"/>
    <w:rsid w:val="0076181C"/>
    <w:rsid w:val="00762C73"/>
    <w:rsid w:val="00764DB0"/>
    <w:rsid w:val="00765D82"/>
    <w:rsid w:val="007671EB"/>
    <w:rsid w:val="0076764D"/>
    <w:rsid w:val="0076766F"/>
    <w:rsid w:val="00770DF5"/>
    <w:rsid w:val="0077498C"/>
    <w:rsid w:val="00776587"/>
    <w:rsid w:val="00777070"/>
    <w:rsid w:val="007815D1"/>
    <w:rsid w:val="00782B3F"/>
    <w:rsid w:val="00784128"/>
    <w:rsid w:val="007849D8"/>
    <w:rsid w:val="0078662F"/>
    <w:rsid w:val="00790B4C"/>
    <w:rsid w:val="00791EB2"/>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40F2"/>
    <w:rsid w:val="007C6201"/>
    <w:rsid w:val="007D0348"/>
    <w:rsid w:val="007D03E9"/>
    <w:rsid w:val="007D13C6"/>
    <w:rsid w:val="007D1E28"/>
    <w:rsid w:val="007D47FB"/>
    <w:rsid w:val="007D7C92"/>
    <w:rsid w:val="007D7E30"/>
    <w:rsid w:val="007E0D8E"/>
    <w:rsid w:val="007E1154"/>
    <w:rsid w:val="007E1212"/>
    <w:rsid w:val="007E3AA5"/>
    <w:rsid w:val="007E3ADF"/>
    <w:rsid w:val="007E41A0"/>
    <w:rsid w:val="007E43C3"/>
    <w:rsid w:val="007E530F"/>
    <w:rsid w:val="007E6BA4"/>
    <w:rsid w:val="007F19A2"/>
    <w:rsid w:val="007F21A1"/>
    <w:rsid w:val="007F41F8"/>
    <w:rsid w:val="007F5B4C"/>
    <w:rsid w:val="00801B30"/>
    <w:rsid w:val="00802044"/>
    <w:rsid w:val="00803BE9"/>
    <w:rsid w:val="00804000"/>
    <w:rsid w:val="0080454E"/>
    <w:rsid w:val="00804C32"/>
    <w:rsid w:val="00806302"/>
    <w:rsid w:val="00806382"/>
    <w:rsid w:val="00807119"/>
    <w:rsid w:val="008071D5"/>
    <w:rsid w:val="00807CC5"/>
    <w:rsid w:val="00807FE8"/>
    <w:rsid w:val="00811865"/>
    <w:rsid w:val="00814A55"/>
    <w:rsid w:val="0081547D"/>
    <w:rsid w:val="00823807"/>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DE8"/>
    <w:rsid w:val="00875E2E"/>
    <w:rsid w:val="00880F99"/>
    <w:rsid w:val="00881B66"/>
    <w:rsid w:val="00881DA8"/>
    <w:rsid w:val="00881DE6"/>
    <w:rsid w:val="008837A6"/>
    <w:rsid w:val="008841E5"/>
    <w:rsid w:val="00884D7C"/>
    <w:rsid w:val="0088516C"/>
    <w:rsid w:val="00887785"/>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2A93"/>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0AB"/>
    <w:rsid w:val="009108EF"/>
    <w:rsid w:val="00911C23"/>
    <w:rsid w:val="00912C79"/>
    <w:rsid w:val="00913FB9"/>
    <w:rsid w:val="00915010"/>
    <w:rsid w:val="0091528C"/>
    <w:rsid w:val="009173D1"/>
    <w:rsid w:val="0092350E"/>
    <w:rsid w:val="00923CCC"/>
    <w:rsid w:val="00926D10"/>
    <w:rsid w:val="009275FE"/>
    <w:rsid w:val="009310FB"/>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7489"/>
    <w:rsid w:val="009609CA"/>
    <w:rsid w:val="00961BC2"/>
    <w:rsid w:val="00962045"/>
    <w:rsid w:val="009661DE"/>
    <w:rsid w:val="00966E44"/>
    <w:rsid w:val="00966EAE"/>
    <w:rsid w:val="009703BD"/>
    <w:rsid w:val="009708BB"/>
    <w:rsid w:val="00971226"/>
    <w:rsid w:val="009727DF"/>
    <w:rsid w:val="009729E8"/>
    <w:rsid w:val="00975009"/>
    <w:rsid w:val="00975640"/>
    <w:rsid w:val="00975B29"/>
    <w:rsid w:val="00976DA5"/>
    <w:rsid w:val="009773BA"/>
    <w:rsid w:val="00980DF0"/>
    <w:rsid w:val="00981608"/>
    <w:rsid w:val="00981659"/>
    <w:rsid w:val="009841AC"/>
    <w:rsid w:val="00984680"/>
    <w:rsid w:val="00990F04"/>
    <w:rsid w:val="00991272"/>
    <w:rsid w:val="00991428"/>
    <w:rsid w:val="00992676"/>
    <w:rsid w:val="00997A85"/>
    <w:rsid w:val="009A0501"/>
    <w:rsid w:val="009A2BCA"/>
    <w:rsid w:val="009A3728"/>
    <w:rsid w:val="009A4050"/>
    <w:rsid w:val="009A5354"/>
    <w:rsid w:val="009A6A10"/>
    <w:rsid w:val="009A6F28"/>
    <w:rsid w:val="009A7172"/>
    <w:rsid w:val="009B0723"/>
    <w:rsid w:val="009B07AD"/>
    <w:rsid w:val="009B0883"/>
    <w:rsid w:val="009B15E2"/>
    <w:rsid w:val="009B2FCF"/>
    <w:rsid w:val="009B77E4"/>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AEE"/>
    <w:rsid w:val="009F0C29"/>
    <w:rsid w:val="009F0C5A"/>
    <w:rsid w:val="009F160C"/>
    <w:rsid w:val="00A02198"/>
    <w:rsid w:val="00A03093"/>
    <w:rsid w:val="00A047EE"/>
    <w:rsid w:val="00A057CA"/>
    <w:rsid w:val="00A136AF"/>
    <w:rsid w:val="00A13F8F"/>
    <w:rsid w:val="00A149B7"/>
    <w:rsid w:val="00A170FC"/>
    <w:rsid w:val="00A177BC"/>
    <w:rsid w:val="00A17930"/>
    <w:rsid w:val="00A2101B"/>
    <w:rsid w:val="00A2274A"/>
    <w:rsid w:val="00A235B7"/>
    <w:rsid w:val="00A249AC"/>
    <w:rsid w:val="00A27A7A"/>
    <w:rsid w:val="00A301D1"/>
    <w:rsid w:val="00A31881"/>
    <w:rsid w:val="00A40529"/>
    <w:rsid w:val="00A407EF"/>
    <w:rsid w:val="00A411B7"/>
    <w:rsid w:val="00A42023"/>
    <w:rsid w:val="00A45800"/>
    <w:rsid w:val="00A46B4C"/>
    <w:rsid w:val="00A5117B"/>
    <w:rsid w:val="00A55B37"/>
    <w:rsid w:val="00A560B6"/>
    <w:rsid w:val="00A566E3"/>
    <w:rsid w:val="00A56CF7"/>
    <w:rsid w:val="00A56DBC"/>
    <w:rsid w:val="00A57333"/>
    <w:rsid w:val="00A60074"/>
    <w:rsid w:val="00A641E0"/>
    <w:rsid w:val="00A646E2"/>
    <w:rsid w:val="00A651A9"/>
    <w:rsid w:val="00A6627C"/>
    <w:rsid w:val="00A71019"/>
    <w:rsid w:val="00A73B60"/>
    <w:rsid w:val="00A81029"/>
    <w:rsid w:val="00A82AFB"/>
    <w:rsid w:val="00A8485D"/>
    <w:rsid w:val="00A86584"/>
    <w:rsid w:val="00A86B29"/>
    <w:rsid w:val="00A87B42"/>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C7F24"/>
    <w:rsid w:val="00AD0662"/>
    <w:rsid w:val="00AD1B6B"/>
    <w:rsid w:val="00AD232B"/>
    <w:rsid w:val="00AD331C"/>
    <w:rsid w:val="00AD3D99"/>
    <w:rsid w:val="00AD57A5"/>
    <w:rsid w:val="00AD65A8"/>
    <w:rsid w:val="00AD74AD"/>
    <w:rsid w:val="00AD76EF"/>
    <w:rsid w:val="00AD7A9A"/>
    <w:rsid w:val="00AE027F"/>
    <w:rsid w:val="00AE4D6F"/>
    <w:rsid w:val="00AE614E"/>
    <w:rsid w:val="00AF1322"/>
    <w:rsid w:val="00AF228E"/>
    <w:rsid w:val="00AF455B"/>
    <w:rsid w:val="00AF5899"/>
    <w:rsid w:val="00AF7527"/>
    <w:rsid w:val="00B00ABC"/>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5101"/>
    <w:rsid w:val="00B366EC"/>
    <w:rsid w:val="00B378FA"/>
    <w:rsid w:val="00B42352"/>
    <w:rsid w:val="00B436AE"/>
    <w:rsid w:val="00B46705"/>
    <w:rsid w:val="00B51227"/>
    <w:rsid w:val="00B51975"/>
    <w:rsid w:val="00B52E4D"/>
    <w:rsid w:val="00B54F90"/>
    <w:rsid w:val="00B55C9E"/>
    <w:rsid w:val="00B56B95"/>
    <w:rsid w:val="00B607DF"/>
    <w:rsid w:val="00B6409C"/>
    <w:rsid w:val="00B64845"/>
    <w:rsid w:val="00B64A85"/>
    <w:rsid w:val="00B65991"/>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61CA"/>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44"/>
    <w:rsid w:val="00BD64FB"/>
    <w:rsid w:val="00BD71D7"/>
    <w:rsid w:val="00BD7D49"/>
    <w:rsid w:val="00BE2464"/>
    <w:rsid w:val="00BE3004"/>
    <w:rsid w:val="00BF2B49"/>
    <w:rsid w:val="00BF2E7A"/>
    <w:rsid w:val="00BF3D02"/>
    <w:rsid w:val="00BF40B9"/>
    <w:rsid w:val="00BF50F7"/>
    <w:rsid w:val="00BF5D90"/>
    <w:rsid w:val="00C00231"/>
    <w:rsid w:val="00C01017"/>
    <w:rsid w:val="00C02F29"/>
    <w:rsid w:val="00C04632"/>
    <w:rsid w:val="00C07B0B"/>
    <w:rsid w:val="00C10AEA"/>
    <w:rsid w:val="00C15343"/>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249F"/>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5533"/>
    <w:rsid w:val="00C963D3"/>
    <w:rsid w:val="00C9697F"/>
    <w:rsid w:val="00CA0B50"/>
    <w:rsid w:val="00CA17F2"/>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CC1"/>
    <w:rsid w:val="00CF2819"/>
    <w:rsid w:val="00CF4F9D"/>
    <w:rsid w:val="00CF5AD8"/>
    <w:rsid w:val="00CF70DC"/>
    <w:rsid w:val="00CF717B"/>
    <w:rsid w:val="00D01020"/>
    <w:rsid w:val="00D068C5"/>
    <w:rsid w:val="00D07F87"/>
    <w:rsid w:val="00D148DC"/>
    <w:rsid w:val="00D1688E"/>
    <w:rsid w:val="00D17FDC"/>
    <w:rsid w:val="00D223E4"/>
    <w:rsid w:val="00D2317C"/>
    <w:rsid w:val="00D2550E"/>
    <w:rsid w:val="00D256C6"/>
    <w:rsid w:val="00D25F51"/>
    <w:rsid w:val="00D31CFB"/>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6130"/>
    <w:rsid w:val="00DA3D77"/>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5C8A"/>
    <w:rsid w:val="00DF687B"/>
    <w:rsid w:val="00DF729D"/>
    <w:rsid w:val="00DF75F8"/>
    <w:rsid w:val="00DF7A3A"/>
    <w:rsid w:val="00DF7AD4"/>
    <w:rsid w:val="00E009E1"/>
    <w:rsid w:val="00E00C00"/>
    <w:rsid w:val="00E00E54"/>
    <w:rsid w:val="00E01C69"/>
    <w:rsid w:val="00E041F9"/>
    <w:rsid w:val="00E046BB"/>
    <w:rsid w:val="00E05837"/>
    <w:rsid w:val="00E07C5A"/>
    <w:rsid w:val="00E10A73"/>
    <w:rsid w:val="00E12C13"/>
    <w:rsid w:val="00E15BA9"/>
    <w:rsid w:val="00E161D2"/>
    <w:rsid w:val="00E177E2"/>
    <w:rsid w:val="00E17BF1"/>
    <w:rsid w:val="00E22DE4"/>
    <w:rsid w:val="00E25FB8"/>
    <w:rsid w:val="00E26E19"/>
    <w:rsid w:val="00E31DF3"/>
    <w:rsid w:val="00E37049"/>
    <w:rsid w:val="00E40326"/>
    <w:rsid w:val="00E4126D"/>
    <w:rsid w:val="00E44DC3"/>
    <w:rsid w:val="00E450A4"/>
    <w:rsid w:val="00E506BE"/>
    <w:rsid w:val="00E518B6"/>
    <w:rsid w:val="00E520AE"/>
    <w:rsid w:val="00E525B9"/>
    <w:rsid w:val="00E53AE9"/>
    <w:rsid w:val="00E54ADD"/>
    <w:rsid w:val="00E55547"/>
    <w:rsid w:val="00E55E9B"/>
    <w:rsid w:val="00E6211B"/>
    <w:rsid w:val="00E627FB"/>
    <w:rsid w:val="00E6302B"/>
    <w:rsid w:val="00E64302"/>
    <w:rsid w:val="00E6452F"/>
    <w:rsid w:val="00E64F45"/>
    <w:rsid w:val="00E6525B"/>
    <w:rsid w:val="00E6742D"/>
    <w:rsid w:val="00E71CB0"/>
    <w:rsid w:val="00E72F8D"/>
    <w:rsid w:val="00E74FF9"/>
    <w:rsid w:val="00E7537E"/>
    <w:rsid w:val="00E7793C"/>
    <w:rsid w:val="00E77C3D"/>
    <w:rsid w:val="00E80299"/>
    <w:rsid w:val="00E80D2B"/>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40"/>
    <w:rsid w:val="00EB02BE"/>
    <w:rsid w:val="00EB146B"/>
    <w:rsid w:val="00EB21D4"/>
    <w:rsid w:val="00EB2845"/>
    <w:rsid w:val="00EB45AC"/>
    <w:rsid w:val="00EB488B"/>
    <w:rsid w:val="00EB6668"/>
    <w:rsid w:val="00EB6A2F"/>
    <w:rsid w:val="00EC3875"/>
    <w:rsid w:val="00EC549E"/>
    <w:rsid w:val="00EC6E55"/>
    <w:rsid w:val="00ED0BC4"/>
    <w:rsid w:val="00ED151E"/>
    <w:rsid w:val="00ED201C"/>
    <w:rsid w:val="00ED3CDA"/>
    <w:rsid w:val="00ED617A"/>
    <w:rsid w:val="00EE082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04FA6"/>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721"/>
    <w:rsid w:val="00F61D4C"/>
    <w:rsid w:val="00F61DD2"/>
    <w:rsid w:val="00F61FA0"/>
    <w:rsid w:val="00F62000"/>
    <w:rsid w:val="00F63720"/>
    <w:rsid w:val="00F65FB6"/>
    <w:rsid w:val="00F66AFF"/>
    <w:rsid w:val="00F71433"/>
    <w:rsid w:val="00F71CE8"/>
    <w:rsid w:val="00F738B0"/>
    <w:rsid w:val="00F801C5"/>
    <w:rsid w:val="00F803FC"/>
    <w:rsid w:val="00F83231"/>
    <w:rsid w:val="00F85A51"/>
    <w:rsid w:val="00F85C0B"/>
    <w:rsid w:val="00F85DB2"/>
    <w:rsid w:val="00F91FA7"/>
    <w:rsid w:val="00F95955"/>
    <w:rsid w:val="00F96AF1"/>
    <w:rsid w:val="00F97C5B"/>
    <w:rsid w:val="00FA06F3"/>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2EE8"/>
    <w:rsid w:val="00FE5706"/>
    <w:rsid w:val="00FE6330"/>
    <w:rsid w:val="00FF0BFE"/>
    <w:rsid w:val="00FF0D81"/>
    <w:rsid w:val="00FF22DC"/>
    <w:rsid w:val="00FF296F"/>
    <w:rsid w:val="00FF332F"/>
    <w:rsid w:val="00FF3529"/>
    <w:rsid w:val="00FF374B"/>
    <w:rsid w:val="00FF3C93"/>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2BB8AF366423EAFB48355FF783D31"/>
        <w:category>
          <w:name w:val="General"/>
          <w:gallery w:val="placeholder"/>
        </w:category>
        <w:types>
          <w:type w:val="bbPlcHdr"/>
        </w:types>
        <w:behaviors>
          <w:behavior w:val="content"/>
        </w:behaviors>
        <w:guid w:val="{10C5E8DB-9F61-4939-9E38-0C1B11F13FA3}"/>
      </w:docPartPr>
      <w:docPartBody>
        <w:p w:rsidR="00000000" w:rsidRDefault="000D6BBA" w:rsidP="000D6BBA">
          <w:pPr>
            <w:pStyle w:val="CCC2BB8AF366423EAFB48355FF783D3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BA"/>
    <w:rsid w:val="000D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2BB8AF366423EAFB48355FF783D31">
    <w:name w:val="CCC2BB8AF366423EAFB48355FF783D31"/>
    <w:rsid w:val="000D6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openxmlformats.org/package/2006/metadata/core-properties"/>
    <ds:schemaRef ds:uri="http://schemas.microsoft.com/office/2006/documentManagement/types"/>
    <ds:schemaRef ds:uri="a21de7b9-cad9-43f2-8459-9b1b4f9894e2"/>
    <ds:schemaRef ds:uri="http://purl.org/dc/elements/1.1/"/>
    <ds:schemaRef ds:uri="http://schemas.microsoft.com/office/2006/metadata/properties"/>
    <ds:schemaRef ds:uri="d0ad2d52-4869-465d-a93a-001fa21a593d"/>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A2E2FF1-AD05-4B85-8905-7BD6EE91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Moseley</cp:lastModifiedBy>
  <cp:revision>122</cp:revision>
  <cp:lastPrinted>2020-06-12T02:43:00Z</cp:lastPrinted>
  <dcterms:created xsi:type="dcterms:W3CDTF">2023-11-13T21:57:00Z</dcterms:created>
  <dcterms:modified xsi:type="dcterms:W3CDTF">2023-11-14T03:46:00Z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