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F12D90" w:rsidRDefault="00806382" w:rsidP="00806382">
      <w:pPr>
        <w:pStyle w:val="ListParagraph"/>
        <w:numPr>
          <w:ilvl w:val="0"/>
          <w:numId w:val="15"/>
        </w:numPr>
        <w:ind w:left="425" w:hanging="357"/>
        <w:jc w:val="both"/>
        <w:rPr>
          <w:rFonts w:ascii="Avenir Next" w:hAnsi="Avenir Next" w:cs="Arial"/>
          <w:sz w:val="22"/>
          <w:szCs w:val="22"/>
          <w:highlight w:val="yellow"/>
        </w:rPr>
      </w:pPr>
      <w:r w:rsidRPr="00F12D90">
        <w:rPr>
          <w:rFonts w:ascii="Avenir Next" w:hAnsi="Avenir Next" w:cs="Arial"/>
          <w:sz w:val="22"/>
          <w:szCs w:val="22"/>
          <w:highlight w:val="yellow"/>
        </w:rPr>
        <w:t xml:space="preserve">This statement is untrue since the word </w:t>
      </w:r>
      <w:r w:rsidR="00823AB4" w:rsidRPr="00F12D90">
        <w:rPr>
          <w:rFonts w:ascii="Avenir Next" w:hAnsi="Avenir Next" w:cs="Arial"/>
          <w:sz w:val="22"/>
          <w:szCs w:val="22"/>
          <w:highlight w:val="yellow"/>
        </w:rPr>
        <w:t>“</w:t>
      </w:r>
      <w:r w:rsidRPr="00F12D90">
        <w:rPr>
          <w:rFonts w:ascii="Avenir Next" w:hAnsi="Avenir Next" w:cs="Arial"/>
          <w:sz w:val="22"/>
          <w:szCs w:val="22"/>
          <w:highlight w:val="yellow"/>
        </w:rPr>
        <w:t>bankruptcy</w:t>
      </w:r>
      <w:r w:rsidR="00823AB4" w:rsidRPr="00F12D90">
        <w:rPr>
          <w:rFonts w:ascii="Avenir Next" w:hAnsi="Avenir Next" w:cs="Arial"/>
          <w:sz w:val="22"/>
          <w:szCs w:val="22"/>
          <w:highlight w:val="yellow"/>
        </w:rPr>
        <w:t>”</w:t>
      </w:r>
      <w:r w:rsidRPr="00F12D90">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CE5052" w:rsidRDefault="001211E6" w:rsidP="001211E6">
      <w:pPr>
        <w:pStyle w:val="ListParagraph"/>
        <w:numPr>
          <w:ilvl w:val="0"/>
          <w:numId w:val="16"/>
        </w:numPr>
        <w:ind w:left="426"/>
        <w:jc w:val="both"/>
        <w:rPr>
          <w:rFonts w:ascii="Avenir Next" w:hAnsi="Avenir Next" w:cs="Arial"/>
          <w:sz w:val="22"/>
          <w:szCs w:val="22"/>
          <w:highlight w:val="yellow"/>
        </w:rPr>
      </w:pPr>
      <w:r w:rsidRPr="00CE5052">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0B0617"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0B0617">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265277"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265277">
        <w:rPr>
          <w:rFonts w:ascii="Avenir Next" w:hAnsi="Avenir Next" w:cs="Arial"/>
          <w:sz w:val="22"/>
          <w:szCs w:val="22"/>
          <w:highlight w:val="yellow"/>
          <w:lang w:val="en-GB"/>
        </w:rPr>
        <w:t xml:space="preserve">This statement is incorrect since a statutory discharge of debt was only introduced in 1705 in England.    </w:t>
      </w:r>
      <w:r w:rsidRPr="00265277">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504E3E" w:rsidRDefault="006514CD" w:rsidP="006514CD">
      <w:pPr>
        <w:pStyle w:val="ListParagraph"/>
        <w:numPr>
          <w:ilvl w:val="0"/>
          <w:numId w:val="19"/>
        </w:numPr>
        <w:ind w:left="425" w:hanging="357"/>
        <w:jc w:val="both"/>
        <w:rPr>
          <w:rFonts w:ascii="Avenir Next" w:hAnsi="Avenir Next" w:cs="Arial"/>
          <w:sz w:val="22"/>
          <w:szCs w:val="22"/>
          <w:highlight w:val="yellow"/>
        </w:rPr>
      </w:pPr>
      <w:r w:rsidRPr="00504E3E">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Upholding the rights of creditors to assets, </w:t>
      </w:r>
      <w:proofErr w:type="gramStart"/>
      <w:r>
        <w:rPr>
          <w:rFonts w:ascii="Avenir Next" w:eastAsiaTheme="minorHAnsi" w:hAnsi="Avenir Next" w:cs="Arial"/>
          <w:sz w:val="22"/>
          <w:szCs w:val="22"/>
          <w:lang w:val="en-GB"/>
        </w:rPr>
        <w:t>investigating</w:t>
      </w:r>
      <w:proofErr w:type="gramEnd"/>
      <w:r>
        <w:rPr>
          <w:rFonts w:ascii="Avenir Next" w:eastAsiaTheme="minorHAnsi" w:hAnsi="Avenir Next" w:cs="Arial"/>
          <w:sz w:val="22"/>
          <w:szCs w:val="22"/>
          <w:lang w:val="en-GB"/>
        </w:rPr>
        <w:t xml:space="preserve">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425E05"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425E05">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143A0C" w:rsidRDefault="00AD76EF" w:rsidP="00AD76EF">
      <w:pPr>
        <w:pStyle w:val="ListParagraph"/>
        <w:numPr>
          <w:ilvl w:val="0"/>
          <w:numId w:val="17"/>
        </w:numPr>
        <w:ind w:left="426"/>
        <w:jc w:val="both"/>
        <w:rPr>
          <w:rFonts w:ascii="Avenir Next" w:hAnsi="Avenir Next" w:cs="Arial"/>
          <w:sz w:val="22"/>
          <w:szCs w:val="22"/>
          <w:highlight w:val="yellow"/>
        </w:rPr>
      </w:pPr>
      <w:r w:rsidRPr="00143A0C">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E73590"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E73590">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792FDE" w:rsidRDefault="009661DE" w:rsidP="009661DE">
      <w:pPr>
        <w:pStyle w:val="ListParagraph"/>
        <w:numPr>
          <w:ilvl w:val="0"/>
          <w:numId w:val="23"/>
        </w:numPr>
        <w:ind w:left="426"/>
        <w:jc w:val="both"/>
        <w:rPr>
          <w:rFonts w:ascii="Avenir Next" w:hAnsi="Avenir Next" w:cs="Arial"/>
          <w:sz w:val="22"/>
          <w:szCs w:val="22"/>
          <w:highlight w:val="yellow"/>
        </w:rPr>
      </w:pPr>
      <w:r w:rsidRPr="00792FDE">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416061" w:rsidRDefault="003B3A0D" w:rsidP="003B3A0D">
      <w:pPr>
        <w:pStyle w:val="ListParagraph"/>
        <w:numPr>
          <w:ilvl w:val="0"/>
          <w:numId w:val="24"/>
        </w:numPr>
        <w:ind w:left="426"/>
        <w:jc w:val="both"/>
        <w:rPr>
          <w:rFonts w:ascii="Avenir Next" w:hAnsi="Avenir Next" w:cs="Arial"/>
          <w:sz w:val="22"/>
          <w:szCs w:val="22"/>
          <w:highlight w:val="yellow"/>
        </w:rPr>
      </w:pPr>
      <w:r w:rsidRPr="00416061">
        <w:rPr>
          <w:rFonts w:ascii="Avenir Next" w:hAnsi="Avenir Next" w:cs="Arial"/>
          <w:sz w:val="22"/>
          <w:szCs w:val="22"/>
          <w:highlight w:val="yellow"/>
        </w:rPr>
        <w:t xml:space="preserve">This statement is untrue because universalism corresponds well to </w:t>
      </w:r>
      <w:proofErr w:type="spellStart"/>
      <w:r w:rsidRPr="00416061">
        <w:rPr>
          <w:rFonts w:ascii="Avenir Next" w:hAnsi="Avenir Next" w:cs="Arial"/>
          <w:sz w:val="22"/>
          <w:szCs w:val="22"/>
          <w:highlight w:val="yellow"/>
        </w:rPr>
        <w:t>globali</w:t>
      </w:r>
      <w:r w:rsidR="00142E15" w:rsidRPr="00416061">
        <w:rPr>
          <w:rFonts w:ascii="Avenir Next" w:hAnsi="Avenir Next" w:cs="Arial"/>
          <w:sz w:val="22"/>
          <w:szCs w:val="22"/>
          <w:highlight w:val="yellow"/>
        </w:rPr>
        <w:t>s</w:t>
      </w:r>
      <w:r w:rsidRPr="00416061">
        <w:rPr>
          <w:rFonts w:ascii="Avenir Next" w:hAnsi="Avenir Next" w:cs="Arial"/>
          <w:sz w:val="22"/>
          <w:szCs w:val="22"/>
          <w:highlight w:val="yellow"/>
        </w:rPr>
        <w:t>ation</w:t>
      </w:r>
      <w:proofErr w:type="spellEnd"/>
      <w:r w:rsidRPr="00416061">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5C65D884" w14:textId="77777777" w:rsidR="00DF365C" w:rsidRDefault="00B160C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examples of countries whose insolvency law systems have historical roots in </w:t>
      </w:r>
      <w:r w:rsidR="00601744">
        <w:rPr>
          <w:rFonts w:ascii="Avenir Next" w:hAnsi="Avenir Next" w:cs="Arial"/>
          <w:color w:val="808080" w:themeColor="background1" w:themeShade="80"/>
          <w:sz w:val="22"/>
          <w:szCs w:val="22"/>
          <w:lang w:val="en-GB"/>
        </w:rPr>
        <w:t>common</w:t>
      </w:r>
      <w:r>
        <w:rPr>
          <w:rFonts w:ascii="Avenir Next" w:hAnsi="Avenir Next" w:cs="Arial"/>
          <w:color w:val="808080" w:themeColor="background1" w:themeShade="80"/>
          <w:sz w:val="22"/>
          <w:szCs w:val="22"/>
          <w:lang w:val="en-GB"/>
        </w:rPr>
        <w:t xml:space="preserve"> law </w:t>
      </w:r>
      <w:r w:rsidR="00601744">
        <w:rPr>
          <w:rFonts w:ascii="Avenir Next" w:hAnsi="Avenir Next" w:cs="Arial"/>
          <w:color w:val="808080" w:themeColor="background1" w:themeShade="80"/>
          <w:sz w:val="22"/>
          <w:szCs w:val="22"/>
          <w:lang w:val="en-GB"/>
        </w:rPr>
        <w:t xml:space="preserve">(or English law) </w:t>
      </w:r>
      <w:r>
        <w:rPr>
          <w:rFonts w:ascii="Avenir Next" w:hAnsi="Avenir Next" w:cs="Arial"/>
          <w:color w:val="808080" w:themeColor="background1" w:themeShade="80"/>
          <w:sz w:val="22"/>
          <w:szCs w:val="22"/>
          <w:lang w:val="en-GB"/>
        </w:rPr>
        <w:t xml:space="preserve">are those of </w:t>
      </w:r>
      <w:r w:rsidR="00601744">
        <w:rPr>
          <w:rFonts w:ascii="Avenir Next" w:hAnsi="Avenir Next" w:cs="Arial"/>
          <w:color w:val="808080" w:themeColor="background1" w:themeShade="80"/>
          <w:sz w:val="22"/>
          <w:szCs w:val="22"/>
          <w:lang w:val="en-GB"/>
        </w:rPr>
        <w:t xml:space="preserve">England and Wales, the United States, </w:t>
      </w:r>
      <w:proofErr w:type="gramStart"/>
      <w:r w:rsidR="00601744">
        <w:rPr>
          <w:rFonts w:ascii="Avenir Next" w:hAnsi="Avenir Next" w:cs="Arial"/>
          <w:color w:val="808080" w:themeColor="background1" w:themeShade="80"/>
          <w:sz w:val="22"/>
          <w:szCs w:val="22"/>
          <w:lang w:val="en-GB"/>
        </w:rPr>
        <w:t>Ireland</w:t>
      </w:r>
      <w:proofErr w:type="gramEnd"/>
      <w:r w:rsidR="00601744">
        <w:rPr>
          <w:rFonts w:ascii="Avenir Next" w:hAnsi="Avenir Next" w:cs="Arial"/>
          <w:color w:val="808080" w:themeColor="background1" w:themeShade="80"/>
          <w:sz w:val="22"/>
          <w:szCs w:val="22"/>
          <w:lang w:val="en-GB"/>
        </w:rPr>
        <w:t xml:space="preserve"> and Australia. </w:t>
      </w:r>
    </w:p>
    <w:p w14:paraId="31E477B9" w14:textId="77777777" w:rsidR="00DF365C" w:rsidRDefault="00DF365C" w:rsidP="00692852">
      <w:pPr>
        <w:jc w:val="both"/>
        <w:rPr>
          <w:rFonts w:ascii="Avenir Next" w:hAnsi="Avenir Next" w:cs="Arial"/>
          <w:color w:val="808080" w:themeColor="background1" w:themeShade="80"/>
          <w:sz w:val="22"/>
          <w:szCs w:val="22"/>
          <w:lang w:val="en-GB"/>
        </w:rPr>
      </w:pPr>
    </w:p>
    <w:p w14:paraId="304C2FB2" w14:textId="4A3016B8" w:rsidR="00CC7728" w:rsidRDefault="0060174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England and Wales, the Insolvency Act 1986 (as amended by</w:t>
      </w:r>
      <w:r w:rsidR="00DF365C">
        <w:rPr>
          <w:rFonts w:ascii="Avenir Next" w:hAnsi="Avenir Next" w:cs="Arial"/>
          <w:color w:val="808080" w:themeColor="background1" w:themeShade="80"/>
          <w:sz w:val="22"/>
          <w:szCs w:val="22"/>
          <w:lang w:val="en-GB"/>
        </w:rPr>
        <w:t xml:space="preserve">, </w:t>
      </w:r>
      <w:r w:rsidR="00DF365C" w:rsidRPr="00DF365C">
        <w:rPr>
          <w:rFonts w:ascii="Avenir Next" w:hAnsi="Avenir Next" w:cs="Arial"/>
          <w:i/>
          <w:iCs/>
          <w:color w:val="808080" w:themeColor="background1" w:themeShade="80"/>
          <w:sz w:val="22"/>
          <w:szCs w:val="22"/>
          <w:lang w:val="en-GB"/>
        </w:rPr>
        <w:t>inter alia</w:t>
      </w:r>
      <w:r w:rsidR="00DF365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Insolvency Act 2000 and the Enterprise Act 2002) is the main piece of governing legislation for </w:t>
      </w:r>
      <w:r w:rsidR="00DF365C">
        <w:rPr>
          <w:rFonts w:ascii="Avenir Next" w:hAnsi="Avenir Next" w:cs="Arial"/>
          <w:color w:val="808080" w:themeColor="background1" w:themeShade="80"/>
          <w:sz w:val="22"/>
          <w:szCs w:val="22"/>
          <w:lang w:val="en-GB"/>
        </w:rPr>
        <w:t xml:space="preserve">corporate and personal insolvencies. England and Wales </w:t>
      </w:r>
      <w:proofErr w:type="gramStart"/>
      <w:r w:rsidR="00DF365C">
        <w:rPr>
          <w:rFonts w:ascii="Avenir Next" w:hAnsi="Avenir Next" w:cs="Arial"/>
          <w:color w:val="808080" w:themeColor="background1" w:themeShade="80"/>
          <w:sz w:val="22"/>
          <w:szCs w:val="22"/>
          <w:lang w:val="en-GB"/>
        </w:rPr>
        <w:t>is</w:t>
      </w:r>
      <w:proofErr w:type="gramEnd"/>
      <w:r w:rsidR="00DF365C">
        <w:rPr>
          <w:rFonts w:ascii="Avenir Next" w:hAnsi="Avenir Next" w:cs="Arial"/>
          <w:color w:val="808080" w:themeColor="background1" w:themeShade="80"/>
          <w:sz w:val="22"/>
          <w:szCs w:val="22"/>
          <w:lang w:val="en-GB"/>
        </w:rPr>
        <w:t xml:space="preserve"> an example of a jurisdiction that has a single unified piece of legislation for corporate and personal insolvencies rather than separate pieces of legislation for each. </w:t>
      </w:r>
    </w:p>
    <w:p w14:paraId="7CA4C0BA" w14:textId="77777777" w:rsidR="00F92020" w:rsidRDefault="00F92020" w:rsidP="00692852">
      <w:pPr>
        <w:jc w:val="both"/>
        <w:rPr>
          <w:rFonts w:ascii="Avenir Next" w:hAnsi="Avenir Next" w:cs="Arial"/>
          <w:color w:val="808080" w:themeColor="background1" w:themeShade="80"/>
          <w:sz w:val="22"/>
          <w:szCs w:val="22"/>
          <w:lang w:val="en-GB"/>
        </w:rPr>
      </w:pPr>
    </w:p>
    <w:p w14:paraId="4746F720" w14:textId="5B62021F" w:rsidR="00F92020" w:rsidRDefault="00F9202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Ireland, </w:t>
      </w:r>
      <w:r w:rsidR="00063323">
        <w:rPr>
          <w:rFonts w:ascii="Avenir Next" w:hAnsi="Avenir Next" w:cs="Arial"/>
          <w:color w:val="808080" w:themeColor="background1" w:themeShade="80"/>
          <w:sz w:val="22"/>
          <w:szCs w:val="22"/>
          <w:lang w:val="en-GB"/>
        </w:rPr>
        <w:t xml:space="preserve">the most important piece of legislation for corporate insolvencies is the Companies Act 2014, which is amended regularly. </w:t>
      </w:r>
      <w:r w:rsidR="00E738C2">
        <w:rPr>
          <w:rFonts w:ascii="Avenir Next" w:hAnsi="Avenir Next" w:cs="Arial"/>
          <w:color w:val="808080" w:themeColor="background1" w:themeShade="80"/>
          <w:sz w:val="22"/>
          <w:szCs w:val="22"/>
          <w:lang w:val="en-GB"/>
        </w:rPr>
        <w:t xml:space="preserve">For personal insolvencies, the main pieces of legislation are the Personal Insolvency Act 2012 and the Bankruptcy Act 1988, both of which have also been amended on </w:t>
      </w:r>
      <w:proofErr w:type="gramStart"/>
      <w:r w:rsidR="00E738C2">
        <w:rPr>
          <w:rFonts w:ascii="Avenir Next" w:hAnsi="Avenir Next" w:cs="Arial"/>
          <w:color w:val="808080" w:themeColor="background1" w:themeShade="80"/>
          <w:sz w:val="22"/>
          <w:szCs w:val="22"/>
          <w:lang w:val="en-GB"/>
        </w:rPr>
        <w:t>a number of</w:t>
      </w:r>
      <w:proofErr w:type="gramEnd"/>
      <w:r w:rsidR="00E738C2">
        <w:rPr>
          <w:rFonts w:ascii="Avenir Next" w:hAnsi="Avenir Next" w:cs="Arial"/>
          <w:color w:val="808080" w:themeColor="background1" w:themeShade="80"/>
          <w:sz w:val="22"/>
          <w:szCs w:val="22"/>
          <w:lang w:val="en-GB"/>
        </w:rPr>
        <w:t xml:space="preserve"> occasions.</w:t>
      </w:r>
    </w:p>
    <w:p w14:paraId="1C5C7C41" w14:textId="77777777" w:rsidR="00DF365C" w:rsidRDefault="00DF365C" w:rsidP="00692852">
      <w:pPr>
        <w:jc w:val="both"/>
        <w:rPr>
          <w:rFonts w:ascii="Avenir Next" w:hAnsi="Avenir Next" w:cs="Arial"/>
          <w:color w:val="808080" w:themeColor="background1" w:themeShade="80"/>
          <w:sz w:val="22"/>
          <w:szCs w:val="22"/>
          <w:lang w:val="en-GB"/>
        </w:rPr>
      </w:pPr>
    </w:p>
    <w:p w14:paraId="596E32C6" w14:textId="12747433" w:rsidR="00DF365C" w:rsidRDefault="00DF365C"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United States, </w:t>
      </w:r>
      <w:r w:rsidR="005D051A">
        <w:rPr>
          <w:rFonts w:ascii="Avenir Next" w:hAnsi="Avenir Next" w:cs="Arial"/>
          <w:color w:val="808080" w:themeColor="background1" w:themeShade="80"/>
          <w:sz w:val="22"/>
          <w:szCs w:val="22"/>
          <w:lang w:val="en-GB"/>
        </w:rPr>
        <w:t xml:space="preserve">the Bankruptcy Code of 1978 is a federal statute which provides for procedures for liquidations, municipalities, reorganisations/rescues, family farmer and rescheduling of debt in chapters 7, 9, 11, 12 and 13. Chapter 15 </w:t>
      </w:r>
      <w:r w:rsidR="00F92020">
        <w:rPr>
          <w:rFonts w:ascii="Avenir Next" w:hAnsi="Avenir Next" w:cs="Arial"/>
          <w:color w:val="808080" w:themeColor="background1" w:themeShade="80"/>
          <w:sz w:val="22"/>
          <w:szCs w:val="22"/>
          <w:lang w:val="en-GB"/>
        </w:rPr>
        <w:t xml:space="preserve">contains the adoption of the 1997 UNCITRAL Model Law on Cross-Border Insolvency for international insolvencies. The United States is a classic example of a pro-debtor rather than a pro-creditor system due to its liberal approach to discharges of debt.  </w:t>
      </w:r>
    </w:p>
    <w:p w14:paraId="7F3DB11F" w14:textId="77777777" w:rsidR="00E738C2" w:rsidRDefault="00E738C2" w:rsidP="00692852">
      <w:pPr>
        <w:jc w:val="both"/>
        <w:rPr>
          <w:rFonts w:ascii="Avenir Next" w:hAnsi="Avenir Next" w:cs="Arial"/>
          <w:color w:val="808080" w:themeColor="background1" w:themeShade="80"/>
          <w:sz w:val="22"/>
          <w:szCs w:val="22"/>
          <w:lang w:val="en-GB"/>
        </w:rPr>
      </w:pPr>
    </w:p>
    <w:p w14:paraId="11678DE0" w14:textId="6C64E84D" w:rsidR="00E738C2" w:rsidRDefault="00E738C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Australia, like Ireland, there is no single unified Bankruptcy or Insolvency </w:t>
      </w:r>
      <w:r w:rsidR="006B2C90">
        <w:rPr>
          <w:rFonts w:ascii="Avenir Next" w:hAnsi="Avenir Next" w:cs="Arial"/>
          <w:color w:val="808080" w:themeColor="background1" w:themeShade="80"/>
          <w:sz w:val="22"/>
          <w:szCs w:val="22"/>
          <w:lang w:val="en-GB"/>
        </w:rPr>
        <w:t xml:space="preserve">Act. The Corporations Act 2001 is the primary piece of legislation for corporate insolvencies and the Bankruptcy Act 1966 is the dominant piece of legislation for personal insolvencies. </w:t>
      </w:r>
    </w:p>
    <w:p w14:paraId="482D0EFE" w14:textId="77777777" w:rsidR="006B2C90" w:rsidRDefault="006B2C90" w:rsidP="00692852">
      <w:pPr>
        <w:jc w:val="both"/>
        <w:rPr>
          <w:rFonts w:ascii="Avenir Next" w:hAnsi="Avenir Next" w:cs="Arial"/>
          <w:color w:val="808080" w:themeColor="background1" w:themeShade="80"/>
          <w:sz w:val="22"/>
          <w:szCs w:val="22"/>
          <w:lang w:val="en-GB"/>
        </w:rPr>
      </w:pPr>
    </w:p>
    <w:p w14:paraId="69FCC17C" w14:textId="5B820091" w:rsidR="006B2C90" w:rsidRDefault="0057621B"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countries whose insolvency law systems have historical roots in civil law, some examples are those of the Netherlands</w:t>
      </w:r>
      <w:r w:rsidR="00DA434C">
        <w:rPr>
          <w:rFonts w:ascii="Avenir Next" w:hAnsi="Avenir Next" w:cs="Arial"/>
          <w:color w:val="808080" w:themeColor="background1" w:themeShade="80"/>
          <w:sz w:val="22"/>
          <w:szCs w:val="22"/>
          <w:lang w:val="en-GB"/>
        </w:rPr>
        <w:t xml:space="preserve"> and</w:t>
      </w:r>
      <w:r>
        <w:rPr>
          <w:rFonts w:ascii="Avenir Next" w:hAnsi="Avenir Next" w:cs="Arial"/>
          <w:color w:val="808080" w:themeColor="background1" w:themeShade="80"/>
          <w:sz w:val="22"/>
          <w:szCs w:val="22"/>
          <w:lang w:val="en-GB"/>
        </w:rPr>
        <w:t xml:space="preserve"> France</w:t>
      </w:r>
      <w:r w:rsidR="00DA434C">
        <w:rPr>
          <w:rFonts w:ascii="Avenir Next" w:hAnsi="Avenir Next" w:cs="Arial"/>
          <w:color w:val="808080" w:themeColor="background1" w:themeShade="80"/>
          <w:sz w:val="22"/>
          <w:szCs w:val="22"/>
          <w:lang w:val="en-GB"/>
        </w:rPr>
        <w:t>.</w:t>
      </w:r>
    </w:p>
    <w:p w14:paraId="3635EC3D" w14:textId="77777777" w:rsidR="0057621B" w:rsidRDefault="0057621B" w:rsidP="00692852">
      <w:pPr>
        <w:jc w:val="both"/>
        <w:rPr>
          <w:rFonts w:ascii="Avenir Next" w:hAnsi="Avenir Next" w:cs="Arial"/>
          <w:color w:val="808080" w:themeColor="background1" w:themeShade="80"/>
          <w:sz w:val="22"/>
          <w:szCs w:val="22"/>
          <w:lang w:val="en-GB"/>
        </w:rPr>
      </w:pPr>
    </w:p>
    <w:p w14:paraId="290886E8" w14:textId="13D6951E" w:rsidR="0057621B" w:rsidRDefault="007D734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Netherlands is presently going through a reform of its insolvency laws. By way of example, the Dutch Scheme of Arrangement commenced on 1 January 2021. </w:t>
      </w:r>
      <w:r w:rsidR="008F1920">
        <w:rPr>
          <w:rFonts w:ascii="Avenir Next" w:hAnsi="Avenir Next" w:cs="Arial"/>
          <w:color w:val="808080" w:themeColor="background1" w:themeShade="80"/>
          <w:sz w:val="22"/>
          <w:szCs w:val="22"/>
          <w:lang w:val="en-GB"/>
        </w:rPr>
        <w:t xml:space="preserve">The Netherlands had historically been grouped with many other West-European countries who were seen as pro-creditor jurisdictions. This was so until the introduction of the concept of a "fresh start" in preference to over-indebtedness. </w:t>
      </w:r>
    </w:p>
    <w:p w14:paraId="297E8D53" w14:textId="77777777" w:rsidR="008F1920" w:rsidRDefault="008F1920" w:rsidP="00692852">
      <w:pPr>
        <w:jc w:val="both"/>
        <w:rPr>
          <w:rFonts w:ascii="Avenir Next" w:hAnsi="Avenir Next" w:cs="Arial"/>
          <w:color w:val="808080" w:themeColor="background1" w:themeShade="80"/>
          <w:sz w:val="22"/>
          <w:szCs w:val="22"/>
          <w:lang w:val="en-GB"/>
        </w:rPr>
      </w:pPr>
    </w:p>
    <w:p w14:paraId="64EB52C7" w14:textId="3762D244" w:rsidR="008F1920" w:rsidRDefault="008F192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France, </w:t>
      </w:r>
      <w:r w:rsidR="00DA434C">
        <w:rPr>
          <w:rFonts w:ascii="Avenir Next" w:hAnsi="Avenir Next" w:cs="Arial"/>
          <w:color w:val="808080" w:themeColor="background1" w:themeShade="80"/>
          <w:sz w:val="22"/>
          <w:szCs w:val="22"/>
          <w:lang w:val="en-GB"/>
        </w:rPr>
        <w:t>like in the Netherlands, the Commercial Code of 1807 was viewed as being particularly harsh to debtors. This was somewhat revised in 1889 and a complete revision of the system took place in 1967 which introduced a reorganisation procedure with a moratorium and court approved plan. In this way, the French system has moved away from its historically pro-creditor stance.</w:t>
      </w:r>
    </w:p>
    <w:p w14:paraId="7BB76005" w14:textId="77777777" w:rsidR="00DA434C" w:rsidRDefault="00DA434C" w:rsidP="00692852">
      <w:pPr>
        <w:jc w:val="both"/>
        <w:rPr>
          <w:rFonts w:ascii="Avenir Next" w:hAnsi="Avenir Next" w:cs="Arial"/>
          <w:color w:val="808080" w:themeColor="background1" w:themeShade="80"/>
          <w:sz w:val="22"/>
          <w:szCs w:val="22"/>
          <w:lang w:val="en-GB"/>
        </w:rPr>
      </w:pPr>
    </w:p>
    <w:p w14:paraId="1F38880D" w14:textId="709EE161" w:rsidR="00DA434C" w:rsidRDefault="007C148A" w:rsidP="00692852">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Generall</w:t>
      </w:r>
      <w:r w:rsidR="00DA434C">
        <w:rPr>
          <w:rFonts w:ascii="Avenir Next" w:hAnsi="Avenir Next" w:cs="Arial"/>
          <w:color w:val="808080" w:themeColor="background1" w:themeShade="80"/>
          <w:sz w:val="22"/>
          <w:szCs w:val="22"/>
          <w:lang w:val="en-GB"/>
        </w:rPr>
        <w:t>y speaking, c</w:t>
      </w:r>
      <w:r>
        <w:rPr>
          <w:rFonts w:ascii="Avenir Next" w:hAnsi="Avenir Next" w:cs="Arial"/>
          <w:color w:val="808080" w:themeColor="background1" w:themeShade="80"/>
          <w:sz w:val="22"/>
          <w:szCs w:val="22"/>
          <w:lang w:val="en-GB"/>
        </w:rPr>
        <w:t>ountries</w:t>
      </w:r>
      <w:proofErr w:type="gramEnd"/>
      <w:r>
        <w:rPr>
          <w:rFonts w:ascii="Avenir Next" w:hAnsi="Avenir Next" w:cs="Arial"/>
          <w:color w:val="808080" w:themeColor="background1" w:themeShade="80"/>
          <w:sz w:val="22"/>
          <w:szCs w:val="22"/>
          <w:lang w:val="en-GB"/>
        </w:rPr>
        <w:t xml:space="preserve"> whose insolvency law systems have historical routes in common law tend to be more pro-debtor systems whereas countries whose insolvency law systems have historical routes in civil law tend to have more pro-creditor elements. However, important influencing factors can be rooted in the local culture. </w:t>
      </w:r>
    </w:p>
    <w:p w14:paraId="20F05EB5" w14:textId="77777777" w:rsidR="00DA434C" w:rsidRPr="00DA42DA" w:rsidRDefault="00DA434C" w:rsidP="00692852">
      <w:pPr>
        <w:jc w:val="both"/>
        <w:rPr>
          <w:rFonts w:ascii="Avenir Next" w:hAnsi="Avenir Next" w:cs="Arial"/>
          <w:color w:val="808080" w:themeColor="background1" w:themeShade="80"/>
          <w:sz w:val="22"/>
          <w:szCs w:val="22"/>
          <w:lang w:val="en-GB"/>
        </w:rPr>
      </w:pP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6EB56717" w14:textId="5F8C495C" w:rsidR="00837705" w:rsidRDefault="00837705" w:rsidP="0083770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Universali</w:t>
      </w:r>
      <w:r w:rsidR="00502D47">
        <w:rPr>
          <w:rFonts w:ascii="Avenir Next" w:hAnsi="Avenir Next" w:cs="Arial"/>
          <w:color w:val="7B7B7B" w:themeColor="accent3" w:themeShade="BF"/>
          <w:sz w:val="22"/>
          <w:szCs w:val="22"/>
          <w:lang w:val="en-GB"/>
        </w:rPr>
        <w:t>sm</w:t>
      </w:r>
      <w:r>
        <w:rPr>
          <w:rFonts w:ascii="Avenir Next" w:hAnsi="Avenir Next" w:cs="Arial"/>
          <w:color w:val="7B7B7B" w:themeColor="accent3" w:themeShade="BF"/>
          <w:sz w:val="22"/>
          <w:szCs w:val="22"/>
          <w:lang w:val="en-GB"/>
        </w:rPr>
        <w:t xml:space="preserve"> is the theory that there should be a single set of insolvency proceedings to deal with a debtor's assets and debts, and therefore, once one set of insolvency proceedings has been opened in one jurisdiction, it should not be possible for a second set of insolvency proceedings dealing with any aspect of the debtor's insolvency to be commenced thereafter in a separate jurisdiction.</w:t>
      </w:r>
    </w:p>
    <w:p w14:paraId="6B2C44BD" w14:textId="001A2CF7" w:rsidR="00B26757" w:rsidRDefault="009E049D" w:rsidP="0083770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concept of m</w:t>
      </w:r>
      <w:r w:rsidR="00B26757">
        <w:rPr>
          <w:rFonts w:ascii="Avenir Next" w:hAnsi="Avenir Next" w:cs="Arial"/>
          <w:color w:val="7B7B7B" w:themeColor="accent3" w:themeShade="BF"/>
          <w:sz w:val="22"/>
          <w:szCs w:val="22"/>
          <w:lang w:val="en-GB"/>
        </w:rPr>
        <w:t xml:space="preserve">odified universalism </w:t>
      </w:r>
      <w:r>
        <w:rPr>
          <w:rFonts w:ascii="Avenir Next" w:hAnsi="Avenir Next" w:cs="Arial"/>
          <w:color w:val="7B7B7B" w:themeColor="accent3" w:themeShade="BF"/>
          <w:sz w:val="22"/>
          <w:szCs w:val="22"/>
          <w:lang w:val="en-GB"/>
        </w:rPr>
        <w:t xml:space="preserve">has emerged recently. </w:t>
      </w:r>
      <w:r w:rsidR="00126D4C">
        <w:rPr>
          <w:rFonts w:ascii="Avenir Next" w:hAnsi="Avenir Next" w:cs="Arial"/>
          <w:color w:val="7B7B7B" w:themeColor="accent3" w:themeShade="BF"/>
          <w:sz w:val="22"/>
          <w:szCs w:val="22"/>
          <w:lang w:val="en-GB"/>
        </w:rPr>
        <w:t xml:space="preserve">Under the principle of modified </w:t>
      </w:r>
      <w:r w:rsidR="00F86C98">
        <w:rPr>
          <w:rFonts w:ascii="Avenir Next" w:hAnsi="Avenir Next" w:cs="Arial"/>
          <w:color w:val="7B7B7B" w:themeColor="accent3" w:themeShade="BF"/>
          <w:sz w:val="22"/>
          <w:szCs w:val="22"/>
          <w:lang w:val="en-GB"/>
        </w:rPr>
        <w:t>universalism</w:t>
      </w:r>
      <w:r w:rsidR="00A04581">
        <w:rPr>
          <w:rFonts w:ascii="Avenir Next" w:hAnsi="Avenir Next" w:cs="Arial"/>
          <w:color w:val="7B7B7B" w:themeColor="accent3" w:themeShade="BF"/>
          <w:sz w:val="22"/>
          <w:szCs w:val="22"/>
          <w:lang w:val="en-GB"/>
        </w:rPr>
        <w:t xml:space="preserve">, </w:t>
      </w:r>
      <w:r w:rsidR="00455D89">
        <w:rPr>
          <w:rFonts w:ascii="Avenir Next" w:hAnsi="Avenir Next" w:cs="Arial"/>
          <w:color w:val="7B7B7B" w:themeColor="accent3" w:themeShade="BF"/>
          <w:sz w:val="22"/>
          <w:szCs w:val="22"/>
          <w:lang w:val="en-GB"/>
        </w:rPr>
        <w:t xml:space="preserve">a main proceeding is commenced in the jurisdiction where the centre of main interests has been established, which may in turn be supported by secondary proceedings in a second jurisdiction. </w:t>
      </w:r>
    </w:p>
    <w:p w14:paraId="4040DC82" w14:textId="77777777" w:rsidR="00837705" w:rsidRDefault="00837705" w:rsidP="0083770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Territoriality on the other hand is effectively the reverse of universality, as under this principle it is theoretically possible to have insolvency proceedings in every single jurisdiction where the debtor holds assets, since the principle is that proceedings dealing with a debtor's assets should be restricted to assets/property within the jurisdiction where the proceedings are commenced. </w:t>
      </w:r>
    </w:p>
    <w:p w14:paraId="13584A82" w14:textId="5D373C42" w:rsidR="00837705" w:rsidRDefault="001E4732" w:rsidP="0083770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w:t>
      </w:r>
      <w:r w:rsidR="00837705">
        <w:rPr>
          <w:rFonts w:ascii="Avenir Next" w:hAnsi="Avenir Next" w:cs="Arial"/>
          <w:color w:val="7B7B7B" w:themeColor="accent3" w:themeShade="BF"/>
          <w:sz w:val="22"/>
          <w:szCs w:val="22"/>
          <w:lang w:val="en-GB"/>
        </w:rPr>
        <w:t>niversali</w:t>
      </w:r>
      <w:r>
        <w:rPr>
          <w:rFonts w:ascii="Avenir Next" w:hAnsi="Avenir Next" w:cs="Arial"/>
          <w:color w:val="7B7B7B" w:themeColor="accent3" w:themeShade="BF"/>
          <w:sz w:val="22"/>
          <w:szCs w:val="22"/>
          <w:lang w:val="en-GB"/>
        </w:rPr>
        <w:t xml:space="preserve">sm, modified </w:t>
      </w:r>
      <w:proofErr w:type="gramStart"/>
      <w:r>
        <w:rPr>
          <w:rFonts w:ascii="Avenir Next" w:hAnsi="Avenir Next" w:cs="Arial"/>
          <w:color w:val="7B7B7B" w:themeColor="accent3" w:themeShade="BF"/>
          <w:sz w:val="22"/>
          <w:szCs w:val="22"/>
          <w:lang w:val="en-GB"/>
        </w:rPr>
        <w:t>universalism</w:t>
      </w:r>
      <w:proofErr w:type="gramEnd"/>
      <w:r w:rsidR="00837705">
        <w:rPr>
          <w:rFonts w:ascii="Avenir Next" w:hAnsi="Avenir Next" w:cs="Arial"/>
          <w:color w:val="7B7B7B" w:themeColor="accent3" w:themeShade="BF"/>
          <w:sz w:val="22"/>
          <w:szCs w:val="22"/>
          <w:lang w:val="en-GB"/>
        </w:rPr>
        <w:t xml:space="preserve"> and territoriality</w:t>
      </w:r>
      <w:r>
        <w:rPr>
          <w:rFonts w:ascii="Avenir Next" w:hAnsi="Avenir Next" w:cs="Arial"/>
          <w:color w:val="7B7B7B" w:themeColor="accent3" w:themeShade="BF"/>
          <w:sz w:val="22"/>
          <w:szCs w:val="22"/>
          <w:lang w:val="en-GB"/>
        </w:rPr>
        <w:t xml:space="preserve"> all</w:t>
      </w:r>
      <w:r w:rsidR="00837705">
        <w:rPr>
          <w:rFonts w:ascii="Avenir Next" w:hAnsi="Avenir Next" w:cs="Arial"/>
          <w:color w:val="7B7B7B" w:themeColor="accent3" w:themeShade="BF"/>
          <w:sz w:val="22"/>
          <w:szCs w:val="22"/>
          <w:lang w:val="en-GB"/>
        </w:rPr>
        <w:t xml:space="preserve"> have pros and cons. It cannot be denied that universality would have the effect of significantly reducing costs, which would in turn ultimately benefit the creditors of the debtors, but the reality is that it is not generally possible for local courts to disregard national constitutions.</w:t>
      </w:r>
      <w:r w:rsidR="00A41EC4">
        <w:rPr>
          <w:rFonts w:ascii="Avenir Next" w:hAnsi="Avenir Next" w:cs="Arial"/>
          <w:color w:val="7B7B7B" w:themeColor="accent3" w:themeShade="BF"/>
          <w:sz w:val="22"/>
          <w:szCs w:val="22"/>
          <w:lang w:val="en-GB"/>
        </w:rPr>
        <w:t xml:space="preserve"> Modified universalism would seem to be a balanced bridge between the two </w:t>
      </w:r>
      <w:r w:rsidR="00C821C5">
        <w:rPr>
          <w:rFonts w:ascii="Avenir Next" w:hAnsi="Avenir Next" w:cs="Arial"/>
          <w:color w:val="7B7B7B" w:themeColor="accent3" w:themeShade="BF"/>
          <w:sz w:val="22"/>
          <w:szCs w:val="22"/>
          <w:lang w:val="en-GB"/>
        </w:rPr>
        <w:t xml:space="preserve">opposing </w:t>
      </w:r>
      <w:r w:rsidR="00A41EC4">
        <w:rPr>
          <w:rFonts w:ascii="Avenir Next" w:hAnsi="Avenir Next" w:cs="Arial"/>
          <w:color w:val="7B7B7B" w:themeColor="accent3" w:themeShade="BF"/>
          <w:sz w:val="22"/>
          <w:szCs w:val="22"/>
          <w:lang w:val="en-GB"/>
        </w:rPr>
        <w:t xml:space="preserve">concepts. </w:t>
      </w:r>
    </w:p>
    <w:p w14:paraId="2A55FFDF" w14:textId="7047CB1B" w:rsidR="001E4732" w:rsidRPr="00827D56" w:rsidRDefault="00C33121" w:rsidP="00837705">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Importantly, all three concepts also require proper enforcement of recognition and effect </w:t>
      </w:r>
      <w:r w:rsidR="00EB4B42">
        <w:rPr>
          <w:rFonts w:ascii="Avenir Next" w:hAnsi="Avenir Next" w:cs="Arial"/>
          <w:color w:val="7B7B7B" w:themeColor="accent3" w:themeShade="BF"/>
          <w:sz w:val="22"/>
          <w:szCs w:val="22"/>
          <w:lang w:val="en-GB"/>
        </w:rPr>
        <w:t xml:space="preserve">by the states affected or involved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be successful.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1ABA1F08" w:rsidR="00DA42DA" w:rsidRDefault="00137FD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initiatives that we will discuss here are those of the Montevideo Treaties of 1889 and 1940 and the Havana Convention on Private International Law of 1928 (the Bustamante Code).</w:t>
      </w:r>
    </w:p>
    <w:p w14:paraId="08E93CE5" w14:textId="77777777" w:rsidR="00137FDC" w:rsidRDefault="00137FDC" w:rsidP="00DA42DA">
      <w:pPr>
        <w:jc w:val="both"/>
        <w:rPr>
          <w:rFonts w:ascii="Avenir Next" w:hAnsi="Avenir Next" w:cs="Arial"/>
          <w:color w:val="808080" w:themeColor="background1" w:themeShade="80"/>
          <w:sz w:val="22"/>
          <w:szCs w:val="22"/>
          <w:lang w:val="en-GB"/>
        </w:rPr>
      </w:pPr>
    </w:p>
    <w:p w14:paraId="6D3CB84E" w14:textId="77777777" w:rsidR="00D45EF1" w:rsidRDefault="00D45EF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From the outset, it is important to note that t</w:t>
      </w:r>
      <w:r w:rsidR="003D2432">
        <w:rPr>
          <w:rFonts w:ascii="Avenir Next" w:hAnsi="Avenir Next" w:cs="Arial"/>
          <w:color w:val="808080" w:themeColor="background1" w:themeShade="80"/>
          <w:sz w:val="22"/>
          <w:szCs w:val="22"/>
          <w:lang w:val="en-GB"/>
        </w:rPr>
        <w:t xml:space="preserve">here </w:t>
      </w:r>
      <w:r w:rsidR="00F24D64">
        <w:rPr>
          <w:rFonts w:ascii="Avenir Next" w:hAnsi="Avenir Next" w:cs="Arial"/>
          <w:color w:val="808080" w:themeColor="background1" w:themeShade="80"/>
          <w:sz w:val="22"/>
          <w:szCs w:val="22"/>
          <w:lang w:val="en-GB"/>
        </w:rPr>
        <w:t>are 6 signatories to the Montevideo Treaty of 1889 and only 3 of those are signatories to the Montevideo Treaty of 1940 so careful analysis</w:t>
      </w:r>
      <w:r w:rsidR="00EA5188">
        <w:rPr>
          <w:rFonts w:ascii="Avenir Next" w:hAnsi="Avenir Next" w:cs="Arial"/>
          <w:color w:val="808080" w:themeColor="background1" w:themeShade="80"/>
          <w:sz w:val="22"/>
          <w:szCs w:val="22"/>
          <w:lang w:val="en-GB"/>
        </w:rPr>
        <w:t xml:space="preserve"> and consideration</w:t>
      </w:r>
      <w:r w:rsidR="00F24D64">
        <w:rPr>
          <w:rFonts w:ascii="Avenir Next" w:hAnsi="Avenir Next" w:cs="Arial"/>
          <w:color w:val="808080" w:themeColor="background1" w:themeShade="80"/>
          <w:sz w:val="22"/>
          <w:szCs w:val="22"/>
          <w:lang w:val="en-GB"/>
        </w:rPr>
        <w:t xml:space="preserve"> is required regarding which treaty or treaties may be applicable. </w:t>
      </w:r>
    </w:p>
    <w:p w14:paraId="7CF790E0" w14:textId="77777777" w:rsidR="00D45EF1" w:rsidRDefault="00D45EF1" w:rsidP="00DA42DA">
      <w:pPr>
        <w:jc w:val="both"/>
        <w:rPr>
          <w:rFonts w:ascii="Avenir Next" w:hAnsi="Avenir Next" w:cs="Arial"/>
          <w:color w:val="808080" w:themeColor="background1" w:themeShade="80"/>
          <w:sz w:val="22"/>
          <w:szCs w:val="22"/>
          <w:lang w:val="en-GB"/>
        </w:rPr>
      </w:pPr>
    </w:p>
    <w:p w14:paraId="680B9B24" w14:textId="1EAE5E58" w:rsidR="00137FDC" w:rsidRDefault="00EA518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D45EF1">
        <w:rPr>
          <w:rFonts w:ascii="Avenir Next" w:hAnsi="Avenir Next" w:cs="Arial"/>
          <w:color w:val="808080" w:themeColor="background1" w:themeShade="80"/>
          <w:sz w:val="22"/>
          <w:szCs w:val="22"/>
          <w:lang w:val="en-GB"/>
        </w:rPr>
        <w:t xml:space="preserve">Montevideo Treaty of 1889 deals with both personal insolvencies and corporate insolvencies. </w:t>
      </w:r>
      <w:r w:rsidR="005A37A0">
        <w:rPr>
          <w:rFonts w:ascii="Avenir Next" w:hAnsi="Avenir Next" w:cs="Arial"/>
          <w:color w:val="808080" w:themeColor="background1" w:themeShade="80"/>
          <w:sz w:val="22"/>
          <w:szCs w:val="22"/>
          <w:lang w:val="en-GB"/>
        </w:rPr>
        <w:t>Jurisdiction for bankruptcy proceedings is based on the insolvent person or company's "commercial domicile"</w:t>
      </w:r>
      <w:r w:rsidR="0089683D">
        <w:rPr>
          <w:rFonts w:ascii="Avenir Next" w:hAnsi="Avenir Next" w:cs="Arial"/>
          <w:color w:val="808080" w:themeColor="background1" w:themeShade="80"/>
          <w:sz w:val="22"/>
          <w:szCs w:val="22"/>
          <w:lang w:val="en-GB"/>
        </w:rPr>
        <w:t>. In situations where a debtor occasionally trades in multiple signatory States (including situations where a debtor may have a branch in another signatory State)</w:t>
      </w:r>
      <w:r w:rsidR="00105CB9">
        <w:rPr>
          <w:rFonts w:ascii="Avenir Next" w:hAnsi="Avenir Next" w:cs="Arial"/>
          <w:color w:val="808080" w:themeColor="background1" w:themeShade="80"/>
          <w:sz w:val="22"/>
          <w:szCs w:val="22"/>
          <w:lang w:val="en-GB"/>
        </w:rPr>
        <w:t xml:space="preserve"> but has its commercial domicile in a single signatory State, there is to be one set of insolvency/bankruptcy proceedings in the State where the debtor has its commercial domicile. </w:t>
      </w:r>
      <w:r w:rsidR="008B4D7A">
        <w:rPr>
          <w:rFonts w:ascii="Avenir Next" w:hAnsi="Avenir Next" w:cs="Arial"/>
          <w:color w:val="808080" w:themeColor="background1" w:themeShade="80"/>
          <w:sz w:val="22"/>
          <w:szCs w:val="22"/>
          <w:lang w:val="en-GB"/>
        </w:rPr>
        <w:t xml:space="preserve">In situations where the debtor may have more than one viable </w:t>
      </w:r>
      <w:proofErr w:type="gramStart"/>
      <w:r w:rsidR="008B4D7A">
        <w:rPr>
          <w:rFonts w:ascii="Avenir Next" w:hAnsi="Avenir Next" w:cs="Arial"/>
          <w:color w:val="808080" w:themeColor="background1" w:themeShade="80"/>
          <w:sz w:val="22"/>
          <w:szCs w:val="22"/>
          <w:lang w:val="en-GB"/>
        </w:rPr>
        <w:t>businesses</w:t>
      </w:r>
      <w:proofErr w:type="gramEnd"/>
      <w:r w:rsidR="008B4D7A">
        <w:rPr>
          <w:rFonts w:ascii="Avenir Next" w:hAnsi="Avenir Next" w:cs="Arial"/>
          <w:color w:val="808080" w:themeColor="background1" w:themeShade="80"/>
          <w:sz w:val="22"/>
          <w:szCs w:val="22"/>
          <w:lang w:val="en-GB"/>
        </w:rPr>
        <w:t xml:space="preserve"> in multiple signatory States, the 1889 Treaty allows for concurrent bankruptcy proceedings to be run in the various States. </w:t>
      </w:r>
    </w:p>
    <w:p w14:paraId="6FF9FF8E" w14:textId="77777777" w:rsidR="00F93887" w:rsidRDefault="00F93887" w:rsidP="00DA42DA">
      <w:pPr>
        <w:jc w:val="both"/>
        <w:rPr>
          <w:rFonts w:ascii="Avenir Next" w:hAnsi="Avenir Next" w:cs="Arial"/>
          <w:color w:val="808080" w:themeColor="background1" w:themeShade="80"/>
          <w:sz w:val="22"/>
          <w:szCs w:val="22"/>
          <w:lang w:val="en-GB"/>
        </w:rPr>
      </w:pPr>
    </w:p>
    <w:p w14:paraId="4AA6B9DA" w14:textId="27BF9430" w:rsidR="00F93887" w:rsidRDefault="00F9388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Bustamante Code has 15 signatory States. </w:t>
      </w:r>
      <w:r w:rsidR="00136E7E">
        <w:rPr>
          <w:rFonts w:ascii="Avenir Next" w:hAnsi="Avenir Next" w:cs="Arial"/>
          <w:color w:val="808080" w:themeColor="background1" w:themeShade="80"/>
          <w:sz w:val="22"/>
          <w:szCs w:val="22"/>
          <w:lang w:val="en-GB"/>
        </w:rPr>
        <w:t xml:space="preserve">Two states, </w:t>
      </w:r>
      <w:proofErr w:type="gramStart"/>
      <w:r w:rsidR="00136E7E">
        <w:rPr>
          <w:rFonts w:ascii="Avenir Next" w:hAnsi="Avenir Next" w:cs="Arial"/>
          <w:color w:val="808080" w:themeColor="background1" w:themeShade="80"/>
          <w:sz w:val="22"/>
          <w:szCs w:val="22"/>
          <w:lang w:val="en-GB"/>
        </w:rPr>
        <w:t>Bolivia</w:t>
      </w:r>
      <w:proofErr w:type="gramEnd"/>
      <w:r w:rsidR="00136E7E">
        <w:rPr>
          <w:rFonts w:ascii="Avenir Next" w:hAnsi="Avenir Next" w:cs="Arial"/>
          <w:color w:val="808080" w:themeColor="background1" w:themeShade="80"/>
          <w:sz w:val="22"/>
          <w:szCs w:val="22"/>
          <w:lang w:val="en-GB"/>
        </w:rPr>
        <w:t xml:space="preserve"> and Peru, are signatories to both the </w:t>
      </w:r>
      <w:r w:rsidR="001D1C79">
        <w:rPr>
          <w:rFonts w:ascii="Avenir Next" w:hAnsi="Avenir Next" w:cs="Arial"/>
          <w:color w:val="808080" w:themeColor="background1" w:themeShade="80"/>
          <w:sz w:val="22"/>
          <w:szCs w:val="22"/>
          <w:lang w:val="en-GB"/>
        </w:rPr>
        <w:t xml:space="preserve">1889 Montevideo Treaty and the </w:t>
      </w:r>
      <w:proofErr w:type="spellStart"/>
      <w:r w:rsidR="001D1C79">
        <w:rPr>
          <w:rFonts w:ascii="Avenir Next" w:hAnsi="Avenir Next" w:cs="Arial"/>
          <w:color w:val="808080" w:themeColor="background1" w:themeShade="80"/>
          <w:sz w:val="22"/>
          <w:szCs w:val="22"/>
          <w:lang w:val="en-GB"/>
        </w:rPr>
        <w:t>Busamante</w:t>
      </w:r>
      <w:proofErr w:type="spellEnd"/>
      <w:r w:rsidR="001D1C79">
        <w:rPr>
          <w:rFonts w:ascii="Avenir Next" w:hAnsi="Avenir Next" w:cs="Arial"/>
          <w:color w:val="808080" w:themeColor="background1" w:themeShade="80"/>
          <w:sz w:val="22"/>
          <w:szCs w:val="22"/>
          <w:lang w:val="en-GB"/>
        </w:rPr>
        <w:t xml:space="preserve"> Code. There are 5 South American States which are not party to the Bustamante Code. </w:t>
      </w:r>
    </w:p>
    <w:p w14:paraId="50396046" w14:textId="77777777" w:rsidR="000F6EBA" w:rsidRDefault="000F6EBA" w:rsidP="00DA42DA">
      <w:pPr>
        <w:jc w:val="both"/>
        <w:rPr>
          <w:rFonts w:ascii="Avenir Next" w:hAnsi="Avenir Next" w:cs="Arial"/>
          <w:color w:val="808080" w:themeColor="background1" w:themeShade="80"/>
          <w:sz w:val="22"/>
          <w:szCs w:val="22"/>
          <w:lang w:val="en-GB"/>
        </w:rPr>
      </w:pPr>
    </w:p>
    <w:p w14:paraId="64E926E6" w14:textId="778AAD77" w:rsidR="000F6EBA" w:rsidRPr="00DA42DA" w:rsidRDefault="000F6EB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Bustamante Code is more pro-universalism than the Montevideo Treaties. </w:t>
      </w:r>
      <w:r w:rsidR="003021F0">
        <w:rPr>
          <w:rFonts w:ascii="Avenir Next" w:hAnsi="Avenir Next" w:cs="Arial"/>
          <w:color w:val="808080" w:themeColor="background1" w:themeShade="80"/>
          <w:sz w:val="22"/>
          <w:szCs w:val="22"/>
          <w:lang w:val="en-GB"/>
        </w:rPr>
        <w:t xml:space="preserve">It provides in its first chapter that where the debtor has a single commercial domicile, there can only be one set of insolvency proceedings as between the signatory States. Article 415 however provides that where a debtor has arms of its business that operate separately, there may be concurrent insolvency </w:t>
      </w:r>
      <w:r w:rsidR="003021F0">
        <w:rPr>
          <w:rFonts w:ascii="Avenir Next" w:hAnsi="Avenir Next" w:cs="Arial"/>
          <w:color w:val="808080" w:themeColor="background1" w:themeShade="80"/>
          <w:sz w:val="22"/>
          <w:szCs w:val="22"/>
          <w:lang w:val="en-GB"/>
        </w:rPr>
        <w:lastRenderedPageBreak/>
        <w:t xml:space="preserve">proceedings in signatory States to the Bustamante Code. </w:t>
      </w:r>
      <w:r w:rsidR="000D5C49">
        <w:rPr>
          <w:rFonts w:ascii="Avenir Next" w:hAnsi="Avenir Next" w:cs="Arial"/>
          <w:color w:val="808080" w:themeColor="background1" w:themeShade="80"/>
          <w:sz w:val="22"/>
          <w:szCs w:val="22"/>
          <w:lang w:val="en-GB"/>
        </w:rPr>
        <w:t xml:space="preserve">In this way, it is not unlike the Montevideo Treaties. A notable difference between the two is that in a situation where there are concurrent insolvency proceedings taking place, the Bustamante Code does not </w:t>
      </w:r>
      <w:r w:rsidR="007D42E3">
        <w:rPr>
          <w:rFonts w:ascii="Avenir Next" w:hAnsi="Avenir Next" w:cs="Arial"/>
          <w:color w:val="808080" w:themeColor="background1" w:themeShade="80"/>
          <w:sz w:val="22"/>
          <w:szCs w:val="22"/>
          <w:lang w:val="en-GB"/>
        </w:rPr>
        <w:t xml:space="preserve">deal with procedures for co-operation of the multiple insolvency proceedings. </w:t>
      </w:r>
    </w:p>
    <w:p w14:paraId="6A803E53" w14:textId="77777777" w:rsidR="004417C1" w:rsidRDefault="004417C1" w:rsidP="00384F24">
      <w:pPr>
        <w:jc w:val="both"/>
        <w:rPr>
          <w:rFonts w:ascii="Avenir Next" w:hAnsi="Avenir Next" w:cs="Arial"/>
          <w:sz w:val="22"/>
          <w:szCs w:val="22"/>
          <w:lang w:val="en-GB"/>
        </w:rPr>
      </w:pPr>
    </w:p>
    <w:p w14:paraId="23F03134" w14:textId="2F3B7D68" w:rsidR="00F93887" w:rsidRPr="004216EA" w:rsidRDefault="00F93887"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346622A5" w:rsidR="00DA42DA" w:rsidRPr="00DA42DA" w:rsidRDefault="007D42E3" w:rsidP="00DA42DA">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Generally speaking, the</w:t>
      </w:r>
      <w:proofErr w:type="gramEnd"/>
      <w:r>
        <w:rPr>
          <w:rFonts w:ascii="Avenir Next" w:hAnsi="Avenir Next" w:cs="Arial"/>
          <w:color w:val="808080" w:themeColor="background1" w:themeShade="80"/>
          <w:sz w:val="22"/>
          <w:szCs w:val="22"/>
          <w:lang w:val="en-GB"/>
        </w:rPr>
        <w:t xml:space="preserve"> interchangeability of the terms "bankruptcy" and "insolvency" will depend on the jurisdiction in question. </w:t>
      </w:r>
      <w:r w:rsidR="00205651">
        <w:rPr>
          <w:rFonts w:ascii="Avenir Next" w:hAnsi="Avenir Next" w:cs="Arial"/>
          <w:color w:val="808080" w:themeColor="background1" w:themeShade="80"/>
          <w:sz w:val="22"/>
          <w:szCs w:val="22"/>
          <w:lang w:val="en-GB"/>
        </w:rPr>
        <w:t xml:space="preserve">In some states they will have the same meaning but in other States there will be very important nuances between the two terms. </w:t>
      </w:r>
    </w:p>
    <w:p w14:paraId="18FEEE1D" w14:textId="3A3E90C5" w:rsidR="007D42E3" w:rsidRDefault="007D42E3" w:rsidP="00692852">
      <w:pPr>
        <w:jc w:val="both"/>
        <w:rPr>
          <w:rFonts w:ascii="Avenir Next" w:hAnsi="Avenir Next" w:cs="Arial"/>
          <w:color w:val="808080" w:themeColor="background1" w:themeShade="80"/>
          <w:sz w:val="22"/>
          <w:szCs w:val="22"/>
          <w:lang w:val="en-GB"/>
        </w:rPr>
      </w:pPr>
    </w:p>
    <w:p w14:paraId="1E3823E5" w14:textId="7CC4C546" w:rsidR="0000280A" w:rsidRDefault="0000280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Ireland for example, bankruptcy is a term that is specific to an individual, rather than a corporate, insolvency. There are various "tests</w:t>
      </w:r>
      <w:r w:rsidR="00873791">
        <w:rPr>
          <w:rFonts w:ascii="Avenir Next" w:hAnsi="Avenir Next" w:cs="Arial"/>
          <w:color w:val="808080" w:themeColor="background1" w:themeShade="80"/>
          <w:sz w:val="22"/>
          <w:szCs w:val="22"/>
          <w:lang w:val="en-GB"/>
        </w:rPr>
        <w:t>" for whether a company may be insolvent</w:t>
      </w:r>
      <w:r w:rsidR="00D228BD">
        <w:rPr>
          <w:rFonts w:ascii="Avenir Next" w:hAnsi="Avenir Next" w:cs="Arial"/>
          <w:color w:val="808080" w:themeColor="background1" w:themeShade="80"/>
          <w:sz w:val="22"/>
          <w:szCs w:val="22"/>
          <w:lang w:val="en-GB"/>
        </w:rPr>
        <w:t xml:space="preserve"> (balance sheet insolvency vs cash flow insolvency)</w:t>
      </w:r>
      <w:r w:rsidR="00873791">
        <w:rPr>
          <w:rFonts w:ascii="Avenir Next" w:hAnsi="Avenir Next" w:cs="Arial"/>
          <w:color w:val="808080" w:themeColor="background1" w:themeShade="80"/>
          <w:sz w:val="22"/>
          <w:szCs w:val="22"/>
          <w:lang w:val="en-GB"/>
        </w:rPr>
        <w:t xml:space="preserve">, whereas bankruptcy is a procedure that an individual </w:t>
      </w:r>
      <w:proofErr w:type="gramStart"/>
      <w:r w:rsidR="00873791">
        <w:rPr>
          <w:rFonts w:ascii="Avenir Next" w:hAnsi="Avenir Next" w:cs="Arial"/>
          <w:color w:val="808080" w:themeColor="background1" w:themeShade="80"/>
          <w:sz w:val="22"/>
          <w:szCs w:val="22"/>
          <w:lang w:val="en-GB"/>
        </w:rPr>
        <w:t>enters into</w:t>
      </w:r>
      <w:proofErr w:type="gramEnd"/>
      <w:r w:rsidR="00873791">
        <w:rPr>
          <w:rFonts w:ascii="Avenir Next" w:hAnsi="Avenir Next" w:cs="Arial"/>
          <w:color w:val="808080" w:themeColor="background1" w:themeShade="80"/>
          <w:sz w:val="22"/>
          <w:szCs w:val="22"/>
          <w:lang w:val="en-GB"/>
        </w:rPr>
        <w:t xml:space="preserve">. </w:t>
      </w:r>
      <w:r w:rsidR="00781A2A">
        <w:rPr>
          <w:rFonts w:ascii="Avenir Next" w:hAnsi="Avenir Next" w:cs="Arial"/>
          <w:color w:val="808080" w:themeColor="background1" w:themeShade="80"/>
          <w:sz w:val="22"/>
          <w:szCs w:val="22"/>
          <w:lang w:val="en-GB"/>
        </w:rPr>
        <w:t xml:space="preserve">However, an individual may also go through a separate procedure in Ireland known as "personal insolvency" which is a relatively new procedure introduced in 2012. </w:t>
      </w:r>
      <w:r>
        <w:rPr>
          <w:rFonts w:ascii="Avenir Next" w:hAnsi="Avenir Next" w:cs="Arial"/>
          <w:color w:val="808080" w:themeColor="background1" w:themeShade="80"/>
          <w:sz w:val="22"/>
          <w:szCs w:val="22"/>
          <w:lang w:val="en-GB"/>
        </w:rPr>
        <w:t>In that jurisdiction therefore, the two terms are not interchangeable.</w:t>
      </w:r>
      <w:r w:rsidR="00781A2A">
        <w:rPr>
          <w:rFonts w:ascii="Avenir Next" w:hAnsi="Avenir Next" w:cs="Arial"/>
          <w:color w:val="808080" w:themeColor="background1" w:themeShade="80"/>
          <w:sz w:val="22"/>
          <w:szCs w:val="22"/>
          <w:lang w:val="en-GB"/>
        </w:rPr>
        <w:t xml:space="preserve"> Insolvency may be used interchangeably for individuals and </w:t>
      </w:r>
      <w:proofErr w:type="gramStart"/>
      <w:r w:rsidR="00781A2A">
        <w:rPr>
          <w:rFonts w:ascii="Avenir Next" w:hAnsi="Avenir Next" w:cs="Arial"/>
          <w:color w:val="808080" w:themeColor="background1" w:themeShade="80"/>
          <w:sz w:val="22"/>
          <w:szCs w:val="22"/>
          <w:lang w:val="en-GB"/>
        </w:rPr>
        <w:t>corporates</w:t>
      </w:r>
      <w:proofErr w:type="gramEnd"/>
      <w:r w:rsidR="00781A2A">
        <w:rPr>
          <w:rFonts w:ascii="Avenir Next" w:hAnsi="Avenir Next" w:cs="Arial"/>
          <w:color w:val="808080" w:themeColor="background1" w:themeShade="80"/>
          <w:sz w:val="22"/>
          <w:szCs w:val="22"/>
          <w:lang w:val="en-GB"/>
        </w:rPr>
        <w:t xml:space="preserve"> but bankruptcy does not apply to corporates. </w:t>
      </w:r>
      <w:r>
        <w:rPr>
          <w:rFonts w:ascii="Avenir Next" w:hAnsi="Avenir Next" w:cs="Arial"/>
          <w:color w:val="808080" w:themeColor="background1" w:themeShade="80"/>
          <w:sz w:val="22"/>
          <w:szCs w:val="22"/>
          <w:lang w:val="en-GB"/>
        </w:rPr>
        <w:t xml:space="preserve"> </w:t>
      </w:r>
    </w:p>
    <w:p w14:paraId="21B7C37A" w14:textId="77777777" w:rsidR="00873791" w:rsidRDefault="00873791" w:rsidP="00692852">
      <w:pPr>
        <w:jc w:val="both"/>
        <w:rPr>
          <w:rFonts w:ascii="Avenir Next" w:hAnsi="Avenir Next" w:cs="Arial"/>
          <w:color w:val="808080" w:themeColor="background1" w:themeShade="80"/>
          <w:sz w:val="22"/>
          <w:szCs w:val="22"/>
          <w:lang w:val="en-GB"/>
        </w:rPr>
      </w:pPr>
    </w:p>
    <w:p w14:paraId="3083270F" w14:textId="5E07768D" w:rsidR="00873791" w:rsidRDefault="00F94A4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Commentary on the essential characteristics of "bankruptcy" and "insolvency" varies in terms of agreed shared features. Sealy and Hooley's chapter in M A Clarke et al, Commercial Law, argue that shared principles between </w:t>
      </w:r>
      <w:r w:rsidR="00781A2A">
        <w:rPr>
          <w:rFonts w:ascii="Avenir Next" w:hAnsi="Avenir Next" w:cs="Arial"/>
          <w:color w:val="808080" w:themeColor="background1" w:themeShade="80"/>
          <w:sz w:val="22"/>
          <w:szCs w:val="22"/>
          <w:lang w:val="en-GB"/>
        </w:rPr>
        <w:t>"bankruptcy" for individuals and "</w:t>
      </w:r>
      <w:r w:rsidR="004E1725">
        <w:rPr>
          <w:rFonts w:ascii="Avenir Next" w:hAnsi="Avenir Next" w:cs="Arial"/>
          <w:color w:val="808080" w:themeColor="background1" w:themeShade="80"/>
          <w:sz w:val="22"/>
          <w:szCs w:val="22"/>
          <w:lang w:val="en-GB"/>
        </w:rPr>
        <w:t xml:space="preserve">insolvency" for corporations are (1) the principle of </w:t>
      </w:r>
      <w:proofErr w:type="spellStart"/>
      <w:r w:rsidR="004E1725">
        <w:rPr>
          <w:rFonts w:ascii="Avenir Next" w:hAnsi="Avenir Next" w:cs="Arial"/>
          <w:color w:val="808080" w:themeColor="background1" w:themeShade="80"/>
          <w:sz w:val="22"/>
          <w:szCs w:val="22"/>
          <w:lang w:val="en-GB"/>
        </w:rPr>
        <w:t>pari</w:t>
      </w:r>
      <w:proofErr w:type="spellEnd"/>
      <w:r w:rsidR="004E1725">
        <w:rPr>
          <w:rFonts w:ascii="Avenir Next" w:hAnsi="Avenir Next" w:cs="Arial"/>
          <w:color w:val="808080" w:themeColor="background1" w:themeShade="80"/>
          <w:sz w:val="22"/>
          <w:szCs w:val="22"/>
          <w:lang w:val="en-GB"/>
        </w:rPr>
        <w:t xml:space="preserve"> passu distribution (which carries exceptions such as priority creditors and secured creditors), (2) </w:t>
      </w:r>
      <w:r w:rsidR="00636BC5">
        <w:rPr>
          <w:rFonts w:ascii="Avenir Next" w:hAnsi="Avenir Next" w:cs="Arial"/>
          <w:color w:val="808080" w:themeColor="background1" w:themeShade="80"/>
          <w:sz w:val="22"/>
          <w:szCs w:val="22"/>
          <w:lang w:val="en-GB"/>
        </w:rPr>
        <w:t xml:space="preserve">the importance of investigating the reasons that led to the bankruptcy or insolvency, (3) </w:t>
      </w:r>
      <w:r w:rsidR="000C269A">
        <w:rPr>
          <w:rFonts w:ascii="Avenir Next" w:hAnsi="Avenir Next" w:cs="Arial"/>
          <w:color w:val="808080" w:themeColor="background1" w:themeShade="80"/>
          <w:sz w:val="22"/>
          <w:szCs w:val="22"/>
          <w:lang w:val="en-GB"/>
        </w:rPr>
        <w:t xml:space="preserve">the importance of ensuring that secured creditors behave appropriately towards the debtor, (4) the importance of examining and attacking dispositions that may have been improperly made by the debtor prior to entering insolvency. </w:t>
      </w:r>
      <w:r w:rsidR="000F3B89">
        <w:rPr>
          <w:rFonts w:ascii="Avenir Next" w:hAnsi="Avenir Next" w:cs="Arial"/>
          <w:color w:val="808080" w:themeColor="background1" w:themeShade="80"/>
          <w:sz w:val="22"/>
          <w:szCs w:val="22"/>
          <w:lang w:val="en-GB"/>
        </w:rPr>
        <w:t xml:space="preserve">Another shared principle listed by Wood in Principles of Insolvency is the concept that proceedings against the debtor must be frozen or stayed during the insolvency or bankruptcy. </w:t>
      </w:r>
    </w:p>
    <w:p w14:paraId="6526C401" w14:textId="77777777" w:rsidR="000F3B89" w:rsidRDefault="000F3B89" w:rsidP="00692852">
      <w:pPr>
        <w:jc w:val="both"/>
        <w:rPr>
          <w:rFonts w:ascii="Avenir Next" w:hAnsi="Avenir Next" w:cs="Arial"/>
          <w:color w:val="808080" w:themeColor="background1" w:themeShade="80"/>
          <w:sz w:val="22"/>
          <w:szCs w:val="22"/>
          <w:lang w:val="en-GB"/>
        </w:rPr>
      </w:pPr>
    </w:p>
    <w:p w14:paraId="250B0861" w14:textId="5E259F19" w:rsidR="000F3B89" w:rsidRDefault="000F3B89"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inherent differences that will arise when dealing with a corporat</w:t>
      </w:r>
      <w:r w:rsidR="00015DEC">
        <w:rPr>
          <w:rFonts w:ascii="Avenir Next" w:hAnsi="Avenir Next" w:cs="Arial"/>
          <w:color w:val="808080" w:themeColor="background1" w:themeShade="80"/>
          <w:sz w:val="22"/>
          <w:szCs w:val="22"/>
          <w:lang w:val="en-GB"/>
        </w:rPr>
        <w:t>ion in</w:t>
      </w:r>
      <w:r>
        <w:rPr>
          <w:rFonts w:ascii="Avenir Next" w:hAnsi="Avenir Next" w:cs="Arial"/>
          <w:color w:val="808080" w:themeColor="background1" w:themeShade="80"/>
          <w:sz w:val="22"/>
          <w:szCs w:val="22"/>
          <w:lang w:val="en-GB"/>
        </w:rPr>
        <w:t xml:space="preserve"> insolvency versus an individual in </w:t>
      </w:r>
      <w:r w:rsidR="00015DEC">
        <w:rPr>
          <w:rFonts w:ascii="Avenir Next" w:hAnsi="Avenir Next" w:cs="Arial"/>
          <w:color w:val="808080" w:themeColor="background1" w:themeShade="80"/>
          <w:sz w:val="22"/>
          <w:szCs w:val="22"/>
          <w:lang w:val="en-GB"/>
        </w:rPr>
        <w:t xml:space="preserve">bankruptcy. </w:t>
      </w:r>
      <w:r w:rsidR="007D2A87">
        <w:rPr>
          <w:rFonts w:ascii="Avenir Next" w:hAnsi="Avenir Next" w:cs="Arial"/>
          <w:color w:val="808080" w:themeColor="background1" w:themeShade="80"/>
          <w:sz w:val="22"/>
          <w:szCs w:val="22"/>
          <w:lang w:val="en-GB"/>
        </w:rPr>
        <w:t xml:space="preserve">One obvious difference is that an individual cannot be "dissolved" whereas with a corporation in insolvency, the dissolution of the entity might be the </w:t>
      </w:r>
      <w:proofErr w:type="gramStart"/>
      <w:r w:rsidR="007D2A87">
        <w:rPr>
          <w:rFonts w:ascii="Avenir Next" w:hAnsi="Avenir Next" w:cs="Arial"/>
          <w:color w:val="808080" w:themeColor="background1" w:themeShade="80"/>
          <w:sz w:val="22"/>
          <w:szCs w:val="22"/>
          <w:lang w:val="en-GB"/>
        </w:rPr>
        <w:t>ultimate goal</w:t>
      </w:r>
      <w:proofErr w:type="gramEnd"/>
      <w:r w:rsidR="007D2A87">
        <w:rPr>
          <w:rFonts w:ascii="Avenir Next" w:hAnsi="Avenir Next" w:cs="Arial"/>
          <w:color w:val="808080" w:themeColor="background1" w:themeShade="80"/>
          <w:sz w:val="22"/>
          <w:szCs w:val="22"/>
          <w:lang w:val="en-GB"/>
        </w:rPr>
        <w:t xml:space="preserve"> of the insolvency. Other differences might be that from the outset of the insolvency procedure for an individual, some assets might be completely excluded </w:t>
      </w:r>
      <w:proofErr w:type="gramStart"/>
      <w:r w:rsidR="007D2A87">
        <w:rPr>
          <w:rFonts w:ascii="Avenir Next" w:hAnsi="Avenir Next" w:cs="Arial"/>
          <w:color w:val="808080" w:themeColor="background1" w:themeShade="80"/>
          <w:sz w:val="22"/>
          <w:szCs w:val="22"/>
          <w:lang w:val="en-GB"/>
        </w:rPr>
        <w:t>in order to</w:t>
      </w:r>
      <w:proofErr w:type="gramEnd"/>
      <w:r w:rsidR="007D2A87">
        <w:rPr>
          <w:rFonts w:ascii="Avenir Next" w:hAnsi="Avenir Next" w:cs="Arial"/>
          <w:color w:val="808080" w:themeColor="background1" w:themeShade="80"/>
          <w:sz w:val="22"/>
          <w:szCs w:val="22"/>
          <w:lang w:val="en-GB"/>
        </w:rPr>
        <w:t xml:space="preserve"> ensure that the individual maintains a minimum standard of living. </w:t>
      </w:r>
      <w:r w:rsidR="00BC2A1D">
        <w:rPr>
          <w:rFonts w:ascii="Avenir Next" w:hAnsi="Avenir Next" w:cs="Arial"/>
          <w:color w:val="808080" w:themeColor="background1" w:themeShade="80"/>
          <w:sz w:val="22"/>
          <w:szCs w:val="22"/>
          <w:lang w:val="en-GB"/>
        </w:rPr>
        <w:t xml:space="preserve">There might also be procedures in place to protect an individual from harassment from creditors whereas a corporate insolvency would not require the same level of protection. A further difference might be that directors of an insolvent corporation might face some form of punishment for bringing about or causing the corporation's insolvency, whereas individual insolvencies are handled with much more sympathy. </w:t>
      </w:r>
    </w:p>
    <w:p w14:paraId="3E040CBF" w14:textId="77777777" w:rsidR="00BC2A1D" w:rsidRDefault="00BC2A1D" w:rsidP="00692852">
      <w:pPr>
        <w:jc w:val="both"/>
        <w:rPr>
          <w:rFonts w:ascii="Avenir Next" w:hAnsi="Avenir Next" w:cs="Arial"/>
          <w:color w:val="808080" w:themeColor="background1" w:themeShade="80"/>
          <w:sz w:val="22"/>
          <w:szCs w:val="22"/>
          <w:lang w:val="en-GB"/>
        </w:rPr>
      </w:pPr>
    </w:p>
    <w:p w14:paraId="41A4B512" w14:textId="48176B57" w:rsidR="00BC2A1D" w:rsidRDefault="00BC2A1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To conclude</w:t>
      </w:r>
      <w:proofErr w:type="gramStart"/>
      <w:r>
        <w:rPr>
          <w:rFonts w:ascii="Avenir Next" w:hAnsi="Avenir Next" w:cs="Arial"/>
          <w:color w:val="808080" w:themeColor="background1" w:themeShade="80"/>
          <w:sz w:val="22"/>
          <w:szCs w:val="22"/>
          <w:lang w:val="en-GB"/>
        </w:rPr>
        <w:t>, generally speaking, care</w:t>
      </w:r>
      <w:proofErr w:type="gramEnd"/>
      <w:r>
        <w:rPr>
          <w:rFonts w:ascii="Avenir Next" w:hAnsi="Avenir Next" w:cs="Arial"/>
          <w:color w:val="808080" w:themeColor="background1" w:themeShade="80"/>
          <w:sz w:val="22"/>
          <w:szCs w:val="22"/>
          <w:lang w:val="en-GB"/>
        </w:rPr>
        <w:t xml:space="preserve"> should be taken when using the terms "insolvency" and "bankruptcy" as the two will not always be interchangeable. </w:t>
      </w:r>
    </w:p>
    <w:p w14:paraId="5F5E64D7" w14:textId="77777777" w:rsidR="007D42E3" w:rsidRPr="001F5204" w:rsidRDefault="007D42E3"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368B5652" w:rsidR="00DA42DA" w:rsidRDefault="00F148B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general rule, a </w:t>
      </w:r>
      <w:proofErr w:type="gramStart"/>
      <w:r>
        <w:rPr>
          <w:rFonts w:ascii="Avenir Next" w:hAnsi="Avenir Next" w:cs="Arial"/>
          <w:color w:val="808080" w:themeColor="background1" w:themeShade="80"/>
          <w:sz w:val="22"/>
          <w:szCs w:val="22"/>
          <w:lang w:val="en-GB"/>
        </w:rPr>
        <w:t>State's</w:t>
      </w:r>
      <w:proofErr w:type="gramEnd"/>
      <w:r>
        <w:rPr>
          <w:rFonts w:ascii="Avenir Next" w:hAnsi="Avenir Next" w:cs="Arial"/>
          <w:color w:val="808080" w:themeColor="background1" w:themeShade="80"/>
          <w:sz w:val="22"/>
          <w:szCs w:val="22"/>
          <w:lang w:val="en-GB"/>
        </w:rPr>
        <w:t xml:space="preserve"> jurisdiction does not stretch beyond its borders and so with this comes the difficulty of the enforceability of extra-territorial proceedings or judgments. </w:t>
      </w:r>
      <w:r w:rsidR="00AF7ABA">
        <w:rPr>
          <w:rFonts w:ascii="Avenir Next" w:hAnsi="Avenir Next" w:cs="Arial"/>
          <w:color w:val="808080" w:themeColor="background1" w:themeShade="80"/>
          <w:sz w:val="22"/>
          <w:szCs w:val="22"/>
          <w:lang w:val="en-GB"/>
        </w:rPr>
        <w:t xml:space="preserve">Related to that issue is the fact that independent States decide on their own legislation and any amendments which may be required to overcome the challenges arising in cross-border insolvencies. </w:t>
      </w:r>
    </w:p>
    <w:p w14:paraId="0AE16937" w14:textId="77777777" w:rsidR="00AF7ABA" w:rsidRDefault="00AF7ABA" w:rsidP="00DA42DA">
      <w:pPr>
        <w:jc w:val="both"/>
        <w:rPr>
          <w:rFonts w:ascii="Avenir Next" w:hAnsi="Avenir Next" w:cs="Arial"/>
          <w:color w:val="808080" w:themeColor="background1" w:themeShade="80"/>
          <w:sz w:val="22"/>
          <w:szCs w:val="22"/>
          <w:lang w:val="en-GB"/>
        </w:rPr>
      </w:pPr>
    </w:p>
    <w:p w14:paraId="5A455512" w14:textId="1862BEA4" w:rsidR="00AF7ABA" w:rsidRDefault="003C5DD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Lack of co-operation between States will inevitably result in chaos when an insolvent company or individual has assets that are being handled as part of insolvency proceedings across multiple States. </w:t>
      </w:r>
    </w:p>
    <w:p w14:paraId="01AEDF3B" w14:textId="77777777" w:rsidR="00FA5F30" w:rsidRDefault="00FA5F30" w:rsidP="00DA42DA">
      <w:pPr>
        <w:jc w:val="both"/>
        <w:rPr>
          <w:rFonts w:ascii="Avenir Next" w:hAnsi="Avenir Next" w:cs="Arial"/>
          <w:color w:val="808080" w:themeColor="background1" w:themeShade="80"/>
          <w:sz w:val="22"/>
          <w:szCs w:val="22"/>
          <w:lang w:val="en-GB"/>
        </w:rPr>
      </w:pPr>
    </w:p>
    <w:p w14:paraId="73326C86" w14:textId="114CB05D" w:rsidR="00FA5F30" w:rsidRDefault="00FA5F3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Even once discussions between States have opened regarding a cross-border insolvency</w:t>
      </w:r>
      <w:r w:rsidR="00972A45">
        <w:rPr>
          <w:rFonts w:ascii="Avenir Next" w:hAnsi="Avenir Next" w:cs="Arial"/>
          <w:color w:val="808080" w:themeColor="background1" w:themeShade="80"/>
          <w:sz w:val="22"/>
          <w:szCs w:val="22"/>
          <w:lang w:val="en-GB"/>
        </w:rPr>
        <w:t xml:space="preserve">, it can be difficult to reconcile each State's differing approaches to insolvency procedures. </w:t>
      </w:r>
    </w:p>
    <w:p w14:paraId="2DAADA8D" w14:textId="77777777" w:rsidR="00EA728F" w:rsidRDefault="00EA728F" w:rsidP="00DA42DA">
      <w:pPr>
        <w:jc w:val="both"/>
        <w:rPr>
          <w:rFonts w:ascii="Avenir Next" w:hAnsi="Avenir Next" w:cs="Arial"/>
          <w:color w:val="808080" w:themeColor="background1" w:themeShade="80"/>
          <w:sz w:val="22"/>
          <w:szCs w:val="22"/>
          <w:lang w:val="en-GB"/>
        </w:rPr>
      </w:pPr>
    </w:p>
    <w:p w14:paraId="230BCFA7" w14:textId="246F78CF" w:rsidR="00EA728F" w:rsidRDefault="00EA728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cultural (and other) reasons, some States may be seen as pro-creditor systems and some States may be seen as pro-debtor systems. Some States may even prioritise </w:t>
      </w:r>
      <w:r w:rsidR="00826F0E">
        <w:rPr>
          <w:rFonts w:ascii="Avenir Next" w:hAnsi="Avenir Next" w:cs="Arial"/>
          <w:color w:val="808080" w:themeColor="background1" w:themeShade="80"/>
          <w:sz w:val="22"/>
          <w:szCs w:val="22"/>
          <w:lang w:val="en-GB"/>
        </w:rPr>
        <w:t xml:space="preserve">other interests, such as the importance of labour right in France. </w:t>
      </w:r>
      <w:proofErr w:type="gramStart"/>
      <w:r w:rsidR="0056097B">
        <w:rPr>
          <w:rFonts w:ascii="Avenir Next" w:hAnsi="Avenir Next" w:cs="Arial"/>
          <w:color w:val="808080" w:themeColor="background1" w:themeShade="80"/>
          <w:sz w:val="22"/>
          <w:szCs w:val="22"/>
          <w:lang w:val="en-GB"/>
        </w:rPr>
        <w:t>All of</w:t>
      </w:r>
      <w:proofErr w:type="gramEnd"/>
      <w:r w:rsidR="0056097B">
        <w:rPr>
          <w:rFonts w:ascii="Avenir Next" w:hAnsi="Avenir Next" w:cs="Arial"/>
          <w:color w:val="808080" w:themeColor="background1" w:themeShade="80"/>
          <w:sz w:val="22"/>
          <w:szCs w:val="22"/>
          <w:lang w:val="en-GB"/>
        </w:rPr>
        <w:t xml:space="preserve"> these collectively will result in competing interests between States when handling insolvency proceedings. </w:t>
      </w:r>
    </w:p>
    <w:p w14:paraId="6C6A93D9" w14:textId="77777777" w:rsidR="006F3B91" w:rsidRDefault="006F3B91" w:rsidP="00DA42DA">
      <w:pPr>
        <w:jc w:val="both"/>
        <w:rPr>
          <w:rFonts w:ascii="Avenir Next" w:hAnsi="Avenir Next" w:cs="Arial"/>
          <w:color w:val="808080" w:themeColor="background1" w:themeShade="80"/>
          <w:sz w:val="22"/>
          <w:szCs w:val="22"/>
          <w:lang w:val="en-GB"/>
        </w:rPr>
      </w:pPr>
    </w:p>
    <w:p w14:paraId="368C904F" w14:textId="42A242A2" w:rsidR="001F3394" w:rsidRDefault="001F339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Even aside from the differing approaches, it can be difficult for States to agree from the beginning </w:t>
      </w:r>
      <w:r w:rsidR="0056097B">
        <w:rPr>
          <w:rFonts w:ascii="Avenir Next" w:hAnsi="Avenir Next" w:cs="Arial"/>
          <w:color w:val="808080" w:themeColor="background1" w:themeShade="80"/>
          <w:sz w:val="22"/>
          <w:szCs w:val="22"/>
          <w:lang w:val="en-GB"/>
        </w:rPr>
        <w:t xml:space="preserve">where the insolvency proceedings should be exclusively opened. This in turn may create uncertainty in the domestic markers and may leave the entire process predisposed to exploitation. </w:t>
      </w:r>
    </w:p>
    <w:p w14:paraId="26990ECF" w14:textId="77777777" w:rsidR="001F3394" w:rsidRDefault="001F3394" w:rsidP="00DA42DA">
      <w:pPr>
        <w:jc w:val="both"/>
        <w:rPr>
          <w:rFonts w:ascii="Avenir Next" w:hAnsi="Avenir Next" w:cs="Arial"/>
          <w:color w:val="808080" w:themeColor="background1" w:themeShade="80"/>
          <w:sz w:val="22"/>
          <w:szCs w:val="22"/>
          <w:lang w:val="en-GB"/>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766960C9" w:rsidR="006A44B2" w:rsidRDefault="0007749E"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context of international insolvency, "hard law" are binding laws that seek to regulate international insolvencies, whereas "soft law" </w:t>
      </w:r>
      <w:proofErr w:type="gramStart"/>
      <w:r>
        <w:rPr>
          <w:rFonts w:ascii="Avenir Next" w:hAnsi="Avenir Next" w:cs="Arial"/>
          <w:color w:val="808080" w:themeColor="background1" w:themeShade="80"/>
          <w:sz w:val="22"/>
          <w:szCs w:val="22"/>
          <w:lang w:val="en-GB"/>
        </w:rPr>
        <w:t>are</w:t>
      </w:r>
      <w:proofErr w:type="gramEnd"/>
      <w:r>
        <w:rPr>
          <w:rFonts w:ascii="Avenir Next" w:hAnsi="Avenir Next" w:cs="Arial"/>
          <w:color w:val="808080" w:themeColor="background1" w:themeShade="80"/>
          <w:sz w:val="22"/>
          <w:szCs w:val="22"/>
          <w:lang w:val="en-GB"/>
        </w:rPr>
        <w:t xml:space="preserve"> merely influential over regulations.</w:t>
      </w:r>
    </w:p>
    <w:p w14:paraId="79250FD7" w14:textId="77777777" w:rsidR="0007749E" w:rsidRDefault="0007749E" w:rsidP="006A44B2">
      <w:pPr>
        <w:jc w:val="both"/>
        <w:rPr>
          <w:rFonts w:ascii="Avenir Next" w:hAnsi="Avenir Next" w:cs="Arial"/>
          <w:color w:val="808080" w:themeColor="background1" w:themeShade="80"/>
          <w:sz w:val="22"/>
          <w:szCs w:val="22"/>
          <w:lang w:val="en-GB"/>
        </w:rPr>
      </w:pPr>
    </w:p>
    <w:p w14:paraId="596CA531" w14:textId="40C6CBE7" w:rsidR="0007749E" w:rsidRDefault="0007749E"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and conventions may be </w:t>
      </w:r>
      <w:r w:rsidR="00B6669A">
        <w:rPr>
          <w:rFonts w:ascii="Avenir Next" w:hAnsi="Avenir Next" w:cs="Arial"/>
          <w:color w:val="808080" w:themeColor="background1" w:themeShade="80"/>
          <w:sz w:val="22"/>
          <w:szCs w:val="22"/>
          <w:lang w:val="en-GB"/>
        </w:rPr>
        <w:t xml:space="preserve">adopted by States when the States become signatories. This in turn has the effect of the treaties and conventions forming part of the State's "hard law" on insolvency. </w:t>
      </w:r>
    </w:p>
    <w:p w14:paraId="4A05D03A" w14:textId="77777777" w:rsidR="003B2A3B" w:rsidRDefault="003B2A3B" w:rsidP="006A44B2">
      <w:pPr>
        <w:jc w:val="both"/>
        <w:rPr>
          <w:rFonts w:ascii="Avenir Next" w:hAnsi="Avenir Next" w:cs="Arial"/>
          <w:color w:val="808080" w:themeColor="background1" w:themeShade="80"/>
          <w:sz w:val="22"/>
          <w:szCs w:val="22"/>
          <w:lang w:val="en-GB"/>
        </w:rPr>
      </w:pPr>
    </w:p>
    <w:p w14:paraId="3E2EE7DA" w14:textId="2353B835" w:rsidR="003B2A3B" w:rsidRDefault="003B2A3B"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European Insolvency Regulation is an example of a very successful piece of hard law in the context of international insolvency. </w:t>
      </w:r>
      <w:r w:rsidR="00033A6D">
        <w:rPr>
          <w:rFonts w:ascii="Avenir Next" w:hAnsi="Avenir Next" w:cs="Arial"/>
          <w:color w:val="808080" w:themeColor="background1" w:themeShade="80"/>
          <w:sz w:val="22"/>
          <w:szCs w:val="22"/>
          <w:lang w:val="en-GB"/>
        </w:rPr>
        <w:t xml:space="preserve">It has been amended on </w:t>
      </w:r>
      <w:proofErr w:type="gramStart"/>
      <w:r w:rsidR="00033A6D">
        <w:rPr>
          <w:rFonts w:ascii="Avenir Next" w:hAnsi="Avenir Next" w:cs="Arial"/>
          <w:color w:val="808080" w:themeColor="background1" w:themeShade="80"/>
          <w:sz w:val="22"/>
          <w:szCs w:val="22"/>
          <w:lang w:val="en-GB"/>
        </w:rPr>
        <w:t>a number of</w:t>
      </w:r>
      <w:proofErr w:type="gramEnd"/>
      <w:r w:rsidR="00033A6D">
        <w:rPr>
          <w:rFonts w:ascii="Avenir Next" w:hAnsi="Avenir Next" w:cs="Arial"/>
          <w:color w:val="808080" w:themeColor="background1" w:themeShade="80"/>
          <w:sz w:val="22"/>
          <w:szCs w:val="22"/>
          <w:lang w:val="en-GB"/>
        </w:rPr>
        <w:t xml:space="preserve"> occasions which means that it is constantly being improved. The European Insolvency Regulation has influenced the drafting of many other multilateral developments in the context of international insolvency law. </w:t>
      </w:r>
    </w:p>
    <w:p w14:paraId="6C0B876B" w14:textId="3AA9869C" w:rsidR="00033A6D" w:rsidRDefault="00033A6D" w:rsidP="006A44B2">
      <w:pPr>
        <w:jc w:val="both"/>
        <w:rPr>
          <w:rFonts w:ascii="Avenir Next" w:hAnsi="Avenir Next" w:cs="Arial"/>
          <w:color w:val="808080" w:themeColor="background1" w:themeShade="80"/>
          <w:sz w:val="22"/>
          <w:szCs w:val="22"/>
          <w:lang w:val="en-GB"/>
        </w:rPr>
      </w:pPr>
    </w:p>
    <w:p w14:paraId="6A788EF5" w14:textId="3DA6F0C3" w:rsidR="006D7473" w:rsidRDefault="006D7473"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l</w:t>
      </w:r>
      <w:r>
        <w:rPr>
          <w:rFonts w:ascii="Avenir Next" w:hAnsi="Avenir Next" w:cs="Arial"/>
          <w:color w:val="808080" w:themeColor="background1" w:themeShade="80"/>
          <w:sz w:val="22"/>
          <w:szCs w:val="22"/>
          <w:lang w:val="en-GB"/>
        </w:rPr>
        <w:t>ess successful example of "hard law" would be the Convention on Certain International Aspects of Bankruptcy (known as the Istanbul Convention), drafted by the Council of Europe in 1990. I</w:t>
      </w:r>
      <w:r>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was not ratified by enough States for it to even enter into force. </w:t>
      </w:r>
    </w:p>
    <w:p w14:paraId="6D90B8EF" w14:textId="77777777" w:rsidR="006D7473" w:rsidRDefault="006D7473" w:rsidP="006A44B2">
      <w:pPr>
        <w:jc w:val="both"/>
        <w:rPr>
          <w:rFonts w:ascii="Avenir Next" w:hAnsi="Avenir Next" w:cs="Arial"/>
          <w:color w:val="808080" w:themeColor="background1" w:themeShade="80"/>
          <w:sz w:val="22"/>
          <w:szCs w:val="22"/>
          <w:lang w:val="en-GB"/>
        </w:rPr>
      </w:pPr>
    </w:p>
    <w:p w14:paraId="06A075C7" w14:textId="778C642E" w:rsidR="00574FED" w:rsidRDefault="00574FED"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terms of successes with "soft law", in the 1990s UNCITRAL developed a Model Law on Cross-border Insolvency. The reason why this </w:t>
      </w:r>
      <w:proofErr w:type="gramStart"/>
      <w:r>
        <w:rPr>
          <w:rFonts w:ascii="Avenir Next" w:hAnsi="Avenir Next" w:cs="Arial"/>
          <w:color w:val="808080" w:themeColor="background1" w:themeShade="80"/>
          <w:sz w:val="22"/>
          <w:szCs w:val="22"/>
          <w:lang w:val="en-GB"/>
        </w:rPr>
        <w:t>particular initiative</w:t>
      </w:r>
      <w:proofErr w:type="gramEnd"/>
      <w:r>
        <w:rPr>
          <w:rFonts w:ascii="Avenir Next" w:hAnsi="Avenir Next" w:cs="Arial"/>
          <w:color w:val="808080" w:themeColor="background1" w:themeShade="80"/>
          <w:sz w:val="22"/>
          <w:szCs w:val="22"/>
          <w:lang w:val="en-GB"/>
        </w:rPr>
        <w:t xml:space="preserve"> has been so successful is because </w:t>
      </w:r>
      <w:r w:rsidR="00817622">
        <w:rPr>
          <w:rFonts w:ascii="Avenir Next" w:hAnsi="Avenir Next" w:cs="Arial"/>
          <w:color w:val="808080" w:themeColor="background1" w:themeShade="80"/>
          <w:sz w:val="22"/>
          <w:szCs w:val="22"/>
          <w:lang w:val="en-GB"/>
        </w:rPr>
        <w:t xml:space="preserve">UNCITRAL provided a form of draft legislation that it recommended member States to adopt when reforming their own insolvency laws. The member States could adopt the draft legislation either with or without amendments. </w:t>
      </w:r>
      <w:r w:rsidR="006D7473">
        <w:rPr>
          <w:rFonts w:ascii="Avenir Next" w:hAnsi="Avenir Next" w:cs="Arial"/>
          <w:color w:val="808080" w:themeColor="background1" w:themeShade="80"/>
          <w:sz w:val="22"/>
          <w:szCs w:val="22"/>
          <w:lang w:val="en-GB"/>
        </w:rPr>
        <w:t xml:space="preserve">The Model Law has been gaining serious momentum in recent years which is evident from the sheer volume of States who have now adopted it. </w:t>
      </w:r>
    </w:p>
    <w:p w14:paraId="036A451B" w14:textId="77777777" w:rsidR="006D7473" w:rsidRDefault="006D7473" w:rsidP="006A44B2">
      <w:pPr>
        <w:jc w:val="both"/>
        <w:rPr>
          <w:rFonts w:ascii="Avenir Next" w:hAnsi="Avenir Next" w:cs="Arial"/>
          <w:color w:val="808080" w:themeColor="background1" w:themeShade="80"/>
          <w:sz w:val="22"/>
          <w:szCs w:val="22"/>
          <w:lang w:val="en-GB"/>
        </w:rPr>
      </w:pPr>
    </w:p>
    <w:p w14:paraId="337A4250" w14:textId="77777777" w:rsidR="00C952A2" w:rsidRDefault="00C952A2" w:rsidP="00692852">
      <w:pPr>
        <w:jc w:val="both"/>
        <w:rPr>
          <w:rFonts w:ascii="Avenir Next" w:hAnsi="Avenir Next" w:cs="Arial"/>
          <w:color w:val="808080" w:themeColor="background1" w:themeShade="80"/>
          <w:sz w:val="22"/>
          <w:szCs w:val="22"/>
          <w:lang w:val="en-GB"/>
        </w:rPr>
      </w:pPr>
    </w:p>
    <w:p w14:paraId="416C881E" w14:textId="77777777" w:rsidR="0007749E" w:rsidRPr="004216EA" w:rsidRDefault="0007749E"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5ECC7E41"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5B5C305D" w14:textId="599ECDC0" w:rsidR="00226F7B" w:rsidRDefault="00226F7B"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piece of insolvency legislation in England is the Insolvency Act 1986. The Insolvency Act 2000 and the Enterprise Act 2002 amended parts of the Insolvency Act 1986 and so should also be considered. </w:t>
      </w:r>
    </w:p>
    <w:p w14:paraId="0B5060BA" w14:textId="77777777" w:rsidR="00226F7B" w:rsidRDefault="00226F7B" w:rsidP="00DB5A5A">
      <w:pPr>
        <w:jc w:val="both"/>
        <w:rPr>
          <w:rFonts w:ascii="Avenir Next" w:hAnsi="Avenir Next" w:cs="Arial"/>
          <w:color w:val="808080" w:themeColor="background1" w:themeShade="80"/>
          <w:sz w:val="22"/>
          <w:szCs w:val="22"/>
          <w:lang w:val="en-GB"/>
        </w:rPr>
      </w:pPr>
    </w:p>
    <w:p w14:paraId="4184BAFC" w14:textId="7AB84C34" w:rsidR="002253D8" w:rsidRDefault="002A2EA6"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 know from the information </w:t>
      </w:r>
      <w:proofErr w:type="gramStart"/>
      <w:r>
        <w:rPr>
          <w:rFonts w:ascii="Avenir Next" w:hAnsi="Avenir Next" w:cs="Arial"/>
          <w:color w:val="808080" w:themeColor="background1" w:themeShade="80"/>
          <w:sz w:val="22"/>
          <w:szCs w:val="22"/>
          <w:lang w:val="en-GB"/>
        </w:rPr>
        <w:t>provided that</w:t>
      </w:r>
      <w:proofErr w:type="gramEnd"/>
      <w:r>
        <w:rPr>
          <w:rFonts w:ascii="Avenir Next" w:hAnsi="Avenir Next" w:cs="Arial"/>
          <w:color w:val="808080" w:themeColor="background1" w:themeShade="80"/>
          <w:sz w:val="22"/>
          <w:szCs w:val="22"/>
          <w:lang w:val="en-GB"/>
        </w:rPr>
        <w:t xml:space="preserve"> Norton Cars Inc moved its COMI to Italy once England left the EU. Therefore, on these facts, we know that at the point in time at which we are advising, England was still a member of the European Union. </w:t>
      </w:r>
      <w:r w:rsidR="009909C8">
        <w:rPr>
          <w:rFonts w:ascii="Avenir Next" w:hAnsi="Avenir Next" w:cs="Arial"/>
          <w:color w:val="808080" w:themeColor="background1" w:themeShade="80"/>
          <w:sz w:val="22"/>
          <w:szCs w:val="22"/>
          <w:lang w:val="en-GB"/>
        </w:rPr>
        <w:t xml:space="preserve"> For the period when England was a member of the EU, the EU Insolvency Regulation applied to cross-border insolvency matters between the UK and other EU member states. However, Norton Cars Inc has filed for liquidation in terms of American law, so the EU Insolvency Regulation will only be applicable insofar as there are aspects that might affect other EU states as well as England (for example, the assets / cars may </w:t>
      </w:r>
      <w:proofErr w:type="gramStart"/>
      <w:r w:rsidR="009909C8">
        <w:rPr>
          <w:rFonts w:ascii="Avenir Next" w:hAnsi="Avenir Next" w:cs="Arial"/>
          <w:color w:val="808080" w:themeColor="background1" w:themeShade="80"/>
          <w:sz w:val="22"/>
          <w:szCs w:val="22"/>
          <w:lang w:val="en-GB"/>
        </w:rPr>
        <w:t>be located in</w:t>
      </w:r>
      <w:proofErr w:type="gramEnd"/>
      <w:r w:rsidR="009909C8">
        <w:rPr>
          <w:rFonts w:ascii="Avenir Next" w:hAnsi="Avenir Next" w:cs="Arial"/>
          <w:color w:val="808080" w:themeColor="background1" w:themeShade="80"/>
          <w:sz w:val="22"/>
          <w:szCs w:val="22"/>
          <w:lang w:val="en-GB"/>
        </w:rPr>
        <w:t xml:space="preserve"> England, but might </w:t>
      </w:r>
      <w:r w:rsidR="00226F7B">
        <w:rPr>
          <w:rFonts w:ascii="Avenir Next" w:hAnsi="Avenir Next" w:cs="Arial"/>
          <w:color w:val="808080" w:themeColor="background1" w:themeShade="80"/>
          <w:sz w:val="22"/>
          <w:szCs w:val="22"/>
          <w:lang w:val="en-GB"/>
        </w:rPr>
        <w:t xml:space="preserve">have finance owed on the asset that is governed by the law of another EU state). </w:t>
      </w:r>
    </w:p>
    <w:p w14:paraId="52CB91FB" w14:textId="77777777" w:rsidR="00226F7B" w:rsidRDefault="00226F7B" w:rsidP="00DB5A5A">
      <w:pPr>
        <w:jc w:val="both"/>
        <w:rPr>
          <w:rFonts w:ascii="Avenir Next" w:hAnsi="Avenir Next" w:cs="Arial"/>
          <w:color w:val="808080" w:themeColor="background1" w:themeShade="80"/>
          <w:sz w:val="22"/>
          <w:szCs w:val="22"/>
          <w:lang w:val="en-GB"/>
        </w:rPr>
      </w:pPr>
    </w:p>
    <w:p w14:paraId="75EEA057" w14:textId="5C6F17C9" w:rsidR="00226F7B" w:rsidRDefault="00226F7B"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2006, England and Wales adopted the UNCITRAL Model Law on Cross-Border Insolvency as part of its cross-border insolvency legislation so this will be the main piece of legislation that should be considered. Section 426 </w:t>
      </w:r>
      <w:r w:rsidR="009D1142">
        <w:rPr>
          <w:rFonts w:ascii="Avenir Next" w:hAnsi="Avenir Next" w:cs="Arial"/>
          <w:color w:val="808080" w:themeColor="background1" w:themeShade="80"/>
          <w:sz w:val="22"/>
          <w:szCs w:val="22"/>
          <w:lang w:val="en-GB"/>
        </w:rPr>
        <w:t xml:space="preserve">of the Insolvency Act 1986 is the key </w:t>
      </w:r>
      <w:proofErr w:type="gramStart"/>
      <w:r w:rsidR="009D1142">
        <w:rPr>
          <w:rFonts w:ascii="Avenir Next" w:hAnsi="Avenir Next" w:cs="Arial"/>
          <w:color w:val="808080" w:themeColor="background1" w:themeShade="80"/>
          <w:sz w:val="22"/>
          <w:szCs w:val="22"/>
          <w:lang w:val="en-GB"/>
        </w:rPr>
        <w:t>section</w:t>
      </w:r>
      <w:proofErr w:type="gramEnd"/>
      <w:r w:rsidR="009D1142">
        <w:rPr>
          <w:rFonts w:ascii="Avenir Next" w:hAnsi="Avenir Next" w:cs="Arial"/>
          <w:color w:val="808080" w:themeColor="background1" w:themeShade="80"/>
          <w:sz w:val="22"/>
          <w:szCs w:val="22"/>
          <w:lang w:val="en-GB"/>
        </w:rPr>
        <w:t xml:space="preserve"> and it applies to co-operation with the US as the US is one of the "relevant" countries listed.</w:t>
      </w:r>
    </w:p>
    <w:p w14:paraId="4127B622" w14:textId="77777777" w:rsidR="002A2EA6" w:rsidRDefault="002A2EA6" w:rsidP="00DB5A5A">
      <w:pPr>
        <w:jc w:val="both"/>
        <w:rPr>
          <w:rFonts w:ascii="Avenir Next" w:hAnsi="Avenir Next" w:cs="Arial"/>
          <w:color w:val="808080" w:themeColor="background1" w:themeShade="80"/>
          <w:sz w:val="22"/>
          <w:szCs w:val="22"/>
          <w:lang w:val="en-GB"/>
        </w:rPr>
      </w:pPr>
    </w:p>
    <w:p w14:paraId="75E78F15" w14:textId="0A172275"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13B009F6" w:rsidR="002253D8" w:rsidRDefault="00740C2D"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applicable law here is the European Insolvency Regulation, as both Italy and Germany are members of the EU. </w:t>
      </w:r>
      <w:r w:rsidR="002F6DD3">
        <w:rPr>
          <w:rFonts w:ascii="Avenir Next" w:hAnsi="Avenir Next" w:cs="Arial"/>
          <w:color w:val="808080" w:themeColor="background1" w:themeShade="80"/>
          <w:sz w:val="22"/>
          <w:szCs w:val="22"/>
          <w:lang w:val="en-GB"/>
        </w:rPr>
        <w:t>The European Insolvency Regulation was amended in 2015 and these amendments took effect in 2017. There were some further but more minor amendments recently in 2021which became effective for both Italy and Germany.</w:t>
      </w:r>
    </w:p>
    <w:p w14:paraId="7E1686D9" w14:textId="77777777" w:rsidR="002F6DD3" w:rsidRDefault="002F6DD3" w:rsidP="002253D8">
      <w:pPr>
        <w:jc w:val="both"/>
        <w:rPr>
          <w:rFonts w:ascii="Avenir Next" w:hAnsi="Avenir Next" w:cs="Arial"/>
          <w:color w:val="808080" w:themeColor="background1" w:themeShade="80"/>
          <w:sz w:val="22"/>
          <w:szCs w:val="22"/>
          <w:lang w:val="en-GB"/>
        </w:rPr>
      </w:pPr>
    </w:p>
    <w:p w14:paraId="56269B1F" w14:textId="507CC760" w:rsidR="002F6DD3" w:rsidRDefault="002F6DD3"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most significant feature of the EIR is in relation to jurisdiction. The EIR provides that the State that should have jurisdiction over the </w:t>
      </w:r>
      <w:r w:rsidR="003817A6">
        <w:rPr>
          <w:rFonts w:ascii="Avenir Next" w:hAnsi="Avenir Next" w:cs="Arial"/>
          <w:color w:val="808080" w:themeColor="background1" w:themeShade="80"/>
          <w:sz w:val="22"/>
          <w:szCs w:val="22"/>
          <w:lang w:val="en-GB"/>
        </w:rPr>
        <w:t xml:space="preserve">primary set of insolvency proceedings is the State within which the debtor's "centre of main interests" or COMI is located. The EIR allows for secondary proceedings if the debtor has an "establishment". The EIR defines an establishment as "any place of operations…where the debtor carries out a non-transitory economic activity with human means and assets." </w:t>
      </w:r>
    </w:p>
    <w:p w14:paraId="30474DDA" w14:textId="77777777" w:rsidR="00A44A94" w:rsidRDefault="00A44A94" w:rsidP="002253D8">
      <w:pPr>
        <w:jc w:val="both"/>
        <w:rPr>
          <w:rFonts w:ascii="Avenir Next" w:hAnsi="Avenir Next" w:cs="Arial"/>
          <w:color w:val="808080" w:themeColor="background1" w:themeShade="80"/>
          <w:sz w:val="22"/>
          <w:szCs w:val="22"/>
          <w:lang w:val="en-GB"/>
        </w:rPr>
      </w:pPr>
    </w:p>
    <w:p w14:paraId="3BFEA75F" w14:textId="008F06F6" w:rsidR="00A44A94" w:rsidRPr="00DA42DA" w:rsidRDefault="00A44A94"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as we are told that Norton Cars Inc shifted its COMI to Italy, it is Italy that should host the main insolvency proceedings under the EIR. Secondary proceedings may be opened in Germany as we know from the facts that Norton Cars Inc's main operations transpired in Germany, which would satisfy the definition of establishment under the EIR for the purpose of hosting subsidiary insolvency proceedings.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2DF33699" w:rsidR="002253D8" w:rsidRPr="002253D8" w:rsidRDefault="00A44A94"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the EU (Recast) Insolvency Regulation is only applicable to member States of the EU and none of India, South Africa or Australia are member states of the EU.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lastRenderedPageBreak/>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546E0CDB" w:rsidR="002253D8" w:rsidRPr="00DA42DA" w:rsidRDefault="00006744" w:rsidP="002253D8">
      <w:pPr>
        <w:ind w:firstLine="426"/>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With regard to</w:t>
      </w:r>
      <w:proofErr w:type="gramEnd"/>
      <w:r>
        <w:rPr>
          <w:rFonts w:ascii="Avenir Next" w:hAnsi="Avenir Next" w:cs="Arial"/>
          <w:color w:val="808080" w:themeColor="background1" w:themeShade="80"/>
          <w:sz w:val="22"/>
          <w:szCs w:val="22"/>
          <w:lang w:val="en-GB"/>
        </w:rPr>
        <w:t xml:space="preserve"> the real rights of security situated in the Netherlands, this is a cross-border insolvency involving Italy and the Netherlands. Both the Netherlands and Italy are members of the EU and so it is the European Insolvency (recast) Regulation that is applicable here. </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55362108" w:rsidR="002253D8" w:rsidRPr="00DA42DA" w:rsidRDefault="006D6F53"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has adopted the UNCITRAL Model Law on Cross-Border </w:t>
      </w:r>
      <w:proofErr w:type="gramStart"/>
      <w:r>
        <w:rPr>
          <w:rFonts w:ascii="Avenir Next" w:hAnsi="Avenir Next" w:cs="Arial"/>
          <w:color w:val="808080" w:themeColor="background1" w:themeShade="80"/>
          <w:sz w:val="22"/>
          <w:szCs w:val="22"/>
          <w:lang w:val="en-GB"/>
        </w:rPr>
        <w:t>Insolvency</w:t>
      </w:r>
      <w:proofErr w:type="gramEnd"/>
      <w:r>
        <w:rPr>
          <w:rFonts w:ascii="Avenir Next" w:hAnsi="Avenir Next" w:cs="Arial"/>
          <w:color w:val="808080" w:themeColor="background1" w:themeShade="80"/>
          <w:sz w:val="22"/>
          <w:szCs w:val="22"/>
          <w:lang w:val="en-GB"/>
        </w:rPr>
        <w:t xml:space="preserve"> and this will be the applicable law regarding the real rights of security situated there.</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853A" w14:textId="77777777" w:rsidR="007A287A" w:rsidRDefault="007A287A" w:rsidP="00241B44">
      <w:r>
        <w:separator/>
      </w:r>
    </w:p>
  </w:endnote>
  <w:endnote w:type="continuationSeparator" w:id="0">
    <w:p w14:paraId="214D8CCD" w14:textId="77777777" w:rsidR="007A287A" w:rsidRDefault="007A287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9CB5771" w:rsidR="00B64A85" w:rsidRPr="00297BDF" w:rsidRDefault="006F4A6D" w:rsidP="0052732A">
    <w:pPr>
      <w:pStyle w:val="Footer"/>
      <w:ind w:right="360"/>
      <w:rPr>
        <w:rFonts w:ascii="Avenir Next" w:hAnsi="Avenir Next" w:cs="Arial"/>
        <w:sz w:val="22"/>
        <w:szCs w:val="22"/>
      </w:rPr>
    </w:pPr>
    <w:r>
      <w:rPr>
        <w:rFonts w:ascii="Avenir Next" w:hAnsi="Avenir Next" w:cs="Arial"/>
        <w:sz w:val="22"/>
        <w:szCs w:val="22"/>
      </w:rPr>
      <w:t>FC202324</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5721" w14:textId="77777777" w:rsidR="007A287A" w:rsidRDefault="007A287A" w:rsidP="00241B44">
      <w:r>
        <w:separator/>
      </w:r>
    </w:p>
  </w:footnote>
  <w:footnote w:type="continuationSeparator" w:id="0">
    <w:p w14:paraId="7D8C0556" w14:textId="77777777" w:rsidR="007A287A" w:rsidRDefault="007A287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280A"/>
    <w:rsid w:val="00003D8F"/>
    <w:rsid w:val="0000420A"/>
    <w:rsid w:val="00004AE7"/>
    <w:rsid w:val="00006744"/>
    <w:rsid w:val="00010BA0"/>
    <w:rsid w:val="00015DEC"/>
    <w:rsid w:val="00015EE6"/>
    <w:rsid w:val="00020557"/>
    <w:rsid w:val="0002322B"/>
    <w:rsid w:val="000250C7"/>
    <w:rsid w:val="00025C83"/>
    <w:rsid w:val="00031918"/>
    <w:rsid w:val="000329A6"/>
    <w:rsid w:val="00033A6D"/>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3323"/>
    <w:rsid w:val="000649D1"/>
    <w:rsid w:val="00064C44"/>
    <w:rsid w:val="00065166"/>
    <w:rsid w:val="00066AE7"/>
    <w:rsid w:val="0007091D"/>
    <w:rsid w:val="00076483"/>
    <w:rsid w:val="0007749E"/>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0617"/>
    <w:rsid w:val="000B5B93"/>
    <w:rsid w:val="000B5FF1"/>
    <w:rsid w:val="000B609F"/>
    <w:rsid w:val="000B6B56"/>
    <w:rsid w:val="000C269A"/>
    <w:rsid w:val="000D0C9F"/>
    <w:rsid w:val="000D55A8"/>
    <w:rsid w:val="000D57BE"/>
    <w:rsid w:val="000D5C49"/>
    <w:rsid w:val="000D6876"/>
    <w:rsid w:val="000E0165"/>
    <w:rsid w:val="000E3A82"/>
    <w:rsid w:val="000E3C5A"/>
    <w:rsid w:val="000E406D"/>
    <w:rsid w:val="000E4841"/>
    <w:rsid w:val="000E5CB4"/>
    <w:rsid w:val="000F0DC0"/>
    <w:rsid w:val="000F0FFF"/>
    <w:rsid w:val="000F1677"/>
    <w:rsid w:val="000F3387"/>
    <w:rsid w:val="000F3B89"/>
    <w:rsid w:val="000F3D6C"/>
    <w:rsid w:val="000F58B0"/>
    <w:rsid w:val="000F6EBA"/>
    <w:rsid w:val="00100A77"/>
    <w:rsid w:val="00101707"/>
    <w:rsid w:val="00102F47"/>
    <w:rsid w:val="00105CB9"/>
    <w:rsid w:val="00105CBD"/>
    <w:rsid w:val="001107F2"/>
    <w:rsid w:val="00110E0C"/>
    <w:rsid w:val="001131C6"/>
    <w:rsid w:val="0011473D"/>
    <w:rsid w:val="00115899"/>
    <w:rsid w:val="00115C85"/>
    <w:rsid w:val="001174E6"/>
    <w:rsid w:val="00120B4D"/>
    <w:rsid w:val="001211E6"/>
    <w:rsid w:val="0012303D"/>
    <w:rsid w:val="00123855"/>
    <w:rsid w:val="00124B70"/>
    <w:rsid w:val="00125A7C"/>
    <w:rsid w:val="00126A4D"/>
    <w:rsid w:val="00126D4C"/>
    <w:rsid w:val="00131D42"/>
    <w:rsid w:val="0013278B"/>
    <w:rsid w:val="00135FFC"/>
    <w:rsid w:val="00136505"/>
    <w:rsid w:val="00136E7E"/>
    <w:rsid w:val="00137FDC"/>
    <w:rsid w:val="0014171F"/>
    <w:rsid w:val="00142E15"/>
    <w:rsid w:val="00143A0C"/>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1C79"/>
    <w:rsid w:val="001D4862"/>
    <w:rsid w:val="001D632F"/>
    <w:rsid w:val="001D7EF2"/>
    <w:rsid w:val="001E1FB4"/>
    <w:rsid w:val="001E23FD"/>
    <w:rsid w:val="001E25B9"/>
    <w:rsid w:val="001E392F"/>
    <w:rsid w:val="001E4732"/>
    <w:rsid w:val="001E49E0"/>
    <w:rsid w:val="001E7B5A"/>
    <w:rsid w:val="001F0BCF"/>
    <w:rsid w:val="001F1478"/>
    <w:rsid w:val="001F2AF5"/>
    <w:rsid w:val="001F3394"/>
    <w:rsid w:val="001F5204"/>
    <w:rsid w:val="001F603D"/>
    <w:rsid w:val="001F7412"/>
    <w:rsid w:val="001F7C77"/>
    <w:rsid w:val="00201386"/>
    <w:rsid w:val="00202C2B"/>
    <w:rsid w:val="00205651"/>
    <w:rsid w:val="00205B31"/>
    <w:rsid w:val="0020725B"/>
    <w:rsid w:val="0020730B"/>
    <w:rsid w:val="00212B14"/>
    <w:rsid w:val="00216499"/>
    <w:rsid w:val="002164C0"/>
    <w:rsid w:val="00216CB4"/>
    <w:rsid w:val="002173C5"/>
    <w:rsid w:val="00223780"/>
    <w:rsid w:val="002253D8"/>
    <w:rsid w:val="00226F7B"/>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5277"/>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2EA6"/>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6DD3"/>
    <w:rsid w:val="002F75A3"/>
    <w:rsid w:val="002F75CD"/>
    <w:rsid w:val="002F7EB5"/>
    <w:rsid w:val="0030201F"/>
    <w:rsid w:val="003021F0"/>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D77"/>
    <w:rsid w:val="00342E57"/>
    <w:rsid w:val="003500E5"/>
    <w:rsid w:val="00355B57"/>
    <w:rsid w:val="00361A0A"/>
    <w:rsid w:val="00361DF9"/>
    <w:rsid w:val="00363D71"/>
    <w:rsid w:val="0036565C"/>
    <w:rsid w:val="0036625E"/>
    <w:rsid w:val="00367162"/>
    <w:rsid w:val="00372CD4"/>
    <w:rsid w:val="003735E6"/>
    <w:rsid w:val="0037386C"/>
    <w:rsid w:val="0037465A"/>
    <w:rsid w:val="003817A6"/>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2A3B"/>
    <w:rsid w:val="003B3A0D"/>
    <w:rsid w:val="003B3C5F"/>
    <w:rsid w:val="003C1451"/>
    <w:rsid w:val="003C2017"/>
    <w:rsid w:val="003C4471"/>
    <w:rsid w:val="003C473E"/>
    <w:rsid w:val="003C5DD8"/>
    <w:rsid w:val="003D0A6D"/>
    <w:rsid w:val="003D100A"/>
    <w:rsid w:val="003D2432"/>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6061"/>
    <w:rsid w:val="004174FA"/>
    <w:rsid w:val="0042108F"/>
    <w:rsid w:val="004214D4"/>
    <w:rsid w:val="004216EA"/>
    <w:rsid w:val="004235F4"/>
    <w:rsid w:val="00425E05"/>
    <w:rsid w:val="00426969"/>
    <w:rsid w:val="00426B64"/>
    <w:rsid w:val="00430FED"/>
    <w:rsid w:val="00434A8C"/>
    <w:rsid w:val="00437297"/>
    <w:rsid w:val="00437ABE"/>
    <w:rsid w:val="0044043D"/>
    <w:rsid w:val="00440AC5"/>
    <w:rsid w:val="00440EDD"/>
    <w:rsid w:val="004417C1"/>
    <w:rsid w:val="00444284"/>
    <w:rsid w:val="004442F1"/>
    <w:rsid w:val="004459B7"/>
    <w:rsid w:val="00445CE6"/>
    <w:rsid w:val="00446987"/>
    <w:rsid w:val="004534C2"/>
    <w:rsid w:val="00453967"/>
    <w:rsid w:val="0045446F"/>
    <w:rsid w:val="00454C9D"/>
    <w:rsid w:val="00455D89"/>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725"/>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2D47"/>
    <w:rsid w:val="00504AFA"/>
    <w:rsid w:val="00504E3E"/>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37B9D"/>
    <w:rsid w:val="00540E3A"/>
    <w:rsid w:val="00542E08"/>
    <w:rsid w:val="005433D7"/>
    <w:rsid w:val="00543941"/>
    <w:rsid w:val="00544127"/>
    <w:rsid w:val="005508BB"/>
    <w:rsid w:val="00553EB2"/>
    <w:rsid w:val="00555C4D"/>
    <w:rsid w:val="00560534"/>
    <w:rsid w:val="0056097B"/>
    <w:rsid w:val="0056391B"/>
    <w:rsid w:val="005650E2"/>
    <w:rsid w:val="00566D80"/>
    <w:rsid w:val="00567AD7"/>
    <w:rsid w:val="005716C3"/>
    <w:rsid w:val="00573594"/>
    <w:rsid w:val="00574FED"/>
    <w:rsid w:val="00575B2D"/>
    <w:rsid w:val="0057621B"/>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7A0"/>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051A"/>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1744"/>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36BC5"/>
    <w:rsid w:val="0064043F"/>
    <w:rsid w:val="00641515"/>
    <w:rsid w:val="0064169B"/>
    <w:rsid w:val="00643ABE"/>
    <w:rsid w:val="00646108"/>
    <w:rsid w:val="006514CD"/>
    <w:rsid w:val="00651E87"/>
    <w:rsid w:val="006521CD"/>
    <w:rsid w:val="006524F7"/>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2C90"/>
    <w:rsid w:val="006B37B2"/>
    <w:rsid w:val="006B435A"/>
    <w:rsid w:val="006B4539"/>
    <w:rsid w:val="006B4C64"/>
    <w:rsid w:val="006B5AE8"/>
    <w:rsid w:val="006C5CE2"/>
    <w:rsid w:val="006D0529"/>
    <w:rsid w:val="006D0605"/>
    <w:rsid w:val="006D176A"/>
    <w:rsid w:val="006D564C"/>
    <w:rsid w:val="006D6BD5"/>
    <w:rsid w:val="006D6F53"/>
    <w:rsid w:val="006D7473"/>
    <w:rsid w:val="006E1CB0"/>
    <w:rsid w:val="006E254C"/>
    <w:rsid w:val="006E2974"/>
    <w:rsid w:val="006E481A"/>
    <w:rsid w:val="006E5298"/>
    <w:rsid w:val="006E6A1F"/>
    <w:rsid w:val="006E6A6A"/>
    <w:rsid w:val="006E77B0"/>
    <w:rsid w:val="006F18EB"/>
    <w:rsid w:val="006F2E9B"/>
    <w:rsid w:val="006F3B91"/>
    <w:rsid w:val="006F4A6D"/>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0C2D"/>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1A2A"/>
    <w:rsid w:val="00782B3F"/>
    <w:rsid w:val="00784128"/>
    <w:rsid w:val="007849D8"/>
    <w:rsid w:val="0078662F"/>
    <w:rsid w:val="00790B4C"/>
    <w:rsid w:val="0079206E"/>
    <w:rsid w:val="00792FDE"/>
    <w:rsid w:val="00793173"/>
    <w:rsid w:val="007958F0"/>
    <w:rsid w:val="00797E1B"/>
    <w:rsid w:val="007A12A4"/>
    <w:rsid w:val="007A287A"/>
    <w:rsid w:val="007B1E13"/>
    <w:rsid w:val="007B3B1B"/>
    <w:rsid w:val="007B5180"/>
    <w:rsid w:val="007B5F0B"/>
    <w:rsid w:val="007C0111"/>
    <w:rsid w:val="007C0260"/>
    <w:rsid w:val="007C0663"/>
    <w:rsid w:val="007C148A"/>
    <w:rsid w:val="007C1FCC"/>
    <w:rsid w:val="007C2831"/>
    <w:rsid w:val="007C2AA1"/>
    <w:rsid w:val="007C2BE7"/>
    <w:rsid w:val="007C3439"/>
    <w:rsid w:val="007C6201"/>
    <w:rsid w:val="007D0348"/>
    <w:rsid w:val="007D03E9"/>
    <w:rsid w:val="007D13C6"/>
    <w:rsid w:val="007D1E28"/>
    <w:rsid w:val="007D2A87"/>
    <w:rsid w:val="007D42E3"/>
    <w:rsid w:val="007D47FB"/>
    <w:rsid w:val="007D7342"/>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17622"/>
    <w:rsid w:val="00823AB4"/>
    <w:rsid w:val="0082483F"/>
    <w:rsid w:val="00826F0E"/>
    <w:rsid w:val="00827849"/>
    <w:rsid w:val="008279C0"/>
    <w:rsid w:val="00837705"/>
    <w:rsid w:val="00841E70"/>
    <w:rsid w:val="00845226"/>
    <w:rsid w:val="008473AA"/>
    <w:rsid w:val="00851A7A"/>
    <w:rsid w:val="00852883"/>
    <w:rsid w:val="00852F37"/>
    <w:rsid w:val="008571F6"/>
    <w:rsid w:val="00857A02"/>
    <w:rsid w:val="00861E51"/>
    <w:rsid w:val="00870B96"/>
    <w:rsid w:val="008723F3"/>
    <w:rsid w:val="00873246"/>
    <w:rsid w:val="00873791"/>
    <w:rsid w:val="00875E2E"/>
    <w:rsid w:val="00880F99"/>
    <w:rsid w:val="00881DA8"/>
    <w:rsid w:val="00881DE6"/>
    <w:rsid w:val="008837A6"/>
    <w:rsid w:val="008841E5"/>
    <w:rsid w:val="00884D7C"/>
    <w:rsid w:val="0089145D"/>
    <w:rsid w:val="0089683D"/>
    <w:rsid w:val="00896FD7"/>
    <w:rsid w:val="00897428"/>
    <w:rsid w:val="008A15DA"/>
    <w:rsid w:val="008A30C3"/>
    <w:rsid w:val="008A30EE"/>
    <w:rsid w:val="008A4DF2"/>
    <w:rsid w:val="008A6841"/>
    <w:rsid w:val="008A6CFE"/>
    <w:rsid w:val="008B40E7"/>
    <w:rsid w:val="008B4681"/>
    <w:rsid w:val="008B4B58"/>
    <w:rsid w:val="008B4D7A"/>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1920"/>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2A45"/>
    <w:rsid w:val="00975009"/>
    <w:rsid w:val="00975640"/>
    <w:rsid w:val="00975B29"/>
    <w:rsid w:val="00976DA5"/>
    <w:rsid w:val="009773BA"/>
    <w:rsid w:val="00980DF0"/>
    <w:rsid w:val="00981608"/>
    <w:rsid w:val="00984680"/>
    <w:rsid w:val="009909C8"/>
    <w:rsid w:val="00990F04"/>
    <w:rsid w:val="00991272"/>
    <w:rsid w:val="00991428"/>
    <w:rsid w:val="00992676"/>
    <w:rsid w:val="00997A85"/>
    <w:rsid w:val="009A0501"/>
    <w:rsid w:val="009A2BCA"/>
    <w:rsid w:val="009A35B5"/>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1142"/>
    <w:rsid w:val="009D382E"/>
    <w:rsid w:val="009D43D0"/>
    <w:rsid w:val="009D510C"/>
    <w:rsid w:val="009D5CDB"/>
    <w:rsid w:val="009D6709"/>
    <w:rsid w:val="009E049D"/>
    <w:rsid w:val="009E13C1"/>
    <w:rsid w:val="009E2A9C"/>
    <w:rsid w:val="009E2AEB"/>
    <w:rsid w:val="009E2E27"/>
    <w:rsid w:val="009E44C0"/>
    <w:rsid w:val="009E4DE3"/>
    <w:rsid w:val="009E50C1"/>
    <w:rsid w:val="009F0C29"/>
    <w:rsid w:val="009F0C5A"/>
    <w:rsid w:val="00A02198"/>
    <w:rsid w:val="00A04581"/>
    <w:rsid w:val="00A047EE"/>
    <w:rsid w:val="00A057CA"/>
    <w:rsid w:val="00A136AF"/>
    <w:rsid w:val="00A13F8F"/>
    <w:rsid w:val="00A149B7"/>
    <w:rsid w:val="00A14B24"/>
    <w:rsid w:val="00A177BC"/>
    <w:rsid w:val="00A17930"/>
    <w:rsid w:val="00A2274A"/>
    <w:rsid w:val="00A235B7"/>
    <w:rsid w:val="00A249AC"/>
    <w:rsid w:val="00A27A7A"/>
    <w:rsid w:val="00A301D1"/>
    <w:rsid w:val="00A31881"/>
    <w:rsid w:val="00A35FE0"/>
    <w:rsid w:val="00A40529"/>
    <w:rsid w:val="00A407EF"/>
    <w:rsid w:val="00A411B7"/>
    <w:rsid w:val="00A41EC4"/>
    <w:rsid w:val="00A42023"/>
    <w:rsid w:val="00A44A94"/>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76E31"/>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AF7ABA"/>
    <w:rsid w:val="00B0123F"/>
    <w:rsid w:val="00B04004"/>
    <w:rsid w:val="00B12F13"/>
    <w:rsid w:val="00B14819"/>
    <w:rsid w:val="00B160C3"/>
    <w:rsid w:val="00B17AA9"/>
    <w:rsid w:val="00B20235"/>
    <w:rsid w:val="00B221FF"/>
    <w:rsid w:val="00B2292D"/>
    <w:rsid w:val="00B246B1"/>
    <w:rsid w:val="00B26757"/>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6669A"/>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2A1D"/>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121"/>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1C5"/>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4EE8"/>
    <w:rsid w:val="00CE5052"/>
    <w:rsid w:val="00CE62CA"/>
    <w:rsid w:val="00CF01D6"/>
    <w:rsid w:val="00CF2819"/>
    <w:rsid w:val="00CF4F9D"/>
    <w:rsid w:val="00CF5AD8"/>
    <w:rsid w:val="00CF70DC"/>
    <w:rsid w:val="00CF717B"/>
    <w:rsid w:val="00D068C5"/>
    <w:rsid w:val="00D07F87"/>
    <w:rsid w:val="00D148DC"/>
    <w:rsid w:val="00D1688E"/>
    <w:rsid w:val="00D17FDC"/>
    <w:rsid w:val="00D223E4"/>
    <w:rsid w:val="00D228BD"/>
    <w:rsid w:val="00D2550E"/>
    <w:rsid w:val="00D256C6"/>
    <w:rsid w:val="00D25F51"/>
    <w:rsid w:val="00D35229"/>
    <w:rsid w:val="00D35ADE"/>
    <w:rsid w:val="00D35EAE"/>
    <w:rsid w:val="00D45EF1"/>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A434C"/>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1D03"/>
    <w:rsid w:val="00DD2E11"/>
    <w:rsid w:val="00DD4E68"/>
    <w:rsid w:val="00DD526C"/>
    <w:rsid w:val="00DD59B5"/>
    <w:rsid w:val="00DD6923"/>
    <w:rsid w:val="00DD7AD7"/>
    <w:rsid w:val="00DE03AF"/>
    <w:rsid w:val="00DE097E"/>
    <w:rsid w:val="00DE121C"/>
    <w:rsid w:val="00DE2C31"/>
    <w:rsid w:val="00DE475E"/>
    <w:rsid w:val="00DE6633"/>
    <w:rsid w:val="00DF056D"/>
    <w:rsid w:val="00DF365C"/>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3AD5"/>
    <w:rsid w:val="00E25FB8"/>
    <w:rsid w:val="00E26E19"/>
    <w:rsid w:val="00E31DF3"/>
    <w:rsid w:val="00E37049"/>
    <w:rsid w:val="00E4126D"/>
    <w:rsid w:val="00E450A4"/>
    <w:rsid w:val="00E506BE"/>
    <w:rsid w:val="00E518B6"/>
    <w:rsid w:val="00E525B9"/>
    <w:rsid w:val="00E53AE9"/>
    <w:rsid w:val="00E54ADD"/>
    <w:rsid w:val="00E55547"/>
    <w:rsid w:val="00E55E9B"/>
    <w:rsid w:val="00E5620D"/>
    <w:rsid w:val="00E6211B"/>
    <w:rsid w:val="00E6302B"/>
    <w:rsid w:val="00E64302"/>
    <w:rsid w:val="00E6452F"/>
    <w:rsid w:val="00E64F45"/>
    <w:rsid w:val="00E6525B"/>
    <w:rsid w:val="00E6742D"/>
    <w:rsid w:val="00E71CB0"/>
    <w:rsid w:val="00E72F8D"/>
    <w:rsid w:val="00E73590"/>
    <w:rsid w:val="00E738C2"/>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188"/>
    <w:rsid w:val="00EA5317"/>
    <w:rsid w:val="00EA6550"/>
    <w:rsid w:val="00EA728F"/>
    <w:rsid w:val="00EA7BAB"/>
    <w:rsid w:val="00EB02BE"/>
    <w:rsid w:val="00EB146B"/>
    <w:rsid w:val="00EB21D4"/>
    <w:rsid w:val="00EB2845"/>
    <w:rsid w:val="00EB45AC"/>
    <w:rsid w:val="00EB488B"/>
    <w:rsid w:val="00EB4B42"/>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D90"/>
    <w:rsid w:val="00F12F7B"/>
    <w:rsid w:val="00F13FB1"/>
    <w:rsid w:val="00F148B9"/>
    <w:rsid w:val="00F15181"/>
    <w:rsid w:val="00F1640B"/>
    <w:rsid w:val="00F2025D"/>
    <w:rsid w:val="00F20842"/>
    <w:rsid w:val="00F24D64"/>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86C98"/>
    <w:rsid w:val="00F91FA7"/>
    <w:rsid w:val="00F92020"/>
    <w:rsid w:val="00F93887"/>
    <w:rsid w:val="00F94A43"/>
    <w:rsid w:val="00F95955"/>
    <w:rsid w:val="00F96AF1"/>
    <w:rsid w:val="00F97C5B"/>
    <w:rsid w:val="00FA29FD"/>
    <w:rsid w:val="00FA2A46"/>
    <w:rsid w:val="00FA3739"/>
    <w:rsid w:val="00FA3D50"/>
    <w:rsid w:val="00FA43E7"/>
    <w:rsid w:val="00FA5F30"/>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4980</Words>
  <Characters>28389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Aisling Duffy</cp:lastModifiedBy>
  <cp:revision>5</cp:revision>
  <cp:lastPrinted>2020-06-12T02:43:00Z</cp:lastPrinted>
  <dcterms:created xsi:type="dcterms:W3CDTF">2023-11-13T19:18:00Z</dcterms:created>
  <dcterms:modified xsi:type="dcterms:W3CDTF">2023-11-13T19:21:00Z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