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02A06" w:rsidRDefault="00806382" w:rsidP="00806382">
      <w:pPr>
        <w:pStyle w:val="ListParagraph"/>
        <w:numPr>
          <w:ilvl w:val="0"/>
          <w:numId w:val="15"/>
        </w:numPr>
        <w:ind w:left="425" w:hanging="357"/>
        <w:jc w:val="both"/>
        <w:rPr>
          <w:rFonts w:ascii="Avenir Next" w:hAnsi="Avenir Next" w:cs="Arial"/>
          <w:sz w:val="22"/>
          <w:szCs w:val="22"/>
          <w:highlight w:val="yellow"/>
        </w:rPr>
      </w:pPr>
      <w:r w:rsidRPr="00002A06">
        <w:rPr>
          <w:rFonts w:ascii="Avenir Next" w:hAnsi="Avenir Next" w:cs="Arial"/>
          <w:sz w:val="22"/>
          <w:szCs w:val="22"/>
          <w:highlight w:val="yellow"/>
        </w:rPr>
        <w:t xml:space="preserve">This statement is untrue since the word </w:t>
      </w:r>
      <w:r w:rsidR="00823AB4" w:rsidRPr="00002A06">
        <w:rPr>
          <w:rFonts w:ascii="Avenir Next" w:hAnsi="Avenir Next" w:cs="Arial"/>
          <w:sz w:val="22"/>
          <w:szCs w:val="22"/>
          <w:highlight w:val="yellow"/>
        </w:rPr>
        <w:t>“</w:t>
      </w:r>
      <w:r w:rsidRPr="00002A06">
        <w:rPr>
          <w:rFonts w:ascii="Avenir Next" w:hAnsi="Avenir Next" w:cs="Arial"/>
          <w:sz w:val="22"/>
          <w:szCs w:val="22"/>
          <w:highlight w:val="yellow"/>
        </w:rPr>
        <w:t>bankruptcy</w:t>
      </w:r>
      <w:r w:rsidR="00823AB4" w:rsidRPr="00002A06">
        <w:rPr>
          <w:rFonts w:ascii="Avenir Next" w:hAnsi="Avenir Next" w:cs="Arial"/>
          <w:sz w:val="22"/>
          <w:szCs w:val="22"/>
          <w:highlight w:val="yellow"/>
        </w:rPr>
        <w:t>”</w:t>
      </w:r>
      <w:r w:rsidRPr="00002A0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02A06" w:rsidRDefault="001211E6" w:rsidP="001211E6">
      <w:pPr>
        <w:pStyle w:val="ListParagraph"/>
        <w:numPr>
          <w:ilvl w:val="0"/>
          <w:numId w:val="16"/>
        </w:numPr>
        <w:ind w:left="426"/>
        <w:jc w:val="both"/>
        <w:rPr>
          <w:rFonts w:ascii="Avenir Next" w:hAnsi="Avenir Next" w:cs="Arial"/>
          <w:sz w:val="22"/>
          <w:szCs w:val="22"/>
          <w:highlight w:val="yellow"/>
        </w:rPr>
      </w:pPr>
      <w:r w:rsidRPr="00002A0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B737A"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DB737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8B643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8B6439">
        <w:rPr>
          <w:rFonts w:ascii="Avenir Next" w:hAnsi="Avenir Next" w:cs="Arial"/>
          <w:sz w:val="22"/>
          <w:szCs w:val="22"/>
          <w:highlight w:val="yellow"/>
          <w:lang w:val="en-GB"/>
        </w:rPr>
        <w:t xml:space="preserve">This statement is incorrect since a statutory discharge of debt was only introduced in 1705 in England.    </w:t>
      </w:r>
      <w:r w:rsidRPr="008B6439">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8B6439" w:rsidRDefault="006514CD" w:rsidP="006514CD">
      <w:pPr>
        <w:pStyle w:val="ListParagraph"/>
        <w:numPr>
          <w:ilvl w:val="0"/>
          <w:numId w:val="19"/>
        </w:numPr>
        <w:ind w:left="425" w:hanging="357"/>
        <w:jc w:val="both"/>
        <w:rPr>
          <w:rFonts w:ascii="Avenir Next" w:hAnsi="Avenir Next" w:cs="Arial"/>
          <w:sz w:val="22"/>
          <w:szCs w:val="22"/>
          <w:highlight w:val="yellow"/>
        </w:rPr>
      </w:pPr>
      <w:r w:rsidRPr="008B6439">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8B643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8B643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D1294" w:rsidRDefault="00AD76EF" w:rsidP="00AD76EF">
      <w:pPr>
        <w:pStyle w:val="ListParagraph"/>
        <w:numPr>
          <w:ilvl w:val="0"/>
          <w:numId w:val="17"/>
        </w:numPr>
        <w:ind w:left="426"/>
        <w:jc w:val="both"/>
        <w:rPr>
          <w:rFonts w:ascii="Avenir Next" w:hAnsi="Avenir Next" w:cs="Arial"/>
          <w:sz w:val="22"/>
          <w:szCs w:val="22"/>
          <w:highlight w:val="yellow"/>
        </w:rPr>
      </w:pPr>
      <w:r w:rsidRPr="002D129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2D129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2D129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2D1294" w:rsidRDefault="009661DE" w:rsidP="009661DE">
      <w:pPr>
        <w:pStyle w:val="ListParagraph"/>
        <w:numPr>
          <w:ilvl w:val="0"/>
          <w:numId w:val="23"/>
        </w:numPr>
        <w:ind w:left="426"/>
        <w:jc w:val="both"/>
        <w:rPr>
          <w:rFonts w:ascii="Avenir Next" w:hAnsi="Avenir Next" w:cs="Arial"/>
          <w:sz w:val="22"/>
          <w:szCs w:val="22"/>
          <w:highlight w:val="yellow"/>
        </w:rPr>
      </w:pPr>
      <w:r w:rsidRPr="002D1294">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2D1294" w:rsidRDefault="003B3A0D" w:rsidP="003B3A0D">
      <w:pPr>
        <w:pStyle w:val="ListParagraph"/>
        <w:numPr>
          <w:ilvl w:val="0"/>
          <w:numId w:val="24"/>
        </w:numPr>
        <w:ind w:left="426"/>
        <w:jc w:val="both"/>
        <w:rPr>
          <w:rFonts w:ascii="Avenir Next" w:hAnsi="Avenir Next" w:cs="Arial"/>
          <w:sz w:val="22"/>
          <w:szCs w:val="22"/>
          <w:highlight w:val="yellow"/>
        </w:rPr>
      </w:pPr>
      <w:r w:rsidRPr="002D1294">
        <w:rPr>
          <w:rFonts w:ascii="Avenir Next" w:hAnsi="Avenir Next" w:cs="Arial"/>
          <w:sz w:val="22"/>
          <w:szCs w:val="22"/>
          <w:highlight w:val="yellow"/>
        </w:rPr>
        <w:t xml:space="preserve">This statement is untrue because modified universalism enables a </w:t>
      </w:r>
      <w:r w:rsidRPr="002D1294">
        <w:rPr>
          <w:rFonts w:ascii="Avenir Next" w:hAnsi="Avenir Next"/>
          <w:sz w:val="22"/>
          <w:szCs w:val="22"/>
          <w:highlight w:val="yellow"/>
        </w:rPr>
        <w:t xml:space="preserve">“main proceeding” to be opened in the State where the </w:t>
      </w:r>
      <w:proofErr w:type="spellStart"/>
      <w:r w:rsidR="004A2B2C" w:rsidRPr="002D1294">
        <w:rPr>
          <w:rFonts w:ascii="Avenir Next" w:hAnsi="Avenir Next"/>
          <w:sz w:val="22"/>
          <w:szCs w:val="22"/>
          <w:highlight w:val="yellow"/>
        </w:rPr>
        <w:t>centre</w:t>
      </w:r>
      <w:proofErr w:type="spellEnd"/>
      <w:r w:rsidRPr="002D1294">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4D1CB62E" w:rsidR="00CC7728" w:rsidRPr="00DA42DA" w:rsidRDefault="00CA2F9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countries whose insolvency law systems have historical roots in civil law, their systems tend (generally) to be pro-creditor, oftentimes providing for the harsh treatment toward debtors. This followed from the fact that bankruptcy law originating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the lex </w:t>
      </w:r>
      <w:proofErr w:type="spellStart"/>
      <w:r>
        <w:rPr>
          <w:rFonts w:ascii="Avenir Next" w:hAnsi="Avenir Next" w:cs="Arial"/>
          <w:color w:val="808080" w:themeColor="background1" w:themeShade="80"/>
          <w:sz w:val="22"/>
          <w:szCs w:val="22"/>
          <w:lang w:val="en-GB"/>
        </w:rPr>
        <w:t>mercatoria</w:t>
      </w:r>
      <w:proofErr w:type="spellEnd"/>
      <w:r>
        <w:rPr>
          <w:rFonts w:ascii="Avenir Next" w:hAnsi="Avenir Next" w:cs="Arial"/>
          <w:color w:val="808080" w:themeColor="background1" w:themeShade="80"/>
          <w:sz w:val="22"/>
          <w:szCs w:val="22"/>
          <w:lang w:val="en-GB"/>
        </w:rPr>
        <w:t xml:space="preserve"> began as a collective debt-collection mechanism. On the other hand, countries whose insolvency law systems have historical roots in English law appear to have had greater provision for the discharge of debts, as seen from the statutory discharge provision in the Statute of Ann and the Chapter 11 provisions in the US Bankruptcy Act. This indicates that they may possess a more pro-debtor slant than their civil law counterparts.</w:t>
      </w:r>
      <w:r w:rsidR="00D37D1F">
        <w:rPr>
          <w:rFonts w:ascii="Avenir Next" w:hAnsi="Avenir Next" w:cs="Arial"/>
          <w:color w:val="808080" w:themeColor="background1" w:themeShade="80"/>
          <w:sz w:val="22"/>
          <w:szCs w:val="22"/>
          <w:lang w:val="en-GB"/>
        </w:rPr>
        <w:t xml:space="preserve"> Finally, the two groups of countries may differ in terms of how their systems deal with security rights, labour issues or the terminology employed for the purposes of insolvency law.</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684EEA0" w14:textId="06010B76" w:rsidR="006E5FF5" w:rsidRDefault="00CA2F9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is the idea that only a single insolvency proceeding pertaining to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a debtor’s assets and debts worldwide ought to take place. In other words, only one place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one forum) should be granted </w:t>
      </w:r>
      <w:proofErr w:type="spellStart"/>
      <w:r>
        <w:rPr>
          <w:rFonts w:ascii="Avenir Next" w:hAnsi="Avenir Next" w:cs="Arial"/>
          <w:color w:val="808080" w:themeColor="background1" w:themeShade="80"/>
          <w:sz w:val="22"/>
          <w:szCs w:val="22"/>
          <w:lang w:val="en-GB"/>
        </w:rPr>
        <w:t>jurisidiction</w:t>
      </w:r>
      <w:proofErr w:type="spellEnd"/>
      <w:r>
        <w:rPr>
          <w:rFonts w:ascii="Avenir Next" w:hAnsi="Avenir Next" w:cs="Arial"/>
          <w:color w:val="808080" w:themeColor="background1" w:themeShade="80"/>
          <w:sz w:val="22"/>
          <w:szCs w:val="22"/>
          <w:lang w:val="en-GB"/>
        </w:rPr>
        <w:t xml:space="preserve"> over the insolvency proceedings. </w:t>
      </w:r>
      <w:r w:rsidR="006E5FF5">
        <w:rPr>
          <w:rFonts w:ascii="Avenir Next" w:hAnsi="Avenir Next" w:cs="Arial"/>
          <w:color w:val="808080" w:themeColor="background1" w:themeShade="80"/>
          <w:sz w:val="22"/>
          <w:szCs w:val="22"/>
          <w:lang w:val="en-GB"/>
        </w:rPr>
        <w:t xml:space="preserve">This is, in theory, a simpler and consolidated approach with lower costs, but it faces choice-of-law, jurisdiction and priority issues. </w:t>
      </w:r>
    </w:p>
    <w:p w14:paraId="62D6DBF4" w14:textId="77777777" w:rsidR="006E5FF5" w:rsidRDefault="006E5FF5" w:rsidP="00DA42DA">
      <w:pPr>
        <w:jc w:val="both"/>
        <w:rPr>
          <w:rFonts w:ascii="Avenir Next" w:hAnsi="Avenir Next" w:cs="Arial"/>
          <w:color w:val="808080" w:themeColor="background1" w:themeShade="80"/>
          <w:sz w:val="22"/>
          <w:szCs w:val="22"/>
          <w:lang w:val="en-GB"/>
        </w:rPr>
      </w:pPr>
    </w:p>
    <w:p w14:paraId="0FD20A22" w14:textId="77777777" w:rsidR="006E5FF5" w:rsidRDefault="00CA2F9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is the idea that insolvency proceedings should be allowed to be brought in every jurisdiction in which a debtor has assets, but each set of proceedings </w:t>
      </w:r>
      <w:r w:rsidR="006E5FF5">
        <w:rPr>
          <w:rFonts w:ascii="Avenir Next" w:hAnsi="Avenir Next" w:cs="Arial"/>
          <w:color w:val="808080" w:themeColor="background1" w:themeShade="80"/>
          <w:sz w:val="22"/>
          <w:szCs w:val="22"/>
          <w:lang w:val="en-GB"/>
        </w:rPr>
        <w:t xml:space="preserve">ought to be limited to the assets within the jurisdiction in which proceedings are brought. Under this approach, multiple sets of proceedings may be brought at the same time. This approach has been said to give greater effect to the interests of local creditors, who may not be able to participate in foreign insolvency proceedings. However, there are greater costs involved. Creditors may also face the problem of a debtor being declared insolvent in one jurisdiction but not in another. </w:t>
      </w:r>
    </w:p>
    <w:p w14:paraId="0AFC8E11" w14:textId="77777777" w:rsidR="006E5FF5" w:rsidRDefault="006E5FF5" w:rsidP="00DA42DA">
      <w:pPr>
        <w:jc w:val="both"/>
        <w:rPr>
          <w:rFonts w:ascii="Avenir Next" w:hAnsi="Avenir Next" w:cs="Arial"/>
          <w:color w:val="808080" w:themeColor="background1" w:themeShade="80"/>
          <w:sz w:val="22"/>
          <w:szCs w:val="22"/>
          <w:lang w:val="en-GB"/>
        </w:rPr>
      </w:pPr>
    </w:p>
    <w:p w14:paraId="216D3C8D" w14:textId="712173C6" w:rsidR="00DA42DA" w:rsidRPr="00DA42DA" w:rsidRDefault="006E5FF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 is somewhat of a midpoint between the two approaches, where the “main proceeding” is opened in the jurisdiction where the COMI is, while being supported by secondary proceedings in other jurisdictions. Thus, it allows for multiple sets of proceedings, but only in the context of buttressing the primary insolvency proceedings in the jurisdiction of the COMI.</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04E2450" w:rsidR="00DA42DA" w:rsidRPr="00DA42DA" w:rsidRDefault="00956CF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E5FF5">
        <w:rPr>
          <w:rFonts w:ascii="Avenir Next" w:hAnsi="Avenir Next" w:cs="Arial"/>
          <w:color w:val="808080" w:themeColor="background1" w:themeShade="80"/>
          <w:sz w:val="22"/>
          <w:szCs w:val="22"/>
          <w:lang w:val="en-GB"/>
        </w:rPr>
        <w:t xml:space="preserve">hey are the Montevideo Treaties and the Havana Convention on Private International Law. The Montevideo Treaties help to determine bankruptcy jurisdiction in two main scenarios. First, one set of proceedings is to be started in a debtor’s commercial domicile where this domicile is in a single treaty jurisdiction, even if the debtor in question occasionally trades in other states or has branches or agents elsewhere. Second, concurrent proceedings are allowed where a debtor has two or more economically autonomous businesses in different treaty jurisdictions. The Havana Convention on Private International Law has similar provisions, except in the case where there are concurrent proceedings, </w:t>
      </w:r>
      <w:r w:rsidR="00D37D1F">
        <w:rPr>
          <w:rFonts w:ascii="Avenir Next" w:hAnsi="Avenir Next" w:cs="Arial"/>
          <w:color w:val="808080" w:themeColor="background1" w:themeShade="80"/>
          <w:sz w:val="22"/>
          <w:szCs w:val="22"/>
          <w:lang w:val="en-GB"/>
        </w:rPr>
        <w:t xml:space="preserve">where </w:t>
      </w:r>
      <w:r w:rsidR="006E5FF5">
        <w:rPr>
          <w:rFonts w:ascii="Avenir Next" w:hAnsi="Avenir Next" w:cs="Arial"/>
          <w:color w:val="808080" w:themeColor="background1" w:themeShade="80"/>
          <w:sz w:val="22"/>
          <w:szCs w:val="22"/>
          <w:lang w:val="en-GB"/>
        </w:rPr>
        <w:t>the Havana Convention does not provide further guidance on the cooperation or coordination of those proceedings.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lastRenderedPageBreak/>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53C77CB5" w:rsidR="00DA42DA" w:rsidRDefault="00956CF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DC38C0">
        <w:rPr>
          <w:rFonts w:ascii="Avenir Next" w:hAnsi="Avenir Next" w:cs="Arial"/>
          <w:color w:val="808080" w:themeColor="background1" w:themeShade="80"/>
          <w:sz w:val="22"/>
          <w:szCs w:val="22"/>
          <w:lang w:val="en-GB"/>
        </w:rPr>
        <w:t xml:space="preserve"> disagree that the terms “bankruptcy” and “insolvency” may be used interchangeably, although this answer may change with respect to specific legal systems. The two terms may differ in terms of (a) the entity involved and (b) the legal concepts evoked. First, in some jurisdictions, “bankruptcy” is used to refer to the insolvency of a natural person while “insolvency” is used to refer to the insolvency of a corporate entity. According to the Guidance Text, Australia is one such example. This distinction is important because the objectives of insolvency can be rather different for natural persons and for corporations. For natural persons, insolvency aims to prevent the debtor from being harassed by his creditors and to allow him to make a fresh start while doing justice to his creditors. For corporations, the aim would be to make the most of the business, especially when it remains viable as a going concern. Second, “bankruptcy” can refer to the formal state of being placed in formal bankruptcy proceedings, </w:t>
      </w:r>
      <w:proofErr w:type="spellStart"/>
      <w:r w:rsidR="00DC38C0">
        <w:rPr>
          <w:rFonts w:ascii="Avenir Next" w:hAnsi="Avenir Next" w:cs="Arial"/>
          <w:color w:val="808080" w:themeColor="background1" w:themeShade="80"/>
          <w:sz w:val="22"/>
          <w:szCs w:val="22"/>
          <w:lang w:val="en-GB"/>
        </w:rPr>
        <w:t>ie</w:t>
      </w:r>
      <w:proofErr w:type="spellEnd"/>
      <w:r w:rsidR="00DC38C0">
        <w:rPr>
          <w:rFonts w:ascii="Avenir Next" w:hAnsi="Avenir Next" w:cs="Arial"/>
          <w:color w:val="808080" w:themeColor="background1" w:themeShade="80"/>
          <w:sz w:val="22"/>
          <w:szCs w:val="22"/>
          <w:lang w:val="en-GB"/>
        </w:rPr>
        <w:t xml:space="preserve">, formal proceedings have been started against the entity in question. “Insolvency” may then refer simply to the fact that the entity’s financial affairs have reached a point where it cannot repay its debts (evidenced either by way of balance sheet insolvency or cash flow insolvency). </w:t>
      </w:r>
    </w:p>
    <w:p w14:paraId="6E1B54A7" w14:textId="77777777" w:rsidR="00DC38C0" w:rsidRDefault="00DC38C0" w:rsidP="00DA42DA">
      <w:pPr>
        <w:jc w:val="both"/>
        <w:rPr>
          <w:rFonts w:ascii="Avenir Next" w:hAnsi="Avenir Next" w:cs="Arial"/>
          <w:color w:val="808080" w:themeColor="background1" w:themeShade="80"/>
          <w:sz w:val="22"/>
          <w:szCs w:val="22"/>
          <w:lang w:val="en-GB"/>
        </w:rPr>
      </w:pPr>
    </w:p>
    <w:p w14:paraId="65816B0A" w14:textId="59EB27F8" w:rsidR="00DC38C0" w:rsidRDefault="00DC38C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lists three possible essential features of insolvency/bankruptcy law: </w:t>
      </w:r>
    </w:p>
    <w:p w14:paraId="3BD7C358" w14:textId="570282FB" w:rsidR="00DC38C0" w:rsidRDefault="00DC38C0" w:rsidP="00DC38C0">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stay of enforcement by individual creditors, which will prevent a frantic rush by creditors to enforce their debts against the insolvent </w:t>
      </w:r>
      <w:proofErr w:type="gramStart"/>
      <w:r>
        <w:rPr>
          <w:rFonts w:ascii="Avenir Next" w:hAnsi="Avenir Next" w:cs="Arial"/>
          <w:color w:val="808080" w:themeColor="background1" w:themeShade="80"/>
          <w:sz w:val="22"/>
          <w:szCs w:val="22"/>
          <w:lang w:val="en-GB"/>
        </w:rPr>
        <w:t>debtor;</w:t>
      </w:r>
      <w:proofErr w:type="gramEnd"/>
      <w:r>
        <w:rPr>
          <w:rFonts w:ascii="Avenir Next" w:hAnsi="Avenir Next" w:cs="Arial"/>
          <w:color w:val="808080" w:themeColor="background1" w:themeShade="80"/>
          <w:sz w:val="22"/>
          <w:szCs w:val="22"/>
          <w:lang w:val="en-GB"/>
        </w:rPr>
        <w:t xml:space="preserve"> </w:t>
      </w:r>
    </w:p>
    <w:p w14:paraId="2202103C" w14:textId="7427FE4B" w:rsidR="00DC38C0" w:rsidRDefault="00DC38C0" w:rsidP="00DC38C0">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general pool of assets for distribution to the creditors; and </w:t>
      </w:r>
    </w:p>
    <w:p w14:paraId="47BB8664" w14:textId="7DB74914" w:rsidR="00DC38C0" w:rsidRDefault="00DC38C0" w:rsidP="00DC38C0">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payment of (unsecured) creditors on a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basis. </w:t>
      </w:r>
    </w:p>
    <w:p w14:paraId="260A25E4" w14:textId="471AA729" w:rsidR="00D37D1F" w:rsidRPr="00D37D1F" w:rsidRDefault="00D37D1F" w:rsidP="00D37D1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That being said, the</w:t>
      </w:r>
      <w:proofErr w:type="gramEnd"/>
      <w:r>
        <w:rPr>
          <w:rFonts w:ascii="Avenir Next" w:hAnsi="Avenir Next" w:cs="Arial"/>
          <w:color w:val="808080" w:themeColor="background1" w:themeShade="80"/>
          <w:sz w:val="22"/>
          <w:szCs w:val="22"/>
          <w:lang w:val="en-GB"/>
        </w:rPr>
        <w:t xml:space="preserve"> essential characteristic of “bankruptcy” and “insolvency” is likely to simply be the inability of an entity, whether a corporation or a natural person, to pay its or his debts. </w:t>
      </w:r>
    </w:p>
    <w:p w14:paraId="4A203D96" w14:textId="77777777" w:rsidR="00DC38C0" w:rsidRDefault="00DC38C0" w:rsidP="00DC38C0">
      <w:pPr>
        <w:jc w:val="both"/>
        <w:rPr>
          <w:rFonts w:ascii="Avenir Next" w:hAnsi="Avenir Next" w:cs="Arial"/>
          <w:color w:val="808080" w:themeColor="background1" w:themeShade="80"/>
          <w:sz w:val="22"/>
          <w:szCs w:val="22"/>
          <w:lang w:val="en-GB"/>
        </w:rPr>
      </w:pPr>
    </w:p>
    <w:p w14:paraId="07D55E33" w14:textId="3254043F" w:rsidR="00DC38C0" w:rsidRPr="00DC38C0" w:rsidRDefault="00DC38C0" w:rsidP="00DC38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stated above, the main difference which arises when a bankruptcy/insolvency involves a corporation rather than a natural person is the objective of the entire insolvency proceedings. For natural persons, insolvency aims to prevent the debtor from being harassed by his creditors and to allow him to make a fresh start while doing justice to his creditors. </w:t>
      </w:r>
      <w:r w:rsidR="00D339FB">
        <w:rPr>
          <w:rFonts w:ascii="Avenir Next" w:hAnsi="Avenir Next" w:cs="Arial"/>
          <w:color w:val="808080" w:themeColor="background1" w:themeShade="80"/>
          <w:sz w:val="22"/>
          <w:szCs w:val="22"/>
          <w:lang w:val="en-GB"/>
        </w:rPr>
        <w:t xml:space="preserve">This is also important because in many jurisdictions, the label of a “bankrupt” can also be accompanied by much social stigma. </w:t>
      </w:r>
      <w:r>
        <w:rPr>
          <w:rFonts w:ascii="Avenir Next" w:hAnsi="Avenir Next" w:cs="Arial"/>
          <w:color w:val="808080" w:themeColor="background1" w:themeShade="80"/>
          <w:sz w:val="22"/>
          <w:szCs w:val="22"/>
          <w:lang w:val="en-GB"/>
        </w:rPr>
        <w:t>For corporations, the aim would be to make the most of the business, especially when it remains viable as a going concern.</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914A576" w14:textId="27080F09" w:rsidR="00D339FB" w:rsidRDefault="00D339F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First, developing a single global cross-border insolvency dispensation requires each State to agree to align its domestic legislation in the same manner. This is not a simple task given that each State may have its own reasons (of a political, policy or legal nature) to structure its insolvency laws in a certain way, which includes its approach toward the enforcement and recognition of foreign insolvency proceedings/judgments. Other States may not have the infrastructure or resources to adhere to higher insolvency standards.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these issues present obstacles for the cooperation and coordination between States. </w:t>
      </w:r>
    </w:p>
    <w:p w14:paraId="04FD82E2" w14:textId="77777777" w:rsidR="00D339FB" w:rsidRDefault="00D339FB" w:rsidP="00DA42DA">
      <w:pPr>
        <w:jc w:val="both"/>
        <w:rPr>
          <w:rFonts w:ascii="Avenir Next" w:hAnsi="Avenir Next" w:cs="Arial"/>
          <w:color w:val="808080" w:themeColor="background1" w:themeShade="80"/>
          <w:sz w:val="22"/>
          <w:szCs w:val="22"/>
          <w:lang w:val="en-GB"/>
        </w:rPr>
      </w:pPr>
    </w:p>
    <w:p w14:paraId="063CB6BC" w14:textId="77777777" w:rsidR="00D339FB" w:rsidRDefault="00D339F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another issue stems from the multitude of treaties and supranational bodies which are already in place. The implementation of a single global cross-border insolvency dispensation will have to work out how they fit in this patchwork of existing structures. </w:t>
      </w:r>
    </w:p>
    <w:p w14:paraId="0E00B144" w14:textId="77777777" w:rsidR="00D339FB" w:rsidRDefault="00D339FB" w:rsidP="00DA42DA">
      <w:pPr>
        <w:jc w:val="both"/>
        <w:rPr>
          <w:rFonts w:ascii="Avenir Next" w:hAnsi="Avenir Next" w:cs="Arial"/>
          <w:color w:val="808080" w:themeColor="background1" w:themeShade="80"/>
          <w:sz w:val="22"/>
          <w:szCs w:val="22"/>
          <w:lang w:val="en-GB"/>
        </w:rPr>
      </w:pPr>
    </w:p>
    <w:p w14:paraId="6B5CF002" w14:textId="7B359998" w:rsidR="00DA42DA" w:rsidRPr="00DA42DA" w:rsidRDefault="00D339F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the content of such a single global cross-border insolvency dispensation will be difficult to agree upon. In addition to each State’s view on which approaches are best, there are </w:t>
      </w:r>
      <w:r w:rsidR="002B4987">
        <w:rPr>
          <w:rFonts w:ascii="Avenir Next" w:hAnsi="Avenir Next" w:cs="Arial"/>
          <w:color w:val="808080" w:themeColor="background1" w:themeShade="80"/>
          <w:sz w:val="22"/>
          <w:szCs w:val="22"/>
          <w:lang w:val="en-GB"/>
        </w:rPr>
        <w:t xml:space="preserve">many soft law projects which each present different proposals for consideration. Coming to an agreement after considering </w:t>
      </w:r>
      <w:proofErr w:type="gramStart"/>
      <w:r w:rsidR="002B4987">
        <w:rPr>
          <w:rFonts w:ascii="Avenir Next" w:hAnsi="Avenir Next" w:cs="Arial"/>
          <w:color w:val="808080" w:themeColor="background1" w:themeShade="80"/>
          <w:sz w:val="22"/>
          <w:szCs w:val="22"/>
          <w:lang w:val="en-GB"/>
        </w:rPr>
        <w:t>all of</w:t>
      </w:r>
      <w:proofErr w:type="gramEnd"/>
      <w:r w:rsidR="002B4987">
        <w:rPr>
          <w:rFonts w:ascii="Avenir Next" w:hAnsi="Avenir Next" w:cs="Arial"/>
          <w:color w:val="808080" w:themeColor="background1" w:themeShade="80"/>
          <w:sz w:val="22"/>
          <w:szCs w:val="22"/>
          <w:lang w:val="en-GB"/>
        </w:rPr>
        <w:t xml:space="preserve"> these proposals will take much time.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398B9131" w:rsidR="006A44B2" w:rsidRPr="00DA42DA" w:rsidRDefault="002B498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legal instruments which have the binding force of law. In other words, the obligations in such laws are legally enforceable. In the context of international insolvency, these are generally treaties and conventions, such as the Nordic Convention and the EIR Recast. The EIR Recast has generally been seen as a success insofar as it applied to quite </w:t>
      </w:r>
      <w:proofErr w:type="gramStart"/>
      <w:r>
        <w:rPr>
          <w:rFonts w:ascii="Avenir Next" w:hAnsi="Avenir Next" w:cs="Arial"/>
          <w:color w:val="808080" w:themeColor="background1" w:themeShade="80"/>
          <w:sz w:val="22"/>
          <w:szCs w:val="22"/>
          <w:lang w:val="en-GB"/>
        </w:rPr>
        <w:t>a large number of</w:t>
      </w:r>
      <w:proofErr w:type="gramEnd"/>
      <w:r>
        <w:rPr>
          <w:rFonts w:ascii="Avenir Next" w:hAnsi="Avenir Next" w:cs="Arial"/>
          <w:color w:val="808080" w:themeColor="background1" w:themeShade="80"/>
          <w:sz w:val="22"/>
          <w:szCs w:val="22"/>
          <w:lang w:val="en-GB"/>
        </w:rPr>
        <w:t xml:space="preserve"> cross-border cases </w:t>
      </w:r>
      <w:r w:rsidR="00F9168B">
        <w:rPr>
          <w:rFonts w:ascii="Avenir Next" w:hAnsi="Avenir Next" w:cs="Arial"/>
          <w:color w:val="808080" w:themeColor="background1" w:themeShade="80"/>
          <w:sz w:val="22"/>
          <w:szCs w:val="22"/>
          <w:lang w:val="en-GB"/>
        </w:rPr>
        <w:t xml:space="preserve">but served mainly to facilitate the legal pluralism present in the host of European insolvency laws. On the other hand, soft law refers to laws which do not have any legally binding force. States therefore </w:t>
      </w:r>
      <w:r w:rsidR="00D37D1F">
        <w:rPr>
          <w:rFonts w:ascii="Avenir Next" w:hAnsi="Avenir Next" w:cs="Arial"/>
          <w:color w:val="808080" w:themeColor="background1" w:themeShade="80"/>
          <w:sz w:val="22"/>
          <w:szCs w:val="22"/>
          <w:lang w:val="en-GB"/>
        </w:rPr>
        <w:t>may adopt and follow</w:t>
      </w:r>
      <w:r w:rsidR="00F9168B">
        <w:rPr>
          <w:rFonts w:ascii="Avenir Next" w:hAnsi="Avenir Next" w:cs="Arial"/>
          <w:color w:val="808080" w:themeColor="background1" w:themeShade="80"/>
          <w:sz w:val="22"/>
          <w:szCs w:val="22"/>
          <w:lang w:val="en-GB"/>
        </w:rPr>
        <w:t xml:space="preserve"> them on a voluntary basis. The main and most successful example of soft law in the context of international insolvency is the UNCITRAL Model Law on Cross-border Insolvency. This is a piece of draft legislation which countries can adopt with or without modifications. Currently, the Model Law has been adopted in 59 States in a total of 62 jurisdictions, according to the UN website. The success of the Model Law may be traced to the fact that it allows countries the flexibility to adopt it with modifications, which may ameliorate the difficulties which come with negotiating a hard law instrument</w:t>
      </w:r>
      <w:r w:rsidR="00D37D1F">
        <w:rPr>
          <w:rFonts w:ascii="Avenir Next" w:hAnsi="Avenir Next" w:cs="Arial"/>
          <w:color w:val="808080" w:themeColor="background1" w:themeShade="80"/>
          <w:sz w:val="22"/>
          <w:szCs w:val="22"/>
          <w:lang w:val="en-GB"/>
        </w:rPr>
        <w:t>, which will require extensive discussions and the agreement of all contracting party States</w:t>
      </w:r>
      <w:r w:rsidR="00F9168B">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3A4DE828" w:rsidR="002253D8" w:rsidRDefault="005D5B6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can use the Cross-Border Insolvency Regulations 2006 which stipulates, at s 2, that the UNCITRAL Model Law shall have the force of law in the UK as stated in Schedule 1 of the Regulations. As Italy is the COMI, the proceedings in the USA constitute “foreign non-main proceedings”, pursuant to Article 2(h) of Schedule 1. This is because Norton Cars Inc has an “establishment” in the USA, given that it has a place of operations there with non-transitory economic activity. According to Article 15, the American insolvent estate representative, as a foreign representative, may apply to the court for recognition of the foreign proceeding in the USA. This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accompanied by the relevant documents as stated in Article 15(2) and (3).  </w:t>
      </w:r>
    </w:p>
    <w:p w14:paraId="2ECD5B76" w14:textId="77777777" w:rsidR="005D5B6F" w:rsidRDefault="005D5B6F" w:rsidP="00DB5A5A">
      <w:pPr>
        <w:jc w:val="both"/>
        <w:rPr>
          <w:rFonts w:ascii="Avenir Next" w:hAnsi="Avenir Next" w:cs="Arial"/>
          <w:color w:val="808080" w:themeColor="background1" w:themeShade="80"/>
          <w:sz w:val="22"/>
          <w:szCs w:val="22"/>
          <w:lang w:val="en-GB"/>
        </w:rPr>
      </w:pPr>
    </w:p>
    <w:p w14:paraId="3D50D2A2" w14:textId="59D01AD3" w:rsidR="005D5B6F" w:rsidRPr="002253D8" w:rsidRDefault="005D5B6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the American insolvent estate representative can seek recognition under </w:t>
      </w:r>
      <w:r w:rsidR="00D37D1F">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English common law</w:t>
      </w:r>
      <w:r w:rsidR="00D37D1F">
        <w:rPr>
          <w:rFonts w:ascii="Avenir Next" w:hAnsi="Avenir Next" w:cs="Arial"/>
          <w:color w:val="808080" w:themeColor="background1" w:themeShade="80"/>
          <w:sz w:val="22"/>
          <w:szCs w:val="22"/>
          <w:lang w:val="en-GB"/>
        </w:rPr>
        <w:t xml:space="preserve"> rules (see </w:t>
      </w:r>
      <w:r w:rsidR="00D37D1F">
        <w:rPr>
          <w:rFonts w:ascii="Avenir Next" w:hAnsi="Avenir Next" w:cs="Arial"/>
          <w:i/>
          <w:iCs/>
          <w:color w:val="808080" w:themeColor="background1" w:themeShade="80"/>
          <w:sz w:val="22"/>
          <w:szCs w:val="22"/>
          <w:lang w:val="en-GB"/>
        </w:rPr>
        <w:t>McGrath v Riddell</w:t>
      </w:r>
      <w:r w:rsidR="00D37D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3AA7E8F" w:rsidR="002253D8" w:rsidRPr="00DA42DA" w:rsidRDefault="005D5B6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appropriate legal source is likely to be the European Insolvency Regulation (EIR) Recast. Based on the EIR Recast, primary jurisdiction is accorded to the State where the COMI is situated. However, subsidiary proceedings may be mounted in other member States, where the debtor has an “establishment”, defined as a place of operations where the debtor carries out a non-transitory economic activity with human means and assets. Given that the COMI is Italy here, the main proceeding should be opened in Italy. </w:t>
      </w:r>
      <w:r w:rsidR="00677842">
        <w:rPr>
          <w:rFonts w:ascii="Avenir Next" w:hAnsi="Avenir Next" w:cs="Arial"/>
          <w:color w:val="808080" w:themeColor="background1" w:themeShade="80"/>
          <w:sz w:val="22"/>
          <w:szCs w:val="22"/>
          <w:lang w:val="en-GB"/>
        </w:rPr>
        <w:t xml:space="preserve">According to Article 7, the applicable law will be Italian law. </w:t>
      </w:r>
      <w:r>
        <w:rPr>
          <w:rFonts w:ascii="Avenir Next" w:hAnsi="Avenir Next" w:cs="Arial"/>
          <w:color w:val="808080" w:themeColor="background1" w:themeShade="80"/>
          <w:sz w:val="22"/>
          <w:szCs w:val="22"/>
          <w:lang w:val="en-GB"/>
        </w:rPr>
        <w:t xml:space="preserve">However, given that its main operations transpired in Germany, secondary proceedings should also be opened in Germany </w:t>
      </w:r>
      <w:r w:rsidR="009A679F">
        <w:rPr>
          <w:rFonts w:ascii="Avenir Next" w:hAnsi="Avenir Next" w:cs="Arial"/>
          <w:color w:val="808080" w:themeColor="background1" w:themeShade="80"/>
          <w:sz w:val="22"/>
          <w:szCs w:val="22"/>
          <w:lang w:val="en-GB"/>
        </w:rPr>
        <w:t>supplementing the main proceedings.</w:t>
      </w:r>
      <w:r w:rsidR="00677842">
        <w:rPr>
          <w:rFonts w:ascii="Avenir Next" w:hAnsi="Avenir Next" w:cs="Arial"/>
          <w:color w:val="808080" w:themeColor="background1" w:themeShade="80"/>
          <w:sz w:val="22"/>
          <w:szCs w:val="22"/>
          <w:lang w:val="en-GB"/>
        </w:rPr>
        <w:t xml:space="preserve"> According to Article 35, the applicable law for those secondary insolvency proceedings will be German law.</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926B3F3" w:rsidR="002253D8" w:rsidRPr="002253D8" w:rsidRDefault="009A679F"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677842">
        <w:rPr>
          <w:rFonts w:ascii="Avenir Next" w:hAnsi="Avenir Next" w:cs="Arial"/>
          <w:color w:val="808080" w:themeColor="background1" w:themeShade="80"/>
          <w:sz w:val="22"/>
          <w:szCs w:val="22"/>
          <w:lang w:val="en-GB"/>
        </w:rPr>
        <w:t>T</w:t>
      </w:r>
      <w:r w:rsidR="001A28BD">
        <w:rPr>
          <w:rFonts w:ascii="Avenir Next" w:hAnsi="Avenir Next" w:cs="Arial"/>
          <w:color w:val="808080" w:themeColor="background1" w:themeShade="80"/>
          <w:sz w:val="22"/>
          <w:szCs w:val="22"/>
          <w:lang w:val="en-GB"/>
        </w:rPr>
        <w:t>he</w:t>
      </w:r>
      <w:r>
        <w:rPr>
          <w:rFonts w:ascii="Avenir Next" w:hAnsi="Avenir Next" w:cs="Arial"/>
          <w:color w:val="808080" w:themeColor="background1" w:themeShade="80"/>
          <w:sz w:val="22"/>
          <w:szCs w:val="22"/>
          <w:lang w:val="en-GB"/>
        </w:rPr>
        <w:t xml:space="preserve"> EU (Recast) Insolvency Regulation only provides for the recognition of representatives by courts of the Member States.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30C2D64E" w14:textId="0CD259E1" w:rsidR="001A28BD" w:rsidRDefault="001A28BD" w:rsidP="001A28B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7 of the EU (Recast) Insolvency Regulation, which is likely the applicable legal source to be used </w:t>
      </w: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the insolvency proceeding in Italy, the applicable law is that of the member State within the territory of which such proceedings are opened. In other words, Italian law will apply. </w:t>
      </w:r>
    </w:p>
    <w:p w14:paraId="5F415CBF" w14:textId="77777777" w:rsidR="001A28BD" w:rsidRDefault="001A28BD" w:rsidP="001A28BD">
      <w:pPr>
        <w:ind w:left="426"/>
        <w:jc w:val="both"/>
        <w:rPr>
          <w:rFonts w:ascii="Avenir Next" w:hAnsi="Avenir Next" w:cs="Arial"/>
          <w:color w:val="808080" w:themeColor="background1" w:themeShade="80"/>
          <w:sz w:val="22"/>
          <w:szCs w:val="22"/>
          <w:lang w:val="en-GB"/>
        </w:rPr>
      </w:pPr>
    </w:p>
    <w:p w14:paraId="13039970" w14:textId="7CCED617" w:rsidR="002253D8" w:rsidRPr="00DA42DA" w:rsidRDefault="001A28BD" w:rsidP="001A28B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Article 8 states that the opening of such insolvency proceedings will not affect the rights in rem of creditors or third parties in respec</w:t>
      </w:r>
      <w:r w:rsidR="00415C09">
        <w:rPr>
          <w:rFonts w:ascii="Avenir Next" w:hAnsi="Avenir Next" w:cs="Arial"/>
          <w:color w:val="808080" w:themeColor="background1" w:themeShade="80"/>
          <w:sz w:val="22"/>
          <w:szCs w:val="22"/>
          <w:lang w:val="en-GB"/>
        </w:rPr>
        <w:t>t of assets, Dutch law will still apply to the real rights of security.</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3C6BDB22" w:rsidR="002253D8" w:rsidRPr="00DA42DA" w:rsidRDefault="0078152A" w:rsidP="0078152A">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Italy has not adopted the UNCITRAL Model Law on Cross-Border Insolvency. As such, an insolvency proceeding which commenced in Australia and the real rights of security situated therein will likely be governed by Australian law</w:t>
      </w:r>
      <w:r w:rsidR="00677842">
        <w:rPr>
          <w:rFonts w:ascii="Avenir Next" w:hAnsi="Avenir Next" w:cs="Arial"/>
          <w:color w:val="808080" w:themeColor="background1" w:themeShade="80"/>
          <w:sz w:val="22"/>
          <w:szCs w:val="22"/>
          <w:lang w:val="en-GB"/>
        </w:rPr>
        <w:t xml:space="preserve"> (as the law of the State in which the asset is situated and the law of the State in which the proceedings are commenced)</w:t>
      </w:r>
      <w:r>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FC1C" w14:textId="77777777" w:rsidR="008C2685" w:rsidRDefault="008C2685" w:rsidP="00241B44">
      <w:r>
        <w:separator/>
      </w:r>
    </w:p>
  </w:endnote>
  <w:endnote w:type="continuationSeparator" w:id="0">
    <w:p w14:paraId="673A014D" w14:textId="77777777" w:rsidR="008C2685" w:rsidRDefault="008C26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E2AD354" w:rsidR="00B64A85" w:rsidRPr="00297BDF" w:rsidRDefault="006E27BE" w:rsidP="0052732A">
    <w:pPr>
      <w:pStyle w:val="Footer"/>
      <w:ind w:right="360"/>
      <w:rPr>
        <w:rFonts w:ascii="Avenir Next" w:hAnsi="Avenir Next" w:cs="Arial"/>
        <w:sz w:val="22"/>
        <w:szCs w:val="22"/>
      </w:rPr>
    </w:pPr>
    <w:r>
      <w:rPr>
        <w:rFonts w:ascii="Avenir Next" w:hAnsi="Avenir Next" w:cs="Arial"/>
        <w:sz w:val="22"/>
        <w:szCs w:val="22"/>
      </w:rPr>
      <w:t>202324-1359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2C3A" w14:textId="77777777" w:rsidR="008C2685" w:rsidRDefault="008C2685" w:rsidP="00241B44">
      <w:r>
        <w:separator/>
      </w:r>
    </w:p>
  </w:footnote>
  <w:footnote w:type="continuationSeparator" w:id="0">
    <w:p w14:paraId="4EB11DB3" w14:textId="77777777" w:rsidR="008C2685" w:rsidRDefault="008C268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71680A"/>
    <w:multiLevelType w:val="hybridMultilevel"/>
    <w:tmpl w:val="A0A0AD1C"/>
    <w:lvl w:ilvl="0" w:tplc="F518319C">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3"/>
  </w:num>
  <w:num w:numId="4" w16cid:durableId="737018892">
    <w:abstractNumId w:val="5"/>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173804476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A06"/>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28BD"/>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4987"/>
    <w:rsid w:val="002C1227"/>
    <w:rsid w:val="002C13C8"/>
    <w:rsid w:val="002C259C"/>
    <w:rsid w:val="002C3547"/>
    <w:rsid w:val="002D0021"/>
    <w:rsid w:val="002D10A3"/>
    <w:rsid w:val="002D1294"/>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C0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B6F"/>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842"/>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7BE"/>
    <w:rsid w:val="006E2974"/>
    <w:rsid w:val="006E481A"/>
    <w:rsid w:val="006E5298"/>
    <w:rsid w:val="006E5FF5"/>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2A"/>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5167"/>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6439"/>
    <w:rsid w:val="008C0772"/>
    <w:rsid w:val="008C165D"/>
    <w:rsid w:val="008C2685"/>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6CFC"/>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79F"/>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8B3"/>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2F90"/>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39FB"/>
    <w:rsid w:val="00D35229"/>
    <w:rsid w:val="00D35ADE"/>
    <w:rsid w:val="00D35EAE"/>
    <w:rsid w:val="00D37D1F"/>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B737A"/>
    <w:rsid w:val="00DC2A3F"/>
    <w:rsid w:val="00DC2BEC"/>
    <w:rsid w:val="00DC2FDB"/>
    <w:rsid w:val="00DC3089"/>
    <w:rsid w:val="00DC38C0"/>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68B"/>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CHAN Zheng Wen</cp:lastModifiedBy>
  <cp:revision>5</cp:revision>
  <cp:lastPrinted>2020-06-12T02:43:00Z</cp:lastPrinted>
  <dcterms:created xsi:type="dcterms:W3CDTF">2023-11-13T11:30:00Z</dcterms:created>
  <dcterms:modified xsi:type="dcterms:W3CDTF">2023-11-13T12:00:00Z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