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C975E6" w:rsidRDefault="00806382" w:rsidP="00806382">
      <w:pPr>
        <w:pStyle w:val="ListParagraph"/>
        <w:numPr>
          <w:ilvl w:val="0"/>
          <w:numId w:val="15"/>
        </w:numPr>
        <w:ind w:left="425" w:hanging="357"/>
        <w:jc w:val="both"/>
        <w:rPr>
          <w:rFonts w:ascii="Avenir Next" w:hAnsi="Avenir Next" w:cs="Arial"/>
          <w:sz w:val="22"/>
          <w:szCs w:val="22"/>
          <w:highlight w:val="yellow"/>
        </w:rPr>
      </w:pPr>
      <w:r w:rsidRPr="00C975E6">
        <w:rPr>
          <w:rFonts w:ascii="Avenir Next" w:hAnsi="Avenir Next" w:cs="Arial"/>
          <w:sz w:val="22"/>
          <w:szCs w:val="22"/>
          <w:highlight w:val="yellow"/>
        </w:rPr>
        <w:t xml:space="preserve">This statement is untrue since the word </w:t>
      </w:r>
      <w:r w:rsidR="00823AB4" w:rsidRPr="00C975E6">
        <w:rPr>
          <w:rFonts w:ascii="Avenir Next" w:hAnsi="Avenir Next" w:cs="Arial"/>
          <w:sz w:val="22"/>
          <w:szCs w:val="22"/>
          <w:highlight w:val="yellow"/>
        </w:rPr>
        <w:t>“</w:t>
      </w:r>
      <w:r w:rsidRPr="00C975E6">
        <w:rPr>
          <w:rFonts w:ascii="Avenir Next" w:hAnsi="Avenir Next" w:cs="Arial"/>
          <w:sz w:val="22"/>
          <w:szCs w:val="22"/>
          <w:highlight w:val="yellow"/>
        </w:rPr>
        <w:t>bankruptcy</w:t>
      </w:r>
      <w:r w:rsidR="00823AB4" w:rsidRPr="00C975E6">
        <w:rPr>
          <w:rFonts w:ascii="Avenir Next" w:hAnsi="Avenir Next" w:cs="Arial"/>
          <w:sz w:val="22"/>
          <w:szCs w:val="22"/>
          <w:highlight w:val="yellow"/>
        </w:rPr>
        <w:t>”</w:t>
      </w:r>
      <w:r w:rsidRPr="00C975E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975E6" w:rsidRDefault="001211E6" w:rsidP="001211E6">
      <w:pPr>
        <w:pStyle w:val="ListParagraph"/>
        <w:numPr>
          <w:ilvl w:val="0"/>
          <w:numId w:val="16"/>
        </w:numPr>
        <w:ind w:left="426"/>
        <w:jc w:val="both"/>
        <w:rPr>
          <w:rFonts w:ascii="Avenir Next" w:hAnsi="Avenir Next" w:cs="Arial"/>
          <w:sz w:val="22"/>
          <w:szCs w:val="22"/>
          <w:highlight w:val="yellow"/>
        </w:rPr>
      </w:pPr>
      <w:r w:rsidRPr="00C975E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975E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975E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825C3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825C3C">
        <w:rPr>
          <w:rFonts w:ascii="Avenir Next" w:hAnsi="Avenir Next" w:cs="Arial"/>
          <w:sz w:val="22"/>
          <w:szCs w:val="22"/>
          <w:highlight w:val="yellow"/>
          <w:lang w:val="en-GB"/>
        </w:rPr>
        <w:t xml:space="preserve">This statement is incorrect since a statutory discharge of debt was only introduced in 1705 in England.    </w:t>
      </w:r>
      <w:r w:rsidRPr="00825C3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1C21E5" w:rsidRDefault="006514CD" w:rsidP="006514CD">
      <w:pPr>
        <w:pStyle w:val="ListParagraph"/>
        <w:numPr>
          <w:ilvl w:val="0"/>
          <w:numId w:val="19"/>
        </w:numPr>
        <w:ind w:left="425" w:hanging="357"/>
        <w:jc w:val="both"/>
        <w:rPr>
          <w:rFonts w:ascii="Avenir Next" w:hAnsi="Avenir Next" w:cs="Arial"/>
          <w:sz w:val="22"/>
          <w:szCs w:val="22"/>
          <w:highlight w:val="yellow"/>
        </w:rPr>
      </w:pPr>
      <w:r w:rsidRPr="001C21E5">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1C21E5"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1C21E5">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C21E5" w:rsidRDefault="00AD76EF" w:rsidP="00AD76EF">
      <w:pPr>
        <w:pStyle w:val="ListParagraph"/>
        <w:numPr>
          <w:ilvl w:val="0"/>
          <w:numId w:val="17"/>
        </w:numPr>
        <w:ind w:left="426"/>
        <w:jc w:val="both"/>
        <w:rPr>
          <w:rFonts w:ascii="Avenir Next" w:hAnsi="Avenir Next" w:cs="Arial"/>
          <w:sz w:val="22"/>
          <w:szCs w:val="22"/>
          <w:highlight w:val="yellow"/>
        </w:rPr>
      </w:pPr>
      <w:r w:rsidRPr="001C21E5">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897A0F"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897A0F">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897A0F" w:rsidRDefault="009661DE" w:rsidP="009661DE">
      <w:pPr>
        <w:pStyle w:val="ListParagraph"/>
        <w:numPr>
          <w:ilvl w:val="0"/>
          <w:numId w:val="23"/>
        </w:numPr>
        <w:ind w:left="426"/>
        <w:jc w:val="both"/>
        <w:rPr>
          <w:rFonts w:ascii="Avenir Next" w:hAnsi="Avenir Next" w:cs="Arial"/>
          <w:sz w:val="22"/>
          <w:szCs w:val="22"/>
          <w:highlight w:val="yellow"/>
        </w:rPr>
      </w:pPr>
      <w:r w:rsidRPr="00897A0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897A0F" w:rsidRDefault="003B3A0D" w:rsidP="003B3A0D">
      <w:pPr>
        <w:pStyle w:val="ListParagraph"/>
        <w:numPr>
          <w:ilvl w:val="0"/>
          <w:numId w:val="24"/>
        </w:numPr>
        <w:ind w:left="426"/>
        <w:jc w:val="both"/>
        <w:rPr>
          <w:rFonts w:ascii="Avenir Next" w:hAnsi="Avenir Next" w:cs="Arial"/>
          <w:sz w:val="22"/>
          <w:szCs w:val="22"/>
          <w:highlight w:val="yellow"/>
        </w:rPr>
      </w:pPr>
      <w:r w:rsidRPr="00897A0F">
        <w:rPr>
          <w:rFonts w:ascii="Avenir Next" w:hAnsi="Avenir Next" w:cs="Arial"/>
          <w:sz w:val="22"/>
          <w:szCs w:val="22"/>
          <w:highlight w:val="yellow"/>
        </w:rPr>
        <w:t xml:space="preserve">This statement is untrue because universalism corresponds well to </w:t>
      </w:r>
      <w:proofErr w:type="spellStart"/>
      <w:r w:rsidRPr="00897A0F">
        <w:rPr>
          <w:rFonts w:ascii="Avenir Next" w:hAnsi="Avenir Next" w:cs="Arial"/>
          <w:sz w:val="22"/>
          <w:szCs w:val="22"/>
          <w:highlight w:val="yellow"/>
        </w:rPr>
        <w:t>globali</w:t>
      </w:r>
      <w:r w:rsidR="00142E15" w:rsidRPr="00897A0F">
        <w:rPr>
          <w:rFonts w:ascii="Avenir Next" w:hAnsi="Avenir Next" w:cs="Arial"/>
          <w:sz w:val="22"/>
          <w:szCs w:val="22"/>
          <w:highlight w:val="yellow"/>
        </w:rPr>
        <w:t>s</w:t>
      </w:r>
      <w:r w:rsidRPr="00897A0F">
        <w:rPr>
          <w:rFonts w:ascii="Avenir Next" w:hAnsi="Avenir Next" w:cs="Arial"/>
          <w:sz w:val="22"/>
          <w:szCs w:val="22"/>
          <w:highlight w:val="yellow"/>
        </w:rPr>
        <w:t>ation</w:t>
      </w:r>
      <w:proofErr w:type="spellEnd"/>
      <w:r w:rsidRPr="00897A0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4231A97D" w:rsidR="00CC7728" w:rsidRDefault="00FC2411"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insolvency law systems which have historical roots in English law are often countries which were colonised by the United Kingdom. Examples are Malaysia, Singapore, Hong Kong, South Africa.</w:t>
      </w:r>
    </w:p>
    <w:p w14:paraId="5EF4A07B" w14:textId="77777777" w:rsidR="00FC2411" w:rsidRDefault="00FC2411" w:rsidP="00FC2411">
      <w:pPr>
        <w:ind w:left="567"/>
        <w:jc w:val="both"/>
        <w:rPr>
          <w:rFonts w:ascii="Avenir Next" w:hAnsi="Avenir Next" w:cs="Arial"/>
          <w:color w:val="808080" w:themeColor="background1" w:themeShade="80"/>
          <w:sz w:val="22"/>
          <w:szCs w:val="22"/>
          <w:lang w:val="en-GB"/>
        </w:rPr>
      </w:pPr>
    </w:p>
    <w:p w14:paraId="034A90F2" w14:textId="77777777" w:rsidR="00117569" w:rsidRDefault="00FC2411"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insolvency law systems which have historical roots in civil law are countries with ties to other European countries. Examples are the Netherlands, France, Germany, Spain.</w:t>
      </w:r>
    </w:p>
    <w:p w14:paraId="5156A56B" w14:textId="77777777" w:rsidR="00117569" w:rsidRDefault="00117569" w:rsidP="00FC2411">
      <w:pPr>
        <w:ind w:left="567"/>
        <w:jc w:val="both"/>
        <w:rPr>
          <w:rFonts w:ascii="Avenir Next" w:hAnsi="Avenir Next" w:cs="Arial"/>
          <w:color w:val="808080" w:themeColor="background1" w:themeShade="80"/>
          <w:sz w:val="22"/>
          <w:szCs w:val="22"/>
          <w:lang w:val="en-GB"/>
        </w:rPr>
      </w:pPr>
    </w:p>
    <w:p w14:paraId="25DDA622" w14:textId="475F45ED" w:rsidR="00FC2411" w:rsidRPr="00DA42DA" w:rsidRDefault="00117569"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 between the two is that for </w:t>
      </w:r>
      <w:r w:rsidR="001772DA">
        <w:rPr>
          <w:rFonts w:ascii="Avenir Next" w:hAnsi="Avenir Next" w:cs="Arial"/>
          <w:color w:val="808080" w:themeColor="background1" w:themeShade="80"/>
          <w:sz w:val="22"/>
          <w:szCs w:val="22"/>
          <w:lang w:val="en-GB"/>
        </w:rPr>
        <w:t xml:space="preserve">countries with historical roots in English law, past legal precedents or judicial decisions </w:t>
      </w:r>
      <w:r w:rsidR="00153A0D">
        <w:rPr>
          <w:rFonts w:ascii="Avenir Next" w:hAnsi="Avenir Next" w:cs="Arial"/>
          <w:color w:val="808080" w:themeColor="background1" w:themeShade="80"/>
          <w:sz w:val="22"/>
          <w:szCs w:val="22"/>
          <w:lang w:val="en-GB"/>
        </w:rPr>
        <w:t xml:space="preserve">are relevant and/or important in determining the cases at hand. Whereas for countries with </w:t>
      </w:r>
      <w:r w:rsidR="005A2102">
        <w:rPr>
          <w:rFonts w:ascii="Avenir Next" w:hAnsi="Avenir Next" w:cs="Arial"/>
          <w:color w:val="808080" w:themeColor="background1" w:themeShade="80"/>
          <w:sz w:val="22"/>
          <w:szCs w:val="22"/>
          <w:lang w:val="en-GB"/>
        </w:rPr>
        <w:t>historical roots in civil law, codified statutes or legislations are more important.</w:t>
      </w:r>
      <w:r w:rsidR="00FC2411">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35547609" w:rsidR="00DA42DA" w:rsidRDefault="00897A0F"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refers to a principle that there should only be one main insolvency proceedings covering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debtor’s assets and debts worldwide. There may be more than one insolvency proceedings originating in different jurisdictions, but they ought to be dealt with under the provisions of the insolvency laws of the State where the debtor has its centre of main interests. </w:t>
      </w:r>
    </w:p>
    <w:p w14:paraId="6FB587D7" w14:textId="77777777" w:rsidR="000E747F" w:rsidRDefault="000E747F" w:rsidP="00FC2411">
      <w:pPr>
        <w:ind w:left="567"/>
        <w:jc w:val="both"/>
        <w:rPr>
          <w:rFonts w:ascii="Avenir Next" w:hAnsi="Avenir Next" w:cs="Arial"/>
          <w:color w:val="808080" w:themeColor="background1" w:themeShade="80"/>
          <w:sz w:val="22"/>
          <w:szCs w:val="22"/>
          <w:lang w:val="en-GB"/>
        </w:rPr>
      </w:pPr>
    </w:p>
    <w:p w14:paraId="20E60375" w14:textId="04410619" w:rsidR="000E747F" w:rsidRDefault="000E747F"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0E747F">
        <w:rPr>
          <w:rFonts w:ascii="Avenir Next" w:hAnsi="Avenir Next" w:cs="Arial"/>
          <w:color w:val="808080" w:themeColor="background1" w:themeShade="80"/>
          <w:sz w:val="22"/>
          <w:szCs w:val="22"/>
          <w:lang w:val="en-GB"/>
        </w:rPr>
        <w:t>erritorialism</w:t>
      </w:r>
      <w:r>
        <w:rPr>
          <w:rFonts w:ascii="Avenir Next" w:hAnsi="Avenir Next" w:cs="Arial"/>
          <w:color w:val="808080" w:themeColor="background1" w:themeShade="80"/>
          <w:sz w:val="22"/>
          <w:szCs w:val="22"/>
          <w:lang w:val="en-GB"/>
        </w:rPr>
        <w:t>” refers to a principle where insolvency proceedings may be commenced in every State where the debtor holds assets. The consequence is that there can be plurality or multiplicity of insolvency proceedings.</w:t>
      </w:r>
    </w:p>
    <w:p w14:paraId="2246B7C4" w14:textId="77777777" w:rsidR="000E747F" w:rsidRDefault="000E747F" w:rsidP="00FC2411">
      <w:pPr>
        <w:ind w:left="567"/>
        <w:jc w:val="both"/>
        <w:rPr>
          <w:rFonts w:ascii="Avenir Next" w:hAnsi="Avenir Next" w:cs="Arial"/>
          <w:color w:val="808080" w:themeColor="background1" w:themeShade="80"/>
          <w:sz w:val="22"/>
          <w:szCs w:val="22"/>
          <w:lang w:val="en-GB"/>
        </w:rPr>
      </w:pPr>
    </w:p>
    <w:p w14:paraId="6500413A" w14:textId="4D93A3DB" w:rsidR="000E747F" w:rsidRPr="00DA42DA" w:rsidRDefault="000E747F" w:rsidP="00FC2411">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 refers to a principle where a “main insolvency proceeding” has been commenced in the State where the debtor has its centre of main interests, but such proceeding is supported by secondary insolvency proceedings in another State.</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8E34222" w:rsidR="00DA42DA" w:rsidRDefault="000E747F" w:rsidP="00E6239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2 important treaties in respect of International Insolvency issues in Latin America, and they are as follows:</w:t>
      </w:r>
    </w:p>
    <w:p w14:paraId="6F3FD0D6" w14:textId="77777777" w:rsidR="000E747F" w:rsidRDefault="000E747F" w:rsidP="00E62395">
      <w:pPr>
        <w:ind w:left="567"/>
        <w:jc w:val="both"/>
        <w:rPr>
          <w:rFonts w:ascii="Avenir Next" w:hAnsi="Avenir Next" w:cs="Arial"/>
          <w:color w:val="808080" w:themeColor="background1" w:themeShade="80"/>
          <w:sz w:val="22"/>
          <w:szCs w:val="22"/>
          <w:lang w:val="en-GB"/>
        </w:rPr>
      </w:pPr>
    </w:p>
    <w:p w14:paraId="750357F3" w14:textId="3CC222B0" w:rsidR="00E62395" w:rsidRPr="00E62395" w:rsidRDefault="000E747F" w:rsidP="00E62395">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Montevideo Treaties of 1889 and 1940</w:t>
      </w:r>
    </w:p>
    <w:p w14:paraId="52ECDE90" w14:textId="1D203E26" w:rsidR="000E747F" w:rsidRDefault="000E747F" w:rsidP="00E62395">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Havana Convention on Private International Law of 1928</w:t>
      </w:r>
    </w:p>
    <w:p w14:paraId="531EC680" w14:textId="77777777" w:rsidR="003E7E4C" w:rsidRDefault="003E7E4C" w:rsidP="00E62395">
      <w:pPr>
        <w:ind w:left="567"/>
        <w:jc w:val="both"/>
        <w:rPr>
          <w:rFonts w:ascii="Avenir Next" w:hAnsi="Avenir Next" w:cs="Arial"/>
          <w:color w:val="808080" w:themeColor="background1" w:themeShade="80"/>
          <w:sz w:val="22"/>
          <w:szCs w:val="22"/>
          <w:lang w:val="en-GB"/>
        </w:rPr>
      </w:pPr>
    </w:p>
    <w:p w14:paraId="2DCC28F8" w14:textId="4A30D166" w:rsidR="00E62395" w:rsidRDefault="00E62395" w:rsidP="00E6239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Treaties provide that there should be one set of single insolvency proceedings in the commercial domicile of a debtor even if that debtor occasionally trades in more than one contracting State.</w:t>
      </w:r>
    </w:p>
    <w:p w14:paraId="5D78DA51" w14:textId="77777777" w:rsidR="00E62395" w:rsidRDefault="00E62395" w:rsidP="00E62395">
      <w:pPr>
        <w:ind w:left="567"/>
        <w:jc w:val="both"/>
        <w:rPr>
          <w:rFonts w:ascii="Avenir Next" w:hAnsi="Avenir Next" w:cs="Arial"/>
          <w:color w:val="808080" w:themeColor="background1" w:themeShade="80"/>
          <w:sz w:val="22"/>
          <w:szCs w:val="22"/>
          <w:lang w:val="en-GB"/>
        </w:rPr>
      </w:pPr>
    </w:p>
    <w:p w14:paraId="6C2C2E42" w14:textId="7985B214" w:rsidR="00E62395" w:rsidRDefault="00E62395" w:rsidP="00E6239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difference is as follows:</w:t>
      </w:r>
    </w:p>
    <w:p w14:paraId="3501E7F0" w14:textId="77777777" w:rsidR="00E62395" w:rsidRDefault="00E62395" w:rsidP="00E62395">
      <w:pPr>
        <w:ind w:left="567"/>
        <w:jc w:val="both"/>
        <w:rPr>
          <w:rFonts w:ascii="Avenir Next" w:hAnsi="Avenir Next" w:cs="Arial"/>
          <w:color w:val="808080" w:themeColor="background1" w:themeShade="80"/>
          <w:sz w:val="22"/>
          <w:szCs w:val="22"/>
          <w:lang w:val="en-GB"/>
        </w:rPr>
      </w:pPr>
    </w:p>
    <w:p w14:paraId="0DFC6E50" w14:textId="1F9E2E65" w:rsidR="00E62395" w:rsidRDefault="00E62395" w:rsidP="00E62395">
      <w:pPr>
        <w:pStyle w:val="ListParagraph"/>
        <w:numPr>
          <w:ilvl w:val="0"/>
          <w:numId w:val="36"/>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member or contracting States in respect of both Treaties are different.</w:t>
      </w:r>
    </w:p>
    <w:p w14:paraId="074C4F0F" w14:textId="77777777" w:rsidR="00E62395" w:rsidRDefault="00E62395" w:rsidP="00E62395">
      <w:pPr>
        <w:pStyle w:val="ListParagraph"/>
        <w:ind w:left="1701" w:hanging="567"/>
        <w:jc w:val="both"/>
        <w:rPr>
          <w:rFonts w:ascii="Avenir Next" w:hAnsi="Avenir Next" w:cs="Arial"/>
          <w:color w:val="808080" w:themeColor="background1" w:themeShade="80"/>
          <w:sz w:val="22"/>
          <w:szCs w:val="22"/>
          <w:lang w:val="en-GB"/>
        </w:rPr>
      </w:pPr>
    </w:p>
    <w:p w14:paraId="291A9AA8" w14:textId="00C7D9D5" w:rsidR="00E62395" w:rsidRDefault="00E62395" w:rsidP="00E62395">
      <w:pPr>
        <w:pStyle w:val="ListParagraph"/>
        <w:numPr>
          <w:ilvl w:val="0"/>
          <w:numId w:val="36"/>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there are concurrent proceedings, the Havana Convention does not provide procedures for co-operation or co-ordination of any concurrent proceedings.</w:t>
      </w:r>
    </w:p>
    <w:p w14:paraId="7656311B" w14:textId="77777777" w:rsidR="00E62395" w:rsidRDefault="00E62395" w:rsidP="00E62395">
      <w:pPr>
        <w:pStyle w:val="ListParagraph"/>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9E893FF" w14:textId="77777777" w:rsidR="00F02304" w:rsidRDefault="00FC2411"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agree with this statement </w:t>
      </w:r>
      <w:r w:rsidR="00F02304">
        <w:rPr>
          <w:rFonts w:ascii="Avenir Next" w:hAnsi="Avenir Next" w:cs="Arial"/>
          <w:color w:val="808080" w:themeColor="background1" w:themeShade="80"/>
          <w:sz w:val="22"/>
          <w:szCs w:val="22"/>
          <w:lang w:val="en-GB"/>
        </w:rPr>
        <w:t>because</w:t>
      </w:r>
      <w:r>
        <w:rPr>
          <w:rFonts w:ascii="Avenir Next" w:hAnsi="Avenir Next" w:cs="Arial"/>
          <w:color w:val="808080" w:themeColor="background1" w:themeShade="80"/>
          <w:sz w:val="22"/>
          <w:szCs w:val="22"/>
          <w:lang w:val="en-GB"/>
        </w:rPr>
        <w:t xml:space="preserve"> many countries have legal systems </w:t>
      </w:r>
      <w:r w:rsidR="00F02304">
        <w:rPr>
          <w:rFonts w:ascii="Avenir Next" w:hAnsi="Avenir Next" w:cs="Arial"/>
          <w:color w:val="808080" w:themeColor="background1" w:themeShade="80"/>
          <w:sz w:val="22"/>
          <w:szCs w:val="22"/>
          <w:lang w:val="en-GB"/>
        </w:rPr>
        <w:t xml:space="preserve">which use the term “insolvency” while some other countries use the term “bankruptcy”, both term for the same meaning. </w:t>
      </w:r>
    </w:p>
    <w:p w14:paraId="1D812EB7" w14:textId="77777777" w:rsidR="00F02304" w:rsidRDefault="00F02304" w:rsidP="003F4C8C">
      <w:pPr>
        <w:ind w:left="567"/>
        <w:jc w:val="both"/>
        <w:rPr>
          <w:rFonts w:ascii="Avenir Next" w:hAnsi="Avenir Next" w:cs="Arial"/>
          <w:color w:val="808080" w:themeColor="background1" w:themeShade="80"/>
          <w:sz w:val="22"/>
          <w:szCs w:val="22"/>
          <w:lang w:val="en-GB"/>
        </w:rPr>
      </w:pPr>
    </w:p>
    <w:p w14:paraId="71773D47" w14:textId="3E05A031" w:rsidR="00DA42DA" w:rsidRDefault="00F02304"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countries even use both terms interchangeably within the same legal system. An example is Malaysia, where its legislation on the insolvency of an individual natural person is known as the “Insolvency Act 1967” (formerly known as the “Bankruptcy Act 1967”). However, the preamble of the Act states that it is “</w:t>
      </w:r>
      <w:r w:rsidRPr="00F02304">
        <w:rPr>
          <w:rFonts w:ascii="Avenir Next" w:hAnsi="Avenir Next" w:cs="Arial"/>
          <w:i/>
          <w:iCs/>
          <w:color w:val="808080" w:themeColor="background1" w:themeShade="80"/>
          <w:sz w:val="22"/>
          <w:szCs w:val="22"/>
          <w:lang w:val="en-GB"/>
        </w:rPr>
        <w:t>an Act relating to the insolvency and bankruptcy of an individual</w:t>
      </w:r>
      <w:r>
        <w:rPr>
          <w:rFonts w:ascii="Avenir Next" w:hAnsi="Avenir Next" w:cs="Arial"/>
          <w:color w:val="808080" w:themeColor="background1" w:themeShade="80"/>
          <w:sz w:val="22"/>
          <w:szCs w:val="22"/>
          <w:lang w:val="en-GB"/>
        </w:rPr>
        <w:t xml:space="preserve"> …” </w:t>
      </w:r>
    </w:p>
    <w:p w14:paraId="283DC9EB" w14:textId="77777777" w:rsidR="00F02304" w:rsidRDefault="00F02304" w:rsidP="003F4C8C">
      <w:pPr>
        <w:ind w:left="567"/>
        <w:jc w:val="both"/>
        <w:rPr>
          <w:rFonts w:ascii="Avenir Next" w:hAnsi="Avenir Next" w:cs="Arial"/>
          <w:color w:val="808080" w:themeColor="background1" w:themeShade="80"/>
          <w:sz w:val="22"/>
          <w:szCs w:val="22"/>
          <w:lang w:val="en-GB"/>
        </w:rPr>
      </w:pPr>
    </w:p>
    <w:p w14:paraId="48F37E91" w14:textId="5613A509" w:rsidR="00F02304" w:rsidRDefault="00F02304"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the term “bankruptcy” is often understood as the formal state of putting one into formal bankruptcy proceedings. Whereas the term “insolvency” is often understood as reference to the state of financial affairs of a debtor. </w:t>
      </w:r>
    </w:p>
    <w:p w14:paraId="225F8101" w14:textId="77777777" w:rsidR="00F02304" w:rsidRDefault="00F02304" w:rsidP="003F4C8C">
      <w:pPr>
        <w:ind w:left="567"/>
        <w:jc w:val="both"/>
        <w:rPr>
          <w:rFonts w:ascii="Avenir Next" w:hAnsi="Avenir Next" w:cs="Arial"/>
          <w:color w:val="808080" w:themeColor="background1" w:themeShade="80"/>
          <w:sz w:val="22"/>
          <w:szCs w:val="22"/>
          <w:lang w:val="en-GB"/>
        </w:rPr>
      </w:pPr>
    </w:p>
    <w:p w14:paraId="19D63346" w14:textId="4A3B2F36" w:rsidR="00F02304" w:rsidRDefault="00F02304"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of both “bankruptcy” and “insolvency” are explained by </w:t>
      </w:r>
      <w:r w:rsidR="003F4C8C">
        <w:rPr>
          <w:rFonts w:ascii="Avenir Next" w:hAnsi="Avenir Next" w:cs="Arial"/>
          <w:color w:val="808080" w:themeColor="background1" w:themeShade="80"/>
          <w:sz w:val="22"/>
          <w:szCs w:val="22"/>
          <w:lang w:val="en-GB"/>
        </w:rPr>
        <w:t>Wood</w:t>
      </w:r>
      <w:r>
        <w:rPr>
          <w:rFonts w:ascii="Avenir Next" w:hAnsi="Avenir Next" w:cs="Arial"/>
          <w:color w:val="808080" w:themeColor="background1" w:themeShade="80"/>
          <w:sz w:val="22"/>
          <w:szCs w:val="22"/>
          <w:lang w:val="en-GB"/>
        </w:rPr>
        <w:t xml:space="preserve"> </w:t>
      </w:r>
      <w:r w:rsidR="003F4C8C">
        <w:rPr>
          <w:rFonts w:ascii="Avenir Next" w:hAnsi="Avenir Next" w:cs="Arial"/>
          <w:color w:val="808080" w:themeColor="background1" w:themeShade="80"/>
          <w:sz w:val="22"/>
          <w:szCs w:val="22"/>
          <w:lang w:val="en-GB"/>
        </w:rPr>
        <w:t xml:space="preserve">and they </w:t>
      </w:r>
      <w:r>
        <w:rPr>
          <w:rFonts w:ascii="Avenir Next" w:hAnsi="Avenir Next" w:cs="Arial"/>
          <w:color w:val="808080" w:themeColor="background1" w:themeShade="80"/>
          <w:sz w:val="22"/>
          <w:szCs w:val="22"/>
          <w:lang w:val="en-GB"/>
        </w:rPr>
        <w:t>are as follows:</w:t>
      </w:r>
    </w:p>
    <w:p w14:paraId="178B5B1C" w14:textId="77777777" w:rsidR="003F4C8C" w:rsidRDefault="003F4C8C" w:rsidP="003F4C8C">
      <w:pPr>
        <w:ind w:left="567"/>
        <w:jc w:val="both"/>
        <w:rPr>
          <w:rFonts w:ascii="Avenir Next" w:hAnsi="Avenir Next" w:cs="Arial"/>
          <w:color w:val="808080" w:themeColor="background1" w:themeShade="80"/>
          <w:sz w:val="22"/>
          <w:szCs w:val="22"/>
          <w:lang w:val="en-GB"/>
        </w:rPr>
      </w:pPr>
    </w:p>
    <w:p w14:paraId="3A13659C" w14:textId="30BF5BAE" w:rsidR="003F4C8C" w:rsidRDefault="003F4C8C" w:rsidP="003F4C8C">
      <w:pPr>
        <w:pStyle w:val="ListParagraph"/>
        <w:numPr>
          <w:ilvl w:val="0"/>
          <w:numId w:val="3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there is a moratorium against individual debt enforcement.</w:t>
      </w:r>
    </w:p>
    <w:p w14:paraId="241B9584" w14:textId="77777777" w:rsidR="003F4C8C" w:rsidRDefault="003F4C8C" w:rsidP="003F4C8C">
      <w:pPr>
        <w:pStyle w:val="ListParagraph"/>
        <w:ind w:left="1134" w:hanging="567"/>
        <w:jc w:val="both"/>
        <w:rPr>
          <w:rFonts w:ascii="Avenir Next" w:hAnsi="Avenir Next" w:cs="Arial"/>
          <w:color w:val="808080" w:themeColor="background1" w:themeShade="80"/>
          <w:sz w:val="22"/>
          <w:szCs w:val="22"/>
          <w:lang w:val="en-GB"/>
        </w:rPr>
      </w:pPr>
    </w:p>
    <w:p w14:paraId="2EF6E59B" w14:textId="66677BC2" w:rsidR="003F4C8C" w:rsidRDefault="003F4C8C" w:rsidP="003F4C8C">
      <w:pPr>
        <w:pStyle w:val="ListParagraph"/>
        <w:numPr>
          <w:ilvl w:val="0"/>
          <w:numId w:val="3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the assets of the debtor who is bankrupt or insolvent are pooled together to be distributed to pay creditors.</w:t>
      </w:r>
    </w:p>
    <w:p w14:paraId="2D0B14A6" w14:textId="77777777" w:rsidR="003F4C8C" w:rsidRDefault="003F4C8C" w:rsidP="003F4C8C">
      <w:pPr>
        <w:pStyle w:val="ListParagraph"/>
        <w:ind w:left="1134" w:hanging="567"/>
        <w:jc w:val="both"/>
        <w:rPr>
          <w:rFonts w:ascii="Avenir Next" w:hAnsi="Avenir Next" w:cs="Arial"/>
          <w:color w:val="808080" w:themeColor="background1" w:themeShade="80"/>
          <w:sz w:val="22"/>
          <w:szCs w:val="22"/>
          <w:lang w:val="en-GB"/>
        </w:rPr>
      </w:pPr>
    </w:p>
    <w:p w14:paraId="49720A29" w14:textId="149609BA" w:rsidR="003F4C8C" w:rsidRDefault="003F4C8C" w:rsidP="003F4C8C">
      <w:pPr>
        <w:pStyle w:val="ListParagraph"/>
        <w:numPr>
          <w:ilvl w:val="0"/>
          <w:numId w:val="3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all creditors of the debtor who is bankrupt or insolvent will be paid on equal footing,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w:t>
      </w:r>
    </w:p>
    <w:p w14:paraId="04A0D3BE" w14:textId="77777777" w:rsidR="003F4C8C" w:rsidRDefault="003F4C8C" w:rsidP="003F4C8C">
      <w:pPr>
        <w:ind w:left="567"/>
        <w:jc w:val="both"/>
        <w:rPr>
          <w:rFonts w:ascii="Avenir Next" w:hAnsi="Avenir Next" w:cs="Arial"/>
          <w:color w:val="808080" w:themeColor="background1" w:themeShade="80"/>
          <w:sz w:val="22"/>
          <w:szCs w:val="22"/>
          <w:lang w:val="en-GB"/>
        </w:rPr>
      </w:pPr>
    </w:p>
    <w:p w14:paraId="67B2BDE5" w14:textId="16C9224C" w:rsidR="003F4C8C" w:rsidRPr="003F4C8C" w:rsidRDefault="003F4C8C"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 that may arise when a “bankruptcy” or “insolvency” involves a corporation is the objective which Sealy and Hooley distinguishes them as follows:</w:t>
      </w:r>
    </w:p>
    <w:p w14:paraId="3039DEBF" w14:textId="77777777" w:rsidR="00F02304" w:rsidRDefault="00F02304" w:rsidP="003F4C8C">
      <w:pPr>
        <w:ind w:left="567"/>
        <w:jc w:val="both"/>
        <w:rPr>
          <w:rFonts w:ascii="Avenir Next" w:hAnsi="Avenir Next" w:cs="Arial"/>
          <w:color w:val="808080" w:themeColor="background1" w:themeShade="80"/>
          <w:sz w:val="22"/>
          <w:szCs w:val="22"/>
          <w:lang w:val="en-GB"/>
        </w:rPr>
      </w:pPr>
    </w:p>
    <w:tbl>
      <w:tblPr>
        <w:tblStyle w:val="TableGrid"/>
        <w:tblW w:w="0" w:type="auto"/>
        <w:tblInd w:w="562" w:type="dxa"/>
        <w:tblLook w:val="04A0" w:firstRow="1" w:lastRow="0" w:firstColumn="1" w:lastColumn="0" w:noHBand="0" w:noVBand="1"/>
      </w:tblPr>
      <w:tblGrid>
        <w:gridCol w:w="4536"/>
        <w:gridCol w:w="3918"/>
      </w:tblGrid>
      <w:tr w:rsidR="00F02304" w14:paraId="1EDBD49D" w14:textId="77777777" w:rsidTr="003F4C8C">
        <w:tc>
          <w:tcPr>
            <w:tcW w:w="4536" w:type="dxa"/>
          </w:tcPr>
          <w:p w14:paraId="0DE15949" w14:textId="72C77FCD" w:rsidR="00F02304" w:rsidRDefault="00F02304"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w:t>
            </w:r>
          </w:p>
        </w:tc>
        <w:tc>
          <w:tcPr>
            <w:tcW w:w="3918" w:type="dxa"/>
          </w:tcPr>
          <w:p w14:paraId="192AED3C" w14:textId="22AFA4E5" w:rsidR="00F02304" w:rsidRDefault="00F02304" w:rsidP="003F4C8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w:t>
            </w:r>
          </w:p>
        </w:tc>
      </w:tr>
      <w:tr w:rsidR="00F02304" w14:paraId="6D541B06" w14:textId="77777777" w:rsidTr="003F4C8C">
        <w:tc>
          <w:tcPr>
            <w:tcW w:w="4536" w:type="dxa"/>
          </w:tcPr>
          <w:p w14:paraId="595B9404" w14:textId="77777777" w:rsidR="00F02304" w:rsidRDefault="00F02304" w:rsidP="003F4C8C">
            <w:pPr>
              <w:pStyle w:val="ListParagraph"/>
              <w:numPr>
                <w:ilvl w:val="0"/>
                <w:numId w:val="37"/>
              </w:num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protect the debtor from harassment by his creditors</w:t>
            </w:r>
          </w:p>
          <w:p w14:paraId="254BA8AE" w14:textId="77777777" w:rsidR="003F4C8C" w:rsidRDefault="003F4C8C" w:rsidP="003F4C8C">
            <w:pPr>
              <w:pStyle w:val="ListParagraph"/>
              <w:ind w:left="567"/>
              <w:jc w:val="both"/>
              <w:rPr>
                <w:rFonts w:ascii="Avenir Next" w:hAnsi="Avenir Next" w:cs="Arial"/>
                <w:color w:val="808080" w:themeColor="background1" w:themeShade="80"/>
                <w:sz w:val="22"/>
                <w:szCs w:val="22"/>
                <w:lang w:val="en-GB"/>
              </w:rPr>
            </w:pPr>
          </w:p>
          <w:p w14:paraId="388780D3" w14:textId="77777777" w:rsidR="00F02304" w:rsidRDefault="00F02304" w:rsidP="003F4C8C">
            <w:pPr>
              <w:pStyle w:val="ListParagraph"/>
              <w:numPr>
                <w:ilvl w:val="0"/>
                <w:numId w:val="37"/>
              </w:num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enable the debtor to make a fresh </w:t>
            </w:r>
            <w:proofErr w:type="gramStart"/>
            <w:r>
              <w:rPr>
                <w:rFonts w:ascii="Avenir Next" w:hAnsi="Avenir Next" w:cs="Arial"/>
                <w:color w:val="808080" w:themeColor="background1" w:themeShade="80"/>
                <w:sz w:val="22"/>
                <w:szCs w:val="22"/>
                <w:lang w:val="en-GB"/>
              </w:rPr>
              <w:t>start</w:t>
            </w:r>
            <w:proofErr w:type="gramEnd"/>
          </w:p>
          <w:p w14:paraId="3657B8DE" w14:textId="77777777" w:rsidR="003F4C8C" w:rsidRDefault="003F4C8C" w:rsidP="003F4C8C">
            <w:pPr>
              <w:pStyle w:val="ListParagraph"/>
              <w:ind w:left="567"/>
              <w:jc w:val="both"/>
              <w:rPr>
                <w:rFonts w:ascii="Avenir Next" w:hAnsi="Avenir Next" w:cs="Arial"/>
                <w:color w:val="808080" w:themeColor="background1" w:themeShade="80"/>
                <w:sz w:val="22"/>
                <w:szCs w:val="22"/>
                <w:lang w:val="en-GB"/>
              </w:rPr>
            </w:pPr>
          </w:p>
          <w:p w14:paraId="72785F40" w14:textId="2DC5E01B" w:rsidR="00F02304" w:rsidRPr="00F02304" w:rsidRDefault="00F02304" w:rsidP="003F4C8C">
            <w:pPr>
              <w:pStyle w:val="ListParagraph"/>
              <w:numPr>
                <w:ilvl w:val="0"/>
                <w:numId w:val="37"/>
              </w:num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reduce the debtor’s indebtedness by making contributions from present and </w:t>
            </w:r>
            <w:r>
              <w:rPr>
                <w:rFonts w:ascii="Avenir Next" w:hAnsi="Avenir Next" w:cs="Arial"/>
                <w:color w:val="808080" w:themeColor="background1" w:themeShade="80"/>
                <w:sz w:val="22"/>
                <w:szCs w:val="22"/>
                <w:lang w:val="en-GB"/>
              </w:rPr>
              <w:lastRenderedPageBreak/>
              <w:t>future income to the estate while at the same time taking his personal circumstances into considerations</w:t>
            </w:r>
          </w:p>
        </w:tc>
        <w:tc>
          <w:tcPr>
            <w:tcW w:w="3918" w:type="dxa"/>
          </w:tcPr>
          <w:p w14:paraId="0056ADC0" w14:textId="77777777" w:rsidR="00F02304" w:rsidRDefault="00F02304" w:rsidP="003F4C8C">
            <w:pPr>
              <w:pStyle w:val="ListParagraph"/>
              <w:numPr>
                <w:ilvl w:val="0"/>
                <w:numId w:val="38"/>
              </w:num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preserve the business or any viable parts of it</w:t>
            </w:r>
          </w:p>
          <w:p w14:paraId="07907C28" w14:textId="77777777" w:rsidR="003F4C8C" w:rsidRDefault="003F4C8C" w:rsidP="003F4C8C">
            <w:pPr>
              <w:pStyle w:val="ListParagraph"/>
              <w:ind w:left="567"/>
              <w:jc w:val="both"/>
              <w:rPr>
                <w:rFonts w:ascii="Avenir Next" w:hAnsi="Avenir Next" w:cs="Arial"/>
                <w:color w:val="808080" w:themeColor="background1" w:themeShade="80"/>
                <w:sz w:val="22"/>
                <w:szCs w:val="22"/>
                <w:lang w:val="en-GB"/>
              </w:rPr>
            </w:pPr>
          </w:p>
          <w:p w14:paraId="0EEB20C0" w14:textId="60E99897" w:rsidR="00F02304" w:rsidRPr="00F02304" w:rsidRDefault="00F02304" w:rsidP="003F4C8C">
            <w:pPr>
              <w:pStyle w:val="ListParagraph"/>
              <w:numPr>
                <w:ilvl w:val="0"/>
                <w:numId w:val="38"/>
              </w:num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impose personal liability on the persons responsible that led to the </w:t>
            </w:r>
          </w:p>
        </w:tc>
      </w:tr>
    </w:tbl>
    <w:p w14:paraId="58A2CF0D" w14:textId="77777777" w:rsidR="00F02304" w:rsidRPr="00DA42DA" w:rsidRDefault="00F02304" w:rsidP="003F4C8C">
      <w:pPr>
        <w:ind w:left="567"/>
        <w:jc w:val="both"/>
        <w:rPr>
          <w:rFonts w:ascii="Avenir Next" w:hAnsi="Avenir Next" w:cs="Arial"/>
          <w:color w:val="808080" w:themeColor="background1" w:themeShade="80"/>
          <w:sz w:val="22"/>
          <w:szCs w:val="22"/>
          <w:lang w:val="en-GB"/>
        </w:rPr>
      </w:pPr>
    </w:p>
    <w:p w14:paraId="0DCFD5B9" w14:textId="77777777" w:rsidR="00DD526C" w:rsidRDefault="00DD526C" w:rsidP="003F4C8C">
      <w:pPr>
        <w:ind w:left="567"/>
        <w:jc w:val="both"/>
        <w:rPr>
          <w:rFonts w:ascii="Avenir Next" w:hAnsi="Avenir Next" w:cs="Arial"/>
          <w:color w:val="808080" w:themeColor="background1" w:themeShade="80"/>
          <w:sz w:val="22"/>
          <w:szCs w:val="22"/>
          <w:lang w:val="en-GB"/>
        </w:rPr>
      </w:pPr>
    </w:p>
    <w:p w14:paraId="39D5CE5F" w14:textId="77777777" w:rsidR="003F4C8C" w:rsidRPr="001F5204" w:rsidRDefault="003F4C8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0AEC8C3E" w:rsidR="00DA42DA" w:rsidRDefault="003F4C8C" w:rsidP="00E37CED">
      <w:pPr>
        <w:pStyle w:val="ListParagraph"/>
        <w:numPr>
          <w:ilvl w:val="0"/>
          <w:numId w:val="4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as Friman noted, one of the difficulties lies in finding a common insolvency language</w:t>
      </w:r>
      <w:r w:rsidR="004F35AE">
        <w:rPr>
          <w:rFonts w:ascii="Avenir Next" w:hAnsi="Avenir Next" w:cs="Arial"/>
          <w:color w:val="808080" w:themeColor="background1" w:themeShade="80"/>
          <w:sz w:val="22"/>
          <w:szCs w:val="22"/>
          <w:lang w:val="en-GB"/>
        </w:rPr>
        <w:t>.</w:t>
      </w:r>
    </w:p>
    <w:p w14:paraId="5168F565" w14:textId="77777777" w:rsidR="003F4C8C" w:rsidRDefault="003F4C8C" w:rsidP="00E37CED">
      <w:pPr>
        <w:pStyle w:val="ListParagraph"/>
        <w:ind w:left="1134" w:hanging="567"/>
        <w:jc w:val="both"/>
        <w:rPr>
          <w:rFonts w:ascii="Avenir Next" w:hAnsi="Avenir Next" w:cs="Arial"/>
          <w:color w:val="808080" w:themeColor="background1" w:themeShade="80"/>
          <w:sz w:val="22"/>
          <w:szCs w:val="22"/>
          <w:lang w:val="en-GB"/>
        </w:rPr>
      </w:pPr>
    </w:p>
    <w:p w14:paraId="745F7D6A" w14:textId="481DBCA2" w:rsidR="003F4C8C" w:rsidRDefault="003F4C8C" w:rsidP="00E37CED">
      <w:pPr>
        <w:pStyle w:val="ListParagraph"/>
        <w:numPr>
          <w:ilvl w:val="0"/>
          <w:numId w:val="4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as Omar noted, another difficulty is the conflict of law and difference in domestic norms and systems, and the difficulty in reconciling each one of them with another.</w:t>
      </w:r>
    </w:p>
    <w:p w14:paraId="4FF730D3" w14:textId="77777777" w:rsidR="003F4C8C" w:rsidRDefault="003F4C8C" w:rsidP="00E37CED">
      <w:pPr>
        <w:pStyle w:val="ListParagraph"/>
        <w:ind w:left="1134" w:hanging="567"/>
        <w:jc w:val="both"/>
        <w:rPr>
          <w:rFonts w:ascii="Avenir Next" w:hAnsi="Avenir Next" w:cs="Arial"/>
          <w:color w:val="808080" w:themeColor="background1" w:themeShade="80"/>
          <w:sz w:val="22"/>
          <w:szCs w:val="22"/>
          <w:lang w:val="en-GB"/>
        </w:rPr>
      </w:pPr>
    </w:p>
    <w:p w14:paraId="52149802" w14:textId="529DF533" w:rsidR="003F4C8C" w:rsidRDefault="003F4C8C" w:rsidP="00E37CED">
      <w:pPr>
        <w:pStyle w:val="ListParagraph"/>
        <w:numPr>
          <w:ilvl w:val="0"/>
          <w:numId w:val="4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as Westbrook noted, there are 9 key issues </w:t>
      </w:r>
      <w:r w:rsidR="00E37CED">
        <w:rPr>
          <w:rFonts w:ascii="Avenir Next" w:hAnsi="Avenir Next" w:cs="Arial"/>
          <w:color w:val="808080" w:themeColor="background1" w:themeShade="80"/>
          <w:sz w:val="22"/>
          <w:szCs w:val="22"/>
          <w:lang w:val="en-GB"/>
        </w:rPr>
        <w:t>that make it difficult. They are as follows:</w:t>
      </w:r>
    </w:p>
    <w:p w14:paraId="53FADB8D" w14:textId="0261CA6E"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Standing (locus standi) for recognition of the foreign </w:t>
      </w:r>
      <w:proofErr w:type="gramStart"/>
      <w:r>
        <w:rPr>
          <w:rFonts w:ascii="Avenir Next" w:hAnsi="Avenir Next" w:cs="Arial"/>
          <w:color w:val="808080" w:themeColor="background1" w:themeShade="80"/>
          <w:sz w:val="22"/>
          <w:szCs w:val="22"/>
          <w:lang w:val="en-GB"/>
        </w:rPr>
        <w:t>representative;</w:t>
      </w:r>
      <w:proofErr w:type="gramEnd"/>
    </w:p>
    <w:p w14:paraId="0FDD8FE7" w14:textId="59C7ADE2"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690C3A1B" w14:textId="285998A7"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50883DDC" w14:textId="5DB60FE2"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1BA26B55" w14:textId="22A23714"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procedures</w:t>
      </w:r>
    </w:p>
    <w:p w14:paraId="411045E5" w14:textId="143A81D7"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w:t>
      </w:r>
    </w:p>
    <w:p w14:paraId="777A2E30" w14:textId="10B2F89A"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 powers</w:t>
      </w:r>
    </w:p>
    <w:p w14:paraId="0DC152B6" w14:textId="5720E14E"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w:t>
      </w:r>
    </w:p>
    <w:p w14:paraId="2838DA8F" w14:textId="50DD212B" w:rsidR="00E37CED" w:rsidRDefault="00E37CED" w:rsidP="00E37CED">
      <w:pPr>
        <w:pStyle w:val="ListParagraph"/>
        <w:numPr>
          <w:ilvl w:val="1"/>
          <w:numId w:val="40"/>
        </w:numPr>
        <w:ind w:left="170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Conflicts of law</w:t>
      </w:r>
    </w:p>
    <w:p w14:paraId="2DEAF545" w14:textId="77777777" w:rsidR="00E37CED" w:rsidRDefault="00E37CED" w:rsidP="00E37CED">
      <w:pPr>
        <w:pStyle w:val="ListParagraph"/>
        <w:ind w:left="1701"/>
        <w:jc w:val="both"/>
        <w:rPr>
          <w:rFonts w:ascii="Avenir Next" w:hAnsi="Avenir Next" w:cs="Arial"/>
          <w:color w:val="808080" w:themeColor="background1" w:themeShade="80"/>
          <w:sz w:val="22"/>
          <w:szCs w:val="22"/>
          <w:lang w:val="en-GB"/>
        </w:rPr>
      </w:pPr>
    </w:p>
    <w:p w14:paraId="46DE8003" w14:textId="5F1D787F" w:rsidR="00E37CED" w:rsidRPr="003F4C8C" w:rsidRDefault="00E37CED" w:rsidP="00E37CED">
      <w:pPr>
        <w:pStyle w:val="ListParagraph"/>
        <w:numPr>
          <w:ilvl w:val="0"/>
          <w:numId w:val="4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 the lack of a global uniform approach to deal with cross-border insolvency is also a factor.</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41C2BA49" w:rsidR="006A44B2" w:rsidRDefault="00E37CED" w:rsidP="00E37CED">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refers to international regulations that are legally binding on contracting States. Examples of “hard laws” include treaties and conventions.</w:t>
      </w:r>
    </w:p>
    <w:p w14:paraId="2B93B94B" w14:textId="77777777" w:rsidR="00E37CED" w:rsidRDefault="00E37CED" w:rsidP="00E37CED">
      <w:pPr>
        <w:ind w:left="567"/>
        <w:jc w:val="both"/>
        <w:rPr>
          <w:rFonts w:ascii="Avenir Next" w:hAnsi="Avenir Next" w:cs="Arial"/>
          <w:color w:val="808080" w:themeColor="background1" w:themeShade="80"/>
          <w:sz w:val="22"/>
          <w:szCs w:val="22"/>
          <w:lang w:val="en-GB"/>
        </w:rPr>
      </w:pPr>
    </w:p>
    <w:p w14:paraId="521C8D10" w14:textId="1FFFDEA8" w:rsidR="00E37CED" w:rsidRDefault="00E37CED" w:rsidP="00E37CED">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refers to international guidelines, codes of conducts and non-binding resolutions. An example of a “soft law” is UNCITRAL’s Model Law on Cross-border Insolvency (“Model Law”).</w:t>
      </w:r>
    </w:p>
    <w:p w14:paraId="41E22465" w14:textId="77777777" w:rsidR="00E37CED" w:rsidRDefault="00E37CED" w:rsidP="00E37CED">
      <w:pPr>
        <w:ind w:left="567"/>
        <w:jc w:val="both"/>
        <w:rPr>
          <w:rFonts w:ascii="Avenir Next" w:hAnsi="Avenir Next" w:cs="Arial"/>
          <w:color w:val="808080" w:themeColor="background1" w:themeShade="80"/>
          <w:sz w:val="22"/>
          <w:szCs w:val="22"/>
          <w:lang w:val="en-GB"/>
        </w:rPr>
      </w:pPr>
    </w:p>
    <w:p w14:paraId="288AEF6C" w14:textId="122ED7B9" w:rsidR="00E37CED" w:rsidRPr="00DA42DA" w:rsidRDefault="00E37CED" w:rsidP="00E37CED">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use of “soft law” is more successful as compared to the use of “hard law” as many countries are now adopting the Model Law and the use of the Model Law is gaining momentum.</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w:t>
      </w:r>
      <w:r w:rsidRPr="00F85C0B">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F85A26F" w:rsidR="002253D8" w:rsidRDefault="001567B7" w:rsidP="0084013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applicable English law is the UK’s Cross-Border Insolvency Regulation 2006 which sets out the legal provisions on the UK’s adoption of the UNCITRAL Model Law on Cross-Border Insolvency.</w:t>
      </w:r>
    </w:p>
    <w:p w14:paraId="5E1B9F62" w14:textId="77777777" w:rsidR="001567B7" w:rsidRDefault="001567B7" w:rsidP="00840135">
      <w:pPr>
        <w:ind w:left="567"/>
        <w:jc w:val="both"/>
        <w:rPr>
          <w:rFonts w:ascii="Avenir Next" w:hAnsi="Avenir Next" w:cs="Arial"/>
          <w:color w:val="808080" w:themeColor="background1" w:themeShade="80"/>
          <w:sz w:val="22"/>
          <w:szCs w:val="22"/>
          <w:lang w:val="en-GB"/>
        </w:rPr>
      </w:pPr>
    </w:p>
    <w:p w14:paraId="7425759B" w14:textId="05C70117" w:rsidR="001567B7" w:rsidRDefault="001567B7" w:rsidP="0084013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Act 1986 would also be applicable as it deals with insolvency within the United Kingdom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Nottingham, England)</w:t>
      </w:r>
    </w:p>
    <w:p w14:paraId="06611E5D" w14:textId="77777777" w:rsidR="00840135" w:rsidRDefault="00840135" w:rsidP="00840135">
      <w:pPr>
        <w:ind w:left="567"/>
        <w:jc w:val="both"/>
        <w:rPr>
          <w:rFonts w:ascii="Avenir Next" w:hAnsi="Avenir Next" w:cs="Arial"/>
          <w:color w:val="808080" w:themeColor="background1" w:themeShade="80"/>
          <w:sz w:val="22"/>
          <w:szCs w:val="22"/>
          <w:lang w:val="en-GB"/>
        </w:rPr>
      </w:pPr>
    </w:p>
    <w:p w14:paraId="7DABD67B" w14:textId="12DA3154" w:rsidR="00840135" w:rsidRPr="002253D8" w:rsidRDefault="00840135" w:rsidP="0084013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UK is no longer part of the European Union, the European Insolvency Regulation (Recast) 2015 is no longer applicable in the UK.</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458D9865" w:rsidR="002253D8" w:rsidRDefault="00840135" w:rsidP="000B57FE">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is the applicable legislation as both Italy and Germany are member States of the EU.</w:t>
      </w:r>
    </w:p>
    <w:p w14:paraId="29153736" w14:textId="77777777" w:rsidR="00840135" w:rsidRDefault="00840135" w:rsidP="000B57FE">
      <w:pPr>
        <w:ind w:left="567"/>
        <w:jc w:val="both"/>
        <w:rPr>
          <w:rFonts w:ascii="Avenir Next" w:hAnsi="Avenir Next" w:cs="Arial"/>
          <w:color w:val="808080" w:themeColor="background1" w:themeShade="80"/>
          <w:sz w:val="22"/>
          <w:szCs w:val="22"/>
          <w:lang w:val="en-GB"/>
        </w:rPr>
      </w:pPr>
    </w:p>
    <w:p w14:paraId="7C90320D" w14:textId="4116649F" w:rsidR="00840135" w:rsidRDefault="00840135" w:rsidP="000B57FE">
      <w:pPr>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main insolvency proceedings should be opened in Italy. </w:t>
      </w:r>
      <w:r w:rsidR="000B57FE">
        <w:rPr>
          <w:rFonts w:ascii="Avenir Next" w:hAnsi="Avenir Next" w:cs="Arial"/>
          <w:color w:val="808080" w:themeColor="background1" w:themeShade="80"/>
          <w:sz w:val="22"/>
          <w:szCs w:val="22"/>
          <w:lang w:val="en-GB"/>
        </w:rPr>
        <w:t>This is in light of Article 3.1 of the European Insolvency Regulation (Recast) which provides that “</w:t>
      </w:r>
      <w:r w:rsidR="000B57FE" w:rsidRPr="000B57FE">
        <w:rPr>
          <w:rFonts w:ascii="Avenir Next" w:hAnsi="Avenir Next" w:cs="Arial"/>
          <w:i/>
          <w:iCs/>
          <w:color w:val="808080" w:themeColor="background1" w:themeShade="80"/>
          <w:sz w:val="22"/>
          <w:szCs w:val="22"/>
        </w:rPr>
        <w:t xml:space="preserve">The </w:t>
      </w:r>
      <w:proofErr w:type="spellStart"/>
      <w:r w:rsidR="000B57FE" w:rsidRPr="000B57FE">
        <w:rPr>
          <w:rFonts w:ascii="Avenir Next" w:hAnsi="Avenir Next" w:cs="Arial"/>
          <w:i/>
          <w:iCs/>
          <w:color w:val="808080" w:themeColor="background1" w:themeShade="80"/>
          <w:sz w:val="22"/>
          <w:szCs w:val="22"/>
        </w:rPr>
        <w:t>centre</w:t>
      </w:r>
      <w:proofErr w:type="spellEnd"/>
      <w:r w:rsidR="000B57FE" w:rsidRPr="000B57FE">
        <w:rPr>
          <w:rFonts w:ascii="Avenir Next" w:hAnsi="Avenir Next" w:cs="Arial"/>
          <w:i/>
          <w:iCs/>
          <w:color w:val="808080" w:themeColor="background1" w:themeShade="80"/>
          <w:sz w:val="22"/>
          <w:szCs w:val="22"/>
        </w:rPr>
        <w:t xml:space="preserve"> of main interests shall be the place where the debtor conducts the administration of its interests on a regular </w:t>
      </w:r>
      <w:proofErr w:type="gramStart"/>
      <w:r w:rsidR="000B57FE" w:rsidRPr="000B57FE">
        <w:rPr>
          <w:rFonts w:ascii="Avenir Next" w:hAnsi="Avenir Next" w:cs="Arial"/>
          <w:i/>
          <w:iCs/>
          <w:color w:val="808080" w:themeColor="background1" w:themeShade="80"/>
          <w:sz w:val="22"/>
          <w:szCs w:val="22"/>
        </w:rPr>
        <w:t>basis</w:t>
      </w:r>
      <w:proofErr w:type="gramEnd"/>
      <w:r w:rsidR="000B57FE" w:rsidRPr="000B57FE">
        <w:rPr>
          <w:rFonts w:ascii="Avenir Next" w:hAnsi="Avenir Next" w:cs="Arial"/>
          <w:i/>
          <w:iCs/>
          <w:color w:val="808080" w:themeColor="background1" w:themeShade="80"/>
          <w:sz w:val="22"/>
          <w:szCs w:val="22"/>
        </w:rPr>
        <w:t xml:space="preserve"> and which is ascertainable by third parties</w:t>
      </w:r>
      <w:r w:rsidR="000B57FE">
        <w:rPr>
          <w:rFonts w:ascii="Avenir Next" w:hAnsi="Avenir Next" w:cs="Arial"/>
          <w:color w:val="808080" w:themeColor="background1" w:themeShade="80"/>
          <w:sz w:val="22"/>
          <w:szCs w:val="22"/>
        </w:rPr>
        <w:t>”</w:t>
      </w:r>
    </w:p>
    <w:p w14:paraId="26C40BAC" w14:textId="77777777" w:rsidR="000B57FE" w:rsidRDefault="000B57FE" w:rsidP="000B57FE">
      <w:pPr>
        <w:ind w:left="567"/>
        <w:jc w:val="both"/>
        <w:rPr>
          <w:rFonts w:ascii="Avenir Next" w:hAnsi="Avenir Next" w:cs="Arial"/>
          <w:color w:val="808080" w:themeColor="background1" w:themeShade="80"/>
          <w:sz w:val="22"/>
          <w:szCs w:val="22"/>
        </w:rPr>
      </w:pPr>
    </w:p>
    <w:p w14:paraId="1218A56B" w14:textId="5B2DD0BB" w:rsidR="000B57FE" w:rsidRDefault="000B57FE" w:rsidP="000B57FE">
      <w:pPr>
        <w:ind w:left="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While Norton Cars Inc’s main operations transpired in Germany, its management was directed from Italy. Hence, Italy is the place where Norton Cars Inc conducts the administration of its interests on a regular basis.</w:t>
      </w:r>
    </w:p>
    <w:p w14:paraId="252F9EE3" w14:textId="77777777" w:rsidR="000B57FE" w:rsidRPr="00DA42DA" w:rsidRDefault="000B57FE"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73F832C" w:rsidR="002253D8" w:rsidRPr="002253D8" w:rsidRDefault="00840135" w:rsidP="00840135">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EU (Recast) Insolvency Regulation is only applicable to member States of the EU, and neither India, South Africa </w:t>
      </w:r>
      <w:proofErr w:type="gramStart"/>
      <w:r>
        <w:rPr>
          <w:rFonts w:ascii="Avenir Next" w:hAnsi="Avenir Next" w:cs="Arial"/>
          <w:color w:val="808080" w:themeColor="background1" w:themeShade="80"/>
          <w:sz w:val="22"/>
          <w:szCs w:val="22"/>
          <w:lang w:val="en-GB"/>
        </w:rPr>
        <w:t>and</w:t>
      </w:r>
      <w:proofErr w:type="gramEnd"/>
      <w:r>
        <w:rPr>
          <w:rFonts w:ascii="Avenir Next" w:hAnsi="Avenir Next" w:cs="Arial"/>
          <w:color w:val="808080" w:themeColor="background1" w:themeShade="80"/>
          <w:sz w:val="22"/>
          <w:szCs w:val="22"/>
          <w:lang w:val="en-GB"/>
        </w:rPr>
        <w:t xml:space="preserve"> Australia are a member State of the EU.</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A340612" w:rsidR="002253D8" w:rsidRDefault="000B57FE" w:rsidP="00C804BF">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Netherlands are also a member State of the EU, the European Insolvency Regulation (Recast) would be applicable. </w:t>
      </w:r>
    </w:p>
    <w:p w14:paraId="76598FAE" w14:textId="77777777" w:rsidR="000B57FE" w:rsidRDefault="000B57FE" w:rsidP="00C804BF">
      <w:pPr>
        <w:ind w:left="1134"/>
        <w:jc w:val="both"/>
        <w:rPr>
          <w:rFonts w:ascii="Avenir Next" w:hAnsi="Avenir Next" w:cs="Arial"/>
          <w:color w:val="808080" w:themeColor="background1" w:themeShade="80"/>
          <w:sz w:val="22"/>
          <w:szCs w:val="22"/>
          <w:lang w:val="en-GB"/>
        </w:rPr>
      </w:pPr>
    </w:p>
    <w:p w14:paraId="7F5B7564" w14:textId="26EF96EE" w:rsidR="000B57FE" w:rsidRPr="00DA42DA" w:rsidRDefault="000B57FE" w:rsidP="00C804BF">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Dutch’s domestic legislation – </w:t>
      </w:r>
      <w:proofErr w:type="spellStart"/>
      <w:r w:rsidRPr="00C804BF">
        <w:rPr>
          <w:rFonts w:ascii="Avenir Next" w:hAnsi="Avenir Next" w:cs="Arial"/>
          <w:color w:val="808080" w:themeColor="background1" w:themeShade="80"/>
          <w:sz w:val="22"/>
          <w:szCs w:val="22"/>
          <w:lang w:val="en-GB"/>
        </w:rPr>
        <w:t>Faillisementswet</w:t>
      </w:r>
      <w:proofErr w:type="spellEnd"/>
      <w:r>
        <w:rPr>
          <w:rFonts w:ascii="Avenir Next" w:hAnsi="Avenir Next" w:cs="Arial"/>
          <w:color w:val="808080" w:themeColor="background1" w:themeShade="80"/>
          <w:sz w:val="22"/>
          <w:szCs w:val="22"/>
          <w:lang w:val="en-GB"/>
        </w:rPr>
        <w:t xml:space="preserve"> of 1897 would also be applicable.</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F771FD8" w:rsidR="002253D8" w:rsidRDefault="000B57FE" w:rsidP="00C804BF">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Australia’s Corporations Act 2001 would be applicable.</w:t>
      </w:r>
    </w:p>
    <w:p w14:paraId="3A56FF51" w14:textId="77777777" w:rsidR="000B57FE" w:rsidRDefault="000B57FE" w:rsidP="00C804BF">
      <w:pPr>
        <w:ind w:left="1134"/>
        <w:jc w:val="both"/>
        <w:rPr>
          <w:rFonts w:ascii="Avenir Next" w:hAnsi="Avenir Next" w:cs="Arial"/>
          <w:color w:val="808080" w:themeColor="background1" w:themeShade="80"/>
          <w:sz w:val="22"/>
          <w:szCs w:val="22"/>
          <w:lang w:val="en-GB"/>
        </w:rPr>
      </w:pPr>
    </w:p>
    <w:p w14:paraId="7255A1DB" w14:textId="609F1BFE" w:rsidR="000B57FE" w:rsidRPr="00DA42DA" w:rsidRDefault="00C804BF" w:rsidP="00C804BF">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Australia’s Cross-Border Insolvency Act 2008 would also be applicable since Australia adopted UNCITRAL Model Law on Cross-Border Insolvency.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A96D" w14:textId="77777777" w:rsidR="008D0415" w:rsidRDefault="008D0415" w:rsidP="00241B44">
      <w:r>
        <w:separator/>
      </w:r>
    </w:p>
  </w:endnote>
  <w:endnote w:type="continuationSeparator" w:id="0">
    <w:p w14:paraId="73697847" w14:textId="77777777" w:rsidR="008D0415" w:rsidRDefault="008D04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CE687EE" w:rsidR="00B64A85" w:rsidRPr="00297BDF" w:rsidRDefault="00C804BF" w:rsidP="0052732A">
    <w:pPr>
      <w:pStyle w:val="Footer"/>
      <w:ind w:right="360"/>
      <w:rPr>
        <w:rFonts w:ascii="Avenir Next" w:hAnsi="Avenir Next" w:cs="Arial"/>
        <w:sz w:val="22"/>
        <w:szCs w:val="22"/>
      </w:rPr>
    </w:pPr>
    <w:r w:rsidRPr="00C804BF">
      <w:rPr>
        <w:rFonts w:ascii="Avenir Next" w:hAnsi="Avenir Next" w:cs="Arial"/>
        <w:sz w:val="22"/>
        <w:szCs w:val="22"/>
      </w:rPr>
      <w:t>202324-1399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4178" w14:textId="77777777" w:rsidR="008D0415" w:rsidRDefault="008D0415" w:rsidP="00241B44">
      <w:r>
        <w:separator/>
      </w:r>
    </w:p>
  </w:footnote>
  <w:footnote w:type="continuationSeparator" w:id="0">
    <w:p w14:paraId="26CDE961" w14:textId="77777777" w:rsidR="008D0415" w:rsidRDefault="008D04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F0673B0"/>
    <w:multiLevelType w:val="hybridMultilevel"/>
    <w:tmpl w:val="9B6855B6"/>
    <w:lvl w:ilvl="0" w:tplc="4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4274C0"/>
    <w:multiLevelType w:val="hybridMultilevel"/>
    <w:tmpl w:val="C70833E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069C2"/>
    <w:multiLevelType w:val="hybridMultilevel"/>
    <w:tmpl w:val="9B6855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5F3C37"/>
    <w:multiLevelType w:val="hybridMultilevel"/>
    <w:tmpl w:val="7D1C2776"/>
    <w:lvl w:ilvl="0" w:tplc="4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3178F"/>
    <w:multiLevelType w:val="hybridMultilevel"/>
    <w:tmpl w:val="613A554A"/>
    <w:lvl w:ilvl="0" w:tplc="44090019">
      <w:start w:val="1"/>
      <w:numFmt w:val="lowerLetter"/>
      <w:lvlText w:val="%1."/>
      <w:lvlJc w:val="left"/>
      <w:pPr>
        <w:ind w:left="720" w:hanging="360"/>
      </w:pPr>
    </w:lvl>
    <w:lvl w:ilvl="1" w:tplc="B1FE059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4155897"/>
    <w:multiLevelType w:val="hybridMultilevel"/>
    <w:tmpl w:val="C70833E8"/>
    <w:lvl w:ilvl="0" w:tplc="B1FE05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7"/>
  </w:num>
  <w:num w:numId="3" w16cid:durableId="1558668659">
    <w:abstractNumId w:val="2"/>
  </w:num>
  <w:num w:numId="4" w16cid:durableId="737018892">
    <w:abstractNumId w:val="4"/>
  </w:num>
  <w:num w:numId="5" w16cid:durableId="1158809076">
    <w:abstractNumId w:val="24"/>
  </w:num>
  <w:num w:numId="6" w16cid:durableId="415711827">
    <w:abstractNumId w:val="32"/>
  </w:num>
  <w:num w:numId="7" w16cid:durableId="1401949473">
    <w:abstractNumId w:val="16"/>
  </w:num>
  <w:num w:numId="8" w16cid:durableId="269552992">
    <w:abstractNumId w:val="38"/>
  </w:num>
  <w:num w:numId="9" w16cid:durableId="1367413161">
    <w:abstractNumId w:val="15"/>
  </w:num>
  <w:num w:numId="10" w16cid:durableId="220823057">
    <w:abstractNumId w:val="34"/>
  </w:num>
  <w:num w:numId="11" w16cid:durableId="858086195">
    <w:abstractNumId w:val="11"/>
  </w:num>
  <w:num w:numId="12" w16cid:durableId="2144808366">
    <w:abstractNumId w:val="35"/>
  </w:num>
  <w:num w:numId="13" w16cid:durableId="1139104618">
    <w:abstractNumId w:val="23"/>
  </w:num>
  <w:num w:numId="14" w16cid:durableId="1203787949">
    <w:abstractNumId w:val="22"/>
  </w:num>
  <w:num w:numId="15" w16cid:durableId="1140149903">
    <w:abstractNumId w:val="6"/>
  </w:num>
  <w:num w:numId="16" w16cid:durableId="1714226930">
    <w:abstractNumId w:val="26"/>
  </w:num>
  <w:num w:numId="17" w16cid:durableId="1711415350">
    <w:abstractNumId w:val="20"/>
  </w:num>
  <w:num w:numId="18" w16cid:durableId="35542391">
    <w:abstractNumId w:val="21"/>
  </w:num>
  <w:num w:numId="19" w16cid:durableId="2050493181">
    <w:abstractNumId w:val="29"/>
  </w:num>
  <w:num w:numId="20" w16cid:durableId="1469859581">
    <w:abstractNumId w:val="10"/>
  </w:num>
  <w:num w:numId="21" w16cid:durableId="408573765">
    <w:abstractNumId w:val="19"/>
  </w:num>
  <w:num w:numId="22" w16cid:durableId="482936912">
    <w:abstractNumId w:val="0"/>
  </w:num>
  <w:num w:numId="23" w16cid:durableId="1308701288">
    <w:abstractNumId w:val="28"/>
  </w:num>
  <w:num w:numId="24" w16cid:durableId="1716081525">
    <w:abstractNumId w:val="1"/>
  </w:num>
  <w:num w:numId="25" w16cid:durableId="797064315">
    <w:abstractNumId w:val="36"/>
  </w:num>
  <w:num w:numId="26" w16cid:durableId="824904852">
    <w:abstractNumId w:val="39"/>
  </w:num>
  <w:num w:numId="27" w16cid:durableId="372002461">
    <w:abstractNumId w:val="9"/>
  </w:num>
  <w:num w:numId="28" w16cid:durableId="1256015074">
    <w:abstractNumId w:val="8"/>
  </w:num>
  <w:num w:numId="29" w16cid:durableId="1376738983">
    <w:abstractNumId w:val="7"/>
  </w:num>
  <w:num w:numId="30" w16cid:durableId="1903177138">
    <w:abstractNumId w:val="13"/>
  </w:num>
  <w:num w:numId="31" w16cid:durableId="1164859915">
    <w:abstractNumId w:val="3"/>
  </w:num>
  <w:num w:numId="32" w16cid:durableId="684208392">
    <w:abstractNumId w:val="18"/>
  </w:num>
  <w:num w:numId="33" w16cid:durableId="732118212">
    <w:abstractNumId w:val="27"/>
  </w:num>
  <w:num w:numId="34" w16cid:durableId="1912503881">
    <w:abstractNumId w:val="14"/>
  </w:num>
  <w:num w:numId="35" w16cid:durableId="1134831053">
    <w:abstractNumId w:val="33"/>
  </w:num>
  <w:num w:numId="36" w16cid:durableId="928074565">
    <w:abstractNumId w:val="12"/>
  </w:num>
  <w:num w:numId="37" w16cid:durableId="922837205">
    <w:abstractNumId w:val="5"/>
  </w:num>
  <w:num w:numId="38" w16cid:durableId="65883292">
    <w:abstractNumId w:val="17"/>
  </w:num>
  <w:num w:numId="39" w16cid:durableId="171266365">
    <w:abstractNumId w:val="25"/>
  </w:num>
  <w:num w:numId="40" w16cid:durableId="150851961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7FE"/>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E747F"/>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17569"/>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3A0D"/>
    <w:rsid w:val="0015456D"/>
    <w:rsid w:val="001567B7"/>
    <w:rsid w:val="00161F1B"/>
    <w:rsid w:val="001620AF"/>
    <w:rsid w:val="00162829"/>
    <w:rsid w:val="0016472D"/>
    <w:rsid w:val="00164B28"/>
    <w:rsid w:val="001677CC"/>
    <w:rsid w:val="00173647"/>
    <w:rsid w:val="001772DA"/>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21E5"/>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E7E4C"/>
    <w:rsid w:val="003F0B80"/>
    <w:rsid w:val="003F4C8C"/>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5AE"/>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02"/>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5C3C"/>
    <w:rsid w:val="00827849"/>
    <w:rsid w:val="008279C0"/>
    <w:rsid w:val="00840135"/>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97A0F"/>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0415"/>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681B"/>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04BF"/>
    <w:rsid w:val="00C82D87"/>
    <w:rsid w:val="00C8712A"/>
    <w:rsid w:val="00C92A0D"/>
    <w:rsid w:val="00C952A2"/>
    <w:rsid w:val="00C963D3"/>
    <w:rsid w:val="00C975E6"/>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37CED"/>
    <w:rsid w:val="00E4126D"/>
    <w:rsid w:val="00E450A4"/>
    <w:rsid w:val="00E506BE"/>
    <w:rsid w:val="00E518B6"/>
    <w:rsid w:val="00E525B9"/>
    <w:rsid w:val="00E53AE9"/>
    <w:rsid w:val="00E54ADD"/>
    <w:rsid w:val="00E55547"/>
    <w:rsid w:val="00E55E9B"/>
    <w:rsid w:val="00E6211B"/>
    <w:rsid w:val="00E62395"/>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2304"/>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411"/>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table" w:styleId="TableGrid">
    <w:name w:val="Table Grid"/>
    <w:basedOn w:val="TableNormal"/>
    <w:uiPriority w:val="39"/>
    <w:rsid w:val="00F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Chee Chien</cp:lastModifiedBy>
  <cp:revision>7</cp:revision>
  <cp:lastPrinted>2020-06-12T02:43:00Z</cp:lastPrinted>
  <dcterms:created xsi:type="dcterms:W3CDTF">2023-11-03T06:05:00Z</dcterms:created>
  <dcterms:modified xsi:type="dcterms:W3CDTF">2023-11-13T02:06:00Z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