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w:t>
      </w:r>
      <w:r w:rsidR="00017852">
        <w:lastRenderedPageBreak/>
        <w:t xml:space="preserve">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gramStart"/>
      <w:r>
        <w:t>ie</w:t>
      </w:r>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630269" w:rsidRDefault="005E7B59" w:rsidP="00137A41">
      <w:pPr>
        <w:pStyle w:val="BodyText"/>
        <w:widowControl/>
        <w:numPr>
          <w:ilvl w:val="0"/>
          <w:numId w:val="6"/>
        </w:numPr>
        <w:autoSpaceDE/>
        <w:autoSpaceDN/>
        <w:ind w:left="709" w:hanging="709"/>
        <w:rPr>
          <w:rFonts w:ascii="Avenir Next" w:hAnsi="Avenir Next"/>
          <w:highlight w:val="yellow"/>
        </w:rPr>
      </w:pPr>
      <w:r w:rsidRPr="00630269">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CE0159" w:rsidRDefault="00CC3216" w:rsidP="00137A41">
      <w:pPr>
        <w:pStyle w:val="BodyText"/>
        <w:widowControl/>
        <w:numPr>
          <w:ilvl w:val="0"/>
          <w:numId w:val="7"/>
        </w:numPr>
        <w:autoSpaceDE/>
        <w:autoSpaceDN/>
        <w:ind w:left="709" w:hanging="709"/>
        <w:rPr>
          <w:rFonts w:ascii="Avenir Next" w:hAnsi="Avenir Next"/>
          <w:highlight w:val="yellow"/>
        </w:rPr>
      </w:pPr>
      <w:r w:rsidRPr="00CE0159">
        <w:rPr>
          <w:rFonts w:ascii="Avenir Next" w:hAnsi="Avenir Next"/>
          <w:highlight w:val="yellow"/>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 xml:space="preserve">To whom does a </w:t>
      </w:r>
      <w:proofErr w:type="gramStart"/>
      <w:r w:rsidRPr="00A500D9">
        <w:rPr>
          <w:lang w:val="en-GB"/>
        </w:rPr>
        <w:t>privately-appointed</w:t>
      </w:r>
      <w:proofErr w:type="gramEnd"/>
      <w:r w:rsidRPr="00A500D9">
        <w:rPr>
          <w:lang w:val="en-GB"/>
        </w:rPr>
        <w:t xml:space="preserve">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CE0159" w:rsidRDefault="00767895" w:rsidP="00137A41">
      <w:pPr>
        <w:pStyle w:val="ListParagraph"/>
        <w:numPr>
          <w:ilvl w:val="1"/>
          <w:numId w:val="27"/>
        </w:numPr>
        <w:spacing w:after="0" w:line="240" w:lineRule="auto"/>
        <w:ind w:left="709" w:hanging="709"/>
        <w:rPr>
          <w:rFonts w:ascii="Avenir Next" w:hAnsi="Avenir Next"/>
          <w:highlight w:val="yellow"/>
          <w:lang w:val="en-GB"/>
        </w:rPr>
      </w:pPr>
      <w:r w:rsidRPr="00CE0159">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50758A" w:rsidRDefault="00767895" w:rsidP="00137A41">
      <w:pPr>
        <w:pStyle w:val="ListParagraph"/>
        <w:numPr>
          <w:ilvl w:val="0"/>
          <w:numId w:val="28"/>
        </w:numPr>
        <w:spacing w:after="0" w:line="240" w:lineRule="auto"/>
        <w:ind w:left="709" w:hanging="709"/>
        <w:rPr>
          <w:rFonts w:ascii="Avenir Next" w:hAnsi="Avenir Next"/>
          <w:highlight w:val="yellow"/>
          <w:lang w:val="en-GB"/>
        </w:rPr>
      </w:pPr>
      <w:r w:rsidRPr="0050758A">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E2086C" w:rsidRDefault="00A51B24" w:rsidP="007B18AA">
      <w:pPr>
        <w:pStyle w:val="BodyText"/>
        <w:widowControl/>
        <w:numPr>
          <w:ilvl w:val="0"/>
          <w:numId w:val="30"/>
        </w:numPr>
        <w:autoSpaceDE/>
        <w:autoSpaceDN/>
        <w:ind w:left="709" w:hanging="709"/>
        <w:jc w:val="both"/>
        <w:rPr>
          <w:rFonts w:ascii="Avenir Next" w:hAnsi="Avenir Next"/>
          <w:highlight w:val="yellow"/>
        </w:rPr>
      </w:pPr>
      <w:r w:rsidRPr="00E2086C">
        <w:rPr>
          <w:rFonts w:ascii="Avenir Next" w:hAnsi="Avenir Next"/>
          <w:highlight w:val="yellow"/>
        </w:rPr>
        <w:t xml:space="preserve">Within the </w:t>
      </w:r>
      <w:r w:rsidR="007B18AA" w:rsidRPr="00E2086C">
        <w:rPr>
          <w:rFonts w:ascii="Avenir Next" w:hAnsi="Avenir Next"/>
          <w:highlight w:val="yellow"/>
        </w:rPr>
        <w:t xml:space="preserve">six (6) </w:t>
      </w:r>
      <w:r w:rsidRPr="00E2086C">
        <w:rPr>
          <w:rFonts w:ascii="Avenir Next" w:hAnsi="Avenir Next"/>
          <w:highlight w:val="yellow"/>
        </w:rPr>
        <w:t>months immediately preceding the commencement of the winding up</w:t>
      </w:r>
      <w:r w:rsidR="00D304F3" w:rsidRPr="00E2086C">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lastRenderedPageBreak/>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000FFD" w:rsidRDefault="00CE5B90" w:rsidP="00137A41">
      <w:pPr>
        <w:pStyle w:val="ListParagraph"/>
        <w:numPr>
          <w:ilvl w:val="0"/>
          <w:numId w:val="19"/>
        </w:numPr>
        <w:spacing w:after="0" w:line="240" w:lineRule="auto"/>
        <w:ind w:left="709" w:hanging="709"/>
        <w:rPr>
          <w:rFonts w:ascii="Avenir Next" w:hAnsi="Avenir Next" w:cs="Arial"/>
          <w:highlight w:val="yellow"/>
          <w:lang w:val="en-US"/>
        </w:rPr>
      </w:pPr>
      <w:r w:rsidRPr="00000FFD">
        <w:rPr>
          <w:rFonts w:ascii="Avenir Next" w:hAnsi="Avenir Next" w:cs="Arial"/>
          <w:highlight w:val="yellow"/>
          <w:lang w:val="en-US"/>
        </w:rPr>
        <w:t xml:space="preserve">Sections </w:t>
      </w:r>
      <w:r w:rsidR="00002250" w:rsidRPr="00000FFD">
        <w:rPr>
          <w:rFonts w:ascii="Avenir Next" w:hAnsi="Avenir Next" w:cs="Arial"/>
          <w:highlight w:val="yellow"/>
          <w:lang w:val="en-US"/>
        </w:rPr>
        <w:t>116-130</w:t>
      </w:r>
      <w:r w:rsidR="007B18AA" w:rsidRPr="00000FFD">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000FFD" w:rsidRDefault="00455EC3" w:rsidP="00137A41">
      <w:pPr>
        <w:pStyle w:val="ListParagraph"/>
        <w:numPr>
          <w:ilvl w:val="0"/>
          <w:numId w:val="20"/>
        </w:numPr>
        <w:spacing w:after="0" w:line="240" w:lineRule="auto"/>
        <w:ind w:left="709" w:hanging="709"/>
        <w:rPr>
          <w:rFonts w:ascii="Avenir Next" w:hAnsi="Avenir Next" w:cs="Arial"/>
          <w:highlight w:val="yellow"/>
          <w:lang w:val="en-GB"/>
        </w:rPr>
      </w:pPr>
      <w:r w:rsidRPr="00000FFD">
        <w:rPr>
          <w:rFonts w:ascii="Avenir Next" w:hAnsi="Avenir Next" w:cs="Arial"/>
          <w:highlight w:val="yellow"/>
          <w:lang w:val="en-GB"/>
        </w:rPr>
        <w:t>I</w:t>
      </w:r>
      <w:r w:rsidR="00002250" w:rsidRPr="00000FFD">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37A41">
      <w:pPr>
        <w:pStyle w:val="ListParagraph"/>
        <w:numPr>
          <w:ilvl w:val="0"/>
          <w:numId w:val="20"/>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w:t>
      </w:r>
      <w:r w:rsidRPr="00A500D9">
        <w:lastRenderedPageBreak/>
        <w:t xml:space="preserve">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432FEE" w:rsidRDefault="002B7D9A" w:rsidP="00137A41">
      <w:pPr>
        <w:pStyle w:val="ListParagraph"/>
        <w:numPr>
          <w:ilvl w:val="0"/>
          <w:numId w:val="22"/>
        </w:numPr>
        <w:spacing w:after="0" w:line="240" w:lineRule="auto"/>
        <w:ind w:left="709" w:hanging="709"/>
        <w:rPr>
          <w:rFonts w:ascii="Avenir Next" w:hAnsi="Avenir Next"/>
          <w:highlight w:val="yellow"/>
          <w:lang w:val="en-GB"/>
        </w:rPr>
      </w:pPr>
      <w:r w:rsidRPr="00432FEE">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5976D8" w:rsidRDefault="002B7D9A" w:rsidP="00137A41">
      <w:pPr>
        <w:pStyle w:val="ListParagraph"/>
        <w:numPr>
          <w:ilvl w:val="0"/>
          <w:numId w:val="23"/>
        </w:numPr>
        <w:spacing w:after="0" w:line="240" w:lineRule="auto"/>
        <w:ind w:left="709" w:hanging="709"/>
        <w:rPr>
          <w:rFonts w:ascii="Avenir Next" w:hAnsi="Avenir Next"/>
          <w:highlight w:val="yellow"/>
          <w:lang w:val="en-GB"/>
        </w:rPr>
      </w:pPr>
      <w:r w:rsidRPr="005976D8">
        <w:rPr>
          <w:rFonts w:ascii="Avenir Next" w:hAnsi="Avenir Next"/>
          <w:highlight w:val="yellow"/>
          <w:lang w:val="en-GB"/>
        </w:rPr>
        <w:t xml:space="preserve">Ordinary creditor claims are always paid </w:t>
      </w:r>
      <w:r w:rsidRPr="005976D8">
        <w:rPr>
          <w:rFonts w:ascii="Avenir Next" w:hAnsi="Avenir Next"/>
          <w:i/>
          <w:iCs/>
          <w:highlight w:val="yellow"/>
          <w:lang w:val="en-GB"/>
        </w:rPr>
        <w:t>pari passu</w:t>
      </w:r>
      <w:r w:rsidRPr="005976D8">
        <w:rPr>
          <w:rFonts w:ascii="Avenir Next" w:hAnsi="Avenir Next"/>
          <w:highlight w:val="yellow"/>
          <w:lang w:val="en-GB"/>
        </w:rPr>
        <w:t xml:space="preserve">, regardless of any contractual terms validly </w:t>
      </w:r>
      <w:proofErr w:type="gramStart"/>
      <w:r w:rsidRPr="005976D8">
        <w:rPr>
          <w:rFonts w:ascii="Avenir Next" w:hAnsi="Avenir Next"/>
          <w:highlight w:val="yellow"/>
          <w:lang w:val="en-GB"/>
        </w:rPr>
        <w:t>entered into</w:t>
      </w:r>
      <w:proofErr w:type="gramEnd"/>
      <w:r w:rsidRPr="005976D8">
        <w:rPr>
          <w:rFonts w:ascii="Avenir Next" w:hAnsi="Avenir Next"/>
          <w:highlight w:val="yellow"/>
          <w:lang w:val="en-GB"/>
        </w:rPr>
        <w:t xml:space="preserve">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5976D8">
        <w:rPr>
          <w:rFonts w:ascii="Avenir Next LT Pro" w:hAnsi="Avenir Next LT Pro"/>
          <w:highlight w:val="yellow"/>
          <w:lang w:val="en-GB"/>
        </w:rPr>
        <w:t>Where CIMA identifies serious concerns regarding the solvency or lawfulness of a licensee or registrant's business.</w:t>
      </w:r>
      <w:r w:rsidRPr="00A500D9">
        <w:rPr>
          <w:rFonts w:ascii="Avenir Next LT Pro" w:hAnsi="Avenir Next LT Pro"/>
          <w:lang w:val="en-GB"/>
        </w:rPr>
        <w:t xml:space="preserve">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5D34D2" w:rsidRDefault="00D06EBB" w:rsidP="00137A41">
      <w:pPr>
        <w:pStyle w:val="ListParagraph"/>
        <w:numPr>
          <w:ilvl w:val="0"/>
          <w:numId w:val="15"/>
        </w:numPr>
        <w:spacing w:after="0" w:line="240" w:lineRule="auto"/>
        <w:ind w:left="709" w:hanging="709"/>
        <w:rPr>
          <w:rFonts w:ascii="Avenir Next LT Pro" w:hAnsi="Avenir Next LT Pro"/>
          <w:highlight w:val="yellow"/>
          <w:lang w:val="en-GB"/>
        </w:rPr>
      </w:pPr>
      <w:r w:rsidRPr="005D34D2">
        <w:rPr>
          <w:rFonts w:ascii="Avenir Next LT Pro" w:hAnsi="Avenir Next LT Pro"/>
          <w:highlight w:val="yellow"/>
          <w:lang w:val="en-GB"/>
        </w:rPr>
        <w:t>Within 21 days of the date on which the creditor receive</w:t>
      </w:r>
      <w:r w:rsidR="007B18AA" w:rsidRPr="005D34D2">
        <w:rPr>
          <w:rFonts w:ascii="Avenir Next LT Pro" w:hAnsi="Avenir Next LT Pro"/>
          <w:highlight w:val="yellow"/>
          <w:lang w:val="en-GB"/>
        </w:rPr>
        <w:t>d</w:t>
      </w:r>
      <w:r w:rsidRPr="005D34D2">
        <w:rPr>
          <w:rFonts w:ascii="Avenir Next LT Pro" w:hAnsi="Avenir Next LT Pro"/>
          <w:highlight w:val="yellow"/>
          <w:lang w:val="en-GB"/>
        </w:rPr>
        <w:t xml:space="preserve"> the official liquidator's notification under O.16, r.6 of the C</w:t>
      </w:r>
      <w:r w:rsidR="00CE5B90" w:rsidRPr="005D34D2">
        <w:rPr>
          <w:rFonts w:ascii="Avenir Next LT Pro" w:hAnsi="Avenir Next LT Pro"/>
          <w:highlight w:val="yellow"/>
          <w:lang w:val="en-GB"/>
        </w:rPr>
        <w:t>ompanies Winding Up R</w:t>
      </w:r>
      <w:r w:rsidR="001D3AB4" w:rsidRPr="005D34D2">
        <w:rPr>
          <w:rFonts w:ascii="Avenir Next LT Pro" w:hAnsi="Avenir Next LT Pro"/>
          <w:highlight w:val="yellow"/>
          <w:lang w:val="en-GB"/>
        </w:rPr>
        <w:t>ules</w:t>
      </w:r>
      <w:r w:rsidRPr="005D34D2">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5D34D2" w:rsidRDefault="00097476" w:rsidP="00137A41">
      <w:pPr>
        <w:pStyle w:val="ListParagraph"/>
        <w:numPr>
          <w:ilvl w:val="0"/>
          <w:numId w:val="24"/>
        </w:numPr>
        <w:spacing w:after="0" w:line="240" w:lineRule="auto"/>
        <w:ind w:left="709" w:hanging="709"/>
        <w:rPr>
          <w:rFonts w:ascii="Avenir Next" w:hAnsi="Avenir Next"/>
          <w:highlight w:val="yellow"/>
          <w:lang w:val="en-GB"/>
        </w:rPr>
      </w:pPr>
      <w:r w:rsidRPr="005D34D2">
        <w:rPr>
          <w:rFonts w:ascii="Avenir Next" w:hAnsi="Avenir Next"/>
          <w:highlight w:val="yellow"/>
          <w:lang w:val="en-GB"/>
        </w:rPr>
        <w:t>The proposal of a resolution for the winding up of the ELP</w:t>
      </w:r>
      <w:r w:rsidR="00CE5B90" w:rsidRPr="005D34D2">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30362C" w:rsidRDefault="00097476" w:rsidP="00137A41">
      <w:pPr>
        <w:pStyle w:val="ListParagraph"/>
        <w:numPr>
          <w:ilvl w:val="0"/>
          <w:numId w:val="26"/>
        </w:numPr>
        <w:spacing w:after="0" w:line="240" w:lineRule="auto"/>
        <w:ind w:left="709" w:hanging="709"/>
        <w:rPr>
          <w:rFonts w:ascii="Avenir Next LT Pro" w:hAnsi="Avenir Next LT Pro"/>
          <w:highlight w:val="yellow"/>
          <w:lang w:val="en-GB"/>
        </w:rPr>
      </w:pPr>
      <w:r w:rsidRPr="0030362C">
        <w:rPr>
          <w:rFonts w:ascii="Avenir Next LT Pro" w:hAnsi="Avenir Next LT Pro"/>
          <w:highlight w:val="yellow"/>
          <w:lang w:val="en-GB"/>
        </w:rPr>
        <w:t>Acting as guarantor for the ELP</w:t>
      </w:r>
      <w:r w:rsidR="00CE5B90" w:rsidRPr="0030362C">
        <w:rPr>
          <w:rFonts w:ascii="Avenir Next LT Pro" w:hAnsi="Avenir Next LT Pro"/>
          <w:highlight w:val="yellow"/>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30362C" w:rsidRDefault="00D479A8" w:rsidP="00137A41">
      <w:pPr>
        <w:pStyle w:val="ListParagraph"/>
        <w:numPr>
          <w:ilvl w:val="1"/>
          <w:numId w:val="35"/>
        </w:numPr>
        <w:spacing w:after="0" w:line="240" w:lineRule="auto"/>
        <w:ind w:left="709" w:hanging="709"/>
        <w:rPr>
          <w:rFonts w:ascii="Avenir Next" w:hAnsi="Avenir Next"/>
          <w:highlight w:val="yellow"/>
          <w:lang w:val="en-US"/>
        </w:rPr>
      </w:pPr>
      <w:r w:rsidRPr="0030362C">
        <w:rPr>
          <w:rFonts w:ascii="Avenir Next" w:hAnsi="Avenir Next"/>
          <w:highlight w:val="yellow"/>
          <w:lang w:val="en-US"/>
        </w:rPr>
        <w:t xml:space="preserve">After a winding up </w:t>
      </w:r>
      <w:r w:rsidR="007B18AA" w:rsidRPr="0030362C">
        <w:rPr>
          <w:rFonts w:ascii="Avenir Next" w:hAnsi="Avenir Next"/>
          <w:highlight w:val="yellow"/>
          <w:lang w:val="en-US"/>
        </w:rPr>
        <w:t>p</w:t>
      </w:r>
      <w:r w:rsidRPr="0030362C">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 xml:space="preserve">Who may apply for the appointment of provisional liquidators to a corporate </w:t>
      </w:r>
      <w:proofErr w:type="gramStart"/>
      <w:r w:rsidRPr="00A500D9">
        <w:t>debtor</w:t>
      </w:r>
      <w:r w:rsidR="00CE5B90" w:rsidRPr="00A500D9">
        <w:t>?:</w:t>
      </w:r>
      <w:proofErr w:type="gramEnd"/>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312623" w:rsidRDefault="00D479A8" w:rsidP="00137A41">
      <w:pPr>
        <w:pStyle w:val="ListParagraph"/>
        <w:numPr>
          <w:ilvl w:val="1"/>
          <w:numId w:val="34"/>
        </w:numPr>
        <w:spacing w:after="0" w:line="240" w:lineRule="auto"/>
        <w:ind w:left="709" w:hanging="709"/>
        <w:rPr>
          <w:rFonts w:ascii="Avenir Next" w:hAnsi="Avenir Next"/>
          <w:highlight w:val="yellow"/>
          <w:lang w:val="en-US"/>
        </w:rPr>
      </w:pPr>
      <w:proofErr w:type="gramStart"/>
      <w:r w:rsidRPr="00312623">
        <w:rPr>
          <w:rFonts w:ascii="Avenir Next" w:hAnsi="Avenir Next"/>
          <w:highlight w:val="yellow"/>
          <w:lang w:val="en-US"/>
        </w:rPr>
        <w:t>All of</w:t>
      </w:r>
      <w:proofErr w:type="gramEnd"/>
      <w:r w:rsidRPr="00312623">
        <w:rPr>
          <w:rFonts w:ascii="Avenir Next" w:hAnsi="Avenir Next"/>
          <w:highlight w:val="yellow"/>
          <w:lang w:val="en-US"/>
        </w:rPr>
        <w:t xml:space="preserve">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w:t>
      </w:r>
      <w:proofErr w:type="gramStart"/>
      <w:r w:rsidRPr="00A500D9">
        <w:rPr>
          <w:rFonts w:ascii="Avenir Next" w:hAnsi="Avenir Next"/>
          <w:lang w:val="en-GB"/>
        </w:rPr>
        <w:t>all of</w:t>
      </w:r>
      <w:proofErr w:type="gramEnd"/>
      <w:r w:rsidRPr="00A500D9">
        <w:rPr>
          <w:rFonts w:ascii="Avenir Next" w:hAnsi="Avenir Next"/>
          <w:lang w:val="en-GB"/>
        </w:rPr>
        <w:t xml:space="preserve">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187C70" w:rsidRDefault="00EF6C95" w:rsidP="00137A41">
      <w:pPr>
        <w:pStyle w:val="ListParagraph"/>
        <w:numPr>
          <w:ilvl w:val="0"/>
          <w:numId w:val="12"/>
        </w:numPr>
        <w:spacing w:after="0" w:line="240" w:lineRule="auto"/>
        <w:ind w:left="709" w:hanging="709"/>
        <w:jc w:val="left"/>
        <w:rPr>
          <w:rFonts w:ascii="Avenir Next" w:hAnsi="Avenir Next"/>
          <w:highlight w:val="yellow"/>
          <w:lang w:val="en-GB"/>
        </w:rPr>
      </w:pPr>
      <w:r w:rsidRPr="00187C70">
        <w:rPr>
          <w:rFonts w:ascii="Avenir Next" w:hAnsi="Avenir Next"/>
          <w:highlight w:val="yellow"/>
          <w:lang w:val="en-GB"/>
        </w:rPr>
        <w:t xml:space="preserve">Must </w:t>
      </w:r>
      <w:r w:rsidR="00CE5B90" w:rsidRPr="00187C70">
        <w:rPr>
          <w:rFonts w:ascii="Avenir Next" w:hAnsi="Avenir Next"/>
          <w:highlight w:val="yellow"/>
          <w:lang w:val="en-GB"/>
        </w:rPr>
        <w:t xml:space="preserve">provide a better outcome </w:t>
      </w:r>
      <w:r w:rsidRPr="00187C70">
        <w:rPr>
          <w:rFonts w:ascii="Avenir Next" w:hAnsi="Avenir Next"/>
          <w:highlight w:val="yellow"/>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187C70" w:rsidRDefault="00470E19" w:rsidP="00137A41">
      <w:pPr>
        <w:pStyle w:val="BodyText"/>
        <w:widowControl/>
        <w:numPr>
          <w:ilvl w:val="0"/>
          <w:numId w:val="8"/>
        </w:numPr>
        <w:autoSpaceDE/>
        <w:autoSpaceDN/>
        <w:ind w:left="709" w:hanging="709"/>
        <w:rPr>
          <w:rFonts w:ascii="Avenir Next" w:hAnsi="Avenir Next"/>
          <w:highlight w:val="yellow"/>
        </w:rPr>
      </w:pPr>
      <w:r w:rsidRPr="00187C70">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B94795" w:rsidRDefault="00470E19" w:rsidP="00CE5B90">
      <w:pPr>
        <w:pStyle w:val="BodyText"/>
        <w:widowControl/>
        <w:numPr>
          <w:ilvl w:val="0"/>
          <w:numId w:val="10"/>
        </w:numPr>
        <w:autoSpaceDE/>
        <w:autoSpaceDN/>
        <w:ind w:left="709" w:hanging="709"/>
        <w:jc w:val="both"/>
        <w:rPr>
          <w:rFonts w:ascii="Avenir Next" w:hAnsi="Avenir Next"/>
          <w:highlight w:val="yellow"/>
        </w:rPr>
      </w:pPr>
      <w:r w:rsidRPr="00B94795">
        <w:rPr>
          <w:rFonts w:ascii="Avenir Next" w:hAnsi="Avenir Next"/>
          <w:highlight w:val="yellow"/>
        </w:rPr>
        <w:t>The judgment was in respect of taxes, fines o</w:t>
      </w:r>
      <w:r w:rsidR="00C67220" w:rsidRPr="00B94795">
        <w:rPr>
          <w:rFonts w:ascii="Avenir Next" w:hAnsi="Avenir Next"/>
          <w:highlight w:val="yellow"/>
        </w:rPr>
        <w:t>r</w:t>
      </w:r>
      <w:r w:rsidRPr="00B94795">
        <w:rPr>
          <w:rFonts w:ascii="Avenir Next" w:hAnsi="Avenir Next"/>
          <w:highlight w:val="yellow"/>
        </w:rPr>
        <w:t xml:space="preserve"> penalties</w:t>
      </w:r>
      <w:r w:rsidR="009B0B28" w:rsidRPr="00B94795">
        <w:rPr>
          <w:rFonts w:ascii="Avenir Next" w:hAnsi="Avenir Next"/>
          <w:highlight w:val="yellow"/>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CE5B90">
      <w:pPr>
        <w:pStyle w:val="BodyText"/>
        <w:widowControl/>
        <w:numPr>
          <w:ilvl w:val="0"/>
          <w:numId w:val="10"/>
        </w:numPr>
        <w:autoSpaceDE/>
        <w:autoSpaceDN/>
        <w:ind w:left="709" w:hanging="709"/>
        <w:jc w:val="both"/>
        <w:rPr>
          <w:rFonts w:ascii="Avenir Next" w:hAnsi="Avenir Next"/>
        </w:rPr>
      </w:pPr>
      <w:proofErr w:type="gramStart"/>
      <w:r w:rsidRPr="00A500D9">
        <w:rPr>
          <w:rFonts w:ascii="Avenir Next" w:hAnsi="Avenir Next"/>
        </w:rPr>
        <w:t>All of</w:t>
      </w:r>
      <w:proofErr w:type="gramEnd"/>
      <w:r w:rsidRPr="00A500D9">
        <w:rPr>
          <w:rFonts w:ascii="Avenir Next" w:hAnsi="Avenir Next"/>
        </w:rPr>
        <w:t xml:space="preserve">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9B68FF">
        <w:rPr>
          <w:color w:val="212121"/>
          <w:highlight w:val="yellow"/>
          <w:lang w:eastAsia="en-GB"/>
        </w:rPr>
        <w:t>T</w:t>
      </w:r>
      <w:r w:rsidRPr="009B68FF">
        <w:rPr>
          <w:color w:val="212121"/>
          <w:highlight w:val="yellow"/>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9B68FF">
        <w:rPr>
          <w:color w:val="212121"/>
          <w:highlight w:val="yellow"/>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lastRenderedPageBreak/>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A500D9">
        <w:rPr>
          <w:color w:val="212121"/>
          <w:lang w:eastAsia="en-GB"/>
        </w:rPr>
        <w:t>T</w:t>
      </w:r>
      <w:r w:rsidRPr="00A500D9">
        <w:rPr>
          <w:color w:val="212121"/>
          <w:lang w:eastAsia="en-GB"/>
        </w:rPr>
        <w:t xml:space="preserve">hat execution issued outside the Islands against the debtor on any legal process for the obtaining payment of any sum of money has been levied by seizure and sale of his </w:t>
      </w:r>
      <w:r w:rsidR="00EF6C95" w:rsidRPr="00A500D9">
        <w:rPr>
          <w:color w:val="212121"/>
          <w:lang w:eastAsia="en-GB"/>
        </w:rPr>
        <w:t>goods or</w:t>
      </w:r>
      <w:r w:rsidRPr="00A500D9">
        <w:rPr>
          <w:color w:val="212121"/>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00D9">
        <w:rPr>
          <w:color w:val="000000"/>
          <w:lang w:eastAsia="en-GB"/>
        </w:rPr>
        <w:t xml:space="preserve">(b) </w:t>
      </w:r>
      <w:r w:rsidR="006600FE" w:rsidRPr="00A500D9">
        <w:rPr>
          <w:color w:val="000000"/>
          <w:lang w:eastAsia="en-GB"/>
        </w:rPr>
        <w:tab/>
      </w:r>
      <w:r w:rsidR="006600FE" w:rsidRPr="00FC63B7">
        <w:rPr>
          <w:color w:val="000000"/>
          <w:highlight w:val="yellow"/>
          <w:lang w:eastAsia="en-GB"/>
        </w:rPr>
        <w:t>R</w:t>
      </w:r>
      <w:r w:rsidRPr="00FC63B7">
        <w:rPr>
          <w:color w:val="000000"/>
          <w:highlight w:val="yellow"/>
          <w:lang w:eastAsia="en-GB"/>
        </w:rPr>
        <w:t>ental payments due to the debtor’s landlord at the date of the provisional order</w:t>
      </w:r>
      <w:r w:rsidR="006600FE" w:rsidRPr="00FC63B7">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 xml:space="preserve">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D3AB4">
      <w:pPr>
        <w:pStyle w:val="BodyText"/>
        <w:numPr>
          <w:ilvl w:val="0"/>
          <w:numId w:val="36"/>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6C5990">
      <w:pPr>
        <w:pStyle w:val="BodyText"/>
        <w:numPr>
          <w:ilvl w:val="0"/>
          <w:numId w:val="36"/>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0E34EF8A" w14:textId="77777777" w:rsidR="0040278D" w:rsidRDefault="0040278D" w:rsidP="0040278D"/>
    <w:p w14:paraId="775F79D5" w14:textId="4C953E11" w:rsidR="0040278D" w:rsidRPr="0098037D" w:rsidRDefault="0040278D" w:rsidP="0040278D">
      <w:pPr>
        <w:rPr>
          <w:color w:val="808080" w:themeColor="background1" w:themeShade="80"/>
        </w:rPr>
      </w:pPr>
      <w:r w:rsidRPr="0098037D">
        <w:rPr>
          <w:color w:val="808080" w:themeColor="background1" w:themeShade="80"/>
        </w:rPr>
        <w:lastRenderedPageBreak/>
        <w:t xml:space="preserve">Memo </w:t>
      </w:r>
    </w:p>
    <w:p w14:paraId="4BEDD96B" w14:textId="09F1126D" w:rsidR="0040278D" w:rsidRPr="0098037D" w:rsidRDefault="0040278D" w:rsidP="0040278D">
      <w:pPr>
        <w:rPr>
          <w:color w:val="808080" w:themeColor="background1" w:themeShade="80"/>
        </w:rPr>
      </w:pPr>
      <w:r w:rsidRPr="0098037D">
        <w:rPr>
          <w:color w:val="808080" w:themeColor="background1" w:themeShade="80"/>
        </w:rPr>
        <w:t xml:space="preserve">Subject: </w:t>
      </w:r>
      <w:r w:rsidRPr="0098037D">
        <w:rPr>
          <w:color w:val="808080" w:themeColor="background1" w:themeShade="80"/>
        </w:rPr>
        <w:t>Seven Mile Master Fund</w:t>
      </w:r>
      <w:r w:rsidRPr="0098037D">
        <w:rPr>
          <w:color w:val="808080" w:themeColor="background1" w:themeShade="80"/>
        </w:rPr>
        <w:t xml:space="preserve"> and Seven Mile Feeder Fund</w:t>
      </w:r>
    </w:p>
    <w:p w14:paraId="7B4968A6" w14:textId="4D4F4851" w:rsidR="0040278D" w:rsidRPr="0098037D" w:rsidRDefault="0040278D" w:rsidP="0040278D">
      <w:pPr>
        <w:rPr>
          <w:color w:val="808080" w:themeColor="background1" w:themeShade="80"/>
        </w:rPr>
      </w:pPr>
      <w:r w:rsidRPr="0098037D">
        <w:rPr>
          <w:color w:val="808080" w:themeColor="background1" w:themeShade="80"/>
        </w:rPr>
        <w:t>To: Investors of Seven Mile Feeder Fund</w:t>
      </w:r>
    </w:p>
    <w:p w14:paraId="1D9EC22D" w14:textId="06589459" w:rsidR="0040278D" w:rsidRPr="0098037D" w:rsidRDefault="0040278D" w:rsidP="0040278D">
      <w:pPr>
        <w:rPr>
          <w:color w:val="808080" w:themeColor="background1" w:themeShade="80"/>
        </w:rPr>
      </w:pPr>
      <w:r w:rsidRPr="0098037D">
        <w:rPr>
          <w:color w:val="808080" w:themeColor="background1" w:themeShade="80"/>
        </w:rPr>
        <w:t>From: CPA</w:t>
      </w:r>
    </w:p>
    <w:p w14:paraId="21FDAD2D" w14:textId="77777777" w:rsidR="0040278D" w:rsidRPr="0098037D" w:rsidRDefault="0040278D" w:rsidP="0040278D">
      <w:pPr>
        <w:rPr>
          <w:color w:val="808080" w:themeColor="background1" w:themeShade="80"/>
        </w:rPr>
      </w:pPr>
    </w:p>
    <w:p w14:paraId="34238F45" w14:textId="24D1DC50" w:rsidR="0040278D" w:rsidRPr="0098037D" w:rsidRDefault="0040278D" w:rsidP="0040278D">
      <w:pPr>
        <w:rPr>
          <w:color w:val="808080" w:themeColor="background1" w:themeShade="80"/>
        </w:rPr>
      </w:pPr>
      <w:r w:rsidRPr="0098037D">
        <w:rPr>
          <w:color w:val="808080" w:themeColor="background1" w:themeShade="80"/>
        </w:rPr>
        <w:t xml:space="preserve">According to the Companies Act, s 120, any person may be appointed as a voluntary liquidator of a Cayman Islands company. As such, it is possible for a US-based practitioner to be appointed as Joint Voluntary Liquidator to the Master Fund and the Cayman Feeder. </w:t>
      </w:r>
    </w:p>
    <w:p w14:paraId="533C2999" w14:textId="77777777" w:rsidR="0040278D" w:rsidRPr="0098037D" w:rsidRDefault="0040278D" w:rsidP="0040278D">
      <w:pPr>
        <w:rPr>
          <w:color w:val="808080" w:themeColor="background1" w:themeShade="80"/>
        </w:rPr>
      </w:pPr>
    </w:p>
    <w:p w14:paraId="4614C320" w14:textId="77777777" w:rsidR="0040278D" w:rsidRPr="0098037D" w:rsidRDefault="0040278D" w:rsidP="0040278D">
      <w:pPr>
        <w:rPr>
          <w:color w:val="808080" w:themeColor="background1" w:themeShade="80"/>
        </w:rPr>
      </w:pPr>
      <w:r w:rsidRPr="0098037D">
        <w:rPr>
          <w:color w:val="808080" w:themeColor="background1" w:themeShade="80"/>
        </w:rPr>
        <w:t xml:space="preserve">In relation to an official liquidation, the US-based practitioner needs to be qualified under US laws to perform functions equivalent to those performed by an eligible official liquidator in the Cayman Islands. Should the practitioner meet this requirement, he/she can be appointed jointly with a qualified insolvency practitioner according to section 108(1) of the Companies Act. </w:t>
      </w:r>
    </w:p>
    <w:p w14:paraId="258E75B9" w14:textId="77777777" w:rsidR="0040278D" w:rsidRPr="0098037D" w:rsidRDefault="0040278D" w:rsidP="0040278D">
      <w:pPr>
        <w:rPr>
          <w:color w:val="808080" w:themeColor="background1" w:themeShade="80"/>
        </w:rPr>
      </w:pPr>
    </w:p>
    <w:p w14:paraId="6546FE8A" w14:textId="77777777" w:rsidR="0040278D" w:rsidRPr="0098037D" w:rsidRDefault="0040278D" w:rsidP="0040278D">
      <w:pPr>
        <w:rPr>
          <w:color w:val="808080" w:themeColor="background1" w:themeShade="80"/>
        </w:rPr>
      </w:pPr>
      <w:r w:rsidRPr="0098037D">
        <w:rPr>
          <w:color w:val="808080" w:themeColor="background1" w:themeShade="80"/>
        </w:rPr>
        <w:t xml:space="preserve">Section 89 off the Companies Act defines a qualified insolvency practitioner as a person holding the qualifications specified in the Insolvency Practitioners Regulations. </w:t>
      </w:r>
    </w:p>
    <w:p w14:paraId="6F9FE725" w14:textId="77777777" w:rsidR="0040278D" w:rsidRPr="0098037D" w:rsidRDefault="0040278D" w:rsidP="0040278D">
      <w:pPr>
        <w:rPr>
          <w:color w:val="808080" w:themeColor="background1" w:themeShade="80"/>
        </w:rPr>
      </w:pPr>
    </w:p>
    <w:p w14:paraId="64736FAC" w14:textId="77777777" w:rsidR="0040278D" w:rsidRPr="0098037D" w:rsidRDefault="0040278D" w:rsidP="0040278D">
      <w:pPr>
        <w:rPr>
          <w:color w:val="808080" w:themeColor="background1" w:themeShade="80"/>
        </w:rPr>
      </w:pPr>
      <w:r w:rsidRPr="0098037D">
        <w:rPr>
          <w:color w:val="808080" w:themeColor="background1" w:themeShade="80"/>
        </w:rPr>
        <w:t>These qualifications are set out in Regulations 4-7 and provide 4 different tests that are used to determine the eligibility of an official liquidator. These tests are summarized below:</w:t>
      </w:r>
    </w:p>
    <w:p w14:paraId="3B9015A4" w14:textId="77777777" w:rsidR="0040278D" w:rsidRPr="0098037D" w:rsidRDefault="0040278D" w:rsidP="0040278D">
      <w:pPr>
        <w:pStyle w:val="ListParagraph"/>
        <w:numPr>
          <w:ilvl w:val="0"/>
          <w:numId w:val="50"/>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Qualification</w:t>
      </w:r>
      <w:proofErr w:type="spellEnd"/>
      <w:r w:rsidRPr="0098037D">
        <w:rPr>
          <w:rFonts w:ascii="Avenir Next" w:eastAsia="Times New Roman" w:hAnsi="Avenir Next" w:cs="Arial"/>
          <w:color w:val="808080" w:themeColor="background1" w:themeShade="80"/>
          <w:lang w:val="en-US"/>
        </w:rPr>
        <w:t xml:space="preserve"> </w:t>
      </w:r>
    </w:p>
    <w:p w14:paraId="219B0D98" w14:textId="77777777" w:rsidR="0040278D" w:rsidRPr="0098037D" w:rsidRDefault="0040278D" w:rsidP="0040278D">
      <w:pPr>
        <w:pStyle w:val="ListParagraph"/>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person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can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appointed</w:t>
      </w:r>
      <w:proofErr w:type="spellEnd"/>
      <w:r w:rsidRPr="0098037D">
        <w:rPr>
          <w:rFonts w:ascii="Avenir Next" w:eastAsia="Times New Roman" w:hAnsi="Avenir Next" w:cs="Arial"/>
          <w:color w:val="808080" w:themeColor="background1" w:themeShade="80"/>
          <w:lang w:val="en-US"/>
        </w:rPr>
        <w:t xml:space="preserve"> by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court</w:t>
      </w:r>
      <w:proofErr w:type="spellEnd"/>
      <w:r w:rsidRPr="0098037D">
        <w:rPr>
          <w:rFonts w:ascii="Avenir Next" w:eastAsia="Times New Roman" w:hAnsi="Avenir Next" w:cs="Arial"/>
          <w:color w:val="808080" w:themeColor="background1" w:themeShade="80"/>
          <w:lang w:val="en-US"/>
        </w:rPr>
        <w:t xml:space="preserve"> as </w:t>
      </w:r>
      <w:proofErr w:type="spellStart"/>
      <w:r w:rsidRPr="0098037D">
        <w:rPr>
          <w:rFonts w:ascii="Avenir Next" w:eastAsia="Times New Roman" w:hAnsi="Avenir Next" w:cs="Arial"/>
          <w:color w:val="808080" w:themeColor="background1" w:themeShade="80"/>
          <w:lang w:val="en-US"/>
        </w:rPr>
        <w:t>an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official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liquidator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if</w:t>
      </w:r>
      <w:proofErr w:type="spellEnd"/>
      <w:r w:rsidRPr="0098037D">
        <w:rPr>
          <w:rFonts w:ascii="Avenir Next" w:eastAsia="Times New Roman" w:hAnsi="Avenir Next" w:cs="Arial"/>
          <w:color w:val="808080" w:themeColor="background1" w:themeShade="80"/>
          <w:lang w:val="en-US"/>
        </w:rPr>
        <w:t xml:space="preserve">: </w:t>
      </w:r>
    </w:p>
    <w:p w14:paraId="546551F7" w14:textId="77777777" w:rsidR="0040278D" w:rsidRPr="0098037D" w:rsidRDefault="0040278D" w:rsidP="0040278D">
      <w:pPr>
        <w:pStyle w:val="ListParagraph"/>
        <w:numPr>
          <w:ilvl w:val="0"/>
          <w:numId w:val="51"/>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person</w:t>
      </w:r>
      <w:proofErr w:type="spellEnd"/>
      <w:r w:rsidRPr="0098037D">
        <w:rPr>
          <w:rFonts w:ascii="Avenir Next" w:eastAsia="Times New Roman" w:hAnsi="Avenir Next" w:cs="Arial"/>
          <w:color w:val="808080" w:themeColor="background1" w:themeShade="80"/>
          <w:lang w:val="en-US"/>
        </w:rPr>
        <w:t xml:space="preserve"> is </w:t>
      </w:r>
      <w:proofErr w:type="spellStart"/>
      <w:r w:rsidRPr="0098037D">
        <w:rPr>
          <w:rFonts w:ascii="Avenir Next" w:eastAsia="Times New Roman" w:hAnsi="Avenir Next" w:cs="Arial"/>
          <w:color w:val="808080" w:themeColor="background1" w:themeShade="80"/>
          <w:lang w:val="en-US"/>
        </w:rPr>
        <w:t>licensed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to</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act</w:t>
      </w:r>
      <w:proofErr w:type="spellEnd"/>
      <w:r w:rsidRPr="0098037D">
        <w:rPr>
          <w:rFonts w:ascii="Avenir Next" w:eastAsia="Times New Roman" w:hAnsi="Avenir Next" w:cs="Arial"/>
          <w:color w:val="808080" w:themeColor="background1" w:themeShade="80"/>
          <w:lang w:val="en-US"/>
        </w:rPr>
        <w:t xml:space="preserve"> as </w:t>
      </w:r>
      <w:proofErr w:type="spellStart"/>
      <w:r w:rsidRPr="0098037D">
        <w:rPr>
          <w:rFonts w:ascii="Avenir Next" w:eastAsia="Times New Roman" w:hAnsi="Avenir Next" w:cs="Arial"/>
          <w:color w:val="808080" w:themeColor="background1" w:themeShade="80"/>
          <w:lang w:val="en-US"/>
        </w:rPr>
        <w:t>an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insolvency</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practitioner</w:t>
      </w:r>
      <w:proofErr w:type="spellEnd"/>
      <w:r w:rsidRPr="0098037D">
        <w:rPr>
          <w:rFonts w:ascii="Avenir Next" w:eastAsia="Times New Roman" w:hAnsi="Avenir Next" w:cs="Arial"/>
          <w:color w:val="808080" w:themeColor="background1" w:themeShade="80"/>
          <w:lang w:val="en-US"/>
        </w:rPr>
        <w:t xml:space="preserve"> in a relevant country.</w:t>
      </w:r>
    </w:p>
    <w:p w14:paraId="4E065116" w14:textId="77777777" w:rsidR="0040278D" w:rsidRPr="0098037D" w:rsidRDefault="0040278D" w:rsidP="0040278D">
      <w:pPr>
        <w:pStyle w:val="ListParagraph"/>
        <w:numPr>
          <w:ilvl w:val="0"/>
          <w:numId w:val="51"/>
        </w:numPr>
        <w:spacing w:after="0" w:line="240" w:lineRule="auto"/>
        <w:rPr>
          <w:rFonts w:ascii="Avenir Next" w:eastAsia="Times New Roman" w:hAnsi="Avenir Next" w:cs="Arial"/>
          <w:color w:val="808080" w:themeColor="background1" w:themeShade="80"/>
          <w:lang w:val="en-US"/>
        </w:rPr>
      </w:pPr>
      <w:r w:rsidRPr="0098037D">
        <w:rPr>
          <w:rFonts w:ascii="Avenir Next" w:eastAsia="Times New Roman" w:hAnsi="Avenir Next" w:cs="Arial"/>
          <w:color w:val="808080" w:themeColor="background1" w:themeShade="80"/>
          <w:lang w:val="en-US"/>
        </w:rPr>
        <w:t xml:space="preserve">Is </w:t>
      </w:r>
      <w:proofErr w:type="spellStart"/>
      <w:r w:rsidRPr="0098037D">
        <w:rPr>
          <w:rFonts w:ascii="Avenir Next" w:eastAsia="Times New Roman" w:hAnsi="Avenir Next" w:cs="Arial"/>
          <w:color w:val="808080" w:themeColor="background1" w:themeShade="80"/>
          <w:lang w:val="en-US"/>
        </w:rPr>
        <w:t>qualified</w:t>
      </w:r>
      <w:proofErr w:type="spellEnd"/>
      <w:r w:rsidRPr="0098037D">
        <w:rPr>
          <w:rFonts w:ascii="Avenir Next" w:eastAsia="Times New Roman" w:hAnsi="Avenir Next" w:cs="Arial"/>
          <w:color w:val="808080" w:themeColor="background1" w:themeShade="80"/>
          <w:lang w:val="en-US"/>
        </w:rPr>
        <w:t xml:space="preserve"> as a </w:t>
      </w:r>
      <w:proofErr w:type="spellStart"/>
      <w:r w:rsidRPr="0098037D">
        <w:rPr>
          <w:rFonts w:ascii="Avenir Next" w:eastAsia="Times New Roman" w:hAnsi="Avenir Next" w:cs="Arial"/>
          <w:color w:val="808080" w:themeColor="background1" w:themeShade="80"/>
          <w:lang w:val="en-US"/>
        </w:rPr>
        <w:t>professional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accountant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at</w:t>
      </w:r>
      <w:proofErr w:type="spellEnd"/>
      <w:r w:rsidRPr="0098037D">
        <w:rPr>
          <w:rFonts w:ascii="Avenir Next" w:eastAsia="Times New Roman" w:hAnsi="Avenir Next" w:cs="Arial"/>
          <w:color w:val="808080" w:themeColor="background1" w:themeShade="80"/>
          <w:lang w:val="en-US"/>
        </w:rPr>
        <w:t xml:space="preserve"> a relevant </w:t>
      </w:r>
      <w:proofErr w:type="spellStart"/>
      <w:r w:rsidRPr="0098037D">
        <w:rPr>
          <w:rFonts w:ascii="Avenir Next" w:eastAsia="Times New Roman" w:hAnsi="Avenir Next" w:cs="Arial"/>
          <w:color w:val="808080" w:themeColor="background1" w:themeShade="80"/>
          <w:lang w:val="en-US"/>
        </w:rPr>
        <w:t>institution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and</w:t>
      </w:r>
      <w:proofErr w:type="spellEnd"/>
      <w:r w:rsidRPr="0098037D">
        <w:rPr>
          <w:rFonts w:ascii="Avenir Next" w:eastAsia="Times New Roman" w:hAnsi="Avenir Next" w:cs="Arial"/>
          <w:color w:val="808080" w:themeColor="background1" w:themeShade="80"/>
          <w:lang w:val="en-US"/>
        </w:rPr>
        <w:t xml:space="preserve"> is in </w:t>
      </w:r>
      <w:proofErr w:type="spellStart"/>
      <w:r w:rsidRPr="0098037D">
        <w:rPr>
          <w:rFonts w:ascii="Avenir Next" w:eastAsia="Times New Roman" w:hAnsi="Avenir Next" w:cs="Arial"/>
          <w:color w:val="808080" w:themeColor="background1" w:themeShade="80"/>
          <w:lang w:val="en-US"/>
        </w:rPr>
        <w:t>good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standing</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has</w:t>
      </w:r>
      <w:proofErr w:type="spellEnd"/>
      <w:r w:rsidRPr="0098037D">
        <w:rPr>
          <w:rFonts w:ascii="Avenir Next" w:eastAsia="Times New Roman" w:hAnsi="Avenir Next" w:cs="Arial"/>
          <w:color w:val="808080" w:themeColor="background1" w:themeShade="80"/>
          <w:lang w:val="en-US"/>
        </w:rPr>
        <w:t xml:space="preserve"> 5 </w:t>
      </w:r>
      <w:proofErr w:type="spellStart"/>
      <w:r w:rsidRPr="0098037D">
        <w:rPr>
          <w:rFonts w:ascii="Avenir Next" w:eastAsia="Times New Roman" w:hAnsi="Avenir Next" w:cs="Arial"/>
          <w:color w:val="808080" w:themeColor="background1" w:themeShade="80"/>
          <w:lang w:val="en-US"/>
        </w:rPr>
        <w:t>years</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experience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over</w:t>
      </w:r>
      <w:proofErr w:type="spellEnd"/>
      <w:r w:rsidRPr="0098037D">
        <w:rPr>
          <w:rFonts w:ascii="Avenir Next" w:eastAsia="Times New Roman" w:hAnsi="Avenir Next" w:cs="Arial"/>
          <w:color w:val="808080" w:themeColor="background1" w:themeShade="80"/>
          <w:lang w:val="en-US"/>
        </w:rPr>
        <w:t xml:space="preserve"> 2,500 </w:t>
      </w:r>
      <w:proofErr w:type="spellStart"/>
      <w:r w:rsidRPr="0098037D">
        <w:rPr>
          <w:rFonts w:ascii="Avenir Next" w:eastAsia="Times New Roman" w:hAnsi="Avenir Next" w:cs="Arial"/>
          <w:color w:val="808080" w:themeColor="background1" w:themeShade="80"/>
          <w:lang w:val="en-US"/>
        </w:rPr>
        <w:t>hours</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chargeable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work</w:t>
      </w:r>
      <w:proofErr w:type="spellEnd"/>
      <w:r w:rsidRPr="0098037D">
        <w:rPr>
          <w:rFonts w:ascii="Avenir Next" w:eastAsia="Times New Roman" w:hAnsi="Avenir Next" w:cs="Arial"/>
          <w:color w:val="808080" w:themeColor="background1" w:themeShade="80"/>
          <w:lang w:val="en-US"/>
        </w:rPr>
        <w:t>.</w:t>
      </w:r>
    </w:p>
    <w:p w14:paraId="6361A975" w14:textId="77777777" w:rsidR="0040278D" w:rsidRPr="0098037D" w:rsidRDefault="0040278D" w:rsidP="0040278D">
      <w:pPr>
        <w:pStyle w:val="ListParagraph"/>
        <w:numPr>
          <w:ilvl w:val="0"/>
          <w:numId w:val="51"/>
        </w:numPr>
        <w:spacing w:after="0" w:line="240" w:lineRule="auto"/>
        <w:rPr>
          <w:rFonts w:ascii="Avenir Next" w:eastAsia="Times New Roman" w:hAnsi="Avenir Next" w:cs="Arial"/>
          <w:color w:val="808080" w:themeColor="background1" w:themeShade="80"/>
          <w:lang w:val="en-US"/>
        </w:rPr>
      </w:pPr>
      <w:r w:rsidRPr="0098037D">
        <w:rPr>
          <w:rFonts w:ascii="Avenir Next" w:eastAsia="Times New Roman" w:hAnsi="Avenir Next" w:cs="Arial"/>
          <w:color w:val="808080" w:themeColor="background1" w:themeShade="80"/>
          <w:lang w:val="en-US"/>
        </w:rPr>
        <w:t xml:space="preserve">He </w:t>
      </w:r>
      <w:proofErr w:type="spellStart"/>
      <w:r w:rsidRPr="0098037D">
        <w:rPr>
          <w:rFonts w:ascii="Avenir Next" w:eastAsia="Times New Roman" w:hAnsi="Avenir Next" w:cs="Arial"/>
          <w:color w:val="808080" w:themeColor="background1" w:themeShade="80"/>
          <w:lang w:val="en-US"/>
        </w:rPr>
        <w:t>has</w:t>
      </w:r>
      <w:proofErr w:type="spellEnd"/>
      <w:r w:rsidRPr="0098037D">
        <w:rPr>
          <w:rFonts w:ascii="Avenir Next" w:eastAsia="Times New Roman" w:hAnsi="Avenir Next" w:cs="Arial"/>
          <w:color w:val="808080" w:themeColor="background1" w:themeShade="80"/>
          <w:lang w:val="en-US"/>
        </w:rPr>
        <w:t xml:space="preserve"> been </w:t>
      </w:r>
      <w:proofErr w:type="spellStart"/>
      <w:r w:rsidRPr="0098037D">
        <w:rPr>
          <w:rFonts w:ascii="Avenir Next" w:eastAsia="Times New Roman" w:hAnsi="Avenir Next" w:cs="Arial"/>
          <w:color w:val="808080" w:themeColor="background1" w:themeShade="80"/>
          <w:lang w:val="en-US"/>
        </w:rPr>
        <w:t>appointed</w:t>
      </w:r>
      <w:proofErr w:type="spellEnd"/>
      <w:r w:rsidRPr="0098037D">
        <w:rPr>
          <w:rFonts w:ascii="Avenir Next" w:eastAsia="Times New Roman" w:hAnsi="Avenir Next" w:cs="Arial"/>
          <w:color w:val="808080" w:themeColor="background1" w:themeShade="80"/>
          <w:lang w:val="en-US"/>
        </w:rPr>
        <w:t xml:space="preserve"> by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Court as </w:t>
      </w:r>
      <w:proofErr w:type="spellStart"/>
      <w:r w:rsidRPr="0098037D">
        <w:rPr>
          <w:rFonts w:ascii="Avenir Next" w:eastAsia="Times New Roman" w:hAnsi="Avenir Next" w:cs="Arial"/>
          <w:color w:val="808080" w:themeColor="background1" w:themeShade="80"/>
          <w:lang w:val="en-US"/>
        </w:rPr>
        <w:t>an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Official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Liquidator</w:t>
      </w:r>
      <w:proofErr w:type="spellEnd"/>
      <w:r w:rsidRPr="0098037D">
        <w:rPr>
          <w:rFonts w:ascii="Avenir Next" w:eastAsia="Times New Roman" w:hAnsi="Avenir Next" w:cs="Arial"/>
          <w:color w:val="808080" w:themeColor="background1" w:themeShade="80"/>
          <w:lang w:val="en-US"/>
        </w:rPr>
        <w:t xml:space="preserve"> of a </w:t>
      </w:r>
      <w:proofErr w:type="spellStart"/>
      <w:r w:rsidRPr="0098037D">
        <w:rPr>
          <w:rFonts w:ascii="Avenir Next" w:eastAsia="Times New Roman" w:hAnsi="Avenir Next" w:cs="Arial"/>
          <w:color w:val="808080" w:themeColor="background1" w:themeShade="80"/>
          <w:lang w:val="en-US"/>
        </w:rPr>
        <w:t>company</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within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last</w:t>
      </w:r>
      <w:proofErr w:type="spellEnd"/>
      <w:r w:rsidRPr="0098037D">
        <w:rPr>
          <w:rFonts w:ascii="Avenir Next" w:eastAsia="Times New Roman" w:hAnsi="Avenir Next" w:cs="Arial"/>
          <w:color w:val="808080" w:themeColor="background1" w:themeShade="80"/>
          <w:lang w:val="en-US"/>
        </w:rPr>
        <w:t xml:space="preserve"> 5 </w:t>
      </w:r>
      <w:proofErr w:type="spellStart"/>
      <w:r w:rsidRPr="0098037D">
        <w:rPr>
          <w:rFonts w:ascii="Avenir Next" w:eastAsia="Times New Roman" w:hAnsi="Avenir Next" w:cs="Arial"/>
          <w:color w:val="808080" w:themeColor="background1" w:themeShade="80"/>
          <w:lang w:val="en-US"/>
        </w:rPr>
        <w:t>years</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commencement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date</w:t>
      </w:r>
      <w:proofErr w:type="spellEnd"/>
      <w:r w:rsidRPr="0098037D">
        <w:rPr>
          <w:rFonts w:ascii="Avenir Next" w:eastAsia="Times New Roman" w:hAnsi="Avenir Next" w:cs="Arial"/>
          <w:color w:val="808080" w:themeColor="background1" w:themeShade="80"/>
          <w:lang w:val="en-US"/>
        </w:rPr>
        <w:t>.</w:t>
      </w:r>
    </w:p>
    <w:p w14:paraId="34AEDFFF" w14:textId="77777777" w:rsidR="0040278D" w:rsidRPr="0098037D" w:rsidRDefault="0040278D" w:rsidP="0040278D">
      <w:pPr>
        <w:pStyle w:val="ListParagraph"/>
        <w:numPr>
          <w:ilvl w:val="0"/>
          <w:numId w:val="50"/>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Residency</w:t>
      </w:r>
      <w:proofErr w:type="spellEnd"/>
    </w:p>
    <w:p w14:paraId="33D40218" w14:textId="77777777" w:rsidR="0040278D" w:rsidRPr="0098037D" w:rsidRDefault="0040278D" w:rsidP="0040278D">
      <w:pPr>
        <w:pStyle w:val="ListParagraph"/>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person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can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appointed</w:t>
      </w:r>
      <w:proofErr w:type="spellEnd"/>
      <w:r w:rsidRPr="0098037D">
        <w:rPr>
          <w:rFonts w:ascii="Avenir Next" w:eastAsia="Times New Roman" w:hAnsi="Avenir Next" w:cs="Arial"/>
          <w:color w:val="808080" w:themeColor="background1" w:themeShade="80"/>
          <w:lang w:val="en-US"/>
        </w:rPr>
        <w:t xml:space="preserve"> by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court</w:t>
      </w:r>
      <w:proofErr w:type="spellEnd"/>
      <w:r w:rsidRPr="0098037D">
        <w:rPr>
          <w:rFonts w:ascii="Avenir Next" w:eastAsia="Times New Roman" w:hAnsi="Avenir Next" w:cs="Arial"/>
          <w:color w:val="808080" w:themeColor="background1" w:themeShade="80"/>
          <w:lang w:val="en-US"/>
        </w:rPr>
        <w:t xml:space="preserve"> as </w:t>
      </w:r>
      <w:proofErr w:type="spellStart"/>
      <w:r w:rsidRPr="0098037D">
        <w:rPr>
          <w:rFonts w:ascii="Avenir Next" w:eastAsia="Times New Roman" w:hAnsi="Avenir Next" w:cs="Arial"/>
          <w:color w:val="808080" w:themeColor="background1" w:themeShade="80"/>
          <w:lang w:val="en-US"/>
        </w:rPr>
        <w:t>an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official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liquidator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if</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they</w:t>
      </w:r>
      <w:proofErr w:type="spellEnd"/>
      <w:r w:rsidRPr="0098037D">
        <w:rPr>
          <w:rFonts w:ascii="Avenir Next" w:eastAsia="Times New Roman" w:hAnsi="Avenir Next" w:cs="Arial"/>
          <w:color w:val="808080" w:themeColor="background1" w:themeShade="80"/>
          <w:lang w:val="en-US"/>
        </w:rPr>
        <w:t xml:space="preserve"> are a resident</w:t>
      </w:r>
      <w:proofErr w:type="spellStart"/>
      <w:r w:rsidRPr="0098037D">
        <w:rPr>
          <w:rFonts w:ascii="Avenir Next" w:eastAsia="Times New Roman" w:hAnsi="Avenir Next" w:cs="Arial"/>
          <w:color w:val="808080" w:themeColor="background1" w:themeShade="80"/>
          <w:lang w:val="en-US"/>
        </w:rPr>
        <w:t xml:space="preserve"> in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 islands</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he</w:t>
      </w:r>
      <w:proofErr w:type="spellEnd"/>
      <w:r w:rsidRPr="0098037D">
        <w:rPr>
          <w:rFonts w:ascii="Avenir Next" w:eastAsia="Times New Roman" w:hAnsi="Avenir Next" w:cs="Arial"/>
          <w:color w:val="808080" w:themeColor="background1" w:themeShade="80"/>
          <w:lang w:val="en-US"/>
        </w:rPr>
        <w:t>/</w:t>
      </w:r>
      <w:proofErr w:type="spellStart"/>
      <w:r w:rsidRPr="0098037D">
        <w:rPr>
          <w:rFonts w:ascii="Avenir Next" w:eastAsia="Times New Roman" w:hAnsi="Avenir Next" w:cs="Arial"/>
          <w:color w:val="808080" w:themeColor="background1" w:themeShade="80"/>
          <w:lang w:val="en-US"/>
        </w:rPr>
        <w:t>she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firm</w:t>
      </w:r>
      <w:proofErr w:type="spellEnd"/>
      <w:r w:rsidRPr="0098037D">
        <w:rPr>
          <w:rFonts w:ascii="Avenir Next" w:eastAsia="Times New Roman" w:hAnsi="Avenir Next" w:cs="Arial"/>
          <w:color w:val="808080" w:themeColor="background1" w:themeShade="80"/>
          <w:lang w:val="en-US"/>
        </w:rPr>
        <w:t xml:space="preserve"> in </w:t>
      </w:r>
      <w:proofErr w:type="spellStart"/>
      <w:r w:rsidRPr="0098037D">
        <w:rPr>
          <w:rFonts w:ascii="Avenir Next" w:eastAsia="Times New Roman" w:hAnsi="Avenir Next" w:cs="Arial"/>
          <w:color w:val="808080" w:themeColor="background1" w:themeShade="80"/>
          <w:lang w:val="en-US"/>
        </w:rPr>
        <w:t>which</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he</w:t>
      </w:r>
      <w:proofErr w:type="spellEnd"/>
      <w:r w:rsidRPr="0098037D">
        <w:rPr>
          <w:rFonts w:ascii="Avenir Next" w:eastAsia="Times New Roman" w:hAnsi="Avenir Next" w:cs="Arial"/>
          <w:color w:val="808080" w:themeColor="background1" w:themeShade="80"/>
          <w:lang w:val="en-US"/>
        </w:rPr>
        <w:t>/</w:t>
      </w:r>
      <w:proofErr w:type="spellStart"/>
      <w:r w:rsidRPr="0098037D">
        <w:rPr>
          <w:rFonts w:ascii="Avenir Next" w:eastAsia="Times New Roman" w:hAnsi="Avenir Next" w:cs="Arial"/>
          <w:color w:val="808080" w:themeColor="background1" w:themeShade="80"/>
          <w:lang w:val="en-US"/>
        </w:rPr>
        <w:t>she</w:t>
      </w:r>
      <w:proofErr w:type="spellEnd"/>
      <w:r w:rsidRPr="0098037D">
        <w:rPr>
          <w:rFonts w:ascii="Avenir Next" w:eastAsia="Times New Roman" w:hAnsi="Avenir Next" w:cs="Arial"/>
          <w:color w:val="808080" w:themeColor="background1" w:themeShade="80"/>
          <w:lang w:val="en-US"/>
        </w:rPr>
        <w:t xml:space="preserve"> is </w:t>
      </w:r>
      <w:proofErr w:type="spellStart"/>
      <w:r w:rsidRPr="0098037D">
        <w:rPr>
          <w:rFonts w:ascii="Avenir Next" w:eastAsia="Times New Roman" w:hAnsi="Avenir Next" w:cs="Arial"/>
          <w:color w:val="808080" w:themeColor="background1" w:themeShade="80"/>
          <w:lang w:val="en-US"/>
        </w:rPr>
        <w:t>employed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holds</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relevant </w:t>
      </w:r>
      <w:proofErr w:type="spellStart"/>
      <w:r w:rsidRPr="0098037D">
        <w:rPr>
          <w:rFonts w:ascii="Avenir Next" w:eastAsia="Times New Roman" w:hAnsi="Avenir Next" w:cs="Arial"/>
          <w:color w:val="808080" w:themeColor="background1" w:themeShade="80"/>
          <w:lang w:val="en-US"/>
        </w:rPr>
        <w:t>trade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business</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license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to</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carry</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out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insolvency</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work</w:t>
      </w:r>
      <w:proofErr w:type="spellEnd"/>
      <w:r w:rsidRPr="0098037D">
        <w:rPr>
          <w:rFonts w:ascii="Avenir Next" w:eastAsia="Times New Roman" w:hAnsi="Avenir Next" w:cs="Arial"/>
          <w:color w:val="808080" w:themeColor="background1" w:themeShade="80"/>
          <w:lang w:val="en-US"/>
        </w:rPr>
        <w:t>.</w:t>
      </w:r>
    </w:p>
    <w:p w14:paraId="67611EFE" w14:textId="77777777" w:rsidR="0040278D" w:rsidRPr="0098037D" w:rsidRDefault="0040278D" w:rsidP="0040278D">
      <w:pPr>
        <w:pStyle w:val="ListParagraph"/>
        <w:rPr>
          <w:rFonts w:ascii="Avenir Next" w:eastAsia="Times New Roman" w:hAnsi="Avenir Next" w:cs="Arial"/>
          <w:color w:val="808080" w:themeColor="background1" w:themeShade="80"/>
          <w:lang w:val="en-US"/>
        </w:rPr>
      </w:pPr>
    </w:p>
    <w:p w14:paraId="13EEF308" w14:textId="77777777" w:rsidR="0040278D" w:rsidRPr="0098037D" w:rsidRDefault="0040278D" w:rsidP="0040278D">
      <w:pPr>
        <w:pStyle w:val="ListParagraph"/>
        <w:numPr>
          <w:ilvl w:val="0"/>
          <w:numId w:val="50"/>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Independence</w:t>
      </w:r>
      <w:proofErr w:type="spellEnd"/>
    </w:p>
    <w:p w14:paraId="5ECB1DB1" w14:textId="0F3FC857" w:rsidR="0040278D" w:rsidRPr="0098037D" w:rsidRDefault="0040278D" w:rsidP="0040278D">
      <w:pPr>
        <w:pStyle w:val="ListParagraph"/>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practitioner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must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regarded</w:t>
      </w:r>
      <w:proofErr w:type="spellEnd"/>
      <w:r w:rsidRPr="0098037D">
        <w:rPr>
          <w:rFonts w:ascii="Avenir Next" w:eastAsia="Times New Roman" w:hAnsi="Avenir Next" w:cs="Arial"/>
          <w:color w:val="808080" w:themeColor="background1" w:themeShade="80"/>
          <w:lang w:val="en-US"/>
        </w:rPr>
        <w:t xml:space="preserve"> as </w:t>
      </w:r>
      <w:proofErr w:type="spellStart"/>
      <w:r w:rsidRPr="0098037D">
        <w:rPr>
          <w:rFonts w:ascii="Avenir Next" w:eastAsia="Times New Roman" w:hAnsi="Avenir Next" w:cs="Arial"/>
          <w:color w:val="808080" w:themeColor="background1" w:themeShade="80"/>
          <w:lang w:val="en-US"/>
        </w:rPr>
        <w:t>independent</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company</w:t>
      </w:r>
      <w:proofErr w:type="spellEnd"/>
      <w:r w:rsidRPr="0098037D">
        <w:rPr>
          <w:rFonts w:ascii="Avenir Next" w:eastAsia="Times New Roman" w:hAnsi="Avenir Next" w:cs="Arial"/>
          <w:color w:val="808080" w:themeColor="background1" w:themeShade="80"/>
          <w:lang w:val="en-US"/>
        </w:rPr>
        <w:t>.</w:t>
      </w:r>
    </w:p>
    <w:p w14:paraId="103BC563" w14:textId="77777777" w:rsidR="0040278D" w:rsidRPr="0098037D" w:rsidRDefault="0040278D" w:rsidP="0040278D">
      <w:pPr>
        <w:pStyle w:val="ListParagraph"/>
        <w:rPr>
          <w:rFonts w:ascii="Avenir Next" w:eastAsia="Times New Roman" w:hAnsi="Avenir Next" w:cs="Arial"/>
          <w:color w:val="808080" w:themeColor="background1" w:themeShade="80"/>
          <w:lang w:val="en-US"/>
        </w:rPr>
      </w:pPr>
    </w:p>
    <w:p w14:paraId="313EF2A8" w14:textId="77777777" w:rsidR="0040278D" w:rsidRPr="0098037D" w:rsidRDefault="0040278D" w:rsidP="0040278D">
      <w:pPr>
        <w:pStyle w:val="ListParagraph"/>
        <w:numPr>
          <w:ilvl w:val="0"/>
          <w:numId w:val="50"/>
        </w:numPr>
        <w:spacing w:after="0" w:line="240" w:lineRule="auto"/>
        <w:rPr>
          <w:rFonts w:ascii="Avenir Next" w:eastAsia="Times New Roman" w:hAnsi="Avenir Next" w:cs="Arial"/>
          <w:color w:val="808080" w:themeColor="background1" w:themeShade="80"/>
          <w:lang w:val="en-US"/>
        </w:rPr>
      </w:pPr>
      <w:r w:rsidRPr="0098037D">
        <w:rPr>
          <w:rFonts w:ascii="Avenir Next" w:eastAsia="Times New Roman" w:hAnsi="Avenir Next" w:cs="Arial"/>
          <w:color w:val="808080" w:themeColor="background1" w:themeShade="80"/>
          <w:lang w:val="en-US"/>
        </w:rPr>
        <w:t>Insurance</w:t>
      </w:r>
    </w:p>
    <w:p w14:paraId="56EFEB53" w14:textId="77777777" w:rsidR="0040278D" w:rsidRPr="0098037D" w:rsidRDefault="0040278D" w:rsidP="0040278D">
      <w:pPr>
        <w:pStyle w:val="ListParagraph"/>
        <w:rPr>
          <w:rFonts w:ascii="Avenir Next" w:eastAsia="Times New Roman" w:hAnsi="Avenir Next" w:cs="Arial"/>
          <w:color w:val="808080" w:themeColor="background1" w:themeShade="80"/>
          <w:lang w:val="en-US"/>
        </w:rPr>
      </w:pPr>
      <w:r w:rsidRPr="0098037D">
        <w:rPr>
          <w:rFonts w:ascii="Avenir Next" w:eastAsia="Times New Roman" w:hAnsi="Avenir Next" w:cs="Arial"/>
          <w:color w:val="808080" w:themeColor="background1" w:themeShade="80"/>
          <w:lang w:val="en-US"/>
        </w:rPr>
        <w:t xml:space="preserve">The practitioner must have sufficient indemnity insurance as set </w:t>
      </w:r>
      <w:proofErr w:type="spellStart"/>
      <w:r w:rsidRPr="0098037D">
        <w:rPr>
          <w:rFonts w:ascii="Avenir Next" w:eastAsia="Times New Roman" w:hAnsi="Avenir Next" w:cs="Arial"/>
          <w:color w:val="808080" w:themeColor="background1" w:themeShade="80"/>
          <w:lang w:val="en-US"/>
        </w:rPr>
        <w:t>out</w:t>
      </w:r>
      <w:proofErr w:type="spellEnd"/>
      <w:r w:rsidRPr="0098037D">
        <w:rPr>
          <w:rFonts w:ascii="Avenir Next" w:eastAsia="Times New Roman" w:hAnsi="Avenir Next" w:cs="Arial"/>
          <w:color w:val="808080" w:themeColor="background1" w:themeShade="80"/>
          <w:lang w:val="en-US"/>
        </w:rPr>
        <w:t xml:space="preserve"> in </w:t>
      </w:r>
      <w:proofErr w:type="spellStart"/>
      <w:r w:rsidRPr="0098037D">
        <w:rPr>
          <w:rFonts w:ascii="Avenir Next" w:eastAsia="Times New Roman" w:hAnsi="Avenir Next" w:cs="Arial"/>
          <w:color w:val="808080" w:themeColor="background1" w:themeShade="80"/>
          <w:lang w:val="en-US"/>
        </w:rPr>
        <w:t>Regulation</w:t>
      </w:r>
      <w:proofErr w:type="spellEnd"/>
      <w:r w:rsidRPr="0098037D">
        <w:rPr>
          <w:rFonts w:ascii="Avenir Next" w:eastAsia="Times New Roman" w:hAnsi="Avenir Next" w:cs="Arial"/>
          <w:color w:val="808080" w:themeColor="background1" w:themeShade="80"/>
          <w:lang w:val="en-US"/>
        </w:rPr>
        <w:t xml:space="preserve"> 7. </w:t>
      </w:r>
    </w:p>
    <w:p w14:paraId="4D23B641" w14:textId="77777777" w:rsidR="0040278D" w:rsidRPr="0098037D" w:rsidRDefault="0040278D" w:rsidP="0040278D">
      <w:pPr>
        <w:pStyle w:val="ListParagraph"/>
        <w:rPr>
          <w:rFonts w:ascii="Avenir Next" w:eastAsia="Times New Roman" w:hAnsi="Avenir Next" w:cs="Arial"/>
          <w:color w:val="808080" w:themeColor="background1" w:themeShade="80"/>
          <w:lang w:val="en-US"/>
        </w:rPr>
      </w:pPr>
    </w:p>
    <w:p w14:paraId="6E13B30D" w14:textId="77777777" w:rsidR="0040278D" w:rsidRPr="0098037D" w:rsidRDefault="0040278D" w:rsidP="0040278D">
      <w:pPr>
        <w:rPr>
          <w:color w:val="808080" w:themeColor="background1" w:themeShade="80"/>
        </w:rPr>
      </w:pPr>
      <w:r w:rsidRPr="0098037D">
        <w:rPr>
          <w:color w:val="808080" w:themeColor="background1" w:themeShade="80"/>
        </w:rPr>
        <w:t xml:space="preserve">Also note, foreign practitioners must also meet the independence and insurance criteria summarized above. </w:t>
      </w:r>
    </w:p>
    <w:p w14:paraId="04C8F8F4" w14:textId="77777777" w:rsidR="0040278D" w:rsidRPr="0098037D" w:rsidRDefault="0040278D" w:rsidP="0040278D">
      <w:pPr>
        <w:rPr>
          <w:color w:val="808080" w:themeColor="background1" w:themeShade="80"/>
        </w:rPr>
      </w:pPr>
    </w:p>
    <w:p w14:paraId="2D036C74" w14:textId="02BEE427" w:rsidR="0040278D" w:rsidRPr="0098037D" w:rsidRDefault="0040278D" w:rsidP="0040278D">
      <w:pPr>
        <w:rPr>
          <w:color w:val="808080" w:themeColor="background1" w:themeShade="80"/>
        </w:rPr>
      </w:pPr>
      <w:r w:rsidRPr="0098037D">
        <w:rPr>
          <w:color w:val="808080" w:themeColor="background1" w:themeShade="80"/>
        </w:rPr>
        <w:t xml:space="preserve">To conclude, it is possible to appoint a US based practitioner as Joint Voluntary and Official Liquidator of both the Master and </w:t>
      </w:r>
      <w:r w:rsidRPr="0098037D">
        <w:rPr>
          <w:color w:val="808080" w:themeColor="background1" w:themeShade="80"/>
        </w:rPr>
        <w:t xml:space="preserve">Cayman </w:t>
      </w:r>
      <w:r w:rsidRPr="0098037D">
        <w:rPr>
          <w:color w:val="808080" w:themeColor="background1" w:themeShade="80"/>
        </w:rPr>
        <w:t xml:space="preserve">Feeder fund. </w:t>
      </w:r>
    </w:p>
    <w:p w14:paraId="64BC33C1" w14:textId="77777777" w:rsidR="0040278D" w:rsidRPr="0098037D" w:rsidRDefault="0040278D" w:rsidP="0040278D">
      <w:pPr>
        <w:rPr>
          <w:color w:val="808080" w:themeColor="background1" w:themeShade="80"/>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the investment manager, Panamanian directors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The types of litigation funding arrangements permitted in </w:t>
      </w:r>
      <w:proofErr w:type="gramStart"/>
      <w:r w:rsidRPr="00E26B0D">
        <w:rPr>
          <w:rFonts w:ascii="Avenir Next" w:hAnsi="Avenir Next"/>
        </w:rPr>
        <w:t>Cayman;</w:t>
      </w:r>
      <w:proofErr w:type="gramEnd"/>
    </w:p>
    <w:p w14:paraId="5302215E" w14:textId="0161F366"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 xml:space="preserve">a contingency fee </w:t>
      </w:r>
      <w:proofErr w:type="gramStart"/>
      <w:r w:rsidRPr="00E26B0D">
        <w:rPr>
          <w:rFonts w:ascii="Avenir Next" w:hAnsi="Avenir Next"/>
        </w:rPr>
        <w:t>agreement;</w:t>
      </w:r>
      <w:proofErr w:type="gramEnd"/>
    </w:p>
    <w:p w14:paraId="13C6F92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the maximum success fees are permitted under a conditional fee </w:t>
      </w:r>
      <w:proofErr w:type="gramStart"/>
      <w:r w:rsidRPr="00E26B0D">
        <w:rPr>
          <w:rFonts w:ascii="Avenir Next" w:hAnsi="Avenir Next"/>
        </w:rPr>
        <w:t>arrangement;</w:t>
      </w:r>
      <w:proofErr w:type="gramEnd"/>
    </w:p>
    <w:p w14:paraId="535022A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D3AB4">
      <w:pPr>
        <w:pStyle w:val="BodyText"/>
        <w:widowControl/>
        <w:numPr>
          <w:ilvl w:val="0"/>
          <w:numId w:val="37"/>
        </w:numPr>
        <w:tabs>
          <w:tab w:val="right" w:pos="9021"/>
        </w:tabs>
        <w:autoSpaceDE/>
        <w:autoSpaceDN/>
        <w:ind w:left="426"/>
        <w:jc w:val="both"/>
        <w:rPr>
          <w:rFonts w:ascii="Avenir Next" w:hAnsi="Avenir Next"/>
        </w:rPr>
      </w:pPr>
      <w:r w:rsidRPr="00E26B0D">
        <w:rPr>
          <w:rFonts w:ascii="Avenir Next" w:hAnsi="Avenir Next"/>
        </w:rPr>
        <w:t xml:space="preserve">What practical information you think a potential litigation funder will need in order to consider </w:t>
      </w:r>
      <w:proofErr w:type="gramStart"/>
      <w:r w:rsidRPr="00E26B0D">
        <w:rPr>
          <w:rFonts w:ascii="Avenir Next" w:hAnsi="Avenir Next"/>
        </w:rPr>
        <w:t>whether or not</w:t>
      </w:r>
      <w:proofErr w:type="gramEnd"/>
      <w:r w:rsidRPr="00E26B0D">
        <w:rPr>
          <w:rFonts w:ascii="Avenir Next" w:hAnsi="Avenir Next"/>
        </w:rPr>
        <w:t xml:space="preserve">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452D6243" w14:textId="77777777" w:rsidR="00155882" w:rsidRPr="0098037D" w:rsidRDefault="00155882" w:rsidP="00155882">
      <w:pPr>
        <w:rPr>
          <w:color w:val="808080" w:themeColor="background1" w:themeShade="80"/>
        </w:rPr>
      </w:pPr>
      <w:r w:rsidRPr="0098037D">
        <w:rPr>
          <w:color w:val="808080" w:themeColor="background1" w:themeShade="80"/>
        </w:rPr>
        <w:t xml:space="preserve">Memo </w:t>
      </w:r>
    </w:p>
    <w:p w14:paraId="791F76C2" w14:textId="77777777" w:rsidR="00155882" w:rsidRPr="0098037D" w:rsidRDefault="00155882" w:rsidP="00155882">
      <w:pPr>
        <w:rPr>
          <w:color w:val="808080" w:themeColor="background1" w:themeShade="80"/>
        </w:rPr>
      </w:pPr>
      <w:r w:rsidRPr="0098037D">
        <w:rPr>
          <w:color w:val="808080" w:themeColor="background1" w:themeShade="80"/>
        </w:rPr>
        <w:t>Subject: Seven Mile Master Fund and Seven Mile Feeder Fund</w:t>
      </w:r>
    </w:p>
    <w:p w14:paraId="471BE930" w14:textId="77777777" w:rsidR="00155882" w:rsidRPr="0098037D" w:rsidRDefault="00155882" w:rsidP="00155882">
      <w:pPr>
        <w:rPr>
          <w:color w:val="808080" w:themeColor="background1" w:themeShade="80"/>
        </w:rPr>
      </w:pPr>
      <w:r w:rsidRPr="0098037D">
        <w:rPr>
          <w:color w:val="808080" w:themeColor="background1" w:themeShade="80"/>
        </w:rPr>
        <w:t>To: Investors of Seven Mile Feeder Fund</w:t>
      </w:r>
    </w:p>
    <w:p w14:paraId="14CDA1E5" w14:textId="77777777" w:rsidR="00155882" w:rsidRPr="0098037D" w:rsidRDefault="00155882" w:rsidP="00155882">
      <w:pPr>
        <w:rPr>
          <w:color w:val="808080" w:themeColor="background1" w:themeShade="80"/>
        </w:rPr>
      </w:pPr>
      <w:r w:rsidRPr="0098037D">
        <w:rPr>
          <w:color w:val="808080" w:themeColor="background1" w:themeShade="80"/>
        </w:rPr>
        <w:t>From: CPA</w:t>
      </w:r>
    </w:p>
    <w:p w14:paraId="2FC87E4C" w14:textId="77777777" w:rsidR="00155882" w:rsidRPr="0098037D" w:rsidRDefault="00155882" w:rsidP="00155882">
      <w:pPr>
        <w:rPr>
          <w:color w:val="808080" w:themeColor="background1" w:themeShade="80"/>
        </w:rPr>
      </w:pPr>
    </w:p>
    <w:p w14:paraId="39A1F49D" w14:textId="77777777" w:rsidR="00155882" w:rsidRPr="0098037D" w:rsidRDefault="00155882" w:rsidP="00155882">
      <w:pPr>
        <w:rPr>
          <w:color w:val="808080" w:themeColor="background1" w:themeShade="80"/>
        </w:rPr>
      </w:pPr>
      <w:r w:rsidRPr="0098037D">
        <w:rPr>
          <w:color w:val="808080" w:themeColor="background1" w:themeShade="80"/>
        </w:rPr>
        <w:t>According to the Private Funding of Legal Services Act, the three types of funding arrangements that are permitted are:</w:t>
      </w:r>
    </w:p>
    <w:p w14:paraId="1531FE0F" w14:textId="77777777" w:rsidR="00155882" w:rsidRPr="0098037D" w:rsidRDefault="00155882" w:rsidP="00155882">
      <w:pPr>
        <w:pStyle w:val="ListParagraph"/>
        <w:numPr>
          <w:ilvl w:val="0"/>
          <w:numId w:val="52"/>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Third</w:t>
      </w:r>
      <w:proofErr w:type="spellEnd"/>
      <w:r w:rsidRPr="0098037D">
        <w:rPr>
          <w:rFonts w:ascii="Avenir Next" w:eastAsia="Times New Roman" w:hAnsi="Avenir Next" w:cs="Arial"/>
          <w:color w:val="808080" w:themeColor="background1" w:themeShade="80"/>
          <w:lang w:val="en-US"/>
        </w:rPr>
        <w:t xml:space="preserve"> Party </w:t>
      </w:r>
      <w:proofErr w:type="spellStart"/>
      <w:r w:rsidRPr="0098037D">
        <w:rPr>
          <w:rFonts w:ascii="Avenir Next" w:eastAsia="Times New Roman" w:hAnsi="Avenir Next" w:cs="Arial"/>
          <w:color w:val="808080" w:themeColor="background1" w:themeShade="80"/>
          <w:lang w:val="en-US"/>
        </w:rPr>
        <w:t>Funding</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Agreements</w:t>
      </w:r>
      <w:proofErr w:type="spellEnd"/>
    </w:p>
    <w:p w14:paraId="39EC42D1" w14:textId="77777777" w:rsidR="00155882" w:rsidRPr="0098037D" w:rsidRDefault="00155882" w:rsidP="00155882">
      <w:pPr>
        <w:pStyle w:val="ListParagraph"/>
        <w:numPr>
          <w:ilvl w:val="0"/>
          <w:numId w:val="52"/>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Conditional</w:t>
      </w:r>
      <w:proofErr w:type="spellEnd"/>
      <w:r w:rsidRPr="0098037D">
        <w:rPr>
          <w:rFonts w:ascii="Avenir Next" w:eastAsia="Times New Roman" w:hAnsi="Avenir Next" w:cs="Arial"/>
          <w:color w:val="808080" w:themeColor="background1" w:themeShade="80"/>
          <w:lang w:val="en-US"/>
        </w:rPr>
        <w:t xml:space="preserve"> Fee </w:t>
      </w:r>
      <w:proofErr w:type="spellStart"/>
      <w:r w:rsidRPr="0098037D">
        <w:rPr>
          <w:rFonts w:ascii="Avenir Next" w:eastAsia="Times New Roman" w:hAnsi="Avenir Next" w:cs="Arial"/>
          <w:color w:val="808080" w:themeColor="background1" w:themeShade="80"/>
          <w:lang w:val="en-US"/>
        </w:rPr>
        <w:t>Agreements</w:t>
      </w:r>
      <w:proofErr w:type="spellEnd"/>
    </w:p>
    <w:p w14:paraId="37CC1CB3" w14:textId="77777777" w:rsidR="00155882" w:rsidRPr="0098037D" w:rsidRDefault="00155882" w:rsidP="00155882">
      <w:pPr>
        <w:pStyle w:val="ListParagraph"/>
        <w:numPr>
          <w:ilvl w:val="0"/>
          <w:numId w:val="52"/>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Contingency</w:t>
      </w:r>
      <w:proofErr w:type="spellEnd"/>
      <w:r w:rsidRPr="0098037D">
        <w:rPr>
          <w:rFonts w:ascii="Avenir Next" w:eastAsia="Times New Roman" w:hAnsi="Avenir Next" w:cs="Arial"/>
          <w:color w:val="808080" w:themeColor="background1" w:themeShade="80"/>
          <w:lang w:val="en-US"/>
        </w:rPr>
        <w:t xml:space="preserve"> Fee </w:t>
      </w:r>
      <w:proofErr w:type="spellStart"/>
      <w:r w:rsidRPr="0098037D">
        <w:rPr>
          <w:rFonts w:ascii="Avenir Next" w:eastAsia="Times New Roman" w:hAnsi="Avenir Next" w:cs="Arial"/>
          <w:color w:val="808080" w:themeColor="background1" w:themeShade="80"/>
          <w:lang w:val="en-US"/>
        </w:rPr>
        <w:t>Agreements</w:t>
      </w:r>
      <w:proofErr w:type="spellEnd"/>
    </w:p>
    <w:p w14:paraId="2C75D186" w14:textId="77777777" w:rsidR="00155882" w:rsidRPr="0098037D" w:rsidRDefault="00155882" w:rsidP="00155882">
      <w:pPr>
        <w:rPr>
          <w:color w:val="808080" w:themeColor="background1" w:themeShade="80"/>
        </w:rPr>
      </w:pPr>
    </w:p>
    <w:p w14:paraId="3EF3DAFF" w14:textId="77777777" w:rsidR="00155882" w:rsidRPr="0098037D" w:rsidRDefault="00155882" w:rsidP="00155882">
      <w:pPr>
        <w:rPr>
          <w:color w:val="808080" w:themeColor="background1" w:themeShade="80"/>
        </w:rPr>
      </w:pPr>
      <w:r w:rsidRPr="0098037D">
        <w:rPr>
          <w:color w:val="808080" w:themeColor="background1" w:themeShade="80"/>
        </w:rPr>
        <w:t xml:space="preserve">Third-Party Funding Agreements occurs when a third-party funder agrees to pay all or a portion of the client’s legal and other costs in exchange for payment based on contractual terms. Under Conditional Fee Agreements, lawyers are paid at an hourly rate along with a success fee if the claim succeeds and nothing if the claim does not whereas under a Contingency Fee Agreement, lawyers are paid a percentage of recoveries if the claim succeeds and nothing if the claim fails. </w:t>
      </w:r>
    </w:p>
    <w:p w14:paraId="2C252FE5" w14:textId="77777777" w:rsidR="00155882" w:rsidRPr="0098037D" w:rsidRDefault="00155882" w:rsidP="00155882">
      <w:pPr>
        <w:rPr>
          <w:color w:val="808080" w:themeColor="background1" w:themeShade="80"/>
        </w:rPr>
      </w:pPr>
    </w:p>
    <w:p w14:paraId="29AB3411" w14:textId="77777777" w:rsidR="00155882" w:rsidRPr="0098037D" w:rsidRDefault="00155882" w:rsidP="00155882">
      <w:pPr>
        <w:rPr>
          <w:color w:val="808080" w:themeColor="background1" w:themeShade="80"/>
        </w:rPr>
      </w:pPr>
      <w:r w:rsidRPr="0098037D">
        <w:rPr>
          <w:color w:val="808080" w:themeColor="background1" w:themeShade="80"/>
        </w:rPr>
        <w:t>The maximum success fee under the conditional fee agreement must not exceed 100% of the hourly rates and the percentage of recovery under the contingency fee agreement cannot exceed 33.3%</w:t>
      </w:r>
    </w:p>
    <w:p w14:paraId="27F93BC8" w14:textId="77777777" w:rsidR="00155882" w:rsidRPr="0098037D" w:rsidRDefault="00155882" w:rsidP="00155882">
      <w:pPr>
        <w:rPr>
          <w:color w:val="808080" w:themeColor="background1" w:themeShade="80"/>
        </w:rPr>
      </w:pPr>
    </w:p>
    <w:p w14:paraId="1F7725B3" w14:textId="77777777" w:rsidR="00155882" w:rsidRPr="0098037D" w:rsidRDefault="00155882" w:rsidP="00155882">
      <w:pPr>
        <w:rPr>
          <w:color w:val="808080" w:themeColor="background1" w:themeShade="80"/>
        </w:rPr>
      </w:pPr>
      <w:r w:rsidRPr="0098037D">
        <w:rPr>
          <w:color w:val="808080" w:themeColor="background1" w:themeShade="80"/>
        </w:rPr>
        <w:lastRenderedPageBreak/>
        <w:t xml:space="preserve">In terms of what litigation funders would want to know before providing funding to the estate, it is likely that they will consider: </w:t>
      </w:r>
    </w:p>
    <w:p w14:paraId="38EE06CA" w14:textId="36602F53" w:rsidR="00155882" w:rsidRPr="0098037D" w:rsidRDefault="00155882" w:rsidP="0098037D">
      <w:pPr>
        <w:pStyle w:val="ListParagraph"/>
        <w:numPr>
          <w:ilvl w:val="0"/>
          <w:numId w:val="63"/>
        </w:numPr>
        <w:rPr>
          <w:color w:val="808080" w:themeColor="background1" w:themeShade="80"/>
        </w:rPr>
      </w:pP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Qualification</w:t>
      </w:r>
      <w:r w:rsidRPr="0098037D">
        <w:rPr>
          <w:color w:val="808080" w:themeColor="background1" w:themeShade="80"/>
        </w:rPr>
        <w:t>s</w:t>
      </w:r>
      <w:proofErr w:type="spellEnd"/>
      <w:r w:rsidRPr="0098037D">
        <w:rPr>
          <w:color w:val="808080" w:themeColor="background1" w:themeShade="80"/>
        </w:rPr>
        <w:t xml:space="preserve"> </w:t>
      </w:r>
      <w:proofErr w:type="spellStart"/>
      <w:r w:rsidRPr="0098037D">
        <w:rPr>
          <w:color w:val="808080" w:themeColor="background1" w:themeShade="80"/>
        </w:rPr>
        <w:t>and</w:t>
      </w:r>
      <w:proofErr w:type="spellEnd"/>
      <w:r w:rsidRPr="0098037D">
        <w:rPr>
          <w:color w:val="808080" w:themeColor="background1" w:themeShade="80"/>
        </w:rPr>
        <w:t xml:space="preserve"> </w:t>
      </w:r>
      <w:proofErr w:type="spellStart"/>
      <w:r w:rsidRPr="0098037D">
        <w:rPr>
          <w:color w:val="808080" w:themeColor="background1" w:themeShade="80"/>
        </w:rPr>
        <w:t>reputation</w:t>
      </w:r>
      <w:proofErr w:type="spellEnd"/>
      <w:r w:rsidRPr="0098037D">
        <w:rPr>
          <w:color w:val="808080" w:themeColor="background1" w:themeShade="80"/>
        </w:rPr>
        <w:t xml:space="preserve"> of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Joint</w:t>
      </w:r>
      <w:proofErr w:type="spellEnd"/>
      <w:r w:rsidRPr="0098037D">
        <w:rPr>
          <w:color w:val="808080" w:themeColor="background1" w:themeShade="80"/>
        </w:rPr>
        <w:t xml:space="preserve"> </w:t>
      </w:r>
      <w:proofErr w:type="spellStart"/>
      <w:r w:rsidRPr="0098037D">
        <w:rPr>
          <w:color w:val="808080" w:themeColor="background1" w:themeShade="80"/>
        </w:rPr>
        <w:t>Official</w:t>
      </w:r>
      <w:proofErr w:type="spellEnd"/>
      <w:r w:rsidRPr="0098037D">
        <w:rPr>
          <w:color w:val="808080" w:themeColor="background1" w:themeShade="80"/>
        </w:rPr>
        <w:t xml:space="preserve"> </w:t>
      </w:r>
      <w:proofErr w:type="spellStart"/>
      <w:r w:rsidRPr="0098037D">
        <w:rPr>
          <w:color w:val="808080" w:themeColor="background1" w:themeShade="80"/>
        </w:rPr>
        <w:t>Liquidators</w:t>
      </w:r>
      <w:proofErr w:type="spellEnd"/>
      <w:r w:rsidRPr="0098037D">
        <w:rPr>
          <w:color w:val="808080" w:themeColor="background1" w:themeShade="80"/>
        </w:rPr>
        <w:t>.</w:t>
      </w:r>
    </w:p>
    <w:p w14:paraId="1E874728" w14:textId="77777777" w:rsidR="00155882" w:rsidRPr="0098037D" w:rsidRDefault="00155882" w:rsidP="0098037D">
      <w:pPr>
        <w:pStyle w:val="ListParagraph"/>
        <w:numPr>
          <w:ilvl w:val="0"/>
          <w:numId w:val="63"/>
        </w:numPr>
        <w:rPr>
          <w:color w:val="808080" w:themeColor="background1" w:themeShade="80"/>
        </w:rPr>
      </w:pP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likelihood</w:t>
      </w:r>
      <w:proofErr w:type="spellEnd"/>
      <w:r w:rsidRPr="0098037D">
        <w:rPr>
          <w:color w:val="808080" w:themeColor="background1" w:themeShade="80"/>
        </w:rPr>
        <w:t xml:space="preserve"> of a </w:t>
      </w:r>
      <w:proofErr w:type="spellStart"/>
      <w:r w:rsidRPr="0098037D">
        <w:rPr>
          <w:color w:val="808080" w:themeColor="background1" w:themeShade="80"/>
        </w:rPr>
        <w:t>successful</w:t>
      </w:r>
      <w:proofErr w:type="spellEnd"/>
      <w:r w:rsidRPr="0098037D">
        <w:rPr>
          <w:color w:val="808080" w:themeColor="background1" w:themeShade="80"/>
        </w:rPr>
        <w:t xml:space="preserve"> </w:t>
      </w:r>
      <w:proofErr w:type="spellStart"/>
      <w:r w:rsidRPr="0098037D">
        <w:rPr>
          <w:color w:val="808080" w:themeColor="background1" w:themeShade="80"/>
        </w:rPr>
        <w:t>outcome</w:t>
      </w:r>
      <w:proofErr w:type="spellEnd"/>
      <w:r w:rsidRPr="0098037D">
        <w:rPr>
          <w:color w:val="808080" w:themeColor="background1" w:themeShade="80"/>
        </w:rPr>
        <w:t>.</w:t>
      </w:r>
    </w:p>
    <w:p w14:paraId="46C17FDB" w14:textId="77777777" w:rsidR="00155882" w:rsidRPr="0098037D" w:rsidRDefault="00155882" w:rsidP="0098037D">
      <w:pPr>
        <w:pStyle w:val="ListParagraph"/>
        <w:numPr>
          <w:ilvl w:val="0"/>
          <w:numId w:val="63"/>
        </w:numPr>
        <w:rPr>
          <w:color w:val="808080" w:themeColor="background1" w:themeShade="80"/>
        </w:rPr>
      </w:pPr>
      <w:proofErr w:type="spellStart"/>
      <w:r w:rsidRPr="0098037D">
        <w:rPr>
          <w:color w:val="808080" w:themeColor="background1" w:themeShade="80"/>
        </w:rPr>
        <w:t>What</w:t>
      </w:r>
      <w:proofErr w:type="spellEnd"/>
      <w:r w:rsidRPr="0098037D">
        <w:rPr>
          <w:color w:val="808080" w:themeColor="background1" w:themeShade="80"/>
        </w:rPr>
        <w:t xml:space="preserve"> are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amounts</w:t>
      </w:r>
      <w:proofErr w:type="spellEnd"/>
      <w:r w:rsidRPr="0098037D">
        <w:rPr>
          <w:color w:val="808080" w:themeColor="background1" w:themeShade="80"/>
        </w:rPr>
        <w:t xml:space="preserve"> of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potential</w:t>
      </w:r>
      <w:proofErr w:type="spellEnd"/>
      <w:r w:rsidRPr="0098037D">
        <w:rPr>
          <w:color w:val="808080" w:themeColor="background1" w:themeShade="80"/>
        </w:rPr>
        <w:t xml:space="preserve"> </w:t>
      </w:r>
      <w:proofErr w:type="spellStart"/>
      <w:r w:rsidRPr="0098037D">
        <w:rPr>
          <w:color w:val="808080" w:themeColor="background1" w:themeShade="80"/>
        </w:rPr>
        <w:t>recoveries</w:t>
      </w:r>
      <w:proofErr w:type="spellEnd"/>
      <w:r w:rsidRPr="0098037D">
        <w:rPr>
          <w:color w:val="808080" w:themeColor="background1" w:themeShade="80"/>
        </w:rPr>
        <w:t>.</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733A36C4" w14:textId="77777777" w:rsidR="00D72A1E" w:rsidRPr="0098037D" w:rsidRDefault="00D72A1E" w:rsidP="00D72A1E">
      <w:pPr>
        <w:rPr>
          <w:color w:val="808080" w:themeColor="background1" w:themeShade="80"/>
        </w:rPr>
      </w:pP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appointment</w:t>
      </w:r>
      <w:proofErr w:type="spellEnd"/>
      <w:r w:rsidRPr="0098037D">
        <w:rPr>
          <w:color w:val="808080" w:themeColor="background1" w:themeShade="80"/>
        </w:rPr>
        <w:t xml:space="preserve"> of a </w:t>
      </w:r>
      <w:proofErr w:type="spellStart"/>
      <w:r w:rsidRPr="0098037D">
        <w:rPr>
          <w:color w:val="808080" w:themeColor="background1" w:themeShade="80"/>
        </w:rPr>
        <w:t>receiver</w:t>
      </w:r>
      <w:proofErr w:type="spellEnd"/>
      <w:r w:rsidRPr="0098037D">
        <w:rPr>
          <w:color w:val="808080" w:themeColor="background1" w:themeShade="80"/>
        </w:rPr>
        <w:t xml:space="preserve"> in </w:t>
      </w:r>
      <w:proofErr w:type="spellStart"/>
      <w:r w:rsidRPr="0098037D">
        <w:rPr>
          <w:color w:val="808080" w:themeColor="background1" w:themeShade="80"/>
        </w:rPr>
        <w:t>support</w:t>
      </w:r>
      <w:proofErr w:type="spellEnd"/>
      <w:r w:rsidRPr="0098037D">
        <w:rPr>
          <w:color w:val="808080" w:themeColor="background1" w:themeShade="80"/>
        </w:rPr>
        <w:t xml:space="preserve"> of a </w:t>
      </w:r>
      <w:proofErr w:type="spellStart"/>
      <w:r w:rsidRPr="0098037D">
        <w:rPr>
          <w:color w:val="808080" w:themeColor="background1" w:themeShade="80"/>
        </w:rPr>
        <w:t>freezing</w:t>
      </w:r>
      <w:proofErr w:type="spellEnd"/>
      <w:r w:rsidRPr="0098037D">
        <w:rPr>
          <w:color w:val="808080" w:themeColor="background1" w:themeShade="80"/>
        </w:rPr>
        <w:t xml:space="preserve"> </w:t>
      </w:r>
      <w:proofErr w:type="spellStart"/>
      <w:r w:rsidRPr="0098037D">
        <w:rPr>
          <w:color w:val="808080" w:themeColor="background1" w:themeShade="80"/>
        </w:rPr>
        <w:t>injunction</w:t>
      </w:r>
      <w:proofErr w:type="spellEnd"/>
      <w:r w:rsidRPr="0098037D">
        <w:rPr>
          <w:color w:val="808080" w:themeColor="background1" w:themeShade="80"/>
        </w:rPr>
        <w:t xml:space="preserve"> are </w:t>
      </w:r>
      <w:proofErr w:type="spellStart"/>
      <w:r w:rsidRPr="0098037D">
        <w:rPr>
          <w:color w:val="808080" w:themeColor="background1" w:themeShade="80"/>
        </w:rPr>
        <w:t>sought</w:t>
      </w:r>
      <w:proofErr w:type="spellEnd"/>
      <w:r w:rsidRPr="0098037D">
        <w:rPr>
          <w:color w:val="808080" w:themeColor="background1" w:themeShade="80"/>
        </w:rPr>
        <w:t xml:space="preserve"> </w:t>
      </w:r>
      <w:proofErr w:type="spellStart"/>
      <w:r w:rsidRPr="0098037D">
        <w:rPr>
          <w:color w:val="808080" w:themeColor="background1" w:themeShade="80"/>
        </w:rPr>
        <w:t>for</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purposes</w:t>
      </w:r>
      <w:proofErr w:type="spellEnd"/>
      <w:r w:rsidRPr="0098037D">
        <w:rPr>
          <w:color w:val="808080" w:themeColor="background1" w:themeShade="80"/>
        </w:rPr>
        <w:t xml:space="preserve"> of </w:t>
      </w:r>
      <w:proofErr w:type="spellStart"/>
      <w:r w:rsidRPr="0098037D">
        <w:rPr>
          <w:color w:val="808080" w:themeColor="background1" w:themeShade="80"/>
        </w:rPr>
        <w:t>prohibiting</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defendant</w:t>
      </w:r>
      <w:proofErr w:type="spellEnd"/>
      <w:r w:rsidRPr="0098037D">
        <w:rPr>
          <w:color w:val="808080" w:themeColor="background1" w:themeShade="80"/>
        </w:rPr>
        <w:t xml:space="preserve"> </w:t>
      </w:r>
      <w:proofErr w:type="spellStart"/>
      <w:r w:rsidRPr="0098037D">
        <w:rPr>
          <w:color w:val="808080" w:themeColor="background1" w:themeShade="80"/>
        </w:rPr>
        <w:t>from</w:t>
      </w:r>
      <w:proofErr w:type="spellEnd"/>
      <w:r w:rsidRPr="0098037D">
        <w:rPr>
          <w:color w:val="808080" w:themeColor="background1" w:themeShade="80"/>
        </w:rPr>
        <w:t xml:space="preserve"> </w:t>
      </w:r>
      <w:proofErr w:type="spellStart"/>
      <w:r w:rsidRPr="0098037D">
        <w:rPr>
          <w:color w:val="808080" w:themeColor="background1" w:themeShade="80"/>
        </w:rPr>
        <w:t>dissipating</w:t>
      </w:r>
      <w:proofErr w:type="spellEnd"/>
      <w:r w:rsidRPr="0098037D">
        <w:rPr>
          <w:color w:val="808080" w:themeColor="background1" w:themeShade="80"/>
        </w:rPr>
        <w:t xml:space="preserve"> </w:t>
      </w:r>
      <w:proofErr w:type="spellStart"/>
      <w:r w:rsidRPr="0098037D">
        <w:rPr>
          <w:color w:val="808080" w:themeColor="background1" w:themeShade="80"/>
        </w:rPr>
        <w:t>his</w:t>
      </w:r>
      <w:proofErr w:type="spellEnd"/>
      <w:r w:rsidRPr="0098037D">
        <w:rPr>
          <w:color w:val="808080" w:themeColor="background1" w:themeShade="80"/>
        </w:rPr>
        <w:t xml:space="preserve"> </w:t>
      </w:r>
      <w:proofErr w:type="spellStart"/>
      <w:r w:rsidRPr="0098037D">
        <w:rPr>
          <w:color w:val="808080" w:themeColor="background1" w:themeShade="80"/>
        </w:rPr>
        <w:t>assets</w:t>
      </w:r>
      <w:proofErr w:type="spellEnd"/>
      <w:r w:rsidRPr="0098037D">
        <w:rPr>
          <w:color w:val="808080" w:themeColor="background1" w:themeShade="80"/>
        </w:rPr>
        <w:t xml:space="preserve"> by </w:t>
      </w:r>
      <w:proofErr w:type="spellStart"/>
      <w:r w:rsidRPr="0098037D">
        <w:rPr>
          <w:color w:val="808080" w:themeColor="background1" w:themeShade="80"/>
        </w:rPr>
        <w:t>appointing</w:t>
      </w:r>
      <w:proofErr w:type="spellEnd"/>
      <w:r w:rsidRPr="0098037D">
        <w:rPr>
          <w:color w:val="808080" w:themeColor="background1" w:themeShade="80"/>
        </w:rPr>
        <w:t xml:space="preserve"> a </w:t>
      </w:r>
      <w:proofErr w:type="spellStart"/>
      <w:r w:rsidRPr="0098037D">
        <w:rPr>
          <w:color w:val="808080" w:themeColor="background1" w:themeShade="80"/>
        </w:rPr>
        <w:t>third</w:t>
      </w:r>
      <w:proofErr w:type="spellEnd"/>
      <w:r w:rsidRPr="0098037D">
        <w:rPr>
          <w:color w:val="808080" w:themeColor="background1" w:themeShade="80"/>
        </w:rPr>
        <w:t xml:space="preserve"> party </w:t>
      </w:r>
      <w:proofErr w:type="spellStart"/>
      <w:r w:rsidRPr="0098037D">
        <w:rPr>
          <w:color w:val="808080" w:themeColor="background1" w:themeShade="80"/>
        </w:rPr>
        <w:t>to</w:t>
      </w:r>
      <w:proofErr w:type="spellEnd"/>
      <w:r w:rsidRPr="0098037D">
        <w:rPr>
          <w:color w:val="808080" w:themeColor="background1" w:themeShade="80"/>
        </w:rPr>
        <w:t xml:space="preserve"> take </w:t>
      </w:r>
      <w:proofErr w:type="spellStart"/>
      <w:r w:rsidRPr="0098037D">
        <w:rPr>
          <w:color w:val="808080" w:themeColor="background1" w:themeShade="80"/>
        </w:rPr>
        <w:t>possession</w:t>
      </w:r>
      <w:proofErr w:type="spellEnd"/>
      <w:r w:rsidRPr="0098037D">
        <w:rPr>
          <w:color w:val="808080" w:themeColor="background1" w:themeShade="80"/>
        </w:rPr>
        <w:t xml:space="preserve"> </w:t>
      </w:r>
      <w:proofErr w:type="spellStart"/>
      <w:r w:rsidRPr="0098037D">
        <w:rPr>
          <w:color w:val="808080" w:themeColor="background1" w:themeShade="80"/>
        </w:rPr>
        <w:t>or</w:t>
      </w:r>
      <w:proofErr w:type="spellEnd"/>
      <w:r w:rsidRPr="0098037D">
        <w:rPr>
          <w:color w:val="808080" w:themeColor="background1" w:themeShade="80"/>
        </w:rPr>
        <w:t xml:space="preserve"> </w:t>
      </w:r>
      <w:proofErr w:type="spellStart"/>
      <w:r w:rsidRPr="0098037D">
        <w:rPr>
          <w:color w:val="808080" w:themeColor="background1" w:themeShade="80"/>
        </w:rPr>
        <w:t>control</w:t>
      </w:r>
      <w:proofErr w:type="spellEnd"/>
      <w:r w:rsidRPr="0098037D">
        <w:rPr>
          <w:color w:val="808080" w:themeColor="background1" w:themeShade="80"/>
        </w:rPr>
        <w:t xml:space="preserve"> of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assets</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receiver</w:t>
      </w:r>
      <w:proofErr w:type="spellEnd"/>
      <w:r w:rsidRPr="0098037D">
        <w:rPr>
          <w:color w:val="808080" w:themeColor="background1" w:themeShade="80"/>
        </w:rPr>
        <w:t xml:space="preserve"> </w:t>
      </w:r>
      <w:proofErr w:type="spellStart"/>
      <w:r w:rsidRPr="0098037D">
        <w:rPr>
          <w:color w:val="808080" w:themeColor="background1" w:themeShade="80"/>
        </w:rPr>
        <w:t>could</w:t>
      </w:r>
      <w:proofErr w:type="spellEnd"/>
      <w:r w:rsidRPr="0098037D">
        <w:rPr>
          <w:color w:val="808080" w:themeColor="background1" w:themeShade="80"/>
        </w:rPr>
        <w:t xml:space="preserve"> </w:t>
      </w:r>
      <w:proofErr w:type="spellStart"/>
      <w:r w:rsidRPr="0098037D">
        <w:rPr>
          <w:color w:val="808080" w:themeColor="background1" w:themeShade="80"/>
        </w:rPr>
        <w:t>potentially</w:t>
      </w:r>
      <w:proofErr w:type="spellEnd"/>
      <w:r w:rsidRPr="0098037D">
        <w:rPr>
          <w:color w:val="808080" w:themeColor="background1" w:themeShade="80"/>
        </w:rPr>
        <w:t xml:space="preserve"> </w:t>
      </w:r>
      <w:proofErr w:type="spellStart"/>
      <w:r w:rsidRPr="0098037D">
        <w:rPr>
          <w:color w:val="808080" w:themeColor="background1" w:themeShade="80"/>
        </w:rPr>
        <w:t>exercise</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power </w:t>
      </w:r>
      <w:proofErr w:type="spellStart"/>
      <w:r w:rsidRPr="0098037D">
        <w:rPr>
          <w:color w:val="808080" w:themeColor="background1" w:themeShade="80"/>
        </w:rPr>
        <w:t>to</w:t>
      </w:r>
      <w:proofErr w:type="spellEnd"/>
      <w:r w:rsidRPr="0098037D">
        <w:rPr>
          <w:color w:val="808080" w:themeColor="background1" w:themeShade="80"/>
        </w:rPr>
        <w:t xml:space="preserve"> </w:t>
      </w:r>
      <w:proofErr w:type="spellStart"/>
      <w:r w:rsidRPr="0098037D">
        <w:rPr>
          <w:color w:val="808080" w:themeColor="background1" w:themeShade="80"/>
        </w:rPr>
        <w:t>deal</w:t>
      </w:r>
      <w:proofErr w:type="spellEnd"/>
      <w:r w:rsidRPr="0098037D">
        <w:rPr>
          <w:color w:val="808080" w:themeColor="background1" w:themeShade="80"/>
        </w:rPr>
        <w:t xml:space="preserve"> </w:t>
      </w:r>
      <w:proofErr w:type="spellStart"/>
      <w:r w:rsidRPr="0098037D">
        <w:rPr>
          <w:color w:val="808080" w:themeColor="background1" w:themeShade="80"/>
        </w:rPr>
        <w:t>with</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assets</w:t>
      </w:r>
      <w:proofErr w:type="spellEnd"/>
      <w:r w:rsidRPr="0098037D">
        <w:rPr>
          <w:color w:val="808080" w:themeColor="background1" w:themeShade="80"/>
        </w:rPr>
        <w:t xml:space="preserve"> </w:t>
      </w:r>
      <w:proofErr w:type="spellStart"/>
      <w:r w:rsidRPr="0098037D">
        <w:rPr>
          <w:color w:val="808080" w:themeColor="background1" w:themeShade="80"/>
        </w:rPr>
        <w:t>or</w:t>
      </w:r>
      <w:proofErr w:type="spellEnd"/>
      <w:r w:rsidRPr="0098037D">
        <w:rPr>
          <w:color w:val="808080" w:themeColor="background1" w:themeShade="80"/>
        </w:rPr>
        <w:t xml:space="preserve"> take </w:t>
      </w:r>
      <w:proofErr w:type="spellStart"/>
      <w:r w:rsidRPr="0098037D">
        <w:rPr>
          <w:color w:val="808080" w:themeColor="background1" w:themeShade="80"/>
        </w:rPr>
        <w:t>possession</w:t>
      </w:r>
      <w:proofErr w:type="spellEnd"/>
      <w:r w:rsidRPr="0098037D">
        <w:rPr>
          <w:color w:val="808080" w:themeColor="background1" w:themeShade="80"/>
        </w:rPr>
        <w:t xml:space="preserve"> </w:t>
      </w:r>
      <w:proofErr w:type="spellStart"/>
      <w:r w:rsidRPr="0098037D">
        <w:rPr>
          <w:color w:val="808080" w:themeColor="background1" w:themeShade="80"/>
        </w:rPr>
        <w:t>and</w:t>
      </w:r>
      <w:proofErr w:type="spellEnd"/>
      <w:r w:rsidRPr="0098037D">
        <w:rPr>
          <w:color w:val="808080" w:themeColor="background1" w:themeShade="80"/>
        </w:rPr>
        <w:t xml:space="preserve"> </w:t>
      </w:r>
      <w:proofErr w:type="spellStart"/>
      <w:r w:rsidRPr="0098037D">
        <w:rPr>
          <w:color w:val="808080" w:themeColor="background1" w:themeShade="80"/>
        </w:rPr>
        <w:t>control</w:t>
      </w:r>
      <w:proofErr w:type="spellEnd"/>
      <w:r w:rsidRPr="0098037D">
        <w:rPr>
          <w:color w:val="808080" w:themeColor="background1" w:themeShade="80"/>
        </w:rPr>
        <w:t xml:space="preserve"> </w:t>
      </w:r>
      <w:proofErr w:type="spellStart"/>
      <w:r w:rsidRPr="0098037D">
        <w:rPr>
          <w:color w:val="808080" w:themeColor="background1" w:themeShade="80"/>
        </w:rPr>
        <w:t>over</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assets</w:t>
      </w:r>
      <w:proofErr w:type="spellEnd"/>
      <w:r w:rsidRPr="0098037D">
        <w:rPr>
          <w:color w:val="808080" w:themeColor="background1" w:themeShade="80"/>
        </w:rPr>
        <w:t xml:space="preserve"> </w:t>
      </w:r>
      <w:proofErr w:type="spellStart"/>
      <w:r w:rsidRPr="0098037D">
        <w:rPr>
          <w:color w:val="808080" w:themeColor="background1" w:themeShade="80"/>
        </w:rPr>
        <w:t>based</w:t>
      </w:r>
      <w:proofErr w:type="spellEnd"/>
      <w:r w:rsidRPr="0098037D">
        <w:rPr>
          <w:color w:val="808080" w:themeColor="background1" w:themeShade="80"/>
        </w:rPr>
        <w:t xml:space="preserve"> </w:t>
      </w:r>
      <w:proofErr w:type="spellStart"/>
      <w:r w:rsidRPr="0098037D">
        <w:rPr>
          <w:color w:val="808080" w:themeColor="background1" w:themeShade="80"/>
        </w:rPr>
        <w:t>on</w:t>
      </w:r>
      <w:proofErr w:type="spellEnd"/>
      <w:r w:rsidRPr="0098037D">
        <w:rPr>
          <w:color w:val="808080" w:themeColor="background1" w:themeShade="80"/>
        </w:rPr>
        <w:t xml:space="preserve"> </w:t>
      </w:r>
      <w:proofErr w:type="spellStart"/>
      <w:r w:rsidRPr="0098037D">
        <w:rPr>
          <w:color w:val="808080" w:themeColor="background1" w:themeShade="80"/>
        </w:rPr>
        <w:t>what</w:t>
      </w:r>
      <w:proofErr w:type="spellEnd"/>
      <w:r w:rsidRPr="0098037D">
        <w:rPr>
          <w:color w:val="808080" w:themeColor="background1" w:themeShade="80"/>
        </w:rPr>
        <w:t xml:space="preserve"> </w:t>
      </w:r>
      <w:proofErr w:type="spellStart"/>
      <w:r w:rsidRPr="0098037D">
        <w:rPr>
          <w:color w:val="808080" w:themeColor="background1" w:themeShade="80"/>
        </w:rPr>
        <w:t>the</w:t>
      </w:r>
      <w:proofErr w:type="spellEnd"/>
      <w:r w:rsidRPr="0098037D">
        <w:rPr>
          <w:color w:val="808080" w:themeColor="background1" w:themeShade="80"/>
        </w:rPr>
        <w:t xml:space="preserve"> Court </w:t>
      </w:r>
      <w:proofErr w:type="spellStart"/>
      <w:r w:rsidRPr="0098037D">
        <w:rPr>
          <w:color w:val="808080" w:themeColor="background1" w:themeShade="80"/>
        </w:rPr>
        <w:t>allows</w:t>
      </w:r>
      <w:proofErr w:type="spellEnd"/>
      <w:r w:rsidRPr="0098037D">
        <w:rPr>
          <w:color w:val="808080" w:themeColor="background1" w:themeShade="80"/>
        </w:rPr>
        <w:t xml:space="preserve"> in </w:t>
      </w:r>
      <w:proofErr w:type="spellStart"/>
      <w:r w:rsidRPr="0098037D">
        <w:rPr>
          <w:color w:val="808080" w:themeColor="background1" w:themeShade="80"/>
        </w:rPr>
        <w:t>the</w:t>
      </w:r>
      <w:proofErr w:type="spellEnd"/>
      <w:r w:rsidRPr="0098037D">
        <w:rPr>
          <w:color w:val="808080" w:themeColor="background1" w:themeShade="80"/>
        </w:rPr>
        <w:t xml:space="preserve"> Court order.  </w:t>
      </w:r>
    </w:p>
    <w:p w14:paraId="1B53DFD0" w14:textId="77777777" w:rsidR="00D72A1E" w:rsidRPr="0098037D" w:rsidRDefault="00D72A1E" w:rsidP="0098037D">
      <w:pPr>
        <w:rPr>
          <w:color w:val="808080" w:themeColor="background1" w:themeShade="80"/>
        </w:rPr>
      </w:pPr>
    </w:p>
    <w:p w14:paraId="7BBDE389" w14:textId="77777777" w:rsidR="00D72A1E" w:rsidRPr="0098037D" w:rsidRDefault="00D72A1E" w:rsidP="00D72A1E">
      <w:pPr>
        <w:pStyle w:val="ListParagraph"/>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court</w:t>
      </w:r>
      <w:proofErr w:type="spellEnd"/>
      <w:r w:rsidRPr="0098037D">
        <w:rPr>
          <w:rFonts w:ascii="Avenir Next" w:eastAsia="Times New Roman" w:hAnsi="Avenir Next" w:cs="Arial"/>
          <w:color w:val="808080" w:themeColor="background1" w:themeShade="80"/>
          <w:lang w:val="en-US"/>
        </w:rPr>
        <w:t xml:space="preserve"> is </w:t>
      </w:r>
      <w:proofErr w:type="spellStart"/>
      <w:r w:rsidRPr="0098037D">
        <w:rPr>
          <w:rFonts w:ascii="Avenir Next" w:eastAsia="Times New Roman" w:hAnsi="Avenir Next" w:cs="Arial"/>
          <w:color w:val="808080" w:themeColor="background1" w:themeShade="80"/>
          <w:lang w:val="en-US"/>
        </w:rPr>
        <w:t>likely</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to</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consider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following</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factors</w:t>
      </w:r>
      <w:proofErr w:type="spellEnd"/>
      <w:r w:rsidRPr="0098037D">
        <w:rPr>
          <w:rFonts w:ascii="Avenir Next" w:eastAsia="Times New Roman" w:hAnsi="Avenir Next" w:cs="Arial"/>
          <w:color w:val="808080" w:themeColor="background1" w:themeShade="80"/>
          <w:lang w:val="en-US"/>
        </w:rPr>
        <w:t xml:space="preserve"> in </w:t>
      </w:r>
      <w:proofErr w:type="spellStart"/>
      <w:r w:rsidRPr="0098037D">
        <w:rPr>
          <w:rFonts w:ascii="Avenir Next" w:eastAsia="Times New Roman" w:hAnsi="Avenir Next" w:cs="Arial"/>
          <w:color w:val="808080" w:themeColor="background1" w:themeShade="80"/>
          <w:lang w:val="en-US"/>
        </w:rPr>
        <w:t>determining</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If</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appointment</w:t>
      </w:r>
      <w:proofErr w:type="spellEnd"/>
      <w:r w:rsidRPr="0098037D">
        <w:rPr>
          <w:rFonts w:ascii="Avenir Next" w:eastAsia="Times New Roman" w:hAnsi="Avenir Next" w:cs="Arial"/>
          <w:color w:val="808080" w:themeColor="background1" w:themeShade="80"/>
          <w:lang w:val="en-US"/>
        </w:rPr>
        <w:t xml:space="preserve"> of a </w:t>
      </w:r>
      <w:proofErr w:type="spellStart"/>
      <w:r w:rsidRPr="0098037D">
        <w:rPr>
          <w:rFonts w:ascii="Avenir Next" w:eastAsia="Times New Roman" w:hAnsi="Avenir Next" w:cs="Arial"/>
          <w:color w:val="808080" w:themeColor="background1" w:themeShade="80"/>
          <w:lang w:val="en-US"/>
        </w:rPr>
        <w:t>receiver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will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appropriate</w:t>
      </w:r>
      <w:proofErr w:type="spellEnd"/>
      <w:r w:rsidRPr="0098037D">
        <w:rPr>
          <w:rFonts w:ascii="Avenir Next" w:eastAsia="Times New Roman" w:hAnsi="Avenir Next" w:cs="Arial"/>
          <w:color w:val="808080" w:themeColor="background1" w:themeShade="80"/>
          <w:lang w:val="en-US"/>
        </w:rPr>
        <w:t xml:space="preserve">: </w:t>
      </w:r>
    </w:p>
    <w:p w14:paraId="3ECEE8B8" w14:textId="77777777" w:rsidR="00D72A1E" w:rsidRPr="0098037D" w:rsidRDefault="00D72A1E" w:rsidP="00D72A1E">
      <w:pPr>
        <w:pStyle w:val="ListParagraph"/>
        <w:numPr>
          <w:ilvl w:val="0"/>
          <w:numId w:val="54"/>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injunction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would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insufficient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its</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own</w:t>
      </w:r>
      <w:proofErr w:type="spellEnd"/>
      <w:r w:rsidRPr="0098037D">
        <w:rPr>
          <w:rFonts w:ascii="Avenir Next" w:eastAsia="Times New Roman" w:hAnsi="Avenir Next" w:cs="Arial"/>
          <w:color w:val="808080" w:themeColor="background1" w:themeShade="80"/>
          <w:lang w:val="en-US"/>
        </w:rPr>
        <w:t>.</w:t>
      </w:r>
    </w:p>
    <w:p w14:paraId="22C2AE8A" w14:textId="77777777" w:rsidR="00D72A1E" w:rsidRPr="0098037D" w:rsidRDefault="00D72A1E" w:rsidP="00D72A1E">
      <w:pPr>
        <w:pStyle w:val="ListParagraph"/>
        <w:numPr>
          <w:ilvl w:val="0"/>
          <w:numId w:val="54"/>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There</w:t>
      </w:r>
      <w:proofErr w:type="spellEnd"/>
      <w:r w:rsidRPr="0098037D">
        <w:rPr>
          <w:rFonts w:ascii="Avenir Next" w:eastAsia="Times New Roman" w:hAnsi="Avenir Next" w:cs="Arial"/>
          <w:color w:val="808080" w:themeColor="background1" w:themeShade="80"/>
          <w:lang w:val="en-US"/>
        </w:rPr>
        <w:t xml:space="preserve"> is a </w:t>
      </w:r>
      <w:proofErr w:type="spellStart"/>
      <w:r w:rsidRPr="0098037D">
        <w:rPr>
          <w:rFonts w:ascii="Avenir Next" w:eastAsia="Times New Roman" w:hAnsi="Avenir Next" w:cs="Arial"/>
          <w:color w:val="808080" w:themeColor="background1" w:themeShade="80"/>
          <w:lang w:val="en-US"/>
        </w:rPr>
        <w:t>measurable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risk</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that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defendant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will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act</w:t>
      </w:r>
      <w:proofErr w:type="spellEnd"/>
      <w:r w:rsidRPr="0098037D">
        <w:rPr>
          <w:rFonts w:ascii="Avenir Next" w:eastAsia="Times New Roman" w:hAnsi="Avenir Next" w:cs="Arial"/>
          <w:color w:val="808080" w:themeColor="background1" w:themeShade="80"/>
          <w:lang w:val="en-US"/>
        </w:rPr>
        <w:t xml:space="preserve"> in </w:t>
      </w:r>
      <w:proofErr w:type="spellStart"/>
      <w:r w:rsidRPr="0098037D">
        <w:rPr>
          <w:rFonts w:ascii="Avenir Next" w:eastAsia="Times New Roman" w:hAnsi="Avenir Next" w:cs="Arial"/>
          <w:color w:val="808080" w:themeColor="background1" w:themeShade="80"/>
          <w:lang w:val="en-US"/>
        </w:rPr>
        <w:t>breach</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injunction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seek</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to</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ensure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that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assets</w:t>
      </w:r>
      <w:proofErr w:type="spellEnd"/>
      <w:r w:rsidRPr="0098037D">
        <w:rPr>
          <w:rFonts w:ascii="Avenir Next" w:eastAsia="Times New Roman" w:hAnsi="Avenir Next" w:cs="Arial"/>
          <w:color w:val="808080" w:themeColor="background1" w:themeShade="80"/>
          <w:lang w:val="en-US"/>
        </w:rPr>
        <w:t xml:space="preserve"> are </w:t>
      </w:r>
      <w:proofErr w:type="spellStart"/>
      <w:r w:rsidRPr="0098037D">
        <w:rPr>
          <w:rFonts w:ascii="Avenir Next" w:eastAsia="Times New Roman" w:hAnsi="Avenir Next" w:cs="Arial"/>
          <w:color w:val="808080" w:themeColor="background1" w:themeShade="80"/>
          <w:lang w:val="en-US"/>
        </w:rPr>
        <w:t>not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available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to</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satisfy</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any</w:t>
      </w:r>
      <w:proofErr w:type="spellEnd"/>
      <w:r w:rsidRPr="0098037D">
        <w:rPr>
          <w:rFonts w:ascii="Avenir Next" w:eastAsia="Times New Roman" w:hAnsi="Avenir Next" w:cs="Arial"/>
          <w:color w:val="808080" w:themeColor="background1" w:themeShade="80"/>
          <w:lang w:val="en-US"/>
        </w:rPr>
        <w:t xml:space="preserve"> judgement which could possibly be made against him. </w:t>
      </w:r>
    </w:p>
    <w:p w14:paraId="21AEB9DA" w14:textId="77777777" w:rsidR="00D72A1E" w:rsidRPr="0098037D" w:rsidRDefault="00D72A1E" w:rsidP="00D72A1E">
      <w:pPr>
        <w:pStyle w:val="ListParagraph"/>
        <w:ind w:left="1080"/>
        <w:rPr>
          <w:rFonts w:ascii="Avenir Next" w:eastAsia="Times New Roman" w:hAnsi="Avenir Next" w:cs="Arial"/>
          <w:color w:val="808080" w:themeColor="background1" w:themeShade="80"/>
          <w:lang w:val="en-US"/>
        </w:rPr>
      </w:pPr>
    </w:p>
    <w:p w14:paraId="471CB23E" w14:textId="77777777" w:rsidR="00D72A1E" w:rsidRPr="0098037D" w:rsidRDefault="00D72A1E" w:rsidP="00D72A1E">
      <w:pPr>
        <w:rPr>
          <w:color w:val="808080" w:themeColor="background1" w:themeShade="80"/>
        </w:rPr>
      </w:pPr>
      <w:r w:rsidRPr="0098037D">
        <w:rPr>
          <w:color w:val="808080" w:themeColor="background1" w:themeShade="80"/>
        </w:rPr>
        <w:t xml:space="preserve">In this instance, it appears that the Panama-based director has intent to breach an injunction given the fact that he has stopped responding to the voluntary liquidator’s requests for information and the other director s also reluctant to provide information. This suggests that the directors are intentionally making it difficult to recover the $900k. Based on the above explanation, I would advise that a receiver in aid of the freezing injunction is sought.  </w:t>
      </w:r>
    </w:p>
    <w:p w14:paraId="65B78F39" w14:textId="38B0FB82" w:rsidR="00D645AF" w:rsidRPr="0098037D" w:rsidRDefault="00D645AF" w:rsidP="00137A41">
      <w:pPr>
        <w:pStyle w:val="BodyText"/>
        <w:ind w:firstLine="0"/>
        <w:rPr>
          <w:rFonts w:ascii="Avenir Next" w:eastAsia="Times New Roman" w:hAnsi="Avenir Next"/>
          <w:color w:val="808080" w:themeColor="background1" w:themeShade="80"/>
        </w:rPr>
      </w:pPr>
    </w:p>
    <w:p w14:paraId="4DFE77C4" w14:textId="77777777" w:rsidR="00D645AF" w:rsidRPr="0098037D" w:rsidRDefault="00D645AF" w:rsidP="00137A41">
      <w:pPr>
        <w:rPr>
          <w:color w:val="808080" w:themeColor="background1" w:themeShade="80"/>
        </w:rPr>
      </w:pPr>
    </w:p>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w:t>
      </w:r>
      <w:r w:rsidRPr="003104AD">
        <w:rPr>
          <w:rFonts w:ascii="Avenir Next" w:hAnsi="Avenir Next"/>
        </w:rPr>
        <w:lastRenderedPageBreak/>
        <w:t xml:space="preserve">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34A2253B" w14:textId="77777777" w:rsidR="003B63E4" w:rsidRPr="0098037D" w:rsidRDefault="003B63E4" w:rsidP="003B63E4">
      <w:pPr>
        <w:rPr>
          <w:color w:val="808080" w:themeColor="background1" w:themeShade="80"/>
        </w:rPr>
      </w:pPr>
      <w:r w:rsidRPr="0098037D">
        <w:rPr>
          <w:color w:val="808080" w:themeColor="background1" w:themeShade="80"/>
        </w:rPr>
        <w:t xml:space="preserve">As a secured creditor, </w:t>
      </w:r>
      <w:proofErr w:type="spellStart"/>
      <w:r w:rsidRPr="0098037D">
        <w:rPr>
          <w:color w:val="808080" w:themeColor="background1" w:themeShade="80"/>
        </w:rPr>
        <w:t>Gamboa</w:t>
      </w:r>
      <w:proofErr w:type="spellEnd"/>
      <w:r w:rsidRPr="0098037D">
        <w:rPr>
          <w:color w:val="808080" w:themeColor="background1" w:themeShade="80"/>
        </w:rPr>
        <w:t xml:space="preserve"> would be ranked as higher priority over any preferred creditors, unsecured creditors and shareholders. They are also entitled to realize their security outside of the liquidation and or restructuring process.</w:t>
      </w:r>
    </w:p>
    <w:p w14:paraId="4B7B0A98" w14:textId="77777777" w:rsidR="003B63E4" w:rsidRPr="0098037D" w:rsidRDefault="003B63E4" w:rsidP="003B63E4">
      <w:pPr>
        <w:rPr>
          <w:color w:val="808080" w:themeColor="background1" w:themeShade="80"/>
        </w:rPr>
      </w:pPr>
    </w:p>
    <w:p w14:paraId="4A5251F8" w14:textId="77777777" w:rsidR="003B63E4" w:rsidRPr="0098037D" w:rsidRDefault="003B63E4" w:rsidP="003B63E4">
      <w:pPr>
        <w:rPr>
          <w:color w:val="808080" w:themeColor="background1" w:themeShade="80"/>
        </w:rPr>
      </w:pPr>
      <w:proofErr w:type="gramStart"/>
      <w:r w:rsidRPr="0098037D">
        <w:rPr>
          <w:color w:val="808080" w:themeColor="background1" w:themeShade="80"/>
        </w:rPr>
        <w:t>In the event that</w:t>
      </w:r>
      <w:proofErr w:type="gramEnd"/>
      <w:r w:rsidRPr="0098037D">
        <w:rPr>
          <w:color w:val="808080" w:themeColor="background1" w:themeShade="80"/>
        </w:rPr>
        <w:t xml:space="preserve"> the Master fund to repay the $5m loan payable to </w:t>
      </w:r>
      <w:proofErr w:type="spellStart"/>
      <w:r w:rsidRPr="0098037D">
        <w:rPr>
          <w:color w:val="808080" w:themeColor="background1" w:themeShade="80"/>
        </w:rPr>
        <w:t>Gamboa</w:t>
      </w:r>
      <w:proofErr w:type="spellEnd"/>
      <w:r w:rsidRPr="0098037D">
        <w:rPr>
          <w:color w:val="808080" w:themeColor="background1" w:themeShade="80"/>
        </w:rPr>
        <w:t xml:space="preserve">, </w:t>
      </w:r>
      <w:proofErr w:type="spellStart"/>
      <w:r w:rsidRPr="0098037D">
        <w:rPr>
          <w:color w:val="808080" w:themeColor="background1" w:themeShade="80"/>
        </w:rPr>
        <w:t>Gamboa</w:t>
      </w:r>
      <w:proofErr w:type="spellEnd"/>
      <w:r w:rsidRPr="0098037D">
        <w:rPr>
          <w:color w:val="808080" w:themeColor="background1" w:themeShade="80"/>
        </w:rPr>
        <w:t xml:space="preserve"> will have the option to take enforcement actions against the Panamanian Real Estate Project. Given that the security held is a fixed charge, </w:t>
      </w:r>
      <w:proofErr w:type="spellStart"/>
      <w:r w:rsidRPr="0098037D">
        <w:rPr>
          <w:color w:val="808080" w:themeColor="background1" w:themeShade="80"/>
        </w:rPr>
        <w:t>Gamboa</w:t>
      </w:r>
      <w:proofErr w:type="spellEnd"/>
      <w:r w:rsidRPr="0098037D">
        <w:rPr>
          <w:color w:val="808080" w:themeColor="background1" w:themeShade="80"/>
        </w:rPr>
        <w:t xml:space="preserve"> does not have the rights of foreclosure. However, they will have the option to sell the property or appoint a receiver. </w:t>
      </w:r>
    </w:p>
    <w:p w14:paraId="531F6E62" w14:textId="77777777" w:rsidR="003B63E4" w:rsidRPr="0098037D" w:rsidRDefault="003B63E4" w:rsidP="003B63E4">
      <w:pPr>
        <w:rPr>
          <w:color w:val="808080" w:themeColor="background1" w:themeShade="80"/>
        </w:rPr>
      </w:pPr>
    </w:p>
    <w:p w14:paraId="77DA96E4" w14:textId="77777777" w:rsidR="003B63E4" w:rsidRPr="0098037D" w:rsidRDefault="003B63E4" w:rsidP="003B63E4">
      <w:pPr>
        <w:rPr>
          <w:color w:val="808080" w:themeColor="background1" w:themeShade="80"/>
        </w:rPr>
      </w:pPr>
      <w:r w:rsidRPr="0098037D">
        <w:rPr>
          <w:color w:val="808080" w:themeColor="background1" w:themeShade="80"/>
        </w:rPr>
        <w:t xml:space="preserve">If the liquidators were to sell the project now, based on the current value of the property, there would be a shortfall of $2m. Sale proceeds net of costs would need to be returned to </w:t>
      </w:r>
      <w:proofErr w:type="spellStart"/>
      <w:r w:rsidRPr="0098037D">
        <w:rPr>
          <w:color w:val="808080" w:themeColor="background1" w:themeShade="80"/>
        </w:rPr>
        <w:t>Gamboa</w:t>
      </w:r>
      <w:proofErr w:type="spellEnd"/>
      <w:r w:rsidRPr="0098037D">
        <w:rPr>
          <w:color w:val="808080" w:themeColor="background1" w:themeShade="80"/>
        </w:rPr>
        <w:t xml:space="preserve">. If the asset is sold at completion, the $20m realized would firstly be allocated to costs, then </w:t>
      </w:r>
      <w:proofErr w:type="spellStart"/>
      <w:r w:rsidRPr="0098037D">
        <w:rPr>
          <w:color w:val="808080" w:themeColor="background1" w:themeShade="80"/>
        </w:rPr>
        <w:t>Gamboa</w:t>
      </w:r>
      <w:proofErr w:type="spellEnd"/>
      <w:r w:rsidRPr="0098037D">
        <w:rPr>
          <w:color w:val="808080" w:themeColor="background1" w:themeShade="80"/>
        </w:rPr>
        <w:t xml:space="preserve"> is entitled to $5m. Any surplus can then be used for the benefit of the estate. </w:t>
      </w:r>
    </w:p>
    <w:p w14:paraId="7706BE97" w14:textId="77777777" w:rsidR="00D645AF" w:rsidRPr="0098037D" w:rsidRDefault="00D645AF" w:rsidP="00137A41">
      <w:pPr>
        <w:pStyle w:val="BodyText"/>
        <w:ind w:firstLine="0"/>
        <w:jc w:val="both"/>
        <w:rPr>
          <w:rFonts w:ascii="Avenir Next" w:eastAsia="Times New Roman" w:hAnsi="Avenir Next"/>
          <w:color w:val="808080" w:themeColor="background1"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w:t>
      </w:r>
      <w:proofErr w:type="gramStart"/>
      <w:r w:rsidRPr="003104AD">
        <w:rPr>
          <w:rFonts w:ascii="Avenir Next" w:hAnsi="Avenir Next"/>
        </w:rPr>
        <w:t>a number of</w:t>
      </w:r>
      <w:proofErr w:type="gramEnd"/>
      <w:r w:rsidRPr="003104AD">
        <w:rPr>
          <w:rFonts w:ascii="Avenir Next" w:hAnsi="Avenir Next"/>
        </w:rPr>
        <w:t xml:space="preserve">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proofErr w:type="gramStart"/>
      <w:r w:rsidR="000756CC">
        <w:rPr>
          <w:rFonts w:ascii="Avenir Next Demi Bold" w:hAnsi="Avenir Next Demi Bold"/>
          <w:b/>
          <w:bCs/>
        </w:rPr>
        <w:t>max</w:t>
      </w:r>
      <w:proofErr w:type="gramEnd"/>
      <w:r w:rsidR="000756CC">
        <w:rPr>
          <w:rFonts w:ascii="Avenir Next Demi Bold" w:hAnsi="Avenir Next Demi Bold"/>
          <w:b/>
          <w:bCs/>
        </w:rPr>
        <w:t xml:space="preserve">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23848CDF" w14:textId="77777777" w:rsidR="00950D61" w:rsidRPr="0098037D" w:rsidRDefault="00950D61" w:rsidP="00950D61">
      <w:pPr>
        <w:rPr>
          <w:color w:val="808080" w:themeColor="background1" w:themeShade="80"/>
        </w:rPr>
      </w:pPr>
      <w:r w:rsidRPr="0098037D">
        <w:rPr>
          <w:color w:val="808080" w:themeColor="background1" w:themeShade="80"/>
        </w:rPr>
        <w:lastRenderedPageBreak/>
        <w:t xml:space="preserve">The liquidators will have the option to challenge </w:t>
      </w:r>
      <w:proofErr w:type="spellStart"/>
      <w:r w:rsidRPr="0098037D">
        <w:rPr>
          <w:color w:val="808080" w:themeColor="background1" w:themeShade="80"/>
        </w:rPr>
        <w:t>Gamboa’s</w:t>
      </w:r>
      <w:proofErr w:type="spellEnd"/>
      <w:r w:rsidRPr="0098037D">
        <w:rPr>
          <w:color w:val="808080" w:themeColor="background1" w:themeShade="80"/>
        </w:rPr>
        <w:t xml:space="preserve"> security interest. Based on the facts given above, the most appropriate basis to challenge the security interest would be that the transaction was made at an undervalue. </w:t>
      </w:r>
    </w:p>
    <w:p w14:paraId="2F1D0654" w14:textId="77777777" w:rsidR="00950D61" w:rsidRPr="0098037D" w:rsidRDefault="00950D61" w:rsidP="00950D61">
      <w:pPr>
        <w:rPr>
          <w:color w:val="808080" w:themeColor="background1" w:themeShade="80"/>
        </w:rPr>
      </w:pPr>
    </w:p>
    <w:p w14:paraId="07888AA7" w14:textId="77777777" w:rsidR="00950D61" w:rsidRPr="0098037D" w:rsidRDefault="00950D61" w:rsidP="00950D61">
      <w:pPr>
        <w:rPr>
          <w:color w:val="808080" w:themeColor="background1" w:themeShade="80"/>
        </w:rPr>
      </w:pPr>
      <w:r w:rsidRPr="0098037D">
        <w:rPr>
          <w:color w:val="808080" w:themeColor="background1" w:themeShade="80"/>
        </w:rPr>
        <w:t xml:space="preserve">The court is likely to view a transaction as a transaction at an undervalue if the following conditions are present: </w:t>
      </w:r>
    </w:p>
    <w:p w14:paraId="1C3BDCBF" w14:textId="77777777" w:rsidR="00950D61" w:rsidRPr="0098037D" w:rsidRDefault="00950D61" w:rsidP="0098037D">
      <w:pPr>
        <w:pStyle w:val="ListParagraph"/>
        <w:numPr>
          <w:ilvl w:val="0"/>
          <w:numId w:val="62"/>
        </w:numPr>
        <w:rPr>
          <w:color w:val="808080" w:themeColor="background1" w:themeShade="80"/>
        </w:rPr>
      </w:pP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security</w:t>
      </w:r>
      <w:proofErr w:type="spellEnd"/>
      <w:r w:rsidRPr="0098037D">
        <w:rPr>
          <w:color w:val="808080" w:themeColor="background1" w:themeShade="80"/>
        </w:rPr>
        <w:t xml:space="preserve"> was </w:t>
      </w:r>
      <w:proofErr w:type="spellStart"/>
      <w:r w:rsidRPr="0098037D">
        <w:rPr>
          <w:color w:val="808080" w:themeColor="background1" w:themeShade="80"/>
        </w:rPr>
        <w:t>granted</w:t>
      </w:r>
      <w:proofErr w:type="spellEnd"/>
      <w:r w:rsidRPr="0098037D">
        <w:rPr>
          <w:color w:val="808080" w:themeColor="background1" w:themeShade="80"/>
        </w:rPr>
        <w:t xml:space="preserve"> </w:t>
      </w:r>
      <w:proofErr w:type="spellStart"/>
      <w:r w:rsidRPr="0098037D">
        <w:rPr>
          <w:color w:val="808080" w:themeColor="background1" w:themeShade="80"/>
        </w:rPr>
        <w:t>with</w:t>
      </w:r>
      <w:proofErr w:type="spellEnd"/>
      <w:r w:rsidRPr="0098037D">
        <w:rPr>
          <w:color w:val="808080" w:themeColor="background1" w:themeShade="80"/>
        </w:rPr>
        <w:t xml:space="preserve"> </w:t>
      </w:r>
      <w:proofErr w:type="spellStart"/>
      <w:r w:rsidRPr="0098037D">
        <w:rPr>
          <w:color w:val="808080" w:themeColor="background1" w:themeShade="80"/>
        </w:rPr>
        <w:t>an</w:t>
      </w:r>
      <w:proofErr w:type="spellEnd"/>
      <w:r w:rsidRPr="0098037D">
        <w:rPr>
          <w:color w:val="808080" w:themeColor="background1" w:themeShade="80"/>
        </w:rPr>
        <w:t xml:space="preserve"> </w:t>
      </w:r>
      <w:proofErr w:type="spellStart"/>
      <w:r w:rsidRPr="0098037D">
        <w:rPr>
          <w:color w:val="808080" w:themeColor="background1" w:themeShade="80"/>
        </w:rPr>
        <w:t>intent</w:t>
      </w:r>
      <w:proofErr w:type="spellEnd"/>
      <w:r w:rsidRPr="0098037D">
        <w:rPr>
          <w:color w:val="808080" w:themeColor="background1" w:themeShade="80"/>
        </w:rPr>
        <w:t xml:space="preserve"> </w:t>
      </w:r>
      <w:proofErr w:type="spellStart"/>
      <w:r w:rsidRPr="0098037D">
        <w:rPr>
          <w:color w:val="808080" w:themeColor="background1" w:themeShade="80"/>
        </w:rPr>
        <w:t>to</w:t>
      </w:r>
      <w:proofErr w:type="spellEnd"/>
      <w:r w:rsidRPr="0098037D">
        <w:rPr>
          <w:color w:val="808080" w:themeColor="background1" w:themeShade="80"/>
        </w:rPr>
        <w:t xml:space="preserve"> </w:t>
      </w:r>
      <w:proofErr w:type="spellStart"/>
      <w:r w:rsidRPr="0098037D">
        <w:rPr>
          <w:color w:val="808080" w:themeColor="background1" w:themeShade="80"/>
        </w:rPr>
        <w:t>defraud</w:t>
      </w:r>
      <w:proofErr w:type="spellEnd"/>
      <w:r w:rsidRPr="0098037D">
        <w:rPr>
          <w:color w:val="808080" w:themeColor="background1" w:themeShade="80"/>
        </w:rPr>
        <w:t>.</w:t>
      </w:r>
    </w:p>
    <w:p w14:paraId="3F904814" w14:textId="77777777" w:rsidR="00950D61" w:rsidRPr="0098037D" w:rsidRDefault="00950D61" w:rsidP="0098037D">
      <w:pPr>
        <w:pStyle w:val="ListParagraph"/>
        <w:numPr>
          <w:ilvl w:val="0"/>
          <w:numId w:val="62"/>
        </w:numPr>
        <w:rPr>
          <w:color w:val="808080" w:themeColor="background1" w:themeShade="80"/>
        </w:rPr>
      </w:pPr>
      <w:proofErr w:type="spellStart"/>
      <w:r w:rsidRPr="0098037D">
        <w:rPr>
          <w:color w:val="808080" w:themeColor="background1" w:themeShade="80"/>
        </w:rPr>
        <w:t>The</w:t>
      </w:r>
      <w:proofErr w:type="spellEnd"/>
      <w:r w:rsidRPr="0098037D">
        <w:rPr>
          <w:color w:val="808080" w:themeColor="background1" w:themeShade="80"/>
        </w:rPr>
        <w:t xml:space="preserve"> </w:t>
      </w:r>
      <w:proofErr w:type="spellStart"/>
      <w:r w:rsidRPr="0098037D">
        <w:rPr>
          <w:color w:val="808080" w:themeColor="background1" w:themeShade="80"/>
        </w:rPr>
        <w:t>security</w:t>
      </w:r>
      <w:proofErr w:type="spellEnd"/>
      <w:r w:rsidRPr="0098037D">
        <w:rPr>
          <w:color w:val="808080" w:themeColor="background1" w:themeShade="80"/>
        </w:rPr>
        <w:t xml:space="preserve"> was </w:t>
      </w:r>
      <w:proofErr w:type="spellStart"/>
      <w:r w:rsidRPr="0098037D">
        <w:rPr>
          <w:color w:val="808080" w:themeColor="background1" w:themeShade="80"/>
        </w:rPr>
        <w:t>made</w:t>
      </w:r>
      <w:proofErr w:type="spellEnd"/>
      <w:r w:rsidRPr="0098037D">
        <w:rPr>
          <w:color w:val="808080" w:themeColor="background1" w:themeShade="80"/>
        </w:rPr>
        <w:t xml:space="preserve"> </w:t>
      </w:r>
      <w:proofErr w:type="spellStart"/>
      <w:r w:rsidRPr="0098037D">
        <w:rPr>
          <w:color w:val="808080" w:themeColor="background1" w:themeShade="80"/>
        </w:rPr>
        <w:t>for</w:t>
      </w:r>
      <w:proofErr w:type="spellEnd"/>
      <w:r w:rsidRPr="0098037D">
        <w:rPr>
          <w:color w:val="808080" w:themeColor="background1" w:themeShade="80"/>
        </w:rPr>
        <w:t xml:space="preserve"> </w:t>
      </w:r>
      <w:proofErr w:type="spellStart"/>
      <w:r w:rsidRPr="0098037D">
        <w:rPr>
          <w:color w:val="808080" w:themeColor="background1" w:themeShade="80"/>
        </w:rPr>
        <w:t>little</w:t>
      </w:r>
      <w:proofErr w:type="spellEnd"/>
      <w:r w:rsidRPr="0098037D">
        <w:rPr>
          <w:color w:val="808080" w:themeColor="background1" w:themeShade="80"/>
        </w:rPr>
        <w:t xml:space="preserve"> </w:t>
      </w:r>
      <w:proofErr w:type="spellStart"/>
      <w:r w:rsidRPr="0098037D">
        <w:rPr>
          <w:color w:val="808080" w:themeColor="background1" w:themeShade="80"/>
        </w:rPr>
        <w:t>to</w:t>
      </w:r>
      <w:proofErr w:type="spellEnd"/>
      <w:r w:rsidRPr="0098037D">
        <w:rPr>
          <w:color w:val="808080" w:themeColor="background1" w:themeShade="80"/>
        </w:rPr>
        <w:t xml:space="preserve"> </w:t>
      </w:r>
      <w:proofErr w:type="spellStart"/>
      <w:r w:rsidRPr="0098037D">
        <w:rPr>
          <w:color w:val="808080" w:themeColor="background1" w:themeShade="80"/>
        </w:rPr>
        <w:t>no</w:t>
      </w:r>
      <w:proofErr w:type="spellEnd"/>
      <w:r w:rsidRPr="0098037D">
        <w:rPr>
          <w:color w:val="808080" w:themeColor="background1" w:themeShade="80"/>
        </w:rPr>
        <w:t xml:space="preserve"> </w:t>
      </w:r>
      <w:proofErr w:type="spellStart"/>
      <w:r w:rsidRPr="0098037D">
        <w:rPr>
          <w:color w:val="808080" w:themeColor="background1" w:themeShade="80"/>
        </w:rPr>
        <w:t>consideration</w:t>
      </w:r>
      <w:proofErr w:type="spellEnd"/>
      <w:r w:rsidRPr="0098037D">
        <w:rPr>
          <w:color w:val="808080" w:themeColor="background1" w:themeShade="80"/>
        </w:rPr>
        <w:t>.</w:t>
      </w:r>
    </w:p>
    <w:p w14:paraId="1D2A060D" w14:textId="77777777" w:rsidR="00950D61" w:rsidRPr="0098037D" w:rsidRDefault="00950D61" w:rsidP="00950D61">
      <w:pPr>
        <w:rPr>
          <w:color w:val="808080" w:themeColor="background1" w:themeShade="80"/>
        </w:rPr>
      </w:pPr>
    </w:p>
    <w:p w14:paraId="7036F1F1" w14:textId="77777777" w:rsidR="00950D61" w:rsidRPr="0098037D" w:rsidRDefault="00950D61" w:rsidP="00950D61">
      <w:pPr>
        <w:rPr>
          <w:color w:val="808080" w:themeColor="background1" w:themeShade="80"/>
        </w:rPr>
      </w:pPr>
      <w:r w:rsidRPr="0098037D">
        <w:rPr>
          <w:color w:val="808080" w:themeColor="background1" w:themeShade="80"/>
        </w:rPr>
        <w:t xml:space="preserve">The evidence suggests that the directors were not being transparent with the investors by not disclosing that they were the UBO’s of </w:t>
      </w:r>
      <w:proofErr w:type="spellStart"/>
      <w:r w:rsidRPr="0098037D">
        <w:rPr>
          <w:color w:val="808080" w:themeColor="background1" w:themeShade="80"/>
        </w:rPr>
        <w:t>Gamboa</w:t>
      </w:r>
      <w:proofErr w:type="spellEnd"/>
      <w:r w:rsidRPr="0098037D">
        <w:rPr>
          <w:color w:val="808080" w:themeColor="background1" w:themeShade="80"/>
        </w:rPr>
        <w:t xml:space="preserve">, and that they intended to defeat their obligations to the investors. This demonstrates the intention to defraud. </w:t>
      </w:r>
    </w:p>
    <w:p w14:paraId="06ECA6DC" w14:textId="77777777" w:rsidR="00950D61" w:rsidRPr="0098037D" w:rsidRDefault="00950D61" w:rsidP="00950D61">
      <w:pPr>
        <w:rPr>
          <w:color w:val="808080" w:themeColor="background1" w:themeShade="80"/>
        </w:rPr>
      </w:pPr>
    </w:p>
    <w:p w14:paraId="3FCA0696" w14:textId="77777777" w:rsidR="00950D61" w:rsidRPr="0098037D" w:rsidRDefault="00950D61" w:rsidP="00950D61">
      <w:pPr>
        <w:rPr>
          <w:color w:val="808080" w:themeColor="background1" w:themeShade="80"/>
        </w:rPr>
      </w:pPr>
      <w:r w:rsidRPr="0098037D">
        <w:rPr>
          <w:color w:val="808080" w:themeColor="background1" w:themeShade="80"/>
        </w:rPr>
        <w:t xml:space="preserve">We must also consider that we are unable to locate the $5m transfer from </w:t>
      </w:r>
      <w:proofErr w:type="spellStart"/>
      <w:r w:rsidRPr="0098037D">
        <w:rPr>
          <w:color w:val="808080" w:themeColor="background1" w:themeShade="80"/>
        </w:rPr>
        <w:t>Gamboa</w:t>
      </w:r>
      <w:proofErr w:type="spellEnd"/>
      <w:r w:rsidRPr="0098037D">
        <w:rPr>
          <w:color w:val="808080" w:themeColor="background1" w:themeShade="80"/>
        </w:rPr>
        <w:t xml:space="preserve"> to the Master fund. This suggests that the transfer of ownership was done for no consideration and the transaction was undervalued. </w:t>
      </w:r>
    </w:p>
    <w:p w14:paraId="446B78F7" w14:textId="77777777" w:rsidR="00950D61" w:rsidRPr="0098037D" w:rsidRDefault="00950D61" w:rsidP="00950D61">
      <w:pPr>
        <w:rPr>
          <w:color w:val="808080" w:themeColor="background1" w:themeShade="80"/>
        </w:rPr>
      </w:pPr>
    </w:p>
    <w:p w14:paraId="6A0C78B7" w14:textId="77777777" w:rsidR="00950D61" w:rsidRPr="0098037D" w:rsidRDefault="00950D61" w:rsidP="00950D61">
      <w:pPr>
        <w:rPr>
          <w:color w:val="808080" w:themeColor="background1" w:themeShade="80"/>
        </w:rPr>
      </w:pPr>
      <w:r w:rsidRPr="0098037D">
        <w:rPr>
          <w:color w:val="808080" w:themeColor="background1" w:themeShade="80"/>
        </w:rPr>
        <w:t xml:space="preserve">The liquidators could also argue that the transaction could be deemed as a voidable preference. The evidence suggests that the directors wanted to prefer the interests of the </w:t>
      </w:r>
      <w:proofErr w:type="spellStart"/>
      <w:r w:rsidRPr="0098037D">
        <w:rPr>
          <w:color w:val="808080" w:themeColor="background1" w:themeShade="80"/>
        </w:rPr>
        <w:t>Gamboa</w:t>
      </w:r>
      <w:proofErr w:type="spellEnd"/>
      <w:r w:rsidRPr="0098037D">
        <w:rPr>
          <w:color w:val="808080" w:themeColor="background1" w:themeShade="80"/>
        </w:rPr>
        <w:t xml:space="preserve"> over that of the shareholders. </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270C887E" w14:textId="77777777" w:rsidR="00942E6F" w:rsidRPr="0098037D" w:rsidRDefault="00942E6F" w:rsidP="00942E6F">
      <w:pPr>
        <w:rPr>
          <w:color w:val="808080" w:themeColor="background1" w:themeShade="80"/>
        </w:rPr>
      </w:pPr>
      <w:r w:rsidRPr="0098037D">
        <w:rPr>
          <w:color w:val="808080" w:themeColor="background1" w:themeShade="80"/>
        </w:rPr>
        <w:t>Now that the affairs of the company have been wound up and the liquidation is complete, the official liquidator’s final report and accounts must be published in accordance with the CWR. The reports and accounts must contain the following:</w:t>
      </w:r>
    </w:p>
    <w:p w14:paraId="26DD1F45" w14:textId="77777777" w:rsidR="00942E6F" w:rsidRPr="0098037D" w:rsidRDefault="00942E6F" w:rsidP="00942E6F">
      <w:pPr>
        <w:rPr>
          <w:color w:val="808080" w:themeColor="background1" w:themeShade="80"/>
        </w:rPr>
      </w:pPr>
    </w:p>
    <w:p w14:paraId="0C055736" w14:textId="77777777" w:rsidR="00942E6F" w:rsidRPr="0098037D" w:rsidRDefault="00942E6F" w:rsidP="00942E6F">
      <w:pPr>
        <w:pStyle w:val="ListParagraph"/>
        <w:numPr>
          <w:ilvl w:val="0"/>
          <w:numId w:val="56"/>
        </w:numPr>
        <w:spacing w:after="0" w:line="240" w:lineRule="auto"/>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Notice</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date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upon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which</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application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for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w:t>
      </w:r>
      <w:proofErr w:type="spellEnd"/>
      <w:r w:rsidRPr="0098037D">
        <w:rPr>
          <w:rFonts w:ascii="Avenir Next" w:eastAsia="Times New Roman" w:hAnsi="Avenir Next" w:cs="Arial"/>
          <w:color w:val="808080" w:themeColor="background1" w:themeShade="80"/>
          <w:lang w:val="en-US"/>
        </w:rPr>
        <w:t xml:space="preserve"> order </w:t>
      </w:r>
      <w:proofErr w:type="spellStart"/>
      <w:r w:rsidRPr="0098037D">
        <w:rPr>
          <w:rFonts w:ascii="Avenir Next" w:eastAsia="Times New Roman" w:hAnsi="Avenir Next" w:cs="Arial"/>
          <w:color w:val="808080" w:themeColor="background1" w:themeShade="80"/>
          <w:lang w:val="en-US"/>
        </w:rPr>
        <w:t>for</w:t>
      </w:r>
      <w:proofErr w:type="spellEnd"/>
      <w:r w:rsidRPr="0098037D">
        <w:rPr>
          <w:rFonts w:ascii="Avenir Next" w:eastAsia="Times New Roman" w:hAnsi="Avenir Next" w:cs="Arial"/>
          <w:color w:val="808080" w:themeColor="background1" w:themeShade="80"/>
          <w:lang w:val="en-US"/>
        </w:rPr>
        <w:t xml:space="preserve"> dissolution will be heard by court.</w:t>
      </w:r>
    </w:p>
    <w:p w14:paraId="40D9C13E" w14:textId="56154551" w:rsidR="00A500D9" w:rsidRPr="0098037D" w:rsidRDefault="00942E6F" w:rsidP="00137A41">
      <w:pPr>
        <w:pStyle w:val="ListParagraph"/>
        <w:numPr>
          <w:ilvl w:val="0"/>
          <w:numId w:val="56"/>
        </w:numPr>
        <w:spacing w:after="0" w:line="240" w:lineRule="auto"/>
        <w:rPr>
          <w:rFonts w:ascii="Avenir Next" w:eastAsia="Times New Roman" w:hAnsi="Avenir Next" w:cs="Arial"/>
          <w:color w:val="808080" w:themeColor="background1" w:themeShade="80"/>
          <w:lang w:val="en-US"/>
        </w:rPr>
      </w:pPr>
      <w:r w:rsidRPr="0098037D">
        <w:rPr>
          <w:rFonts w:ascii="Avenir Next" w:eastAsia="Times New Roman" w:hAnsi="Avenir Next" w:cs="Arial"/>
          <w:color w:val="808080" w:themeColor="background1" w:themeShade="80"/>
          <w:lang w:val="en-US"/>
        </w:rPr>
        <w:t xml:space="preserve">A statement of the fact that any creditor or member may appear and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heard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application</w:t>
      </w:r>
      <w:proofErr w:type="spellEnd"/>
      <w:r w:rsidRPr="0098037D">
        <w:rPr>
          <w:rFonts w:ascii="Avenir Next" w:eastAsia="Times New Roman" w:hAnsi="Avenir Next" w:cs="Arial"/>
          <w:color w:val="808080" w:themeColor="background1" w:themeShade="80"/>
          <w:lang w:val="en-US"/>
        </w:rPr>
        <w:t xml:space="preserve">. </w:t>
      </w:r>
    </w:p>
    <w:p w14:paraId="694C7A72" w14:textId="77777777" w:rsidR="00A500D9" w:rsidRPr="0098037D" w:rsidRDefault="00A500D9" w:rsidP="00137A41">
      <w:pPr>
        <w:rPr>
          <w:color w:val="808080" w:themeColor="background1" w:themeShade="80"/>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401CF99D" w14:textId="77777777" w:rsidR="00942E6F" w:rsidRDefault="00942E6F" w:rsidP="00942E6F">
      <w:r>
        <w:t xml:space="preserve">Before the reports and accounts are finalized, the liquidators must apply to the Court for an order that the Master and Feeder fund be dissolved. </w:t>
      </w:r>
    </w:p>
    <w:p w14:paraId="32A0D593" w14:textId="77777777" w:rsidR="00942E6F" w:rsidRDefault="00942E6F" w:rsidP="00942E6F"/>
    <w:p w14:paraId="5F2E4490" w14:textId="77777777" w:rsidR="00942E6F" w:rsidRPr="0098037D" w:rsidRDefault="00942E6F" w:rsidP="00942E6F">
      <w:pPr>
        <w:rPr>
          <w:color w:val="808080" w:themeColor="background1" w:themeShade="80"/>
        </w:rPr>
      </w:pPr>
      <w:r w:rsidRPr="0098037D">
        <w:rPr>
          <w:color w:val="808080" w:themeColor="background1" w:themeShade="80"/>
        </w:rPr>
        <w:lastRenderedPageBreak/>
        <w:t xml:space="preserve">According to Order 22, rule 2 of the CWR, the order for dissolution must meet the following criteria: </w:t>
      </w:r>
    </w:p>
    <w:p w14:paraId="0D093231" w14:textId="77777777" w:rsidR="00942E6F" w:rsidRPr="0098037D" w:rsidRDefault="00942E6F" w:rsidP="00942E6F">
      <w:pPr>
        <w:rPr>
          <w:color w:val="808080" w:themeColor="background1" w:themeShade="80"/>
        </w:rPr>
      </w:pPr>
    </w:p>
    <w:p w14:paraId="34D7282A" w14:textId="77777777" w:rsidR="00942E6F" w:rsidRPr="0098037D" w:rsidRDefault="00942E6F" w:rsidP="0098037D">
      <w:pPr>
        <w:pStyle w:val="ListParagraph"/>
        <w:numPr>
          <w:ilvl w:val="0"/>
          <w:numId w:val="61"/>
        </w:numPr>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order </w:t>
      </w:r>
      <w:proofErr w:type="spellStart"/>
      <w:r w:rsidRPr="0098037D">
        <w:rPr>
          <w:rFonts w:ascii="Avenir Next" w:eastAsia="Times New Roman" w:hAnsi="Avenir Next" w:cs="Arial"/>
          <w:color w:val="808080" w:themeColor="background1" w:themeShade="80"/>
          <w:lang w:val="en-US"/>
        </w:rPr>
        <w:t>must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in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prescribed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form</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Form</w:t>
      </w:r>
      <w:proofErr w:type="spellEnd"/>
      <w:r w:rsidRPr="0098037D">
        <w:rPr>
          <w:rFonts w:ascii="Avenir Next" w:eastAsia="Times New Roman" w:hAnsi="Avenir Next" w:cs="Arial"/>
          <w:color w:val="808080" w:themeColor="background1" w:themeShade="80"/>
          <w:lang w:val="en-US"/>
        </w:rPr>
        <w:t xml:space="preserve"> 36</w:t>
      </w:r>
    </w:p>
    <w:p w14:paraId="3D2CAD19" w14:textId="77777777" w:rsidR="00942E6F" w:rsidRPr="0098037D" w:rsidRDefault="00942E6F" w:rsidP="0098037D">
      <w:pPr>
        <w:pStyle w:val="ListParagraph"/>
        <w:numPr>
          <w:ilvl w:val="0"/>
          <w:numId w:val="61"/>
        </w:numPr>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order </w:t>
      </w:r>
      <w:proofErr w:type="spellStart"/>
      <w:r w:rsidRPr="0098037D">
        <w:rPr>
          <w:rFonts w:ascii="Avenir Next" w:eastAsia="Times New Roman" w:hAnsi="Avenir Next" w:cs="Arial"/>
          <w:color w:val="808080" w:themeColor="background1" w:themeShade="80"/>
          <w:lang w:val="en-US"/>
        </w:rPr>
        <w:t>will</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effective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on</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date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it</w:t>
      </w:r>
      <w:proofErr w:type="spellEnd"/>
      <w:r w:rsidRPr="0098037D">
        <w:rPr>
          <w:rFonts w:ascii="Avenir Next" w:eastAsia="Times New Roman" w:hAnsi="Avenir Next" w:cs="Arial"/>
          <w:color w:val="808080" w:themeColor="background1" w:themeShade="80"/>
          <w:lang w:val="en-US"/>
        </w:rPr>
        <w:t xml:space="preserve"> was </w:t>
      </w:r>
      <w:proofErr w:type="spellStart"/>
      <w:r w:rsidRPr="0098037D">
        <w:rPr>
          <w:rFonts w:ascii="Avenir Next" w:eastAsia="Times New Roman" w:hAnsi="Avenir Next" w:cs="Arial"/>
          <w:color w:val="808080" w:themeColor="background1" w:themeShade="80"/>
          <w:lang w:val="en-US"/>
        </w:rPr>
        <w:t>made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or</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such</w:t>
      </w:r>
      <w:proofErr w:type="spellEnd"/>
      <w:r w:rsidRPr="0098037D">
        <w:rPr>
          <w:rFonts w:ascii="Avenir Next" w:eastAsia="Times New Roman" w:hAnsi="Avenir Next" w:cs="Arial"/>
          <w:color w:val="808080" w:themeColor="background1" w:themeShade="80"/>
          <w:lang w:val="en-US"/>
        </w:rPr>
        <w:t xml:space="preserve"> later </w:t>
      </w:r>
      <w:proofErr w:type="spellStart"/>
      <w:r w:rsidRPr="0098037D">
        <w:rPr>
          <w:rFonts w:ascii="Avenir Next" w:eastAsia="Times New Roman" w:hAnsi="Avenir Next" w:cs="Arial"/>
          <w:color w:val="808080" w:themeColor="background1" w:themeShade="80"/>
          <w:lang w:val="en-US"/>
        </w:rPr>
        <w:t>date</w:t>
      </w:r>
      <w:proofErr w:type="spellEnd"/>
    </w:p>
    <w:p w14:paraId="75F969C0" w14:textId="77777777" w:rsidR="00942E6F" w:rsidRPr="0098037D" w:rsidRDefault="00942E6F" w:rsidP="0098037D">
      <w:pPr>
        <w:pStyle w:val="ListParagraph"/>
        <w:numPr>
          <w:ilvl w:val="0"/>
          <w:numId w:val="61"/>
        </w:numPr>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order </w:t>
      </w:r>
      <w:proofErr w:type="spellStart"/>
      <w:r w:rsidRPr="0098037D">
        <w:rPr>
          <w:rFonts w:ascii="Avenir Next" w:eastAsia="Times New Roman" w:hAnsi="Avenir Next" w:cs="Arial"/>
          <w:color w:val="808080" w:themeColor="background1" w:themeShade="80"/>
          <w:lang w:val="en-US"/>
        </w:rPr>
        <w:t>must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be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filed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with</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Registrar</w:t>
      </w:r>
      <w:proofErr w:type="spellEnd"/>
      <w:r w:rsidRPr="0098037D">
        <w:rPr>
          <w:rFonts w:ascii="Avenir Next" w:eastAsia="Times New Roman" w:hAnsi="Avenir Next" w:cs="Arial"/>
          <w:color w:val="808080" w:themeColor="background1" w:themeShade="80"/>
          <w:lang w:val="en-US"/>
        </w:rPr>
        <w:t xml:space="preserve"> of </w:t>
      </w:r>
      <w:proofErr w:type="spellStart"/>
      <w:r w:rsidRPr="0098037D">
        <w:rPr>
          <w:rFonts w:ascii="Avenir Next" w:eastAsia="Times New Roman" w:hAnsi="Avenir Next" w:cs="Arial"/>
          <w:color w:val="808080" w:themeColor="background1" w:themeShade="80"/>
          <w:lang w:val="en-US"/>
        </w:rPr>
        <w:t>Companies</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within</w:t>
      </w:r>
      <w:proofErr w:type="spellEnd"/>
      <w:r w:rsidRPr="0098037D">
        <w:rPr>
          <w:rFonts w:ascii="Avenir Next" w:eastAsia="Times New Roman" w:hAnsi="Avenir Next" w:cs="Arial"/>
          <w:color w:val="808080" w:themeColor="background1" w:themeShade="80"/>
          <w:lang w:val="en-US"/>
        </w:rPr>
        <w:t xml:space="preserve"> 14 </w:t>
      </w:r>
      <w:proofErr w:type="spellStart"/>
      <w:r w:rsidRPr="0098037D">
        <w:rPr>
          <w:rFonts w:ascii="Avenir Next" w:eastAsia="Times New Roman" w:hAnsi="Avenir Next" w:cs="Arial"/>
          <w:color w:val="808080" w:themeColor="background1" w:themeShade="80"/>
          <w:lang w:val="en-US"/>
        </w:rPr>
        <w:t>days</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from</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date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which</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order is </w:t>
      </w:r>
      <w:proofErr w:type="spellStart"/>
      <w:r w:rsidRPr="0098037D">
        <w:rPr>
          <w:rFonts w:ascii="Avenir Next" w:eastAsia="Times New Roman" w:hAnsi="Avenir Next" w:cs="Arial"/>
          <w:color w:val="808080" w:themeColor="background1" w:themeShade="80"/>
          <w:lang w:val="en-US"/>
        </w:rPr>
        <w:t>perfected</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and</w:t>
      </w:r>
      <w:proofErr w:type="spellEnd"/>
      <w:r w:rsidRPr="0098037D">
        <w:rPr>
          <w:rFonts w:ascii="Avenir Next" w:eastAsia="Times New Roman" w:hAnsi="Avenir Next" w:cs="Arial"/>
          <w:color w:val="808080" w:themeColor="background1" w:themeShade="80"/>
          <w:lang w:val="en-US"/>
        </w:rPr>
        <w:t xml:space="preserve"> </w:t>
      </w:r>
    </w:p>
    <w:p w14:paraId="7C5AEA80" w14:textId="77777777" w:rsidR="00942E6F" w:rsidRPr="0098037D" w:rsidRDefault="00942E6F" w:rsidP="0098037D">
      <w:pPr>
        <w:pStyle w:val="ListParagraph"/>
        <w:numPr>
          <w:ilvl w:val="0"/>
          <w:numId w:val="61"/>
        </w:numPr>
        <w:rPr>
          <w:rFonts w:ascii="Avenir Next" w:eastAsia="Times New Roman" w:hAnsi="Avenir Next" w:cs="Arial"/>
          <w:color w:val="808080" w:themeColor="background1" w:themeShade="80"/>
          <w:lang w:val="en-US"/>
        </w:rPr>
      </w:pP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order </w:t>
      </w:r>
      <w:proofErr w:type="spellStart"/>
      <w:r w:rsidRPr="0098037D">
        <w:rPr>
          <w:rFonts w:ascii="Avenir Next" w:eastAsia="Times New Roman" w:hAnsi="Avenir Next" w:cs="Arial"/>
          <w:color w:val="808080" w:themeColor="background1" w:themeShade="80"/>
          <w:lang w:val="en-US"/>
        </w:rPr>
        <w:t>must</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include</w:t>
      </w:r>
      <w:proofErr w:type="spellEnd"/>
      <w:r w:rsidRPr="0098037D">
        <w:rPr>
          <w:rFonts w:ascii="Avenir Next" w:eastAsia="Times New Roman" w:hAnsi="Avenir Next" w:cs="Arial"/>
          <w:color w:val="808080" w:themeColor="background1" w:themeShade="80"/>
          <w:lang w:val="en-US"/>
        </w:rPr>
        <w:t xml:space="preserve"> supplementary directions relating to retention of files, books and records, remuneration terms and other consequential matters in </w:t>
      </w:r>
      <w:proofErr w:type="spellStart"/>
      <w:r w:rsidRPr="0098037D">
        <w:rPr>
          <w:rFonts w:ascii="Avenir Next" w:eastAsia="Times New Roman" w:hAnsi="Avenir Next" w:cs="Arial"/>
          <w:color w:val="808080" w:themeColor="background1" w:themeShade="80"/>
          <w:lang w:val="en-US"/>
        </w:rPr>
        <w:t>accordance</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with</w:t>
      </w:r>
      <w:proofErr w:type="spellEnd"/>
      <w:r w:rsidRPr="0098037D">
        <w:rPr>
          <w:rFonts w:ascii="Avenir Next" w:eastAsia="Times New Roman" w:hAnsi="Avenir Next" w:cs="Arial"/>
          <w:color w:val="808080" w:themeColor="background1" w:themeShade="80"/>
          <w:lang w:val="en-US"/>
        </w:rPr>
        <w:t xml:space="preserve"> </w:t>
      </w:r>
      <w:proofErr w:type="spellStart"/>
      <w:r w:rsidRPr="0098037D">
        <w:rPr>
          <w:rFonts w:ascii="Avenir Next" w:eastAsia="Times New Roman" w:hAnsi="Avenir Next" w:cs="Arial"/>
          <w:color w:val="808080" w:themeColor="background1" w:themeShade="80"/>
          <w:lang w:val="en-US"/>
        </w:rPr>
        <w:t>the</w:t>
      </w:r>
      <w:proofErr w:type="spellEnd"/>
      <w:r w:rsidRPr="0098037D">
        <w:rPr>
          <w:rFonts w:ascii="Avenir Next" w:eastAsia="Times New Roman" w:hAnsi="Avenir Next" w:cs="Arial"/>
          <w:color w:val="808080" w:themeColor="background1" w:themeShade="80"/>
          <w:lang w:val="en-US"/>
        </w:rPr>
        <w:t xml:space="preserve"> relevant Order. </w:t>
      </w: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746A7D2" w14:textId="77777777" w:rsidR="00CF121D" w:rsidRPr="0098037D" w:rsidRDefault="00CF121D" w:rsidP="00CF121D">
      <w:pPr>
        <w:rPr>
          <w:color w:val="808080" w:themeColor="background1" w:themeShade="80"/>
        </w:rPr>
      </w:pPr>
      <w:r w:rsidRPr="0098037D">
        <w:rPr>
          <w:color w:val="808080" w:themeColor="background1" w:themeShade="80"/>
        </w:rPr>
        <w:t xml:space="preserve">Given that the redemption request was submitted to the master fund following the commencement of the liquidation, it is likely that the Cayman Feeder’s request would not be classified as a provable debt. As such, there claims will be considered as a Shareholder Claim. This means that their claims will rank below secured creditors, unsecured creditors and redemption creditors. </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23C1CE22" w14:textId="77777777" w:rsidR="00FF6BB5" w:rsidRPr="0098037D" w:rsidRDefault="00FF6BB5" w:rsidP="00FF6BB5">
      <w:pPr>
        <w:rPr>
          <w:color w:val="808080" w:themeColor="background1" w:themeShade="80"/>
        </w:rPr>
      </w:pPr>
      <w:r w:rsidRPr="0098037D">
        <w:rPr>
          <w:color w:val="808080" w:themeColor="background1" w:themeShade="80"/>
        </w:rPr>
        <w:t xml:space="preserve">Following the introduction of the restructuring regime by the Companies (Amendment) Act 2022, an application for the appointment of provisional liquidators is only permitted after a winding up order has been presented and before the making of a winding up order. </w:t>
      </w:r>
    </w:p>
    <w:p w14:paraId="5D0DA978" w14:textId="77777777" w:rsidR="00FF6BB5" w:rsidRPr="0098037D" w:rsidRDefault="00FF6BB5" w:rsidP="00FF6BB5">
      <w:pPr>
        <w:rPr>
          <w:color w:val="808080" w:themeColor="background1" w:themeShade="80"/>
        </w:rPr>
      </w:pPr>
    </w:p>
    <w:p w14:paraId="702B467E" w14:textId="77777777" w:rsidR="00FF6BB5" w:rsidRPr="0098037D" w:rsidRDefault="00FF6BB5" w:rsidP="00FF6BB5">
      <w:pPr>
        <w:rPr>
          <w:color w:val="808080" w:themeColor="background1" w:themeShade="80"/>
        </w:rPr>
      </w:pPr>
      <w:r w:rsidRPr="0098037D">
        <w:rPr>
          <w:color w:val="808080" w:themeColor="background1" w:themeShade="80"/>
        </w:rPr>
        <w:t xml:space="preserve">According to section 104(3) of the Companies Act, a company may seek appointment of provisional liquidators on an ex </w:t>
      </w:r>
      <w:proofErr w:type="spellStart"/>
      <w:r w:rsidRPr="0098037D">
        <w:rPr>
          <w:color w:val="808080" w:themeColor="background1" w:themeShade="80"/>
        </w:rPr>
        <w:t>parte</w:t>
      </w:r>
      <w:proofErr w:type="spellEnd"/>
      <w:r w:rsidRPr="0098037D">
        <w:rPr>
          <w:color w:val="808080" w:themeColor="background1" w:themeShade="80"/>
        </w:rPr>
        <w:t xml:space="preserve"> basis. </w:t>
      </w:r>
    </w:p>
    <w:p w14:paraId="473C512D" w14:textId="77777777" w:rsidR="00FF6BB5" w:rsidRPr="0098037D" w:rsidRDefault="00FF6BB5" w:rsidP="00FF6BB5">
      <w:pPr>
        <w:rPr>
          <w:color w:val="808080" w:themeColor="background1" w:themeShade="80"/>
        </w:rPr>
      </w:pPr>
    </w:p>
    <w:p w14:paraId="7002F97F" w14:textId="77777777" w:rsidR="00FF6BB5" w:rsidRPr="0098037D" w:rsidRDefault="00FF6BB5" w:rsidP="00FF6BB5">
      <w:pPr>
        <w:rPr>
          <w:color w:val="808080" w:themeColor="background1" w:themeShade="80"/>
        </w:rPr>
      </w:pPr>
      <w:r w:rsidRPr="0098037D">
        <w:rPr>
          <w:color w:val="808080" w:themeColor="background1" w:themeShade="80"/>
        </w:rPr>
        <w:t xml:space="preserve">The Court must be satisfied that the company: </w:t>
      </w:r>
    </w:p>
    <w:p w14:paraId="3D2A6849" w14:textId="77777777" w:rsidR="00FF6BB5" w:rsidRPr="0098037D" w:rsidRDefault="00FF6BB5" w:rsidP="00FF6BB5">
      <w:pPr>
        <w:rPr>
          <w:color w:val="808080" w:themeColor="background1" w:themeShade="80"/>
        </w:rPr>
      </w:pPr>
    </w:p>
    <w:p w14:paraId="1EEF889F" w14:textId="77777777" w:rsidR="00FF6BB5" w:rsidRPr="0098037D" w:rsidRDefault="00FF6BB5" w:rsidP="0098037D">
      <w:pPr>
        <w:pStyle w:val="ListParagraph"/>
        <w:numPr>
          <w:ilvl w:val="0"/>
          <w:numId w:val="60"/>
        </w:numPr>
        <w:rPr>
          <w:color w:val="808080" w:themeColor="background1" w:themeShade="80"/>
        </w:rPr>
      </w:pPr>
      <w:r w:rsidRPr="0098037D">
        <w:rPr>
          <w:color w:val="808080" w:themeColor="background1" w:themeShade="80"/>
        </w:rPr>
        <w:t>Is likely to become unable to pay debts.</w:t>
      </w:r>
    </w:p>
    <w:p w14:paraId="6658F5E7" w14:textId="77777777" w:rsidR="00FF6BB5" w:rsidRPr="0098037D" w:rsidRDefault="00FF6BB5" w:rsidP="0098037D">
      <w:pPr>
        <w:pStyle w:val="ListParagraph"/>
        <w:numPr>
          <w:ilvl w:val="0"/>
          <w:numId w:val="60"/>
        </w:numPr>
        <w:rPr>
          <w:color w:val="808080" w:themeColor="background1" w:themeShade="80"/>
        </w:rPr>
      </w:pPr>
      <w:r w:rsidRPr="0098037D">
        <w:rPr>
          <w:color w:val="808080" w:themeColor="background1" w:themeShade="80"/>
        </w:rPr>
        <w:lastRenderedPageBreak/>
        <w:t xml:space="preserve">Intends to present a compromise arrangement </w:t>
      </w:r>
      <w:proofErr w:type="spellStart"/>
      <w:r w:rsidRPr="0098037D">
        <w:rPr>
          <w:color w:val="808080" w:themeColor="background1" w:themeShade="80"/>
        </w:rPr>
        <w:t>to</w:t>
      </w:r>
      <w:proofErr w:type="spellEnd"/>
      <w:r w:rsidRPr="0098037D">
        <w:rPr>
          <w:color w:val="808080" w:themeColor="background1" w:themeShade="80"/>
        </w:rPr>
        <w:t xml:space="preserve"> </w:t>
      </w:r>
      <w:proofErr w:type="spellStart"/>
      <w:r w:rsidRPr="0098037D">
        <w:rPr>
          <w:color w:val="808080" w:themeColor="background1" w:themeShade="80"/>
        </w:rPr>
        <w:t>its</w:t>
      </w:r>
      <w:proofErr w:type="spellEnd"/>
      <w:r w:rsidRPr="0098037D">
        <w:rPr>
          <w:color w:val="808080" w:themeColor="background1" w:themeShade="80"/>
        </w:rPr>
        <w:t xml:space="preserve"> creditors. </w:t>
      </w:r>
    </w:p>
    <w:p w14:paraId="1CA2F8A1" w14:textId="77777777" w:rsidR="007F068B" w:rsidRPr="0098037D" w:rsidRDefault="007F068B" w:rsidP="00137A41">
      <w:pPr>
        <w:rPr>
          <w:color w:val="808080" w:themeColor="background1" w:themeShade="80"/>
        </w:rPr>
      </w:pPr>
    </w:p>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proofErr w:type="gramStart"/>
      <w:r w:rsidRPr="00B31A12">
        <w:t>Considering the fact that</w:t>
      </w:r>
      <w:proofErr w:type="gramEnd"/>
      <w:r w:rsidRPr="00B31A12">
        <w:t xml:space="preserve">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D6BF07F" w14:textId="77777777" w:rsidR="00DC101B" w:rsidRPr="0098037D" w:rsidRDefault="00DC101B" w:rsidP="00DC101B">
      <w:pPr>
        <w:rPr>
          <w:color w:val="808080" w:themeColor="background1" w:themeShade="80"/>
        </w:rPr>
      </w:pPr>
      <w:r w:rsidRPr="0098037D">
        <w:rPr>
          <w:color w:val="808080" w:themeColor="background1" w:themeShade="80"/>
        </w:rPr>
        <w:t xml:space="preserve">MSV can petition for the appointment of a restructuring officer. This allows for a scheme to be proposed to creditors and the need for winding up proceedings can be avoided. </w:t>
      </w:r>
    </w:p>
    <w:p w14:paraId="00F5DDFB" w14:textId="77777777" w:rsidR="00DC101B" w:rsidRPr="0098037D" w:rsidRDefault="00DC101B" w:rsidP="00DC101B">
      <w:pPr>
        <w:rPr>
          <w:color w:val="808080" w:themeColor="background1" w:themeShade="80"/>
        </w:rPr>
      </w:pPr>
    </w:p>
    <w:p w14:paraId="73518F3E" w14:textId="77777777" w:rsidR="00DC101B" w:rsidRPr="0098037D" w:rsidRDefault="00DC101B" w:rsidP="00DC101B">
      <w:pPr>
        <w:rPr>
          <w:color w:val="808080" w:themeColor="background1" w:themeShade="80"/>
        </w:rPr>
      </w:pPr>
      <w:r w:rsidRPr="0098037D">
        <w:rPr>
          <w:color w:val="808080" w:themeColor="background1" w:themeShade="80"/>
        </w:rPr>
        <w:t xml:space="preserve">MSV can also seek an informal creditor workout which is the option to refinance or restructure their financial obligations informally. This option could be considered to save costs and avoid adverse publicity. </w:t>
      </w:r>
    </w:p>
    <w:p w14:paraId="1AF12C0C" w14:textId="77777777" w:rsidR="00DC101B" w:rsidRPr="0098037D" w:rsidRDefault="00DC101B" w:rsidP="00DC101B">
      <w:pPr>
        <w:rPr>
          <w:color w:val="808080" w:themeColor="background1" w:themeShade="80"/>
        </w:rPr>
      </w:pPr>
    </w:p>
    <w:p w14:paraId="3133843A" w14:textId="77777777" w:rsidR="00DC101B" w:rsidRPr="0098037D" w:rsidRDefault="00DC101B" w:rsidP="00DC101B">
      <w:pPr>
        <w:rPr>
          <w:color w:val="808080" w:themeColor="background1" w:themeShade="80"/>
        </w:rPr>
      </w:pPr>
      <w:r w:rsidRPr="0098037D">
        <w:rPr>
          <w:color w:val="808080" w:themeColor="background1" w:themeShade="80"/>
        </w:rPr>
        <w:t xml:space="preserve">The appointment of a provisional liquidator can also be sought. However, on such application, the court must be satisfied that this option is appropriate.  </w:t>
      </w:r>
    </w:p>
    <w:p w14:paraId="2A873392" w14:textId="77777777" w:rsidR="00AD2E5C" w:rsidRPr="0098037D" w:rsidRDefault="00AD2E5C" w:rsidP="00137A41">
      <w:pPr>
        <w:rPr>
          <w:color w:val="808080" w:themeColor="background1" w:themeShade="80"/>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743B7A4" w14:textId="77777777" w:rsidR="005B7ADB" w:rsidRPr="0098037D" w:rsidRDefault="005B7ADB" w:rsidP="005B7ADB">
      <w:pPr>
        <w:rPr>
          <w:color w:val="808080" w:themeColor="background1" w:themeShade="80"/>
        </w:rPr>
      </w:pPr>
      <w:r w:rsidRPr="0098037D">
        <w:rPr>
          <w:color w:val="808080" w:themeColor="background1" w:themeShade="80"/>
        </w:rPr>
        <w:t xml:space="preserve">The Moratorium takes effect immediately upon filing of the restructuring petition. This allows for a RO scheme to be presented to </w:t>
      </w:r>
      <w:proofErr w:type="gramStart"/>
      <w:r w:rsidRPr="0098037D">
        <w:rPr>
          <w:color w:val="808080" w:themeColor="background1" w:themeShade="80"/>
        </w:rPr>
        <w:t>creditors</w:t>
      </w:r>
      <w:proofErr w:type="gramEnd"/>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55C46720" w14:textId="77777777" w:rsidR="0031371C" w:rsidRPr="0031371C" w:rsidRDefault="005B7ADB" w:rsidP="0031371C">
      <w:pPr>
        <w:rPr>
          <w:color w:val="808080" w:themeColor="background1" w:themeShade="80"/>
        </w:rPr>
      </w:pPr>
      <w:r>
        <w:rPr>
          <w:color w:val="808080" w:themeColor="background1" w:themeShade="80"/>
        </w:rPr>
        <w:t xml:space="preserve">The Restructuring Officers must file their reports </w:t>
      </w:r>
      <w:r w:rsidR="0031371C">
        <w:rPr>
          <w:color w:val="808080" w:themeColor="background1" w:themeShade="80"/>
        </w:rPr>
        <w:t xml:space="preserve">within 28 days of the appointment. The reports must contain </w:t>
      </w:r>
      <w:proofErr w:type="gramStart"/>
      <w:r w:rsidR="0031371C" w:rsidRPr="0031371C">
        <w:rPr>
          <w:color w:val="808080" w:themeColor="background1" w:themeShade="80"/>
        </w:rPr>
        <w:t>The</w:t>
      </w:r>
      <w:proofErr w:type="gramEnd"/>
      <w:r w:rsidR="0031371C" w:rsidRPr="0031371C">
        <w:rPr>
          <w:color w:val="808080" w:themeColor="background1" w:themeShade="80"/>
        </w:rPr>
        <w:t xml:space="preserve"> report must include details of: </w:t>
      </w:r>
    </w:p>
    <w:p w14:paraId="6AB524C4" w14:textId="77777777" w:rsidR="0031371C" w:rsidRPr="0031371C" w:rsidRDefault="0031371C" w:rsidP="0031371C">
      <w:pPr>
        <w:rPr>
          <w:color w:val="808080" w:themeColor="background1" w:themeShade="80"/>
        </w:rPr>
      </w:pPr>
    </w:p>
    <w:p w14:paraId="425073DB" w14:textId="77777777" w:rsidR="0031371C" w:rsidRPr="0031371C" w:rsidRDefault="0031371C" w:rsidP="0031371C">
      <w:pPr>
        <w:pStyle w:val="ListParagraph"/>
        <w:numPr>
          <w:ilvl w:val="0"/>
          <w:numId w:val="59"/>
        </w:numPr>
        <w:spacing w:after="0" w:line="240" w:lineRule="auto"/>
        <w:rPr>
          <w:rFonts w:ascii="Avenir Next" w:eastAsia="Times New Roman" w:hAnsi="Avenir Next" w:cs="Arial"/>
          <w:color w:val="808080" w:themeColor="background1" w:themeShade="80"/>
          <w:lang w:val="en-US"/>
        </w:rPr>
      </w:pPr>
      <w:proofErr w:type="spellStart"/>
      <w:r w:rsidRPr="0031371C">
        <w:rPr>
          <w:rFonts w:ascii="Avenir Next" w:eastAsia="Times New Roman" w:hAnsi="Avenir Next" w:cs="Arial"/>
          <w:color w:val="808080" w:themeColor="background1" w:themeShade="80"/>
          <w:lang w:val="en-US"/>
        </w:rPr>
        <w:t>Steps</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taken</w:t>
      </w:r>
      <w:proofErr w:type="spellEnd"/>
      <w:r w:rsidRPr="0031371C">
        <w:rPr>
          <w:rFonts w:ascii="Avenir Next" w:eastAsia="Times New Roman" w:hAnsi="Avenir Next" w:cs="Arial"/>
          <w:color w:val="808080" w:themeColor="background1" w:themeShade="80"/>
          <w:lang w:val="en-US"/>
        </w:rPr>
        <w:t xml:space="preserve"> in </w:t>
      </w:r>
      <w:proofErr w:type="spellStart"/>
      <w:r w:rsidRPr="0031371C">
        <w:rPr>
          <w:rFonts w:ascii="Avenir Next" w:eastAsia="Times New Roman" w:hAnsi="Avenir Next" w:cs="Arial"/>
          <w:color w:val="808080" w:themeColor="background1" w:themeShade="80"/>
          <w:lang w:val="en-US"/>
        </w:rPr>
        <w:t>the</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restructuring</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and</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the</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further</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steps</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intended</w:t>
      </w:r>
      <w:proofErr w:type="spellEnd"/>
      <w:r w:rsidRPr="0031371C">
        <w:rPr>
          <w:rFonts w:ascii="Avenir Next" w:eastAsia="Times New Roman" w:hAnsi="Avenir Next" w:cs="Arial"/>
          <w:color w:val="808080" w:themeColor="background1" w:themeShade="80"/>
          <w:lang w:val="en-US"/>
        </w:rPr>
        <w:t xml:space="preserve"> to be </w:t>
      </w:r>
      <w:proofErr w:type="gramStart"/>
      <w:r w:rsidRPr="0031371C">
        <w:rPr>
          <w:rFonts w:ascii="Avenir Next" w:eastAsia="Times New Roman" w:hAnsi="Avenir Next" w:cs="Arial"/>
          <w:color w:val="808080" w:themeColor="background1" w:themeShade="80"/>
          <w:lang w:val="en-US"/>
        </w:rPr>
        <w:t>taken</w:t>
      </w:r>
      <w:proofErr w:type="gramEnd"/>
      <w:r w:rsidRPr="0031371C">
        <w:rPr>
          <w:rFonts w:ascii="Avenir Next" w:eastAsia="Times New Roman" w:hAnsi="Avenir Next" w:cs="Arial"/>
          <w:color w:val="808080" w:themeColor="background1" w:themeShade="80"/>
          <w:lang w:val="en-US"/>
        </w:rPr>
        <w:t xml:space="preserve"> </w:t>
      </w:r>
    </w:p>
    <w:p w14:paraId="23796DAE" w14:textId="77777777" w:rsidR="0031371C" w:rsidRPr="0031371C" w:rsidRDefault="0031371C" w:rsidP="0031371C">
      <w:pPr>
        <w:pStyle w:val="ListParagraph"/>
        <w:numPr>
          <w:ilvl w:val="0"/>
          <w:numId w:val="59"/>
        </w:numPr>
        <w:spacing w:after="0" w:line="240" w:lineRule="auto"/>
        <w:rPr>
          <w:rFonts w:ascii="Avenir Next" w:eastAsia="Times New Roman" w:hAnsi="Avenir Next" w:cs="Arial"/>
          <w:color w:val="808080" w:themeColor="background1" w:themeShade="80"/>
          <w:lang w:val="en-US"/>
        </w:rPr>
      </w:pPr>
      <w:r w:rsidRPr="0031371C">
        <w:rPr>
          <w:rFonts w:ascii="Avenir Next" w:eastAsia="Times New Roman" w:hAnsi="Avenir Next" w:cs="Arial"/>
          <w:color w:val="808080" w:themeColor="background1" w:themeShade="80"/>
          <w:lang w:val="en-US"/>
        </w:rPr>
        <w:t>Financial position of the company at the latest date</w:t>
      </w:r>
    </w:p>
    <w:p w14:paraId="04716CE1" w14:textId="77777777" w:rsidR="0031371C" w:rsidRPr="0031371C" w:rsidRDefault="0031371C" w:rsidP="0031371C">
      <w:pPr>
        <w:pStyle w:val="ListParagraph"/>
        <w:numPr>
          <w:ilvl w:val="0"/>
          <w:numId w:val="59"/>
        </w:numPr>
        <w:spacing w:after="0" w:line="240" w:lineRule="auto"/>
        <w:rPr>
          <w:rFonts w:ascii="Avenir Next" w:eastAsia="Times New Roman" w:hAnsi="Avenir Next" w:cs="Arial"/>
          <w:color w:val="808080" w:themeColor="background1" w:themeShade="80"/>
          <w:lang w:val="en-US"/>
        </w:rPr>
      </w:pPr>
      <w:r w:rsidRPr="0031371C">
        <w:rPr>
          <w:rFonts w:ascii="Avenir Next" w:eastAsia="Times New Roman" w:hAnsi="Avenir Next" w:cs="Arial"/>
          <w:color w:val="808080" w:themeColor="background1" w:themeShade="80"/>
          <w:lang w:val="en-US"/>
        </w:rPr>
        <w:t xml:space="preserve">Work done by the restructuring officers and the amount of </w:t>
      </w:r>
      <w:proofErr w:type="spellStart"/>
      <w:r w:rsidRPr="0031371C">
        <w:rPr>
          <w:rFonts w:ascii="Avenir Next" w:eastAsia="Times New Roman" w:hAnsi="Avenir Next" w:cs="Arial"/>
          <w:color w:val="808080" w:themeColor="background1" w:themeShade="80"/>
          <w:lang w:val="en-US"/>
        </w:rPr>
        <w:t>remuneration</w:t>
      </w:r>
      <w:proofErr w:type="spellEnd"/>
      <w:r w:rsidRPr="0031371C">
        <w:rPr>
          <w:rFonts w:ascii="Avenir Next" w:eastAsia="Times New Roman" w:hAnsi="Avenir Next" w:cs="Arial"/>
          <w:color w:val="808080" w:themeColor="background1" w:themeShade="80"/>
          <w:lang w:val="en-US"/>
        </w:rPr>
        <w:t xml:space="preserve"> </w:t>
      </w:r>
      <w:proofErr w:type="spellStart"/>
      <w:r w:rsidRPr="0031371C">
        <w:rPr>
          <w:rFonts w:ascii="Avenir Next" w:eastAsia="Times New Roman" w:hAnsi="Avenir Next" w:cs="Arial"/>
          <w:color w:val="808080" w:themeColor="background1" w:themeShade="80"/>
          <w:lang w:val="en-US"/>
        </w:rPr>
        <w:t>claimed</w:t>
      </w:r>
      <w:proofErr w:type="spellEnd"/>
      <w:r w:rsidRPr="0031371C">
        <w:rPr>
          <w:rFonts w:ascii="Avenir Next" w:eastAsia="Times New Roman" w:hAnsi="Avenir Next" w:cs="Arial"/>
          <w:color w:val="808080" w:themeColor="background1" w:themeShade="80"/>
          <w:lang w:val="en-US"/>
        </w:rPr>
        <w:t xml:space="preserve"> by them. </w:t>
      </w:r>
    </w:p>
    <w:p w14:paraId="471E6B97" w14:textId="0E6A9DDA" w:rsidR="000756CC" w:rsidRPr="0031371C" w:rsidRDefault="000756CC" w:rsidP="000756CC">
      <w:pPr>
        <w:pStyle w:val="BodyText"/>
        <w:ind w:firstLine="0"/>
        <w:rPr>
          <w:rFonts w:ascii="Avenir Next" w:eastAsia="Times New Roman" w:hAnsi="Avenir Next"/>
          <w:color w:val="808080" w:themeColor="background1" w:themeShade="80"/>
        </w:rPr>
      </w:pP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0ACE1EC7" w14:textId="77777777" w:rsidR="00755905" w:rsidRDefault="00755905" w:rsidP="00755905"/>
    <w:p w14:paraId="207F6FD1" w14:textId="77777777" w:rsidR="00755905" w:rsidRPr="00755905" w:rsidRDefault="00755905" w:rsidP="00755905">
      <w:pPr>
        <w:rPr>
          <w:color w:val="808080" w:themeColor="background1" w:themeShade="80"/>
        </w:rPr>
      </w:pPr>
      <w:r w:rsidRPr="00755905">
        <w:rPr>
          <w:color w:val="808080" w:themeColor="background1" w:themeShade="80"/>
        </w:rPr>
        <w:t xml:space="preserve">The appropriate comparator is the class pf persons whose rights are not so dissimilar that it would be difficult to consult together with a view of their common interest, while considering what is surrendered and obtained pursuant to the Scheme, when measured against the liquidation. </w:t>
      </w:r>
    </w:p>
    <w:p w14:paraId="3993000A" w14:textId="77777777" w:rsidR="00605AA2" w:rsidRPr="00755905" w:rsidRDefault="00605AA2" w:rsidP="00137A41">
      <w:pPr>
        <w:rPr>
          <w:color w:val="808080" w:themeColor="background1" w:themeShade="80"/>
        </w:rPr>
      </w:pPr>
    </w:p>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proofErr w:type="gramStart"/>
      <w:r w:rsidR="000756CC">
        <w:rPr>
          <w:rFonts w:ascii="Avenir Next Demi Bold" w:hAnsi="Avenir Next Demi Bold"/>
          <w:b/>
          <w:bCs/>
        </w:rPr>
        <w:t>max</w:t>
      </w:r>
      <w:proofErr w:type="gramEnd"/>
      <w:r w:rsidR="000756CC">
        <w:rPr>
          <w:rFonts w:ascii="Avenir Next Demi Bold" w:hAnsi="Avenir Next Demi Bold"/>
          <w:b/>
          <w:bCs/>
        </w:rPr>
        <w:t xml:space="preserve"> 6</w:t>
      </w:r>
      <w:r w:rsidRPr="008B649F">
        <w:rPr>
          <w:rFonts w:ascii="Avenir Next Demi Bold" w:hAnsi="Avenir Next Demi Bold"/>
          <w:b/>
          <w:bCs/>
        </w:rPr>
        <w:t>)</w:t>
      </w:r>
    </w:p>
    <w:p w14:paraId="21364B0B" w14:textId="77777777" w:rsidR="00605AA2" w:rsidRDefault="00605AA2" w:rsidP="00137A41"/>
    <w:p w14:paraId="107BDF93" w14:textId="77777777" w:rsidR="002342EF" w:rsidRPr="002342EF" w:rsidRDefault="002342EF" w:rsidP="002342EF">
      <w:pPr>
        <w:rPr>
          <w:color w:val="808080" w:themeColor="background1" w:themeShade="80"/>
        </w:rPr>
      </w:pPr>
      <w:r w:rsidRPr="002342EF">
        <w:rPr>
          <w:color w:val="808080" w:themeColor="background1" w:themeShade="80"/>
        </w:rPr>
        <w:t xml:space="preserve">Shareholders/creditors need to be informed on the purpose and effect if the scheme, the proposed composition of classes of stakeholders and a timetable of events. </w:t>
      </w:r>
    </w:p>
    <w:p w14:paraId="7B3CB6AF" w14:textId="77777777" w:rsidR="002342EF" w:rsidRPr="002342EF" w:rsidRDefault="002342EF" w:rsidP="002342EF">
      <w:pPr>
        <w:rPr>
          <w:color w:val="808080" w:themeColor="background1" w:themeShade="80"/>
        </w:rPr>
      </w:pPr>
      <w:r w:rsidRPr="002342EF">
        <w:rPr>
          <w:color w:val="808080" w:themeColor="background1" w:themeShade="80"/>
        </w:rPr>
        <w:t xml:space="preserve">The minimum period is within 21 to 28 days. This is because the company must evidence that due care was performed to ensure that each of the relevant shareholders and creditors was sent copies of the documents within sufficient time so that they the stakeholders can properly review and consider them before the scheme meeting. </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50DF4F9F" w14:textId="727236C7" w:rsidR="001D3AB4" w:rsidRDefault="001D3AB4" w:rsidP="002342EF">
      <w:pPr>
        <w:jc w:val="left"/>
        <w:rPr>
          <w:rFonts w:ascii="Avenir Next Demi Bold" w:hAnsi="Avenir Next Demi Bold"/>
          <w:b/>
          <w:bCs/>
          <w:lang w:val="en-GB"/>
        </w:rPr>
      </w:pPr>
      <w:r>
        <w:rPr>
          <w:rFonts w:ascii="Avenir Next Demi Bold" w:hAnsi="Avenir Next Demi Bold"/>
          <w:b/>
          <w:bCs/>
          <w:lang w:val="en-GB"/>
        </w:rPr>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proofErr w:type="gramStart"/>
      <w:r>
        <w:rPr>
          <w:rFonts w:ascii="Avenir Next Demi Bold" w:hAnsi="Avenir Next Demi Bold"/>
          <w:b/>
          <w:bCs/>
          <w:lang w:val="en-GB"/>
        </w:rPr>
        <w:t>i</w:t>
      </w:r>
      <w:r w:rsidR="00662C27">
        <w:rPr>
          <w:rFonts w:ascii="Avenir Next Demi Bold" w:hAnsi="Avenir Next Demi Bold"/>
          <w:b/>
          <w:bCs/>
          <w:lang w:val="en-GB"/>
        </w:rPr>
        <w:t>nsolvency</w:t>
      </w:r>
      <w:proofErr w:type="gramEnd"/>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749A99E5" w14:textId="33FF87C3" w:rsidR="00306D6E" w:rsidRPr="0098037D" w:rsidRDefault="0098037D" w:rsidP="0098037D">
      <w:pPr>
        <w:pStyle w:val="BodyText"/>
        <w:ind w:firstLine="0"/>
        <w:rPr>
          <w:rFonts w:ascii="Avenir Next" w:hAnsi="Avenir Next"/>
          <w:b/>
          <w:bCs/>
        </w:rPr>
      </w:pPr>
      <w:r>
        <w:rPr>
          <w:rFonts w:ascii="Avenir Next" w:hAnsi="Avenir Next"/>
          <w:color w:val="808080" w:themeColor="background1" w:themeShade="80"/>
        </w:rPr>
        <w:t xml:space="preserve">I agree with this statement because there is no equivalent to the just and equitable ground for a winding up. Therefore, a shareholder can only rely on insolvency if he/she wants a receiver appointed. </w:t>
      </w:r>
    </w:p>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979A579" w14:textId="676EC980" w:rsidR="00662C27" w:rsidRPr="0098037D" w:rsidRDefault="0098037D" w:rsidP="0098037D">
      <w:pPr>
        <w:pStyle w:val="BodyText"/>
        <w:ind w:firstLine="0"/>
        <w:rPr>
          <w:rFonts w:ascii="Avenir Next" w:hAnsi="Avenir Next"/>
          <w:color w:val="808080" w:themeColor="background1" w:themeShade="80"/>
        </w:rPr>
      </w:pPr>
      <w:r w:rsidRPr="005E0F05">
        <w:rPr>
          <w:rFonts w:ascii="Avenir Next" w:hAnsi="Avenir Next"/>
          <w:color w:val="808080" w:themeColor="background1" w:themeShade="80"/>
        </w:rPr>
        <w:t>The ELP Act, Part V of the Companies Act and the CWR applies. However</w:t>
      </w:r>
      <w:r>
        <w:rPr>
          <w:rFonts w:ascii="Avenir Next" w:hAnsi="Avenir Next"/>
          <w:color w:val="808080" w:themeColor="background1" w:themeShade="80"/>
        </w:rPr>
        <w:t>,</w:t>
      </w:r>
      <w:r w:rsidRPr="005E0F05">
        <w:rPr>
          <w:rFonts w:ascii="Avenir Next" w:hAnsi="Avenir Next"/>
          <w:color w:val="808080" w:themeColor="background1" w:themeShade="80"/>
        </w:rPr>
        <w:t xml:space="preserve"> in the event of a conflict, the ELP Act prevails. </w:t>
      </w: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37890816" w14:textId="77777777" w:rsidR="0098037D" w:rsidRPr="00486A0B" w:rsidRDefault="0098037D" w:rsidP="0098037D">
      <w:pPr>
        <w:pStyle w:val="BodyText"/>
        <w:ind w:firstLine="0"/>
        <w:rPr>
          <w:rFonts w:ascii="Avenir Next" w:hAnsi="Avenir Next"/>
          <w:b/>
          <w:bCs/>
        </w:rPr>
      </w:pPr>
      <w:r>
        <w:rPr>
          <w:rFonts w:ascii="Avenir Next" w:hAnsi="Avenir Next"/>
          <w:color w:val="808080" w:themeColor="background1" w:themeShade="80"/>
        </w:rPr>
        <w:t xml:space="preserve">The Limited Partners can resume the business of the ELP if </w:t>
      </w:r>
      <w:proofErr w:type="gramStart"/>
      <w:r>
        <w:rPr>
          <w:rFonts w:ascii="Avenir Next" w:hAnsi="Avenir Next"/>
          <w:color w:val="808080" w:themeColor="background1" w:themeShade="80"/>
        </w:rPr>
        <w:t>the requisite majority of</w:t>
      </w:r>
      <w:proofErr w:type="gramEnd"/>
      <w:r>
        <w:rPr>
          <w:rFonts w:ascii="Avenir Next" w:hAnsi="Avenir Next"/>
          <w:color w:val="808080" w:themeColor="background1" w:themeShade="80"/>
        </w:rPr>
        <w:t xml:space="preserve"> the partners elect a new General Partner. </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222518F2" w14:textId="77777777" w:rsidR="0098037D" w:rsidRPr="005E0F05" w:rsidRDefault="0098037D" w:rsidP="0098037D">
      <w:pPr>
        <w:pStyle w:val="BodyText"/>
        <w:ind w:firstLine="0"/>
        <w:rPr>
          <w:rFonts w:ascii="Avenir Next" w:hAnsi="Avenir Next"/>
          <w:color w:val="808080" w:themeColor="background1" w:themeShade="80"/>
        </w:rPr>
      </w:pPr>
      <w:r w:rsidRPr="005E0F05">
        <w:rPr>
          <w:rFonts w:ascii="Avenir Next" w:hAnsi="Avenir Next"/>
          <w:color w:val="808080" w:themeColor="background1" w:themeShade="80"/>
        </w:rPr>
        <w:t xml:space="preserve">A consumer debtor can apply for an order of discharge at any time after the filing of the report. The discharge releases the debtor from their outstanding debt obligations. </w:t>
      </w: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sectPr w:rsidR="00A500D9" w:rsidRPr="003E0049" w:rsidSect="00B62FFC">
      <w:headerReference w:type="even" r:id="rId15"/>
      <w:headerReference w:type="default" r:id="rId16"/>
      <w:footerReference w:type="even" r:id="rId17"/>
      <w:footerReference w:type="default" r:id="rId18"/>
      <w:headerReference w:type="first" r:id="rId19"/>
      <w:footerReference w:type="first" r:id="rId20"/>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8F0" w14:textId="77777777" w:rsidR="00B17A71" w:rsidRDefault="00B17A71" w:rsidP="001016B0">
      <w:r>
        <w:separator/>
      </w:r>
    </w:p>
  </w:endnote>
  <w:endnote w:type="continuationSeparator" w:id="0">
    <w:p w14:paraId="5B6D62E6" w14:textId="77777777" w:rsidR="00B17A71" w:rsidRDefault="00B17A71" w:rsidP="001016B0">
      <w:r>
        <w:continuationSeparator/>
      </w:r>
    </w:p>
  </w:endnote>
  <w:endnote w:type="continuationNotice" w:id="1">
    <w:p w14:paraId="2B519F10" w14:textId="77777777" w:rsidR="00B17A71" w:rsidRDefault="00B17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C0FDF74" w:rsidR="009C6019" w:rsidRDefault="00B62002" w:rsidP="008A20AC">
    <w:pPr>
      <w:pStyle w:val="Footer"/>
      <w:ind w:right="360"/>
    </w:pPr>
    <w:r>
      <w:t>202324-1119</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2237" w14:textId="77777777" w:rsidR="00B17A71" w:rsidRDefault="00B17A71" w:rsidP="001016B0">
      <w:r>
        <w:separator/>
      </w:r>
    </w:p>
  </w:footnote>
  <w:footnote w:type="continuationSeparator" w:id="0">
    <w:p w14:paraId="67147E46" w14:textId="77777777" w:rsidR="00B17A71" w:rsidRDefault="00B17A71" w:rsidP="001016B0">
      <w:r>
        <w:continuationSeparator/>
      </w:r>
    </w:p>
  </w:footnote>
  <w:footnote w:type="continuationNotice" w:id="1">
    <w:p w14:paraId="7F4D470F" w14:textId="77777777" w:rsidR="00B17A71" w:rsidRDefault="00B17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D9AF" w14:textId="77777777" w:rsidR="00B62002" w:rsidRDefault="00B62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969F" w14:textId="77777777" w:rsidR="00B62002" w:rsidRDefault="00B62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0E63" w14:textId="77777777" w:rsidR="00B62002" w:rsidRDefault="00B62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B7"/>
    <w:multiLevelType w:val="hybridMultilevel"/>
    <w:tmpl w:val="7E9CA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D02A9"/>
    <w:multiLevelType w:val="hybridMultilevel"/>
    <w:tmpl w:val="FDF2D886"/>
    <w:lvl w:ilvl="0" w:tplc="F9C0C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7126C"/>
    <w:multiLevelType w:val="hybridMultilevel"/>
    <w:tmpl w:val="98708430"/>
    <w:lvl w:ilvl="0" w:tplc="7C1A94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85B5D"/>
    <w:multiLevelType w:val="hybridMultilevel"/>
    <w:tmpl w:val="D2CA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02C36"/>
    <w:multiLevelType w:val="hybridMultilevel"/>
    <w:tmpl w:val="701A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72570"/>
    <w:multiLevelType w:val="hybridMultilevel"/>
    <w:tmpl w:val="0B04F8A4"/>
    <w:lvl w:ilvl="0" w:tplc="8DBA8C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444BE"/>
    <w:multiLevelType w:val="hybridMultilevel"/>
    <w:tmpl w:val="C7441C90"/>
    <w:lvl w:ilvl="0" w:tplc="B89CB156">
      <w:start w:val="1"/>
      <w:numFmt w:val="lowerLetter"/>
      <w:lvlText w:val="(%1)"/>
      <w:lvlJc w:val="left"/>
      <w:pPr>
        <w:ind w:left="1080" w:hanging="360"/>
      </w:pPr>
      <w:rPr>
        <w:rFonts w:ascii="Avenir Next" w:eastAsia="Arial" w:hAnsi="Avenir Next"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8939E2"/>
    <w:multiLevelType w:val="hybridMultilevel"/>
    <w:tmpl w:val="F510FEEA"/>
    <w:lvl w:ilvl="0" w:tplc="A6907FD8">
      <w:start w:val="1"/>
      <w:numFmt w:val="decimal"/>
      <w:lvlText w:val="(%1)"/>
      <w:lvlJc w:val="left"/>
      <w:pPr>
        <w:ind w:left="2" w:hanging="360"/>
      </w:pPr>
      <w:rPr>
        <w:rFonts w:hint="default"/>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14"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993F89"/>
    <w:multiLevelType w:val="hybridMultilevel"/>
    <w:tmpl w:val="505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A20DE"/>
    <w:multiLevelType w:val="hybridMultilevel"/>
    <w:tmpl w:val="5584F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E5EEB"/>
    <w:multiLevelType w:val="hybridMultilevel"/>
    <w:tmpl w:val="8F44BA6E"/>
    <w:lvl w:ilvl="0" w:tplc="9CCA6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D7F44"/>
    <w:multiLevelType w:val="multilevel"/>
    <w:tmpl w:val="7474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E5384"/>
    <w:multiLevelType w:val="hybridMultilevel"/>
    <w:tmpl w:val="C45A41F2"/>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5472DB"/>
    <w:multiLevelType w:val="hybridMultilevel"/>
    <w:tmpl w:val="3F5E858A"/>
    <w:lvl w:ilvl="0" w:tplc="B5F648A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6F78A1"/>
    <w:multiLevelType w:val="hybridMultilevel"/>
    <w:tmpl w:val="F09E8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AC48B3"/>
    <w:multiLevelType w:val="hybridMultilevel"/>
    <w:tmpl w:val="F12A9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6" w15:restartNumberingAfterBreak="0">
    <w:nsid w:val="4B4019E2"/>
    <w:multiLevelType w:val="hybridMultilevel"/>
    <w:tmpl w:val="6228F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143763"/>
    <w:multiLevelType w:val="hybridMultilevel"/>
    <w:tmpl w:val="85F47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4EB66F76"/>
    <w:multiLevelType w:val="hybridMultilevel"/>
    <w:tmpl w:val="C5AE38A8"/>
    <w:lvl w:ilvl="0" w:tplc="2160D7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4"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A519B1"/>
    <w:multiLevelType w:val="hybridMultilevel"/>
    <w:tmpl w:val="B95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A8F7AD1"/>
    <w:multiLevelType w:val="hybridMultilevel"/>
    <w:tmpl w:val="78F8308A"/>
    <w:lvl w:ilvl="0" w:tplc="07663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04B7467"/>
    <w:multiLevelType w:val="hybridMultilevel"/>
    <w:tmpl w:val="9A7CF1EC"/>
    <w:lvl w:ilvl="0" w:tplc="2D1601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AF5024"/>
    <w:multiLevelType w:val="hybridMultilevel"/>
    <w:tmpl w:val="82C09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D56C35"/>
    <w:multiLevelType w:val="hybridMultilevel"/>
    <w:tmpl w:val="82F44114"/>
    <w:lvl w:ilvl="0" w:tplc="04207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917E3B"/>
    <w:multiLevelType w:val="hybridMultilevel"/>
    <w:tmpl w:val="EE88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0FB22C1"/>
    <w:multiLevelType w:val="hybridMultilevel"/>
    <w:tmpl w:val="FC96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CD6F08"/>
    <w:multiLevelType w:val="hybridMultilevel"/>
    <w:tmpl w:val="FBDE320C"/>
    <w:lvl w:ilvl="0" w:tplc="5642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E90D0D"/>
    <w:multiLevelType w:val="hybridMultilevel"/>
    <w:tmpl w:val="A084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B209B9"/>
    <w:multiLevelType w:val="hybridMultilevel"/>
    <w:tmpl w:val="75166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1B06F7"/>
    <w:multiLevelType w:val="hybridMultilevel"/>
    <w:tmpl w:val="BA8A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7D6D4A"/>
    <w:multiLevelType w:val="hybridMultilevel"/>
    <w:tmpl w:val="03CE2ECA"/>
    <w:lvl w:ilvl="0" w:tplc="269E07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E9D31B1"/>
    <w:multiLevelType w:val="hybridMultilevel"/>
    <w:tmpl w:val="DD42CD4E"/>
    <w:lvl w:ilvl="0" w:tplc="7C78A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ED62711"/>
    <w:multiLevelType w:val="hybridMultilevel"/>
    <w:tmpl w:val="3F5E858A"/>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481391575">
    <w:abstractNumId w:val="43"/>
  </w:num>
  <w:num w:numId="2" w16cid:durableId="744036304">
    <w:abstractNumId w:val="35"/>
  </w:num>
  <w:num w:numId="3" w16cid:durableId="2118525179">
    <w:abstractNumId w:val="31"/>
  </w:num>
  <w:num w:numId="4" w16cid:durableId="1590575688">
    <w:abstractNumId w:val="39"/>
  </w:num>
  <w:num w:numId="5" w16cid:durableId="118764105">
    <w:abstractNumId w:val="32"/>
  </w:num>
  <w:num w:numId="6" w16cid:durableId="295378921">
    <w:abstractNumId w:val="22"/>
  </w:num>
  <w:num w:numId="7" w16cid:durableId="1768040757">
    <w:abstractNumId w:val="25"/>
  </w:num>
  <w:num w:numId="8" w16cid:durableId="1240015874">
    <w:abstractNumId w:val="8"/>
  </w:num>
  <w:num w:numId="9" w16cid:durableId="1896768480">
    <w:abstractNumId w:val="26"/>
  </w:num>
  <w:num w:numId="10" w16cid:durableId="984774595">
    <w:abstractNumId w:val="47"/>
  </w:num>
  <w:num w:numId="11" w16cid:durableId="999115197">
    <w:abstractNumId w:val="57"/>
  </w:num>
  <w:num w:numId="12" w16cid:durableId="1954046302">
    <w:abstractNumId w:val="42"/>
  </w:num>
  <w:num w:numId="13" w16cid:durableId="99224715">
    <w:abstractNumId w:val="18"/>
  </w:num>
  <w:num w:numId="14" w16cid:durableId="1069890058">
    <w:abstractNumId w:val="6"/>
  </w:num>
  <w:num w:numId="15" w16cid:durableId="1735349807">
    <w:abstractNumId w:val="1"/>
  </w:num>
  <w:num w:numId="16" w16cid:durableId="1558322136">
    <w:abstractNumId w:val="34"/>
  </w:num>
  <w:num w:numId="17" w16cid:durableId="1701392435">
    <w:abstractNumId w:val="5"/>
  </w:num>
  <w:num w:numId="18" w16cid:durableId="1113672408">
    <w:abstractNumId w:val="59"/>
  </w:num>
  <w:num w:numId="19" w16cid:durableId="1691177930">
    <w:abstractNumId w:val="44"/>
  </w:num>
  <w:num w:numId="20" w16cid:durableId="1137799529">
    <w:abstractNumId w:val="60"/>
  </w:num>
  <w:num w:numId="21" w16cid:durableId="314191548">
    <w:abstractNumId w:val="24"/>
  </w:num>
  <w:num w:numId="22" w16cid:durableId="1138302494">
    <w:abstractNumId w:val="33"/>
  </w:num>
  <w:num w:numId="23" w16cid:durableId="1400404633">
    <w:abstractNumId w:val="9"/>
  </w:num>
  <w:num w:numId="24" w16cid:durableId="1231816846">
    <w:abstractNumId w:val="38"/>
  </w:num>
  <w:num w:numId="25" w16cid:durableId="1502086059">
    <w:abstractNumId w:val="29"/>
  </w:num>
  <w:num w:numId="26" w16cid:durableId="25715089">
    <w:abstractNumId w:val="17"/>
  </w:num>
  <w:num w:numId="27" w16cid:durableId="1204365950">
    <w:abstractNumId w:val="11"/>
  </w:num>
  <w:num w:numId="28" w16cid:durableId="1688554136">
    <w:abstractNumId w:val="30"/>
  </w:num>
  <w:num w:numId="29" w16cid:durableId="295306838">
    <w:abstractNumId w:val="41"/>
  </w:num>
  <w:num w:numId="30" w16cid:durableId="464547873">
    <w:abstractNumId w:val="50"/>
  </w:num>
  <w:num w:numId="31" w16cid:durableId="659692748">
    <w:abstractNumId w:val="14"/>
  </w:num>
  <w:num w:numId="32" w16cid:durableId="1060397992">
    <w:abstractNumId w:val="20"/>
  </w:num>
  <w:num w:numId="33" w16cid:durableId="48724559">
    <w:abstractNumId w:val="62"/>
  </w:num>
  <w:num w:numId="34" w16cid:durableId="2115203853">
    <w:abstractNumId w:val="15"/>
  </w:num>
  <w:num w:numId="35" w16cid:durableId="1337729935">
    <w:abstractNumId w:val="28"/>
  </w:num>
  <w:num w:numId="36" w16cid:durableId="423838867">
    <w:abstractNumId w:val="23"/>
  </w:num>
  <w:num w:numId="37" w16cid:durableId="1925412771">
    <w:abstractNumId w:val="16"/>
  </w:num>
  <w:num w:numId="38" w16cid:durableId="1526365088">
    <w:abstractNumId w:val="46"/>
  </w:num>
  <w:num w:numId="39" w16cid:durableId="777606218">
    <w:abstractNumId w:val="36"/>
  </w:num>
  <w:num w:numId="40" w16cid:durableId="2007126324">
    <w:abstractNumId w:val="52"/>
  </w:num>
  <w:num w:numId="41" w16cid:durableId="1913389097">
    <w:abstractNumId w:val="21"/>
  </w:num>
  <w:num w:numId="42" w16cid:durableId="1631861726">
    <w:abstractNumId w:val="12"/>
  </w:num>
  <w:num w:numId="43" w16cid:durableId="20402054">
    <w:abstractNumId w:val="51"/>
  </w:num>
  <w:num w:numId="44" w16cid:durableId="2055696580">
    <w:abstractNumId w:val="54"/>
  </w:num>
  <w:num w:numId="45" w16cid:durableId="488523915">
    <w:abstractNumId w:val="13"/>
  </w:num>
  <w:num w:numId="46" w16cid:durableId="672101576">
    <w:abstractNumId w:val="7"/>
  </w:num>
  <w:num w:numId="47" w16cid:durableId="768769346">
    <w:abstractNumId w:val="49"/>
  </w:num>
  <w:num w:numId="48" w16cid:durableId="2090731321">
    <w:abstractNumId w:val="19"/>
  </w:num>
  <w:num w:numId="49" w16cid:durableId="1553544673">
    <w:abstractNumId w:val="45"/>
  </w:num>
  <w:num w:numId="50" w16cid:durableId="1756048071">
    <w:abstractNumId w:val="27"/>
  </w:num>
  <w:num w:numId="51" w16cid:durableId="1301690906">
    <w:abstractNumId w:val="61"/>
  </w:num>
  <w:num w:numId="52" w16cid:durableId="1120808032">
    <w:abstractNumId w:val="37"/>
  </w:num>
  <w:num w:numId="53" w16cid:durableId="452482103">
    <w:abstractNumId w:val="4"/>
  </w:num>
  <w:num w:numId="54" w16cid:durableId="1894078458">
    <w:abstractNumId w:val="40"/>
  </w:num>
  <w:num w:numId="55" w16cid:durableId="952901161">
    <w:abstractNumId w:val="2"/>
  </w:num>
  <w:num w:numId="56" w16cid:durableId="407961650">
    <w:abstractNumId w:val="10"/>
  </w:num>
  <w:num w:numId="57" w16cid:durableId="1132164894">
    <w:abstractNumId w:val="48"/>
  </w:num>
  <w:num w:numId="58" w16cid:durableId="1116949179">
    <w:abstractNumId w:val="3"/>
  </w:num>
  <w:num w:numId="59" w16cid:durableId="387726221">
    <w:abstractNumId w:val="56"/>
  </w:num>
  <w:num w:numId="60" w16cid:durableId="233972483">
    <w:abstractNumId w:val="53"/>
  </w:num>
  <w:num w:numId="61" w16cid:durableId="1851262051">
    <w:abstractNumId w:val="55"/>
  </w:num>
  <w:num w:numId="62" w16cid:durableId="799031943">
    <w:abstractNumId w:val="0"/>
  </w:num>
  <w:num w:numId="63" w16cid:durableId="840584833">
    <w:abstractNumId w:val="5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FFD"/>
    <w:rsid w:val="00002250"/>
    <w:rsid w:val="00003912"/>
    <w:rsid w:val="00003B23"/>
    <w:rsid w:val="00005295"/>
    <w:rsid w:val="0001142A"/>
    <w:rsid w:val="00013834"/>
    <w:rsid w:val="000138DE"/>
    <w:rsid w:val="0001529C"/>
    <w:rsid w:val="00015699"/>
    <w:rsid w:val="00015AD8"/>
    <w:rsid w:val="000162B7"/>
    <w:rsid w:val="00017020"/>
    <w:rsid w:val="00017852"/>
    <w:rsid w:val="00017A46"/>
    <w:rsid w:val="00025460"/>
    <w:rsid w:val="00026F51"/>
    <w:rsid w:val="00033D18"/>
    <w:rsid w:val="00034091"/>
    <w:rsid w:val="00034FC0"/>
    <w:rsid w:val="00040041"/>
    <w:rsid w:val="000406C8"/>
    <w:rsid w:val="000451AA"/>
    <w:rsid w:val="00045503"/>
    <w:rsid w:val="00051862"/>
    <w:rsid w:val="000519BD"/>
    <w:rsid w:val="00055B4B"/>
    <w:rsid w:val="00060348"/>
    <w:rsid w:val="0006065B"/>
    <w:rsid w:val="00061E4F"/>
    <w:rsid w:val="0006405E"/>
    <w:rsid w:val="000672ED"/>
    <w:rsid w:val="00071EFD"/>
    <w:rsid w:val="0007226E"/>
    <w:rsid w:val="00073862"/>
    <w:rsid w:val="000756CC"/>
    <w:rsid w:val="000807FB"/>
    <w:rsid w:val="00083AF3"/>
    <w:rsid w:val="00087A4E"/>
    <w:rsid w:val="00091667"/>
    <w:rsid w:val="000922D6"/>
    <w:rsid w:val="000943C5"/>
    <w:rsid w:val="00094C09"/>
    <w:rsid w:val="00097476"/>
    <w:rsid w:val="000A26BB"/>
    <w:rsid w:val="000A32F7"/>
    <w:rsid w:val="000C0827"/>
    <w:rsid w:val="000C4D57"/>
    <w:rsid w:val="000D340C"/>
    <w:rsid w:val="000D458A"/>
    <w:rsid w:val="000D5B7A"/>
    <w:rsid w:val="000E4C6C"/>
    <w:rsid w:val="000E502E"/>
    <w:rsid w:val="000F09F6"/>
    <w:rsid w:val="000F1349"/>
    <w:rsid w:val="000F1620"/>
    <w:rsid w:val="000F1B04"/>
    <w:rsid w:val="000F7E2C"/>
    <w:rsid w:val="0010016E"/>
    <w:rsid w:val="001001B2"/>
    <w:rsid w:val="001003CF"/>
    <w:rsid w:val="001016B0"/>
    <w:rsid w:val="00103B1E"/>
    <w:rsid w:val="00105315"/>
    <w:rsid w:val="00110D31"/>
    <w:rsid w:val="00112905"/>
    <w:rsid w:val="001165C7"/>
    <w:rsid w:val="00117579"/>
    <w:rsid w:val="00120495"/>
    <w:rsid w:val="00124ECF"/>
    <w:rsid w:val="001327D6"/>
    <w:rsid w:val="00132E0E"/>
    <w:rsid w:val="001336C3"/>
    <w:rsid w:val="00137A41"/>
    <w:rsid w:val="00137BAD"/>
    <w:rsid w:val="0014161D"/>
    <w:rsid w:val="001520A7"/>
    <w:rsid w:val="001525EB"/>
    <w:rsid w:val="00152954"/>
    <w:rsid w:val="00155357"/>
    <w:rsid w:val="00155882"/>
    <w:rsid w:val="00157455"/>
    <w:rsid w:val="0016475E"/>
    <w:rsid w:val="0016582A"/>
    <w:rsid w:val="00166CC9"/>
    <w:rsid w:val="0017109D"/>
    <w:rsid w:val="00171BCA"/>
    <w:rsid w:val="00173F2B"/>
    <w:rsid w:val="00175350"/>
    <w:rsid w:val="00175F03"/>
    <w:rsid w:val="00177E01"/>
    <w:rsid w:val="001825D9"/>
    <w:rsid w:val="00187C70"/>
    <w:rsid w:val="001919F8"/>
    <w:rsid w:val="00192D14"/>
    <w:rsid w:val="00192FD4"/>
    <w:rsid w:val="00193626"/>
    <w:rsid w:val="00194D76"/>
    <w:rsid w:val="001954DE"/>
    <w:rsid w:val="00196A05"/>
    <w:rsid w:val="001A1043"/>
    <w:rsid w:val="001A20D0"/>
    <w:rsid w:val="001A370C"/>
    <w:rsid w:val="001A6C10"/>
    <w:rsid w:val="001B11DA"/>
    <w:rsid w:val="001B4CC3"/>
    <w:rsid w:val="001B6C09"/>
    <w:rsid w:val="001C14BF"/>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7497"/>
    <w:rsid w:val="00211EE8"/>
    <w:rsid w:val="00213DA5"/>
    <w:rsid w:val="0021508C"/>
    <w:rsid w:val="00216818"/>
    <w:rsid w:val="00217A56"/>
    <w:rsid w:val="00221041"/>
    <w:rsid w:val="00222127"/>
    <w:rsid w:val="002264AD"/>
    <w:rsid w:val="00231CBA"/>
    <w:rsid w:val="002342EF"/>
    <w:rsid w:val="00234313"/>
    <w:rsid w:val="002410A1"/>
    <w:rsid w:val="00244935"/>
    <w:rsid w:val="0024550C"/>
    <w:rsid w:val="0025049F"/>
    <w:rsid w:val="00252A4F"/>
    <w:rsid w:val="002532D9"/>
    <w:rsid w:val="00255630"/>
    <w:rsid w:val="00257792"/>
    <w:rsid w:val="00260603"/>
    <w:rsid w:val="00263733"/>
    <w:rsid w:val="002665D8"/>
    <w:rsid w:val="00270263"/>
    <w:rsid w:val="00270334"/>
    <w:rsid w:val="00274A8A"/>
    <w:rsid w:val="00282844"/>
    <w:rsid w:val="00283584"/>
    <w:rsid w:val="00284C14"/>
    <w:rsid w:val="00285037"/>
    <w:rsid w:val="002937D8"/>
    <w:rsid w:val="002967B3"/>
    <w:rsid w:val="002A082B"/>
    <w:rsid w:val="002A2C16"/>
    <w:rsid w:val="002B15BA"/>
    <w:rsid w:val="002B3929"/>
    <w:rsid w:val="002B6B18"/>
    <w:rsid w:val="002B7150"/>
    <w:rsid w:val="002B7D9A"/>
    <w:rsid w:val="002D2D8F"/>
    <w:rsid w:val="002D343C"/>
    <w:rsid w:val="002E0235"/>
    <w:rsid w:val="002E125B"/>
    <w:rsid w:val="002E60D1"/>
    <w:rsid w:val="002F09B8"/>
    <w:rsid w:val="002F2E23"/>
    <w:rsid w:val="002F49CF"/>
    <w:rsid w:val="00300343"/>
    <w:rsid w:val="00300368"/>
    <w:rsid w:val="003005A4"/>
    <w:rsid w:val="00300A1C"/>
    <w:rsid w:val="0030119E"/>
    <w:rsid w:val="003026D8"/>
    <w:rsid w:val="0030362C"/>
    <w:rsid w:val="00303735"/>
    <w:rsid w:val="00303C2F"/>
    <w:rsid w:val="00306D6E"/>
    <w:rsid w:val="003104AD"/>
    <w:rsid w:val="00312623"/>
    <w:rsid w:val="0031371C"/>
    <w:rsid w:val="0032119E"/>
    <w:rsid w:val="00326929"/>
    <w:rsid w:val="00327BBD"/>
    <w:rsid w:val="0033007B"/>
    <w:rsid w:val="003374AC"/>
    <w:rsid w:val="00337E93"/>
    <w:rsid w:val="00342DDB"/>
    <w:rsid w:val="00343065"/>
    <w:rsid w:val="00345A22"/>
    <w:rsid w:val="00347063"/>
    <w:rsid w:val="00347074"/>
    <w:rsid w:val="00353B67"/>
    <w:rsid w:val="00361ECF"/>
    <w:rsid w:val="00362356"/>
    <w:rsid w:val="00364438"/>
    <w:rsid w:val="003671F6"/>
    <w:rsid w:val="00373930"/>
    <w:rsid w:val="00375DE0"/>
    <w:rsid w:val="003845E5"/>
    <w:rsid w:val="003860E9"/>
    <w:rsid w:val="003916C1"/>
    <w:rsid w:val="00393290"/>
    <w:rsid w:val="00393EC9"/>
    <w:rsid w:val="00393F1C"/>
    <w:rsid w:val="003A40DF"/>
    <w:rsid w:val="003A70E6"/>
    <w:rsid w:val="003B06BB"/>
    <w:rsid w:val="003B0C7D"/>
    <w:rsid w:val="003B16F1"/>
    <w:rsid w:val="003B3DEE"/>
    <w:rsid w:val="003B4199"/>
    <w:rsid w:val="003B54BE"/>
    <w:rsid w:val="003B5878"/>
    <w:rsid w:val="003B63E4"/>
    <w:rsid w:val="003C02C7"/>
    <w:rsid w:val="003C5D82"/>
    <w:rsid w:val="003C64F7"/>
    <w:rsid w:val="003D0550"/>
    <w:rsid w:val="003D15EA"/>
    <w:rsid w:val="003D6FCF"/>
    <w:rsid w:val="003E0049"/>
    <w:rsid w:val="003E2B2B"/>
    <w:rsid w:val="003E5643"/>
    <w:rsid w:val="003F0E69"/>
    <w:rsid w:val="003F3425"/>
    <w:rsid w:val="003F5CB9"/>
    <w:rsid w:val="003F62D2"/>
    <w:rsid w:val="003F6E95"/>
    <w:rsid w:val="0040178F"/>
    <w:rsid w:val="0040278D"/>
    <w:rsid w:val="004031E2"/>
    <w:rsid w:val="00414865"/>
    <w:rsid w:val="004165ED"/>
    <w:rsid w:val="00416B97"/>
    <w:rsid w:val="00416FAB"/>
    <w:rsid w:val="0042151D"/>
    <w:rsid w:val="00422D04"/>
    <w:rsid w:val="00423375"/>
    <w:rsid w:val="00426327"/>
    <w:rsid w:val="0043167D"/>
    <w:rsid w:val="00432143"/>
    <w:rsid w:val="004323A2"/>
    <w:rsid w:val="00432FEE"/>
    <w:rsid w:val="00437B5E"/>
    <w:rsid w:val="00437EB3"/>
    <w:rsid w:val="0044207D"/>
    <w:rsid w:val="00443C0B"/>
    <w:rsid w:val="00446A9D"/>
    <w:rsid w:val="00446DA2"/>
    <w:rsid w:val="00447FBC"/>
    <w:rsid w:val="004522BB"/>
    <w:rsid w:val="0045444B"/>
    <w:rsid w:val="00454E81"/>
    <w:rsid w:val="00455EC3"/>
    <w:rsid w:val="00455F9E"/>
    <w:rsid w:val="00457AC8"/>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A68CB"/>
    <w:rsid w:val="004A6C29"/>
    <w:rsid w:val="004B2B93"/>
    <w:rsid w:val="004B2D12"/>
    <w:rsid w:val="004B491D"/>
    <w:rsid w:val="004C206D"/>
    <w:rsid w:val="004C741B"/>
    <w:rsid w:val="004C7945"/>
    <w:rsid w:val="004D0C88"/>
    <w:rsid w:val="004D1602"/>
    <w:rsid w:val="004D5362"/>
    <w:rsid w:val="004F54FD"/>
    <w:rsid w:val="004F5C79"/>
    <w:rsid w:val="004F5D43"/>
    <w:rsid w:val="004F67CE"/>
    <w:rsid w:val="00500927"/>
    <w:rsid w:val="00504A64"/>
    <w:rsid w:val="0050758A"/>
    <w:rsid w:val="00513012"/>
    <w:rsid w:val="00514A53"/>
    <w:rsid w:val="005157EC"/>
    <w:rsid w:val="005177BD"/>
    <w:rsid w:val="005200BF"/>
    <w:rsid w:val="00520EFB"/>
    <w:rsid w:val="0052140A"/>
    <w:rsid w:val="00522139"/>
    <w:rsid w:val="00524834"/>
    <w:rsid w:val="00524F5D"/>
    <w:rsid w:val="00525CD4"/>
    <w:rsid w:val="00531586"/>
    <w:rsid w:val="0053572E"/>
    <w:rsid w:val="005416EC"/>
    <w:rsid w:val="0054257F"/>
    <w:rsid w:val="00542B4C"/>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91D1D"/>
    <w:rsid w:val="00592A8D"/>
    <w:rsid w:val="00595D22"/>
    <w:rsid w:val="00596592"/>
    <w:rsid w:val="005976D8"/>
    <w:rsid w:val="00597D08"/>
    <w:rsid w:val="005A640E"/>
    <w:rsid w:val="005A7724"/>
    <w:rsid w:val="005B7ADB"/>
    <w:rsid w:val="005C0FF6"/>
    <w:rsid w:val="005C16BD"/>
    <w:rsid w:val="005C3DA9"/>
    <w:rsid w:val="005C5801"/>
    <w:rsid w:val="005C6146"/>
    <w:rsid w:val="005C75FC"/>
    <w:rsid w:val="005C7EB6"/>
    <w:rsid w:val="005D171C"/>
    <w:rsid w:val="005D34D2"/>
    <w:rsid w:val="005D434D"/>
    <w:rsid w:val="005D54CF"/>
    <w:rsid w:val="005D6817"/>
    <w:rsid w:val="005D6FDC"/>
    <w:rsid w:val="005E0324"/>
    <w:rsid w:val="005E220E"/>
    <w:rsid w:val="005E3625"/>
    <w:rsid w:val="005E45BD"/>
    <w:rsid w:val="005E62D2"/>
    <w:rsid w:val="005E7B59"/>
    <w:rsid w:val="005F5BDF"/>
    <w:rsid w:val="005F7E38"/>
    <w:rsid w:val="0060275A"/>
    <w:rsid w:val="006027A2"/>
    <w:rsid w:val="00604564"/>
    <w:rsid w:val="00605AA2"/>
    <w:rsid w:val="00612137"/>
    <w:rsid w:val="00612766"/>
    <w:rsid w:val="00614528"/>
    <w:rsid w:val="006278B5"/>
    <w:rsid w:val="00630269"/>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5290"/>
    <w:rsid w:val="007379F1"/>
    <w:rsid w:val="00737CFC"/>
    <w:rsid w:val="007410BD"/>
    <w:rsid w:val="00744FE6"/>
    <w:rsid w:val="007474DA"/>
    <w:rsid w:val="007518B2"/>
    <w:rsid w:val="00755905"/>
    <w:rsid w:val="00755F63"/>
    <w:rsid w:val="00760CBA"/>
    <w:rsid w:val="00760D1F"/>
    <w:rsid w:val="00761C89"/>
    <w:rsid w:val="00765C13"/>
    <w:rsid w:val="00766DAD"/>
    <w:rsid w:val="00767895"/>
    <w:rsid w:val="0077169C"/>
    <w:rsid w:val="007747E8"/>
    <w:rsid w:val="007818BA"/>
    <w:rsid w:val="0078723E"/>
    <w:rsid w:val="007904C8"/>
    <w:rsid w:val="00790583"/>
    <w:rsid w:val="0079130C"/>
    <w:rsid w:val="00792FB4"/>
    <w:rsid w:val="00793373"/>
    <w:rsid w:val="00796149"/>
    <w:rsid w:val="007971E0"/>
    <w:rsid w:val="007A0F49"/>
    <w:rsid w:val="007A1000"/>
    <w:rsid w:val="007A1E90"/>
    <w:rsid w:val="007A5362"/>
    <w:rsid w:val="007B02DD"/>
    <w:rsid w:val="007B0A80"/>
    <w:rsid w:val="007B18AA"/>
    <w:rsid w:val="007B1B03"/>
    <w:rsid w:val="007B2BB6"/>
    <w:rsid w:val="007B3A4A"/>
    <w:rsid w:val="007B435F"/>
    <w:rsid w:val="007B607D"/>
    <w:rsid w:val="007B6DD3"/>
    <w:rsid w:val="007C04CB"/>
    <w:rsid w:val="007C0544"/>
    <w:rsid w:val="007C4414"/>
    <w:rsid w:val="007C5F0B"/>
    <w:rsid w:val="007C7548"/>
    <w:rsid w:val="007C758E"/>
    <w:rsid w:val="007D0061"/>
    <w:rsid w:val="007E0208"/>
    <w:rsid w:val="007E02F4"/>
    <w:rsid w:val="007F02EC"/>
    <w:rsid w:val="007F068B"/>
    <w:rsid w:val="007F67A0"/>
    <w:rsid w:val="00803983"/>
    <w:rsid w:val="00804FC8"/>
    <w:rsid w:val="00812BFB"/>
    <w:rsid w:val="00812D81"/>
    <w:rsid w:val="00813CB4"/>
    <w:rsid w:val="00816B32"/>
    <w:rsid w:val="00817EB4"/>
    <w:rsid w:val="008201D7"/>
    <w:rsid w:val="00820BFA"/>
    <w:rsid w:val="00822A4C"/>
    <w:rsid w:val="00831F21"/>
    <w:rsid w:val="00842786"/>
    <w:rsid w:val="0084350B"/>
    <w:rsid w:val="00850236"/>
    <w:rsid w:val="00853A06"/>
    <w:rsid w:val="008664DC"/>
    <w:rsid w:val="00867EF8"/>
    <w:rsid w:val="008735A4"/>
    <w:rsid w:val="008753CD"/>
    <w:rsid w:val="008769EE"/>
    <w:rsid w:val="00877253"/>
    <w:rsid w:val="0088563D"/>
    <w:rsid w:val="008865F3"/>
    <w:rsid w:val="00895CDF"/>
    <w:rsid w:val="008A1E42"/>
    <w:rsid w:val="008A1E6D"/>
    <w:rsid w:val="008A20AC"/>
    <w:rsid w:val="008A2BE4"/>
    <w:rsid w:val="008A7BA0"/>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623E"/>
    <w:rsid w:val="008E6B76"/>
    <w:rsid w:val="008F2BE2"/>
    <w:rsid w:val="008F5E4F"/>
    <w:rsid w:val="0090300F"/>
    <w:rsid w:val="009033D4"/>
    <w:rsid w:val="00903882"/>
    <w:rsid w:val="0090576D"/>
    <w:rsid w:val="00912AD4"/>
    <w:rsid w:val="00912F92"/>
    <w:rsid w:val="009143EA"/>
    <w:rsid w:val="009164C1"/>
    <w:rsid w:val="00917205"/>
    <w:rsid w:val="0092725A"/>
    <w:rsid w:val="00930A74"/>
    <w:rsid w:val="00933F8A"/>
    <w:rsid w:val="00934980"/>
    <w:rsid w:val="00941F3D"/>
    <w:rsid w:val="00942E6F"/>
    <w:rsid w:val="00944436"/>
    <w:rsid w:val="0094450B"/>
    <w:rsid w:val="00944A47"/>
    <w:rsid w:val="00950D61"/>
    <w:rsid w:val="00954CBE"/>
    <w:rsid w:val="0095555F"/>
    <w:rsid w:val="00957A2E"/>
    <w:rsid w:val="00960066"/>
    <w:rsid w:val="00960617"/>
    <w:rsid w:val="00960B8D"/>
    <w:rsid w:val="009621D7"/>
    <w:rsid w:val="00963603"/>
    <w:rsid w:val="009669E6"/>
    <w:rsid w:val="00972FE8"/>
    <w:rsid w:val="009733E8"/>
    <w:rsid w:val="00973B2E"/>
    <w:rsid w:val="0097612A"/>
    <w:rsid w:val="00977D63"/>
    <w:rsid w:val="0098037D"/>
    <w:rsid w:val="009803AC"/>
    <w:rsid w:val="00982CE2"/>
    <w:rsid w:val="0098311F"/>
    <w:rsid w:val="009857FC"/>
    <w:rsid w:val="00987044"/>
    <w:rsid w:val="009A2499"/>
    <w:rsid w:val="009B0913"/>
    <w:rsid w:val="009B0B28"/>
    <w:rsid w:val="009B68FF"/>
    <w:rsid w:val="009B6ADA"/>
    <w:rsid w:val="009B7D40"/>
    <w:rsid w:val="009C062D"/>
    <w:rsid w:val="009C1EC6"/>
    <w:rsid w:val="009C6019"/>
    <w:rsid w:val="009C7A87"/>
    <w:rsid w:val="009C7BB4"/>
    <w:rsid w:val="009D0718"/>
    <w:rsid w:val="009D1F99"/>
    <w:rsid w:val="009D27B4"/>
    <w:rsid w:val="009D6CB8"/>
    <w:rsid w:val="009E2AEB"/>
    <w:rsid w:val="009E549B"/>
    <w:rsid w:val="009E5EAE"/>
    <w:rsid w:val="009F3508"/>
    <w:rsid w:val="009F45C7"/>
    <w:rsid w:val="009F49C2"/>
    <w:rsid w:val="009F4C3A"/>
    <w:rsid w:val="009F5EED"/>
    <w:rsid w:val="009F6007"/>
    <w:rsid w:val="00A06708"/>
    <w:rsid w:val="00A06A34"/>
    <w:rsid w:val="00A07356"/>
    <w:rsid w:val="00A225FD"/>
    <w:rsid w:val="00A2519A"/>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60BED"/>
    <w:rsid w:val="00A653DB"/>
    <w:rsid w:val="00A70406"/>
    <w:rsid w:val="00A71C38"/>
    <w:rsid w:val="00A72FBC"/>
    <w:rsid w:val="00A74347"/>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5393"/>
    <w:rsid w:val="00A97787"/>
    <w:rsid w:val="00A97DED"/>
    <w:rsid w:val="00AA0064"/>
    <w:rsid w:val="00AA3641"/>
    <w:rsid w:val="00AA70F7"/>
    <w:rsid w:val="00AB0D91"/>
    <w:rsid w:val="00AB4027"/>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7707"/>
    <w:rsid w:val="00B17A71"/>
    <w:rsid w:val="00B20098"/>
    <w:rsid w:val="00B21971"/>
    <w:rsid w:val="00B22A54"/>
    <w:rsid w:val="00B23068"/>
    <w:rsid w:val="00B252A4"/>
    <w:rsid w:val="00B308B3"/>
    <w:rsid w:val="00B31A12"/>
    <w:rsid w:val="00B321C1"/>
    <w:rsid w:val="00B348CF"/>
    <w:rsid w:val="00B35ECB"/>
    <w:rsid w:val="00B40A75"/>
    <w:rsid w:val="00B41774"/>
    <w:rsid w:val="00B518BA"/>
    <w:rsid w:val="00B53BC9"/>
    <w:rsid w:val="00B54095"/>
    <w:rsid w:val="00B546E9"/>
    <w:rsid w:val="00B562C8"/>
    <w:rsid w:val="00B56420"/>
    <w:rsid w:val="00B62002"/>
    <w:rsid w:val="00B62FFC"/>
    <w:rsid w:val="00B7612E"/>
    <w:rsid w:val="00B827C6"/>
    <w:rsid w:val="00B857E6"/>
    <w:rsid w:val="00B94795"/>
    <w:rsid w:val="00BA24B1"/>
    <w:rsid w:val="00BA451C"/>
    <w:rsid w:val="00BA4594"/>
    <w:rsid w:val="00BA4B8D"/>
    <w:rsid w:val="00BA6F72"/>
    <w:rsid w:val="00BB1EBB"/>
    <w:rsid w:val="00BB3A26"/>
    <w:rsid w:val="00BB6FE0"/>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3A2E"/>
    <w:rsid w:val="00C040F7"/>
    <w:rsid w:val="00C11D6C"/>
    <w:rsid w:val="00C12DB9"/>
    <w:rsid w:val="00C23096"/>
    <w:rsid w:val="00C30838"/>
    <w:rsid w:val="00C30AE9"/>
    <w:rsid w:val="00C45C67"/>
    <w:rsid w:val="00C56E18"/>
    <w:rsid w:val="00C63F8F"/>
    <w:rsid w:val="00C67220"/>
    <w:rsid w:val="00C7098F"/>
    <w:rsid w:val="00C72F5E"/>
    <w:rsid w:val="00C735DC"/>
    <w:rsid w:val="00C75BA5"/>
    <w:rsid w:val="00C77709"/>
    <w:rsid w:val="00C846E6"/>
    <w:rsid w:val="00C9018E"/>
    <w:rsid w:val="00C92E9B"/>
    <w:rsid w:val="00CA388E"/>
    <w:rsid w:val="00CA61A0"/>
    <w:rsid w:val="00CA7069"/>
    <w:rsid w:val="00CB1069"/>
    <w:rsid w:val="00CB4F67"/>
    <w:rsid w:val="00CC1C32"/>
    <w:rsid w:val="00CC3216"/>
    <w:rsid w:val="00CC434F"/>
    <w:rsid w:val="00CC527B"/>
    <w:rsid w:val="00CC5734"/>
    <w:rsid w:val="00CC7331"/>
    <w:rsid w:val="00CD0EA6"/>
    <w:rsid w:val="00CD1349"/>
    <w:rsid w:val="00CD25B1"/>
    <w:rsid w:val="00CD618E"/>
    <w:rsid w:val="00CE0159"/>
    <w:rsid w:val="00CE26A6"/>
    <w:rsid w:val="00CE3F26"/>
    <w:rsid w:val="00CE5B90"/>
    <w:rsid w:val="00CE64F0"/>
    <w:rsid w:val="00CF021D"/>
    <w:rsid w:val="00CF0A95"/>
    <w:rsid w:val="00CF121D"/>
    <w:rsid w:val="00CF3421"/>
    <w:rsid w:val="00CF4EEF"/>
    <w:rsid w:val="00CF5F19"/>
    <w:rsid w:val="00CF6645"/>
    <w:rsid w:val="00CF79F9"/>
    <w:rsid w:val="00D00885"/>
    <w:rsid w:val="00D0089A"/>
    <w:rsid w:val="00D06EBB"/>
    <w:rsid w:val="00D106DD"/>
    <w:rsid w:val="00D203DA"/>
    <w:rsid w:val="00D20C81"/>
    <w:rsid w:val="00D23D4C"/>
    <w:rsid w:val="00D304F3"/>
    <w:rsid w:val="00D31451"/>
    <w:rsid w:val="00D479A8"/>
    <w:rsid w:val="00D47E91"/>
    <w:rsid w:val="00D5060B"/>
    <w:rsid w:val="00D51356"/>
    <w:rsid w:val="00D60CCA"/>
    <w:rsid w:val="00D61824"/>
    <w:rsid w:val="00D61C26"/>
    <w:rsid w:val="00D62745"/>
    <w:rsid w:val="00D640B7"/>
    <w:rsid w:val="00D642B0"/>
    <w:rsid w:val="00D645AF"/>
    <w:rsid w:val="00D65F41"/>
    <w:rsid w:val="00D66209"/>
    <w:rsid w:val="00D6739C"/>
    <w:rsid w:val="00D71521"/>
    <w:rsid w:val="00D72A1E"/>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A38FF"/>
    <w:rsid w:val="00DA3FB5"/>
    <w:rsid w:val="00DB7E8F"/>
    <w:rsid w:val="00DC024D"/>
    <w:rsid w:val="00DC07C1"/>
    <w:rsid w:val="00DC0E33"/>
    <w:rsid w:val="00DC101B"/>
    <w:rsid w:val="00DC1D77"/>
    <w:rsid w:val="00DC20CF"/>
    <w:rsid w:val="00DC2585"/>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086C"/>
    <w:rsid w:val="00E2315E"/>
    <w:rsid w:val="00E23AAE"/>
    <w:rsid w:val="00E26B0D"/>
    <w:rsid w:val="00E3054D"/>
    <w:rsid w:val="00E30785"/>
    <w:rsid w:val="00E324CE"/>
    <w:rsid w:val="00E32F6C"/>
    <w:rsid w:val="00E33A56"/>
    <w:rsid w:val="00E36270"/>
    <w:rsid w:val="00E3720D"/>
    <w:rsid w:val="00E40A16"/>
    <w:rsid w:val="00E41DE1"/>
    <w:rsid w:val="00E44FA9"/>
    <w:rsid w:val="00E5236A"/>
    <w:rsid w:val="00E56F95"/>
    <w:rsid w:val="00E57462"/>
    <w:rsid w:val="00E63A8F"/>
    <w:rsid w:val="00E64F45"/>
    <w:rsid w:val="00E673F4"/>
    <w:rsid w:val="00E70765"/>
    <w:rsid w:val="00E7109B"/>
    <w:rsid w:val="00E755CA"/>
    <w:rsid w:val="00E83556"/>
    <w:rsid w:val="00E86AEB"/>
    <w:rsid w:val="00E87F7D"/>
    <w:rsid w:val="00E91461"/>
    <w:rsid w:val="00E91799"/>
    <w:rsid w:val="00E9506C"/>
    <w:rsid w:val="00E97FCF"/>
    <w:rsid w:val="00EA14B4"/>
    <w:rsid w:val="00EA2B57"/>
    <w:rsid w:val="00EA390C"/>
    <w:rsid w:val="00EA3EAE"/>
    <w:rsid w:val="00EA6193"/>
    <w:rsid w:val="00EB136F"/>
    <w:rsid w:val="00EB6910"/>
    <w:rsid w:val="00EB6DA5"/>
    <w:rsid w:val="00EB7B1A"/>
    <w:rsid w:val="00ED2DC8"/>
    <w:rsid w:val="00EE6AE2"/>
    <w:rsid w:val="00EE7CB4"/>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54AF"/>
    <w:rsid w:val="00F31D20"/>
    <w:rsid w:val="00F45E6B"/>
    <w:rsid w:val="00F47EC3"/>
    <w:rsid w:val="00F512FE"/>
    <w:rsid w:val="00F564F7"/>
    <w:rsid w:val="00F57033"/>
    <w:rsid w:val="00F57481"/>
    <w:rsid w:val="00F57FFA"/>
    <w:rsid w:val="00F61992"/>
    <w:rsid w:val="00F6436A"/>
    <w:rsid w:val="00F6582B"/>
    <w:rsid w:val="00F6622D"/>
    <w:rsid w:val="00F91728"/>
    <w:rsid w:val="00FA596D"/>
    <w:rsid w:val="00FA602E"/>
    <w:rsid w:val="00FB2F3F"/>
    <w:rsid w:val="00FB7E00"/>
    <w:rsid w:val="00FC074E"/>
    <w:rsid w:val="00FC34CD"/>
    <w:rsid w:val="00FC43F9"/>
    <w:rsid w:val="00FC5217"/>
    <w:rsid w:val="00FC63B7"/>
    <w:rsid w:val="00FD5834"/>
    <w:rsid w:val="00FE5D09"/>
    <w:rsid w:val="00FE6BB9"/>
    <w:rsid w:val="00FE7BA4"/>
    <w:rsid w:val="00FF18A4"/>
    <w:rsid w:val="00FF18BA"/>
    <w:rsid w:val="00FF236F"/>
    <w:rsid w:val="00FF40A7"/>
    <w:rsid w:val="00FF41AF"/>
    <w:rsid w:val="00FF44ED"/>
    <w:rsid w:val="00FF5855"/>
    <w:rsid w:val="00FF62D0"/>
    <w:rsid w:val="00FF64F6"/>
    <w:rsid w:val="00FF6BB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7"/>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25"/>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6272</Words>
  <Characters>32179</Characters>
  <Application>Microsoft Office Word</Application>
  <DocSecurity>0</DocSecurity>
  <Lines>1109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Shantae Hamilton</cp:lastModifiedBy>
  <cp:revision>2</cp:revision>
  <cp:lastPrinted>2022-09-29T12:20:00Z</cp:lastPrinted>
  <dcterms:created xsi:type="dcterms:W3CDTF">2023-11-10T17:24:00Z</dcterms:created>
  <dcterms:modified xsi:type="dcterms:W3CDTF">2023-11-10T17:24:00Z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