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 xml:space="preserve">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w:t>
      </w:r>
      <w:r w:rsidR="00017852" w:rsidRPr="00285037">
        <w:lastRenderedPageBreak/>
        <w:t>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If for any reason the submission / upload portal for your assessment is not available (</w:t>
      </w:r>
      <w:proofErr w:type="gramStart"/>
      <w:r>
        <w:t>ie</w:t>
      </w:r>
      <w:proofErr w:type="gramEnd"/>
      <w:r>
        <w:t xml:space="preserv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124175">
      <w:pPr>
        <w:pStyle w:val="BodyText"/>
        <w:widowControl/>
        <w:numPr>
          <w:ilvl w:val="0"/>
          <w:numId w:val="5"/>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124175">
      <w:pPr>
        <w:pStyle w:val="BodyText"/>
        <w:widowControl/>
        <w:numPr>
          <w:ilvl w:val="0"/>
          <w:numId w:val="5"/>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124175">
      <w:pPr>
        <w:pStyle w:val="BodyText"/>
        <w:widowControl/>
        <w:numPr>
          <w:ilvl w:val="0"/>
          <w:numId w:val="5"/>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733C08" w:rsidRDefault="005E7B59" w:rsidP="00124175">
      <w:pPr>
        <w:pStyle w:val="BodyText"/>
        <w:widowControl/>
        <w:numPr>
          <w:ilvl w:val="0"/>
          <w:numId w:val="5"/>
        </w:numPr>
        <w:autoSpaceDE/>
        <w:autoSpaceDN/>
        <w:ind w:left="709" w:hanging="709"/>
        <w:rPr>
          <w:rFonts w:ascii="Avenir Next" w:hAnsi="Avenir Next"/>
          <w:highlight w:val="yellow"/>
        </w:rPr>
      </w:pPr>
      <w:r w:rsidRPr="00733C08">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733C08" w:rsidRDefault="00CC3216" w:rsidP="00124175">
      <w:pPr>
        <w:pStyle w:val="BodyText"/>
        <w:widowControl/>
        <w:numPr>
          <w:ilvl w:val="0"/>
          <w:numId w:val="6"/>
        </w:numPr>
        <w:autoSpaceDE/>
        <w:autoSpaceDN/>
        <w:ind w:left="709" w:hanging="709"/>
        <w:rPr>
          <w:rFonts w:ascii="Avenir Next" w:hAnsi="Avenir Next"/>
          <w:highlight w:val="yellow"/>
        </w:rPr>
      </w:pPr>
      <w:r w:rsidRPr="00733C08">
        <w:rPr>
          <w:rFonts w:ascii="Avenir Next" w:hAnsi="Avenir Next"/>
          <w:highlight w:val="yellow"/>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124175">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124175">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rsidP="00124175">
      <w:pPr>
        <w:pStyle w:val="BodyText"/>
        <w:widowControl/>
        <w:numPr>
          <w:ilvl w:val="0"/>
          <w:numId w:val="6"/>
        </w:numPr>
        <w:autoSpaceDE/>
        <w:autoSpaceDN/>
        <w:ind w:left="709" w:hanging="709"/>
        <w:rPr>
          <w:rFonts w:ascii="Avenir Next" w:hAnsi="Avenir Next"/>
        </w:rPr>
      </w:pPr>
      <w:r w:rsidRPr="00A500D9">
        <w:rPr>
          <w:rFonts w:ascii="Avenir Next" w:hAnsi="Avenir Next"/>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 xml:space="preserve">To whom does a </w:t>
      </w:r>
      <w:proofErr w:type="gramStart"/>
      <w:r w:rsidRPr="00A500D9">
        <w:rPr>
          <w:lang w:val="en-GB"/>
        </w:rPr>
        <w:t>privately-appointed</w:t>
      </w:r>
      <w:proofErr w:type="gramEnd"/>
      <w:r w:rsidRPr="00A500D9">
        <w:rPr>
          <w:lang w:val="en-GB"/>
        </w:rPr>
        <w:t xml:space="preserve">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124175">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733C08" w:rsidRDefault="00767895" w:rsidP="00124175">
      <w:pPr>
        <w:pStyle w:val="ListParagraph"/>
        <w:numPr>
          <w:ilvl w:val="1"/>
          <w:numId w:val="20"/>
        </w:numPr>
        <w:spacing w:after="0" w:line="240" w:lineRule="auto"/>
        <w:ind w:left="709" w:hanging="709"/>
        <w:rPr>
          <w:rFonts w:ascii="Avenir Next" w:hAnsi="Avenir Next"/>
          <w:highlight w:val="yellow"/>
          <w:lang w:val="en-GB"/>
        </w:rPr>
      </w:pPr>
      <w:r w:rsidRPr="00733C08">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124175">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124175">
      <w:pPr>
        <w:pStyle w:val="ListParagraph"/>
        <w:numPr>
          <w:ilvl w:val="1"/>
          <w:numId w:val="20"/>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124175">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733C08" w:rsidRDefault="00767895" w:rsidP="00124175">
      <w:pPr>
        <w:pStyle w:val="ListParagraph"/>
        <w:numPr>
          <w:ilvl w:val="0"/>
          <w:numId w:val="21"/>
        </w:numPr>
        <w:spacing w:after="0" w:line="240" w:lineRule="auto"/>
        <w:ind w:left="709" w:hanging="709"/>
        <w:rPr>
          <w:rFonts w:ascii="Avenir Next" w:hAnsi="Avenir Next"/>
          <w:highlight w:val="yellow"/>
          <w:lang w:val="en-GB"/>
        </w:rPr>
      </w:pPr>
      <w:r w:rsidRPr="00733C08">
        <w:rPr>
          <w:rFonts w:ascii="Avenir Next" w:hAnsi="Avenir Next"/>
          <w:highlight w:val="yellow"/>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124175">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124175">
      <w:pPr>
        <w:pStyle w:val="ListParagraph"/>
        <w:numPr>
          <w:ilvl w:val="0"/>
          <w:numId w:val="21"/>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733C08" w:rsidRDefault="00A51B24" w:rsidP="00124175">
      <w:pPr>
        <w:pStyle w:val="BodyText"/>
        <w:widowControl/>
        <w:numPr>
          <w:ilvl w:val="0"/>
          <w:numId w:val="22"/>
        </w:numPr>
        <w:autoSpaceDE/>
        <w:autoSpaceDN/>
        <w:ind w:left="709" w:hanging="709"/>
        <w:jc w:val="both"/>
        <w:rPr>
          <w:rFonts w:ascii="Avenir Next" w:hAnsi="Avenir Next"/>
          <w:highlight w:val="yellow"/>
        </w:rPr>
      </w:pPr>
      <w:r w:rsidRPr="00733C08">
        <w:rPr>
          <w:rFonts w:ascii="Avenir Next" w:hAnsi="Avenir Next"/>
          <w:highlight w:val="yellow"/>
        </w:rPr>
        <w:t xml:space="preserve">Within the </w:t>
      </w:r>
      <w:r w:rsidR="007B18AA" w:rsidRPr="00733C08">
        <w:rPr>
          <w:rFonts w:ascii="Avenir Next" w:hAnsi="Avenir Next"/>
          <w:highlight w:val="yellow"/>
        </w:rPr>
        <w:t xml:space="preserve">six (6) </w:t>
      </w:r>
      <w:r w:rsidRPr="00733C08">
        <w:rPr>
          <w:rFonts w:ascii="Avenir Next" w:hAnsi="Avenir Next"/>
          <w:highlight w:val="yellow"/>
        </w:rPr>
        <w:t>months immediately preceding the commencement of the winding up</w:t>
      </w:r>
      <w:r w:rsidR="00D304F3" w:rsidRPr="00733C08">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124175">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124175">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124175">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w:t>
      </w:r>
      <w:proofErr w:type="gramStart"/>
      <w:r w:rsidRPr="00A500D9">
        <w:t>governs</w:t>
      </w:r>
      <w:proofErr w:type="gramEnd"/>
      <w:r w:rsidRPr="00A500D9">
        <w:t xml:space="preserve"> the voluntary winding up of a company?</w:t>
      </w:r>
    </w:p>
    <w:p w14:paraId="06C0D3C7" w14:textId="77777777" w:rsidR="00002250" w:rsidRPr="00A500D9" w:rsidRDefault="00002250" w:rsidP="00137A41"/>
    <w:p w14:paraId="3476F832" w14:textId="5A06FF72" w:rsidR="00002250" w:rsidRPr="00A500D9" w:rsidRDefault="00CE5B90" w:rsidP="00124175">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733C08" w:rsidRDefault="00CE5B90" w:rsidP="00124175">
      <w:pPr>
        <w:pStyle w:val="ListParagraph"/>
        <w:numPr>
          <w:ilvl w:val="0"/>
          <w:numId w:val="13"/>
        </w:numPr>
        <w:spacing w:after="0" w:line="240" w:lineRule="auto"/>
        <w:ind w:left="709" w:hanging="709"/>
        <w:rPr>
          <w:rFonts w:ascii="Avenir Next" w:hAnsi="Avenir Next" w:cs="Arial"/>
          <w:highlight w:val="yellow"/>
          <w:lang w:val="en-US"/>
        </w:rPr>
      </w:pPr>
      <w:r w:rsidRPr="00733C08">
        <w:rPr>
          <w:rFonts w:ascii="Avenir Next" w:hAnsi="Avenir Next" w:cs="Arial"/>
          <w:highlight w:val="yellow"/>
          <w:lang w:val="en-US"/>
        </w:rPr>
        <w:t xml:space="preserve">Sections </w:t>
      </w:r>
      <w:r w:rsidR="00002250" w:rsidRPr="00733C08">
        <w:rPr>
          <w:rFonts w:ascii="Avenir Next" w:hAnsi="Avenir Next" w:cs="Arial"/>
          <w:highlight w:val="yellow"/>
          <w:lang w:val="en-US"/>
        </w:rPr>
        <w:t>116-130</w:t>
      </w:r>
      <w:r w:rsidR="007B18AA" w:rsidRPr="00733C08">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124175">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124175">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lastRenderedPageBreak/>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124175">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124175">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733C08" w:rsidRDefault="00455EC3" w:rsidP="00124175">
      <w:pPr>
        <w:pStyle w:val="ListParagraph"/>
        <w:numPr>
          <w:ilvl w:val="0"/>
          <w:numId w:val="14"/>
        </w:numPr>
        <w:spacing w:after="0" w:line="240" w:lineRule="auto"/>
        <w:ind w:left="709" w:hanging="709"/>
        <w:rPr>
          <w:rFonts w:ascii="Avenir Next" w:hAnsi="Avenir Next" w:cs="Arial"/>
          <w:highlight w:val="yellow"/>
          <w:lang w:val="en-GB"/>
        </w:rPr>
      </w:pPr>
      <w:r w:rsidRPr="00733C08">
        <w:rPr>
          <w:rFonts w:ascii="Avenir Next" w:hAnsi="Avenir Next" w:cs="Arial"/>
          <w:highlight w:val="yellow"/>
          <w:lang w:val="en-GB"/>
        </w:rPr>
        <w:t>I</w:t>
      </w:r>
      <w:r w:rsidR="00002250" w:rsidRPr="00733C08">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124175">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124175">
      <w:pPr>
        <w:pStyle w:val="ListParagraph"/>
        <w:numPr>
          <w:ilvl w:val="0"/>
          <w:numId w:val="14"/>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w:t>
      </w:r>
      <w:proofErr w:type="gramStart"/>
      <w:r w:rsidRPr="00A500D9">
        <w:t>The legal</w:t>
      </w:r>
      <w:proofErr w:type="gramEnd"/>
      <w:r w:rsidRPr="00A500D9">
        <w:t xml:space="preserve"> advice is received, along with the attorney’s invoice for their fees incurred. Upon the liquidators’ review of the attorney’s invoice, she considers that the fees charged are excessive. Whilst there is an engagement letter in place, there was no budget set or amounts otherwise agreed in respect of the liquidator’s fee expectations. </w:t>
      </w:r>
      <w:proofErr w:type="gramStart"/>
      <w:r w:rsidRPr="00A500D9">
        <w:t>What  option</w:t>
      </w:r>
      <w:proofErr w:type="gramEnd"/>
      <w:r w:rsidRPr="00A500D9">
        <w:t xml:space="preserve">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124175">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124175">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A500D9" w:rsidRDefault="002B7D9A" w:rsidP="00124175">
      <w:pPr>
        <w:pStyle w:val="ListParagraph"/>
        <w:numPr>
          <w:ilvl w:val="0"/>
          <w:numId w:val="15"/>
        </w:numPr>
        <w:spacing w:after="0" w:line="240" w:lineRule="auto"/>
        <w:ind w:left="709" w:hanging="709"/>
        <w:rPr>
          <w:rFonts w:ascii="Avenir Next" w:hAnsi="Avenir Next"/>
          <w:lang w:val="en-GB"/>
        </w:rPr>
      </w:pPr>
      <w:r w:rsidRPr="00733C08">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205B5E" w:rsidRDefault="002B7D9A" w:rsidP="00124175">
      <w:pPr>
        <w:pStyle w:val="ListParagraph"/>
        <w:numPr>
          <w:ilvl w:val="0"/>
          <w:numId w:val="16"/>
        </w:numPr>
        <w:spacing w:after="0" w:line="240" w:lineRule="auto"/>
        <w:ind w:left="709" w:hanging="709"/>
        <w:rPr>
          <w:rFonts w:ascii="Avenir Next" w:hAnsi="Avenir Next"/>
          <w:highlight w:val="yellow"/>
          <w:lang w:val="en-GB"/>
        </w:rPr>
      </w:pPr>
      <w:r w:rsidRPr="00205B5E">
        <w:rPr>
          <w:rFonts w:ascii="Avenir Next" w:hAnsi="Avenir Next"/>
          <w:highlight w:val="yellow"/>
          <w:lang w:val="en-GB"/>
        </w:rPr>
        <w:t xml:space="preserve">Ordinary creditor claims are always paid </w:t>
      </w:r>
      <w:r w:rsidRPr="00205B5E">
        <w:rPr>
          <w:rFonts w:ascii="Avenir Next" w:hAnsi="Avenir Next"/>
          <w:i/>
          <w:iCs/>
          <w:highlight w:val="yellow"/>
          <w:lang w:val="en-GB"/>
        </w:rPr>
        <w:t>pari passu</w:t>
      </w:r>
      <w:r w:rsidRPr="00205B5E">
        <w:rPr>
          <w:rFonts w:ascii="Avenir Next" w:hAnsi="Avenir Next"/>
          <w:highlight w:val="yellow"/>
          <w:lang w:val="en-GB"/>
        </w:rPr>
        <w:t xml:space="preserve">, regardless of any contractual terms validly </w:t>
      </w:r>
      <w:proofErr w:type="gramStart"/>
      <w:r w:rsidRPr="00205B5E">
        <w:rPr>
          <w:rFonts w:ascii="Avenir Next" w:hAnsi="Avenir Next"/>
          <w:highlight w:val="yellow"/>
          <w:lang w:val="en-GB"/>
        </w:rPr>
        <w:t>entered into</w:t>
      </w:r>
      <w:proofErr w:type="gramEnd"/>
      <w:r w:rsidRPr="00205B5E">
        <w:rPr>
          <w:rFonts w:ascii="Avenir Next" w:hAnsi="Avenir Next"/>
          <w:highlight w:val="yellow"/>
          <w:lang w:val="en-GB"/>
        </w:rPr>
        <w:t xml:space="preserve">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A500D9" w:rsidRDefault="002B7D9A" w:rsidP="00124175">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lastRenderedPageBreak/>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124175">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124175">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124175">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205B5E" w:rsidRDefault="00D06EBB" w:rsidP="00124175">
      <w:pPr>
        <w:pStyle w:val="ListParagraph"/>
        <w:numPr>
          <w:ilvl w:val="0"/>
          <w:numId w:val="10"/>
        </w:numPr>
        <w:spacing w:after="0" w:line="240" w:lineRule="auto"/>
        <w:ind w:left="709" w:hanging="709"/>
        <w:rPr>
          <w:rFonts w:ascii="Avenir Next LT Pro" w:hAnsi="Avenir Next LT Pro"/>
          <w:highlight w:val="yellow"/>
          <w:lang w:val="en-GB"/>
        </w:rPr>
      </w:pPr>
      <w:r w:rsidRPr="00205B5E">
        <w:rPr>
          <w:rFonts w:ascii="Avenir Next LT Pro" w:hAnsi="Avenir Next LT Pro"/>
          <w:highlight w:val="yellow"/>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124175">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124175">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124175">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124175">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124175">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205B5E" w:rsidRDefault="00D06EBB" w:rsidP="00124175">
      <w:pPr>
        <w:pStyle w:val="ListParagraph"/>
        <w:numPr>
          <w:ilvl w:val="0"/>
          <w:numId w:val="11"/>
        </w:numPr>
        <w:spacing w:after="0" w:line="240" w:lineRule="auto"/>
        <w:ind w:left="709" w:hanging="709"/>
        <w:rPr>
          <w:rFonts w:ascii="Avenir Next LT Pro" w:hAnsi="Avenir Next LT Pro"/>
          <w:highlight w:val="yellow"/>
          <w:lang w:val="en-GB"/>
        </w:rPr>
      </w:pPr>
      <w:r w:rsidRPr="00205B5E">
        <w:rPr>
          <w:rFonts w:ascii="Avenir Next LT Pro" w:hAnsi="Avenir Next LT Pro"/>
          <w:highlight w:val="yellow"/>
          <w:lang w:val="en-GB"/>
        </w:rPr>
        <w:t>Within 21 days of the date on which the creditor receive</w:t>
      </w:r>
      <w:r w:rsidR="007B18AA" w:rsidRPr="00205B5E">
        <w:rPr>
          <w:rFonts w:ascii="Avenir Next LT Pro" w:hAnsi="Avenir Next LT Pro"/>
          <w:highlight w:val="yellow"/>
          <w:lang w:val="en-GB"/>
        </w:rPr>
        <w:t>d</w:t>
      </w:r>
      <w:r w:rsidRPr="00205B5E">
        <w:rPr>
          <w:rFonts w:ascii="Avenir Next LT Pro" w:hAnsi="Avenir Next LT Pro"/>
          <w:highlight w:val="yellow"/>
          <w:lang w:val="en-GB"/>
        </w:rPr>
        <w:t xml:space="preserve"> the official liquidator's notification under O.16, r.6 of the C</w:t>
      </w:r>
      <w:r w:rsidR="00CE5B90" w:rsidRPr="00205B5E">
        <w:rPr>
          <w:rFonts w:ascii="Avenir Next LT Pro" w:hAnsi="Avenir Next LT Pro"/>
          <w:highlight w:val="yellow"/>
          <w:lang w:val="en-GB"/>
        </w:rPr>
        <w:t>ompanies Winding Up R</w:t>
      </w:r>
      <w:r w:rsidR="001D3AB4" w:rsidRPr="00205B5E">
        <w:rPr>
          <w:rFonts w:ascii="Avenir Next LT Pro" w:hAnsi="Avenir Next LT Pro"/>
          <w:highlight w:val="yellow"/>
          <w:lang w:val="en-GB"/>
        </w:rPr>
        <w:t>ules</w:t>
      </w:r>
      <w:r w:rsidRPr="00205B5E">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124175">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22234F" w:rsidRDefault="00097476" w:rsidP="00124175">
      <w:pPr>
        <w:pStyle w:val="ListParagraph"/>
        <w:numPr>
          <w:ilvl w:val="0"/>
          <w:numId w:val="17"/>
        </w:numPr>
        <w:spacing w:after="0" w:line="240" w:lineRule="auto"/>
        <w:ind w:left="709" w:hanging="709"/>
        <w:rPr>
          <w:rFonts w:ascii="Avenir Next" w:hAnsi="Avenir Next"/>
          <w:highlight w:val="yellow"/>
          <w:lang w:val="en-GB"/>
        </w:rPr>
      </w:pPr>
      <w:r w:rsidRPr="0022234F">
        <w:rPr>
          <w:rFonts w:ascii="Avenir Next" w:hAnsi="Avenir Next"/>
          <w:highlight w:val="yellow"/>
          <w:lang w:val="en-GB"/>
        </w:rPr>
        <w:lastRenderedPageBreak/>
        <w:t>The proposal of a resolution for the winding up of the ELP</w:t>
      </w:r>
      <w:r w:rsidR="00CE5B90" w:rsidRPr="0022234F">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124175">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124175">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 xml:space="preserve">The automatic wind </w:t>
      </w:r>
      <w:proofErr w:type="gramStart"/>
      <w:r w:rsidRPr="00A500D9">
        <w:rPr>
          <w:rFonts w:ascii="Avenir Next" w:hAnsi="Avenir Next"/>
          <w:lang w:val="en-GB"/>
        </w:rPr>
        <w:t>up date</w:t>
      </w:r>
      <w:proofErr w:type="gramEnd"/>
      <w:r w:rsidRPr="00A500D9">
        <w:rPr>
          <w:rFonts w:ascii="Avenir Next" w:hAnsi="Avenir Next"/>
          <w:lang w:val="en-GB"/>
        </w:rPr>
        <w:t xml:space="preserv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124175">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124175">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rsidP="00124175">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22234F" w:rsidRDefault="00097476" w:rsidP="00124175">
      <w:pPr>
        <w:pStyle w:val="ListParagraph"/>
        <w:numPr>
          <w:ilvl w:val="0"/>
          <w:numId w:val="19"/>
        </w:numPr>
        <w:spacing w:after="0" w:line="240" w:lineRule="auto"/>
        <w:ind w:left="709" w:hanging="709"/>
        <w:rPr>
          <w:rFonts w:ascii="Avenir Next LT Pro" w:hAnsi="Avenir Next LT Pro"/>
          <w:highlight w:val="yellow"/>
          <w:lang w:val="en-GB"/>
        </w:rPr>
      </w:pPr>
      <w:r w:rsidRPr="0022234F">
        <w:rPr>
          <w:rFonts w:ascii="Avenir Next LT Pro" w:hAnsi="Avenir Next LT Pro"/>
          <w:highlight w:val="yellow"/>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124175">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124175">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22234F" w:rsidRDefault="00D479A8" w:rsidP="00124175">
      <w:pPr>
        <w:pStyle w:val="ListParagraph"/>
        <w:numPr>
          <w:ilvl w:val="1"/>
          <w:numId w:val="24"/>
        </w:numPr>
        <w:spacing w:after="0" w:line="240" w:lineRule="auto"/>
        <w:ind w:left="709" w:hanging="709"/>
        <w:rPr>
          <w:rFonts w:ascii="Avenir Next" w:hAnsi="Avenir Next"/>
          <w:highlight w:val="yellow"/>
          <w:lang w:val="en-US"/>
        </w:rPr>
      </w:pPr>
      <w:r w:rsidRPr="0022234F">
        <w:rPr>
          <w:rFonts w:ascii="Avenir Next" w:hAnsi="Avenir Next"/>
          <w:highlight w:val="yellow"/>
          <w:lang w:val="en-US"/>
        </w:rPr>
        <w:t xml:space="preserve">After a winding up </w:t>
      </w:r>
      <w:r w:rsidR="007B18AA" w:rsidRPr="0022234F">
        <w:rPr>
          <w:rFonts w:ascii="Avenir Next" w:hAnsi="Avenir Next"/>
          <w:highlight w:val="yellow"/>
          <w:lang w:val="en-US"/>
        </w:rPr>
        <w:t>p</w:t>
      </w:r>
      <w:r w:rsidRPr="0022234F">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124175">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 xml:space="preserve">Who may apply for the appointment of provisional liquidators to a corporate </w:t>
      </w:r>
      <w:proofErr w:type="gramStart"/>
      <w:r w:rsidRPr="00A500D9">
        <w:t>debtor</w:t>
      </w:r>
      <w:r w:rsidR="00CE5B90" w:rsidRPr="00A500D9">
        <w:t>?:</w:t>
      </w:r>
      <w:proofErr w:type="gramEnd"/>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124175">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124175">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rsidP="00124175">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 xml:space="preserve">The company and its </w:t>
      </w:r>
      <w:proofErr w:type="gramStart"/>
      <w:r w:rsidRPr="00A500D9">
        <w:rPr>
          <w:rFonts w:ascii="Avenir Next" w:hAnsi="Avenir Next"/>
          <w:lang w:val="en-US"/>
        </w:rPr>
        <w:t>contributories</w:t>
      </w:r>
      <w:proofErr w:type="gramEnd"/>
      <w:r w:rsidRPr="00A500D9">
        <w:rPr>
          <w:rFonts w:ascii="Avenir Next" w:hAnsi="Avenir Next"/>
          <w:lang w:val="en-US"/>
        </w:rPr>
        <w:t>.</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F83A91" w:rsidRDefault="00D479A8" w:rsidP="00124175">
      <w:pPr>
        <w:pStyle w:val="ListParagraph"/>
        <w:numPr>
          <w:ilvl w:val="1"/>
          <w:numId w:val="23"/>
        </w:numPr>
        <w:spacing w:after="0" w:line="240" w:lineRule="auto"/>
        <w:ind w:left="709" w:hanging="709"/>
        <w:rPr>
          <w:rFonts w:ascii="Avenir Next" w:hAnsi="Avenir Next"/>
          <w:highlight w:val="yellow"/>
          <w:lang w:val="en-US"/>
        </w:rPr>
      </w:pPr>
      <w:proofErr w:type="gramStart"/>
      <w:r w:rsidRPr="00F83A91">
        <w:rPr>
          <w:rFonts w:ascii="Avenir Next" w:hAnsi="Avenir Next"/>
          <w:highlight w:val="yellow"/>
          <w:lang w:val="en-US"/>
        </w:rPr>
        <w:t>All of</w:t>
      </w:r>
      <w:proofErr w:type="gramEnd"/>
      <w:r w:rsidRPr="00F83A91">
        <w:rPr>
          <w:rFonts w:ascii="Avenir Next" w:hAnsi="Avenir Next"/>
          <w:highlight w:val="yellow"/>
          <w:lang w:val="en-US"/>
        </w:rPr>
        <w:t xml:space="preserve">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124175">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w:t>
      </w:r>
      <w:proofErr w:type="gramStart"/>
      <w:r w:rsidRPr="00A500D9">
        <w:rPr>
          <w:rFonts w:ascii="Avenir Next" w:hAnsi="Avenir Next"/>
          <w:lang w:val="en-GB"/>
        </w:rPr>
        <w:t>all of</w:t>
      </w:r>
      <w:proofErr w:type="gramEnd"/>
      <w:r w:rsidRPr="00A500D9">
        <w:rPr>
          <w:rFonts w:ascii="Avenir Next" w:hAnsi="Avenir Next"/>
          <w:lang w:val="en-GB"/>
        </w:rPr>
        <w:t xml:space="preserve">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C22ADA" w:rsidRDefault="00EF6C95" w:rsidP="00124175">
      <w:pPr>
        <w:pStyle w:val="ListParagraph"/>
        <w:numPr>
          <w:ilvl w:val="0"/>
          <w:numId w:val="9"/>
        </w:numPr>
        <w:spacing w:after="0" w:line="240" w:lineRule="auto"/>
        <w:ind w:left="709" w:hanging="709"/>
        <w:jc w:val="left"/>
        <w:rPr>
          <w:rFonts w:ascii="Avenir Next" w:hAnsi="Avenir Next"/>
          <w:lang w:val="en-GB"/>
        </w:rPr>
      </w:pPr>
      <w:r w:rsidRPr="00C22ADA">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124175">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7B6C14" w:rsidRDefault="00EF6C95" w:rsidP="00124175">
      <w:pPr>
        <w:pStyle w:val="ListParagraph"/>
        <w:numPr>
          <w:ilvl w:val="0"/>
          <w:numId w:val="9"/>
        </w:numPr>
        <w:spacing w:after="0" w:line="240" w:lineRule="auto"/>
        <w:ind w:left="709" w:hanging="709"/>
        <w:jc w:val="left"/>
        <w:rPr>
          <w:rFonts w:ascii="Avenir Next" w:hAnsi="Avenir Next"/>
          <w:highlight w:val="yellow"/>
          <w:lang w:val="en-GB"/>
        </w:rPr>
      </w:pPr>
      <w:r w:rsidRPr="007B6C14">
        <w:rPr>
          <w:rFonts w:ascii="Avenir Next" w:hAnsi="Avenir Next"/>
          <w:highlight w:val="yellow"/>
          <w:lang w:val="en-GB"/>
        </w:rPr>
        <w:t xml:space="preserve">Must </w:t>
      </w:r>
      <w:r w:rsidR="00CE5B90" w:rsidRPr="007B6C14">
        <w:rPr>
          <w:rFonts w:ascii="Avenir Next" w:hAnsi="Avenir Next"/>
          <w:highlight w:val="yellow"/>
          <w:lang w:val="en-GB"/>
        </w:rPr>
        <w:t xml:space="preserve">provide a better outcome </w:t>
      </w:r>
      <w:r w:rsidRPr="007B6C14">
        <w:rPr>
          <w:rFonts w:ascii="Avenir Next" w:hAnsi="Avenir Next"/>
          <w:highlight w:val="yellow"/>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124175">
      <w:pPr>
        <w:pStyle w:val="BodyText"/>
        <w:widowControl/>
        <w:numPr>
          <w:ilvl w:val="0"/>
          <w:numId w:val="7"/>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0027A3" w:rsidRDefault="00470E19" w:rsidP="00124175">
      <w:pPr>
        <w:pStyle w:val="BodyText"/>
        <w:widowControl/>
        <w:numPr>
          <w:ilvl w:val="0"/>
          <w:numId w:val="7"/>
        </w:numPr>
        <w:autoSpaceDE/>
        <w:autoSpaceDN/>
        <w:ind w:left="709" w:hanging="709"/>
        <w:rPr>
          <w:rFonts w:ascii="Avenir Next" w:hAnsi="Avenir Next"/>
          <w:highlight w:val="yellow"/>
        </w:rPr>
      </w:pPr>
      <w:r w:rsidRPr="000027A3">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124175">
      <w:pPr>
        <w:pStyle w:val="BodyText"/>
        <w:widowControl/>
        <w:numPr>
          <w:ilvl w:val="0"/>
          <w:numId w:val="7"/>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124175">
      <w:pPr>
        <w:pStyle w:val="BodyText"/>
        <w:widowControl/>
        <w:numPr>
          <w:ilvl w:val="0"/>
          <w:numId w:val="7"/>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rsidP="00124175">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124175">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0027A3" w:rsidRDefault="00470E19" w:rsidP="00124175">
      <w:pPr>
        <w:pStyle w:val="BodyText"/>
        <w:widowControl/>
        <w:numPr>
          <w:ilvl w:val="0"/>
          <w:numId w:val="8"/>
        </w:numPr>
        <w:autoSpaceDE/>
        <w:autoSpaceDN/>
        <w:ind w:left="709" w:hanging="709"/>
        <w:jc w:val="both"/>
        <w:rPr>
          <w:rFonts w:ascii="Avenir Next" w:hAnsi="Avenir Next"/>
          <w:highlight w:val="yellow"/>
        </w:rPr>
      </w:pPr>
      <w:r w:rsidRPr="000027A3">
        <w:rPr>
          <w:rFonts w:ascii="Avenir Next" w:hAnsi="Avenir Next"/>
          <w:highlight w:val="yellow"/>
        </w:rPr>
        <w:t xml:space="preserve">The judgment was in respect of taxes, </w:t>
      </w:r>
      <w:proofErr w:type="gramStart"/>
      <w:r w:rsidRPr="000027A3">
        <w:rPr>
          <w:rFonts w:ascii="Avenir Next" w:hAnsi="Avenir Next"/>
          <w:highlight w:val="yellow"/>
        </w:rPr>
        <w:t>fines</w:t>
      </w:r>
      <w:proofErr w:type="gramEnd"/>
      <w:r w:rsidRPr="000027A3">
        <w:rPr>
          <w:rFonts w:ascii="Avenir Next" w:hAnsi="Avenir Next"/>
          <w:highlight w:val="yellow"/>
        </w:rPr>
        <w:t xml:space="preserve"> o</w:t>
      </w:r>
      <w:r w:rsidR="00C67220" w:rsidRPr="000027A3">
        <w:rPr>
          <w:rFonts w:ascii="Avenir Next" w:hAnsi="Avenir Next"/>
          <w:highlight w:val="yellow"/>
        </w:rPr>
        <w:t>r</w:t>
      </w:r>
      <w:r w:rsidRPr="000027A3">
        <w:rPr>
          <w:rFonts w:ascii="Avenir Next" w:hAnsi="Avenir Next"/>
          <w:highlight w:val="yellow"/>
        </w:rPr>
        <w:t xml:space="preserve"> penalties</w:t>
      </w:r>
      <w:r w:rsidR="009B0B28" w:rsidRPr="000027A3">
        <w:rPr>
          <w:rFonts w:ascii="Avenir Next" w:hAnsi="Avenir Next"/>
          <w:highlight w:val="yellow"/>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A500D9" w:rsidRDefault="00470E19" w:rsidP="00124175">
      <w:pPr>
        <w:pStyle w:val="BodyText"/>
        <w:widowControl/>
        <w:numPr>
          <w:ilvl w:val="0"/>
          <w:numId w:val="8"/>
        </w:numPr>
        <w:autoSpaceDE/>
        <w:autoSpaceDN/>
        <w:ind w:left="709" w:hanging="709"/>
        <w:jc w:val="both"/>
        <w:rPr>
          <w:rFonts w:ascii="Avenir Next" w:hAnsi="Avenir Next"/>
        </w:rPr>
      </w:pPr>
      <w:proofErr w:type="gramStart"/>
      <w:r w:rsidRPr="00A500D9">
        <w:rPr>
          <w:rFonts w:ascii="Avenir Next" w:hAnsi="Avenir Next"/>
        </w:rPr>
        <w:t>All of</w:t>
      </w:r>
      <w:proofErr w:type="gramEnd"/>
      <w:r w:rsidRPr="00A500D9">
        <w:rPr>
          <w:rFonts w:ascii="Avenir Next" w:hAnsi="Avenir Next"/>
        </w:rPr>
        <w:t xml:space="preserve"> the above</w:t>
      </w:r>
      <w:r w:rsidR="009B0B28" w:rsidRPr="00A500D9">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lastRenderedPageBreak/>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0027A3">
        <w:rPr>
          <w:color w:val="212121"/>
          <w:highlight w:val="yellow"/>
          <w:lang w:eastAsia="en-GB"/>
        </w:rPr>
        <w:t>T</w:t>
      </w:r>
      <w:r w:rsidRPr="000027A3">
        <w:rPr>
          <w:color w:val="212121"/>
          <w:highlight w:val="yellow"/>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0027A3">
        <w:rPr>
          <w:color w:val="212121"/>
          <w:highlight w:val="yellow"/>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A500D9">
        <w:rPr>
          <w:color w:val="212121"/>
          <w:lang w:eastAsia="en-GB"/>
        </w:rPr>
        <w:t>T</w:t>
      </w:r>
      <w:r w:rsidRPr="00A500D9">
        <w:rPr>
          <w:color w:val="212121"/>
          <w:lang w:eastAsia="en-GB"/>
        </w:rPr>
        <w:t xml:space="preserve">hat execution issued outside the Islands against the debtor on any legal process for the obtaining payment of any sum of money has been levied by seizure and sale of his </w:t>
      </w:r>
      <w:r w:rsidR="00EF6C95" w:rsidRPr="00A500D9">
        <w:rPr>
          <w:color w:val="212121"/>
          <w:lang w:eastAsia="en-GB"/>
        </w:rPr>
        <w:t>goods or</w:t>
      </w:r>
      <w:r w:rsidRPr="00A500D9">
        <w:rPr>
          <w:color w:val="212121"/>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 xml:space="preserve">ages of any workman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0027A3">
        <w:rPr>
          <w:color w:val="000000"/>
          <w:highlight w:val="yellow"/>
          <w:lang w:eastAsia="en-GB"/>
        </w:rPr>
        <w:t xml:space="preserve">(b) </w:t>
      </w:r>
      <w:r w:rsidR="006600FE" w:rsidRPr="000027A3">
        <w:rPr>
          <w:color w:val="000000"/>
          <w:highlight w:val="yellow"/>
          <w:lang w:eastAsia="en-GB"/>
        </w:rPr>
        <w:tab/>
        <w:t>R</w:t>
      </w:r>
      <w:r w:rsidRPr="000027A3">
        <w:rPr>
          <w:color w:val="000000"/>
          <w:highlight w:val="yellow"/>
          <w:lang w:eastAsia="en-GB"/>
        </w:rPr>
        <w:t>ental payments due to the debtor’s landlord at the date of the provisional order</w:t>
      </w:r>
      <w:r w:rsidR="006600FE" w:rsidRPr="000027A3">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 xml:space="preserve">alary of any servant in respect of services rendered to the debtor </w:t>
      </w:r>
      <w:proofErr w:type="gramStart"/>
      <w:r w:rsidRPr="00A500D9">
        <w:rPr>
          <w:color w:val="212121"/>
          <w:lang w:eastAsia="en-GB"/>
        </w:rPr>
        <w:t>during</w:t>
      </w:r>
      <w:proofErr w:type="gramEnd"/>
      <w:r w:rsidRPr="00A500D9">
        <w:rPr>
          <w:color w:val="212121"/>
          <w:lang w:eastAsia="en-GB"/>
        </w:rPr>
        <w:t xml:space="preserve"> four </w:t>
      </w:r>
      <w:proofErr w:type="gramStart"/>
      <w:r w:rsidRPr="00A500D9">
        <w:rPr>
          <w:color w:val="212121"/>
          <w:lang w:eastAsia="en-GB"/>
        </w:rPr>
        <w:t>months next</w:t>
      </w:r>
      <w:proofErr w:type="gramEnd"/>
      <w:r w:rsidRPr="00A500D9">
        <w:rPr>
          <w:color w:val="212121"/>
          <w:lang w:eastAsia="en-GB"/>
        </w:rPr>
        <w:t xml:space="preserve">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 xml:space="preserve">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The liquidator has been in </w:t>
      </w:r>
      <w:proofErr w:type="gramStart"/>
      <w:r w:rsidRPr="00A74347">
        <w:rPr>
          <w:rFonts w:ascii="Avenir Next LT Pro" w:hAnsi="Avenir Next LT Pro"/>
        </w:rPr>
        <w:t>office</w:t>
      </w:r>
      <w:proofErr w:type="gramEnd"/>
      <w:r w:rsidRPr="00A74347">
        <w:rPr>
          <w:rFonts w:ascii="Avenir Next LT Pro" w:hAnsi="Avenir Next LT Pro"/>
        </w:rPr>
        <w:t xml:space="preserv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124175">
      <w:pPr>
        <w:pStyle w:val="BodyText"/>
        <w:numPr>
          <w:ilvl w:val="0"/>
          <w:numId w:val="25"/>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124175">
      <w:pPr>
        <w:pStyle w:val="BodyText"/>
        <w:numPr>
          <w:ilvl w:val="0"/>
          <w:numId w:val="25"/>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6F3B7F5A" w14:textId="77777777" w:rsidR="005D0275" w:rsidRDefault="000C6BC3"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Master Fund and Cayman Feeder are incorporated in the Cayman Islands. </w:t>
      </w:r>
      <w:r w:rsidR="005D0275">
        <w:rPr>
          <w:rFonts w:ascii="Avenir Next" w:hAnsi="Avenir Next"/>
          <w:color w:val="808080" w:themeColor="background1" w:themeShade="80"/>
        </w:rPr>
        <w:t>Presuming that they are both limited companies:</w:t>
      </w:r>
    </w:p>
    <w:p w14:paraId="3F713F8B" w14:textId="7F2E4C8A" w:rsidR="00455F9E" w:rsidRPr="00AA63F4" w:rsidRDefault="005D0275" w:rsidP="00124175">
      <w:pPr>
        <w:pStyle w:val="BodyText"/>
        <w:numPr>
          <w:ilvl w:val="0"/>
          <w:numId w:val="27"/>
        </w:numPr>
        <w:rPr>
          <w:rFonts w:ascii="Avenir Next" w:hAnsi="Avenir Next"/>
          <w:b/>
          <w:bCs/>
        </w:rPr>
      </w:pPr>
      <w:r>
        <w:rPr>
          <w:rFonts w:ascii="Avenir Next" w:hAnsi="Avenir Next"/>
          <w:color w:val="808080" w:themeColor="background1" w:themeShade="80"/>
        </w:rPr>
        <w:t>O</w:t>
      </w:r>
      <w:r w:rsidR="000C6BC3">
        <w:rPr>
          <w:rFonts w:ascii="Avenir Next" w:hAnsi="Avenir Next"/>
          <w:color w:val="808080" w:themeColor="background1" w:themeShade="80"/>
        </w:rPr>
        <w:t>ne or more voluntary liquidators must be appointed for the purposes of winding up the companies</w:t>
      </w:r>
      <w:r>
        <w:rPr>
          <w:rFonts w:ascii="Avenir Next" w:hAnsi="Avenir Next"/>
          <w:color w:val="808080" w:themeColor="background1" w:themeShade="80"/>
        </w:rPr>
        <w:t>’</w:t>
      </w:r>
      <w:r w:rsidR="000C6BC3">
        <w:rPr>
          <w:rFonts w:ascii="Avenir Next" w:hAnsi="Avenir Next"/>
          <w:color w:val="808080" w:themeColor="background1" w:themeShade="80"/>
        </w:rPr>
        <w:t xml:space="preserve"> affairs and distributing their assets</w:t>
      </w:r>
      <w:r>
        <w:rPr>
          <w:rFonts w:ascii="Avenir Next" w:hAnsi="Avenir Next"/>
          <w:color w:val="808080" w:themeColor="background1" w:themeShade="80"/>
        </w:rPr>
        <w:t xml:space="preserve"> pursuant to section 119 of the Companies Act (2023 Revision)</w:t>
      </w:r>
      <w:r w:rsidR="00AA63F4">
        <w:rPr>
          <w:rFonts w:ascii="Avenir Next" w:hAnsi="Avenir Next"/>
          <w:color w:val="808080" w:themeColor="background1" w:themeShade="80"/>
        </w:rPr>
        <w:t xml:space="preserve"> (“CA”)</w:t>
      </w:r>
      <w:r w:rsidR="000C6BC3">
        <w:rPr>
          <w:rFonts w:ascii="Avenir Next" w:hAnsi="Avenir Next"/>
          <w:color w:val="808080" w:themeColor="background1" w:themeShade="80"/>
        </w:rPr>
        <w:t>. P</w:t>
      </w:r>
      <w:r w:rsidR="00AA63F4">
        <w:rPr>
          <w:rFonts w:ascii="Avenir Next" w:hAnsi="Avenir Next"/>
          <w:color w:val="808080" w:themeColor="background1" w:themeShade="80"/>
        </w:rPr>
        <w:t>ursuant to section 119 (2)(a) of the CA, p</w:t>
      </w:r>
      <w:r w:rsidR="000C6BC3">
        <w:rPr>
          <w:rFonts w:ascii="Avenir Next" w:hAnsi="Avenir Next"/>
          <w:color w:val="808080" w:themeColor="background1" w:themeShade="80"/>
        </w:rPr>
        <w:t xml:space="preserve">ersons designated as </w:t>
      </w:r>
      <w:r w:rsidR="000C6BC3">
        <w:rPr>
          <w:rFonts w:ascii="Avenir Next" w:hAnsi="Avenir Next"/>
          <w:color w:val="808080" w:themeColor="background1" w:themeShade="80"/>
        </w:rPr>
        <w:lastRenderedPageBreak/>
        <w:t>liquidators in the companies</w:t>
      </w:r>
      <w:r w:rsidR="00AA63F4">
        <w:rPr>
          <w:rFonts w:ascii="Avenir Next" w:hAnsi="Avenir Next"/>
          <w:color w:val="808080" w:themeColor="background1" w:themeShade="80"/>
        </w:rPr>
        <w:t>’</w:t>
      </w:r>
      <w:r w:rsidR="000C6BC3">
        <w:rPr>
          <w:rFonts w:ascii="Avenir Next" w:hAnsi="Avenir Next"/>
          <w:color w:val="808080" w:themeColor="background1" w:themeShade="80"/>
        </w:rPr>
        <w:t xml:space="preserve"> memorand</w:t>
      </w:r>
      <w:r w:rsidR="00AA63F4">
        <w:rPr>
          <w:rFonts w:ascii="Avenir Next" w:hAnsi="Avenir Next"/>
          <w:color w:val="808080" w:themeColor="background1" w:themeShade="80"/>
        </w:rPr>
        <w:t>a</w:t>
      </w:r>
      <w:r w:rsidR="000C6BC3">
        <w:rPr>
          <w:rFonts w:ascii="Avenir Next" w:hAnsi="Avenir Next"/>
          <w:color w:val="808080" w:themeColor="background1" w:themeShade="80"/>
        </w:rPr>
        <w:t xml:space="preserve"> or articles of association will become such liquidators automatically from the commencement of the winding up. </w:t>
      </w:r>
      <w:r w:rsidR="00AA63F4">
        <w:rPr>
          <w:rFonts w:ascii="Avenir Next" w:hAnsi="Avenir Next"/>
          <w:color w:val="808080" w:themeColor="background1" w:themeShade="80"/>
        </w:rPr>
        <w:t xml:space="preserve">If no such person is designated or is unwilling or unable to act, the directors shall convene a general meeting for the purpose of appointing a liquidator. </w:t>
      </w:r>
      <w:r w:rsidR="00366FAA">
        <w:rPr>
          <w:rFonts w:ascii="Avenir Next" w:hAnsi="Avenir Next"/>
          <w:color w:val="808080" w:themeColor="background1" w:themeShade="80"/>
        </w:rPr>
        <w:t xml:space="preserve">There are no </w:t>
      </w:r>
      <w:r w:rsidR="000C6BC3">
        <w:rPr>
          <w:rFonts w:ascii="Avenir Next" w:hAnsi="Avenir Next"/>
          <w:color w:val="808080" w:themeColor="background1" w:themeShade="80"/>
        </w:rPr>
        <w:t xml:space="preserve">qualification requirements to be appointed as a voluntary liquidator of a Cayman Islands incorporated company. Pursuant to section 120 of the </w:t>
      </w:r>
      <w:r w:rsidR="004630C1">
        <w:rPr>
          <w:rFonts w:ascii="Avenir Next" w:hAnsi="Avenir Next"/>
          <w:color w:val="808080" w:themeColor="background1" w:themeShade="80"/>
        </w:rPr>
        <w:t>CA,</w:t>
      </w:r>
      <w:r w:rsidR="000C6BC3">
        <w:rPr>
          <w:rFonts w:ascii="Avenir Next" w:hAnsi="Avenir Next"/>
          <w:color w:val="808080" w:themeColor="background1" w:themeShade="80"/>
        </w:rPr>
        <w:t xml:space="preserve"> any person can act as a voluntary liquidator, including a director or officer of the company.   </w:t>
      </w:r>
    </w:p>
    <w:p w14:paraId="31F0FA80" w14:textId="15A11725" w:rsidR="00AA63F4" w:rsidRPr="004630C1" w:rsidRDefault="00AA63F4" w:rsidP="00124175">
      <w:pPr>
        <w:pStyle w:val="BodyText"/>
        <w:numPr>
          <w:ilvl w:val="0"/>
          <w:numId w:val="27"/>
        </w:numPr>
        <w:rPr>
          <w:rFonts w:ascii="Avenir Next" w:hAnsi="Avenir Next"/>
          <w:b/>
          <w:bCs/>
        </w:rPr>
      </w:pPr>
      <w:r>
        <w:rPr>
          <w:rFonts w:ascii="Avenir Next" w:hAnsi="Avenir Next"/>
          <w:color w:val="808080" w:themeColor="background1" w:themeShade="80"/>
        </w:rPr>
        <w:t xml:space="preserve">Pursuant to Regulation 4 of the Insolvency Practitioner’s Regulations 2018 (as amended) (IPR), an official liquidator must be a </w:t>
      </w:r>
      <w:r w:rsidR="004630C1">
        <w:rPr>
          <w:rFonts w:ascii="Avenir Next" w:hAnsi="Avenir Next"/>
          <w:color w:val="808080" w:themeColor="background1" w:themeShade="80"/>
        </w:rPr>
        <w:t>“</w:t>
      </w:r>
      <w:r>
        <w:rPr>
          <w:rFonts w:ascii="Avenir Next" w:hAnsi="Avenir Next"/>
          <w:color w:val="808080" w:themeColor="background1" w:themeShade="80"/>
        </w:rPr>
        <w:t>qualified insolvency practitioner</w:t>
      </w:r>
      <w:r w:rsidR="004630C1">
        <w:rPr>
          <w:rFonts w:ascii="Avenir Next" w:hAnsi="Avenir Next"/>
          <w:color w:val="808080" w:themeColor="background1" w:themeShade="80"/>
        </w:rPr>
        <w:t>”</w:t>
      </w:r>
      <w:r>
        <w:rPr>
          <w:rFonts w:ascii="Avenir Next" w:hAnsi="Avenir Next"/>
          <w:color w:val="808080" w:themeColor="background1" w:themeShade="80"/>
        </w:rPr>
        <w:t xml:space="preserve"> or possess such other qualifications as the Court considers appropriate for the winding up of a company. </w:t>
      </w:r>
      <w:r w:rsidR="004630C1">
        <w:rPr>
          <w:rFonts w:ascii="Avenir Next" w:hAnsi="Avenir Next"/>
          <w:color w:val="808080" w:themeColor="background1" w:themeShade="80"/>
        </w:rPr>
        <w:t>A person is a “qualified insolvency practitioner” if they are:</w:t>
      </w:r>
    </w:p>
    <w:p w14:paraId="3A0A2C11" w14:textId="3642F813" w:rsidR="004630C1" w:rsidRPr="004630C1" w:rsidRDefault="004630C1" w:rsidP="00124175">
      <w:pPr>
        <w:pStyle w:val="BodyText"/>
        <w:numPr>
          <w:ilvl w:val="0"/>
          <w:numId w:val="28"/>
        </w:numPr>
        <w:rPr>
          <w:rFonts w:ascii="Avenir Next" w:hAnsi="Avenir Next"/>
          <w:color w:val="7F7F7F" w:themeColor="text1" w:themeTint="80"/>
        </w:rPr>
      </w:pPr>
      <w:r w:rsidRPr="004630C1">
        <w:rPr>
          <w:rFonts w:ascii="Avenir Next" w:hAnsi="Avenir Next"/>
          <w:color w:val="7F7F7F" w:themeColor="text1" w:themeTint="80"/>
        </w:rPr>
        <w:t xml:space="preserve">Licensed to act as an insolvency practitioner in England and Wales, Scotland, Northern Ireland, the Republic of Ireland, Canada, </w:t>
      </w:r>
      <w:proofErr w:type="gramStart"/>
      <w:r w:rsidRPr="004630C1">
        <w:rPr>
          <w:rFonts w:ascii="Avenir Next" w:hAnsi="Avenir Next"/>
          <w:color w:val="7F7F7F" w:themeColor="text1" w:themeTint="80"/>
        </w:rPr>
        <w:t>Australia</w:t>
      </w:r>
      <w:proofErr w:type="gramEnd"/>
      <w:r w:rsidRPr="004630C1">
        <w:rPr>
          <w:rFonts w:ascii="Avenir Next" w:hAnsi="Avenir Next"/>
          <w:color w:val="7F7F7F" w:themeColor="text1" w:themeTint="80"/>
        </w:rPr>
        <w:t xml:space="preserve"> or New Zealand; or</w:t>
      </w:r>
    </w:p>
    <w:p w14:paraId="6148220B" w14:textId="32B3E198" w:rsidR="004630C1" w:rsidRDefault="004630C1" w:rsidP="00124175">
      <w:pPr>
        <w:pStyle w:val="BodyText"/>
        <w:numPr>
          <w:ilvl w:val="0"/>
          <w:numId w:val="28"/>
        </w:numPr>
        <w:rPr>
          <w:rFonts w:ascii="Avenir Next" w:hAnsi="Avenir Next"/>
          <w:color w:val="7F7F7F" w:themeColor="text1" w:themeTint="80"/>
        </w:rPr>
      </w:pPr>
      <w:r w:rsidRPr="004630C1">
        <w:rPr>
          <w:rFonts w:ascii="Avenir Next" w:hAnsi="Avenir Next"/>
          <w:color w:val="7F7F7F" w:themeColor="text1" w:themeTint="80"/>
        </w:rPr>
        <w:t xml:space="preserve">Qualified as a professional accountant by an approved institute (as determined by the Cayman Islands Society of </w:t>
      </w:r>
      <w:r>
        <w:rPr>
          <w:rFonts w:ascii="Avenir Next" w:hAnsi="Avenir Next"/>
          <w:color w:val="7F7F7F" w:themeColor="text1" w:themeTint="80"/>
        </w:rPr>
        <w:t>P</w:t>
      </w:r>
      <w:r w:rsidRPr="004630C1">
        <w:rPr>
          <w:rFonts w:ascii="Avenir Next" w:hAnsi="Avenir Next"/>
          <w:color w:val="7F7F7F" w:themeColor="text1" w:themeTint="80"/>
        </w:rPr>
        <w:t xml:space="preserve">rofessional Accountants), is in good standing with such institute, has a minimum of 5 years’ relevant experience, and is credited with not less than 2,500 chargeable hours of relevant work. </w:t>
      </w:r>
    </w:p>
    <w:p w14:paraId="54E21021" w14:textId="2F5A30D5" w:rsidR="004630C1" w:rsidRDefault="004630C1" w:rsidP="004630C1">
      <w:pPr>
        <w:pStyle w:val="BodyText"/>
        <w:ind w:left="720" w:firstLine="0"/>
        <w:rPr>
          <w:rFonts w:ascii="Avenir Next" w:hAnsi="Avenir Next"/>
          <w:color w:val="7F7F7F" w:themeColor="text1" w:themeTint="80"/>
        </w:rPr>
      </w:pPr>
      <w:r>
        <w:rPr>
          <w:rFonts w:ascii="Avenir Next" w:hAnsi="Avenir Next"/>
          <w:color w:val="7F7F7F" w:themeColor="text1" w:themeTint="80"/>
        </w:rPr>
        <w:t>The insolvency practitioner must also:</w:t>
      </w:r>
    </w:p>
    <w:p w14:paraId="3354F154" w14:textId="3C1F988B" w:rsidR="004630C1" w:rsidRDefault="004630C1" w:rsidP="00124175">
      <w:pPr>
        <w:pStyle w:val="BodyText"/>
        <w:numPr>
          <w:ilvl w:val="0"/>
          <w:numId w:val="29"/>
        </w:numPr>
        <w:rPr>
          <w:rFonts w:ascii="Avenir Next" w:hAnsi="Avenir Next"/>
          <w:color w:val="7F7F7F" w:themeColor="text1" w:themeTint="80"/>
        </w:rPr>
      </w:pPr>
      <w:r>
        <w:rPr>
          <w:rFonts w:ascii="Avenir Next" w:hAnsi="Avenir Next"/>
          <w:color w:val="7F7F7F" w:themeColor="text1" w:themeTint="80"/>
        </w:rPr>
        <w:t xml:space="preserve">Be resident in the Cayman Islands and hold (either personally or through a business entity) a trade and business </w:t>
      </w:r>
      <w:proofErr w:type="spellStart"/>
      <w:r>
        <w:rPr>
          <w:rFonts w:ascii="Avenir Next" w:hAnsi="Avenir Next"/>
          <w:color w:val="7F7F7F" w:themeColor="text1" w:themeTint="80"/>
        </w:rPr>
        <w:t>licence</w:t>
      </w:r>
      <w:proofErr w:type="spellEnd"/>
      <w:r>
        <w:rPr>
          <w:rFonts w:ascii="Avenir Next" w:hAnsi="Avenir Next"/>
          <w:color w:val="7F7F7F" w:themeColor="text1" w:themeTint="80"/>
        </w:rPr>
        <w:t xml:space="preserve"> </w:t>
      </w:r>
      <w:proofErr w:type="spellStart"/>
      <w:r>
        <w:rPr>
          <w:rFonts w:ascii="Avenir Next" w:hAnsi="Avenir Next"/>
          <w:color w:val="7F7F7F" w:themeColor="text1" w:themeTint="80"/>
        </w:rPr>
        <w:t>authorising</w:t>
      </w:r>
      <w:proofErr w:type="spellEnd"/>
      <w:r>
        <w:rPr>
          <w:rFonts w:ascii="Avenir Next" w:hAnsi="Avenir Next"/>
          <w:color w:val="7F7F7F" w:themeColor="text1" w:themeTint="80"/>
        </w:rPr>
        <w:t xml:space="preserve"> him to carry on business as a professional </w:t>
      </w:r>
      <w:proofErr w:type="gramStart"/>
      <w:r>
        <w:rPr>
          <w:rFonts w:ascii="Avenir Next" w:hAnsi="Avenir Next"/>
          <w:color w:val="7F7F7F" w:themeColor="text1" w:themeTint="80"/>
        </w:rPr>
        <w:t>IP;</w:t>
      </w:r>
      <w:proofErr w:type="gramEnd"/>
    </w:p>
    <w:p w14:paraId="693EDA09" w14:textId="232BECDB" w:rsidR="004630C1" w:rsidRDefault="004630C1" w:rsidP="00124175">
      <w:pPr>
        <w:pStyle w:val="BodyText"/>
        <w:numPr>
          <w:ilvl w:val="0"/>
          <w:numId w:val="29"/>
        </w:numPr>
        <w:rPr>
          <w:rFonts w:ascii="Avenir Next" w:hAnsi="Avenir Next"/>
          <w:color w:val="7F7F7F" w:themeColor="text1" w:themeTint="80"/>
        </w:rPr>
      </w:pPr>
      <w:r>
        <w:rPr>
          <w:rFonts w:ascii="Avenir Next" w:hAnsi="Avenir Next"/>
          <w:color w:val="7F7F7F" w:themeColor="text1" w:themeTint="80"/>
        </w:rPr>
        <w:t>Be independent (within the meaning of regulation 6(2), part 2 of the IPR); and</w:t>
      </w:r>
    </w:p>
    <w:p w14:paraId="5E5AB487" w14:textId="5E71E0E2" w:rsidR="004630C1" w:rsidRDefault="004630C1" w:rsidP="00124175">
      <w:pPr>
        <w:pStyle w:val="BodyText"/>
        <w:numPr>
          <w:ilvl w:val="0"/>
          <w:numId w:val="29"/>
        </w:numPr>
        <w:rPr>
          <w:rFonts w:ascii="Avenir Next" w:hAnsi="Avenir Next"/>
          <w:color w:val="7F7F7F" w:themeColor="text1" w:themeTint="80"/>
        </w:rPr>
      </w:pPr>
      <w:r>
        <w:rPr>
          <w:rFonts w:ascii="Avenir Next" w:hAnsi="Avenir Next"/>
          <w:color w:val="7F7F7F" w:themeColor="text1" w:themeTint="80"/>
        </w:rPr>
        <w:t xml:space="preserve">Hold professional indemnity insurance of at least US$10m in respect of </w:t>
      </w:r>
      <w:proofErr w:type="gramStart"/>
      <w:r>
        <w:rPr>
          <w:rFonts w:ascii="Avenir Next" w:hAnsi="Avenir Next"/>
          <w:color w:val="7F7F7F" w:themeColor="text1" w:themeTint="80"/>
        </w:rPr>
        <w:t>each and every</w:t>
      </w:r>
      <w:proofErr w:type="gramEnd"/>
      <w:r>
        <w:rPr>
          <w:rFonts w:ascii="Avenir Next" w:hAnsi="Avenir Next"/>
          <w:color w:val="7F7F7F" w:themeColor="text1" w:themeTint="80"/>
        </w:rPr>
        <w:t xml:space="preserve"> claim and US$20m in the aggregate with a deductible of not more than US$1m in respect of the negligent or non-performance of their duties.</w:t>
      </w:r>
    </w:p>
    <w:p w14:paraId="3BBE133D" w14:textId="3BF260C5" w:rsidR="004630C1" w:rsidRDefault="004630C1" w:rsidP="004630C1">
      <w:pPr>
        <w:pStyle w:val="BodyText"/>
        <w:ind w:left="720" w:firstLine="0"/>
        <w:rPr>
          <w:rFonts w:ascii="Avenir Next" w:hAnsi="Avenir Next"/>
          <w:color w:val="7F7F7F" w:themeColor="text1" w:themeTint="80"/>
        </w:rPr>
      </w:pPr>
      <w:r>
        <w:rPr>
          <w:rFonts w:ascii="Avenir Next" w:hAnsi="Avenir Next"/>
          <w:color w:val="7F7F7F" w:themeColor="text1" w:themeTint="80"/>
        </w:rPr>
        <w:t xml:space="preserve">A foreign practitioner qualified to act as an IP may be appointed in addition to a “qualified insolvency practitioner” </w:t>
      </w:r>
      <w:proofErr w:type="gramStart"/>
      <w:r>
        <w:rPr>
          <w:rFonts w:ascii="Avenir Next" w:hAnsi="Avenir Next"/>
          <w:color w:val="7F7F7F" w:themeColor="text1" w:themeTint="80"/>
        </w:rPr>
        <w:t>as long as</w:t>
      </w:r>
      <w:proofErr w:type="gramEnd"/>
      <w:r>
        <w:rPr>
          <w:rFonts w:ascii="Avenir Next" w:hAnsi="Avenir Next"/>
          <w:color w:val="7F7F7F" w:themeColor="text1" w:themeTint="80"/>
        </w:rPr>
        <w:t xml:space="preserve"> they meet the independence and insurance requirements. </w:t>
      </w:r>
    </w:p>
    <w:p w14:paraId="67355A07" w14:textId="77777777" w:rsidR="004630C1" w:rsidRPr="004630C1" w:rsidRDefault="004630C1" w:rsidP="004630C1">
      <w:pPr>
        <w:pStyle w:val="BodyText"/>
        <w:ind w:left="720" w:firstLine="0"/>
        <w:rPr>
          <w:rFonts w:ascii="Avenir Next" w:hAnsi="Avenir Next"/>
          <w:color w:val="7F7F7F" w:themeColor="text1" w:themeTint="80"/>
        </w:rPr>
      </w:pP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 xml:space="preserve">the investment manager, Panamanian </w:t>
      </w:r>
      <w:proofErr w:type="gramStart"/>
      <w:r w:rsidRPr="00E26B0D">
        <w:rPr>
          <w:rFonts w:ascii="Avenir Next" w:hAnsi="Avenir Next"/>
        </w:rPr>
        <w:t>directors</w:t>
      </w:r>
      <w:proofErr w:type="gramEnd"/>
      <w:r w:rsidRPr="00E26B0D">
        <w:rPr>
          <w:rFonts w:ascii="Avenir Next" w:hAnsi="Avenir Next"/>
        </w:rPr>
        <w:t xml:space="preserve">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124175">
      <w:pPr>
        <w:pStyle w:val="BodyText"/>
        <w:widowControl/>
        <w:numPr>
          <w:ilvl w:val="0"/>
          <w:numId w:val="26"/>
        </w:numPr>
        <w:autoSpaceDE/>
        <w:autoSpaceDN/>
        <w:ind w:left="426"/>
        <w:jc w:val="both"/>
        <w:rPr>
          <w:rFonts w:ascii="Avenir Next" w:hAnsi="Avenir Next"/>
        </w:rPr>
      </w:pPr>
      <w:r w:rsidRPr="00E26B0D">
        <w:rPr>
          <w:rFonts w:ascii="Avenir Next" w:hAnsi="Avenir Next"/>
        </w:rPr>
        <w:t xml:space="preserve">The types of litigation funding arrangements permitted in </w:t>
      </w:r>
      <w:proofErr w:type="gramStart"/>
      <w:r w:rsidRPr="00E26B0D">
        <w:rPr>
          <w:rFonts w:ascii="Avenir Next" w:hAnsi="Avenir Next"/>
        </w:rPr>
        <w:t>Cayman;</w:t>
      </w:r>
      <w:proofErr w:type="gramEnd"/>
    </w:p>
    <w:p w14:paraId="5302215E" w14:textId="0161F366" w:rsidR="00E26B0D" w:rsidRPr="00E26B0D" w:rsidRDefault="00E26B0D" w:rsidP="00124175">
      <w:pPr>
        <w:pStyle w:val="BodyText"/>
        <w:widowControl/>
        <w:numPr>
          <w:ilvl w:val="0"/>
          <w:numId w:val="26"/>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 xml:space="preserve">a contingency fee </w:t>
      </w:r>
      <w:proofErr w:type="gramStart"/>
      <w:r w:rsidRPr="00E26B0D">
        <w:rPr>
          <w:rFonts w:ascii="Avenir Next" w:hAnsi="Avenir Next"/>
        </w:rPr>
        <w:t>agreement;</w:t>
      </w:r>
      <w:proofErr w:type="gramEnd"/>
    </w:p>
    <w:p w14:paraId="13C6F921" w14:textId="77777777" w:rsidR="00E26B0D" w:rsidRPr="00E26B0D" w:rsidRDefault="00E26B0D" w:rsidP="00124175">
      <w:pPr>
        <w:pStyle w:val="BodyText"/>
        <w:widowControl/>
        <w:numPr>
          <w:ilvl w:val="0"/>
          <w:numId w:val="26"/>
        </w:numPr>
        <w:autoSpaceDE/>
        <w:autoSpaceDN/>
        <w:ind w:left="426"/>
        <w:jc w:val="both"/>
        <w:rPr>
          <w:rFonts w:ascii="Avenir Next" w:hAnsi="Avenir Next"/>
        </w:rPr>
      </w:pPr>
      <w:r w:rsidRPr="00E26B0D">
        <w:rPr>
          <w:rFonts w:ascii="Avenir Next" w:hAnsi="Avenir Next"/>
        </w:rPr>
        <w:t xml:space="preserve">What the maximum success fees are permitted under a conditional fee </w:t>
      </w:r>
      <w:proofErr w:type="gramStart"/>
      <w:r w:rsidRPr="00E26B0D">
        <w:rPr>
          <w:rFonts w:ascii="Avenir Next" w:hAnsi="Avenir Next"/>
        </w:rPr>
        <w:t>arrangement;</w:t>
      </w:r>
      <w:proofErr w:type="gramEnd"/>
    </w:p>
    <w:p w14:paraId="535022A1" w14:textId="77777777" w:rsidR="00E26B0D" w:rsidRPr="00E26B0D" w:rsidRDefault="00E26B0D" w:rsidP="00124175">
      <w:pPr>
        <w:pStyle w:val="BodyText"/>
        <w:widowControl/>
        <w:numPr>
          <w:ilvl w:val="0"/>
          <w:numId w:val="26"/>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124175">
      <w:pPr>
        <w:pStyle w:val="BodyText"/>
        <w:widowControl/>
        <w:numPr>
          <w:ilvl w:val="0"/>
          <w:numId w:val="26"/>
        </w:numPr>
        <w:tabs>
          <w:tab w:val="right" w:pos="9021"/>
        </w:tabs>
        <w:autoSpaceDE/>
        <w:autoSpaceDN/>
        <w:ind w:left="426"/>
        <w:jc w:val="both"/>
        <w:rPr>
          <w:rFonts w:ascii="Avenir Next" w:hAnsi="Avenir Next"/>
        </w:rPr>
      </w:pPr>
      <w:r w:rsidRPr="00E26B0D">
        <w:rPr>
          <w:rFonts w:ascii="Avenir Next" w:hAnsi="Avenir Next"/>
        </w:rPr>
        <w:t xml:space="preserve">What practical information </w:t>
      </w:r>
      <w:proofErr w:type="gramStart"/>
      <w:r w:rsidRPr="00E26B0D">
        <w:rPr>
          <w:rFonts w:ascii="Avenir Next" w:hAnsi="Avenir Next"/>
        </w:rPr>
        <w:t>you</w:t>
      </w:r>
      <w:proofErr w:type="gramEnd"/>
      <w:r w:rsidRPr="00E26B0D">
        <w:rPr>
          <w:rFonts w:ascii="Avenir Next" w:hAnsi="Avenir Next"/>
        </w:rPr>
        <w:t xml:space="preserve"> think a potential litigation funder will need </w:t>
      </w:r>
      <w:proofErr w:type="gramStart"/>
      <w:r w:rsidRPr="00E26B0D">
        <w:rPr>
          <w:rFonts w:ascii="Avenir Next" w:hAnsi="Avenir Next"/>
        </w:rPr>
        <w:t>in order to</w:t>
      </w:r>
      <w:proofErr w:type="gramEnd"/>
      <w:r w:rsidRPr="00E26B0D">
        <w:rPr>
          <w:rFonts w:ascii="Avenir Next" w:hAnsi="Avenir Next"/>
        </w:rPr>
        <w:t xml:space="preserve">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628062F2" w14:textId="38C637FD" w:rsidR="00455F9E" w:rsidRDefault="004F550F"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the Private Funding of Legal Services Act 2020 (PFLSA), the following litigation funding arrangements are permitted in the Cayman Islands:</w:t>
      </w:r>
    </w:p>
    <w:p w14:paraId="785B6255" w14:textId="6B8B130F" w:rsidR="004F550F" w:rsidRDefault="004F550F" w:rsidP="00124175">
      <w:pPr>
        <w:pStyle w:val="BodyText"/>
        <w:numPr>
          <w:ilvl w:val="0"/>
          <w:numId w:val="30"/>
        </w:numPr>
        <w:rPr>
          <w:rFonts w:ascii="Avenir Next" w:hAnsi="Avenir Next"/>
        </w:rPr>
      </w:pPr>
      <w:r w:rsidRPr="004F550F">
        <w:rPr>
          <w:rFonts w:ascii="Avenir Next" w:hAnsi="Avenir Next"/>
          <w:b/>
          <w:bCs/>
          <w:color w:val="7F7F7F" w:themeColor="text1" w:themeTint="80"/>
        </w:rPr>
        <w:t>Third Party Funding Agreements</w:t>
      </w:r>
      <w:r>
        <w:rPr>
          <w:rFonts w:ascii="Avenir Next" w:hAnsi="Avenir Next"/>
          <w:b/>
          <w:bCs/>
          <w:color w:val="7F7F7F" w:themeColor="text1" w:themeTint="80"/>
        </w:rPr>
        <w:t xml:space="preserve"> –</w:t>
      </w:r>
      <w:r w:rsidRPr="004F550F">
        <w:rPr>
          <w:rFonts w:ascii="Avenir Next" w:hAnsi="Avenir Next"/>
          <w:color w:val="7F7F7F" w:themeColor="text1" w:themeTint="80"/>
        </w:rPr>
        <w:t xml:space="preserve"> a contractual agreement with a </w:t>
      </w:r>
      <w:proofErr w:type="gramStart"/>
      <w:r w:rsidRPr="004F550F">
        <w:rPr>
          <w:rFonts w:ascii="Avenir Next" w:hAnsi="Avenir Next"/>
          <w:color w:val="7F7F7F" w:themeColor="text1" w:themeTint="80"/>
        </w:rPr>
        <w:t>third party</w:t>
      </w:r>
      <w:proofErr w:type="gramEnd"/>
      <w:r w:rsidRPr="004F550F">
        <w:rPr>
          <w:rFonts w:ascii="Avenir Next" w:hAnsi="Avenir Next"/>
          <w:color w:val="7F7F7F" w:themeColor="text1" w:themeTint="80"/>
        </w:rPr>
        <w:t xml:space="preserve"> funder</w:t>
      </w:r>
      <w:r>
        <w:rPr>
          <w:rFonts w:ascii="Avenir Next" w:hAnsi="Avenir Next"/>
          <w:color w:val="7F7F7F" w:themeColor="text1" w:themeTint="80"/>
        </w:rPr>
        <w:t xml:space="preserve"> (normally a stakeholder or commercial funder) who agrees to fund the litigation subject to the agreed terms. </w:t>
      </w:r>
      <w:r>
        <w:rPr>
          <w:rFonts w:ascii="Avenir Next" w:hAnsi="Avenir Next"/>
        </w:rPr>
        <w:t xml:space="preserve"> </w:t>
      </w:r>
    </w:p>
    <w:p w14:paraId="7868DE48" w14:textId="474F9829" w:rsidR="004F550F" w:rsidRDefault="004F550F" w:rsidP="00124175">
      <w:pPr>
        <w:pStyle w:val="BodyText"/>
        <w:numPr>
          <w:ilvl w:val="0"/>
          <w:numId w:val="30"/>
        </w:numPr>
        <w:rPr>
          <w:rFonts w:ascii="Avenir Next" w:hAnsi="Avenir Next"/>
          <w:color w:val="7F7F7F" w:themeColor="text1" w:themeTint="80"/>
        </w:rPr>
      </w:pPr>
      <w:r>
        <w:rPr>
          <w:rFonts w:ascii="Avenir Next" w:hAnsi="Avenir Next"/>
          <w:b/>
          <w:bCs/>
          <w:color w:val="7F7F7F" w:themeColor="text1" w:themeTint="80"/>
        </w:rPr>
        <w:t>Conditional Fee Agreements –</w:t>
      </w:r>
      <w:r>
        <w:rPr>
          <w:rFonts w:ascii="Avenir Next" w:hAnsi="Avenir Next"/>
        </w:rPr>
        <w:t xml:space="preserve"> </w:t>
      </w:r>
      <w:r w:rsidRPr="004F550F">
        <w:rPr>
          <w:rFonts w:ascii="Avenir Next" w:hAnsi="Avenir Next"/>
          <w:color w:val="7F7F7F" w:themeColor="text1" w:themeTint="80"/>
        </w:rPr>
        <w:t xml:space="preserve">payment to the lawyer is conditional on success </w:t>
      </w:r>
      <w:r>
        <w:rPr>
          <w:rFonts w:ascii="Avenir Next" w:hAnsi="Avenir Next"/>
          <w:color w:val="7F7F7F" w:themeColor="text1" w:themeTint="80"/>
        </w:rPr>
        <w:t>of the claim,</w:t>
      </w:r>
      <w:r w:rsidRPr="004F550F">
        <w:rPr>
          <w:rFonts w:ascii="Avenir Next" w:hAnsi="Avenir Next"/>
          <w:color w:val="7F7F7F" w:themeColor="text1" w:themeTint="80"/>
        </w:rPr>
        <w:t xml:space="preserve"> they will be paid an hourly rate plus a success fee if the claim succeeds and nothing if it doesn’t</w:t>
      </w:r>
      <w:r>
        <w:rPr>
          <w:rFonts w:ascii="Avenir Next" w:hAnsi="Avenir Next"/>
          <w:color w:val="7F7F7F" w:themeColor="text1" w:themeTint="80"/>
        </w:rPr>
        <w:t xml:space="preserve"> </w:t>
      </w:r>
      <w:r w:rsidR="00A13DF4">
        <w:rPr>
          <w:rFonts w:ascii="Avenir Next" w:hAnsi="Avenir Next"/>
          <w:color w:val="7F7F7F" w:themeColor="text1" w:themeTint="80"/>
        </w:rPr>
        <w:t>succeed</w:t>
      </w:r>
      <w:r w:rsidRPr="004F550F">
        <w:rPr>
          <w:rFonts w:ascii="Avenir Next" w:hAnsi="Avenir Next"/>
          <w:color w:val="7F7F7F" w:themeColor="text1" w:themeTint="80"/>
        </w:rPr>
        <w:t xml:space="preserve">. </w:t>
      </w:r>
      <w:r>
        <w:rPr>
          <w:rFonts w:ascii="Avenir Next" w:hAnsi="Avenir Next"/>
          <w:color w:val="7F7F7F" w:themeColor="text1" w:themeTint="80"/>
        </w:rPr>
        <w:t>Pursuant to section 4 PFLSA, the maximum success fee permitted cannot exceed 100% of normal hourly rates.</w:t>
      </w:r>
    </w:p>
    <w:p w14:paraId="127F4C65" w14:textId="0CC387DF" w:rsidR="004F550F" w:rsidRDefault="004F550F" w:rsidP="00124175">
      <w:pPr>
        <w:pStyle w:val="BodyText"/>
        <w:numPr>
          <w:ilvl w:val="0"/>
          <w:numId w:val="30"/>
        </w:numPr>
        <w:rPr>
          <w:rFonts w:ascii="Avenir Next" w:hAnsi="Avenir Next"/>
          <w:color w:val="7F7F7F" w:themeColor="text1" w:themeTint="80"/>
        </w:rPr>
      </w:pPr>
      <w:r>
        <w:rPr>
          <w:rFonts w:ascii="Avenir Next" w:hAnsi="Avenir Next"/>
          <w:b/>
          <w:bCs/>
          <w:color w:val="7F7F7F" w:themeColor="text1" w:themeTint="80"/>
        </w:rPr>
        <w:t>Contingency Fee Agreements</w:t>
      </w:r>
      <w:r w:rsidR="00A13DF4">
        <w:rPr>
          <w:rFonts w:ascii="Avenir Next" w:hAnsi="Avenir Next"/>
          <w:b/>
          <w:bCs/>
          <w:color w:val="7F7F7F" w:themeColor="text1" w:themeTint="80"/>
        </w:rPr>
        <w:t xml:space="preserve"> (</w:t>
      </w:r>
      <w:r w:rsidR="00A13DF4" w:rsidRPr="00A13DF4">
        <w:rPr>
          <w:rFonts w:ascii="Avenir Next" w:hAnsi="Avenir Next"/>
          <w:color w:val="7F7F7F" w:themeColor="text1" w:themeTint="80"/>
        </w:rPr>
        <w:t>permitted pursuant to s3 PFLSA</w:t>
      </w:r>
      <w:r w:rsidR="00A13DF4">
        <w:rPr>
          <w:rFonts w:ascii="Avenir Next" w:hAnsi="Avenir Next"/>
          <w:color w:val="7F7F7F" w:themeColor="text1" w:themeTint="80"/>
        </w:rPr>
        <w:t>)</w:t>
      </w:r>
      <w:r>
        <w:rPr>
          <w:rFonts w:ascii="Avenir Next" w:hAnsi="Avenir Next"/>
          <w:b/>
          <w:bCs/>
          <w:color w:val="7F7F7F" w:themeColor="text1" w:themeTint="80"/>
        </w:rPr>
        <w:t xml:space="preserve"> –</w:t>
      </w:r>
      <w:r>
        <w:rPr>
          <w:rFonts w:ascii="Avenir Next" w:hAnsi="Avenir Next"/>
          <w:color w:val="7F7F7F" w:themeColor="text1" w:themeTint="80"/>
        </w:rPr>
        <w:t xml:space="preserve"> payment to the lawyer is </w:t>
      </w:r>
      <w:proofErr w:type="gramStart"/>
      <w:r>
        <w:rPr>
          <w:rFonts w:ascii="Avenir Next" w:hAnsi="Avenir Next"/>
          <w:color w:val="7F7F7F" w:themeColor="text1" w:themeTint="80"/>
        </w:rPr>
        <w:t>on the basis of</w:t>
      </w:r>
      <w:proofErr w:type="gramEnd"/>
      <w:r>
        <w:rPr>
          <w:rFonts w:ascii="Avenir Next" w:hAnsi="Avenir Next"/>
          <w:color w:val="7F7F7F" w:themeColor="text1" w:themeTint="80"/>
        </w:rPr>
        <w:t xml:space="preserve"> a percentage of recoveries if the claim succeeds and nothing if it doesn’t succeed. </w:t>
      </w:r>
      <w:r w:rsidR="00997A91">
        <w:rPr>
          <w:rFonts w:ascii="Avenir Next" w:hAnsi="Avenir Next"/>
          <w:color w:val="7F7F7F" w:themeColor="text1" w:themeTint="80"/>
        </w:rPr>
        <w:t xml:space="preserve">Pursuant to Regulation 8 of the Private Funding of Legal Services Regulations 2021, the maximum percentage must not exceed 33.3% of the total amount awarded or value of property recovered. This can be increased to 40% by application to the Cayman Islands Courts. </w:t>
      </w:r>
    </w:p>
    <w:p w14:paraId="6A6D9C26" w14:textId="77777777" w:rsidR="00997A91" w:rsidRDefault="00997A91" w:rsidP="00997A91">
      <w:pPr>
        <w:pStyle w:val="BodyText"/>
        <w:ind w:firstLine="0"/>
        <w:rPr>
          <w:rFonts w:ascii="Avenir Next" w:hAnsi="Avenir Next"/>
          <w:b/>
          <w:bCs/>
          <w:color w:val="7F7F7F" w:themeColor="text1" w:themeTint="80"/>
        </w:rPr>
      </w:pPr>
    </w:p>
    <w:p w14:paraId="1D99AADA" w14:textId="64E08A1F" w:rsidR="00997A91" w:rsidRDefault="00997A91" w:rsidP="00997A91">
      <w:pPr>
        <w:pStyle w:val="BodyText"/>
        <w:ind w:firstLine="0"/>
        <w:rPr>
          <w:rFonts w:ascii="Avenir Next" w:hAnsi="Avenir Next"/>
          <w:color w:val="7F7F7F" w:themeColor="text1" w:themeTint="80"/>
        </w:rPr>
      </w:pPr>
      <w:r w:rsidRPr="00997A91">
        <w:rPr>
          <w:rFonts w:ascii="Avenir Next" w:hAnsi="Avenir Next"/>
          <w:color w:val="7F7F7F" w:themeColor="text1" w:themeTint="80"/>
        </w:rPr>
        <w:t>A litigation funder is likely to require</w:t>
      </w:r>
      <w:r>
        <w:rPr>
          <w:rFonts w:ascii="Avenir Next" w:hAnsi="Avenir Next"/>
          <w:color w:val="7F7F7F" w:themeColor="text1" w:themeTint="80"/>
        </w:rPr>
        <w:t>:</w:t>
      </w:r>
      <w:r w:rsidRPr="00997A91">
        <w:rPr>
          <w:rFonts w:ascii="Avenir Next" w:hAnsi="Avenir Next"/>
          <w:color w:val="7F7F7F" w:themeColor="text1" w:themeTint="80"/>
        </w:rPr>
        <w:t xml:space="preserve"> </w:t>
      </w:r>
    </w:p>
    <w:p w14:paraId="131B56F8" w14:textId="10E39C22" w:rsidR="00997A91" w:rsidRDefault="00997A91" w:rsidP="00124175">
      <w:pPr>
        <w:pStyle w:val="BodyText"/>
        <w:numPr>
          <w:ilvl w:val="0"/>
          <w:numId w:val="31"/>
        </w:numPr>
        <w:rPr>
          <w:rFonts w:ascii="Avenir Next" w:hAnsi="Avenir Next"/>
          <w:color w:val="7F7F7F" w:themeColor="text1" w:themeTint="80"/>
        </w:rPr>
      </w:pPr>
      <w:r>
        <w:rPr>
          <w:rFonts w:ascii="Avenir Next" w:hAnsi="Avenir Next"/>
          <w:color w:val="7F7F7F" w:themeColor="text1" w:themeTint="80"/>
        </w:rPr>
        <w:t xml:space="preserve">A case summary with </w:t>
      </w:r>
      <w:r w:rsidRPr="00997A91">
        <w:rPr>
          <w:rFonts w:ascii="Avenir Next" w:hAnsi="Avenir Next"/>
          <w:color w:val="7F7F7F" w:themeColor="text1" w:themeTint="80"/>
        </w:rPr>
        <w:t xml:space="preserve">counsel’s opinion on the prospects of success of </w:t>
      </w:r>
      <w:r w:rsidR="00A55E06">
        <w:rPr>
          <w:rFonts w:ascii="Avenir Next" w:hAnsi="Avenir Next"/>
          <w:color w:val="7F7F7F" w:themeColor="text1" w:themeTint="80"/>
        </w:rPr>
        <w:t>each of the</w:t>
      </w:r>
      <w:r w:rsidRPr="00997A91">
        <w:rPr>
          <w:rFonts w:ascii="Avenir Next" w:hAnsi="Avenir Next"/>
          <w:color w:val="7F7F7F" w:themeColor="text1" w:themeTint="80"/>
        </w:rPr>
        <w:t xml:space="preserve"> relevant </w:t>
      </w:r>
      <w:proofErr w:type="gramStart"/>
      <w:r w:rsidRPr="00997A91">
        <w:rPr>
          <w:rFonts w:ascii="Avenir Next" w:hAnsi="Avenir Next"/>
          <w:color w:val="7F7F7F" w:themeColor="text1" w:themeTint="80"/>
        </w:rPr>
        <w:t>action</w:t>
      </w:r>
      <w:r w:rsidR="00A55E06">
        <w:rPr>
          <w:rFonts w:ascii="Avenir Next" w:hAnsi="Avenir Next"/>
          <w:color w:val="7F7F7F" w:themeColor="text1" w:themeTint="80"/>
        </w:rPr>
        <w:t>s</w:t>
      </w:r>
      <w:r>
        <w:rPr>
          <w:rFonts w:ascii="Avenir Next" w:hAnsi="Avenir Next"/>
          <w:color w:val="7F7F7F" w:themeColor="text1" w:themeTint="80"/>
        </w:rPr>
        <w:t>;</w:t>
      </w:r>
      <w:proofErr w:type="gramEnd"/>
    </w:p>
    <w:p w14:paraId="18E1B89F" w14:textId="06E97CA0" w:rsidR="005152D8" w:rsidRDefault="005152D8" w:rsidP="00124175">
      <w:pPr>
        <w:pStyle w:val="BodyText"/>
        <w:numPr>
          <w:ilvl w:val="0"/>
          <w:numId w:val="31"/>
        </w:numPr>
        <w:rPr>
          <w:rFonts w:ascii="Avenir Next" w:hAnsi="Avenir Next"/>
          <w:color w:val="7F7F7F" w:themeColor="text1" w:themeTint="80"/>
        </w:rPr>
      </w:pPr>
      <w:r>
        <w:rPr>
          <w:rFonts w:ascii="Avenir Next" w:hAnsi="Avenir Next"/>
          <w:color w:val="7F7F7F" w:themeColor="text1" w:themeTint="80"/>
        </w:rPr>
        <w:t>Costs estimate for the action</w:t>
      </w:r>
      <w:r w:rsidR="00A55E06">
        <w:rPr>
          <w:rFonts w:ascii="Avenir Next" w:hAnsi="Avenir Next"/>
          <w:color w:val="7F7F7F" w:themeColor="text1" w:themeTint="80"/>
        </w:rPr>
        <w:t>s</w:t>
      </w:r>
      <w:r>
        <w:rPr>
          <w:rFonts w:ascii="Avenir Next" w:hAnsi="Avenir Next"/>
          <w:color w:val="7F7F7F" w:themeColor="text1" w:themeTint="80"/>
        </w:rPr>
        <w:t xml:space="preserve"> and details of the terms of retainer with lawyers and senior </w:t>
      </w:r>
      <w:proofErr w:type="gramStart"/>
      <w:r>
        <w:rPr>
          <w:rFonts w:ascii="Avenir Next" w:hAnsi="Avenir Next"/>
          <w:color w:val="7F7F7F" w:themeColor="text1" w:themeTint="80"/>
        </w:rPr>
        <w:t>counsel;</w:t>
      </w:r>
      <w:proofErr w:type="gramEnd"/>
    </w:p>
    <w:p w14:paraId="58169CD0" w14:textId="610B7D9D" w:rsidR="00997A91" w:rsidRDefault="005152D8" w:rsidP="00124175">
      <w:pPr>
        <w:pStyle w:val="BodyText"/>
        <w:numPr>
          <w:ilvl w:val="0"/>
          <w:numId w:val="31"/>
        </w:numPr>
        <w:rPr>
          <w:rFonts w:ascii="Avenir Next" w:hAnsi="Avenir Next"/>
          <w:color w:val="7F7F7F" w:themeColor="text1" w:themeTint="80"/>
        </w:rPr>
      </w:pPr>
      <w:r>
        <w:rPr>
          <w:rFonts w:ascii="Avenir Next" w:hAnsi="Avenir Next"/>
          <w:color w:val="7F7F7F" w:themeColor="text1" w:themeTint="80"/>
        </w:rPr>
        <w:t xml:space="preserve">Any potential milestones for settlement of the </w:t>
      </w:r>
      <w:r w:rsidR="00A55E06">
        <w:rPr>
          <w:rFonts w:ascii="Avenir Next" w:hAnsi="Avenir Next"/>
          <w:color w:val="7F7F7F" w:themeColor="text1" w:themeTint="80"/>
        </w:rPr>
        <w:t>relevant actions;</w:t>
      </w:r>
      <w:r>
        <w:rPr>
          <w:rFonts w:ascii="Avenir Next" w:hAnsi="Avenir Next"/>
          <w:color w:val="7F7F7F" w:themeColor="text1" w:themeTint="80"/>
        </w:rPr>
        <w:t xml:space="preserve"> and</w:t>
      </w:r>
    </w:p>
    <w:p w14:paraId="5A4629A0" w14:textId="5D5A4405" w:rsidR="005152D8" w:rsidRDefault="005152D8" w:rsidP="00124175">
      <w:pPr>
        <w:pStyle w:val="BodyText"/>
        <w:numPr>
          <w:ilvl w:val="0"/>
          <w:numId w:val="31"/>
        </w:numPr>
        <w:rPr>
          <w:rFonts w:ascii="Avenir Next" w:hAnsi="Avenir Next"/>
          <w:color w:val="7F7F7F" w:themeColor="text1" w:themeTint="80"/>
        </w:rPr>
      </w:pPr>
      <w:r>
        <w:rPr>
          <w:rFonts w:ascii="Avenir Next" w:hAnsi="Avenir Next"/>
          <w:color w:val="7F7F7F" w:themeColor="text1" w:themeTint="80"/>
        </w:rPr>
        <w:t>The likely quantum of recoveries and likelihood of recoverability as against the opponent</w:t>
      </w:r>
      <w:r w:rsidR="00A55E06">
        <w:rPr>
          <w:rFonts w:ascii="Avenir Next" w:hAnsi="Avenir Next"/>
          <w:color w:val="7F7F7F" w:themeColor="text1" w:themeTint="80"/>
        </w:rPr>
        <w:t xml:space="preserve">s </w:t>
      </w:r>
      <w:proofErr w:type="gramStart"/>
      <w:r w:rsidR="00A55E06">
        <w:rPr>
          <w:rFonts w:ascii="Avenir Next" w:hAnsi="Avenir Next"/>
          <w:color w:val="7F7F7F" w:themeColor="text1" w:themeTint="80"/>
        </w:rPr>
        <w:t>taking into account</w:t>
      </w:r>
      <w:proofErr w:type="gramEnd"/>
      <w:r w:rsidR="00A55E06">
        <w:rPr>
          <w:rFonts w:ascii="Avenir Next" w:hAnsi="Avenir Next"/>
          <w:color w:val="7F7F7F" w:themeColor="text1" w:themeTint="80"/>
        </w:rPr>
        <w:t xml:space="preserve"> their solvency and available assets, especially the Panamanian directors and investment manager</w:t>
      </w:r>
      <w:r>
        <w:rPr>
          <w:rFonts w:ascii="Avenir Next" w:hAnsi="Avenir Next"/>
          <w:color w:val="7F7F7F" w:themeColor="text1" w:themeTint="80"/>
        </w:rPr>
        <w:t>.</w:t>
      </w: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0830367D" w14:textId="5BE3D5B1" w:rsidR="00040132" w:rsidRDefault="00CF514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 application </w:t>
      </w:r>
      <w:r>
        <w:rPr>
          <w:rFonts w:ascii="Avenir Next" w:hAnsi="Avenir Next"/>
          <w:color w:val="808080" w:themeColor="background1" w:themeShade="80"/>
        </w:rPr>
        <w:t xml:space="preserve">to appoint a receiver in support of the mandatory powers of the freezing injunction </w:t>
      </w:r>
      <w:r>
        <w:rPr>
          <w:rFonts w:ascii="Avenir Next" w:hAnsi="Avenir Next"/>
          <w:color w:val="808080" w:themeColor="background1" w:themeShade="80"/>
        </w:rPr>
        <w:t xml:space="preserve">can be made </w:t>
      </w:r>
      <w:r>
        <w:rPr>
          <w:rFonts w:ascii="Avenir Next" w:hAnsi="Avenir Next"/>
          <w:color w:val="808080" w:themeColor="background1" w:themeShade="80"/>
        </w:rPr>
        <w:t xml:space="preserve">to </w:t>
      </w:r>
      <w:r>
        <w:rPr>
          <w:rFonts w:ascii="Avenir Next" w:hAnsi="Avenir Next"/>
          <w:color w:val="808080" w:themeColor="background1" w:themeShade="80"/>
        </w:rPr>
        <w:t xml:space="preserve">allow receivers to </w:t>
      </w:r>
      <w:r>
        <w:rPr>
          <w:rFonts w:ascii="Avenir Next" w:hAnsi="Avenir Next"/>
          <w:color w:val="808080" w:themeColor="background1" w:themeShade="80"/>
        </w:rPr>
        <w:t xml:space="preserve">take possession of and preserve the US$900,000 in the US Bank Account. </w:t>
      </w:r>
      <w:r>
        <w:rPr>
          <w:rFonts w:ascii="Avenir Next" w:hAnsi="Avenir Next"/>
          <w:color w:val="808080" w:themeColor="background1" w:themeShade="80"/>
        </w:rPr>
        <w:t>The Court has previously held that it will only be appropriate to appoint a receiver in circumstances in which an injunction is insufficient on its own and in cases where there is a measurable risk that, if a receiver is not appointed, a defendant will act in breach of the injunction or otherwise seek to ensure that his assets will not be available to satisfy any judgment which may in due course be made against him (</w:t>
      </w:r>
      <w:r w:rsidRPr="00CF5142">
        <w:rPr>
          <w:rFonts w:ascii="Avenir Next" w:hAnsi="Avenir Next"/>
          <w:i/>
          <w:iCs/>
          <w:color w:val="808080" w:themeColor="background1" w:themeShade="80"/>
        </w:rPr>
        <w:t>see JSC BTA Bank v Ablyazov (No.3) [2010] EWCA Civ 1141.</w:t>
      </w:r>
      <w:r>
        <w:rPr>
          <w:rFonts w:ascii="Avenir Next" w:hAnsi="Avenir Next"/>
          <w:color w:val="808080" w:themeColor="background1" w:themeShade="80"/>
        </w:rPr>
        <w:t xml:space="preserve">) </w:t>
      </w:r>
    </w:p>
    <w:p w14:paraId="6DF70588" w14:textId="77777777" w:rsidR="00040132" w:rsidRDefault="00040132" w:rsidP="00137A41">
      <w:pPr>
        <w:pStyle w:val="BodyText"/>
        <w:ind w:firstLine="0"/>
        <w:rPr>
          <w:rFonts w:ascii="Avenir Next" w:hAnsi="Avenir Next"/>
          <w:color w:val="808080" w:themeColor="background1" w:themeShade="80"/>
        </w:rPr>
      </w:pPr>
    </w:p>
    <w:p w14:paraId="65B78F39" w14:textId="39B912EE" w:rsidR="00D645AF" w:rsidRDefault="0004013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We would require further information on any further assets of the Panamanian director which the liquidators may be seeking to preserve</w:t>
      </w:r>
      <w:r w:rsidR="00EC47D5">
        <w:rPr>
          <w:rFonts w:ascii="Avenir Next" w:hAnsi="Avenir Next"/>
          <w:color w:val="808080" w:themeColor="background1" w:themeShade="80"/>
        </w:rPr>
        <w:t xml:space="preserve"> and whether any of those assets are held in a transparent manner, if held transparently a receivership order may well not be necessary</w:t>
      </w:r>
      <w:r>
        <w:rPr>
          <w:rFonts w:ascii="Avenir Next" w:hAnsi="Avenir Next"/>
          <w:color w:val="808080" w:themeColor="background1" w:themeShade="80"/>
        </w:rPr>
        <w:t xml:space="preserve">. </w:t>
      </w:r>
      <w:r w:rsidR="00B84B3C">
        <w:rPr>
          <w:rFonts w:ascii="Avenir Next" w:hAnsi="Avenir Next"/>
          <w:color w:val="808080" w:themeColor="background1" w:themeShade="80"/>
        </w:rPr>
        <w:t>Assuming that the action is solely in connection with recovery of the US$900,000,</w:t>
      </w:r>
      <w:r w:rsidR="00EC47D5">
        <w:rPr>
          <w:rFonts w:ascii="Avenir Next" w:hAnsi="Avenir Next"/>
          <w:color w:val="808080" w:themeColor="background1" w:themeShade="80"/>
        </w:rPr>
        <w:t xml:space="preserve"> it is held in a bank account in the director’s name,</w:t>
      </w:r>
      <w:r w:rsidR="00B84B3C">
        <w:rPr>
          <w:rFonts w:ascii="Avenir Next" w:hAnsi="Avenir Next"/>
          <w:color w:val="808080" w:themeColor="background1" w:themeShade="80"/>
        </w:rPr>
        <w:t xml:space="preserve"> any application for a freezing injunction would also be issued against Trusted Bank Corp in the USA seeking an interim order to prohibit the Bank from acting on the instruction of the </w:t>
      </w:r>
      <w:r w:rsidR="00B84B3C">
        <w:rPr>
          <w:rFonts w:ascii="Avenir Next" w:hAnsi="Avenir Next"/>
          <w:color w:val="808080" w:themeColor="background1" w:themeShade="80"/>
        </w:rPr>
        <w:lastRenderedPageBreak/>
        <w:t xml:space="preserve">Panamanian director </w:t>
      </w:r>
      <w:r w:rsidR="00EC47D5">
        <w:rPr>
          <w:rFonts w:ascii="Avenir Next" w:hAnsi="Avenir Next"/>
          <w:color w:val="808080" w:themeColor="background1" w:themeShade="80"/>
        </w:rPr>
        <w:t xml:space="preserve">to remove the assets from the bank account </w:t>
      </w:r>
      <w:r w:rsidR="00B84B3C">
        <w:rPr>
          <w:rFonts w:ascii="Avenir Next" w:hAnsi="Avenir Next"/>
          <w:color w:val="808080" w:themeColor="background1" w:themeShade="80"/>
        </w:rPr>
        <w:t xml:space="preserve">pending final order. There is no reason to believe </w:t>
      </w:r>
      <w:proofErr w:type="gramStart"/>
      <w:r w:rsidR="00B84B3C">
        <w:rPr>
          <w:rFonts w:ascii="Avenir Next" w:hAnsi="Avenir Next"/>
          <w:color w:val="808080" w:themeColor="background1" w:themeShade="80"/>
        </w:rPr>
        <w:t>on</w:t>
      </w:r>
      <w:proofErr w:type="gramEnd"/>
      <w:r w:rsidR="00B84B3C">
        <w:rPr>
          <w:rFonts w:ascii="Avenir Next" w:hAnsi="Avenir Next"/>
          <w:color w:val="808080" w:themeColor="background1" w:themeShade="80"/>
        </w:rPr>
        <w:t xml:space="preserve"> current instructions that Trusted Bank Corp would act otherwise than in accordance with the Mareva injunction such that it would be insufficient on its own. If it did so, the liquidators would have a potential cause of action against it for recovery of the US$900,000. </w:t>
      </w:r>
    </w:p>
    <w:p w14:paraId="54C43757" w14:textId="77777777" w:rsidR="00EC47D5" w:rsidRDefault="00EC47D5" w:rsidP="00137A41">
      <w:pPr>
        <w:pStyle w:val="BodyText"/>
        <w:ind w:firstLine="0"/>
        <w:rPr>
          <w:rFonts w:ascii="Avenir Next" w:hAnsi="Avenir Next"/>
          <w:color w:val="808080" w:themeColor="background1" w:themeShade="80"/>
        </w:rPr>
      </w:pPr>
    </w:p>
    <w:p w14:paraId="3F8B2575" w14:textId="77777777" w:rsidR="00EC47D5" w:rsidRPr="00486A0B" w:rsidRDefault="00EC47D5" w:rsidP="00137A41">
      <w:pPr>
        <w:pStyle w:val="BodyText"/>
        <w:ind w:firstLine="0"/>
        <w:rPr>
          <w:rFonts w:ascii="Avenir Next" w:hAnsi="Avenir Next"/>
          <w:b/>
          <w:bCs/>
        </w:rPr>
      </w:pPr>
    </w:p>
    <w:p w14:paraId="4DFE77C4" w14:textId="77777777" w:rsidR="00D645AF" w:rsidRDefault="00D645AF" w:rsidP="00137A41"/>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6845EEC9" w14:textId="77777777" w:rsidR="00A94005" w:rsidRDefault="000D190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the real estate project assets are subject to a valid fixed charge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of Gamboa, </w:t>
      </w:r>
      <w:r w:rsidR="00BA4B16">
        <w:rPr>
          <w:rFonts w:ascii="Avenir Next" w:hAnsi="Avenir Next"/>
          <w:color w:val="808080" w:themeColor="background1" w:themeShade="80"/>
        </w:rPr>
        <w:t xml:space="preserve">it ranks in priority to all other creditors and </w:t>
      </w:r>
      <w:r>
        <w:rPr>
          <w:rFonts w:ascii="Avenir Next" w:hAnsi="Avenir Next"/>
          <w:color w:val="808080" w:themeColor="background1" w:themeShade="80"/>
        </w:rPr>
        <w:t>the relevant assets do not form part of the liquidation estate and cannot be dealt with by the JOLs without the express consent of Gamboa. Gamboa can</w:t>
      </w:r>
      <w:r w:rsidR="00A94005">
        <w:rPr>
          <w:rFonts w:ascii="Avenir Next" w:hAnsi="Avenir Next"/>
          <w:color w:val="808080" w:themeColor="background1" w:themeShade="80"/>
        </w:rPr>
        <w:t>:</w:t>
      </w:r>
    </w:p>
    <w:p w14:paraId="6456F520" w14:textId="5D545049" w:rsidR="00D645AF" w:rsidRDefault="000D1908" w:rsidP="00124175">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 xml:space="preserve">proceed to enforce its security in accordance with the terms of the security contract without reference to the JOLs (section 142(1) CA) and without the leave of the Grand Court. </w:t>
      </w:r>
      <w:r w:rsidR="00BA4B16">
        <w:rPr>
          <w:rFonts w:ascii="Avenir Next" w:hAnsi="Avenir Next"/>
          <w:color w:val="808080" w:themeColor="background1" w:themeShade="80"/>
        </w:rPr>
        <w:t xml:space="preserve">Depending on the type of security </w:t>
      </w:r>
      <w:r w:rsidR="00A94005">
        <w:rPr>
          <w:rFonts w:ascii="Avenir Next" w:hAnsi="Avenir Next"/>
          <w:color w:val="808080" w:themeColor="background1" w:themeShade="80"/>
        </w:rPr>
        <w:t xml:space="preserve">taken </w:t>
      </w:r>
      <w:r w:rsidR="00BA4B16">
        <w:rPr>
          <w:rFonts w:ascii="Avenir Next" w:hAnsi="Avenir Next"/>
          <w:color w:val="808080" w:themeColor="background1" w:themeShade="80"/>
        </w:rPr>
        <w:t>in respect of the assets</w:t>
      </w:r>
      <w:r w:rsidR="00A94005">
        <w:rPr>
          <w:rFonts w:ascii="Avenir Next" w:hAnsi="Avenir Next"/>
          <w:color w:val="808080" w:themeColor="background1" w:themeShade="80"/>
        </w:rPr>
        <w:t xml:space="preserve"> and the terms of the security</w:t>
      </w:r>
      <w:r w:rsidR="00BA4B16">
        <w:rPr>
          <w:rFonts w:ascii="Avenir Next" w:hAnsi="Avenir Next"/>
          <w:color w:val="808080" w:themeColor="background1" w:themeShade="80"/>
        </w:rPr>
        <w:t>, Gamboa could take possession of the property or seek to appoint a</w:t>
      </w:r>
      <w:r w:rsidR="00A94005">
        <w:rPr>
          <w:rFonts w:ascii="Avenir Next" w:hAnsi="Avenir Next"/>
          <w:color w:val="808080" w:themeColor="background1" w:themeShade="80"/>
        </w:rPr>
        <w:t xml:space="preserve"> privately appointed</w:t>
      </w:r>
      <w:r w:rsidR="00BA4B16">
        <w:rPr>
          <w:rFonts w:ascii="Avenir Next" w:hAnsi="Avenir Next"/>
          <w:color w:val="808080" w:themeColor="background1" w:themeShade="80"/>
        </w:rPr>
        <w:t xml:space="preserve"> receiver over the property</w:t>
      </w:r>
      <w:r w:rsidR="00A94005">
        <w:rPr>
          <w:rFonts w:ascii="Avenir Next" w:hAnsi="Avenir Next"/>
          <w:color w:val="808080" w:themeColor="background1" w:themeShade="80"/>
        </w:rPr>
        <w:t xml:space="preserve"> pursuant to the terms of the security</w:t>
      </w:r>
      <w:r w:rsidR="00BA4B16">
        <w:rPr>
          <w:rFonts w:ascii="Avenir Next" w:hAnsi="Avenir Next"/>
          <w:color w:val="808080" w:themeColor="background1" w:themeShade="80"/>
        </w:rPr>
        <w:t xml:space="preserve">. </w:t>
      </w:r>
      <w:r w:rsidR="00A94005">
        <w:rPr>
          <w:rFonts w:ascii="Avenir Next" w:hAnsi="Avenir Next"/>
          <w:color w:val="808080" w:themeColor="background1" w:themeShade="80"/>
        </w:rPr>
        <w:t xml:space="preserve">The powers of any receiver appointed pursuant to the charge would be as provided for within the </w:t>
      </w:r>
      <w:proofErr w:type="gramStart"/>
      <w:r w:rsidR="00A94005">
        <w:rPr>
          <w:rFonts w:ascii="Avenir Next" w:hAnsi="Avenir Next"/>
          <w:color w:val="808080" w:themeColor="background1" w:themeShade="80"/>
        </w:rPr>
        <w:t>charge;</w:t>
      </w:r>
      <w:proofErr w:type="gramEnd"/>
    </w:p>
    <w:p w14:paraId="4F759656" w14:textId="77777777" w:rsidR="003D1577" w:rsidRDefault="003D1577" w:rsidP="00124175">
      <w:pPr>
        <w:pStyle w:val="BodyText"/>
        <w:numPr>
          <w:ilvl w:val="0"/>
          <w:numId w:val="32"/>
        </w:numPr>
        <w:rPr>
          <w:rFonts w:ascii="Avenir Next" w:hAnsi="Avenir Next"/>
          <w:color w:val="808080" w:themeColor="background1" w:themeShade="80"/>
        </w:rPr>
      </w:pPr>
      <w:r>
        <w:rPr>
          <w:rFonts w:ascii="Avenir Next" w:hAnsi="Avenir Next"/>
          <w:color w:val="808080" w:themeColor="background1" w:themeShade="80"/>
        </w:rPr>
        <w:t xml:space="preserve">apply to appoint a Court appointed receiver, subject to meeting the conditions contained within s 72 of the Land Act and subject to enforcement considerations in </w:t>
      </w:r>
      <w:proofErr w:type="gramStart"/>
      <w:r>
        <w:rPr>
          <w:rFonts w:ascii="Avenir Next" w:hAnsi="Avenir Next"/>
          <w:color w:val="808080" w:themeColor="background1" w:themeShade="80"/>
        </w:rPr>
        <w:t>Panama;</w:t>
      </w:r>
      <w:proofErr w:type="gramEnd"/>
    </w:p>
    <w:p w14:paraId="652BE7E8" w14:textId="77777777" w:rsidR="003D1577" w:rsidRDefault="00BA4B16" w:rsidP="00124175">
      <w:pPr>
        <w:pStyle w:val="BodyText"/>
        <w:numPr>
          <w:ilvl w:val="0"/>
          <w:numId w:val="32"/>
        </w:numPr>
        <w:rPr>
          <w:rFonts w:ascii="Avenir Next" w:hAnsi="Avenir Next"/>
          <w:color w:val="808080" w:themeColor="background1" w:themeShade="80"/>
        </w:rPr>
      </w:pPr>
      <w:r w:rsidRPr="003D1577">
        <w:rPr>
          <w:rFonts w:ascii="Avenir Next" w:hAnsi="Avenir Next"/>
          <w:color w:val="808080" w:themeColor="background1" w:themeShade="80"/>
        </w:rPr>
        <w:t xml:space="preserve">elect to permit the JOLs to sell the property on its behalf, in such circumstances the JOLs costs in the care, preservation and realization of the property will be recoverable in priority to the payment to Gamboa. Subject to </w:t>
      </w:r>
      <w:r w:rsidR="00E47259" w:rsidRPr="003D1577">
        <w:rPr>
          <w:rFonts w:ascii="Avenir Next" w:hAnsi="Avenir Next"/>
          <w:color w:val="808080" w:themeColor="background1" w:themeShade="80"/>
        </w:rPr>
        <w:t xml:space="preserve">appraisal of the costs and timescales involved, the consent of Gamboa and to </w:t>
      </w:r>
      <w:r w:rsidRPr="003D1577">
        <w:rPr>
          <w:rFonts w:ascii="Avenir Next" w:hAnsi="Avenir Next"/>
          <w:color w:val="808080" w:themeColor="background1" w:themeShade="80"/>
        </w:rPr>
        <w:t>the sanction of the Court</w:t>
      </w:r>
      <w:r w:rsidR="00E47259" w:rsidRPr="003D1577">
        <w:rPr>
          <w:rFonts w:ascii="Avenir Next" w:hAnsi="Avenir Next"/>
          <w:color w:val="808080" w:themeColor="background1" w:themeShade="80"/>
        </w:rPr>
        <w:t>,</w:t>
      </w:r>
      <w:r w:rsidRPr="003D1577">
        <w:rPr>
          <w:rFonts w:ascii="Avenir Next" w:hAnsi="Avenir Next"/>
          <w:color w:val="808080" w:themeColor="background1" w:themeShade="80"/>
        </w:rPr>
        <w:t xml:space="preserve"> </w:t>
      </w:r>
      <w:r w:rsidR="00E47259" w:rsidRPr="003D1577">
        <w:rPr>
          <w:rFonts w:ascii="Avenir Next" w:hAnsi="Avenir Next"/>
          <w:color w:val="808080" w:themeColor="background1" w:themeShade="80"/>
        </w:rPr>
        <w:t>t</w:t>
      </w:r>
      <w:r w:rsidRPr="003D1577">
        <w:rPr>
          <w:rFonts w:ascii="Avenir Next" w:hAnsi="Avenir Next"/>
          <w:color w:val="808080" w:themeColor="background1" w:themeShade="80"/>
        </w:rPr>
        <w:t>he JOLs could</w:t>
      </w:r>
      <w:r w:rsidR="00E47259" w:rsidRPr="003D1577">
        <w:rPr>
          <w:rFonts w:ascii="Avenir Next" w:hAnsi="Avenir Next"/>
          <w:color w:val="808080" w:themeColor="background1" w:themeShade="80"/>
        </w:rPr>
        <w:t xml:space="preserve"> seek to complete the Panamanian real estate project to </w:t>
      </w:r>
      <w:proofErr w:type="spellStart"/>
      <w:r w:rsidR="00E47259" w:rsidRPr="003D1577">
        <w:rPr>
          <w:rFonts w:ascii="Avenir Next" w:hAnsi="Avenir Next"/>
          <w:color w:val="808080" w:themeColor="background1" w:themeShade="80"/>
        </w:rPr>
        <w:t>maximise</w:t>
      </w:r>
      <w:proofErr w:type="spellEnd"/>
      <w:r w:rsidR="00E47259" w:rsidRPr="003D1577">
        <w:rPr>
          <w:rFonts w:ascii="Avenir Next" w:hAnsi="Avenir Next"/>
          <w:color w:val="808080" w:themeColor="background1" w:themeShade="80"/>
        </w:rPr>
        <w:t xml:space="preserve"> value in and likely recoveries from the liquidation estate for the benefit of all creditors. It appears that this would potentially result in a return of an additional US$17m to the liquidation estate for the benefit of creditors and given the Gamboa monies were purportedly advanced to complete the project, may not result in the JOLs incurring significant further funds in doing so, however, this would need to be explored. </w:t>
      </w:r>
    </w:p>
    <w:p w14:paraId="431F4A88" w14:textId="77777777" w:rsidR="003D1577" w:rsidRDefault="003D1577" w:rsidP="003D1577">
      <w:pPr>
        <w:pStyle w:val="BodyText"/>
        <w:ind w:left="410" w:firstLine="0"/>
        <w:rPr>
          <w:rFonts w:ascii="Avenir Next" w:hAnsi="Avenir Next"/>
          <w:color w:val="808080" w:themeColor="background1" w:themeShade="80"/>
        </w:rPr>
      </w:pPr>
    </w:p>
    <w:p w14:paraId="608D3886" w14:textId="4A2C3DAD" w:rsidR="00A94005" w:rsidRPr="003D1577" w:rsidRDefault="00E47259" w:rsidP="003D1577">
      <w:pPr>
        <w:pStyle w:val="BodyText"/>
        <w:ind w:left="410" w:firstLine="0"/>
        <w:rPr>
          <w:rFonts w:ascii="Avenir Next" w:hAnsi="Avenir Next"/>
          <w:color w:val="808080" w:themeColor="background1" w:themeShade="80"/>
        </w:rPr>
      </w:pPr>
      <w:r w:rsidRPr="003D1577">
        <w:rPr>
          <w:rFonts w:ascii="Avenir Next" w:hAnsi="Avenir Next"/>
          <w:color w:val="808080" w:themeColor="background1" w:themeShade="80"/>
        </w:rPr>
        <w:t xml:space="preserve">In </w:t>
      </w:r>
      <w:r w:rsidR="003D1577">
        <w:rPr>
          <w:rFonts w:ascii="Avenir Next" w:hAnsi="Avenir Next"/>
          <w:color w:val="808080" w:themeColor="background1" w:themeShade="80"/>
        </w:rPr>
        <w:t>any event</w:t>
      </w:r>
      <w:r w:rsidRPr="003D1577">
        <w:rPr>
          <w:rFonts w:ascii="Avenir Next" w:hAnsi="Avenir Next"/>
          <w:color w:val="808080" w:themeColor="background1" w:themeShade="80"/>
        </w:rPr>
        <w:t xml:space="preserve">, Gamboa would continue to rank ahead of all other creditors, and any surplus in the amount recovered from the real estate project could be used for the benefit of the </w:t>
      </w:r>
      <w:r w:rsidRPr="003D1577">
        <w:rPr>
          <w:rFonts w:ascii="Avenir Next" w:hAnsi="Avenir Next"/>
          <w:color w:val="808080" w:themeColor="background1" w:themeShade="80"/>
        </w:rPr>
        <w:lastRenderedPageBreak/>
        <w:t xml:space="preserve">liquidation estate once Gamboa’s debt and security has been discharged. </w:t>
      </w:r>
      <w:r w:rsidR="003D1577">
        <w:rPr>
          <w:rFonts w:ascii="Avenir Next" w:hAnsi="Avenir Next"/>
          <w:color w:val="808080" w:themeColor="background1" w:themeShade="80"/>
        </w:rPr>
        <w:t>If the assets were sold at</w:t>
      </w:r>
      <w:r w:rsidR="00A94005" w:rsidRPr="003D1577">
        <w:rPr>
          <w:rFonts w:ascii="Avenir Next" w:hAnsi="Avenir Next"/>
          <w:color w:val="808080" w:themeColor="background1" w:themeShade="80"/>
        </w:rPr>
        <w:t xml:space="preserve"> a shortfall of US$2m, </w:t>
      </w:r>
      <w:proofErr w:type="spellStart"/>
      <w:r w:rsidR="003D1577">
        <w:rPr>
          <w:rFonts w:ascii="Avenir Next" w:hAnsi="Avenir Next"/>
          <w:color w:val="808080" w:themeColor="background1" w:themeShade="80"/>
        </w:rPr>
        <w:t>Gamoba</w:t>
      </w:r>
      <w:proofErr w:type="spellEnd"/>
      <w:r w:rsidR="00A94005" w:rsidRPr="003D1577">
        <w:rPr>
          <w:rFonts w:ascii="Avenir Next" w:hAnsi="Avenir Next"/>
          <w:color w:val="808080" w:themeColor="background1" w:themeShade="80"/>
        </w:rPr>
        <w:t xml:space="preserve"> can claim any shortfall on the amount of its security as an unsecured creditor in the liquidation and will need to submit a proof of debt which should state particulars of the security and the value placed on the security. It will rank for the unsecured portion of its debt </w:t>
      </w:r>
      <w:proofErr w:type="spellStart"/>
      <w:r w:rsidR="00A94005" w:rsidRPr="003D1577">
        <w:rPr>
          <w:rFonts w:ascii="Avenir Next" w:hAnsi="Avenir Next"/>
          <w:color w:val="808080" w:themeColor="background1" w:themeShade="80"/>
        </w:rPr>
        <w:t>pari</w:t>
      </w:r>
      <w:proofErr w:type="spellEnd"/>
      <w:r w:rsidR="00A94005" w:rsidRPr="003D1577">
        <w:rPr>
          <w:rFonts w:ascii="Avenir Next" w:hAnsi="Avenir Next"/>
          <w:color w:val="808080" w:themeColor="background1" w:themeShade="80"/>
        </w:rPr>
        <w:t xml:space="preserve"> passu with other unsecured creditors. </w:t>
      </w:r>
    </w:p>
    <w:p w14:paraId="469CEB85" w14:textId="24BE676A" w:rsidR="00BA4B16" w:rsidRPr="00486A0B" w:rsidRDefault="00BA4B16" w:rsidP="00137A41">
      <w:pPr>
        <w:pStyle w:val="BodyText"/>
        <w:ind w:firstLine="0"/>
        <w:rPr>
          <w:rFonts w:ascii="Avenir Next" w:hAnsi="Avenir Next"/>
          <w:b/>
          <w:bCs/>
        </w:rPr>
      </w:pPr>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w:t>
      </w:r>
      <w:proofErr w:type="gramStart"/>
      <w:r w:rsidRPr="003104AD">
        <w:rPr>
          <w:rFonts w:ascii="Avenir Next" w:hAnsi="Avenir Next"/>
        </w:rPr>
        <w:t>a number of</w:t>
      </w:r>
      <w:proofErr w:type="gramEnd"/>
      <w:r w:rsidRPr="003104AD">
        <w:rPr>
          <w:rFonts w:ascii="Avenir Next" w:hAnsi="Avenir Next"/>
        </w:rPr>
        <w:t xml:space="preserve">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3C9D02D0" w14:textId="2A014612" w:rsidR="00F808FC" w:rsidRDefault="00F808F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Given the credible evidence that the ultimate beneficial owners of Gamboa are the same two Panamanian directors of the Master Fund,</w:t>
      </w:r>
      <w:r w:rsidR="00EF092C">
        <w:rPr>
          <w:rFonts w:ascii="Avenir Next" w:hAnsi="Avenir Next"/>
          <w:color w:val="808080" w:themeColor="background1" w:themeShade="80"/>
        </w:rPr>
        <w:t xml:space="preserve"> and the fact that the security was granted in July 2023, only 3 months prior to the company entering liquidation,</w:t>
      </w:r>
      <w:r>
        <w:rPr>
          <w:rFonts w:ascii="Avenir Next" w:hAnsi="Avenir Next"/>
          <w:color w:val="808080" w:themeColor="background1" w:themeShade="80"/>
        </w:rPr>
        <w:t xml:space="preserve"> this could give rise to:</w:t>
      </w:r>
    </w:p>
    <w:p w14:paraId="17F2AA38" w14:textId="77777777" w:rsidR="00AD56E0" w:rsidRDefault="00AD56E0" w:rsidP="00137A41">
      <w:pPr>
        <w:pStyle w:val="BodyText"/>
        <w:ind w:firstLine="0"/>
        <w:rPr>
          <w:rFonts w:ascii="Avenir Next" w:hAnsi="Avenir Next"/>
          <w:color w:val="808080" w:themeColor="background1" w:themeShade="80"/>
        </w:rPr>
      </w:pPr>
    </w:p>
    <w:p w14:paraId="43D611DA" w14:textId="77777777" w:rsidR="00AD56E0" w:rsidRPr="00AD56E0" w:rsidRDefault="00EF092C" w:rsidP="00124175">
      <w:pPr>
        <w:pStyle w:val="BodyText"/>
        <w:numPr>
          <w:ilvl w:val="0"/>
          <w:numId w:val="33"/>
        </w:numPr>
        <w:rPr>
          <w:rFonts w:ascii="Avenir Next" w:hAnsi="Avenir Next"/>
        </w:rPr>
      </w:pPr>
      <w:r>
        <w:rPr>
          <w:rFonts w:ascii="Avenir Next" w:hAnsi="Avenir Next"/>
          <w:color w:val="808080" w:themeColor="background1" w:themeShade="80"/>
        </w:rPr>
        <w:t>A claim that the security is invalid pursuant to s</w:t>
      </w:r>
      <w:r w:rsidR="00F808FC" w:rsidRPr="00EF092C">
        <w:rPr>
          <w:rFonts w:ascii="Avenir Next" w:hAnsi="Avenir Next"/>
          <w:color w:val="808080" w:themeColor="background1" w:themeShade="80"/>
        </w:rPr>
        <w:t>ection 14</w:t>
      </w:r>
      <w:r w:rsidRPr="00EF092C">
        <w:rPr>
          <w:rFonts w:ascii="Avenir Next" w:hAnsi="Avenir Next"/>
          <w:color w:val="808080" w:themeColor="background1" w:themeShade="80"/>
        </w:rPr>
        <w:t xml:space="preserve">5 CA </w:t>
      </w:r>
      <w:r>
        <w:rPr>
          <w:rFonts w:ascii="Avenir Next" w:hAnsi="Avenir Next"/>
          <w:color w:val="808080" w:themeColor="background1" w:themeShade="80"/>
        </w:rPr>
        <w:t>if the Court can be satisfied that it was made</w:t>
      </w:r>
      <w:r w:rsidR="00AD56E0">
        <w:rPr>
          <w:rFonts w:ascii="Avenir Next" w:hAnsi="Avenir Next"/>
          <w:color w:val="808080" w:themeColor="background1" w:themeShade="80"/>
        </w:rPr>
        <w:t>:</w:t>
      </w:r>
    </w:p>
    <w:p w14:paraId="61260340" w14:textId="77777777" w:rsidR="00AD56E0" w:rsidRPr="00AD56E0" w:rsidRDefault="00EF092C" w:rsidP="00124175">
      <w:pPr>
        <w:pStyle w:val="BodyText"/>
        <w:numPr>
          <w:ilvl w:val="1"/>
          <w:numId w:val="35"/>
        </w:numPr>
        <w:ind w:left="1134" w:hanging="283"/>
        <w:rPr>
          <w:rFonts w:ascii="Avenir Next" w:hAnsi="Avenir Next"/>
        </w:rPr>
      </w:pPr>
      <w:r>
        <w:rPr>
          <w:rFonts w:ascii="Avenir Next" w:hAnsi="Avenir Next"/>
          <w:color w:val="808080" w:themeColor="background1" w:themeShade="80"/>
        </w:rPr>
        <w:t xml:space="preserve">at a time when the Master Fund was unable to pay its </w:t>
      </w:r>
      <w:proofErr w:type="gramStart"/>
      <w:r>
        <w:rPr>
          <w:rFonts w:ascii="Avenir Next" w:hAnsi="Avenir Next"/>
          <w:color w:val="808080" w:themeColor="background1" w:themeShade="80"/>
        </w:rPr>
        <w:t>debts;</w:t>
      </w:r>
      <w:proofErr w:type="gramEnd"/>
      <w:r>
        <w:rPr>
          <w:rFonts w:ascii="Avenir Next" w:hAnsi="Avenir Next"/>
          <w:color w:val="808080" w:themeColor="background1" w:themeShade="80"/>
        </w:rPr>
        <w:t xml:space="preserve"> </w:t>
      </w:r>
    </w:p>
    <w:p w14:paraId="4A67C277" w14:textId="77777777" w:rsidR="00AD56E0" w:rsidRPr="00AD56E0" w:rsidRDefault="00EF092C" w:rsidP="00124175">
      <w:pPr>
        <w:pStyle w:val="BodyText"/>
        <w:numPr>
          <w:ilvl w:val="1"/>
          <w:numId w:val="35"/>
        </w:numPr>
        <w:ind w:left="1134" w:hanging="283"/>
        <w:rPr>
          <w:rFonts w:ascii="Avenir Next" w:hAnsi="Avenir Next"/>
        </w:rPr>
      </w:pPr>
      <w:r>
        <w:rPr>
          <w:rFonts w:ascii="Avenir Next" w:hAnsi="Avenir Next"/>
          <w:color w:val="808080" w:themeColor="background1" w:themeShade="80"/>
        </w:rPr>
        <w:t>with a view to giving such creditor a preference over the other creditors; and</w:t>
      </w:r>
    </w:p>
    <w:p w14:paraId="48CBF319" w14:textId="77777777" w:rsidR="00AD56E0" w:rsidRPr="00AD56E0" w:rsidRDefault="00EF092C" w:rsidP="00124175">
      <w:pPr>
        <w:pStyle w:val="BodyText"/>
        <w:numPr>
          <w:ilvl w:val="1"/>
          <w:numId w:val="35"/>
        </w:numPr>
        <w:ind w:left="1134" w:hanging="283"/>
        <w:rPr>
          <w:rFonts w:ascii="Avenir Next" w:hAnsi="Avenir Next"/>
        </w:rPr>
      </w:pPr>
      <w:r>
        <w:rPr>
          <w:rFonts w:ascii="Avenir Next" w:hAnsi="Avenir Next"/>
          <w:color w:val="808080" w:themeColor="background1" w:themeShade="80"/>
        </w:rPr>
        <w:t xml:space="preserve">within the 6 months immediately preceding the commencement of the winding up. </w:t>
      </w:r>
    </w:p>
    <w:p w14:paraId="6537DF5C" w14:textId="77777777" w:rsidR="00AD56E0" w:rsidRPr="00AD56E0" w:rsidRDefault="00AD56E0" w:rsidP="00AD56E0">
      <w:pPr>
        <w:pStyle w:val="BodyText"/>
        <w:ind w:left="1134" w:firstLine="0"/>
        <w:rPr>
          <w:rFonts w:ascii="Avenir Next" w:hAnsi="Avenir Next"/>
        </w:rPr>
      </w:pPr>
    </w:p>
    <w:p w14:paraId="5D1F4CB3" w14:textId="3A582957" w:rsidR="00D645AF" w:rsidRDefault="001B4A3C" w:rsidP="00AD56E0">
      <w:pPr>
        <w:pStyle w:val="BodyText"/>
        <w:ind w:left="709" w:firstLine="0"/>
        <w:rPr>
          <w:rFonts w:ascii="Avenir Next" w:hAnsi="Avenir Next"/>
          <w:color w:val="808080" w:themeColor="background1" w:themeShade="80"/>
        </w:rPr>
      </w:pPr>
      <w:r>
        <w:rPr>
          <w:rFonts w:ascii="Avenir Next" w:hAnsi="Avenir Next"/>
          <w:color w:val="808080" w:themeColor="background1" w:themeShade="80"/>
        </w:rPr>
        <w:t>Limb 2 would appear to be satisfied as p</w:t>
      </w:r>
      <w:r w:rsidR="00EF092C">
        <w:rPr>
          <w:rFonts w:ascii="Avenir Next" w:hAnsi="Avenir Next"/>
          <w:color w:val="808080" w:themeColor="background1" w:themeShade="80"/>
        </w:rPr>
        <w:t>ursuant to s145(2), as the security was provided to a related party of the Master Fund it will be deemed to have been made with a view to giving Gamboa a preference. As Gamboa is controlled by the two individuals who</w:t>
      </w:r>
      <w:r w:rsidR="00AD56E0">
        <w:rPr>
          <w:rFonts w:ascii="Avenir Next" w:hAnsi="Avenir Next"/>
          <w:color w:val="808080" w:themeColor="background1" w:themeShade="80"/>
        </w:rPr>
        <w:t xml:space="preserve"> are directors and therefore</w:t>
      </w:r>
      <w:r w:rsidR="00EF092C">
        <w:rPr>
          <w:rFonts w:ascii="Avenir Next" w:hAnsi="Avenir Next"/>
          <w:color w:val="808080" w:themeColor="background1" w:themeShade="80"/>
        </w:rPr>
        <w:t xml:space="preserve"> </w:t>
      </w:r>
      <w:r w:rsidR="00AD56E0">
        <w:rPr>
          <w:rFonts w:ascii="Avenir Next" w:hAnsi="Avenir Next"/>
          <w:color w:val="808080" w:themeColor="background1" w:themeShade="80"/>
        </w:rPr>
        <w:t xml:space="preserve">exercise significant influence over the Master Fund in making financial and operating decisions they it is likely to be deemed a related party pursuant to s145(3). </w:t>
      </w:r>
      <w:r>
        <w:rPr>
          <w:rFonts w:ascii="Avenir Next" w:hAnsi="Avenir Next"/>
          <w:color w:val="808080" w:themeColor="background1" w:themeShade="80"/>
        </w:rPr>
        <w:t>Limb 3 is satisfied as the security was entered into within the 6 months immediately preceding the commencement of the winding up on 22 October 2023.</w:t>
      </w:r>
    </w:p>
    <w:p w14:paraId="3B5A8C8C" w14:textId="77777777" w:rsidR="00AD56E0" w:rsidRPr="00AD56E0" w:rsidRDefault="00AD56E0" w:rsidP="00AD56E0">
      <w:pPr>
        <w:pStyle w:val="BodyText"/>
        <w:ind w:left="567" w:firstLine="0"/>
        <w:rPr>
          <w:rFonts w:ascii="Avenir Next" w:hAnsi="Avenir Next"/>
        </w:rPr>
      </w:pPr>
    </w:p>
    <w:p w14:paraId="4D398ED9" w14:textId="3840AD8D" w:rsidR="00AD56E0" w:rsidRPr="001A6C6F" w:rsidRDefault="00AD56E0" w:rsidP="00124175">
      <w:pPr>
        <w:pStyle w:val="BodyText"/>
        <w:numPr>
          <w:ilvl w:val="0"/>
          <w:numId w:val="33"/>
        </w:numPr>
        <w:rPr>
          <w:rFonts w:ascii="Avenir Next" w:hAnsi="Avenir Next"/>
        </w:rPr>
      </w:pPr>
      <w:r>
        <w:rPr>
          <w:rFonts w:ascii="Avenir Next" w:hAnsi="Avenir Next"/>
          <w:color w:val="808080" w:themeColor="background1" w:themeShade="80"/>
        </w:rPr>
        <w:t>Further and in the alternative, a claim pursuant to s146 CA that the security granted to Gamboa is voidable at the instance of the liquidator on the basis that it was made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with intent to defraud; and (ii) at an undervalue. Albeit this would not result in automatic invalidation of the security and a prerequisite is showing an intention to defraud. </w:t>
      </w:r>
    </w:p>
    <w:p w14:paraId="260B4959" w14:textId="77777777" w:rsidR="001A6C6F" w:rsidRPr="001A6C6F" w:rsidRDefault="001A6C6F" w:rsidP="001A6C6F">
      <w:pPr>
        <w:pStyle w:val="BodyText"/>
        <w:ind w:left="720" w:firstLine="0"/>
        <w:rPr>
          <w:rFonts w:ascii="Avenir Next" w:hAnsi="Avenir Next"/>
        </w:rPr>
      </w:pPr>
    </w:p>
    <w:p w14:paraId="04A037DD" w14:textId="31826B03" w:rsidR="001A6C6F" w:rsidRPr="00EF092C" w:rsidRDefault="001A6C6F" w:rsidP="00124175">
      <w:pPr>
        <w:pStyle w:val="BodyText"/>
        <w:numPr>
          <w:ilvl w:val="0"/>
          <w:numId w:val="33"/>
        </w:numPr>
        <w:rPr>
          <w:rFonts w:ascii="Avenir Next" w:hAnsi="Avenir Next"/>
        </w:rPr>
      </w:pPr>
      <w:r>
        <w:rPr>
          <w:rFonts w:ascii="Avenir Next" w:hAnsi="Avenir Next"/>
          <w:color w:val="808080" w:themeColor="background1" w:themeShade="80"/>
        </w:rPr>
        <w:t>Potential actions against the directors and/or Gamboa for fraud, breach of fiduciary duty and unjust enrichment for misappropriating the assets to defraud creditors in the face of insolvency.</w:t>
      </w:r>
    </w:p>
    <w:p w14:paraId="76D92959" w14:textId="77777777" w:rsidR="00E02807" w:rsidRPr="008D338C" w:rsidRDefault="00E02807" w:rsidP="00E02807"/>
    <w:p w14:paraId="277D5585" w14:textId="77777777" w:rsidR="00EF092C" w:rsidRDefault="00EF092C" w:rsidP="00137A41">
      <w:pPr>
        <w:jc w:val="left"/>
        <w:rPr>
          <w:rFonts w:ascii="Avenir Next Demi Bold" w:hAnsi="Avenir Next Demi Bold"/>
          <w:b/>
          <w:bCs/>
        </w:rPr>
      </w:pPr>
    </w:p>
    <w:p w14:paraId="3143EA87" w14:textId="4705FB3B" w:rsidR="001B4A3C" w:rsidRDefault="001B4A3C" w:rsidP="00137A41">
      <w:pPr>
        <w:jc w:val="left"/>
        <w:rPr>
          <w:rFonts w:ascii="Avenir Next Demi Bold" w:hAnsi="Avenir Next Demi Bold"/>
        </w:rPr>
      </w:pPr>
      <w:r w:rsidRPr="001B4A3C">
        <w:rPr>
          <w:rFonts w:ascii="Avenir Next Demi Bold" w:hAnsi="Avenir Next Demi Bold"/>
          <w:color w:val="7F7F7F" w:themeColor="text1" w:themeTint="80"/>
        </w:rPr>
        <w:lastRenderedPageBreak/>
        <w:t>Urgent proceedings should be commenced</w:t>
      </w:r>
      <w:r w:rsidR="001A6C6F">
        <w:rPr>
          <w:rFonts w:ascii="Avenir Next Demi Bold" w:hAnsi="Avenir Next Demi Bold"/>
          <w:color w:val="7F7F7F" w:themeColor="text1" w:themeTint="80"/>
        </w:rPr>
        <w:t xml:space="preserve"> against the directors and Gamboa</w:t>
      </w:r>
      <w:r w:rsidRPr="001B4A3C">
        <w:rPr>
          <w:rFonts w:ascii="Avenir Next Demi Bold" w:hAnsi="Avenir Next Demi Bold"/>
          <w:color w:val="7F7F7F" w:themeColor="text1" w:themeTint="80"/>
        </w:rPr>
        <w:t xml:space="preserve"> seeking injunctive relief to restrain Gamboa seeking to enforce the purported security by appointment of a fixed charge receiver and for a Mareva to preserve the fixed charge assets of the Master Fund</w:t>
      </w:r>
      <w:r w:rsidR="001A6C6F">
        <w:rPr>
          <w:rFonts w:ascii="Avenir Next Demi Bold" w:hAnsi="Avenir Next Demi Bold"/>
          <w:color w:val="7F7F7F" w:themeColor="text1" w:themeTint="80"/>
        </w:rPr>
        <w:t xml:space="preserve"> and the </w:t>
      </w:r>
      <w:proofErr w:type="gramStart"/>
      <w:r w:rsidR="001A6C6F">
        <w:rPr>
          <w:rFonts w:ascii="Avenir Next Demi Bold" w:hAnsi="Avenir Next Demi Bold"/>
          <w:color w:val="7F7F7F" w:themeColor="text1" w:themeTint="80"/>
        </w:rPr>
        <w:t>directors</w:t>
      </w:r>
      <w:proofErr w:type="gramEnd"/>
      <w:r w:rsidR="001A6C6F">
        <w:rPr>
          <w:rFonts w:ascii="Avenir Next Demi Bold" w:hAnsi="Avenir Next Demi Bold"/>
          <w:color w:val="7F7F7F" w:themeColor="text1" w:themeTint="80"/>
        </w:rPr>
        <w:t xml:space="preserve"> assets</w:t>
      </w:r>
      <w:r w:rsidR="007B1AD0">
        <w:rPr>
          <w:rFonts w:ascii="Avenir Next Demi Bold" w:hAnsi="Avenir Next Demi Bold"/>
          <w:color w:val="7F7F7F" w:themeColor="text1" w:themeTint="80"/>
        </w:rPr>
        <w:t>, pending final determination of proceedings as referred to above</w:t>
      </w:r>
      <w:r w:rsidRPr="001B4A3C">
        <w:rPr>
          <w:rFonts w:ascii="Avenir Next Demi Bold" w:hAnsi="Avenir Next Demi Bold"/>
          <w:color w:val="7F7F7F" w:themeColor="text1" w:themeTint="80"/>
        </w:rPr>
        <w:t>. This could be accompanied by an application to appoint a receiver to aid in a freezing injunction</w:t>
      </w:r>
      <w:r>
        <w:rPr>
          <w:rFonts w:ascii="Avenir Next Demi Bold" w:hAnsi="Avenir Next Demi Bold"/>
          <w:color w:val="7F7F7F" w:themeColor="text1" w:themeTint="80"/>
        </w:rPr>
        <w:t>.</w:t>
      </w:r>
      <w:r w:rsidRPr="001B4A3C">
        <w:rPr>
          <w:rFonts w:ascii="Avenir Next Demi Bold" w:hAnsi="Avenir Next Demi Bold"/>
          <w:color w:val="7F7F7F" w:themeColor="text1" w:themeTint="80"/>
        </w:rPr>
        <w:t xml:space="preserve"> </w:t>
      </w:r>
      <w:r>
        <w:rPr>
          <w:rFonts w:ascii="Avenir Next Demi Bold" w:hAnsi="Avenir Next Demi Bold"/>
          <w:color w:val="7F7F7F" w:themeColor="text1" w:themeTint="80"/>
        </w:rPr>
        <w:t>Given its previous actions, there</w:t>
      </w:r>
      <w:r w:rsidRPr="001B4A3C">
        <w:rPr>
          <w:rFonts w:ascii="Avenir Next Demi Bold" w:hAnsi="Avenir Next Demi Bold"/>
          <w:color w:val="7F7F7F" w:themeColor="text1" w:themeTint="80"/>
        </w:rPr>
        <w:t xml:space="preserve"> there appears to be a </w:t>
      </w:r>
      <w:r>
        <w:rPr>
          <w:color w:val="808080" w:themeColor="background1" w:themeShade="80"/>
        </w:rPr>
        <w:t xml:space="preserve">measurable risk that, if a receiver is not appointed, </w:t>
      </w:r>
      <w:r>
        <w:rPr>
          <w:color w:val="808080" w:themeColor="background1" w:themeShade="80"/>
        </w:rPr>
        <w:t>Gamoa</w:t>
      </w:r>
      <w:r>
        <w:rPr>
          <w:color w:val="808080" w:themeColor="background1" w:themeShade="80"/>
        </w:rPr>
        <w:t xml:space="preserve"> will act in breach of the injunction or otherwise seek to ensure that </w:t>
      </w:r>
      <w:r>
        <w:rPr>
          <w:color w:val="808080" w:themeColor="background1" w:themeShade="80"/>
        </w:rPr>
        <w:t>the fixed charge</w:t>
      </w:r>
      <w:r>
        <w:rPr>
          <w:color w:val="808080" w:themeColor="background1" w:themeShade="80"/>
        </w:rPr>
        <w:t xml:space="preserve"> assets will not be available to satisfy any judgment which may in due course be made against </w:t>
      </w:r>
      <w:r>
        <w:rPr>
          <w:color w:val="808080" w:themeColor="background1" w:themeShade="80"/>
        </w:rPr>
        <w:t>it</w:t>
      </w:r>
      <w:r>
        <w:rPr>
          <w:rFonts w:ascii="Avenir Next Demi Bold" w:hAnsi="Avenir Next Demi Bold"/>
        </w:rPr>
        <w:t>.</w:t>
      </w:r>
    </w:p>
    <w:p w14:paraId="47F4C5A0" w14:textId="77777777" w:rsidR="001B4A3C" w:rsidRDefault="001B4A3C" w:rsidP="00137A41">
      <w:pPr>
        <w:jc w:val="left"/>
        <w:rPr>
          <w:rFonts w:ascii="Avenir Next Demi Bold" w:hAnsi="Avenir Next Demi Bold"/>
        </w:rPr>
      </w:pPr>
    </w:p>
    <w:p w14:paraId="1D694838" w14:textId="21AE91BA" w:rsidR="001B4A3C" w:rsidRPr="001B4A3C" w:rsidRDefault="00AD56E0" w:rsidP="00137A41">
      <w:pPr>
        <w:jc w:val="left"/>
        <w:rPr>
          <w:rFonts w:ascii="Avenir Next Demi Bold" w:hAnsi="Avenir Next Demi Bold"/>
          <w:color w:val="7F7F7F" w:themeColor="text1" w:themeTint="80"/>
        </w:rPr>
      </w:pPr>
      <w:r w:rsidRPr="001B4A3C">
        <w:rPr>
          <w:rFonts w:ascii="Avenir Next Demi Bold" w:hAnsi="Avenir Next Demi Bold"/>
          <w:color w:val="7F7F7F" w:themeColor="text1" w:themeTint="80"/>
        </w:rPr>
        <w:t>Investigations should urgently be carried out into the two Panamanian directors of the Master fund</w:t>
      </w:r>
      <w:r w:rsidR="001B4A3C" w:rsidRPr="001B4A3C">
        <w:rPr>
          <w:rFonts w:ascii="Avenir Next Demi Bold" w:hAnsi="Avenir Next Demi Bold"/>
          <w:color w:val="7F7F7F" w:themeColor="text1" w:themeTint="80"/>
        </w:rPr>
        <w:t xml:space="preserve">, </w:t>
      </w:r>
      <w:r w:rsidRPr="001B4A3C">
        <w:rPr>
          <w:rFonts w:ascii="Avenir Next Demi Bold" w:hAnsi="Avenir Next Demi Bold"/>
          <w:color w:val="7F7F7F" w:themeColor="text1" w:themeTint="80"/>
        </w:rPr>
        <w:t>Gamboa</w:t>
      </w:r>
      <w:r w:rsidR="001B4A3C" w:rsidRPr="001B4A3C">
        <w:rPr>
          <w:rFonts w:ascii="Avenir Next Demi Bold" w:hAnsi="Avenir Next Demi Bold"/>
          <w:color w:val="7F7F7F" w:themeColor="text1" w:themeTint="80"/>
        </w:rPr>
        <w:t xml:space="preserve"> and the circumstances surrounding the purported loan and security</w:t>
      </w:r>
      <w:r w:rsidRPr="001B4A3C">
        <w:rPr>
          <w:rFonts w:ascii="Avenir Next Demi Bold" w:hAnsi="Avenir Next Demi Bold"/>
          <w:color w:val="7F7F7F" w:themeColor="text1" w:themeTint="80"/>
        </w:rPr>
        <w:t xml:space="preserve">. </w:t>
      </w:r>
      <w:r w:rsidR="00EF092C" w:rsidRPr="001B4A3C">
        <w:rPr>
          <w:rFonts w:ascii="Avenir Next Demi Bold" w:hAnsi="Avenir Next Demi Bold"/>
          <w:color w:val="7F7F7F" w:themeColor="text1" w:themeTint="80"/>
        </w:rPr>
        <w:t>Compilation of evidence</w:t>
      </w:r>
      <w:r w:rsidRPr="001B4A3C">
        <w:rPr>
          <w:rFonts w:ascii="Avenir Next Demi Bold" w:hAnsi="Avenir Next Demi Bold"/>
          <w:color w:val="7F7F7F" w:themeColor="text1" w:themeTint="80"/>
        </w:rPr>
        <w:t xml:space="preserve"> should be urgently gathered from the Company’s books, </w:t>
      </w:r>
      <w:proofErr w:type="gramStart"/>
      <w:r w:rsidRPr="001B4A3C">
        <w:rPr>
          <w:rFonts w:ascii="Avenir Next Demi Bold" w:hAnsi="Avenir Next Demi Bold"/>
          <w:color w:val="7F7F7F" w:themeColor="text1" w:themeTint="80"/>
        </w:rPr>
        <w:t>records</w:t>
      </w:r>
      <w:proofErr w:type="gramEnd"/>
      <w:r w:rsidRPr="001B4A3C">
        <w:rPr>
          <w:rFonts w:ascii="Avenir Next Demi Bold" w:hAnsi="Avenir Next Demi Bold"/>
          <w:color w:val="7F7F7F" w:themeColor="text1" w:themeTint="80"/>
        </w:rPr>
        <w:t xml:space="preserve"> and accounts</w:t>
      </w:r>
      <w:r w:rsidR="001B4A3C" w:rsidRPr="001B4A3C">
        <w:rPr>
          <w:rFonts w:ascii="Avenir Next Demi Bold" w:hAnsi="Avenir Next Demi Bold"/>
          <w:color w:val="7F7F7F" w:themeColor="text1" w:themeTint="80"/>
        </w:rPr>
        <w:t>.</w:t>
      </w:r>
      <w:r w:rsidR="001B4A3C" w:rsidRPr="001B4A3C">
        <w:t xml:space="preserve"> </w:t>
      </w:r>
      <w:r w:rsidR="001B4A3C" w:rsidRPr="001B4A3C">
        <w:rPr>
          <w:color w:val="7F7F7F" w:themeColor="text1" w:themeTint="80"/>
        </w:rPr>
        <w:t>Pursuant to section</w:t>
      </w:r>
      <w:r w:rsidR="001B4A3C">
        <w:rPr>
          <w:color w:val="7F7F7F" w:themeColor="text1" w:themeTint="80"/>
        </w:rPr>
        <w:t>s 101 and</w:t>
      </w:r>
      <w:r w:rsidR="001B4A3C" w:rsidRPr="001B4A3C">
        <w:rPr>
          <w:color w:val="7F7F7F" w:themeColor="text1" w:themeTint="80"/>
        </w:rPr>
        <w:t xml:space="preserve"> 103 of the CA, </w:t>
      </w:r>
      <w:r w:rsidR="001B4A3C" w:rsidRPr="001B4A3C">
        <w:rPr>
          <w:color w:val="7F7F7F" w:themeColor="text1" w:themeTint="80"/>
        </w:rPr>
        <w:t>the JOLs could</w:t>
      </w:r>
      <w:r w:rsidR="001B4A3C" w:rsidRPr="001B4A3C">
        <w:rPr>
          <w:color w:val="7F7F7F" w:themeColor="text1" w:themeTint="80"/>
        </w:rPr>
        <w:t xml:space="preserve"> also apply to the Court for </w:t>
      </w:r>
      <w:r w:rsidR="001B4A3C">
        <w:rPr>
          <w:color w:val="7F7F7F" w:themeColor="text1" w:themeTint="80"/>
        </w:rPr>
        <w:t xml:space="preserve">statements of affairs or </w:t>
      </w:r>
      <w:r w:rsidR="001B4A3C" w:rsidRPr="001B4A3C">
        <w:rPr>
          <w:color w:val="7F7F7F" w:themeColor="text1" w:themeTint="80"/>
        </w:rPr>
        <w:t>an order for delivery up of documents</w:t>
      </w:r>
      <w:r w:rsidR="001B4A3C">
        <w:rPr>
          <w:color w:val="7F7F7F" w:themeColor="text1" w:themeTint="80"/>
        </w:rPr>
        <w:t>/answers to interrogatories</w:t>
      </w:r>
      <w:r w:rsidR="001B4A3C" w:rsidRPr="001B4A3C">
        <w:rPr>
          <w:color w:val="7F7F7F" w:themeColor="text1" w:themeTint="80"/>
        </w:rPr>
        <w:t xml:space="preserve"> or for oral examination </w:t>
      </w:r>
      <w:r w:rsidR="001B4A3C">
        <w:rPr>
          <w:color w:val="7F7F7F" w:themeColor="text1" w:themeTint="80"/>
        </w:rPr>
        <w:t>of any relevant persons in aid of obtaining information</w:t>
      </w:r>
      <w:r w:rsidR="007B1AD0">
        <w:rPr>
          <w:color w:val="7F7F7F" w:themeColor="text1" w:themeTint="80"/>
        </w:rPr>
        <w:t xml:space="preserve"> on the parties generally and to support its claims</w:t>
      </w:r>
      <w:r w:rsidR="001B4A3C">
        <w:rPr>
          <w:color w:val="7F7F7F" w:themeColor="text1" w:themeTint="80"/>
        </w:rPr>
        <w:t>:</w:t>
      </w:r>
    </w:p>
    <w:p w14:paraId="24729429" w14:textId="4517137C" w:rsidR="00AD56E0" w:rsidRPr="001B4A3C" w:rsidRDefault="00AD56E0" w:rsidP="00137A41">
      <w:pPr>
        <w:jc w:val="left"/>
        <w:rPr>
          <w:rFonts w:ascii="Avenir Next Demi Bold" w:hAnsi="Avenir Next Demi Bold"/>
          <w:color w:val="7F7F7F" w:themeColor="text1" w:themeTint="80"/>
        </w:rPr>
      </w:pPr>
    </w:p>
    <w:p w14:paraId="44BDB8C5" w14:textId="45ECB1EC" w:rsidR="00EF092C" w:rsidRPr="001B4A3C" w:rsidRDefault="00EF092C" w:rsidP="00124175">
      <w:pPr>
        <w:pStyle w:val="ListParagraph"/>
        <w:numPr>
          <w:ilvl w:val="0"/>
          <w:numId w:val="34"/>
        </w:numPr>
        <w:jc w:val="left"/>
        <w:rPr>
          <w:rFonts w:ascii="Avenir Next Demi Bold" w:hAnsi="Avenir Next Demi Bold"/>
          <w:color w:val="7F7F7F" w:themeColor="text1" w:themeTint="80"/>
        </w:rPr>
      </w:pPr>
      <w:r w:rsidRPr="001B4A3C">
        <w:rPr>
          <w:rFonts w:ascii="Avenir Next Demi Bold" w:hAnsi="Avenir Next Demi Bold"/>
          <w:color w:val="7F7F7F" w:themeColor="text1" w:themeTint="80"/>
        </w:rPr>
        <w:t xml:space="preserve">as to the Master Fund’s financial position as at 1 July 2023 to ascertain whether it can be proven that it was unable to pay its debts at the relevant time. The relevant test for insolvency is that set out in section 93 CA, on a cash flow basis. </w:t>
      </w:r>
    </w:p>
    <w:p w14:paraId="091B8FAE" w14:textId="690ED6FA" w:rsidR="00AD56E0" w:rsidRPr="001B4A3C" w:rsidRDefault="00AD56E0" w:rsidP="00124175">
      <w:pPr>
        <w:pStyle w:val="ListParagraph"/>
        <w:numPr>
          <w:ilvl w:val="0"/>
          <w:numId w:val="34"/>
        </w:numPr>
        <w:jc w:val="left"/>
        <w:rPr>
          <w:rFonts w:ascii="Avenir Next Demi Bold" w:hAnsi="Avenir Next Demi Bold"/>
          <w:color w:val="7F7F7F" w:themeColor="text1" w:themeTint="80"/>
        </w:rPr>
      </w:pPr>
      <w:r w:rsidRPr="001B4A3C">
        <w:rPr>
          <w:rFonts w:ascii="Avenir Next Demi Bold" w:hAnsi="Avenir Next Demi Bold"/>
          <w:color w:val="7F7F7F" w:themeColor="text1" w:themeTint="80"/>
        </w:rPr>
        <w:t>an intention to defraud</w:t>
      </w:r>
      <w:r w:rsidR="001B4A3C">
        <w:rPr>
          <w:rFonts w:ascii="Avenir Next Demi Bold" w:hAnsi="Avenir Next Demi Bold"/>
          <w:color w:val="7F7F7F" w:themeColor="text1" w:themeTint="80"/>
        </w:rPr>
        <w:t xml:space="preserve">. </w:t>
      </w:r>
    </w:p>
    <w:p w14:paraId="6182348C" w14:textId="77777777" w:rsidR="00AD56E0" w:rsidRDefault="00AD56E0" w:rsidP="00137A41">
      <w:pPr>
        <w:jc w:val="left"/>
        <w:rPr>
          <w:rFonts w:ascii="Avenir Next Demi Bold" w:hAnsi="Avenir Next Demi Bold"/>
        </w:rPr>
      </w:pPr>
    </w:p>
    <w:p w14:paraId="51435EE9" w14:textId="77777777" w:rsidR="00EF092C" w:rsidRPr="00EF092C" w:rsidRDefault="00EF092C" w:rsidP="00137A41">
      <w:pPr>
        <w:jc w:val="left"/>
        <w:rPr>
          <w:rFonts w:ascii="Avenir Next Demi Bold" w:hAnsi="Avenir Next Demi Bold"/>
        </w:rPr>
      </w:pPr>
    </w:p>
    <w:p w14:paraId="068421D6" w14:textId="0E46948E"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24E92707" w14:textId="77777777" w:rsidR="00632A0E" w:rsidRDefault="00632A0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CWR Order 22 Rule 1, as soon as the affairs of the Master Fund have been completely wound up the JOLs shall:</w:t>
      </w:r>
    </w:p>
    <w:p w14:paraId="19D4744E" w14:textId="4CE9FE9B" w:rsidR="00632A0E" w:rsidRDefault="00632A0E" w:rsidP="00124175">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publish the JOLs final report and accounts in accordance with Order 10, Rule 3; and</w:t>
      </w:r>
    </w:p>
    <w:p w14:paraId="795B6A5A" w14:textId="5B3FC810" w:rsidR="00632A0E" w:rsidRDefault="00632A0E" w:rsidP="00124175">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apply to the Court for an order under section 152 that the Master Fund be dissolved.</w:t>
      </w:r>
    </w:p>
    <w:p w14:paraId="337A618B" w14:textId="77777777" w:rsidR="00632A0E" w:rsidRDefault="00632A0E" w:rsidP="00137A41">
      <w:pPr>
        <w:pStyle w:val="BodyText"/>
        <w:ind w:firstLine="0"/>
        <w:rPr>
          <w:rFonts w:ascii="Avenir Next" w:hAnsi="Avenir Next"/>
          <w:color w:val="808080" w:themeColor="background1" w:themeShade="80"/>
        </w:rPr>
      </w:pPr>
    </w:p>
    <w:p w14:paraId="21414AB6" w14:textId="3918515B" w:rsidR="00632A0E" w:rsidRPr="00612787" w:rsidRDefault="00632A0E" w:rsidP="00632A0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Order 22 Rule 1 (2) the </w:t>
      </w:r>
      <w:r>
        <w:rPr>
          <w:rFonts w:ascii="Avenir Next" w:hAnsi="Avenir Next"/>
          <w:color w:val="808080" w:themeColor="background1" w:themeShade="80"/>
        </w:rPr>
        <w:t xml:space="preserve">final </w:t>
      </w:r>
      <w:r>
        <w:rPr>
          <w:rFonts w:ascii="Avenir Next" w:hAnsi="Avenir Next"/>
          <w:color w:val="808080" w:themeColor="background1" w:themeShade="80"/>
        </w:rPr>
        <w:t>report shall contain</w:t>
      </w:r>
      <w:r>
        <w:rPr>
          <w:rFonts w:ascii="Avenir Next" w:hAnsi="Avenir Next"/>
          <w:color w:val="808080" w:themeColor="background1" w:themeShade="80"/>
        </w:rPr>
        <w:t>:</w:t>
      </w:r>
    </w:p>
    <w:p w14:paraId="64AC356A" w14:textId="65F82E8A" w:rsidR="007B1AD0" w:rsidRPr="00612787" w:rsidRDefault="007B1AD0" w:rsidP="00124175">
      <w:pPr>
        <w:pStyle w:val="BodyText"/>
        <w:numPr>
          <w:ilvl w:val="0"/>
          <w:numId w:val="37"/>
        </w:numPr>
        <w:rPr>
          <w:rFonts w:ascii="Avenir Next" w:hAnsi="Avenir Next"/>
          <w:color w:val="808080" w:themeColor="background1" w:themeShade="80"/>
        </w:rPr>
      </w:pPr>
      <w:r w:rsidRPr="00612787">
        <w:rPr>
          <w:rFonts w:ascii="Avenir Next" w:hAnsi="Avenir Next"/>
          <w:color w:val="7F7F7F" w:themeColor="text1" w:themeTint="80"/>
        </w:rPr>
        <w:t>Notice of the date upon which their application for an order for dissolution will be heard by the Court; and</w:t>
      </w:r>
    </w:p>
    <w:p w14:paraId="7ABA9467" w14:textId="1DE24B66" w:rsidR="007B1AD0" w:rsidRPr="00612787" w:rsidRDefault="007B1AD0" w:rsidP="00124175">
      <w:pPr>
        <w:pStyle w:val="BodyText"/>
        <w:numPr>
          <w:ilvl w:val="0"/>
          <w:numId w:val="36"/>
        </w:numPr>
        <w:rPr>
          <w:rFonts w:ascii="Avenir Next" w:hAnsi="Avenir Next"/>
          <w:color w:val="7F7F7F" w:themeColor="text1" w:themeTint="80"/>
        </w:rPr>
      </w:pPr>
      <w:r w:rsidRPr="00612787">
        <w:rPr>
          <w:rFonts w:ascii="Avenir Next" w:hAnsi="Avenir Next"/>
          <w:color w:val="7F7F7F" w:themeColor="text1" w:themeTint="80"/>
        </w:rPr>
        <w:t xml:space="preserve">A statement of the fact that any creditor may appear and be heard on the application. </w:t>
      </w:r>
    </w:p>
    <w:p w14:paraId="63DFB494" w14:textId="77777777" w:rsidR="00597D08" w:rsidRDefault="00597D08" w:rsidP="00137A41">
      <w:pPr>
        <w:rPr>
          <w:color w:val="7F7F7F" w:themeColor="text1" w:themeTint="80"/>
        </w:rPr>
      </w:pPr>
    </w:p>
    <w:p w14:paraId="18395E12" w14:textId="7765F331" w:rsidR="00632A0E" w:rsidRDefault="00632A0E" w:rsidP="00632A0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Order 10 Rule 2 every </w:t>
      </w:r>
      <w:proofErr w:type="gramStart"/>
      <w:r>
        <w:rPr>
          <w:rFonts w:ascii="Avenir Next" w:hAnsi="Avenir Next"/>
          <w:color w:val="808080" w:themeColor="background1" w:themeShade="80"/>
        </w:rPr>
        <w:t>liquidators</w:t>
      </w:r>
      <w:proofErr w:type="gramEnd"/>
      <w:r>
        <w:rPr>
          <w:rFonts w:ascii="Avenir Next" w:hAnsi="Avenir Next"/>
          <w:color w:val="808080" w:themeColor="background1" w:themeShade="80"/>
        </w:rPr>
        <w:t xml:space="preserve"> report shall contain </w:t>
      </w:r>
      <w:r>
        <w:rPr>
          <w:rFonts w:ascii="Avenir Next" w:hAnsi="Avenir Next"/>
          <w:color w:val="808080" w:themeColor="background1" w:themeShade="80"/>
        </w:rPr>
        <w:t>a description and analysis of:</w:t>
      </w:r>
    </w:p>
    <w:p w14:paraId="6BDA9F0B" w14:textId="77777777" w:rsidR="00632A0E" w:rsidRDefault="00632A0E" w:rsidP="0012417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steps taken in the liquidation </w:t>
      </w:r>
      <w:proofErr w:type="gramStart"/>
      <w:r>
        <w:rPr>
          <w:rFonts w:ascii="Avenir Next" w:hAnsi="Avenir Next"/>
          <w:color w:val="808080" w:themeColor="background1" w:themeShade="80"/>
        </w:rPr>
        <w:t>generally;</w:t>
      </w:r>
      <w:proofErr w:type="gramEnd"/>
    </w:p>
    <w:p w14:paraId="3D146647" w14:textId="77777777" w:rsidR="00632A0E" w:rsidRDefault="00632A0E" w:rsidP="0012417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 discrete matter which, in the opinion of the JOLs is or ought to be of particular concern to the Master Fund’s creditors and/or </w:t>
      </w:r>
      <w:proofErr w:type="gramStart"/>
      <w:r>
        <w:rPr>
          <w:rFonts w:ascii="Avenir Next" w:hAnsi="Avenir Next"/>
          <w:color w:val="808080" w:themeColor="background1" w:themeShade="80"/>
        </w:rPr>
        <w:t>contributories;</w:t>
      </w:r>
      <w:proofErr w:type="gramEnd"/>
    </w:p>
    <w:p w14:paraId="52A4803E" w14:textId="77777777" w:rsidR="00632A0E" w:rsidRDefault="00632A0E" w:rsidP="0012417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 discrete matter which by its nature ought to be kept confidential. </w:t>
      </w:r>
    </w:p>
    <w:p w14:paraId="0BD8AB2F" w14:textId="77777777" w:rsidR="00632A0E" w:rsidRDefault="00632A0E" w:rsidP="00632A0E">
      <w:pPr>
        <w:pStyle w:val="BodyText"/>
        <w:ind w:firstLine="0"/>
        <w:rPr>
          <w:rFonts w:ascii="Avenir Next" w:hAnsi="Avenir Next"/>
          <w:color w:val="808080" w:themeColor="background1" w:themeShade="80"/>
        </w:rPr>
      </w:pPr>
      <w:r>
        <w:rPr>
          <w:rFonts w:ascii="Avenir Next" w:hAnsi="Avenir Next"/>
          <w:color w:val="808080" w:themeColor="background1" w:themeShade="80"/>
        </w:rPr>
        <w:t>It shall report on:</w:t>
      </w:r>
    </w:p>
    <w:p w14:paraId="122BE9B1" w14:textId="77777777" w:rsidR="00632A0E" w:rsidRDefault="00632A0E" w:rsidP="0012417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any matters upon which the JOLs are asked to report by the liquidation </w:t>
      </w:r>
      <w:proofErr w:type="gramStart"/>
      <w:r>
        <w:rPr>
          <w:rFonts w:ascii="Avenir Next" w:hAnsi="Avenir Next"/>
          <w:color w:val="808080" w:themeColor="background1" w:themeShade="80"/>
        </w:rPr>
        <w:t>committee;</w:t>
      </w:r>
      <w:proofErr w:type="gramEnd"/>
    </w:p>
    <w:p w14:paraId="39B0E6F2" w14:textId="77777777" w:rsidR="00632A0E" w:rsidRDefault="00632A0E" w:rsidP="0012417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any matters on which the JOLs are asked to report by the </w:t>
      </w:r>
      <w:proofErr w:type="gramStart"/>
      <w:r>
        <w:rPr>
          <w:rFonts w:ascii="Avenir Next" w:hAnsi="Avenir Next"/>
          <w:color w:val="808080" w:themeColor="background1" w:themeShade="80"/>
        </w:rPr>
        <w:t>Court;</w:t>
      </w:r>
      <w:proofErr w:type="gramEnd"/>
      <w:r>
        <w:rPr>
          <w:rFonts w:ascii="Avenir Next" w:hAnsi="Avenir Next"/>
          <w:color w:val="808080" w:themeColor="background1" w:themeShade="80"/>
        </w:rPr>
        <w:t xml:space="preserve"> </w:t>
      </w:r>
    </w:p>
    <w:p w14:paraId="52989BDE" w14:textId="77777777" w:rsidR="00632A0E" w:rsidRDefault="00632A0E" w:rsidP="0012417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any matters on which the JOLs seek the direction of the </w:t>
      </w:r>
      <w:proofErr w:type="gramStart"/>
      <w:r>
        <w:rPr>
          <w:rFonts w:ascii="Avenir Next" w:hAnsi="Avenir Next"/>
          <w:color w:val="808080" w:themeColor="background1" w:themeShade="80"/>
        </w:rPr>
        <w:t>Court;</w:t>
      </w:r>
      <w:proofErr w:type="gramEnd"/>
    </w:p>
    <w:p w14:paraId="1B334060" w14:textId="77777777" w:rsidR="00632A0E" w:rsidRPr="00632A0E" w:rsidRDefault="00632A0E" w:rsidP="00137A41">
      <w:pPr>
        <w:rPr>
          <w:color w:val="7F7F7F" w:themeColor="text1" w:themeTint="80"/>
        </w:rPr>
      </w:pPr>
    </w:p>
    <w:p w14:paraId="1C5C8C47" w14:textId="48FDB820" w:rsidR="00597D08" w:rsidRPr="00632A0E" w:rsidRDefault="00632A0E" w:rsidP="00137A41">
      <w:pPr>
        <w:rPr>
          <w:color w:val="7F7F7F" w:themeColor="text1" w:themeTint="80"/>
          <w:lang w:val="en-GB"/>
        </w:rPr>
      </w:pPr>
      <w:r w:rsidRPr="00632A0E">
        <w:rPr>
          <w:color w:val="7F7F7F" w:themeColor="text1" w:themeTint="80"/>
          <w:lang w:val="en-GB"/>
        </w:rPr>
        <w:t>The report shall provide information necessary to provide the Master Funds creditors with the information necessary to enable them to make an informed decision on the Master Fund’s financial position and prospects of recovery (CWR O. 22 r. 1(3))</w:t>
      </w:r>
    </w:p>
    <w:p w14:paraId="40D9C13E" w14:textId="7CD743AF" w:rsidR="00A500D9" w:rsidRDefault="00A500D9" w:rsidP="00137A41">
      <w:pPr>
        <w:rPr>
          <w:b/>
          <w:bCs/>
          <w:lang w:val="en-GB"/>
        </w:rPr>
      </w:pP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6590588D" w14:textId="10DB91D5" w:rsidR="00597D08" w:rsidRDefault="00632A0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 application for a supervision order must be made by the </w:t>
      </w:r>
      <w:r w:rsidR="004D2486">
        <w:rPr>
          <w:rFonts w:ascii="Avenir Next" w:hAnsi="Avenir Next"/>
          <w:color w:val="808080" w:themeColor="background1" w:themeShade="80"/>
        </w:rPr>
        <w:t>company’s v</w:t>
      </w:r>
      <w:r>
        <w:rPr>
          <w:rFonts w:ascii="Avenir Next" w:hAnsi="Avenir Next"/>
          <w:color w:val="808080" w:themeColor="background1" w:themeShade="80"/>
        </w:rPr>
        <w:t xml:space="preserve">oluntary liquidator in accordance with section 124 CA which must contain a statement that the voluntary liquidator did not receive, within 28 days of the commencement of the liquidation, a declaration of solvency in the prescribed for signed by </w:t>
      </w:r>
      <w:proofErr w:type="gramStart"/>
      <w:r>
        <w:rPr>
          <w:rFonts w:ascii="Avenir Next" w:hAnsi="Avenir Next"/>
          <w:color w:val="808080" w:themeColor="background1" w:themeShade="80"/>
        </w:rPr>
        <w:t>all of</w:t>
      </w:r>
      <w:proofErr w:type="gramEnd"/>
      <w:r>
        <w:rPr>
          <w:rFonts w:ascii="Avenir Next" w:hAnsi="Avenir Next"/>
          <w:color w:val="808080" w:themeColor="background1" w:themeShade="80"/>
        </w:rPr>
        <w:t xml:space="preserve"> the </w:t>
      </w:r>
      <w:r w:rsidR="004D2486">
        <w:rPr>
          <w:rFonts w:ascii="Avenir Next" w:hAnsi="Avenir Next"/>
          <w:color w:val="808080" w:themeColor="background1" w:themeShade="80"/>
        </w:rPr>
        <w:t>company’s</w:t>
      </w:r>
      <w:r>
        <w:rPr>
          <w:rFonts w:ascii="Avenir Next" w:hAnsi="Avenir Next"/>
          <w:color w:val="808080" w:themeColor="background1" w:themeShade="80"/>
        </w:rPr>
        <w:t xml:space="preserve"> directors. </w:t>
      </w:r>
    </w:p>
    <w:p w14:paraId="2FE0D65D" w14:textId="77777777" w:rsidR="004D2486" w:rsidRDefault="004D2486" w:rsidP="00137A41">
      <w:pPr>
        <w:pStyle w:val="BodyText"/>
        <w:ind w:firstLine="0"/>
        <w:rPr>
          <w:rFonts w:ascii="Avenir Next" w:hAnsi="Avenir Next"/>
          <w:color w:val="808080" w:themeColor="background1" w:themeShade="80"/>
        </w:rPr>
      </w:pPr>
    </w:p>
    <w:p w14:paraId="2CA09DC8" w14:textId="0B756FF9" w:rsidR="004D2486" w:rsidRDefault="004D248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CWR Order 15 Rule 2 (2) and (3) the application shall be made by petition and shall contain:</w:t>
      </w:r>
    </w:p>
    <w:p w14:paraId="217CA791" w14:textId="69CE1D31" w:rsidR="004D2486" w:rsidRPr="004D2486" w:rsidRDefault="004D2486" w:rsidP="00124175">
      <w:pPr>
        <w:pStyle w:val="BodyText"/>
        <w:numPr>
          <w:ilvl w:val="0"/>
          <w:numId w:val="40"/>
        </w:numPr>
        <w:rPr>
          <w:rFonts w:ascii="Avenir Next" w:hAnsi="Avenir Next"/>
          <w:color w:val="7F7F7F" w:themeColor="text1" w:themeTint="80"/>
        </w:rPr>
      </w:pPr>
      <w:r w:rsidRPr="004D2486">
        <w:rPr>
          <w:rFonts w:ascii="Avenir Next" w:hAnsi="Avenir Next"/>
          <w:color w:val="7F7F7F" w:themeColor="text1" w:themeTint="80"/>
        </w:rPr>
        <w:t xml:space="preserve">particulars of the company’s </w:t>
      </w:r>
      <w:proofErr w:type="gramStart"/>
      <w:r w:rsidRPr="004D2486">
        <w:rPr>
          <w:rFonts w:ascii="Avenir Next" w:hAnsi="Avenir Next"/>
          <w:color w:val="7F7F7F" w:themeColor="text1" w:themeTint="80"/>
        </w:rPr>
        <w:t>incorporation;</w:t>
      </w:r>
      <w:proofErr w:type="gramEnd"/>
    </w:p>
    <w:p w14:paraId="5596CDDD" w14:textId="5AC9B17B" w:rsidR="004D2486" w:rsidRPr="004D2486" w:rsidRDefault="004D2486" w:rsidP="00124175">
      <w:pPr>
        <w:pStyle w:val="BodyText"/>
        <w:numPr>
          <w:ilvl w:val="0"/>
          <w:numId w:val="40"/>
        </w:numPr>
        <w:rPr>
          <w:rFonts w:ascii="Avenir Next" w:hAnsi="Avenir Next"/>
          <w:color w:val="7F7F7F" w:themeColor="text1" w:themeTint="80"/>
        </w:rPr>
      </w:pPr>
      <w:r w:rsidRPr="004D2486">
        <w:rPr>
          <w:rFonts w:ascii="Avenir Next" w:hAnsi="Avenir Next"/>
          <w:color w:val="7F7F7F" w:themeColor="text1" w:themeTint="80"/>
        </w:rPr>
        <w:t xml:space="preserve">particulars of the method by which the company was put into voluntary </w:t>
      </w:r>
      <w:proofErr w:type="gramStart"/>
      <w:r w:rsidRPr="004D2486">
        <w:rPr>
          <w:rFonts w:ascii="Avenir Next" w:hAnsi="Avenir Next"/>
          <w:color w:val="7F7F7F" w:themeColor="text1" w:themeTint="80"/>
        </w:rPr>
        <w:t>liquidation;</w:t>
      </w:r>
      <w:proofErr w:type="gramEnd"/>
    </w:p>
    <w:p w14:paraId="5AC9753F" w14:textId="35E099AF" w:rsidR="004D2486" w:rsidRPr="004D2486" w:rsidRDefault="004D2486" w:rsidP="00124175">
      <w:pPr>
        <w:pStyle w:val="BodyText"/>
        <w:numPr>
          <w:ilvl w:val="0"/>
          <w:numId w:val="40"/>
        </w:numPr>
        <w:rPr>
          <w:rFonts w:ascii="Avenir Next" w:hAnsi="Avenir Next"/>
          <w:color w:val="7F7F7F" w:themeColor="text1" w:themeTint="80"/>
        </w:rPr>
      </w:pPr>
      <w:r w:rsidRPr="004D2486">
        <w:rPr>
          <w:rFonts w:ascii="Avenir Next" w:hAnsi="Avenir Next"/>
          <w:color w:val="7F7F7F" w:themeColor="text1" w:themeTint="80"/>
        </w:rPr>
        <w:t xml:space="preserve">particulars of the persons who are or were directors of the company on the date on which its voluntary liquidation </w:t>
      </w:r>
      <w:proofErr w:type="gramStart"/>
      <w:r w:rsidRPr="004D2486">
        <w:rPr>
          <w:rFonts w:ascii="Avenir Next" w:hAnsi="Avenir Next"/>
          <w:color w:val="7F7F7F" w:themeColor="text1" w:themeTint="80"/>
        </w:rPr>
        <w:t>commenced;</w:t>
      </w:r>
      <w:proofErr w:type="gramEnd"/>
    </w:p>
    <w:p w14:paraId="09AD24D9" w14:textId="6C006A4C" w:rsidR="004D2486" w:rsidRPr="004D2486" w:rsidRDefault="004D2486" w:rsidP="00124175">
      <w:pPr>
        <w:pStyle w:val="BodyText"/>
        <w:numPr>
          <w:ilvl w:val="0"/>
          <w:numId w:val="40"/>
        </w:numPr>
        <w:rPr>
          <w:rFonts w:ascii="Avenir Next" w:hAnsi="Avenir Next"/>
          <w:color w:val="7F7F7F" w:themeColor="text1" w:themeTint="80"/>
        </w:rPr>
      </w:pPr>
      <w:r w:rsidRPr="004D2486">
        <w:rPr>
          <w:rFonts w:ascii="Avenir Next" w:hAnsi="Avenir Next"/>
          <w:color w:val="7F7F7F" w:themeColor="text1" w:themeTint="80"/>
        </w:rPr>
        <w:t xml:space="preserve">a statement that the voluntary liquidator did not receive within 28 days of the commencement of the liquidation, a declaration of solvency in the prescribed form signed by all of the company’s </w:t>
      </w:r>
      <w:proofErr w:type="gramStart"/>
      <w:r w:rsidRPr="004D2486">
        <w:rPr>
          <w:rFonts w:ascii="Avenir Next" w:hAnsi="Avenir Next"/>
          <w:color w:val="7F7F7F" w:themeColor="text1" w:themeTint="80"/>
        </w:rPr>
        <w:t>directors;</w:t>
      </w:r>
      <w:proofErr w:type="gramEnd"/>
    </w:p>
    <w:p w14:paraId="4066844C" w14:textId="44C08B7C" w:rsidR="004D2486" w:rsidRPr="004D2486" w:rsidRDefault="004D2486" w:rsidP="00124175">
      <w:pPr>
        <w:pStyle w:val="BodyText"/>
        <w:numPr>
          <w:ilvl w:val="0"/>
          <w:numId w:val="40"/>
        </w:numPr>
        <w:rPr>
          <w:rFonts w:ascii="Avenir Next" w:hAnsi="Avenir Next"/>
          <w:color w:val="7F7F7F" w:themeColor="text1" w:themeTint="80"/>
        </w:rPr>
      </w:pPr>
      <w:r w:rsidRPr="004D2486">
        <w:rPr>
          <w:rFonts w:ascii="Avenir Next" w:hAnsi="Avenir Next"/>
          <w:color w:val="7F7F7F" w:themeColor="text1" w:themeTint="80"/>
        </w:rPr>
        <w:t xml:space="preserve">if the voluntary liquidator is a qualified insolvency practitioner, a statement that the voluntary liquidator consents to being appointed as official liquidator; or </w:t>
      </w:r>
    </w:p>
    <w:p w14:paraId="795D70BE" w14:textId="5BF6F0BE" w:rsidR="004D2486" w:rsidRPr="004D2486" w:rsidRDefault="004D2486" w:rsidP="00124175">
      <w:pPr>
        <w:pStyle w:val="BodyText"/>
        <w:numPr>
          <w:ilvl w:val="0"/>
          <w:numId w:val="40"/>
        </w:numPr>
        <w:rPr>
          <w:rFonts w:ascii="Avenir Next" w:hAnsi="Avenir Next"/>
          <w:color w:val="7F7F7F" w:themeColor="text1" w:themeTint="80"/>
        </w:rPr>
      </w:pPr>
      <w:r w:rsidRPr="004D2486">
        <w:rPr>
          <w:rFonts w:ascii="Avenir Next" w:hAnsi="Avenir Next"/>
          <w:color w:val="7F7F7F" w:themeColor="text1" w:themeTint="80"/>
        </w:rPr>
        <w:t>if the voluntary liquidator is not a qualified insolvency practitioner or is unable to comply with the independence requirements of the IPR or is unwilling to be appointed as official liquidator, the name and address of a qualified insolvency practitioner nominated for appointment as official liquidator.</w:t>
      </w:r>
    </w:p>
    <w:p w14:paraId="467ADE44" w14:textId="77777777" w:rsidR="004D2486" w:rsidRDefault="004D2486" w:rsidP="004D2486">
      <w:pPr>
        <w:pStyle w:val="BodyText"/>
        <w:ind w:firstLine="0"/>
        <w:rPr>
          <w:rFonts w:ascii="Avenir Next" w:hAnsi="Avenir Next"/>
          <w:color w:val="7F7F7F" w:themeColor="text1" w:themeTint="80"/>
        </w:rPr>
      </w:pPr>
    </w:p>
    <w:p w14:paraId="33269F27" w14:textId="4348448E" w:rsidR="004D2486" w:rsidRDefault="004D2486" w:rsidP="004D2486">
      <w:pPr>
        <w:pStyle w:val="BodyText"/>
        <w:ind w:firstLine="0"/>
        <w:rPr>
          <w:rFonts w:ascii="Avenir Next" w:hAnsi="Avenir Next"/>
          <w:color w:val="7F7F7F" w:themeColor="text1" w:themeTint="80"/>
        </w:rPr>
      </w:pPr>
      <w:r w:rsidRPr="004D2486">
        <w:rPr>
          <w:rFonts w:ascii="Avenir Next" w:hAnsi="Avenir Next"/>
          <w:color w:val="7F7F7F" w:themeColor="text1" w:themeTint="80"/>
        </w:rPr>
        <w:t>Every petition must be presented within 35 days of the date upon which the liquidation is deemed to have commenced.</w:t>
      </w:r>
    </w:p>
    <w:p w14:paraId="0D9F678F" w14:textId="77777777" w:rsidR="004D2486" w:rsidRDefault="004D2486" w:rsidP="004D2486">
      <w:pPr>
        <w:pStyle w:val="BodyText"/>
        <w:ind w:firstLine="0"/>
        <w:rPr>
          <w:rFonts w:ascii="Avenir Next" w:hAnsi="Avenir Next"/>
          <w:color w:val="7F7F7F" w:themeColor="text1" w:themeTint="80"/>
        </w:rPr>
      </w:pPr>
    </w:p>
    <w:p w14:paraId="40C18D19" w14:textId="609F1455" w:rsidR="004D2486" w:rsidRPr="004D2486" w:rsidRDefault="004D2486" w:rsidP="004D2486">
      <w:pPr>
        <w:pStyle w:val="BodyText"/>
        <w:ind w:firstLine="0"/>
        <w:rPr>
          <w:rFonts w:ascii="Avenir Next" w:hAnsi="Avenir Next"/>
          <w:color w:val="7F7F7F" w:themeColor="text1" w:themeTint="80"/>
        </w:rPr>
      </w:pPr>
      <w:r>
        <w:rPr>
          <w:rFonts w:ascii="Avenir Next" w:hAnsi="Avenir Next"/>
          <w:color w:val="7F7F7F" w:themeColor="text1" w:themeTint="80"/>
        </w:rPr>
        <w:t xml:space="preserve">Unless the voluntary liquidator is a qualified insolvency practitioner who is willing and properly able to accept the appointment as official liquidator, the voluntary liquidator must give notice of the petition to the company’s members by whatever means is provided in its articles of association for giving notice of a general meeting of the company. </w:t>
      </w:r>
    </w:p>
    <w:p w14:paraId="6DA1FDC6" w14:textId="77777777"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w:t>
      </w:r>
      <w:proofErr w:type="gramStart"/>
      <w:r>
        <w:t>the priority</w:t>
      </w:r>
      <w:proofErr w:type="gramEnd"/>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328FA11E" w14:textId="73EE8BFE" w:rsidR="00B476B8" w:rsidRDefault="00B476B8" w:rsidP="00137A41">
      <w:pPr>
        <w:pStyle w:val="BodyText"/>
        <w:ind w:firstLine="0"/>
        <w:rPr>
          <w:rFonts w:ascii="Avenir Next" w:hAnsi="Avenir Next"/>
          <w:color w:val="808080" w:themeColor="background1" w:themeShade="80"/>
        </w:rPr>
      </w:pPr>
      <w:proofErr w:type="gramStart"/>
      <w:r>
        <w:rPr>
          <w:rFonts w:ascii="Avenir Next" w:hAnsi="Avenir Next"/>
          <w:color w:val="808080" w:themeColor="background1" w:themeShade="80"/>
        </w:rPr>
        <w:t>In order for</w:t>
      </w:r>
      <w:proofErr w:type="gramEnd"/>
      <w:r>
        <w:rPr>
          <w:rFonts w:ascii="Avenir Next" w:hAnsi="Avenir Next"/>
          <w:color w:val="808080" w:themeColor="background1" w:themeShade="80"/>
        </w:rPr>
        <w:t xml:space="preserve"> redemption </w:t>
      </w:r>
      <w:proofErr w:type="gramStart"/>
      <w:r>
        <w:rPr>
          <w:rFonts w:ascii="Avenir Next" w:hAnsi="Avenir Next"/>
          <w:color w:val="808080" w:themeColor="background1" w:themeShade="80"/>
        </w:rPr>
        <w:t>proceeds</w:t>
      </w:r>
      <w:proofErr w:type="gramEnd"/>
      <w:r>
        <w:rPr>
          <w:rFonts w:ascii="Avenir Next" w:hAnsi="Avenir Next"/>
          <w:color w:val="808080" w:themeColor="background1" w:themeShade="80"/>
        </w:rPr>
        <w:t xml:space="preserve"> to be classed as a provable debt the redemption must be complete as prescribed by the Master Fund’s </w:t>
      </w:r>
      <w:r w:rsidR="001A6C6F">
        <w:rPr>
          <w:rFonts w:ascii="Avenir Next" w:hAnsi="Avenir Next"/>
          <w:color w:val="808080" w:themeColor="background1" w:themeShade="80"/>
        </w:rPr>
        <w:t>governing</w:t>
      </w:r>
      <w:r>
        <w:rPr>
          <w:rFonts w:ascii="Avenir Next" w:hAnsi="Avenir Next"/>
          <w:color w:val="808080" w:themeColor="background1" w:themeShade="80"/>
        </w:rPr>
        <w:t xml:space="preserve"> documents prior to the commencement of the liquidation. As the redemption request was received after the commencement of the liquidation of the Master Fund, it amounts to an accrued right on behalf of the Cayman Feeder to redeem its shares which </w:t>
      </w:r>
      <w:r w:rsidR="00B77E06">
        <w:rPr>
          <w:rFonts w:ascii="Avenir Next" w:hAnsi="Avenir Next"/>
          <w:color w:val="808080" w:themeColor="background1" w:themeShade="80"/>
        </w:rPr>
        <w:t xml:space="preserve">will rank behind the claims of ordinary unsecured creditors. Such a claim </w:t>
      </w:r>
      <w:r>
        <w:rPr>
          <w:rFonts w:ascii="Avenir Next" w:hAnsi="Avenir Next"/>
          <w:color w:val="808080" w:themeColor="background1" w:themeShade="80"/>
        </w:rPr>
        <w:t xml:space="preserve">falls to be considered pursuant to section 37 (7) CA which deals with shareholder claims. </w:t>
      </w:r>
    </w:p>
    <w:p w14:paraId="602579F3" w14:textId="77777777" w:rsidR="00B476B8" w:rsidRDefault="00B476B8" w:rsidP="00137A41">
      <w:pPr>
        <w:pStyle w:val="BodyText"/>
        <w:ind w:firstLine="0"/>
        <w:rPr>
          <w:rFonts w:ascii="Avenir Next" w:hAnsi="Avenir Next"/>
          <w:color w:val="808080" w:themeColor="background1" w:themeShade="80"/>
        </w:rPr>
      </w:pPr>
    </w:p>
    <w:p w14:paraId="6F46DB34" w14:textId="07934C3C" w:rsidR="000519BD" w:rsidRPr="00B476B8" w:rsidRDefault="00B476B8" w:rsidP="00137A41">
      <w:pPr>
        <w:pStyle w:val="BodyText"/>
        <w:ind w:firstLine="0"/>
        <w:rPr>
          <w:rFonts w:ascii="Avenir Next" w:hAnsi="Avenir Next"/>
          <w:b/>
          <w:bCs/>
        </w:rPr>
      </w:pPr>
      <w:r>
        <w:rPr>
          <w:rFonts w:ascii="Avenir Next" w:hAnsi="Avenir Next"/>
          <w:color w:val="808080" w:themeColor="background1" w:themeShade="80"/>
        </w:rPr>
        <w:t xml:space="preserve">The Privy Council decision of </w:t>
      </w:r>
      <w:r w:rsidRPr="00B476B8">
        <w:rPr>
          <w:rFonts w:ascii="Avenir Next" w:hAnsi="Avenir Next"/>
          <w:i/>
          <w:iCs/>
          <w:color w:val="808080" w:themeColor="background1" w:themeShade="80"/>
        </w:rPr>
        <w:t xml:space="preserve">Michael Pearson (as additional liquidator of Herald Fund SPC (in official liquidation) v </w:t>
      </w:r>
      <w:proofErr w:type="spellStart"/>
      <w:r w:rsidRPr="00B476B8">
        <w:rPr>
          <w:rFonts w:ascii="Avenir Next" w:hAnsi="Avenir Next"/>
          <w:i/>
          <w:iCs/>
          <w:color w:val="808080" w:themeColor="background1" w:themeShade="80"/>
        </w:rPr>
        <w:t>Primeo</w:t>
      </w:r>
      <w:proofErr w:type="spellEnd"/>
      <w:r w:rsidRPr="00B476B8">
        <w:rPr>
          <w:rFonts w:ascii="Avenir Next" w:hAnsi="Avenir Next"/>
          <w:i/>
          <w:iCs/>
          <w:color w:val="808080" w:themeColor="background1" w:themeShade="80"/>
        </w:rPr>
        <w:t xml:space="preserve"> Fund (in official liquidation) [2017] UKPC 19</w:t>
      </w:r>
      <w:r>
        <w:rPr>
          <w:rFonts w:ascii="Avenir Next" w:hAnsi="Avenir Next"/>
          <w:color w:val="808080" w:themeColor="background1" w:themeShade="80"/>
        </w:rPr>
        <w:t xml:space="preserve"> confirmed that unpaid redemption proceeds </w:t>
      </w:r>
      <w:r w:rsidR="00B77E06">
        <w:rPr>
          <w:rFonts w:ascii="Avenir Next" w:hAnsi="Avenir Next"/>
          <w:color w:val="808080" w:themeColor="background1" w:themeShade="80"/>
        </w:rPr>
        <w:t xml:space="preserve">which were completed prior to the commencement of the liquidation in accordance with the company’s governing documents </w:t>
      </w:r>
      <w:r>
        <w:rPr>
          <w:rFonts w:ascii="Avenir Next" w:hAnsi="Avenir Next"/>
          <w:color w:val="808080" w:themeColor="background1" w:themeShade="80"/>
        </w:rPr>
        <w:t xml:space="preserve">are provable debts in a liquidation under s139 CA. </w:t>
      </w:r>
      <w:r w:rsidR="00B77E06">
        <w:rPr>
          <w:rFonts w:ascii="Avenir Next" w:hAnsi="Avenir Next"/>
          <w:color w:val="808080" w:themeColor="background1" w:themeShade="80"/>
        </w:rPr>
        <w:t xml:space="preserve">The law in respect of the priorities between the two types of </w:t>
      </w:r>
      <w:proofErr w:type="gramStart"/>
      <w:r w:rsidR="00B77E06">
        <w:rPr>
          <w:rFonts w:ascii="Avenir Next" w:hAnsi="Avenir Next"/>
          <w:color w:val="808080" w:themeColor="background1" w:themeShade="80"/>
        </w:rPr>
        <w:t>claim</w:t>
      </w:r>
      <w:proofErr w:type="gramEnd"/>
      <w:r w:rsidR="00B77E06">
        <w:rPr>
          <w:rFonts w:ascii="Avenir Next" w:hAnsi="Avenir Next"/>
          <w:color w:val="808080" w:themeColor="background1" w:themeShade="80"/>
        </w:rPr>
        <w:t xml:space="preserve"> is not </w:t>
      </w:r>
      <w:proofErr w:type="gramStart"/>
      <w:r w:rsidR="00B77E06">
        <w:rPr>
          <w:rFonts w:ascii="Avenir Next" w:hAnsi="Avenir Next"/>
          <w:color w:val="808080" w:themeColor="background1" w:themeShade="80"/>
        </w:rPr>
        <w:t>settled</w:t>
      </w:r>
      <w:proofErr w:type="gramEnd"/>
      <w:r w:rsidR="00B77E06">
        <w:rPr>
          <w:rFonts w:ascii="Avenir Next" w:hAnsi="Avenir Next"/>
          <w:color w:val="808080" w:themeColor="background1" w:themeShade="80"/>
        </w:rPr>
        <w:t xml:space="preserve"> it is however clear that both rank behind ordinary unsecured creditors. In obiter dictum the Privy Council </w:t>
      </w:r>
      <w:r w:rsidR="00124175">
        <w:rPr>
          <w:rFonts w:ascii="Avenir Next" w:hAnsi="Avenir Next"/>
          <w:color w:val="808080" w:themeColor="background1" w:themeShade="80"/>
        </w:rPr>
        <w:t>considered</w:t>
      </w:r>
      <w:r w:rsidR="00B77E06">
        <w:rPr>
          <w:rFonts w:ascii="Avenir Next" w:hAnsi="Avenir Next"/>
          <w:color w:val="808080" w:themeColor="background1" w:themeShade="80"/>
        </w:rPr>
        <w:t xml:space="preserve"> that completed redemption claims would rank in priority to or </w:t>
      </w:r>
      <w:proofErr w:type="spellStart"/>
      <w:r w:rsidR="00B77E06">
        <w:rPr>
          <w:rFonts w:ascii="Avenir Next" w:hAnsi="Avenir Next"/>
          <w:color w:val="808080" w:themeColor="background1" w:themeShade="80"/>
        </w:rPr>
        <w:t>pari</w:t>
      </w:r>
      <w:proofErr w:type="spellEnd"/>
      <w:r w:rsidR="00B77E06">
        <w:rPr>
          <w:rFonts w:ascii="Avenir Next" w:hAnsi="Avenir Next"/>
          <w:color w:val="808080" w:themeColor="background1" w:themeShade="80"/>
        </w:rPr>
        <w:t xml:space="preserve"> passu with shareholder claims. </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2D7B8CC7" w14:textId="1295CCF9" w:rsidR="00B77E06" w:rsidRDefault="00B77E06" w:rsidP="007F068B">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s104(2) CA an application for the appointment of a provisional liquidator may be made on the grounds that:</w:t>
      </w:r>
    </w:p>
    <w:p w14:paraId="4ACAB3B9" w14:textId="57E9F5AA" w:rsidR="00B77E06" w:rsidRDefault="00B77E06" w:rsidP="00124175">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there is prima facie case for making a winding up order; and</w:t>
      </w:r>
    </w:p>
    <w:p w14:paraId="35899105" w14:textId="776C4C34" w:rsidR="00B77E06" w:rsidRDefault="00B77E06" w:rsidP="00124175">
      <w:pPr>
        <w:pStyle w:val="BodyText"/>
        <w:numPr>
          <w:ilvl w:val="0"/>
          <w:numId w:val="41"/>
        </w:numPr>
        <w:rPr>
          <w:rFonts w:ascii="Avenir Next" w:hAnsi="Avenir Next"/>
          <w:color w:val="808080" w:themeColor="background1" w:themeShade="80"/>
        </w:rPr>
      </w:pPr>
      <w:proofErr w:type="gramStart"/>
      <w:r>
        <w:rPr>
          <w:rFonts w:ascii="Avenir Next" w:hAnsi="Avenir Next"/>
          <w:color w:val="808080" w:themeColor="background1" w:themeShade="80"/>
        </w:rPr>
        <w:t>the</w:t>
      </w:r>
      <w:proofErr w:type="gramEnd"/>
      <w:r>
        <w:rPr>
          <w:rFonts w:ascii="Avenir Next" w:hAnsi="Avenir Next"/>
          <w:color w:val="808080" w:themeColor="background1" w:themeShade="80"/>
        </w:rPr>
        <w:t xml:space="preserve"> appointment is necessary </w:t>
      </w:r>
      <w:proofErr w:type="gramStart"/>
      <w:r>
        <w:rPr>
          <w:rFonts w:ascii="Avenir Next" w:hAnsi="Avenir Next"/>
          <w:color w:val="808080" w:themeColor="background1" w:themeShade="80"/>
        </w:rPr>
        <w:t>in order to</w:t>
      </w:r>
      <w:proofErr w:type="gram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prevent the dissipation or misuse of the company’s assets; (ii) prevent the oppression of minority shareholders; or (iii) prevent mismanagement or misconduct on the part of the company’s directors.</w:t>
      </w:r>
    </w:p>
    <w:p w14:paraId="2F7A31E5" w14:textId="77777777" w:rsidR="00B77E06" w:rsidRDefault="00B77E06" w:rsidP="007F068B">
      <w:pPr>
        <w:pStyle w:val="BodyText"/>
        <w:ind w:firstLine="0"/>
        <w:rPr>
          <w:rFonts w:ascii="Avenir Next" w:hAnsi="Avenir Next"/>
          <w:color w:val="808080" w:themeColor="background1" w:themeShade="80"/>
        </w:rPr>
      </w:pPr>
    </w:p>
    <w:p w14:paraId="3328FEC6" w14:textId="77D48834" w:rsidR="007F068B" w:rsidRPr="00486A0B" w:rsidRDefault="00B77E06" w:rsidP="007F068B">
      <w:pPr>
        <w:pStyle w:val="BodyText"/>
        <w:ind w:firstLine="0"/>
        <w:rPr>
          <w:rFonts w:ascii="Avenir Next" w:hAnsi="Avenir Next"/>
          <w:b/>
          <w:bCs/>
        </w:rPr>
      </w:pPr>
      <w:r>
        <w:rPr>
          <w:rFonts w:ascii="Avenir Next" w:hAnsi="Avenir Next"/>
          <w:color w:val="808080" w:themeColor="background1" w:themeShade="80"/>
        </w:rPr>
        <w:t xml:space="preserve">Pursuant to section 104 (3) of the CA a company may make an application for the appointment of provisional liquidators under section 104(1) of the CA and on such application the Grand Court may appoint a provisional liquidator if it considers it appropriate to do so. </w:t>
      </w:r>
    </w:p>
    <w:p w14:paraId="1CA2F8A1" w14:textId="77777777" w:rsidR="007F068B" w:rsidRDefault="007F068B" w:rsidP="00137A41"/>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proofErr w:type="gramStart"/>
      <w:r w:rsidRPr="00B31A12">
        <w:t>Considering the fact that</w:t>
      </w:r>
      <w:proofErr w:type="gramEnd"/>
      <w:r w:rsidRPr="00B31A12">
        <w:t xml:space="preserve"> M</w:t>
      </w:r>
      <w:r w:rsidR="001D3AB4">
        <w:t>aritime Sea Ventures (MSV)</w:t>
      </w:r>
      <w:r w:rsidRPr="00B31A12">
        <w:t xml:space="preserve"> is on the verge </w:t>
      </w:r>
      <w:proofErr w:type="gramStart"/>
      <w:r w:rsidRPr="00B31A12">
        <w:t>on</w:t>
      </w:r>
      <w:proofErr w:type="gramEnd"/>
      <w:r w:rsidRPr="00B31A12">
        <w:t xml:space="preserve">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0D30F72D" w14:textId="55FBFD32" w:rsidR="00AD2E5C" w:rsidRPr="00935D93" w:rsidRDefault="00AD2E5C" w:rsidP="00137A41">
      <w:pPr>
        <w:pStyle w:val="BodyText"/>
        <w:ind w:firstLine="0"/>
        <w:rPr>
          <w:rFonts w:ascii="Avenir Next" w:hAnsi="Avenir Next"/>
          <w:color w:val="7F7F7F" w:themeColor="text1" w:themeTint="80"/>
        </w:rPr>
      </w:pPr>
    </w:p>
    <w:p w14:paraId="0DEDDB58" w14:textId="20D2F7B4" w:rsidR="003939B5" w:rsidRDefault="00935D93" w:rsidP="00C21160">
      <w:pPr>
        <w:pStyle w:val="BodyText"/>
        <w:ind w:firstLine="0"/>
        <w:rPr>
          <w:rFonts w:ascii="Avenir Next" w:hAnsi="Avenir Next"/>
          <w:color w:val="7F7F7F" w:themeColor="text1" w:themeTint="80"/>
        </w:rPr>
      </w:pPr>
      <w:r w:rsidRPr="00935D93">
        <w:rPr>
          <w:rFonts w:ascii="Avenir Next" w:hAnsi="Avenir Next"/>
          <w:color w:val="7F7F7F" w:themeColor="text1" w:themeTint="80"/>
        </w:rPr>
        <w:t xml:space="preserve">MSV </w:t>
      </w:r>
      <w:r w:rsidR="003939B5">
        <w:rPr>
          <w:rFonts w:ascii="Avenir Next" w:hAnsi="Avenir Next"/>
          <w:color w:val="7F7F7F" w:themeColor="text1" w:themeTint="80"/>
        </w:rPr>
        <w:t>should speak to an insolvency practitioner for advice as soon as possible</w:t>
      </w:r>
      <w:r w:rsidR="00C21160">
        <w:rPr>
          <w:rFonts w:ascii="Avenir Next" w:hAnsi="Avenir Next"/>
          <w:color w:val="7F7F7F" w:themeColor="text1" w:themeTint="80"/>
        </w:rPr>
        <w:t xml:space="preserve"> to discuss potential restructuring options.</w:t>
      </w:r>
      <w:r w:rsidR="003939B5">
        <w:rPr>
          <w:rFonts w:ascii="Avenir Next" w:hAnsi="Avenir Next"/>
          <w:color w:val="7F7F7F" w:themeColor="text1" w:themeTint="80"/>
        </w:rPr>
        <w:t xml:space="preserve"> </w:t>
      </w:r>
    </w:p>
    <w:p w14:paraId="46A4EF37" w14:textId="172422E4" w:rsidR="00935D93" w:rsidRDefault="003939B5" w:rsidP="00124175">
      <w:pPr>
        <w:pStyle w:val="BodyText"/>
        <w:numPr>
          <w:ilvl w:val="0"/>
          <w:numId w:val="42"/>
        </w:numPr>
        <w:rPr>
          <w:rFonts w:ascii="Avenir Next" w:hAnsi="Avenir Next"/>
          <w:color w:val="7F7F7F" w:themeColor="text1" w:themeTint="80"/>
        </w:rPr>
      </w:pPr>
      <w:r>
        <w:rPr>
          <w:rFonts w:ascii="Avenir Next" w:hAnsi="Avenir Next"/>
          <w:color w:val="7F7F7F" w:themeColor="text1" w:themeTint="80"/>
        </w:rPr>
        <w:t xml:space="preserve">MSV </w:t>
      </w:r>
      <w:r w:rsidR="00935D93" w:rsidRPr="00935D93">
        <w:rPr>
          <w:rFonts w:ascii="Avenir Next" w:hAnsi="Avenir Next"/>
          <w:color w:val="7F7F7F" w:themeColor="text1" w:themeTint="80"/>
        </w:rPr>
        <w:t xml:space="preserve">could seek an informal workout with its creditors </w:t>
      </w:r>
      <w:r w:rsidR="00935D93">
        <w:rPr>
          <w:rFonts w:ascii="Avenir Next" w:hAnsi="Avenir Next"/>
          <w:color w:val="7F7F7F" w:themeColor="text1" w:themeTint="80"/>
        </w:rPr>
        <w:t xml:space="preserve">in respect of the liabilities on which it has defaulted </w:t>
      </w:r>
      <w:r w:rsidR="00935D93" w:rsidRPr="00935D93">
        <w:rPr>
          <w:rFonts w:ascii="Avenir Next" w:hAnsi="Avenir Next"/>
          <w:color w:val="7F7F7F" w:themeColor="text1" w:themeTint="80"/>
        </w:rPr>
        <w:t xml:space="preserve">by </w:t>
      </w:r>
      <w:proofErr w:type="gramStart"/>
      <w:r w:rsidR="00935D93" w:rsidRPr="00935D93">
        <w:rPr>
          <w:rFonts w:ascii="Avenir Next" w:hAnsi="Avenir Next"/>
          <w:color w:val="7F7F7F" w:themeColor="text1" w:themeTint="80"/>
        </w:rPr>
        <w:t>entering into</w:t>
      </w:r>
      <w:proofErr w:type="gramEnd"/>
      <w:r w:rsidR="00935D93" w:rsidRPr="00935D93">
        <w:rPr>
          <w:rFonts w:ascii="Avenir Next" w:hAnsi="Avenir Next"/>
          <w:color w:val="7F7F7F" w:themeColor="text1" w:themeTint="80"/>
        </w:rPr>
        <w:t xml:space="preserve"> payment plans or seeking to restructure its debts, beginning with </w:t>
      </w:r>
      <w:proofErr w:type="spellStart"/>
      <w:r w:rsidR="00935D93" w:rsidRPr="00935D93">
        <w:rPr>
          <w:rFonts w:ascii="Avenir Next" w:hAnsi="Avenir Next"/>
          <w:color w:val="7F7F7F" w:themeColor="text1" w:themeTint="80"/>
        </w:rPr>
        <w:t>BlueWave</w:t>
      </w:r>
      <w:proofErr w:type="spellEnd"/>
      <w:r w:rsidR="00935D93" w:rsidRPr="00935D93">
        <w:rPr>
          <w:rFonts w:ascii="Avenir Next" w:hAnsi="Avenir Next"/>
          <w:color w:val="7F7F7F" w:themeColor="text1" w:themeTint="80"/>
        </w:rPr>
        <w:t xml:space="preserve"> Financial on the basis that it agrees not to proceed to issue a statutory demand. </w:t>
      </w:r>
      <w:r w:rsidR="00935D93">
        <w:rPr>
          <w:rFonts w:ascii="Avenir Next" w:hAnsi="Avenir Next"/>
          <w:color w:val="7F7F7F" w:themeColor="text1" w:themeTint="80"/>
        </w:rPr>
        <w:t xml:space="preserve">It would be prudent to enter into standstill agreements to obviate the risk of enforcement action from creditors if it proceeds on this </w:t>
      </w:r>
      <w:proofErr w:type="gramStart"/>
      <w:r w:rsidR="00935D93">
        <w:rPr>
          <w:rFonts w:ascii="Avenir Next" w:hAnsi="Avenir Next"/>
          <w:color w:val="7F7F7F" w:themeColor="text1" w:themeTint="80"/>
        </w:rPr>
        <w:t>basis</w:t>
      </w:r>
      <w:proofErr w:type="gramEnd"/>
      <w:r>
        <w:rPr>
          <w:rFonts w:ascii="Avenir Next" w:hAnsi="Avenir Next"/>
          <w:color w:val="7F7F7F" w:themeColor="text1" w:themeTint="80"/>
        </w:rPr>
        <w:t xml:space="preserve"> but</w:t>
      </w:r>
      <w:r w:rsidR="00935D93">
        <w:rPr>
          <w:rFonts w:ascii="Avenir Next" w:hAnsi="Avenir Next"/>
          <w:color w:val="7F7F7F" w:themeColor="text1" w:themeTint="80"/>
        </w:rPr>
        <w:t xml:space="preserve"> the directors will need to be cognizant of their duties and not </w:t>
      </w:r>
      <w:proofErr w:type="gramStart"/>
      <w:r w:rsidR="00935D93">
        <w:rPr>
          <w:rFonts w:ascii="Avenir Next" w:hAnsi="Avenir Next"/>
          <w:color w:val="7F7F7F" w:themeColor="text1" w:themeTint="80"/>
        </w:rPr>
        <w:t>continuing</w:t>
      </w:r>
      <w:proofErr w:type="gramEnd"/>
      <w:r w:rsidR="00935D93">
        <w:rPr>
          <w:rFonts w:ascii="Avenir Next" w:hAnsi="Avenir Next"/>
          <w:color w:val="7F7F7F" w:themeColor="text1" w:themeTint="80"/>
        </w:rPr>
        <w:t xml:space="preserve"> to trade whilst insolvent. </w:t>
      </w:r>
    </w:p>
    <w:p w14:paraId="185C72C7" w14:textId="383BDAC3" w:rsidR="00935D93" w:rsidRDefault="00935D93" w:rsidP="00124175">
      <w:pPr>
        <w:pStyle w:val="BodyText"/>
        <w:numPr>
          <w:ilvl w:val="0"/>
          <w:numId w:val="42"/>
        </w:numPr>
        <w:rPr>
          <w:rFonts w:ascii="Avenir Next" w:hAnsi="Avenir Next"/>
          <w:color w:val="7F7F7F" w:themeColor="text1" w:themeTint="80"/>
        </w:rPr>
      </w:pPr>
      <w:r>
        <w:rPr>
          <w:rFonts w:ascii="Avenir Next" w:hAnsi="Avenir Next"/>
          <w:color w:val="7F7F7F" w:themeColor="text1" w:themeTint="80"/>
        </w:rPr>
        <w:t>MSV could file a petition to have a restructuring officer appointed pursuant to 91</w:t>
      </w:r>
      <w:proofErr w:type="gramStart"/>
      <w:r>
        <w:rPr>
          <w:rFonts w:ascii="Avenir Next" w:hAnsi="Avenir Next"/>
          <w:color w:val="7F7F7F" w:themeColor="text1" w:themeTint="80"/>
        </w:rPr>
        <w:t>B(</w:t>
      </w:r>
      <w:proofErr w:type="gramEnd"/>
      <w:r>
        <w:rPr>
          <w:rFonts w:ascii="Avenir Next" w:hAnsi="Avenir Next"/>
          <w:color w:val="7F7F7F" w:themeColor="text1" w:themeTint="80"/>
        </w:rPr>
        <w:t xml:space="preserve">1) </w:t>
      </w:r>
      <w:r w:rsidR="003939B5">
        <w:rPr>
          <w:rFonts w:ascii="Avenir Next" w:hAnsi="Avenir Next"/>
          <w:color w:val="7F7F7F" w:themeColor="text1" w:themeTint="80"/>
        </w:rPr>
        <w:t>CA</w:t>
      </w:r>
      <w:r>
        <w:rPr>
          <w:rFonts w:ascii="Avenir Next" w:hAnsi="Avenir Next"/>
          <w:color w:val="7F7F7F" w:themeColor="text1" w:themeTint="80"/>
        </w:rPr>
        <w:t xml:space="preserve"> on the grounds that it is likely to become unable to pay its debts and intends to present a compromise or arrangement with its creditors. It must have </w:t>
      </w:r>
      <w:r w:rsidR="003939B5">
        <w:rPr>
          <w:rFonts w:ascii="Avenir Next" w:hAnsi="Avenir Next"/>
          <w:color w:val="7F7F7F" w:themeColor="text1" w:themeTint="80"/>
        </w:rPr>
        <w:t xml:space="preserve">credible evidence of </w:t>
      </w:r>
      <w:r>
        <w:rPr>
          <w:rFonts w:ascii="Avenir Next" w:hAnsi="Avenir Next"/>
          <w:color w:val="7F7F7F" w:themeColor="text1" w:themeTint="80"/>
        </w:rPr>
        <w:t xml:space="preserve">a restructuring </w:t>
      </w:r>
      <w:r w:rsidR="003939B5">
        <w:rPr>
          <w:rFonts w:ascii="Avenir Next" w:hAnsi="Avenir Next"/>
          <w:color w:val="7F7F7F" w:themeColor="text1" w:themeTint="80"/>
        </w:rPr>
        <w:t>proposal with reasonable prospects of success</w:t>
      </w:r>
      <w:r w:rsidR="00C21160">
        <w:rPr>
          <w:rFonts w:ascii="Avenir Next" w:hAnsi="Avenir Next"/>
          <w:color w:val="7F7F7F" w:themeColor="text1" w:themeTint="80"/>
        </w:rPr>
        <w:t xml:space="preserve"> (see </w:t>
      </w:r>
      <w:r w:rsidR="00C21160" w:rsidRPr="00C21160">
        <w:rPr>
          <w:rFonts w:ascii="Avenir Next" w:hAnsi="Avenir Next"/>
          <w:i/>
          <w:iCs/>
          <w:color w:val="7F7F7F" w:themeColor="text1" w:themeTint="80"/>
        </w:rPr>
        <w:t>Oriente Group Limited [FSD 231 of 2022</w:t>
      </w:r>
      <w:r w:rsidR="00C21160">
        <w:rPr>
          <w:rFonts w:ascii="Avenir Next" w:hAnsi="Avenir Next"/>
          <w:color w:val="7F7F7F" w:themeColor="text1" w:themeTint="80"/>
        </w:rPr>
        <w:t>])</w:t>
      </w:r>
      <w:r w:rsidR="003939B5">
        <w:rPr>
          <w:rFonts w:ascii="Avenir Next" w:hAnsi="Avenir Next"/>
          <w:color w:val="7F7F7F" w:themeColor="text1" w:themeTint="80"/>
        </w:rPr>
        <w:t>. Section 91L CA allows a scheme of arrangement within a restructuring officer regime.</w:t>
      </w:r>
    </w:p>
    <w:p w14:paraId="2817E79D" w14:textId="01CFE4B1" w:rsidR="003939B5" w:rsidRDefault="003939B5" w:rsidP="00124175">
      <w:pPr>
        <w:pStyle w:val="BodyText"/>
        <w:numPr>
          <w:ilvl w:val="0"/>
          <w:numId w:val="42"/>
        </w:numPr>
        <w:rPr>
          <w:rFonts w:ascii="Avenir Next" w:hAnsi="Avenir Next"/>
          <w:color w:val="7F7F7F" w:themeColor="text1" w:themeTint="80"/>
        </w:rPr>
      </w:pPr>
      <w:r>
        <w:rPr>
          <w:rFonts w:ascii="Avenir Next" w:hAnsi="Avenir Next"/>
          <w:color w:val="7F7F7F" w:themeColor="text1" w:themeTint="80"/>
        </w:rPr>
        <w:t xml:space="preserve">MSV could propose a scheme of arrangement to its creditors pursuant to section 86 CA outside of the restructuring officer regime, this could be done if there is a low risk of creditor enforcement and if there is no significant English law governed debt and therefore no need to attempt to overcome the “rule in </w:t>
      </w:r>
      <w:proofErr w:type="spellStart"/>
      <w:r>
        <w:rPr>
          <w:rFonts w:ascii="Avenir Next" w:hAnsi="Avenir Next"/>
          <w:color w:val="7F7F7F" w:themeColor="text1" w:themeTint="80"/>
        </w:rPr>
        <w:t>gibbs</w:t>
      </w:r>
      <w:proofErr w:type="spellEnd"/>
      <w:r>
        <w:rPr>
          <w:rFonts w:ascii="Avenir Next" w:hAnsi="Avenir Next"/>
          <w:color w:val="7F7F7F" w:themeColor="text1" w:themeTint="80"/>
        </w:rPr>
        <w:t>”.</w:t>
      </w: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lastRenderedPageBreak/>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2761F6A" w14:textId="1AA75E1F" w:rsidR="000756CC" w:rsidRPr="00486A0B" w:rsidRDefault="003939B5" w:rsidP="000756CC">
      <w:pPr>
        <w:pStyle w:val="BodyText"/>
        <w:ind w:firstLine="0"/>
        <w:rPr>
          <w:rFonts w:ascii="Avenir Next" w:hAnsi="Avenir Next"/>
          <w:b/>
          <w:bCs/>
        </w:rPr>
      </w:pPr>
      <w:r>
        <w:rPr>
          <w:rFonts w:ascii="Avenir Next" w:hAnsi="Avenir Next"/>
          <w:color w:val="808080" w:themeColor="background1" w:themeShade="80"/>
        </w:rPr>
        <w:t xml:space="preserve">Pursuant to 91G CA, the moratorium takes effect as soon as a restructuring petition is presented pursuant to 91B. The effect of the moratorium is that no suit, action of other proceedings, other than criminal proceedings, shall be proceeded with or commenced against the company, no resolution passed for the company to be wound up and no winding up petition presented against the company, without the leave of the Court and subject to such terms as the Court may impose. </w:t>
      </w:r>
      <w:r w:rsidR="00C21160">
        <w:rPr>
          <w:rFonts w:ascii="Avenir Next" w:hAnsi="Avenir Next"/>
          <w:color w:val="808080" w:themeColor="background1" w:themeShade="80"/>
        </w:rPr>
        <w:t xml:space="preserve">This allows the company some breathing space to seek approval of a restructuring proposal by its creditors. </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00C35D1F"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471E6B97" w14:textId="01829270" w:rsidR="000756CC" w:rsidRDefault="00C21160" w:rsidP="000756CC">
      <w:pPr>
        <w:pStyle w:val="BodyText"/>
        <w:ind w:firstLine="0"/>
        <w:rPr>
          <w:rFonts w:ascii="Avenir Next" w:hAnsi="Avenir Next"/>
          <w:color w:val="808080" w:themeColor="background1" w:themeShade="80"/>
        </w:rPr>
      </w:pPr>
      <w:r>
        <w:rPr>
          <w:rFonts w:ascii="Avenir Next" w:hAnsi="Avenir Next"/>
          <w:color w:val="808080" w:themeColor="background1" w:themeShade="80"/>
        </w:rPr>
        <w:t>Once appointed, the restructuring officers must report to the Court and every creditor and contributory within 28 days of their appointment (CWR O1.A, r.8). This is to protect stakeholders against prolonged and expensive restructuring attempts which may prove unsuccessful. The report must include details of:</w:t>
      </w:r>
    </w:p>
    <w:p w14:paraId="411E8681" w14:textId="19E0B2C6" w:rsidR="00C21160" w:rsidRPr="00C21160" w:rsidRDefault="00C21160" w:rsidP="00124175">
      <w:pPr>
        <w:pStyle w:val="BodyText"/>
        <w:numPr>
          <w:ilvl w:val="0"/>
          <w:numId w:val="43"/>
        </w:numPr>
        <w:rPr>
          <w:rFonts w:ascii="Avenir Next" w:hAnsi="Avenir Next"/>
          <w:color w:val="7F7F7F" w:themeColor="text1" w:themeTint="80"/>
        </w:rPr>
      </w:pPr>
      <w:r w:rsidRPr="00C21160">
        <w:rPr>
          <w:rFonts w:ascii="Avenir Next" w:hAnsi="Avenir Next"/>
          <w:color w:val="7F7F7F" w:themeColor="text1" w:themeTint="80"/>
        </w:rPr>
        <w:t xml:space="preserve">The steps taken in the restructuring and the further steps intended to be taken in the restructuring </w:t>
      </w:r>
      <w:proofErr w:type="gramStart"/>
      <w:r w:rsidRPr="00C21160">
        <w:rPr>
          <w:rFonts w:ascii="Avenir Next" w:hAnsi="Avenir Next"/>
          <w:color w:val="7F7F7F" w:themeColor="text1" w:themeTint="80"/>
        </w:rPr>
        <w:t>generally;</w:t>
      </w:r>
      <w:proofErr w:type="gramEnd"/>
    </w:p>
    <w:p w14:paraId="4AAC5BB2" w14:textId="0BCFCE20" w:rsidR="00C21160" w:rsidRPr="00C21160" w:rsidRDefault="00C21160" w:rsidP="00124175">
      <w:pPr>
        <w:pStyle w:val="BodyText"/>
        <w:numPr>
          <w:ilvl w:val="0"/>
          <w:numId w:val="43"/>
        </w:numPr>
        <w:rPr>
          <w:rFonts w:ascii="Avenir Next" w:hAnsi="Avenir Next"/>
          <w:color w:val="7F7F7F" w:themeColor="text1" w:themeTint="80"/>
        </w:rPr>
      </w:pPr>
      <w:r w:rsidRPr="00C21160">
        <w:rPr>
          <w:rFonts w:ascii="Avenir Next" w:hAnsi="Avenir Next"/>
          <w:color w:val="7F7F7F" w:themeColor="text1" w:themeTint="80"/>
        </w:rPr>
        <w:t xml:space="preserve">The financial position of the company at the latest practicable </w:t>
      </w:r>
      <w:proofErr w:type="gramStart"/>
      <w:r w:rsidRPr="00C21160">
        <w:rPr>
          <w:rFonts w:ascii="Avenir Next" w:hAnsi="Avenir Next"/>
          <w:color w:val="7F7F7F" w:themeColor="text1" w:themeTint="80"/>
        </w:rPr>
        <w:t>date;</w:t>
      </w:r>
      <w:proofErr w:type="gramEnd"/>
    </w:p>
    <w:p w14:paraId="6E5EE2C7" w14:textId="42CE4384" w:rsidR="00C21160" w:rsidRPr="00C21160" w:rsidRDefault="00C21160" w:rsidP="00124175">
      <w:pPr>
        <w:pStyle w:val="BodyText"/>
        <w:numPr>
          <w:ilvl w:val="0"/>
          <w:numId w:val="43"/>
        </w:numPr>
        <w:rPr>
          <w:rFonts w:ascii="Avenir Next" w:hAnsi="Avenir Next"/>
          <w:color w:val="7F7F7F" w:themeColor="text1" w:themeTint="80"/>
        </w:rPr>
      </w:pPr>
      <w:r w:rsidRPr="00C21160">
        <w:rPr>
          <w:rFonts w:ascii="Avenir Next" w:hAnsi="Avenir Next"/>
          <w:color w:val="7F7F7F" w:themeColor="text1" w:themeTint="80"/>
        </w:rPr>
        <w:t xml:space="preserve">The work done by or on behalf of the restructuring officer and the amount of remuneration claimed by that restructuring </w:t>
      </w:r>
      <w:proofErr w:type="gramStart"/>
      <w:r w:rsidRPr="00C21160">
        <w:rPr>
          <w:rFonts w:ascii="Avenir Next" w:hAnsi="Avenir Next"/>
          <w:color w:val="7F7F7F" w:themeColor="text1" w:themeTint="80"/>
        </w:rPr>
        <w:t>officer;</w:t>
      </w:r>
      <w:proofErr w:type="gramEnd"/>
      <w:r w:rsidRPr="00C21160">
        <w:rPr>
          <w:rFonts w:ascii="Avenir Next" w:hAnsi="Avenir Next"/>
          <w:color w:val="7F7F7F" w:themeColor="text1" w:themeTint="80"/>
        </w:rPr>
        <w:t xml:space="preserve"> </w:t>
      </w:r>
    </w:p>
    <w:p w14:paraId="2664015D" w14:textId="0D062E3C" w:rsidR="00C21160" w:rsidRPr="00C21160" w:rsidRDefault="00C21160" w:rsidP="00124175">
      <w:pPr>
        <w:pStyle w:val="BodyText"/>
        <w:numPr>
          <w:ilvl w:val="0"/>
          <w:numId w:val="43"/>
        </w:numPr>
        <w:rPr>
          <w:rFonts w:ascii="Avenir Next" w:hAnsi="Avenir Next"/>
          <w:color w:val="7F7F7F" w:themeColor="text1" w:themeTint="80"/>
        </w:rPr>
      </w:pPr>
      <w:r w:rsidRPr="00C21160">
        <w:rPr>
          <w:rFonts w:ascii="Avenir Next" w:hAnsi="Avenir Next"/>
          <w:color w:val="7F7F7F" w:themeColor="text1" w:themeTint="80"/>
        </w:rPr>
        <w:t xml:space="preserve">Such other information which is required </w:t>
      </w:r>
      <w:proofErr w:type="gramStart"/>
      <w:r w:rsidRPr="00C21160">
        <w:rPr>
          <w:rFonts w:ascii="Avenir Next" w:hAnsi="Avenir Next"/>
          <w:color w:val="7F7F7F" w:themeColor="text1" w:themeTint="80"/>
        </w:rPr>
        <w:t>in order to</w:t>
      </w:r>
      <w:proofErr w:type="gramEnd"/>
      <w:r w:rsidRPr="00C21160">
        <w:rPr>
          <w:rFonts w:ascii="Avenir Next" w:hAnsi="Avenir Next"/>
          <w:color w:val="7F7F7F" w:themeColor="text1" w:themeTint="80"/>
        </w:rPr>
        <w:t xml:space="preserve"> provide the contributories and creditors with a proper understanding of the company’s affairs, financial position and proposed restructuring; and</w:t>
      </w:r>
    </w:p>
    <w:p w14:paraId="4445AEAA" w14:textId="5CD81FEC" w:rsidR="00C21160" w:rsidRPr="00C21160" w:rsidRDefault="00C21160" w:rsidP="00124175">
      <w:pPr>
        <w:pStyle w:val="BodyText"/>
        <w:numPr>
          <w:ilvl w:val="0"/>
          <w:numId w:val="43"/>
        </w:numPr>
        <w:rPr>
          <w:rFonts w:ascii="Avenir Next" w:hAnsi="Avenir Next"/>
          <w:color w:val="7F7F7F" w:themeColor="text1" w:themeTint="80"/>
        </w:rPr>
      </w:pPr>
      <w:r w:rsidRPr="00C21160">
        <w:rPr>
          <w:rFonts w:ascii="Avenir Next" w:hAnsi="Avenir Next"/>
          <w:color w:val="7F7F7F" w:themeColor="text1" w:themeTint="80"/>
        </w:rPr>
        <w:t xml:space="preserve">Such other matters as the Court may direct. </w:t>
      </w: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522D46AC" w14:textId="77777777" w:rsidR="004315B5" w:rsidRDefault="004315B5"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Class composition is a common dispute in case law surrounding contested schemes of arrangement. The decision as to whether it is appropriate for creditors or members of the company to vote together as a group or whether they need to be split into different classes is therefore highly significant and will determine whether the scheme is likely to be approved. If a group of dissenting creditors or members can successfully claim that they should be in a class of their own this will mean the scheme will not be approved as each class much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for the scheme to be sanctioned by the Court. </w:t>
      </w:r>
    </w:p>
    <w:p w14:paraId="5EA5A8A3" w14:textId="77777777" w:rsidR="004315B5" w:rsidRDefault="004315B5" w:rsidP="00137A41">
      <w:pPr>
        <w:pStyle w:val="BodyText"/>
        <w:ind w:firstLine="0"/>
        <w:rPr>
          <w:rFonts w:ascii="Avenir Next" w:hAnsi="Avenir Next"/>
          <w:color w:val="808080" w:themeColor="background1" w:themeShade="80"/>
        </w:rPr>
      </w:pPr>
    </w:p>
    <w:p w14:paraId="3993000A" w14:textId="0BE1B693" w:rsidR="00605AA2" w:rsidRDefault="004315B5" w:rsidP="004315B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Cayman Islands law on class composition in a scheme of arrangement derives from the case of re </w:t>
      </w:r>
      <w:r w:rsidRPr="004315B5">
        <w:rPr>
          <w:rFonts w:ascii="Avenir Next" w:hAnsi="Avenir Next"/>
          <w:i/>
          <w:iCs/>
          <w:color w:val="808080" w:themeColor="background1" w:themeShade="80"/>
        </w:rPr>
        <w:t>Euro Bank Corp, 2003 CILR 205</w:t>
      </w:r>
      <w:r>
        <w:rPr>
          <w:rFonts w:ascii="Avenir Next" w:hAnsi="Avenir Next"/>
          <w:i/>
          <w:iCs/>
          <w:color w:val="808080" w:themeColor="background1" w:themeShade="80"/>
        </w:rPr>
        <w:t xml:space="preserve"> </w:t>
      </w:r>
      <w:r>
        <w:rPr>
          <w:rFonts w:ascii="Avenir Next" w:hAnsi="Avenir Next"/>
          <w:color w:val="808080" w:themeColor="background1" w:themeShade="80"/>
        </w:rPr>
        <w:t xml:space="preserve">which applies the law as stated by Chadwick LJ in the English Court of Appeal case of </w:t>
      </w:r>
      <w:r w:rsidRPr="004315B5">
        <w:rPr>
          <w:rFonts w:ascii="Avenir Next" w:hAnsi="Avenir Next"/>
          <w:i/>
          <w:iCs/>
          <w:color w:val="808080" w:themeColor="background1" w:themeShade="80"/>
        </w:rPr>
        <w:t>re Hawk Insurance Company Limited [2001] EWCA Civ 241</w:t>
      </w:r>
      <w:r>
        <w:rPr>
          <w:rFonts w:ascii="Avenir Next" w:hAnsi="Avenir Next"/>
          <w:i/>
          <w:iCs/>
          <w:color w:val="808080" w:themeColor="background1" w:themeShade="80"/>
        </w:rPr>
        <w:t xml:space="preserve"> </w:t>
      </w:r>
      <w:r>
        <w:rPr>
          <w:rFonts w:ascii="Avenir Next" w:hAnsi="Avenir Next"/>
          <w:color w:val="808080" w:themeColor="background1" w:themeShade="80"/>
        </w:rPr>
        <w:t xml:space="preserve">(citing Sovereign Life Assurance Co (in liquidation) v Dodd [1892] 2 QB 573). A class must be confined to those persons whose rights are not so dissimilar as to make it impossible for them to consult together with a view to their common interest, having regard to what is surrendered and obtained pursuant to the proposed scheme, when measured against liquidation. This is referred to as the “appropriate </w:t>
      </w:r>
      <w:r>
        <w:rPr>
          <w:rFonts w:ascii="Avenir Next" w:hAnsi="Avenir Next"/>
          <w:color w:val="808080" w:themeColor="background1" w:themeShade="80"/>
        </w:rPr>
        <w:lastRenderedPageBreak/>
        <w:t>comparator”</w:t>
      </w:r>
      <w:r w:rsidR="00E677DA">
        <w:rPr>
          <w:rFonts w:ascii="Avenir Next" w:hAnsi="Avenir Next"/>
          <w:color w:val="808080" w:themeColor="background1" w:themeShade="80"/>
        </w:rPr>
        <w:t xml:space="preserve"> and is codified in Practice Direction </w:t>
      </w:r>
      <w:r w:rsidR="00837758">
        <w:rPr>
          <w:rFonts w:ascii="Avenir Next" w:hAnsi="Avenir Next"/>
          <w:color w:val="808080" w:themeColor="background1" w:themeShade="80"/>
        </w:rPr>
        <w:t>2</w:t>
      </w:r>
      <w:r w:rsidR="00E677DA">
        <w:rPr>
          <w:rFonts w:ascii="Avenir Next" w:hAnsi="Avenir Next"/>
          <w:color w:val="808080" w:themeColor="background1" w:themeShade="80"/>
        </w:rPr>
        <w:t xml:space="preserve"> of 2010 para 3.2. </w:t>
      </w:r>
      <w:r>
        <w:rPr>
          <w:rFonts w:ascii="Avenir Next" w:hAnsi="Avenir Next"/>
          <w:color w:val="808080" w:themeColor="background1" w:themeShade="80"/>
        </w:rPr>
        <w:t xml:space="preserve"> Normally the company will try to obtain agreement with the stakeholders in each class once class composition has been determined to ascertain whether the scheme is likely to come into effect (subject to Court sanction). </w:t>
      </w:r>
    </w:p>
    <w:p w14:paraId="4BFF5010" w14:textId="77777777" w:rsidR="004315B5" w:rsidRPr="005017E6" w:rsidRDefault="004315B5" w:rsidP="004315B5">
      <w:pPr>
        <w:pStyle w:val="BodyText"/>
        <w:ind w:firstLine="0"/>
      </w:pPr>
    </w:p>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3BBB1026" w14:textId="77777777" w:rsidR="00837758" w:rsidRDefault="00837758" w:rsidP="00137A41">
      <w:pPr>
        <w:pStyle w:val="BodyText"/>
        <w:ind w:firstLine="0"/>
        <w:rPr>
          <w:rFonts w:ascii="Avenir Next" w:hAnsi="Avenir Next"/>
          <w:color w:val="808080" w:themeColor="background1" w:themeShade="80"/>
        </w:rPr>
      </w:pPr>
    </w:p>
    <w:p w14:paraId="6C35A4B0" w14:textId="77777777" w:rsidR="000D130A" w:rsidRDefault="0083775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shareholders or creditors should be sent</w:t>
      </w:r>
      <w:r w:rsidR="000D130A">
        <w:rPr>
          <w:rFonts w:ascii="Avenir Next" w:hAnsi="Avenir Next"/>
          <w:color w:val="808080" w:themeColor="background1" w:themeShade="80"/>
        </w:rPr>
        <w:t>:</w:t>
      </w:r>
    </w:p>
    <w:p w14:paraId="5EFE2CEB" w14:textId="6D6765A8" w:rsidR="00837758" w:rsidRDefault="00837758" w:rsidP="00124175">
      <w:pPr>
        <w:pStyle w:val="BodyText"/>
        <w:numPr>
          <w:ilvl w:val="0"/>
          <w:numId w:val="44"/>
        </w:numPr>
        <w:rPr>
          <w:rFonts w:ascii="Avenir Next" w:hAnsi="Avenir Next"/>
          <w:color w:val="808080" w:themeColor="background1" w:themeShade="80"/>
        </w:rPr>
      </w:pPr>
      <w:r>
        <w:rPr>
          <w:rFonts w:ascii="Avenir Next" w:hAnsi="Avenir Next"/>
          <w:color w:val="808080" w:themeColor="background1" w:themeShade="80"/>
        </w:rPr>
        <w:t xml:space="preserve">the scheme documentation which will set out the proposed claims for the purpose of the scheme and the reasons the company considers such classes to be </w:t>
      </w:r>
      <w:r w:rsidR="000D130A">
        <w:rPr>
          <w:rFonts w:ascii="Avenir Next" w:hAnsi="Avenir Next"/>
          <w:color w:val="808080" w:themeColor="background1" w:themeShade="80"/>
        </w:rPr>
        <w:t>appropriate and</w:t>
      </w:r>
      <w:r>
        <w:rPr>
          <w:rFonts w:ascii="Avenir Next" w:hAnsi="Avenir Next"/>
          <w:color w:val="808080" w:themeColor="background1" w:themeShade="80"/>
        </w:rPr>
        <w:t xml:space="preserve"> will usually include </w:t>
      </w:r>
      <w:proofErr w:type="gramStart"/>
      <w:r>
        <w:rPr>
          <w:rFonts w:ascii="Avenir Next" w:hAnsi="Avenir Next"/>
          <w:color w:val="808080" w:themeColor="background1" w:themeShade="80"/>
        </w:rPr>
        <w:t>a brief summary</w:t>
      </w:r>
      <w:proofErr w:type="gramEnd"/>
      <w:r>
        <w:rPr>
          <w:rFonts w:ascii="Avenir Next" w:hAnsi="Avenir Next"/>
          <w:color w:val="808080" w:themeColor="background1" w:themeShade="80"/>
        </w:rPr>
        <w:t xml:space="preserve"> of the rights creditors or members have prior to the effectiveness of the scheme and an analysis of how those rights will be impacted by the scheme. </w:t>
      </w:r>
      <w:r w:rsidR="000D130A">
        <w:rPr>
          <w:rFonts w:ascii="Avenir Next" w:hAnsi="Avenir Next"/>
          <w:color w:val="808080" w:themeColor="background1" w:themeShade="80"/>
        </w:rPr>
        <w:t xml:space="preserve">This will allow them to make an informed decision about the merits of the proposed scheme. </w:t>
      </w:r>
    </w:p>
    <w:p w14:paraId="67620571" w14:textId="6FCD34EC" w:rsidR="000D130A" w:rsidRDefault="000D130A" w:rsidP="00124175">
      <w:pPr>
        <w:pStyle w:val="BodyText"/>
        <w:numPr>
          <w:ilvl w:val="0"/>
          <w:numId w:val="44"/>
        </w:numPr>
        <w:rPr>
          <w:rFonts w:ascii="Avenir Next" w:hAnsi="Avenir Next"/>
          <w:color w:val="808080" w:themeColor="background1" w:themeShade="80"/>
        </w:rPr>
      </w:pPr>
      <w:r>
        <w:rPr>
          <w:rFonts w:ascii="Avenir Next" w:hAnsi="Avenir Next"/>
          <w:color w:val="808080" w:themeColor="background1" w:themeShade="80"/>
        </w:rPr>
        <w:t xml:space="preserve">Any supplementary documents to which the scheme documentation </w:t>
      </w:r>
      <w:proofErr w:type="gramStart"/>
      <w:r>
        <w:rPr>
          <w:rFonts w:ascii="Avenir Next" w:hAnsi="Avenir Next"/>
          <w:color w:val="808080" w:themeColor="background1" w:themeShade="80"/>
        </w:rPr>
        <w:t>refers;</w:t>
      </w:r>
      <w:proofErr w:type="gramEnd"/>
    </w:p>
    <w:p w14:paraId="3D1825AD" w14:textId="3C6E6015" w:rsidR="000D130A" w:rsidRDefault="000D130A" w:rsidP="00124175">
      <w:pPr>
        <w:pStyle w:val="BodyText"/>
        <w:numPr>
          <w:ilvl w:val="0"/>
          <w:numId w:val="44"/>
        </w:numPr>
        <w:rPr>
          <w:rFonts w:ascii="Avenir Next" w:hAnsi="Avenir Next"/>
          <w:color w:val="808080" w:themeColor="background1" w:themeShade="80"/>
        </w:rPr>
      </w:pPr>
      <w:r>
        <w:rPr>
          <w:rFonts w:ascii="Avenir Next" w:hAnsi="Avenir Next"/>
          <w:color w:val="808080" w:themeColor="background1" w:themeShade="80"/>
        </w:rPr>
        <w:t xml:space="preserve">Proxy </w:t>
      </w:r>
      <w:proofErr w:type="gramStart"/>
      <w:r>
        <w:rPr>
          <w:rFonts w:ascii="Avenir Next" w:hAnsi="Avenir Next"/>
          <w:color w:val="808080" w:themeColor="background1" w:themeShade="80"/>
        </w:rPr>
        <w:t>forms;</w:t>
      </w:r>
      <w:proofErr w:type="gramEnd"/>
    </w:p>
    <w:p w14:paraId="5D71C5DD" w14:textId="32B3DDA3" w:rsidR="000D130A" w:rsidRDefault="000D130A" w:rsidP="00124175">
      <w:pPr>
        <w:pStyle w:val="BodyText"/>
        <w:numPr>
          <w:ilvl w:val="0"/>
          <w:numId w:val="44"/>
        </w:numPr>
        <w:rPr>
          <w:rFonts w:ascii="Avenir Next" w:hAnsi="Avenir Next"/>
          <w:color w:val="808080" w:themeColor="background1" w:themeShade="80"/>
        </w:rPr>
      </w:pPr>
      <w:r>
        <w:rPr>
          <w:rFonts w:ascii="Avenir Next" w:hAnsi="Avenir Next"/>
          <w:color w:val="808080" w:themeColor="background1" w:themeShade="80"/>
        </w:rPr>
        <w:t xml:space="preserve">Voting instructions for use by </w:t>
      </w:r>
      <w:proofErr w:type="gramStart"/>
      <w:r>
        <w:rPr>
          <w:rFonts w:ascii="Avenir Next" w:hAnsi="Avenir Next"/>
          <w:color w:val="808080" w:themeColor="background1" w:themeShade="80"/>
        </w:rPr>
        <w:t>custodians;</w:t>
      </w:r>
      <w:proofErr w:type="gramEnd"/>
    </w:p>
    <w:p w14:paraId="78B3E6BA" w14:textId="06EBC4F6" w:rsidR="000D130A" w:rsidRDefault="000D130A" w:rsidP="00124175">
      <w:pPr>
        <w:pStyle w:val="BodyText"/>
        <w:numPr>
          <w:ilvl w:val="0"/>
          <w:numId w:val="44"/>
        </w:numPr>
        <w:rPr>
          <w:rFonts w:ascii="Avenir Next" w:hAnsi="Avenir Next"/>
          <w:color w:val="808080" w:themeColor="background1" w:themeShade="80"/>
        </w:rPr>
      </w:pPr>
      <w:r>
        <w:rPr>
          <w:rFonts w:ascii="Avenir Next" w:hAnsi="Avenir Next"/>
          <w:color w:val="808080" w:themeColor="background1" w:themeShade="80"/>
        </w:rPr>
        <w:t xml:space="preserve">A timetable of principal events including the latest time for transmission to custodians or clearing houses of voting instructions for the Court meeting, the latest time for lodging forms of proxy for the Court meeting, the date of the Court meeting and the date of the hearing of the petition to sanction the scheme and the anticipated date upon which the scheme, if sanctioned, will become effective. </w:t>
      </w:r>
    </w:p>
    <w:p w14:paraId="31483DD2" w14:textId="77777777" w:rsidR="00837758" w:rsidRDefault="00837758" w:rsidP="00137A41">
      <w:pPr>
        <w:pStyle w:val="BodyText"/>
        <w:ind w:firstLine="0"/>
        <w:rPr>
          <w:rFonts w:ascii="Avenir Next" w:hAnsi="Avenir Next"/>
          <w:color w:val="808080" w:themeColor="background1" w:themeShade="80"/>
        </w:rPr>
      </w:pPr>
    </w:p>
    <w:p w14:paraId="772494ED" w14:textId="4327FED2" w:rsidR="00837758" w:rsidRDefault="0083775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applicant must satisfy the Court that the scheme documentation will provide the shareholder or creditor (which means the person having the ultimate economic interest) with all the information reasonably necessary to enable them to make an informed decision about the merits of the proposed scheme (Practice Direction 2/2010 para 3.7). If the proposed scheme relates to shares or debt instruments which are listed on a stock exchange, the applicant must file evidence which sets out the relevant listing rules and practice and explains the steps which have been or will be taken to comply with such listing rules or practice. The Court will always require </w:t>
      </w:r>
      <w:proofErr w:type="gramStart"/>
      <w:r>
        <w:rPr>
          <w:rFonts w:ascii="Avenir Next" w:hAnsi="Avenir Next"/>
          <w:color w:val="808080" w:themeColor="background1" w:themeShade="80"/>
        </w:rPr>
        <w:t>to know</w:t>
      </w:r>
      <w:proofErr w:type="gramEnd"/>
      <w:r>
        <w:rPr>
          <w:rFonts w:ascii="Avenir Next" w:hAnsi="Avenir Next"/>
          <w:color w:val="808080" w:themeColor="background1" w:themeShade="80"/>
        </w:rPr>
        <w:t xml:space="preserve"> whether the proposed explanatory memorandum or proxy statement requires the approval of the relevant stock exchange and, if so, whether such approval has been obtained. (</w:t>
      </w:r>
      <w:r w:rsidR="000D130A">
        <w:rPr>
          <w:rFonts w:ascii="Avenir Next" w:hAnsi="Avenir Next"/>
          <w:color w:val="808080" w:themeColor="background1" w:themeShade="80"/>
        </w:rPr>
        <w:t xml:space="preserve">Practice Direction 2/2010 </w:t>
      </w:r>
      <w:r>
        <w:rPr>
          <w:rFonts w:ascii="Avenir Next" w:hAnsi="Avenir Next"/>
          <w:color w:val="808080" w:themeColor="background1" w:themeShade="80"/>
        </w:rPr>
        <w:t>para 3.9)</w:t>
      </w:r>
    </w:p>
    <w:p w14:paraId="50663916" w14:textId="77777777" w:rsidR="00837758" w:rsidRDefault="00837758" w:rsidP="00137A41">
      <w:pPr>
        <w:pStyle w:val="BodyText"/>
        <w:ind w:firstLine="0"/>
        <w:rPr>
          <w:rFonts w:ascii="Avenir Next" w:hAnsi="Avenir Next"/>
          <w:color w:val="808080" w:themeColor="background1" w:themeShade="80"/>
        </w:rPr>
      </w:pPr>
    </w:p>
    <w:p w14:paraId="3AE9A0DD" w14:textId="6DEA4BAE" w:rsidR="00605AA2" w:rsidRPr="00486A0B" w:rsidRDefault="00E677DA" w:rsidP="00137A41">
      <w:pPr>
        <w:pStyle w:val="BodyText"/>
        <w:ind w:firstLine="0"/>
        <w:rPr>
          <w:rFonts w:ascii="Avenir Next" w:hAnsi="Avenir Next"/>
          <w:b/>
          <w:bCs/>
        </w:rPr>
      </w:pPr>
      <w:r>
        <w:rPr>
          <w:rFonts w:ascii="Avenir Next" w:hAnsi="Avenir Next"/>
          <w:color w:val="808080" w:themeColor="background1" w:themeShade="80"/>
        </w:rPr>
        <w:t xml:space="preserve">The current practice of the Court is to allow 21 to 28 days between dispatch of the Scheme documents and the Scheme Meeting so that sufficient time is given to allow the members or creditors to consider them to allow them to make an informed decision before the scheme meeting at which the vote on the scheme will occur (Practice direction 2/2010 para 3.6). </w:t>
      </w: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lastRenderedPageBreak/>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lastRenderedPageBreak/>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proofErr w:type="gramStart"/>
      <w:r>
        <w:rPr>
          <w:rFonts w:ascii="Avenir Next Demi Bold" w:hAnsi="Avenir Next Demi Bold"/>
          <w:b/>
          <w:bCs/>
          <w:lang w:val="en-GB"/>
        </w:rPr>
        <w:t>i</w:t>
      </w:r>
      <w:r w:rsidR="00662C27">
        <w:rPr>
          <w:rFonts w:ascii="Avenir Next Demi Bold" w:hAnsi="Avenir Next Demi Bold"/>
          <w:b/>
          <w:bCs/>
          <w:lang w:val="en-GB"/>
        </w:rPr>
        <w:t>nsolvency</w:t>
      </w:r>
      <w:proofErr w:type="gramEnd"/>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 xml:space="preserve">you agree or disagree with this </w:t>
      </w:r>
      <w:proofErr w:type="gramStart"/>
      <w:r>
        <w:t>statement</w:t>
      </w:r>
      <w:r w:rsidR="001D3AB4">
        <w:t>,</w:t>
      </w:r>
      <w:r>
        <w:t xml:space="preserve"> and</w:t>
      </w:r>
      <w:proofErr w:type="gramEnd"/>
      <w:r>
        <w:t xml:space="preserve"> explain why.</w:t>
      </w:r>
      <w:r w:rsidR="001D3AB4">
        <w:tab/>
      </w:r>
      <w:r w:rsidRPr="005F7E38">
        <w:rPr>
          <w:rFonts w:ascii="Avenir Next Demi Bold" w:hAnsi="Avenir Next Demi Bold"/>
          <w:b/>
          <w:bCs/>
        </w:rPr>
        <w:t>(5)</w:t>
      </w:r>
    </w:p>
    <w:p w14:paraId="39813F18" w14:textId="77777777" w:rsidR="00306D6E" w:rsidRDefault="00306D6E" w:rsidP="00137A41"/>
    <w:p w14:paraId="20DDA89B" w14:textId="77777777" w:rsidR="00303A59" w:rsidRDefault="000D130A"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 agree that the key protection available to shareholders of a company </w:t>
      </w:r>
      <w:r w:rsidR="00303A59">
        <w:rPr>
          <w:rFonts w:ascii="Avenir Next" w:hAnsi="Avenir Next"/>
          <w:color w:val="808080" w:themeColor="background1" w:themeShade="80"/>
        </w:rPr>
        <w:t>do not exist for members of a segregated portfolio for the following reasons:</w:t>
      </w:r>
    </w:p>
    <w:p w14:paraId="2E5E5975" w14:textId="149F4B05" w:rsidR="00306D6E" w:rsidRPr="0033128E" w:rsidRDefault="00303A59" w:rsidP="00124175">
      <w:pPr>
        <w:pStyle w:val="BodyText"/>
        <w:numPr>
          <w:ilvl w:val="0"/>
          <w:numId w:val="45"/>
        </w:numPr>
        <w:rPr>
          <w:rFonts w:ascii="Avenir Next" w:hAnsi="Avenir Next"/>
          <w:b/>
          <w:bCs/>
        </w:rPr>
      </w:pPr>
      <w:r>
        <w:rPr>
          <w:rFonts w:ascii="Avenir Next" w:hAnsi="Avenir Next"/>
          <w:color w:val="808080" w:themeColor="background1" w:themeShade="80"/>
        </w:rPr>
        <w:t xml:space="preserve">Members </w:t>
      </w:r>
      <w:r w:rsidR="000D130A">
        <w:rPr>
          <w:rFonts w:ascii="Avenir Next" w:hAnsi="Avenir Next"/>
          <w:color w:val="808080" w:themeColor="background1" w:themeShade="80"/>
        </w:rPr>
        <w:t xml:space="preserve">who have been unfairly prejudiced </w:t>
      </w:r>
      <w:r>
        <w:rPr>
          <w:rFonts w:ascii="Avenir Next" w:hAnsi="Avenir Next"/>
          <w:color w:val="808080" w:themeColor="background1" w:themeShade="80"/>
        </w:rPr>
        <w:t xml:space="preserve">cannot </w:t>
      </w:r>
      <w:r w:rsidR="000D130A">
        <w:rPr>
          <w:rFonts w:ascii="Avenir Next" w:hAnsi="Avenir Next"/>
          <w:color w:val="808080" w:themeColor="background1" w:themeShade="80"/>
        </w:rPr>
        <w:t>issue a petition on just and equitable grounds</w:t>
      </w:r>
      <w:r w:rsidR="00155A97">
        <w:rPr>
          <w:rFonts w:ascii="Avenir Next" w:hAnsi="Avenir Next"/>
          <w:color w:val="808080" w:themeColor="background1" w:themeShade="80"/>
        </w:rPr>
        <w:t xml:space="preserve">. Whilst the Segregated Portfolio Company itself may be wound up in accordance with the winding up process in the CA a bespoke statutory receivership regime (found at section 224 to 228 CA) applies to individual SPs. </w:t>
      </w:r>
      <w:r w:rsidR="000D130A">
        <w:rPr>
          <w:rFonts w:ascii="Avenir Next" w:hAnsi="Avenir Next"/>
          <w:color w:val="808080" w:themeColor="background1" w:themeShade="80"/>
        </w:rPr>
        <w:t xml:space="preserve"> </w:t>
      </w:r>
      <w:r w:rsidR="00155A97">
        <w:rPr>
          <w:rFonts w:ascii="Avenir Next" w:hAnsi="Avenir Next"/>
          <w:color w:val="808080" w:themeColor="background1" w:themeShade="80"/>
        </w:rPr>
        <w:t xml:space="preserve">Whilst the procedure is </w:t>
      </w:r>
      <w:proofErr w:type="gramStart"/>
      <w:r w:rsidR="00155A97">
        <w:rPr>
          <w:rFonts w:ascii="Avenir Next" w:hAnsi="Avenir Next"/>
          <w:color w:val="808080" w:themeColor="background1" w:themeShade="80"/>
        </w:rPr>
        <w:t>similar to</w:t>
      </w:r>
      <w:proofErr w:type="gramEnd"/>
      <w:r w:rsidR="00155A97">
        <w:rPr>
          <w:rFonts w:ascii="Avenir Next" w:hAnsi="Avenir Next"/>
          <w:color w:val="808080" w:themeColor="background1" w:themeShade="80"/>
        </w:rPr>
        <w:t xml:space="preserve"> the winding up procedure for companies, the applicant seeking a receivership order can only rely on insolvency and must show that the business of the SP as a whole should be brought to an end.</w:t>
      </w:r>
      <w:r>
        <w:rPr>
          <w:rFonts w:ascii="Avenir Next" w:hAnsi="Avenir Next"/>
          <w:color w:val="808080" w:themeColor="background1" w:themeShade="80"/>
        </w:rPr>
        <w:t xml:space="preserve"> This leaves members of a SP without a remedy for unfair prejudice. The only potential remedy would be to seek to wind up the entire SPC which would not prove successful (</w:t>
      </w:r>
      <w:r w:rsidRPr="00303A59">
        <w:rPr>
          <w:rFonts w:ascii="Avenir Next" w:hAnsi="Avenir Next"/>
          <w:i/>
          <w:iCs/>
          <w:color w:val="808080" w:themeColor="background1" w:themeShade="80"/>
        </w:rPr>
        <w:t>see ABC Company (SPC) v J &amp; Co. Ltd</w:t>
      </w:r>
      <w:r>
        <w:rPr>
          <w:rFonts w:ascii="Avenir Next" w:hAnsi="Avenir Next"/>
          <w:color w:val="808080" w:themeColor="background1" w:themeShade="80"/>
        </w:rPr>
        <w:t xml:space="preserve">). </w:t>
      </w:r>
      <w:r w:rsidR="00155A97">
        <w:rPr>
          <w:rFonts w:ascii="Avenir Next" w:hAnsi="Avenir Next"/>
          <w:color w:val="808080" w:themeColor="background1" w:themeShade="80"/>
        </w:rPr>
        <w:t xml:space="preserve"> </w:t>
      </w:r>
    </w:p>
    <w:p w14:paraId="28FCB946" w14:textId="575CFBE1" w:rsidR="0033128E" w:rsidRPr="00303A59" w:rsidRDefault="0033128E" w:rsidP="00124175">
      <w:pPr>
        <w:pStyle w:val="BodyText"/>
        <w:numPr>
          <w:ilvl w:val="0"/>
          <w:numId w:val="45"/>
        </w:numPr>
        <w:rPr>
          <w:rFonts w:ascii="Avenir Next" w:hAnsi="Avenir Next"/>
          <w:b/>
          <w:bCs/>
        </w:rPr>
      </w:pPr>
      <w:r>
        <w:rPr>
          <w:rFonts w:ascii="Avenir Next" w:hAnsi="Avenir Next"/>
          <w:color w:val="808080" w:themeColor="background1" w:themeShade="80"/>
        </w:rPr>
        <w:t xml:space="preserve">The test for insolvency is a modified balance sheet insolvency test rather than a cash flow test in the case of a liquidation and it may be difficult for members of an SP to have sufficient information to support a balance sheet insolvency test. This does lead to the flexible nature of the test. </w:t>
      </w:r>
    </w:p>
    <w:p w14:paraId="6C1489F4" w14:textId="37293C1C" w:rsidR="00303A59" w:rsidRPr="0033128E" w:rsidRDefault="00303A59" w:rsidP="00124175">
      <w:pPr>
        <w:pStyle w:val="BodyText"/>
        <w:numPr>
          <w:ilvl w:val="0"/>
          <w:numId w:val="45"/>
        </w:numPr>
        <w:rPr>
          <w:rFonts w:ascii="Avenir Next" w:hAnsi="Avenir Next"/>
          <w:b/>
          <w:bCs/>
        </w:rPr>
      </w:pPr>
      <w:r>
        <w:rPr>
          <w:rFonts w:ascii="Avenir Next" w:hAnsi="Avenir Next"/>
          <w:color w:val="808080" w:themeColor="background1" w:themeShade="80"/>
        </w:rPr>
        <w:t>There is no comprehensive statutory remuneration regime for receivers</w:t>
      </w:r>
      <w:r w:rsidR="0033128E">
        <w:rPr>
          <w:rFonts w:ascii="Avenir Next" w:hAnsi="Avenir Next"/>
          <w:color w:val="808080" w:themeColor="background1" w:themeShade="80"/>
        </w:rPr>
        <w:t>, however, it is likely that the Court will have reference to the guidance in the IPR (</w:t>
      </w:r>
      <w:r w:rsidR="0033128E" w:rsidRPr="0033128E">
        <w:rPr>
          <w:rFonts w:ascii="Avenir Next" w:hAnsi="Avenir Next"/>
          <w:i/>
          <w:iCs/>
          <w:color w:val="808080" w:themeColor="background1" w:themeShade="80"/>
        </w:rPr>
        <w:t xml:space="preserve">see Lea Lily Perry v </w:t>
      </w:r>
      <w:proofErr w:type="spellStart"/>
      <w:r w:rsidR="0033128E" w:rsidRPr="0033128E">
        <w:rPr>
          <w:rFonts w:ascii="Avenir Next" w:hAnsi="Avenir Next"/>
          <w:i/>
          <w:iCs/>
          <w:color w:val="808080" w:themeColor="background1" w:themeShade="80"/>
        </w:rPr>
        <w:t>Lopag</w:t>
      </w:r>
      <w:proofErr w:type="spellEnd"/>
      <w:r w:rsidR="0033128E" w:rsidRPr="0033128E">
        <w:rPr>
          <w:rFonts w:ascii="Avenir Next" w:hAnsi="Avenir Next"/>
          <w:i/>
          <w:iCs/>
          <w:color w:val="808080" w:themeColor="background1" w:themeShade="80"/>
        </w:rPr>
        <w:t xml:space="preserve"> Trust Reg (Grand Court 20 April 2020, unreported</w:t>
      </w:r>
      <w:r w:rsidR="0033128E">
        <w:rPr>
          <w:rFonts w:ascii="Avenir Next" w:hAnsi="Avenir Next"/>
          <w:color w:val="808080" w:themeColor="background1" w:themeShade="80"/>
        </w:rPr>
        <w:t>), para 23©.</w:t>
      </w:r>
    </w:p>
    <w:p w14:paraId="05BBC7BB" w14:textId="15300009" w:rsidR="0033128E" w:rsidRPr="0033128E" w:rsidRDefault="0033128E" w:rsidP="00124175">
      <w:pPr>
        <w:pStyle w:val="BodyText"/>
        <w:numPr>
          <w:ilvl w:val="0"/>
          <w:numId w:val="45"/>
        </w:numPr>
        <w:rPr>
          <w:rFonts w:ascii="Avenir Next" w:hAnsi="Avenir Next"/>
          <w:color w:val="7F7F7F" w:themeColor="text1" w:themeTint="80"/>
        </w:rPr>
      </w:pPr>
      <w:r w:rsidRPr="0033128E">
        <w:rPr>
          <w:rFonts w:ascii="Avenir Next" w:hAnsi="Avenir Next"/>
          <w:color w:val="7F7F7F" w:themeColor="text1" w:themeTint="80"/>
        </w:rPr>
        <w:t xml:space="preserve">There is no requirement to a receiver to apply to the Court </w:t>
      </w:r>
      <w:r>
        <w:rPr>
          <w:rFonts w:ascii="Avenir Next" w:hAnsi="Avenir Next"/>
          <w:color w:val="7F7F7F" w:themeColor="text1" w:themeTint="80"/>
        </w:rPr>
        <w:t xml:space="preserve">for sanction for certain actions as there is in the case of a liquidation and the receiver has broad powers pursuant to section 226 (1) CA. The receiver is however permitted to apply to the Grand Court for directions as to the extent or exercise of any power. </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6EF5C694" w14:textId="1686ACE7" w:rsidR="0002709E" w:rsidRDefault="0033128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principal statutes governing the formation and operation of the Cayman Islands ELPs are the Partnership Act (2013 Revision) and the Exempted Limtied Partnership Act (2021 Revision) (ELP Act). The ELP Act expressly provides that the principles of common law and equity applicable to partnerships will apply to an ELP. </w:t>
      </w:r>
      <w:r w:rsidR="0002709E">
        <w:rPr>
          <w:rFonts w:ascii="Avenir Next" w:hAnsi="Avenir Next"/>
          <w:color w:val="808080" w:themeColor="background1" w:themeShade="80"/>
        </w:rPr>
        <w:t xml:space="preserve">Part V of the Companies Act and the CWR apply, with modifications, to the court ordered winding up and dissolution of ELPs, and to a limited extent to a voluntary winding up. Where there is a conflict, the ELP Act will take priority over the CA (ELP Act s 36(3)). </w:t>
      </w:r>
    </w:p>
    <w:p w14:paraId="7B9CED1C" w14:textId="77777777" w:rsidR="0002709E" w:rsidRDefault="0002709E" w:rsidP="00137A41">
      <w:pPr>
        <w:pStyle w:val="BodyText"/>
        <w:ind w:firstLine="0"/>
        <w:rPr>
          <w:rFonts w:ascii="Avenir Next" w:hAnsi="Avenir Next"/>
          <w:color w:val="808080" w:themeColor="background1" w:themeShade="80"/>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lastRenderedPageBreak/>
        <w:t xml:space="preserve">In the event that an automatic wind </w:t>
      </w:r>
      <w:proofErr w:type="gramStart"/>
      <w:r w:rsidRPr="001D3AB4">
        <w:rPr>
          <w:rFonts w:ascii="Avenir Next LT Pro" w:hAnsi="Avenir Next LT Pro"/>
        </w:rPr>
        <w:t>up date</w:t>
      </w:r>
      <w:proofErr w:type="gramEnd"/>
      <w:r w:rsidRPr="001D3AB4">
        <w:rPr>
          <w:rFonts w:ascii="Avenir Next LT Pro" w:hAnsi="Avenir Next LT Pro"/>
        </w:rPr>
        <w:t xml:space="preserv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60E18326" w:rsidR="00A500D9" w:rsidRPr="00486A0B" w:rsidRDefault="0002709E" w:rsidP="00A500D9">
      <w:pPr>
        <w:pStyle w:val="BodyText"/>
        <w:ind w:firstLine="0"/>
        <w:rPr>
          <w:rFonts w:ascii="Avenir Next" w:hAnsi="Avenir Next"/>
          <w:b/>
          <w:bCs/>
        </w:rPr>
      </w:pPr>
      <w:r>
        <w:rPr>
          <w:rFonts w:ascii="Avenir Next" w:hAnsi="Avenir Next"/>
          <w:color w:val="808080" w:themeColor="background1" w:themeShade="80"/>
        </w:rPr>
        <w:t xml:space="preserve">Pursuant to Section 36 (9) of the ELP Act, unless the partnership agreement provides otherwise, if a new qualifying general partner is not elected within 90 days after the service of notice of an event of withdrawal the ELP shall be wound up in accordance with the partnership agreement or the orders or directions of the Court. </w:t>
      </w:r>
      <w:proofErr w:type="gramStart"/>
      <w:r>
        <w:rPr>
          <w:rFonts w:ascii="Avenir Next" w:hAnsi="Avenir Next"/>
          <w:color w:val="808080" w:themeColor="background1" w:themeShade="80"/>
        </w:rPr>
        <w:t xml:space="preserve">The </w:t>
      </w:r>
      <w:r w:rsidR="0000766C">
        <w:rPr>
          <w:rFonts w:ascii="Avenir Next" w:hAnsi="Avenir Next"/>
          <w:color w:val="808080" w:themeColor="background1" w:themeShade="80"/>
        </w:rPr>
        <w:t>requisite majority of</w:t>
      </w:r>
      <w:proofErr w:type="gramEnd"/>
      <w:r w:rsidR="0000766C">
        <w:rPr>
          <w:rFonts w:ascii="Avenir Next" w:hAnsi="Avenir Next"/>
          <w:color w:val="808080" w:themeColor="background1" w:themeShade="80"/>
        </w:rPr>
        <w:t xml:space="preserve"> </w:t>
      </w:r>
      <w:r>
        <w:rPr>
          <w:rFonts w:ascii="Avenir Next" w:hAnsi="Avenir Next"/>
          <w:color w:val="808080" w:themeColor="background1" w:themeShade="80"/>
        </w:rPr>
        <w:t xml:space="preserve">limited partners </w:t>
      </w:r>
      <w:r w:rsidR="0000766C">
        <w:rPr>
          <w:rFonts w:ascii="Avenir Next" w:hAnsi="Avenir Next"/>
          <w:color w:val="808080" w:themeColor="background1" w:themeShade="80"/>
        </w:rPr>
        <w:t xml:space="preserve">(as per the ELP Agreement or a simple majority) </w:t>
      </w:r>
      <w:r>
        <w:rPr>
          <w:rFonts w:ascii="Avenir Next" w:hAnsi="Avenir Next"/>
          <w:color w:val="808080" w:themeColor="background1" w:themeShade="80"/>
        </w:rPr>
        <w:t xml:space="preserve">could therefore appoint a new qualifying general partner within 90 days to prevent the winding up. They could also have incorporated provisions into the ELP Agreement which provides that the ELP will not be wound up in accordance with section 36 (9) ELP Act. </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226560D2" w14:textId="36E108E4" w:rsidR="0000766C" w:rsidRDefault="0000766C"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Following the public examination of the debtor the Trustee will make a report as to the state of the debtor’s affairs and the conduct of the debtor before and during the bankruptcy (s67</w:t>
      </w:r>
      <w:r w:rsidRPr="0000766C">
        <w:rPr>
          <w:rFonts w:ascii="Avenir Next" w:hAnsi="Avenir Next"/>
          <w:color w:val="808080" w:themeColor="background1" w:themeShade="80"/>
        </w:rPr>
        <w:t xml:space="preserve"> </w:t>
      </w:r>
      <w:r>
        <w:rPr>
          <w:rFonts w:ascii="Avenir Next" w:hAnsi="Avenir Next"/>
          <w:color w:val="808080" w:themeColor="background1" w:themeShade="80"/>
        </w:rPr>
        <w:t>Bankruptcy Act (Cap 7) (1997 Revision)</w:t>
      </w:r>
      <w:r>
        <w:rPr>
          <w:rFonts w:ascii="Avenir Next" w:hAnsi="Avenir Next"/>
          <w:color w:val="808080" w:themeColor="background1" w:themeShade="80"/>
        </w:rPr>
        <w:t xml:space="preserve"> (BA)). After filing of the Trustee’s </w:t>
      </w:r>
      <w:proofErr w:type="gramStart"/>
      <w:r>
        <w:rPr>
          <w:rFonts w:ascii="Avenir Next" w:hAnsi="Avenir Next"/>
          <w:color w:val="808080" w:themeColor="background1" w:themeShade="80"/>
        </w:rPr>
        <w:t>report</w:t>
      </w:r>
      <w:proofErr w:type="gramEnd"/>
      <w:r>
        <w:rPr>
          <w:rFonts w:ascii="Avenir Next" w:hAnsi="Avenir Next"/>
          <w:color w:val="808080" w:themeColor="background1" w:themeShade="80"/>
        </w:rPr>
        <w:t xml:space="preserve"> the debtor may apply at any time for an order for discharge pursuant to s 68(1) BA. The Trustee or any creditor may oppose the discharge and may show cause why it should be refused, </w:t>
      </w:r>
      <w:proofErr w:type="gramStart"/>
      <w:r>
        <w:rPr>
          <w:rFonts w:ascii="Avenir Next" w:hAnsi="Avenir Next"/>
          <w:color w:val="808080" w:themeColor="background1" w:themeShade="80"/>
        </w:rPr>
        <w:t>postponed</w:t>
      </w:r>
      <w:proofErr w:type="gramEnd"/>
      <w:r>
        <w:rPr>
          <w:rFonts w:ascii="Avenir Next" w:hAnsi="Avenir Next"/>
          <w:color w:val="808080" w:themeColor="background1" w:themeShade="80"/>
        </w:rPr>
        <w:t xml:space="preserve"> or made subject to conditions. </w:t>
      </w:r>
    </w:p>
    <w:p w14:paraId="27504EF5" w14:textId="05E9BBD9" w:rsidR="0000766C" w:rsidRDefault="0000766C" w:rsidP="00137A41">
      <w:pPr>
        <w:pStyle w:val="BodyText"/>
        <w:ind w:firstLine="0"/>
        <w:rPr>
          <w:rFonts w:ascii="Avenir Next" w:hAnsi="Avenir Next"/>
          <w:color w:val="808080" w:themeColor="background1" w:themeShade="80"/>
        </w:rPr>
      </w:pPr>
    </w:p>
    <w:p w14:paraId="049F9265" w14:textId="77777777" w:rsidR="0000766C" w:rsidRDefault="0000766C" w:rsidP="00137A41">
      <w:pPr>
        <w:pStyle w:val="BodyText"/>
        <w:ind w:firstLine="0"/>
        <w:rPr>
          <w:rFonts w:ascii="Avenir Next" w:hAnsi="Avenir Next"/>
          <w:color w:val="808080" w:themeColor="background1" w:themeShade="80"/>
        </w:rPr>
      </w:pPr>
    </w:p>
    <w:p w14:paraId="56D84A32" w14:textId="516E3689" w:rsidR="007C0544" w:rsidRPr="00486A0B" w:rsidRDefault="0000766C" w:rsidP="00137A41">
      <w:pPr>
        <w:pStyle w:val="BodyText"/>
        <w:ind w:firstLine="0"/>
        <w:rPr>
          <w:rFonts w:ascii="Avenir Next" w:hAnsi="Avenir Next"/>
          <w:b/>
          <w:bCs/>
        </w:rPr>
      </w:pPr>
      <w:r>
        <w:rPr>
          <w:rFonts w:ascii="Avenir Next" w:hAnsi="Avenir Next"/>
          <w:color w:val="808080" w:themeColor="background1" w:themeShade="80"/>
        </w:rPr>
        <w:t xml:space="preserve">The Court may grant the discharge unconditionally or conditionally or it may suspend or refuse the discharge, </w:t>
      </w:r>
      <w:proofErr w:type="gramStart"/>
      <w:r>
        <w:rPr>
          <w:rFonts w:ascii="Avenir Next" w:hAnsi="Avenir Next"/>
          <w:color w:val="808080" w:themeColor="background1" w:themeShade="80"/>
        </w:rPr>
        <w:t>taking into account</w:t>
      </w:r>
      <w:proofErr w:type="gramEnd"/>
      <w:r>
        <w:rPr>
          <w:rFonts w:ascii="Avenir Next" w:hAnsi="Avenir Next"/>
          <w:color w:val="808080" w:themeColor="background1" w:themeShade="80"/>
        </w:rPr>
        <w:t xml:space="preserve"> the report of the Trustee. Discharge will be refused if the debtor is </w:t>
      </w:r>
      <w:r w:rsidR="001A6C6F">
        <w:rPr>
          <w:rFonts w:ascii="Avenir Next" w:hAnsi="Avenir Next"/>
          <w:color w:val="808080" w:themeColor="background1" w:themeShade="80"/>
        </w:rPr>
        <w:t xml:space="preserve">convicted of an offence under the BA or any other offence connected with his bankruptcy, unless for special reasons the judge otherwise determines. </w:t>
      </w:r>
      <w:r>
        <w:rPr>
          <w:rFonts w:ascii="Avenir Next" w:hAnsi="Avenir Next"/>
          <w:color w:val="808080" w:themeColor="background1" w:themeShade="80"/>
        </w:rPr>
        <w:t xml:space="preserve">The discharge, if made, releases the debtor from their debts (subject to conditions set out by the Court and subject to the caveat that it must not release a bankrupt from any liability incurred by means of fraud) (s71 BA). </w:t>
      </w:r>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600F" w14:textId="77777777" w:rsidR="005569F1" w:rsidRDefault="005569F1" w:rsidP="001016B0">
      <w:r>
        <w:separator/>
      </w:r>
    </w:p>
  </w:endnote>
  <w:endnote w:type="continuationSeparator" w:id="0">
    <w:p w14:paraId="4F520360" w14:textId="77777777" w:rsidR="005569F1" w:rsidRDefault="005569F1" w:rsidP="001016B0">
      <w:r>
        <w:continuationSeparator/>
      </w:r>
    </w:p>
  </w:endnote>
  <w:endnote w:type="continuationNotice" w:id="1">
    <w:p w14:paraId="0E8AD0ED" w14:textId="77777777" w:rsidR="005569F1" w:rsidRDefault="0055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27C0A399" w:rsidR="009C6019" w:rsidRDefault="005D6CA6" w:rsidP="008A20AC">
    <w:pPr>
      <w:pStyle w:val="Footer"/>
      <w:ind w:right="360"/>
    </w:pPr>
    <w:r w:rsidRPr="005D6CA6">
      <w:rPr>
        <w:sz w:val="24"/>
        <w:szCs w:val="24"/>
      </w:rPr>
      <w:t>202324-1224</w:t>
    </w:r>
    <w:r w:rsidR="009C6019">
      <w:t>.</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EB6E" w14:textId="77777777" w:rsidR="005569F1" w:rsidRDefault="005569F1" w:rsidP="001016B0">
      <w:r>
        <w:separator/>
      </w:r>
    </w:p>
  </w:footnote>
  <w:footnote w:type="continuationSeparator" w:id="0">
    <w:p w14:paraId="11D656D0" w14:textId="77777777" w:rsidR="005569F1" w:rsidRDefault="005569F1" w:rsidP="001016B0">
      <w:r>
        <w:continuationSeparator/>
      </w:r>
    </w:p>
  </w:footnote>
  <w:footnote w:type="continuationNotice" w:id="1">
    <w:p w14:paraId="66F0EE04" w14:textId="77777777" w:rsidR="005569F1" w:rsidRDefault="005569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E3123"/>
    <w:multiLevelType w:val="hybridMultilevel"/>
    <w:tmpl w:val="538226D6"/>
    <w:lvl w:ilvl="0" w:tplc="BB2AEB2A">
      <w:start w:val="1"/>
      <w:numFmt w:val="lowerLetter"/>
      <w:lvlText w:val="%1)"/>
      <w:lvlJc w:val="left"/>
      <w:pPr>
        <w:ind w:left="720" w:hanging="360"/>
      </w:pPr>
      <w:rPr>
        <w:b w:val="0"/>
        <w:bCs w:val="0"/>
        <w:color w:val="7F7F7F" w:themeColor="text1" w:themeTint="80"/>
      </w:rPr>
    </w:lvl>
    <w:lvl w:ilvl="1" w:tplc="22EE4756">
      <w:start w:val="1"/>
      <w:numFmt w:val="lowerRoman"/>
      <w:lvlText w:val="(%2)"/>
      <w:lvlJc w:val="left"/>
      <w:pPr>
        <w:ind w:left="1800" w:hanging="720"/>
      </w:pPr>
      <w:rPr>
        <w:rFonts w:hint="default"/>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D28BE"/>
    <w:multiLevelType w:val="hybridMultilevel"/>
    <w:tmpl w:val="9C0273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B75756"/>
    <w:multiLevelType w:val="hybridMultilevel"/>
    <w:tmpl w:val="FEC46A8E"/>
    <w:lvl w:ilvl="0" w:tplc="203E2C96">
      <w:start w:val="1"/>
      <w:numFmt w:val="lowerLetter"/>
      <w:lvlText w:val="%1)"/>
      <w:lvlJc w:val="left"/>
      <w:pPr>
        <w:ind w:left="720" w:hanging="360"/>
      </w:pPr>
      <w:rPr>
        <w:b w:val="0"/>
        <w:bCs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30E45"/>
    <w:multiLevelType w:val="hybridMultilevel"/>
    <w:tmpl w:val="6270B990"/>
    <w:lvl w:ilvl="0" w:tplc="FFFFFFFF">
      <w:start w:val="1"/>
      <w:numFmt w:val="lowerLetter"/>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C578D"/>
    <w:multiLevelType w:val="hybridMultilevel"/>
    <w:tmpl w:val="F69667D4"/>
    <w:lvl w:ilvl="0" w:tplc="BB2AEB2A">
      <w:start w:val="1"/>
      <w:numFmt w:val="lowerLetter"/>
      <w:lvlText w:val="%1)"/>
      <w:lvlJc w:val="left"/>
      <w:pPr>
        <w:ind w:left="720" w:hanging="360"/>
      </w:pPr>
      <w:rPr>
        <w:b w:val="0"/>
        <w:bCs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55C74"/>
    <w:multiLevelType w:val="hybridMultilevel"/>
    <w:tmpl w:val="4B6CD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25FA6"/>
    <w:multiLevelType w:val="hybridMultilevel"/>
    <w:tmpl w:val="7FD0DD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37573E"/>
    <w:multiLevelType w:val="hybridMultilevel"/>
    <w:tmpl w:val="D0C849DE"/>
    <w:lvl w:ilvl="0" w:tplc="39A28758">
      <w:start w:val="1"/>
      <w:numFmt w:val="lowerLetter"/>
      <w:lvlText w:val="%1)"/>
      <w:lvlJc w:val="left"/>
      <w:pPr>
        <w:ind w:left="770" w:hanging="360"/>
      </w:pPr>
      <w:rPr>
        <w:b w:val="0"/>
        <w:bCs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17624"/>
    <w:multiLevelType w:val="hybridMultilevel"/>
    <w:tmpl w:val="84202DD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3559476A"/>
    <w:multiLevelType w:val="hybridMultilevel"/>
    <w:tmpl w:val="84202DD4"/>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9"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36E370C5"/>
    <w:multiLevelType w:val="hybridMultilevel"/>
    <w:tmpl w:val="FFA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A0E55"/>
    <w:multiLevelType w:val="hybridMultilevel"/>
    <w:tmpl w:val="0C50A0D6"/>
    <w:lvl w:ilvl="0" w:tplc="FFFFFFFF">
      <w:start w:val="1"/>
      <w:numFmt w:val="lowerLetter"/>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437F69"/>
    <w:multiLevelType w:val="hybridMultilevel"/>
    <w:tmpl w:val="6A8E369E"/>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5" w15:restartNumberingAfterBreak="0">
    <w:nsid w:val="3A0A5FF9"/>
    <w:multiLevelType w:val="hybridMultilevel"/>
    <w:tmpl w:val="577812DE"/>
    <w:lvl w:ilvl="0" w:tplc="BB2AEB2A">
      <w:start w:val="1"/>
      <w:numFmt w:val="lowerLetter"/>
      <w:lvlText w:val="%1)"/>
      <w:lvlJc w:val="left"/>
      <w:pPr>
        <w:ind w:left="770" w:hanging="360"/>
      </w:pPr>
      <w:rPr>
        <w:b w:val="0"/>
        <w:bCs w:val="0"/>
        <w:color w:val="7F7F7F" w:themeColor="text1" w:themeTint="8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22D04A7"/>
    <w:multiLevelType w:val="hybridMultilevel"/>
    <w:tmpl w:val="A65217F6"/>
    <w:lvl w:ilvl="0" w:tplc="BB2AEB2A">
      <w:start w:val="1"/>
      <w:numFmt w:val="lowerLetter"/>
      <w:lvlText w:val="%1)"/>
      <w:lvlJc w:val="left"/>
      <w:pPr>
        <w:ind w:left="720" w:hanging="360"/>
      </w:pPr>
      <w:rPr>
        <w:b w:val="0"/>
        <w:bCs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95AF2"/>
    <w:multiLevelType w:val="hybridMultilevel"/>
    <w:tmpl w:val="2C0E8682"/>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4"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34B1A7D"/>
    <w:multiLevelType w:val="hybridMultilevel"/>
    <w:tmpl w:val="E7346A12"/>
    <w:lvl w:ilvl="0" w:tplc="BB2AEB2A">
      <w:start w:val="1"/>
      <w:numFmt w:val="lowerLetter"/>
      <w:lvlText w:val="%1)"/>
      <w:lvlJc w:val="left"/>
      <w:pPr>
        <w:ind w:left="720" w:hanging="360"/>
      </w:pPr>
      <w:rPr>
        <w:b w:val="0"/>
        <w:bCs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9"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864D26"/>
    <w:multiLevelType w:val="hybridMultilevel"/>
    <w:tmpl w:val="A7027070"/>
    <w:lvl w:ilvl="0" w:tplc="0409001B">
      <w:start w:val="1"/>
      <w:numFmt w:val="lowerRoman"/>
      <w:lvlText w:val="%1."/>
      <w:lvlJc w:val="right"/>
      <w:pPr>
        <w:ind w:left="1490" w:hanging="360"/>
      </w:pPr>
    </w:lvl>
    <w:lvl w:ilvl="1" w:tplc="0409001B">
      <w:start w:val="1"/>
      <w:numFmt w:val="lowerRoman"/>
      <w:lvlText w:val="%2."/>
      <w:lvlJc w:val="righ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1"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DB0667A"/>
    <w:multiLevelType w:val="hybridMultilevel"/>
    <w:tmpl w:val="598E2560"/>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3"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6804163">
    <w:abstractNumId w:val="38"/>
  </w:num>
  <w:num w:numId="2" w16cid:durableId="165675211">
    <w:abstractNumId w:val="33"/>
  </w:num>
  <w:num w:numId="3" w16cid:durableId="1988393935">
    <w:abstractNumId w:val="30"/>
  </w:num>
  <w:num w:numId="4" w16cid:durableId="1447042907">
    <w:abstractNumId w:val="35"/>
  </w:num>
  <w:num w:numId="5" w16cid:durableId="1939677132">
    <w:abstractNumId w:val="19"/>
  </w:num>
  <w:num w:numId="6" w16cid:durableId="1279603322">
    <w:abstractNumId w:val="23"/>
  </w:num>
  <w:num w:numId="7" w16cid:durableId="95640872">
    <w:abstractNumId w:val="5"/>
  </w:num>
  <w:num w:numId="8" w16cid:durableId="498421054">
    <w:abstractNumId w:val="41"/>
  </w:num>
  <w:num w:numId="9" w16cid:durableId="722631690">
    <w:abstractNumId w:val="37"/>
  </w:num>
  <w:num w:numId="10" w16cid:durableId="1041202652">
    <w:abstractNumId w:val="3"/>
  </w:num>
  <w:num w:numId="11" w16cid:durableId="286202730">
    <w:abstractNumId w:val="0"/>
  </w:num>
  <w:num w:numId="12" w16cid:durableId="1890217413">
    <w:abstractNumId w:val="2"/>
  </w:num>
  <w:num w:numId="13" w16cid:durableId="847674901">
    <w:abstractNumId w:val="39"/>
  </w:num>
  <w:num w:numId="14" w16cid:durableId="1624651441">
    <w:abstractNumId w:val="44"/>
  </w:num>
  <w:num w:numId="15" w16cid:durableId="1632663794">
    <w:abstractNumId w:val="31"/>
  </w:num>
  <w:num w:numId="16" w16cid:durableId="319382356">
    <w:abstractNumId w:val="7"/>
  </w:num>
  <w:num w:numId="17" w16cid:durableId="1035617005">
    <w:abstractNumId w:val="34"/>
  </w:num>
  <w:num w:numId="18" w16cid:durableId="137765033">
    <w:abstractNumId w:val="27"/>
  </w:num>
  <w:num w:numId="19" w16cid:durableId="822500810">
    <w:abstractNumId w:val="15"/>
  </w:num>
  <w:num w:numId="20" w16cid:durableId="2049336685">
    <w:abstractNumId w:val="10"/>
  </w:num>
  <w:num w:numId="21" w16cid:durableId="459037624">
    <w:abstractNumId w:val="28"/>
  </w:num>
  <w:num w:numId="22" w16cid:durableId="240331808">
    <w:abstractNumId w:val="43"/>
  </w:num>
  <w:num w:numId="23" w16cid:durableId="864289241">
    <w:abstractNumId w:val="12"/>
  </w:num>
  <w:num w:numId="24" w16cid:durableId="1261521244">
    <w:abstractNumId w:val="26"/>
  </w:num>
  <w:num w:numId="25" w16cid:durableId="594360547">
    <w:abstractNumId w:val="22"/>
  </w:num>
  <w:num w:numId="26" w16cid:durableId="353460679">
    <w:abstractNumId w:val="14"/>
  </w:num>
  <w:num w:numId="27" w16cid:durableId="2030645445">
    <w:abstractNumId w:val="20"/>
  </w:num>
  <w:num w:numId="28" w16cid:durableId="1705129130">
    <w:abstractNumId w:val="4"/>
  </w:num>
  <w:num w:numId="29" w16cid:durableId="1551456913">
    <w:abstractNumId w:val="13"/>
  </w:num>
  <w:num w:numId="30" w16cid:durableId="2013212853">
    <w:abstractNumId w:val="29"/>
  </w:num>
  <w:num w:numId="31" w16cid:durableId="1920358848">
    <w:abstractNumId w:val="36"/>
  </w:num>
  <w:num w:numId="32" w16cid:durableId="471405673">
    <w:abstractNumId w:val="25"/>
  </w:num>
  <w:num w:numId="33" w16cid:durableId="1574044931">
    <w:abstractNumId w:val="1"/>
  </w:num>
  <w:num w:numId="34" w16cid:durableId="1205630146">
    <w:abstractNumId w:val="9"/>
  </w:num>
  <w:num w:numId="35" w16cid:durableId="2123914805">
    <w:abstractNumId w:val="40"/>
  </w:num>
  <w:num w:numId="36" w16cid:durableId="432172760">
    <w:abstractNumId w:val="6"/>
  </w:num>
  <w:num w:numId="37" w16cid:durableId="758136897">
    <w:abstractNumId w:val="17"/>
  </w:num>
  <w:num w:numId="38" w16cid:durableId="7683356">
    <w:abstractNumId w:val="11"/>
  </w:num>
  <w:num w:numId="39" w16cid:durableId="1295671784">
    <w:abstractNumId w:val="32"/>
  </w:num>
  <w:num w:numId="40" w16cid:durableId="1830904619">
    <w:abstractNumId w:val="21"/>
  </w:num>
  <w:num w:numId="41" w16cid:durableId="296569014">
    <w:abstractNumId w:val="42"/>
  </w:num>
  <w:num w:numId="42" w16cid:durableId="507450999">
    <w:abstractNumId w:val="8"/>
  </w:num>
  <w:num w:numId="43" w16cid:durableId="715664438">
    <w:abstractNumId w:val="24"/>
  </w:num>
  <w:num w:numId="44" w16cid:durableId="1939629542">
    <w:abstractNumId w:val="18"/>
  </w:num>
  <w:num w:numId="45" w16cid:durableId="993409599">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250"/>
    <w:rsid w:val="000027A3"/>
    <w:rsid w:val="00003912"/>
    <w:rsid w:val="00003B23"/>
    <w:rsid w:val="00005295"/>
    <w:rsid w:val="0000766C"/>
    <w:rsid w:val="0001142A"/>
    <w:rsid w:val="00013834"/>
    <w:rsid w:val="000138DE"/>
    <w:rsid w:val="0001529C"/>
    <w:rsid w:val="00015699"/>
    <w:rsid w:val="00015AD8"/>
    <w:rsid w:val="000162B7"/>
    <w:rsid w:val="00017020"/>
    <w:rsid w:val="00017852"/>
    <w:rsid w:val="00017A46"/>
    <w:rsid w:val="00025460"/>
    <w:rsid w:val="00026F51"/>
    <w:rsid w:val="0002709E"/>
    <w:rsid w:val="00033D18"/>
    <w:rsid w:val="00034091"/>
    <w:rsid w:val="00034FC0"/>
    <w:rsid w:val="00040041"/>
    <w:rsid w:val="00040132"/>
    <w:rsid w:val="000406C8"/>
    <w:rsid w:val="000451AA"/>
    <w:rsid w:val="00045503"/>
    <w:rsid w:val="00051862"/>
    <w:rsid w:val="000519BD"/>
    <w:rsid w:val="00055B4B"/>
    <w:rsid w:val="00060348"/>
    <w:rsid w:val="0006065B"/>
    <w:rsid w:val="00061E4F"/>
    <w:rsid w:val="0006405E"/>
    <w:rsid w:val="000672ED"/>
    <w:rsid w:val="00071EFD"/>
    <w:rsid w:val="0007226E"/>
    <w:rsid w:val="00073862"/>
    <w:rsid w:val="000756CC"/>
    <w:rsid w:val="000807FB"/>
    <w:rsid w:val="00083AF3"/>
    <w:rsid w:val="00087A4E"/>
    <w:rsid w:val="00091667"/>
    <w:rsid w:val="000922D6"/>
    <w:rsid w:val="000943C5"/>
    <w:rsid w:val="00094C09"/>
    <w:rsid w:val="00097476"/>
    <w:rsid w:val="000A26BB"/>
    <w:rsid w:val="000A32F7"/>
    <w:rsid w:val="000C0827"/>
    <w:rsid w:val="000C4D57"/>
    <w:rsid w:val="000C6BC3"/>
    <w:rsid w:val="000D130A"/>
    <w:rsid w:val="000D1908"/>
    <w:rsid w:val="000D340C"/>
    <w:rsid w:val="000D458A"/>
    <w:rsid w:val="000D5B7A"/>
    <w:rsid w:val="000E4C6C"/>
    <w:rsid w:val="000E502E"/>
    <w:rsid w:val="000F09F6"/>
    <w:rsid w:val="000F1349"/>
    <w:rsid w:val="000F1620"/>
    <w:rsid w:val="000F1B04"/>
    <w:rsid w:val="000F7E2C"/>
    <w:rsid w:val="0010016E"/>
    <w:rsid w:val="001001B2"/>
    <w:rsid w:val="001003CF"/>
    <w:rsid w:val="001016B0"/>
    <w:rsid w:val="00103B1E"/>
    <w:rsid w:val="00105315"/>
    <w:rsid w:val="00110D31"/>
    <w:rsid w:val="00112905"/>
    <w:rsid w:val="001165C7"/>
    <w:rsid w:val="00117579"/>
    <w:rsid w:val="00120495"/>
    <w:rsid w:val="00124175"/>
    <w:rsid w:val="00124ECF"/>
    <w:rsid w:val="001327D6"/>
    <w:rsid w:val="00132E0E"/>
    <w:rsid w:val="001336C3"/>
    <w:rsid w:val="00137A41"/>
    <w:rsid w:val="00137BAD"/>
    <w:rsid w:val="0014161D"/>
    <w:rsid w:val="001520A7"/>
    <w:rsid w:val="001525EB"/>
    <w:rsid w:val="00152954"/>
    <w:rsid w:val="00155357"/>
    <w:rsid w:val="00155A97"/>
    <w:rsid w:val="00157455"/>
    <w:rsid w:val="0016475E"/>
    <w:rsid w:val="0016582A"/>
    <w:rsid w:val="00166CC9"/>
    <w:rsid w:val="0017109D"/>
    <w:rsid w:val="00171BCA"/>
    <w:rsid w:val="00173F2B"/>
    <w:rsid w:val="00175350"/>
    <w:rsid w:val="00175F03"/>
    <w:rsid w:val="00177E01"/>
    <w:rsid w:val="001825D9"/>
    <w:rsid w:val="001919F8"/>
    <w:rsid w:val="00192D14"/>
    <w:rsid w:val="00192FD4"/>
    <w:rsid w:val="00193626"/>
    <w:rsid w:val="00194D76"/>
    <w:rsid w:val="001954DE"/>
    <w:rsid w:val="00196A05"/>
    <w:rsid w:val="001A1043"/>
    <w:rsid w:val="001A20D0"/>
    <w:rsid w:val="001A370C"/>
    <w:rsid w:val="001A6C10"/>
    <w:rsid w:val="001A6C6F"/>
    <w:rsid w:val="001B11DA"/>
    <w:rsid w:val="001B4A3C"/>
    <w:rsid w:val="001B4CC3"/>
    <w:rsid w:val="001B6C09"/>
    <w:rsid w:val="001C14BF"/>
    <w:rsid w:val="001C667C"/>
    <w:rsid w:val="001C6B3B"/>
    <w:rsid w:val="001C7A25"/>
    <w:rsid w:val="001D2111"/>
    <w:rsid w:val="001D3AB4"/>
    <w:rsid w:val="001D6186"/>
    <w:rsid w:val="001E2D89"/>
    <w:rsid w:val="001E34E2"/>
    <w:rsid w:val="001E6FD1"/>
    <w:rsid w:val="001E72C8"/>
    <w:rsid w:val="001F65C0"/>
    <w:rsid w:val="00200F4C"/>
    <w:rsid w:val="00201624"/>
    <w:rsid w:val="002044FB"/>
    <w:rsid w:val="002053AB"/>
    <w:rsid w:val="00205B5E"/>
    <w:rsid w:val="00207497"/>
    <w:rsid w:val="00211EE8"/>
    <w:rsid w:val="00213DA5"/>
    <w:rsid w:val="0021508C"/>
    <w:rsid w:val="00216818"/>
    <w:rsid w:val="00217A56"/>
    <w:rsid w:val="00221041"/>
    <w:rsid w:val="00222127"/>
    <w:rsid w:val="0022234F"/>
    <w:rsid w:val="002264AD"/>
    <w:rsid w:val="00231CBA"/>
    <w:rsid w:val="00234313"/>
    <w:rsid w:val="002410A1"/>
    <w:rsid w:val="00244935"/>
    <w:rsid w:val="0024550C"/>
    <w:rsid w:val="0025049F"/>
    <w:rsid w:val="00252A4F"/>
    <w:rsid w:val="002532D9"/>
    <w:rsid w:val="00255630"/>
    <w:rsid w:val="00257792"/>
    <w:rsid w:val="00260603"/>
    <w:rsid w:val="00263733"/>
    <w:rsid w:val="002665D8"/>
    <w:rsid w:val="00270263"/>
    <w:rsid w:val="00270334"/>
    <w:rsid w:val="00274A8A"/>
    <w:rsid w:val="00282844"/>
    <w:rsid w:val="00283584"/>
    <w:rsid w:val="00284C14"/>
    <w:rsid w:val="00285037"/>
    <w:rsid w:val="00286BF6"/>
    <w:rsid w:val="002937D8"/>
    <w:rsid w:val="002967B3"/>
    <w:rsid w:val="002A082B"/>
    <w:rsid w:val="002A2C16"/>
    <w:rsid w:val="002B15BA"/>
    <w:rsid w:val="002B3929"/>
    <w:rsid w:val="002B6B18"/>
    <w:rsid w:val="002B7150"/>
    <w:rsid w:val="002B7D9A"/>
    <w:rsid w:val="002D2D8F"/>
    <w:rsid w:val="002D343C"/>
    <w:rsid w:val="002E0235"/>
    <w:rsid w:val="002E125B"/>
    <w:rsid w:val="002E60D1"/>
    <w:rsid w:val="002F09B8"/>
    <w:rsid w:val="002F2E23"/>
    <w:rsid w:val="002F49CF"/>
    <w:rsid w:val="00300343"/>
    <w:rsid w:val="00300368"/>
    <w:rsid w:val="003005A4"/>
    <w:rsid w:val="00300A1C"/>
    <w:rsid w:val="0030119E"/>
    <w:rsid w:val="00303735"/>
    <w:rsid w:val="00303A59"/>
    <w:rsid w:val="00303C2F"/>
    <w:rsid w:val="00306D6E"/>
    <w:rsid w:val="003104AD"/>
    <w:rsid w:val="0032119E"/>
    <w:rsid w:val="00326929"/>
    <w:rsid w:val="00327BBD"/>
    <w:rsid w:val="0033007B"/>
    <w:rsid w:val="0033128E"/>
    <w:rsid w:val="003374AC"/>
    <w:rsid w:val="00337E93"/>
    <w:rsid w:val="00342DDB"/>
    <w:rsid w:val="00343065"/>
    <w:rsid w:val="00345A22"/>
    <w:rsid w:val="00347063"/>
    <w:rsid w:val="00347074"/>
    <w:rsid w:val="00353B67"/>
    <w:rsid w:val="00361ECF"/>
    <w:rsid w:val="00362356"/>
    <w:rsid w:val="00364438"/>
    <w:rsid w:val="00366FAA"/>
    <w:rsid w:val="003671F6"/>
    <w:rsid w:val="00373930"/>
    <w:rsid w:val="00375DE0"/>
    <w:rsid w:val="003845E5"/>
    <w:rsid w:val="003860E9"/>
    <w:rsid w:val="003916C1"/>
    <w:rsid w:val="00393290"/>
    <w:rsid w:val="003939B5"/>
    <w:rsid w:val="00393EC9"/>
    <w:rsid w:val="00393F1C"/>
    <w:rsid w:val="003A40DF"/>
    <w:rsid w:val="003A70E6"/>
    <w:rsid w:val="003B06BB"/>
    <w:rsid w:val="003B0C7D"/>
    <w:rsid w:val="003B16F1"/>
    <w:rsid w:val="003B3DEE"/>
    <w:rsid w:val="003B4199"/>
    <w:rsid w:val="003B54BE"/>
    <w:rsid w:val="003B5878"/>
    <w:rsid w:val="003C02C7"/>
    <w:rsid w:val="003C5D82"/>
    <w:rsid w:val="003C64F7"/>
    <w:rsid w:val="003D0550"/>
    <w:rsid w:val="003D1577"/>
    <w:rsid w:val="003D15EA"/>
    <w:rsid w:val="003D6FCF"/>
    <w:rsid w:val="003E0049"/>
    <w:rsid w:val="003E2B2B"/>
    <w:rsid w:val="003E5643"/>
    <w:rsid w:val="003F0E69"/>
    <w:rsid w:val="003F3425"/>
    <w:rsid w:val="003F5CB9"/>
    <w:rsid w:val="003F62D2"/>
    <w:rsid w:val="003F6E95"/>
    <w:rsid w:val="0040178F"/>
    <w:rsid w:val="004031E2"/>
    <w:rsid w:val="00414865"/>
    <w:rsid w:val="004165ED"/>
    <w:rsid w:val="00416B97"/>
    <w:rsid w:val="00416FAB"/>
    <w:rsid w:val="0042151D"/>
    <w:rsid w:val="00422D04"/>
    <w:rsid w:val="00423375"/>
    <w:rsid w:val="00426327"/>
    <w:rsid w:val="004315B5"/>
    <w:rsid w:val="0043167D"/>
    <w:rsid w:val="00432143"/>
    <w:rsid w:val="004323A2"/>
    <w:rsid w:val="00437B5E"/>
    <w:rsid w:val="00437EB3"/>
    <w:rsid w:val="0044207D"/>
    <w:rsid w:val="00443C0B"/>
    <w:rsid w:val="00446A9D"/>
    <w:rsid w:val="00446DA2"/>
    <w:rsid w:val="00447FBC"/>
    <w:rsid w:val="004522BB"/>
    <w:rsid w:val="0045444B"/>
    <w:rsid w:val="00454E81"/>
    <w:rsid w:val="00455EC3"/>
    <w:rsid w:val="00455F9E"/>
    <w:rsid w:val="00457AC8"/>
    <w:rsid w:val="004628EC"/>
    <w:rsid w:val="00462904"/>
    <w:rsid w:val="004630C1"/>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7732"/>
    <w:rsid w:val="00497863"/>
    <w:rsid w:val="004A68CB"/>
    <w:rsid w:val="004A6C29"/>
    <w:rsid w:val="004B2B93"/>
    <w:rsid w:val="004B2D12"/>
    <w:rsid w:val="004B491D"/>
    <w:rsid w:val="004C206D"/>
    <w:rsid w:val="004C741B"/>
    <w:rsid w:val="004C7945"/>
    <w:rsid w:val="004D0C88"/>
    <w:rsid w:val="004D1602"/>
    <w:rsid w:val="004D2486"/>
    <w:rsid w:val="004D5362"/>
    <w:rsid w:val="004F54FD"/>
    <w:rsid w:val="004F550F"/>
    <w:rsid w:val="004F5C79"/>
    <w:rsid w:val="004F5D43"/>
    <w:rsid w:val="004F67CE"/>
    <w:rsid w:val="00500927"/>
    <w:rsid w:val="00504A64"/>
    <w:rsid w:val="00513012"/>
    <w:rsid w:val="00514A53"/>
    <w:rsid w:val="005152D8"/>
    <w:rsid w:val="005157EC"/>
    <w:rsid w:val="005177BD"/>
    <w:rsid w:val="005200BF"/>
    <w:rsid w:val="00520EFB"/>
    <w:rsid w:val="0052140A"/>
    <w:rsid w:val="00522139"/>
    <w:rsid w:val="00524834"/>
    <w:rsid w:val="00524F5D"/>
    <w:rsid w:val="00525CD4"/>
    <w:rsid w:val="00531586"/>
    <w:rsid w:val="0053572E"/>
    <w:rsid w:val="005416EC"/>
    <w:rsid w:val="0054257F"/>
    <w:rsid w:val="00542B4C"/>
    <w:rsid w:val="005524EC"/>
    <w:rsid w:val="005538FB"/>
    <w:rsid w:val="00555BC3"/>
    <w:rsid w:val="0055680F"/>
    <w:rsid w:val="005569F1"/>
    <w:rsid w:val="00557949"/>
    <w:rsid w:val="00563B3E"/>
    <w:rsid w:val="00563BD8"/>
    <w:rsid w:val="00563F78"/>
    <w:rsid w:val="0056458D"/>
    <w:rsid w:val="0057191E"/>
    <w:rsid w:val="00574AA7"/>
    <w:rsid w:val="005750D6"/>
    <w:rsid w:val="00576BA2"/>
    <w:rsid w:val="00581EBB"/>
    <w:rsid w:val="00582076"/>
    <w:rsid w:val="005823CF"/>
    <w:rsid w:val="00591D1D"/>
    <w:rsid w:val="00592A8D"/>
    <w:rsid w:val="00595D22"/>
    <w:rsid w:val="00596592"/>
    <w:rsid w:val="00597D08"/>
    <w:rsid w:val="005A640E"/>
    <w:rsid w:val="005A7724"/>
    <w:rsid w:val="005C0FF6"/>
    <w:rsid w:val="005C16BD"/>
    <w:rsid w:val="005C3DA9"/>
    <w:rsid w:val="005C5801"/>
    <w:rsid w:val="005C6146"/>
    <w:rsid w:val="005C75FC"/>
    <w:rsid w:val="005C7EB6"/>
    <w:rsid w:val="005D0275"/>
    <w:rsid w:val="005D171C"/>
    <w:rsid w:val="005D434D"/>
    <w:rsid w:val="005D54CF"/>
    <w:rsid w:val="005D6817"/>
    <w:rsid w:val="005D6CA6"/>
    <w:rsid w:val="005D6FDC"/>
    <w:rsid w:val="005E0324"/>
    <w:rsid w:val="005E220E"/>
    <w:rsid w:val="005E3625"/>
    <w:rsid w:val="005E45BD"/>
    <w:rsid w:val="005E62D2"/>
    <w:rsid w:val="005E7B59"/>
    <w:rsid w:val="005F5BDF"/>
    <w:rsid w:val="005F7E38"/>
    <w:rsid w:val="0060275A"/>
    <w:rsid w:val="006027A2"/>
    <w:rsid w:val="00604564"/>
    <w:rsid w:val="00605AA2"/>
    <w:rsid w:val="00612137"/>
    <w:rsid w:val="00612766"/>
    <w:rsid w:val="00612787"/>
    <w:rsid w:val="00614528"/>
    <w:rsid w:val="006278B5"/>
    <w:rsid w:val="00632A0E"/>
    <w:rsid w:val="00634033"/>
    <w:rsid w:val="0063766F"/>
    <w:rsid w:val="00640BC9"/>
    <w:rsid w:val="0064223E"/>
    <w:rsid w:val="00643725"/>
    <w:rsid w:val="00644FDB"/>
    <w:rsid w:val="00647006"/>
    <w:rsid w:val="006478BE"/>
    <w:rsid w:val="00652D04"/>
    <w:rsid w:val="00657222"/>
    <w:rsid w:val="006600FE"/>
    <w:rsid w:val="0066147F"/>
    <w:rsid w:val="00662C27"/>
    <w:rsid w:val="006638D6"/>
    <w:rsid w:val="006659FD"/>
    <w:rsid w:val="006674D6"/>
    <w:rsid w:val="00671ADC"/>
    <w:rsid w:val="006731C8"/>
    <w:rsid w:val="00674C6B"/>
    <w:rsid w:val="00674DC0"/>
    <w:rsid w:val="00680169"/>
    <w:rsid w:val="006836DB"/>
    <w:rsid w:val="00684667"/>
    <w:rsid w:val="00684B6B"/>
    <w:rsid w:val="006902DF"/>
    <w:rsid w:val="0069113C"/>
    <w:rsid w:val="00691714"/>
    <w:rsid w:val="0069468A"/>
    <w:rsid w:val="006955F2"/>
    <w:rsid w:val="006A1B37"/>
    <w:rsid w:val="006A2381"/>
    <w:rsid w:val="006A647B"/>
    <w:rsid w:val="006A65C4"/>
    <w:rsid w:val="006A7316"/>
    <w:rsid w:val="006A75FE"/>
    <w:rsid w:val="006B4C64"/>
    <w:rsid w:val="006B5166"/>
    <w:rsid w:val="006B6D07"/>
    <w:rsid w:val="006B728F"/>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7B1B"/>
    <w:rsid w:val="006E7EF4"/>
    <w:rsid w:val="006F4065"/>
    <w:rsid w:val="006F55B4"/>
    <w:rsid w:val="006F7AE5"/>
    <w:rsid w:val="006F7EC1"/>
    <w:rsid w:val="00705108"/>
    <w:rsid w:val="00710451"/>
    <w:rsid w:val="00710A26"/>
    <w:rsid w:val="007120A0"/>
    <w:rsid w:val="00712DB0"/>
    <w:rsid w:val="007130E9"/>
    <w:rsid w:val="00715982"/>
    <w:rsid w:val="00721E7F"/>
    <w:rsid w:val="00723334"/>
    <w:rsid w:val="00726CA6"/>
    <w:rsid w:val="00727D5B"/>
    <w:rsid w:val="007318D5"/>
    <w:rsid w:val="007329FE"/>
    <w:rsid w:val="00733777"/>
    <w:rsid w:val="00733B70"/>
    <w:rsid w:val="00733C08"/>
    <w:rsid w:val="00735290"/>
    <w:rsid w:val="007379F1"/>
    <w:rsid w:val="00737CFC"/>
    <w:rsid w:val="007410BD"/>
    <w:rsid w:val="00744FE6"/>
    <w:rsid w:val="007474DA"/>
    <w:rsid w:val="007518B2"/>
    <w:rsid w:val="00755F63"/>
    <w:rsid w:val="00760CBA"/>
    <w:rsid w:val="00760D1F"/>
    <w:rsid w:val="00761C89"/>
    <w:rsid w:val="00765C13"/>
    <w:rsid w:val="00766DAD"/>
    <w:rsid w:val="00767895"/>
    <w:rsid w:val="0077169C"/>
    <w:rsid w:val="007747E8"/>
    <w:rsid w:val="007818BA"/>
    <w:rsid w:val="0078723E"/>
    <w:rsid w:val="007904C8"/>
    <w:rsid w:val="00790583"/>
    <w:rsid w:val="0079130C"/>
    <w:rsid w:val="00792FB4"/>
    <w:rsid w:val="00793373"/>
    <w:rsid w:val="00796149"/>
    <w:rsid w:val="007971E0"/>
    <w:rsid w:val="007A0F49"/>
    <w:rsid w:val="007A1000"/>
    <w:rsid w:val="007A1E90"/>
    <w:rsid w:val="007A5362"/>
    <w:rsid w:val="007B02DD"/>
    <w:rsid w:val="007B0A80"/>
    <w:rsid w:val="007B18AA"/>
    <w:rsid w:val="007B1AD0"/>
    <w:rsid w:val="007B1B03"/>
    <w:rsid w:val="007B2BB6"/>
    <w:rsid w:val="007B3A4A"/>
    <w:rsid w:val="007B435F"/>
    <w:rsid w:val="007B607D"/>
    <w:rsid w:val="007B6C14"/>
    <w:rsid w:val="007B6DD3"/>
    <w:rsid w:val="007C04CB"/>
    <w:rsid w:val="007C0544"/>
    <w:rsid w:val="007C4414"/>
    <w:rsid w:val="007C5F0B"/>
    <w:rsid w:val="007C7548"/>
    <w:rsid w:val="007C758E"/>
    <w:rsid w:val="007D0061"/>
    <w:rsid w:val="007E0208"/>
    <w:rsid w:val="007E02F4"/>
    <w:rsid w:val="007F02EC"/>
    <w:rsid w:val="007F068B"/>
    <w:rsid w:val="007F67A0"/>
    <w:rsid w:val="00803983"/>
    <w:rsid w:val="00804FC8"/>
    <w:rsid w:val="00812BFB"/>
    <w:rsid w:val="00812D81"/>
    <w:rsid w:val="00813CB4"/>
    <w:rsid w:val="00816B32"/>
    <w:rsid w:val="00817EB4"/>
    <w:rsid w:val="008201D7"/>
    <w:rsid w:val="00820BFA"/>
    <w:rsid w:val="00822A4C"/>
    <w:rsid w:val="00831F21"/>
    <w:rsid w:val="00837758"/>
    <w:rsid w:val="00842786"/>
    <w:rsid w:val="0084350B"/>
    <w:rsid w:val="00850236"/>
    <w:rsid w:val="00853A06"/>
    <w:rsid w:val="008664DC"/>
    <w:rsid w:val="00867EF8"/>
    <w:rsid w:val="008735A4"/>
    <w:rsid w:val="008753CD"/>
    <w:rsid w:val="008769EE"/>
    <w:rsid w:val="00877253"/>
    <w:rsid w:val="0088563D"/>
    <w:rsid w:val="008865F3"/>
    <w:rsid w:val="00895CDF"/>
    <w:rsid w:val="008A1E42"/>
    <w:rsid w:val="008A1E6D"/>
    <w:rsid w:val="008A20AC"/>
    <w:rsid w:val="008A2BE4"/>
    <w:rsid w:val="008A7BA0"/>
    <w:rsid w:val="008B18AE"/>
    <w:rsid w:val="008B2794"/>
    <w:rsid w:val="008B36EA"/>
    <w:rsid w:val="008B649F"/>
    <w:rsid w:val="008B74A9"/>
    <w:rsid w:val="008B7C0A"/>
    <w:rsid w:val="008B7E3D"/>
    <w:rsid w:val="008C0C51"/>
    <w:rsid w:val="008C2F87"/>
    <w:rsid w:val="008C52C5"/>
    <w:rsid w:val="008D02A6"/>
    <w:rsid w:val="008D2586"/>
    <w:rsid w:val="008D289A"/>
    <w:rsid w:val="008D45B9"/>
    <w:rsid w:val="008D7189"/>
    <w:rsid w:val="008E2DAC"/>
    <w:rsid w:val="008E3552"/>
    <w:rsid w:val="008E623E"/>
    <w:rsid w:val="008E6B76"/>
    <w:rsid w:val="008F2BE2"/>
    <w:rsid w:val="008F5E4F"/>
    <w:rsid w:val="0090300F"/>
    <w:rsid w:val="009033D4"/>
    <w:rsid w:val="00903882"/>
    <w:rsid w:val="0090576D"/>
    <w:rsid w:val="00912AD4"/>
    <w:rsid w:val="00912F92"/>
    <w:rsid w:val="009143EA"/>
    <w:rsid w:val="009164C1"/>
    <w:rsid w:val="00917205"/>
    <w:rsid w:val="0092725A"/>
    <w:rsid w:val="00930A74"/>
    <w:rsid w:val="00933F8A"/>
    <w:rsid w:val="00934980"/>
    <w:rsid w:val="00935D93"/>
    <w:rsid w:val="00941F3D"/>
    <w:rsid w:val="00944436"/>
    <w:rsid w:val="0094450B"/>
    <w:rsid w:val="00944A47"/>
    <w:rsid w:val="00954CBE"/>
    <w:rsid w:val="0095555F"/>
    <w:rsid w:val="00957A2E"/>
    <w:rsid w:val="00960066"/>
    <w:rsid w:val="00960617"/>
    <w:rsid w:val="00960B8D"/>
    <w:rsid w:val="009621D7"/>
    <w:rsid w:val="00963603"/>
    <w:rsid w:val="009669E6"/>
    <w:rsid w:val="00972FE8"/>
    <w:rsid w:val="009733E8"/>
    <w:rsid w:val="00973B2E"/>
    <w:rsid w:val="0097612A"/>
    <w:rsid w:val="00977D63"/>
    <w:rsid w:val="009803AC"/>
    <w:rsid w:val="00982CE2"/>
    <w:rsid w:val="0098311F"/>
    <w:rsid w:val="009857FC"/>
    <w:rsid w:val="00987044"/>
    <w:rsid w:val="00997A91"/>
    <w:rsid w:val="009A2499"/>
    <w:rsid w:val="009B0913"/>
    <w:rsid w:val="009B0B28"/>
    <w:rsid w:val="009B6ADA"/>
    <w:rsid w:val="009B7D40"/>
    <w:rsid w:val="009C062D"/>
    <w:rsid w:val="009C1EC6"/>
    <w:rsid w:val="009C6019"/>
    <w:rsid w:val="009C7A87"/>
    <w:rsid w:val="009C7BB4"/>
    <w:rsid w:val="009D0718"/>
    <w:rsid w:val="009D1F99"/>
    <w:rsid w:val="009D27B4"/>
    <w:rsid w:val="009D6CB8"/>
    <w:rsid w:val="009E2AEB"/>
    <w:rsid w:val="009E549B"/>
    <w:rsid w:val="009E5EAE"/>
    <w:rsid w:val="009F3508"/>
    <w:rsid w:val="009F45C7"/>
    <w:rsid w:val="009F49C2"/>
    <w:rsid w:val="009F4C3A"/>
    <w:rsid w:val="009F5EED"/>
    <w:rsid w:val="009F6007"/>
    <w:rsid w:val="00A06708"/>
    <w:rsid w:val="00A06A34"/>
    <w:rsid w:val="00A07356"/>
    <w:rsid w:val="00A13DF4"/>
    <w:rsid w:val="00A225FD"/>
    <w:rsid w:val="00A2519A"/>
    <w:rsid w:val="00A322BC"/>
    <w:rsid w:val="00A367D9"/>
    <w:rsid w:val="00A41A5F"/>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F40"/>
    <w:rsid w:val="00A55B7D"/>
    <w:rsid w:val="00A55E06"/>
    <w:rsid w:val="00A60BED"/>
    <w:rsid w:val="00A653DB"/>
    <w:rsid w:val="00A70406"/>
    <w:rsid w:val="00A71C38"/>
    <w:rsid w:val="00A72FBC"/>
    <w:rsid w:val="00A74347"/>
    <w:rsid w:val="00A7630B"/>
    <w:rsid w:val="00A81BF9"/>
    <w:rsid w:val="00A82E83"/>
    <w:rsid w:val="00A837E4"/>
    <w:rsid w:val="00A84538"/>
    <w:rsid w:val="00A8565C"/>
    <w:rsid w:val="00A86A52"/>
    <w:rsid w:val="00A87868"/>
    <w:rsid w:val="00A879AC"/>
    <w:rsid w:val="00A9120B"/>
    <w:rsid w:val="00A91D16"/>
    <w:rsid w:val="00A9204E"/>
    <w:rsid w:val="00A9217C"/>
    <w:rsid w:val="00A92CBC"/>
    <w:rsid w:val="00A94005"/>
    <w:rsid w:val="00A95393"/>
    <w:rsid w:val="00A97787"/>
    <w:rsid w:val="00A97DED"/>
    <w:rsid w:val="00AA0064"/>
    <w:rsid w:val="00AA3641"/>
    <w:rsid w:val="00AA63F4"/>
    <w:rsid w:val="00AA70F7"/>
    <w:rsid w:val="00AB0D91"/>
    <w:rsid w:val="00AB4027"/>
    <w:rsid w:val="00AC16E2"/>
    <w:rsid w:val="00AC37E2"/>
    <w:rsid w:val="00AC39C3"/>
    <w:rsid w:val="00AC3A2B"/>
    <w:rsid w:val="00AC48C3"/>
    <w:rsid w:val="00AC5723"/>
    <w:rsid w:val="00AD2D09"/>
    <w:rsid w:val="00AD2E5C"/>
    <w:rsid w:val="00AD38F7"/>
    <w:rsid w:val="00AD56E0"/>
    <w:rsid w:val="00AD573D"/>
    <w:rsid w:val="00AD5EFB"/>
    <w:rsid w:val="00AD7507"/>
    <w:rsid w:val="00AE0ADA"/>
    <w:rsid w:val="00AE1FF2"/>
    <w:rsid w:val="00AE6E9B"/>
    <w:rsid w:val="00AE7DA6"/>
    <w:rsid w:val="00AF146A"/>
    <w:rsid w:val="00AF28C6"/>
    <w:rsid w:val="00AF6388"/>
    <w:rsid w:val="00AF6EA6"/>
    <w:rsid w:val="00B010D8"/>
    <w:rsid w:val="00B04824"/>
    <w:rsid w:val="00B051B0"/>
    <w:rsid w:val="00B0737C"/>
    <w:rsid w:val="00B10DD9"/>
    <w:rsid w:val="00B12FC7"/>
    <w:rsid w:val="00B14A27"/>
    <w:rsid w:val="00B154D5"/>
    <w:rsid w:val="00B17707"/>
    <w:rsid w:val="00B20098"/>
    <w:rsid w:val="00B21971"/>
    <w:rsid w:val="00B22A54"/>
    <w:rsid w:val="00B23068"/>
    <w:rsid w:val="00B252A4"/>
    <w:rsid w:val="00B308B3"/>
    <w:rsid w:val="00B31A12"/>
    <w:rsid w:val="00B321C1"/>
    <w:rsid w:val="00B348CF"/>
    <w:rsid w:val="00B35ECB"/>
    <w:rsid w:val="00B40A75"/>
    <w:rsid w:val="00B41774"/>
    <w:rsid w:val="00B476B8"/>
    <w:rsid w:val="00B518BA"/>
    <w:rsid w:val="00B53BC9"/>
    <w:rsid w:val="00B54095"/>
    <w:rsid w:val="00B546E9"/>
    <w:rsid w:val="00B562C8"/>
    <w:rsid w:val="00B56420"/>
    <w:rsid w:val="00B62FFC"/>
    <w:rsid w:val="00B7612E"/>
    <w:rsid w:val="00B77E06"/>
    <w:rsid w:val="00B827C6"/>
    <w:rsid w:val="00B84B3C"/>
    <w:rsid w:val="00B857E6"/>
    <w:rsid w:val="00BA24B1"/>
    <w:rsid w:val="00BA451C"/>
    <w:rsid w:val="00BA4594"/>
    <w:rsid w:val="00BA4B16"/>
    <w:rsid w:val="00BA4B8D"/>
    <w:rsid w:val="00BA6F72"/>
    <w:rsid w:val="00BB1EBB"/>
    <w:rsid w:val="00BB3A26"/>
    <w:rsid w:val="00BB6FE0"/>
    <w:rsid w:val="00BC163A"/>
    <w:rsid w:val="00BD0975"/>
    <w:rsid w:val="00BD1E8D"/>
    <w:rsid w:val="00BD2DF8"/>
    <w:rsid w:val="00BE35A9"/>
    <w:rsid w:val="00BE669E"/>
    <w:rsid w:val="00BE6830"/>
    <w:rsid w:val="00BE6A24"/>
    <w:rsid w:val="00BF2024"/>
    <w:rsid w:val="00BF243A"/>
    <w:rsid w:val="00BF3B08"/>
    <w:rsid w:val="00BF4C0F"/>
    <w:rsid w:val="00C003D7"/>
    <w:rsid w:val="00C00478"/>
    <w:rsid w:val="00C03A2E"/>
    <w:rsid w:val="00C040F7"/>
    <w:rsid w:val="00C11D6C"/>
    <w:rsid w:val="00C12DB9"/>
    <w:rsid w:val="00C21160"/>
    <w:rsid w:val="00C22ADA"/>
    <w:rsid w:val="00C23096"/>
    <w:rsid w:val="00C30838"/>
    <w:rsid w:val="00C30AE9"/>
    <w:rsid w:val="00C45C67"/>
    <w:rsid w:val="00C56E18"/>
    <w:rsid w:val="00C63F8F"/>
    <w:rsid w:val="00C67220"/>
    <w:rsid w:val="00C7098F"/>
    <w:rsid w:val="00C72F5E"/>
    <w:rsid w:val="00C735DC"/>
    <w:rsid w:val="00C75BA5"/>
    <w:rsid w:val="00C77709"/>
    <w:rsid w:val="00C846E6"/>
    <w:rsid w:val="00C9018E"/>
    <w:rsid w:val="00C92E9B"/>
    <w:rsid w:val="00CA388E"/>
    <w:rsid w:val="00CA61A0"/>
    <w:rsid w:val="00CA7069"/>
    <w:rsid w:val="00CB1069"/>
    <w:rsid w:val="00CB4F67"/>
    <w:rsid w:val="00CC1C32"/>
    <w:rsid w:val="00CC3216"/>
    <w:rsid w:val="00CC434F"/>
    <w:rsid w:val="00CC527B"/>
    <w:rsid w:val="00CC5734"/>
    <w:rsid w:val="00CC7331"/>
    <w:rsid w:val="00CD0EA6"/>
    <w:rsid w:val="00CD1349"/>
    <w:rsid w:val="00CD25B1"/>
    <w:rsid w:val="00CD618E"/>
    <w:rsid w:val="00CE26A6"/>
    <w:rsid w:val="00CE3F26"/>
    <w:rsid w:val="00CE5B90"/>
    <w:rsid w:val="00CE64F0"/>
    <w:rsid w:val="00CF021D"/>
    <w:rsid w:val="00CF0A95"/>
    <w:rsid w:val="00CF3421"/>
    <w:rsid w:val="00CF4EEF"/>
    <w:rsid w:val="00CF5142"/>
    <w:rsid w:val="00CF5F19"/>
    <w:rsid w:val="00CF6645"/>
    <w:rsid w:val="00CF79F9"/>
    <w:rsid w:val="00D00885"/>
    <w:rsid w:val="00D0089A"/>
    <w:rsid w:val="00D06EBB"/>
    <w:rsid w:val="00D106DD"/>
    <w:rsid w:val="00D203DA"/>
    <w:rsid w:val="00D20C81"/>
    <w:rsid w:val="00D23D4C"/>
    <w:rsid w:val="00D304F3"/>
    <w:rsid w:val="00D31451"/>
    <w:rsid w:val="00D479A8"/>
    <w:rsid w:val="00D47E91"/>
    <w:rsid w:val="00D5060B"/>
    <w:rsid w:val="00D51356"/>
    <w:rsid w:val="00D60CCA"/>
    <w:rsid w:val="00D61824"/>
    <w:rsid w:val="00D61C26"/>
    <w:rsid w:val="00D62745"/>
    <w:rsid w:val="00D640B7"/>
    <w:rsid w:val="00D642B0"/>
    <w:rsid w:val="00D645AF"/>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A38FF"/>
    <w:rsid w:val="00DA3FB5"/>
    <w:rsid w:val="00DB7E8F"/>
    <w:rsid w:val="00DC024D"/>
    <w:rsid w:val="00DC07C1"/>
    <w:rsid w:val="00DC0E33"/>
    <w:rsid w:val="00DC1D77"/>
    <w:rsid w:val="00DC20CF"/>
    <w:rsid w:val="00DC2585"/>
    <w:rsid w:val="00DC2D83"/>
    <w:rsid w:val="00DC621F"/>
    <w:rsid w:val="00DC6267"/>
    <w:rsid w:val="00DD1C1B"/>
    <w:rsid w:val="00DD734E"/>
    <w:rsid w:val="00DE0233"/>
    <w:rsid w:val="00DE23CF"/>
    <w:rsid w:val="00DE24E8"/>
    <w:rsid w:val="00DE6FDB"/>
    <w:rsid w:val="00DF64E1"/>
    <w:rsid w:val="00DF7E56"/>
    <w:rsid w:val="00E01BF3"/>
    <w:rsid w:val="00E024A7"/>
    <w:rsid w:val="00E02807"/>
    <w:rsid w:val="00E03AD1"/>
    <w:rsid w:val="00E04EAD"/>
    <w:rsid w:val="00E06002"/>
    <w:rsid w:val="00E1059F"/>
    <w:rsid w:val="00E10BE3"/>
    <w:rsid w:val="00E12660"/>
    <w:rsid w:val="00E17027"/>
    <w:rsid w:val="00E20604"/>
    <w:rsid w:val="00E2315E"/>
    <w:rsid w:val="00E23AAE"/>
    <w:rsid w:val="00E26B0D"/>
    <w:rsid w:val="00E3054D"/>
    <w:rsid w:val="00E30785"/>
    <w:rsid w:val="00E324CE"/>
    <w:rsid w:val="00E32F6C"/>
    <w:rsid w:val="00E33A56"/>
    <w:rsid w:val="00E36270"/>
    <w:rsid w:val="00E3720D"/>
    <w:rsid w:val="00E40A16"/>
    <w:rsid w:val="00E41DE1"/>
    <w:rsid w:val="00E44FA9"/>
    <w:rsid w:val="00E47259"/>
    <w:rsid w:val="00E5236A"/>
    <w:rsid w:val="00E532E8"/>
    <w:rsid w:val="00E56F95"/>
    <w:rsid w:val="00E57462"/>
    <w:rsid w:val="00E63A8F"/>
    <w:rsid w:val="00E64F45"/>
    <w:rsid w:val="00E673F4"/>
    <w:rsid w:val="00E677DA"/>
    <w:rsid w:val="00E70765"/>
    <w:rsid w:val="00E7109B"/>
    <w:rsid w:val="00E755CA"/>
    <w:rsid w:val="00E83556"/>
    <w:rsid w:val="00E86AEB"/>
    <w:rsid w:val="00E87F7D"/>
    <w:rsid w:val="00E91461"/>
    <w:rsid w:val="00E91799"/>
    <w:rsid w:val="00E9506C"/>
    <w:rsid w:val="00E97FCF"/>
    <w:rsid w:val="00EA14B4"/>
    <w:rsid w:val="00EA2B57"/>
    <w:rsid w:val="00EA390C"/>
    <w:rsid w:val="00EA3EAE"/>
    <w:rsid w:val="00EA6193"/>
    <w:rsid w:val="00EB136F"/>
    <w:rsid w:val="00EB6910"/>
    <w:rsid w:val="00EB6DA5"/>
    <w:rsid w:val="00EB7B1A"/>
    <w:rsid w:val="00EC47D5"/>
    <w:rsid w:val="00ED2DC8"/>
    <w:rsid w:val="00EE6AE2"/>
    <w:rsid w:val="00EE7CB4"/>
    <w:rsid w:val="00EF092C"/>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66FF"/>
    <w:rsid w:val="00F224C3"/>
    <w:rsid w:val="00F2250D"/>
    <w:rsid w:val="00F254AF"/>
    <w:rsid w:val="00F31D20"/>
    <w:rsid w:val="00F45E6B"/>
    <w:rsid w:val="00F47EC3"/>
    <w:rsid w:val="00F512FE"/>
    <w:rsid w:val="00F564F7"/>
    <w:rsid w:val="00F57033"/>
    <w:rsid w:val="00F57481"/>
    <w:rsid w:val="00F57FFA"/>
    <w:rsid w:val="00F61992"/>
    <w:rsid w:val="00F6436A"/>
    <w:rsid w:val="00F6582B"/>
    <w:rsid w:val="00F6622D"/>
    <w:rsid w:val="00F808FC"/>
    <w:rsid w:val="00F83A91"/>
    <w:rsid w:val="00F91728"/>
    <w:rsid w:val="00FA596D"/>
    <w:rsid w:val="00FA602E"/>
    <w:rsid w:val="00FB2F3F"/>
    <w:rsid w:val="00FB7E00"/>
    <w:rsid w:val="00FC074E"/>
    <w:rsid w:val="00FC34CD"/>
    <w:rsid w:val="00FC43F9"/>
    <w:rsid w:val="00FC5217"/>
    <w:rsid w:val="00FD5834"/>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2"/>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18"/>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Rachel Kelly</cp:lastModifiedBy>
  <cp:revision>3</cp:revision>
  <cp:lastPrinted>2022-09-29T12:20:00Z</cp:lastPrinted>
  <dcterms:created xsi:type="dcterms:W3CDTF">2023-11-10T16:22:00Z</dcterms:created>
  <dcterms:modified xsi:type="dcterms:W3CDTF">2023-11-10T16:23:00Z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