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w:t>
      </w:r>
      <w:r w:rsidR="00017852" w:rsidRPr="00285037">
        <w:lastRenderedPageBreak/>
        <w:t>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 xml:space="preserve">If for any reason the submission / upload portal for your assessment is not available (ie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pPr>
        <w:pStyle w:val="BodyText"/>
        <w:widowControl/>
        <w:numPr>
          <w:ilvl w:val="0"/>
          <w:numId w:val="5"/>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pPr>
        <w:pStyle w:val="BodyText"/>
        <w:widowControl/>
        <w:numPr>
          <w:ilvl w:val="0"/>
          <w:numId w:val="5"/>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pPr>
        <w:pStyle w:val="BodyText"/>
        <w:widowControl/>
        <w:numPr>
          <w:ilvl w:val="0"/>
          <w:numId w:val="5"/>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F624D8" w:rsidRDefault="005E7B59">
      <w:pPr>
        <w:pStyle w:val="BodyText"/>
        <w:widowControl/>
        <w:numPr>
          <w:ilvl w:val="0"/>
          <w:numId w:val="5"/>
        </w:numPr>
        <w:autoSpaceDE/>
        <w:autoSpaceDN/>
        <w:ind w:left="709" w:hanging="709"/>
        <w:rPr>
          <w:rFonts w:ascii="Avenir Next" w:hAnsi="Avenir Next"/>
          <w:highlight w:val="yellow"/>
        </w:rPr>
      </w:pPr>
      <w:r w:rsidRPr="00F624D8">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F624D8" w:rsidRDefault="00CC3216">
      <w:pPr>
        <w:pStyle w:val="BodyText"/>
        <w:widowControl/>
        <w:numPr>
          <w:ilvl w:val="0"/>
          <w:numId w:val="6"/>
        </w:numPr>
        <w:autoSpaceDE/>
        <w:autoSpaceDN/>
        <w:ind w:left="709" w:hanging="709"/>
        <w:rPr>
          <w:rFonts w:ascii="Avenir Next" w:hAnsi="Avenir Next"/>
          <w:highlight w:val="yellow"/>
        </w:rPr>
      </w:pPr>
      <w:r w:rsidRPr="00F624D8">
        <w:rPr>
          <w:rFonts w:ascii="Avenir Next" w:hAnsi="Avenir Next"/>
          <w:highlight w:val="yellow"/>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pPr>
        <w:pStyle w:val="BodyText"/>
        <w:widowControl/>
        <w:numPr>
          <w:ilvl w:val="0"/>
          <w:numId w:val="6"/>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pPr>
        <w:pStyle w:val="BodyText"/>
        <w:widowControl/>
        <w:numPr>
          <w:ilvl w:val="0"/>
          <w:numId w:val="6"/>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To whom does a privately-appointed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2A5F8F" w:rsidRDefault="00767895">
      <w:pPr>
        <w:pStyle w:val="ListParagraph"/>
        <w:numPr>
          <w:ilvl w:val="1"/>
          <w:numId w:val="20"/>
        </w:numPr>
        <w:spacing w:after="0" w:line="240" w:lineRule="auto"/>
        <w:ind w:left="709" w:hanging="709"/>
        <w:rPr>
          <w:rFonts w:ascii="Avenir Next" w:hAnsi="Avenir Next"/>
          <w:highlight w:val="yellow"/>
          <w:lang w:val="en-GB"/>
        </w:rPr>
      </w:pPr>
      <w:r w:rsidRPr="002A5F8F">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pPr>
        <w:pStyle w:val="ListParagraph"/>
        <w:numPr>
          <w:ilvl w:val="1"/>
          <w:numId w:val="20"/>
        </w:numPr>
        <w:spacing w:after="0" w:line="240" w:lineRule="auto"/>
        <w:ind w:left="709" w:hanging="709"/>
        <w:rPr>
          <w:rFonts w:ascii="Avenir Next" w:hAnsi="Avenir Next"/>
          <w:lang w:val="en-GB"/>
        </w:rPr>
      </w:pPr>
      <w:r w:rsidRPr="00A500D9">
        <w:rPr>
          <w:rFonts w:ascii="Avenir Next" w:hAnsi="Avenir Next"/>
          <w:lang w:val="en-GB"/>
        </w:rPr>
        <w:t>All of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A500D9" w:rsidRDefault="00767895">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pPr>
        <w:pStyle w:val="ListParagraph"/>
        <w:numPr>
          <w:ilvl w:val="0"/>
          <w:numId w:val="21"/>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2A5F8F" w:rsidRDefault="00767895">
      <w:pPr>
        <w:pStyle w:val="ListParagraph"/>
        <w:numPr>
          <w:ilvl w:val="0"/>
          <w:numId w:val="21"/>
        </w:numPr>
        <w:spacing w:after="0" w:line="240" w:lineRule="auto"/>
        <w:ind w:left="709" w:hanging="709"/>
        <w:rPr>
          <w:rFonts w:ascii="Avenir Next" w:hAnsi="Avenir Next"/>
          <w:highlight w:val="yellow"/>
          <w:lang w:val="en-GB"/>
        </w:rPr>
      </w:pPr>
      <w:r w:rsidRPr="002A5F8F">
        <w:rPr>
          <w:rFonts w:ascii="Avenir Next" w:hAnsi="Avenir Next"/>
          <w:highlight w:val="yellow"/>
          <w:lang w:val="en-GB"/>
        </w:rPr>
        <w:t>All of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A500D9" w:rsidRDefault="00A51B24">
      <w:pPr>
        <w:pStyle w:val="BodyText"/>
        <w:widowControl/>
        <w:numPr>
          <w:ilvl w:val="0"/>
          <w:numId w:val="22"/>
        </w:numPr>
        <w:autoSpaceDE/>
        <w:autoSpaceDN/>
        <w:ind w:left="709" w:hanging="709"/>
        <w:jc w:val="both"/>
        <w:rPr>
          <w:rFonts w:ascii="Avenir Next" w:hAnsi="Avenir Next"/>
        </w:rPr>
      </w:pPr>
      <w:r w:rsidRPr="00BB606F">
        <w:rPr>
          <w:rFonts w:ascii="Avenir Next" w:hAnsi="Avenir Next"/>
          <w:highlight w:val="yellow"/>
        </w:rPr>
        <w:t xml:space="preserve">Within the </w:t>
      </w:r>
      <w:r w:rsidR="007B18AA" w:rsidRPr="00BB606F">
        <w:rPr>
          <w:rFonts w:ascii="Avenir Next" w:hAnsi="Avenir Next"/>
          <w:highlight w:val="yellow"/>
        </w:rPr>
        <w:t xml:space="preserve">six (6) </w:t>
      </w:r>
      <w:r w:rsidRPr="00BB606F">
        <w:rPr>
          <w:rFonts w:ascii="Avenir Next" w:hAnsi="Avenir Next"/>
          <w:highlight w:val="yellow"/>
        </w:rPr>
        <w:t>months immediately preceding the commencement of the winding up</w:t>
      </w:r>
      <w:r w:rsidR="00D304F3" w:rsidRPr="00BB606F">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pPr>
        <w:pStyle w:val="BodyText"/>
        <w:widowControl/>
        <w:numPr>
          <w:ilvl w:val="0"/>
          <w:numId w:val="22"/>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BB606F" w:rsidRDefault="00CE5B90">
      <w:pPr>
        <w:pStyle w:val="ListParagraph"/>
        <w:numPr>
          <w:ilvl w:val="0"/>
          <w:numId w:val="13"/>
        </w:numPr>
        <w:spacing w:after="0" w:line="240" w:lineRule="auto"/>
        <w:ind w:left="709" w:hanging="709"/>
        <w:rPr>
          <w:rFonts w:ascii="Avenir Next" w:hAnsi="Avenir Next" w:cs="Arial"/>
          <w:highlight w:val="yellow"/>
          <w:lang w:val="en-US"/>
        </w:rPr>
      </w:pPr>
      <w:r w:rsidRPr="00BB606F">
        <w:rPr>
          <w:rFonts w:ascii="Avenir Next" w:hAnsi="Avenir Next" w:cs="Arial"/>
          <w:highlight w:val="yellow"/>
          <w:lang w:val="en-US"/>
        </w:rPr>
        <w:t xml:space="preserve">Sections </w:t>
      </w:r>
      <w:r w:rsidR="00002250" w:rsidRPr="00BB606F">
        <w:rPr>
          <w:rFonts w:ascii="Avenir Next" w:hAnsi="Avenir Next" w:cs="Arial"/>
          <w:highlight w:val="yellow"/>
          <w:lang w:val="en-US"/>
        </w:rPr>
        <w:t>116-130</w:t>
      </w:r>
      <w:r w:rsidR="007B18AA" w:rsidRPr="00BB606F">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pPr>
        <w:pStyle w:val="ListParagraph"/>
        <w:numPr>
          <w:ilvl w:val="0"/>
          <w:numId w:val="13"/>
        </w:numPr>
        <w:spacing w:after="0" w:line="240" w:lineRule="auto"/>
        <w:ind w:left="709" w:hanging="709"/>
        <w:rPr>
          <w:rFonts w:ascii="Avenir Next" w:hAnsi="Avenir Next" w:cs="Arial"/>
          <w:lang w:val="en-US"/>
        </w:rPr>
      </w:pPr>
      <w:r w:rsidRPr="00A500D9">
        <w:rPr>
          <w:rFonts w:ascii="Avenir Next" w:hAnsi="Avenir Next" w:cs="Arial"/>
          <w:lang w:val="en-US"/>
        </w:rPr>
        <w:lastRenderedPageBreak/>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BB606F" w:rsidRDefault="00455EC3">
      <w:pPr>
        <w:pStyle w:val="ListParagraph"/>
        <w:numPr>
          <w:ilvl w:val="0"/>
          <w:numId w:val="14"/>
        </w:numPr>
        <w:spacing w:after="0" w:line="240" w:lineRule="auto"/>
        <w:ind w:left="709" w:hanging="709"/>
        <w:rPr>
          <w:rFonts w:ascii="Avenir Next" w:hAnsi="Avenir Next" w:cs="Arial"/>
          <w:highlight w:val="yellow"/>
          <w:lang w:val="en-GB"/>
        </w:rPr>
      </w:pPr>
      <w:r w:rsidRPr="00BB606F">
        <w:rPr>
          <w:rFonts w:ascii="Avenir Next" w:hAnsi="Avenir Next" w:cs="Arial"/>
          <w:highlight w:val="yellow"/>
          <w:lang w:val="en-GB"/>
        </w:rPr>
        <w:t>I</w:t>
      </w:r>
      <w:r w:rsidR="00002250" w:rsidRPr="00BB606F">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pPr>
        <w:pStyle w:val="ListParagraph"/>
        <w:numPr>
          <w:ilvl w:val="0"/>
          <w:numId w:val="14"/>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pPr>
        <w:pStyle w:val="ListParagraph"/>
        <w:numPr>
          <w:ilvl w:val="0"/>
          <w:numId w:val="14"/>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set or amounts otherwise agreed in respect of the liquidator’s fee expectations. What  option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pPr>
        <w:pStyle w:val="ListParagraph"/>
        <w:numPr>
          <w:ilvl w:val="0"/>
          <w:numId w:val="15"/>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BB606F" w:rsidRDefault="002B7D9A">
      <w:pPr>
        <w:pStyle w:val="ListParagraph"/>
        <w:numPr>
          <w:ilvl w:val="0"/>
          <w:numId w:val="15"/>
        </w:numPr>
        <w:spacing w:after="0" w:line="240" w:lineRule="auto"/>
        <w:ind w:left="709" w:hanging="709"/>
        <w:rPr>
          <w:rFonts w:ascii="Avenir Next" w:hAnsi="Avenir Next"/>
          <w:highlight w:val="yellow"/>
          <w:lang w:val="en-GB"/>
        </w:rPr>
      </w:pPr>
      <w:r w:rsidRPr="00BB606F">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A500D9" w:rsidRDefault="002B7D9A">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 xml:space="preserve">Ordinary creditor claims are always paid </w:t>
      </w:r>
      <w:r w:rsidRPr="00A500D9">
        <w:rPr>
          <w:rFonts w:ascii="Avenir Next" w:hAnsi="Avenir Next"/>
          <w:i/>
          <w:iCs/>
          <w:lang w:val="en-GB"/>
        </w:rPr>
        <w:t>pari passu</w:t>
      </w:r>
      <w:r w:rsidRPr="00A500D9">
        <w:rPr>
          <w:rFonts w:ascii="Avenir Next" w:hAnsi="Avenir Next"/>
          <w:lang w:val="en-GB"/>
        </w:rPr>
        <w:t>, regardless of any contractual terms validly entered into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BB606F" w:rsidRDefault="002B7D9A">
      <w:pPr>
        <w:pStyle w:val="ListParagraph"/>
        <w:numPr>
          <w:ilvl w:val="0"/>
          <w:numId w:val="16"/>
        </w:numPr>
        <w:spacing w:after="0" w:line="240" w:lineRule="auto"/>
        <w:ind w:left="709" w:hanging="709"/>
        <w:rPr>
          <w:rFonts w:ascii="Avenir Next" w:hAnsi="Avenir Next"/>
          <w:highlight w:val="yellow"/>
          <w:lang w:val="en-GB"/>
        </w:rPr>
      </w:pPr>
      <w:r w:rsidRPr="00BB606F">
        <w:rPr>
          <w:rFonts w:ascii="Avenir Next" w:hAnsi="Avenir Next"/>
          <w:highlight w:val="yellow"/>
          <w:lang w:val="en-GB"/>
        </w:rPr>
        <w:lastRenderedPageBreak/>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pPr>
        <w:pStyle w:val="ListParagraph"/>
        <w:numPr>
          <w:ilvl w:val="0"/>
          <w:numId w:val="16"/>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0677CE" w:rsidRDefault="00D06EBB">
      <w:pPr>
        <w:pStyle w:val="ListParagraph"/>
        <w:numPr>
          <w:ilvl w:val="0"/>
          <w:numId w:val="10"/>
        </w:numPr>
        <w:spacing w:after="0" w:line="240" w:lineRule="auto"/>
        <w:ind w:left="709" w:hanging="709"/>
        <w:rPr>
          <w:rFonts w:ascii="Avenir Next LT Pro" w:hAnsi="Avenir Next LT Pro"/>
          <w:highlight w:val="yellow"/>
          <w:lang w:val="en-GB"/>
        </w:rPr>
      </w:pPr>
      <w:r w:rsidRPr="000677CE">
        <w:rPr>
          <w:rFonts w:ascii="Avenir Next LT Pro" w:hAnsi="Avenir Next LT Pro"/>
          <w:highlight w:val="yellow"/>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A500D9" w:rsidRDefault="00D06EBB">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pPr>
        <w:pStyle w:val="ListParagraph"/>
        <w:numPr>
          <w:ilvl w:val="0"/>
          <w:numId w:val="10"/>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pPr>
        <w:pStyle w:val="ListParagraph"/>
        <w:numPr>
          <w:ilvl w:val="0"/>
          <w:numId w:val="11"/>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0677CE" w:rsidRDefault="00D06EBB">
      <w:pPr>
        <w:pStyle w:val="ListParagraph"/>
        <w:numPr>
          <w:ilvl w:val="0"/>
          <w:numId w:val="11"/>
        </w:numPr>
        <w:spacing w:after="0" w:line="240" w:lineRule="auto"/>
        <w:ind w:left="709" w:hanging="709"/>
        <w:rPr>
          <w:rFonts w:ascii="Avenir Next LT Pro" w:hAnsi="Avenir Next LT Pro"/>
          <w:highlight w:val="yellow"/>
          <w:lang w:val="en-GB"/>
        </w:rPr>
      </w:pPr>
      <w:r w:rsidRPr="000677CE">
        <w:rPr>
          <w:rFonts w:ascii="Avenir Next LT Pro" w:hAnsi="Avenir Next LT Pro"/>
          <w:highlight w:val="yellow"/>
          <w:lang w:val="en-GB"/>
        </w:rPr>
        <w:t>Within 21 days of the date on which the creditor receive</w:t>
      </w:r>
      <w:r w:rsidR="007B18AA" w:rsidRPr="000677CE">
        <w:rPr>
          <w:rFonts w:ascii="Avenir Next LT Pro" w:hAnsi="Avenir Next LT Pro"/>
          <w:highlight w:val="yellow"/>
          <w:lang w:val="en-GB"/>
        </w:rPr>
        <w:t>d</w:t>
      </w:r>
      <w:r w:rsidRPr="000677CE">
        <w:rPr>
          <w:rFonts w:ascii="Avenir Next LT Pro" w:hAnsi="Avenir Next LT Pro"/>
          <w:highlight w:val="yellow"/>
          <w:lang w:val="en-GB"/>
        </w:rPr>
        <w:t xml:space="preserve"> the official liquidator's notification under O.16, r.6 of the C</w:t>
      </w:r>
      <w:r w:rsidR="00CE5B90" w:rsidRPr="000677CE">
        <w:rPr>
          <w:rFonts w:ascii="Avenir Next LT Pro" w:hAnsi="Avenir Next LT Pro"/>
          <w:highlight w:val="yellow"/>
          <w:lang w:val="en-GB"/>
        </w:rPr>
        <w:t>ompanies Winding Up R</w:t>
      </w:r>
      <w:r w:rsidR="001D3AB4" w:rsidRPr="000677CE">
        <w:rPr>
          <w:rFonts w:ascii="Avenir Next LT Pro" w:hAnsi="Avenir Next LT Pro"/>
          <w:highlight w:val="yellow"/>
          <w:lang w:val="en-GB"/>
        </w:rPr>
        <w:t>ules</w:t>
      </w:r>
      <w:r w:rsidRPr="000677CE">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A500D9" w:rsidRDefault="00097476">
      <w:pPr>
        <w:pStyle w:val="ListParagraph"/>
        <w:numPr>
          <w:ilvl w:val="0"/>
          <w:numId w:val="17"/>
        </w:numPr>
        <w:spacing w:after="0" w:line="240" w:lineRule="auto"/>
        <w:ind w:left="709" w:hanging="709"/>
        <w:rPr>
          <w:rFonts w:ascii="Avenir Next" w:hAnsi="Avenir Next"/>
          <w:lang w:val="en-GB"/>
        </w:rPr>
      </w:pPr>
      <w:r w:rsidRPr="000677CE">
        <w:rPr>
          <w:rFonts w:ascii="Avenir Next" w:hAnsi="Avenir Next"/>
          <w:highlight w:val="yellow"/>
          <w:lang w:val="en-GB"/>
        </w:rPr>
        <w:lastRenderedPageBreak/>
        <w:t>The proposal of a resolution for the winding up of the ELP</w:t>
      </w:r>
      <w:r w:rsidR="00CE5B90" w:rsidRPr="00A500D9">
        <w:rPr>
          <w:rFonts w:ascii="Avenir Next" w:hAnsi="Avenir Next"/>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pPr>
        <w:pStyle w:val="ListParagraph"/>
        <w:numPr>
          <w:ilvl w:val="0"/>
          <w:numId w:val="17"/>
        </w:numPr>
        <w:spacing w:after="0" w:line="240" w:lineRule="auto"/>
        <w:ind w:left="709" w:hanging="709"/>
        <w:rPr>
          <w:rFonts w:ascii="Avenir Next" w:hAnsi="Avenir Next"/>
          <w:lang w:val="en-GB"/>
        </w:rPr>
      </w:pPr>
      <w:r w:rsidRPr="00A500D9">
        <w:rPr>
          <w:rFonts w:ascii="Avenir Next" w:hAnsi="Avenir Next"/>
          <w:lang w:val="en-GB"/>
        </w:rPr>
        <w:t xml:space="preserve">The automatic wind up date.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pPr>
        <w:pStyle w:val="ListParagraph"/>
        <w:numPr>
          <w:ilvl w:val="0"/>
          <w:numId w:val="19"/>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0677CE" w:rsidRDefault="00097476">
      <w:pPr>
        <w:pStyle w:val="ListParagraph"/>
        <w:numPr>
          <w:ilvl w:val="0"/>
          <w:numId w:val="19"/>
        </w:numPr>
        <w:spacing w:after="0" w:line="240" w:lineRule="auto"/>
        <w:ind w:left="709" w:hanging="709"/>
        <w:rPr>
          <w:rFonts w:ascii="Avenir Next LT Pro" w:hAnsi="Avenir Next LT Pro"/>
          <w:highlight w:val="yellow"/>
          <w:lang w:val="en-GB"/>
        </w:rPr>
      </w:pPr>
      <w:r w:rsidRPr="000677CE">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0677CE" w:rsidRDefault="00D479A8">
      <w:pPr>
        <w:pStyle w:val="ListParagraph"/>
        <w:numPr>
          <w:ilvl w:val="1"/>
          <w:numId w:val="24"/>
        </w:numPr>
        <w:spacing w:after="0" w:line="240" w:lineRule="auto"/>
        <w:ind w:left="709" w:hanging="709"/>
        <w:rPr>
          <w:rFonts w:ascii="Avenir Next" w:hAnsi="Avenir Next"/>
          <w:highlight w:val="yellow"/>
          <w:lang w:val="en-US"/>
        </w:rPr>
      </w:pPr>
      <w:r w:rsidRPr="000677CE">
        <w:rPr>
          <w:rFonts w:ascii="Avenir Next" w:hAnsi="Avenir Next"/>
          <w:highlight w:val="yellow"/>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A500D9" w:rsidRDefault="00D479A8">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 xml:space="preserve">After a winding up </w:t>
      </w:r>
      <w:r w:rsidR="007B18AA" w:rsidRPr="00A500D9">
        <w:rPr>
          <w:rFonts w:ascii="Avenir Next" w:hAnsi="Avenir Next"/>
          <w:lang w:val="en-US"/>
        </w:rPr>
        <w:t>p</w:t>
      </w:r>
      <w:r w:rsidRPr="00A500D9">
        <w:rPr>
          <w:rFonts w:ascii="Avenir Next" w:hAnsi="Avenir Next"/>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pPr>
        <w:pStyle w:val="ListParagraph"/>
        <w:numPr>
          <w:ilvl w:val="1"/>
          <w:numId w:val="24"/>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Who may apply for the appointment of provisional liquidators to a corporate debtor</w:t>
      </w:r>
      <w:r w:rsidR="00CE5B90" w:rsidRPr="00A500D9">
        <w:t>?:</w:t>
      </w:r>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pPr>
        <w:pStyle w:val="ListParagraph"/>
        <w:numPr>
          <w:ilvl w:val="1"/>
          <w:numId w:val="23"/>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0677CE" w:rsidRDefault="00D479A8">
      <w:pPr>
        <w:pStyle w:val="ListParagraph"/>
        <w:numPr>
          <w:ilvl w:val="1"/>
          <w:numId w:val="23"/>
        </w:numPr>
        <w:spacing w:after="0" w:line="240" w:lineRule="auto"/>
        <w:ind w:left="709" w:hanging="709"/>
        <w:rPr>
          <w:rFonts w:ascii="Avenir Next" w:hAnsi="Avenir Next"/>
          <w:highlight w:val="yellow"/>
          <w:lang w:val="en-US"/>
        </w:rPr>
      </w:pPr>
      <w:r w:rsidRPr="000677CE">
        <w:rPr>
          <w:rFonts w:ascii="Avenir Next" w:hAnsi="Avenir Next"/>
          <w:highlight w:val="yellow"/>
          <w:lang w:val="en-US"/>
        </w:rPr>
        <w:t>All of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all of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EB7411" w:rsidRDefault="00EF6C95">
      <w:pPr>
        <w:pStyle w:val="ListParagraph"/>
        <w:numPr>
          <w:ilvl w:val="0"/>
          <w:numId w:val="9"/>
        </w:numPr>
        <w:spacing w:after="0" w:line="240" w:lineRule="auto"/>
        <w:ind w:left="709" w:hanging="709"/>
        <w:jc w:val="left"/>
        <w:rPr>
          <w:rFonts w:ascii="Avenir Next" w:hAnsi="Avenir Next"/>
          <w:highlight w:val="yellow"/>
          <w:lang w:val="en-GB"/>
        </w:rPr>
      </w:pPr>
      <w:r w:rsidRPr="00EB7411">
        <w:rPr>
          <w:rFonts w:ascii="Avenir Next" w:hAnsi="Avenir Next"/>
          <w:highlight w:val="yellow"/>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A500D9" w:rsidRDefault="00EF6C95">
      <w:pPr>
        <w:pStyle w:val="ListParagraph"/>
        <w:numPr>
          <w:ilvl w:val="0"/>
          <w:numId w:val="9"/>
        </w:numPr>
        <w:spacing w:after="0" w:line="240" w:lineRule="auto"/>
        <w:ind w:left="709" w:hanging="709"/>
        <w:jc w:val="left"/>
        <w:rPr>
          <w:rFonts w:ascii="Avenir Next" w:hAnsi="Avenir Next"/>
          <w:lang w:val="en-GB"/>
        </w:rPr>
      </w:pPr>
      <w:r w:rsidRPr="00A500D9">
        <w:rPr>
          <w:rFonts w:ascii="Avenir Next" w:hAnsi="Avenir Next"/>
          <w:lang w:val="en-GB"/>
        </w:rPr>
        <w:t xml:space="preserve">Must </w:t>
      </w:r>
      <w:r w:rsidR="00CE5B90" w:rsidRPr="00A500D9">
        <w:rPr>
          <w:rFonts w:ascii="Avenir Next" w:hAnsi="Avenir Next"/>
          <w:lang w:val="en-GB"/>
        </w:rPr>
        <w:t xml:space="preserve">provide a better outcome </w:t>
      </w:r>
      <w:r w:rsidRPr="00A500D9">
        <w:rPr>
          <w:rFonts w:ascii="Avenir Next" w:hAnsi="Avenir Next"/>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pPr>
        <w:pStyle w:val="BodyText"/>
        <w:widowControl/>
        <w:numPr>
          <w:ilvl w:val="0"/>
          <w:numId w:val="7"/>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EB7411" w:rsidRDefault="00470E19">
      <w:pPr>
        <w:pStyle w:val="BodyText"/>
        <w:widowControl/>
        <w:numPr>
          <w:ilvl w:val="0"/>
          <w:numId w:val="7"/>
        </w:numPr>
        <w:autoSpaceDE/>
        <w:autoSpaceDN/>
        <w:ind w:left="709" w:hanging="709"/>
        <w:rPr>
          <w:rFonts w:ascii="Avenir Next" w:hAnsi="Avenir Next"/>
          <w:highlight w:val="yellow"/>
        </w:rPr>
      </w:pPr>
      <w:r w:rsidRPr="00EB7411">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pPr>
        <w:pStyle w:val="BodyText"/>
        <w:widowControl/>
        <w:numPr>
          <w:ilvl w:val="0"/>
          <w:numId w:val="7"/>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pPr>
        <w:pStyle w:val="BodyText"/>
        <w:widowControl/>
        <w:numPr>
          <w:ilvl w:val="0"/>
          <w:numId w:val="7"/>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A500D9" w:rsidRDefault="00470E19">
      <w:pPr>
        <w:pStyle w:val="BodyText"/>
        <w:widowControl/>
        <w:numPr>
          <w:ilvl w:val="0"/>
          <w:numId w:val="8"/>
        </w:numPr>
        <w:autoSpaceDE/>
        <w:autoSpaceDN/>
        <w:ind w:left="709" w:hanging="709"/>
        <w:jc w:val="both"/>
        <w:rPr>
          <w:rFonts w:ascii="Avenir Next" w:hAnsi="Avenir Next"/>
        </w:rPr>
      </w:pPr>
      <w:r w:rsidRPr="00A500D9">
        <w:rPr>
          <w:rFonts w:ascii="Avenir Next" w:hAnsi="Avenir Next"/>
        </w:rPr>
        <w:t>The judgment was in respect of taxes, fines o</w:t>
      </w:r>
      <w:r w:rsidR="00C67220" w:rsidRPr="00A500D9">
        <w:rPr>
          <w:rFonts w:ascii="Avenir Next" w:hAnsi="Avenir Next"/>
        </w:rPr>
        <w:t>r</w:t>
      </w:r>
      <w:r w:rsidRPr="00A500D9">
        <w:rPr>
          <w:rFonts w:ascii="Avenir Next" w:hAnsi="Avenir Next"/>
        </w:rPr>
        <w:t xml:space="preserve"> penalties</w:t>
      </w:r>
      <w:r w:rsidR="009B0B28" w:rsidRPr="00A500D9">
        <w:rPr>
          <w:rFonts w:ascii="Avenir Next" w:hAnsi="Avenir Next"/>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EB7411" w:rsidRDefault="00470E19">
      <w:pPr>
        <w:pStyle w:val="BodyText"/>
        <w:widowControl/>
        <w:numPr>
          <w:ilvl w:val="0"/>
          <w:numId w:val="8"/>
        </w:numPr>
        <w:autoSpaceDE/>
        <w:autoSpaceDN/>
        <w:ind w:left="709" w:hanging="709"/>
        <w:jc w:val="both"/>
        <w:rPr>
          <w:rFonts w:ascii="Avenir Next" w:hAnsi="Avenir Next"/>
          <w:highlight w:val="yellow"/>
        </w:rPr>
      </w:pPr>
      <w:r w:rsidRPr="00EB7411">
        <w:rPr>
          <w:rFonts w:ascii="Avenir Next" w:hAnsi="Avenir Next"/>
          <w:highlight w:val="yellow"/>
        </w:rPr>
        <w:t>All of the above</w:t>
      </w:r>
      <w:r w:rsidR="009B0B28" w:rsidRPr="00EB7411">
        <w:rPr>
          <w:rFonts w:ascii="Avenir Next" w:hAnsi="Avenir Next"/>
          <w:highlight w:val="yellow"/>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lastRenderedPageBreak/>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A500D9">
        <w:rPr>
          <w:color w:val="212121"/>
          <w:lang w:eastAsia="en-GB"/>
        </w:rPr>
        <w:t>T</w:t>
      </w:r>
      <w:r w:rsidRPr="00A500D9">
        <w:rPr>
          <w:color w:val="212121"/>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A500D9">
        <w:rPr>
          <w:color w:val="212121"/>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7C191B">
        <w:rPr>
          <w:color w:val="212121"/>
          <w:highlight w:val="yellow"/>
          <w:lang w:eastAsia="en-GB"/>
        </w:rPr>
        <w:t>T</w:t>
      </w:r>
      <w:r w:rsidRPr="007C191B">
        <w:rPr>
          <w:color w:val="212121"/>
          <w:highlight w:val="yellow"/>
          <w:lang w:eastAsia="en-GB"/>
        </w:rPr>
        <w:t xml:space="preserve">hat execution issued outside the Islands against the debtor on any legal process for the obtaining payment of any sum of money has been levied by seizure and sale of his </w:t>
      </w:r>
      <w:r w:rsidR="00EF6C95" w:rsidRPr="007C191B">
        <w:rPr>
          <w:color w:val="212121"/>
          <w:highlight w:val="yellow"/>
          <w:lang w:eastAsia="en-GB"/>
        </w:rPr>
        <w:t>goods or</w:t>
      </w:r>
      <w:r w:rsidRPr="007C191B">
        <w:rPr>
          <w:color w:val="212121"/>
          <w:highlight w:val="yellow"/>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ages of any workman in respect of services rendered to the debtor during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00D9">
        <w:rPr>
          <w:color w:val="000000"/>
          <w:lang w:eastAsia="en-GB"/>
        </w:rPr>
        <w:t xml:space="preserve">(b) </w:t>
      </w:r>
      <w:r w:rsidR="006600FE" w:rsidRPr="00A500D9">
        <w:rPr>
          <w:color w:val="000000"/>
          <w:lang w:eastAsia="en-GB"/>
        </w:rPr>
        <w:tab/>
      </w:r>
      <w:r w:rsidR="006600FE" w:rsidRPr="002C2837">
        <w:rPr>
          <w:color w:val="000000"/>
          <w:highlight w:val="yellow"/>
          <w:lang w:eastAsia="en-GB"/>
        </w:rPr>
        <w:t>R</w:t>
      </w:r>
      <w:r w:rsidRPr="002C2837">
        <w:rPr>
          <w:color w:val="000000"/>
          <w:highlight w:val="yellow"/>
          <w:lang w:eastAsia="en-GB"/>
        </w:rPr>
        <w:t>ental payments due to the debtor’s landlord at the date of the provisional order</w:t>
      </w:r>
      <w:r w:rsidR="006600FE" w:rsidRPr="00A500D9">
        <w:rPr>
          <w:color w:val="000000"/>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alary of any servant in respect of services rendered to the debtor during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pPr>
        <w:pStyle w:val="BodyText"/>
        <w:numPr>
          <w:ilvl w:val="0"/>
          <w:numId w:val="25"/>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pPr>
        <w:pStyle w:val="BodyText"/>
        <w:numPr>
          <w:ilvl w:val="0"/>
          <w:numId w:val="25"/>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5D91E05B" w14:textId="77777777" w:rsidR="005B4D2F" w:rsidRDefault="005B4D2F"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Voluntary Liquidator</w:t>
      </w:r>
    </w:p>
    <w:p w14:paraId="2D3608AF" w14:textId="77777777" w:rsidR="005B4D2F" w:rsidRDefault="005B4D2F" w:rsidP="00137A41">
      <w:pPr>
        <w:pStyle w:val="BodyText"/>
        <w:ind w:firstLine="0"/>
        <w:rPr>
          <w:rFonts w:ascii="Avenir Next" w:hAnsi="Avenir Next"/>
          <w:color w:val="808080" w:themeColor="background1" w:themeShade="80"/>
        </w:rPr>
      </w:pPr>
    </w:p>
    <w:p w14:paraId="1DF99FC3" w14:textId="1E78DBE4" w:rsidR="005B4D2F" w:rsidRDefault="00A1338D"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In the first instance, the memorandum and articles of association should be re</w:t>
      </w:r>
      <w:r w:rsidR="004A6848">
        <w:rPr>
          <w:rFonts w:ascii="Avenir Next" w:hAnsi="Avenir Next"/>
          <w:color w:val="808080" w:themeColor="background1" w:themeShade="80"/>
        </w:rPr>
        <w:t>viewed to establish whether any persons have been designated as liquidator(s) in the event of a voluntary liquidation.</w:t>
      </w:r>
      <w:r w:rsidR="004960A8">
        <w:rPr>
          <w:rFonts w:ascii="Avenir Next" w:hAnsi="Avenir Next"/>
          <w:color w:val="808080" w:themeColor="background1" w:themeShade="80"/>
        </w:rPr>
        <w:t xml:space="preserve"> If such a person has been designated, then they are automatically appointed</w:t>
      </w:r>
      <w:r w:rsidR="00EE5B70">
        <w:rPr>
          <w:rFonts w:ascii="Avenir Next" w:hAnsi="Avenir Next"/>
          <w:color w:val="808080" w:themeColor="background1" w:themeShade="80"/>
        </w:rPr>
        <w:t xml:space="preserve"> from the date of the </w:t>
      </w:r>
      <w:r w:rsidR="00EE5B70">
        <w:rPr>
          <w:rFonts w:ascii="Avenir Next" w:hAnsi="Avenir Next"/>
          <w:color w:val="808080" w:themeColor="background1" w:themeShade="80"/>
        </w:rPr>
        <w:lastRenderedPageBreak/>
        <w:t xml:space="preserve">commencement of the winding up. </w:t>
      </w:r>
    </w:p>
    <w:p w14:paraId="1CFD56D4" w14:textId="77777777" w:rsidR="001A3DFE" w:rsidRDefault="001A3DFE" w:rsidP="00137A41">
      <w:pPr>
        <w:pStyle w:val="BodyText"/>
        <w:ind w:firstLine="0"/>
        <w:rPr>
          <w:rFonts w:ascii="Avenir Next" w:hAnsi="Avenir Next"/>
          <w:color w:val="808080" w:themeColor="background1" w:themeShade="80"/>
        </w:rPr>
      </w:pPr>
    </w:p>
    <w:p w14:paraId="60E3CDFA" w14:textId="00B82A55" w:rsidR="001A3DFE" w:rsidRDefault="001A3DF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Where the liquidation is voluntary, there are no requirements as to the qualifications of the liquidator </w:t>
      </w:r>
      <w:r w:rsidR="00FB7CEE">
        <w:rPr>
          <w:rFonts w:ascii="Avenir Next" w:hAnsi="Avenir Next"/>
          <w:color w:val="808080" w:themeColor="background1" w:themeShade="80"/>
        </w:rPr>
        <w:t>and so, the US based practitioner may act as the voluntary liquidat</w:t>
      </w:r>
      <w:r w:rsidR="007B0475">
        <w:rPr>
          <w:rFonts w:ascii="Avenir Next" w:hAnsi="Avenir Next"/>
          <w:color w:val="808080" w:themeColor="background1" w:themeShade="80"/>
        </w:rPr>
        <w:t>or</w:t>
      </w:r>
      <w:r w:rsidR="00502FF8">
        <w:rPr>
          <w:rFonts w:ascii="Avenir Next" w:hAnsi="Avenir Next"/>
          <w:color w:val="808080" w:themeColor="background1" w:themeShade="80"/>
        </w:rPr>
        <w:t>, pursuant to section 120 of the Companies Act</w:t>
      </w:r>
      <w:r w:rsidR="00141A21">
        <w:rPr>
          <w:rFonts w:ascii="Avenir Next" w:hAnsi="Avenir Next"/>
          <w:color w:val="808080" w:themeColor="background1" w:themeShade="80"/>
        </w:rPr>
        <w:t xml:space="preserve"> (2023 Revision) (the “Companies Act”)</w:t>
      </w:r>
      <w:r w:rsidR="007B0475">
        <w:rPr>
          <w:rFonts w:ascii="Avenir Next" w:hAnsi="Avenir Next"/>
          <w:color w:val="808080" w:themeColor="background1" w:themeShade="80"/>
        </w:rPr>
        <w:t xml:space="preserve">. </w:t>
      </w:r>
    </w:p>
    <w:p w14:paraId="496C13BA" w14:textId="77777777" w:rsidR="0044683D" w:rsidRDefault="0044683D" w:rsidP="00137A41">
      <w:pPr>
        <w:pStyle w:val="BodyText"/>
        <w:ind w:firstLine="0"/>
        <w:rPr>
          <w:rFonts w:ascii="Avenir Next" w:hAnsi="Avenir Next"/>
          <w:color w:val="808080" w:themeColor="background1" w:themeShade="80"/>
        </w:rPr>
      </w:pPr>
    </w:p>
    <w:p w14:paraId="2AECB7DC" w14:textId="39D92290" w:rsidR="005B4D2F" w:rsidRDefault="00D0318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Joint Official Liquidator</w:t>
      </w:r>
    </w:p>
    <w:p w14:paraId="2A16D67F" w14:textId="77777777" w:rsidR="00D03182" w:rsidRDefault="00D03182" w:rsidP="00137A41">
      <w:pPr>
        <w:pStyle w:val="BodyText"/>
        <w:ind w:firstLine="0"/>
        <w:rPr>
          <w:rFonts w:ascii="Avenir Next" w:hAnsi="Avenir Next"/>
          <w:color w:val="808080" w:themeColor="background1" w:themeShade="80"/>
        </w:rPr>
      </w:pPr>
    </w:p>
    <w:p w14:paraId="5B3423B9" w14:textId="5FA4A9DE" w:rsidR="00CB27A1" w:rsidRDefault="00D03182"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108(1) </w:t>
      </w:r>
      <w:r w:rsidR="006D0A60">
        <w:rPr>
          <w:rFonts w:ascii="Avenir Next" w:hAnsi="Avenir Next"/>
          <w:color w:val="808080" w:themeColor="background1" w:themeShade="80"/>
        </w:rPr>
        <w:t>of the Companies Act allows</w:t>
      </w:r>
      <w:r>
        <w:rPr>
          <w:rFonts w:ascii="Avenir Next" w:hAnsi="Avenir Next"/>
          <w:color w:val="808080" w:themeColor="background1" w:themeShade="80"/>
        </w:rPr>
        <w:t xml:space="preserve"> </w:t>
      </w:r>
      <w:r w:rsidR="006D0A60">
        <w:rPr>
          <w:rFonts w:ascii="Avenir Next" w:hAnsi="Avenir Next"/>
          <w:color w:val="808080" w:themeColor="background1" w:themeShade="80"/>
        </w:rPr>
        <w:t xml:space="preserve">a </w:t>
      </w:r>
      <w:r w:rsidR="00186645">
        <w:rPr>
          <w:rFonts w:ascii="Avenir Next" w:hAnsi="Avenir Next"/>
          <w:color w:val="808080" w:themeColor="background1" w:themeShade="80"/>
        </w:rPr>
        <w:t>foreign based insolvency practitioner</w:t>
      </w:r>
      <w:r w:rsidR="006D0A60">
        <w:rPr>
          <w:rFonts w:ascii="Avenir Next" w:hAnsi="Avenir Next"/>
          <w:color w:val="808080" w:themeColor="background1" w:themeShade="80"/>
        </w:rPr>
        <w:t xml:space="preserve"> to</w:t>
      </w:r>
      <w:r w:rsidR="00186645">
        <w:rPr>
          <w:rFonts w:ascii="Avenir Next" w:hAnsi="Avenir Next"/>
          <w:color w:val="808080" w:themeColor="background1" w:themeShade="80"/>
        </w:rPr>
        <w:t xml:space="preserve"> may act</w:t>
      </w:r>
      <w:r w:rsidR="006D0A60">
        <w:rPr>
          <w:rFonts w:ascii="Avenir Next" w:hAnsi="Avenir Next"/>
          <w:color w:val="808080" w:themeColor="background1" w:themeShade="80"/>
        </w:rPr>
        <w:t xml:space="preserve"> as a Joint Official Liquidator</w:t>
      </w:r>
      <w:r w:rsidR="00186645">
        <w:rPr>
          <w:rFonts w:ascii="Avenir Next" w:hAnsi="Avenir Next"/>
          <w:color w:val="808080" w:themeColor="background1" w:themeShade="80"/>
        </w:rPr>
        <w:t xml:space="preserve">, but only where they are jointly appointed with </w:t>
      </w:r>
      <w:r w:rsidR="002748ED">
        <w:rPr>
          <w:rFonts w:ascii="Avenir Next" w:hAnsi="Avenir Next"/>
          <w:color w:val="808080" w:themeColor="background1" w:themeShade="80"/>
        </w:rPr>
        <w:t xml:space="preserve">a qualified </w:t>
      </w:r>
      <w:r w:rsidR="003260B9">
        <w:rPr>
          <w:rFonts w:ascii="Avenir Next" w:hAnsi="Avenir Next"/>
          <w:color w:val="808080" w:themeColor="background1" w:themeShade="80"/>
        </w:rPr>
        <w:t xml:space="preserve">Cayman Islands </w:t>
      </w:r>
      <w:r w:rsidR="002748ED">
        <w:rPr>
          <w:rFonts w:ascii="Avenir Next" w:hAnsi="Avenir Next"/>
          <w:color w:val="808080" w:themeColor="background1" w:themeShade="80"/>
        </w:rPr>
        <w:t>insolvency practitioner</w:t>
      </w:r>
      <w:r w:rsidR="00CB27A1">
        <w:rPr>
          <w:rFonts w:ascii="Avenir Next" w:hAnsi="Avenir Next"/>
          <w:color w:val="808080" w:themeColor="background1" w:themeShade="80"/>
        </w:rPr>
        <w:t>.</w:t>
      </w:r>
    </w:p>
    <w:p w14:paraId="6393140E" w14:textId="77777777" w:rsidR="003260B9" w:rsidRDefault="003260B9" w:rsidP="00137A41">
      <w:pPr>
        <w:pStyle w:val="BodyText"/>
        <w:ind w:firstLine="0"/>
        <w:rPr>
          <w:rFonts w:ascii="Avenir Next" w:hAnsi="Avenir Next"/>
          <w:color w:val="808080" w:themeColor="background1" w:themeShade="80"/>
        </w:rPr>
      </w:pPr>
    </w:p>
    <w:p w14:paraId="13603BCF" w14:textId="7B6A6C8E" w:rsidR="00CB27A1" w:rsidRDefault="00CB27A1"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US</w:t>
      </w:r>
      <w:r w:rsidR="00604C5F">
        <w:rPr>
          <w:rFonts w:ascii="Avenir Next" w:hAnsi="Avenir Next"/>
          <w:color w:val="808080" w:themeColor="background1" w:themeShade="80"/>
        </w:rPr>
        <w:t xml:space="preserve"> Feeder must be satisfied that the US based insolvency practitioner </w:t>
      </w:r>
      <w:r w:rsidR="00324B7E">
        <w:rPr>
          <w:rFonts w:ascii="Avenir Next" w:hAnsi="Avenir Next"/>
          <w:color w:val="808080" w:themeColor="background1" w:themeShade="80"/>
        </w:rPr>
        <w:t>is suitably qualified under US law</w:t>
      </w:r>
      <w:r w:rsidR="004C1D08">
        <w:rPr>
          <w:rFonts w:ascii="Avenir Next" w:hAnsi="Avenir Next"/>
          <w:color w:val="808080" w:themeColor="background1" w:themeShade="80"/>
        </w:rPr>
        <w:t xml:space="preserve"> and meets the independence and insurance requirements of the Cayman based </w:t>
      </w:r>
      <w:r w:rsidR="004F21D4">
        <w:rPr>
          <w:rFonts w:ascii="Avenir Next" w:hAnsi="Avenir Next"/>
          <w:color w:val="808080" w:themeColor="background1" w:themeShade="80"/>
        </w:rPr>
        <w:t>practitioner.</w:t>
      </w:r>
    </w:p>
    <w:p w14:paraId="41448930" w14:textId="77777777" w:rsidR="00CB27A1" w:rsidRDefault="00CB27A1" w:rsidP="00137A41">
      <w:pPr>
        <w:pStyle w:val="BodyText"/>
        <w:ind w:firstLine="0"/>
        <w:rPr>
          <w:rFonts w:ascii="Avenir Next" w:hAnsi="Avenir Next"/>
          <w:color w:val="808080" w:themeColor="background1" w:themeShade="80"/>
        </w:rPr>
      </w:pPr>
    </w:p>
    <w:p w14:paraId="3F713F8B" w14:textId="2A01711F" w:rsidR="00455F9E" w:rsidRPr="00486A0B" w:rsidRDefault="00455F9E" w:rsidP="00137A41">
      <w:pPr>
        <w:pStyle w:val="BodyText"/>
        <w:ind w:firstLine="0"/>
        <w:rPr>
          <w:rFonts w:ascii="Avenir Next" w:hAnsi="Avenir Next"/>
          <w:b/>
          <w:bCs/>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the investment manager, Panamanian directors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pPr>
        <w:pStyle w:val="BodyText"/>
        <w:widowControl/>
        <w:numPr>
          <w:ilvl w:val="0"/>
          <w:numId w:val="26"/>
        </w:numPr>
        <w:autoSpaceDE/>
        <w:autoSpaceDN/>
        <w:ind w:left="426"/>
        <w:jc w:val="both"/>
        <w:rPr>
          <w:rFonts w:ascii="Avenir Next" w:hAnsi="Avenir Next"/>
        </w:rPr>
      </w:pPr>
      <w:r w:rsidRPr="00E26B0D">
        <w:rPr>
          <w:rFonts w:ascii="Avenir Next" w:hAnsi="Avenir Next"/>
        </w:rPr>
        <w:t>The types of litigation funding arrangements permitted in Cayman;</w:t>
      </w:r>
    </w:p>
    <w:p w14:paraId="5302215E" w14:textId="0161F366" w:rsidR="00E26B0D" w:rsidRPr="00E26B0D" w:rsidRDefault="00E26B0D">
      <w:pPr>
        <w:pStyle w:val="BodyText"/>
        <w:widowControl/>
        <w:numPr>
          <w:ilvl w:val="0"/>
          <w:numId w:val="26"/>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a contingency fee agreement;</w:t>
      </w:r>
    </w:p>
    <w:p w14:paraId="13C6F921" w14:textId="77777777" w:rsidR="00E26B0D" w:rsidRPr="00E26B0D" w:rsidRDefault="00E26B0D">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success fees are permitted under a conditional fee arrangement;</w:t>
      </w:r>
    </w:p>
    <w:p w14:paraId="535022A1" w14:textId="77777777" w:rsidR="00E26B0D" w:rsidRPr="00E26B0D" w:rsidRDefault="00E26B0D">
      <w:pPr>
        <w:pStyle w:val="BodyText"/>
        <w:widowControl/>
        <w:numPr>
          <w:ilvl w:val="0"/>
          <w:numId w:val="26"/>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pPr>
        <w:pStyle w:val="BodyText"/>
        <w:widowControl/>
        <w:numPr>
          <w:ilvl w:val="0"/>
          <w:numId w:val="26"/>
        </w:numPr>
        <w:tabs>
          <w:tab w:val="right" w:pos="9021"/>
        </w:tabs>
        <w:autoSpaceDE/>
        <w:autoSpaceDN/>
        <w:ind w:left="426"/>
        <w:jc w:val="both"/>
        <w:rPr>
          <w:rFonts w:ascii="Avenir Next" w:hAnsi="Avenir Next"/>
        </w:rPr>
      </w:pPr>
      <w:r w:rsidRPr="00E26B0D">
        <w:rPr>
          <w:rFonts w:ascii="Avenir Next" w:hAnsi="Avenir Next"/>
        </w:rPr>
        <w:t>What practical information you think a potential litigation funder will need in order to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628062F2" w14:textId="727D35CF" w:rsidR="00455F9E" w:rsidRDefault="00E7371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S</w:t>
      </w:r>
      <w:r w:rsidR="00423E49">
        <w:rPr>
          <w:rFonts w:ascii="Avenir Next" w:hAnsi="Avenir Next"/>
          <w:color w:val="808080" w:themeColor="background1" w:themeShade="80"/>
        </w:rPr>
        <w:t>ince the enactment of the Private Funding of Legal Services Act 2020 (</w:t>
      </w:r>
      <w:r w:rsidR="00272F5C">
        <w:rPr>
          <w:rFonts w:ascii="Avenir Next" w:hAnsi="Avenir Next"/>
          <w:color w:val="808080" w:themeColor="background1" w:themeShade="80"/>
        </w:rPr>
        <w:t>“PFLSA”</w:t>
      </w:r>
      <w:r w:rsidR="00423E49">
        <w:rPr>
          <w:rFonts w:ascii="Avenir Next" w:hAnsi="Avenir Next"/>
          <w:color w:val="808080" w:themeColor="background1" w:themeShade="80"/>
        </w:rPr>
        <w:t>)</w:t>
      </w:r>
      <w:r w:rsidR="00272F5C">
        <w:rPr>
          <w:rFonts w:ascii="Avenir Next" w:hAnsi="Avenir Next"/>
          <w:color w:val="808080" w:themeColor="background1" w:themeShade="80"/>
        </w:rPr>
        <w:t xml:space="preserve"> in May 2021, the following types of arrangements are now permitted in the Cayman Islands:</w:t>
      </w:r>
    </w:p>
    <w:p w14:paraId="531EA19F" w14:textId="3D9E8484" w:rsidR="00272F5C" w:rsidRDefault="00272F5C">
      <w:pPr>
        <w:pStyle w:val="BodyText"/>
        <w:numPr>
          <w:ilvl w:val="0"/>
          <w:numId w:val="27"/>
        </w:numPr>
        <w:rPr>
          <w:rFonts w:ascii="Avenir Next" w:hAnsi="Avenir Next"/>
          <w:b/>
          <w:bCs/>
        </w:rPr>
      </w:pPr>
      <w:r>
        <w:rPr>
          <w:rFonts w:ascii="Avenir Next" w:hAnsi="Avenir Next"/>
          <w:color w:val="808080" w:themeColor="background1" w:themeShade="80"/>
        </w:rPr>
        <w:t>Third party funding agreements</w:t>
      </w:r>
      <w:r w:rsidR="0081235E">
        <w:rPr>
          <w:rFonts w:ascii="Avenir Next" w:hAnsi="Avenir Next"/>
          <w:color w:val="808080" w:themeColor="background1" w:themeShade="80"/>
        </w:rPr>
        <w:t xml:space="preserve"> </w:t>
      </w:r>
    </w:p>
    <w:p w14:paraId="327F224D" w14:textId="093481D9" w:rsidR="0081235E" w:rsidRPr="00E7319C" w:rsidRDefault="0081235E">
      <w:pPr>
        <w:pStyle w:val="BodyText"/>
        <w:numPr>
          <w:ilvl w:val="0"/>
          <w:numId w:val="27"/>
        </w:numPr>
        <w:rPr>
          <w:rFonts w:ascii="Avenir Next" w:hAnsi="Avenir Next"/>
          <w:color w:val="808080" w:themeColor="background1" w:themeShade="80"/>
        </w:rPr>
      </w:pPr>
      <w:r w:rsidRPr="00E7319C">
        <w:rPr>
          <w:rFonts w:ascii="Avenir Next" w:hAnsi="Avenir Next"/>
          <w:color w:val="808080" w:themeColor="background1" w:themeShade="80"/>
        </w:rPr>
        <w:t>Conditional fee</w:t>
      </w:r>
      <w:r w:rsidR="00E7319C" w:rsidRPr="00E7319C">
        <w:rPr>
          <w:rFonts w:ascii="Avenir Next" w:hAnsi="Avenir Next"/>
          <w:color w:val="808080" w:themeColor="background1" w:themeShade="80"/>
        </w:rPr>
        <w:t xml:space="preserve"> agreements</w:t>
      </w:r>
    </w:p>
    <w:p w14:paraId="6C7A72CF" w14:textId="4AAA36DF" w:rsidR="00E7319C" w:rsidRDefault="00E7319C">
      <w:pPr>
        <w:pStyle w:val="BodyText"/>
        <w:numPr>
          <w:ilvl w:val="0"/>
          <w:numId w:val="27"/>
        </w:numPr>
        <w:rPr>
          <w:rFonts w:ascii="Avenir Next" w:hAnsi="Avenir Next"/>
          <w:color w:val="808080" w:themeColor="background1" w:themeShade="80"/>
        </w:rPr>
      </w:pPr>
      <w:r w:rsidRPr="00E7319C">
        <w:rPr>
          <w:rFonts w:ascii="Avenir Next" w:hAnsi="Avenir Next"/>
          <w:color w:val="808080" w:themeColor="background1" w:themeShade="80"/>
        </w:rPr>
        <w:t>Contingency fee agreements</w:t>
      </w:r>
    </w:p>
    <w:p w14:paraId="51DD8559" w14:textId="77777777" w:rsidR="001C2016" w:rsidRDefault="001C2016" w:rsidP="001C2016">
      <w:pPr>
        <w:pStyle w:val="BodyText"/>
        <w:ind w:firstLine="0"/>
        <w:rPr>
          <w:rFonts w:ascii="Avenir Next" w:hAnsi="Avenir Next"/>
          <w:color w:val="808080" w:themeColor="background1" w:themeShade="80"/>
        </w:rPr>
      </w:pPr>
    </w:p>
    <w:p w14:paraId="4E44FFB8" w14:textId="77777777" w:rsidR="00BF2FE7" w:rsidRDefault="00E326A0" w:rsidP="001C201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 conditional fee agreement, the lawyers agree that they </w:t>
      </w:r>
      <w:r w:rsidR="005F6280">
        <w:rPr>
          <w:rFonts w:ascii="Avenir Next" w:hAnsi="Avenir Next"/>
          <w:color w:val="808080" w:themeColor="background1" w:themeShade="80"/>
        </w:rPr>
        <w:t>will be paid an hourly rate for the</w:t>
      </w:r>
      <w:r w:rsidR="009B52EC">
        <w:rPr>
          <w:rFonts w:ascii="Avenir Next" w:hAnsi="Avenir Next"/>
          <w:color w:val="808080" w:themeColor="background1" w:themeShade="80"/>
        </w:rPr>
        <w:t>ir time worked on the</w:t>
      </w:r>
      <w:r w:rsidR="005F6280">
        <w:rPr>
          <w:rFonts w:ascii="Avenir Next" w:hAnsi="Avenir Next"/>
          <w:color w:val="808080" w:themeColor="background1" w:themeShade="80"/>
        </w:rPr>
        <w:t xml:space="preserve"> case, but only in circumstances where the claim is successful.</w:t>
      </w:r>
      <w:r w:rsidR="00896887">
        <w:rPr>
          <w:rFonts w:ascii="Avenir Next" w:hAnsi="Avenir Next"/>
          <w:color w:val="808080" w:themeColor="background1" w:themeShade="80"/>
        </w:rPr>
        <w:t xml:space="preserve"> If that is the case, the lawyers will recover </w:t>
      </w:r>
      <w:r w:rsidR="00BF2FE7">
        <w:rPr>
          <w:rFonts w:ascii="Avenir Next" w:hAnsi="Avenir Next"/>
          <w:color w:val="808080" w:themeColor="background1" w:themeShade="80"/>
        </w:rPr>
        <w:t xml:space="preserve">up to </w:t>
      </w:r>
      <w:r w:rsidR="00896887">
        <w:rPr>
          <w:rFonts w:ascii="Avenir Next" w:hAnsi="Avenir Next"/>
          <w:color w:val="808080" w:themeColor="background1" w:themeShade="80"/>
        </w:rPr>
        <w:t xml:space="preserve">100% of </w:t>
      </w:r>
      <w:r w:rsidR="00BF2FE7">
        <w:rPr>
          <w:rFonts w:ascii="Avenir Next" w:hAnsi="Avenir Next"/>
          <w:color w:val="808080" w:themeColor="background1" w:themeShade="80"/>
        </w:rPr>
        <w:t xml:space="preserve">their hourly rate. </w:t>
      </w:r>
      <w:r w:rsidR="005F6280">
        <w:rPr>
          <w:rFonts w:ascii="Avenir Next" w:hAnsi="Avenir Next"/>
          <w:color w:val="808080" w:themeColor="background1" w:themeShade="80"/>
        </w:rPr>
        <w:t xml:space="preserve">If the claim is unsuccessful, then no legal fees are payable. </w:t>
      </w:r>
    </w:p>
    <w:p w14:paraId="20A36359" w14:textId="77777777" w:rsidR="00BF2FE7" w:rsidRDefault="00BF2FE7" w:rsidP="001C2016">
      <w:pPr>
        <w:pStyle w:val="BodyText"/>
        <w:ind w:firstLine="0"/>
        <w:rPr>
          <w:rFonts w:ascii="Avenir Next" w:hAnsi="Avenir Next"/>
          <w:color w:val="808080" w:themeColor="background1" w:themeShade="80"/>
        </w:rPr>
      </w:pPr>
    </w:p>
    <w:p w14:paraId="18497BC0" w14:textId="77777777" w:rsidR="009B6474" w:rsidRDefault="009E1287" w:rsidP="001C2016">
      <w:pPr>
        <w:pStyle w:val="BodyText"/>
        <w:ind w:firstLine="0"/>
        <w:rPr>
          <w:rFonts w:ascii="Avenir Next" w:hAnsi="Avenir Next"/>
          <w:color w:val="808080" w:themeColor="background1" w:themeShade="80"/>
        </w:rPr>
      </w:pPr>
      <w:r>
        <w:rPr>
          <w:rFonts w:ascii="Avenir Next" w:hAnsi="Avenir Next"/>
          <w:color w:val="808080" w:themeColor="background1" w:themeShade="80"/>
        </w:rPr>
        <w:t>In contrast, under a contingency fee agreement</w:t>
      </w:r>
      <w:r w:rsidR="00533BB5">
        <w:rPr>
          <w:rFonts w:ascii="Avenir Next" w:hAnsi="Avenir Next"/>
          <w:color w:val="808080" w:themeColor="background1" w:themeShade="80"/>
        </w:rPr>
        <w:t xml:space="preserve">, the legal fees recoverable are </w:t>
      </w:r>
      <w:r w:rsidR="00FB6ED3">
        <w:rPr>
          <w:rFonts w:ascii="Avenir Next" w:hAnsi="Avenir Next"/>
          <w:color w:val="808080" w:themeColor="background1" w:themeShade="80"/>
        </w:rPr>
        <w:t>dependent</w:t>
      </w:r>
      <w:r w:rsidR="00533BB5">
        <w:rPr>
          <w:rFonts w:ascii="Avenir Next" w:hAnsi="Avenir Next"/>
          <w:color w:val="808080" w:themeColor="background1" w:themeShade="80"/>
        </w:rPr>
        <w:t xml:space="preserve"> on the </w:t>
      </w:r>
      <w:r w:rsidR="00533BB5">
        <w:rPr>
          <w:rFonts w:ascii="Avenir Next" w:hAnsi="Avenir Next"/>
          <w:color w:val="808080" w:themeColor="background1" w:themeShade="80"/>
        </w:rPr>
        <w:lastRenderedPageBreak/>
        <w:t>amount recovered in a successful claim, up to a maximum of 33.3% of the total award.</w:t>
      </w:r>
      <w:r w:rsidR="00FB6ED3">
        <w:rPr>
          <w:rFonts w:ascii="Avenir Next" w:hAnsi="Avenir Next"/>
          <w:color w:val="808080" w:themeColor="background1" w:themeShade="80"/>
        </w:rPr>
        <w:t xml:space="preserve"> Again, if the claim is unsuccessful, the lawyers do not recover their costs</w:t>
      </w:r>
      <w:r w:rsidR="002A61DF">
        <w:rPr>
          <w:rFonts w:ascii="Avenir Next" w:hAnsi="Avenir Next"/>
          <w:color w:val="808080" w:themeColor="background1" w:themeShade="80"/>
        </w:rPr>
        <w:t>, but subject to the overall value of the claim, this option could be more lucrative</w:t>
      </w:r>
      <w:r w:rsidR="00240F27">
        <w:rPr>
          <w:rFonts w:ascii="Avenir Next" w:hAnsi="Avenir Next"/>
          <w:color w:val="808080" w:themeColor="background1" w:themeShade="80"/>
        </w:rPr>
        <w:t xml:space="preserve"> to lawyers and the LC should be cognizant that the apportionment could outweigh th</w:t>
      </w:r>
      <w:r w:rsidR="00113D8C">
        <w:rPr>
          <w:rFonts w:ascii="Avenir Next" w:hAnsi="Avenir Next"/>
          <w:color w:val="808080" w:themeColor="background1" w:themeShade="80"/>
        </w:rPr>
        <w:t>e legal costs incurred on an hourly rate basis</w:t>
      </w:r>
      <w:r w:rsidR="002A61DF">
        <w:rPr>
          <w:rFonts w:ascii="Avenir Next" w:hAnsi="Avenir Next"/>
          <w:color w:val="808080" w:themeColor="background1" w:themeShade="80"/>
        </w:rPr>
        <w:t xml:space="preserve">. </w:t>
      </w:r>
    </w:p>
    <w:p w14:paraId="375AEDB8" w14:textId="77777777" w:rsidR="009B6474" w:rsidRDefault="009B6474" w:rsidP="001C2016">
      <w:pPr>
        <w:pStyle w:val="BodyText"/>
        <w:ind w:firstLine="0"/>
        <w:rPr>
          <w:rFonts w:ascii="Avenir Next" w:hAnsi="Avenir Next"/>
          <w:color w:val="808080" w:themeColor="background1" w:themeShade="80"/>
        </w:rPr>
      </w:pPr>
    </w:p>
    <w:p w14:paraId="649E7D9A" w14:textId="4A556570" w:rsidR="001C2016" w:rsidRDefault="002A61DF" w:rsidP="001C201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order to enter into </w:t>
      </w:r>
      <w:r w:rsidR="009B6474">
        <w:rPr>
          <w:rFonts w:ascii="Avenir Next" w:hAnsi="Avenir Next"/>
          <w:color w:val="808080" w:themeColor="background1" w:themeShade="80"/>
        </w:rPr>
        <w:t xml:space="preserve">either </w:t>
      </w:r>
      <w:r w:rsidR="008D0181">
        <w:rPr>
          <w:rFonts w:ascii="Avenir Next" w:hAnsi="Avenir Next"/>
          <w:color w:val="808080" w:themeColor="background1" w:themeShade="80"/>
        </w:rPr>
        <w:t>funding</w:t>
      </w:r>
      <w:r>
        <w:rPr>
          <w:rFonts w:ascii="Avenir Next" w:hAnsi="Avenir Next"/>
          <w:color w:val="808080" w:themeColor="background1" w:themeShade="80"/>
        </w:rPr>
        <w:t xml:space="preserve"> fee agreement, </w:t>
      </w:r>
      <w:r w:rsidR="00A7513E">
        <w:rPr>
          <w:rFonts w:ascii="Avenir Next" w:hAnsi="Avenir Next"/>
          <w:color w:val="808080" w:themeColor="background1" w:themeShade="80"/>
        </w:rPr>
        <w:t xml:space="preserve">the LC will need to seek approval by the court </w:t>
      </w:r>
      <w:r w:rsidR="006949A1">
        <w:rPr>
          <w:rFonts w:ascii="Avenir Next" w:hAnsi="Avenir Next"/>
          <w:color w:val="808080" w:themeColor="background1" w:themeShade="80"/>
        </w:rPr>
        <w:t>so the LC will need to consider the commerciality of both arrangements</w:t>
      </w:r>
      <w:r w:rsidR="00C601AA">
        <w:rPr>
          <w:rFonts w:ascii="Avenir Next" w:hAnsi="Avenir Next"/>
          <w:color w:val="808080" w:themeColor="background1" w:themeShade="80"/>
        </w:rPr>
        <w:t xml:space="preserve">, particularly in light of the merits of the case. </w:t>
      </w:r>
    </w:p>
    <w:p w14:paraId="0CEF3729" w14:textId="77777777" w:rsidR="00AA4263" w:rsidRDefault="00AA4263" w:rsidP="001C2016">
      <w:pPr>
        <w:pStyle w:val="BodyText"/>
        <w:ind w:firstLine="0"/>
        <w:rPr>
          <w:rFonts w:ascii="Avenir Next" w:hAnsi="Avenir Next"/>
          <w:color w:val="808080" w:themeColor="background1" w:themeShade="80"/>
        </w:rPr>
      </w:pPr>
    </w:p>
    <w:p w14:paraId="0C784380" w14:textId="12A61FE2" w:rsidR="00AA4263" w:rsidRDefault="00B44B30" w:rsidP="001C2016">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respect of the information required by any potential funder, </w:t>
      </w:r>
      <w:r w:rsidR="009A237C">
        <w:rPr>
          <w:rFonts w:ascii="Avenir Next" w:hAnsi="Avenir Next"/>
          <w:color w:val="808080" w:themeColor="background1" w:themeShade="80"/>
        </w:rPr>
        <w:t>the LC will need to provide all documentation evidencing the claim</w:t>
      </w:r>
      <w:r w:rsidR="00503680">
        <w:rPr>
          <w:rFonts w:ascii="Avenir Next" w:hAnsi="Avenir Next"/>
          <w:color w:val="808080" w:themeColor="background1" w:themeShade="80"/>
        </w:rPr>
        <w:t xml:space="preserve">, to include </w:t>
      </w:r>
      <w:r w:rsidR="00794B30">
        <w:rPr>
          <w:rFonts w:ascii="Avenir Next" w:hAnsi="Avenir Next"/>
          <w:color w:val="808080" w:themeColor="background1" w:themeShade="80"/>
        </w:rPr>
        <w:t xml:space="preserve">all accounts, letters of </w:t>
      </w:r>
      <w:r w:rsidR="00742407">
        <w:rPr>
          <w:rFonts w:ascii="Avenir Next" w:hAnsi="Avenir Next"/>
          <w:color w:val="808080" w:themeColor="background1" w:themeShade="80"/>
        </w:rPr>
        <w:t>engagement, valuations</w:t>
      </w:r>
      <w:r w:rsidR="00502BDF">
        <w:rPr>
          <w:rFonts w:ascii="Avenir Next" w:hAnsi="Avenir Next"/>
          <w:color w:val="808080" w:themeColor="background1" w:themeShade="80"/>
        </w:rPr>
        <w:t xml:space="preserve"> and any expert reports, </w:t>
      </w:r>
      <w:r w:rsidR="00B32571">
        <w:rPr>
          <w:rFonts w:ascii="Avenir Next" w:hAnsi="Avenir Next"/>
          <w:color w:val="808080" w:themeColor="background1" w:themeShade="80"/>
        </w:rPr>
        <w:t xml:space="preserve">to establish the merits of the case. The merits will then have to be weighed against the cost of the </w:t>
      </w:r>
      <w:r w:rsidR="00503680">
        <w:rPr>
          <w:rFonts w:ascii="Avenir Next" w:hAnsi="Avenir Next"/>
          <w:color w:val="808080" w:themeColor="background1" w:themeShade="80"/>
        </w:rPr>
        <w:t xml:space="preserve">litigation and the risks. </w:t>
      </w:r>
    </w:p>
    <w:p w14:paraId="70782741" w14:textId="77777777" w:rsidR="00590961" w:rsidRDefault="00590961" w:rsidP="001C2016">
      <w:pPr>
        <w:pStyle w:val="BodyText"/>
        <w:ind w:firstLine="0"/>
        <w:rPr>
          <w:rFonts w:ascii="Avenir Next" w:hAnsi="Avenir Next"/>
          <w:color w:val="808080" w:themeColor="background1" w:themeShade="80"/>
        </w:rPr>
      </w:pP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61B938A3" w14:textId="591275A9" w:rsidR="00132C2D" w:rsidRDefault="00BC3209"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Given the difficulties experienced with the Pana</w:t>
      </w:r>
      <w:r w:rsidR="00A54C0C">
        <w:rPr>
          <w:rFonts w:ascii="Avenir Next" w:hAnsi="Avenir Next"/>
          <w:color w:val="808080" w:themeColor="background1" w:themeShade="80"/>
        </w:rPr>
        <w:t xml:space="preserve">ma based director, it would be prudent to also apply for the appointment of a receiver, together with the freezing injunction. </w:t>
      </w:r>
      <w:r w:rsidR="00B458EC">
        <w:rPr>
          <w:rFonts w:ascii="Avenir Next" w:hAnsi="Avenir Next"/>
          <w:color w:val="808080" w:themeColor="background1" w:themeShade="80"/>
        </w:rPr>
        <w:t>In circumstances where the director has ceased communications with the liquidator</w:t>
      </w:r>
      <w:r w:rsidR="00F40DCE">
        <w:rPr>
          <w:rFonts w:ascii="Avenir Next" w:hAnsi="Avenir Next"/>
          <w:color w:val="808080" w:themeColor="background1" w:themeShade="80"/>
        </w:rPr>
        <w:t xml:space="preserve"> and proper books and records have not been provided, it would appear there is a genuine risk that the director will not cooperate with the </w:t>
      </w:r>
      <w:r w:rsidR="00D43D4A">
        <w:rPr>
          <w:rFonts w:ascii="Avenir Next" w:hAnsi="Avenir Next"/>
          <w:color w:val="808080" w:themeColor="background1" w:themeShade="80"/>
        </w:rPr>
        <w:t xml:space="preserve">freezing injunction. In that case, as per the criteria discussed in </w:t>
      </w:r>
      <w:r w:rsidR="00D43D4A">
        <w:rPr>
          <w:rFonts w:ascii="Avenir Next" w:hAnsi="Avenir Next"/>
          <w:i/>
          <w:iCs/>
          <w:color w:val="808080" w:themeColor="background1" w:themeShade="80"/>
        </w:rPr>
        <w:t xml:space="preserve">JSC BTA Bank v </w:t>
      </w:r>
      <w:proofErr w:type="spellStart"/>
      <w:r w:rsidR="00D43D4A">
        <w:rPr>
          <w:rFonts w:ascii="Avenir Next" w:hAnsi="Avenir Next"/>
          <w:i/>
          <w:iCs/>
          <w:color w:val="808080" w:themeColor="background1" w:themeShade="80"/>
        </w:rPr>
        <w:t>A</w:t>
      </w:r>
      <w:r w:rsidR="00FD1D85">
        <w:rPr>
          <w:rFonts w:ascii="Avenir Next" w:hAnsi="Avenir Next"/>
          <w:i/>
          <w:iCs/>
          <w:color w:val="808080" w:themeColor="background1" w:themeShade="80"/>
        </w:rPr>
        <w:t>blyazoz</w:t>
      </w:r>
      <w:proofErr w:type="spellEnd"/>
      <w:r w:rsidR="00FD1D85">
        <w:rPr>
          <w:rFonts w:ascii="Avenir Next" w:hAnsi="Avenir Next"/>
          <w:i/>
          <w:iCs/>
          <w:color w:val="808080" w:themeColor="background1" w:themeShade="80"/>
        </w:rPr>
        <w:t xml:space="preserve"> (no 3), </w:t>
      </w:r>
      <w:r w:rsidR="00FD1D85">
        <w:rPr>
          <w:rFonts w:ascii="Avenir Next" w:hAnsi="Avenir Next"/>
          <w:color w:val="808080" w:themeColor="background1" w:themeShade="80"/>
        </w:rPr>
        <w:t>it is arguable that</w:t>
      </w:r>
      <w:r w:rsidR="00EA7689">
        <w:rPr>
          <w:rFonts w:ascii="Avenir Next" w:hAnsi="Avenir Next"/>
          <w:color w:val="808080" w:themeColor="background1" w:themeShade="80"/>
        </w:rPr>
        <w:t xml:space="preserve"> the injunction would be insufficient on its own given the risk of </w:t>
      </w:r>
      <w:r w:rsidR="00045A84">
        <w:rPr>
          <w:rFonts w:ascii="Avenir Next" w:hAnsi="Avenir Next"/>
          <w:color w:val="808080" w:themeColor="background1" w:themeShade="80"/>
        </w:rPr>
        <w:t>non-compliance</w:t>
      </w:r>
      <w:r w:rsidR="00EA7689">
        <w:rPr>
          <w:rFonts w:ascii="Avenir Next" w:hAnsi="Avenir Next"/>
          <w:color w:val="808080" w:themeColor="background1" w:themeShade="80"/>
        </w:rPr>
        <w:t xml:space="preserve"> and</w:t>
      </w:r>
      <w:r w:rsidR="006F6E78">
        <w:rPr>
          <w:rFonts w:ascii="Avenir Next" w:hAnsi="Avenir Next"/>
          <w:color w:val="808080" w:themeColor="background1" w:themeShade="80"/>
        </w:rPr>
        <w:t xml:space="preserve"> there is a measurable risk that the </w:t>
      </w:r>
      <w:r w:rsidR="00020E18">
        <w:rPr>
          <w:rFonts w:ascii="Avenir Next" w:hAnsi="Avenir Next"/>
          <w:color w:val="808080" w:themeColor="background1" w:themeShade="80"/>
        </w:rPr>
        <w:t xml:space="preserve">director will not cooperate with the court order or provide any further details as to the bank account in question. </w:t>
      </w:r>
    </w:p>
    <w:p w14:paraId="44190908" w14:textId="77777777" w:rsidR="00132C2D" w:rsidRDefault="00132C2D" w:rsidP="00137A41">
      <w:pPr>
        <w:pStyle w:val="BodyText"/>
        <w:ind w:firstLine="0"/>
        <w:rPr>
          <w:rFonts w:ascii="Avenir Next" w:hAnsi="Avenir Next"/>
          <w:color w:val="808080" w:themeColor="background1" w:themeShade="80"/>
        </w:rPr>
      </w:pPr>
    </w:p>
    <w:p w14:paraId="65B78F39" w14:textId="73496FCE" w:rsidR="00D645AF" w:rsidRPr="00FD1D85" w:rsidRDefault="00132C2D" w:rsidP="00137A41">
      <w:pPr>
        <w:pStyle w:val="BodyText"/>
        <w:ind w:firstLine="0"/>
        <w:rPr>
          <w:rFonts w:ascii="Avenir Next" w:hAnsi="Avenir Next"/>
          <w:b/>
          <w:bCs/>
        </w:rPr>
      </w:pPr>
      <w:r>
        <w:rPr>
          <w:rFonts w:ascii="Avenir Next" w:hAnsi="Avenir Next"/>
          <w:color w:val="808080" w:themeColor="background1" w:themeShade="80"/>
        </w:rPr>
        <w:t>As per Order 51, rule 1 of the Grand Court Rules (the “GCR”), t</w:t>
      </w:r>
      <w:r w:rsidR="00091123">
        <w:rPr>
          <w:rFonts w:ascii="Avenir Next" w:hAnsi="Avenir Next"/>
          <w:color w:val="808080" w:themeColor="background1" w:themeShade="80"/>
        </w:rPr>
        <w:t>he court should also be presented with evidence</w:t>
      </w:r>
      <w:r w:rsidR="00391C87">
        <w:rPr>
          <w:rFonts w:ascii="Avenir Next" w:hAnsi="Avenir Next"/>
          <w:color w:val="808080" w:themeColor="background1" w:themeShade="80"/>
        </w:rPr>
        <w:t xml:space="preserve"> as to the </w:t>
      </w:r>
      <w:r w:rsidR="00045A84">
        <w:rPr>
          <w:rFonts w:ascii="Avenir Next" w:hAnsi="Avenir Next"/>
          <w:color w:val="808080" w:themeColor="background1" w:themeShade="80"/>
        </w:rPr>
        <w:t xml:space="preserve">amount claimed by creditors, the amount likely to be obtained by the receiver and the costs of the receivers appointment. </w:t>
      </w:r>
    </w:p>
    <w:p w14:paraId="4DFE77C4" w14:textId="77777777" w:rsidR="00D645AF" w:rsidRDefault="00D645AF" w:rsidP="00137A41"/>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 xml:space="preserve">The governing law of the security contract is the Cayman </w:t>
      </w:r>
      <w:r w:rsidRPr="003104AD">
        <w:rPr>
          <w:rFonts w:ascii="Avenir Next" w:hAnsi="Avenir Next"/>
        </w:rPr>
        <w:lastRenderedPageBreak/>
        <w:t>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6456F520"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a number of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14B0C918"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40D9C13E" w14:textId="1CEC36A1" w:rsidR="00A500D9" w:rsidRDefault="00F17888" w:rsidP="008E73FC">
      <w:pPr>
        <w:pStyle w:val="BodyText"/>
        <w:ind w:firstLine="0"/>
        <w:rPr>
          <w:b/>
          <w:bCs/>
          <w:lang w:val="en-GB"/>
        </w:rPr>
      </w:pPr>
      <w:r>
        <w:rPr>
          <w:rFonts w:ascii="Avenir Next" w:hAnsi="Avenir Next"/>
          <w:color w:val="808080" w:themeColor="background1" w:themeShade="80"/>
        </w:rPr>
        <w:t xml:space="preserve">Pursuant to section 127 of the Companies Act, </w:t>
      </w:r>
      <w:r w:rsidR="00770BC0">
        <w:rPr>
          <w:rFonts w:ascii="Avenir Next" w:hAnsi="Avenir Next"/>
          <w:color w:val="808080" w:themeColor="background1" w:themeShade="80"/>
        </w:rPr>
        <w:t xml:space="preserve">the </w:t>
      </w:r>
      <w:r w:rsidR="009D2538">
        <w:rPr>
          <w:rFonts w:ascii="Avenir Next" w:hAnsi="Avenir Next"/>
          <w:color w:val="808080" w:themeColor="background1" w:themeShade="80"/>
        </w:rPr>
        <w:t>final report detailing how the winding up has been conducted and how the company’s property has been disposed of</w:t>
      </w:r>
      <w:r w:rsidR="000865B1">
        <w:rPr>
          <w:rFonts w:ascii="Avenir Next" w:hAnsi="Avenir Next"/>
          <w:color w:val="808080" w:themeColor="background1" w:themeShade="80"/>
        </w:rPr>
        <w:t>. The liquidator then calls a general meeting of the company</w:t>
      </w:r>
      <w:r w:rsidR="006862AB">
        <w:rPr>
          <w:rFonts w:ascii="Avenir Next" w:hAnsi="Avenir Next"/>
          <w:color w:val="808080" w:themeColor="background1" w:themeShade="80"/>
        </w:rPr>
        <w:t xml:space="preserve"> for approval of the report and account. </w:t>
      </w:r>
      <w:r w:rsidR="00C35C78">
        <w:rPr>
          <w:rFonts w:ascii="Avenir Next" w:hAnsi="Avenir Next"/>
          <w:color w:val="808080" w:themeColor="background1" w:themeShade="80"/>
        </w:rPr>
        <w:t xml:space="preserve">The report covers the period from the date of commencement of </w:t>
      </w:r>
      <w:r w:rsidR="00460679">
        <w:rPr>
          <w:rFonts w:ascii="Avenir Next" w:hAnsi="Avenir Next"/>
          <w:color w:val="808080" w:themeColor="background1" w:themeShade="80"/>
        </w:rPr>
        <w:t>winding up</w:t>
      </w:r>
      <w:r w:rsidR="008E73FC">
        <w:rPr>
          <w:rFonts w:ascii="Avenir Next" w:hAnsi="Avenir Next"/>
          <w:color w:val="808080" w:themeColor="background1" w:themeShade="80"/>
        </w:rPr>
        <w:t xml:space="preserve"> to the date of supervision order.</w:t>
      </w: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1FBDE88C" w14:textId="5A781352" w:rsidR="007629D5" w:rsidRDefault="007629D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In the absence of a declaration of solvency by the directors</w:t>
      </w:r>
      <w:r w:rsidR="000F31F0">
        <w:rPr>
          <w:rFonts w:ascii="Avenir Next" w:hAnsi="Avenir Next"/>
          <w:color w:val="808080" w:themeColor="background1" w:themeShade="80"/>
        </w:rPr>
        <w:t xml:space="preserve"> within 28 days of the commencement of the liquidation</w:t>
      </w:r>
      <w:r>
        <w:rPr>
          <w:rFonts w:ascii="Avenir Next" w:hAnsi="Avenir Next"/>
          <w:color w:val="808080" w:themeColor="background1" w:themeShade="80"/>
        </w:rPr>
        <w:t>, the voluntary liquidator</w:t>
      </w:r>
      <w:r w:rsidR="00EB2E2A">
        <w:rPr>
          <w:rFonts w:ascii="Avenir Next" w:hAnsi="Avenir Next"/>
          <w:color w:val="808080" w:themeColor="background1" w:themeShade="80"/>
        </w:rPr>
        <w:t xml:space="preserve"> much make an application for a supervision order</w:t>
      </w:r>
      <w:r w:rsidR="000F31F0">
        <w:rPr>
          <w:rFonts w:ascii="Avenir Next" w:hAnsi="Avenir Next"/>
          <w:color w:val="808080" w:themeColor="background1" w:themeShade="80"/>
        </w:rPr>
        <w:t xml:space="preserve">. </w:t>
      </w:r>
    </w:p>
    <w:p w14:paraId="22A76EFA" w14:textId="77777777" w:rsidR="00724623" w:rsidRDefault="00724623" w:rsidP="00137A41">
      <w:pPr>
        <w:pStyle w:val="BodyText"/>
        <w:ind w:firstLine="0"/>
        <w:rPr>
          <w:rFonts w:ascii="Avenir Next" w:hAnsi="Avenir Next"/>
          <w:color w:val="808080" w:themeColor="background1" w:themeShade="80"/>
        </w:rPr>
      </w:pPr>
    </w:p>
    <w:p w14:paraId="560A294F" w14:textId="3F35D766" w:rsidR="00724623" w:rsidRDefault="00724623"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voluntary liquidator must file a petition containing </w:t>
      </w:r>
      <w:r w:rsidR="005209D9">
        <w:rPr>
          <w:rFonts w:ascii="Avenir Next" w:hAnsi="Avenir Next"/>
          <w:color w:val="808080" w:themeColor="background1" w:themeShade="80"/>
        </w:rPr>
        <w:t>the following details</w:t>
      </w:r>
      <w:r w:rsidR="00A56926">
        <w:rPr>
          <w:rFonts w:ascii="Avenir Next" w:hAnsi="Avenir Next"/>
          <w:color w:val="808080" w:themeColor="background1" w:themeShade="80"/>
        </w:rPr>
        <w:t>:</w:t>
      </w:r>
    </w:p>
    <w:p w14:paraId="6BE186F2" w14:textId="1B3211CD" w:rsidR="00A56926" w:rsidRDefault="00A56926">
      <w:pPr>
        <w:pStyle w:val="BodyText"/>
        <w:numPr>
          <w:ilvl w:val="1"/>
          <w:numId w:val="26"/>
        </w:numPr>
        <w:rPr>
          <w:rFonts w:ascii="Avenir Next" w:hAnsi="Avenir Next"/>
          <w:color w:val="808080" w:themeColor="background1" w:themeShade="80"/>
        </w:rPr>
      </w:pPr>
      <w:r>
        <w:rPr>
          <w:rFonts w:ascii="Avenir Next" w:hAnsi="Avenir Next"/>
          <w:color w:val="808080" w:themeColor="background1" w:themeShade="80"/>
        </w:rPr>
        <w:t>Details of incorporation of the company</w:t>
      </w:r>
    </w:p>
    <w:p w14:paraId="6D228386" w14:textId="17ED0822" w:rsidR="00A56926" w:rsidRDefault="00F34192">
      <w:pPr>
        <w:pStyle w:val="BodyText"/>
        <w:numPr>
          <w:ilvl w:val="1"/>
          <w:numId w:val="26"/>
        </w:numPr>
        <w:rPr>
          <w:rFonts w:ascii="Avenir Next" w:hAnsi="Avenir Next"/>
          <w:color w:val="808080" w:themeColor="background1" w:themeShade="80"/>
        </w:rPr>
      </w:pPr>
      <w:r>
        <w:rPr>
          <w:rFonts w:ascii="Avenir Next" w:hAnsi="Avenir Next"/>
          <w:color w:val="808080" w:themeColor="background1" w:themeShade="80"/>
        </w:rPr>
        <w:t>Method by which the company entered liquidation</w:t>
      </w:r>
    </w:p>
    <w:p w14:paraId="58AB30F1" w14:textId="08D7B5D1" w:rsidR="00F34192" w:rsidRDefault="00F34192">
      <w:pPr>
        <w:pStyle w:val="BodyText"/>
        <w:numPr>
          <w:ilvl w:val="1"/>
          <w:numId w:val="26"/>
        </w:numPr>
        <w:rPr>
          <w:rFonts w:ascii="Avenir Next" w:hAnsi="Avenir Next"/>
          <w:color w:val="808080" w:themeColor="background1" w:themeShade="80"/>
        </w:rPr>
      </w:pPr>
      <w:r>
        <w:rPr>
          <w:rFonts w:ascii="Avenir Next" w:hAnsi="Avenir Next"/>
          <w:color w:val="808080" w:themeColor="background1" w:themeShade="80"/>
        </w:rPr>
        <w:t>Details of the directors at the date liquidation commenced</w:t>
      </w:r>
    </w:p>
    <w:p w14:paraId="3F0CF825" w14:textId="37FB8E3F" w:rsidR="00F34192" w:rsidRDefault="00796992">
      <w:pPr>
        <w:pStyle w:val="BodyText"/>
        <w:numPr>
          <w:ilvl w:val="1"/>
          <w:numId w:val="26"/>
        </w:numPr>
        <w:rPr>
          <w:rFonts w:ascii="Avenir Next" w:hAnsi="Avenir Next"/>
          <w:color w:val="808080" w:themeColor="background1" w:themeShade="80"/>
        </w:rPr>
      </w:pPr>
      <w:r>
        <w:rPr>
          <w:rFonts w:ascii="Avenir Next" w:hAnsi="Avenir Next"/>
          <w:color w:val="808080" w:themeColor="background1" w:themeShade="80"/>
        </w:rPr>
        <w:t>A statement confirming that the declaration of solvency was not received from the directors within 28 days of the comm</w:t>
      </w:r>
      <w:r w:rsidR="00BB5393">
        <w:rPr>
          <w:rFonts w:ascii="Avenir Next" w:hAnsi="Avenir Next"/>
          <w:color w:val="808080" w:themeColor="background1" w:themeShade="80"/>
        </w:rPr>
        <w:t>encement of the liquidation</w:t>
      </w:r>
    </w:p>
    <w:p w14:paraId="5D7109F1" w14:textId="2E16AC5C" w:rsidR="00BB5393" w:rsidRDefault="00BB5393">
      <w:pPr>
        <w:pStyle w:val="BodyText"/>
        <w:numPr>
          <w:ilvl w:val="1"/>
          <w:numId w:val="26"/>
        </w:numPr>
        <w:rPr>
          <w:rFonts w:ascii="Avenir Next" w:hAnsi="Avenir Next"/>
          <w:color w:val="808080" w:themeColor="background1" w:themeShade="80"/>
        </w:rPr>
      </w:pPr>
      <w:r>
        <w:rPr>
          <w:rFonts w:ascii="Avenir Next" w:hAnsi="Avenir Next"/>
          <w:color w:val="808080" w:themeColor="background1" w:themeShade="80"/>
        </w:rPr>
        <w:lastRenderedPageBreak/>
        <w:t>Subject to the voluntary liquidator being a qualified insolvency practitioner, a statement that they consent to being appointed as the official li</w:t>
      </w:r>
      <w:r w:rsidR="00770B43">
        <w:rPr>
          <w:rFonts w:ascii="Avenir Next" w:hAnsi="Avenir Next"/>
          <w:color w:val="808080" w:themeColor="background1" w:themeShade="80"/>
        </w:rPr>
        <w:t>quidator</w:t>
      </w:r>
    </w:p>
    <w:p w14:paraId="295D37E7" w14:textId="7E65B973" w:rsidR="00770B43" w:rsidRDefault="00770B43">
      <w:pPr>
        <w:pStyle w:val="BodyText"/>
        <w:numPr>
          <w:ilvl w:val="1"/>
          <w:numId w:val="26"/>
        </w:numPr>
        <w:rPr>
          <w:rFonts w:ascii="Avenir Next" w:hAnsi="Avenir Next"/>
          <w:color w:val="808080" w:themeColor="background1" w:themeShade="80"/>
        </w:rPr>
      </w:pPr>
      <w:r>
        <w:rPr>
          <w:rFonts w:ascii="Avenir Next" w:hAnsi="Avenir Next"/>
          <w:color w:val="808080" w:themeColor="background1" w:themeShade="80"/>
        </w:rPr>
        <w:t xml:space="preserve">Or if they are not so qualified, or are unable to act, the details of another qualified insolvency practitioner </w:t>
      </w:r>
      <w:r w:rsidR="00052920">
        <w:rPr>
          <w:rFonts w:ascii="Avenir Next" w:hAnsi="Avenir Next"/>
          <w:color w:val="808080" w:themeColor="background1" w:themeShade="80"/>
        </w:rPr>
        <w:t xml:space="preserve">nominated for appointment. </w:t>
      </w:r>
    </w:p>
    <w:p w14:paraId="266BF3F8" w14:textId="77777777" w:rsidR="0090189F" w:rsidRDefault="0090189F" w:rsidP="0090189F">
      <w:pPr>
        <w:pStyle w:val="BodyText"/>
        <w:ind w:firstLine="0"/>
        <w:rPr>
          <w:rFonts w:ascii="Avenir Next" w:hAnsi="Avenir Next"/>
          <w:color w:val="808080" w:themeColor="background1" w:themeShade="80"/>
        </w:rPr>
      </w:pPr>
    </w:p>
    <w:p w14:paraId="6F66DD7C" w14:textId="0A9BD13E" w:rsidR="0090189F" w:rsidRDefault="0090189F" w:rsidP="0090189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petition will also be accompanied by an affidavit of verification that the statements in the petition are </w:t>
      </w:r>
      <w:r w:rsidR="00841AE4">
        <w:rPr>
          <w:rFonts w:ascii="Avenir Next" w:hAnsi="Avenir Next"/>
          <w:color w:val="808080" w:themeColor="background1" w:themeShade="80"/>
        </w:rPr>
        <w:t>true, to the best of the voluntary liquidator</w:t>
      </w:r>
      <w:r w:rsidR="00534D8B">
        <w:rPr>
          <w:rFonts w:ascii="Avenir Next" w:hAnsi="Avenir Next"/>
          <w:color w:val="808080" w:themeColor="background1" w:themeShade="80"/>
        </w:rPr>
        <w:t>’</w:t>
      </w:r>
      <w:r w:rsidR="00841AE4">
        <w:rPr>
          <w:rFonts w:ascii="Avenir Next" w:hAnsi="Avenir Next"/>
          <w:color w:val="808080" w:themeColor="background1" w:themeShade="80"/>
        </w:rPr>
        <w:t xml:space="preserve">s knowledge, information and belief. </w:t>
      </w:r>
      <w:r w:rsidR="00E075D2">
        <w:rPr>
          <w:rFonts w:ascii="Avenir Next" w:hAnsi="Avenir Next"/>
          <w:color w:val="808080" w:themeColor="background1" w:themeShade="80"/>
        </w:rPr>
        <w:t xml:space="preserve">If an alternative insolvency practitioner is being nominated, then </w:t>
      </w:r>
      <w:r w:rsidR="001076FE">
        <w:rPr>
          <w:rFonts w:ascii="Avenir Next" w:hAnsi="Avenir Next"/>
          <w:color w:val="808080" w:themeColor="background1" w:themeShade="80"/>
        </w:rPr>
        <w:t xml:space="preserve">they must also </w:t>
      </w:r>
      <w:proofErr w:type="spellStart"/>
      <w:r w:rsidR="001076FE">
        <w:rPr>
          <w:rFonts w:ascii="Avenir Next" w:hAnsi="Avenir Next"/>
          <w:color w:val="808080" w:themeColor="background1" w:themeShade="80"/>
        </w:rPr>
        <w:t>provided</w:t>
      </w:r>
      <w:proofErr w:type="spellEnd"/>
      <w:r w:rsidR="001076FE">
        <w:rPr>
          <w:rFonts w:ascii="Avenir Next" w:hAnsi="Avenir Next"/>
          <w:color w:val="808080" w:themeColor="background1" w:themeShade="80"/>
        </w:rPr>
        <w:t xml:space="preserve"> a sworn affidavit</w:t>
      </w:r>
      <w:r w:rsidR="00505D83">
        <w:rPr>
          <w:rFonts w:ascii="Avenir Next" w:hAnsi="Avenir Next"/>
          <w:color w:val="808080" w:themeColor="background1" w:themeShade="80"/>
        </w:rPr>
        <w:t>.</w:t>
      </w:r>
    </w:p>
    <w:p w14:paraId="6DA1FDC6" w14:textId="32409B50"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F46DB34" w14:textId="4B2B2845" w:rsidR="000519BD" w:rsidRDefault="008436B8"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w:t>
      </w:r>
      <w:r w:rsidR="0094693B">
        <w:rPr>
          <w:rFonts w:ascii="Avenir Next" w:hAnsi="Avenir Next"/>
          <w:color w:val="808080" w:themeColor="background1" w:themeShade="80"/>
        </w:rPr>
        <w:t>s the redemption request was not submitted prior to the commencement of the winding up</w:t>
      </w:r>
      <w:r w:rsidR="00B91649">
        <w:rPr>
          <w:rFonts w:ascii="Avenir Next" w:hAnsi="Avenir Next"/>
          <w:color w:val="808080" w:themeColor="background1" w:themeShade="80"/>
        </w:rPr>
        <w:t xml:space="preserve">, the Cayman Feeder will not be classified as a redemption creditor, which would rank behind the claims of ordinary unsecured creditors (as per the Privy Council decision in Michael Pearson (as additional liquidator of Herald Fund SPC (in official liquidation)) v. </w:t>
      </w:r>
      <w:proofErr w:type="spellStart"/>
      <w:r w:rsidR="00B91649">
        <w:rPr>
          <w:rFonts w:ascii="Avenir Next" w:hAnsi="Avenir Next"/>
          <w:color w:val="808080" w:themeColor="background1" w:themeShade="80"/>
        </w:rPr>
        <w:t>Primeo</w:t>
      </w:r>
      <w:proofErr w:type="spellEnd"/>
      <w:r w:rsidR="00B91649">
        <w:rPr>
          <w:rFonts w:ascii="Avenir Next" w:hAnsi="Avenir Next"/>
          <w:color w:val="808080" w:themeColor="background1" w:themeShade="80"/>
        </w:rPr>
        <w:t xml:space="preserve"> Fund (in official liquidation)</w:t>
      </w:r>
      <w:r w:rsidR="00183004">
        <w:rPr>
          <w:rFonts w:ascii="Avenir Next" w:hAnsi="Avenir Next"/>
          <w:color w:val="808080" w:themeColor="background1" w:themeShade="80"/>
        </w:rPr>
        <w:t xml:space="preserve">). </w:t>
      </w:r>
    </w:p>
    <w:p w14:paraId="4A26598D" w14:textId="77777777" w:rsidR="00183004" w:rsidRDefault="00183004" w:rsidP="00137A41">
      <w:pPr>
        <w:pStyle w:val="BodyText"/>
        <w:ind w:firstLine="0"/>
        <w:rPr>
          <w:rFonts w:ascii="Avenir Next" w:hAnsi="Avenir Next"/>
          <w:color w:val="808080" w:themeColor="background1" w:themeShade="80"/>
        </w:rPr>
      </w:pPr>
    </w:p>
    <w:p w14:paraId="71D05818" w14:textId="7359B352" w:rsidR="00183004" w:rsidRPr="00486A0B" w:rsidRDefault="00183004" w:rsidP="00137A41">
      <w:pPr>
        <w:pStyle w:val="BodyText"/>
        <w:ind w:firstLine="0"/>
        <w:rPr>
          <w:rFonts w:ascii="Avenir Next" w:hAnsi="Avenir Next"/>
          <w:b/>
          <w:bCs/>
        </w:rPr>
      </w:pPr>
      <w:r>
        <w:rPr>
          <w:rFonts w:ascii="Avenir Next" w:hAnsi="Avenir Next"/>
          <w:color w:val="808080" w:themeColor="background1" w:themeShade="80"/>
        </w:rPr>
        <w:t>In this case, the Cayman Feeder’s redemption request will be dealt with as a shareholder claim</w:t>
      </w:r>
      <w:r w:rsidR="00953D64">
        <w:rPr>
          <w:rFonts w:ascii="Avenir Next" w:hAnsi="Avenir Next"/>
          <w:color w:val="808080" w:themeColor="background1" w:themeShade="80"/>
        </w:rPr>
        <w:t>, pursuant to section 37(7)</w:t>
      </w:r>
      <w:r w:rsidR="003B624B">
        <w:rPr>
          <w:rFonts w:ascii="Avenir Next" w:hAnsi="Avenir Next"/>
          <w:color w:val="808080" w:themeColor="background1" w:themeShade="80"/>
        </w:rPr>
        <w:t xml:space="preserve"> of the Companies Act. </w:t>
      </w:r>
      <w:r w:rsidR="00D15390">
        <w:rPr>
          <w:rFonts w:ascii="Avenir Next" w:hAnsi="Avenir Next"/>
          <w:color w:val="808080" w:themeColor="background1" w:themeShade="80"/>
        </w:rPr>
        <w:t xml:space="preserve">While the case law on such claims is not </w:t>
      </w:r>
      <w:r w:rsidR="008436B8">
        <w:rPr>
          <w:rFonts w:ascii="Avenir Next" w:hAnsi="Avenir Next"/>
          <w:color w:val="808080" w:themeColor="background1" w:themeShade="80"/>
        </w:rPr>
        <w:t xml:space="preserve">definitive with regard to whether redemption claims rank in priority to shareholder claims, both are confirmed to rank behind ordinary unsecured creditors. </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1CA2F8A1" w14:textId="54CB50C5" w:rsidR="007F068B" w:rsidRDefault="004935C4" w:rsidP="00137A41">
      <w:pPr>
        <w:rPr>
          <w:color w:val="808080" w:themeColor="background1" w:themeShade="80"/>
        </w:rPr>
      </w:pPr>
      <w:r>
        <w:rPr>
          <w:color w:val="808080" w:themeColor="background1" w:themeShade="80"/>
        </w:rPr>
        <w:t xml:space="preserve">Under section 104(1) </w:t>
      </w:r>
      <w:r w:rsidR="00E2645E">
        <w:rPr>
          <w:color w:val="808080" w:themeColor="background1" w:themeShade="80"/>
        </w:rPr>
        <w:t>a company can seek the appointment of provision liquidator</w:t>
      </w:r>
      <w:r w:rsidR="007D31D4">
        <w:rPr>
          <w:color w:val="808080" w:themeColor="background1" w:themeShade="80"/>
        </w:rPr>
        <w:t xml:space="preserve">, </w:t>
      </w:r>
      <w:r w:rsidR="004C1450">
        <w:rPr>
          <w:color w:val="808080" w:themeColor="background1" w:themeShade="80"/>
        </w:rPr>
        <w:t>at any time after the presentation of a winding up petition but before the making of a winding up order, provided that there is a prima fac</w:t>
      </w:r>
      <w:r w:rsidR="00010D11">
        <w:rPr>
          <w:color w:val="808080" w:themeColor="background1" w:themeShade="80"/>
        </w:rPr>
        <w:t>ia case for the winding up order, and the appointment is necessary for any of the following:</w:t>
      </w:r>
    </w:p>
    <w:p w14:paraId="23D37D5B" w14:textId="312EB041" w:rsidR="00010D11" w:rsidRDefault="00010D11">
      <w:pPr>
        <w:pStyle w:val="ListParagraph"/>
        <w:numPr>
          <w:ilvl w:val="0"/>
          <w:numId w:val="28"/>
        </w:numPr>
        <w:rPr>
          <w:color w:val="808080" w:themeColor="background1" w:themeShade="80"/>
        </w:rPr>
      </w:pPr>
      <w:r>
        <w:rPr>
          <w:color w:val="808080" w:themeColor="background1" w:themeShade="80"/>
        </w:rPr>
        <w:t>Prevent the dissipation or misuse of company assets</w:t>
      </w:r>
    </w:p>
    <w:p w14:paraId="2E27EEEC" w14:textId="507F5DD1" w:rsidR="00010D11" w:rsidRDefault="00010D11">
      <w:pPr>
        <w:pStyle w:val="ListParagraph"/>
        <w:numPr>
          <w:ilvl w:val="0"/>
          <w:numId w:val="28"/>
        </w:numPr>
        <w:rPr>
          <w:color w:val="808080" w:themeColor="background1" w:themeShade="80"/>
        </w:rPr>
      </w:pPr>
      <w:r>
        <w:rPr>
          <w:color w:val="808080" w:themeColor="background1" w:themeShade="80"/>
        </w:rPr>
        <w:t>Prevent oppression of minority shareholders</w:t>
      </w:r>
    </w:p>
    <w:p w14:paraId="25DF44C9" w14:textId="27DA129F" w:rsidR="00010D11" w:rsidRPr="00010D11" w:rsidRDefault="00010D11">
      <w:pPr>
        <w:pStyle w:val="ListParagraph"/>
        <w:numPr>
          <w:ilvl w:val="0"/>
          <w:numId w:val="28"/>
        </w:numPr>
        <w:rPr>
          <w:color w:val="808080" w:themeColor="background1" w:themeShade="80"/>
        </w:rPr>
      </w:pPr>
      <w:r>
        <w:rPr>
          <w:color w:val="808080" w:themeColor="background1" w:themeShade="80"/>
        </w:rPr>
        <w:t xml:space="preserve">Prevent mismanagement or misconduct on the part of directors. </w:t>
      </w:r>
    </w:p>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r w:rsidRPr="00B31A12">
        <w:t>Considering the fact that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D30F72D" w14:textId="4AB6D4E7" w:rsidR="00AD2E5C" w:rsidRDefault="008C4CD7"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Provisional liquidation </w:t>
      </w:r>
      <w:r w:rsidR="00B166B1">
        <w:rPr>
          <w:rFonts w:ascii="Avenir Next" w:hAnsi="Avenir Next"/>
          <w:color w:val="808080" w:themeColor="background1" w:themeShade="80"/>
        </w:rPr>
        <w:t>–</w:t>
      </w:r>
      <w:r>
        <w:rPr>
          <w:rFonts w:ascii="Avenir Next" w:hAnsi="Avenir Next"/>
          <w:color w:val="808080" w:themeColor="background1" w:themeShade="80"/>
        </w:rPr>
        <w:t xml:space="preserve"> </w:t>
      </w:r>
      <w:r w:rsidR="00B166B1">
        <w:rPr>
          <w:rFonts w:ascii="Avenir Next" w:hAnsi="Avenir Next"/>
          <w:color w:val="808080" w:themeColor="background1" w:themeShade="80"/>
        </w:rPr>
        <w:t xml:space="preserve">made by way of summons, after </w:t>
      </w:r>
      <w:r w:rsidR="00D04FF2">
        <w:rPr>
          <w:rFonts w:ascii="Avenir Next" w:hAnsi="Avenir Next"/>
          <w:color w:val="808080" w:themeColor="background1" w:themeShade="80"/>
        </w:rPr>
        <w:t>winding up petition filed but before winding up order made</w:t>
      </w:r>
      <w:r w:rsidR="00DC2837">
        <w:rPr>
          <w:rFonts w:ascii="Avenir Next" w:hAnsi="Avenir Next"/>
          <w:color w:val="808080" w:themeColor="background1" w:themeShade="80"/>
        </w:rPr>
        <w:t xml:space="preserve"> – used to restructure. </w:t>
      </w:r>
      <w:r w:rsidR="00BE756A">
        <w:rPr>
          <w:rFonts w:ascii="Avenir Next" w:hAnsi="Avenir Next"/>
          <w:color w:val="808080" w:themeColor="background1" w:themeShade="80"/>
        </w:rPr>
        <w:t>Court must be persuaded it would be appropriate but n</w:t>
      </w:r>
      <w:r w:rsidR="00DC2837">
        <w:rPr>
          <w:rFonts w:ascii="Avenir Next" w:hAnsi="Avenir Next"/>
          <w:color w:val="808080" w:themeColor="background1" w:themeShade="80"/>
        </w:rPr>
        <w:t xml:space="preserve">o court decisions yet </w:t>
      </w:r>
      <w:r w:rsidR="00BE756A">
        <w:rPr>
          <w:rFonts w:ascii="Avenir Next" w:hAnsi="Avenir Next"/>
          <w:color w:val="808080" w:themeColor="background1" w:themeShade="80"/>
        </w:rPr>
        <w:t xml:space="preserve">as to what would be appropriate. </w:t>
      </w:r>
    </w:p>
    <w:p w14:paraId="16BD2D30" w14:textId="77777777" w:rsidR="009A3096" w:rsidRDefault="009A3096" w:rsidP="00137A41">
      <w:pPr>
        <w:pStyle w:val="BodyText"/>
        <w:ind w:firstLine="0"/>
        <w:rPr>
          <w:rFonts w:ascii="Avenir Next" w:hAnsi="Avenir Next"/>
          <w:color w:val="808080" w:themeColor="background1" w:themeShade="80"/>
        </w:rPr>
      </w:pPr>
    </w:p>
    <w:p w14:paraId="4CBB0003" w14:textId="77777777" w:rsidR="0018339C" w:rsidRDefault="009A3096"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Restructuring officer </w:t>
      </w:r>
      <w:r w:rsidR="004E2868">
        <w:rPr>
          <w:rFonts w:ascii="Avenir Next" w:hAnsi="Avenir Next"/>
          <w:color w:val="808080" w:themeColor="background1" w:themeShade="80"/>
        </w:rPr>
        <w:t>–</w:t>
      </w:r>
      <w:r>
        <w:rPr>
          <w:rFonts w:ascii="Avenir Next" w:hAnsi="Avenir Next"/>
          <w:color w:val="808080" w:themeColor="background1" w:themeShade="80"/>
        </w:rPr>
        <w:t xml:space="preserve"> </w:t>
      </w:r>
      <w:r w:rsidR="004E2868">
        <w:rPr>
          <w:rFonts w:ascii="Avenir Next" w:hAnsi="Avenir Next"/>
          <w:color w:val="808080" w:themeColor="background1" w:themeShade="80"/>
        </w:rPr>
        <w:t xml:space="preserve">by petition to the court. Operates under court supervision. </w:t>
      </w:r>
      <w:r w:rsidR="00F45506">
        <w:rPr>
          <w:rFonts w:ascii="Avenir Next" w:hAnsi="Avenir Next"/>
          <w:color w:val="808080" w:themeColor="background1" w:themeShade="80"/>
        </w:rPr>
        <w:t xml:space="preserve">Automatic stay </w:t>
      </w:r>
      <w:r w:rsidR="00AF61F1">
        <w:rPr>
          <w:rFonts w:ascii="Avenir Next" w:hAnsi="Avenir Next"/>
          <w:color w:val="808080" w:themeColor="background1" w:themeShade="80"/>
        </w:rPr>
        <w:t>to prevent</w:t>
      </w:r>
      <w:r w:rsidR="00F45506">
        <w:rPr>
          <w:rFonts w:ascii="Avenir Next" w:hAnsi="Avenir Next"/>
          <w:color w:val="808080" w:themeColor="background1" w:themeShade="80"/>
        </w:rPr>
        <w:t xml:space="preserve"> any proceedings</w:t>
      </w:r>
      <w:r w:rsidR="00AF61F1">
        <w:rPr>
          <w:rFonts w:ascii="Avenir Next" w:hAnsi="Avenir Next"/>
          <w:color w:val="808080" w:themeColor="background1" w:themeShade="80"/>
        </w:rPr>
        <w:t xml:space="preserve"> against the company without leave of the court. </w:t>
      </w:r>
      <w:r w:rsidR="00E63788">
        <w:rPr>
          <w:rFonts w:ascii="Avenir Next" w:hAnsi="Avenir Next"/>
          <w:color w:val="808080" w:themeColor="background1" w:themeShade="80"/>
        </w:rPr>
        <w:t>Application heard within 21 days</w:t>
      </w:r>
      <w:r w:rsidR="006176C1">
        <w:rPr>
          <w:rFonts w:ascii="Avenir Next" w:hAnsi="Avenir Next"/>
          <w:color w:val="808080" w:themeColor="background1" w:themeShade="80"/>
        </w:rPr>
        <w:t xml:space="preserve">, so quick relief and protects creditors from debtor companies who may </w:t>
      </w:r>
      <w:r w:rsidR="0068265C">
        <w:rPr>
          <w:rFonts w:ascii="Avenir Next" w:hAnsi="Avenir Next"/>
          <w:color w:val="808080" w:themeColor="background1" w:themeShade="80"/>
        </w:rPr>
        <w:t xml:space="preserve">try to use court proceedings to delay matters, or without bona fide intention to restructure. </w:t>
      </w:r>
    </w:p>
    <w:p w14:paraId="393C544F" w14:textId="77777777" w:rsidR="0018339C" w:rsidRDefault="0018339C" w:rsidP="00137A41">
      <w:pPr>
        <w:pStyle w:val="BodyText"/>
        <w:ind w:firstLine="0"/>
        <w:rPr>
          <w:rFonts w:ascii="Avenir Next" w:hAnsi="Avenir Next"/>
          <w:color w:val="808080" w:themeColor="background1" w:themeShade="80"/>
        </w:rPr>
      </w:pPr>
    </w:p>
    <w:p w14:paraId="7EAC7889" w14:textId="6737AE92" w:rsidR="009A3096" w:rsidRPr="00486A0B" w:rsidRDefault="0018339C" w:rsidP="00137A41">
      <w:pPr>
        <w:pStyle w:val="BodyText"/>
        <w:ind w:firstLine="0"/>
        <w:rPr>
          <w:rFonts w:ascii="Avenir Next" w:hAnsi="Avenir Next"/>
          <w:b/>
          <w:bCs/>
        </w:rPr>
      </w:pPr>
      <w:r>
        <w:rPr>
          <w:rFonts w:ascii="Avenir Next" w:hAnsi="Avenir Next"/>
          <w:color w:val="808080" w:themeColor="background1" w:themeShade="80"/>
        </w:rPr>
        <w:t>Corporate Rescue plan/schemes of arrangement – between company and creditors (or any of them)</w:t>
      </w:r>
      <w:r w:rsidR="00111800">
        <w:rPr>
          <w:rFonts w:ascii="Avenir Next" w:hAnsi="Avenir Next"/>
          <w:color w:val="808080" w:themeColor="background1" w:themeShade="80"/>
        </w:rPr>
        <w:t xml:space="preserve">. To be approved, must be concessions on both sides. </w:t>
      </w:r>
      <w:r w:rsidR="004C05D0">
        <w:rPr>
          <w:rFonts w:ascii="Avenir Next" w:hAnsi="Avenir Next"/>
          <w:color w:val="808080" w:themeColor="background1" w:themeShade="80"/>
        </w:rPr>
        <w:t>Binding on all applicable creditors or shareholders</w:t>
      </w:r>
      <w:r w:rsidR="000F02E9">
        <w:rPr>
          <w:rFonts w:ascii="Avenir Next" w:hAnsi="Avenir Next"/>
          <w:color w:val="808080" w:themeColor="background1" w:themeShade="80"/>
        </w:rPr>
        <w:t xml:space="preserve">. A lot of commercial uses and customizable </w:t>
      </w:r>
      <w:r w:rsidR="005A0AEC">
        <w:rPr>
          <w:rFonts w:ascii="Avenir Next" w:hAnsi="Avenir Next"/>
          <w:color w:val="808080" w:themeColor="background1" w:themeShade="80"/>
        </w:rPr>
        <w:t xml:space="preserve">to suit the particular needs of company. Two purposes – 1. Preserve life of company in time of distress, via debt restructuring. 2. </w:t>
      </w:r>
      <w:r w:rsidR="00AF46D1">
        <w:rPr>
          <w:rFonts w:ascii="Avenir Next" w:hAnsi="Avenir Next"/>
          <w:color w:val="808080" w:themeColor="background1" w:themeShade="80"/>
        </w:rPr>
        <w:t xml:space="preserve">Adjust the company structure to rationalize, redirect or revitalize company. </w:t>
      </w:r>
      <w:r w:rsidR="00F45506">
        <w:rPr>
          <w:rFonts w:ascii="Avenir Next" w:hAnsi="Avenir Next"/>
          <w:color w:val="808080" w:themeColor="background1" w:themeShade="80"/>
        </w:rPr>
        <w:t xml:space="preserve"> </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29FA6EB2" w:rsidR="000756CC" w:rsidRPr="00486A0B" w:rsidRDefault="004275D3" w:rsidP="000756CC">
      <w:pPr>
        <w:pStyle w:val="BodyText"/>
        <w:ind w:firstLine="0"/>
        <w:rPr>
          <w:rFonts w:ascii="Avenir Next" w:hAnsi="Avenir Next"/>
          <w:b/>
          <w:bCs/>
        </w:rPr>
      </w:pPr>
      <w:r>
        <w:rPr>
          <w:rFonts w:ascii="Avenir Next" w:hAnsi="Avenir Next"/>
          <w:color w:val="808080" w:themeColor="background1" w:themeShade="80"/>
        </w:rPr>
        <w:t xml:space="preserve">Once </w:t>
      </w:r>
      <w:r w:rsidR="000208D5">
        <w:rPr>
          <w:rFonts w:ascii="Avenir Next" w:hAnsi="Avenir Next"/>
          <w:color w:val="808080" w:themeColor="background1" w:themeShade="80"/>
        </w:rPr>
        <w:t>the petition for appointment of restructuring officer</w:t>
      </w:r>
      <w:r w:rsidR="00910200">
        <w:rPr>
          <w:rFonts w:ascii="Avenir Next" w:hAnsi="Avenir Next"/>
          <w:color w:val="808080" w:themeColor="background1" w:themeShade="80"/>
        </w:rPr>
        <w:t xml:space="preserve"> is </w:t>
      </w:r>
      <w:r w:rsidR="009A0077">
        <w:rPr>
          <w:rFonts w:ascii="Avenir Next" w:hAnsi="Avenir Next"/>
          <w:color w:val="808080" w:themeColor="background1" w:themeShade="80"/>
        </w:rPr>
        <w:t xml:space="preserve">presented, the automatic stay comes </w:t>
      </w:r>
      <w:r w:rsidR="009A0077">
        <w:rPr>
          <w:rFonts w:ascii="Avenir Next" w:hAnsi="Avenir Next"/>
          <w:color w:val="808080" w:themeColor="background1" w:themeShade="80"/>
        </w:rPr>
        <w:lastRenderedPageBreak/>
        <w:t>into effect</w:t>
      </w:r>
      <w:r w:rsidR="00AC01A3">
        <w:rPr>
          <w:rFonts w:ascii="Avenir Next" w:hAnsi="Avenir Next"/>
          <w:color w:val="808080" w:themeColor="background1" w:themeShade="80"/>
        </w:rPr>
        <w:t xml:space="preserve">. As a result, the commencement or continuation of any proceedings against the company, without leave of the Grand Court is prohibited. </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7715845D" w:rsidR="000756CC" w:rsidRPr="00486A0B" w:rsidRDefault="00F131A9" w:rsidP="000756CC">
      <w:pPr>
        <w:pStyle w:val="BodyText"/>
        <w:ind w:firstLine="0"/>
        <w:rPr>
          <w:rFonts w:ascii="Avenir Next" w:hAnsi="Avenir Next"/>
          <w:b/>
          <w:bCs/>
        </w:rPr>
      </w:pPr>
      <w:r>
        <w:rPr>
          <w:rFonts w:ascii="Avenir Next" w:hAnsi="Avenir Next"/>
          <w:color w:val="808080" w:themeColor="background1" w:themeShade="80"/>
        </w:rPr>
        <w:t xml:space="preserve">The </w:t>
      </w:r>
      <w:r w:rsidR="00C64CEB">
        <w:rPr>
          <w:rFonts w:ascii="Avenir Next" w:hAnsi="Avenir Next"/>
          <w:color w:val="808080" w:themeColor="background1" w:themeShade="80"/>
        </w:rPr>
        <w:t>report must be submitting to the Court within 28 days of appointment. The report must include the steps taken in the restructuring</w:t>
      </w:r>
      <w:r w:rsidR="0099671D">
        <w:rPr>
          <w:rFonts w:ascii="Avenir Next" w:hAnsi="Avenir Next"/>
          <w:color w:val="808080" w:themeColor="background1" w:themeShade="80"/>
        </w:rPr>
        <w:t xml:space="preserve"> to date and intended future steps; the financial position of the company; and work done by the restructuring officers and the amount sought in remuneration. </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36BD9FE" w14:textId="77777777" w:rsidR="007868C0" w:rsidRDefault="00500A3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Where a scheme of arrangement is intended for </w:t>
      </w:r>
      <w:r w:rsidR="00C56B40">
        <w:rPr>
          <w:rFonts w:ascii="Avenir Next" w:hAnsi="Avenir Next"/>
          <w:color w:val="808080" w:themeColor="background1" w:themeShade="80"/>
        </w:rPr>
        <w:t xml:space="preserve">either the whole or </w:t>
      </w:r>
      <w:r>
        <w:rPr>
          <w:rFonts w:ascii="Avenir Next" w:hAnsi="Avenir Next"/>
          <w:color w:val="808080" w:themeColor="background1" w:themeShade="80"/>
        </w:rPr>
        <w:t>a subset of a company’s creditors or shareholders</w:t>
      </w:r>
      <w:r w:rsidR="00C56B40">
        <w:rPr>
          <w:rFonts w:ascii="Avenir Next" w:hAnsi="Avenir Next"/>
          <w:color w:val="808080" w:themeColor="background1" w:themeShade="80"/>
        </w:rPr>
        <w:t>, those creditors or shareholders can be divided into classes</w:t>
      </w:r>
      <w:r w:rsidR="006B613D">
        <w:rPr>
          <w:rFonts w:ascii="Avenir Next" w:hAnsi="Avenir Next"/>
          <w:color w:val="808080" w:themeColor="background1" w:themeShade="80"/>
        </w:rPr>
        <w:t>. In order to so divide the creditors or shareholders</w:t>
      </w:r>
      <w:r w:rsidR="00224EAD">
        <w:rPr>
          <w:rFonts w:ascii="Avenir Next" w:hAnsi="Avenir Next"/>
          <w:color w:val="808080" w:themeColor="background1" w:themeShade="80"/>
        </w:rPr>
        <w:t xml:space="preserve">, and following the English case of </w:t>
      </w:r>
      <w:r w:rsidR="00224EAD">
        <w:rPr>
          <w:rFonts w:ascii="Avenir Next" w:hAnsi="Avenir Next"/>
          <w:i/>
          <w:iCs/>
          <w:color w:val="808080" w:themeColor="background1" w:themeShade="80"/>
        </w:rPr>
        <w:t>Re Hawk Insurance Company Limited</w:t>
      </w:r>
      <w:r w:rsidR="00224EAD">
        <w:rPr>
          <w:rFonts w:ascii="Avenir Next" w:hAnsi="Avenir Next"/>
          <w:color w:val="808080" w:themeColor="background1" w:themeShade="80"/>
        </w:rPr>
        <w:t>,</w:t>
      </w:r>
      <w:r w:rsidR="00241BA5">
        <w:rPr>
          <w:rFonts w:ascii="Avenir Next" w:hAnsi="Avenir Next"/>
          <w:color w:val="808080" w:themeColor="background1" w:themeShade="80"/>
        </w:rPr>
        <w:t xml:space="preserve"> the members of the class must not be </w:t>
      </w:r>
      <w:r w:rsidR="0008557E">
        <w:rPr>
          <w:rFonts w:ascii="Avenir Next" w:hAnsi="Avenir Next"/>
          <w:color w:val="808080" w:themeColor="background1" w:themeShade="80"/>
        </w:rPr>
        <w:t>so dis</w:t>
      </w:r>
      <w:r w:rsidR="00241BA5">
        <w:rPr>
          <w:rFonts w:ascii="Avenir Next" w:hAnsi="Avenir Next"/>
          <w:color w:val="808080" w:themeColor="background1" w:themeShade="80"/>
        </w:rPr>
        <w:t>similar</w:t>
      </w:r>
      <w:r w:rsidR="0008557E">
        <w:rPr>
          <w:rFonts w:ascii="Avenir Next" w:hAnsi="Avenir Next"/>
          <w:color w:val="808080" w:themeColor="background1" w:themeShade="80"/>
        </w:rPr>
        <w:t xml:space="preserve"> to make it impossible</w:t>
      </w:r>
      <w:r w:rsidR="00042A14">
        <w:rPr>
          <w:rFonts w:ascii="Avenir Next" w:hAnsi="Avenir Next"/>
          <w:color w:val="808080" w:themeColor="background1" w:themeShade="80"/>
        </w:rPr>
        <w:t xml:space="preserve"> to consider the scheme with a common view. This interest must consider what is to be surrendered and obtained under the </w:t>
      </w:r>
      <w:r w:rsidR="009524E1">
        <w:rPr>
          <w:rFonts w:ascii="Avenir Next" w:hAnsi="Avenir Next"/>
          <w:color w:val="808080" w:themeColor="background1" w:themeShade="80"/>
        </w:rPr>
        <w:t>scheme, in comparison to what would occur in a liquidation scenario</w:t>
      </w:r>
      <w:r w:rsidR="00F26F00">
        <w:rPr>
          <w:rFonts w:ascii="Avenir Next" w:hAnsi="Avenir Next"/>
          <w:color w:val="808080" w:themeColor="background1" w:themeShade="80"/>
        </w:rPr>
        <w:t xml:space="preserve">. </w:t>
      </w:r>
    </w:p>
    <w:p w14:paraId="26365345" w14:textId="77777777" w:rsidR="007868C0" w:rsidRDefault="007868C0" w:rsidP="00137A41">
      <w:pPr>
        <w:pStyle w:val="BodyText"/>
        <w:ind w:firstLine="0"/>
        <w:rPr>
          <w:rFonts w:ascii="Avenir Next" w:hAnsi="Avenir Next"/>
          <w:color w:val="808080" w:themeColor="background1" w:themeShade="80"/>
        </w:rPr>
      </w:pPr>
    </w:p>
    <w:p w14:paraId="62001E30" w14:textId="0FD104AA" w:rsidR="00605AA2" w:rsidRPr="00224EAD" w:rsidRDefault="00F26F00" w:rsidP="00137A41">
      <w:pPr>
        <w:pStyle w:val="BodyText"/>
        <w:ind w:firstLine="0"/>
        <w:rPr>
          <w:rFonts w:ascii="Avenir Next" w:hAnsi="Avenir Next"/>
          <w:b/>
          <w:bCs/>
        </w:rPr>
      </w:pPr>
      <w:r>
        <w:rPr>
          <w:rFonts w:ascii="Avenir Next" w:hAnsi="Avenir Next"/>
          <w:color w:val="808080" w:themeColor="background1" w:themeShade="80"/>
        </w:rPr>
        <w:t>Once in the class</w:t>
      </w:r>
      <w:r w:rsidR="007868C0">
        <w:rPr>
          <w:rFonts w:ascii="Avenir Next" w:hAnsi="Avenir Next"/>
          <w:color w:val="808080" w:themeColor="background1" w:themeShade="80"/>
        </w:rPr>
        <w:t xml:space="preserve"> has been established, the comp</w:t>
      </w:r>
      <w:r w:rsidR="000D20DB">
        <w:rPr>
          <w:rFonts w:ascii="Avenir Next" w:hAnsi="Avenir Next"/>
          <w:color w:val="808080" w:themeColor="background1" w:themeShade="80"/>
        </w:rPr>
        <w:t xml:space="preserve">any will seek to enter agreements with the class to ensure support for the scheme, to limit the risk of </w:t>
      </w:r>
      <w:r w:rsidR="00FC27AE">
        <w:rPr>
          <w:rFonts w:ascii="Avenir Next" w:hAnsi="Avenir Next"/>
          <w:color w:val="808080" w:themeColor="background1" w:themeShade="80"/>
        </w:rPr>
        <w:t xml:space="preserve">veto. </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3AE9A0DD" w14:textId="4D51142A" w:rsidR="00605AA2" w:rsidRDefault="0033214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The shareholder</w:t>
      </w:r>
      <w:r w:rsidR="00361373">
        <w:rPr>
          <w:rFonts w:ascii="Avenir Next" w:hAnsi="Avenir Next"/>
          <w:color w:val="808080" w:themeColor="background1" w:themeShade="80"/>
        </w:rPr>
        <w:t>s/creditors must be provided with the Scheme documents in advance of the vote.</w:t>
      </w:r>
      <w:r w:rsidR="00B4184D">
        <w:rPr>
          <w:rFonts w:ascii="Avenir Next" w:hAnsi="Avenir Next"/>
          <w:color w:val="808080" w:themeColor="background1" w:themeShade="80"/>
        </w:rPr>
        <w:t xml:space="preserve"> These documents must provide sufficient information to allo</w:t>
      </w:r>
      <w:r w:rsidR="00A23950">
        <w:rPr>
          <w:rFonts w:ascii="Avenir Next" w:hAnsi="Avenir Next"/>
          <w:color w:val="808080" w:themeColor="background1" w:themeShade="80"/>
        </w:rPr>
        <w:t xml:space="preserve">w the shareholders/creditors make an informed decision as to the scheme. </w:t>
      </w:r>
    </w:p>
    <w:p w14:paraId="0AEBE20E" w14:textId="77777777" w:rsidR="00361373" w:rsidRDefault="00361373" w:rsidP="00137A41">
      <w:pPr>
        <w:pStyle w:val="BodyText"/>
        <w:ind w:firstLine="0"/>
        <w:rPr>
          <w:rFonts w:ascii="Avenir Next" w:hAnsi="Avenir Next"/>
          <w:color w:val="808080" w:themeColor="background1" w:themeShade="80"/>
        </w:rPr>
      </w:pP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r>
        <w:rPr>
          <w:rFonts w:ascii="Avenir Next Demi Bold" w:hAnsi="Avenir Next Demi Bold"/>
          <w:b/>
          <w:bCs/>
          <w:lang w:val="en-GB"/>
        </w:rPr>
        <w:t>i</w:t>
      </w:r>
      <w:r w:rsidR="00662C27">
        <w:rPr>
          <w:rFonts w:ascii="Avenir Next Demi Bold" w:hAnsi="Avenir Next Demi Bold"/>
          <w:b/>
          <w:bCs/>
          <w:lang w:val="en-GB"/>
        </w:rPr>
        <w:t>nsolvency</w:t>
      </w:r>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you agree or disagree with this statement</w:t>
      </w:r>
      <w:r w:rsidR="001D3AB4">
        <w:t>,</w:t>
      </w:r>
      <w:r>
        <w:t xml:space="preserve"> and explain why.</w:t>
      </w:r>
      <w:r w:rsidR="001D3AB4">
        <w:tab/>
      </w:r>
      <w:r w:rsidRPr="005F7E38">
        <w:rPr>
          <w:rFonts w:ascii="Avenir Next Demi Bold" w:hAnsi="Avenir Next Demi Bold"/>
          <w:b/>
          <w:bCs/>
        </w:rPr>
        <w:t>(5)</w:t>
      </w:r>
    </w:p>
    <w:p w14:paraId="39813F18" w14:textId="77777777" w:rsidR="00306D6E" w:rsidRDefault="00306D6E" w:rsidP="00137A41"/>
    <w:p w14:paraId="2E5E5975" w14:textId="77777777" w:rsidR="00306D6E" w:rsidRPr="00486A0B" w:rsidRDefault="00306D6E"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2BA30583" w:rsidR="00662C27" w:rsidRPr="00486A0B" w:rsidRDefault="002B2166" w:rsidP="00137A41">
      <w:pPr>
        <w:pStyle w:val="BodyText"/>
        <w:ind w:firstLine="0"/>
        <w:rPr>
          <w:rFonts w:ascii="Avenir Next" w:hAnsi="Avenir Next"/>
          <w:b/>
          <w:bCs/>
        </w:rPr>
      </w:pPr>
      <w:r>
        <w:rPr>
          <w:rFonts w:ascii="Avenir Next" w:hAnsi="Avenir Next"/>
          <w:color w:val="808080" w:themeColor="background1" w:themeShade="80"/>
        </w:rPr>
        <w:t>Part V of the Companies Act</w:t>
      </w:r>
      <w:r w:rsidR="00877F73">
        <w:rPr>
          <w:rFonts w:ascii="Avenir Next" w:hAnsi="Avenir Next"/>
          <w:color w:val="808080" w:themeColor="background1" w:themeShade="80"/>
        </w:rPr>
        <w:t xml:space="preserve"> and the Companies Winding Up rules apply to the liquidation of exempted limited partnerships, along with the Exempted Limited Partnerships Act, 2023</w:t>
      </w:r>
      <w:r w:rsidR="002E71A3">
        <w:rPr>
          <w:rFonts w:ascii="Avenir Next" w:hAnsi="Avenir Next"/>
          <w:color w:val="808080" w:themeColor="background1" w:themeShade="80"/>
        </w:rPr>
        <w:t xml:space="preserve">. However, where a conflict arises, the ELP Act will take priority. </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up date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333D2AF1" w:rsidR="00A500D9" w:rsidRPr="00486A0B" w:rsidRDefault="005E3DE5" w:rsidP="00A500D9">
      <w:pPr>
        <w:pStyle w:val="BodyText"/>
        <w:ind w:firstLine="0"/>
        <w:rPr>
          <w:rFonts w:ascii="Avenir Next" w:hAnsi="Avenir Next"/>
          <w:b/>
          <w:bCs/>
        </w:rPr>
      </w:pPr>
      <w:r>
        <w:rPr>
          <w:rFonts w:ascii="Avenir Next" w:hAnsi="Avenir Next"/>
          <w:color w:val="808080" w:themeColor="background1" w:themeShade="80"/>
        </w:rPr>
        <w:t xml:space="preserve">In the above circumstances, </w:t>
      </w:r>
      <w:r w:rsidR="00452EE5">
        <w:rPr>
          <w:rFonts w:ascii="Avenir Next" w:hAnsi="Avenir Next"/>
          <w:color w:val="808080" w:themeColor="background1" w:themeShade="80"/>
        </w:rPr>
        <w:t>if the majority of partners, as specified in the partnership agreement</w:t>
      </w:r>
      <w:r w:rsidR="00D9269A">
        <w:rPr>
          <w:rFonts w:ascii="Avenir Next" w:hAnsi="Avenir Next"/>
          <w:color w:val="808080" w:themeColor="background1" w:themeShade="80"/>
        </w:rPr>
        <w:t xml:space="preserve"> as being entitled to vote to elect a new general partner, or in the absence of such a provision</w:t>
      </w:r>
      <w:r w:rsidR="00B36036">
        <w:rPr>
          <w:rFonts w:ascii="Avenir Next" w:hAnsi="Avenir Next"/>
          <w:color w:val="808080" w:themeColor="background1" w:themeShade="80"/>
        </w:rPr>
        <w:t>, a simple majority by reference to capital contributions, can resume the business of the ELP</w:t>
      </w:r>
      <w:r w:rsidR="0059611F">
        <w:rPr>
          <w:rFonts w:ascii="Avenir Next" w:hAnsi="Avenir Next"/>
          <w:color w:val="808080" w:themeColor="background1" w:themeShade="80"/>
        </w:rPr>
        <w:t xml:space="preserve"> by electing anew general partner</w:t>
      </w:r>
      <w:r w:rsidR="00223A93">
        <w:rPr>
          <w:rFonts w:ascii="Avenir Next" w:hAnsi="Avenir Next"/>
          <w:color w:val="808080" w:themeColor="background1" w:themeShade="80"/>
        </w:rPr>
        <w:t xml:space="preserve"> – as per section 36(12) of the ELP Act, </w:t>
      </w:r>
      <w:r w:rsidR="00545E5A">
        <w:rPr>
          <w:rFonts w:ascii="Avenir Next" w:hAnsi="Avenir Next"/>
          <w:color w:val="808080" w:themeColor="background1" w:themeShade="80"/>
        </w:rPr>
        <w:t xml:space="preserve"> 2021</w:t>
      </w:r>
      <w:r w:rsidR="000359E9">
        <w:rPr>
          <w:rFonts w:ascii="Avenir Next" w:hAnsi="Avenir Next"/>
          <w:color w:val="808080" w:themeColor="background1" w:themeShade="80"/>
        </w:rPr>
        <w:t xml:space="preserve">, and prevent the winding up. </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680E0B21" w:rsidR="007C0544" w:rsidRDefault="00DC24EA"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Following the</w:t>
      </w:r>
      <w:r w:rsidR="000D7B16">
        <w:rPr>
          <w:rFonts w:ascii="Avenir Next" w:hAnsi="Avenir Next"/>
          <w:color w:val="808080" w:themeColor="background1" w:themeShade="80"/>
        </w:rPr>
        <w:t xml:space="preserve"> report of the Trustee as to the debtors affairs, under section 67 of the Bankruptcy Act</w:t>
      </w:r>
      <w:r w:rsidR="00A36781">
        <w:rPr>
          <w:rFonts w:ascii="Avenir Next" w:hAnsi="Avenir Next"/>
          <w:color w:val="808080" w:themeColor="background1" w:themeShade="80"/>
        </w:rPr>
        <w:t xml:space="preserve">, 1997, in accordance with 68(1) of the Act, </w:t>
      </w:r>
      <w:r w:rsidR="002A1D24">
        <w:rPr>
          <w:rFonts w:ascii="Avenir Next" w:hAnsi="Avenir Next"/>
          <w:color w:val="808080" w:themeColor="background1" w:themeShade="80"/>
        </w:rPr>
        <w:t>the debtor may then at any time, apply to the court for an order of discharge</w:t>
      </w:r>
      <w:r w:rsidR="0053511A">
        <w:rPr>
          <w:rFonts w:ascii="Avenir Next" w:hAnsi="Avenir Next"/>
          <w:color w:val="808080" w:themeColor="background1" w:themeShade="80"/>
        </w:rPr>
        <w:t xml:space="preserve">. </w:t>
      </w:r>
    </w:p>
    <w:p w14:paraId="5FB38198" w14:textId="77777777" w:rsidR="0053511A" w:rsidRDefault="0053511A" w:rsidP="00137A41">
      <w:pPr>
        <w:pStyle w:val="BodyText"/>
        <w:ind w:firstLine="0"/>
        <w:rPr>
          <w:rFonts w:ascii="Avenir Next" w:hAnsi="Avenir Next"/>
          <w:color w:val="808080" w:themeColor="background1" w:themeShade="80"/>
        </w:rPr>
      </w:pPr>
    </w:p>
    <w:p w14:paraId="2B61481F" w14:textId="76E3D4B3" w:rsidR="0053511A" w:rsidRPr="00486A0B" w:rsidRDefault="0053511A" w:rsidP="00137A41">
      <w:pPr>
        <w:pStyle w:val="BodyText"/>
        <w:ind w:firstLine="0"/>
        <w:rPr>
          <w:rFonts w:ascii="Avenir Next" w:hAnsi="Avenir Next"/>
          <w:b/>
          <w:bCs/>
        </w:rPr>
      </w:pPr>
      <w:r>
        <w:rPr>
          <w:rFonts w:ascii="Avenir Next" w:hAnsi="Avenir Next"/>
          <w:color w:val="808080" w:themeColor="background1" w:themeShade="80"/>
        </w:rPr>
        <w:t xml:space="preserve">Provided no creditor of the Trustee successfully opposes the application, the </w:t>
      </w:r>
      <w:r w:rsidR="00FB0824">
        <w:rPr>
          <w:rFonts w:ascii="Avenir Next" w:hAnsi="Avenir Next"/>
          <w:color w:val="808080" w:themeColor="background1" w:themeShade="80"/>
        </w:rPr>
        <w:t xml:space="preserve">court can either grant an unconditional or conditional discharge. </w:t>
      </w:r>
      <w:r w:rsidR="0012650B">
        <w:rPr>
          <w:rFonts w:ascii="Avenir Next" w:hAnsi="Avenir Next"/>
          <w:color w:val="808080" w:themeColor="background1" w:themeShade="80"/>
        </w:rPr>
        <w:t>The effect is to release the debtor from their debts, subject to any conditions</w:t>
      </w:r>
      <w:r w:rsidR="00405706">
        <w:rPr>
          <w:rFonts w:ascii="Avenir Next" w:hAnsi="Avenir Next"/>
          <w:color w:val="808080" w:themeColor="background1" w:themeShade="80"/>
        </w:rPr>
        <w:t xml:space="preserve">, as set out under section 70 of the Act. </w:t>
      </w:r>
      <w:r w:rsidR="006A23CD">
        <w:rPr>
          <w:rFonts w:ascii="Avenir Next" w:hAnsi="Avenir Next"/>
          <w:color w:val="808080" w:themeColor="background1" w:themeShade="80"/>
        </w:rPr>
        <w:t>It is noteworthy, that a debtor shall not be release from any debt or liability incurred by means of fraud</w:t>
      </w:r>
      <w:r w:rsidR="009B733A">
        <w:rPr>
          <w:rFonts w:ascii="Avenir Next" w:hAnsi="Avenir Next"/>
          <w:color w:val="808080" w:themeColor="background1" w:themeShade="80"/>
        </w:rPr>
        <w:t xml:space="preserve"> or breach of trust. </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DBDA" w14:textId="77777777" w:rsidR="00AB535C" w:rsidRDefault="00AB535C" w:rsidP="001016B0">
      <w:r>
        <w:separator/>
      </w:r>
    </w:p>
  </w:endnote>
  <w:endnote w:type="continuationSeparator" w:id="0">
    <w:p w14:paraId="0B735B1E" w14:textId="77777777" w:rsidR="00AB535C" w:rsidRDefault="00AB535C" w:rsidP="001016B0">
      <w:r>
        <w:continuationSeparator/>
      </w:r>
    </w:p>
  </w:endnote>
  <w:endnote w:type="continuationNotice" w:id="1">
    <w:p w14:paraId="0C06205A" w14:textId="77777777" w:rsidR="00AB535C" w:rsidRDefault="00AB5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496CEE82" w:rsidR="009C6019" w:rsidRDefault="00C7208F" w:rsidP="008A20AC">
    <w:pPr>
      <w:pStyle w:val="Footer"/>
      <w:ind w:right="360"/>
    </w:pPr>
    <w:r>
      <w:t>202223-1067</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EE05" w14:textId="77777777" w:rsidR="00AB535C" w:rsidRDefault="00AB535C" w:rsidP="001016B0">
      <w:r>
        <w:separator/>
      </w:r>
    </w:p>
  </w:footnote>
  <w:footnote w:type="continuationSeparator" w:id="0">
    <w:p w14:paraId="09B8BD67" w14:textId="77777777" w:rsidR="00AB535C" w:rsidRDefault="00AB535C" w:rsidP="001016B0">
      <w:r>
        <w:continuationSeparator/>
      </w:r>
    </w:p>
  </w:footnote>
  <w:footnote w:type="continuationNotice" w:id="1">
    <w:p w14:paraId="2ABDF9B8" w14:textId="77777777" w:rsidR="00AB535C" w:rsidRDefault="00AB53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A5617"/>
    <w:multiLevelType w:val="hybridMultilevel"/>
    <w:tmpl w:val="7B748E6E"/>
    <w:lvl w:ilvl="0" w:tplc="C004E568">
      <w:start w:val="1"/>
      <w:numFmt w:val="bullet"/>
      <w:lvlText w:val="-"/>
      <w:lvlJc w:val="left"/>
      <w:pPr>
        <w:ind w:left="720" w:hanging="360"/>
      </w:pPr>
      <w:rPr>
        <w:rFonts w:ascii="Avenir Next" w:eastAsia="Times New Roman" w:hAnsi="Avenir Nex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042B57"/>
    <w:multiLevelType w:val="hybridMultilevel"/>
    <w:tmpl w:val="EDAA3F7C"/>
    <w:lvl w:ilvl="0" w:tplc="D966B24E">
      <w:start w:val="1"/>
      <w:numFmt w:val="decimal"/>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4"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50616389">
    <w:abstractNumId w:val="23"/>
  </w:num>
  <w:num w:numId="2" w16cid:durableId="809829358">
    <w:abstractNumId w:val="18"/>
  </w:num>
  <w:num w:numId="3" w16cid:durableId="518396169">
    <w:abstractNumId w:val="16"/>
  </w:num>
  <w:num w:numId="4" w16cid:durableId="169638034">
    <w:abstractNumId w:val="21"/>
  </w:num>
  <w:num w:numId="5" w16cid:durableId="513762591">
    <w:abstractNumId w:val="10"/>
  </w:num>
  <w:num w:numId="6" w16cid:durableId="807628482">
    <w:abstractNumId w:val="12"/>
  </w:num>
  <w:num w:numId="7" w16cid:durableId="614557229">
    <w:abstractNumId w:val="3"/>
  </w:num>
  <w:num w:numId="8" w16cid:durableId="1913079495">
    <w:abstractNumId w:val="25"/>
  </w:num>
  <w:num w:numId="9" w16cid:durableId="1483883480">
    <w:abstractNumId w:val="22"/>
  </w:num>
  <w:num w:numId="10" w16cid:durableId="1677465204">
    <w:abstractNumId w:val="2"/>
  </w:num>
  <w:num w:numId="11" w16cid:durableId="111287999">
    <w:abstractNumId w:val="0"/>
  </w:num>
  <w:num w:numId="12" w16cid:durableId="842083405">
    <w:abstractNumId w:val="1"/>
  </w:num>
  <w:num w:numId="13" w16cid:durableId="628903862">
    <w:abstractNumId w:val="24"/>
  </w:num>
  <w:num w:numId="14" w16cid:durableId="1880630747">
    <w:abstractNumId w:val="27"/>
  </w:num>
  <w:num w:numId="15" w16cid:durableId="1610703568">
    <w:abstractNumId w:val="17"/>
  </w:num>
  <w:num w:numId="16" w16cid:durableId="1720394403">
    <w:abstractNumId w:val="4"/>
  </w:num>
  <w:num w:numId="17" w16cid:durableId="157505717">
    <w:abstractNumId w:val="19"/>
  </w:num>
  <w:num w:numId="18" w16cid:durableId="337387646">
    <w:abstractNumId w:val="14"/>
  </w:num>
  <w:num w:numId="19" w16cid:durableId="1187400843">
    <w:abstractNumId w:val="9"/>
  </w:num>
  <w:num w:numId="20" w16cid:durableId="1741248184">
    <w:abstractNumId w:val="5"/>
  </w:num>
  <w:num w:numId="21" w16cid:durableId="862866128">
    <w:abstractNumId w:val="15"/>
  </w:num>
  <w:num w:numId="22" w16cid:durableId="1982077758">
    <w:abstractNumId w:val="26"/>
  </w:num>
  <w:num w:numId="23" w16cid:durableId="1651716446">
    <w:abstractNumId w:val="7"/>
  </w:num>
  <w:num w:numId="24" w16cid:durableId="1201090455">
    <w:abstractNumId w:val="13"/>
  </w:num>
  <w:num w:numId="25" w16cid:durableId="292059421">
    <w:abstractNumId w:val="11"/>
  </w:num>
  <w:num w:numId="26" w16cid:durableId="593319531">
    <w:abstractNumId w:val="8"/>
  </w:num>
  <w:num w:numId="27" w16cid:durableId="1006054949">
    <w:abstractNumId w:val="20"/>
  </w:num>
  <w:num w:numId="28" w16cid:durableId="207881546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250"/>
    <w:rsid w:val="00003912"/>
    <w:rsid w:val="00003B23"/>
    <w:rsid w:val="00005295"/>
    <w:rsid w:val="0000648C"/>
    <w:rsid w:val="00010D11"/>
    <w:rsid w:val="0001142A"/>
    <w:rsid w:val="00013834"/>
    <w:rsid w:val="000138DE"/>
    <w:rsid w:val="00014B26"/>
    <w:rsid w:val="0001529C"/>
    <w:rsid w:val="00015699"/>
    <w:rsid w:val="00015AD8"/>
    <w:rsid w:val="000162B7"/>
    <w:rsid w:val="00017020"/>
    <w:rsid w:val="00017852"/>
    <w:rsid w:val="00017A46"/>
    <w:rsid w:val="000208D5"/>
    <w:rsid w:val="00020E18"/>
    <w:rsid w:val="00025460"/>
    <w:rsid w:val="00026F51"/>
    <w:rsid w:val="00033D18"/>
    <w:rsid w:val="00034091"/>
    <w:rsid w:val="00034FC0"/>
    <w:rsid w:val="000359E9"/>
    <w:rsid w:val="00040041"/>
    <w:rsid w:val="000406C8"/>
    <w:rsid w:val="00042A14"/>
    <w:rsid w:val="000451AA"/>
    <w:rsid w:val="00045503"/>
    <w:rsid w:val="00045A84"/>
    <w:rsid w:val="00051862"/>
    <w:rsid w:val="000519BD"/>
    <w:rsid w:val="00052920"/>
    <w:rsid w:val="00055B4B"/>
    <w:rsid w:val="00060348"/>
    <w:rsid w:val="0006065B"/>
    <w:rsid w:val="00061E4F"/>
    <w:rsid w:val="0006405E"/>
    <w:rsid w:val="000672ED"/>
    <w:rsid w:val="000677CE"/>
    <w:rsid w:val="00071EFD"/>
    <w:rsid w:val="0007226E"/>
    <w:rsid w:val="00073862"/>
    <w:rsid w:val="000756CC"/>
    <w:rsid w:val="000807FB"/>
    <w:rsid w:val="00083AF3"/>
    <w:rsid w:val="00084B3D"/>
    <w:rsid w:val="0008557E"/>
    <w:rsid w:val="000865B1"/>
    <w:rsid w:val="00087A4E"/>
    <w:rsid w:val="00091123"/>
    <w:rsid w:val="00091667"/>
    <w:rsid w:val="000922D6"/>
    <w:rsid w:val="000943C5"/>
    <w:rsid w:val="00094C09"/>
    <w:rsid w:val="00097476"/>
    <w:rsid w:val="000A26BB"/>
    <w:rsid w:val="000A32F7"/>
    <w:rsid w:val="000C0827"/>
    <w:rsid w:val="000C4D57"/>
    <w:rsid w:val="000D20DB"/>
    <w:rsid w:val="000D340C"/>
    <w:rsid w:val="000D458A"/>
    <w:rsid w:val="000D5B7A"/>
    <w:rsid w:val="000D7B16"/>
    <w:rsid w:val="000E4C6C"/>
    <w:rsid w:val="000E502E"/>
    <w:rsid w:val="000F02E9"/>
    <w:rsid w:val="000F09F6"/>
    <w:rsid w:val="000F1349"/>
    <w:rsid w:val="000F1620"/>
    <w:rsid w:val="000F1B04"/>
    <w:rsid w:val="000F31F0"/>
    <w:rsid w:val="000F7E2C"/>
    <w:rsid w:val="0010016E"/>
    <w:rsid w:val="001001B2"/>
    <w:rsid w:val="001003CF"/>
    <w:rsid w:val="001016B0"/>
    <w:rsid w:val="00103B1E"/>
    <w:rsid w:val="00105315"/>
    <w:rsid w:val="001076FE"/>
    <w:rsid w:val="00110D31"/>
    <w:rsid w:val="00111800"/>
    <w:rsid w:val="00112905"/>
    <w:rsid w:val="00113D8C"/>
    <w:rsid w:val="001165C7"/>
    <w:rsid w:val="00117579"/>
    <w:rsid w:val="00120495"/>
    <w:rsid w:val="00124ECF"/>
    <w:rsid w:val="0012650B"/>
    <w:rsid w:val="001327D6"/>
    <w:rsid w:val="00132C2D"/>
    <w:rsid w:val="00132E0E"/>
    <w:rsid w:val="001336C3"/>
    <w:rsid w:val="00137A41"/>
    <w:rsid w:val="00137BAD"/>
    <w:rsid w:val="0014161D"/>
    <w:rsid w:val="00141A21"/>
    <w:rsid w:val="001520A7"/>
    <w:rsid w:val="001525EB"/>
    <w:rsid w:val="00152954"/>
    <w:rsid w:val="00155357"/>
    <w:rsid w:val="00157455"/>
    <w:rsid w:val="0016475E"/>
    <w:rsid w:val="0016582A"/>
    <w:rsid w:val="00166CC9"/>
    <w:rsid w:val="0017109D"/>
    <w:rsid w:val="00171BCA"/>
    <w:rsid w:val="00173F2B"/>
    <w:rsid w:val="00175350"/>
    <w:rsid w:val="00175F03"/>
    <w:rsid w:val="00177E01"/>
    <w:rsid w:val="001825D9"/>
    <w:rsid w:val="00183004"/>
    <w:rsid w:val="0018339C"/>
    <w:rsid w:val="00186645"/>
    <w:rsid w:val="001919F8"/>
    <w:rsid w:val="00192D14"/>
    <w:rsid w:val="00192FD4"/>
    <w:rsid w:val="00193626"/>
    <w:rsid w:val="00194D76"/>
    <w:rsid w:val="001954DE"/>
    <w:rsid w:val="00196A05"/>
    <w:rsid w:val="001A1043"/>
    <w:rsid w:val="001A20D0"/>
    <w:rsid w:val="001A370C"/>
    <w:rsid w:val="001A3DFE"/>
    <w:rsid w:val="001A6C10"/>
    <w:rsid w:val="001B11DA"/>
    <w:rsid w:val="001B4CC3"/>
    <w:rsid w:val="001B6C09"/>
    <w:rsid w:val="001C14BF"/>
    <w:rsid w:val="001C2016"/>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7497"/>
    <w:rsid w:val="00211EE8"/>
    <w:rsid w:val="00213DA5"/>
    <w:rsid w:val="0021508C"/>
    <w:rsid w:val="00216818"/>
    <w:rsid w:val="00217959"/>
    <w:rsid w:val="00217A56"/>
    <w:rsid w:val="00221041"/>
    <w:rsid w:val="00222127"/>
    <w:rsid w:val="00223A93"/>
    <w:rsid w:val="00224EAD"/>
    <w:rsid w:val="002264AD"/>
    <w:rsid w:val="00231CBA"/>
    <w:rsid w:val="00234313"/>
    <w:rsid w:val="00240F27"/>
    <w:rsid w:val="002410A1"/>
    <w:rsid w:val="00241BA5"/>
    <w:rsid w:val="00244935"/>
    <w:rsid w:val="0024550C"/>
    <w:rsid w:val="0025049F"/>
    <w:rsid w:val="00252A4F"/>
    <w:rsid w:val="002532D9"/>
    <w:rsid w:val="00255630"/>
    <w:rsid w:val="00257792"/>
    <w:rsid w:val="00260603"/>
    <w:rsid w:val="00263733"/>
    <w:rsid w:val="002665D8"/>
    <w:rsid w:val="00270263"/>
    <w:rsid w:val="00270334"/>
    <w:rsid w:val="00272F5C"/>
    <w:rsid w:val="002748ED"/>
    <w:rsid w:val="00274A8A"/>
    <w:rsid w:val="00282844"/>
    <w:rsid w:val="00283584"/>
    <w:rsid w:val="00284C14"/>
    <w:rsid w:val="00285037"/>
    <w:rsid w:val="002937D8"/>
    <w:rsid w:val="002967B3"/>
    <w:rsid w:val="002A082B"/>
    <w:rsid w:val="002A1D24"/>
    <w:rsid w:val="002A2C16"/>
    <w:rsid w:val="002A5F8F"/>
    <w:rsid w:val="002A61DF"/>
    <w:rsid w:val="002B15BA"/>
    <w:rsid w:val="002B2166"/>
    <w:rsid w:val="002B2CF8"/>
    <w:rsid w:val="002B3929"/>
    <w:rsid w:val="002B6B18"/>
    <w:rsid w:val="002B7150"/>
    <w:rsid w:val="002B7D9A"/>
    <w:rsid w:val="002C2837"/>
    <w:rsid w:val="002C7673"/>
    <w:rsid w:val="002D2D8F"/>
    <w:rsid w:val="002D343C"/>
    <w:rsid w:val="002E0235"/>
    <w:rsid w:val="002E125B"/>
    <w:rsid w:val="002E60D1"/>
    <w:rsid w:val="002E71A3"/>
    <w:rsid w:val="002F09B8"/>
    <w:rsid w:val="002F2E23"/>
    <w:rsid w:val="002F49CF"/>
    <w:rsid w:val="00300343"/>
    <w:rsid w:val="00300368"/>
    <w:rsid w:val="003005A4"/>
    <w:rsid w:val="00300A1C"/>
    <w:rsid w:val="0030119E"/>
    <w:rsid w:val="00303735"/>
    <w:rsid w:val="00303C2F"/>
    <w:rsid w:val="00306D6E"/>
    <w:rsid w:val="003104AD"/>
    <w:rsid w:val="0032119E"/>
    <w:rsid w:val="00324B7E"/>
    <w:rsid w:val="003260B9"/>
    <w:rsid w:val="00326929"/>
    <w:rsid w:val="00327BBD"/>
    <w:rsid w:val="0033007B"/>
    <w:rsid w:val="00332145"/>
    <w:rsid w:val="003370A8"/>
    <w:rsid w:val="003374AC"/>
    <w:rsid w:val="00337E93"/>
    <w:rsid w:val="00342DDB"/>
    <w:rsid w:val="00343065"/>
    <w:rsid w:val="00345A22"/>
    <w:rsid w:val="00347063"/>
    <w:rsid w:val="00347074"/>
    <w:rsid w:val="00353B67"/>
    <w:rsid w:val="00361373"/>
    <w:rsid w:val="00361ECF"/>
    <w:rsid w:val="00362356"/>
    <w:rsid w:val="00364438"/>
    <w:rsid w:val="003671F6"/>
    <w:rsid w:val="00373930"/>
    <w:rsid w:val="00375DE0"/>
    <w:rsid w:val="003845E5"/>
    <w:rsid w:val="00384725"/>
    <w:rsid w:val="003860E9"/>
    <w:rsid w:val="003916C1"/>
    <w:rsid w:val="00391C87"/>
    <w:rsid w:val="00393290"/>
    <w:rsid w:val="00393EC9"/>
    <w:rsid w:val="00393F1C"/>
    <w:rsid w:val="003A40DF"/>
    <w:rsid w:val="003A70E6"/>
    <w:rsid w:val="003B06BB"/>
    <w:rsid w:val="003B0C7D"/>
    <w:rsid w:val="003B16F1"/>
    <w:rsid w:val="003B3DEE"/>
    <w:rsid w:val="003B4199"/>
    <w:rsid w:val="003B54BE"/>
    <w:rsid w:val="003B5878"/>
    <w:rsid w:val="003B624B"/>
    <w:rsid w:val="003C02C7"/>
    <w:rsid w:val="003C5D82"/>
    <w:rsid w:val="003C64F7"/>
    <w:rsid w:val="003D0550"/>
    <w:rsid w:val="003D0905"/>
    <w:rsid w:val="003D15EA"/>
    <w:rsid w:val="003D374D"/>
    <w:rsid w:val="003D6FCF"/>
    <w:rsid w:val="003E0049"/>
    <w:rsid w:val="003E2B2B"/>
    <w:rsid w:val="003E5643"/>
    <w:rsid w:val="003F0E69"/>
    <w:rsid w:val="003F3425"/>
    <w:rsid w:val="003F5CB9"/>
    <w:rsid w:val="003F62D2"/>
    <w:rsid w:val="003F6E95"/>
    <w:rsid w:val="0040178F"/>
    <w:rsid w:val="004031E2"/>
    <w:rsid w:val="00405706"/>
    <w:rsid w:val="00414865"/>
    <w:rsid w:val="004165ED"/>
    <w:rsid w:val="00416B97"/>
    <w:rsid w:val="00416FAB"/>
    <w:rsid w:val="0042151D"/>
    <w:rsid w:val="00422D04"/>
    <w:rsid w:val="00423375"/>
    <w:rsid w:val="00423E49"/>
    <w:rsid w:val="00426327"/>
    <w:rsid w:val="004275D3"/>
    <w:rsid w:val="0043167D"/>
    <w:rsid w:val="00432143"/>
    <w:rsid w:val="004323A2"/>
    <w:rsid w:val="00437B5E"/>
    <w:rsid w:val="00437EB3"/>
    <w:rsid w:val="0044207D"/>
    <w:rsid w:val="00443C0B"/>
    <w:rsid w:val="0044683D"/>
    <w:rsid w:val="00446A9D"/>
    <w:rsid w:val="00446DA2"/>
    <w:rsid w:val="00447FBC"/>
    <w:rsid w:val="004522BB"/>
    <w:rsid w:val="00452EE5"/>
    <w:rsid w:val="0045444B"/>
    <w:rsid w:val="00454E81"/>
    <w:rsid w:val="00455EC3"/>
    <w:rsid w:val="00455F9E"/>
    <w:rsid w:val="00457AC8"/>
    <w:rsid w:val="00460679"/>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35C4"/>
    <w:rsid w:val="004960A8"/>
    <w:rsid w:val="00497732"/>
    <w:rsid w:val="00497863"/>
    <w:rsid w:val="004A6848"/>
    <w:rsid w:val="004A68CB"/>
    <w:rsid w:val="004A6C29"/>
    <w:rsid w:val="004B2B93"/>
    <w:rsid w:val="004B2D12"/>
    <w:rsid w:val="004B491D"/>
    <w:rsid w:val="004C05D0"/>
    <w:rsid w:val="004C1450"/>
    <w:rsid w:val="004C1D08"/>
    <w:rsid w:val="004C206D"/>
    <w:rsid w:val="004C439D"/>
    <w:rsid w:val="004C741B"/>
    <w:rsid w:val="004C7945"/>
    <w:rsid w:val="004D0C88"/>
    <w:rsid w:val="004D1602"/>
    <w:rsid w:val="004D5362"/>
    <w:rsid w:val="004E2868"/>
    <w:rsid w:val="004F21D4"/>
    <w:rsid w:val="004F2CCD"/>
    <w:rsid w:val="004F54FD"/>
    <w:rsid w:val="004F5C79"/>
    <w:rsid w:val="004F5D43"/>
    <w:rsid w:val="004F67CE"/>
    <w:rsid w:val="00500927"/>
    <w:rsid w:val="00500A35"/>
    <w:rsid w:val="00502BDF"/>
    <w:rsid w:val="00502FF8"/>
    <w:rsid w:val="00503680"/>
    <w:rsid w:val="00504A64"/>
    <w:rsid w:val="00505D83"/>
    <w:rsid w:val="00513012"/>
    <w:rsid w:val="00514A53"/>
    <w:rsid w:val="005157EC"/>
    <w:rsid w:val="005177BD"/>
    <w:rsid w:val="005200BF"/>
    <w:rsid w:val="005209D9"/>
    <w:rsid w:val="00520EFB"/>
    <w:rsid w:val="0052140A"/>
    <w:rsid w:val="00522139"/>
    <w:rsid w:val="00524834"/>
    <w:rsid w:val="00524F5D"/>
    <w:rsid w:val="00525CD4"/>
    <w:rsid w:val="00531586"/>
    <w:rsid w:val="00533BB5"/>
    <w:rsid w:val="00534D8B"/>
    <w:rsid w:val="0053511A"/>
    <w:rsid w:val="0053572E"/>
    <w:rsid w:val="005416EC"/>
    <w:rsid w:val="0054257F"/>
    <w:rsid w:val="00542B4C"/>
    <w:rsid w:val="00545E5A"/>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90961"/>
    <w:rsid w:val="00591D1D"/>
    <w:rsid w:val="00592A8D"/>
    <w:rsid w:val="00595D22"/>
    <w:rsid w:val="0059611F"/>
    <w:rsid w:val="00596592"/>
    <w:rsid w:val="00597D08"/>
    <w:rsid w:val="005A0AEC"/>
    <w:rsid w:val="005A640E"/>
    <w:rsid w:val="005A7724"/>
    <w:rsid w:val="005B4D2F"/>
    <w:rsid w:val="005C0FF6"/>
    <w:rsid w:val="005C16BD"/>
    <w:rsid w:val="005C18DC"/>
    <w:rsid w:val="005C3DA9"/>
    <w:rsid w:val="005C5801"/>
    <w:rsid w:val="005C6146"/>
    <w:rsid w:val="005C75FC"/>
    <w:rsid w:val="005C7EB6"/>
    <w:rsid w:val="005D171C"/>
    <w:rsid w:val="005D434D"/>
    <w:rsid w:val="005D54CF"/>
    <w:rsid w:val="005D6817"/>
    <w:rsid w:val="005D6FDC"/>
    <w:rsid w:val="005E0324"/>
    <w:rsid w:val="005E220E"/>
    <w:rsid w:val="005E3625"/>
    <w:rsid w:val="005E3DE5"/>
    <w:rsid w:val="005E45BD"/>
    <w:rsid w:val="005E62D2"/>
    <w:rsid w:val="005E7B59"/>
    <w:rsid w:val="005F5BDF"/>
    <w:rsid w:val="005F6280"/>
    <w:rsid w:val="005F7E38"/>
    <w:rsid w:val="0060275A"/>
    <w:rsid w:val="006027A2"/>
    <w:rsid w:val="00604564"/>
    <w:rsid w:val="00604C5F"/>
    <w:rsid w:val="00605AA2"/>
    <w:rsid w:val="00612137"/>
    <w:rsid w:val="00612766"/>
    <w:rsid w:val="00614528"/>
    <w:rsid w:val="006176C1"/>
    <w:rsid w:val="006278B5"/>
    <w:rsid w:val="00632B00"/>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265C"/>
    <w:rsid w:val="006836DB"/>
    <w:rsid w:val="00684667"/>
    <w:rsid w:val="00684B6B"/>
    <w:rsid w:val="006862AB"/>
    <w:rsid w:val="006902DF"/>
    <w:rsid w:val="0069113C"/>
    <w:rsid w:val="00691714"/>
    <w:rsid w:val="0069468A"/>
    <w:rsid w:val="006949A1"/>
    <w:rsid w:val="006955F2"/>
    <w:rsid w:val="006A1B37"/>
    <w:rsid w:val="006A2381"/>
    <w:rsid w:val="006A23CD"/>
    <w:rsid w:val="006A647B"/>
    <w:rsid w:val="006A65C4"/>
    <w:rsid w:val="006A7316"/>
    <w:rsid w:val="006A75FE"/>
    <w:rsid w:val="006B4C64"/>
    <w:rsid w:val="006B5166"/>
    <w:rsid w:val="006B613D"/>
    <w:rsid w:val="006B6D07"/>
    <w:rsid w:val="006B728F"/>
    <w:rsid w:val="006C0B78"/>
    <w:rsid w:val="006C1C44"/>
    <w:rsid w:val="006C44C0"/>
    <w:rsid w:val="006C4FD0"/>
    <w:rsid w:val="006C5990"/>
    <w:rsid w:val="006C62AA"/>
    <w:rsid w:val="006D0A60"/>
    <w:rsid w:val="006D2E87"/>
    <w:rsid w:val="006D34F1"/>
    <w:rsid w:val="006E0929"/>
    <w:rsid w:val="006E181A"/>
    <w:rsid w:val="006E218D"/>
    <w:rsid w:val="006E3396"/>
    <w:rsid w:val="006E3E96"/>
    <w:rsid w:val="006E481A"/>
    <w:rsid w:val="006E7B1B"/>
    <w:rsid w:val="006E7EF4"/>
    <w:rsid w:val="006F4065"/>
    <w:rsid w:val="006F55B4"/>
    <w:rsid w:val="006F6E78"/>
    <w:rsid w:val="006F7AE5"/>
    <w:rsid w:val="006F7EC1"/>
    <w:rsid w:val="00705108"/>
    <w:rsid w:val="00710451"/>
    <w:rsid w:val="00710A26"/>
    <w:rsid w:val="007120A0"/>
    <w:rsid w:val="00712DB0"/>
    <w:rsid w:val="007130E9"/>
    <w:rsid w:val="00715982"/>
    <w:rsid w:val="00721E7F"/>
    <w:rsid w:val="00723334"/>
    <w:rsid w:val="00724623"/>
    <w:rsid w:val="00726CA6"/>
    <w:rsid w:val="00727D5B"/>
    <w:rsid w:val="007318D5"/>
    <w:rsid w:val="007329FE"/>
    <w:rsid w:val="00733777"/>
    <w:rsid w:val="00733B70"/>
    <w:rsid w:val="00735290"/>
    <w:rsid w:val="007379F1"/>
    <w:rsid w:val="00737CFC"/>
    <w:rsid w:val="007410BD"/>
    <w:rsid w:val="00742407"/>
    <w:rsid w:val="00744FE6"/>
    <w:rsid w:val="007474DA"/>
    <w:rsid w:val="007518B2"/>
    <w:rsid w:val="00755F63"/>
    <w:rsid w:val="00760CBA"/>
    <w:rsid w:val="00760D1F"/>
    <w:rsid w:val="00761C89"/>
    <w:rsid w:val="007629D5"/>
    <w:rsid w:val="00765C13"/>
    <w:rsid w:val="00766DAD"/>
    <w:rsid w:val="00767895"/>
    <w:rsid w:val="00770B43"/>
    <w:rsid w:val="00770BC0"/>
    <w:rsid w:val="0077169C"/>
    <w:rsid w:val="007747E8"/>
    <w:rsid w:val="007818BA"/>
    <w:rsid w:val="007868C0"/>
    <w:rsid w:val="0078723E"/>
    <w:rsid w:val="007904C8"/>
    <w:rsid w:val="00790583"/>
    <w:rsid w:val="0079130C"/>
    <w:rsid w:val="00792FB4"/>
    <w:rsid w:val="00793373"/>
    <w:rsid w:val="00794B30"/>
    <w:rsid w:val="00796149"/>
    <w:rsid w:val="00796992"/>
    <w:rsid w:val="007971E0"/>
    <w:rsid w:val="007A0F49"/>
    <w:rsid w:val="007A1000"/>
    <w:rsid w:val="007A1E90"/>
    <w:rsid w:val="007A5362"/>
    <w:rsid w:val="007B02DD"/>
    <w:rsid w:val="007B0475"/>
    <w:rsid w:val="007B0A80"/>
    <w:rsid w:val="007B18AA"/>
    <w:rsid w:val="007B1B03"/>
    <w:rsid w:val="007B2BB6"/>
    <w:rsid w:val="007B3A4A"/>
    <w:rsid w:val="007B435F"/>
    <w:rsid w:val="007B607D"/>
    <w:rsid w:val="007B6DD3"/>
    <w:rsid w:val="007C04CB"/>
    <w:rsid w:val="007C0544"/>
    <w:rsid w:val="007C191B"/>
    <w:rsid w:val="007C4414"/>
    <w:rsid w:val="007C5F0B"/>
    <w:rsid w:val="007C7548"/>
    <w:rsid w:val="007C758E"/>
    <w:rsid w:val="007D0061"/>
    <w:rsid w:val="007D31D4"/>
    <w:rsid w:val="007E0208"/>
    <w:rsid w:val="007E02F4"/>
    <w:rsid w:val="007F02EC"/>
    <w:rsid w:val="007F068B"/>
    <w:rsid w:val="007F67A0"/>
    <w:rsid w:val="00803983"/>
    <w:rsid w:val="00804FC8"/>
    <w:rsid w:val="0081235E"/>
    <w:rsid w:val="00812BFB"/>
    <w:rsid w:val="00812D81"/>
    <w:rsid w:val="00813CB4"/>
    <w:rsid w:val="00816B32"/>
    <w:rsid w:val="00817EB4"/>
    <w:rsid w:val="008201D7"/>
    <w:rsid w:val="00820BFA"/>
    <w:rsid w:val="00822A4C"/>
    <w:rsid w:val="00831F21"/>
    <w:rsid w:val="00841AE4"/>
    <w:rsid w:val="00842786"/>
    <w:rsid w:val="0084350B"/>
    <w:rsid w:val="008436B8"/>
    <w:rsid w:val="00850236"/>
    <w:rsid w:val="00853A06"/>
    <w:rsid w:val="008664DC"/>
    <w:rsid w:val="00867EF8"/>
    <w:rsid w:val="008735A4"/>
    <w:rsid w:val="008753CD"/>
    <w:rsid w:val="008769EE"/>
    <w:rsid w:val="00877253"/>
    <w:rsid w:val="00877F73"/>
    <w:rsid w:val="0088563D"/>
    <w:rsid w:val="008865F3"/>
    <w:rsid w:val="00895CDF"/>
    <w:rsid w:val="00896887"/>
    <w:rsid w:val="008A1E42"/>
    <w:rsid w:val="008A1E6D"/>
    <w:rsid w:val="008A20AC"/>
    <w:rsid w:val="008A2BE4"/>
    <w:rsid w:val="008A7BA0"/>
    <w:rsid w:val="008B18AE"/>
    <w:rsid w:val="008B2794"/>
    <w:rsid w:val="008B36EA"/>
    <w:rsid w:val="008B649F"/>
    <w:rsid w:val="008B74A9"/>
    <w:rsid w:val="008B7C0A"/>
    <w:rsid w:val="008B7E3D"/>
    <w:rsid w:val="008C0C51"/>
    <w:rsid w:val="008C2F87"/>
    <w:rsid w:val="008C4CD7"/>
    <w:rsid w:val="008C52C5"/>
    <w:rsid w:val="008D0181"/>
    <w:rsid w:val="008D02A6"/>
    <w:rsid w:val="008D2586"/>
    <w:rsid w:val="008D289A"/>
    <w:rsid w:val="008D45B9"/>
    <w:rsid w:val="008D7189"/>
    <w:rsid w:val="008E2DAC"/>
    <w:rsid w:val="008E3552"/>
    <w:rsid w:val="008E623E"/>
    <w:rsid w:val="008E6B76"/>
    <w:rsid w:val="008E73FC"/>
    <w:rsid w:val="008F2BE2"/>
    <w:rsid w:val="008F5E4F"/>
    <w:rsid w:val="0090189F"/>
    <w:rsid w:val="0090300F"/>
    <w:rsid w:val="009033D4"/>
    <w:rsid w:val="00903882"/>
    <w:rsid w:val="0090576D"/>
    <w:rsid w:val="00910200"/>
    <w:rsid w:val="00912AD4"/>
    <w:rsid w:val="00912F92"/>
    <w:rsid w:val="009143EA"/>
    <w:rsid w:val="009164C1"/>
    <w:rsid w:val="00917205"/>
    <w:rsid w:val="0092725A"/>
    <w:rsid w:val="00930A74"/>
    <w:rsid w:val="00933F8A"/>
    <w:rsid w:val="00934980"/>
    <w:rsid w:val="00941F3D"/>
    <w:rsid w:val="00944436"/>
    <w:rsid w:val="0094450B"/>
    <w:rsid w:val="00944A47"/>
    <w:rsid w:val="0094693B"/>
    <w:rsid w:val="009524E1"/>
    <w:rsid w:val="00953D64"/>
    <w:rsid w:val="00954CBE"/>
    <w:rsid w:val="0095555F"/>
    <w:rsid w:val="00957A2E"/>
    <w:rsid w:val="00960066"/>
    <w:rsid w:val="00960617"/>
    <w:rsid w:val="00960B8D"/>
    <w:rsid w:val="009621D7"/>
    <w:rsid w:val="00963603"/>
    <w:rsid w:val="00964F29"/>
    <w:rsid w:val="009669E6"/>
    <w:rsid w:val="00972FE8"/>
    <w:rsid w:val="009733E8"/>
    <w:rsid w:val="00973B2E"/>
    <w:rsid w:val="0097612A"/>
    <w:rsid w:val="00977D63"/>
    <w:rsid w:val="009803AC"/>
    <w:rsid w:val="00982CE2"/>
    <w:rsid w:val="0098311F"/>
    <w:rsid w:val="009857FC"/>
    <w:rsid w:val="00987044"/>
    <w:rsid w:val="0099671D"/>
    <w:rsid w:val="009A0077"/>
    <w:rsid w:val="009A237C"/>
    <w:rsid w:val="009A2499"/>
    <w:rsid w:val="009A3096"/>
    <w:rsid w:val="009B0913"/>
    <w:rsid w:val="009B0B28"/>
    <w:rsid w:val="009B52EC"/>
    <w:rsid w:val="009B6474"/>
    <w:rsid w:val="009B6ADA"/>
    <w:rsid w:val="009B733A"/>
    <w:rsid w:val="009B7D40"/>
    <w:rsid w:val="009C062D"/>
    <w:rsid w:val="009C1EC6"/>
    <w:rsid w:val="009C6019"/>
    <w:rsid w:val="009C7A87"/>
    <w:rsid w:val="009C7BB4"/>
    <w:rsid w:val="009D0718"/>
    <w:rsid w:val="009D1F99"/>
    <w:rsid w:val="009D2538"/>
    <w:rsid w:val="009D27B4"/>
    <w:rsid w:val="009D588F"/>
    <w:rsid w:val="009D67A4"/>
    <w:rsid w:val="009D6CB8"/>
    <w:rsid w:val="009E1287"/>
    <w:rsid w:val="009E2AEB"/>
    <w:rsid w:val="009E549B"/>
    <w:rsid w:val="009E5EAE"/>
    <w:rsid w:val="009F3508"/>
    <w:rsid w:val="009F45C7"/>
    <w:rsid w:val="009F49C2"/>
    <w:rsid w:val="009F4C3A"/>
    <w:rsid w:val="009F5EED"/>
    <w:rsid w:val="009F6007"/>
    <w:rsid w:val="00A06708"/>
    <w:rsid w:val="00A06A34"/>
    <w:rsid w:val="00A07356"/>
    <w:rsid w:val="00A1338D"/>
    <w:rsid w:val="00A225FD"/>
    <w:rsid w:val="00A23950"/>
    <w:rsid w:val="00A2519A"/>
    <w:rsid w:val="00A322BC"/>
    <w:rsid w:val="00A36781"/>
    <w:rsid w:val="00A367D9"/>
    <w:rsid w:val="00A41A5F"/>
    <w:rsid w:val="00A4246A"/>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C0C"/>
    <w:rsid w:val="00A54F40"/>
    <w:rsid w:val="00A55B7D"/>
    <w:rsid w:val="00A56926"/>
    <w:rsid w:val="00A60BED"/>
    <w:rsid w:val="00A653DB"/>
    <w:rsid w:val="00A70406"/>
    <w:rsid w:val="00A71C38"/>
    <w:rsid w:val="00A72FBC"/>
    <w:rsid w:val="00A74347"/>
    <w:rsid w:val="00A7513E"/>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5393"/>
    <w:rsid w:val="00A97787"/>
    <w:rsid w:val="00A97DED"/>
    <w:rsid w:val="00AA0064"/>
    <w:rsid w:val="00AA3641"/>
    <w:rsid w:val="00AA4263"/>
    <w:rsid w:val="00AA70F7"/>
    <w:rsid w:val="00AB0D91"/>
    <w:rsid w:val="00AB4027"/>
    <w:rsid w:val="00AB52AD"/>
    <w:rsid w:val="00AB535C"/>
    <w:rsid w:val="00AC01A3"/>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E9B"/>
    <w:rsid w:val="00AE7DA6"/>
    <w:rsid w:val="00AF146A"/>
    <w:rsid w:val="00AF28C6"/>
    <w:rsid w:val="00AF46D1"/>
    <w:rsid w:val="00AF61F1"/>
    <w:rsid w:val="00AF6388"/>
    <w:rsid w:val="00AF6EA6"/>
    <w:rsid w:val="00B010D8"/>
    <w:rsid w:val="00B04824"/>
    <w:rsid w:val="00B051B0"/>
    <w:rsid w:val="00B0737C"/>
    <w:rsid w:val="00B10DD9"/>
    <w:rsid w:val="00B12FC7"/>
    <w:rsid w:val="00B14A27"/>
    <w:rsid w:val="00B154D5"/>
    <w:rsid w:val="00B166B1"/>
    <w:rsid w:val="00B17707"/>
    <w:rsid w:val="00B20098"/>
    <w:rsid w:val="00B21971"/>
    <w:rsid w:val="00B21A81"/>
    <w:rsid w:val="00B22A54"/>
    <w:rsid w:val="00B23068"/>
    <w:rsid w:val="00B252A4"/>
    <w:rsid w:val="00B308B3"/>
    <w:rsid w:val="00B31A12"/>
    <w:rsid w:val="00B321C1"/>
    <w:rsid w:val="00B32571"/>
    <w:rsid w:val="00B348CF"/>
    <w:rsid w:val="00B35ECB"/>
    <w:rsid w:val="00B36036"/>
    <w:rsid w:val="00B40A75"/>
    <w:rsid w:val="00B41774"/>
    <w:rsid w:val="00B4184D"/>
    <w:rsid w:val="00B44B30"/>
    <w:rsid w:val="00B458EC"/>
    <w:rsid w:val="00B518BA"/>
    <w:rsid w:val="00B53BC9"/>
    <w:rsid w:val="00B54095"/>
    <w:rsid w:val="00B546E9"/>
    <w:rsid w:val="00B562C8"/>
    <w:rsid w:val="00B56420"/>
    <w:rsid w:val="00B62FFC"/>
    <w:rsid w:val="00B7612E"/>
    <w:rsid w:val="00B77F91"/>
    <w:rsid w:val="00B827C6"/>
    <w:rsid w:val="00B857E6"/>
    <w:rsid w:val="00B91649"/>
    <w:rsid w:val="00BA24B1"/>
    <w:rsid w:val="00BA451C"/>
    <w:rsid w:val="00BA4594"/>
    <w:rsid w:val="00BA4B8D"/>
    <w:rsid w:val="00BA6F72"/>
    <w:rsid w:val="00BB1EBB"/>
    <w:rsid w:val="00BB3A26"/>
    <w:rsid w:val="00BB5393"/>
    <w:rsid w:val="00BB606F"/>
    <w:rsid w:val="00BB6FE0"/>
    <w:rsid w:val="00BC163A"/>
    <w:rsid w:val="00BC3209"/>
    <w:rsid w:val="00BD0975"/>
    <w:rsid w:val="00BD1E8D"/>
    <w:rsid w:val="00BD2DF8"/>
    <w:rsid w:val="00BE35A9"/>
    <w:rsid w:val="00BE669E"/>
    <w:rsid w:val="00BE6830"/>
    <w:rsid w:val="00BE6A24"/>
    <w:rsid w:val="00BE756A"/>
    <w:rsid w:val="00BF2024"/>
    <w:rsid w:val="00BF243A"/>
    <w:rsid w:val="00BF2FE7"/>
    <w:rsid w:val="00BF3B08"/>
    <w:rsid w:val="00BF4C0F"/>
    <w:rsid w:val="00C003D7"/>
    <w:rsid w:val="00C00478"/>
    <w:rsid w:val="00C03A2E"/>
    <w:rsid w:val="00C040F7"/>
    <w:rsid w:val="00C11D6C"/>
    <w:rsid w:val="00C12DB9"/>
    <w:rsid w:val="00C23096"/>
    <w:rsid w:val="00C30838"/>
    <w:rsid w:val="00C30AE9"/>
    <w:rsid w:val="00C35C78"/>
    <w:rsid w:val="00C45C67"/>
    <w:rsid w:val="00C56B40"/>
    <w:rsid w:val="00C56E18"/>
    <w:rsid w:val="00C601AA"/>
    <w:rsid w:val="00C63F8F"/>
    <w:rsid w:val="00C64CEB"/>
    <w:rsid w:val="00C67220"/>
    <w:rsid w:val="00C7098F"/>
    <w:rsid w:val="00C7208F"/>
    <w:rsid w:val="00C72F5E"/>
    <w:rsid w:val="00C735DC"/>
    <w:rsid w:val="00C75BA5"/>
    <w:rsid w:val="00C77709"/>
    <w:rsid w:val="00C846E6"/>
    <w:rsid w:val="00C9018E"/>
    <w:rsid w:val="00C92E9B"/>
    <w:rsid w:val="00CA34A3"/>
    <w:rsid w:val="00CA388E"/>
    <w:rsid w:val="00CA61A0"/>
    <w:rsid w:val="00CA7069"/>
    <w:rsid w:val="00CB1069"/>
    <w:rsid w:val="00CB27A1"/>
    <w:rsid w:val="00CB4F67"/>
    <w:rsid w:val="00CC1C32"/>
    <w:rsid w:val="00CC3216"/>
    <w:rsid w:val="00CC434F"/>
    <w:rsid w:val="00CC527B"/>
    <w:rsid w:val="00CC5734"/>
    <w:rsid w:val="00CC7331"/>
    <w:rsid w:val="00CD0EA6"/>
    <w:rsid w:val="00CD1349"/>
    <w:rsid w:val="00CD25B1"/>
    <w:rsid w:val="00CD618E"/>
    <w:rsid w:val="00CE26A6"/>
    <w:rsid w:val="00CE3F26"/>
    <w:rsid w:val="00CE5B90"/>
    <w:rsid w:val="00CE64F0"/>
    <w:rsid w:val="00CF021D"/>
    <w:rsid w:val="00CF0A95"/>
    <w:rsid w:val="00CF3421"/>
    <w:rsid w:val="00CF4EEF"/>
    <w:rsid w:val="00CF5F19"/>
    <w:rsid w:val="00CF6645"/>
    <w:rsid w:val="00CF79F9"/>
    <w:rsid w:val="00D00885"/>
    <w:rsid w:val="00D0089A"/>
    <w:rsid w:val="00D0177C"/>
    <w:rsid w:val="00D03182"/>
    <w:rsid w:val="00D04FF2"/>
    <w:rsid w:val="00D06EBB"/>
    <w:rsid w:val="00D106DD"/>
    <w:rsid w:val="00D15390"/>
    <w:rsid w:val="00D203DA"/>
    <w:rsid w:val="00D20C81"/>
    <w:rsid w:val="00D23D4C"/>
    <w:rsid w:val="00D304F3"/>
    <w:rsid w:val="00D31451"/>
    <w:rsid w:val="00D43D4A"/>
    <w:rsid w:val="00D479A8"/>
    <w:rsid w:val="00D47E91"/>
    <w:rsid w:val="00D5060B"/>
    <w:rsid w:val="00D51356"/>
    <w:rsid w:val="00D60CCA"/>
    <w:rsid w:val="00D61824"/>
    <w:rsid w:val="00D61C26"/>
    <w:rsid w:val="00D62745"/>
    <w:rsid w:val="00D640B7"/>
    <w:rsid w:val="00D642B0"/>
    <w:rsid w:val="00D645AF"/>
    <w:rsid w:val="00D65F41"/>
    <w:rsid w:val="00D66209"/>
    <w:rsid w:val="00D6713B"/>
    <w:rsid w:val="00D6739C"/>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9269A"/>
    <w:rsid w:val="00DA38FF"/>
    <w:rsid w:val="00DA3FB5"/>
    <w:rsid w:val="00DB7E8F"/>
    <w:rsid w:val="00DC024D"/>
    <w:rsid w:val="00DC07C1"/>
    <w:rsid w:val="00DC0E33"/>
    <w:rsid w:val="00DC1959"/>
    <w:rsid w:val="00DC1D77"/>
    <w:rsid w:val="00DC20CF"/>
    <w:rsid w:val="00DC24EA"/>
    <w:rsid w:val="00DC2585"/>
    <w:rsid w:val="00DC27DB"/>
    <w:rsid w:val="00DC2837"/>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060A3"/>
    <w:rsid w:val="00E075D2"/>
    <w:rsid w:val="00E1059F"/>
    <w:rsid w:val="00E10BE3"/>
    <w:rsid w:val="00E12660"/>
    <w:rsid w:val="00E17027"/>
    <w:rsid w:val="00E20604"/>
    <w:rsid w:val="00E2315E"/>
    <w:rsid w:val="00E23AAE"/>
    <w:rsid w:val="00E2645E"/>
    <w:rsid w:val="00E26B0D"/>
    <w:rsid w:val="00E3054D"/>
    <w:rsid w:val="00E30785"/>
    <w:rsid w:val="00E324CE"/>
    <w:rsid w:val="00E326A0"/>
    <w:rsid w:val="00E32F6C"/>
    <w:rsid w:val="00E33A56"/>
    <w:rsid w:val="00E36270"/>
    <w:rsid w:val="00E3720D"/>
    <w:rsid w:val="00E40A16"/>
    <w:rsid w:val="00E41DE1"/>
    <w:rsid w:val="00E44FA9"/>
    <w:rsid w:val="00E5236A"/>
    <w:rsid w:val="00E53EF6"/>
    <w:rsid w:val="00E56F95"/>
    <w:rsid w:val="00E57462"/>
    <w:rsid w:val="00E6303E"/>
    <w:rsid w:val="00E63788"/>
    <w:rsid w:val="00E63A8F"/>
    <w:rsid w:val="00E64F45"/>
    <w:rsid w:val="00E673F4"/>
    <w:rsid w:val="00E70765"/>
    <w:rsid w:val="00E7109B"/>
    <w:rsid w:val="00E7319C"/>
    <w:rsid w:val="00E73716"/>
    <w:rsid w:val="00E755CA"/>
    <w:rsid w:val="00E83556"/>
    <w:rsid w:val="00E86AEB"/>
    <w:rsid w:val="00E87F7D"/>
    <w:rsid w:val="00E91461"/>
    <w:rsid w:val="00E91799"/>
    <w:rsid w:val="00E9506C"/>
    <w:rsid w:val="00E97FCF"/>
    <w:rsid w:val="00EA14B4"/>
    <w:rsid w:val="00EA2B57"/>
    <w:rsid w:val="00EA390C"/>
    <w:rsid w:val="00EA3EAE"/>
    <w:rsid w:val="00EA6193"/>
    <w:rsid w:val="00EA7689"/>
    <w:rsid w:val="00EB136F"/>
    <w:rsid w:val="00EB2E2A"/>
    <w:rsid w:val="00EB6910"/>
    <w:rsid w:val="00EB6DA5"/>
    <w:rsid w:val="00EB7411"/>
    <w:rsid w:val="00EB7B1A"/>
    <w:rsid w:val="00ED2DC8"/>
    <w:rsid w:val="00EE5B70"/>
    <w:rsid w:val="00EE6AE2"/>
    <w:rsid w:val="00EE7CB4"/>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31A9"/>
    <w:rsid w:val="00F166FF"/>
    <w:rsid w:val="00F17888"/>
    <w:rsid w:val="00F224C3"/>
    <w:rsid w:val="00F2250D"/>
    <w:rsid w:val="00F254AF"/>
    <w:rsid w:val="00F26F00"/>
    <w:rsid w:val="00F31D20"/>
    <w:rsid w:val="00F34192"/>
    <w:rsid w:val="00F40DCE"/>
    <w:rsid w:val="00F424CB"/>
    <w:rsid w:val="00F45506"/>
    <w:rsid w:val="00F45E6B"/>
    <w:rsid w:val="00F47EC3"/>
    <w:rsid w:val="00F512FE"/>
    <w:rsid w:val="00F564F7"/>
    <w:rsid w:val="00F57033"/>
    <w:rsid w:val="00F57481"/>
    <w:rsid w:val="00F57FFA"/>
    <w:rsid w:val="00F61992"/>
    <w:rsid w:val="00F624D8"/>
    <w:rsid w:val="00F6436A"/>
    <w:rsid w:val="00F6582B"/>
    <w:rsid w:val="00F6622D"/>
    <w:rsid w:val="00F91728"/>
    <w:rsid w:val="00FA596D"/>
    <w:rsid w:val="00FA602E"/>
    <w:rsid w:val="00FB0824"/>
    <w:rsid w:val="00FB2F3F"/>
    <w:rsid w:val="00FB6ED3"/>
    <w:rsid w:val="00FB7CEE"/>
    <w:rsid w:val="00FB7E00"/>
    <w:rsid w:val="00FC074E"/>
    <w:rsid w:val="00FC27AE"/>
    <w:rsid w:val="00FC34CD"/>
    <w:rsid w:val="00FC43F9"/>
    <w:rsid w:val="00FC5217"/>
    <w:rsid w:val="00FD1D85"/>
    <w:rsid w:val="00FD583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2"/>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18"/>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Niamh McMahon</cp:lastModifiedBy>
  <cp:revision>21</cp:revision>
  <cp:lastPrinted>2022-09-29T12:20:00Z</cp:lastPrinted>
  <dcterms:created xsi:type="dcterms:W3CDTF">2023-11-10T14:07:00Z</dcterms:created>
  <dcterms:modified xsi:type="dcterms:W3CDTF">2023-11-10T15:45:00Z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