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w:t>
      </w:r>
      <w:r w:rsidR="00017852" w:rsidRPr="00285037">
        <w:lastRenderedPageBreak/>
        <w:t>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 xml:space="preserve">If for any reason the submission / upload portal for your assessment is not available (ie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CC554F">
      <w:pPr>
        <w:pStyle w:val="BodyText"/>
        <w:widowControl/>
        <w:numPr>
          <w:ilvl w:val="0"/>
          <w:numId w:val="5"/>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CC554F">
      <w:pPr>
        <w:pStyle w:val="BodyText"/>
        <w:widowControl/>
        <w:numPr>
          <w:ilvl w:val="0"/>
          <w:numId w:val="5"/>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CC554F">
      <w:pPr>
        <w:pStyle w:val="BodyText"/>
        <w:widowControl/>
        <w:numPr>
          <w:ilvl w:val="0"/>
          <w:numId w:val="5"/>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D43B87" w:rsidRDefault="005E7B59" w:rsidP="00CC554F">
      <w:pPr>
        <w:pStyle w:val="BodyText"/>
        <w:widowControl/>
        <w:numPr>
          <w:ilvl w:val="0"/>
          <w:numId w:val="5"/>
        </w:numPr>
        <w:autoSpaceDE/>
        <w:autoSpaceDN/>
        <w:ind w:left="709" w:hanging="709"/>
        <w:rPr>
          <w:rFonts w:ascii="Avenir Next" w:hAnsi="Avenir Next"/>
          <w:highlight w:val="yellow"/>
        </w:rPr>
      </w:pPr>
      <w:r w:rsidRPr="00D43B87">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A500D9" w:rsidRDefault="00CC3216" w:rsidP="00CC554F">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CC554F">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CC554F">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CC554F">
      <w:pPr>
        <w:pStyle w:val="BodyText"/>
        <w:widowControl/>
        <w:numPr>
          <w:ilvl w:val="0"/>
          <w:numId w:val="6"/>
        </w:numPr>
        <w:autoSpaceDE/>
        <w:autoSpaceDN/>
        <w:ind w:left="709" w:hanging="709"/>
        <w:rPr>
          <w:rFonts w:ascii="Avenir Next" w:hAnsi="Avenir Next"/>
        </w:rPr>
      </w:pPr>
      <w:r w:rsidRPr="00C95AC2">
        <w:rPr>
          <w:rFonts w:ascii="Avenir Next" w:hAnsi="Avenir Next"/>
          <w:highlight w:val="yellow"/>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To whom does a privately-appointed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CC554F">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5E798D" w:rsidRDefault="00767895" w:rsidP="00CC554F">
      <w:pPr>
        <w:pStyle w:val="ListParagraph"/>
        <w:numPr>
          <w:ilvl w:val="1"/>
          <w:numId w:val="20"/>
        </w:numPr>
        <w:spacing w:after="0" w:line="240" w:lineRule="auto"/>
        <w:ind w:left="709" w:hanging="709"/>
        <w:rPr>
          <w:rFonts w:ascii="Avenir Next" w:hAnsi="Avenir Next"/>
          <w:highlight w:val="yellow"/>
          <w:lang w:val="en-GB"/>
        </w:rPr>
      </w:pPr>
      <w:r w:rsidRPr="005E798D">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CC554F">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CC554F">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All of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CC554F">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7178F6" w:rsidRDefault="00767895" w:rsidP="00CC554F">
      <w:pPr>
        <w:pStyle w:val="ListParagraph"/>
        <w:numPr>
          <w:ilvl w:val="0"/>
          <w:numId w:val="21"/>
        </w:numPr>
        <w:spacing w:after="0" w:line="240" w:lineRule="auto"/>
        <w:ind w:left="709" w:hanging="709"/>
        <w:rPr>
          <w:rFonts w:ascii="Avenir Next" w:hAnsi="Avenir Next"/>
          <w:highlight w:val="yellow"/>
          <w:lang w:val="en-GB"/>
        </w:rPr>
      </w:pPr>
      <w:r w:rsidRPr="007178F6">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CC554F">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CC554F">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All of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A500D9" w:rsidRDefault="00A51B24" w:rsidP="00CC554F">
      <w:pPr>
        <w:pStyle w:val="BodyText"/>
        <w:widowControl/>
        <w:numPr>
          <w:ilvl w:val="0"/>
          <w:numId w:val="22"/>
        </w:numPr>
        <w:autoSpaceDE/>
        <w:autoSpaceDN/>
        <w:ind w:left="709" w:hanging="709"/>
        <w:jc w:val="both"/>
        <w:rPr>
          <w:rFonts w:ascii="Avenir Next" w:hAnsi="Avenir Next"/>
        </w:rPr>
      </w:pPr>
      <w:r w:rsidRPr="00107EB1">
        <w:rPr>
          <w:rFonts w:ascii="Avenir Next" w:hAnsi="Avenir Next"/>
          <w:highlight w:val="yellow"/>
        </w:rPr>
        <w:t xml:space="preserve">Within the </w:t>
      </w:r>
      <w:r w:rsidR="007B18AA" w:rsidRPr="00107EB1">
        <w:rPr>
          <w:rFonts w:ascii="Avenir Next" w:hAnsi="Avenir Next"/>
          <w:highlight w:val="yellow"/>
        </w:rPr>
        <w:t xml:space="preserve">six (6) </w:t>
      </w:r>
      <w:r w:rsidRPr="00107EB1">
        <w:rPr>
          <w:rFonts w:ascii="Avenir Next" w:hAnsi="Avenir Next"/>
          <w:highlight w:val="yellow"/>
        </w:rPr>
        <w:t>months immediately preceding the commencement of the winding up</w:t>
      </w:r>
      <w:r w:rsidR="00D304F3" w:rsidRPr="00107EB1">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CC554F">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CC554F">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CC554F">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CC554F">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A500D9" w:rsidRDefault="00CE5B90" w:rsidP="00CC554F">
      <w:pPr>
        <w:pStyle w:val="ListParagraph"/>
        <w:numPr>
          <w:ilvl w:val="0"/>
          <w:numId w:val="13"/>
        </w:numPr>
        <w:spacing w:after="0" w:line="240" w:lineRule="auto"/>
        <w:ind w:left="709" w:hanging="709"/>
        <w:rPr>
          <w:rFonts w:ascii="Avenir Next" w:hAnsi="Avenir Next" w:cs="Arial"/>
          <w:lang w:val="en-US"/>
        </w:rPr>
      </w:pPr>
      <w:r w:rsidRPr="00CE3938">
        <w:rPr>
          <w:rFonts w:ascii="Avenir Next" w:hAnsi="Avenir Next" w:cs="Arial"/>
          <w:highlight w:val="yellow"/>
          <w:lang w:val="en-US"/>
        </w:rPr>
        <w:t xml:space="preserve">Sections </w:t>
      </w:r>
      <w:r w:rsidR="00002250" w:rsidRPr="00CE3938">
        <w:rPr>
          <w:rFonts w:ascii="Avenir Next" w:hAnsi="Avenir Next" w:cs="Arial"/>
          <w:highlight w:val="yellow"/>
          <w:lang w:val="en-US"/>
        </w:rPr>
        <w:t>116-130</w:t>
      </w:r>
      <w:r w:rsidR="007B18AA" w:rsidRPr="00CE3938">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CC554F">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CC554F">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lastRenderedPageBreak/>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CC554F">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CC554F">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4F5718" w:rsidRDefault="00455EC3" w:rsidP="00CC554F">
      <w:pPr>
        <w:pStyle w:val="ListParagraph"/>
        <w:numPr>
          <w:ilvl w:val="0"/>
          <w:numId w:val="14"/>
        </w:numPr>
        <w:spacing w:after="0" w:line="240" w:lineRule="auto"/>
        <w:ind w:left="709" w:hanging="709"/>
        <w:rPr>
          <w:rFonts w:ascii="Avenir Next" w:hAnsi="Avenir Next" w:cs="Arial"/>
          <w:highlight w:val="yellow"/>
          <w:lang w:val="en-GB"/>
        </w:rPr>
      </w:pPr>
      <w:r w:rsidRPr="004F5718">
        <w:rPr>
          <w:rFonts w:ascii="Avenir Next" w:hAnsi="Avenir Next" w:cs="Arial"/>
          <w:highlight w:val="yellow"/>
          <w:lang w:val="en-GB"/>
        </w:rPr>
        <w:t>I</w:t>
      </w:r>
      <w:r w:rsidR="00002250" w:rsidRPr="004F5718">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CC554F">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CC554F">
      <w:pPr>
        <w:pStyle w:val="ListParagraph"/>
        <w:numPr>
          <w:ilvl w:val="0"/>
          <w:numId w:val="14"/>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set or amounts otherwise agreed in respect of the liquidator’s fee expectations. What  option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CC554F">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CC554F">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A500D9" w:rsidRDefault="002B7D9A" w:rsidP="00CC554F">
      <w:pPr>
        <w:pStyle w:val="ListParagraph"/>
        <w:numPr>
          <w:ilvl w:val="0"/>
          <w:numId w:val="15"/>
        </w:numPr>
        <w:spacing w:after="0" w:line="240" w:lineRule="auto"/>
        <w:ind w:left="709" w:hanging="709"/>
        <w:rPr>
          <w:rFonts w:ascii="Avenir Next" w:hAnsi="Avenir Next"/>
          <w:lang w:val="en-GB"/>
        </w:rPr>
      </w:pPr>
      <w:r w:rsidRPr="009773CA">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A500D9" w:rsidRDefault="002B7D9A" w:rsidP="00CC554F">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 xml:space="preserve">Ordinary creditor claims are always paid </w:t>
      </w:r>
      <w:r w:rsidRPr="00A500D9">
        <w:rPr>
          <w:rFonts w:ascii="Avenir Next" w:hAnsi="Avenir Next"/>
          <w:i/>
          <w:iCs/>
          <w:lang w:val="en-GB"/>
        </w:rPr>
        <w:t>pari passu</w:t>
      </w:r>
      <w:r w:rsidRPr="00A500D9">
        <w:rPr>
          <w:rFonts w:ascii="Avenir Next" w:hAnsi="Avenir Next"/>
          <w:lang w:val="en-GB"/>
        </w:rPr>
        <w:t>, regardless of any contractual terms validly entered into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037047" w:rsidRDefault="002B7D9A" w:rsidP="00CC554F">
      <w:pPr>
        <w:pStyle w:val="ListParagraph"/>
        <w:numPr>
          <w:ilvl w:val="0"/>
          <w:numId w:val="16"/>
        </w:numPr>
        <w:spacing w:after="0" w:line="240" w:lineRule="auto"/>
        <w:ind w:left="709" w:hanging="709"/>
        <w:rPr>
          <w:rFonts w:ascii="Avenir Next" w:hAnsi="Avenir Next"/>
          <w:highlight w:val="yellow"/>
          <w:lang w:val="en-GB"/>
        </w:rPr>
      </w:pPr>
      <w:r w:rsidRPr="00037047">
        <w:rPr>
          <w:rFonts w:ascii="Avenir Next" w:hAnsi="Avenir Next"/>
          <w:highlight w:val="yellow"/>
          <w:lang w:val="en-GB"/>
        </w:rPr>
        <w:lastRenderedPageBreak/>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CC554F">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CC554F">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CC554F">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F34D12" w:rsidRDefault="00D06EBB" w:rsidP="00CC554F">
      <w:pPr>
        <w:pStyle w:val="ListParagraph"/>
        <w:numPr>
          <w:ilvl w:val="0"/>
          <w:numId w:val="10"/>
        </w:numPr>
        <w:spacing w:after="0" w:line="240" w:lineRule="auto"/>
        <w:ind w:left="709" w:hanging="709"/>
        <w:rPr>
          <w:rFonts w:ascii="Avenir Next LT Pro" w:hAnsi="Avenir Next LT Pro"/>
          <w:highlight w:val="yellow"/>
          <w:lang w:val="en-GB"/>
        </w:rPr>
      </w:pPr>
      <w:r w:rsidRPr="00F34D12">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CC554F">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CC554F">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CC554F">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CC554F">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CC554F">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A500D9" w:rsidRDefault="00D06EBB" w:rsidP="00CC554F">
      <w:pPr>
        <w:pStyle w:val="ListParagraph"/>
        <w:numPr>
          <w:ilvl w:val="0"/>
          <w:numId w:val="11"/>
        </w:numPr>
        <w:spacing w:after="0" w:line="240" w:lineRule="auto"/>
        <w:ind w:left="709" w:hanging="709"/>
        <w:rPr>
          <w:rFonts w:ascii="Avenir Next LT Pro" w:hAnsi="Avenir Next LT Pro"/>
          <w:lang w:val="en-GB"/>
        </w:rPr>
      </w:pPr>
      <w:r w:rsidRPr="00715CD5">
        <w:rPr>
          <w:rFonts w:ascii="Avenir Next LT Pro" w:hAnsi="Avenir Next LT Pro"/>
          <w:highlight w:val="yellow"/>
          <w:lang w:val="en-GB"/>
        </w:rPr>
        <w:t>Within 21 days of the date on which the creditor receive</w:t>
      </w:r>
      <w:r w:rsidR="007B18AA" w:rsidRPr="00715CD5">
        <w:rPr>
          <w:rFonts w:ascii="Avenir Next LT Pro" w:hAnsi="Avenir Next LT Pro"/>
          <w:highlight w:val="yellow"/>
          <w:lang w:val="en-GB"/>
        </w:rPr>
        <w:t>d</w:t>
      </w:r>
      <w:r w:rsidRPr="00715CD5">
        <w:rPr>
          <w:rFonts w:ascii="Avenir Next LT Pro" w:hAnsi="Avenir Next LT Pro"/>
          <w:highlight w:val="yellow"/>
          <w:lang w:val="en-GB"/>
        </w:rPr>
        <w:t xml:space="preserve"> the official liquidator's notification under O.16, r.6 of the C</w:t>
      </w:r>
      <w:r w:rsidR="00CE5B90" w:rsidRPr="00715CD5">
        <w:rPr>
          <w:rFonts w:ascii="Avenir Next LT Pro" w:hAnsi="Avenir Next LT Pro"/>
          <w:highlight w:val="yellow"/>
          <w:lang w:val="en-GB"/>
        </w:rPr>
        <w:t>ompanies Winding Up R</w:t>
      </w:r>
      <w:r w:rsidR="001D3AB4" w:rsidRPr="00715CD5">
        <w:rPr>
          <w:rFonts w:ascii="Avenir Next LT Pro" w:hAnsi="Avenir Next LT Pro"/>
          <w:highlight w:val="yellow"/>
          <w:lang w:val="en-GB"/>
        </w:rPr>
        <w:t>ules</w:t>
      </w:r>
      <w:r w:rsidRPr="00715CD5">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CC554F">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9D35C7" w:rsidRDefault="00097476" w:rsidP="00CC554F">
      <w:pPr>
        <w:pStyle w:val="ListParagraph"/>
        <w:numPr>
          <w:ilvl w:val="0"/>
          <w:numId w:val="17"/>
        </w:numPr>
        <w:spacing w:after="0" w:line="240" w:lineRule="auto"/>
        <w:ind w:left="709" w:hanging="709"/>
        <w:rPr>
          <w:rFonts w:ascii="Avenir Next" w:hAnsi="Avenir Next"/>
          <w:highlight w:val="yellow"/>
          <w:lang w:val="en-GB"/>
        </w:rPr>
      </w:pPr>
      <w:r w:rsidRPr="009D35C7">
        <w:rPr>
          <w:rFonts w:ascii="Avenir Next" w:hAnsi="Avenir Next"/>
          <w:highlight w:val="yellow"/>
          <w:lang w:val="en-GB"/>
        </w:rPr>
        <w:lastRenderedPageBreak/>
        <w:t>The proposal of a resolution for the winding up of the ELP</w:t>
      </w:r>
      <w:r w:rsidR="00CE5B90" w:rsidRPr="009D35C7">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CC554F">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CC554F">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 xml:space="preserve">The automatic wind up date.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CC554F">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CC554F">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CC554F">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C66FD5" w:rsidRDefault="00097476" w:rsidP="00CC554F">
      <w:pPr>
        <w:pStyle w:val="ListParagraph"/>
        <w:numPr>
          <w:ilvl w:val="0"/>
          <w:numId w:val="19"/>
        </w:numPr>
        <w:spacing w:after="0" w:line="240" w:lineRule="auto"/>
        <w:ind w:left="709" w:hanging="709"/>
        <w:rPr>
          <w:rFonts w:ascii="Avenir Next LT Pro" w:hAnsi="Avenir Next LT Pro"/>
          <w:highlight w:val="yellow"/>
          <w:lang w:val="en-GB"/>
        </w:rPr>
      </w:pPr>
      <w:r w:rsidRPr="00C66FD5">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CC554F">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CC554F">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A500D9" w:rsidRDefault="00D479A8" w:rsidP="00CC554F">
      <w:pPr>
        <w:pStyle w:val="ListParagraph"/>
        <w:numPr>
          <w:ilvl w:val="1"/>
          <w:numId w:val="24"/>
        </w:numPr>
        <w:spacing w:after="0" w:line="240" w:lineRule="auto"/>
        <w:ind w:left="709" w:hanging="709"/>
        <w:rPr>
          <w:rFonts w:ascii="Avenir Next" w:hAnsi="Avenir Next"/>
          <w:lang w:val="en-US"/>
        </w:rPr>
      </w:pPr>
      <w:r w:rsidRPr="00A87ED2">
        <w:rPr>
          <w:rFonts w:ascii="Avenir Next" w:hAnsi="Avenir Next"/>
          <w:highlight w:val="yellow"/>
          <w:lang w:val="en-US"/>
        </w:rPr>
        <w:t xml:space="preserve">After a winding up </w:t>
      </w:r>
      <w:r w:rsidR="007B18AA" w:rsidRPr="00A87ED2">
        <w:rPr>
          <w:rFonts w:ascii="Avenir Next" w:hAnsi="Avenir Next"/>
          <w:highlight w:val="yellow"/>
          <w:lang w:val="en-US"/>
        </w:rPr>
        <w:t>p</w:t>
      </w:r>
      <w:r w:rsidRPr="00A87ED2">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CC554F">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Who may apply for the appointment of provisional liquidators to a corporate debtor</w:t>
      </w:r>
      <w:r w:rsidR="00CE5B90" w:rsidRPr="00A500D9">
        <w:t>?:</w:t>
      </w:r>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CC554F">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CC554F">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CC554F">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A500D9" w:rsidRDefault="00D479A8" w:rsidP="00CC554F">
      <w:pPr>
        <w:pStyle w:val="ListParagraph"/>
        <w:numPr>
          <w:ilvl w:val="1"/>
          <w:numId w:val="23"/>
        </w:numPr>
        <w:spacing w:after="0" w:line="240" w:lineRule="auto"/>
        <w:ind w:left="709" w:hanging="709"/>
        <w:rPr>
          <w:rFonts w:ascii="Avenir Next" w:hAnsi="Avenir Next"/>
          <w:lang w:val="en-US"/>
        </w:rPr>
      </w:pPr>
      <w:r w:rsidRPr="0000487B">
        <w:rPr>
          <w:rFonts w:ascii="Avenir Next" w:hAnsi="Avenir Next"/>
          <w:highlight w:val="yellow"/>
          <w:lang w:val="en-US"/>
        </w:rPr>
        <w:t>All of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CC554F">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all of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CC554F">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CC554F">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6E6F77" w:rsidRDefault="00EF6C95" w:rsidP="00CC554F">
      <w:pPr>
        <w:pStyle w:val="ListParagraph"/>
        <w:numPr>
          <w:ilvl w:val="0"/>
          <w:numId w:val="9"/>
        </w:numPr>
        <w:spacing w:after="0" w:line="240" w:lineRule="auto"/>
        <w:ind w:left="709" w:hanging="709"/>
        <w:jc w:val="left"/>
        <w:rPr>
          <w:rFonts w:ascii="Avenir Next" w:hAnsi="Avenir Next"/>
          <w:highlight w:val="yellow"/>
          <w:lang w:val="en-GB"/>
        </w:rPr>
      </w:pPr>
      <w:r w:rsidRPr="006E6F77">
        <w:rPr>
          <w:rFonts w:ascii="Avenir Next" w:hAnsi="Avenir Next"/>
          <w:highlight w:val="yellow"/>
          <w:lang w:val="en-GB"/>
        </w:rPr>
        <w:t xml:space="preserve">Must </w:t>
      </w:r>
      <w:r w:rsidR="00CE5B90" w:rsidRPr="006E6F77">
        <w:rPr>
          <w:rFonts w:ascii="Avenir Next" w:hAnsi="Avenir Next"/>
          <w:highlight w:val="yellow"/>
          <w:lang w:val="en-GB"/>
        </w:rPr>
        <w:t xml:space="preserve">provide a better outcome </w:t>
      </w:r>
      <w:r w:rsidRPr="006E6F77">
        <w:rPr>
          <w:rFonts w:ascii="Avenir Next" w:hAnsi="Avenir Next"/>
          <w:highlight w:val="yellow"/>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CC554F">
      <w:pPr>
        <w:pStyle w:val="BodyText"/>
        <w:widowControl/>
        <w:numPr>
          <w:ilvl w:val="0"/>
          <w:numId w:val="7"/>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503375" w:rsidRDefault="00470E19" w:rsidP="00CC554F">
      <w:pPr>
        <w:pStyle w:val="BodyText"/>
        <w:widowControl/>
        <w:numPr>
          <w:ilvl w:val="0"/>
          <w:numId w:val="7"/>
        </w:numPr>
        <w:autoSpaceDE/>
        <w:autoSpaceDN/>
        <w:ind w:left="709" w:hanging="709"/>
        <w:rPr>
          <w:rFonts w:ascii="Avenir Next" w:hAnsi="Avenir Next"/>
          <w:highlight w:val="yellow"/>
        </w:rPr>
      </w:pPr>
      <w:r w:rsidRPr="00503375">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CC554F">
      <w:pPr>
        <w:pStyle w:val="BodyText"/>
        <w:widowControl/>
        <w:numPr>
          <w:ilvl w:val="0"/>
          <w:numId w:val="7"/>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CC554F">
      <w:pPr>
        <w:pStyle w:val="BodyText"/>
        <w:widowControl/>
        <w:numPr>
          <w:ilvl w:val="0"/>
          <w:numId w:val="7"/>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CC554F">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C554F">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A500D9" w:rsidRDefault="00470E19" w:rsidP="00CC554F">
      <w:pPr>
        <w:pStyle w:val="BodyText"/>
        <w:widowControl/>
        <w:numPr>
          <w:ilvl w:val="0"/>
          <w:numId w:val="8"/>
        </w:numPr>
        <w:autoSpaceDE/>
        <w:autoSpaceDN/>
        <w:ind w:left="709" w:hanging="709"/>
        <w:jc w:val="both"/>
        <w:rPr>
          <w:rFonts w:ascii="Avenir Next" w:hAnsi="Avenir Next"/>
        </w:rPr>
      </w:pPr>
      <w:r w:rsidRPr="00B615F9">
        <w:rPr>
          <w:rFonts w:ascii="Avenir Next" w:hAnsi="Avenir Next"/>
          <w:highlight w:val="yellow"/>
        </w:rPr>
        <w:t>The judgment was in respect of taxes, fines o</w:t>
      </w:r>
      <w:r w:rsidR="00C67220" w:rsidRPr="00B615F9">
        <w:rPr>
          <w:rFonts w:ascii="Avenir Next" w:hAnsi="Avenir Next"/>
          <w:highlight w:val="yellow"/>
        </w:rPr>
        <w:t>r</w:t>
      </w:r>
      <w:r w:rsidRPr="00B615F9">
        <w:rPr>
          <w:rFonts w:ascii="Avenir Next" w:hAnsi="Avenir Next"/>
          <w:highlight w:val="yellow"/>
        </w:rPr>
        <w:t xml:space="preserve"> penalties</w:t>
      </w:r>
      <w:r w:rsidR="009B0B28" w:rsidRPr="00B615F9">
        <w:rPr>
          <w:rFonts w:ascii="Avenir Next" w:hAnsi="Avenir Next"/>
          <w:highlight w:val="yellow"/>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CC554F">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All of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lastRenderedPageBreak/>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95616E">
        <w:rPr>
          <w:color w:val="000000"/>
          <w:highlight w:val="yellow"/>
          <w:lang w:eastAsia="en-GB"/>
        </w:rPr>
        <w:t>(a) </w:t>
      </w:r>
      <w:r w:rsidR="006A647B" w:rsidRPr="0095616E">
        <w:rPr>
          <w:color w:val="000000"/>
          <w:highlight w:val="yellow"/>
          <w:lang w:eastAsia="en-GB"/>
        </w:rPr>
        <w:tab/>
      </w:r>
      <w:r w:rsidR="006600FE" w:rsidRPr="0095616E">
        <w:rPr>
          <w:color w:val="212121"/>
          <w:highlight w:val="yellow"/>
          <w:lang w:eastAsia="en-GB"/>
        </w:rPr>
        <w:t>T</w:t>
      </w:r>
      <w:r w:rsidRPr="0095616E">
        <w:rPr>
          <w:color w:val="212121"/>
          <w:highlight w:val="yellow"/>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95616E">
        <w:rPr>
          <w:color w:val="212121"/>
          <w:highlight w:val="yellow"/>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A500D9">
        <w:rPr>
          <w:color w:val="212121"/>
          <w:lang w:eastAsia="en-GB"/>
        </w:rPr>
        <w:t>T</w:t>
      </w:r>
      <w:r w:rsidRPr="00A500D9">
        <w:rPr>
          <w:color w:val="212121"/>
          <w:lang w:eastAsia="en-GB"/>
        </w:rPr>
        <w:t xml:space="preserve">hat execution issued outside the Islands against the debtor on any legal process for the obtaining payment of any sum of money has been levied by seizure and sale of his </w:t>
      </w:r>
      <w:r w:rsidR="00EF6C95" w:rsidRPr="00A500D9">
        <w:rPr>
          <w:color w:val="212121"/>
          <w:lang w:eastAsia="en-GB"/>
        </w:rPr>
        <w:t>goods or</w:t>
      </w:r>
      <w:r w:rsidRPr="00A500D9">
        <w:rPr>
          <w:color w:val="212121"/>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ages of any workman in respect of services rendered to the debtor during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2C5E49">
        <w:rPr>
          <w:color w:val="000000"/>
          <w:highlight w:val="yellow"/>
          <w:lang w:eastAsia="en-GB"/>
        </w:rPr>
        <w:t xml:space="preserve">(b) </w:t>
      </w:r>
      <w:r w:rsidR="006600FE" w:rsidRPr="002C5E49">
        <w:rPr>
          <w:color w:val="000000"/>
          <w:highlight w:val="yellow"/>
          <w:lang w:eastAsia="en-GB"/>
        </w:rPr>
        <w:tab/>
        <w:t>R</w:t>
      </w:r>
      <w:r w:rsidRPr="002C5E49">
        <w:rPr>
          <w:color w:val="000000"/>
          <w:highlight w:val="yellow"/>
          <w:lang w:eastAsia="en-GB"/>
        </w:rPr>
        <w:t>ental payments due to the debtor’s landlord at the date of the provisional order</w:t>
      </w:r>
      <w:r w:rsidR="006600FE" w:rsidRPr="002C5E49">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alary of any servant in respect of services rendered to the debtor during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CC554F">
      <w:pPr>
        <w:pStyle w:val="BodyText"/>
        <w:numPr>
          <w:ilvl w:val="0"/>
          <w:numId w:val="25"/>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CC554F">
      <w:pPr>
        <w:pStyle w:val="BodyText"/>
        <w:numPr>
          <w:ilvl w:val="0"/>
          <w:numId w:val="25"/>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50DB2456" w14:textId="6AC96C5F" w:rsidR="00AD2163" w:rsidRDefault="00AD2163"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To: The Investors</w:t>
      </w:r>
    </w:p>
    <w:p w14:paraId="1D36347E" w14:textId="25803BF5" w:rsidR="00AD2163" w:rsidRDefault="00AD2163"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From: The Liquidator</w:t>
      </w:r>
    </w:p>
    <w:p w14:paraId="68EF6F38" w14:textId="77777777" w:rsidR="00AD2163" w:rsidRDefault="00AD2163" w:rsidP="00137A41">
      <w:pPr>
        <w:pStyle w:val="BodyText"/>
        <w:ind w:firstLine="0"/>
        <w:rPr>
          <w:rFonts w:ascii="Avenir Next" w:hAnsi="Avenir Next"/>
          <w:color w:val="808080" w:themeColor="background1" w:themeShade="80"/>
        </w:rPr>
      </w:pPr>
    </w:p>
    <w:p w14:paraId="58DFC604" w14:textId="17EBEC76" w:rsidR="00021002" w:rsidRDefault="00F440A7"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To facilitate the voluntary liquidation of the Master Fund and the Cayman Feeder, </w:t>
      </w:r>
      <w:r w:rsidR="002857D6">
        <w:rPr>
          <w:rFonts w:ascii="Avenir Next" w:hAnsi="Avenir Next"/>
          <w:color w:val="808080" w:themeColor="background1" w:themeShade="80"/>
        </w:rPr>
        <w:t xml:space="preserve">a voluntary liquidator may be appointed. </w:t>
      </w:r>
      <w:r w:rsidR="00021002">
        <w:rPr>
          <w:rFonts w:ascii="Avenir Next" w:hAnsi="Avenir Next"/>
          <w:color w:val="808080" w:themeColor="background1" w:themeShade="80"/>
        </w:rPr>
        <w:t xml:space="preserve">The voluntary liquidator appointed may be an individual designated in </w:t>
      </w:r>
      <w:r w:rsidR="00021002">
        <w:rPr>
          <w:rFonts w:ascii="Avenir Next" w:hAnsi="Avenir Next"/>
          <w:color w:val="808080" w:themeColor="background1" w:themeShade="80"/>
        </w:rPr>
        <w:lastRenderedPageBreak/>
        <w:t xml:space="preserve">the Company’s memorandum or </w:t>
      </w:r>
      <w:r w:rsidR="006A5F6B">
        <w:rPr>
          <w:rFonts w:ascii="Avenir Next" w:hAnsi="Avenir Next"/>
          <w:color w:val="808080" w:themeColor="background1" w:themeShade="80"/>
        </w:rPr>
        <w:t xml:space="preserve">an individual appointed by the passing of a resolutions </w:t>
      </w:r>
      <w:r w:rsidR="003623A9">
        <w:rPr>
          <w:rFonts w:ascii="Avenir Next" w:hAnsi="Avenir Next"/>
          <w:color w:val="808080" w:themeColor="background1" w:themeShade="80"/>
        </w:rPr>
        <w:t>of the shareholders.</w:t>
      </w:r>
    </w:p>
    <w:p w14:paraId="4114108D" w14:textId="77777777" w:rsidR="003C2207" w:rsidRDefault="003C2207" w:rsidP="00137A41">
      <w:pPr>
        <w:pStyle w:val="BodyText"/>
        <w:ind w:firstLine="0"/>
        <w:rPr>
          <w:rFonts w:ascii="Avenir Next" w:hAnsi="Avenir Next"/>
          <w:color w:val="808080" w:themeColor="background1" w:themeShade="80"/>
        </w:rPr>
      </w:pPr>
    </w:p>
    <w:p w14:paraId="251C53C9" w14:textId="441BAC6C" w:rsidR="00157458" w:rsidRDefault="002857D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There is no qualification required to be appointed as a </w:t>
      </w:r>
      <w:r w:rsidR="00B15227">
        <w:rPr>
          <w:rFonts w:ascii="Avenir Next" w:hAnsi="Avenir Next"/>
          <w:color w:val="808080" w:themeColor="background1" w:themeShade="80"/>
        </w:rPr>
        <w:t>voluntary liquidator</w:t>
      </w:r>
      <w:r w:rsidR="00841354">
        <w:rPr>
          <w:rFonts w:ascii="Avenir Next" w:hAnsi="Avenir Next"/>
          <w:color w:val="808080" w:themeColor="background1" w:themeShade="80"/>
        </w:rPr>
        <w:t xml:space="preserve">, which means that a US-based practitioner may be appointed. </w:t>
      </w:r>
    </w:p>
    <w:p w14:paraId="7E008C58" w14:textId="77777777" w:rsidR="004B7672" w:rsidRDefault="004B7672" w:rsidP="00137A41">
      <w:pPr>
        <w:pStyle w:val="BodyText"/>
        <w:ind w:firstLine="0"/>
        <w:rPr>
          <w:rFonts w:ascii="Avenir Next" w:hAnsi="Avenir Next"/>
          <w:color w:val="808080" w:themeColor="background1" w:themeShade="80"/>
        </w:rPr>
      </w:pPr>
    </w:p>
    <w:p w14:paraId="56C3560E" w14:textId="435F437C" w:rsidR="004B7672" w:rsidRDefault="004B767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 Company may also be wound up voluntarily by order of the Court or under the supervision of the Court.</w:t>
      </w:r>
    </w:p>
    <w:p w14:paraId="7EAB06F4" w14:textId="77777777" w:rsidR="003C2207" w:rsidRDefault="003C2207" w:rsidP="00137A41">
      <w:pPr>
        <w:pStyle w:val="BodyText"/>
        <w:ind w:firstLine="0"/>
        <w:rPr>
          <w:rFonts w:ascii="Avenir Next" w:hAnsi="Avenir Next"/>
          <w:color w:val="808080" w:themeColor="background1" w:themeShade="80"/>
        </w:rPr>
      </w:pPr>
    </w:p>
    <w:p w14:paraId="0613DAF3" w14:textId="070CE116" w:rsidR="003C2207" w:rsidRDefault="003C2207"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w:t>
      </w:r>
      <w:r w:rsidR="00E86D9B">
        <w:rPr>
          <w:rFonts w:ascii="Avenir Next" w:hAnsi="Avenir Next"/>
          <w:color w:val="808080" w:themeColor="background1" w:themeShade="80"/>
        </w:rPr>
        <w:t xml:space="preserve">an official liquidator, </w:t>
      </w:r>
      <w:r w:rsidR="00FC55D1">
        <w:rPr>
          <w:rFonts w:ascii="Avenir Next" w:hAnsi="Avenir Next"/>
          <w:color w:val="808080" w:themeColor="background1" w:themeShade="80"/>
        </w:rPr>
        <w:t>the practitioner must be a qualified insolvency practitioner</w:t>
      </w:r>
      <w:r w:rsidR="007803D5">
        <w:rPr>
          <w:rFonts w:ascii="Avenir Next" w:hAnsi="Avenir Next"/>
          <w:color w:val="808080" w:themeColor="background1" w:themeShade="80"/>
        </w:rPr>
        <w:t xml:space="preserve"> </w:t>
      </w:r>
      <w:r w:rsidR="00BC0AFD">
        <w:rPr>
          <w:rFonts w:ascii="Avenir Next" w:hAnsi="Avenir Next"/>
          <w:color w:val="808080" w:themeColor="background1" w:themeShade="80"/>
        </w:rPr>
        <w:t>(IP)</w:t>
      </w:r>
      <w:r w:rsidR="007803D5">
        <w:rPr>
          <w:rFonts w:ascii="Avenir Next" w:hAnsi="Avenir Next"/>
          <w:color w:val="808080" w:themeColor="background1" w:themeShade="80"/>
        </w:rPr>
        <w:t xml:space="preserve">which, in the Cayman Islands, means that the practitioner meets the requirements set by the Insolvency Rules Committee. This </w:t>
      </w:r>
      <w:r w:rsidR="00BC0AFD">
        <w:rPr>
          <w:rFonts w:ascii="Avenir Next" w:hAnsi="Avenir Next"/>
          <w:color w:val="808080" w:themeColor="background1" w:themeShade="80"/>
        </w:rPr>
        <w:t xml:space="preserve">means that they are licensed to act as an IP </w:t>
      </w:r>
      <w:r w:rsidR="001874F2">
        <w:rPr>
          <w:rFonts w:ascii="Avenir Next" w:hAnsi="Avenir Next"/>
          <w:color w:val="808080" w:themeColor="background1" w:themeShade="80"/>
        </w:rPr>
        <w:t>in England and Wales, Scotland, Northen Ireland, The Republic of Ireland, Australia, New Zeal</w:t>
      </w:r>
      <w:r w:rsidR="004B7672">
        <w:rPr>
          <w:rFonts w:ascii="Avenir Next" w:hAnsi="Avenir Next"/>
          <w:color w:val="808080" w:themeColor="background1" w:themeShade="80"/>
        </w:rPr>
        <w:t>and</w:t>
      </w:r>
      <w:r w:rsidR="001874F2">
        <w:rPr>
          <w:rFonts w:ascii="Avenir Next" w:hAnsi="Avenir Next"/>
          <w:color w:val="808080" w:themeColor="background1" w:themeShade="80"/>
        </w:rPr>
        <w:t>, or Canada; or the IP may also be a qualified as a professional accountant</w:t>
      </w:r>
      <w:r w:rsidR="00146585">
        <w:rPr>
          <w:rFonts w:ascii="Avenir Next" w:hAnsi="Avenir Next"/>
          <w:color w:val="808080" w:themeColor="background1" w:themeShade="80"/>
        </w:rPr>
        <w:t>, is in good standing with their institute;</w:t>
      </w:r>
      <w:r w:rsidR="00D10E56">
        <w:rPr>
          <w:rFonts w:ascii="Avenir Next" w:hAnsi="Avenir Next"/>
          <w:color w:val="808080" w:themeColor="background1" w:themeShade="80"/>
        </w:rPr>
        <w:t xml:space="preserve"> has a minimum of 5 year’s relevant experience and have incurred not less than 2,500 hours of relevant chargeable work. To be appointed by the Court, the IP must also be resident in the Cayman Islands</w:t>
      </w:r>
      <w:r w:rsidR="004B7672">
        <w:rPr>
          <w:rFonts w:ascii="Avenir Next" w:hAnsi="Avenir Next"/>
          <w:color w:val="808080" w:themeColor="background1" w:themeShade="80"/>
        </w:rPr>
        <w:t>; be independent and hold professional indemnity insurance of atleast USD $10m in respect of each and every claim and atleast USD$20m in aggregate with a deductible of not more than USD $1m in respect of negligence or non-performance of duties.</w:t>
      </w:r>
    </w:p>
    <w:p w14:paraId="3B4F8A44" w14:textId="77777777" w:rsidR="004B7672" w:rsidRDefault="004B7672" w:rsidP="00137A41">
      <w:pPr>
        <w:pStyle w:val="BodyText"/>
        <w:ind w:firstLine="0"/>
        <w:rPr>
          <w:rFonts w:ascii="Avenir Next" w:hAnsi="Avenir Next"/>
          <w:color w:val="808080" w:themeColor="background1" w:themeShade="80"/>
        </w:rPr>
      </w:pPr>
    </w:p>
    <w:p w14:paraId="1B9A0178" w14:textId="47B67277" w:rsidR="004B7672" w:rsidRDefault="004B767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For the US based IP to be appointed in this instance, he or she must be appointed jointly with a local Cayman Islands IP.</w:t>
      </w:r>
    </w:p>
    <w:p w14:paraId="55860D5B" w14:textId="77777777" w:rsidR="00841354" w:rsidRDefault="00841354" w:rsidP="00137A41">
      <w:pPr>
        <w:pStyle w:val="BodyText"/>
        <w:ind w:firstLine="0"/>
        <w:rPr>
          <w:rFonts w:ascii="Avenir Next" w:hAnsi="Avenir Next"/>
          <w:color w:val="808080" w:themeColor="background1" w:themeShade="80"/>
        </w:rPr>
      </w:pPr>
    </w:p>
    <w:p w14:paraId="08D6A644" w14:textId="77777777" w:rsidR="00E06F87" w:rsidRPr="00486A0B" w:rsidRDefault="00E06F87" w:rsidP="00137A41">
      <w:pPr>
        <w:pStyle w:val="BodyText"/>
        <w:ind w:firstLine="0"/>
        <w:rPr>
          <w:rFonts w:ascii="Avenir Next" w:hAnsi="Avenir Next"/>
          <w:b/>
          <w:bCs/>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the investment manager, Panamanian directors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CC554F">
      <w:pPr>
        <w:pStyle w:val="BodyText"/>
        <w:widowControl/>
        <w:numPr>
          <w:ilvl w:val="0"/>
          <w:numId w:val="26"/>
        </w:numPr>
        <w:autoSpaceDE/>
        <w:autoSpaceDN/>
        <w:ind w:left="426"/>
        <w:jc w:val="both"/>
        <w:rPr>
          <w:rFonts w:ascii="Avenir Next" w:hAnsi="Avenir Next"/>
        </w:rPr>
      </w:pPr>
      <w:r w:rsidRPr="00E26B0D">
        <w:rPr>
          <w:rFonts w:ascii="Avenir Next" w:hAnsi="Avenir Next"/>
        </w:rPr>
        <w:t>The types of litigation funding arrangements permitted in Cayman;</w:t>
      </w:r>
    </w:p>
    <w:p w14:paraId="5302215E" w14:textId="0161F366" w:rsidR="00E26B0D" w:rsidRPr="00E26B0D" w:rsidRDefault="00E26B0D" w:rsidP="00CC554F">
      <w:pPr>
        <w:pStyle w:val="BodyText"/>
        <w:widowControl/>
        <w:numPr>
          <w:ilvl w:val="0"/>
          <w:numId w:val="26"/>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a contingency fee agreement;</w:t>
      </w:r>
    </w:p>
    <w:p w14:paraId="13C6F921" w14:textId="77777777" w:rsidR="00E26B0D" w:rsidRPr="00E26B0D" w:rsidRDefault="00E26B0D" w:rsidP="00CC554F">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success fees are permitted under a conditional fee arrangement;</w:t>
      </w:r>
    </w:p>
    <w:p w14:paraId="535022A1" w14:textId="77777777" w:rsidR="00E26B0D" w:rsidRPr="00E26B0D" w:rsidRDefault="00E26B0D" w:rsidP="00CC554F">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CC554F">
      <w:pPr>
        <w:pStyle w:val="BodyText"/>
        <w:widowControl/>
        <w:numPr>
          <w:ilvl w:val="0"/>
          <w:numId w:val="26"/>
        </w:numPr>
        <w:tabs>
          <w:tab w:val="right" w:pos="9021"/>
        </w:tabs>
        <w:autoSpaceDE/>
        <w:autoSpaceDN/>
        <w:ind w:left="426"/>
        <w:jc w:val="both"/>
        <w:rPr>
          <w:rFonts w:ascii="Avenir Next" w:hAnsi="Avenir Next"/>
        </w:rPr>
      </w:pPr>
      <w:r w:rsidRPr="00E26B0D">
        <w:rPr>
          <w:rFonts w:ascii="Avenir Next" w:hAnsi="Avenir Next"/>
        </w:rPr>
        <w:t>What practical information you think a potential litigation funder will need in order to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012D33B4" w14:textId="20EF4576" w:rsidR="00E359D6" w:rsidRDefault="00E359D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There are a number of avenues for obtaining litigation funding</w:t>
      </w:r>
      <w:r w:rsidR="00AF4545">
        <w:rPr>
          <w:rFonts w:ascii="Avenir Next" w:hAnsi="Avenir Next"/>
          <w:color w:val="808080" w:themeColor="background1" w:themeShade="80"/>
        </w:rPr>
        <w:t xml:space="preserve"> in Cayman. These include third-party funding agreements whereby </w:t>
      </w:r>
      <w:r w:rsidR="00632EF9">
        <w:rPr>
          <w:rFonts w:ascii="Avenir Next" w:hAnsi="Avenir Next"/>
          <w:color w:val="808080" w:themeColor="background1" w:themeShade="80"/>
        </w:rPr>
        <w:t>a third party agrees to fund all or some of legal costs in exchange for payments under contractual terms. The agreement must be in writing.</w:t>
      </w:r>
    </w:p>
    <w:p w14:paraId="775AC7A9" w14:textId="77777777" w:rsidR="00632EF9" w:rsidRDefault="00632EF9" w:rsidP="00137A41">
      <w:pPr>
        <w:pStyle w:val="BodyText"/>
        <w:ind w:firstLine="0"/>
        <w:rPr>
          <w:rFonts w:ascii="Avenir Next" w:hAnsi="Avenir Next"/>
          <w:color w:val="808080" w:themeColor="background1" w:themeShade="80"/>
        </w:rPr>
      </w:pPr>
    </w:p>
    <w:p w14:paraId="5A402006" w14:textId="1D147B77" w:rsidR="00632EF9" w:rsidRDefault="004C205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The types of funding agreement include conditional fee agreement and contingency fee agreement.</w:t>
      </w:r>
    </w:p>
    <w:p w14:paraId="39D983D1" w14:textId="77777777" w:rsidR="004C205E" w:rsidRDefault="004C205E" w:rsidP="00137A41">
      <w:pPr>
        <w:pStyle w:val="BodyText"/>
        <w:ind w:firstLine="0"/>
        <w:rPr>
          <w:rFonts w:ascii="Avenir Next" w:hAnsi="Avenir Next"/>
          <w:color w:val="808080" w:themeColor="background1" w:themeShade="80"/>
        </w:rPr>
      </w:pPr>
    </w:p>
    <w:p w14:paraId="489219CE" w14:textId="70417599" w:rsidR="004C205E" w:rsidRDefault="004C205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 conditional fee agreement is whereby lawyers are paid an hourly rate plus a success fee if the claim succeeds. Under this agreement, the maximum success fee is 100% of the normal hourly rates.</w:t>
      </w:r>
    </w:p>
    <w:p w14:paraId="0999FB55" w14:textId="77777777" w:rsidR="004C205E" w:rsidRDefault="004C205E" w:rsidP="00137A41">
      <w:pPr>
        <w:pStyle w:val="BodyText"/>
        <w:ind w:firstLine="0"/>
        <w:rPr>
          <w:rFonts w:ascii="Avenir Next" w:hAnsi="Avenir Next"/>
          <w:color w:val="808080" w:themeColor="background1" w:themeShade="80"/>
        </w:rPr>
      </w:pPr>
    </w:p>
    <w:p w14:paraId="3580EB00" w14:textId="6B76DC5E" w:rsidR="004C205E" w:rsidRDefault="004C205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contingency fee agreement on the other hand is whereby </w:t>
      </w:r>
      <w:r w:rsidR="007C735E">
        <w:rPr>
          <w:rFonts w:ascii="Avenir Next" w:hAnsi="Avenir Next"/>
          <w:color w:val="808080" w:themeColor="background1" w:themeShade="80"/>
        </w:rPr>
        <w:t>lawyers are paid a percentage of recoveries if the claim succeeds and nothing if the claim fails. The maximum recovery under this agreement is 33.3% of the total amount awarded. However, an application to the Cayman Islands courts can be made to increase this to 40%.</w:t>
      </w:r>
    </w:p>
    <w:p w14:paraId="003298FB" w14:textId="77777777" w:rsidR="001500B1" w:rsidRDefault="001500B1" w:rsidP="00137A41">
      <w:pPr>
        <w:pStyle w:val="BodyText"/>
        <w:ind w:firstLine="0"/>
        <w:rPr>
          <w:rFonts w:ascii="Avenir Next" w:hAnsi="Avenir Next"/>
          <w:color w:val="808080" w:themeColor="background1" w:themeShade="80"/>
        </w:rPr>
      </w:pPr>
    </w:p>
    <w:p w14:paraId="5FCCAB28" w14:textId="00668891" w:rsidR="001500B1" w:rsidRDefault="001500B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It should be noted that Court sanction is needed for a Liquidator to enter into a funding agreement.</w:t>
      </w:r>
    </w:p>
    <w:p w14:paraId="356E8FDF" w14:textId="77777777" w:rsidR="00E359D6" w:rsidRDefault="00E359D6" w:rsidP="00137A41">
      <w:pPr>
        <w:pStyle w:val="BodyText"/>
        <w:ind w:firstLine="0"/>
        <w:rPr>
          <w:rFonts w:ascii="Avenir Next" w:hAnsi="Avenir Next"/>
          <w:color w:val="808080" w:themeColor="background1" w:themeShade="80"/>
        </w:rPr>
      </w:pPr>
    </w:p>
    <w:p w14:paraId="2816E76F" w14:textId="0350CFCE" w:rsidR="0097397A" w:rsidRDefault="0097397A"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Some practical information that a litigation funder may want to know is their priority of repayments, expected date of realization and </w:t>
      </w:r>
      <w:r w:rsidR="00C86CE6">
        <w:rPr>
          <w:rFonts w:ascii="Avenir Next" w:hAnsi="Avenir Next"/>
          <w:color w:val="808080" w:themeColor="background1" w:themeShade="80"/>
        </w:rPr>
        <w:t>the likelihood of success.</w:t>
      </w:r>
    </w:p>
    <w:p w14:paraId="15E2F13F" w14:textId="77777777" w:rsidR="0097397A" w:rsidRDefault="0097397A" w:rsidP="00137A41">
      <w:pPr>
        <w:pStyle w:val="BodyText"/>
        <w:ind w:firstLine="0"/>
        <w:rPr>
          <w:rFonts w:ascii="Avenir Next" w:hAnsi="Avenir Next"/>
          <w:color w:val="808080" w:themeColor="background1" w:themeShade="80"/>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65B78F39"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DFE77C4" w14:textId="77777777" w:rsidR="00D645AF" w:rsidRDefault="00D645AF" w:rsidP="00137A41"/>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4788DDF5" w14:textId="77777777" w:rsidR="00114CC7" w:rsidRDefault="00B72519"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There are a few o</w:t>
      </w:r>
      <w:r w:rsidR="00E07084">
        <w:rPr>
          <w:rFonts w:ascii="Avenir Next" w:hAnsi="Avenir Next"/>
          <w:color w:val="808080" w:themeColor="background1" w:themeShade="80"/>
        </w:rPr>
        <w:t>ptions available to Gamboa in relation to their fixed charge security.</w:t>
      </w:r>
      <w:r w:rsidR="009553D2">
        <w:rPr>
          <w:rFonts w:ascii="Avenir Next" w:hAnsi="Avenir Next"/>
          <w:color w:val="808080" w:themeColor="background1" w:themeShade="80"/>
        </w:rPr>
        <w:t xml:space="preserve"> </w:t>
      </w:r>
    </w:p>
    <w:p w14:paraId="70583A33" w14:textId="77777777" w:rsidR="00114CC7" w:rsidRDefault="00114CC7" w:rsidP="00137A41">
      <w:pPr>
        <w:pStyle w:val="BodyText"/>
        <w:ind w:firstLine="0"/>
        <w:rPr>
          <w:rFonts w:ascii="Avenir Next" w:hAnsi="Avenir Next"/>
          <w:color w:val="808080" w:themeColor="background1" w:themeShade="80"/>
        </w:rPr>
      </w:pPr>
    </w:p>
    <w:p w14:paraId="1A59EBAB" w14:textId="68B7DAF8" w:rsidR="00B72519" w:rsidRDefault="009553D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 creditor with a fixed charge can </w:t>
      </w:r>
      <w:r w:rsidR="004A7B6F">
        <w:rPr>
          <w:rFonts w:ascii="Avenir Next" w:hAnsi="Avenir Next"/>
          <w:color w:val="808080" w:themeColor="background1" w:themeShade="80"/>
        </w:rPr>
        <w:t xml:space="preserve">enforce its security </w:t>
      </w:r>
      <w:r w:rsidR="000F55A5">
        <w:rPr>
          <w:rFonts w:ascii="Avenir Next" w:hAnsi="Avenir Next"/>
          <w:color w:val="808080" w:themeColor="background1" w:themeShade="80"/>
        </w:rPr>
        <w:t xml:space="preserve">and will not be affected by the liquidation process. That Is, their rights as a secured creditor remains valid. If the debt is more than its security, </w:t>
      </w:r>
      <w:r w:rsidR="000F55A5">
        <w:rPr>
          <w:rFonts w:ascii="Avenir Next" w:hAnsi="Avenir Next"/>
          <w:color w:val="808080" w:themeColor="background1" w:themeShade="80"/>
        </w:rPr>
        <w:lastRenderedPageBreak/>
        <w:t xml:space="preserve">they may submit a proof of debt in the liquidation for the </w:t>
      </w:r>
      <w:r w:rsidR="007748E0">
        <w:rPr>
          <w:rFonts w:ascii="Avenir Next" w:hAnsi="Avenir Next"/>
          <w:color w:val="808080" w:themeColor="background1" w:themeShade="80"/>
        </w:rPr>
        <w:t>excess debt. In this instance, as the ‘as-is’ value is $3m, $2m unsecured claim may be submitted.</w:t>
      </w:r>
    </w:p>
    <w:p w14:paraId="5534B6B1" w14:textId="77777777" w:rsidR="006669AA" w:rsidRDefault="006669AA" w:rsidP="00137A41">
      <w:pPr>
        <w:pStyle w:val="BodyText"/>
        <w:ind w:firstLine="0"/>
        <w:rPr>
          <w:rFonts w:ascii="Avenir Next" w:hAnsi="Avenir Next"/>
          <w:color w:val="808080" w:themeColor="background1" w:themeShade="80"/>
        </w:rPr>
      </w:pPr>
    </w:p>
    <w:p w14:paraId="21A31283" w14:textId="09577649" w:rsidR="006669AA" w:rsidRDefault="0071178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order of payment priority under a liquidation is firstly to the satisfaction of a fixed charge creditor</w:t>
      </w:r>
      <w:r w:rsidR="003E1745">
        <w:rPr>
          <w:rFonts w:ascii="Avenir Next" w:hAnsi="Avenir Next"/>
          <w:color w:val="808080" w:themeColor="background1" w:themeShade="80"/>
        </w:rPr>
        <w:t xml:space="preserve">; then to preferential creditors; followed by the claims of holders of debentures secured by floating charge; then </w:t>
      </w:r>
      <w:r w:rsidR="003D5791">
        <w:rPr>
          <w:rFonts w:ascii="Avenir Next" w:hAnsi="Avenir Next"/>
          <w:color w:val="808080" w:themeColor="background1" w:themeShade="80"/>
        </w:rPr>
        <w:t>expenses in the liquidation; and thereafter the unsecured creditors.</w:t>
      </w:r>
    </w:p>
    <w:p w14:paraId="6E0A3E19" w14:textId="77777777" w:rsidR="006669AA" w:rsidRDefault="006669AA" w:rsidP="00137A41">
      <w:pPr>
        <w:pStyle w:val="BodyText"/>
        <w:ind w:firstLine="0"/>
        <w:rPr>
          <w:rFonts w:ascii="Avenir Next" w:hAnsi="Avenir Next"/>
          <w:color w:val="808080" w:themeColor="background1" w:themeShade="80"/>
        </w:rPr>
      </w:pPr>
    </w:p>
    <w:p w14:paraId="4F5D59CD" w14:textId="11BB9CF4" w:rsidR="00AA1BC0" w:rsidRDefault="00AA1BC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To enforce their security, Gamboa</w:t>
      </w:r>
      <w:r w:rsidR="00173173">
        <w:rPr>
          <w:rFonts w:ascii="Avenir Next" w:hAnsi="Avenir Next"/>
          <w:color w:val="808080" w:themeColor="background1" w:themeShade="80"/>
        </w:rPr>
        <w:t xml:space="preserve"> may appoint a </w:t>
      </w:r>
      <w:r w:rsidR="000F6A22">
        <w:rPr>
          <w:rFonts w:ascii="Avenir Next" w:hAnsi="Avenir Next"/>
          <w:color w:val="808080" w:themeColor="background1" w:themeShade="80"/>
        </w:rPr>
        <w:t>receiver under the security document</w:t>
      </w:r>
      <w:r w:rsidR="001B2212">
        <w:rPr>
          <w:rFonts w:ascii="Avenir Next" w:hAnsi="Avenir Next"/>
          <w:color w:val="808080" w:themeColor="background1" w:themeShade="80"/>
        </w:rPr>
        <w:t xml:space="preserve"> to take possession  of and deal with the assets of the Company. The primary duties of the receiver are owed to Gamboa</w:t>
      </w:r>
      <w:r w:rsidR="0080675D">
        <w:rPr>
          <w:rFonts w:ascii="Avenir Next" w:hAnsi="Avenir Next"/>
          <w:color w:val="808080" w:themeColor="background1" w:themeShade="80"/>
        </w:rPr>
        <w:t>, however the receiver still owes secondary duties to other stakeholders.</w:t>
      </w:r>
    </w:p>
    <w:p w14:paraId="51822220" w14:textId="77777777" w:rsidR="007A66F5" w:rsidRDefault="007A66F5" w:rsidP="00137A41">
      <w:pPr>
        <w:pStyle w:val="BodyText"/>
        <w:ind w:firstLine="0"/>
        <w:rPr>
          <w:rFonts w:ascii="Avenir Next" w:hAnsi="Avenir Next"/>
          <w:color w:val="808080" w:themeColor="background1" w:themeShade="80"/>
        </w:rPr>
      </w:pPr>
    </w:p>
    <w:p w14:paraId="02FB1F7D" w14:textId="65BF3839" w:rsidR="007A66F5" w:rsidRDefault="007A66F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Gamboa may also seek a Court appointed receivership.</w:t>
      </w:r>
    </w:p>
    <w:p w14:paraId="215FBFDA" w14:textId="77777777" w:rsidR="0080675D" w:rsidRDefault="0080675D" w:rsidP="00137A41">
      <w:pPr>
        <w:pStyle w:val="BodyText"/>
        <w:ind w:firstLine="0"/>
        <w:rPr>
          <w:rFonts w:ascii="Avenir Next" w:hAnsi="Avenir Next"/>
          <w:color w:val="808080" w:themeColor="background1" w:themeShade="80"/>
        </w:rPr>
      </w:pPr>
    </w:p>
    <w:p w14:paraId="206E9F7D" w14:textId="3A379F71" w:rsidR="0080675D" w:rsidRDefault="0080675D"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receiver is able to realize the asset and there is a shortfall on the debt, as noted above, Gamboa </w:t>
      </w:r>
      <w:r w:rsidR="00114CC7">
        <w:rPr>
          <w:rFonts w:ascii="Avenir Next" w:hAnsi="Avenir Next"/>
          <w:color w:val="808080" w:themeColor="background1" w:themeShade="80"/>
        </w:rPr>
        <w:t xml:space="preserve">is able to file an unsecured claim in the liquidation. However, if there is a surplus, Gamboa will be repaid their debt in full and the surplus will be remitted to the liquidation estate for the benefit of the other creditors. </w:t>
      </w:r>
    </w:p>
    <w:p w14:paraId="34005E69" w14:textId="77777777" w:rsidR="00F84895" w:rsidRPr="00486A0B" w:rsidRDefault="00F84895" w:rsidP="00137A41">
      <w:pPr>
        <w:pStyle w:val="BodyText"/>
        <w:ind w:firstLine="0"/>
        <w:rPr>
          <w:rFonts w:ascii="Avenir Next" w:hAnsi="Avenir Next"/>
          <w:b/>
          <w:bCs/>
        </w:rPr>
      </w:pP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a number of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14B0C918" w14:textId="6D75C938" w:rsidR="00D645AF" w:rsidRDefault="00AC5E83"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Continued investigations into the books and records of the company should be conducted to determine if the loan actually occurred. </w:t>
      </w:r>
      <w:r w:rsidR="002678D9">
        <w:rPr>
          <w:rFonts w:ascii="Avenir Next" w:hAnsi="Avenir Next"/>
          <w:color w:val="808080" w:themeColor="background1" w:themeShade="80"/>
        </w:rPr>
        <w:t>A request should be sent to Gamboa to provide supporting documentation of their payment whether by confirmation from the bank on the transfer, deposit splits and other supporting records.</w:t>
      </w:r>
    </w:p>
    <w:p w14:paraId="7D4B69D8" w14:textId="77777777" w:rsidR="002678D9" w:rsidRDefault="002678D9" w:rsidP="00137A41">
      <w:pPr>
        <w:pStyle w:val="BodyText"/>
        <w:ind w:firstLine="0"/>
        <w:rPr>
          <w:rFonts w:ascii="Avenir Next" w:hAnsi="Avenir Next"/>
          <w:color w:val="808080" w:themeColor="background1" w:themeShade="80"/>
        </w:rPr>
      </w:pPr>
    </w:p>
    <w:p w14:paraId="18BAE18B" w14:textId="51A6A6F0" w:rsidR="002678D9" w:rsidRDefault="00696E7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KYC/AML should be conducted on Gamboa which will need to be conducted in any event if Gamboa was due to receive a distribution from the company. This will include corporate records of Gamboa up to and including the UBO. </w:t>
      </w:r>
    </w:p>
    <w:p w14:paraId="6FBB1328" w14:textId="77777777" w:rsidR="00F937B6" w:rsidRDefault="00F937B6" w:rsidP="00137A41">
      <w:pPr>
        <w:pStyle w:val="BodyText"/>
        <w:ind w:firstLine="0"/>
        <w:rPr>
          <w:rFonts w:ascii="Avenir Next" w:hAnsi="Avenir Next"/>
          <w:color w:val="808080" w:themeColor="background1" w:themeShade="80"/>
        </w:rPr>
      </w:pPr>
    </w:p>
    <w:p w14:paraId="5AFCB797" w14:textId="17451A32" w:rsidR="00F937B6" w:rsidRDefault="00F937B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on from the investigations found</w:t>
      </w:r>
      <w:r w:rsidR="000A674B">
        <w:rPr>
          <w:rFonts w:ascii="Avenir Next" w:hAnsi="Avenir Next"/>
          <w:color w:val="808080" w:themeColor="background1" w:themeShade="80"/>
        </w:rPr>
        <w:t xml:space="preserve"> the claim may be rejected and legal action may be taken </w:t>
      </w:r>
      <w:r w:rsidR="0016213E">
        <w:rPr>
          <w:rFonts w:ascii="Avenir Next" w:hAnsi="Avenir Next"/>
          <w:color w:val="808080" w:themeColor="background1" w:themeShade="80"/>
        </w:rPr>
        <w:t xml:space="preserve">against Gamboa and the directors with the information received to date, including the fact that $900k may have been misappropriated. </w:t>
      </w:r>
    </w:p>
    <w:p w14:paraId="7063E0EE" w14:textId="77777777" w:rsidR="00FE23B4" w:rsidRDefault="00FE23B4" w:rsidP="00137A41">
      <w:pPr>
        <w:pStyle w:val="BodyText"/>
        <w:ind w:firstLine="0"/>
        <w:rPr>
          <w:rFonts w:ascii="Avenir Next" w:hAnsi="Avenir Next"/>
          <w:color w:val="808080" w:themeColor="background1" w:themeShade="80"/>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lastRenderedPageBreak/>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1C41D532" w14:textId="0F367B3A" w:rsidR="00D23051" w:rsidRDefault="00D2305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soon as the Company’s affairs are fully wound up, </w:t>
      </w:r>
      <w:r w:rsidR="002B7FF4">
        <w:rPr>
          <w:rFonts w:ascii="Avenir Next" w:hAnsi="Avenir Next"/>
          <w:color w:val="808080" w:themeColor="background1" w:themeShade="80"/>
        </w:rPr>
        <w:t>a final report and accounts must be prepared by the liquidator in accordance with the CWR.</w:t>
      </w:r>
      <w:r w:rsidR="003F5A0F">
        <w:rPr>
          <w:rFonts w:ascii="Avenir Next" w:hAnsi="Avenir Next"/>
          <w:color w:val="808080" w:themeColor="background1" w:themeShade="80"/>
        </w:rPr>
        <w:t xml:space="preserve"> The final report and accounts will need to contain the following:</w:t>
      </w:r>
    </w:p>
    <w:p w14:paraId="0D467FB1" w14:textId="020A534D" w:rsidR="003F5A0F" w:rsidRDefault="003F5A0F" w:rsidP="00CC554F">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 xml:space="preserve">Notice of the date </w:t>
      </w:r>
      <w:r w:rsidR="007E3F75">
        <w:rPr>
          <w:rFonts w:ascii="Avenir Next" w:hAnsi="Avenir Next"/>
          <w:color w:val="808080" w:themeColor="background1" w:themeShade="80"/>
        </w:rPr>
        <w:t>of the application for an order for dissolution will be heard by the court;</w:t>
      </w:r>
    </w:p>
    <w:p w14:paraId="33F48F17" w14:textId="75DB4B43" w:rsidR="007E3F75" w:rsidRDefault="007E3F75" w:rsidP="00CC554F">
      <w:pPr>
        <w:pStyle w:val="BodyText"/>
        <w:numPr>
          <w:ilvl w:val="0"/>
          <w:numId w:val="27"/>
        </w:numPr>
        <w:rPr>
          <w:rFonts w:ascii="Avenir Next" w:hAnsi="Avenir Next"/>
          <w:color w:val="808080" w:themeColor="background1" w:themeShade="80"/>
        </w:rPr>
      </w:pPr>
      <w:r>
        <w:rPr>
          <w:rFonts w:ascii="Avenir Next" w:hAnsi="Avenir Next"/>
          <w:color w:val="808080" w:themeColor="background1" w:themeShade="80"/>
        </w:rPr>
        <w:t>A statement of fact that a creditor of an insolvent company; or a member of a solvent company; may appear and be heard on the application;</w:t>
      </w:r>
    </w:p>
    <w:p w14:paraId="40A920C4" w14:textId="77777777" w:rsidR="007E3F75" w:rsidRDefault="007E3F75" w:rsidP="007E3F75">
      <w:pPr>
        <w:pStyle w:val="BodyText"/>
        <w:ind w:firstLine="0"/>
        <w:rPr>
          <w:rFonts w:ascii="Avenir Next" w:hAnsi="Avenir Next"/>
          <w:color w:val="808080" w:themeColor="background1" w:themeShade="80"/>
        </w:rPr>
      </w:pPr>
    </w:p>
    <w:p w14:paraId="3EDDD153" w14:textId="185FAB74" w:rsidR="007E3F75" w:rsidRDefault="00D06B8C" w:rsidP="007E3F75">
      <w:pPr>
        <w:pStyle w:val="BodyText"/>
        <w:ind w:firstLine="0"/>
        <w:rPr>
          <w:rFonts w:ascii="Avenir Next" w:hAnsi="Avenir Next"/>
          <w:color w:val="808080" w:themeColor="background1" w:themeShade="80"/>
        </w:rPr>
      </w:pPr>
      <w:r>
        <w:rPr>
          <w:rFonts w:ascii="Avenir Next" w:hAnsi="Avenir Next"/>
          <w:color w:val="808080" w:themeColor="background1" w:themeShade="80"/>
        </w:rPr>
        <w:t>A notice of hearing must be published in one or more newspaper in a country where the company will most likely have creditors</w:t>
      </w:r>
      <w:r w:rsidR="00742153">
        <w:rPr>
          <w:rFonts w:ascii="Avenir Next" w:hAnsi="Avenir Next"/>
          <w:color w:val="808080" w:themeColor="background1" w:themeShade="80"/>
        </w:rPr>
        <w:t xml:space="preserve"> and must be published 14 days prior to the date of hearing.</w:t>
      </w:r>
    </w:p>
    <w:p w14:paraId="7A378DD6" w14:textId="77777777" w:rsidR="007E31B5" w:rsidRDefault="007E31B5" w:rsidP="007E3F75">
      <w:pPr>
        <w:pStyle w:val="BodyText"/>
        <w:ind w:firstLine="0"/>
        <w:rPr>
          <w:rFonts w:ascii="Avenir Next" w:hAnsi="Avenir Next"/>
          <w:color w:val="808080" w:themeColor="background1" w:themeShade="80"/>
        </w:rPr>
      </w:pPr>
    </w:p>
    <w:p w14:paraId="2542C57A" w14:textId="4040FB2A" w:rsidR="00272DC0" w:rsidRDefault="00272DC0" w:rsidP="007E3F75">
      <w:pPr>
        <w:pStyle w:val="BodyText"/>
        <w:ind w:firstLine="0"/>
        <w:rPr>
          <w:rFonts w:ascii="Avenir Next" w:hAnsi="Avenir Next"/>
          <w:color w:val="808080" w:themeColor="background1" w:themeShade="80"/>
        </w:rPr>
      </w:pPr>
      <w:r>
        <w:rPr>
          <w:rFonts w:ascii="Avenir Next" w:hAnsi="Avenir Next"/>
          <w:color w:val="808080" w:themeColor="background1" w:themeShade="80"/>
        </w:rPr>
        <w:t>Due to this, the liquidator will need to file its application for dissolution and obtain a hearing date before finalizing the report to creditors to ensure that all required information is included.</w:t>
      </w:r>
    </w:p>
    <w:p w14:paraId="644DE455" w14:textId="77777777" w:rsidR="00C90189" w:rsidRDefault="00C90189" w:rsidP="007E3F75">
      <w:pPr>
        <w:pStyle w:val="BodyText"/>
        <w:ind w:firstLine="0"/>
        <w:rPr>
          <w:rFonts w:ascii="Avenir Next" w:hAnsi="Avenir Next"/>
          <w:color w:val="808080" w:themeColor="background1" w:themeShade="80"/>
        </w:rPr>
      </w:pPr>
    </w:p>
    <w:p w14:paraId="207B6C44" w14:textId="2058E06F" w:rsidR="00C90189" w:rsidRDefault="00C90189" w:rsidP="007E3F75">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report will cover the assets of the company and how they were realized, disposed or </w:t>
      </w:r>
      <w:r w:rsidR="00F72147">
        <w:rPr>
          <w:rFonts w:ascii="Avenir Next" w:hAnsi="Avenir Next"/>
          <w:color w:val="808080" w:themeColor="background1" w:themeShade="80"/>
        </w:rPr>
        <w:t>disclaimed.</w:t>
      </w:r>
    </w:p>
    <w:p w14:paraId="733E9024" w14:textId="77777777" w:rsidR="00F72147" w:rsidRDefault="00F72147" w:rsidP="007E3F75">
      <w:pPr>
        <w:pStyle w:val="BodyText"/>
        <w:ind w:firstLine="0"/>
        <w:rPr>
          <w:rFonts w:ascii="Avenir Next" w:hAnsi="Avenir Next"/>
          <w:color w:val="808080" w:themeColor="background1" w:themeShade="80"/>
        </w:rPr>
      </w:pP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183EBCE4" w14:textId="48419FAB" w:rsidR="00422302" w:rsidRDefault="00F737A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 application for a supervision order may be filed by the voluntary liquidator within </w:t>
      </w:r>
      <w:r w:rsidR="002C3E59">
        <w:rPr>
          <w:rFonts w:ascii="Avenir Next" w:hAnsi="Avenir Next"/>
          <w:color w:val="808080" w:themeColor="background1" w:themeShade="80"/>
        </w:rPr>
        <w:t>35</w:t>
      </w:r>
      <w:r>
        <w:rPr>
          <w:rFonts w:ascii="Avenir Next" w:hAnsi="Avenir Next"/>
          <w:color w:val="808080" w:themeColor="background1" w:themeShade="80"/>
        </w:rPr>
        <w:t xml:space="preserve"> days of the commencement of the liquidation</w:t>
      </w:r>
      <w:r w:rsidR="00235FD3">
        <w:rPr>
          <w:rFonts w:ascii="Avenir Next" w:hAnsi="Avenir Next"/>
          <w:color w:val="808080" w:themeColor="background1" w:themeShade="80"/>
        </w:rPr>
        <w:t>, unless the directors have signed a declaration of solvency</w:t>
      </w:r>
      <w:r w:rsidR="002C3E59">
        <w:rPr>
          <w:rFonts w:ascii="Avenir Next" w:hAnsi="Avenir Next"/>
          <w:color w:val="808080" w:themeColor="background1" w:themeShade="80"/>
        </w:rPr>
        <w:t xml:space="preserve"> within 28 days of the commencement of the liquidation</w:t>
      </w:r>
      <w:r w:rsidR="00235FD3">
        <w:rPr>
          <w:rFonts w:ascii="Avenir Next" w:hAnsi="Avenir Next"/>
          <w:color w:val="808080" w:themeColor="background1" w:themeShade="80"/>
        </w:rPr>
        <w:t>. As the directors do not wish to issue a declaration of solvency, an application for a supervision order may be issued.</w:t>
      </w:r>
    </w:p>
    <w:p w14:paraId="5BB9F059" w14:textId="77777777" w:rsidR="00961D84" w:rsidRDefault="00961D84" w:rsidP="00137A41">
      <w:pPr>
        <w:pStyle w:val="BodyText"/>
        <w:ind w:firstLine="0"/>
        <w:rPr>
          <w:rFonts w:ascii="Avenir Next" w:hAnsi="Avenir Next"/>
          <w:color w:val="808080" w:themeColor="background1" w:themeShade="80"/>
        </w:rPr>
      </w:pPr>
    </w:p>
    <w:p w14:paraId="3379976C" w14:textId="46F013C0" w:rsidR="00961D84" w:rsidRDefault="00E246B4"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declaration of solvency is an affidavit to the effect that full enquiry to the Company’s affairs have been made and that the Company will be able to pay its debts in full not exceeding 12 months from the commencement of the winding up.</w:t>
      </w:r>
    </w:p>
    <w:p w14:paraId="4256F811" w14:textId="77777777" w:rsidR="00E246B4" w:rsidRDefault="00E246B4" w:rsidP="00137A41">
      <w:pPr>
        <w:pStyle w:val="BodyText"/>
        <w:ind w:firstLine="0"/>
        <w:rPr>
          <w:rFonts w:ascii="Avenir Next" w:hAnsi="Avenir Next"/>
          <w:color w:val="808080" w:themeColor="background1" w:themeShade="80"/>
        </w:rPr>
      </w:pPr>
    </w:p>
    <w:p w14:paraId="583D94AD" w14:textId="5358E5B4" w:rsidR="002C3E59" w:rsidRDefault="002C3E59"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An application for a supervision order must be made by petition and include</w:t>
      </w:r>
      <w:r w:rsidR="00F53F87">
        <w:rPr>
          <w:rFonts w:ascii="Avenir Next" w:hAnsi="Avenir Next"/>
          <w:color w:val="808080" w:themeColor="background1" w:themeShade="80"/>
        </w:rPr>
        <w:t>:</w:t>
      </w:r>
    </w:p>
    <w:p w14:paraId="4D3DCE4E" w14:textId="20BCAB6D" w:rsidR="00F53F87" w:rsidRDefault="00F53F87" w:rsidP="00CC554F">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The particulars of the Company’s incorporation</w:t>
      </w:r>
      <w:r w:rsidR="00053661">
        <w:rPr>
          <w:rFonts w:ascii="Avenir Next" w:hAnsi="Avenir Next"/>
          <w:color w:val="808080" w:themeColor="background1" w:themeShade="80"/>
        </w:rPr>
        <w:t>; and</w:t>
      </w:r>
    </w:p>
    <w:p w14:paraId="0B7B9FB7" w14:textId="1808D4E7" w:rsidR="00F53F87" w:rsidRDefault="009727E5" w:rsidP="00CC554F">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The particulars of how the Company was put into voluntary liquidation</w:t>
      </w:r>
      <w:r w:rsidR="00053661">
        <w:rPr>
          <w:rFonts w:ascii="Avenir Next" w:hAnsi="Avenir Next"/>
          <w:color w:val="808080" w:themeColor="background1" w:themeShade="80"/>
        </w:rPr>
        <w:t>; and</w:t>
      </w:r>
    </w:p>
    <w:p w14:paraId="27942459" w14:textId="4049377D" w:rsidR="009727E5" w:rsidRDefault="009727E5" w:rsidP="00CC554F">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The particulars of the directors of the company as at the date the voluntary liquidation commenced</w:t>
      </w:r>
      <w:r w:rsidR="00053661">
        <w:rPr>
          <w:rFonts w:ascii="Avenir Next" w:hAnsi="Avenir Next"/>
          <w:color w:val="808080" w:themeColor="background1" w:themeShade="80"/>
        </w:rPr>
        <w:t>; and</w:t>
      </w:r>
    </w:p>
    <w:p w14:paraId="38D9A207" w14:textId="3AEFD349" w:rsidR="009727E5" w:rsidRDefault="009727E5" w:rsidP="00CC554F">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A statement that within 28 days of the commencement of the voluntary liquidation, the voluntary liquidator did not receive a declaration of solvency signed by the directors of the Company;</w:t>
      </w:r>
      <w:r w:rsidR="00053661">
        <w:rPr>
          <w:rFonts w:ascii="Avenir Next" w:hAnsi="Avenir Next"/>
          <w:color w:val="808080" w:themeColor="background1" w:themeShade="80"/>
        </w:rPr>
        <w:t xml:space="preserve"> and</w:t>
      </w:r>
    </w:p>
    <w:p w14:paraId="473A7F36" w14:textId="37B98CEB" w:rsidR="009727E5" w:rsidRDefault="00053661" w:rsidP="00CC554F">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Whether the voluntary liquidator is a qualified insolvency practitioner and a statement that they consent to being appointed as the official liquidator; or</w:t>
      </w:r>
    </w:p>
    <w:p w14:paraId="4DE2B063" w14:textId="5C38C5CF" w:rsidR="00053661" w:rsidRDefault="00053661" w:rsidP="00CC554F">
      <w:pPr>
        <w:pStyle w:val="BodyText"/>
        <w:numPr>
          <w:ilvl w:val="0"/>
          <w:numId w:val="28"/>
        </w:numPr>
        <w:rPr>
          <w:rFonts w:ascii="Avenir Next" w:hAnsi="Avenir Next"/>
          <w:color w:val="808080" w:themeColor="background1" w:themeShade="80"/>
        </w:rPr>
      </w:pPr>
      <w:r>
        <w:rPr>
          <w:rFonts w:ascii="Avenir Next" w:hAnsi="Avenir Next"/>
          <w:color w:val="808080" w:themeColor="background1" w:themeShade="80"/>
        </w:rPr>
        <w:t>I</w:t>
      </w:r>
      <w:r w:rsidR="007548E5">
        <w:rPr>
          <w:rFonts w:ascii="Avenir Next" w:hAnsi="Avenir Next"/>
          <w:color w:val="808080" w:themeColor="background1" w:themeShade="80"/>
        </w:rPr>
        <w:t xml:space="preserve">f the voluntary liquidator is not a qualified IP or is ineligible to be appointed due to the independence </w:t>
      </w:r>
      <w:r w:rsidR="000E016F">
        <w:rPr>
          <w:rFonts w:ascii="Avenir Next" w:hAnsi="Avenir Next"/>
          <w:color w:val="808080" w:themeColor="background1" w:themeShade="80"/>
        </w:rPr>
        <w:t>requirement, or is unwilling to be appointed, the name and address of a qualified IP nominated for the appointment.</w:t>
      </w:r>
    </w:p>
    <w:p w14:paraId="4AF95759" w14:textId="77777777" w:rsidR="000E016F" w:rsidRDefault="000E016F" w:rsidP="000E016F">
      <w:pPr>
        <w:pStyle w:val="BodyText"/>
        <w:ind w:firstLine="0"/>
        <w:rPr>
          <w:rFonts w:ascii="Avenir Next" w:hAnsi="Avenir Next"/>
          <w:color w:val="808080" w:themeColor="background1" w:themeShade="80"/>
        </w:rPr>
      </w:pPr>
    </w:p>
    <w:p w14:paraId="31165B69" w14:textId="66749388" w:rsidR="000E016F" w:rsidRDefault="000E016F" w:rsidP="000E016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w:t>
      </w:r>
      <w:r w:rsidR="008E43EA">
        <w:rPr>
          <w:rFonts w:ascii="Avenir Next" w:hAnsi="Avenir Next"/>
          <w:color w:val="808080" w:themeColor="background1" w:themeShade="80"/>
        </w:rPr>
        <w:t xml:space="preserve">voluntary liquidator is </w:t>
      </w:r>
      <w:r w:rsidR="00676285">
        <w:rPr>
          <w:rFonts w:ascii="Avenir Next" w:hAnsi="Avenir Next"/>
          <w:color w:val="808080" w:themeColor="background1" w:themeShade="80"/>
        </w:rPr>
        <w:t xml:space="preserve">not a qualified IP who is willing and able to accept the official liquidator appointment, the voluntary liquidator must give notice of the petition to the company’s members. </w:t>
      </w:r>
    </w:p>
    <w:p w14:paraId="2562030C" w14:textId="77777777" w:rsidR="00C71629" w:rsidRDefault="00C71629" w:rsidP="000E016F">
      <w:pPr>
        <w:pStyle w:val="BodyText"/>
        <w:ind w:firstLine="0"/>
        <w:rPr>
          <w:rFonts w:ascii="Avenir Next" w:hAnsi="Avenir Next"/>
          <w:color w:val="808080" w:themeColor="background1" w:themeShade="80"/>
        </w:rPr>
      </w:pPr>
    </w:p>
    <w:p w14:paraId="09BE3E2F" w14:textId="7DA36432" w:rsidR="00C71629" w:rsidRDefault="00C71629" w:rsidP="000E016F">
      <w:pPr>
        <w:pStyle w:val="BodyText"/>
        <w:ind w:firstLine="0"/>
        <w:rPr>
          <w:rFonts w:ascii="Avenir Next" w:hAnsi="Avenir Next"/>
          <w:color w:val="808080" w:themeColor="background1" w:themeShade="80"/>
        </w:rPr>
      </w:pPr>
      <w:r>
        <w:rPr>
          <w:rFonts w:ascii="Avenir Next" w:hAnsi="Avenir Next"/>
          <w:color w:val="808080" w:themeColor="background1" w:themeShade="80"/>
        </w:rPr>
        <w:t>The petition must be verified by an affidavit and sworn by the voluntary liquidator.</w:t>
      </w:r>
    </w:p>
    <w:p w14:paraId="5FC2A1DB" w14:textId="77777777" w:rsidR="00C71629" w:rsidRDefault="00C71629" w:rsidP="000E016F">
      <w:pPr>
        <w:pStyle w:val="BodyText"/>
        <w:ind w:firstLine="0"/>
        <w:rPr>
          <w:rFonts w:ascii="Avenir Next" w:hAnsi="Avenir Next"/>
          <w:color w:val="808080" w:themeColor="background1" w:themeShade="80"/>
        </w:rPr>
      </w:pPr>
    </w:p>
    <w:p w14:paraId="46A518DB" w14:textId="61FB4651" w:rsidR="00C71629" w:rsidRDefault="00C71629" w:rsidP="000E016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voluntary liquidator is unable or unwilling to be appointed as the official liquidator; a petition must be </w:t>
      </w:r>
      <w:r w:rsidR="00B71784">
        <w:rPr>
          <w:rFonts w:ascii="Avenir Next" w:hAnsi="Avenir Next"/>
          <w:color w:val="808080" w:themeColor="background1" w:themeShade="80"/>
        </w:rPr>
        <w:t>supported by an affidavit of the nominated IP.</w:t>
      </w:r>
    </w:p>
    <w:p w14:paraId="57F5303B" w14:textId="77777777" w:rsidR="00B71784" w:rsidRDefault="00B71784" w:rsidP="000E016F">
      <w:pPr>
        <w:pStyle w:val="BodyText"/>
        <w:ind w:firstLine="0"/>
        <w:rPr>
          <w:rFonts w:ascii="Avenir Next" w:hAnsi="Avenir Next"/>
          <w:color w:val="808080" w:themeColor="background1" w:themeShade="80"/>
        </w:rPr>
      </w:pPr>
    </w:p>
    <w:p w14:paraId="0F2E40B9" w14:textId="7E3A7B9E" w:rsidR="00B71784" w:rsidRDefault="00B71784" w:rsidP="000E016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voluntary liquidator is </w:t>
      </w:r>
      <w:r w:rsidR="00945D78">
        <w:rPr>
          <w:rFonts w:ascii="Avenir Next" w:hAnsi="Avenir Next"/>
          <w:color w:val="808080" w:themeColor="background1" w:themeShade="80"/>
        </w:rPr>
        <w:t xml:space="preserve">a qualified IP and is able to take the appointment, a supervision order may be made without the need for a hearing as long as the judge is satisfied that notice of the petition </w:t>
      </w:r>
      <w:r w:rsidR="00F24E7F">
        <w:rPr>
          <w:rFonts w:ascii="Avenir Next" w:hAnsi="Avenir Next"/>
          <w:color w:val="808080" w:themeColor="background1" w:themeShade="80"/>
        </w:rPr>
        <w:t>was</w:t>
      </w:r>
      <w:r w:rsidR="00945D78">
        <w:rPr>
          <w:rFonts w:ascii="Avenir Next" w:hAnsi="Avenir Next"/>
          <w:color w:val="808080" w:themeColor="background1" w:themeShade="80"/>
        </w:rPr>
        <w:t xml:space="preserve"> given to the company’s creditors or its shareholders (if solvent)</w:t>
      </w:r>
      <w:r w:rsidR="00F24E7F">
        <w:rPr>
          <w:rFonts w:ascii="Avenir Next" w:hAnsi="Avenir Next"/>
          <w:color w:val="808080" w:themeColor="background1" w:themeShade="80"/>
        </w:rPr>
        <w:t xml:space="preserve">; </w:t>
      </w:r>
      <w:r w:rsidR="004C775A">
        <w:rPr>
          <w:rFonts w:ascii="Avenir Next" w:hAnsi="Avenir Next"/>
          <w:color w:val="808080" w:themeColor="background1" w:themeShade="80"/>
        </w:rPr>
        <w:t xml:space="preserve">and </w:t>
      </w:r>
      <w:r w:rsidR="00F24E7F">
        <w:rPr>
          <w:rFonts w:ascii="Avenir Next" w:hAnsi="Avenir Next"/>
          <w:color w:val="808080" w:themeColor="background1" w:themeShade="80"/>
        </w:rPr>
        <w:t>that there is no reason to believe that a creditor or shareholder objects to the appointment</w:t>
      </w:r>
      <w:r w:rsidR="004C775A">
        <w:rPr>
          <w:rFonts w:ascii="Avenir Next" w:hAnsi="Avenir Next"/>
          <w:color w:val="808080" w:themeColor="background1" w:themeShade="80"/>
        </w:rPr>
        <w:t>.</w:t>
      </w:r>
    </w:p>
    <w:p w14:paraId="39A3ED5B" w14:textId="77777777" w:rsidR="004C775A" w:rsidRDefault="004C775A" w:rsidP="000E016F">
      <w:pPr>
        <w:pStyle w:val="BodyText"/>
        <w:ind w:firstLine="0"/>
        <w:rPr>
          <w:rFonts w:ascii="Avenir Next" w:hAnsi="Avenir Next"/>
          <w:color w:val="808080" w:themeColor="background1" w:themeShade="80"/>
        </w:rPr>
      </w:pPr>
    </w:p>
    <w:p w14:paraId="7BD63661" w14:textId="20752004" w:rsidR="004C775A" w:rsidRDefault="004C775A" w:rsidP="000E016F">
      <w:pPr>
        <w:pStyle w:val="BodyText"/>
        <w:ind w:firstLine="0"/>
        <w:rPr>
          <w:rFonts w:ascii="Avenir Next" w:hAnsi="Avenir Next"/>
          <w:color w:val="808080" w:themeColor="background1" w:themeShade="80"/>
        </w:rPr>
      </w:pPr>
      <w:r>
        <w:rPr>
          <w:rFonts w:ascii="Avenir Next" w:hAnsi="Avenir Next"/>
          <w:color w:val="808080" w:themeColor="background1" w:themeShade="80"/>
        </w:rPr>
        <w:t>In any other cases, the voluntary liquidator will need to apply to fix the hearing date for the petition in open court and give notice to the creditors and shareholders (if solvent)</w:t>
      </w:r>
      <w:r w:rsidR="00701422">
        <w:rPr>
          <w:rFonts w:ascii="Avenir Next" w:hAnsi="Avenir Next"/>
          <w:color w:val="808080" w:themeColor="background1" w:themeShade="80"/>
        </w:rPr>
        <w:t xml:space="preserve"> in whatever means necessary to bring it to their attention; and advertise the hearing once in a newspaper in the Cayman islands and in a foreign jurisdiction if it is likely to have creditors in that jurisdiction.</w:t>
      </w:r>
    </w:p>
    <w:p w14:paraId="0E406297" w14:textId="77777777" w:rsidR="00422302" w:rsidRDefault="00422302" w:rsidP="00137A41">
      <w:pPr>
        <w:pStyle w:val="BodyText"/>
        <w:ind w:firstLine="0"/>
        <w:rPr>
          <w:rFonts w:ascii="Avenir Next" w:hAnsi="Avenir Next"/>
          <w:color w:val="808080" w:themeColor="background1" w:themeShade="80"/>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F46DB34" w14:textId="54629B69" w:rsidR="000519BD" w:rsidRPr="00486A0B" w:rsidRDefault="00CB4491" w:rsidP="00137A41">
      <w:pPr>
        <w:pStyle w:val="BodyText"/>
        <w:ind w:firstLine="0"/>
        <w:rPr>
          <w:rFonts w:ascii="Avenir Next" w:hAnsi="Avenir Next"/>
          <w:b/>
          <w:bCs/>
        </w:rPr>
      </w:pPr>
      <w:r>
        <w:rPr>
          <w:rFonts w:ascii="Avenir Next" w:hAnsi="Avenir Next"/>
          <w:color w:val="808080" w:themeColor="background1" w:themeShade="80"/>
        </w:rPr>
        <w:t xml:space="preserve">The redemption request to the master fund will not be satisfied in light of the insolvency proceedings. </w:t>
      </w:r>
      <w:r w:rsidR="001D786C">
        <w:rPr>
          <w:rFonts w:ascii="Avenir Next" w:hAnsi="Avenir Next"/>
          <w:color w:val="808080" w:themeColor="background1" w:themeShade="80"/>
        </w:rPr>
        <w:t xml:space="preserve">Similarly, the request </w:t>
      </w:r>
      <w:r w:rsidR="00A6394E">
        <w:rPr>
          <w:rFonts w:ascii="Avenir Next" w:hAnsi="Avenir Next"/>
          <w:color w:val="808080" w:themeColor="background1" w:themeShade="80"/>
        </w:rPr>
        <w:t xml:space="preserve">would rank below unsecured creditors in the order of priority and depending on the number of claims submitted and the assets available for distribution, it is unlikely that the request will be satisfied </w:t>
      </w:r>
      <w:r w:rsidR="00625237">
        <w:rPr>
          <w:rFonts w:ascii="Avenir Next" w:hAnsi="Avenir Next"/>
          <w:color w:val="808080" w:themeColor="background1" w:themeShade="80"/>
        </w:rPr>
        <w:t>under the liquidation.</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3328FEC6" w14:textId="6ABAEDB8" w:rsidR="007F068B" w:rsidRDefault="006A63A6" w:rsidP="007F068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 the introduction of the restructuring regime by the Companies (Amendment) Act 2022, </w:t>
      </w:r>
      <w:r w:rsidR="00640559">
        <w:rPr>
          <w:rFonts w:ascii="Avenir Next" w:hAnsi="Avenir Next"/>
          <w:color w:val="808080" w:themeColor="background1" w:themeShade="80"/>
        </w:rPr>
        <w:t xml:space="preserve">a company can still seek the appointment of a provisional liquidator (PL) as a means of protecting </w:t>
      </w:r>
      <w:r w:rsidR="003B11A7">
        <w:rPr>
          <w:rFonts w:ascii="Avenir Next" w:hAnsi="Avenir Next"/>
          <w:color w:val="808080" w:themeColor="background1" w:themeShade="80"/>
        </w:rPr>
        <w:t xml:space="preserve">the assets and affairs of the company from abuse, dissipation or misappropriation by the management of the company7 or by majority members; or </w:t>
      </w:r>
      <w:r w:rsidR="00D6666B">
        <w:rPr>
          <w:rFonts w:ascii="Avenir Next" w:hAnsi="Avenir Next"/>
          <w:color w:val="808080" w:themeColor="background1" w:themeShade="80"/>
        </w:rPr>
        <w:t>as a mechanism to enable to company to develop and propose a restructuring of its obligations to stakeholders.</w:t>
      </w:r>
    </w:p>
    <w:p w14:paraId="1C9DB997" w14:textId="77777777" w:rsidR="00D6666B" w:rsidRDefault="00D6666B" w:rsidP="007F068B">
      <w:pPr>
        <w:pStyle w:val="BodyText"/>
        <w:ind w:firstLine="0"/>
        <w:rPr>
          <w:rFonts w:ascii="Avenir Next" w:hAnsi="Avenir Next"/>
          <w:color w:val="808080" w:themeColor="background1" w:themeShade="80"/>
        </w:rPr>
      </w:pPr>
    </w:p>
    <w:p w14:paraId="26F7865D" w14:textId="11296482" w:rsidR="00D6666B" w:rsidRPr="00486A0B" w:rsidRDefault="000014CF" w:rsidP="007F068B">
      <w:pPr>
        <w:pStyle w:val="BodyText"/>
        <w:ind w:firstLine="0"/>
        <w:rPr>
          <w:rFonts w:ascii="Avenir Next" w:hAnsi="Avenir Next"/>
          <w:b/>
          <w:bCs/>
        </w:rPr>
      </w:pPr>
      <w:r>
        <w:rPr>
          <w:rFonts w:ascii="Avenir Next" w:hAnsi="Avenir Next"/>
          <w:color w:val="808080" w:themeColor="background1" w:themeShade="80"/>
        </w:rPr>
        <w:t>The Grand Court may grant this application if it considers it appropriate to do so.</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r w:rsidRPr="00B31A12">
        <w:t>Considering the fact that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D30F72D" w14:textId="7A9C2932" w:rsidR="00AD2E5C" w:rsidRDefault="001C3ABD"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restructuring options that are presently available to Maritime Sea Ventures Ltd.</w:t>
      </w:r>
      <w:r w:rsidR="009513CC">
        <w:rPr>
          <w:rFonts w:ascii="Avenir Next" w:hAnsi="Avenir Next"/>
          <w:color w:val="808080" w:themeColor="background1" w:themeShade="80"/>
        </w:rPr>
        <w:t xml:space="preserve"> include </w:t>
      </w:r>
      <w:r w:rsidR="00CC021B">
        <w:rPr>
          <w:rFonts w:ascii="Avenir Next" w:hAnsi="Avenir Next"/>
          <w:color w:val="808080" w:themeColor="background1" w:themeShade="80"/>
        </w:rPr>
        <w:t>the appointment of a restructuring officer under the supervision of the Grand Court;</w:t>
      </w:r>
      <w:r w:rsidR="002431DA">
        <w:rPr>
          <w:rFonts w:ascii="Avenir Next" w:hAnsi="Avenir Next"/>
          <w:color w:val="808080" w:themeColor="background1" w:themeShade="80"/>
        </w:rPr>
        <w:t xml:space="preserve"> and</w:t>
      </w:r>
      <w:r w:rsidR="00CC021B">
        <w:rPr>
          <w:rFonts w:ascii="Avenir Next" w:hAnsi="Avenir Next"/>
          <w:color w:val="808080" w:themeColor="background1" w:themeShade="80"/>
        </w:rPr>
        <w:t xml:space="preserve"> considering a Corporate</w:t>
      </w:r>
      <w:r w:rsidR="008E78E0">
        <w:rPr>
          <w:rFonts w:ascii="Avenir Next" w:hAnsi="Avenir Next"/>
          <w:color w:val="808080" w:themeColor="background1" w:themeShade="80"/>
        </w:rPr>
        <w:t xml:space="preserve"> Rescue Plan (Scheme of Arrangement)</w:t>
      </w:r>
      <w:r w:rsidR="002431DA">
        <w:rPr>
          <w:rFonts w:ascii="Avenir Next" w:hAnsi="Avenir Next"/>
          <w:color w:val="808080" w:themeColor="background1" w:themeShade="80"/>
        </w:rPr>
        <w:t>.</w:t>
      </w:r>
    </w:p>
    <w:p w14:paraId="2197E51B" w14:textId="77777777" w:rsidR="002431DA" w:rsidRDefault="002431DA" w:rsidP="00137A41">
      <w:pPr>
        <w:pStyle w:val="BodyText"/>
        <w:ind w:firstLine="0"/>
        <w:rPr>
          <w:rFonts w:ascii="Avenir Next" w:hAnsi="Avenir Next"/>
          <w:color w:val="808080" w:themeColor="background1" w:themeShade="80"/>
        </w:rPr>
      </w:pPr>
    </w:p>
    <w:p w14:paraId="4DBAFC98" w14:textId="433303D2" w:rsidR="002431DA" w:rsidRDefault="002431DA"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By appointing a restructuring officer, </w:t>
      </w:r>
      <w:r w:rsidR="00B877C4">
        <w:rPr>
          <w:rFonts w:ascii="Avenir Next" w:hAnsi="Avenir Next"/>
          <w:color w:val="808080" w:themeColor="background1" w:themeShade="80"/>
        </w:rPr>
        <w:t>who is required to be a</w:t>
      </w:r>
      <w:r w:rsidR="00D37B6B">
        <w:rPr>
          <w:rFonts w:ascii="Avenir Next" w:hAnsi="Avenir Next"/>
          <w:color w:val="808080" w:themeColor="background1" w:themeShade="80"/>
        </w:rPr>
        <w:t>n independent,</w:t>
      </w:r>
      <w:r w:rsidR="00B877C4">
        <w:rPr>
          <w:rFonts w:ascii="Avenir Next" w:hAnsi="Avenir Next"/>
          <w:color w:val="808080" w:themeColor="background1" w:themeShade="80"/>
        </w:rPr>
        <w:t xml:space="preserve"> qualified IP, </w:t>
      </w:r>
      <w:r w:rsidR="009B251D">
        <w:rPr>
          <w:rFonts w:ascii="Avenir Next" w:hAnsi="Avenir Next"/>
          <w:color w:val="808080" w:themeColor="background1" w:themeShade="80"/>
        </w:rPr>
        <w:t>the restructuring officer</w:t>
      </w:r>
      <w:r w:rsidR="00266A55">
        <w:rPr>
          <w:rFonts w:ascii="Avenir Next" w:hAnsi="Avenir Next"/>
          <w:color w:val="808080" w:themeColor="background1" w:themeShade="80"/>
        </w:rPr>
        <w:t xml:space="preserve">’s role can be light-touch by providing advisory and oversight to the company’s management </w:t>
      </w:r>
      <w:r w:rsidR="00F519F0">
        <w:rPr>
          <w:rFonts w:ascii="Avenir Next" w:hAnsi="Avenir Next"/>
          <w:color w:val="808080" w:themeColor="background1" w:themeShade="80"/>
        </w:rPr>
        <w:t>and can be more direct by taking additional control. This appointment allows for worldwide automatic stay of proceedings upon the pr</w:t>
      </w:r>
      <w:r w:rsidR="00533DEA">
        <w:rPr>
          <w:rFonts w:ascii="Avenir Next" w:hAnsi="Avenir Next"/>
          <w:color w:val="808080" w:themeColor="background1" w:themeShade="80"/>
        </w:rPr>
        <w:t>esentation of the petition which will prevent BlueWave from taking suits or actions against the company.</w:t>
      </w:r>
    </w:p>
    <w:p w14:paraId="3574017E" w14:textId="77777777" w:rsidR="00533DEA" w:rsidRDefault="00533DEA" w:rsidP="00137A41">
      <w:pPr>
        <w:pStyle w:val="BodyText"/>
        <w:ind w:firstLine="0"/>
        <w:rPr>
          <w:rFonts w:ascii="Avenir Next" w:hAnsi="Avenir Next"/>
          <w:color w:val="808080" w:themeColor="background1" w:themeShade="80"/>
        </w:rPr>
      </w:pPr>
    </w:p>
    <w:p w14:paraId="0505EA51" w14:textId="0C08DF72" w:rsidR="00533DEA" w:rsidRPr="00486A0B" w:rsidRDefault="00731323" w:rsidP="00137A41">
      <w:pPr>
        <w:pStyle w:val="BodyText"/>
        <w:ind w:firstLine="0"/>
        <w:rPr>
          <w:rFonts w:ascii="Avenir Next" w:hAnsi="Avenir Next"/>
          <w:b/>
          <w:bCs/>
        </w:rPr>
      </w:pPr>
      <w:r>
        <w:rPr>
          <w:rFonts w:ascii="Avenir Next" w:hAnsi="Avenir Next"/>
          <w:color w:val="808080" w:themeColor="background1" w:themeShade="80"/>
        </w:rPr>
        <w:t>A scheme of arrangement is a court-approved compromise or arrangement between the company and its creditors or members</w:t>
      </w:r>
      <w:r w:rsidR="000C422C">
        <w:rPr>
          <w:rFonts w:ascii="Avenir Next" w:hAnsi="Avenir Next"/>
          <w:color w:val="808080" w:themeColor="background1" w:themeShade="80"/>
        </w:rPr>
        <w:t>.</w:t>
      </w:r>
      <w:r w:rsidR="0055460A">
        <w:rPr>
          <w:rFonts w:ascii="Avenir Next" w:hAnsi="Avenir Next"/>
          <w:color w:val="808080" w:themeColor="background1" w:themeShade="80"/>
        </w:rPr>
        <w:t xml:space="preserve"> The directors </w:t>
      </w:r>
      <w:r w:rsidR="004C341B">
        <w:rPr>
          <w:rFonts w:ascii="Avenir Next" w:hAnsi="Avenir Next"/>
          <w:color w:val="808080" w:themeColor="background1" w:themeShade="80"/>
        </w:rPr>
        <w:t xml:space="preserve">remain in control while negotiating terms with the stakeholders which may allow the company breathing room before insolvency proceedings are sought. </w:t>
      </w:r>
      <w:r w:rsidR="0017540B">
        <w:rPr>
          <w:rFonts w:ascii="Avenir Next" w:hAnsi="Avenir Next"/>
          <w:color w:val="808080" w:themeColor="background1" w:themeShade="80"/>
        </w:rPr>
        <w:t xml:space="preserve">It can be utilized with or without a provisional liquidator appointed and requires an approval </w:t>
      </w:r>
      <w:r w:rsidR="00010714">
        <w:rPr>
          <w:rFonts w:ascii="Avenir Next" w:hAnsi="Avenir Next"/>
          <w:color w:val="808080" w:themeColor="background1" w:themeShade="80"/>
        </w:rPr>
        <w:t xml:space="preserve">a double majority threshold as 75% in number </w:t>
      </w:r>
      <w:r w:rsidR="003D1289">
        <w:rPr>
          <w:rFonts w:ascii="Avenir Next" w:hAnsi="Avenir Next"/>
          <w:color w:val="808080" w:themeColor="background1" w:themeShade="80"/>
        </w:rPr>
        <w:t>of creditor</w:t>
      </w:r>
      <w:r w:rsidR="00CC554F">
        <w:rPr>
          <w:rFonts w:ascii="Avenir Next" w:hAnsi="Avenir Next"/>
          <w:color w:val="808080" w:themeColor="background1" w:themeShade="80"/>
        </w:rPr>
        <w:t>s present and entitled to vote and in each class of those creditors must be a simple majority.</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11FC182D" w:rsidR="000756CC" w:rsidRPr="00486A0B" w:rsidRDefault="00C42D32" w:rsidP="000756CC">
      <w:pPr>
        <w:pStyle w:val="BodyText"/>
        <w:ind w:firstLine="0"/>
        <w:rPr>
          <w:rFonts w:ascii="Avenir Next" w:hAnsi="Avenir Next"/>
          <w:b/>
          <w:bCs/>
        </w:rPr>
      </w:pPr>
      <w:r>
        <w:rPr>
          <w:rFonts w:ascii="Avenir Next" w:hAnsi="Avenir Next"/>
          <w:color w:val="808080" w:themeColor="background1" w:themeShade="80"/>
        </w:rPr>
        <w:t xml:space="preserve">The statutory moratorium comes into effect upon the filing </w:t>
      </w:r>
      <w:r w:rsidR="005379E0">
        <w:rPr>
          <w:rFonts w:ascii="Avenir Next" w:hAnsi="Avenir Next"/>
          <w:color w:val="808080" w:themeColor="background1" w:themeShade="80"/>
        </w:rPr>
        <w:t xml:space="preserve">of </w:t>
      </w:r>
      <w:r w:rsidR="00E13A69">
        <w:rPr>
          <w:rFonts w:ascii="Avenir Next" w:hAnsi="Avenir Next"/>
          <w:color w:val="808080" w:themeColor="background1" w:themeShade="80"/>
        </w:rPr>
        <w:t xml:space="preserve">that petition for the appointment of a restructuring officer. </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4952EB4C" w:rsidR="000756CC" w:rsidRPr="00486A0B" w:rsidRDefault="00EA685B" w:rsidP="000756CC">
      <w:pPr>
        <w:pStyle w:val="BodyText"/>
        <w:ind w:firstLine="0"/>
        <w:rPr>
          <w:rFonts w:ascii="Avenir Next" w:hAnsi="Avenir Next"/>
          <w:b/>
          <w:bCs/>
        </w:rPr>
      </w:pPr>
      <w:r>
        <w:rPr>
          <w:rFonts w:ascii="Avenir Next" w:hAnsi="Avenir Next"/>
          <w:color w:val="808080" w:themeColor="background1" w:themeShade="80"/>
        </w:rPr>
        <w:t xml:space="preserve">Once appointed the reporting officer must file their first report within 28 days of their appointment. The report must include details of the steps taken in the restructuring and further steps intended to be taken generally; the financial position of the company at the </w:t>
      </w:r>
      <w:r w:rsidR="00F24317">
        <w:rPr>
          <w:rFonts w:ascii="Avenir Next" w:hAnsi="Avenir Next"/>
          <w:color w:val="808080" w:themeColor="background1" w:themeShade="80"/>
        </w:rPr>
        <w:t>most recent practicable date; and the work done by the restructuring officers and the remuneration being claimed by them.</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2001E30" w14:textId="16FC3A87" w:rsidR="00605AA2" w:rsidRDefault="006C0A5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appropriate comparator</w:t>
      </w:r>
      <w:r w:rsidR="001133B8">
        <w:rPr>
          <w:rFonts w:ascii="Avenir Next" w:hAnsi="Avenir Next"/>
          <w:color w:val="808080" w:themeColor="background1" w:themeShade="80"/>
        </w:rPr>
        <w:t xml:space="preserve"> for creditor schemes </w:t>
      </w:r>
      <w:r w:rsidR="00730A55">
        <w:rPr>
          <w:rFonts w:ascii="Avenir Next" w:hAnsi="Avenir Next"/>
          <w:color w:val="808080" w:themeColor="background1" w:themeShade="80"/>
        </w:rPr>
        <w:t xml:space="preserve">refers to class composition of creditors </w:t>
      </w:r>
      <w:r w:rsidR="004D1395">
        <w:rPr>
          <w:rFonts w:ascii="Avenir Next" w:hAnsi="Avenir Next"/>
          <w:color w:val="808080" w:themeColor="background1" w:themeShade="80"/>
        </w:rPr>
        <w:t xml:space="preserve">which requires that a class must be confined to those persons whose rights are not so dissimilar </w:t>
      </w:r>
      <w:r w:rsidR="00561CE8">
        <w:rPr>
          <w:rFonts w:ascii="Avenir Next" w:hAnsi="Avenir Next"/>
          <w:color w:val="808080" w:themeColor="background1" w:themeShade="80"/>
        </w:rPr>
        <w:t xml:space="preserve">in order for them to consult together and view their interests as common, while having regard to what is surrendered and obtained pursuant to the scheme, when measured against liquidation. </w:t>
      </w:r>
    </w:p>
    <w:p w14:paraId="63DC0DC0" w14:textId="77777777" w:rsidR="00561CE8" w:rsidRDefault="00561CE8" w:rsidP="00137A41">
      <w:pPr>
        <w:pStyle w:val="BodyText"/>
        <w:ind w:firstLine="0"/>
        <w:rPr>
          <w:rFonts w:ascii="Avenir Next" w:hAnsi="Avenir Next"/>
          <w:color w:val="808080" w:themeColor="background1" w:themeShade="80"/>
        </w:rPr>
      </w:pPr>
    </w:p>
    <w:p w14:paraId="3C1252CA" w14:textId="70736F30" w:rsidR="00561CE8" w:rsidRPr="00486A0B" w:rsidRDefault="00A27DB1" w:rsidP="00137A41">
      <w:pPr>
        <w:pStyle w:val="BodyText"/>
        <w:ind w:firstLine="0"/>
        <w:rPr>
          <w:rFonts w:ascii="Avenir Next" w:hAnsi="Avenir Next"/>
          <w:b/>
          <w:bCs/>
        </w:rPr>
      </w:pPr>
      <w:r>
        <w:rPr>
          <w:rFonts w:ascii="Avenir Next" w:hAnsi="Avenir Next"/>
          <w:color w:val="808080" w:themeColor="background1" w:themeShade="80"/>
        </w:rPr>
        <w:t>It is applied by the company seeking to enter into lock-up agreements with each class of stakeholders, allowing the company to amass dependable support for the scheme</w:t>
      </w:r>
      <w:r w:rsidR="004B77BB">
        <w:rPr>
          <w:rFonts w:ascii="Avenir Next" w:hAnsi="Avenir Next"/>
          <w:color w:val="808080" w:themeColor="background1" w:themeShade="80"/>
        </w:rPr>
        <w:t xml:space="preserve"> and brings some commercial certainty to whether the scheme will come into effect.</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42FAB47C" w14:textId="31D6C220" w:rsidR="004B77BB" w:rsidRDefault="004B77B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information that must be provided in advance of the vote of the scheme </w:t>
      </w:r>
      <w:r w:rsidR="00B83E9B">
        <w:rPr>
          <w:rFonts w:ascii="Avenir Next" w:hAnsi="Avenir Next"/>
          <w:color w:val="808080" w:themeColor="background1" w:themeShade="80"/>
        </w:rPr>
        <w:t>includes the scheme documentation</w:t>
      </w:r>
      <w:r w:rsidR="00526264">
        <w:rPr>
          <w:rFonts w:ascii="Avenir Next" w:hAnsi="Avenir Next"/>
          <w:color w:val="808080" w:themeColor="background1" w:themeShade="80"/>
        </w:rPr>
        <w:t xml:space="preserve"> with all of the information reasonably required for them to make an informed decision on whether to support o oppose the scheme.</w:t>
      </w:r>
    </w:p>
    <w:p w14:paraId="6FEEEACE" w14:textId="77777777" w:rsidR="00D31E53" w:rsidRDefault="00D31E53" w:rsidP="00137A41">
      <w:pPr>
        <w:pStyle w:val="BodyText"/>
        <w:ind w:firstLine="0"/>
        <w:rPr>
          <w:rFonts w:ascii="Avenir Next" w:hAnsi="Avenir Next"/>
          <w:color w:val="808080" w:themeColor="background1" w:themeShade="80"/>
        </w:rPr>
      </w:pPr>
    </w:p>
    <w:p w14:paraId="58B7EB12" w14:textId="69C989DC" w:rsidR="00D31E53" w:rsidRDefault="00165A2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minimum period between the dispatch of the scheme documents and the EGM is </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r>
        <w:rPr>
          <w:rFonts w:ascii="Avenir Next Demi Bold" w:hAnsi="Avenir Next Demi Bold"/>
          <w:b/>
          <w:bCs/>
          <w:lang w:val="en-GB"/>
        </w:rPr>
        <w:t>i</w:t>
      </w:r>
      <w:r w:rsidR="00662C27">
        <w:rPr>
          <w:rFonts w:ascii="Avenir Next Demi Bold" w:hAnsi="Avenir Next Demi Bold"/>
          <w:b/>
          <w:bCs/>
          <w:lang w:val="en-GB"/>
        </w:rPr>
        <w:t>nsolvency</w:t>
      </w:r>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you agree or disagree with this statement</w:t>
      </w:r>
      <w:r w:rsidR="001D3AB4">
        <w:t>,</w:t>
      </w:r>
      <w:r>
        <w:t xml:space="preserve"> and explain why.</w:t>
      </w:r>
      <w:r w:rsidR="001D3AB4">
        <w:tab/>
      </w:r>
      <w:r w:rsidRPr="005F7E38">
        <w:rPr>
          <w:rFonts w:ascii="Avenir Next Demi Bold" w:hAnsi="Avenir Next Demi Bold"/>
          <w:b/>
          <w:bCs/>
        </w:rPr>
        <w:t>(5)</w:t>
      </w:r>
    </w:p>
    <w:p w14:paraId="39813F18" w14:textId="77777777" w:rsidR="00306D6E" w:rsidRDefault="00306D6E" w:rsidP="00137A41"/>
    <w:p w14:paraId="2E5E5975" w14:textId="70B7506F" w:rsidR="00306D6E" w:rsidRPr="00486A0B" w:rsidRDefault="00537119" w:rsidP="00137A41">
      <w:pPr>
        <w:pStyle w:val="BodyText"/>
        <w:ind w:firstLine="0"/>
        <w:rPr>
          <w:rFonts w:ascii="Avenir Next" w:hAnsi="Avenir Next"/>
          <w:b/>
          <w:bCs/>
        </w:rPr>
      </w:pPr>
      <w:r>
        <w:rPr>
          <w:rFonts w:ascii="Avenir Next" w:hAnsi="Avenir Next"/>
          <w:color w:val="808080" w:themeColor="background1" w:themeShade="80"/>
        </w:rPr>
        <w:t xml:space="preserve">I disagree with this statement on the basis that it is treated similarly </w:t>
      </w:r>
      <w:r w:rsidR="00AA6B9F">
        <w:rPr>
          <w:rFonts w:ascii="Avenir Next" w:hAnsi="Avenir Next"/>
          <w:color w:val="808080" w:themeColor="background1" w:themeShade="80"/>
        </w:rPr>
        <w:t xml:space="preserve">to a company in liquidation, with the exception that </w:t>
      </w:r>
      <w:r w:rsidR="006E5B02">
        <w:rPr>
          <w:rFonts w:ascii="Avenir Next" w:hAnsi="Avenir Next"/>
          <w:color w:val="808080" w:themeColor="background1" w:themeShade="80"/>
        </w:rPr>
        <w:t>it is confined to the creditors of the specific portfolio.</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6B586490" w:rsidR="00662C27" w:rsidRPr="00486A0B" w:rsidRDefault="00EE58EA" w:rsidP="00137A41">
      <w:pPr>
        <w:pStyle w:val="BodyText"/>
        <w:ind w:firstLine="0"/>
        <w:rPr>
          <w:rFonts w:ascii="Avenir Next" w:hAnsi="Avenir Next"/>
          <w:b/>
          <w:bCs/>
        </w:rPr>
      </w:pPr>
      <w:r>
        <w:rPr>
          <w:rFonts w:ascii="Avenir Next" w:hAnsi="Avenir Next"/>
          <w:color w:val="808080" w:themeColor="background1" w:themeShade="80"/>
        </w:rPr>
        <w:t>The laws which govern exempted limited partnerships</w:t>
      </w:r>
      <w:r w:rsidR="002155E9">
        <w:rPr>
          <w:rFonts w:ascii="Avenir Next" w:hAnsi="Avenir Next"/>
          <w:color w:val="808080" w:themeColor="background1" w:themeShade="80"/>
        </w:rPr>
        <w:t xml:space="preserve"> are the Partnership Act (2013) Revision) and the Exempted Limited Partnership Act (2021 Revision). In terms of </w:t>
      </w:r>
      <w:r w:rsidR="002155E9">
        <w:rPr>
          <w:rFonts w:ascii="Avenir Next" w:hAnsi="Avenir Next"/>
          <w:color w:val="808080" w:themeColor="background1" w:themeShade="80"/>
        </w:rPr>
        <w:t>the liquidation and dissolution of</w:t>
      </w:r>
      <w:r w:rsidR="002155E9">
        <w:rPr>
          <w:rFonts w:ascii="Avenir Next" w:hAnsi="Avenir Next"/>
          <w:color w:val="808080" w:themeColor="background1" w:themeShade="80"/>
        </w:rPr>
        <w:t xml:space="preserve"> an ELP, </w:t>
      </w:r>
      <w:r w:rsidR="00D17C88">
        <w:rPr>
          <w:rFonts w:ascii="Avenir Next" w:hAnsi="Avenir Next"/>
          <w:color w:val="808080" w:themeColor="background1" w:themeShade="80"/>
        </w:rPr>
        <w:t xml:space="preserve">Part V of the Companies Act and the CWR will apply. However, where there are inconsistencies, the </w:t>
      </w:r>
      <w:r w:rsidR="00D17C88">
        <w:rPr>
          <w:rFonts w:ascii="Avenir Next" w:hAnsi="Avenir Next"/>
          <w:color w:val="808080" w:themeColor="background1" w:themeShade="80"/>
        </w:rPr>
        <w:t>Exempted Limited Partnership Act (2021 Revision)</w:t>
      </w:r>
      <w:r w:rsidR="00D17C88">
        <w:rPr>
          <w:rFonts w:ascii="Avenir Next" w:hAnsi="Avenir Next"/>
          <w:color w:val="808080" w:themeColor="background1" w:themeShade="80"/>
        </w:rPr>
        <w:t xml:space="preserve"> prevails</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up date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38EF4031" w:rsidR="00A500D9" w:rsidRPr="00486A0B" w:rsidRDefault="005F3A49" w:rsidP="00A500D9">
      <w:pPr>
        <w:pStyle w:val="BodyText"/>
        <w:ind w:firstLine="0"/>
        <w:rPr>
          <w:rFonts w:ascii="Avenir Next" w:hAnsi="Avenir Next"/>
          <w:b/>
          <w:bCs/>
        </w:rPr>
      </w:pPr>
      <w:r>
        <w:rPr>
          <w:rFonts w:ascii="Avenir Next" w:hAnsi="Avenir Next"/>
          <w:color w:val="808080" w:themeColor="background1" w:themeShade="80"/>
        </w:rPr>
        <w:t>The limited partners ca</w:t>
      </w:r>
      <w:r w:rsidR="00602E7B">
        <w:rPr>
          <w:rFonts w:ascii="Avenir Next" w:hAnsi="Avenir Next"/>
          <w:color w:val="808080" w:themeColor="background1" w:themeShade="80"/>
        </w:rPr>
        <w:t xml:space="preserve">n, before the winding up date, elect a new eligible general partner. The majority </w:t>
      </w:r>
      <w:r w:rsidR="000D358D">
        <w:rPr>
          <w:rFonts w:ascii="Avenir Next" w:hAnsi="Avenir Next"/>
          <w:color w:val="808080" w:themeColor="background1" w:themeShade="80"/>
        </w:rPr>
        <w:t>specified in the partnership agreement is entitled to vote for the election of a new general partner, or with the absence of specific majority, a simple majority.</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14D52CD3" w:rsidR="007C0544" w:rsidRPr="00486A0B" w:rsidRDefault="0057499E" w:rsidP="00137A41">
      <w:pPr>
        <w:pStyle w:val="BodyText"/>
        <w:ind w:firstLine="0"/>
        <w:rPr>
          <w:rFonts w:ascii="Avenir Next" w:hAnsi="Avenir Next"/>
          <w:b/>
          <w:bCs/>
        </w:rPr>
      </w:pPr>
      <w:r>
        <w:rPr>
          <w:rFonts w:ascii="Avenir Next" w:hAnsi="Avenir Next"/>
          <w:color w:val="808080" w:themeColor="background1" w:themeShade="80"/>
        </w:rPr>
        <w:t xml:space="preserve">A consumer debtor is discharged </w:t>
      </w:r>
      <w:r w:rsidR="00992ABF">
        <w:rPr>
          <w:rFonts w:ascii="Avenir Next" w:hAnsi="Avenir Next"/>
          <w:color w:val="808080" w:themeColor="background1" w:themeShade="80"/>
        </w:rPr>
        <w:t>af</w:t>
      </w:r>
      <w:r w:rsidR="00987A90">
        <w:rPr>
          <w:rFonts w:ascii="Avenir Next" w:hAnsi="Avenir Next"/>
          <w:color w:val="808080" w:themeColor="background1" w:themeShade="80"/>
        </w:rPr>
        <w:t>ter obtaining an order for discharge and releases the debtor from their debts</w:t>
      </w:r>
      <w:r w:rsidR="004C26F2">
        <w:rPr>
          <w:rFonts w:ascii="Avenir Next" w:hAnsi="Avenir Next"/>
          <w:color w:val="808080" w:themeColor="background1" w:themeShade="80"/>
        </w:rPr>
        <w:t xml:space="preserve"> (subject to any conditions set by the Court).</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600F" w14:textId="77777777" w:rsidR="005569F1" w:rsidRDefault="005569F1" w:rsidP="001016B0">
      <w:r>
        <w:separator/>
      </w:r>
    </w:p>
  </w:endnote>
  <w:endnote w:type="continuationSeparator" w:id="0">
    <w:p w14:paraId="4F520360" w14:textId="77777777" w:rsidR="005569F1" w:rsidRDefault="005569F1" w:rsidP="001016B0">
      <w:r>
        <w:continuationSeparator/>
      </w:r>
    </w:p>
  </w:endnote>
  <w:endnote w:type="continuationNotice" w:id="1">
    <w:p w14:paraId="0E8AD0ED" w14:textId="77777777" w:rsidR="005569F1" w:rsidRDefault="0055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324211C4" w:rsidR="009C6019" w:rsidRDefault="000C74BE" w:rsidP="008A20AC">
    <w:pPr>
      <w:pStyle w:val="Footer"/>
      <w:ind w:right="360"/>
    </w:pPr>
    <w:r>
      <w:t>202122-392</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EB6E" w14:textId="77777777" w:rsidR="005569F1" w:rsidRDefault="005569F1" w:rsidP="001016B0">
      <w:r>
        <w:separator/>
      </w:r>
    </w:p>
  </w:footnote>
  <w:footnote w:type="continuationSeparator" w:id="0">
    <w:p w14:paraId="11D656D0" w14:textId="77777777" w:rsidR="005569F1" w:rsidRDefault="005569F1" w:rsidP="001016B0">
      <w:r>
        <w:continuationSeparator/>
      </w:r>
    </w:p>
  </w:footnote>
  <w:footnote w:type="continuationNotice" w:id="1">
    <w:p w14:paraId="66F0EE04" w14:textId="77777777" w:rsidR="005569F1" w:rsidRDefault="005569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704DE"/>
    <w:multiLevelType w:val="hybridMultilevel"/>
    <w:tmpl w:val="9E803C50"/>
    <w:lvl w:ilvl="0" w:tplc="F4AAD6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3"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36A2936"/>
    <w:multiLevelType w:val="hybridMultilevel"/>
    <w:tmpl w:val="64DA6912"/>
    <w:lvl w:ilvl="0" w:tplc="D62E550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59141868">
    <w:abstractNumId w:val="22"/>
  </w:num>
  <w:num w:numId="2" w16cid:durableId="1417482208">
    <w:abstractNumId w:val="18"/>
  </w:num>
  <w:num w:numId="3" w16cid:durableId="2000498077">
    <w:abstractNumId w:val="16"/>
  </w:num>
  <w:num w:numId="4" w16cid:durableId="1568496091">
    <w:abstractNumId w:val="20"/>
  </w:num>
  <w:num w:numId="5" w16cid:durableId="139731064">
    <w:abstractNumId w:val="10"/>
  </w:num>
  <w:num w:numId="6" w16cid:durableId="379013955">
    <w:abstractNumId w:val="12"/>
  </w:num>
  <w:num w:numId="7" w16cid:durableId="1454640206">
    <w:abstractNumId w:val="4"/>
  </w:num>
  <w:num w:numId="8" w16cid:durableId="1219240513">
    <w:abstractNumId w:val="24"/>
  </w:num>
  <w:num w:numId="9" w16cid:durableId="1306004065">
    <w:abstractNumId w:val="21"/>
  </w:num>
  <w:num w:numId="10" w16cid:durableId="1085961186">
    <w:abstractNumId w:val="3"/>
  </w:num>
  <w:num w:numId="11" w16cid:durableId="2081632802">
    <w:abstractNumId w:val="0"/>
  </w:num>
  <w:num w:numId="12" w16cid:durableId="985089410">
    <w:abstractNumId w:val="2"/>
  </w:num>
  <w:num w:numId="13" w16cid:durableId="613559612">
    <w:abstractNumId w:val="23"/>
  </w:num>
  <w:num w:numId="14" w16cid:durableId="896822325">
    <w:abstractNumId w:val="27"/>
  </w:num>
  <w:num w:numId="15" w16cid:durableId="1811169556">
    <w:abstractNumId w:val="17"/>
  </w:num>
  <w:num w:numId="16" w16cid:durableId="71046088">
    <w:abstractNumId w:val="5"/>
  </w:num>
  <w:num w:numId="17" w16cid:durableId="856043568">
    <w:abstractNumId w:val="19"/>
  </w:num>
  <w:num w:numId="18" w16cid:durableId="2016179891">
    <w:abstractNumId w:val="14"/>
  </w:num>
  <w:num w:numId="19" w16cid:durableId="1936749344">
    <w:abstractNumId w:val="9"/>
  </w:num>
  <w:num w:numId="20" w16cid:durableId="1150823596">
    <w:abstractNumId w:val="6"/>
  </w:num>
  <w:num w:numId="21" w16cid:durableId="641738454">
    <w:abstractNumId w:val="15"/>
  </w:num>
  <w:num w:numId="22" w16cid:durableId="240070740">
    <w:abstractNumId w:val="26"/>
  </w:num>
  <w:num w:numId="23" w16cid:durableId="839657445">
    <w:abstractNumId w:val="7"/>
  </w:num>
  <w:num w:numId="24" w16cid:durableId="1487087497">
    <w:abstractNumId w:val="13"/>
  </w:num>
  <w:num w:numId="25" w16cid:durableId="1226067628">
    <w:abstractNumId w:val="11"/>
  </w:num>
  <w:num w:numId="26" w16cid:durableId="1451049318">
    <w:abstractNumId w:val="8"/>
  </w:num>
  <w:num w:numId="27" w16cid:durableId="1767001259">
    <w:abstractNumId w:val="1"/>
  </w:num>
  <w:num w:numId="28" w16cid:durableId="162118781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4CF"/>
    <w:rsid w:val="00002250"/>
    <w:rsid w:val="00003912"/>
    <w:rsid w:val="00003B23"/>
    <w:rsid w:val="0000487B"/>
    <w:rsid w:val="00005295"/>
    <w:rsid w:val="00010714"/>
    <w:rsid w:val="0001142A"/>
    <w:rsid w:val="00013834"/>
    <w:rsid w:val="000138DE"/>
    <w:rsid w:val="0001529C"/>
    <w:rsid w:val="00015699"/>
    <w:rsid w:val="00015AD8"/>
    <w:rsid w:val="000162B7"/>
    <w:rsid w:val="00017020"/>
    <w:rsid w:val="00017852"/>
    <w:rsid w:val="00017A46"/>
    <w:rsid w:val="00021002"/>
    <w:rsid w:val="00025460"/>
    <w:rsid w:val="00026F51"/>
    <w:rsid w:val="00033D18"/>
    <w:rsid w:val="00034091"/>
    <w:rsid w:val="00034FC0"/>
    <w:rsid w:val="00037047"/>
    <w:rsid w:val="00040041"/>
    <w:rsid w:val="000406C8"/>
    <w:rsid w:val="000451AA"/>
    <w:rsid w:val="00045503"/>
    <w:rsid w:val="00051862"/>
    <w:rsid w:val="000519BD"/>
    <w:rsid w:val="000519CC"/>
    <w:rsid w:val="00053661"/>
    <w:rsid w:val="00055B4B"/>
    <w:rsid w:val="00060348"/>
    <w:rsid w:val="0006065B"/>
    <w:rsid w:val="00061E4F"/>
    <w:rsid w:val="0006405E"/>
    <w:rsid w:val="000672ED"/>
    <w:rsid w:val="00071EFD"/>
    <w:rsid w:val="0007226E"/>
    <w:rsid w:val="00073862"/>
    <w:rsid w:val="000756CC"/>
    <w:rsid w:val="000807FB"/>
    <w:rsid w:val="00083AF3"/>
    <w:rsid w:val="000848FA"/>
    <w:rsid w:val="00087A4E"/>
    <w:rsid w:val="000915BC"/>
    <w:rsid w:val="00091667"/>
    <w:rsid w:val="000922D6"/>
    <w:rsid w:val="000943C5"/>
    <w:rsid w:val="00094C09"/>
    <w:rsid w:val="00097476"/>
    <w:rsid w:val="000A26BB"/>
    <w:rsid w:val="000A32F7"/>
    <w:rsid w:val="000A674B"/>
    <w:rsid w:val="000C0827"/>
    <w:rsid w:val="000C422C"/>
    <w:rsid w:val="000C4D57"/>
    <w:rsid w:val="000C50DE"/>
    <w:rsid w:val="000C74BE"/>
    <w:rsid w:val="000D340C"/>
    <w:rsid w:val="000D358D"/>
    <w:rsid w:val="000D458A"/>
    <w:rsid w:val="000D5B7A"/>
    <w:rsid w:val="000E016F"/>
    <w:rsid w:val="000E4C6C"/>
    <w:rsid w:val="000E502E"/>
    <w:rsid w:val="000F09F6"/>
    <w:rsid w:val="000F1349"/>
    <w:rsid w:val="000F1620"/>
    <w:rsid w:val="000F1B04"/>
    <w:rsid w:val="000F55A5"/>
    <w:rsid w:val="000F6A22"/>
    <w:rsid w:val="000F7E2C"/>
    <w:rsid w:val="0010016E"/>
    <w:rsid w:val="001001B2"/>
    <w:rsid w:val="001003CF"/>
    <w:rsid w:val="001016B0"/>
    <w:rsid w:val="00103B1E"/>
    <w:rsid w:val="00105315"/>
    <w:rsid w:val="00107EB1"/>
    <w:rsid w:val="00110D31"/>
    <w:rsid w:val="00112905"/>
    <w:rsid w:val="001133B8"/>
    <w:rsid w:val="00114CC7"/>
    <w:rsid w:val="001165C7"/>
    <w:rsid w:val="00117579"/>
    <w:rsid w:val="00120495"/>
    <w:rsid w:val="00124ECF"/>
    <w:rsid w:val="001327D6"/>
    <w:rsid w:val="00132E0E"/>
    <w:rsid w:val="001336C3"/>
    <w:rsid w:val="00137A41"/>
    <w:rsid w:val="00137BAD"/>
    <w:rsid w:val="0014161D"/>
    <w:rsid w:val="00146585"/>
    <w:rsid w:val="001500B1"/>
    <w:rsid w:val="001520A7"/>
    <w:rsid w:val="001525EB"/>
    <w:rsid w:val="00152954"/>
    <w:rsid w:val="00155357"/>
    <w:rsid w:val="00157455"/>
    <w:rsid w:val="00157458"/>
    <w:rsid w:val="0016213E"/>
    <w:rsid w:val="0016475E"/>
    <w:rsid w:val="0016582A"/>
    <w:rsid w:val="00165A26"/>
    <w:rsid w:val="00166CC9"/>
    <w:rsid w:val="0017109D"/>
    <w:rsid w:val="00171BCA"/>
    <w:rsid w:val="00173173"/>
    <w:rsid w:val="00173F2B"/>
    <w:rsid w:val="00175350"/>
    <w:rsid w:val="0017540B"/>
    <w:rsid w:val="00175F03"/>
    <w:rsid w:val="00177E01"/>
    <w:rsid w:val="001825D9"/>
    <w:rsid w:val="001874F2"/>
    <w:rsid w:val="001919F8"/>
    <w:rsid w:val="00192D14"/>
    <w:rsid w:val="00192FD4"/>
    <w:rsid w:val="00193626"/>
    <w:rsid w:val="00194D76"/>
    <w:rsid w:val="001954DE"/>
    <w:rsid w:val="00196A05"/>
    <w:rsid w:val="001A1043"/>
    <w:rsid w:val="001A20D0"/>
    <w:rsid w:val="001A370C"/>
    <w:rsid w:val="001A6C10"/>
    <w:rsid w:val="001B11DA"/>
    <w:rsid w:val="001B16B2"/>
    <w:rsid w:val="001B2212"/>
    <w:rsid w:val="001B4CC3"/>
    <w:rsid w:val="001B6C09"/>
    <w:rsid w:val="001C14BF"/>
    <w:rsid w:val="001C3ABD"/>
    <w:rsid w:val="001C667C"/>
    <w:rsid w:val="001C6B3B"/>
    <w:rsid w:val="001C7A25"/>
    <w:rsid w:val="001D2111"/>
    <w:rsid w:val="001D3AB4"/>
    <w:rsid w:val="001D6186"/>
    <w:rsid w:val="001D786C"/>
    <w:rsid w:val="001E2D89"/>
    <w:rsid w:val="001E34E2"/>
    <w:rsid w:val="001E6FD1"/>
    <w:rsid w:val="001E72C8"/>
    <w:rsid w:val="001F65C0"/>
    <w:rsid w:val="00200F4C"/>
    <w:rsid w:val="00201624"/>
    <w:rsid w:val="002044FB"/>
    <w:rsid w:val="002053AB"/>
    <w:rsid w:val="00207497"/>
    <w:rsid w:val="00211EE8"/>
    <w:rsid w:val="00213DA5"/>
    <w:rsid w:val="0021508C"/>
    <w:rsid w:val="002155E9"/>
    <w:rsid w:val="00216818"/>
    <w:rsid w:val="00217A56"/>
    <w:rsid w:val="00221041"/>
    <w:rsid w:val="00222127"/>
    <w:rsid w:val="002264AD"/>
    <w:rsid w:val="00231CBA"/>
    <w:rsid w:val="00234313"/>
    <w:rsid w:val="00235FD3"/>
    <w:rsid w:val="002410A1"/>
    <w:rsid w:val="002431DA"/>
    <w:rsid w:val="00244935"/>
    <w:rsid w:val="0024550C"/>
    <w:rsid w:val="0025049F"/>
    <w:rsid w:val="00252A4F"/>
    <w:rsid w:val="002532D9"/>
    <w:rsid w:val="00255630"/>
    <w:rsid w:val="00257792"/>
    <w:rsid w:val="00260603"/>
    <w:rsid w:val="00263733"/>
    <w:rsid w:val="002665D8"/>
    <w:rsid w:val="00266A55"/>
    <w:rsid w:val="002678D9"/>
    <w:rsid w:val="00270263"/>
    <w:rsid w:val="00270334"/>
    <w:rsid w:val="00272DC0"/>
    <w:rsid w:val="00274A8A"/>
    <w:rsid w:val="00282844"/>
    <w:rsid w:val="00283584"/>
    <w:rsid w:val="00284C14"/>
    <w:rsid w:val="00285037"/>
    <w:rsid w:val="002857D6"/>
    <w:rsid w:val="002937D8"/>
    <w:rsid w:val="002967B3"/>
    <w:rsid w:val="002A082B"/>
    <w:rsid w:val="002A2C16"/>
    <w:rsid w:val="002B15BA"/>
    <w:rsid w:val="002B3929"/>
    <w:rsid w:val="002B6B18"/>
    <w:rsid w:val="002B7150"/>
    <w:rsid w:val="002B7D9A"/>
    <w:rsid w:val="002B7FF4"/>
    <w:rsid w:val="002C3E59"/>
    <w:rsid w:val="002C595B"/>
    <w:rsid w:val="002C5E49"/>
    <w:rsid w:val="002D2D8F"/>
    <w:rsid w:val="002D343C"/>
    <w:rsid w:val="002E0235"/>
    <w:rsid w:val="002E125B"/>
    <w:rsid w:val="002E3168"/>
    <w:rsid w:val="002E60D1"/>
    <w:rsid w:val="002F09B8"/>
    <w:rsid w:val="002F2E23"/>
    <w:rsid w:val="002F49CF"/>
    <w:rsid w:val="002F57DB"/>
    <w:rsid w:val="00300343"/>
    <w:rsid w:val="00300368"/>
    <w:rsid w:val="003005A4"/>
    <w:rsid w:val="00300A1C"/>
    <w:rsid w:val="0030119E"/>
    <w:rsid w:val="00303735"/>
    <w:rsid w:val="00303C2F"/>
    <w:rsid w:val="00303E65"/>
    <w:rsid w:val="00306D6E"/>
    <w:rsid w:val="0030713E"/>
    <w:rsid w:val="003104AD"/>
    <w:rsid w:val="00311973"/>
    <w:rsid w:val="003156BF"/>
    <w:rsid w:val="0032119E"/>
    <w:rsid w:val="003260F9"/>
    <w:rsid w:val="00326929"/>
    <w:rsid w:val="00327BBD"/>
    <w:rsid w:val="0033007B"/>
    <w:rsid w:val="00333B48"/>
    <w:rsid w:val="003374AC"/>
    <w:rsid w:val="00337E93"/>
    <w:rsid w:val="00342DDB"/>
    <w:rsid w:val="00343065"/>
    <w:rsid w:val="00345A22"/>
    <w:rsid w:val="00347063"/>
    <w:rsid w:val="00347074"/>
    <w:rsid w:val="00353B67"/>
    <w:rsid w:val="00361032"/>
    <w:rsid w:val="00361ECF"/>
    <w:rsid w:val="00362356"/>
    <w:rsid w:val="003623A9"/>
    <w:rsid w:val="00364438"/>
    <w:rsid w:val="003671F6"/>
    <w:rsid w:val="00373930"/>
    <w:rsid w:val="00375DE0"/>
    <w:rsid w:val="003845E5"/>
    <w:rsid w:val="003860E9"/>
    <w:rsid w:val="003916C1"/>
    <w:rsid w:val="00393290"/>
    <w:rsid w:val="00393EC9"/>
    <w:rsid w:val="00393F1C"/>
    <w:rsid w:val="003A40DF"/>
    <w:rsid w:val="003A70E6"/>
    <w:rsid w:val="003B06BB"/>
    <w:rsid w:val="003B0C7D"/>
    <w:rsid w:val="003B11A7"/>
    <w:rsid w:val="003B16F1"/>
    <w:rsid w:val="003B3DEE"/>
    <w:rsid w:val="003B4199"/>
    <w:rsid w:val="003B54BE"/>
    <w:rsid w:val="003B5878"/>
    <w:rsid w:val="003C02C7"/>
    <w:rsid w:val="003C2207"/>
    <w:rsid w:val="003C5D82"/>
    <w:rsid w:val="003C64F7"/>
    <w:rsid w:val="003D0550"/>
    <w:rsid w:val="003D1289"/>
    <w:rsid w:val="003D15EA"/>
    <w:rsid w:val="003D5791"/>
    <w:rsid w:val="003D6FCF"/>
    <w:rsid w:val="003E0049"/>
    <w:rsid w:val="003E1745"/>
    <w:rsid w:val="003E2B2B"/>
    <w:rsid w:val="003E5643"/>
    <w:rsid w:val="003F0E69"/>
    <w:rsid w:val="003F3425"/>
    <w:rsid w:val="003F5A0F"/>
    <w:rsid w:val="003F5CB9"/>
    <w:rsid w:val="003F62D2"/>
    <w:rsid w:val="003F6E95"/>
    <w:rsid w:val="0040178F"/>
    <w:rsid w:val="004031E2"/>
    <w:rsid w:val="00414865"/>
    <w:rsid w:val="004165ED"/>
    <w:rsid w:val="00416B97"/>
    <w:rsid w:val="00416FAB"/>
    <w:rsid w:val="0042151D"/>
    <w:rsid w:val="00422302"/>
    <w:rsid w:val="00422D04"/>
    <w:rsid w:val="00423375"/>
    <w:rsid w:val="00426327"/>
    <w:rsid w:val="0043167D"/>
    <w:rsid w:val="00432143"/>
    <w:rsid w:val="004323A2"/>
    <w:rsid w:val="00437B5E"/>
    <w:rsid w:val="00437EB3"/>
    <w:rsid w:val="0044207D"/>
    <w:rsid w:val="00443C0B"/>
    <w:rsid w:val="00446A9D"/>
    <w:rsid w:val="00446DA2"/>
    <w:rsid w:val="00447FBC"/>
    <w:rsid w:val="004522BB"/>
    <w:rsid w:val="0045444B"/>
    <w:rsid w:val="00454E81"/>
    <w:rsid w:val="00455EC3"/>
    <w:rsid w:val="00455F9E"/>
    <w:rsid w:val="00457AC8"/>
    <w:rsid w:val="004628EC"/>
    <w:rsid w:val="00462904"/>
    <w:rsid w:val="00466A0E"/>
    <w:rsid w:val="00466C16"/>
    <w:rsid w:val="00466CA0"/>
    <w:rsid w:val="004708C4"/>
    <w:rsid w:val="00470B76"/>
    <w:rsid w:val="00470CF3"/>
    <w:rsid w:val="00470E19"/>
    <w:rsid w:val="00472555"/>
    <w:rsid w:val="00472927"/>
    <w:rsid w:val="00473869"/>
    <w:rsid w:val="00474723"/>
    <w:rsid w:val="0048202B"/>
    <w:rsid w:val="00486A0B"/>
    <w:rsid w:val="0048719D"/>
    <w:rsid w:val="00490EE7"/>
    <w:rsid w:val="0049287D"/>
    <w:rsid w:val="00497732"/>
    <w:rsid w:val="00497863"/>
    <w:rsid w:val="004A68CB"/>
    <w:rsid w:val="004A6C29"/>
    <w:rsid w:val="004A7B6F"/>
    <w:rsid w:val="004B2B93"/>
    <w:rsid w:val="004B2D12"/>
    <w:rsid w:val="004B491D"/>
    <w:rsid w:val="004B7672"/>
    <w:rsid w:val="004B77BB"/>
    <w:rsid w:val="004C205E"/>
    <w:rsid w:val="004C206D"/>
    <w:rsid w:val="004C26F2"/>
    <w:rsid w:val="004C341B"/>
    <w:rsid w:val="004C741B"/>
    <w:rsid w:val="004C775A"/>
    <w:rsid w:val="004C7945"/>
    <w:rsid w:val="004D0C88"/>
    <w:rsid w:val="004D1395"/>
    <w:rsid w:val="004D1602"/>
    <w:rsid w:val="004D5362"/>
    <w:rsid w:val="004F40AB"/>
    <w:rsid w:val="004F54FD"/>
    <w:rsid w:val="004F5718"/>
    <w:rsid w:val="004F5C79"/>
    <w:rsid w:val="004F5D43"/>
    <w:rsid w:val="004F67CE"/>
    <w:rsid w:val="00500927"/>
    <w:rsid w:val="00503375"/>
    <w:rsid w:val="00504A64"/>
    <w:rsid w:val="00513012"/>
    <w:rsid w:val="00514A53"/>
    <w:rsid w:val="005157EC"/>
    <w:rsid w:val="005177BD"/>
    <w:rsid w:val="005200BF"/>
    <w:rsid w:val="00520EFB"/>
    <w:rsid w:val="0052140A"/>
    <w:rsid w:val="00522139"/>
    <w:rsid w:val="00524834"/>
    <w:rsid w:val="00524F5D"/>
    <w:rsid w:val="00525CD4"/>
    <w:rsid w:val="00526264"/>
    <w:rsid w:val="00531586"/>
    <w:rsid w:val="00533DEA"/>
    <w:rsid w:val="0053572E"/>
    <w:rsid w:val="00537119"/>
    <w:rsid w:val="005379E0"/>
    <w:rsid w:val="005416EC"/>
    <w:rsid w:val="0054257F"/>
    <w:rsid w:val="00542B4C"/>
    <w:rsid w:val="005524EC"/>
    <w:rsid w:val="005538FB"/>
    <w:rsid w:val="0055460A"/>
    <w:rsid w:val="00555BC3"/>
    <w:rsid w:val="00556705"/>
    <w:rsid w:val="0055680F"/>
    <w:rsid w:val="005569F1"/>
    <w:rsid w:val="00557949"/>
    <w:rsid w:val="00561CE8"/>
    <w:rsid w:val="00563B3E"/>
    <w:rsid w:val="00563BD8"/>
    <w:rsid w:val="00563F78"/>
    <w:rsid w:val="0056458D"/>
    <w:rsid w:val="0057191E"/>
    <w:rsid w:val="0057499E"/>
    <w:rsid w:val="00574AA7"/>
    <w:rsid w:val="005750D6"/>
    <w:rsid w:val="00576BA2"/>
    <w:rsid w:val="00581EBB"/>
    <w:rsid w:val="00582076"/>
    <w:rsid w:val="005823CF"/>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171C"/>
    <w:rsid w:val="005D434D"/>
    <w:rsid w:val="005D54CF"/>
    <w:rsid w:val="005D6817"/>
    <w:rsid w:val="005D6FDC"/>
    <w:rsid w:val="005E0324"/>
    <w:rsid w:val="005E220E"/>
    <w:rsid w:val="005E3625"/>
    <w:rsid w:val="005E45BD"/>
    <w:rsid w:val="005E62D2"/>
    <w:rsid w:val="005E798D"/>
    <w:rsid w:val="005E7B59"/>
    <w:rsid w:val="005F3A49"/>
    <w:rsid w:val="005F5BDF"/>
    <w:rsid w:val="005F7E38"/>
    <w:rsid w:val="0060191A"/>
    <w:rsid w:val="0060275A"/>
    <w:rsid w:val="006027A2"/>
    <w:rsid w:val="00602E7B"/>
    <w:rsid w:val="00604564"/>
    <w:rsid w:val="00605AA2"/>
    <w:rsid w:val="00612137"/>
    <w:rsid w:val="00612766"/>
    <w:rsid w:val="00614528"/>
    <w:rsid w:val="00625237"/>
    <w:rsid w:val="006278B5"/>
    <w:rsid w:val="00632EF9"/>
    <w:rsid w:val="00634033"/>
    <w:rsid w:val="0063766F"/>
    <w:rsid w:val="00640559"/>
    <w:rsid w:val="00640BC9"/>
    <w:rsid w:val="0064223E"/>
    <w:rsid w:val="00643725"/>
    <w:rsid w:val="00644FDB"/>
    <w:rsid w:val="00647006"/>
    <w:rsid w:val="006478BE"/>
    <w:rsid w:val="00652D04"/>
    <w:rsid w:val="00653326"/>
    <w:rsid w:val="00657222"/>
    <w:rsid w:val="006600FE"/>
    <w:rsid w:val="0066147F"/>
    <w:rsid w:val="00662C27"/>
    <w:rsid w:val="006638D6"/>
    <w:rsid w:val="006659FD"/>
    <w:rsid w:val="006669AA"/>
    <w:rsid w:val="006674D6"/>
    <w:rsid w:val="00671ADC"/>
    <w:rsid w:val="006731C8"/>
    <w:rsid w:val="00674C6B"/>
    <w:rsid w:val="00674DC0"/>
    <w:rsid w:val="00676285"/>
    <w:rsid w:val="00677B23"/>
    <w:rsid w:val="00677C47"/>
    <w:rsid w:val="00680169"/>
    <w:rsid w:val="006836DB"/>
    <w:rsid w:val="00684667"/>
    <w:rsid w:val="00684B6B"/>
    <w:rsid w:val="006902DF"/>
    <w:rsid w:val="0069113C"/>
    <w:rsid w:val="00691714"/>
    <w:rsid w:val="0069468A"/>
    <w:rsid w:val="006955F2"/>
    <w:rsid w:val="00696E71"/>
    <w:rsid w:val="006A1B37"/>
    <w:rsid w:val="006A2069"/>
    <w:rsid w:val="006A2381"/>
    <w:rsid w:val="006A5F6B"/>
    <w:rsid w:val="006A63A6"/>
    <w:rsid w:val="006A647B"/>
    <w:rsid w:val="006A65C4"/>
    <w:rsid w:val="006A7316"/>
    <w:rsid w:val="006A75FE"/>
    <w:rsid w:val="006B4C64"/>
    <w:rsid w:val="006B5166"/>
    <w:rsid w:val="006B6D07"/>
    <w:rsid w:val="006B728F"/>
    <w:rsid w:val="006C0A5B"/>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5B02"/>
    <w:rsid w:val="006E6F77"/>
    <w:rsid w:val="006E7B1B"/>
    <w:rsid w:val="006E7EF4"/>
    <w:rsid w:val="006F4065"/>
    <w:rsid w:val="006F55B4"/>
    <w:rsid w:val="006F7AE5"/>
    <w:rsid w:val="006F7EC1"/>
    <w:rsid w:val="00701422"/>
    <w:rsid w:val="00705108"/>
    <w:rsid w:val="00710451"/>
    <w:rsid w:val="00710A26"/>
    <w:rsid w:val="00711781"/>
    <w:rsid w:val="007120A0"/>
    <w:rsid w:val="00712DB0"/>
    <w:rsid w:val="007130E9"/>
    <w:rsid w:val="0071388C"/>
    <w:rsid w:val="00715982"/>
    <w:rsid w:val="00715CD5"/>
    <w:rsid w:val="007178F6"/>
    <w:rsid w:val="00721E7F"/>
    <w:rsid w:val="00723334"/>
    <w:rsid w:val="00726CA6"/>
    <w:rsid w:val="00727D5B"/>
    <w:rsid w:val="00730A55"/>
    <w:rsid w:val="00731323"/>
    <w:rsid w:val="007318D5"/>
    <w:rsid w:val="007329FE"/>
    <w:rsid w:val="00733777"/>
    <w:rsid w:val="00733B70"/>
    <w:rsid w:val="00735290"/>
    <w:rsid w:val="007379F1"/>
    <w:rsid w:val="00737CFC"/>
    <w:rsid w:val="007410BD"/>
    <w:rsid w:val="00742153"/>
    <w:rsid w:val="00744FE6"/>
    <w:rsid w:val="007474DA"/>
    <w:rsid w:val="007518B2"/>
    <w:rsid w:val="007548E5"/>
    <w:rsid w:val="00755F63"/>
    <w:rsid w:val="00760CBA"/>
    <w:rsid w:val="00760D1F"/>
    <w:rsid w:val="00761C89"/>
    <w:rsid w:val="00765C13"/>
    <w:rsid w:val="00766DAD"/>
    <w:rsid w:val="00767895"/>
    <w:rsid w:val="0077169C"/>
    <w:rsid w:val="007747E8"/>
    <w:rsid w:val="007748E0"/>
    <w:rsid w:val="007803D5"/>
    <w:rsid w:val="007818BA"/>
    <w:rsid w:val="00786EF0"/>
    <w:rsid w:val="0078723E"/>
    <w:rsid w:val="007904C8"/>
    <w:rsid w:val="00790583"/>
    <w:rsid w:val="0079130C"/>
    <w:rsid w:val="00792FB4"/>
    <w:rsid w:val="00793373"/>
    <w:rsid w:val="00796149"/>
    <w:rsid w:val="007971E0"/>
    <w:rsid w:val="007A0F49"/>
    <w:rsid w:val="007A1000"/>
    <w:rsid w:val="007A1E90"/>
    <w:rsid w:val="007A5362"/>
    <w:rsid w:val="007A66F5"/>
    <w:rsid w:val="007A6EB6"/>
    <w:rsid w:val="007B02DD"/>
    <w:rsid w:val="007B0A80"/>
    <w:rsid w:val="007B18AA"/>
    <w:rsid w:val="007B1B03"/>
    <w:rsid w:val="007B2BB6"/>
    <w:rsid w:val="007B3A4A"/>
    <w:rsid w:val="007B435F"/>
    <w:rsid w:val="007B607D"/>
    <w:rsid w:val="007B6DD3"/>
    <w:rsid w:val="007C04CB"/>
    <w:rsid w:val="007C0544"/>
    <w:rsid w:val="007C4414"/>
    <w:rsid w:val="007C596E"/>
    <w:rsid w:val="007C5F0B"/>
    <w:rsid w:val="007C735E"/>
    <w:rsid w:val="007C7423"/>
    <w:rsid w:val="007C7548"/>
    <w:rsid w:val="007C758E"/>
    <w:rsid w:val="007D0061"/>
    <w:rsid w:val="007E0208"/>
    <w:rsid w:val="007E02F4"/>
    <w:rsid w:val="007E31B5"/>
    <w:rsid w:val="007E3F75"/>
    <w:rsid w:val="007F02EC"/>
    <w:rsid w:val="007F068B"/>
    <w:rsid w:val="007F67A0"/>
    <w:rsid w:val="00803983"/>
    <w:rsid w:val="00804FC8"/>
    <w:rsid w:val="0080675D"/>
    <w:rsid w:val="00812BFB"/>
    <w:rsid w:val="00812D81"/>
    <w:rsid w:val="00813CB4"/>
    <w:rsid w:val="00816B32"/>
    <w:rsid w:val="00817EB4"/>
    <w:rsid w:val="008201D7"/>
    <w:rsid w:val="00820BFA"/>
    <w:rsid w:val="00822A4C"/>
    <w:rsid w:val="00831F21"/>
    <w:rsid w:val="00832AF5"/>
    <w:rsid w:val="00841354"/>
    <w:rsid w:val="00842786"/>
    <w:rsid w:val="0084350B"/>
    <w:rsid w:val="00850236"/>
    <w:rsid w:val="00853A06"/>
    <w:rsid w:val="00863E49"/>
    <w:rsid w:val="008664DC"/>
    <w:rsid w:val="00867EF8"/>
    <w:rsid w:val="008735A4"/>
    <w:rsid w:val="008753CD"/>
    <w:rsid w:val="008769EE"/>
    <w:rsid w:val="00877253"/>
    <w:rsid w:val="0088563D"/>
    <w:rsid w:val="008865F3"/>
    <w:rsid w:val="00895CDF"/>
    <w:rsid w:val="008A1E42"/>
    <w:rsid w:val="008A1E6D"/>
    <w:rsid w:val="008A20AC"/>
    <w:rsid w:val="008A2BE4"/>
    <w:rsid w:val="008A7BA0"/>
    <w:rsid w:val="008B10F1"/>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43EA"/>
    <w:rsid w:val="008E623E"/>
    <w:rsid w:val="008E6B76"/>
    <w:rsid w:val="008E78E0"/>
    <w:rsid w:val="008F2BE2"/>
    <w:rsid w:val="008F473E"/>
    <w:rsid w:val="008F5E4F"/>
    <w:rsid w:val="0090300F"/>
    <w:rsid w:val="009033D4"/>
    <w:rsid w:val="00903882"/>
    <w:rsid w:val="0090576D"/>
    <w:rsid w:val="00912AD4"/>
    <w:rsid w:val="00912F92"/>
    <w:rsid w:val="009143EA"/>
    <w:rsid w:val="009164C1"/>
    <w:rsid w:val="00917205"/>
    <w:rsid w:val="0092100A"/>
    <w:rsid w:val="0092725A"/>
    <w:rsid w:val="00930A74"/>
    <w:rsid w:val="00933F8A"/>
    <w:rsid w:val="00934980"/>
    <w:rsid w:val="00941F3D"/>
    <w:rsid w:val="00944436"/>
    <w:rsid w:val="0094450B"/>
    <w:rsid w:val="00944A47"/>
    <w:rsid w:val="00945D78"/>
    <w:rsid w:val="009513CC"/>
    <w:rsid w:val="00954CBE"/>
    <w:rsid w:val="009553D2"/>
    <w:rsid w:val="0095555F"/>
    <w:rsid w:val="0095616E"/>
    <w:rsid w:val="00957A2E"/>
    <w:rsid w:val="00960066"/>
    <w:rsid w:val="00960617"/>
    <w:rsid w:val="00960B8D"/>
    <w:rsid w:val="00961D84"/>
    <w:rsid w:val="009621D7"/>
    <w:rsid w:val="00963603"/>
    <w:rsid w:val="009669E6"/>
    <w:rsid w:val="009727E5"/>
    <w:rsid w:val="00972FE8"/>
    <w:rsid w:val="009733E8"/>
    <w:rsid w:val="0097397A"/>
    <w:rsid w:val="00973B2E"/>
    <w:rsid w:val="0097612A"/>
    <w:rsid w:val="009773CA"/>
    <w:rsid w:val="00977D63"/>
    <w:rsid w:val="009803AC"/>
    <w:rsid w:val="00982CE2"/>
    <w:rsid w:val="0098311F"/>
    <w:rsid w:val="009857FC"/>
    <w:rsid w:val="00987044"/>
    <w:rsid w:val="0098709B"/>
    <w:rsid w:val="00987A90"/>
    <w:rsid w:val="00992ABF"/>
    <w:rsid w:val="009A2499"/>
    <w:rsid w:val="009B0913"/>
    <w:rsid w:val="009B0B28"/>
    <w:rsid w:val="009B251D"/>
    <w:rsid w:val="009B4152"/>
    <w:rsid w:val="009B6ADA"/>
    <w:rsid w:val="009B7D40"/>
    <w:rsid w:val="009C062D"/>
    <w:rsid w:val="009C1EC6"/>
    <w:rsid w:val="009C6019"/>
    <w:rsid w:val="009C7A87"/>
    <w:rsid w:val="009C7BB4"/>
    <w:rsid w:val="009D0718"/>
    <w:rsid w:val="009D1F99"/>
    <w:rsid w:val="009D27B4"/>
    <w:rsid w:val="009D35C7"/>
    <w:rsid w:val="009D6CB8"/>
    <w:rsid w:val="009E240E"/>
    <w:rsid w:val="009E2AEB"/>
    <w:rsid w:val="009E441A"/>
    <w:rsid w:val="009E549B"/>
    <w:rsid w:val="009E5EAE"/>
    <w:rsid w:val="009F3508"/>
    <w:rsid w:val="009F45C7"/>
    <w:rsid w:val="009F49C2"/>
    <w:rsid w:val="009F4C3A"/>
    <w:rsid w:val="009F5EED"/>
    <w:rsid w:val="009F6007"/>
    <w:rsid w:val="00A06708"/>
    <w:rsid w:val="00A06A34"/>
    <w:rsid w:val="00A07356"/>
    <w:rsid w:val="00A17C02"/>
    <w:rsid w:val="00A225FD"/>
    <w:rsid w:val="00A2519A"/>
    <w:rsid w:val="00A27DB1"/>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60BED"/>
    <w:rsid w:val="00A61C45"/>
    <w:rsid w:val="00A6394E"/>
    <w:rsid w:val="00A653DB"/>
    <w:rsid w:val="00A70406"/>
    <w:rsid w:val="00A71C38"/>
    <w:rsid w:val="00A72FBC"/>
    <w:rsid w:val="00A74347"/>
    <w:rsid w:val="00A7630B"/>
    <w:rsid w:val="00A81BF9"/>
    <w:rsid w:val="00A82E83"/>
    <w:rsid w:val="00A837E4"/>
    <w:rsid w:val="00A84538"/>
    <w:rsid w:val="00A8565C"/>
    <w:rsid w:val="00A86A52"/>
    <w:rsid w:val="00A87868"/>
    <w:rsid w:val="00A879AC"/>
    <w:rsid w:val="00A87ED2"/>
    <w:rsid w:val="00A9120B"/>
    <w:rsid w:val="00A91D16"/>
    <w:rsid w:val="00A9204E"/>
    <w:rsid w:val="00A9217C"/>
    <w:rsid w:val="00A92CBC"/>
    <w:rsid w:val="00A95393"/>
    <w:rsid w:val="00A97787"/>
    <w:rsid w:val="00A97DED"/>
    <w:rsid w:val="00AA0064"/>
    <w:rsid w:val="00AA1BC0"/>
    <w:rsid w:val="00AA3641"/>
    <w:rsid w:val="00AA6B9F"/>
    <w:rsid w:val="00AA70F7"/>
    <w:rsid w:val="00AB0D91"/>
    <w:rsid w:val="00AB4027"/>
    <w:rsid w:val="00AC16E2"/>
    <w:rsid w:val="00AC37E2"/>
    <w:rsid w:val="00AC39C3"/>
    <w:rsid w:val="00AC3A2B"/>
    <w:rsid w:val="00AC48C3"/>
    <w:rsid w:val="00AC5723"/>
    <w:rsid w:val="00AC5E83"/>
    <w:rsid w:val="00AD2163"/>
    <w:rsid w:val="00AD2D09"/>
    <w:rsid w:val="00AD2E5C"/>
    <w:rsid w:val="00AD38F7"/>
    <w:rsid w:val="00AD573D"/>
    <w:rsid w:val="00AD5EFB"/>
    <w:rsid w:val="00AD7507"/>
    <w:rsid w:val="00AE0ADA"/>
    <w:rsid w:val="00AE1FF2"/>
    <w:rsid w:val="00AE6E9B"/>
    <w:rsid w:val="00AE7DA6"/>
    <w:rsid w:val="00AF146A"/>
    <w:rsid w:val="00AF28C6"/>
    <w:rsid w:val="00AF4545"/>
    <w:rsid w:val="00AF6388"/>
    <w:rsid w:val="00AF6EA6"/>
    <w:rsid w:val="00B010D8"/>
    <w:rsid w:val="00B04824"/>
    <w:rsid w:val="00B051B0"/>
    <w:rsid w:val="00B0737C"/>
    <w:rsid w:val="00B10DD9"/>
    <w:rsid w:val="00B12FC7"/>
    <w:rsid w:val="00B14A27"/>
    <w:rsid w:val="00B15227"/>
    <w:rsid w:val="00B154D5"/>
    <w:rsid w:val="00B17707"/>
    <w:rsid w:val="00B20098"/>
    <w:rsid w:val="00B21971"/>
    <w:rsid w:val="00B22A54"/>
    <w:rsid w:val="00B23068"/>
    <w:rsid w:val="00B252A4"/>
    <w:rsid w:val="00B308B3"/>
    <w:rsid w:val="00B31A12"/>
    <w:rsid w:val="00B321C1"/>
    <w:rsid w:val="00B348CF"/>
    <w:rsid w:val="00B34B3E"/>
    <w:rsid w:val="00B35ECB"/>
    <w:rsid w:val="00B40A75"/>
    <w:rsid w:val="00B41774"/>
    <w:rsid w:val="00B518BA"/>
    <w:rsid w:val="00B53BC9"/>
    <w:rsid w:val="00B54095"/>
    <w:rsid w:val="00B546E9"/>
    <w:rsid w:val="00B562C8"/>
    <w:rsid w:val="00B56420"/>
    <w:rsid w:val="00B615F9"/>
    <w:rsid w:val="00B62FFC"/>
    <w:rsid w:val="00B71784"/>
    <w:rsid w:val="00B72519"/>
    <w:rsid w:val="00B7612E"/>
    <w:rsid w:val="00B827C6"/>
    <w:rsid w:val="00B83E9B"/>
    <w:rsid w:val="00B857E6"/>
    <w:rsid w:val="00B877C4"/>
    <w:rsid w:val="00BA24B1"/>
    <w:rsid w:val="00BA451C"/>
    <w:rsid w:val="00BA4594"/>
    <w:rsid w:val="00BA4B8D"/>
    <w:rsid w:val="00BA6F72"/>
    <w:rsid w:val="00BB1EBB"/>
    <w:rsid w:val="00BB2033"/>
    <w:rsid w:val="00BB3A26"/>
    <w:rsid w:val="00BB6FE0"/>
    <w:rsid w:val="00BC0AFD"/>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3A2E"/>
    <w:rsid w:val="00C040F7"/>
    <w:rsid w:val="00C0543F"/>
    <w:rsid w:val="00C11D6C"/>
    <w:rsid w:val="00C12DB9"/>
    <w:rsid w:val="00C23096"/>
    <w:rsid w:val="00C30838"/>
    <w:rsid w:val="00C30AE9"/>
    <w:rsid w:val="00C42D32"/>
    <w:rsid w:val="00C45C67"/>
    <w:rsid w:val="00C56E18"/>
    <w:rsid w:val="00C63F8F"/>
    <w:rsid w:val="00C66FD5"/>
    <w:rsid w:val="00C67220"/>
    <w:rsid w:val="00C7098F"/>
    <w:rsid w:val="00C71629"/>
    <w:rsid w:val="00C72F5E"/>
    <w:rsid w:val="00C735DC"/>
    <w:rsid w:val="00C75BA5"/>
    <w:rsid w:val="00C77709"/>
    <w:rsid w:val="00C846E6"/>
    <w:rsid w:val="00C86CE6"/>
    <w:rsid w:val="00C90189"/>
    <w:rsid w:val="00C9018E"/>
    <w:rsid w:val="00C92E9B"/>
    <w:rsid w:val="00C95AC2"/>
    <w:rsid w:val="00CA388E"/>
    <w:rsid w:val="00CA61A0"/>
    <w:rsid w:val="00CA7069"/>
    <w:rsid w:val="00CB1069"/>
    <w:rsid w:val="00CB4491"/>
    <w:rsid w:val="00CB4F67"/>
    <w:rsid w:val="00CC021B"/>
    <w:rsid w:val="00CC1C32"/>
    <w:rsid w:val="00CC3216"/>
    <w:rsid w:val="00CC434F"/>
    <w:rsid w:val="00CC527B"/>
    <w:rsid w:val="00CC554F"/>
    <w:rsid w:val="00CC5734"/>
    <w:rsid w:val="00CC7331"/>
    <w:rsid w:val="00CD0EA6"/>
    <w:rsid w:val="00CD1349"/>
    <w:rsid w:val="00CD25B1"/>
    <w:rsid w:val="00CD618E"/>
    <w:rsid w:val="00CE26A6"/>
    <w:rsid w:val="00CE3938"/>
    <w:rsid w:val="00CE3F26"/>
    <w:rsid w:val="00CE5B90"/>
    <w:rsid w:val="00CE64F0"/>
    <w:rsid w:val="00CF021D"/>
    <w:rsid w:val="00CF0A95"/>
    <w:rsid w:val="00CF3421"/>
    <w:rsid w:val="00CF4EEF"/>
    <w:rsid w:val="00CF5F19"/>
    <w:rsid w:val="00CF6645"/>
    <w:rsid w:val="00CF79AA"/>
    <w:rsid w:val="00CF79F9"/>
    <w:rsid w:val="00D00885"/>
    <w:rsid w:val="00D0089A"/>
    <w:rsid w:val="00D06B8C"/>
    <w:rsid w:val="00D06EBB"/>
    <w:rsid w:val="00D106DD"/>
    <w:rsid w:val="00D10E56"/>
    <w:rsid w:val="00D17C88"/>
    <w:rsid w:val="00D203DA"/>
    <w:rsid w:val="00D20C81"/>
    <w:rsid w:val="00D23051"/>
    <w:rsid w:val="00D23D4C"/>
    <w:rsid w:val="00D304F3"/>
    <w:rsid w:val="00D31451"/>
    <w:rsid w:val="00D31E53"/>
    <w:rsid w:val="00D37B6B"/>
    <w:rsid w:val="00D43B87"/>
    <w:rsid w:val="00D479A8"/>
    <w:rsid w:val="00D47E91"/>
    <w:rsid w:val="00D5060B"/>
    <w:rsid w:val="00D51356"/>
    <w:rsid w:val="00D60CCA"/>
    <w:rsid w:val="00D61824"/>
    <w:rsid w:val="00D61C26"/>
    <w:rsid w:val="00D62745"/>
    <w:rsid w:val="00D640B7"/>
    <w:rsid w:val="00D642B0"/>
    <w:rsid w:val="00D645AF"/>
    <w:rsid w:val="00D65F41"/>
    <w:rsid w:val="00D66209"/>
    <w:rsid w:val="00D6666B"/>
    <w:rsid w:val="00D6739C"/>
    <w:rsid w:val="00D67AE7"/>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A25F5"/>
    <w:rsid w:val="00DA38FF"/>
    <w:rsid w:val="00DA3FB5"/>
    <w:rsid w:val="00DB7E8F"/>
    <w:rsid w:val="00DC024D"/>
    <w:rsid w:val="00DC07C1"/>
    <w:rsid w:val="00DC0E33"/>
    <w:rsid w:val="00DC1D77"/>
    <w:rsid w:val="00DC20CF"/>
    <w:rsid w:val="00DC2585"/>
    <w:rsid w:val="00DC2D83"/>
    <w:rsid w:val="00DC621F"/>
    <w:rsid w:val="00DC6267"/>
    <w:rsid w:val="00DD1C1B"/>
    <w:rsid w:val="00DD734E"/>
    <w:rsid w:val="00DE0233"/>
    <w:rsid w:val="00DE23CF"/>
    <w:rsid w:val="00DE24E8"/>
    <w:rsid w:val="00DE4657"/>
    <w:rsid w:val="00DE6FDB"/>
    <w:rsid w:val="00DF64E1"/>
    <w:rsid w:val="00DF7E56"/>
    <w:rsid w:val="00E01BF3"/>
    <w:rsid w:val="00E024A7"/>
    <w:rsid w:val="00E02807"/>
    <w:rsid w:val="00E03AD1"/>
    <w:rsid w:val="00E04EAD"/>
    <w:rsid w:val="00E06002"/>
    <w:rsid w:val="00E06F87"/>
    <w:rsid w:val="00E07084"/>
    <w:rsid w:val="00E1059F"/>
    <w:rsid w:val="00E10BE3"/>
    <w:rsid w:val="00E12660"/>
    <w:rsid w:val="00E13A69"/>
    <w:rsid w:val="00E17027"/>
    <w:rsid w:val="00E20604"/>
    <w:rsid w:val="00E2315E"/>
    <w:rsid w:val="00E23AAE"/>
    <w:rsid w:val="00E246B4"/>
    <w:rsid w:val="00E26B0D"/>
    <w:rsid w:val="00E3054D"/>
    <w:rsid w:val="00E30785"/>
    <w:rsid w:val="00E324CE"/>
    <w:rsid w:val="00E32F6C"/>
    <w:rsid w:val="00E33A56"/>
    <w:rsid w:val="00E359D6"/>
    <w:rsid w:val="00E36270"/>
    <w:rsid w:val="00E3720D"/>
    <w:rsid w:val="00E40A16"/>
    <w:rsid w:val="00E41DE1"/>
    <w:rsid w:val="00E44FA9"/>
    <w:rsid w:val="00E5236A"/>
    <w:rsid w:val="00E56F95"/>
    <w:rsid w:val="00E57462"/>
    <w:rsid w:val="00E63A8F"/>
    <w:rsid w:val="00E64F45"/>
    <w:rsid w:val="00E673F4"/>
    <w:rsid w:val="00E70765"/>
    <w:rsid w:val="00E7109B"/>
    <w:rsid w:val="00E755CA"/>
    <w:rsid w:val="00E83556"/>
    <w:rsid w:val="00E86AEB"/>
    <w:rsid w:val="00E86D9B"/>
    <w:rsid w:val="00E87F7D"/>
    <w:rsid w:val="00E91461"/>
    <w:rsid w:val="00E91799"/>
    <w:rsid w:val="00E9506C"/>
    <w:rsid w:val="00E97FCF"/>
    <w:rsid w:val="00EA14B4"/>
    <w:rsid w:val="00EA2B57"/>
    <w:rsid w:val="00EA390C"/>
    <w:rsid w:val="00EA3EAE"/>
    <w:rsid w:val="00EA6193"/>
    <w:rsid w:val="00EA685B"/>
    <w:rsid w:val="00EB136F"/>
    <w:rsid w:val="00EB6910"/>
    <w:rsid w:val="00EB6DA5"/>
    <w:rsid w:val="00EB7B1A"/>
    <w:rsid w:val="00ED2DC8"/>
    <w:rsid w:val="00EE58EA"/>
    <w:rsid w:val="00EE6AE2"/>
    <w:rsid w:val="00EE7CB4"/>
    <w:rsid w:val="00EF034E"/>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4317"/>
    <w:rsid w:val="00F24E7F"/>
    <w:rsid w:val="00F254AF"/>
    <w:rsid w:val="00F31D20"/>
    <w:rsid w:val="00F33AA8"/>
    <w:rsid w:val="00F34D12"/>
    <w:rsid w:val="00F440A7"/>
    <w:rsid w:val="00F45E6B"/>
    <w:rsid w:val="00F47EC3"/>
    <w:rsid w:val="00F512FE"/>
    <w:rsid w:val="00F519F0"/>
    <w:rsid w:val="00F53F87"/>
    <w:rsid w:val="00F564F7"/>
    <w:rsid w:val="00F57033"/>
    <w:rsid w:val="00F57481"/>
    <w:rsid w:val="00F57FFA"/>
    <w:rsid w:val="00F61992"/>
    <w:rsid w:val="00F6436A"/>
    <w:rsid w:val="00F6582B"/>
    <w:rsid w:val="00F6622D"/>
    <w:rsid w:val="00F72147"/>
    <w:rsid w:val="00F737AE"/>
    <w:rsid w:val="00F84895"/>
    <w:rsid w:val="00F91728"/>
    <w:rsid w:val="00F937B6"/>
    <w:rsid w:val="00FA596D"/>
    <w:rsid w:val="00FA602E"/>
    <w:rsid w:val="00FB2F3F"/>
    <w:rsid w:val="00FB7E00"/>
    <w:rsid w:val="00FC074E"/>
    <w:rsid w:val="00FC34CD"/>
    <w:rsid w:val="00FC43F9"/>
    <w:rsid w:val="00FC5217"/>
    <w:rsid w:val="00FC55D1"/>
    <w:rsid w:val="00FD5834"/>
    <w:rsid w:val="00FE23B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2"/>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18"/>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 w:type="paragraph" w:styleId="Date">
    <w:name w:val="Date"/>
    <w:basedOn w:val="Normal"/>
    <w:next w:val="Normal"/>
    <w:link w:val="DateChar"/>
    <w:uiPriority w:val="99"/>
    <w:semiHidden/>
    <w:unhideWhenUsed/>
    <w:rsid w:val="00361032"/>
  </w:style>
  <w:style w:type="character" w:customStyle="1" w:styleId="DateChar">
    <w:name w:val="Date Char"/>
    <w:basedOn w:val="DefaultParagraphFont"/>
    <w:link w:val="Date"/>
    <w:uiPriority w:val="99"/>
    <w:semiHidden/>
    <w:rsid w:val="00361032"/>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Bijorn Bullock</cp:lastModifiedBy>
  <cp:revision>212</cp:revision>
  <cp:lastPrinted>2022-09-29T12:20:00Z</cp:lastPrinted>
  <dcterms:created xsi:type="dcterms:W3CDTF">2023-11-09T14:27:00Z</dcterms:created>
  <dcterms:modified xsi:type="dcterms:W3CDTF">2023-11-10T15:47:00Z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