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8BBE" w14:textId="22DBDC6E" w:rsidR="007826DA" w:rsidRDefault="00F41D53">
      <w:pPr>
        <w:rPr>
          <w:rFonts w:ascii="Arial" w:hAnsi="Arial" w:cs="Arial"/>
          <w:u w:val="single"/>
        </w:rPr>
      </w:pPr>
      <w:r w:rsidRPr="00D146A4">
        <w:rPr>
          <w:rFonts w:ascii="Arial" w:hAnsi="Arial" w:cs="Arial"/>
          <w:u w:val="single"/>
        </w:rPr>
        <w:t>Case Study I – INSOL Global Insolvency Practice Course</w:t>
      </w:r>
    </w:p>
    <w:p w14:paraId="4D0018E3" w14:textId="798BB917" w:rsidR="009E1805" w:rsidRPr="009E1805" w:rsidRDefault="009E1805">
      <w:pPr>
        <w:rPr>
          <w:rFonts w:ascii="Arial" w:hAnsi="Arial" w:cs="Arial"/>
        </w:rPr>
      </w:pPr>
      <w:r w:rsidRPr="009E1805">
        <w:rPr>
          <w:rFonts w:ascii="Arial" w:hAnsi="Arial" w:cs="Arial"/>
        </w:rPr>
        <w:t>Candidate: Will Paterson</w:t>
      </w:r>
    </w:p>
    <w:p w14:paraId="67A43788" w14:textId="70913C5D" w:rsidR="00F41D53" w:rsidRPr="00F85702" w:rsidRDefault="00ED399D" w:rsidP="003E4B7C">
      <w:pPr>
        <w:pStyle w:val="ListParagraph"/>
        <w:numPr>
          <w:ilvl w:val="0"/>
          <w:numId w:val="1"/>
        </w:numPr>
        <w:rPr>
          <w:rFonts w:ascii="Arial" w:hAnsi="Arial" w:cs="Arial"/>
          <w:b/>
          <w:bCs/>
        </w:rPr>
      </w:pPr>
      <w:r w:rsidRPr="00F85702">
        <w:rPr>
          <w:rFonts w:ascii="Arial" w:hAnsi="Arial" w:cs="Arial"/>
          <w:b/>
          <w:bCs/>
        </w:rPr>
        <w:t>What were in your opinion the causes of financial distress at Flow Management (see e.g. Mellahi &amp; Wilkinson, 2004)? Could the financial distress have been prevented? If yes, explain how. If no, why not?</w:t>
      </w:r>
    </w:p>
    <w:p w14:paraId="75E2AE48" w14:textId="254CFBBB" w:rsidR="00FE0537" w:rsidRPr="00FE0537" w:rsidRDefault="00FE0537" w:rsidP="00455043">
      <w:pPr>
        <w:rPr>
          <w:rFonts w:ascii="Arial" w:hAnsi="Arial" w:cs="Arial"/>
          <w:u w:val="single"/>
        </w:rPr>
      </w:pPr>
      <w:r>
        <w:rPr>
          <w:rFonts w:ascii="Arial" w:hAnsi="Arial" w:cs="Arial"/>
          <w:u w:val="single"/>
        </w:rPr>
        <w:t>Causes of Flow’s Financial Distress</w:t>
      </w:r>
    </w:p>
    <w:p w14:paraId="3C32F934" w14:textId="30F0C46B" w:rsidR="00FA6BB8" w:rsidRDefault="0074102C" w:rsidP="00FA6BB8">
      <w:pPr>
        <w:rPr>
          <w:rFonts w:ascii="Arial" w:hAnsi="Arial" w:cs="Arial"/>
        </w:rPr>
      </w:pPr>
      <w:r w:rsidRPr="00D146A4">
        <w:rPr>
          <w:rFonts w:ascii="Arial" w:hAnsi="Arial" w:cs="Arial"/>
        </w:rPr>
        <w:t xml:space="preserve">Financial distress is </w:t>
      </w:r>
      <w:r w:rsidR="00A47C31" w:rsidRPr="00D146A4">
        <w:rPr>
          <w:rFonts w:ascii="Arial" w:hAnsi="Arial" w:cs="Arial"/>
        </w:rPr>
        <w:t xml:space="preserve">often the result of the </w:t>
      </w:r>
      <w:r w:rsidR="00BC4B56" w:rsidRPr="00D146A4">
        <w:rPr>
          <w:rFonts w:ascii="Arial" w:hAnsi="Arial" w:cs="Arial"/>
        </w:rPr>
        <w:t xml:space="preserve">interaction between </w:t>
      </w:r>
      <w:r w:rsidR="00E71D71" w:rsidRPr="00D146A4">
        <w:rPr>
          <w:rFonts w:ascii="Arial" w:hAnsi="Arial" w:cs="Arial"/>
        </w:rPr>
        <w:t xml:space="preserve">external and </w:t>
      </w:r>
      <w:r w:rsidR="00391C15">
        <w:rPr>
          <w:rFonts w:ascii="Arial" w:hAnsi="Arial" w:cs="Arial"/>
        </w:rPr>
        <w:t xml:space="preserve">organizational </w:t>
      </w:r>
      <w:r w:rsidR="00046894">
        <w:rPr>
          <w:rFonts w:ascii="Arial" w:hAnsi="Arial" w:cs="Arial"/>
        </w:rPr>
        <w:t>(</w:t>
      </w:r>
      <w:r w:rsidR="00391C15">
        <w:rPr>
          <w:rFonts w:ascii="Arial" w:hAnsi="Arial" w:cs="Arial"/>
        </w:rPr>
        <w:t>internal</w:t>
      </w:r>
      <w:r w:rsidR="00046894">
        <w:rPr>
          <w:rFonts w:ascii="Arial" w:hAnsi="Arial" w:cs="Arial"/>
        </w:rPr>
        <w:t>)</w:t>
      </w:r>
      <w:r w:rsidR="00E71D71" w:rsidRPr="00D146A4">
        <w:rPr>
          <w:rFonts w:ascii="Arial" w:hAnsi="Arial" w:cs="Arial"/>
        </w:rPr>
        <w:t xml:space="preserve"> factors. </w:t>
      </w:r>
      <w:r w:rsidR="000B3BAF">
        <w:rPr>
          <w:rFonts w:ascii="Arial" w:hAnsi="Arial" w:cs="Arial"/>
        </w:rPr>
        <w:t xml:space="preserve">To answer this question, I will use the integrative framework </w:t>
      </w:r>
      <w:r w:rsidR="00FF2996">
        <w:rPr>
          <w:rFonts w:ascii="Arial" w:hAnsi="Arial" w:cs="Arial"/>
        </w:rPr>
        <w:t xml:space="preserve">of determinants of organizational failure set out by </w:t>
      </w:r>
      <w:r w:rsidR="00FF2996" w:rsidRPr="00D146A4">
        <w:rPr>
          <w:rFonts w:ascii="Arial" w:hAnsi="Arial" w:cs="Arial"/>
        </w:rPr>
        <w:t>Mellahi &amp; Wilkinson</w:t>
      </w:r>
      <w:r w:rsidR="00FF2996">
        <w:rPr>
          <w:rFonts w:ascii="Arial" w:hAnsi="Arial" w:cs="Arial"/>
        </w:rPr>
        <w:t>.</w:t>
      </w:r>
      <w:r w:rsidR="00807EF3">
        <w:rPr>
          <w:rStyle w:val="FootnoteReference"/>
          <w:rFonts w:ascii="Arial" w:hAnsi="Arial" w:cs="Arial"/>
        </w:rPr>
        <w:footnoteReference w:id="1"/>
      </w:r>
      <w:r w:rsidR="00391C15">
        <w:rPr>
          <w:rFonts w:ascii="Arial" w:hAnsi="Arial" w:cs="Arial"/>
        </w:rPr>
        <w:t xml:space="preserve"> </w:t>
      </w:r>
      <w:r w:rsidR="002E3BFC">
        <w:rPr>
          <w:rFonts w:ascii="Arial" w:hAnsi="Arial" w:cs="Arial"/>
        </w:rPr>
        <w:t xml:space="preserve">From the case study, </w:t>
      </w:r>
      <w:r w:rsidR="00F46D7A">
        <w:rPr>
          <w:rFonts w:ascii="Arial" w:hAnsi="Arial" w:cs="Arial"/>
        </w:rPr>
        <w:t>in my opinion</w:t>
      </w:r>
      <w:r w:rsidR="00807EF3">
        <w:rPr>
          <w:rFonts w:ascii="Arial" w:hAnsi="Arial" w:cs="Arial"/>
        </w:rPr>
        <w:t>,</w:t>
      </w:r>
      <w:r w:rsidR="00F46D7A">
        <w:rPr>
          <w:rFonts w:ascii="Arial" w:hAnsi="Arial" w:cs="Arial"/>
        </w:rPr>
        <w:t xml:space="preserve"> the main causes of financial distress at Flow Management (Flow) </w:t>
      </w:r>
      <w:r w:rsidR="007D2DB2">
        <w:rPr>
          <w:rFonts w:ascii="Arial" w:hAnsi="Arial" w:cs="Arial"/>
        </w:rPr>
        <w:t xml:space="preserve">are organizational factors. </w:t>
      </w:r>
      <w:r w:rsidR="00AC56BC">
        <w:rPr>
          <w:rFonts w:ascii="Arial" w:hAnsi="Arial" w:cs="Arial"/>
        </w:rPr>
        <w:t xml:space="preserve">Although external factors </w:t>
      </w:r>
      <w:r w:rsidR="00A2522D">
        <w:rPr>
          <w:rFonts w:ascii="Arial" w:hAnsi="Arial" w:cs="Arial"/>
        </w:rPr>
        <w:t xml:space="preserve">(i.e., </w:t>
      </w:r>
      <w:r w:rsidR="00C35454">
        <w:rPr>
          <w:rFonts w:ascii="Arial" w:hAnsi="Arial" w:cs="Arial"/>
        </w:rPr>
        <w:t>environmental,</w:t>
      </w:r>
      <w:r w:rsidR="00A2522D">
        <w:rPr>
          <w:rFonts w:ascii="Arial" w:hAnsi="Arial" w:cs="Arial"/>
        </w:rPr>
        <w:t xml:space="preserve"> or ecological) </w:t>
      </w:r>
      <w:r w:rsidR="00AC56BC">
        <w:rPr>
          <w:rFonts w:ascii="Arial" w:hAnsi="Arial" w:cs="Arial"/>
        </w:rPr>
        <w:t>could have played a role</w:t>
      </w:r>
      <w:r w:rsidR="00A2522D">
        <w:rPr>
          <w:rFonts w:ascii="Arial" w:hAnsi="Arial" w:cs="Arial"/>
        </w:rPr>
        <w:t xml:space="preserve">, they are not addressed </w:t>
      </w:r>
      <w:r w:rsidR="00B66E7A">
        <w:rPr>
          <w:rFonts w:ascii="Arial" w:hAnsi="Arial" w:cs="Arial"/>
        </w:rPr>
        <w:t xml:space="preserve">substantively </w:t>
      </w:r>
      <w:r w:rsidR="00A2522D">
        <w:rPr>
          <w:rFonts w:ascii="Arial" w:hAnsi="Arial" w:cs="Arial"/>
        </w:rPr>
        <w:t>in the case study.</w:t>
      </w:r>
      <w:r w:rsidR="00C35454">
        <w:rPr>
          <w:rFonts w:ascii="Arial" w:hAnsi="Arial" w:cs="Arial"/>
        </w:rPr>
        <w:t xml:space="preserve"> </w:t>
      </w:r>
      <w:r w:rsidR="003D4571">
        <w:rPr>
          <w:rFonts w:ascii="Arial" w:hAnsi="Arial" w:cs="Arial"/>
        </w:rPr>
        <w:t>Further, t</w:t>
      </w:r>
      <w:r w:rsidR="00C35454">
        <w:rPr>
          <w:rFonts w:ascii="Arial" w:hAnsi="Arial" w:cs="Arial"/>
        </w:rPr>
        <w:t xml:space="preserve">he case study states </w:t>
      </w:r>
      <w:r w:rsidR="00116284">
        <w:rPr>
          <w:rFonts w:ascii="Arial" w:hAnsi="Arial" w:cs="Arial"/>
        </w:rPr>
        <w:t>that there is market demand</w:t>
      </w:r>
      <w:r w:rsidR="00401816">
        <w:rPr>
          <w:rFonts w:ascii="Arial" w:hAnsi="Arial" w:cs="Arial"/>
        </w:rPr>
        <w:t xml:space="preserve"> and the f</w:t>
      </w:r>
      <w:r w:rsidR="00401816" w:rsidRPr="00401816">
        <w:rPr>
          <w:rFonts w:ascii="Arial" w:hAnsi="Arial" w:cs="Arial"/>
        </w:rPr>
        <w:t xml:space="preserve">orecast for “hiring and leasing days” </w:t>
      </w:r>
      <w:r w:rsidR="00401816">
        <w:rPr>
          <w:rFonts w:ascii="Arial" w:hAnsi="Arial" w:cs="Arial"/>
        </w:rPr>
        <w:t>is</w:t>
      </w:r>
      <w:r w:rsidR="00401816" w:rsidRPr="00401816">
        <w:rPr>
          <w:rFonts w:ascii="Arial" w:hAnsi="Arial" w:cs="Arial"/>
        </w:rPr>
        <w:t xml:space="preserve"> </w:t>
      </w:r>
      <w:r w:rsidR="00401816">
        <w:rPr>
          <w:rFonts w:ascii="Arial" w:hAnsi="Arial" w:cs="Arial"/>
        </w:rPr>
        <w:t>accurate</w:t>
      </w:r>
      <w:r w:rsidR="0098023C">
        <w:rPr>
          <w:rFonts w:ascii="Arial" w:hAnsi="Arial" w:cs="Arial"/>
        </w:rPr>
        <w:t>.</w:t>
      </w:r>
      <w:r w:rsidR="00FA6BB8">
        <w:rPr>
          <w:rFonts w:ascii="Arial" w:hAnsi="Arial" w:cs="Arial"/>
        </w:rPr>
        <w:t xml:space="preserve"> If we had more information about the environmental and ecological factors, they could have been integrated into the organizational assessment made below.</w:t>
      </w:r>
    </w:p>
    <w:p w14:paraId="11216D2B" w14:textId="6018A898" w:rsidR="00FB7F1D" w:rsidRDefault="00CC7573" w:rsidP="00981431">
      <w:pPr>
        <w:rPr>
          <w:rFonts w:ascii="Arial" w:hAnsi="Arial" w:cs="Arial"/>
        </w:rPr>
      </w:pPr>
      <w:r>
        <w:rPr>
          <w:rFonts w:ascii="Arial" w:hAnsi="Arial" w:cs="Arial"/>
        </w:rPr>
        <w:t>First is the issue of good financial and operational processes</w:t>
      </w:r>
      <w:r w:rsidR="00635DF7">
        <w:rPr>
          <w:rFonts w:ascii="Arial" w:hAnsi="Arial" w:cs="Arial"/>
        </w:rPr>
        <w:t xml:space="preserve">. </w:t>
      </w:r>
      <w:r w:rsidR="00F94E20">
        <w:rPr>
          <w:rFonts w:ascii="Arial" w:hAnsi="Arial" w:cs="Arial"/>
        </w:rPr>
        <w:t xml:space="preserve">Management </w:t>
      </w:r>
      <w:r w:rsidR="00635DF7">
        <w:rPr>
          <w:rFonts w:ascii="Arial" w:hAnsi="Arial" w:cs="Arial"/>
        </w:rPr>
        <w:t>was</w:t>
      </w:r>
      <w:r w:rsidR="00566BF4">
        <w:rPr>
          <w:rFonts w:ascii="Arial" w:hAnsi="Arial" w:cs="Arial"/>
        </w:rPr>
        <w:t xml:space="preserve"> unable to </w:t>
      </w:r>
      <w:r w:rsidR="004E2C9B">
        <w:rPr>
          <w:rFonts w:ascii="Arial" w:hAnsi="Arial" w:cs="Arial"/>
        </w:rPr>
        <w:t xml:space="preserve">correctly report profits due to </w:t>
      </w:r>
      <w:r w:rsidR="00C7062D">
        <w:rPr>
          <w:rFonts w:ascii="Arial" w:hAnsi="Arial" w:cs="Arial"/>
        </w:rPr>
        <w:t>several</w:t>
      </w:r>
      <w:r w:rsidR="004E2C9B">
        <w:rPr>
          <w:rFonts w:ascii="Arial" w:hAnsi="Arial" w:cs="Arial"/>
        </w:rPr>
        <w:t xml:space="preserve"> very problematic </w:t>
      </w:r>
      <w:r w:rsidR="0032190C">
        <w:rPr>
          <w:rFonts w:ascii="Arial" w:hAnsi="Arial" w:cs="Arial"/>
        </w:rPr>
        <w:t>occurrences</w:t>
      </w:r>
      <w:r w:rsidR="004E2C9B">
        <w:rPr>
          <w:rFonts w:ascii="Arial" w:hAnsi="Arial" w:cs="Arial"/>
        </w:rPr>
        <w:t xml:space="preserve">. </w:t>
      </w:r>
      <w:r w:rsidR="004C5560">
        <w:rPr>
          <w:rFonts w:ascii="Arial" w:hAnsi="Arial" w:cs="Arial"/>
        </w:rPr>
        <w:t>The</w:t>
      </w:r>
      <w:r w:rsidR="00F567EE">
        <w:rPr>
          <w:rFonts w:ascii="Arial" w:hAnsi="Arial" w:cs="Arial"/>
        </w:rPr>
        <w:t xml:space="preserve"> November</w:t>
      </w:r>
      <w:r w:rsidR="005C7299">
        <w:rPr>
          <w:rFonts w:ascii="Arial" w:hAnsi="Arial" w:cs="Arial"/>
        </w:rPr>
        <w:t xml:space="preserve"> 2013</w:t>
      </w:r>
      <w:r w:rsidR="00F567EE">
        <w:rPr>
          <w:rFonts w:ascii="Arial" w:hAnsi="Arial" w:cs="Arial"/>
        </w:rPr>
        <w:t xml:space="preserve"> meeting with the banks was prompted by </w:t>
      </w:r>
      <w:r w:rsidR="00E90813">
        <w:rPr>
          <w:rFonts w:ascii="Arial" w:hAnsi="Arial" w:cs="Arial"/>
        </w:rPr>
        <w:t>a very large reduction in profits</w:t>
      </w:r>
      <w:r w:rsidR="0085304B">
        <w:rPr>
          <w:rFonts w:ascii="Arial" w:hAnsi="Arial" w:cs="Arial"/>
        </w:rPr>
        <w:t xml:space="preserve"> from a reported pre-tax profit in September</w:t>
      </w:r>
      <w:r w:rsidR="00E90813">
        <w:rPr>
          <w:rFonts w:ascii="Arial" w:hAnsi="Arial" w:cs="Arial"/>
        </w:rPr>
        <w:t xml:space="preserve"> – </w:t>
      </w:r>
      <w:r w:rsidR="00D019AE">
        <w:rPr>
          <w:rFonts w:ascii="Arial" w:hAnsi="Arial" w:cs="Arial"/>
        </w:rPr>
        <w:t xml:space="preserve">a discrepancy of over </w:t>
      </w:r>
      <w:r w:rsidR="0032190C">
        <w:rPr>
          <w:rFonts w:ascii="Arial" w:hAnsi="Arial" w:cs="Arial"/>
        </w:rPr>
        <w:t xml:space="preserve">EUR </w:t>
      </w:r>
      <w:r w:rsidR="00D019AE">
        <w:rPr>
          <w:rFonts w:ascii="Arial" w:hAnsi="Arial" w:cs="Arial"/>
        </w:rPr>
        <w:t>13 million</w:t>
      </w:r>
      <w:r w:rsidR="0085304B">
        <w:rPr>
          <w:rFonts w:ascii="Arial" w:hAnsi="Arial" w:cs="Arial"/>
        </w:rPr>
        <w:t xml:space="preserve">. </w:t>
      </w:r>
      <w:r w:rsidR="00BC3203">
        <w:rPr>
          <w:rFonts w:ascii="Arial" w:hAnsi="Arial" w:cs="Arial"/>
        </w:rPr>
        <w:t xml:space="preserve">Concerningly, this partially stems </w:t>
      </w:r>
      <w:r w:rsidR="0008035F">
        <w:rPr>
          <w:rFonts w:ascii="Arial" w:hAnsi="Arial" w:cs="Arial"/>
        </w:rPr>
        <w:t xml:space="preserve">from </w:t>
      </w:r>
      <w:r w:rsidR="00BC3203">
        <w:rPr>
          <w:rFonts w:ascii="Arial" w:hAnsi="Arial" w:cs="Arial"/>
        </w:rPr>
        <w:t>large management bonuses to the CEO and CFO which were “wrongfully issued”</w:t>
      </w:r>
      <w:r w:rsidR="006763FC">
        <w:rPr>
          <w:rFonts w:ascii="Arial" w:hAnsi="Arial" w:cs="Arial"/>
        </w:rPr>
        <w:t xml:space="preserve"> – </w:t>
      </w:r>
      <w:r w:rsidR="00F360F0">
        <w:rPr>
          <w:rFonts w:ascii="Arial" w:hAnsi="Arial" w:cs="Arial"/>
        </w:rPr>
        <w:t xml:space="preserve">it is </w:t>
      </w:r>
      <w:r w:rsidR="006763FC">
        <w:rPr>
          <w:rFonts w:ascii="Arial" w:hAnsi="Arial" w:cs="Arial"/>
        </w:rPr>
        <w:t>dubious why bonuses were booked when the company was due for a significant loss.</w:t>
      </w:r>
      <w:r w:rsidR="00BF6856">
        <w:rPr>
          <w:rFonts w:ascii="Arial" w:hAnsi="Arial" w:cs="Arial"/>
        </w:rPr>
        <w:t xml:space="preserve"> </w:t>
      </w:r>
      <w:r w:rsidR="00F360F0">
        <w:rPr>
          <w:rFonts w:ascii="Arial" w:hAnsi="Arial" w:cs="Arial"/>
        </w:rPr>
        <w:t xml:space="preserve">Did the CEO and CFO know this? </w:t>
      </w:r>
      <w:r w:rsidR="00BF6856" w:rsidRPr="00936EC7">
        <w:rPr>
          <w:rFonts w:ascii="Arial" w:hAnsi="Arial" w:cs="Arial"/>
        </w:rPr>
        <w:t>Could also signal something more nefarious which should be investigated like fraud.</w:t>
      </w:r>
    </w:p>
    <w:p w14:paraId="581631D8" w14:textId="7292379E" w:rsidR="00926210" w:rsidRDefault="001E2B59" w:rsidP="00455043">
      <w:pPr>
        <w:rPr>
          <w:rFonts w:ascii="Arial" w:hAnsi="Arial" w:cs="Arial"/>
        </w:rPr>
      </w:pPr>
      <w:r>
        <w:rPr>
          <w:rFonts w:ascii="Arial" w:hAnsi="Arial" w:cs="Arial"/>
        </w:rPr>
        <w:t>In addition to the issue with the bonuses, there were also f</w:t>
      </w:r>
      <w:r w:rsidR="00787639">
        <w:rPr>
          <w:rFonts w:ascii="Arial" w:hAnsi="Arial" w:cs="Arial"/>
        </w:rPr>
        <w:t>ault</w:t>
      </w:r>
      <w:r w:rsidR="00926210">
        <w:rPr>
          <w:rFonts w:ascii="Arial" w:hAnsi="Arial" w:cs="Arial"/>
        </w:rPr>
        <w:t xml:space="preserve">y </w:t>
      </w:r>
      <w:r w:rsidR="00B71A8C">
        <w:rPr>
          <w:rFonts w:ascii="Arial" w:hAnsi="Arial" w:cs="Arial"/>
        </w:rPr>
        <w:t>accounting, financial</w:t>
      </w:r>
      <w:r w:rsidR="00787639">
        <w:rPr>
          <w:rFonts w:ascii="Arial" w:hAnsi="Arial" w:cs="Arial"/>
        </w:rPr>
        <w:t xml:space="preserve"> and </w:t>
      </w:r>
      <w:r w:rsidR="00B71A8C">
        <w:rPr>
          <w:rFonts w:ascii="Arial" w:hAnsi="Arial" w:cs="Arial"/>
        </w:rPr>
        <w:t>pricing</w:t>
      </w:r>
      <w:r w:rsidR="00926210">
        <w:rPr>
          <w:rFonts w:ascii="Arial" w:hAnsi="Arial" w:cs="Arial"/>
        </w:rPr>
        <w:t xml:space="preserve"> </w:t>
      </w:r>
      <w:r w:rsidR="00787639">
        <w:rPr>
          <w:rFonts w:ascii="Arial" w:hAnsi="Arial" w:cs="Arial"/>
        </w:rPr>
        <w:t>p</w:t>
      </w:r>
      <w:r w:rsidR="00A56FA5">
        <w:rPr>
          <w:rFonts w:ascii="Arial" w:hAnsi="Arial" w:cs="Arial"/>
        </w:rPr>
        <w:t xml:space="preserve">rocesses </w:t>
      </w:r>
      <w:r w:rsidR="00787639">
        <w:rPr>
          <w:rFonts w:ascii="Arial" w:hAnsi="Arial" w:cs="Arial"/>
        </w:rPr>
        <w:t>in place</w:t>
      </w:r>
      <w:r w:rsidR="00926210">
        <w:rPr>
          <w:rFonts w:ascii="Arial" w:hAnsi="Arial" w:cs="Arial"/>
        </w:rPr>
        <w:t>.</w:t>
      </w:r>
      <w:r>
        <w:rPr>
          <w:rFonts w:ascii="Arial" w:hAnsi="Arial" w:cs="Arial"/>
        </w:rPr>
        <w:t xml:space="preserve"> </w:t>
      </w:r>
      <w:r w:rsidR="00D35328">
        <w:rPr>
          <w:rFonts w:ascii="Arial" w:hAnsi="Arial" w:cs="Arial"/>
        </w:rPr>
        <w:t xml:space="preserve">A large contingency gain was wrongfully booked, </w:t>
      </w:r>
      <w:r w:rsidR="00177E38">
        <w:rPr>
          <w:rFonts w:ascii="Arial" w:hAnsi="Arial" w:cs="Arial"/>
        </w:rPr>
        <w:t xml:space="preserve">a book profit was booked which was not realized. Further, </w:t>
      </w:r>
      <w:r w:rsidR="00DA087A">
        <w:rPr>
          <w:rFonts w:ascii="Arial" w:hAnsi="Arial" w:cs="Arial"/>
        </w:rPr>
        <w:t>a s</w:t>
      </w:r>
      <w:r w:rsidR="005E18D3">
        <w:rPr>
          <w:rFonts w:ascii="Arial" w:hAnsi="Arial" w:cs="Arial"/>
        </w:rPr>
        <w:t xml:space="preserve">preadsheet error resulted in prices being charged which were too low </w:t>
      </w:r>
      <w:r w:rsidR="00815E24">
        <w:rPr>
          <w:rFonts w:ascii="Arial" w:hAnsi="Arial" w:cs="Arial"/>
        </w:rPr>
        <w:t>–</w:t>
      </w:r>
      <w:r w:rsidR="005E18D3">
        <w:rPr>
          <w:rFonts w:ascii="Arial" w:hAnsi="Arial" w:cs="Arial"/>
        </w:rPr>
        <w:t xml:space="preserve"> </w:t>
      </w:r>
      <w:r w:rsidR="00815E24">
        <w:rPr>
          <w:rFonts w:ascii="Arial" w:hAnsi="Arial" w:cs="Arial"/>
        </w:rPr>
        <w:t xml:space="preserve">there </w:t>
      </w:r>
      <w:r w:rsidR="00AD665B">
        <w:rPr>
          <w:rFonts w:ascii="Arial" w:hAnsi="Arial" w:cs="Arial"/>
        </w:rPr>
        <w:t>is</w:t>
      </w:r>
      <w:r w:rsidR="00815E24">
        <w:rPr>
          <w:rFonts w:ascii="Arial" w:hAnsi="Arial" w:cs="Arial"/>
        </w:rPr>
        <w:t xml:space="preserve"> no mention of processes in place to be able to double-check such an important calculation.</w:t>
      </w:r>
    </w:p>
    <w:p w14:paraId="31DA93FF" w14:textId="5413318F" w:rsidR="0098023C" w:rsidRPr="0098023C" w:rsidRDefault="0098023C" w:rsidP="0098023C">
      <w:pPr>
        <w:pStyle w:val="ListParagraph"/>
        <w:numPr>
          <w:ilvl w:val="0"/>
          <w:numId w:val="17"/>
        </w:numPr>
        <w:rPr>
          <w:rFonts w:ascii="Arial" w:hAnsi="Arial" w:cs="Arial"/>
        </w:rPr>
      </w:pPr>
      <w:r w:rsidRPr="0098023C">
        <w:rPr>
          <w:rFonts w:ascii="Arial" w:hAnsi="Arial" w:cs="Arial"/>
        </w:rPr>
        <w:t>Groupthink</w:t>
      </w:r>
    </w:p>
    <w:p w14:paraId="790C6957" w14:textId="4208D2C8" w:rsidR="00B1565F" w:rsidRDefault="009C3448" w:rsidP="00B1565F">
      <w:pPr>
        <w:rPr>
          <w:rFonts w:ascii="Arial" w:hAnsi="Arial" w:cs="Arial"/>
        </w:rPr>
      </w:pPr>
      <w:r>
        <w:rPr>
          <w:rFonts w:ascii="Arial" w:hAnsi="Arial" w:cs="Arial"/>
        </w:rPr>
        <w:t xml:space="preserve">As part of the organizational factors of failure, </w:t>
      </w:r>
      <w:r w:rsidR="005C6961">
        <w:rPr>
          <w:rFonts w:ascii="Arial" w:hAnsi="Arial" w:cs="Arial"/>
        </w:rPr>
        <w:t>G</w:t>
      </w:r>
      <w:r w:rsidR="00B1565F">
        <w:rPr>
          <w:rFonts w:ascii="Arial" w:hAnsi="Arial" w:cs="Arial"/>
        </w:rPr>
        <w:t>roupthink</w:t>
      </w:r>
      <w:r w:rsidR="005C6961">
        <w:rPr>
          <w:rStyle w:val="FootnoteReference"/>
          <w:rFonts w:ascii="Arial" w:hAnsi="Arial" w:cs="Arial"/>
        </w:rPr>
        <w:footnoteReference w:id="2"/>
      </w:r>
      <w:r w:rsidR="00B1565F">
        <w:rPr>
          <w:rFonts w:ascii="Arial" w:hAnsi="Arial" w:cs="Arial"/>
        </w:rPr>
        <w:t xml:space="preserve"> could have existed within the original management team which led to the initial difficulties in November 2013. If the management team </w:t>
      </w:r>
      <w:r w:rsidR="004F5520">
        <w:rPr>
          <w:rFonts w:ascii="Arial" w:hAnsi="Arial" w:cs="Arial"/>
        </w:rPr>
        <w:t xml:space="preserve">(especially the CEO and CFO) </w:t>
      </w:r>
      <w:r w:rsidR="00B1565F">
        <w:rPr>
          <w:rFonts w:ascii="Arial" w:hAnsi="Arial" w:cs="Arial"/>
        </w:rPr>
        <w:t>had been in place for some time, they could have missed key mistakes</w:t>
      </w:r>
      <w:r w:rsidR="004F5520">
        <w:rPr>
          <w:rFonts w:ascii="Arial" w:hAnsi="Arial" w:cs="Arial"/>
        </w:rPr>
        <w:t xml:space="preserve"> in their reporting processes</w:t>
      </w:r>
      <w:r w:rsidR="00B1565F">
        <w:rPr>
          <w:rFonts w:ascii="Arial" w:hAnsi="Arial" w:cs="Arial"/>
        </w:rPr>
        <w:t xml:space="preserve"> and their plan to return to profitability could have been biased with a poor search for alternatives, ignorance of outside information or being too confident in their potential for success. </w:t>
      </w:r>
      <w:r w:rsidR="00B1565F" w:rsidRPr="00040FDB">
        <w:rPr>
          <w:rFonts w:ascii="Arial" w:hAnsi="Arial" w:cs="Arial"/>
        </w:rPr>
        <w:t xml:space="preserve">Similarly, </w:t>
      </w:r>
      <w:r w:rsidR="00040FDB" w:rsidRPr="00040FDB">
        <w:rPr>
          <w:rFonts w:ascii="Arial" w:hAnsi="Arial" w:cs="Arial"/>
        </w:rPr>
        <w:t xml:space="preserve">other </w:t>
      </w:r>
      <w:r w:rsidR="00403656">
        <w:rPr>
          <w:rFonts w:ascii="Arial" w:hAnsi="Arial" w:cs="Arial"/>
        </w:rPr>
        <w:t xml:space="preserve">groups of </w:t>
      </w:r>
      <w:r w:rsidR="00040FDB" w:rsidRPr="00040FDB">
        <w:rPr>
          <w:rFonts w:ascii="Arial" w:hAnsi="Arial" w:cs="Arial"/>
        </w:rPr>
        <w:t xml:space="preserve">stakeholders (e.g., </w:t>
      </w:r>
      <w:r w:rsidR="0057136C" w:rsidRPr="00040FDB">
        <w:rPr>
          <w:rFonts w:ascii="Arial" w:hAnsi="Arial" w:cs="Arial"/>
        </w:rPr>
        <w:t>shareholders</w:t>
      </w:r>
      <w:r w:rsidR="00633970">
        <w:rPr>
          <w:rFonts w:ascii="Arial" w:hAnsi="Arial" w:cs="Arial"/>
        </w:rPr>
        <w:t xml:space="preserve"> and banks</w:t>
      </w:r>
      <w:r w:rsidR="00040FDB" w:rsidRPr="00040FDB">
        <w:rPr>
          <w:rFonts w:ascii="Arial" w:hAnsi="Arial" w:cs="Arial"/>
        </w:rPr>
        <w:t>)</w:t>
      </w:r>
      <w:r w:rsidR="00B1565F" w:rsidRPr="00040FDB">
        <w:rPr>
          <w:rFonts w:ascii="Arial" w:hAnsi="Arial" w:cs="Arial"/>
        </w:rPr>
        <w:t xml:space="preserve"> continued to believe the forecasts of profits, which ended-up being significant losses</w:t>
      </w:r>
      <w:r w:rsidR="00C35EC8">
        <w:rPr>
          <w:rFonts w:ascii="Arial" w:hAnsi="Arial" w:cs="Arial"/>
        </w:rPr>
        <w:t>.</w:t>
      </w:r>
    </w:p>
    <w:p w14:paraId="3EA755E3" w14:textId="1531ED7F" w:rsidR="0098023C" w:rsidRPr="0098023C" w:rsidRDefault="0098023C" w:rsidP="0098023C">
      <w:pPr>
        <w:pStyle w:val="ListParagraph"/>
        <w:numPr>
          <w:ilvl w:val="0"/>
          <w:numId w:val="17"/>
        </w:numPr>
        <w:rPr>
          <w:rFonts w:ascii="Arial" w:hAnsi="Arial" w:cs="Arial"/>
        </w:rPr>
      </w:pPr>
      <w:r>
        <w:rPr>
          <w:rFonts w:ascii="Arial" w:hAnsi="Arial" w:cs="Arial"/>
        </w:rPr>
        <w:lastRenderedPageBreak/>
        <w:t>Upper Echelon Theory</w:t>
      </w:r>
    </w:p>
    <w:p w14:paraId="0BAE80DD" w14:textId="14BB526D" w:rsidR="006A30DB" w:rsidRDefault="009C3448" w:rsidP="00455043">
      <w:pPr>
        <w:rPr>
          <w:rFonts w:ascii="Arial" w:hAnsi="Arial" w:cs="Arial"/>
        </w:rPr>
      </w:pPr>
      <w:r>
        <w:rPr>
          <w:rFonts w:ascii="Arial" w:hAnsi="Arial" w:cs="Arial"/>
        </w:rPr>
        <w:t>T</w:t>
      </w:r>
      <w:r w:rsidR="0017315C">
        <w:rPr>
          <w:rFonts w:ascii="Arial" w:hAnsi="Arial" w:cs="Arial"/>
        </w:rPr>
        <w:t>he u</w:t>
      </w:r>
      <w:r w:rsidR="001A10BD">
        <w:rPr>
          <w:rFonts w:ascii="Arial" w:hAnsi="Arial" w:cs="Arial"/>
        </w:rPr>
        <w:t>pper echelon theory</w:t>
      </w:r>
      <w:r w:rsidR="0017315C">
        <w:rPr>
          <w:rFonts w:ascii="Arial" w:hAnsi="Arial" w:cs="Arial"/>
        </w:rPr>
        <w:t xml:space="preserve"> is </w:t>
      </w:r>
      <w:r w:rsidR="00C35EC8">
        <w:rPr>
          <w:rFonts w:ascii="Arial" w:hAnsi="Arial" w:cs="Arial"/>
        </w:rPr>
        <w:t xml:space="preserve">also </w:t>
      </w:r>
      <w:r w:rsidR="0017315C">
        <w:rPr>
          <w:rFonts w:ascii="Arial" w:hAnsi="Arial" w:cs="Arial"/>
        </w:rPr>
        <w:t xml:space="preserve">useful to </w:t>
      </w:r>
      <w:r w:rsidR="00E116B7">
        <w:rPr>
          <w:rFonts w:ascii="Arial" w:hAnsi="Arial" w:cs="Arial"/>
        </w:rPr>
        <w:t xml:space="preserve">understand </w:t>
      </w:r>
      <w:r w:rsidR="00E26982">
        <w:rPr>
          <w:rFonts w:ascii="Arial" w:hAnsi="Arial" w:cs="Arial"/>
        </w:rPr>
        <w:t>the actions of key decision makers.</w:t>
      </w:r>
      <w:r w:rsidR="00E26982">
        <w:rPr>
          <w:rStyle w:val="FootnoteReference"/>
          <w:rFonts w:ascii="Arial" w:hAnsi="Arial" w:cs="Arial"/>
        </w:rPr>
        <w:footnoteReference w:id="3"/>
      </w:r>
      <w:r w:rsidR="001A10BD">
        <w:rPr>
          <w:rFonts w:ascii="Arial" w:hAnsi="Arial" w:cs="Arial"/>
        </w:rPr>
        <w:t xml:space="preserve"> </w:t>
      </w:r>
      <w:r w:rsidR="002B7AF9">
        <w:rPr>
          <w:rFonts w:ascii="Arial" w:hAnsi="Arial" w:cs="Arial"/>
        </w:rPr>
        <w:t>Th</w:t>
      </w:r>
      <w:r w:rsidR="00633970">
        <w:rPr>
          <w:rFonts w:ascii="Arial" w:hAnsi="Arial" w:cs="Arial"/>
        </w:rPr>
        <w:t>is theory centers around the</w:t>
      </w:r>
      <w:r w:rsidR="002B7AF9">
        <w:rPr>
          <w:rFonts w:ascii="Arial" w:hAnsi="Arial" w:cs="Arial"/>
        </w:rPr>
        <w:t xml:space="preserve"> composition of top management – homogeneity and </w:t>
      </w:r>
      <w:r w:rsidR="00415198">
        <w:rPr>
          <w:rFonts w:ascii="Arial" w:hAnsi="Arial" w:cs="Arial"/>
        </w:rPr>
        <w:t xml:space="preserve">tenure. </w:t>
      </w:r>
      <w:r w:rsidR="005D717A">
        <w:rPr>
          <w:rFonts w:ascii="Arial" w:hAnsi="Arial" w:cs="Arial"/>
        </w:rPr>
        <w:t xml:space="preserve">If </w:t>
      </w:r>
      <w:r w:rsidR="009B4212">
        <w:rPr>
          <w:rFonts w:ascii="Arial" w:hAnsi="Arial" w:cs="Arial"/>
        </w:rPr>
        <w:t>Flow’s</w:t>
      </w:r>
      <w:r w:rsidR="00722CDE">
        <w:rPr>
          <w:rFonts w:ascii="Arial" w:hAnsi="Arial" w:cs="Arial"/>
        </w:rPr>
        <w:t xml:space="preserve"> original</w:t>
      </w:r>
      <w:r w:rsidR="005D717A">
        <w:rPr>
          <w:rFonts w:ascii="Arial" w:hAnsi="Arial" w:cs="Arial"/>
        </w:rPr>
        <w:t xml:space="preserve"> CEO and CFO had been with the company for a long time and were relatively homogenous, </w:t>
      </w:r>
      <w:r w:rsidR="00C8353E">
        <w:rPr>
          <w:rFonts w:ascii="Arial" w:hAnsi="Arial" w:cs="Arial"/>
        </w:rPr>
        <w:t>they may have failed to diagnose the causes of failure.</w:t>
      </w:r>
      <w:r w:rsidR="00C8353E">
        <w:rPr>
          <w:rStyle w:val="FootnoteReference"/>
          <w:rFonts w:ascii="Arial" w:hAnsi="Arial" w:cs="Arial"/>
        </w:rPr>
        <w:footnoteReference w:id="4"/>
      </w:r>
      <w:r w:rsidR="00E80E7C">
        <w:rPr>
          <w:rFonts w:ascii="Arial" w:hAnsi="Arial" w:cs="Arial"/>
        </w:rPr>
        <w:t xml:space="preserve"> Long tenured </w:t>
      </w:r>
      <w:r w:rsidR="007A2046">
        <w:rPr>
          <w:rFonts w:ascii="Arial" w:hAnsi="Arial" w:cs="Arial"/>
        </w:rPr>
        <w:t>managers tend to attribute failure to “external, uncontrollable and temporary causes.”</w:t>
      </w:r>
      <w:r w:rsidR="007A2046">
        <w:rPr>
          <w:rStyle w:val="FootnoteReference"/>
          <w:rFonts w:ascii="Arial" w:hAnsi="Arial" w:cs="Arial"/>
        </w:rPr>
        <w:footnoteReference w:id="5"/>
      </w:r>
      <w:r w:rsidR="00A279FB">
        <w:rPr>
          <w:rFonts w:ascii="Arial" w:hAnsi="Arial" w:cs="Arial"/>
        </w:rPr>
        <w:t xml:space="preserve"> They also spend less time analyzing </w:t>
      </w:r>
      <w:r w:rsidR="003C1489">
        <w:rPr>
          <w:rFonts w:ascii="Arial" w:hAnsi="Arial" w:cs="Arial"/>
        </w:rPr>
        <w:t>the problems and opportunities facing them.</w:t>
      </w:r>
      <w:r w:rsidR="003C1489">
        <w:rPr>
          <w:rStyle w:val="FootnoteReference"/>
          <w:rFonts w:ascii="Arial" w:hAnsi="Arial" w:cs="Arial"/>
        </w:rPr>
        <w:footnoteReference w:id="6"/>
      </w:r>
    </w:p>
    <w:p w14:paraId="766D5716" w14:textId="7A063DC3" w:rsidR="00240C63" w:rsidRDefault="00FA45A3" w:rsidP="00E24E89">
      <w:pPr>
        <w:rPr>
          <w:rFonts w:ascii="Arial" w:hAnsi="Arial" w:cs="Arial"/>
        </w:rPr>
      </w:pPr>
      <w:r>
        <w:rPr>
          <w:rFonts w:ascii="Arial" w:hAnsi="Arial" w:cs="Arial"/>
        </w:rPr>
        <w:t>Flow’s m</w:t>
      </w:r>
      <w:r w:rsidR="00E24E89">
        <w:rPr>
          <w:rFonts w:ascii="Arial" w:hAnsi="Arial" w:cs="Arial"/>
        </w:rPr>
        <w:t>anagement diagnose</w:t>
      </w:r>
      <w:r>
        <w:rPr>
          <w:rFonts w:ascii="Arial" w:hAnsi="Arial" w:cs="Arial"/>
        </w:rPr>
        <w:t>d</w:t>
      </w:r>
      <w:r w:rsidR="00E24E89">
        <w:rPr>
          <w:rFonts w:ascii="Arial" w:hAnsi="Arial" w:cs="Arial"/>
        </w:rPr>
        <w:t xml:space="preserve"> the problem and propose</w:t>
      </w:r>
      <w:r>
        <w:rPr>
          <w:rFonts w:ascii="Arial" w:hAnsi="Arial" w:cs="Arial"/>
        </w:rPr>
        <w:t>d</w:t>
      </w:r>
      <w:r w:rsidR="00E24E89">
        <w:rPr>
          <w:rFonts w:ascii="Arial" w:hAnsi="Arial" w:cs="Arial"/>
        </w:rPr>
        <w:t xml:space="preserve"> to increase prices and cut spending (mostly on labour). However, management doesn’t mention there may be problems with processes and financial controls which require urgent remedy in their initial plans. Although an accounting firm is brought in later to investigation of procedures in the company</w:t>
      </w:r>
      <w:r w:rsidR="006A6BAA">
        <w:rPr>
          <w:rFonts w:ascii="Arial" w:hAnsi="Arial" w:cs="Arial"/>
        </w:rPr>
        <w:t>, i</w:t>
      </w:r>
      <w:r w:rsidR="00E24E89">
        <w:rPr>
          <w:rFonts w:ascii="Arial" w:hAnsi="Arial" w:cs="Arial"/>
        </w:rPr>
        <w:t xml:space="preserve">t’s unclear whether management or the banks brought the firm in and what procedures they will investigate. </w:t>
      </w:r>
      <w:r w:rsidR="00333A0F">
        <w:rPr>
          <w:rFonts w:ascii="Arial" w:hAnsi="Arial" w:cs="Arial"/>
        </w:rPr>
        <w:t xml:space="preserve">After the initial changes (price increases and spending cuts) management then expects that everything else is fine and that they will be profitable in January 2014, which is certainly not the case. They are in a crisis and do not recognize it. </w:t>
      </w:r>
      <w:r w:rsidR="00A16E69">
        <w:rPr>
          <w:rFonts w:ascii="Arial" w:hAnsi="Arial" w:cs="Arial"/>
        </w:rPr>
        <w:t>T</w:t>
      </w:r>
      <w:r w:rsidR="00E24E89">
        <w:rPr>
          <w:rFonts w:ascii="Arial" w:hAnsi="Arial" w:cs="Arial"/>
        </w:rPr>
        <w:t xml:space="preserve">here is </w:t>
      </w:r>
      <w:r w:rsidR="00A16E69">
        <w:rPr>
          <w:rFonts w:ascii="Arial" w:hAnsi="Arial" w:cs="Arial"/>
        </w:rPr>
        <w:t xml:space="preserve">no mention until later </w:t>
      </w:r>
      <w:r w:rsidR="00E24E89">
        <w:rPr>
          <w:rFonts w:ascii="Arial" w:hAnsi="Arial" w:cs="Arial"/>
        </w:rPr>
        <w:t xml:space="preserve">of strategic business changes </w:t>
      </w:r>
      <w:r w:rsidR="00A16E69">
        <w:rPr>
          <w:rFonts w:ascii="Arial" w:hAnsi="Arial" w:cs="Arial"/>
        </w:rPr>
        <w:t xml:space="preserve">(business mix) </w:t>
      </w:r>
      <w:r w:rsidR="00E24E89">
        <w:rPr>
          <w:rFonts w:ascii="Arial" w:hAnsi="Arial" w:cs="Arial"/>
        </w:rPr>
        <w:t>that may need to occur. This could</w:t>
      </w:r>
      <w:r w:rsidR="00A16E69">
        <w:rPr>
          <w:rFonts w:ascii="Arial" w:hAnsi="Arial" w:cs="Arial"/>
        </w:rPr>
        <w:t xml:space="preserve"> also</w:t>
      </w:r>
      <w:r w:rsidR="00E24E89">
        <w:rPr>
          <w:rFonts w:ascii="Arial" w:hAnsi="Arial" w:cs="Arial"/>
        </w:rPr>
        <w:t xml:space="preserve"> include streamlining the business into leasing and</w:t>
      </w:r>
      <w:r w:rsidR="00B953EB">
        <w:rPr>
          <w:rFonts w:ascii="Arial" w:hAnsi="Arial" w:cs="Arial"/>
        </w:rPr>
        <w:t xml:space="preserve">, if </w:t>
      </w:r>
      <w:r w:rsidR="00FD2A42">
        <w:rPr>
          <w:rFonts w:ascii="Arial" w:hAnsi="Arial" w:cs="Arial"/>
        </w:rPr>
        <w:t xml:space="preserve">Flow was involved in </w:t>
      </w:r>
      <w:r w:rsidR="00CE693D">
        <w:rPr>
          <w:rFonts w:ascii="Arial" w:hAnsi="Arial" w:cs="Arial"/>
        </w:rPr>
        <w:t>other</w:t>
      </w:r>
      <w:r w:rsidR="00FD2A42">
        <w:rPr>
          <w:rFonts w:ascii="Arial" w:hAnsi="Arial" w:cs="Arial"/>
        </w:rPr>
        <w:t xml:space="preserve"> business lines,</w:t>
      </w:r>
      <w:r w:rsidR="00E24E89">
        <w:rPr>
          <w:rFonts w:ascii="Arial" w:hAnsi="Arial" w:cs="Arial"/>
        </w:rPr>
        <w:t xml:space="preserve"> getting away from</w:t>
      </w:r>
      <w:r w:rsidR="00E80375">
        <w:rPr>
          <w:rFonts w:ascii="Arial" w:hAnsi="Arial" w:cs="Arial"/>
        </w:rPr>
        <w:t xml:space="preserve"> the non-core businesses of</w:t>
      </w:r>
      <w:r w:rsidR="00E24E89">
        <w:rPr>
          <w:rFonts w:ascii="Arial" w:hAnsi="Arial" w:cs="Arial"/>
        </w:rPr>
        <w:t xml:space="preserve"> real estate, short leasing</w:t>
      </w:r>
      <w:r w:rsidR="00B64306">
        <w:rPr>
          <w:rFonts w:ascii="Arial" w:hAnsi="Arial" w:cs="Arial"/>
        </w:rPr>
        <w:t>,</w:t>
      </w:r>
      <w:r w:rsidR="00E24E89">
        <w:rPr>
          <w:rFonts w:ascii="Arial" w:hAnsi="Arial" w:cs="Arial"/>
        </w:rPr>
        <w:t xml:space="preserve"> and truck repair.</w:t>
      </w:r>
      <w:r w:rsidR="00452C31">
        <w:rPr>
          <w:rFonts w:ascii="Arial" w:hAnsi="Arial" w:cs="Arial"/>
        </w:rPr>
        <w:t xml:space="preserve"> </w:t>
      </w:r>
      <w:r w:rsidR="00333A0F">
        <w:rPr>
          <w:rFonts w:ascii="Arial" w:hAnsi="Arial" w:cs="Arial"/>
        </w:rPr>
        <w:t>These issues with the diagnosis and remedy may have amplified the initial problem leading to the future losses.</w:t>
      </w:r>
    </w:p>
    <w:p w14:paraId="332E2C40" w14:textId="3701F746" w:rsidR="00F43C7E" w:rsidRDefault="000423A0" w:rsidP="00455043">
      <w:pPr>
        <w:rPr>
          <w:rFonts w:ascii="Arial" w:hAnsi="Arial" w:cs="Arial"/>
        </w:rPr>
      </w:pPr>
      <w:r>
        <w:rPr>
          <w:rFonts w:ascii="Arial" w:hAnsi="Arial" w:cs="Arial"/>
        </w:rPr>
        <w:t>After the initial issues were discovered, t</w:t>
      </w:r>
      <w:r w:rsidR="00250E36">
        <w:rPr>
          <w:rFonts w:ascii="Arial" w:hAnsi="Arial" w:cs="Arial"/>
        </w:rPr>
        <w:t xml:space="preserve">here are </w:t>
      </w:r>
      <w:r w:rsidR="00B64306">
        <w:rPr>
          <w:rFonts w:ascii="Arial" w:hAnsi="Arial" w:cs="Arial"/>
        </w:rPr>
        <w:t>several</w:t>
      </w:r>
      <w:r w:rsidR="00250E36">
        <w:rPr>
          <w:rFonts w:ascii="Arial" w:hAnsi="Arial" w:cs="Arial"/>
        </w:rPr>
        <w:t xml:space="preserve"> management changes and s</w:t>
      </w:r>
      <w:r w:rsidR="00926210">
        <w:rPr>
          <w:rFonts w:ascii="Arial" w:hAnsi="Arial" w:cs="Arial"/>
        </w:rPr>
        <w:t>uccessions</w:t>
      </w:r>
      <w:r w:rsidR="00250E36">
        <w:rPr>
          <w:rFonts w:ascii="Arial" w:hAnsi="Arial" w:cs="Arial"/>
        </w:rPr>
        <w:t xml:space="preserve"> </w:t>
      </w:r>
      <w:r>
        <w:rPr>
          <w:rFonts w:ascii="Arial" w:hAnsi="Arial" w:cs="Arial"/>
        </w:rPr>
        <w:t xml:space="preserve">which could have contributed to future </w:t>
      </w:r>
      <w:r w:rsidR="00B54B83">
        <w:rPr>
          <w:rFonts w:ascii="Arial" w:hAnsi="Arial" w:cs="Arial"/>
        </w:rPr>
        <w:t xml:space="preserve">problems. </w:t>
      </w:r>
      <w:r w:rsidR="00910D57">
        <w:rPr>
          <w:rFonts w:ascii="Arial" w:hAnsi="Arial" w:cs="Arial"/>
        </w:rPr>
        <w:t xml:space="preserve">Although, the evidence of </w:t>
      </w:r>
      <w:r w:rsidR="001176F4">
        <w:rPr>
          <w:rFonts w:ascii="Arial" w:hAnsi="Arial" w:cs="Arial"/>
        </w:rPr>
        <w:t xml:space="preserve">problems </w:t>
      </w:r>
      <w:r w:rsidR="00E80791">
        <w:rPr>
          <w:rFonts w:ascii="Arial" w:hAnsi="Arial" w:cs="Arial"/>
        </w:rPr>
        <w:t>with</w:t>
      </w:r>
      <w:r w:rsidR="001176F4">
        <w:rPr>
          <w:rFonts w:ascii="Arial" w:hAnsi="Arial" w:cs="Arial"/>
        </w:rPr>
        <w:t xml:space="preserve"> managerial succession is mixed,</w:t>
      </w:r>
      <w:r w:rsidR="001176F4">
        <w:rPr>
          <w:rStyle w:val="FootnoteReference"/>
          <w:rFonts w:ascii="Arial" w:hAnsi="Arial" w:cs="Arial"/>
        </w:rPr>
        <w:footnoteReference w:id="7"/>
      </w:r>
      <w:r w:rsidR="001176F4">
        <w:rPr>
          <w:rFonts w:ascii="Arial" w:hAnsi="Arial" w:cs="Arial"/>
        </w:rPr>
        <w:t xml:space="preserve"> they could still have been problematic. </w:t>
      </w:r>
      <w:r w:rsidR="00B54B83">
        <w:rPr>
          <w:rFonts w:ascii="Arial" w:hAnsi="Arial" w:cs="Arial"/>
        </w:rPr>
        <w:t xml:space="preserve">The </w:t>
      </w:r>
      <w:r w:rsidR="00F43C7E">
        <w:rPr>
          <w:rFonts w:ascii="Arial" w:hAnsi="Arial" w:cs="Arial"/>
        </w:rPr>
        <w:t>CFO</w:t>
      </w:r>
      <w:r w:rsidR="00B54B83">
        <w:rPr>
          <w:rFonts w:ascii="Arial" w:hAnsi="Arial" w:cs="Arial"/>
        </w:rPr>
        <w:t xml:space="preserve"> is replaced</w:t>
      </w:r>
      <w:r w:rsidR="007C47F7">
        <w:rPr>
          <w:rStyle w:val="FootnoteReference"/>
          <w:rFonts w:ascii="Arial" w:hAnsi="Arial" w:cs="Arial"/>
        </w:rPr>
        <w:footnoteReference w:id="8"/>
      </w:r>
      <w:r w:rsidR="00B54B83">
        <w:rPr>
          <w:rFonts w:ascii="Arial" w:hAnsi="Arial" w:cs="Arial"/>
        </w:rPr>
        <w:t xml:space="preserve">, then </w:t>
      </w:r>
      <w:r w:rsidR="00DD1AB6">
        <w:rPr>
          <w:rFonts w:ascii="Arial" w:hAnsi="Arial" w:cs="Arial"/>
        </w:rPr>
        <w:t>four months later the</w:t>
      </w:r>
      <w:r w:rsidR="00F43C7E">
        <w:rPr>
          <w:rFonts w:ascii="Arial" w:hAnsi="Arial" w:cs="Arial"/>
        </w:rPr>
        <w:t xml:space="preserve"> CEO </w:t>
      </w:r>
      <w:r w:rsidR="00DD1AB6">
        <w:rPr>
          <w:rFonts w:ascii="Arial" w:hAnsi="Arial" w:cs="Arial"/>
        </w:rPr>
        <w:t>is replaced</w:t>
      </w:r>
      <w:r w:rsidR="004A4175">
        <w:rPr>
          <w:rFonts w:ascii="Arial" w:hAnsi="Arial" w:cs="Arial"/>
        </w:rPr>
        <w:t xml:space="preserve"> </w:t>
      </w:r>
      <w:r w:rsidR="00F43C7E">
        <w:rPr>
          <w:rFonts w:ascii="Arial" w:hAnsi="Arial" w:cs="Arial"/>
        </w:rPr>
        <w:t xml:space="preserve">and </w:t>
      </w:r>
      <w:r w:rsidR="007471DD">
        <w:rPr>
          <w:rFonts w:ascii="Arial" w:hAnsi="Arial" w:cs="Arial"/>
        </w:rPr>
        <w:t xml:space="preserve">a few months after that a </w:t>
      </w:r>
      <w:r w:rsidR="00F43C7E">
        <w:rPr>
          <w:rFonts w:ascii="Arial" w:hAnsi="Arial" w:cs="Arial"/>
        </w:rPr>
        <w:t>CRO</w:t>
      </w:r>
      <w:r w:rsidR="007471DD">
        <w:rPr>
          <w:rFonts w:ascii="Arial" w:hAnsi="Arial" w:cs="Arial"/>
        </w:rPr>
        <w:t xml:space="preserve"> </w:t>
      </w:r>
      <w:r w:rsidR="009920D3">
        <w:rPr>
          <w:rFonts w:ascii="Arial" w:hAnsi="Arial" w:cs="Arial"/>
        </w:rPr>
        <w:t>is appointed. Those are very big management changes in the span of 6 months</w:t>
      </w:r>
      <w:r w:rsidR="004364F7">
        <w:rPr>
          <w:rFonts w:ascii="Arial" w:hAnsi="Arial" w:cs="Arial"/>
        </w:rPr>
        <w:t xml:space="preserve"> while the company is in distress. </w:t>
      </w:r>
      <w:r w:rsidR="00D7612A">
        <w:rPr>
          <w:rFonts w:ascii="Arial" w:hAnsi="Arial" w:cs="Arial"/>
        </w:rPr>
        <w:t>If succession occurs during a crisis (as is the case with Flow) then it more likely will have negative effect.</w:t>
      </w:r>
      <w:r w:rsidR="005620A7">
        <w:rPr>
          <w:rStyle w:val="FootnoteReference"/>
          <w:rFonts w:ascii="Arial" w:hAnsi="Arial" w:cs="Arial"/>
        </w:rPr>
        <w:footnoteReference w:id="9"/>
      </w:r>
      <w:r w:rsidR="00D7612A">
        <w:rPr>
          <w:rFonts w:ascii="Arial" w:hAnsi="Arial" w:cs="Arial"/>
        </w:rPr>
        <w:t xml:space="preserve"> </w:t>
      </w:r>
      <w:r w:rsidR="0054159E">
        <w:rPr>
          <w:rFonts w:ascii="Arial" w:hAnsi="Arial" w:cs="Arial"/>
        </w:rPr>
        <w:t xml:space="preserve">The case study does not mention that proper succession planning was done. </w:t>
      </w:r>
      <w:r w:rsidR="00D7612A">
        <w:rPr>
          <w:rFonts w:ascii="Arial" w:hAnsi="Arial" w:cs="Arial"/>
        </w:rPr>
        <w:t xml:space="preserve">However, </w:t>
      </w:r>
      <w:r w:rsidR="00B84B70">
        <w:rPr>
          <w:rFonts w:ascii="Arial" w:hAnsi="Arial" w:cs="Arial"/>
        </w:rPr>
        <w:t>a large body of research also posits that succession can have a positive effect on performance.</w:t>
      </w:r>
      <w:r w:rsidR="00BC7EFF">
        <w:rPr>
          <w:rFonts w:ascii="Arial" w:hAnsi="Arial" w:cs="Arial"/>
        </w:rPr>
        <w:t xml:space="preserve"> </w:t>
      </w:r>
    </w:p>
    <w:p w14:paraId="2A3A533E" w14:textId="67557D0A" w:rsidR="007741A2" w:rsidRPr="007741A2" w:rsidRDefault="007741A2" w:rsidP="007741A2">
      <w:pPr>
        <w:pStyle w:val="ListParagraph"/>
        <w:numPr>
          <w:ilvl w:val="0"/>
          <w:numId w:val="17"/>
        </w:numPr>
        <w:rPr>
          <w:rFonts w:ascii="Arial" w:hAnsi="Arial" w:cs="Arial"/>
        </w:rPr>
      </w:pPr>
      <w:r>
        <w:rPr>
          <w:rFonts w:ascii="Arial" w:hAnsi="Arial" w:cs="Arial"/>
        </w:rPr>
        <w:t>Curse of Success</w:t>
      </w:r>
    </w:p>
    <w:p w14:paraId="34DFDE33" w14:textId="138EA80E" w:rsidR="007853B1" w:rsidRDefault="007853B1" w:rsidP="00455043">
      <w:pPr>
        <w:rPr>
          <w:rFonts w:ascii="Arial" w:hAnsi="Arial" w:cs="Arial"/>
        </w:rPr>
      </w:pPr>
      <w:r>
        <w:rPr>
          <w:rFonts w:ascii="Arial" w:hAnsi="Arial" w:cs="Arial"/>
        </w:rPr>
        <w:t>Since it seems as though the firm was successful previously (</w:t>
      </w:r>
      <w:r w:rsidR="0046638C">
        <w:rPr>
          <w:rFonts w:ascii="Arial" w:hAnsi="Arial" w:cs="Arial"/>
        </w:rPr>
        <w:t xml:space="preserve">employs 3,000 people and was profitable) the curse of success could also have been an issue. </w:t>
      </w:r>
      <w:r w:rsidR="00AC1856">
        <w:rPr>
          <w:rFonts w:ascii="Arial" w:hAnsi="Arial" w:cs="Arial"/>
        </w:rPr>
        <w:t xml:space="preserve">This can lead to </w:t>
      </w:r>
      <w:r w:rsidR="0071541E">
        <w:rPr>
          <w:rFonts w:ascii="Arial" w:hAnsi="Arial" w:cs="Arial"/>
        </w:rPr>
        <w:t>“cautious conservatism and perhaps arrogant disdain.”</w:t>
      </w:r>
      <w:r w:rsidR="0071541E">
        <w:rPr>
          <w:rStyle w:val="FootnoteReference"/>
          <w:rFonts w:ascii="Arial" w:hAnsi="Arial" w:cs="Arial"/>
        </w:rPr>
        <w:footnoteReference w:id="10"/>
      </w:r>
      <w:r w:rsidR="0071541E">
        <w:rPr>
          <w:rFonts w:ascii="Arial" w:hAnsi="Arial" w:cs="Arial"/>
        </w:rPr>
        <w:t xml:space="preserve"> </w:t>
      </w:r>
      <w:r w:rsidR="006309C2">
        <w:rPr>
          <w:rFonts w:ascii="Arial" w:hAnsi="Arial" w:cs="Arial"/>
        </w:rPr>
        <w:t xml:space="preserve">Management could have not seen that </w:t>
      </w:r>
      <w:r w:rsidR="0058173D">
        <w:rPr>
          <w:rFonts w:ascii="Arial" w:hAnsi="Arial" w:cs="Arial"/>
        </w:rPr>
        <w:t xml:space="preserve">their routines and habits would need </w:t>
      </w:r>
      <w:r w:rsidR="006C1B74">
        <w:rPr>
          <w:rFonts w:ascii="Arial" w:hAnsi="Arial" w:cs="Arial"/>
        </w:rPr>
        <w:t>change to a larger degree.</w:t>
      </w:r>
    </w:p>
    <w:p w14:paraId="1FF8F32C" w14:textId="77777777" w:rsidR="00DD2A31" w:rsidRDefault="00DD2A31" w:rsidP="00455043">
      <w:pPr>
        <w:rPr>
          <w:rFonts w:ascii="Arial" w:hAnsi="Arial" w:cs="Arial"/>
        </w:rPr>
      </w:pPr>
    </w:p>
    <w:p w14:paraId="15661170" w14:textId="120BF034" w:rsidR="007741A2" w:rsidRPr="007741A2" w:rsidRDefault="007741A2" w:rsidP="007741A2">
      <w:pPr>
        <w:pStyle w:val="ListParagraph"/>
        <w:numPr>
          <w:ilvl w:val="0"/>
          <w:numId w:val="17"/>
        </w:numPr>
        <w:rPr>
          <w:rFonts w:ascii="Arial" w:hAnsi="Arial" w:cs="Arial"/>
        </w:rPr>
      </w:pPr>
      <w:r>
        <w:rPr>
          <w:rFonts w:ascii="Arial" w:hAnsi="Arial" w:cs="Arial"/>
        </w:rPr>
        <w:t>Threat Rigidity Effect Theory</w:t>
      </w:r>
    </w:p>
    <w:p w14:paraId="59B87BEC" w14:textId="46BAEBF1" w:rsidR="00BE2362" w:rsidRDefault="003F7861" w:rsidP="00612AFB">
      <w:pPr>
        <w:rPr>
          <w:rFonts w:ascii="Arial" w:hAnsi="Arial" w:cs="Arial"/>
        </w:rPr>
      </w:pPr>
      <w:r>
        <w:rPr>
          <w:rFonts w:ascii="Arial" w:hAnsi="Arial" w:cs="Arial"/>
        </w:rPr>
        <w:t xml:space="preserve">Finally, using the </w:t>
      </w:r>
      <w:r w:rsidRPr="00807EF3">
        <w:t>Mellahi &amp; Wilkinson</w:t>
      </w:r>
      <w:r>
        <w:rPr>
          <w:rFonts w:ascii="Arial" w:hAnsi="Arial" w:cs="Arial"/>
        </w:rPr>
        <w:t xml:space="preserve"> framework, </w:t>
      </w:r>
      <w:r w:rsidR="00BE2362">
        <w:rPr>
          <w:rFonts w:ascii="Arial" w:hAnsi="Arial" w:cs="Arial"/>
        </w:rPr>
        <w:t xml:space="preserve">it would be useful to examine the </w:t>
      </w:r>
      <w:r w:rsidR="00612AFB">
        <w:rPr>
          <w:rFonts w:ascii="Arial" w:hAnsi="Arial" w:cs="Arial"/>
        </w:rPr>
        <w:t xml:space="preserve">psychological factors </w:t>
      </w:r>
      <w:r w:rsidR="009D6F07">
        <w:rPr>
          <w:rFonts w:ascii="Arial" w:hAnsi="Arial" w:cs="Arial"/>
        </w:rPr>
        <w:t xml:space="preserve">which </w:t>
      </w:r>
      <w:r w:rsidR="00325E0B">
        <w:rPr>
          <w:rFonts w:ascii="Arial" w:hAnsi="Arial" w:cs="Arial"/>
        </w:rPr>
        <w:t xml:space="preserve">could have played a role in </w:t>
      </w:r>
      <w:r w:rsidR="00BE2362">
        <w:rPr>
          <w:rFonts w:ascii="Arial" w:hAnsi="Arial" w:cs="Arial"/>
        </w:rPr>
        <w:t>Flow’s</w:t>
      </w:r>
      <w:r w:rsidR="00325E0B">
        <w:rPr>
          <w:rFonts w:ascii="Arial" w:hAnsi="Arial" w:cs="Arial"/>
        </w:rPr>
        <w:t xml:space="preserve"> </w:t>
      </w:r>
      <w:r w:rsidR="00904A12">
        <w:rPr>
          <w:rFonts w:ascii="Arial" w:hAnsi="Arial" w:cs="Arial"/>
        </w:rPr>
        <w:t>problems.</w:t>
      </w:r>
      <w:r w:rsidR="00921BE9">
        <w:rPr>
          <w:rFonts w:ascii="Arial" w:hAnsi="Arial" w:cs="Arial"/>
        </w:rPr>
        <w:t xml:space="preserve"> </w:t>
      </w:r>
      <w:r w:rsidR="004A4592">
        <w:rPr>
          <w:rFonts w:ascii="Arial" w:hAnsi="Arial" w:cs="Arial"/>
        </w:rPr>
        <w:t>Issues liked to “hidden, repressed motivations, feelings and dynamics” could have played a role.</w:t>
      </w:r>
      <w:r w:rsidR="004A4592">
        <w:rPr>
          <w:rStyle w:val="FootnoteReference"/>
          <w:rFonts w:ascii="Arial" w:hAnsi="Arial" w:cs="Arial"/>
        </w:rPr>
        <w:footnoteReference w:id="11"/>
      </w:r>
      <w:r w:rsidR="004A4592">
        <w:rPr>
          <w:rFonts w:ascii="Arial" w:hAnsi="Arial" w:cs="Arial"/>
        </w:rPr>
        <w:t xml:space="preserve"> </w:t>
      </w:r>
      <w:r w:rsidR="003B1F4C">
        <w:rPr>
          <w:rFonts w:ascii="Arial" w:hAnsi="Arial" w:cs="Arial"/>
        </w:rPr>
        <w:t xml:space="preserve">While there is little information </w:t>
      </w:r>
      <w:r w:rsidR="008E0726">
        <w:rPr>
          <w:rFonts w:ascii="Arial" w:hAnsi="Arial" w:cs="Arial"/>
        </w:rPr>
        <w:t>in the case about management, it’s possible that denial</w:t>
      </w:r>
      <w:r w:rsidR="00DA4433">
        <w:rPr>
          <w:rStyle w:val="FootnoteReference"/>
          <w:rFonts w:ascii="Arial" w:hAnsi="Arial" w:cs="Arial"/>
        </w:rPr>
        <w:footnoteReference w:id="12"/>
      </w:r>
      <w:r w:rsidR="008E0726">
        <w:rPr>
          <w:rFonts w:ascii="Arial" w:hAnsi="Arial" w:cs="Arial"/>
        </w:rPr>
        <w:t xml:space="preserve"> was a factor</w:t>
      </w:r>
      <w:r w:rsidR="00000653">
        <w:rPr>
          <w:rFonts w:ascii="Arial" w:hAnsi="Arial" w:cs="Arial"/>
        </w:rPr>
        <w:t xml:space="preserve"> as large bonuses were given to the CEO and CFO when the company was likely in fact in a </w:t>
      </w:r>
      <w:r w:rsidR="008440C0">
        <w:rPr>
          <w:rFonts w:ascii="Arial" w:hAnsi="Arial" w:cs="Arial"/>
        </w:rPr>
        <w:t xml:space="preserve">crisis position. They could also be denying that there are deeper structural issues with the business given the </w:t>
      </w:r>
      <w:r w:rsidR="00B14AE4">
        <w:rPr>
          <w:rFonts w:ascii="Arial" w:hAnsi="Arial" w:cs="Arial"/>
        </w:rPr>
        <w:t>limited</w:t>
      </w:r>
      <w:r w:rsidR="004762F1">
        <w:rPr>
          <w:rFonts w:ascii="Arial" w:hAnsi="Arial" w:cs="Arial"/>
        </w:rPr>
        <w:t xml:space="preserve"> remedies proposed which were focused on</w:t>
      </w:r>
      <w:r w:rsidR="00B14AE4">
        <w:rPr>
          <w:rFonts w:ascii="Arial" w:hAnsi="Arial" w:cs="Arial"/>
        </w:rPr>
        <w:t xml:space="preserve"> cost-cutting.</w:t>
      </w:r>
    </w:p>
    <w:p w14:paraId="570E52E5" w14:textId="110499D0" w:rsidR="00612AFB" w:rsidRDefault="002E3771" w:rsidP="00612AFB">
      <w:pPr>
        <w:rPr>
          <w:rFonts w:ascii="Arial" w:hAnsi="Arial" w:cs="Arial"/>
        </w:rPr>
      </w:pPr>
      <w:r>
        <w:rPr>
          <w:rFonts w:ascii="Arial" w:hAnsi="Arial" w:cs="Arial"/>
        </w:rPr>
        <w:t xml:space="preserve">Beyond management, </w:t>
      </w:r>
      <w:r w:rsidR="00180880">
        <w:rPr>
          <w:rFonts w:ascii="Arial" w:hAnsi="Arial" w:cs="Arial"/>
        </w:rPr>
        <w:t xml:space="preserve">the banks </w:t>
      </w:r>
      <w:r w:rsidR="00407F4C">
        <w:rPr>
          <w:rFonts w:ascii="Arial" w:hAnsi="Arial" w:cs="Arial"/>
        </w:rPr>
        <w:t>and shareholder could have faced the issues described above – neglecting to properly monitor the company and management.</w:t>
      </w:r>
      <w:r w:rsidR="00CF3E75">
        <w:rPr>
          <w:rFonts w:ascii="Arial" w:hAnsi="Arial" w:cs="Arial"/>
        </w:rPr>
        <w:t xml:space="preserve"> In addition, t</w:t>
      </w:r>
      <w:r w:rsidR="003D1972">
        <w:rPr>
          <w:rFonts w:ascii="Arial" w:hAnsi="Arial" w:cs="Arial"/>
        </w:rPr>
        <w:t xml:space="preserve">he structure of Flow </w:t>
      </w:r>
      <w:r w:rsidR="00CF3E75">
        <w:rPr>
          <w:rFonts w:ascii="Arial" w:hAnsi="Arial" w:cs="Arial"/>
        </w:rPr>
        <w:t xml:space="preserve">may have contributed. </w:t>
      </w:r>
      <w:r w:rsidR="00D92636">
        <w:rPr>
          <w:rFonts w:ascii="Arial" w:hAnsi="Arial" w:cs="Arial"/>
        </w:rPr>
        <w:t>Although not specifically stated in the case, w</w:t>
      </w:r>
      <w:r w:rsidR="006C0CCC">
        <w:rPr>
          <w:rFonts w:ascii="Arial" w:hAnsi="Arial" w:cs="Arial"/>
        </w:rPr>
        <w:t>ith subsidiaries in six countries, it may be hard to keep track of their operations</w:t>
      </w:r>
      <w:r w:rsidR="00D92636">
        <w:rPr>
          <w:rFonts w:ascii="Arial" w:hAnsi="Arial" w:cs="Arial"/>
        </w:rPr>
        <w:t>.</w:t>
      </w:r>
      <w:r w:rsidR="007B629E">
        <w:rPr>
          <w:rFonts w:ascii="Arial" w:hAnsi="Arial" w:cs="Arial"/>
        </w:rPr>
        <w:t xml:space="preserve"> </w:t>
      </w:r>
      <w:r w:rsidR="00CF3E75">
        <w:rPr>
          <w:rFonts w:ascii="Arial" w:hAnsi="Arial" w:cs="Arial"/>
        </w:rPr>
        <w:t>Subsidiaries seem to be part of the problem, i</w:t>
      </w:r>
      <w:r w:rsidR="007B629E">
        <w:rPr>
          <w:rFonts w:ascii="Arial" w:hAnsi="Arial" w:cs="Arial"/>
        </w:rPr>
        <w:t xml:space="preserve">n December 2013, the foreign subsidiaries </w:t>
      </w:r>
      <w:r w:rsidR="004A12DB">
        <w:rPr>
          <w:rFonts w:ascii="Arial" w:hAnsi="Arial" w:cs="Arial"/>
        </w:rPr>
        <w:t xml:space="preserve">were reposed to have made a loss of </w:t>
      </w:r>
      <w:r w:rsidR="005C5D45">
        <w:rPr>
          <w:rFonts w:ascii="Arial" w:hAnsi="Arial" w:cs="Arial"/>
        </w:rPr>
        <w:t xml:space="preserve">EUR </w:t>
      </w:r>
      <w:r w:rsidR="004A12DB">
        <w:rPr>
          <w:rFonts w:ascii="Arial" w:hAnsi="Arial" w:cs="Arial"/>
        </w:rPr>
        <w:t>6.3 million.</w:t>
      </w:r>
      <w:r w:rsidR="00164E22">
        <w:rPr>
          <w:rFonts w:ascii="Arial" w:hAnsi="Arial" w:cs="Arial"/>
        </w:rPr>
        <w:t xml:space="preserve"> </w:t>
      </w:r>
      <w:r w:rsidR="00CF3E75">
        <w:rPr>
          <w:rFonts w:ascii="Arial" w:hAnsi="Arial" w:cs="Arial"/>
        </w:rPr>
        <w:t>Management’s communication with subsidiaries could have been a problem.</w:t>
      </w:r>
    </w:p>
    <w:p w14:paraId="688B10E6" w14:textId="3ABFCC4B" w:rsidR="00FE0537" w:rsidRPr="00FE0537" w:rsidRDefault="00FE0537" w:rsidP="008725B5">
      <w:pPr>
        <w:rPr>
          <w:rFonts w:ascii="Arial" w:hAnsi="Arial" w:cs="Arial"/>
          <w:u w:val="single"/>
        </w:rPr>
      </w:pPr>
      <w:r>
        <w:rPr>
          <w:rFonts w:ascii="Arial" w:hAnsi="Arial" w:cs="Arial"/>
          <w:u w:val="single"/>
        </w:rPr>
        <w:t>Could Distress</w:t>
      </w:r>
      <w:r w:rsidR="00B014BB">
        <w:rPr>
          <w:rFonts w:ascii="Arial" w:hAnsi="Arial" w:cs="Arial"/>
          <w:u w:val="single"/>
        </w:rPr>
        <w:t xml:space="preserve"> Have Been Prevented?</w:t>
      </w:r>
    </w:p>
    <w:p w14:paraId="59D23E74" w14:textId="3FF79643" w:rsidR="001922F9" w:rsidRDefault="00FD4930" w:rsidP="008725B5">
      <w:pPr>
        <w:rPr>
          <w:rFonts w:ascii="Arial" w:hAnsi="Arial" w:cs="Arial"/>
        </w:rPr>
      </w:pPr>
      <w:r>
        <w:rPr>
          <w:rFonts w:ascii="Arial" w:hAnsi="Arial" w:cs="Arial"/>
        </w:rPr>
        <w:t xml:space="preserve">From </w:t>
      </w:r>
      <w:r w:rsidR="00946A10">
        <w:rPr>
          <w:rFonts w:ascii="Arial" w:hAnsi="Arial" w:cs="Arial"/>
        </w:rPr>
        <w:t>the information provided</w:t>
      </w:r>
      <w:r>
        <w:rPr>
          <w:rFonts w:ascii="Arial" w:hAnsi="Arial" w:cs="Arial"/>
        </w:rPr>
        <w:t xml:space="preserve">, </w:t>
      </w:r>
      <w:r w:rsidR="00152294">
        <w:rPr>
          <w:rFonts w:ascii="Arial" w:hAnsi="Arial" w:cs="Arial"/>
        </w:rPr>
        <w:t xml:space="preserve">it is hard to say whether </w:t>
      </w:r>
      <w:r w:rsidR="00275A24">
        <w:rPr>
          <w:rFonts w:ascii="Arial" w:hAnsi="Arial" w:cs="Arial"/>
        </w:rPr>
        <w:t>the distress could have been entirely prevented, but it could have been mitigated.</w:t>
      </w:r>
      <w:r>
        <w:rPr>
          <w:rFonts w:ascii="Arial" w:hAnsi="Arial" w:cs="Arial"/>
        </w:rPr>
        <w:t xml:space="preserve"> </w:t>
      </w:r>
      <w:r w:rsidR="000B0E1B">
        <w:rPr>
          <w:rFonts w:ascii="Arial" w:hAnsi="Arial" w:cs="Arial"/>
        </w:rPr>
        <w:t xml:space="preserve">A quantitative analysis is not possible given the </w:t>
      </w:r>
      <w:r w:rsidR="004E4A70">
        <w:rPr>
          <w:rFonts w:ascii="Arial" w:hAnsi="Arial" w:cs="Arial"/>
        </w:rPr>
        <w:t xml:space="preserve">gaps in and </w:t>
      </w:r>
      <w:r w:rsidR="000B0E1B">
        <w:rPr>
          <w:rFonts w:ascii="Arial" w:hAnsi="Arial" w:cs="Arial"/>
        </w:rPr>
        <w:t>lack of clear financial information a</w:t>
      </w:r>
      <w:r w:rsidR="004E4A70">
        <w:rPr>
          <w:rFonts w:ascii="Arial" w:hAnsi="Arial" w:cs="Arial"/>
        </w:rPr>
        <w:t>s well as</w:t>
      </w:r>
      <w:r w:rsidR="000B0E1B">
        <w:rPr>
          <w:rFonts w:ascii="Arial" w:hAnsi="Arial" w:cs="Arial"/>
        </w:rPr>
        <w:t xml:space="preserve"> timeline. </w:t>
      </w:r>
      <w:r w:rsidR="00474CBA">
        <w:rPr>
          <w:rFonts w:ascii="Arial" w:hAnsi="Arial" w:cs="Arial"/>
        </w:rPr>
        <w:t>Therefore, I engage in a qualitative analysis of the facts presented in the case.</w:t>
      </w:r>
    </w:p>
    <w:p w14:paraId="55BA11B6" w14:textId="352637AE" w:rsidR="00275A24" w:rsidRDefault="008A6046" w:rsidP="008725B5">
      <w:pPr>
        <w:rPr>
          <w:rFonts w:ascii="Arial" w:hAnsi="Arial" w:cs="Arial"/>
        </w:rPr>
      </w:pPr>
      <w:r>
        <w:rPr>
          <w:rFonts w:ascii="Arial" w:hAnsi="Arial" w:cs="Arial"/>
        </w:rPr>
        <w:t xml:space="preserve">First, </w:t>
      </w:r>
      <w:r w:rsidR="001C22E6">
        <w:rPr>
          <w:rFonts w:ascii="Arial" w:hAnsi="Arial" w:cs="Arial"/>
        </w:rPr>
        <w:t>clearly management</w:t>
      </w:r>
      <w:r w:rsidR="006E5BE7">
        <w:rPr>
          <w:rFonts w:ascii="Arial" w:hAnsi="Arial" w:cs="Arial"/>
        </w:rPr>
        <w:t>’s</w:t>
      </w:r>
      <w:r w:rsidR="001C22E6">
        <w:rPr>
          <w:rFonts w:ascii="Arial" w:hAnsi="Arial" w:cs="Arial"/>
        </w:rPr>
        <w:t xml:space="preserve"> financial reporting</w:t>
      </w:r>
      <w:r w:rsidR="002137ED">
        <w:rPr>
          <w:rFonts w:ascii="Arial" w:hAnsi="Arial" w:cs="Arial"/>
        </w:rPr>
        <w:t>,</w:t>
      </w:r>
      <w:r w:rsidR="001C22E6">
        <w:rPr>
          <w:rFonts w:ascii="Arial" w:hAnsi="Arial" w:cs="Arial"/>
        </w:rPr>
        <w:t xml:space="preserve"> controls </w:t>
      </w:r>
      <w:r w:rsidR="002137ED">
        <w:rPr>
          <w:rFonts w:ascii="Arial" w:hAnsi="Arial" w:cs="Arial"/>
        </w:rPr>
        <w:t xml:space="preserve">and </w:t>
      </w:r>
      <w:r w:rsidR="009717A9">
        <w:rPr>
          <w:rFonts w:ascii="Arial" w:hAnsi="Arial" w:cs="Arial"/>
        </w:rPr>
        <w:t xml:space="preserve">urgency </w:t>
      </w:r>
      <w:r w:rsidR="001C22E6">
        <w:rPr>
          <w:rFonts w:ascii="Arial" w:hAnsi="Arial" w:cs="Arial"/>
        </w:rPr>
        <w:t xml:space="preserve">were lacking. </w:t>
      </w:r>
      <w:r w:rsidR="00966B2D">
        <w:rPr>
          <w:rFonts w:ascii="Arial" w:hAnsi="Arial" w:cs="Arial"/>
        </w:rPr>
        <w:t>The string of</w:t>
      </w:r>
      <w:r w:rsidR="009F03B7">
        <w:rPr>
          <w:rFonts w:ascii="Arial" w:hAnsi="Arial" w:cs="Arial"/>
        </w:rPr>
        <w:t xml:space="preserve"> initial</w:t>
      </w:r>
      <w:r w:rsidR="00966B2D">
        <w:rPr>
          <w:rFonts w:ascii="Arial" w:hAnsi="Arial" w:cs="Arial"/>
        </w:rPr>
        <w:t xml:space="preserve"> negative corrections </w:t>
      </w:r>
      <w:r w:rsidR="00DF3DD8">
        <w:rPr>
          <w:rFonts w:ascii="Arial" w:hAnsi="Arial" w:cs="Arial"/>
        </w:rPr>
        <w:t xml:space="preserve">and the failure to have correct pricing could </w:t>
      </w:r>
      <w:r w:rsidR="006E5BE7">
        <w:rPr>
          <w:rFonts w:ascii="Arial" w:hAnsi="Arial" w:cs="Arial"/>
        </w:rPr>
        <w:t xml:space="preserve">likely </w:t>
      </w:r>
      <w:r w:rsidR="00DF3DD8">
        <w:rPr>
          <w:rFonts w:ascii="Arial" w:hAnsi="Arial" w:cs="Arial"/>
        </w:rPr>
        <w:t xml:space="preserve">have been prevented. </w:t>
      </w:r>
      <w:r w:rsidR="009F03B7">
        <w:rPr>
          <w:rFonts w:ascii="Arial" w:hAnsi="Arial" w:cs="Arial"/>
        </w:rPr>
        <w:t xml:space="preserve">Further, </w:t>
      </w:r>
      <w:r w:rsidR="00D77885">
        <w:rPr>
          <w:rFonts w:ascii="Arial" w:hAnsi="Arial" w:cs="Arial"/>
        </w:rPr>
        <w:t xml:space="preserve">if the other issues with negative corrections did not occur, </w:t>
      </w:r>
      <w:r w:rsidR="009F03B7">
        <w:rPr>
          <w:rFonts w:ascii="Arial" w:hAnsi="Arial" w:cs="Arial"/>
        </w:rPr>
        <w:t xml:space="preserve">the bonuses </w:t>
      </w:r>
      <w:r w:rsidR="00D77885">
        <w:rPr>
          <w:rFonts w:ascii="Arial" w:hAnsi="Arial" w:cs="Arial"/>
        </w:rPr>
        <w:t>should</w:t>
      </w:r>
      <w:r w:rsidR="009F03B7">
        <w:rPr>
          <w:rFonts w:ascii="Arial" w:hAnsi="Arial" w:cs="Arial"/>
        </w:rPr>
        <w:t xml:space="preserve"> have not been given.</w:t>
      </w:r>
      <w:r w:rsidR="00955215">
        <w:rPr>
          <w:rFonts w:ascii="Arial" w:hAnsi="Arial" w:cs="Arial"/>
        </w:rPr>
        <w:t xml:space="preserve"> As described above, management also comes-up with quite simple and shallow remedies to the initial financial distress. </w:t>
      </w:r>
      <w:r w:rsidR="00D77885">
        <w:rPr>
          <w:rFonts w:ascii="Arial" w:hAnsi="Arial" w:cs="Arial"/>
        </w:rPr>
        <w:t xml:space="preserve">They do not address more strategic and structural issues. </w:t>
      </w:r>
      <w:r w:rsidR="00955215">
        <w:rPr>
          <w:rFonts w:ascii="Arial" w:hAnsi="Arial" w:cs="Arial"/>
        </w:rPr>
        <w:t xml:space="preserve">They believe that </w:t>
      </w:r>
      <w:r w:rsidR="002137ED">
        <w:rPr>
          <w:rFonts w:ascii="Arial" w:hAnsi="Arial" w:cs="Arial"/>
        </w:rPr>
        <w:t xml:space="preserve">with those measures taken Flow will be profitable again in January 2014. </w:t>
      </w:r>
    </w:p>
    <w:p w14:paraId="153DCA63" w14:textId="592C26E0" w:rsidR="002137ED" w:rsidRDefault="00B5570F" w:rsidP="008725B5">
      <w:pPr>
        <w:rPr>
          <w:rFonts w:ascii="Arial" w:hAnsi="Arial" w:cs="Arial"/>
        </w:rPr>
      </w:pPr>
      <w:r>
        <w:rPr>
          <w:rFonts w:ascii="Arial" w:hAnsi="Arial" w:cs="Arial"/>
        </w:rPr>
        <w:t xml:space="preserve">The further distress could </w:t>
      </w:r>
      <w:r w:rsidR="00BD38F1">
        <w:rPr>
          <w:rFonts w:ascii="Arial" w:hAnsi="Arial" w:cs="Arial"/>
        </w:rPr>
        <w:t xml:space="preserve">also </w:t>
      </w:r>
      <w:r>
        <w:rPr>
          <w:rFonts w:ascii="Arial" w:hAnsi="Arial" w:cs="Arial"/>
        </w:rPr>
        <w:t xml:space="preserve">have been partially prevented if the banks </w:t>
      </w:r>
      <w:r w:rsidR="004E0661">
        <w:rPr>
          <w:rFonts w:ascii="Arial" w:hAnsi="Arial" w:cs="Arial"/>
        </w:rPr>
        <w:t xml:space="preserve">had acted faster and in a more cooperative manner. </w:t>
      </w:r>
      <w:r w:rsidR="00C7293B">
        <w:rPr>
          <w:rFonts w:ascii="Arial" w:hAnsi="Arial" w:cs="Arial"/>
        </w:rPr>
        <w:t>It took the banks almost a year to sign a standstill agreement</w:t>
      </w:r>
      <w:r w:rsidR="005F2A0F">
        <w:rPr>
          <w:rFonts w:ascii="Arial" w:hAnsi="Arial" w:cs="Arial"/>
        </w:rPr>
        <w:t xml:space="preserve">, which may have helped the restructuring occur faster. </w:t>
      </w:r>
      <w:r w:rsidR="001A1216">
        <w:rPr>
          <w:rFonts w:ascii="Arial" w:hAnsi="Arial" w:cs="Arial"/>
        </w:rPr>
        <w:t xml:space="preserve">Management and the shareholders were not willing to commit themselves until the agreement is signed. In June 2014, </w:t>
      </w:r>
      <w:r w:rsidR="00C07831">
        <w:rPr>
          <w:rFonts w:ascii="Arial" w:hAnsi="Arial" w:cs="Arial"/>
        </w:rPr>
        <w:t>an even larger loss is expected – the reason given is the delay in the restructurin</w:t>
      </w:r>
      <w:r w:rsidR="003519DF">
        <w:rPr>
          <w:rFonts w:ascii="Arial" w:hAnsi="Arial" w:cs="Arial"/>
        </w:rPr>
        <w:t xml:space="preserve">g. </w:t>
      </w:r>
    </w:p>
    <w:p w14:paraId="58EE196E" w14:textId="77777777" w:rsidR="00364531" w:rsidRDefault="00364531" w:rsidP="00364531">
      <w:pPr>
        <w:pStyle w:val="ListParagraph"/>
        <w:rPr>
          <w:rFonts w:ascii="Arial" w:hAnsi="Arial" w:cs="Arial"/>
        </w:rPr>
      </w:pPr>
    </w:p>
    <w:p w14:paraId="62F83494" w14:textId="77777777" w:rsidR="001F1E8F" w:rsidRDefault="001F1E8F" w:rsidP="00364531">
      <w:pPr>
        <w:pStyle w:val="ListParagraph"/>
        <w:rPr>
          <w:rFonts w:ascii="Arial" w:hAnsi="Arial" w:cs="Arial"/>
        </w:rPr>
      </w:pPr>
    </w:p>
    <w:p w14:paraId="6C73C537" w14:textId="77777777" w:rsidR="001F1E8F" w:rsidRDefault="001F1E8F" w:rsidP="00364531">
      <w:pPr>
        <w:pStyle w:val="ListParagraph"/>
        <w:rPr>
          <w:rFonts w:ascii="Arial" w:hAnsi="Arial" w:cs="Arial"/>
        </w:rPr>
      </w:pPr>
    </w:p>
    <w:p w14:paraId="312868E9" w14:textId="77777777" w:rsidR="001F1E8F" w:rsidRDefault="001F1E8F" w:rsidP="00364531">
      <w:pPr>
        <w:pStyle w:val="ListParagraph"/>
        <w:rPr>
          <w:rFonts w:ascii="Arial" w:hAnsi="Arial" w:cs="Arial"/>
        </w:rPr>
      </w:pPr>
    </w:p>
    <w:p w14:paraId="1821A213" w14:textId="77777777" w:rsidR="001F1E8F" w:rsidRDefault="001F1E8F" w:rsidP="00364531">
      <w:pPr>
        <w:pStyle w:val="ListParagraph"/>
        <w:rPr>
          <w:rFonts w:ascii="Arial" w:hAnsi="Arial" w:cs="Arial"/>
        </w:rPr>
      </w:pPr>
    </w:p>
    <w:p w14:paraId="66264AE8" w14:textId="77777777" w:rsidR="001F1E8F" w:rsidRDefault="001F1E8F" w:rsidP="00364531">
      <w:pPr>
        <w:pStyle w:val="ListParagraph"/>
        <w:rPr>
          <w:rFonts w:ascii="Arial" w:hAnsi="Arial" w:cs="Arial"/>
        </w:rPr>
      </w:pPr>
    </w:p>
    <w:p w14:paraId="3BE5B289" w14:textId="77777777" w:rsidR="001F1E8F" w:rsidRDefault="001F1E8F" w:rsidP="00364531">
      <w:pPr>
        <w:pStyle w:val="ListParagraph"/>
        <w:rPr>
          <w:rFonts w:ascii="Arial" w:hAnsi="Arial" w:cs="Arial"/>
        </w:rPr>
      </w:pPr>
    </w:p>
    <w:p w14:paraId="565B9B19" w14:textId="77777777" w:rsidR="001F1E8F" w:rsidRPr="00364531" w:rsidRDefault="001F1E8F" w:rsidP="00364531">
      <w:pPr>
        <w:pStyle w:val="ListParagraph"/>
        <w:rPr>
          <w:rFonts w:ascii="Arial" w:hAnsi="Arial" w:cs="Arial"/>
        </w:rPr>
      </w:pPr>
    </w:p>
    <w:p w14:paraId="471935D6" w14:textId="513633E5" w:rsidR="00011126" w:rsidRPr="00F85702" w:rsidRDefault="00011126" w:rsidP="00011126">
      <w:pPr>
        <w:pStyle w:val="ListParagraph"/>
        <w:numPr>
          <w:ilvl w:val="0"/>
          <w:numId w:val="1"/>
        </w:numPr>
        <w:autoSpaceDE w:val="0"/>
        <w:autoSpaceDN w:val="0"/>
        <w:adjustRightInd w:val="0"/>
        <w:spacing w:after="0" w:line="240" w:lineRule="auto"/>
        <w:rPr>
          <w:rFonts w:ascii="Arial" w:hAnsi="Arial" w:cs="Arial"/>
          <w:b/>
          <w:bCs/>
        </w:rPr>
      </w:pPr>
      <w:r w:rsidRPr="00F85702">
        <w:rPr>
          <w:rFonts w:ascii="Arial" w:hAnsi="Arial" w:cs="Arial"/>
          <w:b/>
          <w:bCs/>
        </w:rPr>
        <w:t xml:space="preserve">What are in general advantages and disadvantages of an out-of-court restructuring (workout) as compared to a formal bankruptcy procedure? More specific, what are the advantages versus disadvantages </w:t>
      </w:r>
      <w:r w:rsidRPr="00F85702">
        <w:rPr>
          <w:rFonts w:ascii="Arial" w:hAnsi="Arial" w:cs="Arial"/>
          <w:b/>
          <w:bCs/>
          <w:i/>
          <w:iCs/>
        </w:rPr>
        <w:t>in your country</w:t>
      </w:r>
      <w:r w:rsidRPr="00F85702">
        <w:rPr>
          <w:rFonts w:ascii="Arial" w:hAnsi="Arial" w:cs="Arial"/>
          <w:b/>
          <w:bCs/>
        </w:rPr>
        <w:t>?</w:t>
      </w:r>
    </w:p>
    <w:p w14:paraId="511DBF30" w14:textId="77777777" w:rsidR="002067E3" w:rsidRDefault="002067E3" w:rsidP="002067E3">
      <w:pPr>
        <w:autoSpaceDE w:val="0"/>
        <w:autoSpaceDN w:val="0"/>
        <w:adjustRightInd w:val="0"/>
        <w:spacing w:after="0" w:line="240" w:lineRule="auto"/>
        <w:rPr>
          <w:rFonts w:ascii="Arial" w:hAnsi="Arial" w:cs="Arial"/>
        </w:rPr>
      </w:pPr>
    </w:p>
    <w:p w14:paraId="5B5E0797" w14:textId="79A6FBAA" w:rsidR="000233CC" w:rsidRPr="000233CC" w:rsidRDefault="000233CC" w:rsidP="002067E3">
      <w:pPr>
        <w:autoSpaceDE w:val="0"/>
        <w:autoSpaceDN w:val="0"/>
        <w:adjustRightInd w:val="0"/>
        <w:spacing w:after="0" w:line="240" w:lineRule="auto"/>
        <w:rPr>
          <w:rFonts w:ascii="Arial" w:hAnsi="Arial" w:cs="Arial"/>
        </w:rPr>
      </w:pPr>
      <w:r>
        <w:rPr>
          <w:rFonts w:ascii="Arial" w:hAnsi="Arial" w:cs="Arial"/>
        </w:rPr>
        <w:t>Below I describe the general advantages and disadvantages of an out-of-court restructuring.</w:t>
      </w:r>
      <w:r w:rsidR="0061647C">
        <w:rPr>
          <w:rFonts w:ascii="Arial" w:hAnsi="Arial" w:cs="Arial"/>
        </w:rPr>
        <w:t xml:space="preserve"> The</w:t>
      </w:r>
      <w:r w:rsidR="00680799">
        <w:rPr>
          <w:rFonts w:ascii="Arial" w:hAnsi="Arial" w:cs="Arial"/>
        </w:rPr>
        <w:t xml:space="preserve">se are drawn from </w:t>
      </w:r>
      <w:r w:rsidR="00680799" w:rsidRPr="00680799">
        <w:rPr>
          <w:rFonts w:ascii="Arial" w:hAnsi="Arial" w:cs="Arial"/>
        </w:rPr>
        <w:t>Adriaanse &amp; Kuijl, 2006</w:t>
      </w:r>
      <w:r w:rsidR="00680799">
        <w:rPr>
          <w:rFonts w:ascii="Arial" w:hAnsi="Arial" w:cs="Arial"/>
        </w:rPr>
        <w:t xml:space="preserve"> (pp. 145-</w:t>
      </w:r>
      <w:r w:rsidR="00833FF7">
        <w:rPr>
          <w:rFonts w:ascii="Arial" w:hAnsi="Arial" w:cs="Arial"/>
        </w:rPr>
        <w:t xml:space="preserve">147) and </w:t>
      </w:r>
      <w:r w:rsidR="007D08D8">
        <w:rPr>
          <w:rFonts w:ascii="Arial" w:hAnsi="Arial" w:cs="Arial"/>
        </w:rPr>
        <w:t>the World Bank Toolkit for</w:t>
      </w:r>
      <w:r w:rsidR="008C10DC">
        <w:rPr>
          <w:rFonts w:ascii="Arial" w:hAnsi="Arial" w:cs="Arial"/>
        </w:rPr>
        <w:t xml:space="preserve"> Corporate</w:t>
      </w:r>
      <w:r w:rsidR="007D08D8">
        <w:rPr>
          <w:rFonts w:ascii="Arial" w:hAnsi="Arial" w:cs="Arial"/>
        </w:rPr>
        <w:t xml:space="preserve"> Workouts</w:t>
      </w:r>
      <w:r w:rsidR="007D08D8">
        <w:rPr>
          <w:rStyle w:val="FootnoteReference"/>
          <w:rFonts w:ascii="Arial" w:hAnsi="Arial" w:cs="Arial"/>
        </w:rPr>
        <w:footnoteReference w:id="13"/>
      </w:r>
      <w:r w:rsidR="007D08D8">
        <w:rPr>
          <w:rFonts w:ascii="Arial" w:hAnsi="Arial" w:cs="Arial"/>
        </w:rPr>
        <w:t>.</w:t>
      </w:r>
    </w:p>
    <w:p w14:paraId="1E221873" w14:textId="77777777" w:rsidR="000233CC" w:rsidRDefault="000233CC" w:rsidP="002067E3">
      <w:pPr>
        <w:autoSpaceDE w:val="0"/>
        <w:autoSpaceDN w:val="0"/>
        <w:adjustRightInd w:val="0"/>
        <w:spacing w:after="0" w:line="240" w:lineRule="auto"/>
        <w:rPr>
          <w:rFonts w:ascii="Arial" w:hAnsi="Arial" w:cs="Arial"/>
          <w:u w:val="single"/>
        </w:rPr>
      </w:pPr>
    </w:p>
    <w:p w14:paraId="615A24C4" w14:textId="60CAB3BB" w:rsidR="002067E3" w:rsidRDefault="002067E3" w:rsidP="002067E3">
      <w:pPr>
        <w:autoSpaceDE w:val="0"/>
        <w:autoSpaceDN w:val="0"/>
        <w:adjustRightInd w:val="0"/>
        <w:spacing w:after="0" w:line="240" w:lineRule="auto"/>
        <w:rPr>
          <w:rFonts w:ascii="Arial" w:hAnsi="Arial" w:cs="Arial"/>
          <w:u w:val="single"/>
        </w:rPr>
      </w:pPr>
      <w:r>
        <w:rPr>
          <w:rFonts w:ascii="Arial" w:hAnsi="Arial" w:cs="Arial"/>
          <w:u w:val="single"/>
        </w:rPr>
        <w:t>Advantages of Out-of-Court Restructuring</w:t>
      </w:r>
    </w:p>
    <w:p w14:paraId="65BB5865" w14:textId="77777777" w:rsidR="002067E3" w:rsidRDefault="002067E3" w:rsidP="002067E3">
      <w:pPr>
        <w:autoSpaceDE w:val="0"/>
        <w:autoSpaceDN w:val="0"/>
        <w:adjustRightInd w:val="0"/>
        <w:spacing w:after="0" w:line="240" w:lineRule="auto"/>
        <w:rPr>
          <w:rFonts w:ascii="Arial" w:hAnsi="Arial" w:cs="Arial"/>
          <w:u w:val="single"/>
        </w:rPr>
      </w:pPr>
    </w:p>
    <w:p w14:paraId="3293ED09" w14:textId="2A1689E6" w:rsidR="007322D2" w:rsidRPr="00917B68" w:rsidRDefault="0093485A" w:rsidP="00917B68">
      <w:pPr>
        <w:pStyle w:val="ListParagraph"/>
        <w:numPr>
          <w:ilvl w:val="0"/>
          <w:numId w:val="10"/>
        </w:numPr>
        <w:autoSpaceDE w:val="0"/>
        <w:autoSpaceDN w:val="0"/>
        <w:adjustRightInd w:val="0"/>
        <w:spacing w:after="0" w:line="240" w:lineRule="auto"/>
        <w:ind w:left="360"/>
        <w:rPr>
          <w:rFonts w:ascii="Arial" w:hAnsi="Arial" w:cs="Arial"/>
        </w:rPr>
      </w:pPr>
      <w:r w:rsidRPr="00917B68">
        <w:rPr>
          <w:rFonts w:ascii="Arial" w:hAnsi="Arial" w:cs="Arial"/>
          <w:b/>
          <w:bCs/>
        </w:rPr>
        <w:t>Faster</w:t>
      </w:r>
      <w:r w:rsidR="00714C20">
        <w:rPr>
          <w:rFonts w:ascii="Arial" w:hAnsi="Arial" w:cs="Arial"/>
          <w:b/>
          <w:bCs/>
        </w:rPr>
        <w:t>:</w:t>
      </w:r>
      <w:r w:rsidR="00917B68" w:rsidRPr="00917B68">
        <w:rPr>
          <w:rFonts w:ascii="Arial" w:hAnsi="Arial" w:cs="Arial"/>
          <w:b/>
          <w:bCs/>
        </w:rPr>
        <w:t xml:space="preserve"> </w:t>
      </w:r>
      <w:r w:rsidR="00714C20" w:rsidRPr="00714C20">
        <w:rPr>
          <w:rFonts w:ascii="Arial" w:hAnsi="Arial" w:cs="Arial"/>
        </w:rPr>
        <w:t>O</w:t>
      </w:r>
      <w:r w:rsidR="00F653AF" w:rsidRPr="00917B68">
        <w:rPr>
          <w:rFonts w:ascii="Arial" w:hAnsi="Arial" w:cs="Arial"/>
        </w:rPr>
        <w:t xml:space="preserve">ut-of-court restructurings </w:t>
      </w:r>
      <w:r w:rsidR="00FB3BCA" w:rsidRPr="00917B68">
        <w:rPr>
          <w:rFonts w:ascii="Arial" w:hAnsi="Arial" w:cs="Arial"/>
        </w:rPr>
        <w:t xml:space="preserve">(OC) </w:t>
      </w:r>
      <w:r w:rsidR="000C7CC9" w:rsidRPr="00917B68">
        <w:rPr>
          <w:rFonts w:ascii="Arial" w:hAnsi="Arial" w:cs="Arial"/>
        </w:rPr>
        <w:t xml:space="preserve">often </w:t>
      </w:r>
      <w:r w:rsidR="00FB3BCA" w:rsidRPr="00917B68">
        <w:rPr>
          <w:rFonts w:ascii="Arial" w:hAnsi="Arial" w:cs="Arial"/>
        </w:rPr>
        <w:t xml:space="preserve">provide for </w:t>
      </w:r>
      <w:r w:rsidR="00542AAA" w:rsidRPr="00917B68">
        <w:rPr>
          <w:rFonts w:ascii="Arial" w:hAnsi="Arial" w:cs="Arial"/>
        </w:rPr>
        <w:t xml:space="preserve">a faster process, where the parties can privately agree on </w:t>
      </w:r>
      <w:r w:rsidR="00B770A2" w:rsidRPr="00917B68">
        <w:rPr>
          <w:rFonts w:ascii="Arial" w:hAnsi="Arial" w:cs="Arial"/>
        </w:rPr>
        <w:t xml:space="preserve">a restructuring without </w:t>
      </w:r>
      <w:r w:rsidR="001F3073" w:rsidRPr="00917B68">
        <w:rPr>
          <w:rFonts w:ascii="Arial" w:hAnsi="Arial" w:cs="Arial"/>
        </w:rPr>
        <w:t>the delay that court</w:t>
      </w:r>
      <w:r w:rsidR="00DE302A">
        <w:rPr>
          <w:rFonts w:ascii="Arial" w:hAnsi="Arial" w:cs="Arial"/>
        </w:rPr>
        <w:t xml:space="preserve"> procedures</w:t>
      </w:r>
      <w:r w:rsidR="001F3073" w:rsidRPr="00917B68">
        <w:rPr>
          <w:rFonts w:ascii="Arial" w:hAnsi="Arial" w:cs="Arial"/>
        </w:rPr>
        <w:t xml:space="preserve"> often introduce – where</w:t>
      </w:r>
      <w:r w:rsidR="00DE302A">
        <w:rPr>
          <w:rFonts w:ascii="Arial" w:hAnsi="Arial" w:cs="Arial"/>
        </w:rPr>
        <w:t xml:space="preserve"> the process turns into a collective one.</w:t>
      </w:r>
      <w:r w:rsidR="001F3073" w:rsidRPr="00917B68">
        <w:rPr>
          <w:rFonts w:ascii="Arial" w:hAnsi="Arial" w:cs="Arial"/>
        </w:rPr>
        <w:t xml:space="preserve"> </w:t>
      </w:r>
      <w:r w:rsidR="00DE302A">
        <w:rPr>
          <w:rFonts w:ascii="Arial" w:hAnsi="Arial" w:cs="Arial"/>
        </w:rPr>
        <w:t>In such a case, a</w:t>
      </w:r>
      <w:r w:rsidR="001F3073" w:rsidRPr="00917B68">
        <w:rPr>
          <w:rFonts w:ascii="Arial" w:hAnsi="Arial" w:cs="Arial"/>
        </w:rPr>
        <w:t xml:space="preserve">ll creditors </w:t>
      </w:r>
      <w:r w:rsidR="00DA7065" w:rsidRPr="00917B68">
        <w:rPr>
          <w:rFonts w:ascii="Arial" w:hAnsi="Arial" w:cs="Arial"/>
        </w:rPr>
        <w:t>participate</w:t>
      </w:r>
      <w:r w:rsidR="00DE302A">
        <w:rPr>
          <w:rFonts w:ascii="Arial" w:hAnsi="Arial" w:cs="Arial"/>
        </w:rPr>
        <w:t>, need to receive notices</w:t>
      </w:r>
      <w:r w:rsidR="00BC0198">
        <w:rPr>
          <w:rFonts w:ascii="Arial" w:hAnsi="Arial" w:cs="Arial"/>
        </w:rPr>
        <w:t xml:space="preserve">, </w:t>
      </w:r>
      <w:r w:rsidR="00265774">
        <w:rPr>
          <w:rFonts w:ascii="Arial" w:hAnsi="Arial" w:cs="Arial"/>
        </w:rPr>
        <w:t xml:space="preserve">organize creditors’ committees, vote, </w:t>
      </w:r>
      <w:r w:rsidR="00BC0198">
        <w:rPr>
          <w:rFonts w:ascii="Arial" w:hAnsi="Arial" w:cs="Arial"/>
        </w:rPr>
        <w:t>and need time to submit claims.</w:t>
      </w:r>
      <w:r w:rsidR="00DA7065" w:rsidRPr="00917B68">
        <w:rPr>
          <w:rFonts w:ascii="Arial" w:hAnsi="Arial" w:cs="Arial"/>
        </w:rPr>
        <w:t xml:space="preserve"> </w:t>
      </w:r>
      <w:r w:rsidR="00BC0198">
        <w:rPr>
          <w:rFonts w:ascii="Arial" w:hAnsi="Arial" w:cs="Arial"/>
        </w:rPr>
        <w:t>Parties</w:t>
      </w:r>
      <w:r w:rsidR="00DA7065" w:rsidRPr="00917B68">
        <w:rPr>
          <w:rFonts w:ascii="Arial" w:hAnsi="Arial" w:cs="Arial"/>
        </w:rPr>
        <w:t xml:space="preserve"> can </w:t>
      </w:r>
      <w:r w:rsidR="00BC0198">
        <w:rPr>
          <w:rFonts w:ascii="Arial" w:hAnsi="Arial" w:cs="Arial"/>
        </w:rPr>
        <w:t xml:space="preserve">also </w:t>
      </w:r>
      <w:r w:rsidR="00DA7065" w:rsidRPr="00917B68">
        <w:rPr>
          <w:rFonts w:ascii="Arial" w:hAnsi="Arial" w:cs="Arial"/>
        </w:rPr>
        <w:t xml:space="preserve">raise objections and have appeals heard, which often can take </w:t>
      </w:r>
      <w:r w:rsidR="00AC5DB0" w:rsidRPr="00917B68">
        <w:rPr>
          <w:rFonts w:ascii="Arial" w:hAnsi="Arial" w:cs="Arial"/>
        </w:rPr>
        <w:t xml:space="preserve">weeks, even months to be finalized. </w:t>
      </w:r>
      <w:r w:rsidR="0025619D">
        <w:rPr>
          <w:rFonts w:ascii="Arial" w:hAnsi="Arial" w:cs="Arial"/>
        </w:rPr>
        <w:t xml:space="preserve">In an OC, the </w:t>
      </w:r>
      <w:r w:rsidR="00DF4BD3">
        <w:rPr>
          <w:rFonts w:ascii="Arial" w:hAnsi="Arial" w:cs="Arial"/>
        </w:rPr>
        <w:t>speed of restructuring is entirely in the hands of the parties involved.</w:t>
      </w:r>
    </w:p>
    <w:p w14:paraId="76C79AC3" w14:textId="77777777" w:rsidR="001F7F56" w:rsidRDefault="001F7F56" w:rsidP="00917B68">
      <w:pPr>
        <w:autoSpaceDE w:val="0"/>
        <w:autoSpaceDN w:val="0"/>
        <w:adjustRightInd w:val="0"/>
        <w:spacing w:after="0" w:line="240" w:lineRule="auto"/>
        <w:rPr>
          <w:rFonts w:ascii="Arial" w:hAnsi="Arial" w:cs="Arial"/>
        </w:rPr>
      </w:pPr>
    </w:p>
    <w:p w14:paraId="28CC324B" w14:textId="09B597EA" w:rsidR="007A56F6" w:rsidRPr="00917B68" w:rsidRDefault="00917B68" w:rsidP="00917B68">
      <w:pPr>
        <w:pStyle w:val="ListParagraph"/>
        <w:numPr>
          <w:ilvl w:val="0"/>
          <w:numId w:val="10"/>
        </w:numPr>
        <w:autoSpaceDE w:val="0"/>
        <w:autoSpaceDN w:val="0"/>
        <w:adjustRightInd w:val="0"/>
        <w:spacing w:after="0" w:line="240" w:lineRule="auto"/>
        <w:ind w:left="360"/>
        <w:rPr>
          <w:rFonts w:ascii="Arial" w:hAnsi="Arial" w:cs="Arial"/>
        </w:rPr>
      </w:pPr>
      <w:r w:rsidRPr="00917B68">
        <w:rPr>
          <w:rFonts w:ascii="Arial" w:hAnsi="Arial" w:cs="Arial"/>
          <w:b/>
          <w:bCs/>
        </w:rPr>
        <w:t xml:space="preserve">More Flexible: </w:t>
      </w:r>
      <w:r w:rsidR="00EC50D0">
        <w:rPr>
          <w:rFonts w:ascii="Arial" w:hAnsi="Arial" w:cs="Arial"/>
        </w:rPr>
        <w:t xml:space="preserve">The process and remedies are entirely bespoke. </w:t>
      </w:r>
      <w:r w:rsidR="000A093C" w:rsidRPr="00917B68">
        <w:rPr>
          <w:rFonts w:ascii="Arial" w:hAnsi="Arial" w:cs="Arial"/>
        </w:rPr>
        <w:t xml:space="preserve">The parties can determine the </w:t>
      </w:r>
      <w:r w:rsidR="003768EF" w:rsidRPr="00917B68">
        <w:rPr>
          <w:rFonts w:ascii="Arial" w:hAnsi="Arial" w:cs="Arial"/>
        </w:rPr>
        <w:t xml:space="preserve">steps, </w:t>
      </w:r>
      <w:r w:rsidR="000A093C" w:rsidRPr="00917B68">
        <w:rPr>
          <w:rFonts w:ascii="Arial" w:hAnsi="Arial" w:cs="Arial"/>
        </w:rPr>
        <w:t>timing</w:t>
      </w:r>
      <w:r w:rsidR="003E1BE3" w:rsidRPr="00917B68">
        <w:rPr>
          <w:rFonts w:ascii="Arial" w:hAnsi="Arial" w:cs="Arial"/>
        </w:rPr>
        <w:t>,</w:t>
      </w:r>
      <w:r w:rsidR="000400A9" w:rsidRPr="00917B68">
        <w:rPr>
          <w:rFonts w:ascii="Arial" w:hAnsi="Arial" w:cs="Arial"/>
        </w:rPr>
        <w:t xml:space="preserve"> and content of the workout on their own.  Formal procedures often have prescribed </w:t>
      </w:r>
      <w:r w:rsidR="007328D9" w:rsidRPr="00917B68">
        <w:rPr>
          <w:rFonts w:ascii="Arial" w:hAnsi="Arial" w:cs="Arial"/>
        </w:rPr>
        <w:t xml:space="preserve">milestones with deadlines, </w:t>
      </w:r>
      <w:r w:rsidR="00F667F1" w:rsidRPr="00917B68">
        <w:rPr>
          <w:rFonts w:ascii="Arial" w:hAnsi="Arial" w:cs="Arial"/>
        </w:rPr>
        <w:t xml:space="preserve">minimum voting participation of creditors, </w:t>
      </w:r>
      <w:r w:rsidR="00B013F4">
        <w:rPr>
          <w:rFonts w:ascii="Arial" w:hAnsi="Arial" w:cs="Arial"/>
        </w:rPr>
        <w:t xml:space="preserve">and </w:t>
      </w:r>
      <w:r w:rsidR="00F667F1" w:rsidRPr="00917B68">
        <w:rPr>
          <w:rFonts w:ascii="Arial" w:hAnsi="Arial" w:cs="Arial"/>
        </w:rPr>
        <w:t>specific elements that must be addressed in a restructuring plan</w:t>
      </w:r>
      <w:r w:rsidR="00B013F4">
        <w:rPr>
          <w:rFonts w:ascii="Arial" w:hAnsi="Arial" w:cs="Arial"/>
        </w:rPr>
        <w:t>.</w:t>
      </w:r>
    </w:p>
    <w:p w14:paraId="5FC89E20" w14:textId="77777777" w:rsidR="007A56F6" w:rsidRDefault="007A56F6" w:rsidP="00917B68">
      <w:pPr>
        <w:autoSpaceDE w:val="0"/>
        <w:autoSpaceDN w:val="0"/>
        <w:adjustRightInd w:val="0"/>
        <w:spacing w:after="0" w:line="240" w:lineRule="auto"/>
        <w:rPr>
          <w:rFonts w:ascii="Arial" w:hAnsi="Arial" w:cs="Arial"/>
        </w:rPr>
      </w:pPr>
    </w:p>
    <w:p w14:paraId="419CCE4F" w14:textId="3BB093F2" w:rsidR="00043285" w:rsidRPr="00917B68" w:rsidRDefault="00917B68" w:rsidP="00917B68">
      <w:pPr>
        <w:pStyle w:val="ListParagraph"/>
        <w:numPr>
          <w:ilvl w:val="0"/>
          <w:numId w:val="10"/>
        </w:numPr>
        <w:autoSpaceDE w:val="0"/>
        <w:autoSpaceDN w:val="0"/>
        <w:adjustRightInd w:val="0"/>
        <w:spacing w:after="0" w:line="240" w:lineRule="auto"/>
        <w:ind w:left="360"/>
        <w:rPr>
          <w:rFonts w:ascii="Arial" w:hAnsi="Arial" w:cs="Arial"/>
        </w:rPr>
      </w:pPr>
      <w:r w:rsidRPr="00917B68">
        <w:rPr>
          <w:rFonts w:ascii="Arial" w:hAnsi="Arial" w:cs="Arial"/>
          <w:b/>
          <w:bCs/>
        </w:rPr>
        <w:t xml:space="preserve">Confidential: </w:t>
      </w:r>
      <w:r w:rsidR="009F3BEB">
        <w:rPr>
          <w:rFonts w:ascii="Arial" w:hAnsi="Arial" w:cs="Arial"/>
        </w:rPr>
        <w:t>Most</w:t>
      </w:r>
      <w:r w:rsidR="00043285" w:rsidRPr="00917B68">
        <w:rPr>
          <w:rFonts w:ascii="Arial" w:hAnsi="Arial" w:cs="Arial"/>
        </w:rPr>
        <w:t xml:space="preserve"> OCs are confidential</w:t>
      </w:r>
      <w:r w:rsidR="00B537A1" w:rsidRPr="00917B68">
        <w:rPr>
          <w:rFonts w:ascii="Arial" w:hAnsi="Arial" w:cs="Arial"/>
        </w:rPr>
        <w:t xml:space="preserve"> between the parties involved. This means that all creditors do not need to be notified.</w:t>
      </w:r>
      <w:r w:rsidR="002E70E6" w:rsidRPr="00917B68">
        <w:rPr>
          <w:rFonts w:ascii="Arial" w:hAnsi="Arial" w:cs="Arial"/>
        </w:rPr>
        <w:t xml:space="preserve"> The fact that the company is facing financial difficulties stays private and the wider market does not panic, </w:t>
      </w:r>
      <w:r w:rsidR="00400401">
        <w:rPr>
          <w:rFonts w:ascii="Arial" w:hAnsi="Arial" w:cs="Arial"/>
        </w:rPr>
        <w:t xml:space="preserve">potentially </w:t>
      </w:r>
      <w:r w:rsidR="002E70E6" w:rsidRPr="00917B68">
        <w:rPr>
          <w:rFonts w:ascii="Arial" w:hAnsi="Arial" w:cs="Arial"/>
        </w:rPr>
        <w:t xml:space="preserve">exacerbating the </w:t>
      </w:r>
      <w:r w:rsidR="00400401" w:rsidRPr="00917B68">
        <w:rPr>
          <w:rFonts w:ascii="Arial" w:hAnsi="Arial" w:cs="Arial"/>
        </w:rPr>
        <w:t>companies’</w:t>
      </w:r>
      <w:r w:rsidR="002E70E6" w:rsidRPr="00917B68">
        <w:rPr>
          <w:rFonts w:ascii="Arial" w:hAnsi="Arial" w:cs="Arial"/>
        </w:rPr>
        <w:t xml:space="preserve"> difficulties. </w:t>
      </w:r>
      <w:r w:rsidR="00400401">
        <w:rPr>
          <w:rFonts w:ascii="Arial" w:hAnsi="Arial" w:cs="Arial"/>
        </w:rPr>
        <w:t>If the fact that the company is facing difficulties becomes public</w:t>
      </w:r>
      <w:r w:rsidR="001E2BEB">
        <w:rPr>
          <w:rFonts w:ascii="Arial" w:hAnsi="Arial" w:cs="Arial"/>
        </w:rPr>
        <w:t>,</w:t>
      </w:r>
      <w:r w:rsidR="00400401">
        <w:rPr>
          <w:rFonts w:ascii="Arial" w:hAnsi="Arial" w:cs="Arial"/>
        </w:rPr>
        <w:t xml:space="preserve"> then there could be a rush to </w:t>
      </w:r>
      <w:r w:rsidR="00BF0E6A">
        <w:rPr>
          <w:rFonts w:ascii="Arial" w:hAnsi="Arial" w:cs="Arial"/>
        </w:rPr>
        <w:t>execute on collateral and customers may stop placing orders.</w:t>
      </w:r>
      <w:r w:rsidR="001E2BEB">
        <w:rPr>
          <w:rFonts w:ascii="Arial" w:hAnsi="Arial" w:cs="Arial"/>
        </w:rPr>
        <w:t xml:space="preserve"> This could contribute to a downward spiral that could lead to liquidation</w:t>
      </w:r>
      <w:r w:rsidR="005B4EB5">
        <w:rPr>
          <w:rFonts w:ascii="Arial" w:hAnsi="Arial" w:cs="Arial"/>
        </w:rPr>
        <w:t xml:space="preserve"> when the company was viable</w:t>
      </w:r>
      <w:r w:rsidR="001E2BEB">
        <w:rPr>
          <w:rFonts w:ascii="Arial" w:hAnsi="Arial" w:cs="Arial"/>
        </w:rPr>
        <w:t>.</w:t>
      </w:r>
    </w:p>
    <w:p w14:paraId="6545CB80" w14:textId="77777777" w:rsidR="00043285" w:rsidRDefault="00043285" w:rsidP="00917B68">
      <w:pPr>
        <w:autoSpaceDE w:val="0"/>
        <w:autoSpaceDN w:val="0"/>
        <w:adjustRightInd w:val="0"/>
        <w:spacing w:after="0" w:line="240" w:lineRule="auto"/>
        <w:rPr>
          <w:rFonts w:ascii="Arial" w:hAnsi="Arial" w:cs="Arial"/>
        </w:rPr>
      </w:pPr>
    </w:p>
    <w:p w14:paraId="696BEF91" w14:textId="6938D0B5" w:rsidR="0061647C" w:rsidRPr="0061647C" w:rsidRDefault="0061647C" w:rsidP="00917B68">
      <w:pPr>
        <w:pStyle w:val="ListParagraph"/>
        <w:numPr>
          <w:ilvl w:val="0"/>
          <w:numId w:val="10"/>
        </w:numPr>
        <w:autoSpaceDE w:val="0"/>
        <w:autoSpaceDN w:val="0"/>
        <w:adjustRightInd w:val="0"/>
        <w:spacing w:after="0" w:line="240" w:lineRule="auto"/>
        <w:ind w:left="360"/>
        <w:rPr>
          <w:rFonts w:ascii="Arial" w:hAnsi="Arial" w:cs="Arial"/>
          <w:b/>
          <w:bCs/>
        </w:rPr>
      </w:pPr>
      <w:r w:rsidRPr="0061647C">
        <w:rPr>
          <w:rFonts w:ascii="Arial" w:hAnsi="Arial" w:cs="Arial"/>
          <w:b/>
          <w:bCs/>
        </w:rPr>
        <w:t>Control:</w:t>
      </w:r>
      <w:r w:rsidR="00695866">
        <w:rPr>
          <w:rFonts w:ascii="Arial" w:hAnsi="Arial" w:cs="Arial"/>
          <w:b/>
          <w:bCs/>
        </w:rPr>
        <w:t xml:space="preserve"> </w:t>
      </w:r>
      <w:r w:rsidR="00695866">
        <w:rPr>
          <w:rFonts w:ascii="Arial" w:hAnsi="Arial" w:cs="Arial"/>
        </w:rPr>
        <w:t xml:space="preserve">Management </w:t>
      </w:r>
      <w:r w:rsidR="00CB287B">
        <w:rPr>
          <w:rFonts w:ascii="Arial" w:hAnsi="Arial" w:cs="Arial"/>
        </w:rPr>
        <w:t xml:space="preserve">continues to run the company </w:t>
      </w:r>
      <w:r w:rsidR="009012F7">
        <w:rPr>
          <w:rFonts w:ascii="Arial" w:hAnsi="Arial" w:cs="Arial"/>
        </w:rPr>
        <w:t xml:space="preserve">without third party control </w:t>
      </w:r>
      <w:r w:rsidR="00CB287B">
        <w:rPr>
          <w:rFonts w:ascii="Arial" w:hAnsi="Arial" w:cs="Arial"/>
        </w:rPr>
        <w:t>(</w:t>
      </w:r>
      <w:r w:rsidR="009012F7">
        <w:rPr>
          <w:rFonts w:ascii="Arial" w:hAnsi="Arial" w:cs="Arial"/>
        </w:rPr>
        <w:t>such as judges and insolvency administrators</w:t>
      </w:r>
      <w:r w:rsidR="00CB287B">
        <w:rPr>
          <w:rFonts w:ascii="Arial" w:hAnsi="Arial" w:cs="Arial"/>
        </w:rPr>
        <w:t xml:space="preserve">) </w:t>
      </w:r>
      <w:r w:rsidR="00AF1AE6">
        <w:rPr>
          <w:rFonts w:ascii="Arial" w:hAnsi="Arial" w:cs="Arial"/>
        </w:rPr>
        <w:t xml:space="preserve">during an OC. </w:t>
      </w:r>
      <w:r w:rsidR="00702400">
        <w:rPr>
          <w:rFonts w:ascii="Arial" w:hAnsi="Arial" w:cs="Arial"/>
        </w:rPr>
        <w:t xml:space="preserve">The restructuring does not have to be run on a court’s timetable (often in developing countries court </w:t>
      </w:r>
      <w:r w:rsidR="00ED08D4">
        <w:rPr>
          <w:rFonts w:ascii="Arial" w:hAnsi="Arial" w:cs="Arial"/>
        </w:rPr>
        <w:t>hearings are much delayed) and without the need for an insolvency administrator to be appointed.</w:t>
      </w:r>
    </w:p>
    <w:p w14:paraId="6CD27659" w14:textId="77777777" w:rsidR="0061647C" w:rsidRPr="0061647C" w:rsidRDefault="0061647C" w:rsidP="0061647C">
      <w:pPr>
        <w:pStyle w:val="ListParagraph"/>
        <w:rPr>
          <w:rFonts w:ascii="Arial" w:hAnsi="Arial" w:cs="Arial"/>
          <w:b/>
          <w:bCs/>
        </w:rPr>
      </w:pPr>
    </w:p>
    <w:p w14:paraId="527BFE2A" w14:textId="506F404D" w:rsidR="002067E3" w:rsidRPr="00917B68" w:rsidRDefault="00917B68" w:rsidP="00917B68">
      <w:pPr>
        <w:pStyle w:val="ListParagraph"/>
        <w:numPr>
          <w:ilvl w:val="0"/>
          <w:numId w:val="10"/>
        </w:numPr>
        <w:autoSpaceDE w:val="0"/>
        <w:autoSpaceDN w:val="0"/>
        <w:adjustRightInd w:val="0"/>
        <w:spacing w:after="0" w:line="240" w:lineRule="auto"/>
        <w:ind w:left="360"/>
        <w:rPr>
          <w:rFonts w:ascii="Arial" w:hAnsi="Arial" w:cs="Arial"/>
        </w:rPr>
      </w:pPr>
      <w:r w:rsidRPr="00917B68">
        <w:rPr>
          <w:rFonts w:ascii="Arial" w:hAnsi="Arial" w:cs="Arial"/>
          <w:b/>
          <w:bCs/>
        </w:rPr>
        <w:t>Cost Effective:</w:t>
      </w:r>
      <w:r w:rsidRPr="00917B68">
        <w:rPr>
          <w:rFonts w:ascii="Arial" w:hAnsi="Arial" w:cs="Arial"/>
        </w:rPr>
        <w:t xml:space="preserve"> </w:t>
      </w:r>
      <w:r w:rsidR="002475D8" w:rsidRPr="00917B68">
        <w:rPr>
          <w:rFonts w:ascii="Arial" w:hAnsi="Arial" w:cs="Arial"/>
        </w:rPr>
        <w:t xml:space="preserve">OCs are often more cost effective for all parties. Courts require many more lawyers and other professionals to be involved. The </w:t>
      </w:r>
      <w:r w:rsidR="003B3143" w:rsidRPr="00917B68">
        <w:rPr>
          <w:rFonts w:ascii="Arial" w:hAnsi="Arial" w:cs="Arial"/>
        </w:rPr>
        <w:t>time savings discussed above also reduces the costs</w:t>
      </w:r>
      <w:r w:rsidR="00E10657" w:rsidRPr="00917B68">
        <w:rPr>
          <w:rFonts w:ascii="Arial" w:hAnsi="Arial" w:cs="Arial"/>
        </w:rPr>
        <w:t xml:space="preserve"> – time savings may also mean that the company can get back to more productive activities sooner, which </w:t>
      </w:r>
      <w:r w:rsidR="00F87D43" w:rsidRPr="00917B68">
        <w:rPr>
          <w:rFonts w:ascii="Arial" w:hAnsi="Arial" w:cs="Arial"/>
        </w:rPr>
        <w:t>may lead to profits increasing.</w:t>
      </w:r>
    </w:p>
    <w:p w14:paraId="20AE3707" w14:textId="77777777" w:rsidR="00A126EC" w:rsidRDefault="00A126EC" w:rsidP="002067E3">
      <w:pPr>
        <w:autoSpaceDE w:val="0"/>
        <w:autoSpaceDN w:val="0"/>
        <w:adjustRightInd w:val="0"/>
        <w:spacing w:after="0" w:line="240" w:lineRule="auto"/>
        <w:rPr>
          <w:rFonts w:ascii="Arial" w:hAnsi="Arial" w:cs="Arial"/>
        </w:rPr>
      </w:pPr>
    </w:p>
    <w:p w14:paraId="4B4F30B6" w14:textId="0373CBAC" w:rsidR="00A126EC" w:rsidRPr="00A126EC" w:rsidRDefault="00A126EC" w:rsidP="002067E3">
      <w:pPr>
        <w:autoSpaceDE w:val="0"/>
        <w:autoSpaceDN w:val="0"/>
        <w:adjustRightInd w:val="0"/>
        <w:spacing w:after="0" w:line="240" w:lineRule="auto"/>
        <w:rPr>
          <w:rFonts w:ascii="Arial" w:hAnsi="Arial" w:cs="Arial"/>
          <w:u w:val="single"/>
        </w:rPr>
      </w:pPr>
      <w:r w:rsidRPr="00A126EC">
        <w:rPr>
          <w:rFonts w:ascii="Arial" w:hAnsi="Arial" w:cs="Arial"/>
          <w:u w:val="single"/>
        </w:rPr>
        <w:t>Disadvantages</w:t>
      </w:r>
      <w:r w:rsidR="002E13F7" w:rsidRPr="002E13F7">
        <w:rPr>
          <w:rFonts w:ascii="Arial" w:hAnsi="Arial" w:cs="Arial"/>
          <w:u w:val="single"/>
        </w:rPr>
        <w:t xml:space="preserve"> </w:t>
      </w:r>
      <w:r w:rsidR="002E13F7">
        <w:rPr>
          <w:rFonts w:ascii="Arial" w:hAnsi="Arial" w:cs="Arial"/>
          <w:u w:val="single"/>
        </w:rPr>
        <w:t>of Out-of-Court Restructuring</w:t>
      </w:r>
    </w:p>
    <w:p w14:paraId="1AF5F185" w14:textId="77777777" w:rsidR="00A126EC" w:rsidRDefault="00A126EC" w:rsidP="002067E3">
      <w:pPr>
        <w:autoSpaceDE w:val="0"/>
        <w:autoSpaceDN w:val="0"/>
        <w:adjustRightInd w:val="0"/>
        <w:spacing w:after="0" w:line="240" w:lineRule="auto"/>
        <w:rPr>
          <w:rFonts w:ascii="Arial" w:hAnsi="Arial" w:cs="Arial"/>
        </w:rPr>
      </w:pPr>
    </w:p>
    <w:p w14:paraId="5AE4915A" w14:textId="569F8E7A" w:rsidR="00043285" w:rsidRPr="00D2424B" w:rsidRDefault="003B06F6" w:rsidP="00D2424B">
      <w:pPr>
        <w:pStyle w:val="ListParagraph"/>
        <w:numPr>
          <w:ilvl w:val="0"/>
          <w:numId w:val="11"/>
        </w:numPr>
        <w:autoSpaceDE w:val="0"/>
        <w:autoSpaceDN w:val="0"/>
        <w:adjustRightInd w:val="0"/>
        <w:spacing w:after="0" w:line="240" w:lineRule="auto"/>
        <w:ind w:left="360"/>
        <w:rPr>
          <w:rFonts w:ascii="Arial" w:hAnsi="Arial" w:cs="Arial"/>
        </w:rPr>
      </w:pPr>
      <w:r w:rsidRPr="003B06F6">
        <w:rPr>
          <w:rFonts w:ascii="Arial" w:hAnsi="Arial" w:cs="Arial"/>
          <w:b/>
          <w:bCs/>
        </w:rPr>
        <w:t>N</w:t>
      </w:r>
      <w:r w:rsidR="00043285" w:rsidRPr="003B06F6">
        <w:rPr>
          <w:rFonts w:ascii="Arial" w:hAnsi="Arial" w:cs="Arial"/>
          <w:b/>
          <w:bCs/>
        </w:rPr>
        <w:t>o automatic stay protections</w:t>
      </w:r>
      <w:r>
        <w:rPr>
          <w:rFonts w:ascii="Arial" w:hAnsi="Arial" w:cs="Arial"/>
        </w:rPr>
        <w:t>:</w:t>
      </w:r>
      <w:r w:rsidR="00126882" w:rsidRPr="00D2424B">
        <w:rPr>
          <w:rFonts w:ascii="Arial" w:hAnsi="Arial" w:cs="Arial"/>
        </w:rPr>
        <w:t xml:space="preserve"> </w:t>
      </w:r>
      <w:r w:rsidR="00174338">
        <w:rPr>
          <w:rFonts w:ascii="Arial" w:hAnsi="Arial" w:cs="Arial"/>
        </w:rPr>
        <w:t xml:space="preserve">In most cases, there is no statutory stay. </w:t>
      </w:r>
      <w:r w:rsidR="00B71832">
        <w:rPr>
          <w:rFonts w:ascii="Arial" w:hAnsi="Arial" w:cs="Arial"/>
        </w:rPr>
        <w:t xml:space="preserve">A </w:t>
      </w:r>
      <w:r w:rsidR="00475A4D">
        <w:rPr>
          <w:rFonts w:ascii="Arial" w:hAnsi="Arial" w:cs="Arial"/>
        </w:rPr>
        <w:t>meaningful</w:t>
      </w:r>
      <w:r w:rsidR="00B71832">
        <w:rPr>
          <w:rFonts w:ascii="Arial" w:hAnsi="Arial" w:cs="Arial"/>
        </w:rPr>
        <w:t xml:space="preserve"> </w:t>
      </w:r>
      <w:r w:rsidR="00475A4D">
        <w:rPr>
          <w:rFonts w:ascii="Arial" w:hAnsi="Arial" w:cs="Arial"/>
        </w:rPr>
        <w:t>number</w:t>
      </w:r>
      <w:r w:rsidR="00B71832">
        <w:rPr>
          <w:rFonts w:ascii="Arial" w:hAnsi="Arial" w:cs="Arial"/>
        </w:rPr>
        <w:t xml:space="preserve"> of creditors</w:t>
      </w:r>
      <w:r w:rsidR="002E70E6" w:rsidRPr="00D2424B">
        <w:rPr>
          <w:rFonts w:ascii="Arial" w:hAnsi="Arial" w:cs="Arial"/>
        </w:rPr>
        <w:t xml:space="preserve"> will need to </w:t>
      </w:r>
      <w:r w:rsidR="00805A83" w:rsidRPr="00D2424B">
        <w:rPr>
          <w:rFonts w:ascii="Arial" w:hAnsi="Arial" w:cs="Arial"/>
        </w:rPr>
        <w:t xml:space="preserve">agree amongst themselves to </w:t>
      </w:r>
      <w:r w:rsidR="005A17FE" w:rsidRPr="00D2424B">
        <w:rPr>
          <w:rFonts w:ascii="Arial" w:hAnsi="Arial" w:cs="Arial"/>
        </w:rPr>
        <w:t>a consensual standstill agreement</w:t>
      </w:r>
      <w:r w:rsidR="0084775A" w:rsidRPr="00D2424B">
        <w:rPr>
          <w:rFonts w:ascii="Arial" w:hAnsi="Arial" w:cs="Arial"/>
        </w:rPr>
        <w:t xml:space="preserve">. If they do not, there is a risk that individual creditors with security will start to </w:t>
      </w:r>
      <w:r w:rsidR="00130AC2" w:rsidRPr="00D2424B">
        <w:rPr>
          <w:rFonts w:ascii="Arial" w:hAnsi="Arial" w:cs="Arial"/>
        </w:rPr>
        <w:t>enforce on collateral</w:t>
      </w:r>
      <w:r w:rsidR="00391A67" w:rsidRPr="00D2424B">
        <w:rPr>
          <w:rFonts w:ascii="Arial" w:hAnsi="Arial" w:cs="Arial"/>
        </w:rPr>
        <w:t xml:space="preserve"> or commence formal insolvency proceedings</w:t>
      </w:r>
      <w:r w:rsidR="00130AC2" w:rsidRPr="00D2424B">
        <w:rPr>
          <w:rFonts w:ascii="Arial" w:hAnsi="Arial" w:cs="Arial"/>
        </w:rPr>
        <w:t xml:space="preserve">. </w:t>
      </w:r>
      <w:r w:rsidR="00190B5A">
        <w:rPr>
          <w:rFonts w:ascii="Arial" w:hAnsi="Arial" w:cs="Arial"/>
        </w:rPr>
        <w:t>The period while the stay is negotiated may also pose a problem if creditors start taking enforcement or other action.</w:t>
      </w:r>
    </w:p>
    <w:p w14:paraId="3FA050A1" w14:textId="77777777" w:rsidR="00F87D43" w:rsidRDefault="00F87D43" w:rsidP="00D2424B">
      <w:pPr>
        <w:autoSpaceDE w:val="0"/>
        <w:autoSpaceDN w:val="0"/>
        <w:adjustRightInd w:val="0"/>
        <w:spacing w:after="0" w:line="240" w:lineRule="auto"/>
        <w:rPr>
          <w:rFonts w:ascii="Arial" w:hAnsi="Arial" w:cs="Arial"/>
        </w:rPr>
      </w:pPr>
    </w:p>
    <w:p w14:paraId="5F91E312" w14:textId="2E412AF3" w:rsidR="00F87D43" w:rsidRPr="00D2424B" w:rsidRDefault="00E101AE" w:rsidP="00D2424B">
      <w:pPr>
        <w:pStyle w:val="ListParagraph"/>
        <w:numPr>
          <w:ilvl w:val="0"/>
          <w:numId w:val="11"/>
        </w:numPr>
        <w:autoSpaceDE w:val="0"/>
        <w:autoSpaceDN w:val="0"/>
        <w:adjustRightInd w:val="0"/>
        <w:spacing w:after="0" w:line="240" w:lineRule="auto"/>
        <w:ind w:left="360"/>
        <w:rPr>
          <w:rFonts w:ascii="Arial" w:hAnsi="Arial" w:cs="Arial"/>
        </w:rPr>
      </w:pPr>
      <w:r w:rsidRPr="00E101AE">
        <w:rPr>
          <w:rFonts w:ascii="Arial" w:hAnsi="Arial" w:cs="Arial"/>
          <w:b/>
          <w:bCs/>
        </w:rPr>
        <w:t>Voluntary:</w:t>
      </w:r>
      <w:r w:rsidR="00BA0EB9" w:rsidRPr="00D2424B">
        <w:rPr>
          <w:rFonts w:ascii="Arial" w:hAnsi="Arial" w:cs="Arial"/>
        </w:rPr>
        <w:t xml:space="preserve"> </w:t>
      </w:r>
      <w:r w:rsidR="00475A4D">
        <w:rPr>
          <w:rFonts w:ascii="Arial" w:hAnsi="Arial" w:cs="Arial"/>
        </w:rPr>
        <w:t xml:space="preserve">Unlike formal processes where parties </w:t>
      </w:r>
      <w:r w:rsidR="00F31CC5">
        <w:rPr>
          <w:rFonts w:ascii="Arial" w:hAnsi="Arial" w:cs="Arial"/>
        </w:rPr>
        <w:t>are obliged to participate, p</w:t>
      </w:r>
      <w:r w:rsidR="00BA0EB9" w:rsidRPr="00D2424B">
        <w:rPr>
          <w:rFonts w:ascii="Arial" w:hAnsi="Arial" w:cs="Arial"/>
        </w:rPr>
        <w:t>arties must be willing to come to the table to negotiate</w:t>
      </w:r>
      <w:r w:rsidR="00F31CC5">
        <w:rPr>
          <w:rFonts w:ascii="Arial" w:hAnsi="Arial" w:cs="Arial"/>
        </w:rPr>
        <w:t xml:space="preserve"> an OC</w:t>
      </w:r>
      <w:r w:rsidR="00BA0EB9" w:rsidRPr="00D2424B">
        <w:rPr>
          <w:rFonts w:ascii="Arial" w:hAnsi="Arial" w:cs="Arial"/>
        </w:rPr>
        <w:t>. There is</w:t>
      </w:r>
      <w:r w:rsidR="00747396">
        <w:rPr>
          <w:rFonts w:ascii="Arial" w:hAnsi="Arial" w:cs="Arial"/>
        </w:rPr>
        <w:t xml:space="preserve"> often</w:t>
      </w:r>
      <w:r w:rsidR="00BA0EB9" w:rsidRPr="00D2424B">
        <w:rPr>
          <w:rFonts w:ascii="Arial" w:hAnsi="Arial" w:cs="Arial"/>
        </w:rPr>
        <w:t xml:space="preserve"> little pressure on them at this stage</w:t>
      </w:r>
      <w:r w:rsidR="00273079" w:rsidRPr="00D2424B">
        <w:rPr>
          <w:rFonts w:ascii="Arial" w:hAnsi="Arial" w:cs="Arial"/>
        </w:rPr>
        <w:t xml:space="preserve">, especially creditors with less to </w:t>
      </w:r>
      <w:r w:rsidR="0044309C" w:rsidRPr="00D2424B">
        <w:rPr>
          <w:rFonts w:ascii="Arial" w:hAnsi="Arial" w:cs="Arial"/>
        </w:rPr>
        <w:t>lose</w:t>
      </w:r>
      <w:r w:rsidR="00273079" w:rsidRPr="00D2424B">
        <w:rPr>
          <w:rFonts w:ascii="Arial" w:hAnsi="Arial" w:cs="Arial"/>
        </w:rPr>
        <w:t xml:space="preserve">. </w:t>
      </w:r>
    </w:p>
    <w:p w14:paraId="59E20F74" w14:textId="77777777" w:rsidR="00F87D43" w:rsidRDefault="00F87D43" w:rsidP="00D2424B">
      <w:pPr>
        <w:autoSpaceDE w:val="0"/>
        <w:autoSpaceDN w:val="0"/>
        <w:adjustRightInd w:val="0"/>
        <w:spacing w:after="0" w:line="240" w:lineRule="auto"/>
        <w:rPr>
          <w:rFonts w:ascii="Arial" w:hAnsi="Arial" w:cs="Arial"/>
        </w:rPr>
      </w:pPr>
    </w:p>
    <w:p w14:paraId="1EA1030D" w14:textId="0C8F2BFF" w:rsidR="00F710EE" w:rsidRPr="00D2424B" w:rsidRDefault="00403E9A" w:rsidP="00D2424B">
      <w:pPr>
        <w:pStyle w:val="ListParagraph"/>
        <w:numPr>
          <w:ilvl w:val="0"/>
          <w:numId w:val="11"/>
        </w:numPr>
        <w:autoSpaceDE w:val="0"/>
        <w:autoSpaceDN w:val="0"/>
        <w:adjustRightInd w:val="0"/>
        <w:spacing w:after="0" w:line="240" w:lineRule="auto"/>
        <w:ind w:left="360"/>
        <w:rPr>
          <w:rFonts w:ascii="Arial" w:hAnsi="Arial" w:cs="Arial"/>
        </w:rPr>
      </w:pPr>
      <w:r w:rsidRPr="00403E9A">
        <w:rPr>
          <w:rFonts w:ascii="Arial" w:hAnsi="Arial" w:cs="Arial"/>
          <w:b/>
          <w:bCs/>
        </w:rPr>
        <w:t xml:space="preserve">Communication and Coordination </w:t>
      </w:r>
      <w:r>
        <w:rPr>
          <w:rFonts w:ascii="Arial" w:hAnsi="Arial" w:cs="Arial"/>
          <w:b/>
          <w:bCs/>
        </w:rPr>
        <w:t>Issues</w:t>
      </w:r>
      <w:r w:rsidRPr="00403E9A">
        <w:rPr>
          <w:rFonts w:ascii="Arial" w:hAnsi="Arial" w:cs="Arial"/>
          <w:b/>
          <w:bCs/>
        </w:rPr>
        <w:t>:</w:t>
      </w:r>
      <w:r>
        <w:rPr>
          <w:rFonts w:ascii="Arial" w:hAnsi="Arial" w:cs="Arial"/>
        </w:rPr>
        <w:t xml:space="preserve"> </w:t>
      </w:r>
      <w:r w:rsidR="00C93B1C">
        <w:rPr>
          <w:rFonts w:ascii="Arial" w:hAnsi="Arial" w:cs="Arial"/>
        </w:rPr>
        <w:t>S</w:t>
      </w:r>
      <w:r w:rsidR="00DA6351" w:rsidRPr="00D2424B">
        <w:rPr>
          <w:rFonts w:ascii="Arial" w:hAnsi="Arial" w:cs="Arial"/>
        </w:rPr>
        <w:t xml:space="preserve">ince there is no judge or </w:t>
      </w:r>
      <w:r w:rsidR="00C93B1C">
        <w:rPr>
          <w:rFonts w:ascii="Arial" w:hAnsi="Arial" w:cs="Arial"/>
        </w:rPr>
        <w:t>insolvency administrator</w:t>
      </w:r>
      <w:r w:rsidR="00DA6351" w:rsidRPr="00D2424B">
        <w:rPr>
          <w:rFonts w:ascii="Arial" w:hAnsi="Arial" w:cs="Arial"/>
        </w:rPr>
        <w:t xml:space="preserve"> to organize the proceedings, good organization and communication is required between the parties. It may be a significant challenge to organize the parties in a way where trust is </w:t>
      </w:r>
      <w:r w:rsidR="0044309C" w:rsidRPr="00D2424B">
        <w:rPr>
          <w:rFonts w:ascii="Arial" w:hAnsi="Arial" w:cs="Arial"/>
        </w:rPr>
        <w:t>developed,</w:t>
      </w:r>
      <w:r w:rsidR="00326358" w:rsidRPr="00D2424B">
        <w:rPr>
          <w:rFonts w:ascii="Arial" w:hAnsi="Arial" w:cs="Arial"/>
        </w:rPr>
        <w:t xml:space="preserve"> and communication open enough for a private arrangement to be agreed.</w:t>
      </w:r>
      <w:r w:rsidR="00126DC1" w:rsidRPr="00D2424B">
        <w:rPr>
          <w:rFonts w:ascii="Arial" w:hAnsi="Arial" w:cs="Arial"/>
        </w:rPr>
        <w:t xml:space="preserve"> </w:t>
      </w:r>
      <w:r w:rsidR="00AD713C" w:rsidRPr="00D2424B">
        <w:rPr>
          <w:rFonts w:ascii="Arial" w:hAnsi="Arial" w:cs="Arial"/>
        </w:rPr>
        <w:t xml:space="preserve"> </w:t>
      </w:r>
    </w:p>
    <w:p w14:paraId="474AE111" w14:textId="77777777" w:rsidR="00F710EE" w:rsidRDefault="00F710EE" w:rsidP="00D2424B">
      <w:pPr>
        <w:autoSpaceDE w:val="0"/>
        <w:autoSpaceDN w:val="0"/>
        <w:adjustRightInd w:val="0"/>
        <w:spacing w:after="0" w:line="240" w:lineRule="auto"/>
        <w:rPr>
          <w:rFonts w:ascii="Arial" w:hAnsi="Arial" w:cs="Arial"/>
        </w:rPr>
      </w:pPr>
    </w:p>
    <w:p w14:paraId="50053624" w14:textId="233915B2" w:rsidR="005445AA" w:rsidRPr="00D2424B" w:rsidRDefault="00E70431" w:rsidP="00D2424B">
      <w:pPr>
        <w:pStyle w:val="ListParagraph"/>
        <w:numPr>
          <w:ilvl w:val="0"/>
          <w:numId w:val="11"/>
        </w:numPr>
        <w:autoSpaceDE w:val="0"/>
        <w:autoSpaceDN w:val="0"/>
        <w:adjustRightInd w:val="0"/>
        <w:spacing w:after="0" w:line="240" w:lineRule="auto"/>
        <w:ind w:left="360"/>
        <w:rPr>
          <w:rFonts w:ascii="Arial" w:hAnsi="Arial" w:cs="Arial"/>
        </w:rPr>
      </w:pPr>
      <w:r w:rsidRPr="00E70431">
        <w:rPr>
          <w:rFonts w:ascii="Arial" w:hAnsi="Arial" w:cs="Arial"/>
          <w:b/>
          <w:bCs/>
        </w:rPr>
        <w:t>Potential Holdouts:</w:t>
      </w:r>
      <w:r>
        <w:rPr>
          <w:rFonts w:ascii="Arial" w:hAnsi="Arial" w:cs="Arial"/>
        </w:rPr>
        <w:t xml:space="preserve"> </w:t>
      </w:r>
      <w:r w:rsidR="00B8444E">
        <w:rPr>
          <w:rFonts w:ascii="Arial" w:hAnsi="Arial" w:cs="Arial"/>
        </w:rPr>
        <w:t>N</w:t>
      </w:r>
      <w:r w:rsidR="00F710EE" w:rsidRPr="00D2424B">
        <w:rPr>
          <w:rFonts w:ascii="Arial" w:hAnsi="Arial" w:cs="Arial"/>
        </w:rPr>
        <w:t>o cram down</w:t>
      </w:r>
      <w:r w:rsidR="00B8444E">
        <w:rPr>
          <w:rFonts w:ascii="Arial" w:hAnsi="Arial" w:cs="Arial"/>
        </w:rPr>
        <w:t xml:space="preserve"> is provided for, so a </w:t>
      </w:r>
      <w:r w:rsidR="001B20A0">
        <w:rPr>
          <w:rFonts w:ascii="Arial" w:hAnsi="Arial" w:cs="Arial"/>
        </w:rPr>
        <w:t>creditor may holdout for better ter</w:t>
      </w:r>
      <w:r w:rsidR="004B25FE">
        <w:rPr>
          <w:rFonts w:ascii="Arial" w:hAnsi="Arial" w:cs="Arial"/>
        </w:rPr>
        <w:t>ms.</w:t>
      </w:r>
      <w:r w:rsidR="00F710EE" w:rsidRPr="00D2424B">
        <w:rPr>
          <w:rFonts w:ascii="Arial" w:hAnsi="Arial" w:cs="Arial"/>
        </w:rPr>
        <w:t xml:space="preserve"> </w:t>
      </w:r>
      <w:r w:rsidR="00AD713C" w:rsidRPr="00D2424B">
        <w:rPr>
          <w:rFonts w:ascii="Arial" w:hAnsi="Arial" w:cs="Arial"/>
        </w:rPr>
        <w:t xml:space="preserve">Further, some creditors may holdout and if a fundamental change in the structure of the company’s debt is required, it may not be possible without </w:t>
      </w:r>
      <w:r w:rsidR="00F719D3" w:rsidRPr="00D2424B">
        <w:rPr>
          <w:rFonts w:ascii="Arial" w:hAnsi="Arial" w:cs="Arial"/>
        </w:rPr>
        <w:t>almost all creditors taking part.</w:t>
      </w:r>
    </w:p>
    <w:p w14:paraId="179DFCBF" w14:textId="77777777" w:rsidR="00273079" w:rsidRDefault="00273079" w:rsidP="00D2424B">
      <w:pPr>
        <w:autoSpaceDE w:val="0"/>
        <w:autoSpaceDN w:val="0"/>
        <w:adjustRightInd w:val="0"/>
        <w:spacing w:after="0" w:line="240" w:lineRule="auto"/>
        <w:rPr>
          <w:rFonts w:ascii="Arial" w:hAnsi="Arial" w:cs="Arial"/>
        </w:rPr>
      </w:pPr>
    </w:p>
    <w:p w14:paraId="0BAEC9B8" w14:textId="6DD12104" w:rsidR="000C4C50" w:rsidRPr="00D2424B" w:rsidRDefault="00361E7E" w:rsidP="00D2424B">
      <w:pPr>
        <w:pStyle w:val="ListParagraph"/>
        <w:numPr>
          <w:ilvl w:val="0"/>
          <w:numId w:val="11"/>
        </w:numPr>
        <w:autoSpaceDE w:val="0"/>
        <w:autoSpaceDN w:val="0"/>
        <w:adjustRightInd w:val="0"/>
        <w:spacing w:after="0" w:line="240" w:lineRule="auto"/>
        <w:ind w:left="360"/>
        <w:rPr>
          <w:rFonts w:ascii="Arial" w:hAnsi="Arial" w:cs="Arial"/>
        </w:rPr>
      </w:pPr>
      <w:r>
        <w:rPr>
          <w:rFonts w:ascii="Arial" w:hAnsi="Arial" w:cs="Arial"/>
          <w:b/>
          <w:bCs/>
        </w:rPr>
        <w:t xml:space="preserve">Voiding </w:t>
      </w:r>
      <w:r w:rsidR="00CF723F" w:rsidRPr="00CF723F">
        <w:rPr>
          <w:rFonts w:ascii="Arial" w:hAnsi="Arial" w:cs="Arial"/>
          <w:b/>
          <w:bCs/>
        </w:rPr>
        <w:t>Upon Formal Filing:</w:t>
      </w:r>
      <w:r w:rsidR="00CF723F">
        <w:rPr>
          <w:rFonts w:ascii="Arial" w:hAnsi="Arial" w:cs="Arial"/>
        </w:rPr>
        <w:t xml:space="preserve"> </w:t>
      </w:r>
      <w:r w:rsidR="00095803">
        <w:rPr>
          <w:rFonts w:ascii="Arial" w:hAnsi="Arial" w:cs="Arial"/>
        </w:rPr>
        <w:t xml:space="preserve">National insolvency laws may cancel the </w:t>
      </w:r>
      <w:r w:rsidR="000F522C">
        <w:rPr>
          <w:rFonts w:ascii="Arial" w:hAnsi="Arial" w:cs="Arial"/>
        </w:rPr>
        <w:t xml:space="preserve">additional security, preferences or debt haircuts </w:t>
      </w:r>
      <w:r w:rsidR="00FA51D7">
        <w:rPr>
          <w:rFonts w:ascii="Arial" w:hAnsi="Arial" w:cs="Arial"/>
        </w:rPr>
        <w:t xml:space="preserve">if </w:t>
      </w:r>
      <w:r w:rsidR="005A0503">
        <w:rPr>
          <w:rFonts w:ascii="Arial" w:hAnsi="Arial" w:cs="Arial"/>
        </w:rPr>
        <w:t>entered</w:t>
      </w:r>
      <w:r w:rsidR="00FA51D7">
        <w:rPr>
          <w:rFonts w:ascii="Arial" w:hAnsi="Arial" w:cs="Arial"/>
        </w:rPr>
        <w:t xml:space="preserve"> during a period prior to the insolvency filing. </w:t>
      </w:r>
      <w:r w:rsidR="005A0503">
        <w:rPr>
          <w:rFonts w:ascii="Arial" w:hAnsi="Arial" w:cs="Arial"/>
        </w:rPr>
        <w:t xml:space="preserve">Some countries have strict requirements for directors or management to file for formal insolvency if the company is insolvent </w:t>
      </w:r>
      <w:r w:rsidR="00D44ED7">
        <w:rPr>
          <w:rFonts w:ascii="Arial" w:hAnsi="Arial" w:cs="Arial"/>
        </w:rPr>
        <w:t>–</w:t>
      </w:r>
      <w:r w:rsidR="005A0503">
        <w:rPr>
          <w:rFonts w:ascii="Arial" w:hAnsi="Arial" w:cs="Arial"/>
        </w:rPr>
        <w:t xml:space="preserve"> </w:t>
      </w:r>
      <w:r w:rsidR="00D44ED7">
        <w:rPr>
          <w:rFonts w:ascii="Arial" w:hAnsi="Arial" w:cs="Arial"/>
        </w:rPr>
        <w:t>they could face penalties upon formal filing.</w:t>
      </w:r>
    </w:p>
    <w:p w14:paraId="01968515" w14:textId="77777777" w:rsidR="00D8346F" w:rsidRDefault="00D8346F" w:rsidP="00D2424B">
      <w:pPr>
        <w:autoSpaceDE w:val="0"/>
        <w:autoSpaceDN w:val="0"/>
        <w:adjustRightInd w:val="0"/>
        <w:spacing w:after="0" w:line="240" w:lineRule="auto"/>
        <w:rPr>
          <w:rFonts w:ascii="Arial" w:hAnsi="Arial" w:cs="Arial"/>
        </w:rPr>
      </w:pPr>
    </w:p>
    <w:p w14:paraId="7D53A68C" w14:textId="41FC1C44" w:rsidR="008422A2" w:rsidRDefault="002227F6" w:rsidP="002067E3">
      <w:pPr>
        <w:autoSpaceDE w:val="0"/>
        <w:autoSpaceDN w:val="0"/>
        <w:adjustRightInd w:val="0"/>
        <w:spacing w:after="0" w:line="240" w:lineRule="auto"/>
        <w:rPr>
          <w:rFonts w:ascii="Arial" w:hAnsi="Arial" w:cs="Arial"/>
        </w:rPr>
      </w:pPr>
      <w:r>
        <w:rPr>
          <w:rFonts w:ascii="Arial" w:hAnsi="Arial" w:cs="Arial"/>
        </w:rPr>
        <w:t xml:space="preserve">Apart from the </w:t>
      </w:r>
      <w:r w:rsidR="00181EE5">
        <w:rPr>
          <w:rFonts w:ascii="Arial" w:hAnsi="Arial" w:cs="Arial"/>
        </w:rPr>
        <w:t xml:space="preserve">general advantages and disadvantages </w:t>
      </w:r>
      <w:r w:rsidR="00ED39D0">
        <w:rPr>
          <w:rFonts w:ascii="Arial" w:hAnsi="Arial" w:cs="Arial"/>
        </w:rPr>
        <w:t xml:space="preserve">of an OC </w:t>
      </w:r>
      <w:r w:rsidR="00181EE5">
        <w:rPr>
          <w:rFonts w:ascii="Arial" w:hAnsi="Arial" w:cs="Arial"/>
        </w:rPr>
        <w:t xml:space="preserve">described above, in countries I am currently working in (Rwanda, Cabo Verde) </w:t>
      </w:r>
      <w:r w:rsidR="008422A2">
        <w:rPr>
          <w:rFonts w:ascii="Arial" w:hAnsi="Arial" w:cs="Arial"/>
        </w:rPr>
        <w:t>there are a few specific issues.</w:t>
      </w:r>
    </w:p>
    <w:p w14:paraId="1E505F4E" w14:textId="77777777" w:rsidR="008422A2" w:rsidRDefault="008422A2" w:rsidP="002067E3">
      <w:pPr>
        <w:autoSpaceDE w:val="0"/>
        <w:autoSpaceDN w:val="0"/>
        <w:adjustRightInd w:val="0"/>
        <w:spacing w:after="0" w:line="240" w:lineRule="auto"/>
        <w:rPr>
          <w:rFonts w:ascii="Arial" w:hAnsi="Arial" w:cs="Arial"/>
        </w:rPr>
      </w:pPr>
    </w:p>
    <w:p w14:paraId="17F73438" w14:textId="5066AAB4" w:rsidR="008422A2" w:rsidRDefault="008422A2" w:rsidP="008422A2">
      <w:pPr>
        <w:pStyle w:val="ListParagraph"/>
        <w:numPr>
          <w:ilvl w:val="0"/>
          <w:numId w:val="18"/>
        </w:numPr>
        <w:autoSpaceDE w:val="0"/>
        <w:autoSpaceDN w:val="0"/>
        <w:adjustRightInd w:val="0"/>
        <w:spacing w:after="0" w:line="240" w:lineRule="auto"/>
        <w:rPr>
          <w:rFonts w:ascii="Arial" w:hAnsi="Arial" w:cs="Arial"/>
        </w:rPr>
      </w:pPr>
      <w:r w:rsidRPr="00F31FDB">
        <w:rPr>
          <w:rFonts w:ascii="Arial" w:hAnsi="Arial" w:cs="Arial"/>
          <w:b/>
          <w:bCs/>
        </w:rPr>
        <w:t xml:space="preserve">Management </w:t>
      </w:r>
      <w:r w:rsidR="00AC46A7">
        <w:rPr>
          <w:rFonts w:ascii="Arial" w:hAnsi="Arial" w:cs="Arial"/>
          <w:b/>
          <w:bCs/>
        </w:rPr>
        <w:t>stays in place</w:t>
      </w:r>
      <w:r w:rsidRPr="00F31FDB">
        <w:rPr>
          <w:rFonts w:ascii="Arial" w:hAnsi="Arial" w:cs="Arial"/>
          <w:b/>
          <w:bCs/>
        </w:rPr>
        <w:t>:</w:t>
      </w:r>
      <w:r>
        <w:rPr>
          <w:rFonts w:ascii="Arial" w:hAnsi="Arial" w:cs="Arial"/>
        </w:rPr>
        <w:t xml:space="preserve"> in Rwanda, management is </w:t>
      </w:r>
      <w:r w:rsidR="00F31FDB">
        <w:rPr>
          <w:rFonts w:ascii="Arial" w:hAnsi="Arial" w:cs="Arial"/>
        </w:rPr>
        <w:t xml:space="preserve">replaced in a formal proceeding. An insolvency administrator is appointed to restructure the company – this includes communication with creditors, advising on viability, </w:t>
      </w:r>
      <w:r w:rsidR="00AC46A7">
        <w:rPr>
          <w:rFonts w:ascii="Arial" w:hAnsi="Arial" w:cs="Arial"/>
        </w:rPr>
        <w:t>even drafting the restructuring plan.</w:t>
      </w:r>
    </w:p>
    <w:p w14:paraId="2735C4FE" w14:textId="3AF29ADF" w:rsidR="00AC46A7" w:rsidRPr="008422A2" w:rsidRDefault="004D6394" w:rsidP="008422A2">
      <w:pPr>
        <w:pStyle w:val="ListParagraph"/>
        <w:numPr>
          <w:ilvl w:val="0"/>
          <w:numId w:val="18"/>
        </w:numPr>
        <w:autoSpaceDE w:val="0"/>
        <w:autoSpaceDN w:val="0"/>
        <w:adjustRightInd w:val="0"/>
        <w:spacing w:after="0" w:line="240" w:lineRule="auto"/>
        <w:rPr>
          <w:rFonts w:ascii="Arial" w:hAnsi="Arial" w:cs="Arial"/>
        </w:rPr>
      </w:pPr>
      <w:r>
        <w:rPr>
          <w:rFonts w:ascii="Arial" w:hAnsi="Arial" w:cs="Arial"/>
          <w:b/>
          <w:bCs/>
        </w:rPr>
        <w:t xml:space="preserve">Predictability: </w:t>
      </w:r>
      <w:r>
        <w:rPr>
          <w:rFonts w:ascii="Arial" w:hAnsi="Arial" w:cs="Arial"/>
        </w:rPr>
        <w:t xml:space="preserve">in many developing countries, taking a procedure to court </w:t>
      </w:r>
      <w:r w:rsidR="008577F5">
        <w:rPr>
          <w:rFonts w:ascii="Arial" w:hAnsi="Arial" w:cs="Arial"/>
        </w:rPr>
        <w:t xml:space="preserve">means that there will likely be significant delays because courts are overloaded and there will be less predictability of outcome. Judges and others often do not have specialized insolvency </w:t>
      </w:r>
      <w:r w:rsidR="004E181E">
        <w:rPr>
          <w:rFonts w:ascii="Arial" w:hAnsi="Arial" w:cs="Arial"/>
        </w:rPr>
        <w:t>training,</w:t>
      </w:r>
      <w:r w:rsidR="008577F5">
        <w:rPr>
          <w:rFonts w:ascii="Arial" w:hAnsi="Arial" w:cs="Arial"/>
        </w:rPr>
        <w:t xml:space="preserve"> and this can lead one judge to decide something that is </w:t>
      </w:r>
      <w:r w:rsidR="000447C0">
        <w:rPr>
          <w:rFonts w:ascii="Arial" w:hAnsi="Arial" w:cs="Arial"/>
        </w:rPr>
        <w:t>very different to another judge.</w:t>
      </w:r>
    </w:p>
    <w:p w14:paraId="1A35E838" w14:textId="77777777" w:rsidR="00F87D43" w:rsidRPr="002067E3" w:rsidRDefault="00F87D43" w:rsidP="002067E3">
      <w:pPr>
        <w:autoSpaceDE w:val="0"/>
        <w:autoSpaceDN w:val="0"/>
        <w:adjustRightInd w:val="0"/>
        <w:spacing w:after="0" w:line="240" w:lineRule="auto"/>
        <w:rPr>
          <w:rFonts w:ascii="Arial" w:hAnsi="Arial" w:cs="Arial"/>
          <w:u w:val="single"/>
        </w:rPr>
      </w:pPr>
    </w:p>
    <w:p w14:paraId="16047CDB" w14:textId="2EE8059D" w:rsidR="00011126" w:rsidRPr="00F85702" w:rsidRDefault="00011126" w:rsidP="00011126">
      <w:pPr>
        <w:pStyle w:val="ListParagraph"/>
        <w:numPr>
          <w:ilvl w:val="0"/>
          <w:numId w:val="1"/>
        </w:numPr>
        <w:autoSpaceDE w:val="0"/>
        <w:autoSpaceDN w:val="0"/>
        <w:adjustRightInd w:val="0"/>
        <w:spacing w:after="0" w:line="240" w:lineRule="auto"/>
        <w:rPr>
          <w:rFonts w:ascii="Arial" w:hAnsi="Arial" w:cs="Arial"/>
          <w:b/>
          <w:bCs/>
        </w:rPr>
      </w:pPr>
      <w:r w:rsidRPr="00F85702">
        <w:rPr>
          <w:rFonts w:ascii="Arial" w:hAnsi="Arial" w:cs="Arial"/>
          <w:b/>
          <w:bCs/>
        </w:rPr>
        <w:t>Were the turnaround/reorganization approaches as presented in the reading material (see e.g., Adriaanse &amp; Kuijl, 2006, Pajunen, 2006, Sudarsanam, S, Lai, J., 2001, Schmitt, A., Raisch, S., 2013) applied in this case? If yes, explain in what way. If no, detail what in your opinion should have been done differently.</w:t>
      </w:r>
    </w:p>
    <w:p w14:paraId="679EF3BF" w14:textId="77777777" w:rsidR="00C256EF" w:rsidRDefault="00C256EF" w:rsidP="00C256EF">
      <w:pPr>
        <w:pStyle w:val="ListParagraph"/>
        <w:autoSpaceDE w:val="0"/>
        <w:autoSpaceDN w:val="0"/>
        <w:adjustRightInd w:val="0"/>
        <w:spacing w:after="0" w:line="240" w:lineRule="auto"/>
        <w:ind w:left="360"/>
        <w:rPr>
          <w:rFonts w:ascii="Arial" w:hAnsi="Arial" w:cs="Arial"/>
        </w:rPr>
      </w:pPr>
    </w:p>
    <w:p w14:paraId="2278D2F0" w14:textId="7B3768C9" w:rsidR="002C2307" w:rsidRDefault="007F6245" w:rsidP="007A7CDE">
      <w:pPr>
        <w:autoSpaceDE w:val="0"/>
        <w:autoSpaceDN w:val="0"/>
        <w:adjustRightInd w:val="0"/>
        <w:spacing w:after="0" w:line="240" w:lineRule="auto"/>
        <w:rPr>
          <w:rFonts w:ascii="Arial" w:hAnsi="Arial" w:cs="Arial"/>
        </w:rPr>
      </w:pPr>
      <w:r>
        <w:rPr>
          <w:rFonts w:ascii="Arial" w:hAnsi="Arial" w:cs="Arial"/>
        </w:rPr>
        <w:t xml:space="preserve">Some of the turnaround/reorganization approaches presented in the reading materials were present in this case, while others were not.  Below I examine the approaches </w:t>
      </w:r>
      <w:r w:rsidR="008F4953">
        <w:rPr>
          <w:rFonts w:ascii="Arial" w:hAnsi="Arial" w:cs="Arial"/>
        </w:rPr>
        <w:t>in each of the reading materials and explain how they were applied as well as what could have been done differently.</w:t>
      </w:r>
    </w:p>
    <w:p w14:paraId="1BB5B0AC" w14:textId="77777777" w:rsidR="008F4953" w:rsidRDefault="008F4953" w:rsidP="007A7CDE">
      <w:pPr>
        <w:autoSpaceDE w:val="0"/>
        <w:autoSpaceDN w:val="0"/>
        <w:adjustRightInd w:val="0"/>
        <w:spacing w:after="0" w:line="240" w:lineRule="auto"/>
        <w:rPr>
          <w:rFonts w:ascii="Arial" w:hAnsi="Arial" w:cs="Arial"/>
        </w:rPr>
      </w:pPr>
    </w:p>
    <w:p w14:paraId="73B71B7C" w14:textId="20C16E41" w:rsidR="00EF2930" w:rsidRPr="00197281" w:rsidRDefault="00875E46" w:rsidP="00197281">
      <w:pPr>
        <w:pStyle w:val="ListParagraph"/>
        <w:numPr>
          <w:ilvl w:val="0"/>
          <w:numId w:val="19"/>
        </w:numPr>
        <w:autoSpaceDE w:val="0"/>
        <w:autoSpaceDN w:val="0"/>
        <w:adjustRightInd w:val="0"/>
        <w:spacing w:after="0" w:line="240" w:lineRule="auto"/>
        <w:rPr>
          <w:rFonts w:ascii="Arial" w:hAnsi="Arial" w:cs="Arial"/>
          <w:u w:val="single"/>
        </w:rPr>
      </w:pPr>
      <w:r w:rsidRPr="00197281">
        <w:rPr>
          <w:rFonts w:ascii="Arial" w:hAnsi="Arial" w:cs="Arial"/>
          <w:u w:val="single"/>
        </w:rPr>
        <w:t>P</w:t>
      </w:r>
      <w:r w:rsidR="006C47D1" w:rsidRPr="00197281">
        <w:rPr>
          <w:rFonts w:ascii="Arial" w:hAnsi="Arial" w:cs="Arial"/>
          <w:u w:val="single"/>
        </w:rPr>
        <w:t>rocesses of Successful Informal Reorganizations</w:t>
      </w:r>
    </w:p>
    <w:p w14:paraId="26EEBCC2" w14:textId="77777777" w:rsidR="004E2679" w:rsidRDefault="004E2679" w:rsidP="002A14C0">
      <w:pPr>
        <w:autoSpaceDE w:val="0"/>
        <w:autoSpaceDN w:val="0"/>
        <w:adjustRightInd w:val="0"/>
        <w:spacing w:after="0" w:line="240" w:lineRule="auto"/>
        <w:rPr>
          <w:rFonts w:ascii="Arial" w:hAnsi="Arial" w:cs="Arial"/>
        </w:rPr>
      </w:pPr>
    </w:p>
    <w:p w14:paraId="6C568555" w14:textId="43773B58" w:rsidR="00FC2E13" w:rsidRDefault="00875E46" w:rsidP="002A14C0">
      <w:pPr>
        <w:autoSpaceDE w:val="0"/>
        <w:autoSpaceDN w:val="0"/>
        <w:adjustRightInd w:val="0"/>
        <w:spacing w:after="0" w:line="240" w:lineRule="auto"/>
        <w:rPr>
          <w:rFonts w:ascii="Arial" w:hAnsi="Arial" w:cs="Arial"/>
        </w:rPr>
      </w:pPr>
      <w:r w:rsidRPr="00DB366E">
        <w:rPr>
          <w:rFonts w:ascii="Arial" w:hAnsi="Arial" w:cs="Arial"/>
        </w:rPr>
        <w:t xml:space="preserve">Adriaanse &amp; Kuijl, 2006 </w:t>
      </w:r>
      <w:r w:rsidR="00C54D9D" w:rsidRPr="00DB366E">
        <w:rPr>
          <w:rFonts w:ascii="Arial" w:hAnsi="Arial" w:cs="Arial"/>
        </w:rPr>
        <w:t xml:space="preserve">states that an informal </w:t>
      </w:r>
      <w:r w:rsidR="008151F2" w:rsidRPr="00DB366E">
        <w:rPr>
          <w:rFonts w:ascii="Arial" w:hAnsi="Arial" w:cs="Arial"/>
        </w:rPr>
        <w:t>reorganization mostly consists of two processes: (i) business and (ii) financial restructuring.</w:t>
      </w:r>
      <w:r w:rsidR="008151F2" w:rsidRPr="00DB366E">
        <w:rPr>
          <w:rStyle w:val="FootnoteReference"/>
          <w:rFonts w:ascii="Arial" w:hAnsi="Arial" w:cs="Arial"/>
        </w:rPr>
        <w:footnoteReference w:id="14"/>
      </w:r>
      <w:r w:rsidR="008151F2" w:rsidRPr="00DB366E">
        <w:rPr>
          <w:rFonts w:ascii="Arial" w:hAnsi="Arial" w:cs="Arial"/>
        </w:rPr>
        <w:t xml:space="preserve"> </w:t>
      </w:r>
      <w:r w:rsidR="007B0DE0" w:rsidRPr="00DB366E">
        <w:rPr>
          <w:rFonts w:ascii="Arial" w:hAnsi="Arial" w:cs="Arial"/>
        </w:rPr>
        <w:t xml:space="preserve">Each process will be analyzed through the facts in </w:t>
      </w:r>
      <w:r w:rsidR="007B0DE0" w:rsidRPr="00DB366E">
        <w:rPr>
          <w:rFonts w:ascii="Arial" w:hAnsi="Arial" w:cs="Arial"/>
        </w:rPr>
        <w:lastRenderedPageBreak/>
        <w:t xml:space="preserve">the case. </w:t>
      </w:r>
      <w:r w:rsidR="007402A0">
        <w:rPr>
          <w:rFonts w:ascii="Arial" w:hAnsi="Arial" w:cs="Arial"/>
        </w:rPr>
        <w:t xml:space="preserve">Business restructuring has four phases, </w:t>
      </w:r>
      <w:r w:rsidR="00435C34">
        <w:rPr>
          <w:rFonts w:ascii="Arial" w:hAnsi="Arial" w:cs="Arial"/>
        </w:rPr>
        <w:t>which frequently overlap: (i) stabilizing; (ii) analyzing; (iii) repositioning; (iv) reinforcing.</w:t>
      </w:r>
      <w:r w:rsidR="00360FFC">
        <w:rPr>
          <w:rStyle w:val="FootnoteReference"/>
          <w:rFonts w:ascii="Arial" w:hAnsi="Arial" w:cs="Arial"/>
        </w:rPr>
        <w:footnoteReference w:id="15"/>
      </w:r>
      <w:r w:rsidR="00454021">
        <w:rPr>
          <w:rFonts w:ascii="Arial" w:hAnsi="Arial" w:cs="Arial"/>
        </w:rPr>
        <w:t xml:space="preserve"> </w:t>
      </w:r>
    </w:p>
    <w:p w14:paraId="407E1747" w14:textId="4C6762F3" w:rsidR="00971467" w:rsidRDefault="00454021" w:rsidP="002A14C0">
      <w:pPr>
        <w:autoSpaceDE w:val="0"/>
        <w:autoSpaceDN w:val="0"/>
        <w:adjustRightInd w:val="0"/>
        <w:spacing w:after="0" w:line="240" w:lineRule="auto"/>
        <w:rPr>
          <w:rFonts w:ascii="Arial" w:hAnsi="Arial" w:cs="Arial"/>
        </w:rPr>
      </w:pPr>
      <w:r>
        <w:rPr>
          <w:rFonts w:ascii="Arial" w:hAnsi="Arial" w:cs="Arial"/>
        </w:rPr>
        <w:t xml:space="preserve">Stabilizing </w:t>
      </w:r>
      <w:r w:rsidR="00684498">
        <w:rPr>
          <w:rFonts w:ascii="Arial" w:hAnsi="Arial" w:cs="Arial"/>
        </w:rPr>
        <w:t xml:space="preserve">is aimed at actions which increase cash flow and allow for breathing room. </w:t>
      </w:r>
      <w:r w:rsidR="00F869DD">
        <w:rPr>
          <w:rFonts w:ascii="Arial" w:hAnsi="Arial" w:cs="Arial"/>
        </w:rPr>
        <w:t>In the Flow case study, p</w:t>
      </w:r>
      <w:r w:rsidR="00D57B29">
        <w:rPr>
          <w:rFonts w:ascii="Arial" w:hAnsi="Arial" w:cs="Arial"/>
        </w:rPr>
        <w:t xml:space="preserve">roposals were presented to </w:t>
      </w:r>
      <w:r w:rsidR="006219F4">
        <w:rPr>
          <w:rFonts w:ascii="Arial" w:hAnsi="Arial" w:cs="Arial"/>
        </w:rPr>
        <w:t xml:space="preserve">increase cash flow such as </w:t>
      </w:r>
      <w:r w:rsidR="00F67846">
        <w:rPr>
          <w:rFonts w:ascii="Arial" w:hAnsi="Arial" w:cs="Arial"/>
        </w:rPr>
        <w:t>increasing prices</w:t>
      </w:r>
      <w:r w:rsidR="00741D05">
        <w:rPr>
          <w:rFonts w:ascii="Arial" w:hAnsi="Arial" w:cs="Arial"/>
        </w:rPr>
        <w:t xml:space="preserve">, </w:t>
      </w:r>
      <w:r w:rsidR="009B7AEC">
        <w:rPr>
          <w:rFonts w:ascii="Arial" w:hAnsi="Arial" w:cs="Arial"/>
        </w:rPr>
        <w:t xml:space="preserve">spending </w:t>
      </w:r>
      <w:r w:rsidR="009176B9">
        <w:rPr>
          <w:rFonts w:ascii="Arial" w:hAnsi="Arial" w:cs="Arial"/>
        </w:rPr>
        <w:t>cuts,</w:t>
      </w:r>
      <w:r w:rsidR="005153A0">
        <w:rPr>
          <w:rFonts w:ascii="Arial" w:hAnsi="Arial" w:cs="Arial"/>
        </w:rPr>
        <w:t xml:space="preserve"> and</w:t>
      </w:r>
      <w:r w:rsidR="009B7AEC">
        <w:rPr>
          <w:rFonts w:ascii="Arial" w:hAnsi="Arial" w:cs="Arial"/>
        </w:rPr>
        <w:t xml:space="preserve"> sell</w:t>
      </w:r>
      <w:r w:rsidR="00FD1B21">
        <w:rPr>
          <w:rFonts w:ascii="Arial" w:hAnsi="Arial" w:cs="Arial"/>
        </w:rPr>
        <w:t>ing</w:t>
      </w:r>
      <w:r w:rsidR="009B7AEC">
        <w:rPr>
          <w:rFonts w:ascii="Arial" w:hAnsi="Arial" w:cs="Arial"/>
        </w:rPr>
        <w:t xml:space="preserve"> cars</w:t>
      </w:r>
      <w:r w:rsidR="00FD1B21">
        <w:rPr>
          <w:rFonts w:ascii="Arial" w:hAnsi="Arial" w:cs="Arial"/>
        </w:rPr>
        <w:t xml:space="preserve">. While the first two proposals </w:t>
      </w:r>
      <w:r w:rsidR="00E434E8">
        <w:rPr>
          <w:rFonts w:ascii="Arial" w:hAnsi="Arial" w:cs="Arial"/>
        </w:rPr>
        <w:t xml:space="preserve">were </w:t>
      </w:r>
      <w:r w:rsidR="002D3292">
        <w:rPr>
          <w:rFonts w:ascii="Arial" w:hAnsi="Arial" w:cs="Arial"/>
        </w:rPr>
        <w:t xml:space="preserve">starting to be implemented in December 2013, </w:t>
      </w:r>
      <w:r w:rsidR="005264D5">
        <w:rPr>
          <w:rFonts w:ascii="Arial" w:hAnsi="Arial" w:cs="Arial"/>
        </w:rPr>
        <w:t>in June 2014 they still seem to have not been</w:t>
      </w:r>
      <w:r w:rsidR="00785158">
        <w:rPr>
          <w:rFonts w:ascii="Arial" w:hAnsi="Arial" w:cs="Arial"/>
        </w:rPr>
        <w:t xml:space="preserve"> fully</w:t>
      </w:r>
      <w:r w:rsidR="005264D5">
        <w:rPr>
          <w:rFonts w:ascii="Arial" w:hAnsi="Arial" w:cs="Arial"/>
        </w:rPr>
        <w:t xml:space="preserve"> implemented.</w:t>
      </w:r>
      <w:r w:rsidR="001C0C0B">
        <w:rPr>
          <w:rFonts w:ascii="Arial" w:hAnsi="Arial" w:cs="Arial"/>
        </w:rPr>
        <w:t xml:space="preserve"> </w:t>
      </w:r>
      <w:r w:rsidR="00785158">
        <w:rPr>
          <w:rFonts w:ascii="Arial" w:hAnsi="Arial" w:cs="Arial"/>
        </w:rPr>
        <w:t xml:space="preserve">It’s not clear how much this assisted in a short-term increase of cash flow. </w:t>
      </w:r>
    </w:p>
    <w:p w14:paraId="53AF1F95" w14:textId="77777777" w:rsidR="00971467" w:rsidRDefault="00971467" w:rsidP="002A14C0">
      <w:pPr>
        <w:autoSpaceDE w:val="0"/>
        <w:autoSpaceDN w:val="0"/>
        <w:adjustRightInd w:val="0"/>
        <w:spacing w:after="0" w:line="240" w:lineRule="auto"/>
        <w:rPr>
          <w:rFonts w:ascii="Arial" w:hAnsi="Arial" w:cs="Arial"/>
        </w:rPr>
      </w:pPr>
    </w:p>
    <w:p w14:paraId="43386B0B" w14:textId="461D2B35" w:rsidR="004E2679" w:rsidRDefault="001C0C0B" w:rsidP="002A14C0">
      <w:pPr>
        <w:autoSpaceDE w:val="0"/>
        <w:autoSpaceDN w:val="0"/>
        <w:adjustRightInd w:val="0"/>
        <w:spacing w:after="0" w:line="240" w:lineRule="auto"/>
        <w:rPr>
          <w:rFonts w:ascii="Arial" w:hAnsi="Arial" w:cs="Arial"/>
        </w:rPr>
      </w:pPr>
      <w:r>
        <w:rPr>
          <w:rFonts w:ascii="Arial" w:hAnsi="Arial" w:cs="Arial"/>
        </w:rPr>
        <w:t>Analyzing is the next phase where the company examines its long</w:t>
      </w:r>
      <w:r w:rsidR="00205FF4">
        <w:rPr>
          <w:rFonts w:ascii="Arial" w:hAnsi="Arial" w:cs="Arial"/>
        </w:rPr>
        <w:t>-</w:t>
      </w:r>
      <w:r>
        <w:rPr>
          <w:rFonts w:ascii="Arial" w:hAnsi="Arial" w:cs="Arial"/>
        </w:rPr>
        <w:t xml:space="preserve">term </w:t>
      </w:r>
      <w:r w:rsidR="00205FF4">
        <w:rPr>
          <w:rFonts w:ascii="Arial" w:hAnsi="Arial" w:cs="Arial"/>
        </w:rPr>
        <w:t>viability.</w:t>
      </w:r>
      <w:r w:rsidR="00205FF4">
        <w:rPr>
          <w:rStyle w:val="FootnoteReference"/>
          <w:rFonts w:ascii="Arial" w:hAnsi="Arial" w:cs="Arial"/>
        </w:rPr>
        <w:footnoteReference w:id="16"/>
      </w:r>
      <w:r w:rsidR="001E02C6">
        <w:rPr>
          <w:rFonts w:ascii="Arial" w:hAnsi="Arial" w:cs="Arial"/>
        </w:rPr>
        <w:t xml:space="preserve"> </w:t>
      </w:r>
      <w:r w:rsidR="00BC1F46">
        <w:rPr>
          <w:rFonts w:ascii="Arial" w:hAnsi="Arial" w:cs="Arial"/>
        </w:rPr>
        <w:t>In this phase</w:t>
      </w:r>
      <w:r w:rsidR="00E3135B">
        <w:rPr>
          <w:rFonts w:ascii="Arial" w:hAnsi="Arial" w:cs="Arial"/>
        </w:rPr>
        <w:t xml:space="preserve">, the contents of the reorganization plan and measures to restore long-term profitability are </w:t>
      </w:r>
      <w:r w:rsidR="006539CB">
        <w:rPr>
          <w:rFonts w:ascii="Arial" w:hAnsi="Arial" w:cs="Arial"/>
        </w:rPr>
        <w:t xml:space="preserve">central. This includes examining the causes for the financial distress, the actual financial position, </w:t>
      </w:r>
      <w:r w:rsidR="00575BB3">
        <w:rPr>
          <w:rFonts w:ascii="Arial" w:hAnsi="Arial" w:cs="Arial"/>
        </w:rPr>
        <w:t xml:space="preserve">proposed measures to remedy the situation and cash flow projections. </w:t>
      </w:r>
      <w:r w:rsidR="00005767">
        <w:rPr>
          <w:rFonts w:ascii="Arial" w:hAnsi="Arial" w:cs="Arial"/>
        </w:rPr>
        <w:t xml:space="preserve">A </w:t>
      </w:r>
      <w:r w:rsidR="00F64393">
        <w:rPr>
          <w:rFonts w:ascii="Arial" w:hAnsi="Arial" w:cs="Arial"/>
        </w:rPr>
        <w:t>turnaround expert is often hired in this process.</w:t>
      </w:r>
      <w:r w:rsidR="00F64393">
        <w:rPr>
          <w:rStyle w:val="FootnoteReference"/>
          <w:rFonts w:ascii="Arial" w:hAnsi="Arial" w:cs="Arial"/>
        </w:rPr>
        <w:footnoteReference w:id="17"/>
      </w:r>
      <w:r w:rsidR="00420F9F">
        <w:rPr>
          <w:rFonts w:ascii="Arial" w:hAnsi="Arial" w:cs="Arial"/>
        </w:rPr>
        <w:t xml:space="preserve"> </w:t>
      </w:r>
      <w:r w:rsidR="00633CFF">
        <w:rPr>
          <w:rFonts w:ascii="Arial" w:hAnsi="Arial" w:cs="Arial"/>
        </w:rPr>
        <w:t xml:space="preserve">Flow did </w:t>
      </w:r>
      <w:r w:rsidR="00FE6E6C">
        <w:rPr>
          <w:rFonts w:ascii="Arial" w:hAnsi="Arial" w:cs="Arial"/>
        </w:rPr>
        <w:t xml:space="preserve">some of these things: it looked at </w:t>
      </w:r>
      <w:r w:rsidR="0011010D">
        <w:rPr>
          <w:rFonts w:ascii="Arial" w:hAnsi="Arial" w:cs="Arial"/>
        </w:rPr>
        <w:t xml:space="preserve">the causes of the loses (although some are not fully explained like the large management bonuses), </w:t>
      </w:r>
      <w:r w:rsidR="0051303E">
        <w:rPr>
          <w:rFonts w:ascii="Arial" w:hAnsi="Arial" w:cs="Arial"/>
        </w:rPr>
        <w:t xml:space="preserve">hired an </w:t>
      </w:r>
      <w:r w:rsidR="00D56D7E">
        <w:rPr>
          <w:rFonts w:ascii="Arial" w:hAnsi="Arial" w:cs="Arial"/>
        </w:rPr>
        <w:t>accounting firm</w:t>
      </w:r>
      <w:r w:rsidR="0051303E">
        <w:rPr>
          <w:rFonts w:ascii="Arial" w:hAnsi="Arial" w:cs="Arial"/>
        </w:rPr>
        <w:t xml:space="preserve"> to investigate the procedures</w:t>
      </w:r>
      <w:r w:rsidR="00DB0EFE">
        <w:rPr>
          <w:rFonts w:ascii="Arial" w:hAnsi="Arial" w:cs="Arial"/>
        </w:rPr>
        <w:t xml:space="preserve"> as well as a</w:t>
      </w:r>
      <w:r w:rsidR="00246B4A">
        <w:rPr>
          <w:rFonts w:ascii="Arial" w:hAnsi="Arial" w:cs="Arial"/>
        </w:rPr>
        <w:t xml:space="preserve">n independent turnaround consultancy (and eventually a Chief Restructuring Officer). </w:t>
      </w:r>
      <w:r w:rsidR="009E5162">
        <w:rPr>
          <w:rFonts w:ascii="Arial" w:hAnsi="Arial" w:cs="Arial"/>
        </w:rPr>
        <w:t>Flow proposed measures to remedy the situation</w:t>
      </w:r>
      <w:r w:rsidR="00BC661D">
        <w:rPr>
          <w:rFonts w:ascii="Arial" w:hAnsi="Arial" w:cs="Arial"/>
        </w:rPr>
        <w:t xml:space="preserve">, </w:t>
      </w:r>
      <w:r w:rsidR="0009597B">
        <w:rPr>
          <w:rFonts w:ascii="Arial" w:hAnsi="Arial" w:cs="Arial"/>
        </w:rPr>
        <w:t>including employee redundancies</w:t>
      </w:r>
      <w:r w:rsidR="00487D27">
        <w:rPr>
          <w:rFonts w:ascii="Arial" w:hAnsi="Arial" w:cs="Arial"/>
        </w:rPr>
        <w:t xml:space="preserve"> (although, it is not noted whether they are excess</w:t>
      </w:r>
      <w:r w:rsidR="00C26253">
        <w:rPr>
          <w:rFonts w:ascii="Arial" w:hAnsi="Arial" w:cs="Arial"/>
        </w:rPr>
        <w:t xml:space="preserve"> employees</w:t>
      </w:r>
      <w:r w:rsidR="00487D27">
        <w:rPr>
          <w:rFonts w:ascii="Arial" w:hAnsi="Arial" w:cs="Arial"/>
        </w:rPr>
        <w:t>)</w:t>
      </w:r>
      <w:r w:rsidR="0009597B">
        <w:rPr>
          <w:rFonts w:ascii="Arial" w:hAnsi="Arial" w:cs="Arial"/>
        </w:rPr>
        <w:t>,</w:t>
      </w:r>
      <w:r w:rsidR="00487D27">
        <w:rPr>
          <w:rFonts w:ascii="Arial" w:hAnsi="Arial" w:cs="Arial"/>
        </w:rPr>
        <w:t xml:space="preserve"> </w:t>
      </w:r>
      <w:r w:rsidR="00312C81">
        <w:rPr>
          <w:rFonts w:ascii="Arial" w:hAnsi="Arial" w:cs="Arial"/>
        </w:rPr>
        <w:t xml:space="preserve">increasing prices, </w:t>
      </w:r>
      <w:r w:rsidR="00951DC5">
        <w:rPr>
          <w:rFonts w:ascii="Arial" w:hAnsi="Arial" w:cs="Arial"/>
        </w:rPr>
        <w:t>improved loss recovery</w:t>
      </w:r>
      <w:r w:rsidR="00846186">
        <w:rPr>
          <w:rFonts w:ascii="Arial" w:hAnsi="Arial" w:cs="Arial"/>
        </w:rPr>
        <w:t xml:space="preserve">. However, </w:t>
      </w:r>
      <w:r w:rsidR="00A06E68">
        <w:rPr>
          <w:rFonts w:ascii="Arial" w:hAnsi="Arial" w:cs="Arial"/>
        </w:rPr>
        <w:t xml:space="preserve">strategic business </w:t>
      </w:r>
      <w:r w:rsidR="005A3CE9">
        <w:rPr>
          <w:rFonts w:ascii="Arial" w:hAnsi="Arial" w:cs="Arial"/>
        </w:rPr>
        <w:t xml:space="preserve">changes seem to be missing from the reorganization plans all along. For example, while </w:t>
      </w:r>
      <w:r w:rsidR="00846186">
        <w:rPr>
          <w:rFonts w:ascii="Arial" w:hAnsi="Arial" w:cs="Arial"/>
        </w:rPr>
        <w:t xml:space="preserve">Flow mentions they will </w:t>
      </w:r>
      <w:r w:rsidR="0091402D">
        <w:rPr>
          <w:rFonts w:ascii="Arial" w:hAnsi="Arial" w:cs="Arial"/>
        </w:rPr>
        <w:t>investigate</w:t>
      </w:r>
      <w:r w:rsidR="00846186">
        <w:rPr>
          <w:rFonts w:ascii="Arial" w:hAnsi="Arial" w:cs="Arial"/>
        </w:rPr>
        <w:t xml:space="preserve"> </w:t>
      </w:r>
      <w:r w:rsidR="00A06E68">
        <w:rPr>
          <w:rFonts w:ascii="Arial" w:hAnsi="Arial" w:cs="Arial"/>
        </w:rPr>
        <w:t xml:space="preserve">the entire </w:t>
      </w:r>
      <w:r w:rsidR="00ED00AD">
        <w:rPr>
          <w:rFonts w:ascii="Arial" w:hAnsi="Arial" w:cs="Arial"/>
        </w:rPr>
        <w:t xml:space="preserve">product-range, this does not appear to be </w:t>
      </w:r>
      <w:r w:rsidR="00AE3A10">
        <w:rPr>
          <w:rFonts w:ascii="Arial" w:hAnsi="Arial" w:cs="Arial"/>
        </w:rPr>
        <w:t xml:space="preserve">followed through with </w:t>
      </w:r>
      <w:r w:rsidR="00E957E5">
        <w:rPr>
          <w:rFonts w:ascii="Arial" w:hAnsi="Arial" w:cs="Arial"/>
        </w:rPr>
        <w:t>in the October 2014 scenarios or the final Restructuring Agreement.</w:t>
      </w:r>
      <w:r w:rsidR="005E3BB8">
        <w:rPr>
          <w:rFonts w:ascii="Arial" w:hAnsi="Arial" w:cs="Arial"/>
        </w:rPr>
        <w:t xml:space="preserve"> Further</w:t>
      </w:r>
      <w:r w:rsidR="0031596E">
        <w:rPr>
          <w:rFonts w:ascii="Arial" w:hAnsi="Arial" w:cs="Arial"/>
        </w:rPr>
        <w:t>,</w:t>
      </w:r>
      <w:r w:rsidR="005E3BB8">
        <w:rPr>
          <w:rFonts w:ascii="Arial" w:hAnsi="Arial" w:cs="Arial"/>
        </w:rPr>
        <w:t xml:space="preserve"> improving management information systems </w:t>
      </w:r>
      <w:r w:rsidR="00EF07A3">
        <w:rPr>
          <w:rFonts w:ascii="Arial" w:hAnsi="Arial" w:cs="Arial"/>
        </w:rPr>
        <w:t>is</w:t>
      </w:r>
      <w:r w:rsidR="00F558B8">
        <w:rPr>
          <w:rFonts w:ascii="Arial" w:hAnsi="Arial" w:cs="Arial"/>
        </w:rPr>
        <w:t xml:space="preserve"> “expected” but figures keep changing</w:t>
      </w:r>
      <w:r w:rsidR="00AF42AD">
        <w:rPr>
          <w:rFonts w:ascii="Arial" w:hAnsi="Arial" w:cs="Arial"/>
        </w:rPr>
        <w:t xml:space="preserve"> throughout the process – it is not clear whether these important elements will be part of the </w:t>
      </w:r>
      <w:r w:rsidR="00044FC7">
        <w:rPr>
          <w:rFonts w:ascii="Arial" w:hAnsi="Arial" w:cs="Arial"/>
        </w:rPr>
        <w:t>Restructuring Agreement</w:t>
      </w:r>
      <w:r w:rsidR="00AF42AD">
        <w:rPr>
          <w:rFonts w:ascii="Arial" w:hAnsi="Arial" w:cs="Arial"/>
        </w:rPr>
        <w:t>.</w:t>
      </w:r>
      <w:r w:rsidR="005E3BB8">
        <w:rPr>
          <w:rFonts w:ascii="Arial" w:hAnsi="Arial" w:cs="Arial"/>
        </w:rPr>
        <w:t xml:space="preserve"> </w:t>
      </w:r>
    </w:p>
    <w:p w14:paraId="4A3B3CE0" w14:textId="77777777" w:rsidR="00F869DD" w:rsidRDefault="00F869DD" w:rsidP="002A14C0">
      <w:pPr>
        <w:autoSpaceDE w:val="0"/>
        <w:autoSpaceDN w:val="0"/>
        <w:adjustRightInd w:val="0"/>
        <w:spacing w:after="0" w:line="240" w:lineRule="auto"/>
        <w:rPr>
          <w:rFonts w:ascii="Arial" w:hAnsi="Arial" w:cs="Arial"/>
        </w:rPr>
      </w:pPr>
    </w:p>
    <w:p w14:paraId="5C228C0E" w14:textId="42F8C138" w:rsidR="004E2679" w:rsidRDefault="0092252B" w:rsidP="002A14C0">
      <w:pPr>
        <w:autoSpaceDE w:val="0"/>
        <w:autoSpaceDN w:val="0"/>
        <w:adjustRightInd w:val="0"/>
        <w:spacing w:after="0" w:line="240" w:lineRule="auto"/>
        <w:rPr>
          <w:rFonts w:ascii="Arial" w:hAnsi="Arial" w:cs="Arial"/>
        </w:rPr>
      </w:pPr>
      <w:r>
        <w:rPr>
          <w:rFonts w:ascii="Arial" w:hAnsi="Arial" w:cs="Arial"/>
        </w:rPr>
        <w:t xml:space="preserve">Repositioning is the next phase, </w:t>
      </w:r>
      <w:r w:rsidR="00826D03" w:rsidRPr="003270CD">
        <w:rPr>
          <w:rFonts w:ascii="Arial" w:hAnsi="Arial" w:cs="Arial"/>
        </w:rPr>
        <w:t xml:space="preserve">which is the time when management </w:t>
      </w:r>
      <w:r w:rsidR="002C36B0" w:rsidRPr="003270CD">
        <w:rPr>
          <w:rFonts w:ascii="Arial" w:hAnsi="Arial" w:cs="Arial"/>
        </w:rPr>
        <w:t>initiates the</w:t>
      </w:r>
      <w:r w:rsidR="00F869DD" w:rsidRPr="003270CD">
        <w:rPr>
          <w:rFonts w:ascii="Arial" w:hAnsi="Arial" w:cs="Arial"/>
        </w:rPr>
        <w:t xml:space="preserve"> </w:t>
      </w:r>
      <w:r w:rsidR="002C36B0" w:rsidRPr="003270CD">
        <w:rPr>
          <w:rFonts w:ascii="Arial" w:hAnsi="Arial" w:cs="Arial"/>
        </w:rPr>
        <w:t>reorganization</w:t>
      </w:r>
      <w:r w:rsidR="00F23150">
        <w:rPr>
          <w:rFonts w:ascii="Arial" w:hAnsi="Arial" w:cs="Arial"/>
        </w:rPr>
        <w:t xml:space="preserve"> and recover value</w:t>
      </w:r>
      <w:r w:rsidR="002C36B0">
        <w:rPr>
          <w:rFonts w:ascii="Arial" w:hAnsi="Arial" w:cs="Arial"/>
        </w:rPr>
        <w:t>.</w:t>
      </w:r>
      <w:r w:rsidR="00F23150">
        <w:rPr>
          <w:rStyle w:val="FootnoteReference"/>
          <w:rFonts w:ascii="Arial" w:hAnsi="Arial" w:cs="Arial"/>
        </w:rPr>
        <w:footnoteReference w:id="18"/>
      </w:r>
      <w:r w:rsidR="002C36B0">
        <w:rPr>
          <w:rFonts w:ascii="Arial" w:hAnsi="Arial" w:cs="Arial"/>
        </w:rPr>
        <w:t xml:space="preserve"> </w:t>
      </w:r>
      <w:r w:rsidR="00C61C00">
        <w:rPr>
          <w:rFonts w:ascii="Arial" w:hAnsi="Arial" w:cs="Arial"/>
        </w:rPr>
        <w:t xml:space="preserve">After the Reorganization Agreement is </w:t>
      </w:r>
      <w:r w:rsidR="00BE7AC0">
        <w:rPr>
          <w:rFonts w:ascii="Arial" w:hAnsi="Arial" w:cs="Arial"/>
        </w:rPr>
        <w:t xml:space="preserve">signed, it appears that Flow’s management (now as Flow II) </w:t>
      </w:r>
      <w:r w:rsidR="00B85BCF">
        <w:rPr>
          <w:rFonts w:ascii="Arial" w:hAnsi="Arial" w:cs="Arial"/>
        </w:rPr>
        <w:t xml:space="preserve">is still struggling – forecasts are still very weak – the </w:t>
      </w:r>
      <w:r w:rsidR="00765424">
        <w:rPr>
          <w:rFonts w:ascii="Arial" w:hAnsi="Arial" w:cs="Arial"/>
        </w:rPr>
        <w:t xml:space="preserve">estimated </w:t>
      </w:r>
      <w:r w:rsidR="00B85BCF">
        <w:rPr>
          <w:rFonts w:ascii="Arial" w:hAnsi="Arial" w:cs="Arial"/>
        </w:rPr>
        <w:t xml:space="preserve">break-even result </w:t>
      </w:r>
      <w:r w:rsidR="008C6889">
        <w:rPr>
          <w:rFonts w:ascii="Arial" w:hAnsi="Arial" w:cs="Arial"/>
        </w:rPr>
        <w:t xml:space="preserve">has been revised to a loss of EUR 9 million. </w:t>
      </w:r>
      <w:r w:rsidR="00B33621">
        <w:rPr>
          <w:rFonts w:ascii="Arial" w:hAnsi="Arial" w:cs="Arial"/>
        </w:rPr>
        <w:t>This would do little to restore the confidence of creditors and investors</w:t>
      </w:r>
      <w:r w:rsidR="00356555">
        <w:rPr>
          <w:rFonts w:ascii="Arial" w:hAnsi="Arial" w:cs="Arial"/>
        </w:rPr>
        <w:t>. Open and timely communication, so important to success,</w:t>
      </w:r>
      <w:r w:rsidR="00356555">
        <w:rPr>
          <w:rStyle w:val="FootnoteReference"/>
          <w:rFonts w:ascii="Arial" w:hAnsi="Arial" w:cs="Arial"/>
        </w:rPr>
        <w:footnoteReference w:id="19"/>
      </w:r>
      <w:r w:rsidR="00356555">
        <w:rPr>
          <w:rFonts w:ascii="Arial" w:hAnsi="Arial" w:cs="Arial"/>
        </w:rPr>
        <w:t xml:space="preserve"> seem to be lacking.</w:t>
      </w:r>
      <w:r w:rsidR="00B70399">
        <w:rPr>
          <w:rFonts w:ascii="Arial" w:hAnsi="Arial" w:cs="Arial"/>
        </w:rPr>
        <w:t xml:space="preserve"> </w:t>
      </w:r>
      <w:r w:rsidR="009D6640">
        <w:rPr>
          <w:rFonts w:ascii="Arial" w:hAnsi="Arial" w:cs="Arial"/>
        </w:rPr>
        <w:t>The last phase, reinforc</w:t>
      </w:r>
      <w:r w:rsidR="00842600">
        <w:rPr>
          <w:rFonts w:ascii="Arial" w:hAnsi="Arial" w:cs="Arial"/>
        </w:rPr>
        <w:t>in</w:t>
      </w:r>
      <w:r w:rsidR="00A544C5">
        <w:rPr>
          <w:rFonts w:ascii="Arial" w:hAnsi="Arial" w:cs="Arial"/>
        </w:rPr>
        <w:t>g</w:t>
      </w:r>
      <w:r w:rsidR="00B0242D">
        <w:rPr>
          <w:rFonts w:ascii="Arial" w:hAnsi="Arial" w:cs="Arial"/>
        </w:rPr>
        <w:t>,</w:t>
      </w:r>
      <w:r w:rsidR="00A544C5">
        <w:rPr>
          <w:rFonts w:ascii="Arial" w:hAnsi="Arial" w:cs="Arial"/>
        </w:rPr>
        <w:t xml:space="preserve"> includes increasing</w:t>
      </w:r>
      <w:r w:rsidR="001831EA">
        <w:rPr>
          <w:rFonts w:ascii="Arial" w:hAnsi="Arial" w:cs="Arial"/>
        </w:rPr>
        <w:t xml:space="preserve"> the balance sheet of the company</w:t>
      </w:r>
      <w:r w:rsidR="00A544C5">
        <w:rPr>
          <w:rFonts w:ascii="Arial" w:hAnsi="Arial" w:cs="Arial"/>
        </w:rPr>
        <w:t xml:space="preserve">, </w:t>
      </w:r>
      <w:r w:rsidR="001831EA">
        <w:rPr>
          <w:rFonts w:ascii="Arial" w:hAnsi="Arial" w:cs="Arial"/>
        </w:rPr>
        <w:t xml:space="preserve">transfer to a healthy </w:t>
      </w:r>
      <w:r w:rsidR="00A544C5">
        <w:rPr>
          <w:rFonts w:ascii="Arial" w:hAnsi="Arial" w:cs="Arial"/>
        </w:rPr>
        <w:t xml:space="preserve">company and management changes. </w:t>
      </w:r>
      <w:r w:rsidR="00214A88">
        <w:rPr>
          <w:rFonts w:ascii="Arial" w:hAnsi="Arial" w:cs="Arial"/>
        </w:rPr>
        <w:t>While proposals are made by the shareholder throughout to contribute more money</w:t>
      </w:r>
      <w:r w:rsidR="00C51BFF">
        <w:rPr>
          <w:rFonts w:ascii="Arial" w:hAnsi="Arial" w:cs="Arial"/>
        </w:rPr>
        <w:t xml:space="preserve">, they do not seem to have materialized except for the EUR 10 million at the start. </w:t>
      </w:r>
      <w:r w:rsidR="00605331">
        <w:rPr>
          <w:rFonts w:ascii="Arial" w:hAnsi="Arial" w:cs="Arial"/>
        </w:rPr>
        <w:t xml:space="preserve">Other capital injections are not forthcoming. </w:t>
      </w:r>
      <w:r w:rsidR="00FF65B2">
        <w:rPr>
          <w:rFonts w:ascii="Arial" w:hAnsi="Arial" w:cs="Arial"/>
        </w:rPr>
        <w:t>Flow does make management changes</w:t>
      </w:r>
      <w:r w:rsidR="003608F0">
        <w:rPr>
          <w:rFonts w:ascii="Arial" w:hAnsi="Arial" w:cs="Arial"/>
        </w:rPr>
        <w:t xml:space="preserve"> throughout the process leading to </w:t>
      </w:r>
      <w:r w:rsidR="00FF65B2">
        <w:rPr>
          <w:rFonts w:ascii="Arial" w:hAnsi="Arial" w:cs="Arial"/>
        </w:rPr>
        <w:t>the final Restructuring Agreement</w:t>
      </w:r>
      <w:r w:rsidR="003608F0">
        <w:rPr>
          <w:rFonts w:ascii="Arial" w:hAnsi="Arial" w:cs="Arial"/>
        </w:rPr>
        <w:t xml:space="preserve">: the CFO and CEO are replaced and a CRO is brought onboard. </w:t>
      </w:r>
      <w:r w:rsidR="008573F2">
        <w:rPr>
          <w:rFonts w:ascii="Arial" w:hAnsi="Arial" w:cs="Arial"/>
        </w:rPr>
        <w:t>Finally, as part of the Restructuring Agreement, a new (presumably healthy) shell company Flow Management II BV is created.</w:t>
      </w:r>
    </w:p>
    <w:p w14:paraId="3A3E8232" w14:textId="77777777" w:rsidR="008573F2" w:rsidRDefault="008573F2" w:rsidP="002A14C0">
      <w:pPr>
        <w:autoSpaceDE w:val="0"/>
        <w:autoSpaceDN w:val="0"/>
        <w:adjustRightInd w:val="0"/>
        <w:spacing w:after="0" w:line="240" w:lineRule="auto"/>
        <w:rPr>
          <w:rFonts w:ascii="Arial" w:hAnsi="Arial" w:cs="Arial"/>
        </w:rPr>
      </w:pPr>
    </w:p>
    <w:p w14:paraId="53083F22" w14:textId="5E70055D" w:rsidR="008573F2" w:rsidRPr="0092252B" w:rsidRDefault="008A48E9" w:rsidP="002A14C0">
      <w:pPr>
        <w:autoSpaceDE w:val="0"/>
        <w:autoSpaceDN w:val="0"/>
        <w:adjustRightInd w:val="0"/>
        <w:spacing w:after="0" w:line="240" w:lineRule="auto"/>
        <w:rPr>
          <w:rFonts w:ascii="Arial" w:hAnsi="Arial" w:cs="Arial"/>
        </w:rPr>
      </w:pPr>
      <w:r>
        <w:rPr>
          <w:rFonts w:ascii="Arial" w:hAnsi="Arial" w:cs="Arial"/>
        </w:rPr>
        <w:t>The second process discussed by Adriaanse, financial restructuring</w:t>
      </w:r>
      <w:r w:rsidR="00BA5AAF">
        <w:rPr>
          <w:rFonts w:ascii="Arial" w:hAnsi="Arial" w:cs="Arial"/>
        </w:rPr>
        <w:t xml:space="preserve">, </w:t>
      </w:r>
      <w:r w:rsidR="000A74C0">
        <w:rPr>
          <w:rFonts w:ascii="Arial" w:hAnsi="Arial" w:cs="Arial"/>
        </w:rPr>
        <w:t xml:space="preserve">is done to some extent in the Restructuring Agreement. </w:t>
      </w:r>
      <w:r w:rsidR="00A47D4C">
        <w:rPr>
          <w:rFonts w:ascii="Arial" w:hAnsi="Arial" w:cs="Arial"/>
        </w:rPr>
        <w:t xml:space="preserve">For example, Banks C &amp; D </w:t>
      </w:r>
      <w:r w:rsidR="004B5FD0">
        <w:rPr>
          <w:rFonts w:ascii="Arial" w:hAnsi="Arial" w:cs="Arial"/>
        </w:rPr>
        <w:t xml:space="preserve">write off their entire debt against Flow Management </w:t>
      </w:r>
      <w:r w:rsidR="009B5C2F">
        <w:rPr>
          <w:rFonts w:ascii="Arial" w:hAnsi="Arial" w:cs="Arial"/>
        </w:rPr>
        <w:t>Work BV and the consortium who provided working capital waive EUR 97.5 million</w:t>
      </w:r>
      <w:r w:rsidR="00E0678E">
        <w:rPr>
          <w:rFonts w:ascii="Arial" w:hAnsi="Arial" w:cs="Arial"/>
        </w:rPr>
        <w:t>, a EUR 55 million loan in Flow Management Work BV is also cancelled.</w:t>
      </w:r>
      <w:r w:rsidR="00045642">
        <w:rPr>
          <w:rFonts w:ascii="Arial" w:hAnsi="Arial" w:cs="Arial"/>
        </w:rPr>
        <w:t xml:space="preserve"> </w:t>
      </w:r>
      <w:r w:rsidR="00AE0530">
        <w:rPr>
          <w:rFonts w:ascii="Arial" w:hAnsi="Arial" w:cs="Arial"/>
        </w:rPr>
        <w:t xml:space="preserve">The Banks will receive shares in the new Flow Management II BV. </w:t>
      </w:r>
      <w:r w:rsidR="00045642">
        <w:rPr>
          <w:rFonts w:ascii="Arial" w:hAnsi="Arial" w:cs="Arial"/>
        </w:rPr>
        <w:t xml:space="preserve">However, </w:t>
      </w:r>
      <w:r w:rsidR="00004118">
        <w:rPr>
          <w:rFonts w:ascii="Arial" w:hAnsi="Arial" w:cs="Arial"/>
        </w:rPr>
        <w:t xml:space="preserve">it does not appear as though </w:t>
      </w:r>
      <w:r w:rsidR="008A593A">
        <w:rPr>
          <w:rFonts w:ascii="Arial" w:hAnsi="Arial" w:cs="Arial"/>
        </w:rPr>
        <w:t xml:space="preserve">other financial restructuring has occurred – there is no mention of reducing interest obligations, </w:t>
      </w:r>
      <w:r w:rsidR="008A593A">
        <w:rPr>
          <w:rFonts w:ascii="Arial" w:hAnsi="Arial" w:cs="Arial"/>
        </w:rPr>
        <w:lastRenderedPageBreak/>
        <w:t>deferring payments</w:t>
      </w:r>
      <w:r w:rsidR="002E723D">
        <w:rPr>
          <w:rFonts w:ascii="Arial" w:hAnsi="Arial" w:cs="Arial"/>
        </w:rPr>
        <w:t xml:space="preserve">. </w:t>
      </w:r>
      <w:r w:rsidR="00E53106">
        <w:rPr>
          <w:rFonts w:ascii="Arial" w:hAnsi="Arial" w:cs="Arial"/>
        </w:rPr>
        <w:t xml:space="preserve">In particular, the EUR 240 capital claim against Flow Management Work BV remains. This may </w:t>
      </w:r>
      <w:r w:rsidR="00583B5F">
        <w:rPr>
          <w:rFonts w:ascii="Arial" w:hAnsi="Arial" w:cs="Arial"/>
        </w:rPr>
        <w:t>have been one of the reasons why in May 2016 Flow II incurs an operational loss</w:t>
      </w:r>
      <w:r w:rsidR="00CC49FE">
        <w:rPr>
          <w:rFonts w:ascii="Arial" w:hAnsi="Arial" w:cs="Arial"/>
        </w:rPr>
        <w:t>.</w:t>
      </w:r>
    </w:p>
    <w:p w14:paraId="4E8E1153" w14:textId="77777777" w:rsidR="00971467" w:rsidRDefault="00971467" w:rsidP="002A14C0">
      <w:pPr>
        <w:autoSpaceDE w:val="0"/>
        <w:autoSpaceDN w:val="0"/>
        <w:adjustRightInd w:val="0"/>
        <w:spacing w:after="0" w:line="240" w:lineRule="auto"/>
        <w:rPr>
          <w:rFonts w:ascii="Arial" w:hAnsi="Arial" w:cs="Arial"/>
          <w:b/>
          <w:bCs/>
        </w:rPr>
      </w:pPr>
    </w:p>
    <w:p w14:paraId="736FD751" w14:textId="4B39E24D" w:rsidR="000E5957" w:rsidRPr="00843CF0" w:rsidRDefault="00360FFC" w:rsidP="00843CF0">
      <w:pPr>
        <w:autoSpaceDE w:val="0"/>
        <w:autoSpaceDN w:val="0"/>
        <w:adjustRightInd w:val="0"/>
        <w:spacing w:after="0" w:line="240" w:lineRule="auto"/>
        <w:rPr>
          <w:rFonts w:ascii="Arial" w:hAnsi="Arial" w:cs="Arial"/>
          <w:b/>
          <w:bCs/>
        </w:rPr>
      </w:pPr>
      <w:r>
        <w:rPr>
          <w:rFonts w:ascii="Arial" w:hAnsi="Arial" w:cs="Arial"/>
        </w:rPr>
        <w:t xml:space="preserve">The </w:t>
      </w:r>
      <w:r w:rsidR="001B4C11">
        <w:rPr>
          <w:rFonts w:ascii="Arial" w:hAnsi="Arial" w:cs="Arial"/>
        </w:rPr>
        <w:t xml:space="preserve">two processes </w:t>
      </w:r>
      <w:r w:rsidR="00FB3023">
        <w:rPr>
          <w:rFonts w:ascii="Arial" w:hAnsi="Arial" w:cs="Arial"/>
        </w:rPr>
        <w:t xml:space="preserve">are more successful when </w:t>
      </w:r>
      <w:r w:rsidR="00D63BE6">
        <w:rPr>
          <w:rFonts w:ascii="Arial" w:hAnsi="Arial" w:cs="Arial"/>
        </w:rPr>
        <w:t>certain</w:t>
      </w:r>
      <w:r w:rsidRPr="002A14C0">
        <w:rPr>
          <w:rFonts w:ascii="Arial" w:hAnsi="Arial" w:cs="Arial"/>
        </w:rPr>
        <w:t xml:space="preserve"> factors </w:t>
      </w:r>
      <w:r w:rsidR="00FB3023">
        <w:rPr>
          <w:rFonts w:ascii="Arial" w:hAnsi="Arial" w:cs="Arial"/>
        </w:rPr>
        <w:t>are</w:t>
      </w:r>
      <w:r w:rsidR="00D63BE6">
        <w:rPr>
          <w:rFonts w:ascii="Arial" w:hAnsi="Arial" w:cs="Arial"/>
        </w:rPr>
        <w:t xml:space="preserve"> also</w:t>
      </w:r>
      <w:r w:rsidR="00FB3023">
        <w:rPr>
          <w:rFonts w:ascii="Arial" w:hAnsi="Arial" w:cs="Arial"/>
        </w:rPr>
        <w:t xml:space="preserve"> present</w:t>
      </w:r>
      <w:r w:rsidRPr="002A14C0">
        <w:rPr>
          <w:rFonts w:ascii="Arial" w:hAnsi="Arial" w:cs="Arial"/>
        </w:rPr>
        <w:t>.</w:t>
      </w:r>
      <w:r>
        <w:rPr>
          <w:rStyle w:val="FootnoteReference"/>
          <w:rFonts w:ascii="Arial" w:hAnsi="Arial" w:cs="Arial"/>
        </w:rPr>
        <w:footnoteReference w:id="20"/>
      </w:r>
      <w:r w:rsidR="00843CF0">
        <w:rPr>
          <w:rFonts w:ascii="Arial" w:hAnsi="Arial" w:cs="Arial"/>
          <w:b/>
          <w:bCs/>
        </w:rPr>
        <w:t xml:space="preserve"> </w:t>
      </w:r>
      <w:r w:rsidR="00843CF0">
        <w:rPr>
          <w:rFonts w:ascii="Arial" w:hAnsi="Arial" w:cs="Arial"/>
        </w:rPr>
        <w:t>For example, an a</w:t>
      </w:r>
      <w:r w:rsidR="003B1411" w:rsidRPr="00843CF0">
        <w:rPr>
          <w:rFonts w:ascii="Arial" w:hAnsi="Arial" w:cs="Arial"/>
        </w:rPr>
        <w:t>ctive attitude by management and shareholders</w:t>
      </w:r>
      <w:r w:rsidR="0036511E" w:rsidRPr="00843CF0">
        <w:rPr>
          <w:rFonts w:ascii="Arial" w:hAnsi="Arial" w:cs="Arial"/>
        </w:rPr>
        <w:t xml:space="preserve">. Flow’s management </w:t>
      </w:r>
      <w:r w:rsidR="00AF305A" w:rsidRPr="00843CF0">
        <w:rPr>
          <w:rFonts w:ascii="Arial" w:hAnsi="Arial" w:cs="Arial"/>
        </w:rPr>
        <w:t xml:space="preserve">were somewhat active </w:t>
      </w:r>
      <w:r w:rsidR="00207FA5" w:rsidRPr="00843CF0">
        <w:rPr>
          <w:rFonts w:ascii="Arial" w:hAnsi="Arial" w:cs="Arial"/>
        </w:rPr>
        <w:t>in that th</w:t>
      </w:r>
      <w:r w:rsidR="005206ED" w:rsidRPr="00843CF0">
        <w:rPr>
          <w:rFonts w:ascii="Arial" w:hAnsi="Arial" w:cs="Arial"/>
        </w:rPr>
        <w:t xml:space="preserve">e creditor banks were invited </w:t>
      </w:r>
      <w:r w:rsidR="00FD270A" w:rsidRPr="00843CF0">
        <w:rPr>
          <w:rFonts w:ascii="Arial" w:hAnsi="Arial" w:cs="Arial"/>
        </w:rPr>
        <w:t>to a meeting</w:t>
      </w:r>
      <w:r w:rsidR="00CA3C64" w:rsidRPr="00843CF0">
        <w:rPr>
          <w:rFonts w:ascii="Arial" w:hAnsi="Arial" w:cs="Arial"/>
        </w:rPr>
        <w:t xml:space="preserve"> in November 2013</w:t>
      </w:r>
      <w:r w:rsidR="00FD270A" w:rsidRPr="00843CF0">
        <w:rPr>
          <w:rFonts w:ascii="Arial" w:hAnsi="Arial" w:cs="Arial"/>
        </w:rPr>
        <w:t xml:space="preserve"> to discuss the </w:t>
      </w:r>
      <w:r w:rsidR="00CA3C64" w:rsidRPr="00843CF0">
        <w:rPr>
          <w:rFonts w:ascii="Arial" w:hAnsi="Arial" w:cs="Arial"/>
        </w:rPr>
        <w:t xml:space="preserve">financial difficulties that Flow was having. </w:t>
      </w:r>
      <w:r w:rsidR="007D53AB" w:rsidRPr="00843CF0">
        <w:rPr>
          <w:rFonts w:ascii="Arial" w:hAnsi="Arial" w:cs="Arial"/>
        </w:rPr>
        <w:t>The creditors didn’t seem to know about the financial difficulties prior</w:t>
      </w:r>
      <w:r w:rsidR="002B00D4" w:rsidRPr="00843CF0">
        <w:rPr>
          <w:rFonts w:ascii="Arial" w:hAnsi="Arial" w:cs="Arial"/>
        </w:rPr>
        <w:t xml:space="preserve"> to this meeting</w:t>
      </w:r>
      <w:r w:rsidR="007D53AB" w:rsidRPr="00843CF0">
        <w:rPr>
          <w:rFonts w:ascii="Arial" w:hAnsi="Arial" w:cs="Arial"/>
        </w:rPr>
        <w:t xml:space="preserve">.  </w:t>
      </w:r>
      <w:r w:rsidR="00DE46EA" w:rsidRPr="00843CF0">
        <w:rPr>
          <w:rFonts w:ascii="Arial" w:hAnsi="Arial" w:cs="Arial"/>
        </w:rPr>
        <w:t xml:space="preserve">Although, it is unclear when management knew </w:t>
      </w:r>
      <w:r w:rsidR="004738BC" w:rsidRPr="00843CF0">
        <w:rPr>
          <w:rFonts w:ascii="Arial" w:hAnsi="Arial" w:cs="Arial"/>
        </w:rPr>
        <w:t xml:space="preserve">about the loss </w:t>
      </w:r>
      <w:r w:rsidR="002B00D4" w:rsidRPr="00843CF0">
        <w:rPr>
          <w:rFonts w:ascii="Arial" w:hAnsi="Arial" w:cs="Arial"/>
        </w:rPr>
        <w:t>due to</w:t>
      </w:r>
      <w:r w:rsidR="004738BC" w:rsidRPr="00843CF0">
        <w:rPr>
          <w:rFonts w:ascii="Arial" w:hAnsi="Arial" w:cs="Arial"/>
        </w:rPr>
        <w:t xml:space="preserve"> the factors </w:t>
      </w:r>
      <w:r w:rsidR="00843CF0">
        <w:rPr>
          <w:rFonts w:ascii="Arial" w:hAnsi="Arial" w:cs="Arial"/>
        </w:rPr>
        <w:t>in</w:t>
      </w:r>
      <w:r w:rsidR="004738BC" w:rsidRPr="00843CF0">
        <w:rPr>
          <w:rFonts w:ascii="Arial" w:hAnsi="Arial" w:cs="Arial"/>
        </w:rPr>
        <w:t xml:space="preserve"> the case study. </w:t>
      </w:r>
      <w:r w:rsidR="00415CEB" w:rsidRPr="00843CF0">
        <w:rPr>
          <w:rFonts w:ascii="Arial" w:hAnsi="Arial" w:cs="Arial"/>
        </w:rPr>
        <w:t xml:space="preserve">Further, management kept revising its financial outlook downwards over the course of the </w:t>
      </w:r>
      <w:r w:rsidR="00D87D91" w:rsidRPr="00843CF0">
        <w:rPr>
          <w:rFonts w:ascii="Arial" w:hAnsi="Arial" w:cs="Arial"/>
        </w:rPr>
        <w:t xml:space="preserve">reorganization, which points to perhaps management not being as actively involved in the </w:t>
      </w:r>
      <w:r w:rsidR="000E5957" w:rsidRPr="00843CF0">
        <w:rPr>
          <w:rFonts w:ascii="Arial" w:hAnsi="Arial" w:cs="Arial"/>
        </w:rPr>
        <w:t>business or financials. The shareholders</w:t>
      </w:r>
      <w:r w:rsidR="002D3E32" w:rsidRPr="00843CF0">
        <w:rPr>
          <w:rFonts w:ascii="Arial" w:hAnsi="Arial" w:cs="Arial"/>
        </w:rPr>
        <w:t xml:space="preserve"> are not </w:t>
      </w:r>
      <w:r w:rsidR="002257D4" w:rsidRPr="00843CF0">
        <w:rPr>
          <w:rFonts w:ascii="Arial" w:hAnsi="Arial" w:cs="Arial"/>
        </w:rPr>
        <w:t>mentioned as taking many active steps until January 2014</w:t>
      </w:r>
      <w:r w:rsidR="00CF7AF3" w:rsidRPr="00843CF0">
        <w:rPr>
          <w:rFonts w:ascii="Arial" w:hAnsi="Arial" w:cs="Arial"/>
        </w:rPr>
        <w:t xml:space="preserve"> when the shareholder announces she will </w:t>
      </w:r>
      <w:r w:rsidR="00696381" w:rsidRPr="00843CF0">
        <w:rPr>
          <w:rFonts w:ascii="Arial" w:hAnsi="Arial" w:cs="Arial"/>
        </w:rPr>
        <w:t>decide</w:t>
      </w:r>
      <w:r w:rsidR="00CF7AF3" w:rsidRPr="00843CF0">
        <w:rPr>
          <w:rFonts w:ascii="Arial" w:hAnsi="Arial" w:cs="Arial"/>
        </w:rPr>
        <w:t xml:space="preserve"> about the strategy of Flow. </w:t>
      </w:r>
      <w:r w:rsidR="00670838" w:rsidRPr="00843CF0">
        <w:rPr>
          <w:rFonts w:ascii="Arial" w:hAnsi="Arial" w:cs="Arial"/>
        </w:rPr>
        <w:t xml:space="preserve">The shareholder does then get more involved in the </w:t>
      </w:r>
      <w:r w:rsidR="00E4435E" w:rsidRPr="00843CF0">
        <w:rPr>
          <w:rFonts w:ascii="Arial" w:hAnsi="Arial" w:cs="Arial"/>
        </w:rPr>
        <w:t>restructuring</w:t>
      </w:r>
      <w:r w:rsidR="00806B46" w:rsidRPr="00843CF0">
        <w:rPr>
          <w:rFonts w:ascii="Arial" w:hAnsi="Arial" w:cs="Arial"/>
        </w:rPr>
        <w:t xml:space="preserve">. </w:t>
      </w:r>
    </w:p>
    <w:p w14:paraId="3EA121C5" w14:textId="75AA4483" w:rsidR="00C82C28" w:rsidRPr="00EF5CD6" w:rsidRDefault="00C82C28" w:rsidP="00EF5CD6">
      <w:pPr>
        <w:autoSpaceDE w:val="0"/>
        <w:autoSpaceDN w:val="0"/>
        <w:adjustRightInd w:val="0"/>
        <w:spacing w:after="0" w:line="240" w:lineRule="auto"/>
        <w:rPr>
          <w:rFonts w:ascii="Arial" w:hAnsi="Arial" w:cs="Arial"/>
          <w:b/>
          <w:bCs/>
        </w:rPr>
      </w:pPr>
      <w:r w:rsidRPr="00EF5CD6">
        <w:rPr>
          <w:rFonts w:ascii="Arial" w:hAnsi="Arial" w:cs="Arial"/>
        </w:rPr>
        <w:t xml:space="preserve">However, </w:t>
      </w:r>
      <w:r w:rsidR="00554754" w:rsidRPr="00EF5CD6">
        <w:rPr>
          <w:rFonts w:ascii="Arial" w:hAnsi="Arial" w:cs="Arial"/>
        </w:rPr>
        <w:t xml:space="preserve">both management and especially the shareholder could have </w:t>
      </w:r>
      <w:r w:rsidR="00174EFF" w:rsidRPr="00EF5CD6">
        <w:rPr>
          <w:rFonts w:ascii="Arial" w:hAnsi="Arial" w:cs="Arial"/>
        </w:rPr>
        <w:t xml:space="preserve">been more active earlier in the process.  As Adriaanse notes, successful informal reorganizations </w:t>
      </w:r>
      <w:r w:rsidR="00923E9F" w:rsidRPr="00EF5CD6">
        <w:rPr>
          <w:rFonts w:ascii="Arial" w:hAnsi="Arial" w:cs="Arial"/>
        </w:rPr>
        <w:t xml:space="preserve">are often </w:t>
      </w:r>
      <w:r w:rsidR="00750DE8" w:rsidRPr="00EF5CD6">
        <w:rPr>
          <w:rFonts w:ascii="Arial" w:hAnsi="Arial" w:cs="Arial"/>
        </w:rPr>
        <w:t>due to “the company [being] able to reorganize its business operations quickly and adequately and, thereby, to restore profitability.”</w:t>
      </w:r>
      <w:r w:rsidR="00750DE8">
        <w:rPr>
          <w:rStyle w:val="FootnoteReference"/>
          <w:rFonts w:ascii="Arial" w:hAnsi="Arial" w:cs="Arial"/>
        </w:rPr>
        <w:footnoteReference w:id="21"/>
      </w:r>
      <w:r w:rsidR="004B3E24">
        <w:rPr>
          <w:rFonts w:ascii="Arial" w:hAnsi="Arial" w:cs="Arial"/>
        </w:rPr>
        <w:t xml:space="preserve"> Lastly, there seems to be little injection of risk-bearing capital in the restructuring. </w:t>
      </w:r>
    </w:p>
    <w:p w14:paraId="5197DD12" w14:textId="77777777" w:rsidR="00EF2930" w:rsidRDefault="00EF2930" w:rsidP="007A7CDE">
      <w:pPr>
        <w:autoSpaceDE w:val="0"/>
        <w:autoSpaceDN w:val="0"/>
        <w:adjustRightInd w:val="0"/>
        <w:spacing w:after="0" w:line="240" w:lineRule="auto"/>
        <w:rPr>
          <w:rFonts w:ascii="Arial" w:hAnsi="Arial" w:cs="Arial"/>
          <w:b/>
          <w:bCs/>
        </w:rPr>
      </w:pPr>
    </w:p>
    <w:p w14:paraId="28A9F3C4" w14:textId="3A74AEEA" w:rsidR="00B56D0A" w:rsidRPr="00197281" w:rsidRDefault="00AA1ED9" w:rsidP="00197281">
      <w:pPr>
        <w:pStyle w:val="ListParagraph"/>
        <w:numPr>
          <w:ilvl w:val="0"/>
          <w:numId w:val="19"/>
        </w:numPr>
        <w:autoSpaceDE w:val="0"/>
        <w:autoSpaceDN w:val="0"/>
        <w:adjustRightInd w:val="0"/>
        <w:spacing w:after="0" w:line="240" w:lineRule="auto"/>
        <w:rPr>
          <w:rFonts w:ascii="Arial" w:hAnsi="Arial" w:cs="Arial"/>
          <w:u w:val="single"/>
        </w:rPr>
      </w:pPr>
      <w:r w:rsidRPr="00197281">
        <w:rPr>
          <w:rFonts w:ascii="Arial" w:hAnsi="Arial" w:cs="Arial"/>
          <w:u w:val="single"/>
        </w:rPr>
        <w:t xml:space="preserve">Strategic Investments and Innovation </w:t>
      </w:r>
      <w:r w:rsidR="00950F53" w:rsidRPr="00197281">
        <w:rPr>
          <w:rFonts w:ascii="Arial" w:hAnsi="Arial" w:cs="Arial"/>
          <w:u w:val="single"/>
        </w:rPr>
        <w:t>in</w:t>
      </w:r>
      <w:r w:rsidRPr="00197281">
        <w:rPr>
          <w:rFonts w:ascii="Arial" w:hAnsi="Arial" w:cs="Arial"/>
          <w:u w:val="single"/>
        </w:rPr>
        <w:t xml:space="preserve"> </w:t>
      </w:r>
      <w:r w:rsidR="006714C2" w:rsidRPr="00197281">
        <w:rPr>
          <w:rFonts w:ascii="Arial" w:hAnsi="Arial" w:cs="Arial"/>
          <w:u w:val="single"/>
        </w:rPr>
        <w:t xml:space="preserve">the Recovery of </w:t>
      </w:r>
      <w:r w:rsidRPr="00197281">
        <w:rPr>
          <w:rFonts w:ascii="Arial" w:hAnsi="Arial" w:cs="Arial"/>
          <w:u w:val="single"/>
        </w:rPr>
        <w:t xml:space="preserve">Distressed Firms </w:t>
      </w:r>
    </w:p>
    <w:p w14:paraId="28F1B5EF" w14:textId="77777777" w:rsidR="00950F53" w:rsidRDefault="00950F53" w:rsidP="007A7CDE">
      <w:pPr>
        <w:autoSpaceDE w:val="0"/>
        <w:autoSpaceDN w:val="0"/>
        <w:adjustRightInd w:val="0"/>
        <w:spacing w:after="0" w:line="240" w:lineRule="auto"/>
        <w:rPr>
          <w:rFonts w:ascii="Arial" w:hAnsi="Arial" w:cs="Arial"/>
          <w:b/>
          <w:bCs/>
        </w:rPr>
      </w:pPr>
    </w:p>
    <w:p w14:paraId="53099879" w14:textId="608AEF7A" w:rsidR="00BE1720" w:rsidRPr="00DF67F3" w:rsidRDefault="00D21763" w:rsidP="007A7CDE">
      <w:pPr>
        <w:autoSpaceDE w:val="0"/>
        <w:autoSpaceDN w:val="0"/>
        <w:adjustRightInd w:val="0"/>
        <w:spacing w:after="0" w:line="240" w:lineRule="auto"/>
        <w:rPr>
          <w:rFonts w:ascii="Arial" w:hAnsi="Arial" w:cs="Arial"/>
        </w:rPr>
      </w:pPr>
      <w:r w:rsidRPr="00D21763">
        <w:rPr>
          <w:rFonts w:ascii="Arial" w:hAnsi="Arial" w:cs="Arial"/>
        </w:rPr>
        <w:t>Sudarsanam, S, Lai, J., 2001</w:t>
      </w:r>
      <w:r w:rsidRPr="00303FCE">
        <w:rPr>
          <w:rFonts w:ascii="Arial" w:hAnsi="Arial" w:cs="Arial"/>
          <w:b/>
          <w:bCs/>
        </w:rPr>
        <w:t xml:space="preserve"> </w:t>
      </w:r>
      <w:r>
        <w:rPr>
          <w:rFonts w:ascii="Arial" w:hAnsi="Arial" w:cs="Arial"/>
          <w:b/>
          <w:bCs/>
        </w:rPr>
        <w:t>(</w:t>
      </w:r>
      <w:r w:rsidR="00DF67F3">
        <w:rPr>
          <w:rFonts w:ascii="Arial" w:hAnsi="Arial" w:cs="Arial"/>
        </w:rPr>
        <w:t>Sudarsanam</w:t>
      </w:r>
      <w:r>
        <w:rPr>
          <w:rFonts w:ascii="Arial" w:hAnsi="Arial" w:cs="Arial"/>
        </w:rPr>
        <w:t xml:space="preserve">) </w:t>
      </w:r>
      <w:r w:rsidR="00A049BE">
        <w:rPr>
          <w:rFonts w:ascii="Arial" w:hAnsi="Arial" w:cs="Arial"/>
        </w:rPr>
        <w:t xml:space="preserve">argues that firms who recover after financial distress </w:t>
      </w:r>
      <w:r w:rsidR="008F3FFC">
        <w:rPr>
          <w:rFonts w:ascii="Arial" w:hAnsi="Arial" w:cs="Arial"/>
        </w:rPr>
        <w:t xml:space="preserve">implement strategies </w:t>
      </w:r>
      <w:r w:rsidR="00460263">
        <w:rPr>
          <w:rFonts w:ascii="Arial" w:hAnsi="Arial" w:cs="Arial"/>
        </w:rPr>
        <w:t xml:space="preserve">over time </w:t>
      </w:r>
      <w:r w:rsidR="008F3FFC">
        <w:rPr>
          <w:rFonts w:ascii="Arial" w:hAnsi="Arial" w:cs="Arial"/>
        </w:rPr>
        <w:t xml:space="preserve">that are </w:t>
      </w:r>
      <w:r w:rsidR="00474971">
        <w:rPr>
          <w:rFonts w:ascii="Arial" w:hAnsi="Arial" w:cs="Arial"/>
        </w:rPr>
        <w:t xml:space="preserve">more growth-oriented and external market focused. Firms who do not recover engage in more </w:t>
      </w:r>
      <w:r w:rsidR="006C2A80">
        <w:rPr>
          <w:rFonts w:ascii="Arial" w:hAnsi="Arial" w:cs="Arial"/>
        </w:rPr>
        <w:t>internally focused</w:t>
      </w:r>
      <w:r w:rsidR="00474971">
        <w:rPr>
          <w:rFonts w:ascii="Arial" w:hAnsi="Arial" w:cs="Arial"/>
        </w:rPr>
        <w:t xml:space="preserve"> firefighting strategies.</w:t>
      </w:r>
      <w:r w:rsidR="004A680C">
        <w:rPr>
          <w:rStyle w:val="FootnoteReference"/>
          <w:rFonts w:ascii="Arial" w:hAnsi="Arial" w:cs="Arial"/>
        </w:rPr>
        <w:footnoteReference w:id="22"/>
      </w:r>
      <w:r w:rsidR="007D4449">
        <w:rPr>
          <w:rFonts w:ascii="Arial" w:hAnsi="Arial" w:cs="Arial"/>
        </w:rPr>
        <w:t xml:space="preserve"> </w:t>
      </w:r>
      <w:r w:rsidR="00AE1620">
        <w:rPr>
          <w:rFonts w:ascii="Arial" w:hAnsi="Arial" w:cs="Arial"/>
        </w:rPr>
        <w:t xml:space="preserve">Specifically, firms who recover generally </w:t>
      </w:r>
      <w:r w:rsidR="00EF33C9">
        <w:rPr>
          <w:rFonts w:ascii="Arial" w:hAnsi="Arial" w:cs="Arial"/>
        </w:rPr>
        <w:t>engage in more capital expenditure</w:t>
      </w:r>
      <w:r w:rsidR="00D706B0">
        <w:rPr>
          <w:rFonts w:ascii="Arial" w:hAnsi="Arial" w:cs="Arial"/>
        </w:rPr>
        <w:t xml:space="preserve">, asset sales and acquisition activities </w:t>
      </w:r>
      <w:r w:rsidR="001559C0">
        <w:rPr>
          <w:rFonts w:ascii="Arial" w:hAnsi="Arial" w:cs="Arial"/>
        </w:rPr>
        <w:t>one and two years after the distress is discovered</w:t>
      </w:r>
      <w:r w:rsidR="004E6564">
        <w:rPr>
          <w:rFonts w:ascii="Arial" w:hAnsi="Arial" w:cs="Arial"/>
        </w:rPr>
        <w:t xml:space="preserve"> than firms who do not recover</w:t>
      </w:r>
      <w:r w:rsidR="001559C0">
        <w:rPr>
          <w:rFonts w:ascii="Arial" w:hAnsi="Arial" w:cs="Arial"/>
        </w:rPr>
        <w:t>.</w:t>
      </w:r>
      <w:r w:rsidR="00691168">
        <w:rPr>
          <w:rStyle w:val="FootnoteReference"/>
          <w:rFonts w:ascii="Arial" w:hAnsi="Arial" w:cs="Arial"/>
        </w:rPr>
        <w:footnoteReference w:id="23"/>
      </w:r>
      <w:r w:rsidR="004E6564">
        <w:rPr>
          <w:rFonts w:ascii="Arial" w:hAnsi="Arial" w:cs="Arial"/>
        </w:rPr>
        <w:t xml:space="preserve"> </w:t>
      </w:r>
      <w:r w:rsidR="0029688C">
        <w:rPr>
          <w:rFonts w:ascii="Arial" w:hAnsi="Arial" w:cs="Arial"/>
        </w:rPr>
        <w:t>The</w:t>
      </w:r>
      <w:r w:rsidR="004E6564">
        <w:rPr>
          <w:rFonts w:ascii="Arial" w:hAnsi="Arial" w:cs="Arial"/>
        </w:rPr>
        <w:t xml:space="preserve"> asset sales</w:t>
      </w:r>
      <w:r w:rsidR="0029688C">
        <w:rPr>
          <w:rFonts w:ascii="Arial" w:hAnsi="Arial" w:cs="Arial"/>
        </w:rPr>
        <w:t xml:space="preserve"> of</w:t>
      </w:r>
      <w:r w:rsidR="004E6564">
        <w:rPr>
          <w:rFonts w:ascii="Arial" w:hAnsi="Arial" w:cs="Arial"/>
        </w:rPr>
        <w:t xml:space="preserve"> </w:t>
      </w:r>
      <w:r w:rsidR="0029688C">
        <w:rPr>
          <w:rFonts w:ascii="Arial" w:hAnsi="Arial" w:cs="Arial"/>
        </w:rPr>
        <w:t xml:space="preserve">firms who are saved tend to be </w:t>
      </w:r>
      <w:r w:rsidR="00B26E90">
        <w:rPr>
          <w:rFonts w:ascii="Arial" w:hAnsi="Arial" w:cs="Arial"/>
        </w:rPr>
        <w:t>more part of a “strategic refocusing of their asset and business portfolio.”</w:t>
      </w:r>
      <w:r w:rsidR="00B26E90">
        <w:rPr>
          <w:rStyle w:val="FootnoteReference"/>
          <w:rFonts w:ascii="Arial" w:hAnsi="Arial" w:cs="Arial"/>
        </w:rPr>
        <w:footnoteReference w:id="24"/>
      </w:r>
      <w:r w:rsidR="005E1A7D">
        <w:rPr>
          <w:rFonts w:ascii="Arial" w:hAnsi="Arial" w:cs="Arial"/>
        </w:rPr>
        <w:t xml:space="preserve"> In the case study, we have a description of </w:t>
      </w:r>
      <w:r w:rsidR="004E3547">
        <w:rPr>
          <w:rFonts w:ascii="Arial" w:hAnsi="Arial" w:cs="Arial"/>
        </w:rPr>
        <w:t xml:space="preserve">restructuring </w:t>
      </w:r>
      <w:r w:rsidR="005E1A7D">
        <w:rPr>
          <w:rFonts w:ascii="Arial" w:hAnsi="Arial" w:cs="Arial"/>
        </w:rPr>
        <w:t xml:space="preserve">activities </w:t>
      </w:r>
      <w:r w:rsidR="00304720">
        <w:rPr>
          <w:rFonts w:ascii="Arial" w:hAnsi="Arial" w:cs="Arial"/>
        </w:rPr>
        <w:t xml:space="preserve">over time </w:t>
      </w:r>
      <w:r w:rsidR="005E1A7D">
        <w:rPr>
          <w:rFonts w:ascii="Arial" w:hAnsi="Arial" w:cs="Arial"/>
        </w:rPr>
        <w:t xml:space="preserve">from </w:t>
      </w:r>
      <w:r w:rsidR="0059159A">
        <w:rPr>
          <w:rFonts w:ascii="Arial" w:hAnsi="Arial" w:cs="Arial"/>
        </w:rPr>
        <w:t>November 2013 (the start of the distressed year) to May 2016 when Flow II is operational.</w:t>
      </w:r>
      <w:r w:rsidR="004E3547">
        <w:rPr>
          <w:rFonts w:ascii="Arial" w:hAnsi="Arial" w:cs="Arial"/>
        </w:rPr>
        <w:t xml:space="preserve"> Most of those activities</w:t>
      </w:r>
      <w:r w:rsidR="00F25265">
        <w:rPr>
          <w:rFonts w:ascii="Arial" w:hAnsi="Arial" w:cs="Arial"/>
        </w:rPr>
        <w:t>, even after year one,</w:t>
      </w:r>
      <w:r w:rsidR="004E3547">
        <w:rPr>
          <w:rFonts w:ascii="Arial" w:hAnsi="Arial" w:cs="Arial"/>
        </w:rPr>
        <w:t xml:space="preserve"> are </w:t>
      </w:r>
      <w:r w:rsidR="003863FC">
        <w:rPr>
          <w:rFonts w:ascii="Arial" w:hAnsi="Arial" w:cs="Arial"/>
        </w:rPr>
        <w:t>primarily</w:t>
      </w:r>
      <w:r w:rsidR="00F67577">
        <w:rPr>
          <w:rFonts w:ascii="Arial" w:hAnsi="Arial" w:cs="Arial"/>
        </w:rPr>
        <w:t xml:space="preserve"> operational </w:t>
      </w:r>
      <w:r w:rsidR="00ED7B32">
        <w:rPr>
          <w:rFonts w:ascii="Arial" w:hAnsi="Arial" w:cs="Arial"/>
        </w:rPr>
        <w:t>(</w:t>
      </w:r>
      <w:r w:rsidR="00F1369B">
        <w:rPr>
          <w:rFonts w:ascii="Arial" w:hAnsi="Arial" w:cs="Arial"/>
        </w:rPr>
        <w:t xml:space="preserve">e.g., </w:t>
      </w:r>
      <w:r w:rsidR="00ED7B32">
        <w:rPr>
          <w:rFonts w:ascii="Arial" w:hAnsi="Arial" w:cs="Arial"/>
        </w:rPr>
        <w:t xml:space="preserve">staff cuts, </w:t>
      </w:r>
      <w:r w:rsidR="00F643E3">
        <w:rPr>
          <w:rFonts w:ascii="Arial" w:hAnsi="Arial" w:cs="Arial"/>
        </w:rPr>
        <w:t xml:space="preserve">price increases, </w:t>
      </w:r>
      <w:r w:rsidR="00ED7B32">
        <w:rPr>
          <w:rFonts w:ascii="Arial" w:hAnsi="Arial" w:cs="Arial"/>
        </w:rPr>
        <w:t xml:space="preserve">savings) and </w:t>
      </w:r>
      <w:r w:rsidR="00C35601">
        <w:rPr>
          <w:rFonts w:ascii="Arial" w:hAnsi="Arial" w:cs="Arial"/>
        </w:rPr>
        <w:t>debt</w:t>
      </w:r>
      <w:r w:rsidR="00DC37C4">
        <w:rPr>
          <w:rFonts w:ascii="Arial" w:hAnsi="Arial" w:cs="Arial"/>
        </w:rPr>
        <w:t>-related</w:t>
      </w:r>
      <w:r w:rsidR="00C35601">
        <w:rPr>
          <w:rFonts w:ascii="Arial" w:hAnsi="Arial" w:cs="Arial"/>
        </w:rPr>
        <w:t xml:space="preserve"> (</w:t>
      </w:r>
      <w:r w:rsidR="00F1369B">
        <w:rPr>
          <w:rFonts w:ascii="Arial" w:hAnsi="Arial" w:cs="Arial"/>
        </w:rPr>
        <w:t xml:space="preserve">e.g., </w:t>
      </w:r>
      <w:r w:rsidR="00C35601">
        <w:rPr>
          <w:rFonts w:ascii="Arial" w:hAnsi="Arial" w:cs="Arial"/>
        </w:rPr>
        <w:t xml:space="preserve">the write offs/haircuts in the Restructuring Agreement) </w:t>
      </w:r>
      <w:r w:rsidR="003863FC">
        <w:rPr>
          <w:rFonts w:ascii="Arial" w:hAnsi="Arial" w:cs="Arial"/>
        </w:rPr>
        <w:t xml:space="preserve">than growth-oriented and market focused. </w:t>
      </w:r>
      <w:r w:rsidR="002931A3">
        <w:rPr>
          <w:rFonts w:ascii="Arial" w:hAnsi="Arial" w:cs="Arial"/>
        </w:rPr>
        <w:t xml:space="preserve">Although the case mentions that Flow </w:t>
      </w:r>
      <w:r w:rsidR="00780875">
        <w:rPr>
          <w:rFonts w:ascii="Arial" w:hAnsi="Arial" w:cs="Arial"/>
        </w:rPr>
        <w:t xml:space="preserve">expects its information management system to improve and </w:t>
      </w:r>
      <w:r w:rsidR="00AA0F8E">
        <w:rPr>
          <w:rFonts w:ascii="Arial" w:hAnsi="Arial" w:cs="Arial"/>
        </w:rPr>
        <w:t xml:space="preserve">that it is evaluating its business mix, there is no further mention of more asset investment type activities. </w:t>
      </w:r>
      <w:r w:rsidR="005F078F">
        <w:rPr>
          <w:rFonts w:ascii="Arial" w:hAnsi="Arial" w:cs="Arial"/>
        </w:rPr>
        <w:t xml:space="preserve">For example, </w:t>
      </w:r>
      <w:r w:rsidR="009A70F8">
        <w:rPr>
          <w:rFonts w:ascii="Arial" w:hAnsi="Arial" w:cs="Arial"/>
        </w:rPr>
        <w:t xml:space="preserve">Flow could have </w:t>
      </w:r>
      <w:r w:rsidR="0004695E">
        <w:rPr>
          <w:rFonts w:ascii="Arial" w:hAnsi="Arial" w:cs="Arial"/>
        </w:rPr>
        <w:t>investigated if there were better ways of managing its inventory of cars and trucks</w:t>
      </w:r>
      <w:r w:rsidR="00614070">
        <w:rPr>
          <w:rFonts w:ascii="Arial" w:hAnsi="Arial" w:cs="Arial"/>
        </w:rPr>
        <w:t xml:space="preserve"> – </w:t>
      </w:r>
      <w:r w:rsidR="00AC5BDA">
        <w:rPr>
          <w:rFonts w:ascii="Arial" w:hAnsi="Arial" w:cs="Arial"/>
        </w:rPr>
        <w:t xml:space="preserve">perhaps </w:t>
      </w:r>
      <w:r w:rsidR="00614070">
        <w:rPr>
          <w:rFonts w:ascii="Arial" w:hAnsi="Arial" w:cs="Arial"/>
        </w:rPr>
        <w:t xml:space="preserve">with some better computerized </w:t>
      </w:r>
      <w:r w:rsidR="00AC5BDA">
        <w:rPr>
          <w:rFonts w:ascii="Arial" w:hAnsi="Arial" w:cs="Arial"/>
        </w:rPr>
        <w:t>process.</w:t>
      </w:r>
      <w:r w:rsidR="00067469">
        <w:rPr>
          <w:rFonts w:ascii="Arial" w:hAnsi="Arial" w:cs="Arial"/>
        </w:rPr>
        <w:t xml:space="preserve"> Acquisitions could also have been explored to </w:t>
      </w:r>
      <w:r w:rsidR="00A61A17">
        <w:rPr>
          <w:rFonts w:ascii="Arial" w:hAnsi="Arial" w:cs="Arial"/>
        </w:rPr>
        <w:t>improve growth prospects.</w:t>
      </w:r>
      <w:r w:rsidR="00A61A17">
        <w:rPr>
          <w:rStyle w:val="FootnoteReference"/>
          <w:rFonts w:ascii="Arial" w:hAnsi="Arial" w:cs="Arial"/>
        </w:rPr>
        <w:footnoteReference w:id="25"/>
      </w:r>
    </w:p>
    <w:p w14:paraId="421AE07E" w14:textId="77777777" w:rsidR="00BE1720" w:rsidRDefault="00BE1720" w:rsidP="007A7CDE">
      <w:pPr>
        <w:autoSpaceDE w:val="0"/>
        <w:autoSpaceDN w:val="0"/>
        <w:adjustRightInd w:val="0"/>
        <w:spacing w:after="0" w:line="240" w:lineRule="auto"/>
        <w:rPr>
          <w:rFonts w:ascii="Arial" w:hAnsi="Arial" w:cs="Arial"/>
          <w:b/>
          <w:bCs/>
        </w:rPr>
      </w:pPr>
    </w:p>
    <w:p w14:paraId="68C7E841" w14:textId="41FDBFF2" w:rsidR="00E61B2D" w:rsidRDefault="004566EF" w:rsidP="007A7CDE">
      <w:pPr>
        <w:autoSpaceDE w:val="0"/>
        <w:autoSpaceDN w:val="0"/>
        <w:adjustRightInd w:val="0"/>
        <w:spacing w:after="0" w:line="240" w:lineRule="auto"/>
        <w:rPr>
          <w:rFonts w:ascii="Arial" w:hAnsi="Arial" w:cs="Arial"/>
        </w:rPr>
      </w:pPr>
      <w:r>
        <w:rPr>
          <w:rFonts w:ascii="Arial" w:hAnsi="Arial" w:cs="Arial"/>
        </w:rPr>
        <w:t xml:space="preserve">Building upon </w:t>
      </w:r>
      <w:r w:rsidRPr="004566EF">
        <w:rPr>
          <w:rFonts w:ascii="Arial" w:hAnsi="Arial" w:cs="Arial"/>
        </w:rPr>
        <w:t>Sudarsanam</w:t>
      </w:r>
      <w:r>
        <w:rPr>
          <w:rFonts w:ascii="Arial" w:hAnsi="Arial" w:cs="Arial"/>
        </w:rPr>
        <w:t xml:space="preserve">, </w:t>
      </w:r>
      <w:r w:rsidR="001D58FE" w:rsidRPr="001D58FE">
        <w:rPr>
          <w:rFonts w:ascii="Arial" w:hAnsi="Arial" w:cs="Arial"/>
        </w:rPr>
        <w:t xml:space="preserve">Schmitt, A., Raisch, S., 2013 </w:t>
      </w:r>
      <w:r w:rsidR="001D58FE">
        <w:rPr>
          <w:rFonts w:ascii="Arial" w:hAnsi="Arial" w:cs="Arial"/>
        </w:rPr>
        <w:t>(</w:t>
      </w:r>
      <w:r w:rsidR="009A0697">
        <w:rPr>
          <w:rFonts w:ascii="Arial" w:hAnsi="Arial" w:cs="Arial"/>
        </w:rPr>
        <w:t>Schmitt</w:t>
      </w:r>
      <w:r w:rsidR="001D58FE">
        <w:rPr>
          <w:rFonts w:ascii="Arial" w:hAnsi="Arial" w:cs="Arial"/>
        </w:rPr>
        <w:t>)</w:t>
      </w:r>
      <w:r w:rsidR="00795927">
        <w:rPr>
          <w:rFonts w:ascii="Arial" w:hAnsi="Arial" w:cs="Arial"/>
        </w:rPr>
        <w:t xml:space="preserve">’s approach </w:t>
      </w:r>
      <w:r w:rsidR="00857E98">
        <w:rPr>
          <w:rFonts w:ascii="Arial" w:hAnsi="Arial" w:cs="Arial"/>
        </w:rPr>
        <w:t xml:space="preserve">shows that </w:t>
      </w:r>
      <w:r w:rsidR="001634F3">
        <w:rPr>
          <w:rFonts w:ascii="Arial" w:hAnsi="Arial" w:cs="Arial"/>
        </w:rPr>
        <w:t xml:space="preserve">successful turnarounds exploit the </w:t>
      </w:r>
      <w:r w:rsidR="00A96701">
        <w:rPr>
          <w:rFonts w:ascii="Arial" w:hAnsi="Arial" w:cs="Arial"/>
        </w:rPr>
        <w:t xml:space="preserve">duality </w:t>
      </w:r>
      <w:r w:rsidR="007C5408">
        <w:rPr>
          <w:rFonts w:ascii="Arial" w:hAnsi="Arial" w:cs="Arial"/>
        </w:rPr>
        <w:t>between efficiency-oriented (retrenchment) and innovation-stimulating (recovery) activities</w:t>
      </w:r>
      <w:r w:rsidR="00344783">
        <w:rPr>
          <w:rFonts w:ascii="Arial" w:hAnsi="Arial" w:cs="Arial"/>
        </w:rPr>
        <w:t>.</w:t>
      </w:r>
      <w:r w:rsidR="00344783">
        <w:rPr>
          <w:rStyle w:val="FootnoteReference"/>
          <w:rFonts w:ascii="Arial" w:hAnsi="Arial" w:cs="Arial"/>
        </w:rPr>
        <w:footnoteReference w:id="26"/>
      </w:r>
      <w:r w:rsidR="00731B28">
        <w:rPr>
          <w:rFonts w:ascii="Arial" w:hAnsi="Arial" w:cs="Arial"/>
        </w:rPr>
        <w:t xml:space="preserve"> </w:t>
      </w:r>
      <w:r w:rsidR="003C67B9">
        <w:rPr>
          <w:rFonts w:ascii="Arial" w:hAnsi="Arial" w:cs="Arial"/>
        </w:rPr>
        <w:t>Re</w:t>
      </w:r>
      <w:r w:rsidR="008D1AC9">
        <w:rPr>
          <w:rFonts w:ascii="Arial" w:hAnsi="Arial" w:cs="Arial"/>
        </w:rPr>
        <w:t xml:space="preserve">trenchment activities are meant to “reduce </w:t>
      </w:r>
      <w:r w:rsidR="008D1AC9">
        <w:rPr>
          <w:rFonts w:ascii="Arial" w:hAnsi="Arial" w:cs="Arial"/>
        </w:rPr>
        <w:lastRenderedPageBreak/>
        <w:t xml:space="preserve">assets and/or improve </w:t>
      </w:r>
      <w:r w:rsidR="00BA70DE">
        <w:rPr>
          <w:rFonts w:ascii="Arial" w:hAnsi="Arial" w:cs="Arial"/>
        </w:rPr>
        <w:t xml:space="preserve">operational efficiency to increase firm profitability and strengthen the firm’s </w:t>
      </w:r>
      <w:r w:rsidR="005D34F0">
        <w:rPr>
          <w:rFonts w:ascii="Arial" w:hAnsi="Arial" w:cs="Arial"/>
        </w:rPr>
        <w:t>industry position.”</w:t>
      </w:r>
      <w:r w:rsidR="005D34F0">
        <w:rPr>
          <w:rStyle w:val="FootnoteReference"/>
          <w:rFonts w:ascii="Arial" w:hAnsi="Arial" w:cs="Arial"/>
        </w:rPr>
        <w:footnoteReference w:id="27"/>
      </w:r>
      <w:r w:rsidR="005D34F0">
        <w:rPr>
          <w:rFonts w:ascii="Arial" w:hAnsi="Arial" w:cs="Arial"/>
        </w:rPr>
        <w:t xml:space="preserve"> Recovery </w:t>
      </w:r>
      <w:r w:rsidR="00E55445">
        <w:rPr>
          <w:rFonts w:ascii="Arial" w:hAnsi="Arial" w:cs="Arial"/>
        </w:rPr>
        <w:t>actions are “strategic changes that transform and reposition the firm for sustained growth and profitability.”</w:t>
      </w:r>
      <w:r w:rsidR="00E55445">
        <w:rPr>
          <w:rStyle w:val="FootnoteReference"/>
          <w:rFonts w:ascii="Arial" w:hAnsi="Arial" w:cs="Arial"/>
        </w:rPr>
        <w:footnoteReference w:id="28"/>
      </w:r>
      <w:r w:rsidR="008039DF">
        <w:rPr>
          <w:rFonts w:ascii="Arial" w:hAnsi="Arial" w:cs="Arial"/>
        </w:rPr>
        <w:t xml:space="preserve"> </w:t>
      </w:r>
      <w:r w:rsidR="00E61B2D">
        <w:rPr>
          <w:rFonts w:ascii="Arial" w:hAnsi="Arial" w:cs="Arial"/>
        </w:rPr>
        <w:t xml:space="preserve">Recovery is </w:t>
      </w:r>
      <w:r w:rsidR="00E07CFD">
        <w:rPr>
          <w:rFonts w:ascii="Arial" w:hAnsi="Arial" w:cs="Arial"/>
        </w:rPr>
        <w:t>also an important method to allocate scarce resources during the initial stage of a rescue.</w:t>
      </w:r>
      <w:r w:rsidR="00496A4A">
        <w:rPr>
          <w:rStyle w:val="FootnoteReference"/>
          <w:rFonts w:ascii="Arial" w:hAnsi="Arial" w:cs="Arial"/>
        </w:rPr>
        <w:footnoteReference w:id="29"/>
      </w:r>
      <w:r w:rsidR="00E07CFD">
        <w:rPr>
          <w:rFonts w:ascii="Arial" w:hAnsi="Arial" w:cs="Arial"/>
        </w:rPr>
        <w:t xml:space="preserve"> </w:t>
      </w:r>
      <w:r w:rsidR="00EF140B">
        <w:rPr>
          <w:rFonts w:ascii="Arial" w:hAnsi="Arial" w:cs="Arial"/>
        </w:rPr>
        <w:t xml:space="preserve">Stakeholders may also be more likely to support </w:t>
      </w:r>
      <w:r w:rsidR="004A3CB6">
        <w:rPr>
          <w:rFonts w:ascii="Arial" w:hAnsi="Arial" w:cs="Arial"/>
        </w:rPr>
        <w:t>short-term retrenchment arrangements if they believe that there are good prospects for long-term recovery.</w:t>
      </w:r>
      <w:r w:rsidR="004A3CB6">
        <w:rPr>
          <w:rStyle w:val="FootnoteReference"/>
          <w:rFonts w:ascii="Arial" w:hAnsi="Arial" w:cs="Arial"/>
        </w:rPr>
        <w:footnoteReference w:id="30"/>
      </w:r>
      <w:r w:rsidR="009C7E27">
        <w:rPr>
          <w:rFonts w:ascii="Arial" w:hAnsi="Arial" w:cs="Arial"/>
        </w:rPr>
        <w:t xml:space="preserve"> Schmitt argues that how the two forces are interrelated affects turnaround performance.</w:t>
      </w:r>
      <w:r w:rsidR="009C7E27">
        <w:rPr>
          <w:rStyle w:val="FootnoteReference"/>
          <w:rFonts w:ascii="Arial" w:hAnsi="Arial" w:cs="Arial"/>
        </w:rPr>
        <w:footnoteReference w:id="31"/>
      </w:r>
    </w:p>
    <w:p w14:paraId="39C0B63B" w14:textId="77777777" w:rsidR="005725C3" w:rsidRDefault="005725C3" w:rsidP="007A7CDE">
      <w:pPr>
        <w:autoSpaceDE w:val="0"/>
        <w:autoSpaceDN w:val="0"/>
        <w:adjustRightInd w:val="0"/>
        <w:spacing w:after="0" w:line="240" w:lineRule="auto"/>
        <w:rPr>
          <w:rFonts w:ascii="Arial" w:hAnsi="Arial" w:cs="Arial"/>
        </w:rPr>
      </w:pPr>
    </w:p>
    <w:p w14:paraId="13A099F5" w14:textId="0D277DB1" w:rsidR="005725C3" w:rsidRPr="009A0697" w:rsidRDefault="00BD3763" w:rsidP="007A7CDE">
      <w:pPr>
        <w:autoSpaceDE w:val="0"/>
        <w:autoSpaceDN w:val="0"/>
        <w:adjustRightInd w:val="0"/>
        <w:spacing w:after="0" w:line="240" w:lineRule="auto"/>
        <w:rPr>
          <w:rFonts w:ascii="Arial" w:hAnsi="Arial" w:cs="Arial"/>
        </w:rPr>
      </w:pPr>
      <w:r>
        <w:rPr>
          <w:rFonts w:ascii="Arial" w:hAnsi="Arial" w:cs="Arial"/>
        </w:rPr>
        <w:t xml:space="preserve">In the case of Flow, </w:t>
      </w:r>
      <w:r w:rsidR="004770EE">
        <w:rPr>
          <w:rFonts w:ascii="Arial" w:hAnsi="Arial" w:cs="Arial"/>
        </w:rPr>
        <w:t>when the initial financial difficulty is discovered, most of the activities</w:t>
      </w:r>
      <w:r w:rsidR="003C5DEC">
        <w:rPr>
          <w:rFonts w:ascii="Arial" w:hAnsi="Arial" w:cs="Arial"/>
        </w:rPr>
        <w:t xml:space="preserve"> described</w:t>
      </w:r>
      <w:r w:rsidR="004770EE">
        <w:rPr>
          <w:rFonts w:ascii="Arial" w:hAnsi="Arial" w:cs="Arial"/>
        </w:rPr>
        <w:t xml:space="preserve"> are </w:t>
      </w:r>
      <w:r w:rsidR="00185FD2">
        <w:rPr>
          <w:rFonts w:ascii="Arial" w:hAnsi="Arial" w:cs="Arial"/>
        </w:rPr>
        <w:t xml:space="preserve">related to retrenchment. For example, </w:t>
      </w:r>
      <w:r w:rsidR="004C580C">
        <w:rPr>
          <w:rFonts w:ascii="Arial" w:hAnsi="Arial" w:cs="Arial"/>
        </w:rPr>
        <w:t xml:space="preserve">ideas for change include </w:t>
      </w:r>
      <w:r w:rsidR="00185FD2">
        <w:rPr>
          <w:rFonts w:ascii="Arial" w:hAnsi="Arial" w:cs="Arial"/>
        </w:rPr>
        <w:t xml:space="preserve">employee layoffs, </w:t>
      </w:r>
      <w:r w:rsidR="006C0699">
        <w:rPr>
          <w:rFonts w:ascii="Arial" w:hAnsi="Arial" w:cs="Arial"/>
        </w:rPr>
        <w:t>extra savings</w:t>
      </w:r>
      <w:r w:rsidR="00E6752D">
        <w:rPr>
          <w:rFonts w:ascii="Arial" w:hAnsi="Arial" w:cs="Arial"/>
        </w:rPr>
        <w:t>,</w:t>
      </w:r>
      <w:r w:rsidR="006C0699">
        <w:rPr>
          <w:rFonts w:ascii="Arial" w:hAnsi="Arial" w:cs="Arial"/>
        </w:rPr>
        <w:t xml:space="preserve"> </w:t>
      </w:r>
      <w:r w:rsidR="002A6A06">
        <w:rPr>
          <w:rFonts w:ascii="Arial" w:hAnsi="Arial" w:cs="Arial"/>
        </w:rPr>
        <w:t xml:space="preserve">and price increases. </w:t>
      </w:r>
      <w:r w:rsidR="00C01F30">
        <w:rPr>
          <w:rFonts w:ascii="Arial" w:hAnsi="Arial" w:cs="Arial"/>
        </w:rPr>
        <w:t xml:space="preserve">Not until about six months into the </w:t>
      </w:r>
      <w:r w:rsidR="000F4266">
        <w:rPr>
          <w:rFonts w:ascii="Arial" w:hAnsi="Arial" w:cs="Arial"/>
        </w:rPr>
        <w:t xml:space="preserve">crisis </w:t>
      </w:r>
      <w:r w:rsidR="003C1FEF">
        <w:rPr>
          <w:rFonts w:ascii="Arial" w:hAnsi="Arial" w:cs="Arial"/>
        </w:rPr>
        <w:t xml:space="preserve">is there a mention of more recovery related activities, such as evaluating the business mix. </w:t>
      </w:r>
      <w:r w:rsidR="004C536B">
        <w:rPr>
          <w:rFonts w:ascii="Arial" w:hAnsi="Arial" w:cs="Arial"/>
        </w:rPr>
        <w:t xml:space="preserve">The June 2014 proposal by the shareholder is almost exclusively </w:t>
      </w:r>
      <w:r w:rsidR="002E61A2">
        <w:rPr>
          <w:rFonts w:ascii="Arial" w:hAnsi="Arial" w:cs="Arial"/>
        </w:rPr>
        <w:t>recovery oriented</w:t>
      </w:r>
      <w:r w:rsidR="00D7389F">
        <w:rPr>
          <w:rFonts w:ascii="Arial" w:hAnsi="Arial" w:cs="Arial"/>
        </w:rPr>
        <w:t>.</w:t>
      </w:r>
      <w:r w:rsidR="002E61A2">
        <w:rPr>
          <w:rFonts w:ascii="Arial" w:hAnsi="Arial" w:cs="Arial"/>
        </w:rPr>
        <w:t xml:space="preserve"> Even the final Restructuring Agreement </w:t>
      </w:r>
      <w:r w:rsidR="00311B8F">
        <w:rPr>
          <w:rFonts w:ascii="Arial" w:hAnsi="Arial" w:cs="Arial"/>
        </w:rPr>
        <w:t xml:space="preserve">does not </w:t>
      </w:r>
      <w:r w:rsidR="003D713B">
        <w:rPr>
          <w:rFonts w:ascii="Arial" w:hAnsi="Arial" w:cs="Arial"/>
        </w:rPr>
        <w:t>describe recovery actions</w:t>
      </w:r>
      <w:r w:rsidR="00826C3B">
        <w:rPr>
          <w:rFonts w:ascii="Arial" w:hAnsi="Arial" w:cs="Arial"/>
        </w:rPr>
        <w:t xml:space="preserve"> beyond some</w:t>
      </w:r>
      <w:r w:rsidR="00EF6670">
        <w:rPr>
          <w:rFonts w:ascii="Arial" w:hAnsi="Arial" w:cs="Arial"/>
        </w:rPr>
        <w:t xml:space="preserve"> basic</w:t>
      </w:r>
      <w:r w:rsidR="00826C3B">
        <w:rPr>
          <w:rFonts w:ascii="Arial" w:hAnsi="Arial" w:cs="Arial"/>
        </w:rPr>
        <w:t xml:space="preserve"> structural changes</w:t>
      </w:r>
      <w:r w:rsidR="003D713B">
        <w:rPr>
          <w:rFonts w:ascii="Arial" w:hAnsi="Arial" w:cs="Arial"/>
        </w:rPr>
        <w:t>.</w:t>
      </w:r>
      <w:r w:rsidR="00C836D9">
        <w:rPr>
          <w:rFonts w:ascii="Arial" w:hAnsi="Arial" w:cs="Arial"/>
        </w:rPr>
        <w:t xml:space="preserve"> </w:t>
      </w:r>
      <w:r w:rsidR="005707C8">
        <w:rPr>
          <w:rFonts w:ascii="Arial" w:hAnsi="Arial" w:cs="Arial"/>
        </w:rPr>
        <w:t xml:space="preserve">Although, the turnaround experts thought that the company is viable, it may have been good for Flow to review </w:t>
      </w:r>
      <w:r w:rsidR="00CA32D9">
        <w:rPr>
          <w:rFonts w:ascii="Arial" w:hAnsi="Arial" w:cs="Arial"/>
        </w:rPr>
        <w:t xml:space="preserve">and provide more detailed plans about </w:t>
      </w:r>
      <w:r w:rsidR="002F6DFD">
        <w:rPr>
          <w:rFonts w:ascii="Arial" w:hAnsi="Arial" w:cs="Arial"/>
        </w:rPr>
        <w:t xml:space="preserve">its </w:t>
      </w:r>
      <w:r w:rsidR="00CA32D9">
        <w:rPr>
          <w:rFonts w:ascii="Arial" w:hAnsi="Arial" w:cs="Arial"/>
        </w:rPr>
        <w:t xml:space="preserve">proposals with respect to </w:t>
      </w:r>
      <w:r w:rsidR="002F6DFD">
        <w:rPr>
          <w:rFonts w:ascii="Arial" w:hAnsi="Arial" w:cs="Arial"/>
        </w:rPr>
        <w:t>market penetration</w:t>
      </w:r>
      <w:r w:rsidR="007513C6">
        <w:rPr>
          <w:rFonts w:ascii="Arial" w:hAnsi="Arial" w:cs="Arial"/>
        </w:rPr>
        <w:t>,</w:t>
      </w:r>
      <w:r w:rsidR="002F6DFD">
        <w:rPr>
          <w:rFonts w:ascii="Arial" w:hAnsi="Arial" w:cs="Arial"/>
        </w:rPr>
        <w:t xml:space="preserve"> produc</w:t>
      </w:r>
      <w:r w:rsidR="00CA32D9">
        <w:rPr>
          <w:rFonts w:ascii="Arial" w:hAnsi="Arial" w:cs="Arial"/>
        </w:rPr>
        <w:t>ts provided</w:t>
      </w:r>
      <w:r w:rsidR="007513C6">
        <w:rPr>
          <w:rFonts w:ascii="Arial" w:hAnsi="Arial" w:cs="Arial"/>
        </w:rPr>
        <w:t>,</w:t>
      </w:r>
      <w:r w:rsidR="00334D23">
        <w:rPr>
          <w:rFonts w:ascii="Arial" w:hAnsi="Arial" w:cs="Arial"/>
        </w:rPr>
        <w:t xml:space="preserve"> </w:t>
      </w:r>
      <w:r w:rsidR="007513C6">
        <w:rPr>
          <w:rFonts w:ascii="Arial" w:hAnsi="Arial" w:cs="Arial"/>
        </w:rPr>
        <w:t>entry into other markets (or countries)</w:t>
      </w:r>
      <w:r w:rsidR="00334D23">
        <w:rPr>
          <w:rFonts w:ascii="Arial" w:hAnsi="Arial" w:cs="Arial"/>
        </w:rPr>
        <w:t>, and strategic acquisitions.</w:t>
      </w:r>
      <w:r w:rsidR="00334D23">
        <w:rPr>
          <w:rStyle w:val="FootnoteReference"/>
          <w:rFonts w:ascii="Arial" w:hAnsi="Arial" w:cs="Arial"/>
        </w:rPr>
        <w:footnoteReference w:id="32"/>
      </w:r>
      <w:r w:rsidR="00EF6670">
        <w:rPr>
          <w:rFonts w:ascii="Arial" w:hAnsi="Arial" w:cs="Arial"/>
        </w:rPr>
        <w:t xml:space="preserve"> If Flow had engaged in more recovery activities earlier on, the banks and other creditors may have had more confidence in </w:t>
      </w:r>
      <w:r w:rsidR="00905A7F">
        <w:rPr>
          <w:rFonts w:ascii="Arial" w:hAnsi="Arial" w:cs="Arial"/>
        </w:rPr>
        <w:t>the company and the turnaround happened more efficiently and effectively.</w:t>
      </w:r>
    </w:p>
    <w:p w14:paraId="33C76F0C" w14:textId="77777777" w:rsidR="00F17C9B" w:rsidRDefault="00F17C9B" w:rsidP="007A7CDE">
      <w:pPr>
        <w:autoSpaceDE w:val="0"/>
        <w:autoSpaceDN w:val="0"/>
        <w:adjustRightInd w:val="0"/>
        <w:spacing w:after="0" w:line="240" w:lineRule="auto"/>
        <w:rPr>
          <w:rFonts w:ascii="Arial" w:hAnsi="Arial" w:cs="Arial"/>
          <w:b/>
          <w:bCs/>
        </w:rPr>
      </w:pPr>
    </w:p>
    <w:p w14:paraId="0029DBB4" w14:textId="63C91FB0" w:rsidR="000F3AD4" w:rsidRPr="00197281" w:rsidRDefault="000F3AD4" w:rsidP="00197281">
      <w:pPr>
        <w:pStyle w:val="ListParagraph"/>
        <w:numPr>
          <w:ilvl w:val="0"/>
          <w:numId w:val="19"/>
        </w:numPr>
        <w:autoSpaceDE w:val="0"/>
        <w:autoSpaceDN w:val="0"/>
        <w:adjustRightInd w:val="0"/>
        <w:spacing w:after="0" w:line="240" w:lineRule="auto"/>
        <w:rPr>
          <w:rFonts w:ascii="Arial" w:hAnsi="Arial" w:cs="Arial"/>
          <w:u w:val="single"/>
        </w:rPr>
      </w:pPr>
      <w:r w:rsidRPr="00197281">
        <w:rPr>
          <w:rFonts w:ascii="Arial" w:hAnsi="Arial" w:cs="Arial"/>
          <w:u w:val="single"/>
        </w:rPr>
        <w:t xml:space="preserve">Importance of Stakeholder Influence in Successful Reorganizations </w:t>
      </w:r>
    </w:p>
    <w:p w14:paraId="60DE2CE1" w14:textId="77777777" w:rsidR="000F3AD4" w:rsidRDefault="000F3AD4" w:rsidP="000F3AD4">
      <w:pPr>
        <w:autoSpaceDE w:val="0"/>
        <w:autoSpaceDN w:val="0"/>
        <w:adjustRightInd w:val="0"/>
        <w:spacing w:after="0" w:line="240" w:lineRule="auto"/>
        <w:rPr>
          <w:rFonts w:ascii="Arial" w:hAnsi="Arial" w:cs="Arial"/>
          <w:b/>
          <w:bCs/>
        </w:rPr>
      </w:pPr>
    </w:p>
    <w:p w14:paraId="466C9F30" w14:textId="35B63385" w:rsidR="000F3AD4" w:rsidRDefault="00CB66FE" w:rsidP="000F3AD4">
      <w:pPr>
        <w:autoSpaceDE w:val="0"/>
        <w:autoSpaceDN w:val="0"/>
        <w:adjustRightInd w:val="0"/>
        <w:spacing w:after="0" w:line="240" w:lineRule="auto"/>
        <w:rPr>
          <w:rFonts w:ascii="Arial" w:hAnsi="Arial" w:cs="Arial"/>
        </w:rPr>
      </w:pPr>
      <w:r w:rsidRPr="00CB66FE">
        <w:rPr>
          <w:rFonts w:ascii="Arial" w:hAnsi="Arial" w:cs="Arial"/>
        </w:rPr>
        <w:t>Pajunen, 2006</w:t>
      </w:r>
      <w:r>
        <w:rPr>
          <w:rFonts w:ascii="Arial" w:hAnsi="Arial" w:cs="Arial"/>
        </w:rPr>
        <w:t xml:space="preserve"> (</w:t>
      </w:r>
      <w:r w:rsidR="000F3AD4">
        <w:rPr>
          <w:rFonts w:ascii="Arial" w:hAnsi="Arial" w:cs="Arial"/>
        </w:rPr>
        <w:t>Pajunen</w:t>
      </w:r>
      <w:r>
        <w:rPr>
          <w:rFonts w:ascii="Arial" w:hAnsi="Arial" w:cs="Arial"/>
        </w:rPr>
        <w:t>)</w:t>
      </w:r>
      <w:r w:rsidR="000F3AD4">
        <w:rPr>
          <w:rFonts w:ascii="Arial" w:hAnsi="Arial" w:cs="Arial"/>
        </w:rPr>
        <w:t>’s approach to reorganization is through the lens of stakeholder influences. A model is proposed that examines stakeholders through direct resource dependence and structure-based forms of power.</w:t>
      </w:r>
      <w:r w:rsidR="000F3AD4">
        <w:rPr>
          <w:rStyle w:val="FootnoteReference"/>
          <w:rFonts w:ascii="Arial" w:hAnsi="Arial" w:cs="Arial"/>
        </w:rPr>
        <w:footnoteReference w:id="33"/>
      </w:r>
      <w:r w:rsidR="000F3AD4">
        <w:rPr>
          <w:rFonts w:ascii="Arial" w:hAnsi="Arial" w:cs="Arial"/>
        </w:rPr>
        <w:t xml:space="preserve"> Pajunen posits that the “survival of organizations is seen as dependent on their ability to acquire and maintain resources”</w:t>
      </w:r>
      <w:r w:rsidR="000F3AD4">
        <w:rPr>
          <w:rStyle w:val="FootnoteReference"/>
          <w:rFonts w:ascii="Arial" w:hAnsi="Arial" w:cs="Arial"/>
        </w:rPr>
        <w:footnoteReference w:id="34"/>
      </w:r>
      <w:r w:rsidR="000F3AD4">
        <w:rPr>
          <w:rFonts w:ascii="Arial" w:hAnsi="Arial" w:cs="Arial"/>
        </w:rPr>
        <w:t xml:space="preserve"> and that a model for stakeholders “becomes an essential function for an organization in crisis.”</w:t>
      </w:r>
      <w:r w:rsidR="000F3AD4">
        <w:rPr>
          <w:rStyle w:val="FootnoteReference"/>
          <w:rFonts w:ascii="Arial" w:hAnsi="Arial" w:cs="Arial"/>
        </w:rPr>
        <w:footnoteReference w:id="35"/>
      </w:r>
      <w:r w:rsidR="000F3AD4">
        <w:rPr>
          <w:rFonts w:ascii="Arial" w:hAnsi="Arial" w:cs="Arial"/>
        </w:rPr>
        <w:t xml:space="preserve">  Further, Pajunen shows how the influence of stakeholders may change during decline and turnaround.</w:t>
      </w:r>
      <w:r w:rsidR="000F3AD4">
        <w:rPr>
          <w:rStyle w:val="FootnoteReference"/>
          <w:rFonts w:ascii="Arial" w:hAnsi="Arial" w:cs="Arial"/>
        </w:rPr>
        <w:footnoteReference w:id="36"/>
      </w:r>
      <w:r w:rsidR="000F3AD4">
        <w:rPr>
          <w:rFonts w:ascii="Arial" w:hAnsi="Arial" w:cs="Arial"/>
        </w:rPr>
        <w:t xml:space="preserve">  Finally, the paper draws six propositions summarizing stakeholder management in organizational survival.</w:t>
      </w:r>
      <w:r w:rsidR="000F3AD4">
        <w:rPr>
          <w:rStyle w:val="FootnoteReference"/>
          <w:rFonts w:ascii="Arial" w:hAnsi="Arial" w:cs="Arial"/>
        </w:rPr>
        <w:footnoteReference w:id="37"/>
      </w:r>
    </w:p>
    <w:p w14:paraId="5023C86E" w14:textId="77777777" w:rsidR="000F3AD4" w:rsidRDefault="000F3AD4" w:rsidP="000F3AD4">
      <w:pPr>
        <w:autoSpaceDE w:val="0"/>
        <w:autoSpaceDN w:val="0"/>
        <w:adjustRightInd w:val="0"/>
        <w:spacing w:after="0" w:line="240" w:lineRule="auto"/>
        <w:rPr>
          <w:rFonts w:ascii="Arial" w:hAnsi="Arial" w:cs="Arial"/>
        </w:rPr>
      </w:pPr>
    </w:p>
    <w:p w14:paraId="07CD158E" w14:textId="795A36DD" w:rsidR="000F3AD4" w:rsidRDefault="000F3AD4" w:rsidP="000F3AD4">
      <w:pPr>
        <w:autoSpaceDE w:val="0"/>
        <w:autoSpaceDN w:val="0"/>
        <w:adjustRightInd w:val="0"/>
        <w:spacing w:after="0" w:line="240" w:lineRule="auto"/>
        <w:rPr>
          <w:rFonts w:ascii="Arial" w:hAnsi="Arial" w:cs="Arial"/>
        </w:rPr>
      </w:pPr>
      <w:r>
        <w:rPr>
          <w:rFonts w:ascii="Arial" w:hAnsi="Arial" w:cs="Arial"/>
        </w:rPr>
        <w:t>The case does not detail what kind of stakeholder analysis the parties did of Flow. However, the main stakeholder</w:t>
      </w:r>
      <w:r w:rsidR="000F190E">
        <w:rPr>
          <w:rFonts w:ascii="Arial" w:hAnsi="Arial" w:cs="Arial"/>
        </w:rPr>
        <w:t xml:space="preserve"> </w:t>
      </w:r>
      <w:r>
        <w:rPr>
          <w:rFonts w:ascii="Arial" w:hAnsi="Arial" w:cs="Arial"/>
        </w:rPr>
        <w:t xml:space="preserve">discussions in the case seem to be with those which it had the most direct resource dependence – mainly the banks, who provided the working capital which seemed necessary for </w:t>
      </w:r>
      <w:r w:rsidR="007B2254">
        <w:rPr>
          <w:rFonts w:ascii="Arial" w:hAnsi="Arial" w:cs="Arial"/>
        </w:rPr>
        <w:t xml:space="preserve">the </w:t>
      </w:r>
      <w:r>
        <w:rPr>
          <w:rFonts w:ascii="Arial" w:hAnsi="Arial" w:cs="Arial"/>
        </w:rPr>
        <w:t xml:space="preserve">survival of Flow. </w:t>
      </w:r>
      <w:r w:rsidRPr="00B63B20">
        <w:rPr>
          <w:rFonts w:ascii="Arial" w:hAnsi="Arial" w:cs="Arial"/>
        </w:rPr>
        <w:t xml:space="preserve">However, there could be other governing stakeholders, </w:t>
      </w:r>
      <w:r w:rsidRPr="00B63B20">
        <w:rPr>
          <w:rFonts w:ascii="Arial" w:hAnsi="Arial" w:cs="Arial"/>
        </w:rPr>
        <w:lastRenderedPageBreak/>
        <w:t>especially of the other subsidiaries, which were not discussed.</w:t>
      </w:r>
      <w:r>
        <w:rPr>
          <w:rFonts w:ascii="Arial" w:hAnsi="Arial" w:cs="Arial"/>
        </w:rPr>
        <w:t xml:space="preserve"> The network perspective, which defines the structure-based analysis of stakeholders, does not seem to have been conducted.  </w:t>
      </w:r>
    </w:p>
    <w:p w14:paraId="61C0AA25" w14:textId="77777777" w:rsidR="000F3AD4" w:rsidRDefault="000F3AD4" w:rsidP="000F3AD4">
      <w:pPr>
        <w:autoSpaceDE w:val="0"/>
        <w:autoSpaceDN w:val="0"/>
        <w:adjustRightInd w:val="0"/>
        <w:spacing w:after="0" w:line="240" w:lineRule="auto"/>
        <w:rPr>
          <w:rFonts w:ascii="Arial" w:hAnsi="Arial" w:cs="Arial"/>
        </w:rPr>
      </w:pPr>
    </w:p>
    <w:p w14:paraId="374C4B2C" w14:textId="0250952F" w:rsidR="000F3AD4" w:rsidRDefault="000F3AD4" w:rsidP="000F3AD4">
      <w:pPr>
        <w:autoSpaceDE w:val="0"/>
        <w:autoSpaceDN w:val="0"/>
        <w:adjustRightInd w:val="0"/>
        <w:spacing w:after="0" w:line="240" w:lineRule="auto"/>
        <w:rPr>
          <w:rFonts w:ascii="Arial" w:hAnsi="Arial" w:cs="Arial"/>
        </w:rPr>
      </w:pPr>
      <w:r>
        <w:rPr>
          <w:rFonts w:ascii="Arial" w:hAnsi="Arial" w:cs="Arial"/>
        </w:rPr>
        <w:t>Next, I examine if Flow followed Pajunen’s six propositions. The first two propositions involve the continuing support of governing stakeholders and the importance of communication in organizational survival.</w:t>
      </w:r>
      <w:r>
        <w:rPr>
          <w:rStyle w:val="FootnoteReference"/>
          <w:rFonts w:ascii="Arial" w:hAnsi="Arial" w:cs="Arial"/>
        </w:rPr>
        <w:footnoteReference w:id="38"/>
      </w:r>
      <w:r>
        <w:rPr>
          <w:rFonts w:ascii="Arial" w:hAnsi="Arial" w:cs="Arial"/>
        </w:rPr>
        <w:t xml:space="preserve"> </w:t>
      </w:r>
      <w:r w:rsidR="00D7689E">
        <w:rPr>
          <w:rFonts w:ascii="Arial" w:hAnsi="Arial" w:cs="Arial"/>
        </w:rPr>
        <w:t>C</w:t>
      </w:r>
      <w:r>
        <w:rPr>
          <w:rFonts w:ascii="Arial" w:hAnsi="Arial" w:cs="Arial"/>
        </w:rPr>
        <w:t>ontinual, open, active communication with governing stakeholders has a positive effect on survival.</w:t>
      </w:r>
      <w:r>
        <w:rPr>
          <w:rStyle w:val="FootnoteReference"/>
          <w:rFonts w:ascii="Arial" w:hAnsi="Arial" w:cs="Arial"/>
        </w:rPr>
        <w:footnoteReference w:id="39"/>
      </w:r>
      <w:r>
        <w:rPr>
          <w:rFonts w:ascii="Arial" w:hAnsi="Arial" w:cs="Arial"/>
        </w:rPr>
        <w:t xml:space="preserve"> In the case of Flow, although there was some degree of communication with the banks and shareholders, there likely could be much more. For example, in the many cases where forecasts had to be revised, it seemed like a surprise to the creditors – sometimes announced by press release. This information could have been communicated to them at a much earlier point in time. Further, there does not seem to be much communication with other important stakeholders such as suppliers and employees. </w:t>
      </w:r>
    </w:p>
    <w:p w14:paraId="04ECA8E3" w14:textId="77777777" w:rsidR="000F3AD4" w:rsidRDefault="000F3AD4" w:rsidP="000F3AD4">
      <w:pPr>
        <w:autoSpaceDE w:val="0"/>
        <w:autoSpaceDN w:val="0"/>
        <w:adjustRightInd w:val="0"/>
        <w:spacing w:after="0" w:line="240" w:lineRule="auto"/>
        <w:rPr>
          <w:rFonts w:ascii="Arial" w:hAnsi="Arial" w:cs="Arial"/>
        </w:rPr>
      </w:pPr>
    </w:p>
    <w:p w14:paraId="0617AE09" w14:textId="7DDA98E1" w:rsidR="000F3AD4" w:rsidRDefault="000F3AD4" w:rsidP="000F3AD4">
      <w:pPr>
        <w:autoSpaceDE w:val="0"/>
        <w:autoSpaceDN w:val="0"/>
        <w:adjustRightInd w:val="0"/>
        <w:spacing w:after="0" w:line="240" w:lineRule="auto"/>
        <w:rPr>
          <w:rFonts w:ascii="Arial" w:hAnsi="Arial" w:cs="Arial"/>
        </w:rPr>
      </w:pPr>
      <w:r>
        <w:rPr>
          <w:rFonts w:ascii="Arial" w:hAnsi="Arial" w:cs="Arial"/>
        </w:rPr>
        <w:t>The third proposition is that personal relationships will help promote trust.</w:t>
      </w:r>
      <w:r>
        <w:rPr>
          <w:rStyle w:val="FootnoteReference"/>
          <w:rFonts w:ascii="Arial" w:hAnsi="Arial" w:cs="Arial"/>
        </w:rPr>
        <w:footnoteReference w:id="40"/>
      </w:r>
      <w:r>
        <w:rPr>
          <w:rFonts w:ascii="Arial" w:hAnsi="Arial" w:cs="Arial"/>
        </w:rPr>
        <w:t xml:space="preserve"> In this regard, the case study intimates that the appointed CRO may have an existing relationship with Bank A which may increase trust.</w:t>
      </w:r>
      <w:r w:rsidR="00622994">
        <w:rPr>
          <w:rFonts w:ascii="Arial" w:hAnsi="Arial" w:cs="Arial"/>
        </w:rPr>
        <w:t xml:space="preserve"> </w:t>
      </w:r>
      <w:r>
        <w:rPr>
          <w:rFonts w:ascii="Arial" w:hAnsi="Arial" w:cs="Arial"/>
        </w:rPr>
        <w:t>The fourth proposition is that management having an unlocked brokerage position with governing stakeholders enhances the chances to organizational survival. In the case, there seemed to be problems with the CFO and eventually CEO – they could have been hiding losses – replacing them seems to have increased trust from the governing stakeholders. Consensus on long-term goals among governing stakeholders is the fifth proposition.</w:t>
      </w:r>
      <w:r>
        <w:rPr>
          <w:rStyle w:val="FootnoteReference"/>
          <w:rFonts w:ascii="Arial" w:hAnsi="Arial" w:cs="Arial"/>
        </w:rPr>
        <w:footnoteReference w:id="41"/>
      </w:r>
      <w:r>
        <w:rPr>
          <w:rFonts w:ascii="Arial" w:hAnsi="Arial" w:cs="Arial"/>
        </w:rPr>
        <w:t xml:space="preserve"> The goals of the governing stakeholders in the case were not that clear. For example, Banks C &amp; D were often not cooperative, and many different scenarios were drawn-up (ranging from liquidation to a going concern sale) the long-term goal of the stakeholders did not seem aligned</w:t>
      </w:r>
      <w:r w:rsidR="009B2A8F">
        <w:rPr>
          <w:rFonts w:ascii="Arial" w:hAnsi="Arial" w:cs="Arial"/>
        </w:rPr>
        <w:t xml:space="preserve"> until the end</w:t>
      </w:r>
      <w:r>
        <w:rPr>
          <w:rFonts w:ascii="Arial" w:hAnsi="Arial" w:cs="Arial"/>
        </w:rPr>
        <w:t>. If they had met and aligned the goal</w:t>
      </w:r>
      <w:r w:rsidR="009B2A8F">
        <w:rPr>
          <w:rFonts w:ascii="Arial" w:hAnsi="Arial" w:cs="Arial"/>
        </w:rPr>
        <w:t xml:space="preserve"> earlier</w:t>
      </w:r>
      <w:r>
        <w:rPr>
          <w:rFonts w:ascii="Arial" w:hAnsi="Arial" w:cs="Arial"/>
        </w:rPr>
        <w:t xml:space="preserve"> to, for example, improve the firms’ performance to get back to solvency and then sell the firm as a going concern this may have improved the restructuring. </w:t>
      </w:r>
    </w:p>
    <w:p w14:paraId="557C5121" w14:textId="77777777" w:rsidR="000F3AD4" w:rsidRDefault="000F3AD4" w:rsidP="000F3AD4">
      <w:pPr>
        <w:autoSpaceDE w:val="0"/>
        <w:autoSpaceDN w:val="0"/>
        <w:adjustRightInd w:val="0"/>
        <w:spacing w:after="0" w:line="240" w:lineRule="auto"/>
        <w:rPr>
          <w:rFonts w:ascii="Arial" w:hAnsi="Arial" w:cs="Arial"/>
        </w:rPr>
      </w:pPr>
    </w:p>
    <w:p w14:paraId="1D41523B" w14:textId="77777777" w:rsidR="000F3AD4" w:rsidRDefault="000F3AD4" w:rsidP="000F3AD4">
      <w:pPr>
        <w:autoSpaceDE w:val="0"/>
        <w:autoSpaceDN w:val="0"/>
        <w:adjustRightInd w:val="0"/>
        <w:spacing w:after="0" w:line="240" w:lineRule="auto"/>
        <w:rPr>
          <w:rFonts w:ascii="Arial" w:hAnsi="Arial" w:cs="Arial"/>
        </w:rPr>
      </w:pPr>
      <w:r>
        <w:rPr>
          <w:rFonts w:ascii="Arial" w:hAnsi="Arial" w:cs="Arial"/>
        </w:rPr>
        <w:t>Lastly, proposition six is that the governing shareholders’ association of management with good performance increases the probability of success.</w:t>
      </w:r>
      <w:r>
        <w:rPr>
          <w:rStyle w:val="FootnoteReference"/>
          <w:rFonts w:ascii="Arial" w:hAnsi="Arial" w:cs="Arial"/>
        </w:rPr>
        <w:footnoteReference w:id="42"/>
      </w:r>
      <w:r>
        <w:rPr>
          <w:rFonts w:ascii="Arial" w:hAnsi="Arial" w:cs="Arial"/>
        </w:rPr>
        <w:t xml:space="preserve"> New management of Flow was brought in – CFO, CEO and CRO – which likely reset the relationship with the governing stakeholders to some degree. The banks note that though they were happy with the new management, they were still not happy with the constant change in information. For example, a few months before, another large loss (EUR 27.5 million) was expected instead of the earlier announcement of a smaller loss, or even a profit. </w:t>
      </w:r>
    </w:p>
    <w:p w14:paraId="134C5720" w14:textId="77777777" w:rsidR="009532FC" w:rsidRDefault="009532FC" w:rsidP="000F3AD4">
      <w:pPr>
        <w:autoSpaceDE w:val="0"/>
        <w:autoSpaceDN w:val="0"/>
        <w:adjustRightInd w:val="0"/>
        <w:spacing w:after="0" w:line="240" w:lineRule="auto"/>
        <w:rPr>
          <w:rFonts w:ascii="Arial" w:hAnsi="Arial" w:cs="Arial"/>
        </w:rPr>
      </w:pPr>
    </w:p>
    <w:p w14:paraId="5689393F" w14:textId="62AB31F5" w:rsidR="009532FC" w:rsidRDefault="009532FC" w:rsidP="00197281">
      <w:pPr>
        <w:pStyle w:val="ListParagraph"/>
        <w:numPr>
          <w:ilvl w:val="0"/>
          <w:numId w:val="19"/>
        </w:numPr>
        <w:autoSpaceDE w:val="0"/>
        <w:autoSpaceDN w:val="0"/>
        <w:adjustRightInd w:val="0"/>
        <w:spacing w:after="0" w:line="240" w:lineRule="auto"/>
        <w:rPr>
          <w:rFonts w:ascii="Arial" w:hAnsi="Arial" w:cs="Arial"/>
          <w:u w:val="single"/>
        </w:rPr>
      </w:pPr>
      <w:r w:rsidRPr="00197281">
        <w:rPr>
          <w:rFonts w:ascii="Arial" w:hAnsi="Arial" w:cs="Arial"/>
          <w:u w:val="single"/>
        </w:rPr>
        <w:t>Independent Valuation and Strategy Consultants Minimize Disputes</w:t>
      </w:r>
    </w:p>
    <w:p w14:paraId="6965FB87" w14:textId="77777777" w:rsidR="009532FC" w:rsidRDefault="009532FC" w:rsidP="009532FC">
      <w:pPr>
        <w:autoSpaceDE w:val="0"/>
        <w:autoSpaceDN w:val="0"/>
        <w:adjustRightInd w:val="0"/>
        <w:spacing w:after="0" w:line="240" w:lineRule="auto"/>
        <w:rPr>
          <w:rFonts w:ascii="Arial" w:hAnsi="Arial" w:cs="Arial"/>
          <w:b/>
          <w:bCs/>
        </w:rPr>
      </w:pPr>
    </w:p>
    <w:p w14:paraId="5A90FEE0" w14:textId="764E4E2C" w:rsidR="009532FC" w:rsidRDefault="00114C4A" w:rsidP="009532FC">
      <w:pPr>
        <w:autoSpaceDE w:val="0"/>
        <w:autoSpaceDN w:val="0"/>
        <w:adjustRightInd w:val="0"/>
        <w:spacing w:after="0" w:line="240" w:lineRule="auto"/>
        <w:rPr>
          <w:rFonts w:ascii="Arial" w:hAnsi="Arial" w:cs="Arial"/>
        </w:rPr>
      </w:pPr>
      <w:r w:rsidRPr="002E5E0D">
        <w:rPr>
          <w:rFonts w:ascii="Arial" w:hAnsi="Arial" w:cs="Arial"/>
        </w:rPr>
        <w:t>Adriaanse, Broekema, 2022</w:t>
      </w:r>
      <w:r w:rsidRPr="0086255C">
        <w:rPr>
          <w:rFonts w:ascii="Arial" w:hAnsi="Arial" w:cs="Arial"/>
        </w:rPr>
        <w:t xml:space="preserve"> (</w:t>
      </w:r>
      <w:r w:rsidR="009532FC">
        <w:rPr>
          <w:rFonts w:ascii="Arial" w:hAnsi="Arial" w:cs="Arial"/>
        </w:rPr>
        <w:t>Adriaanse</w:t>
      </w:r>
      <w:r w:rsidR="0086255C">
        <w:rPr>
          <w:rFonts w:ascii="Arial" w:hAnsi="Arial" w:cs="Arial"/>
        </w:rPr>
        <w:t xml:space="preserve"> &amp; </w:t>
      </w:r>
      <w:r w:rsidR="0086255C" w:rsidRPr="002E5E0D">
        <w:rPr>
          <w:rFonts w:ascii="Arial" w:hAnsi="Arial" w:cs="Arial"/>
        </w:rPr>
        <w:t>Broekema</w:t>
      </w:r>
      <w:r>
        <w:rPr>
          <w:rFonts w:ascii="Arial" w:hAnsi="Arial" w:cs="Arial"/>
        </w:rPr>
        <w:t>)</w:t>
      </w:r>
      <w:r w:rsidR="009532FC">
        <w:rPr>
          <w:rFonts w:ascii="Arial" w:hAnsi="Arial" w:cs="Arial"/>
        </w:rPr>
        <w:t xml:space="preserve"> discusses the problems that valuation ambiguities and subsequent disputes pose to an efficient informal restructuring process.</w:t>
      </w:r>
      <w:r w:rsidR="009532FC">
        <w:rPr>
          <w:rStyle w:val="FootnoteReference"/>
          <w:rFonts w:ascii="Arial" w:hAnsi="Arial" w:cs="Arial"/>
        </w:rPr>
        <w:footnoteReference w:id="43"/>
      </w:r>
      <w:r w:rsidR="009532FC">
        <w:rPr>
          <w:rFonts w:ascii="Arial" w:hAnsi="Arial" w:cs="Arial"/>
        </w:rPr>
        <w:t xml:space="preserve"> This is discussed in the context of the European Directive on Preventive Restructuring Frameworks and insights from the Netherlands. The article suggests appointing fully independent valuators </w:t>
      </w:r>
      <w:r w:rsidR="009532FC">
        <w:rPr>
          <w:rFonts w:ascii="Arial" w:hAnsi="Arial" w:cs="Arial"/>
        </w:rPr>
        <w:lastRenderedPageBreak/>
        <w:t>and strategy consultants early in the turnaround process.</w:t>
      </w:r>
      <w:r w:rsidR="009532FC">
        <w:rPr>
          <w:rStyle w:val="FootnoteReference"/>
          <w:rFonts w:ascii="Arial" w:hAnsi="Arial" w:cs="Arial"/>
        </w:rPr>
        <w:footnoteReference w:id="44"/>
      </w:r>
      <w:r w:rsidR="009532FC">
        <w:rPr>
          <w:rFonts w:ascii="Arial" w:hAnsi="Arial" w:cs="Arial"/>
        </w:rPr>
        <w:t xml:space="preserve"> In the Flow case study, </w:t>
      </w:r>
      <w:r w:rsidR="00925FCE">
        <w:rPr>
          <w:rFonts w:ascii="Arial" w:hAnsi="Arial" w:cs="Arial"/>
        </w:rPr>
        <w:t>several</w:t>
      </w:r>
      <w:r w:rsidR="009532FC">
        <w:rPr>
          <w:rFonts w:ascii="Arial" w:hAnsi="Arial" w:cs="Arial"/>
        </w:rPr>
        <w:t xml:space="preserve"> independent experts are appointed: (i) an accounting firm to investigate procedures within the company and (ii) an independent turnaround consultancy to review viability. However, it is not clear if the turnaround consultancy was a valuation expert or strategy consultant. Given Adriaanse</w:t>
      </w:r>
      <w:r w:rsidR="0086255C">
        <w:rPr>
          <w:rFonts w:ascii="Arial" w:hAnsi="Arial" w:cs="Arial"/>
        </w:rPr>
        <w:t xml:space="preserve"> &amp; </w:t>
      </w:r>
      <w:proofErr w:type="spellStart"/>
      <w:r w:rsidR="0086255C" w:rsidRPr="002E5E0D">
        <w:rPr>
          <w:rFonts w:ascii="Arial" w:hAnsi="Arial" w:cs="Arial"/>
        </w:rPr>
        <w:t>Broekema</w:t>
      </w:r>
      <w:r w:rsidR="009532FC">
        <w:rPr>
          <w:rFonts w:ascii="Arial" w:hAnsi="Arial" w:cs="Arial"/>
        </w:rPr>
        <w:t>’s</w:t>
      </w:r>
      <w:proofErr w:type="spellEnd"/>
      <w:r w:rsidR="009532FC">
        <w:rPr>
          <w:rFonts w:ascii="Arial" w:hAnsi="Arial" w:cs="Arial"/>
        </w:rPr>
        <w:t xml:space="preserve"> paper, it may have improved key stakeholders trust in the restructuring plan and path forward if a more thorough valuation and strategy analysis was conducted. Stakeholder consultations on the results of such an analysis may have also improved trust.</w:t>
      </w:r>
      <w:r w:rsidR="009532FC">
        <w:rPr>
          <w:rStyle w:val="FootnoteReference"/>
          <w:rFonts w:ascii="Arial" w:hAnsi="Arial" w:cs="Arial"/>
        </w:rPr>
        <w:footnoteReference w:id="45"/>
      </w:r>
      <w:r w:rsidR="009532FC">
        <w:rPr>
          <w:rFonts w:ascii="Arial" w:hAnsi="Arial" w:cs="Arial"/>
        </w:rPr>
        <w:t xml:space="preserve"> These actions may have encouraged the banks to act more decisively and led to less losses.</w:t>
      </w:r>
    </w:p>
    <w:p w14:paraId="450ECD68" w14:textId="77777777" w:rsidR="000F3AD4" w:rsidRDefault="000F3AD4" w:rsidP="005B181F">
      <w:pPr>
        <w:autoSpaceDE w:val="0"/>
        <w:autoSpaceDN w:val="0"/>
        <w:adjustRightInd w:val="0"/>
        <w:spacing w:after="0" w:line="240" w:lineRule="auto"/>
        <w:rPr>
          <w:rFonts w:ascii="Arial" w:hAnsi="Arial" w:cs="Arial"/>
        </w:rPr>
      </w:pPr>
    </w:p>
    <w:p w14:paraId="1496BAAD" w14:textId="48304C75" w:rsidR="00011126" w:rsidRPr="00F85702" w:rsidRDefault="00011126" w:rsidP="00011126">
      <w:pPr>
        <w:pStyle w:val="ListParagraph"/>
        <w:numPr>
          <w:ilvl w:val="0"/>
          <w:numId w:val="1"/>
        </w:numPr>
        <w:autoSpaceDE w:val="0"/>
        <w:autoSpaceDN w:val="0"/>
        <w:adjustRightInd w:val="0"/>
        <w:spacing w:after="0" w:line="240" w:lineRule="auto"/>
        <w:rPr>
          <w:rFonts w:ascii="Arial" w:hAnsi="Arial" w:cs="Arial"/>
          <w:b/>
          <w:bCs/>
        </w:rPr>
      </w:pPr>
      <w:r w:rsidRPr="00F85702">
        <w:rPr>
          <w:rFonts w:ascii="Arial" w:hAnsi="Arial" w:cs="Arial"/>
          <w:b/>
          <w:bCs/>
        </w:rPr>
        <w:t>Banks C and D seem to frustrate the process at a certain point. What could have been the (rational and/or opportunistic) reason(s) for them to behave like that? What would you have done in that situation in your role as advisor of the other two banks?</w:t>
      </w:r>
    </w:p>
    <w:p w14:paraId="31861C8F" w14:textId="77777777" w:rsidR="00C256EF" w:rsidRDefault="00C256EF" w:rsidP="00C256EF">
      <w:pPr>
        <w:autoSpaceDE w:val="0"/>
        <w:autoSpaceDN w:val="0"/>
        <w:adjustRightInd w:val="0"/>
        <w:spacing w:after="0" w:line="240" w:lineRule="auto"/>
        <w:rPr>
          <w:rFonts w:ascii="Arial" w:hAnsi="Arial" w:cs="Arial"/>
        </w:rPr>
      </w:pPr>
    </w:p>
    <w:p w14:paraId="0FCA36DA" w14:textId="71B1ADFB" w:rsidR="00F869ED" w:rsidRDefault="00F869ED" w:rsidP="00F869ED">
      <w:pPr>
        <w:autoSpaceDE w:val="0"/>
        <w:autoSpaceDN w:val="0"/>
        <w:adjustRightInd w:val="0"/>
        <w:spacing w:after="0" w:line="240" w:lineRule="auto"/>
        <w:rPr>
          <w:rFonts w:ascii="Arial" w:hAnsi="Arial" w:cs="Arial"/>
        </w:rPr>
      </w:pPr>
      <w:r>
        <w:rPr>
          <w:rFonts w:ascii="Arial" w:hAnsi="Arial" w:cs="Arial"/>
        </w:rPr>
        <w:t xml:space="preserve">In February 2014, Banks C </w:t>
      </w:r>
      <w:r w:rsidR="008D0CF1">
        <w:rPr>
          <w:rFonts w:ascii="Arial" w:hAnsi="Arial" w:cs="Arial"/>
        </w:rPr>
        <w:t xml:space="preserve">&amp; </w:t>
      </w:r>
      <w:r>
        <w:rPr>
          <w:rFonts w:ascii="Arial" w:hAnsi="Arial" w:cs="Arial"/>
        </w:rPr>
        <w:t xml:space="preserve">D </w:t>
      </w:r>
      <w:r w:rsidR="00D73721">
        <w:rPr>
          <w:rFonts w:ascii="Arial" w:hAnsi="Arial" w:cs="Arial"/>
        </w:rPr>
        <w:t>(</w:t>
      </w:r>
      <w:r w:rsidR="00D46E56">
        <w:rPr>
          <w:rFonts w:ascii="Arial" w:hAnsi="Arial" w:cs="Arial"/>
        </w:rPr>
        <w:t xml:space="preserve">CD) </w:t>
      </w:r>
      <w:r>
        <w:rPr>
          <w:rFonts w:ascii="Arial" w:hAnsi="Arial" w:cs="Arial"/>
        </w:rPr>
        <w:t xml:space="preserve">suddenly stop cooperating in the standstill agreement process. </w:t>
      </w:r>
      <w:r w:rsidR="00E730AD">
        <w:rPr>
          <w:rFonts w:ascii="Arial" w:hAnsi="Arial" w:cs="Arial"/>
        </w:rPr>
        <w:t>My answer below explores why that could be and what I would have done as an advisor to Banks A &amp; B</w:t>
      </w:r>
      <w:r w:rsidR="00DF3DC1">
        <w:rPr>
          <w:rFonts w:ascii="Arial" w:hAnsi="Arial" w:cs="Arial"/>
        </w:rPr>
        <w:t xml:space="preserve"> (AB)</w:t>
      </w:r>
      <w:r w:rsidR="00E730AD">
        <w:rPr>
          <w:rFonts w:ascii="Arial" w:hAnsi="Arial" w:cs="Arial"/>
        </w:rPr>
        <w:t>.</w:t>
      </w:r>
    </w:p>
    <w:p w14:paraId="117D5247" w14:textId="77777777" w:rsidR="00F869ED" w:rsidRDefault="00F869ED" w:rsidP="00C256EF">
      <w:pPr>
        <w:autoSpaceDE w:val="0"/>
        <w:autoSpaceDN w:val="0"/>
        <w:adjustRightInd w:val="0"/>
        <w:spacing w:after="0" w:line="240" w:lineRule="auto"/>
        <w:rPr>
          <w:rFonts w:ascii="Arial" w:hAnsi="Arial" w:cs="Arial"/>
          <w:u w:val="single"/>
        </w:rPr>
      </w:pPr>
    </w:p>
    <w:p w14:paraId="5E75938A" w14:textId="144881FA" w:rsidR="00523237" w:rsidRPr="003F5E92" w:rsidRDefault="00523237" w:rsidP="003F5E92">
      <w:pPr>
        <w:autoSpaceDE w:val="0"/>
        <w:autoSpaceDN w:val="0"/>
        <w:adjustRightInd w:val="0"/>
        <w:spacing w:after="0" w:line="240" w:lineRule="auto"/>
        <w:rPr>
          <w:rFonts w:ascii="Arial" w:hAnsi="Arial" w:cs="Arial"/>
          <w:u w:val="single"/>
        </w:rPr>
      </w:pPr>
      <w:r w:rsidRPr="003F5E92">
        <w:rPr>
          <w:rFonts w:ascii="Arial" w:hAnsi="Arial" w:cs="Arial"/>
          <w:u w:val="single"/>
        </w:rPr>
        <w:t>Why Banks C and D Seem to Frustrate Process?</w:t>
      </w:r>
    </w:p>
    <w:p w14:paraId="0573063B" w14:textId="77777777" w:rsidR="00EE1077" w:rsidRDefault="00EE1077" w:rsidP="00C256EF">
      <w:pPr>
        <w:autoSpaceDE w:val="0"/>
        <w:autoSpaceDN w:val="0"/>
        <w:adjustRightInd w:val="0"/>
        <w:spacing w:after="0" w:line="240" w:lineRule="auto"/>
        <w:rPr>
          <w:rFonts w:ascii="Arial" w:hAnsi="Arial" w:cs="Arial"/>
          <w:u w:val="single"/>
        </w:rPr>
      </w:pPr>
    </w:p>
    <w:p w14:paraId="4F721889" w14:textId="69E301D9" w:rsidR="005669F5" w:rsidRDefault="004A629F" w:rsidP="00F869ED">
      <w:pPr>
        <w:pStyle w:val="ListParagraph"/>
        <w:numPr>
          <w:ilvl w:val="0"/>
          <w:numId w:val="12"/>
        </w:numPr>
        <w:autoSpaceDE w:val="0"/>
        <w:autoSpaceDN w:val="0"/>
        <w:adjustRightInd w:val="0"/>
        <w:spacing w:after="0" w:line="240" w:lineRule="auto"/>
        <w:rPr>
          <w:rFonts w:ascii="Arial" w:hAnsi="Arial" w:cs="Arial"/>
        </w:rPr>
      </w:pPr>
      <w:r w:rsidRPr="004A629F">
        <w:rPr>
          <w:rFonts w:ascii="Arial" w:hAnsi="Arial" w:cs="Arial"/>
          <w:b/>
          <w:bCs/>
        </w:rPr>
        <w:t>Buyout:</w:t>
      </w:r>
      <w:r>
        <w:rPr>
          <w:rFonts w:ascii="Arial" w:hAnsi="Arial" w:cs="Arial"/>
        </w:rPr>
        <w:t xml:space="preserve"> </w:t>
      </w:r>
      <w:r w:rsidR="00D73721">
        <w:rPr>
          <w:rFonts w:ascii="Arial" w:hAnsi="Arial" w:cs="Arial"/>
        </w:rPr>
        <w:t xml:space="preserve">Opportunistically, </w:t>
      </w:r>
      <w:r w:rsidR="00D46E56">
        <w:rPr>
          <w:rFonts w:ascii="Arial" w:hAnsi="Arial" w:cs="Arial"/>
        </w:rPr>
        <w:t>CD may t</w:t>
      </w:r>
      <w:r w:rsidR="005669F5" w:rsidRPr="00F869ED">
        <w:rPr>
          <w:rFonts w:ascii="Arial" w:hAnsi="Arial" w:cs="Arial"/>
        </w:rPr>
        <w:t xml:space="preserve">hink they may </w:t>
      </w:r>
      <w:r w:rsidR="00CE1752">
        <w:rPr>
          <w:rFonts w:ascii="Arial" w:hAnsi="Arial" w:cs="Arial"/>
        </w:rPr>
        <w:t>recover more (or at least with more certainty)</w:t>
      </w:r>
      <w:r w:rsidR="005669F5" w:rsidRPr="00F869ED">
        <w:rPr>
          <w:rFonts w:ascii="Arial" w:hAnsi="Arial" w:cs="Arial"/>
        </w:rPr>
        <w:t xml:space="preserve"> if they let </w:t>
      </w:r>
      <w:r w:rsidR="008053B4">
        <w:rPr>
          <w:rFonts w:ascii="Arial" w:hAnsi="Arial" w:cs="Arial"/>
        </w:rPr>
        <w:t>AB or others</w:t>
      </w:r>
      <w:r w:rsidR="005669F5" w:rsidRPr="00F869ED">
        <w:rPr>
          <w:rFonts w:ascii="Arial" w:hAnsi="Arial" w:cs="Arial"/>
        </w:rPr>
        <w:t xml:space="preserve"> buy them out</w:t>
      </w:r>
      <w:r w:rsidR="00CE1752">
        <w:rPr>
          <w:rFonts w:ascii="Arial" w:hAnsi="Arial" w:cs="Arial"/>
        </w:rPr>
        <w:t xml:space="preserve">. </w:t>
      </w:r>
      <w:r w:rsidR="008053B4">
        <w:rPr>
          <w:rFonts w:ascii="Arial" w:hAnsi="Arial" w:cs="Arial"/>
        </w:rPr>
        <w:t>The case study discusses this possibility</w:t>
      </w:r>
      <w:r w:rsidR="001C0A6F">
        <w:rPr>
          <w:rFonts w:ascii="Arial" w:hAnsi="Arial" w:cs="Arial"/>
        </w:rPr>
        <w:t>, although it is unclear if CD knew about this. If they did know about it, CD could also want to see if they can get a lower discount than</w:t>
      </w:r>
      <w:r w:rsidR="00204538">
        <w:rPr>
          <w:rFonts w:ascii="Arial" w:hAnsi="Arial" w:cs="Arial"/>
        </w:rPr>
        <w:t xml:space="preserve"> </w:t>
      </w:r>
      <w:r w:rsidR="00762540" w:rsidRPr="00F869ED">
        <w:rPr>
          <w:rFonts w:ascii="Arial" w:hAnsi="Arial" w:cs="Arial"/>
        </w:rPr>
        <w:t xml:space="preserve">15-20%. </w:t>
      </w:r>
      <w:r w:rsidR="001C0A6F">
        <w:rPr>
          <w:rFonts w:ascii="Arial" w:hAnsi="Arial" w:cs="Arial"/>
        </w:rPr>
        <w:t>Further, i</w:t>
      </w:r>
      <w:r w:rsidR="00762540" w:rsidRPr="00F869ED">
        <w:rPr>
          <w:rFonts w:ascii="Arial" w:hAnsi="Arial" w:cs="Arial"/>
        </w:rPr>
        <w:t xml:space="preserve">f </w:t>
      </w:r>
      <w:r w:rsidR="00C97F39">
        <w:rPr>
          <w:rFonts w:ascii="Arial" w:hAnsi="Arial" w:cs="Arial"/>
        </w:rPr>
        <w:t>CD’s</w:t>
      </w:r>
      <w:r w:rsidR="00762540" w:rsidRPr="00F869ED">
        <w:rPr>
          <w:rFonts w:ascii="Arial" w:hAnsi="Arial" w:cs="Arial"/>
        </w:rPr>
        <w:t xml:space="preserve"> estimation is that the company may end-up in liquidation and that they may not</w:t>
      </w:r>
      <w:r w:rsidR="00414970" w:rsidRPr="00F869ED">
        <w:rPr>
          <w:rFonts w:ascii="Arial" w:hAnsi="Arial" w:cs="Arial"/>
        </w:rPr>
        <w:t xml:space="preserve"> recover much</w:t>
      </w:r>
      <w:r w:rsidR="00C97F39">
        <w:rPr>
          <w:rFonts w:ascii="Arial" w:hAnsi="Arial" w:cs="Arial"/>
        </w:rPr>
        <w:t xml:space="preserve"> (could be even zero)</w:t>
      </w:r>
      <w:r w:rsidR="00414970" w:rsidRPr="00F869ED">
        <w:rPr>
          <w:rFonts w:ascii="Arial" w:hAnsi="Arial" w:cs="Arial"/>
        </w:rPr>
        <w:t>, they may want to play into this proposal.</w:t>
      </w:r>
    </w:p>
    <w:p w14:paraId="01F5E2AD" w14:textId="77777777" w:rsidR="002C1BF2" w:rsidRPr="002C1BF2" w:rsidRDefault="002C1BF2" w:rsidP="002C1BF2">
      <w:pPr>
        <w:pStyle w:val="ListParagraph"/>
        <w:rPr>
          <w:rFonts w:ascii="Arial" w:hAnsi="Arial" w:cs="Arial"/>
        </w:rPr>
      </w:pPr>
    </w:p>
    <w:p w14:paraId="23EB41B1" w14:textId="45F60413" w:rsidR="008E1775" w:rsidRPr="008E1775" w:rsidRDefault="008E1775" w:rsidP="00BF152F">
      <w:pPr>
        <w:pStyle w:val="ListParagraph"/>
        <w:numPr>
          <w:ilvl w:val="0"/>
          <w:numId w:val="12"/>
        </w:numPr>
        <w:autoSpaceDE w:val="0"/>
        <w:autoSpaceDN w:val="0"/>
        <w:adjustRightInd w:val="0"/>
        <w:spacing w:after="0" w:line="240" w:lineRule="auto"/>
        <w:rPr>
          <w:rFonts w:ascii="Arial" w:hAnsi="Arial" w:cs="Arial"/>
          <w:b/>
          <w:bCs/>
        </w:rPr>
      </w:pPr>
      <w:r w:rsidRPr="008E1775">
        <w:rPr>
          <w:rFonts w:ascii="Arial" w:hAnsi="Arial" w:cs="Arial"/>
          <w:b/>
          <w:bCs/>
        </w:rPr>
        <w:t>Holdout for Better Terms on Restructuring:</w:t>
      </w:r>
      <w:r w:rsidR="00C6174E">
        <w:rPr>
          <w:rFonts w:ascii="Arial" w:hAnsi="Arial" w:cs="Arial"/>
          <w:b/>
          <w:bCs/>
        </w:rPr>
        <w:t xml:space="preserve"> </w:t>
      </w:r>
      <w:r w:rsidR="00DB64BA">
        <w:rPr>
          <w:rFonts w:ascii="Arial" w:hAnsi="Arial" w:cs="Arial"/>
        </w:rPr>
        <w:t xml:space="preserve">CD may want to work behind the scenes to negotiate better terms for their recovery </w:t>
      </w:r>
      <w:r w:rsidR="008D5E83">
        <w:rPr>
          <w:rFonts w:ascii="Arial" w:hAnsi="Arial" w:cs="Arial"/>
        </w:rPr>
        <w:t>during the restructuring.</w:t>
      </w:r>
      <w:r w:rsidR="00E06F1E">
        <w:rPr>
          <w:rFonts w:ascii="Arial" w:hAnsi="Arial" w:cs="Arial"/>
        </w:rPr>
        <w:t xml:space="preserve"> By holding out they may be able to recover more in the eventual Restructuring Agreement.</w:t>
      </w:r>
    </w:p>
    <w:p w14:paraId="1343DB0D" w14:textId="77777777" w:rsidR="008E1775" w:rsidRPr="008E1775" w:rsidRDefault="008E1775" w:rsidP="008E1775">
      <w:pPr>
        <w:pStyle w:val="ListParagraph"/>
        <w:rPr>
          <w:rFonts w:ascii="Arial" w:hAnsi="Arial" w:cs="Arial"/>
          <w:b/>
          <w:bCs/>
        </w:rPr>
      </w:pPr>
    </w:p>
    <w:p w14:paraId="1DF09C7A" w14:textId="6A6AF2A3" w:rsidR="008E1775" w:rsidRDefault="00BF152F" w:rsidP="00BF152F">
      <w:pPr>
        <w:pStyle w:val="ListParagraph"/>
        <w:numPr>
          <w:ilvl w:val="0"/>
          <w:numId w:val="12"/>
        </w:numPr>
        <w:autoSpaceDE w:val="0"/>
        <w:autoSpaceDN w:val="0"/>
        <w:adjustRightInd w:val="0"/>
        <w:spacing w:after="0" w:line="240" w:lineRule="auto"/>
        <w:rPr>
          <w:rFonts w:ascii="Arial" w:hAnsi="Arial" w:cs="Arial"/>
        </w:rPr>
      </w:pPr>
      <w:r w:rsidRPr="0080301C">
        <w:rPr>
          <w:rFonts w:ascii="Arial" w:hAnsi="Arial" w:cs="Arial"/>
          <w:b/>
          <w:bCs/>
        </w:rPr>
        <w:t>Information asymmetry</w:t>
      </w:r>
      <w:r w:rsidR="0080301C">
        <w:rPr>
          <w:rFonts w:ascii="Arial" w:hAnsi="Arial" w:cs="Arial"/>
        </w:rPr>
        <w:t xml:space="preserve">: AB may have more information or confidence in management. </w:t>
      </w:r>
    </w:p>
    <w:p w14:paraId="29A12E0E" w14:textId="4C44EDB2" w:rsidR="00BF152F" w:rsidRPr="00F869ED" w:rsidRDefault="0080301C" w:rsidP="008E1775">
      <w:pPr>
        <w:pStyle w:val="ListParagraph"/>
        <w:autoSpaceDE w:val="0"/>
        <w:autoSpaceDN w:val="0"/>
        <w:adjustRightInd w:val="0"/>
        <w:spacing w:after="0" w:line="240" w:lineRule="auto"/>
        <w:ind w:left="360"/>
        <w:rPr>
          <w:rFonts w:ascii="Arial" w:hAnsi="Arial" w:cs="Arial"/>
        </w:rPr>
      </w:pPr>
      <w:r>
        <w:rPr>
          <w:rFonts w:ascii="Arial" w:hAnsi="Arial" w:cs="Arial"/>
        </w:rPr>
        <w:t xml:space="preserve">The CRO </w:t>
      </w:r>
      <w:r w:rsidR="00C049CA">
        <w:rPr>
          <w:rFonts w:ascii="Arial" w:hAnsi="Arial" w:cs="Arial"/>
        </w:rPr>
        <w:t>appointment is</w:t>
      </w:r>
      <w:r>
        <w:rPr>
          <w:rFonts w:ascii="Arial" w:hAnsi="Arial" w:cs="Arial"/>
        </w:rPr>
        <w:t xml:space="preserve"> </w:t>
      </w:r>
      <w:r w:rsidR="00BF152F" w:rsidRPr="00F869ED">
        <w:rPr>
          <w:rFonts w:ascii="Arial" w:hAnsi="Arial" w:cs="Arial"/>
        </w:rPr>
        <w:t>instigated by Bank A</w:t>
      </w:r>
      <w:r w:rsidR="00C049CA">
        <w:rPr>
          <w:rFonts w:ascii="Arial" w:hAnsi="Arial" w:cs="Arial"/>
        </w:rPr>
        <w:t xml:space="preserve">. It’s likely that Bank A knows the CRO personally and may have more confidence in </w:t>
      </w:r>
      <w:r w:rsidR="00D92A7E">
        <w:rPr>
          <w:rFonts w:ascii="Arial" w:hAnsi="Arial" w:cs="Arial"/>
        </w:rPr>
        <w:t xml:space="preserve">that person. </w:t>
      </w:r>
      <w:r w:rsidR="00787A53">
        <w:rPr>
          <w:rFonts w:ascii="Arial" w:hAnsi="Arial" w:cs="Arial"/>
        </w:rPr>
        <w:t xml:space="preserve">CD may also be waiting for their own independent advisors to examine the financial and business </w:t>
      </w:r>
      <w:r w:rsidR="009356B6">
        <w:rPr>
          <w:rFonts w:ascii="Arial" w:hAnsi="Arial" w:cs="Arial"/>
        </w:rPr>
        <w:t>situation of Flow.</w:t>
      </w:r>
    </w:p>
    <w:p w14:paraId="49846A4D" w14:textId="77777777" w:rsidR="00D92A7E" w:rsidRDefault="00D92A7E" w:rsidP="002C1BF2">
      <w:pPr>
        <w:pStyle w:val="ListParagraph"/>
        <w:autoSpaceDE w:val="0"/>
        <w:autoSpaceDN w:val="0"/>
        <w:adjustRightInd w:val="0"/>
        <w:spacing w:after="0" w:line="240" w:lineRule="auto"/>
        <w:ind w:left="360"/>
        <w:rPr>
          <w:rFonts w:ascii="Arial" w:hAnsi="Arial" w:cs="Arial"/>
        </w:rPr>
      </w:pPr>
    </w:p>
    <w:p w14:paraId="6B1804F2" w14:textId="38F7FC81" w:rsidR="003F5E92" w:rsidRDefault="00AA21F9" w:rsidP="00065AB0">
      <w:pPr>
        <w:pStyle w:val="ListParagraph"/>
        <w:numPr>
          <w:ilvl w:val="0"/>
          <w:numId w:val="12"/>
        </w:numPr>
        <w:autoSpaceDE w:val="0"/>
        <w:autoSpaceDN w:val="0"/>
        <w:adjustRightInd w:val="0"/>
        <w:spacing w:after="0" w:line="240" w:lineRule="auto"/>
        <w:rPr>
          <w:rFonts w:ascii="Arial" w:hAnsi="Arial" w:cs="Arial"/>
        </w:rPr>
      </w:pPr>
      <w:r w:rsidRPr="00FE7036">
        <w:rPr>
          <w:rFonts w:ascii="Arial" w:hAnsi="Arial" w:cs="Arial"/>
          <w:b/>
          <w:bCs/>
        </w:rPr>
        <w:t>Signal Frustration</w:t>
      </w:r>
      <w:r w:rsidR="00FE7036" w:rsidRPr="00FE7036">
        <w:rPr>
          <w:rFonts w:ascii="Arial" w:hAnsi="Arial" w:cs="Arial"/>
          <w:b/>
          <w:bCs/>
        </w:rPr>
        <w:t xml:space="preserve"> and Exert Pressure</w:t>
      </w:r>
      <w:r w:rsidR="003C2FFB" w:rsidRPr="00FE7036">
        <w:rPr>
          <w:rFonts w:ascii="Arial" w:hAnsi="Arial" w:cs="Arial"/>
        </w:rPr>
        <w:t xml:space="preserve">: CD </w:t>
      </w:r>
      <w:r w:rsidR="00D96D23" w:rsidRPr="00FE7036">
        <w:rPr>
          <w:rFonts w:ascii="Arial" w:hAnsi="Arial" w:cs="Arial"/>
        </w:rPr>
        <w:t xml:space="preserve">has a lack of confidence in </w:t>
      </w:r>
      <w:r w:rsidR="008629F1" w:rsidRPr="00FE7036">
        <w:rPr>
          <w:rFonts w:ascii="Arial" w:hAnsi="Arial" w:cs="Arial"/>
        </w:rPr>
        <w:t>Flow Management company</w:t>
      </w:r>
      <w:r w:rsidR="009356B6">
        <w:rPr>
          <w:rFonts w:ascii="Arial" w:hAnsi="Arial" w:cs="Arial"/>
        </w:rPr>
        <w:t>,</w:t>
      </w:r>
      <w:r w:rsidR="008629F1" w:rsidRPr="00FE7036">
        <w:rPr>
          <w:rFonts w:ascii="Arial" w:hAnsi="Arial" w:cs="Arial"/>
        </w:rPr>
        <w:t xml:space="preserve"> and</w:t>
      </w:r>
      <w:r w:rsidR="009356B6">
        <w:rPr>
          <w:rFonts w:ascii="Arial" w:hAnsi="Arial" w:cs="Arial"/>
        </w:rPr>
        <w:t xml:space="preserve"> they also</w:t>
      </w:r>
      <w:r w:rsidR="008629F1" w:rsidRPr="00FE7036">
        <w:rPr>
          <w:rFonts w:ascii="Arial" w:hAnsi="Arial" w:cs="Arial"/>
        </w:rPr>
        <w:t xml:space="preserve"> </w:t>
      </w:r>
      <w:r w:rsidR="003C2FFB" w:rsidRPr="00FE7036">
        <w:rPr>
          <w:rFonts w:ascii="Arial" w:hAnsi="Arial" w:cs="Arial"/>
        </w:rPr>
        <w:t xml:space="preserve">threaten to </w:t>
      </w:r>
      <w:r w:rsidR="00FE7036" w:rsidRPr="00FE7036">
        <w:rPr>
          <w:rFonts w:ascii="Arial" w:hAnsi="Arial" w:cs="Arial"/>
        </w:rPr>
        <w:t>cancel their credit (as a signal to hurry up)</w:t>
      </w:r>
      <w:r w:rsidR="00FE7036">
        <w:rPr>
          <w:rFonts w:ascii="Arial" w:hAnsi="Arial" w:cs="Arial"/>
        </w:rPr>
        <w:t>.</w:t>
      </w:r>
      <w:r w:rsidR="009356B6">
        <w:rPr>
          <w:rFonts w:ascii="Arial" w:hAnsi="Arial" w:cs="Arial"/>
        </w:rPr>
        <w:t xml:space="preserve"> This could be a signal to the other parties that they are frustrated </w:t>
      </w:r>
      <w:r w:rsidR="00870DF3">
        <w:rPr>
          <w:rFonts w:ascii="Arial" w:hAnsi="Arial" w:cs="Arial"/>
        </w:rPr>
        <w:t>and need everyone to act faster.</w:t>
      </w:r>
      <w:r w:rsidR="00F52106">
        <w:rPr>
          <w:rFonts w:ascii="Arial" w:hAnsi="Arial" w:cs="Arial"/>
        </w:rPr>
        <w:t xml:space="preserve"> They are also demonstrating their power in the process.</w:t>
      </w:r>
      <w:r w:rsidR="009356B6">
        <w:rPr>
          <w:rFonts w:ascii="Arial" w:hAnsi="Arial" w:cs="Arial"/>
        </w:rPr>
        <w:t xml:space="preserve"> </w:t>
      </w:r>
      <w:r w:rsidR="00FE7036">
        <w:rPr>
          <w:rFonts w:ascii="Arial" w:hAnsi="Arial" w:cs="Arial"/>
        </w:rPr>
        <w:t xml:space="preserve"> </w:t>
      </w:r>
    </w:p>
    <w:p w14:paraId="132E20B0" w14:textId="77777777" w:rsidR="00204538" w:rsidRDefault="00204538" w:rsidP="00204538">
      <w:pPr>
        <w:autoSpaceDE w:val="0"/>
        <w:autoSpaceDN w:val="0"/>
        <w:adjustRightInd w:val="0"/>
        <w:spacing w:after="0" w:line="240" w:lineRule="auto"/>
        <w:rPr>
          <w:rFonts w:ascii="Arial" w:hAnsi="Arial" w:cs="Arial"/>
        </w:rPr>
      </w:pPr>
    </w:p>
    <w:p w14:paraId="381D96E6" w14:textId="1BC6999F" w:rsidR="00204538" w:rsidRDefault="00204538" w:rsidP="00204538">
      <w:pPr>
        <w:pStyle w:val="ListParagraph"/>
        <w:numPr>
          <w:ilvl w:val="0"/>
          <w:numId w:val="12"/>
        </w:numPr>
        <w:autoSpaceDE w:val="0"/>
        <w:autoSpaceDN w:val="0"/>
        <w:adjustRightInd w:val="0"/>
        <w:spacing w:after="0" w:line="240" w:lineRule="auto"/>
        <w:rPr>
          <w:rFonts w:ascii="Arial" w:hAnsi="Arial" w:cs="Arial"/>
        </w:rPr>
      </w:pPr>
      <w:r w:rsidRPr="004A629F">
        <w:rPr>
          <w:rFonts w:ascii="Arial" w:hAnsi="Arial" w:cs="Arial"/>
          <w:b/>
          <w:bCs/>
        </w:rPr>
        <w:t>Confidence in security:</w:t>
      </w:r>
      <w:r>
        <w:rPr>
          <w:rFonts w:ascii="Arial" w:hAnsi="Arial" w:cs="Arial"/>
        </w:rPr>
        <w:t xml:space="preserve"> there were problems with the securities (pledges) that the banks took. It is possible that CD may have better security than AB and be more confident in their ability to realize the security. The underlying security may have also appreciated in value or have a more liquid market than the security of AB.</w:t>
      </w:r>
    </w:p>
    <w:p w14:paraId="4E3E39D9" w14:textId="77777777" w:rsidR="00FE7036" w:rsidRPr="00FE7036" w:rsidRDefault="00FE7036" w:rsidP="00FE7036">
      <w:pPr>
        <w:pStyle w:val="ListParagraph"/>
        <w:autoSpaceDE w:val="0"/>
        <w:autoSpaceDN w:val="0"/>
        <w:adjustRightInd w:val="0"/>
        <w:spacing w:after="0" w:line="240" w:lineRule="auto"/>
        <w:ind w:left="360"/>
        <w:rPr>
          <w:rFonts w:ascii="Arial" w:hAnsi="Arial" w:cs="Arial"/>
        </w:rPr>
      </w:pPr>
    </w:p>
    <w:p w14:paraId="6780D1D0" w14:textId="77777777" w:rsidR="00493C83" w:rsidRDefault="00493C83" w:rsidP="003F5E92">
      <w:pPr>
        <w:autoSpaceDE w:val="0"/>
        <w:autoSpaceDN w:val="0"/>
        <w:adjustRightInd w:val="0"/>
        <w:spacing w:after="0" w:line="240" w:lineRule="auto"/>
        <w:rPr>
          <w:rFonts w:ascii="Arial" w:hAnsi="Arial" w:cs="Arial"/>
          <w:u w:val="single"/>
        </w:rPr>
      </w:pPr>
    </w:p>
    <w:p w14:paraId="519C5BD4" w14:textId="77777777" w:rsidR="00493C83" w:rsidRDefault="00493C83" w:rsidP="003F5E92">
      <w:pPr>
        <w:autoSpaceDE w:val="0"/>
        <w:autoSpaceDN w:val="0"/>
        <w:adjustRightInd w:val="0"/>
        <w:spacing w:after="0" w:line="240" w:lineRule="auto"/>
        <w:rPr>
          <w:rFonts w:ascii="Arial" w:hAnsi="Arial" w:cs="Arial"/>
          <w:u w:val="single"/>
        </w:rPr>
      </w:pPr>
    </w:p>
    <w:p w14:paraId="7C385239" w14:textId="53FDFB3E" w:rsidR="00523237" w:rsidRPr="003F5E92" w:rsidRDefault="00523237" w:rsidP="003F5E92">
      <w:pPr>
        <w:autoSpaceDE w:val="0"/>
        <w:autoSpaceDN w:val="0"/>
        <w:adjustRightInd w:val="0"/>
        <w:spacing w:after="0" w:line="240" w:lineRule="auto"/>
        <w:rPr>
          <w:rFonts w:ascii="Arial" w:hAnsi="Arial" w:cs="Arial"/>
          <w:u w:val="single"/>
        </w:rPr>
      </w:pPr>
      <w:r w:rsidRPr="003F5E92">
        <w:rPr>
          <w:rFonts w:ascii="Arial" w:hAnsi="Arial" w:cs="Arial"/>
          <w:u w:val="single"/>
        </w:rPr>
        <w:lastRenderedPageBreak/>
        <w:t>What would you have done</w:t>
      </w:r>
      <w:r w:rsidR="00234CD9">
        <w:rPr>
          <w:rFonts w:ascii="Arial" w:hAnsi="Arial" w:cs="Arial"/>
          <w:u w:val="single"/>
        </w:rPr>
        <w:t xml:space="preserve"> as advisor to AB</w:t>
      </w:r>
      <w:r w:rsidRPr="003F5E92">
        <w:rPr>
          <w:rFonts w:ascii="Arial" w:hAnsi="Arial" w:cs="Arial"/>
          <w:u w:val="single"/>
        </w:rPr>
        <w:t>?</w:t>
      </w:r>
    </w:p>
    <w:p w14:paraId="70A2D08E" w14:textId="77777777" w:rsidR="00523237" w:rsidRDefault="00523237" w:rsidP="00C256EF">
      <w:pPr>
        <w:autoSpaceDE w:val="0"/>
        <w:autoSpaceDN w:val="0"/>
        <w:adjustRightInd w:val="0"/>
        <w:spacing w:after="0" w:line="240" w:lineRule="auto"/>
        <w:rPr>
          <w:rFonts w:ascii="Arial" w:hAnsi="Arial" w:cs="Arial"/>
        </w:rPr>
      </w:pPr>
    </w:p>
    <w:p w14:paraId="40E0D97A" w14:textId="41DA37F0" w:rsidR="00F32FED" w:rsidRDefault="00234CD9" w:rsidP="00EC5E14">
      <w:pPr>
        <w:pStyle w:val="ListParagraph"/>
        <w:numPr>
          <w:ilvl w:val="0"/>
          <w:numId w:val="12"/>
        </w:numPr>
        <w:autoSpaceDE w:val="0"/>
        <w:autoSpaceDN w:val="0"/>
        <w:adjustRightInd w:val="0"/>
        <w:spacing w:after="0" w:line="240" w:lineRule="auto"/>
        <w:rPr>
          <w:rFonts w:ascii="Arial" w:hAnsi="Arial" w:cs="Arial"/>
        </w:rPr>
      </w:pPr>
      <w:r w:rsidRPr="00234CD9">
        <w:rPr>
          <w:rFonts w:ascii="Arial" w:hAnsi="Arial" w:cs="Arial"/>
          <w:b/>
          <w:bCs/>
        </w:rPr>
        <w:t xml:space="preserve">Improve </w:t>
      </w:r>
      <w:r w:rsidR="00190DEB" w:rsidRPr="00234CD9">
        <w:rPr>
          <w:rFonts w:ascii="Arial" w:hAnsi="Arial" w:cs="Arial"/>
          <w:b/>
          <w:bCs/>
        </w:rPr>
        <w:t>Communicat</w:t>
      </w:r>
      <w:r w:rsidRPr="00234CD9">
        <w:rPr>
          <w:rFonts w:ascii="Arial" w:hAnsi="Arial" w:cs="Arial"/>
          <w:b/>
          <w:bCs/>
        </w:rPr>
        <w:t>ion:</w:t>
      </w:r>
      <w:r>
        <w:rPr>
          <w:rFonts w:ascii="Arial" w:hAnsi="Arial" w:cs="Arial"/>
        </w:rPr>
        <w:t xml:space="preserve"> </w:t>
      </w:r>
      <w:r w:rsidR="001A3404">
        <w:rPr>
          <w:rFonts w:ascii="Arial" w:hAnsi="Arial" w:cs="Arial"/>
        </w:rPr>
        <w:t xml:space="preserve">Increase communication with CD and their advisors to </w:t>
      </w:r>
      <w:r w:rsidR="00190DEB" w:rsidRPr="00EC5E14">
        <w:rPr>
          <w:rFonts w:ascii="Arial" w:hAnsi="Arial" w:cs="Arial"/>
        </w:rPr>
        <w:t>try to understand the underlying reasons why they do not want to cooperate</w:t>
      </w:r>
      <w:r w:rsidR="001A3404">
        <w:rPr>
          <w:rFonts w:ascii="Arial" w:hAnsi="Arial" w:cs="Arial"/>
        </w:rPr>
        <w:t xml:space="preserve">. </w:t>
      </w:r>
      <w:r w:rsidR="004C400C">
        <w:rPr>
          <w:rFonts w:ascii="Arial" w:hAnsi="Arial" w:cs="Arial"/>
        </w:rPr>
        <w:t>Frequent meetings with CD, shareholders and management are perhaps required. Press releases from Flow management do not seem to be the best way to build confidence of the creditors.</w:t>
      </w:r>
    </w:p>
    <w:p w14:paraId="14A8A43B" w14:textId="77777777" w:rsidR="004C400C" w:rsidRPr="00EC5E14" w:rsidRDefault="004C400C" w:rsidP="004C400C">
      <w:pPr>
        <w:pStyle w:val="ListParagraph"/>
        <w:autoSpaceDE w:val="0"/>
        <w:autoSpaceDN w:val="0"/>
        <w:adjustRightInd w:val="0"/>
        <w:spacing w:after="0" w:line="240" w:lineRule="auto"/>
        <w:ind w:left="360"/>
        <w:rPr>
          <w:rFonts w:ascii="Arial" w:hAnsi="Arial" w:cs="Arial"/>
        </w:rPr>
      </w:pPr>
    </w:p>
    <w:p w14:paraId="699579AF" w14:textId="4E30E2C2" w:rsidR="00E01EB8" w:rsidRDefault="00232878" w:rsidP="00EC5E14">
      <w:pPr>
        <w:pStyle w:val="ListParagraph"/>
        <w:numPr>
          <w:ilvl w:val="0"/>
          <w:numId w:val="12"/>
        </w:numPr>
        <w:autoSpaceDE w:val="0"/>
        <w:autoSpaceDN w:val="0"/>
        <w:adjustRightInd w:val="0"/>
        <w:spacing w:after="0" w:line="240" w:lineRule="auto"/>
        <w:rPr>
          <w:rFonts w:ascii="Arial" w:hAnsi="Arial" w:cs="Arial"/>
        </w:rPr>
      </w:pPr>
      <w:r w:rsidRPr="00B656D5">
        <w:rPr>
          <w:rFonts w:ascii="Arial" w:hAnsi="Arial" w:cs="Arial"/>
          <w:b/>
          <w:bCs/>
        </w:rPr>
        <w:t>Develop a more transparent method of valuation and strategic options</w:t>
      </w:r>
      <w:r>
        <w:rPr>
          <w:rFonts w:ascii="Arial" w:hAnsi="Arial" w:cs="Arial"/>
        </w:rPr>
        <w:t xml:space="preserve">: As </w:t>
      </w:r>
      <w:r w:rsidR="0027247C">
        <w:rPr>
          <w:rFonts w:ascii="Arial" w:hAnsi="Arial" w:cs="Arial"/>
        </w:rPr>
        <w:t xml:space="preserve">Adriaanse, </w:t>
      </w:r>
      <w:r w:rsidR="00435C60">
        <w:rPr>
          <w:rFonts w:ascii="Arial" w:hAnsi="Arial" w:cs="Arial"/>
        </w:rPr>
        <w:t xml:space="preserve">Broekema, </w:t>
      </w:r>
      <w:r w:rsidR="0027247C">
        <w:rPr>
          <w:rFonts w:ascii="Arial" w:hAnsi="Arial" w:cs="Arial"/>
        </w:rPr>
        <w:t>2022 state</w:t>
      </w:r>
      <w:r w:rsidR="00435C60">
        <w:rPr>
          <w:rFonts w:ascii="Arial" w:hAnsi="Arial" w:cs="Arial"/>
        </w:rPr>
        <w:t>,</w:t>
      </w:r>
      <w:r w:rsidR="0027247C">
        <w:rPr>
          <w:rFonts w:ascii="Arial" w:hAnsi="Arial" w:cs="Arial"/>
        </w:rPr>
        <w:t xml:space="preserve"> a jointly supported business valuation may decrease disputes</w:t>
      </w:r>
      <w:r w:rsidR="00B656D5">
        <w:rPr>
          <w:rFonts w:ascii="Arial" w:hAnsi="Arial" w:cs="Arial"/>
        </w:rPr>
        <w:t>. Introducing an open process for valuation and business strategy review may help CD understand that they will recover more through a restructuring and bring them back to the table.</w:t>
      </w:r>
    </w:p>
    <w:p w14:paraId="266A300D" w14:textId="77777777" w:rsidR="00E01EB8" w:rsidRPr="00E01EB8" w:rsidRDefault="00E01EB8" w:rsidP="00E01EB8">
      <w:pPr>
        <w:pStyle w:val="ListParagraph"/>
        <w:rPr>
          <w:rFonts w:ascii="Arial" w:hAnsi="Arial" w:cs="Arial"/>
        </w:rPr>
      </w:pPr>
    </w:p>
    <w:p w14:paraId="5698D1A1" w14:textId="35D573FB" w:rsidR="00A83050" w:rsidRDefault="00904031" w:rsidP="00E5394E">
      <w:pPr>
        <w:pStyle w:val="ListParagraph"/>
        <w:numPr>
          <w:ilvl w:val="0"/>
          <w:numId w:val="12"/>
        </w:numPr>
        <w:autoSpaceDE w:val="0"/>
        <w:autoSpaceDN w:val="0"/>
        <w:adjustRightInd w:val="0"/>
        <w:spacing w:after="0" w:line="240" w:lineRule="auto"/>
        <w:rPr>
          <w:rFonts w:ascii="Arial" w:hAnsi="Arial" w:cs="Arial"/>
        </w:rPr>
      </w:pPr>
      <w:r w:rsidRPr="00A83050">
        <w:rPr>
          <w:rFonts w:ascii="Arial" w:hAnsi="Arial" w:cs="Arial"/>
          <w:b/>
          <w:bCs/>
        </w:rPr>
        <w:t>Investigate alternatives:</w:t>
      </w:r>
      <w:r>
        <w:rPr>
          <w:rFonts w:ascii="Arial" w:hAnsi="Arial" w:cs="Arial"/>
        </w:rPr>
        <w:t xml:space="preserve"> </w:t>
      </w:r>
      <w:r w:rsidR="00A83050">
        <w:rPr>
          <w:rFonts w:ascii="Arial" w:hAnsi="Arial" w:cs="Arial"/>
        </w:rPr>
        <w:t>See if a restructuring could be completed without the participation of CD.</w:t>
      </w:r>
      <w:r w:rsidR="00E143F5">
        <w:rPr>
          <w:rFonts w:ascii="Arial" w:hAnsi="Arial" w:cs="Arial"/>
        </w:rPr>
        <w:t xml:space="preserve"> It’s possible that if AB have much larger claims</w:t>
      </w:r>
      <w:r w:rsidR="007C41D9">
        <w:rPr>
          <w:rFonts w:ascii="Arial" w:hAnsi="Arial" w:cs="Arial"/>
        </w:rPr>
        <w:t xml:space="preserve"> (and would be controlling creditors),</w:t>
      </w:r>
      <w:r w:rsidR="00E143F5">
        <w:rPr>
          <w:rFonts w:ascii="Arial" w:hAnsi="Arial" w:cs="Arial"/>
        </w:rPr>
        <w:t xml:space="preserve"> they could complete the restructuring without them. </w:t>
      </w:r>
    </w:p>
    <w:p w14:paraId="614629D6" w14:textId="77777777" w:rsidR="00E143F5" w:rsidRPr="00E143F5" w:rsidRDefault="00E143F5" w:rsidP="00E143F5">
      <w:pPr>
        <w:pStyle w:val="ListParagraph"/>
        <w:rPr>
          <w:rFonts w:ascii="Arial" w:hAnsi="Arial" w:cs="Arial"/>
        </w:rPr>
      </w:pPr>
    </w:p>
    <w:p w14:paraId="6A85B866" w14:textId="79A4F687" w:rsidR="00590439" w:rsidRPr="00EC5E14" w:rsidRDefault="00E5394E" w:rsidP="00A83050">
      <w:pPr>
        <w:pStyle w:val="ListParagraph"/>
        <w:numPr>
          <w:ilvl w:val="0"/>
          <w:numId w:val="12"/>
        </w:numPr>
        <w:autoSpaceDE w:val="0"/>
        <w:autoSpaceDN w:val="0"/>
        <w:adjustRightInd w:val="0"/>
        <w:spacing w:after="0" w:line="240" w:lineRule="auto"/>
        <w:rPr>
          <w:rFonts w:ascii="Arial" w:hAnsi="Arial" w:cs="Arial"/>
        </w:rPr>
      </w:pPr>
      <w:r w:rsidRPr="00E5394E">
        <w:rPr>
          <w:rFonts w:ascii="Arial" w:hAnsi="Arial" w:cs="Arial"/>
          <w:b/>
          <w:bCs/>
        </w:rPr>
        <w:t>O</w:t>
      </w:r>
      <w:r w:rsidR="00B80A68" w:rsidRPr="00E5394E">
        <w:rPr>
          <w:rFonts w:ascii="Arial" w:hAnsi="Arial" w:cs="Arial"/>
          <w:b/>
          <w:bCs/>
        </w:rPr>
        <w:t>ffer to buy them out:</w:t>
      </w:r>
      <w:r w:rsidR="00B80A68">
        <w:rPr>
          <w:rFonts w:ascii="Arial" w:hAnsi="Arial" w:cs="Arial"/>
        </w:rPr>
        <w:t xml:space="preserve"> This is already discussed in the case. If enough intelligence is obtained about the potential </w:t>
      </w:r>
      <w:r>
        <w:rPr>
          <w:rFonts w:ascii="Arial" w:hAnsi="Arial" w:cs="Arial"/>
        </w:rPr>
        <w:t xml:space="preserve">recovery that CD could receive in the event of a liquidation, that could inform a buy out by AB which may be cost effective if </w:t>
      </w:r>
      <w:r w:rsidR="005A4965">
        <w:rPr>
          <w:rFonts w:ascii="Arial" w:hAnsi="Arial" w:cs="Arial"/>
        </w:rPr>
        <w:t xml:space="preserve">a successful turnaround </w:t>
      </w:r>
      <w:r>
        <w:rPr>
          <w:rFonts w:ascii="Arial" w:hAnsi="Arial" w:cs="Arial"/>
        </w:rPr>
        <w:t>can take place.</w:t>
      </w:r>
    </w:p>
    <w:p w14:paraId="26AD1BEA" w14:textId="77777777" w:rsidR="00190DEB" w:rsidRPr="00C256EF" w:rsidRDefault="00190DEB" w:rsidP="00C256EF">
      <w:pPr>
        <w:autoSpaceDE w:val="0"/>
        <w:autoSpaceDN w:val="0"/>
        <w:adjustRightInd w:val="0"/>
        <w:spacing w:after="0" w:line="240" w:lineRule="auto"/>
        <w:rPr>
          <w:rFonts w:ascii="Arial" w:hAnsi="Arial" w:cs="Arial"/>
        </w:rPr>
      </w:pPr>
    </w:p>
    <w:p w14:paraId="4E844DD3" w14:textId="701959D8" w:rsidR="00011126" w:rsidRPr="002D2DAD" w:rsidRDefault="00011126" w:rsidP="00011126">
      <w:pPr>
        <w:pStyle w:val="ListParagraph"/>
        <w:numPr>
          <w:ilvl w:val="0"/>
          <w:numId w:val="1"/>
        </w:numPr>
        <w:autoSpaceDE w:val="0"/>
        <w:autoSpaceDN w:val="0"/>
        <w:adjustRightInd w:val="0"/>
        <w:spacing w:after="0" w:line="240" w:lineRule="auto"/>
        <w:rPr>
          <w:rFonts w:ascii="Arial" w:hAnsi="Arial" w:cs="Arial"/>
          <w:b/>
          <w:bCs/>
        </w:rPr>
      </w:pPr>
      <w:r w:rsidRPr="002D2DAD">
        <w:rPr>
          <w:rFonts w:ascii="Arial" w:hAnsi="Arial" w:cs="Arial"/>
          <w:b/>
          <w:bCs/>
        </w:rPr>
        <w:t>Which of the eight principles of the ‘Statement of Principles for a Global Approach to Multi-Creditor Workouts II’ can be found in the workout process of Flow Management (explicit or implicit)?</w:t>
      </w:r>
    </w:p>
    <w:p w14:paraId="16EDBF4B" w14:textId="77777777" w:rsidR="002D2DAD" w:rsidRDefault="002D2DAD" w:rsidP="002D2DAD">
      <w:pPr>
        <w:autoSpaceDE w:val="0"/>
        <w:autoSpaceDN w:val="0"/>
        <w:adjustRightInd w:val="0"/>
        <w:spacing w:after="0" w:line="240" w:lineRule="auto"/>
        <w:rPr>
          <w:rFonts w:ascii="Arial" w:hAnsi="Arial" w:cs="Arial"/>
        </w:rPr>
      </w:pPr>
    </w:p>
    <w:p w14:paraId="61AD0661" w14:textId="1A387E32" w:rsidR="00587248" w:rsidRDefault="00587248" w:rsidP="002D2DAD">
      <w:pPr>
        <w:autoSpaceDE w:val="0"/>
        <w:autoSpaceDN w:val="0"/>
        <w:adjustRightInd w:val="0"/>
        <w:spacing w:after="0" w:line="240" w:lineRule="auto"/>
        <w:rPr>
          <w:rFonts w:ascii="Arial" w:hAnsi="Arial" w:cs="Arial"/>
        </w:rPr>
      </w:pPr>
      <w:r>
        <w:rPr>
          <w:rFonts w:ascii="Arial" w:hAnsi="Arial" w:cs="Arial"/>
        </w:rPr>
        <w:t xml:space="preserve">The following </w:t>
      </w:r>
      <w:r w:rsidR="00D35FB1">
        <w:rPr>
          <w:rFonts w:ascii="Arial" w:hAnsi="Arial" w:cs="Arial"/>
        </w:rPr>
        <w:t xml:space="preserve">elements </w:t>
      </w:r>
      <w:r>
        <w:rPr>
          <w:rFonts w:ascii="Arial" w:hAnsi="Arial" w:cs="Arial"/>
        </w:rPr>
        <w:t>of the eight principles can be found in the workout process of Flow Management.</w:t>
      </w:r>
      <w:r w:rsidR="00B071B3">
        <w:rPr>
          <w:rFonts w:ascii="Arial" w:hAnsi="Arial" w:cs="Arial"/>
        </w:rPr>
        <w:t xml:space="preserve"> </w:t>
      </w:r>
    </w:p>
    <w:p w14:paraId="71A84823" w14:textId="77777777" w:rsidR="00587248" w:rsidRDefault="00587248" w:rsidP="002D2DAD">
      <w:pPr>
        <w:autoSpaceDE w:val="0"/>
        <w:autoSpaceDN w:val="0"/>
        <w:adjustRightInd w:val="0"/>
        <w:spacing w:after="0" w:line="240" w:lineRule="auto"/>
        <w:rPr>
          <w:rFonts w:ascii="Arial" w:hAnsi="Arial" w:cs="Arial"/>
        </w:rPr>
      </w:pPr>
    </w:p>
    <w:p w14:paraId="5CDD81A8" w14:textId="0B15E0E8" w:rsidR="002D2DAD" w:rsidRPr="00FB5555" w:rsidRDefault="00587248" w:rsidP="00FB5555">
      <w:pPr>
        <w:pStyle w:val="ListParagraph"/>
        <w:numPr>
          <w:ilvl w:val="0"/>
          <w:numId w:val="6"/>
        </w:numPr>
        <w:autoSpaceDE w:val="0"/>
        <w:autoSpaceDN w:val="0"/>
        <w:adjustRightInd w:val="0"/>
        <w:spacing w:after="0" w:line="240" w:lineRule="auto"/>
        <w:rPr>
          <w:rFonts w:ascii="Arial" w:hAnsi="Arial" w:cs="Arial"/>
          <w:u w:val="single"/>
        </w:rPr>
      </w:pPr>
      <w:r w:rsidRPr="00FB5555">
        <w:rPr>
          <w:rFonts w:ascii="Arial" w:hAnsi="Arial" w:cs="Arial"/>
          <w:u w:val="single"/>
        </w:rPr>
        <w:t>First Principle</w:t>
      </w:r>
    </w:p>
    <w:p w14:paraId="62EA0C06" w14:textId="77777777" w:rsidR="00BE729B" w:rsidRDefault="00BE729B" w:rsidP="002D2DAD">
      <w:pPr>
        <w:autoSpaceDE w:val="0"/>
        <w:autoSpaceDN w:val="0"/>
        <w:adjustRightInd w:val="0"/>
        <w:spacing w:after="0" w:line="240" w:lineRule="auto"/>
        <w:rPr>
          <w:rFonts w:ascii="Arial" w:hAnsi="Arial" w:cs="Arial"/>
          <w:u w:val="single"/>
        </w:rPr>
      </w:pPr>
    </w:p>
    <w:p w14:paraId="1C1533F2" w14:textId="377F812D" w:rsidR="00480CD6" w:rsidRDefault="006A778E" w:rsidP="002D2DAD">
      <w:pPr>
        <w:autoSpaceDE w:val="0"/>
        <w:autoSpaceDN w:val="0"/>
        <w:adjustRightInd w:val="0"/>
        <w:spacing w:after="0" w:line="240" w:lineRule="auto"/>
        <w:rPr>
          <w:rFonts w:ascii="Arial" w:hAnsi="Arial" w:cs="Arial"/>
        </w:rPr>
      </w:pPr>
      <w:r>
        <w:rPr>
          <w:rFonts w:ascii="Arial" w:hAnsi="Arial" w:cs="Arial"/>
        </w:rPr>
        <w:t xml:space="preserve">The First Principle </w:t>
      </w:r>
      <w:r w:rsidR="00372D74">
        <w:rPr>
          <w:rFonts w:ascii="Arial" w:hAnsi="Arial" w:cs="Arial"/>
        </w:rPr>
        <w:t xml:space="preserve">regarding cooperation and a standstill period </w:t>
      </w:r>
      <w:r>
        <w:rPr>
          <w:rFonts w:ascii="Arial" w:hAnsi="Arial" w:cs="Arial"/>
        </w:rPr>
        <w:t>appears to be part of the workout process</w:t>
      </w:r>
      <w:r w:rsidR="00324210">
        <w:rPr>
          <w:rFonts w:ascii="Arial" w:hAnsi="Arial" w:cs="Arial"/>
        </w:rPr>
        <w:t xml:space="preserve"> in Flow</w:t>
      </w:r>
      <w:r>
        <w:rPr>
          <w:rFonts w:ascii="Arial" w:hAnsi="Arial" w:cs="Arial"/>
        </w:rPr>
        <w:t xml:space="preserve">, although </w:t>
      </w:r>
      <w:r w:rsidR="00DC7D45">
        <w:rPr>
          <w:rFonts w:ascii="Arial" w:hAnsi="Arial" w:cs="Arial"/>
        </w:rPr>
        <w:t xml:space="preserve">in </w:t>
      </w:r>
      <w:r w:rsidR="00323F1F">
        <w:rPr>
          <w:rFonts w:ascii="Arial" w:hAnsi="Arial" w:cs="Arial"/>
        </w:rPr>
        <w:t>several</w:t>
      </w:r>
      <w:r w:rsidR="00DC7D45">
        <w:rPr>
          <w:rFonts w:ascii="Arial" w:hAnsi="Arial" w:cs="Arial"/>
        </w:rPr>
        <w:t xml:space="preserve"> ways some of the parties seemed to not have acted in accordance with </w:t>
      </w:r>
      <w:r w:rsidR="009D351B">
        <w:rPr>
          <w:rFonts w:ascii="Arial" w:hAnsi="Arial" w:cs="Arial"/>
        </w:rPr>
        <w:t xml:space="preserve">good practice outlined in the </w:t>
      </w:r>
      <w:r w:rsidR="00372D74">
        <w:rPr>
          <w:rFonts w:ascii="Arial" w:hAnsi="Arial" w:cs="Arial"/>
        </w:rPr>
        <w:t xml:space="preserve">INSOL </w:t>
      </w:r>
      <w:r w:rsidR="009D351B">
        <w:rPr>
          <w:rFonts w:ascii="Arial" w:hAnsi="Arial" w:cs="Arial"/>
        </w:rPr>
        <w:t xml:space="preserve">Statement of Principles II </w:t>
      </w:r>
      <w:r w:rsidR="00372D74">
        <w:rPr>
          <w:rFonts w:ascii="Arial" w:hAnsi="Arial" w:cs="Arial"/>
        </w:rPr>
        <w:t xml:space="preserve">(Principles) </w:t>
      </w:r>
      <w:r w:rsidR="004F32C7">
        <w:rPr>
          <w:rFonts w:ascii="Arial" w:hAnsi="Arial" w:cs="Arial"/>
        </w:rPr>
        <w:t>C</w:t>
      </w:r>
      <w:r w:rsidR="009D351B">
        <w:rPr>
          <w:rFonts w:ascii="Arial" w:hAnsi="Arial" w:cs="Arial"/>
        </w:rPr>
        <w:t>ommentary</w:t>
      </w:r>
      <w:r w:rsidR="004F32C7">
        <w:rPr>
          <w:rFonts w:ascii="Arial" w:hAnsi="Arial" w:cs="Arial"/>
        </w:rPr>
        <w:t xml:space="preserve"> (Commentary)</w:t>
      </w:r>
      <w:r w:rsidR="009D351B">
        <w:rPr>
          <w:rFonts w:ascii="Arial" w:hAnsi="Arial" w:cs="Arial"/>
        </w:rPr>
        <w:t xml:space="preserve">. </w:t>
      </w:r>
      <w:r w:rsidR="00B72130">
        <w:rPr>
          <w:rFonts w:ascii="Arial" w:hAnsi="Arial" w:cs="Arial"/>
        </w:rPr>
        <w:t>T</w:t>
      </w:r>
      <w:r w:rsidR="00323F1F">
        <w:rPr>
          <w:rFonts w:ascii="Arial" w:hAnsi="Arial" w:cs="Arial"/>
        </w:rPr>
        <w:t>he main creditors discussed in the case are Banks A, B, C, and D</w:t>
      </w:r>
      <w:r w:rsidR="00372D74">
        <w:rPr>
          <w:rFonts w:ascii="Arial" w:hAnsi="Arial" w:cs="Arial"/>
        </w:rPr>
        <w:t xml:space="preserve"> (Banks)</w:t>
      </w:r>
      <w:r w:rsidR="00B72130">
        <w:rPr>
          <w:rFonts w:ascii="Arial" w:hAnsi="Arial" w:cs="Arial"/>
        </w:rPr>
        <w:t>, who are the focus of the standstill discussions</w:t>
      </w:r>
      <w:r w:rsidR="00323F1F">
        <w:rPr>
          <w:rFonts w:ascii="Arial" w:hAnsi="Arial" w:cs="Arial"/>
        </w:rPr>
        <w:t>.</w:t>
      </w:r>
      <w:r w:rsidR="006C36D6">
        <w:rPr>
          <w:rFonts w:ascii="Arial" w:hAnsi="Arial" w:cs="Arial"/>
        </w:rPr>
        <w:t xml:space="preserve"> </w:t>
      </w:r>
      <w:r w:rsidR="008C00A7">
        <w:rPr>
          <w:rFonts w:ascii="Arial" w:hAnsi="Arial" w:cs="Arial"/>
        </w:rPr>
        <w:t xml:space="preserve">The </w:t>
      </w:r>
      <w:r w:rsidR="00DF678A">
        <w:rPr>
          <w:rFonts w:ascii="Arial" w:hAnsi="Arial" w:cs="Arial"/>
        </w:rPr>
        <w:t>approach outline</w:t>
      </w:r>
      <w:r w:rsidR="000767F8">
        <w:rPr>
          <w:rFonts w:ascii="Arial" w:hAnsi="Arial" w:cs="Arial"/>
        </w:rPr>
        <w:t>d</w:t>
      </w:r>
      <w:r w:rsidR="00DF678A">
        <w:rPr>
          <w:rFonts w:ascii="Arial" w:hAnsi="Arial" w:cs="Arial"/>
        </w:rPr>
        <w:t xml:space="preserve"> in the </w:t>
      </w:r>
      <w:r w:rsidR="00A5040F">
        <w:rPr>
          <w:rFonts w:ascii="Arial" w:hAnsi="Arial" w:cs="Arial"/>
        </w:rPr>
        <w:t xml:space="preserve">Commentary notes that parties should </w:t>
      </w:r>
      <w:r w:rsidR="00DF678A">
        <w:rPr>
          <w:rFonts w:ascii="Arial" w:hAnsi="Arial" w:cs="Arial"/>
        </w:rPr>
        <w:t>“</w:t>
      </w:r>
      <w:r w:rsidR="00B014A9">
        <w:rPr>
          <w:rFonts w:ascii="Arial" w:hAnsi="Arial" w:cs="Arial"/>
        </w:rPr>
        <w:t>identify the classes of creditors which need to be included</w:t>
      </w:r>
      <w:r w:rsidR="001570F5">
        <w:rPr>
          <w:rFonts w:ascii="Arial" w:hAnsi="Arial" w:cs="Arial"/>
        </w:rPr>
        <w:t xml:space="preserve"> in the process…then decide</w:t>
      </w:r>
      <w:r w:rsidR="00DA5931">
        <w:rPr>
          <w:rFonts w:ascii="Arial" w:hAnsi="Arial" w:cs="Arial"/>
        </w:rPr>
        <w:t xml:space="preserve"> which creditors in the affected classes are to be included.”</w:t>
      </w:r>
      <w:r w:rsidR="00DA5931">
        <w:rPr>
          <w:rStyle w:val="FootnoteReference"/>
          <w:rFonts w:ascii="Arial" w:hAnsi="Arial" w:cs="Arial"/>
        </w:rPr>
        <w:footnoteReference w:id="46"/>
      </w:r>
      <w:r w:rsidR="00DF678A">
        <w:rPr>
          <w:rFonts w:ascii="Arial" w:hAnsi="Arial" w:cs="Arial"/>
        </w:rPr>
        <w:t xml:space="preserve"> It may be that there are other</w:t>
      </w:r>
      <w:r w:rsidR="00F5415B">
        <w:rPr>
          <w:rFonts w:ascii="Arial" w:hAnsi="Arial" w:cs="Arial"/>
        </w:rPr>
        <w:t xml:space="preserve"> creditors (especially financial creditors, but also perhaps major customers, suppliers</w:t>
      </w:r>
      <w:r w:rsidR="001F65C9">
        <w:rPr>
          <w:rFonts w:ascii="Arial" w:hAnsi="Arial" w:cs="Arial"/>
        </w:rPr>
        <w:t>, etc.</w:t>
      </w:r>
      <w:r w:rsidR="00F5415B">
        <w:rPr>
          <w:rFonts w:ascii="Arial" w:hAnsi="Arial" w:cs="Arial"/>
        </w:rPr>
        <w:t>)</w:t>
      </w:r>
      <w:r w:rsidR="00DF678A">
        <w:rPr>
          <w:rFonts w:ascii="Arial" w:hAnsi="Arial" w:cs="Arial"/>
        </w:rPr>
        <w:t xml:space="preserve"> who </w:t>
      </w:r>
      <w:r w:rsidR="000767F8">
        <w:rPr>
          <w:rFonts w:ascii="Arial" w:hAnsi="Arial" w:cs="Arial"/>
        </w:rPr>
        <w:t>are needed to achieve the restructuring objective, but they are not discussed.</w:t>
      </w:r>
    </w:p>
    <w:p w14:paraId="6E1B849D" w14:textId="77777777" w:rsidR="003D6A01" w:rsidRDefault="003D6A01" w:rsidP="002D2DAD">
      <w:pPr>
        <w:autoSpaceDE w:val="0"/>
        <w:autoSpaceDN w:val="0"/>
        <w:adjustRightInd w:val="0"/>
        <w:spacing w:after="0" w:line="240" w:lineRule="auto"/>
        <w:rPr>
          <w:rFonts w:ascii="Arial" w:hAnsi="Arial" w:cs="Arial"/>
        </w:rPr>
      </w:pPr>
    </w:p>
    <w:p w14:paraId="4E04FFCC" w14:textId="17AB371C" w:rsidR="00372D74" w:rsidRDefault="004C50AD" w:rsidP="002D2DAD">
      <w:pPr>
        <w:autoSpaceDE w:val="0"/>
        <w:autoSpaceDN w:val="0"/>
        <w:adjustRightInd w:val="0"/>
        <w:spacing w:after="0" w:line="240" w:lineRule="auto"/>
        <w:rPr>
          <w:rFonts w:ascii="Arial" w:hAnsi="Arial" w:cs="Arial"/>
        </w:rPr>
      </w:pPr>
      <w:r>
        <w:rPr>
          <w:rFonts w:ascii="Arial" w:hAnsi="Arial" w:cs="Arial"/>
        </w:rPr>
        <w:t>The</w:t>
      </w:r>
      <w:r w:rsidR="00372D74">
        <w:rPr>
          <w:rFonts w:ascii="Arial" w:hAnsi="Arial" w:cs="Arial"/>
        </w:rPr>
        <w:t xml:space="preserve"> Banks</w:t>
      </w:r>
      <w:r>
        <w:rPr>
          <w:rFonts w:ascii="Arial" w:hAnsi="Arial" w:cs="Arial"/>
        </w:rPr>
        <w:t xml:space="preserve"> appear to be willing to cooperate, at least to some degree, at the beginning. For example, they </w:t>
      </w:r>
      <w:r w:rsidR="00830D21">
        <w:rPr>
          <w:rFonts w:ascii="Arial" w:hAnsi="Arial" w:cs="Arial"/>
        </w:rPr>
        <w:t>agree to meet a few weeks after the problem comes to ligh</w:t>
      </w:r>
      <w:r w:rsidR="007F4B9F">
        <w:rPr>
          <w:rFonts w:ascii="Arial" w:hAnsi="Arial" w:cs="Arial"/>
        </w:rPr>
        <w:t xml:space="preserve">t. </w:t>
      </w:r>
      <w:r w:rsidR="0040625B">
        <w:rPr>
          <w:rFonts w:ascii="Arial" w:hAnsi="Arial" w:cs="Arial"/>
        </w:rPr>
        <w:t>This cooperation may amount to an</w:t>
      </w:r>
      <w:r w:rsidR="005F2E9B">
        <w:rPr>
          <w:rFonts w:ascii="Arial" w:hAnsi="Arial" w:cs="Arial"/>
        </w:rPr>
        <w:t xml:space="preserve"> </w:t>
      </w:r>
      <w:r w:rsidR="002613B8">
        <w:rPr>
          <w:rFonts w:ascii="Arial" w:hAnsi="Arial" w:cs="Arial"/>
        </w:rPr>
        <w:t>informal</w:t>
      </w:r>
      <w:r w:rsidR="0040625B">
        <w:rPr>
          <w:rFonts w:ascii="Arial" w:hAnsi="Arial" w:cs="Arial"/>
        </w:rPr>
        <w:t xml:space="preserve"> implicit standstill period. </w:t>
      </w:r>
      <w:r w:rsidR="00237748">
        <w:rPr>
          <w:rFonts w:ascii="Arial" w:hAnsi="Arial" w:cs="Arial"/>
        </w:rPr>
        <w:t>The Banks agree that “legal action will not yet be taken” pending the report of the consultant and that “action must be taken jointly and in a controlled manner.” Which can be seen as giving time to the debtor</w:t>
      </w:r>
      <w:r w:rsidR="00D80E76">
        <w:rPr>
          <w:rFonts w:ascii="Arial" w:hAnsi="Arial" w:cs="Arial"/>
        </w:rPr>
        <w:t xml:space="preserve"> without enforcement or other action being taken</w:t>
      </w:r>
      <w:r w:rsidR="00237748">
        <w:rPr>
          <w:rFonts w:ascii="Arial" w:hAnsi="Arial" w:cs="Arial"/>
        </w:rPr>
        <w:t xml:space="preserve">. The Commentary states that “any arrangement under which the debtor </w:t>
      </w:r>
      <w:r w:rsidR="00237748">
        <w:rPr>
          <w:rFonts w:ascii="Arial" w:hAnsi="Arial" w:cs="Arial"/>
        </w:rPr>
        <w:lastRenderedPageBreak/>
        <w:t>is given a temporary breathing space in which information can be gathered…should be treated as a standstill”</w:t>
      </w:r>
      <w:r w:rsidR="006040F2">
        <w:rPr>
          <w:rFonts w:ascii="Arial" w:hAnsi="Arial" w:cs="Arial"/>
        </w:rPr>
        <w:t>.</w:t>
      </w:r>
      <w:r w:rsidR="007B2E38">
        <w:rPr>
          <w:rStyle w:val="FootnoteReference"/>
          <w:rFonts w:ascii="Arial" w:hAnsi="Arial" w:cs="Arial"/>
        </w:rPr>
        <w:footnoteReference w:id="47"/>
      </w:r>
      <w:r w:rsidR="00237748">
        <w:rPr>
          <w:rFonts w:ascii="Arial" w:hAnsi="Arial" w:cs="Arial"/>
        </w:rPr>
        <w:t xml:space="preserve"> However, </w:t>
      </w:r>
      <w:r w:rsidR="00D01AE9">
        <w:rPr>
          <w:rFonts w:ascii="Arial" w:hAnsi="Arial" w:cs="Arial"/>
        </w:rPr>
        <w:t xml:space="preserve">such </w:t>
      </w:r>
      <w:r w:rsidR="005912E8">
        <w:rPr>
          <w:rFonts w:ascii="Arial" w:hAnsi="Arial" w:cs="Arial"/>
        </w:rPr>
        <w:t xml:space="preserve">an </w:t>
      </w:r>
      <w:r w:rsidR="00D01AE9">
        <w:rPr>
          <w:rFonts w:ascii="Arial" w:hAnsi="Arial" w:cs="Arial"/>
        </w:rPr>
        <w:t xml:space="preserve">arrangement </w:t>
      </w:r>
      <w:r w:rsidR="005912E8">
        <w:rPr>
          <w:rFonts w:ascii="Arial" w:hAnsi="Arial" w:cs="Arial"/>
        </w:rPr>
        <w:t xml:space="preserve">seems </w:t>
      </w:r>
      <w:r w:rsidR="00F56957">
        <w:rPr>
          <w:rFonts w:ascii="Arial" w:hAnsi="Arial" w:cs="Arial"/>
        </w:rPr>
        <w:t>informal,</w:t>
      </w:r>
      <w:r w:rsidR="005912E8">
        <w:rPr>
          <w:rFonts w:ascii="Arial" w:hAnsi="Arial" w:cs="Arial"/>
        </w:rPr>
        <w:t xml:space="preserve"> and the terms un</w:t>
      </w:r>
      <w:r w:rsidR="001C59F6">
        <w:rPr>
          <w:rFonts w:ascii="Arial" w:hAnsi="Arial" w:cs="Arial"/>
        </w:rPr>
        <w:t>c</w:t>
      </w:r>
      <w:r w:rsidR="005912E8">
        <w:rPr>
          <w:rFonts w:ascii="Arial" w:hAnsi="Arial" w:cs="Arial"/>
        </w:rPr>
        <w:t xml:space="preserve">lear since </w:t>
      </w:r>
      <w:r w:rsidR="00963B48">
        <w:rPr>
          <w:rFonts w:ascii="Arial" w:hAnsi="Arial" w:cs="Arial"/>
        </w:rPr>
        <w:t xml:space="preserve">the case does not state that it is in writing, </w:t>
      </w:r>
      <w:r w:rsidR="00F56957">
        <w:rPr>
          <w:rFonts w:ascii="Arial" w:hAnsi="Arial" w:cs="Arial"/>
        </w:rPr>
        <w:t>a finite duration time is not mentioned</w:t>
      </w:r>
      <w:r w:rsidR="00F84F76">
        <w:rPr>
          <w:rFonts w:ascii="Arial" w:hAnsi="Arial" w:cs="Arial"/>
        </w:rPr>
        <w:t xml:space="preserve">, no covenants or warranties are </w:t>
      </w:r>
      <w:r w:rsidR="00485F14">
        <w:rPr>
          <w:rFonts w:ascii="Arial" w:hAnsi="Arial" w:cs="Arial"/>
        </w:rPr>
        <w:t>discussed,</w:t>
      </w:r>
      <w:r w:rsidR="00F84F76">
        <w:rPr>
          <w:rFonts w:ascii="Arial" w:hAnsi="Arial" w:cs="Arial"/>
        </w:rPr>
        <w:t xml:space="preserve"> and default interest is charged</w:t>
      </w:r>
      <w:r w:rsidR="00B36A75">
        <w:rPr>
          <w:rFonts w:ascii="Arial" w:hAnsi="Arial" w:cs="Arial"/>
        </w:rPr>
        <w:t>.</w:t>
      </w:r>
    </w:p>
    <w:p w14:paraId="1DE8DEE2" w14:textId="77777777" w:rsidR="00372D74" w:rsidRDefault="00372D74" w:rsidP="002D2DAD">
      <w:pPr>
        <w:autoSpaceDE w:val="0"/>
        <w:autoSpaceDN w:val="0"/>
        <w:adjustRightInd w:val="0"/>
        <w:spacing w:after="0" w:line="240" w:lineRule="auto"/>
        <w:rPr>
          <w:rFonts w:ascii="Arial" w:hAnsi="Arial" w:cs="Arial"/>
        </w:rPr>
      </w:pPr>
    </w:p>
    <w:p w14:paraId="6CC63CEC" w14:textId="43D688F9" w:rsidR="00D01AE9" w:rsidRDefault="00B844EC" w:rsidP="002D2DAD">
      <w:pPr>
        <w:autoSpaceDE w:val="0"/>
        <w:autoSpaceDN w:val="0"/>
        <w:adjustRightInd w:val="0"/>
        <w:spacing w:after="0" w:line="240" w:lineRule="auto"/>
        <w:rPr>
          <w:rFonts w:ascii="Arial" w:hAnsi="Arial" w:cs="Arial"/>
        </w:rPr>
      </w:pPr>
      <w:r>
        <w:rPr>
          <w:rFonts w:ascii="Arial" w:hAnsi="Arial" w:cs="Arial"/>
        </w:rPr>
        <w:t>During the informal standstill, w</w:t>
      </w:r>
      <w:r w:rsidR="00606450">
        <w:rPr>
          <w:rFonts w:ascii="Arial" w:hAnsi="Arial" w:cs="Arial"/>
        </w:rPr>
        <w:t>hile there is a process to come to a</w:t>
      </w:r>
      <w:r>
        <w:rPr>
          <w:rFonts w:ascii="Arial" w:hAnsi="Arial" w:cs="Arial"/>
        </w:rPr>
        <w:t xml:space="preserve"> formal</w:t>
      </w:r>
      <w:r w:rsidR="00606450">
        <w:rPr>
          <w:rFonts w:ascii="Arial" w:hAnsi="Arial" w:cs="Arial"/>
        </w:rPr>
        <w:t xml:space="preserve"> agreement over a standstill</w:t>
      </w:r>
      <w:r w:rsidR="00485F14">
        <w:rPr>
          <w:rFonts w:ascii="Arial" w:hAnsi="Arial" w:cs="Arial"/>
        </w:rPr>
        <w:t xml:space="preserve"> which begins</w:t>
      </w:r>
      <w:r w:rsidR="00606450">
        <w:rPr>
          <w:rFonts w:ascii="Arial" w:hAnsi="Arial" w:cs="Arial"/>
        </w:rPr>
        <w:t xml:space="preserve"> in February 2014, </w:t>
      </w:r>
      <w:r w:rsidR="00B441A9">
        <w:rPr>
          <w:rFonts w:ascii="Arial" w:hAnsi="Arial" w:cs="Arial"/>
        </w:rPr>
        <w:t>Banks C and D suddenly stop cooperating</w:t>
      </w:r>
      <w:r w:rsidR="0027143D">
        <w:rPr>
          <w:rFonts w:ascii="Arial" w:hAnsi="Arial" w:cs="Arial"/>
        </w:rPr>
        <w:t xml:space="preserve">. </w:t>
      </w:r>
      <w:r w:rsidR="00132CAD">
        <w:rPr>
          <w:rFonts w:ascii="Arial" w:hAnsi="Arial" w:cs="Arial"/>
        </w:rPr>
        <w:t>By the target date (end-March 2014)</w:t>
      </w:r>
      <w:r w:rsidR="0027143D">
        <w:rPr>
          <w:rFonts w:ascii="Arial" w:hAnsi="Arial" w:cs="Arial"/>
        </w:rPr>
        <w:t>, no standstill agreement has been signed.</w:t>
      </w:r>
      <w:r w:rsidR="00DF07EF">
        <w:rPr>
          <w:rFonts w:ascii="Arial" w:hAnsi="Arial" w:cs="Arial"/>
        </w:rPr>
        <w:t xml:space="preserve"> The main reason </w:t>
      </w:r>
      <w:r w:rsidR="00480CD6">
        <w:rPr>
          <w:rFonts w:ascii="Arial" w:hAnsi="Arial" w:cs="Arial"/>
        </w:rPr>
        <w:t>is that</w:t>
      </w:r>
      <w:r w:rsidR="00DF07EF">
        <w:rPr>
          <w:rFonts w:ascii="Arial" w:hAnsi="Arial" w:cs="Arial"/>
        </w:rPr>
        <w:t xml:space="preserve"> </w:t>
      </w:r>
      <w:r w:rsidR="00B4747D">
        <w:rPr>
          <w:rFonts w:ascii="Arial" w:hAnsi="Arial" w:cs="Arial"/>
        </w:rPr>
        <w:t>the banks (</w:t>
      </w:r>
      <w:r w:rsidR="00DF07EF">
        <w:rPr>
          <w:rFonts w:ascii="Arial" w:hAnsi="Arial" w:cs="Arial"/>
        </w:rPr>
        <w:t xml:space="preserve">Banks C and D </w:t>
      </w:r>
      <w:r w:rsidR="00B4747D">
        <w:rPr>
          <w:rFonts w:ascii="Arial" w:hAnsi="Arial" w:cs="Arial"/>
        </w:rPr>
        <w:t xml:space="preserve">even more so) lack confidence in the </w:t>
      </w:r>
      <w:r w:rsidR="008E2169">
        <w:rPr>
          <w:rFonts w:ascii="Arial" w:hAnsi="Arial" w:cs="Arial"/>
        </w:rPr>
        <w:t>Flow Management Company</w:t>
      </w:r>
      <w:r w:rsidR="00DA54FA">
        <w:rPr>
          <w:rFonts w:ascii="Arial" w:hAnsi="Arial" w:cs="Arial"/>
        </w:rPr>
        <w:t xml:space="preserve">. </w:t>
      </w:r>
      <w:r w:rsidR="009642A6">
        <w:rPr>
          <w:rFonts w:ascii="Arial" w:hAnsi="Arial" w:cs="Arial"/>
        </w:rPr>
        <w:t xml:space="preserve">After quite some time, a change in management and appointment of a CRO, </w:t>
      </w:r>
      <w:r w:rsidR="00324CDF">
        <w:rPr>
          <w:rFonts w:ascii="Arial" w:hAnsi="Arial" w:cs="Arial"/>
        </w:rPr>
        <w:t xml:space="preserve">the banks agree on a </w:t>
      </w:r>
      <w:r w:rsidR="00405F86">
        <w:rPr>
          <w:rFonts w:ascii="Arial" w:hAnsi="Arial" w:cs="Arial"/>
        </w:rPr>
        <w:t>120-day</w:t>
      </w:r>
      <w:r w:rsidR="00324CDF">
        <w:rPr>
          <w:rFonts w:ascii="Arial" w:hAnsi="Arial" w:cs="Arial"/>
        </w:rPr>
        <w:t xml:space="preserve"> standstill agreement in August 2014</w:t>
      </w:r>
      <w:r w:rsidR="00F21308">
        <w:rPr>
          <w:rFonts w:ascii="Arial" w:hAnsi="Arial" w:cs="Arial"/>
        </w:rPr>
        <w:t xml:space="preserve"> </w:t>
      </w:r>
      <w:r w:rsidR="004627D6">
        <w:rPr>
          <w:rFonts w:ascii="Arial" w:hAnsi="Arial" w:cs="Arial"/>
        </w:rPr>
        <w:t>–</w:t>
      </w:r>
      <w:r w:rsidR="00F21308">
        <w:rPr>
          <w:rFonts w:ascii="Arial" w:hAnsi="Arial" w:cs="Arial"/>
        </w:rPr>
        <w:t xml:space="preserve"> </w:t>
      </w:r>
      <w:r w:rsidR="004627D6">
        <w:rPr>
          <w:rFonts w:ascii="Arial" w:hAnsi="Arial" w:cs="Arial"/>
        </w:rPr>
        <w:t>approximately five months after the target date</w:t>
      </w:r>
      <w:r w:rsidR="00324CDF">
        <w:rPr>
          <w:rFonts w:ascii="Arial" w:hAnsi="Arial" w:cs="Arial"/>
        </w:rPr>
        <w:t xml:space="preserve">. That is </w:t>
      </w:r>
      <w:r w:rsidR="000371F1">
        <w:rPr>
          <w:rFonts w:ascii="Arial" w:hAnsi="Arial" w:cs="Arial"/>
        </w:rPr>
        <w:t xml:space="preserve">eight </w:t>
      </w:r>
      <w:r w:rsidR="001373C0">
        <w:rPr>
          <w:rFonts w:ascii="Arial" w:hAnsi="Arial" w:cs="Arial"/>
        </w:rPr>
        <w:t>months after the initial problems w</w:t>
      </w:r>
      <w:r w:rsidR="000371F1">
        <w:rPr>
          <w:rFonts w:ascii="Arial" w:hAnsi="Arial" w:cs="Arial"/>
        </w:rPr>
        <w:t xml:space="preserve">ere </w:t>
      </w:r>
      <w:r w:rsidR="00FB6119">
        <w:rPr>
          <w:rFonts w:ascii="Arial" w:hAnsi="Arial" w:cs="Arial"/>
        </w:rPr>
        <w:t>reported to the banks in November 2013.</w:t>
      </w:r>
      <w:r w:rsidR="001373C0">
        <w:rPr>
          <w:rFonts w:ascii="Arial" w:hAnsi="Arial" w:cs="Arial"/>
        </w:rPr>
        <w:t xml:space="preserve"> </w:t>
      </w:r>
      <w:r w:rsidR="00152F21">
        <w:rPr>
          <w:rFonts w:ascii="Arial" w:hAnsi="Arial" w:cs="Arial"/>
        </w:rPr>
        <w:t xml:space="preserve">This then allows room for </w:t>
      </w:r>
      <w:r w:rsidR="00016E23">
        <w:rPr>
          <w:rFonts w:ascii="Arial" w:hAnsi="Arial" w:cs="Arial"/>
        </w:rPr>
        <w:t xml:space="preserve">the scenarios to be drawn up in October 2014 and the </w:t>
      </w:r>
      <w:r w:rsidR="002C43EE">
        <w:rPr>
          <w:rFonts w:ascii="Arial" w:hAnsi="Arial" w:cs="Arial"/>
        </w:rPr>
        <w:t>July 2015 restructuring plan to be signed.</w:t>
      </w:r>
      <w:r w:rsidR="00405F86">
        <w:rPr>
          <w:rFonts w:ascii="Arial" w:hAnsi="Arial" w:cs="Arial"/>
        </w:rPr>
        <w:t xml:space="preserve"> </w:t>
      </w:r>
      <w:r w:rsidR="00D01AE9">
        <w:rPr>
          <w:rFonts w:ascii="Arial" w:hAnsi="Arial" w:cs="Arial"/>
        </w:rPr>
        <w:t>The parties do not seem to have followed the Commentary which states that “most importantly, time is crucial in rescues and workouts.”</w:t>
      </w:r>
      <w:r w:rsidR="004F206A">
        <w:rPr>
          <w:rStyle w:val="FootnoteReference"/>
          <w:rFonts w:ascii="Arial" w:hAnsi="Arial" w:cs="Arial"/>
        </w:rPr>
        <w:footnoteReference w:id="48"/>
      </w:r>
      <w:r w:rsidR="00D01AE9">
        <w:rPr>
          <w:rFonts w:ascii="Arial" w:hAnsi="Arial" w:cs="Arial"/>
        </w:rPr>
        <w:t xml:space="preserve"> Eight months to agree a formal standstill agreement seems excessive</w:t>
      </w:r>
      <w:r w:rsidR="00993B21">
        <w:rPr>
          <w:rFonts w:ascii="Arial" w:hAnsi="Arial" w:cs="Arial"/>
        </w:rPr>
        <w:t xml:space="preserve"> and potentially damaging</w:t>
      </w:r>
      <w:r w:rsidR="00D01AE9">
        <w:rPr>
          <w:rFonts w:ascii="Arial" w:hAnsi="Arial" w:cs="Arial"/>
        </w:rPr>
        <w:t>. The CRO states that the June 2014 larger loss is due to “delay in the reorganization to be carried out</w:t>
      </w:r>
      <w:r w:rsidR="00993B21">
        <w:rPr>
          <w:rFonts w:ascii="Arial" w:hAnsi="Arial" w:cs="Arial"/>
        </w:rPr>
        <w:t>.</w:t>
      </w:r>
      <w:r w:rsidR="00D01AE9">
        <w:rPr>
          <w:rFonts w:ascii="Arial" w:hAnsi="Arial" w:cs="Arial"/>
        </w:rPr>
        <w:t xml:space="preserve">” </w:t>
      </w:r>
    </w:p>
    <w:p w14:paraId="47510978" w14:textId="77777777" w:rsidR="00E97178" w:rsidRDefault="00E97178" w:rsidP="002D2DAD">
      <w:pPr>
        <w:autoSpaceDE w:val="0"/>
        <w:autoSpaceDN w:val="0"/>
        <w:adjustRightInd w:val="0"/>
        <w:spacing w:after="0" w:line="240" w:lineRule="auto"/>
        <w:rPr>
          <w:rFonts w:ascii="Arial" w:hAnsi="Arial" w:cs="Arial"/>
        </w:rPr>
      </w:pPr>
    </w:p>
    <w:p w14:paraId="12D1FEE3" w14:textId="0E8694EE" w:rsidR="00E97178" w:rsidRDefault="00B071B3" w:rsidP="002D2DAD">
      <w:pPr>
        <w:autoSpaceDE w:val="0"/>
        <w:autoSpaceDN w:val="0"/>
        <w:adjustRightInd w:val="0"/>
        <w:spacing w:after="0" w:line="240" w:lineRule="auto"/>
        <w:rPr>
          <w:rFonts w:ascii="Arial" w:hAnsi="Arial" w:cs="Arial"/>
        </w:rPr>
      </w:pPr>
      <w:r>
        <w:rPr>
          <w:rFonts w:ascii="Arial" w:hAnsi="Arial" w:cs="Arial"/>
        </w:rPr>
        <w:t xml:space="preserve">No Standstill Commencement Date is discussed in the case. We can presume that the formal Standstill Agreement operates from mid-August 2014, but </w:t>
      </w:r>
      <w:r w:rsidR="00FF34D2">
        <w:rPr>
          <w:rFonts w:ascii="Arial" w:hAnsi="Arial" w:cs="Arial"/>
        </w:rPr>
        <w:t xml:space="preserve">that is not explicit. </w:t>
      </w:r>
    </w:p>
    <w:p w14:paraId="106C7645" w14:textId="77777777" w:rsidR="00F305B8" w:rsidRDefault="00F305B8" w:rsidP="002D2DAD">
      <w:pPr>
        <w:autoSpaceDE w:val="0"/>
        <w:autoSpaceDN w:val="0"/>
        <w:adjustRightInd w:val="0"/>
        <w:spacing w:after="0" w:line="240" w:lineRule="auto"/>
        <w:rPr>
          <w:rFonts w:ascii="Arial" w:hAnsi="Arial" w:cs="Arial"/>
        </w:rPr>
      </w:pPr>
    </w:p>
    <w:p w14:paraId="63288CCD" w14:textId="0B0A3C95" w:rsidR="00F305B8" w:rsidRPr="00C6561D" w:rsidRDefault="00F305B8" w:rsidP="002D2DAD">
      <w:pPr>
        <w:autoSpaceDE w:val="0"/>
        <w:autoSpaceDN w:val="0"/>
        <w:adjustRightInd w:val="0"/>
        <w:spacing w:after="0" w:line="240" w:lineRule="auto"/>
        <w:rPr>
          <w:rFonts w:ascii="Arial" w:hAnsi="Arial" w:cs="Arial"/>
        </w:rPr>
      </w:pPr>
      <w:r>
        <w:rPr>
          <w:rFonts w:ascii="Arial" w:hAnsi="Arial" w:cs="Arial"/>
        </w:rPr>
        <w:t xml:space="preserve">Finally, </w:t>
      </w:r>
      <w:r w:rsidR="009A1304">
        <w:rPr>
          <w:rFonts w:ascii="Arial" w:hAnsi="Arial" w:cs="Arial"/>
        </w:rPr>
        <w:t>as noted above, the formal standstill duration is 120-days or roughly four months.</w:t>
      </w:r>
      <w:r w:rsidR="004A2279">
        <w:rPr>
          <w:rFonts w:ascii="Arial" w:hAnsi="Arial" w:cs="Arial"/>
        </w:rPr>
        <w:t xml:space="preserve"> The duration seems a bit long</w:t>
      </w:r>
      <w:r w:rsidR="00D3205D">
        <w:rPr>
          <w:rFonts w:ascii="Arial" w:hAnsi="Arial" w:cs="Arial"/>
        </w:rPr>
        <w:t xml:space="preserve">, although it is hard to tell what a reasonable length should be given the complexity of the subsidiaries. </w:t>
      </w:r>
      <w:r w:rsidR="00006A83">
        <w:rPr>
          <w:rFonts w:ascii="Arial" w:hAnsi="Arial" w:cs="Arial"/>
        </w:rPr>
        <w:t xml:space="preserve">The duration ends up being </w:t>
      </w:r>
      <w:r w:rsidR="005626DC">
        <w:rPr>
          <w:rFonts w:ascii="Arial" w:hAnsi="Arial" w:cs="Arial"/>
        </w:rPr>
        <w:t xml:space="preserve">enough time for the four scenarios to be drafted. However, </w:t>
      </w:r>
      <w:r w:rsidR="001D59C4">
        <w:rPr>
          <w:rFonts w:ascii="Arial" w:hAnsi="Arial" w:cs="Arial"/>
        </w:rPr>
        <w:t xml:space="preserve">it does not cover the almost year it takes to sign the Restructuring Agreement. </w:t>
      </w:r>
      <w:r w:rsidR="00F415DC">
        <w:rPr>
          <w:rFonts w:ascii="Arial" w:hAnsi="Arial" w:cs="Arial"/>
        </w:rPr>
        <w:t>There is no mention of an extension of the standstill period</w:t>
      </w:r>
      <w:r w:rsidR="000465D4">
        <w:rPr>
          <w:rFonts w:ascii="Arial" w:hAnsi="Arial" w:cs="Arial"/>
        </w:rPr>
        <w:t xml:space="preserve">. </w:t>
      </w:r>
      <w:r w:rsidR="009B4605">
        <w:rPr>
          <w:rFonts w:ascii="Arial" w:hAnsi="Arial" w:cs="Arial"/>
        </w:rPr>
        <w:t xml:space="preserve">The Standstill Agreement may have also benefited from a </w:t>
      </w:r>
      <w:r w:rsidR="00801FE1">
        <w:rPr>
          <w:rFonts w:ascii="Arial" w:hAnsi="Arial" w:cs="Arial"/>
        </w:rPr>
        <w:t xml:space="preserve">clause outlining under which conditions a premature termination would be warranted – this may have eased some of the concerns of Banks C and D and allowed the agreement to be signed </w:t>
      </w:r>
      <w:r w:rsidR="00CD7F11">
        <w:rPr>
          <w:rFonts w:ascii="Arial" w:hAnsi="Arial" w:cs="Arial"/>
        </w:rPr>
        <w:t>faster.</w:t>
      </w:r>
    </w:p>
    <w:p w14:paraId="2D7AE0B2" w14:textId="0ACBEF7C" w:rsidR="00587248" w:rsidRDefault="00587248" w:rsidP="002D2DAD">
      <w:pPr>
        <w:autoSpaceDE w:val="0"/>
        <w:autoSpaceDN w:val="0"/>
        <w:adjustRightInd w:val="0"/>
        <w:spacing w:after="0" w:line="240" w:lineRule="auto"/>
        <w:rPr>
          <w:rFonts w:ascii="Arial" w:hAnsi="Arial" w:cs="Arial"/>
        </w:rPr>
      </w:pPr>
    </w:p>
    <w:p w14:paraId="4CAF1F58" w14:textId="42B6239A" w:rsidR="005912E8" w:rsidRPr="00FB5555" w:rsidRDefault="005912E8" w:rsidP="00FB5555">
      <w:pPr>
        <w:pStyle w:val="ListParagraph"/>
        <w:numPr>
          <w:ilvl w:val="0"/>
          <w:numId w:val="6"/>
        </w:numPr>
        <w:autoSpaceDE w:val="0"/>
        <w:autoSpaceDN w:val="0"/>
        <w:adjustRightInd w:val="0"/>
        <w:spacing w:after="0" w:line="240" w:lineRule="auto"/>
        <w:rPr>
          <w:rFonts w:ascii="Arial" w:hAnsi="Arial" w:cs="Arial"/>
          <w:u w:val="single"/>
        </w:rPr>
      </w:pPr>
      <w:r w:rsidRPr="00FB5555">
        <w:rPr>
          <w:rFonts w:ascii="Arial" w:hAnsi="Arial" w:cs="Arial"/>
          <w:u w:val="single"/>
        </w:rPr>
        <w:t>Second Principle</w:t>
      </w:r>
    </w:p>
    <w:p w14:paraId="55DA4D5F" w14:textId="1830D506" w:rsidR="005912E8" w:rsidRDefault="005912E8" w:rsidP="002D2DAD">
      <w:pPr>
        <w:autoSpaceDE w:val="0"/>
        <w:autoSpaceDN w:val="0"/>
        <w:adjustRightInd w:val="0"/>
        <w:spacing w:after="0" w:line="240" w:lineRule="auto"/>
        <w:rPr>
          <w:rFonts w:ascii="Arial" w:hAnsi="Arial" w:cs="Arial"/>
        </w:rPr>
      </w:pPr>
    </w:p>
    <w:p w14:paraId="733D7C73" w14:textId="51D2A37A" w:rsidR="00A71457" w:rsidRDefault="00424AA2" w:rsidP="002D2DAD">
      <w:pPr>
        <w:autoSpaceDE w:val="0"/>
        <w:autoSpaceDN w:val="0"/>
        <w:adjustRightInd w:val="0"/>
        <w:spacing w:after="0" w:line="240" w:lineRule="auto"/>
        <w:rPr>
          <w:rFonts w:ascii="Arial" w:hAnsi="Arial" w:cs="Arial"/>
        </w:rPr>
      </w:pPr>
      <w:r>
        <w:rPr>
          <w:rFonts w:ascii="Arial" w:hAnsi="Arial" w:cs="Arial"/>
        </w:rPr>
        <w:t xml:space="preserve">If we can </w:t>
      </w:r>
      <w:r w:rsidR="00A50B56">
        <w:rPr>
          <w:rFonts w:ascii="Arial" w:hAnsi="Arial" w:cs="Arial"/>
        </w:rPr>
        <w:t xml:space="preserve">construe that the </w:t>
      </w:r>
      <w:r w:rsidR="0079389C">
        <w:rPr>
          <w:rFonts w:ascii="Arial" w:hAnsi="Arial" w:cs="Arial"/>
        </w:rPr>
        <w:t>statements made by the Banks</w:t>
      </w:r>
      <w:r w:rsidR="00DA1F9B">
        <w:rPr>
          <w:rFonts w:ascii="Arial" w:hAnsi="Arial" w:cs="Arial"/>
        </w:rPr>
        <w:t xml:space="preserve"> early in the process</w:t>
      </w:r>
      <w:r w:rsidR="00405F86">
        <w:rPr>
          <w:rFonts w:ascii="Arial" w:hAnsi="Arial" w:cs="Arial"/>
        </w:rPr>
        <w:t xml:space="preserve"> </w:t>
      </w:r>
      <w:r w:rsidR="00A50B56">
        <w:rPr>
          <w:rFonts w:ascii="Arial" w:hAnsi="Arial" w:cs="Arial"/>
        </w:rPr>
        <w:t xml:space="preserve">are an </w:t>
      </w:r>
      <w:r w:rsidR="00412878">
        <w:rPr>
          <w:rFonts w:ascii="Arial" w:hAnsi="Arial" w:cs="Arial"/>
        </w:rPr>
        <w:t>informal</w:t>
      </w:r>
      <w:r w:rsidR="00A50B56">
        <w:rPr>
          <w:rFonts w:ascii="Arial" w:hAnsi="Arial" w:cs="Arial"/>
        </w:rPr>
        <w:t xml:space="preserve"> standstill period</w:t>
      </w:r>
      <w:r w:rsidR="007A2A68">
        <w:rPr>
          <w:rFonts w:ascii="Arial" w:hAnsi="Arial" w:cs="Arial"/>
        </w:rPr>
        <w:t xml:space="preserve">, </w:t>
      </w:r>
      <w:r w:rsidR="00B357BA">
        <w:rPr>
          <w:rFonts w:ascii="Arial" w:hAnsi="Arial" w:cs="Arial"/>
        </w:rPr>
        <w:t xml:space="preserve">then the banks </w:t>
      </w:r>
      <w:r w:rsidR="008D6EDF">
        <w:rPr>
          <w:rFonts w:ascii="Arial" w:hAnsi="Arial" w:cs="Arial"/>
        </w:rPr>
        <w:t xml:space="preserve">do </w:t>
      </w:r>
      <w:r w:rsidR="00EE7310">
        <w:rPr>
          <w:rFonts w:ascii="Arial" w:hAnsi="Arial" w:cs="Arial"/>
        </w:rPr>
        <w:t xml:space="preserve">take some actions which </w:t>
      </w:r>
      <w:r w:rsidR="006B7679">
        <w:rPr>
          <w:rFonts w:ascii="Arial" w:hAnsi="Arial" w:cs="Arial"/>
        </w:rPr>
        <w:t>are not compliant with the Second Principle</w:t>
      </w:r>
      <w:r w:rsidR="008F027B">
        <w:rPr>
          <w:rFonts w:ascii="Arial" w:hAnsi="Arial" w:cs="Arial"/>
        </w:rPr>
        <w:t xml:space="preserve">. </w:t>
      </w:r>
      <w:r w:rsidR="00DD2853">
        <w:rPr>
          <w:rFonts w:ascii="Arial" w:hAnsi="Arial" w:cs="Arial"/>
        </w:rPr>
        <w:t xml:space="preserve">In fact, before the </w:t>
      </w:r>
      <w:r w:rsidR="00A71457">
        <w:rPr>
          <w:rFonts w:ascii="Arial" w:hAnsi="Arial" w:cs="Arial"/>
        </w:rPr>
        <w:t>formal standstill agreement is signed</w:t>
      </w:r>
      <w:r w:rsidR="00DD2853">
        <w:rPr>
          <w:rFonts w:ascii="Arial" w:hAnsi="Arial" w:cs="Arial"/>
        </w:rPr>
        <w:t xml:space="preserve"> several actions are taken which go against this principle. For example, </w:t>
      </w:r>
      <w:r w:rsidR="00A71457">
        <w:rPr>
          <w:rFonts w:ascii="Arial" w:hAnsi="Arial" w:cs="Arial"/>
        </w:rPr>
        <w:t>Banks C and D threaten to cancel their credit</w:t>
      </w:r>
      <w:r w:rsidR="00F451BE">
        <w:rPr>
          <w:rFonts w:ascii="Arial" w:hAnsi="Arial" w:cs="Arial"/>
        </w:rPr>
        <w:t>, and default interest is charged</w:t>
      </w:r>
      <w:r w:rsidR="00BA5C0A">
        <w:rPr>
          <w:rFonts w:ascii="Arial" w:hAnsi="Arial" w:cs="Arial"/>
        </w:rPr>
        <w:t xml:space="preserve"> – this does not allow for breathing room</w:t>
      </w:r>
      <w:r w:rsidR="00F451BE">
        <w:rPr>
          <w:rFonts w:ascii="Arial" w:hAnsi="Arial" w:cs="Arial"/>
        </w:rPr>
        <w:t>.</w:t>
      </w:r>
      <w:r w:rsidR="00210E5E">
        <w:rPr>
          <w:rFonts w:ascii="Arial" w:hAnsi="Arial" w:cs="Arial"/>
        </w:rPr>
        <w:t xml:space="preserve"> During this informal standstill, apart from the </w:t>
      </w:r>
      <w:r w:rsidR="005F5BB7">
        <w:rPr>
          <w:rFonts w:ascii="Arial" w:hAnsi="Arial" w:cs="Arial"/>
        </w:rPr>
        <w:t xml:space="preserve">Banks’ </w:t>
      </w:r>
      <w:r w:rsidR="00210E5E">
        <w:rPr>
          <w:rFonts w:ascii="Arial" w:hAnsi="Arial" w:cs="Arial"/>
        </w:rPr>
        <w:t>statements</w:t>
      </w:r>
      <w:r w:rsidR="005F5BB7">
        <w:rPr>
          <w:rFonts w:ascii="Arial" w:hAnsi="Arial" w:cs="Arial"/>
        </w:rPr>
        <w:t xml:space="preserve">, </w:t>
      </w:r>
      <w:r w:rsidR="00210E5E">
        <w:rPr>
          <w:rFonts w:ascii="Arial" w:hAnsi="Arial" w:cs="Arial"/>
        </w:rPr>
        <w:t>there appear to be no formal undertakings by the creditors to not press for repayment, not try to improve their individual positions or enforce security or to continue to allow utilization of credit facilities during the standstill period.</w:t>
      </w:r>
    </w:p>
    <w:p w14:paraId="3D06806C" w14:textId="3D797B49" w:rsidR="00B72011" w:rsidRDefault="00B72011" w:rsidP="002D2DAD">
      <w:pPr>
        <w:autoSpaceDE w:val="0"/>
        <w:autoSpaceDN w:val="0"/>
        <w:adjustRightInd w:val="0"/>
        <w:spacing w:after="0" w:line="240" w:lineRule="auto"/>
        <w:rPr>
          <w:rFonts w:ascii="Arial" w:hAnsi="Arial" w:cs="Arial"/>
        </w:rPr>
      </w:pPr>
    </w:p>
    <w:p w14:paraId="49C25295" w14:textId="00627EB0" w:rsidR="00E51A4E" w:rsidRDefault="00B72011" w:rsidP="002D2DAD">
      <w:pPr>
        <w:autoSpaceDE w:val="0"/>
        <w:autoSpaceDN w:val="0"/>
        <w:adjustRightInd w:val="0"/>
        <w:spacing w:after="0" w:line="240" w:lineRule="auto"/>
        <w:rPr>
          <w:rFonts w:ascii="Arial" w:hAnsi="Arial" w:cs="Arial"/>
        </w:rPr>
      </w:pPr>
      <w:r>
        <w:rPr>
          <w:rFonts w:ascii="Arial" w:hAnsi="Arial" w:cs="Arial"/>
        </w:rPr>
        <w:t xml:space="preserve">We have no concrete information about what is contained in the formal standstill agreement signed in August 2014. </w:t>
      </w:r>
      <w:r w:rsidR="00CE2D21">
        <w:rPr>
          <w:rFonts w:ascii="Arial" w:hAnsi="Arial" w:cs="Arial"/>
        </w:rPr>
        <w:t xml:space="preserve">Good practice </w:t>
      </w:r>
      <w:r w:rsidR="000369B5">
        <w:rPr>
          <w:rFonts w:ascii="Arial" w:hAnsi="Arial" w:cs="Arial"/>
        </w:rPr>
        <w:t>provides that such an agreement should have included undertakings not to press for repayment, try to improve creditors’ individual positions</w:t>
      </w:r>
      <w:r w:rsidR="00A33F3D">
        <w:rPr>
          <w:rFonts w:ascii="Arial" w:hAnsi="Arial" w:cs="Arial"/>
        </w:rPr>
        <w:t xml:space="preserve"> and to continue to allow utilization of credit lines and </w:t>
      </w:r>
      <w:r w:rsidR="00B443F0">
        <w:rPr>
          <w:rFonts w:ascii="Arial" w:hAnsi="Arial" w:cs="Arial"/>
        </w:rPr>
        <w:t xml:space="preserve">facilities, </w:t>
      </w:r>
      <w:r w:rsidR="006F65B0">
        <w:rPr>
          <w:rFonts w:ascii="Arial" w:hAnsi="Arial" w:cs="Arial"/>
        </w:rPr>
        <w:t>there</w:t>
      </w:r>
      <w:r>
        <w:rPr>
          <w:rFonts w:ascii="Arial" w:hAnsi="Arial" w:cs="Arial"/>
        </w:rPr>
        <w:t xml:space="preserve"> is no information in the case that suggests that the creditors took steps to enforce their claims</w:t>
      </w:r>
      <w:r w:rsidR="00717557">
        <w:rPr>
          <w:rFonts w:ascii="Arial" w:hAnsi="Arial" w:cs="Arial"/>
        </w:rPr>
        <w:t xml:space="preserve">. Although, it is noted that before the Restructuring Agreement is signed, EUR 25 million is repaid to providers of additional </w:t>
      </w:r>
      <w:r w:rsidR="00717557">
        <w:rPr>
          <w:rFonts w:ascii="Arial" w:hAnsi="Arial" w:cs="Arial"/>
        </w:rPr>
        <w:lastRenderedPageBreak/>
        <w:t xml:space="preserve">working capital. </w:t>
      </w:r>
      <w:r w:rsidR="00482325">
        <w:rPr>
          <w:rFonts w:ascii="Arial" w:hAnsi="Arial" w:cs="Arial"/>
        </w:rPr>
        <w:t xml:space="preserve">It is unclear if that is all the creditors involved. </w:t>
      </w:r>
      <w:r>
        <w:rPr>
          <w:rFonts w:ascii="Arial" w:hAnsi="Arial" w:cs="Arial"/>
        </w:rPr>
        <w:t>There is also no information in the case about the creditors identifying actual or perceived conflicts of interest.</w:t>
      </w:r>
    </w:p>
    <w:p w14:paraId="3BCC0A28" w14:textId="77777777" w:rsidR="00F64955" w:rsidRDefault="00F64955" w:rsidP="002D2DAD">
      <w:pPr>
        <w:autoSpaceDE w:val="0"/>
        <w:autoSpaceDN w:val="0"/>
        <w:adjustRightInd w:val="0"/>
        <w:spacing w:after="0" w:line="240" w:lineRule="auto"/>
        <w:rPr>
          <w:rFonts w:ascii="Arial" w:hAnsi="Arial" w:cs="Arial"/>
        </w:rPr>
      </w:pPr>
    </w:p>
    <w:p w14:paraId="3BF20BB8" w14:textId="796A4A33" w:rsidR="00E51A4E" w:rsidRPr="00E51A4E" w:rsidRDefault="00E51A4E" w:rsidP="00E51A4E">
      <w:pPr>
        <w:pStyle w:val="ListParagraph"/>
        <w:numPr>
          <w:ilvl w:val="0"/>
          <w:numId w:val="6"/>
        </w:numPr>
        <w:autoSpaceDE w:val="0"/>
        <w:autoSpaceDN w:val="0"/>
        <w:adjustRightInd w:val="0"/>
        <w:spacing w:after="0" w:line="240" w:lineRule="auto"/>
        <w:rPr>
          <w:rFonts w:ascii="Arial" w:hAnsi="Arial" w:cs="Arial"/>
          <w:u w:val="single"/>
        </w:rPr>
      </w:pPr>
      <w:r w:rsidRPr="00E51A4E">
        <w:rPr>
          <w:rFonts w:ascii="Arial" w:hAnsi="Arial" w:cs="Arial"/>
          <w:u w:val="single"/>
        </w:rPr>
        <w:t>Third Principle</w:t>
      </w:r>
    </w:p>
    <w:p w14:paraId="7DAD7545" w14:textId="77777777" w:rsidR="00E51A4E" w:rsidRPr="00E51A4E" w:rsidRDefault="00E51A4E" w:rsidP="00E51A4E">
      <w:pPr>
        <w:autoSpaceDE w:val="0"/>
        <w:autoSpaceDN w:val="0"/>
        <w:adjustRightInd w:val="0"/>
        <w:spacing w:after="0" w:line="240" w:lineRule="auto"/>
        <w:rPr>
          <w:rFonts w:ascii="Arial" w:hAnsi="Arial" w:cs="Arial"/>
        </w:rPr>
      </w:pPr>
    </w:p>
    <w:p w14:paraId="1F5ED123" w14:textId="5D23DF61" w:rsidR="00BD0D00" w:rsidRDefault="00AE27C7" w:rsidP="002D2DAD">
      <w:pPr>
        <w:autoSpaceDE w:val="0"/>
        <w:autoSpaceDN w:val="0"/>
        <w:adjustRightInd w:val="0"/>
        <w:spacing w:after="0" w:line="240" w:lineRule="auto"/>
        <w:rPr>
          <w:rFonts w:ascii="Arial" w:hAnsi="Arial" w:cs="Arial"/>
        </w:rPr>
      </w:pPr>
      <w:r>
        <w:rPr>
          <w:rFonts w:ascii="Arial" w:hAnsi="Arial" w:cs="Arial"/>
        </w:rPr>
        <w:t xml:space="preserve">The debtor should also not </w:t>
      </w:r>
      <w:proofErr w:type="gramStart"/>
      <w:r>
        <w:rPr>
          <w:rFonts w:ascii="Arial" w:hAnsi="Arial" w:cs="Arial"/>
        </w:rPr>
        <w:t>take action</w:t>
      </w:r>
      <w:proofErr w:type="gramEnd"/>
      <w:r>
        <w:rPr>
          <w:rFonts w:ascii="Arial" w:hAnsi="Arial" w:cs="Arial"/>
        </w:rPr>
        <w:t xml:space="preserve"> </w:t>
      </w:r>
      <w:r w:rsidR="007F7702">
        <w:rPr>
          <w:rFonts w:ascii="Arial" w:hAnsi="Arial" w:cs="Arial"/>
        </w:rPr>
        <w:t xml:space="preserve">which might adversely affect the prospective return to relevant creditors. </w:t>
      </w:r>
      <w:r w:rsidR="00C67DA4">
        <w:rPr>
          <w:rFonts w:ascii="Arial" w:hAnsi="Arial" w:cs="Arial"/>
        </w:rPr>
        <w:t xml:space="preserve">After the informal </w:t>
      </w:r>
      <w:r w:rsidR="00632F27">
        <w:rPr>
          <w:rFonts w:ascii="Arial" w:hAnsi="Arial" w:cs="Arial"/>
        </w:rPr>
        <w:t xml:space="preserve">standstill, the </w:t>
      </w:r>
      <w:r w:rsidR="00CA2E43">
        <w:rPr>
          <w:rFonts w:ascii="Arial" w:hAnsi="Arial" w:cs="Arial"/>
        </w:rPr>
        <w:t>shareholder lends the company EUR 10 million. It is unclear whether this is agreed with the other creditors</w:t>
      </w:r>
      <w:r w:rsidR="00726E54">
        <w:rPr>
          <w:rFonts w:ascii="Arial" w:hAnsi="Arial" w:cs="Arial"/>
        </w:rPr>
        <w:t xml:space="preserve"> and</w:t>
      </w:r>
      <w:r w:rsidR="00837F19">
        <w:rPr>
          <w:rFonts w:ascii="Arial" w:hAnsi="Arial" w:cs="Arial"/>
        </w:rPr>
        <w:t xml:space="preserve"> could be problematic. </w:t>
      </w:r>
      <w:r w:rsidR="00366A08">
        <w:rPr>
          <w:rFonts w:ascii="Arial" w:hAnsi="Arial" w:cs="Arial"/>
        </w:rPr>
        <w:t xml:space="preserve">The debtor also makes a series of announcements about increased losses via press release after the informal and formal standstills are </w:t>
      </w:r>
      <w:r w:rsidR="00B4139E">
        <w:rPr>
          <w:rFonts w:ascii="Arial" w:hAnsi="Arial" w:cs="Arial"/>
        </w:rPr>
        <w:t xml:space="preserve">agreed. Again, it is not clear whether the creditors are aware </w:t>
      </w:r>
      <w:r w:rsidR="0078615B">
        <w:rPr>
          <w:rFonts w:ascii="Arial" w:hAnsi="Arial" w:cs="Arial"/>
        </w:rPr>
        <w:t>that these announcements will be made</w:t>
      </w:r>
      <w:r w:rsidR="00726E54">
        <w:rPr>
          <w:rFonts w:ascii="Arial" w:hAnsi="Arial" w:cs="Arial"/>
        </w:rPr>
        <w:t xml:space="preserve"> beforehand</w:t>
      </w:r>
      <w:r w:rsidR="0078615B">
        <w:rPr>
          <w:rFonts w:ascii="Arial" w:hAnsi="Arial" w:cs="Arial"/>
        </w:rPr>
        <w:t xml:space="preserve"> – but they </w:t>
      </w:r>
      <w:r w:rsidR="00726E54">
        <w:rPr>
          <w:rFonts w:ascii="Arial" w:hAnsi="Arial" w:cs="Arial"/>
        </w:rPr>
        <w:t>do</w:t>
      </w:r>
      <w:r w:rsidR="0078615B">
        <w:rPr>
          <w:rFonts w:ascii="Arial" w:hAnsi="Arial" w:cs="Arial"/>
        </w:rPr>
        <w:t xml:space="preserve"> seem surprised about the</w:t>
      </w:r>
      <w:r w:rsidR="00B67617">
        <w:rPr>
          <w:rFonts w:ascii="Arial" w:hAnsi="Arial" w:cs="Arial"/>
        </w:rPr>
        <w:t xml:space="preserve"> constant</w:t>
      </w:r>
      <w:r w:rsidR="0078615B">
        <w:rPr>
          <w:rFonts w:ascii="Arial" w:hAnsi="Arial" w:cs="Arial"/>
        </w:rPr>
        <w:t xml:space="preserve"> changing information.</w:t>
      </w:r>
    </w:p>
    <w:p w14:paraId="4D219DE7" w14:textId="1DB376CB" w:rsidR="00E52A8F" w:rsidRDefault="00E52A8F" w:rsidP="002D2DAD">
      <w:pPr>
        <w:autoSpaceDE w:val="0"/>
        <w:autoSpaceDN w:val="0"/>
        <w:adjustRightInd w:val="0"/>
        <w:spacing w:after="0" w:line="240" w:lineRule="auto"/>
        <w:rPr>
          <w:rFonts w:ascii="Arial" w:hAnsi="Arial" w:cs="Arial"/>
        </w:rPr>
      </w:pPr>
    </w:p>
    <w:p w14:paraId="08E1155A" w14:textId="31377E4A" w:rsidR="00E52A8F" w:rsidRPr="00E52A8F" w:rsidRDefault="00E52A8F" w:rsidP="00E52A8F">
      <w:pPr>
        <w:pStyle w:val="ListParagraph"/>
        <w:numPr>
          <w:ilvl w:val="0"/>
          <w:numId w:val="6"/>
        </w:numPr>
        <w:autoSpaceDE w:val="0"/>
        <w:autoSpaceDN w:val="0"/>
        <w:adjustRightInd w:val="0"/>
        <w:spacing w:after="0" w:line="240" w:lineRule="auto"/>
        <w:rPr>
          <w:rFonts w:ascii="Arial" w:hAnsi="Arial" w:cs="Arial"/>
          <w:u w:val="single"/>
        </w:rPr>
      </w:pPr>
      <w:r w:rsidRPr="00E52A8F">
        <w:rPr>
          <w:rFonts w:ascii="Arial" w:hAnsi="Arial" w:cs="Arial"/>
          <w:u w:val="single"/>
        </w:rPr>
        <w:t>Fourth Principle</w:t>
      </w:r>
    </w:p>
    <w:p w14:paraId="38F4A796" w14:textId="77777777" w:rsidR="00E52A8F" w:rsidRPr="00E52A8F" w:rsidRDefault="00E52A8F" w:rsidP="00E52A8F">
      <w:pPr>
        <w:autoSpaceDE w:val="0"/>
        <w:autoSpaceDN w:val="0"/>
        <w:adjustRightInd w:val="0"/>
        <w:spacing w:after="0" w:line="240" w:lineRule="auto"/>
        <w:rPr>
          <w:rFonts w:ascii="Arial" w:hAnsi="Arial" w:cs="Arial"/>
        </w:rPr>
      </w:pPr>
    </w:p>
    <w:p w14:paraId="18770BE9" w14:textId="63464AE7" w:rsidR="00405F86" w:rsidRDefault="00C30B6F" w:rsidP="002D2DAD">
      <w:pPr>
        <w:autoSpaceDE w:val="0"/>
        <w:autoSpaceDN w:val="0"/>
        <w:adjustRightInd w:val="0"/>
        <w:spacing w:after="0" w:line="240" w:lineRule="auto"/>
        <w:rPr>
          <w:rFonts w:ascii="Arial" w:hAnsi="Arial" w:cs="Arial"/>
        </w:rPr>
      </w:pPr>
      <w:r>
        <w:rPr>
          <w:rFonts w:ascii="Arial" w:hAnsi="Arial" w:cs="Arial"/>
        </w:rPr>
        <w:t xml:space="preserve">Although the Banks seem somewhat coordinated (see answer in First Principle), it is not clear whether a </w:t>
      </w:r>
      <w:r w:rsidR="00F84DDF">
        <w:rPr>
          <w:rFonts w:ascii="Arial" w:hAnsi="Arial" w:cs="Arial"/>
        </w:rPr>
        <w:t xml:space="preserve">coordinator has been appointed or a </w:t>
      </w:r>
      <w:r>
        <w:rPr>
          <w:rFonts w:ascii="Arial" w:hAnsi="Arial" w:cs="Arial"/>
        </w:rPr>
        <w:t xml:space="preserve">coordination committee has been created. </w:t>
      </w:r>
      <w:r w:rsidR="00F84DDF">
        <w:rPr>
          <w:rFonts w:ascii="Arial" w:hAnsi="Arial" w:cs="Arial"/>
        </w:rPr>
        <w:t xml:space="preserve">If there are not many more creditors, it may be too much </w:t>
      </w:r>
      <w:r w:rsidR="00B67617">
        <w:rPr>
          <w:rFonts w:ascii="Arial" w:hAnsi="Arial" w:cs="Arial"/>
        </w:rPr>
        <w:t xml:space="preserve">trouble </w:t>
      </w:r>
      <w:r w:rsidR="00F84DDF">
        <w:rPr>
          <w:rFonts w:ascii="Arial" w:hAnsi="Arial" w:cs="Arial"/>
        </w:rPr>
        <w:t>to have a committee. However, a coordinator could assist in gathering information and sharing it with the other creditors.</w:t>
      </w:r>
      <w:r w:rsidR="002F3AC4">
        <w:rPr>
          <w:rFonts w:ascii="Arial" w:hAnsi="Arial" w:cs="Arial"/>
        </w:rPr>
        <w:t xml:space="preserve"> It could be that Bank A acts partially as a coordinator </w:t>
      </w:r>
      <w:r w:rsidR="00FD7D35">
        <w:rPr>
          <w:rFonts w:ascii="Arial" w:hAnsi="Arial" w:cs="Arial"/>
        </w:rPr>
        <w:t xml:space="preserve">because the case states that they instigate the </w:t>
      </w:r>
      <w:r w:rsidR="00527AEA">
        <w:rPr>
          <w:rFonts w:ascii="Arial" w:hAnsi="Arial" w:cs="Arial"/>
        </w:rPr>
        <w:t>appointment of the CRO. Lastly, a</w:t>
      </w:r>
      <w:r>
        <w:rPr>
          <w:rFonts w:ascii="Arial" w:hAnsi="Arial" w:cs="Arial"/>
        </w:rPr>
        <w:t xml:space="preserve">n independent turnaround consultancy agency is appointed </w:t>
      </w:r>
      <w:r w:rsidR="00AC1584">
        <w:rPr>
          <w:rFonts w:ascii="Arial" w:hAnsi="Arial" w:cs="Arial"/>
        </w:rPr>
        <w:t xml:space="preserve">in late 2013 </w:t>
      </w:r>
      <w:r>
        <w:rPr>
          <w:rFonts w:ascii="Arial" w:hAnsi="Arial" w:cs="Arial"/>
        </w:rPr>
        <w:t>to provide a report on whether the company is viable – it is not clear whether the Banks have appointed them</w:t>
      </w:r>
      <w:r w:rsidR="00F84DDF">
        <w:rPr>
          <w:rFonts w:ascii="Arial" w:hAnsi="Arial" w:cs="Arial"/>
        </w:rPr>
        <w:t xml:space="preserve"> and if they report to everyone or to an individual party</w:t>
      </w:r>
      <w:r>
        <w:rPr>
          <w:rFonts w:ascii="Arial" w:hAnsi="Arial" w:cs="Arial"/>
        </w:rPr>
        <w:t xml:space="preserve">. </w:t>
      </w:r>
    </w:p>
    <w:p w14:paraId="282EC6BF" w14:textId="77777777" w:rsidR="00C30B6F" w:rsidRDefault="00C30B6F" w:rsidP="002D2DAD">
      <w:pPr>
        <w:autoSpaceDE w:val="0"/>
        <w:autoSpaceDN w:val="0"/>
        <w:adjustRightInd w:val="0"/>
        <w:spacing w:after="0" w:line="240" w:lineRule="auto"/>
        <w:rPr>
          <w:rFonts w:ascii="Arial" w:hAnsi="Arial" w:cs="Arial"/>
        </w:rPr>
      </w:pPr>
    </w:p>
    <w:p w14:paraId="54AD5208" w14:textId="6BF31716" w:rsidR="005912E8" w:rsidRPr="0060118B" w:rsidRDefault="0060118B" w:rsidP="0060118B">
      <w:pPr>
        <w:pStyle w:val="ListParagraph"/>
        <w:numPr>
          <w:ilvl w:val="0"/>
          <w:numId w:val="6"/>
        </w:numPr>
        <w:autoSpaceDE w:val="0"/>
        <w:autoSpaceDN w:val="0"/>
        <w:adjustRightInd w:val="0"/>
        <w:spacing w:after="0" w:line="240" w:lineRule="auto"/>
        <w:rPr>
          <w:rFonts w:ascii="Arial" w:hAnsi="Arial" w:cs="Arial"/>
          <w:u w:val="single"/>
        </w:rPr>
      </w:pPr>
      <w:r w:rsidRPr="0060118B">
        <w:rPr>
          <w:rFonts w:ascii="Arial" w:hAnsi="Arial" w:cs="Arial"/>
          <w:u w:val="single"/>
        </w:rPr>
        <w:t>Fifth Principle</w:t>
      </w:r>
    </w:p>
    <w:p w14:paraId="67C99489" w14:textId="34F49B7C" w:rsidR="0060118B" w:rsidRDefault="0060118B" w:rsidP="0060118B">
      <w:pPr>
        <w:autoSpaceDE w:val="0"/>
        <w:autoSpaceDN w:val="0"/>
        <w:adjustRightInd w:val="0"/>
        <w:spacing w:after="0" w:line="240" w:lineRule="auto"/>
        <w:rPr>
          <w:rFonts w:ascii="Arial" w:hAnsi="Arial" w:cs="Arial"/>
        </w:rPr>
      </w:pPr>
    </w:p>
    <w:p w14:paraId="67DD34AF" w14:textId="529C3160" w:rsidR="002E6B83" w:rsidRDefault="0060118B" w:rsidP="0060118B">
      <w:pPr>
        <w:autoSpaceDE w:val="0"/>
        <w:autoSpaceDN w:val="0"/>
        <w:adjustRightInd w:val="0"/>
        <w:spacing w:after="0" w:line="240" w:lineRule="auto"/>
        <w:rPr>
          <w:rFonts w:ascii="Arial" w:hAnsi="Arial" w:cs="Arial"/>
        </w:rPr>
      </w:pPr>
      <w:r>
        <w:rPr>
          <w:rFonts w:ascii="Arial" w:hAnsi="Arial" w:cs="Arial"/>
        </w:rPr>
        <w:t>The</w:t>
      </w:r>
      <w:r w:rsidR="00595033">
        <w:rPr>
          <w:rFonts w:ascii="Arial" w:hAnsi="Arial" w:cs="Arial"/>
        </w:rPr>
        <w:t>re does not seem to be any formal process with</w:t>
      </w:r>
      <w:r>
        <w:rPr>
          <w:rFonts w:ascii="Arial" w:hAnsi="Arial" w:cs="Arial"/>
        </w:rPr>
        <w:t xml:space="preserve"> creditors’ access to</w:t>
      </w:r>
      <w:r w:rsidR="00595033">
        <w:rPr>
          <w:rFonts w:ascii="Arial" w:hAnsi="Arial" w:cs="Arial"/>
        </w:rPr>
        <w:t xml:space="preserve"> information about the debtor. However, there is an issue with the accuracy of information provided by the company to the creditors</w:t>
      </w:r>
      <w:r w:rsidR="002E6B83">
        <w:rPr>
          <w:rFonts w:ascii="Arial" w:hAnsi="Arial" w:cs="Arial"/>
        </w:rPr>
        <w:t xml:space="preserve"> prior to the formal standstill agreement</w:t>
      </w:r>
      <w:r w:rsidR="00595033">
        <w:rPr>
          <w:rFonts w:ascii="Arial" w:hAnsi="Arial" w:cs="Arial"/>
        </w:rPr>
        <w:t>. In August 2014, the banks state that they “are not happy with the constant changing information given by the company.” This continues after the standstill agreement is signed</w:t>
      </w:r>
      <w:r w:rsidR="002E6B83">
        <w:rPr>
          <w:rFonts w:ascii="Arial" w:hAnsi="Arial" w:cs="Arial"/>
        </w:rPr>
        <w:t xml:space="preserve"> in October 2014, as losses continue to rise the forecasts still seem to be inaccurate.</w:t>
      </w:r>
      <w:r w:rsidR="00FC1992">
        <w:rPr>
          <w:rFonts w:ascii="Arial" w:hAnsi="Arial" w:cs="Arial"/>
        </w:rPr>
        <w:t xml:space="preserve"> </w:t>
      </w:r>
      <w:r w:rsidR="00C85FF9">
        <w:rPr>
          <w:rFonts w:ascii="Arial" w:hAnsi="Arial" w:cs="Arial"/>
        </w:rPr>
        <w:t xml:space="preserve">The </w:t>
      </w:r>
      <w:r w:rsidR="002A2061">
        <w:rPr>
          <w:rFonts w:ascii="Arial" w:hAnsi="Arial" w:cs="Arial"/>
        </w:rPr>
        <w:t>final report of the turnaround company is also not mentioned in the case study</w:t>
      </w:r>
      <w:r w:rsidR="0052327A">
        <w:rPr>
          <w:rFonts w:ascii="Arial" w:hAnsi="Arial" w:cs="Arial"/>
        </w:rPr>
        <w:t xml:space="preserve"> – it is unclear whether the information was provided to the banks to have their own advisors review it.</w:t>
      </w:r>
      <w:r w:rsidR="001403FF">
        <w:rPr>
          <w:rFonts w:ascii="Arial" w:hAnsi="Arial" w:cs="Arial"/>
        </w:rPr>
        <w:t xml:space="preserve"> Lastly, the press releases discussed above also seem problematic in that </w:t>
      </w:r>
      <w:r w:rsidR="00B86420">
        <w:rPr>
          <w:rFonts w:ascii="Arial" w:hAnsi="Arial" w:cs="Arial"/>
        </w:rPr>
        <w:t xml:space="preserve">information about the state of the company </w:t>
      </w:r>
      <w:r w:rsidR="00C419E0">
        <w:rPr>
          <w:rFonts w:ascii="Arial" w:hAnsi="Arial" w:cs="Arial"/>
        </w:rPr>
        <w:t>seems to be communicated via press release</w:t>
      </w:r>
      <w:r w:rsidR="00D00C3D">
        <w:rPr>
          <w:rFonts w:ascii="Arial" w:hAnsi="Arial" w:cs="Arial"/>
        </w:rPr>
        <w:t>.  It is not clear whether the banks are informed before the press releases are sent out.</w:t>
      </w:r>
    </w:p>
    <w:p w14:paraId="2FDADE1F" w14:textId="77777777" w:rsidR="00405D82" w:rsidRDefault="00405D82" w:rsidP="0060118B">
      <w:pPr>
        <w:autoSpaceDE w:val="0"/>
        <w:autoSpaceDN w:val="0"/>
        <w:adjustRightInd w:val="0"/>
        <w:spacing w:after="0" w:line="240" w:lineRule="auto"/>
        <w:rPr>
          <w:rFonts w:ascii="Arial" w:hAnsi="Arial" w:cs="Arial"/>
        </w:rPr>
      </w:pPr>
    </w:p>
    <w:p w14:paraId="56F61C52" w14:textId="77777777" w:rsidR="002E6B83" w:rsidRPr="002E6B83" w:rsidRDefault="002E6B83" w:rsidP="002E6B83">
      <w:pPr>
        <w:pStyle w:val="ListParagraph"/>
        <w:numPr>
          <w:ilvl w:val="0"/>
          <w:numId w:val="6"/>
        </w:numPr>
        <w:autoSpaceDE w:val="0"/>
        <w:autoSpaceDN w:val="0"/>
        <w:adjustRightInd w:val="0"/>
        <w:spacing w:after="0" w:line="240" w:lineRule="auto"/>
        <w:rPr>
          <w:rFonts w:ascii="Arial" w:hAnsi="Arial" w:cs="Arial"/>
          <w:u w:val="single"/>
        </w:rPr>
      </w:pPr>
      <w:r w:rsidRPr="002E6B83">
        <w:rPr>
          <w:rFonts w:ascii="Arial" w:hAnsi="Arial" w:cs="Arial"/>
          <w:u w:val="single"/>
        </w:rPr>
        <w:t>Sixth Principle</w:t>
      </w:r>
    </w:p>
    <w:p w14:paraId="26FDA0F7" w14:textId="0BF5276C" w:rsidR="0060118B" w:rsidRPr="002E6B83" w:rsidRDefault="002E6B83" w:rsidP="002E6B83">
      <w:pPr>
        <w:autoSpaceDE w:val="0"/>
        <w:autoSpaceDN w:val="0"/>
        <w:adjustRightInd w:val="0"/>
        <w:spacing w:after="0" w:line="240" w:lineRule="auto"/>
        <w:rPr>
          <w:rFonts w:ascii="Arial" w:hAnsi="Arial" w:cs="Arial"/>
        </w:rPr>
      </w:pPr>
      <w:r w:rsidRPr="002E6B83">
        <w:rPr>
          <w:rFonts w:ascii="Arial" w:hAnsi="Arial" w:cs="Arial"/>
        </w:rPr>
        <w:t xml:space="preserve">  </w:t>
      </w:r>
    </w:p>
    <w:p w14:paraId="1F29CD76" w14:textId="614327D3" w:rsidR="0060118B" w:rsidRDefault="00B25E25" w:rsidP="0060118B">
      <w:pPr>
        <w:autoSpaceDE w:val="0"/>
        <w:autoSpaceDN w:val="0"/>
        <w:adjustRightInd w:val="0"/>
        <w:spacing w:after="0" w:line="240" w:lineRule="auto"/>
        <w:rPr>
          <w:rFonts w:ascii="Arial" w:hAnsi="Arial" w:cs="Arial"/>
        </w:rPr>
      </w:pPr>
      <w:r>
        <w:rPr>
          <w:rFonts w:ascii="Arial" w:hAnsi="Arial" w:cs="Arial"/>
        </w:rPr>
        <w:t xml:space="preserve">There is </w:t>
      </w:r>
      <w:r w:rsidRPr="00765C10">
        <w:rPr>
          <w:rFonts w:ascii="Arial" w:hAnsi="Arial" w:cs="Arial"/>
        </w:rPr>
        <w:t>no</w:t>
      </w:r>
      <w:r w:rsidR="00765C10">
        <w:rPr>
          <w:rFonts w:ascii="Arial" w:hAnsi="Arial" w:cs="Arial"/>
        </w:rPr>
        <w:t xml:space="preserve"> explicit</w:t>
      </w:r>
      <w:r w:rsidRPr="00765C10">
        <w:rPr>
          <w:rFonts w:ascii="Arial" w:hAnsi="Arial" w:cs="Arial"/>
        </w:rPr>
        <w:t xml:space="preserve"> information</w:t>
      </w:r>
      <w:r>
        <w:rPr>
          <w:rFonts w:ascii="Arial" w:hAnsi="Arial" w:cs="Arial"/>
        </w:rPr>
        <w:t xml:space="preserve"> in the case as to whether the proposals for resolving the financial difficulties of the debtor reflect applicable law or the relative positions of the relevant creditors. Nor is there information on the insolvency models the Commentary discusses used by the turnaround consultancy to determine viability or how it is determined that a liquidation scenario will likely have low proceeds.</w:t>
      </w:r>
      <w:r w:rsidR="00B2512E">
        <w:rPr>
          <w:rFonts w:ascii="Arial" w:hAnsi="Arial" w:cs="Arial"/>
        </w:rPr>
        <w:t xml:space="preserve"> However, these could still be issues </w:t>
      </w:r>
      <w:r w:rsidR="008D7ABC">
        <w:rPr>
          <w:rFonts w:ascii="Arial" w:hAnsi="Arial" w:cs="Arial"/>
        </w:rPr>
        <w:t xml:space="preserve">with applicable law </w:t>
      </w:r>
      <w:r w:rsidR="00B2512E">
        <w:rPr>
          <w:rFonts w:ascii="Arial" w:hAnsi="Arial" w:cs="Arial"/>
        </w:rPr>
        <w:t xml:space="preserve">given the many </w:t>
      </w:r>
      <w:r w:rsidR="005C400B">
        <w:rPr>
          <w:rFonts w:ascii="Arial" w:hAnsi="Arial" w:cs="Arial"/>
        </w:rPr>
        <w:t xml:space="preserve">subsidiaries in other countries. The laws in each country could treat the </w:t>
      </w:r>
      <w:r w:rsidR="00362552">
        <w:rPr>
          <w:rFonts w:ascii="Arial" w:hAnsi="Arial" w:cs="Arial"/>
        </w:rPr>
        <w:t xml:space="preserve">standstill </w:t>
      </w:r>
      <w:r w:rsidR="00F43B0D">
        <w:rPr>
          <w:rFonts w:ascii="Arial" w:hAnsi="Arial" w:cs="Arial"/>
        </w:rPr>
        <w:t xml:space="preserve">period and </w:t>
      </w:r>
      <w:r w:rsidR="00362552">
        <w:rPr>
          <w:rFonts w:ascii="Arial" w:hAnsi="Arial" w:cs="Arial"/>
        </w:rPr>
        <w:t xml:space="preserve">agreement </w:t>
      </w:r>
      <w:r w:rsidR="00F43B0D">
        <w:rPr>
          <w:rFonts w:ascii="Arial" w:hAnsi="Arial" w:cs="Arial"/>
        </w:rPr>
        <w:t>differently</w:t>
      </w:r>
      <w:r w:rsidR="00446CD8">
        <w:rPr>
          <w:rFonts w:ascii="Arial" w:hAnsi="Arial" w:cs="Arial"/>
        </w:rPr>
        <w:t xml:space="preserve">. For example, </w:t>
      </w:r>
      <w:r w:rsidR="00F43B0D">
        <w:rPr>
          <w:rFonts w:ascii="Arial" w:hAnsi="Arial" w:cs="Arial"/>
        </w:rPr>
        <w:t>the</w:t>
      </w:r>
      <w:r w:rsidR="00446CD8">
        <w:rPr>
          <w:rFonts w:ascii="Arial" w:hAnsi="Arial" w:cs="Arial"/>
        </w:rPr>
        <w:t xml:space="preserve">re could be problems with enforcement in another jurisdiction. </w:t>
      </w:r>
      <w:r w:rsidR="00C64ED2">
        <w:rPr>
          <w:rFonts w:ascii="Arial" w:hAnsi="Arial" w:cs="Arial"/>
        </w:rPr>
        <w:t xml:space="preserve">Lastly, determining the insolvency models may be challenging given the issues with the </w:t>
      </w:r>
      <w:r w:rsidR="000966CE">
        <w:rPr>
          <w:rFonts w:ascii="Arial" w:hAnsi="Arial" w:cs="Arial"/>
        </w:rPr>
        <w:t xml:space="preserve">validity of the </w:t>
      </w:r>
      <w:r w:rsidR="00C64ED2">
        <w:rPr>
          <w:rFonts w:ascii="Arial" w:hAnsi="Arial" w:cs="Arial"/>
        </w:rPr>
        <w:t>banks</w:t>
      </w:r>
      <w:r w:rsidR="000966CE">
        <w:rPr>
          <w:rFonts w:ascii="Arial" w:hAnsi="Arial" w:cs="Arial"/>
        </w:rPr>
        <w:t>’</w:t>
      </w:r>
      <w:r w:rsidR="00C64ED2">
        <w:rPr>
          <w:rFonts w:ascii="Arial" w:hAnsi="Arial" w:cs="Arial"/>
        </w:rPr>
        <w:t xml:space="preserve"> security (pledges) and </w:t>
      </w:r>
      <w:r w:rsidR="000966CE">
        <w:rPr>
          <w:rFonts w:ascii="Arial" w:hAnsi="Arial" w:cs="Arial"/>
        </w:rPr>
        <w:t xml:space="preserve">the </w:t>
      </w:r>
      <w:r w:rsidR="003D15E0">
        <w:rPr>
          <w:rFonts w:ascii="Arial" w:hAnsi="Arial" w:cs="Arial"/>
        </w:rPr>
        <w:t>ever-changing information. Accounting assumptions and practices could also be different in the other countries.</w:t>
      </w:r>
    </w:p>
    <w:p w14:paraId="19C10A1E" w14:textId="1DADEC47" w:rsidR="00B25E25" w:rsidRDefault="00B25E25" w:rsidP="0060118B">
      <w:pPr>
        <w:autoSpaceDE w:val="0"/>
        <w:autoSpaceDN w:val="0"/>
        <w:adjustRightInd w:val="0"/>
        <w:spacing w:after="0" w:line="240" w:lineRule="auto"/>
        <w:rPr>
          <w:rFonts w:ascii="Arial" w:hAnsi="Arial" w:cs="Arial"/>
        </w:rPr>
      </w:pPr>
    </w:p>
    <w:p w14:paraId="344E2F4B" w14:textId="0B35F38D" w:rsidR="00B25E25" w:rsidRPr="00B25E25" w:rsidRDefault="00B25E25" w:rsidP="00B25E25">
      <w:pPr>
        <w:pStyle w:val="ListParagraph"/>
        <w:numPr>
          <w:ilvl w:val="0"/>
          <w:numId w:val="6"/>
        </w:numPr>
        <w:autoSpaceDE w:val="0"/>
        <w:autoSpaceDN w:val="0"/>
        <w:adjustRightInd w:val="0"/>
        <w:spacing w:after="0" w:line="240" w:lineRule="auto"/>
        <w:rPr>
          <w:rFonts w:ascii="Arial" w:hAnsi="Arial" w:cs="Arial"/>
          <w:u w:val="single"/>
        </w:rPr>
      </w:pPr>
      <w:r w:rsidRPr="00B25E25">
        <w:rPr>
          <w:rFonts w:ascii="Arial" w:hAnsi="Arial" w:cs="Arial"/>
          <w:u w:val="single"/>
        </w:rPr>
        <w:lastRenderedPageBreak/>
        <w:t>Seventh Principle</w:t>
      </w:r>
    </w:p>
    <w:p w14:paraId="2FCD14CE" w14:textId="49E61E84" w:rsidR="00B25E25" w:rsidRDefault="00B25E25" w:rsidP="00B25E25">
      <w:pPr>
        <w:autoSpaceDE w:val="0"/>
        <w:autoSpaceDN w:val="0"/>
        <w:adjustRightInd w:val="0"/>
        <w:spacing w:after="0" w:line="240" w:lineRule="auto"/>
        <w:rPr>
          <w:rFonts w:ascii="Arial" w:hAnsi="Arial" w:cs="Arial"/>
        </w:rPr>
      </w:pPr>
    </w:p>
    <w:p w14:paraId="578614BE" w14:textId="7C394B90" w:rsidR="004627EE" w:rsidRDefault="004627EE" w:rsidP="00B25E25">
      <w:pPr>
        <w:autoSpaceDE w:val="0"/>
        <w:autoSpaceDN w:val="0"/>
        <w:adjustRightInd w:val="0"/>
        <w:spacing w:after="0" w:line="240" w:lineRule="auto"/>
        <w:rPr>
          <w:rFonts w:ascii="Arial" w:hAnsi="Arial" w:cs="Arial"/>
        </w:rPr>
      </w:pPr>
      <w:r>
        <w:rPr>
          <w:rFonts w:ascii="Arial" w:hAnsi="Arial" w:cs="Arial"/>
        </w:rPr>
        <w:t xml:space="preserve">There is an issue about </w:t>
      </w:r>
      <w:r w:rsidR="00D80A72">
        <w:rPr>
          <w:rFonts w:ascii="Arial" w:hAnsi="Arial" w:cs="Arial"/>
        </w:rPr>
        <w:t xml:space="preserve">whether the information about the unexpected or more severe losses needs to be made public through press releases or if this </w:t>
      </w:r>
      <w:r w:rsidR="004918FB">
        <w:rPr>
          <w:rFonts w:ascii="Arial" w:hAnsi="Arial" w:cs="Arial"/>
        </w:rPr>
        <w:t xml:space="preserve">should </w:t>
      </w:r>
      <w:r w:rsidR="00D80A72">
        <w:rPr>
          <w:rFonts w:ascii="Arial" w:hAnsi="Arial" w:cs="Arial"/>
        </w:rPr>
        <w:t>remain confidential</w:t>
      </w:r>
      <w:r w:rsidR="004918FB">
        <w:rPr>
          <w:rFonts w:ascii="Arial" w:hAnsi="Arial" w:cs="Arial"/>
        </w:rPr>
        <w:t xml:space="preserve">. There is no mention of a formal confidentiality agreement </w:t>
      </w:r>
      <w:r w:rsidR="000962F0">
        <w:rPr>
          <w:rFonts w:ascii="Arial" w:hAnsi="Arial" w:cs="Arial"/>
        </w:rPr>
        <w:t>being entered into either, which is recommended in the Commentary.</w:t>
      </w:r>
      <w:r w:rsidR="000962F0">
        <w:rPr>
          <w:rStyle w:val="FootnoteReference"/>
          <w:rFonts w:ascii="Arial" w:hAnsi="Arial" w:cs="Arial"/>
        </w:rPr>
        <w:footnoteReference w:id="49"/>
      </w:r>
    </w:p>
    <w:p w14:paraId="170FF9AA" w14:textId="77777777" w:rsidR="004627EE" w:rsidRDefault="004627EE" w:rsidP="00B25E25">
      <w:pPr>
        <w:autoSpaceDE w:val="0"/>
        <w:autoSpaceDN w:val="0"/>
        <w:adjustRightInd w:val="0"/>
        <w:spacing w:after="0" w:line="240" w:lineRule="auto"/>
        <w:rPr>
          <w:rFonts w:ascii="Arial" w:hAnsi="Arial" w:cs="Arial"/>
        </w:rPr>
      </w:pPr>
    </w:p>
    <w:p w14:paraId="1C2D8B2B" w14:textId="13E31C09" w:rsidR="00B25E25" w:rsidRDefault="00DF79FD" w:rsidP="00B25E25">
      <w:pPr>
        <w:autoSpaceDE w:val="0"/>
        <w:autoSpaceDN w:val="0"/>
        <w:adjustRightInd w:val="0"/>
        <w:spacing w:after="0" w:line="240" w:lineRule="auto"/>
        <w:rPr>
          <w:rFonts w:ascii="Arial" w:hAnsi="Arial" w:cs="Arial"/>
        </w:rPr>
      </w:pPr>
      <w:r>
        <w:rPr>
          <w:rFonts w:ascii="Arial" w:hAnsi="Arial" w:cs="Arial"/>
        </w:rPr>
        <w:t xml:space="preserve">As discussed above, </w:t>
      </w:r>
      <w:r w:rsidR="00B25E25">
        <w:rPr>
          <w:rFonts w:ascii="Arial" w:hAnsi="Arial" w:cs="Arial"/>
        </w:rPr>
        <w:t xml:space="preserve">there are issues with the quality of information provided to the creditors. As discussed above, profit / loss estimates keep changing even after the standstill agreement is signed. </w:t>
      </w:r>
      <w:r w:rsidR="009622B9">
        <w:rPr>
          <w:rFonts w:ascii="Arial" w:hAnsi="Arial" w:cs="Arial"/>
        </w:rPr>
        <w:t>However, it seems that all the relevant creditors in the standstill receive the same information</w:t>
      </w:r>
      <w:r w:rsidR="00704734">
        <w:rPr>
          <w:rFonts w:ascii="Arial" w:hAnsi="Arial" w:cs="Arial"/>
        </w:rPr>
        <w:t xml:space="preserve"> which is recommended in the Commentary.</w:t>
      </w:r>
      <w:r w:rsidR="00704734">
        <w:rPr>
          <w:rStyle w:val="FootnoteReference"/>
          <w:rFonts w:ascii="Arial" w:hAnsi="Arial" w:cs="Arial"/>
        </w:rPr>
        <w:footnoteReference w:id="50"/>
      </w:r>
      <w:r w:rsidR="00704734">
        <w:rPr>
          <w:rFonts w:ascii="Arial" w:hAnsi="Arial" w:cs="Arial"/>
        </w:rPr>
        <w:t xml:space="preserve"> </w:t>
      </w:r>
    </w:p>
    <w:p w14:paraId="1CE01CF0" w14:textId="5CC2EE1D" w:rsidR="00A0783B" w:rsidRDefault="00A0783B" w:rsidP="00B25E25">
      <w:pPr>
        <w:autoSpaceDE w:val="0"/>
        <w:autoSpaceDN w:val="0"/>
        <w:adjustRightInd w:val="0"/>
        <w:spacing w:after="0" w:line="240" w:lineRule="auto"/>
        <w:rPr>
          <w:rFonts w:ascii="Arial" w:hAnsi="Arial" w:cs="Arial"/>
        </w:rPr>
      </w:pPr>
    </w:p>
    <w:p w14:paraId="3D35C0F3" w14:textId="224F6438" w:rsidR="00A0783B" w:rsidRPr="00A0783B" w:rsidRDefault="00A0783B" w:rsidP="00A0783B">
      <w:pPr>
        <w:pStyle w:val="ListParagraph"/>
        <w:numPr>
          <w:ilvl w:val="0"/>
          <w:numId w:val="6"/>
        </w:numPr>
        <w:autoSpaceDE w:val="0"/>
        <w:autoSpaceDN w:val="0"/>
        <w:adjustRightInd w:val="0"/>
        <w:spacing w:after="0" w:line="240" w:lineRule="auto"/>
        <w:rPr>
          <w:rFonts w:ascii="Arial" w:hAnsi="Arial" w:cs="Arial"/>
          <w:u w:val="single"/>
        </w:rPr>
      </w:pPr>
      <w:r w:rsidRPr="00A0783B">
        <w:rPr>
          <w:rFonts w:ascii="Arial" w:hAnsi="Arial" w:cs="Arial"/>
          <w:u w:val="single"/>
        </w:rPr>
        <w:t>Eighth Principle</w:t>
      </w:r>
    </w:p>
    <w:p w14:paraId="5AC47855" w14:textId="4745494A" w:rsidR="00A0783B" w:rsidRDefault="00A0783B" w:rsidP="00A0783B">
      <w:pPr>
        <w:autoSpaceDE w:val="0"/>
        <w:autoSpaceDN w:val="0"/>
        <w:adjustRightInd w:val="0"/>
        <w:spacing w:after="0" w:line="240" w:lineRule="auto"/>
        <w:rPr>
          <w:rFonts w:ascii="Arial" w:hAnsi="Arial" w:cs="Arial"/>
        </w:rPr>
      </w:pPr>
    </w:p>
    <w:p w14:paraId="481975B9" w14:textId="18325873" w:rsidR="00A0783B" w:rsidRPr="00A0783B" w:rsidRDefault="006826C6" w:rsidP="00A0783B">
      <w:pPr>
        <w:autoSpaceDE w:val="0"/>
        <w:autoSpaceDN w:val="0"/>
        <w:adjustRightInd w:val="0"/>
        <w:spacing w:after="0" w:line="240" w:lineRule="auto"/>
        <w:rPr>
          <w:rFonts w:ascii="Arial" w:hAnsi="Arial" w:cs="Arial"/>
        </w:rPr>
      </w:pPr>
      <w:r>
        <w:rPr>
          <w:rFonts w:ascii="Arial" w:hAnsi="Arial" w:cs="Arial"/>
        </w:rPr>
        <w:t>The only party mentioned who is willing to provide new money</w:t>
      </w:r>
      <w:r w:rsidR="009D4B22">
        <w:rPr>
          <w:rFonts w:ascii="Arial" w:hAnsi="Arial" w:cs="Arial"/>
        </w:rPr>
        <w:t xml:space="preserve"> during the informal and formal standstill</w:t>
      </w:r>
      <w:r>
        <w:rPr>
          <w:rFonts w:ascii="Arial" w:hAnsi="Arial" w:cs="Arial"/>
        </w:rPr>
        <w:t xml:space="preserve"> is the </w:t>
      </w:r>
      <w:r w:rsidR="0012294A">
        <w:rPr>
          <w:rFonts w:ascii="Arial" w:hAnsi="Arial" w:cs="Arial"/>
        </w:rPr>
        <w:t xml:space="preserve">shareholder of Flow Management Holding BV. </w:t>
      </w:r>
      <w:r w:rsidR="00D85528">
        <w:rPr>
          <w:rFonts w:ascii="Arial" w:hAnsi="Arial" w:cs="Arial"/>
        </w:rPr>
        <w:t xml:space="preserve">The loan is provided on an unsecured basis </w:t>
      </w:r>
      <w:r w:rsidR="0030381A">
        <w:rPr>
          <w:rFonts w:ascii="Arial" w:hAnsi="Arial" w:cs="Arial"/>
        </w:rPr>
        <w:t xml:space="preserve">with interest obligations being added to the principal sum of the loan. </w:t>
      </w:r>
      <w:r w:rsidR="00033AE7">
        <w:rPr>
          <w:rFonts w:ascii="Arial" w:hAnsi="Arial" w:cs="Arial"/>
        </w:rPr>
        <w:t xml:space="preserve">No information about priority is </w:t>
      </w:r>
      <w:r w:rsidR="00784FC7">
        <w:rPr>
          <w:rFonts w:ascii="Arial" w:hAnsi="Arial" w:cs="Arial"/>
        </w:rPr>
        <w:t>provide but</w:t>
      </w:r>
      <w:r w:rsidR="00033AE7">
        <w:rPr>
          <w:rFonts w:ascii="Arial" w:hAnsi="Arial" w:cs="Arial"/>
        </w:rPr>
        <w:t xml:space="preserve"> g</w:t>
      </w:r>
      <w:r w:rsidR="00B40F3D">
        <w:rPr>
          <w:rFonts w:ascii="Arial" w:hAnsi="Arial" w:cs="Arial"/>
        </w:rPr>
        <w:t>iven that it is provided on an unsecured basis</w:t>
      </w:r>
      <w:r w:rsidR="00033AE7">
        <w:rPr>
          <w:rFonts w:ascii="Arial" w:hAnsi="Arial" w:cs="Arial"/>
        </w:rPr>
        <w:t xml:space="preserve"> from the shareholder, it likely does not </w:t>
      </w:r>
      <w:r w:rsidR="00C506F4">
        <w:rPr>
          <w:rFonts w:ascii="Arial" w:hAnsi="Arial" w:cs="Arial"/>
        </w:rPr>
        <w:t xml:space="preserve">have any priority over the existing </w:t>
      </w:r>
      <w:r w:rsidR="00DB6FE2">
        <w:rPr>
          <w:rFonts w:ascii="Arial" w:hAnsi="Arial" w:cs="Arial"/>
        </w:rPr>
        <w:t>debt which has security attached to it.</w:t>
      </w:r>
      <w:r w:rsidR="00033AE7">
        <w:rPr>
          <w:rFonts w:ascii="Arial" w:hAnsi="Arial" w:cs="Arial"/>
        </w:rPr>
        <w:t xml:space="preserve"> </w:t>
      </w:r>
    </w:p>
    <w:p w14:paraId="4E93AD7A" w14:textId="77777777" w:rsidR="002D2DAD" w:rsidRPr="002D2DAD" w:rsidRDefault="002D2DAD" w:rsidP="002D2DAD">
      <w:pPr>
        <w:autoSpaceDE w:val="0"/>
        <w:autoSpaceDN w:val="0"/>
        <w:adjustRightInd w:val="0"/>
        <w:spacing w:after="0" w:line="240" w:lineRule="auto"/>
        <w:rPr>
          <w:rFonts w:ascii="Arial" w:hAnsi="Arial" w:cs="Arial"/>
        </w:rPr>
      </w:pPr>
    </w:p>
    <w:p w14:paraId="731A851F" w14:textId="61583334" w:rsidR="00011126" w:rsidRPr="00077882" w:rsidRDefault="00011126" w:rsidP="00011126">
      <w:pPr>
        <w:pStyle w:val="ListParagraph"/>
        <w:numPr>
          <w:ilvl w:val="0"/>
          <w:numId w:val="1"/>
        </w:numPr>
        <w:autoSpaceDE w:val="0"/>
        <w:autoSpaceDN w:val="0"/>
        <w:adjustRightInd w:val="0"/>
        <w:spacing w:after="0" w:line="240" w:lineRule="auto"/>
        <w:rPr>
          <w:rFonts w:ascii="Arial" w:hAnsi="Arial" w:cs="Arial"/>
          <w:b/>
          <w:bCs/>
        </w:rPr>
      </w:pPr>
      <w:r w:rsidRPr="00077882">
        <w:rPr>
          <w:rFonts w:ascii="Arial" w:hAnsi="Arial" w:cs="Arial"/>
          <w:b/>
          <w:bCs/>
        </w:rPr>
        <w:t xml:space="preserve">Suppose it is not possible to convince other creditors to adopt the Statement of Principles </w:t>
      </w:r>
      <w:proofErr w:type="gramStart"/>
      <w:r w:rsidRPr="00077882">
        <w:rPr>
          <w:rFonts w:ascii="Arial" w:hAnsi="Arial" w:cs="Arial"/>
          <w:b/>
          <w:bCs/>
        </w:rPr>
        <w:t>in a given</w:t>
      </w:r>
      <w:proofErr w:type="gramEnd"/>
      <w:r w:rsidRPr="00077882">
        <w:rPr>
          <w:rFonts w:ascii="Arial" w:hAnsi="Arial" w:cs="Arial"/>
          <w:b/>
          <w:bCs/>
        </w:rPr>
        <w:t xml:space="preserve"> situation, are there any other possibilities for “soft law” to use (perhaps specifically in your</w:t>
      </w:r>
      <w:r w:rsidR="001B4306" w:rsidRPr="00077882">
        <w:rPr>
          <w:rFonts w:ascii="Arial" w:hAnsi="Arial" w:cs="Arial"/>
          <w:b/>
          <w:bCs/>
        </w:rPr>
        <w:t xml:space="preserve"> </w:t>
      </w:r>
      <w:r w:rsidRPr="00077882">
        <w:rPr>
          <w:rFonts w:ascii="Arial" w:hAnsi="Arial" w:cs="Arial"/>
          <w:b/>
          <w:bCs/>
        </w:rPr>
        <w:t xml:space="preserve">country/region)? </w:t>
      </w:r>
      <w:r w:rsidRPr="005E5563">
        <w:rPr>
          <w:rFonts w:ascii="Arial" w:hAnsi="Arial" w:cs="Arial"/>
          <w:b/>
          <w:bCs/>
        </w:rPr>
        <w:t>If yes, explain in what way. If not, do you see any alternative (informal)</w:t>
      </w:r>
      <w:r w:rsidR="001B4306" w:rsidRPr="005E5563">
        <w:rPr>
          <w:rFonts w:ascii="Arial" w:hAnsi="Arial" w:cs="Arial"/>
          <w:b/>
          <w:bCs/>
        </w:rPr>
        <w:t xml:space="preserve"> </w:t>
      </w:r>
      <w:r w:rsidRPr="005E5563">
        <w:rPr>
          <w:rFonts w:ascii="Arial" w:hAnsi="Arial" w:cs="Arial"/>
          <w:b/>
          <w:bCs/>
        </w:rPr>
        <w:t>possibilities?</w:t>
      </w:r>
    </w:p>
    <w:p w14:paraId="0FB134B9" w14:textId="1589500C" w:rsidR="00077882" w:rsidRDefault="00077882" w:rsidP="00077882">
      <w:pPr>
        <w:autoSpaceDE w:val="0"/>
        <w:autoSpaceDN w:val="0"/>
        <w:adjustRightInd w:val="0"/>
        <w:spacing w:after="0" w:line="240" w:lineRule="auto"/>
        <w:rPr>
          <w:rFonts w:ascii="Arial" w:hAnsi="Arial" w:cs="Arial"/>
        </w:rPr>
      </w:pPr>
    </w:p>
    <w:p w14:paraId="29CE467B" w14:textId="5D0BA379" w:rsidR="006A4413" w:rsidRDefault="006A4413" w:rsidP="00077882">
      <w:pPr>
        <w:autoSpaceDE w:val="0"/>
        <w:autoSpaceDN w:val="0"/>
        <w:adjustRightInd w:val="0"/>
        <w:spacing w:after="0" w:line="240" w:lineRule="auto"/>
        <w:rPr>
          <w:rFonts w:ascii="Arial" w:hAnsi="Arial" w:cs="Arial"/>
        </w:rPr>
      </w:pPr>
      <w:r>
        <w:rPr>
          <w:rFonts w:ascii="Arial" w:hAnsi="Arial" w:cs="Arial"/>
        </w:rPr>
        <w:t xml:space="preserve">Soft law, like the INSOL Statement of Principles, </w:t>
      </w:r>
      <w:r w:rsidR="00FC6C6E">
        <w:rPr>
          <w:rFonts w:ascii="Arial" w:hAnsi="Arial" w:cs="Arial"/>
        </w:rPr>
        <w:t>can be defined as</w:t>
      </w:r>
      <w:r>
        <w:rPr>
          <w:rFonts w:ascii="Arial" w:hAnsi="Arial" w:cs="Arial"/>
        </w:rPr>
        <w:t xml:space="preserve"> “</w:t>
      </w:r>
      <w:r w:rsidRPr="006A4413">
        <w:rPr>
          <w:rFonts w:ascii="Arial" w:hAnsi="Arial" w:cs="Arial" w:hint="cs"/>
        </w:rPr>
        <w:t>legally non-binding texts, often originat</w:t>
      </w:r>
      <w:r w:rsidR="00FC6C6E">
        <w:rPr>
          <w:rFonts w:ascii="Arial" w:hAnsi="Arial" w:cs="Arial"/>
        </w:rPr>
        <w:t>[ing]</w:t>
      </w:r>
      <w:r w:rsidRPr="006A4413">
        <w:rPr>
          <w:rFonts w:ascii="Arial" w:hAnsi="Arial" w:cs="Arial" w:hint="cs"/>
        </w:rPr>
        <w:t xml:space="preserve"> from so-called standard-setting organisations.</w:t>
      </w:r>
      <w:r w:rsidR="00A54ABF">
        <w:rPr>
          <w:rFonts w:ascii="Arial" w:hAnsi="Arial" w:cs="Arial"/>
        </w:rPr>
        <w:t>”</w:t>
      </w:r>
      <w:r w:rsidR="00A54ABF">
        <w:rPr>
          <w:rStyle w:val="FootnoteReference"/>
          <w:rFonts w:ascii="Arial" w:hAnsi="Arial" w:cs="Arial"/>
        </w:rPr>
        <w:footnoteReference w:id="51"/>
      </w:r>
      <w:r w:rsidR="009E1805">
        <w:rPr>
          <w:rFonts w:ascii="Arial" w:hAnsi="Arial" w:cs="Arial"/>
        </w:rPr>
        <w:t xml:space="preserve"> </w:t>
      </w:r>
      <w:r w:rsidR="009D2338">
        <w:rPr>
          <w:rFonts w:ascii="Arial" w:hAnsi="Arial" w:cs="Arial"/>
        </w:rPr>
        <w:t>This includes t</w:t>
      </w:r>
      <w:r w:rsidR="00F50092">
        <w:rPr>
          <w:rFonts w:ascii="Arial" w:hAnsi="Arial" w:cs="Arial"/>
        </w:rPr>
        <w:t xml:space="preserve">he </w:t>
      </w:r>
      <w:r w:rsidR="0008696C">
        <w:rPr>
          <w:rFonts w:ascii="Arial" w:hAnsi="Arial" w:cs="Arial"/>
        </w:rPr>
        <w:t>insolvency-related texts from the two international standard setters for insolvency and creditor/debtor regimes (as designated by the Financial Stability Board</w:t>
      </w:r>
      <w:r w:rsidR="0021230D">
        <w:rPr>
          <w:rStyle w:val="FootnoteReference"/>
          <w:rFonts w:ascii="Arial" w:hAnsi="Arial" w:cs="Arial"/>
        </w:rPr>
        <w:footnoteReference w:id="52"/>
      </w:r>
      <w:r w:rsidR="0008696C">
        <w:rPr>
          <w:rFonts w:ascii="Arial" w:hAnsi="Arial" w:cs="Arial"/>
        </w:rPr>
        <w:t>)</w:t>
      </w:r>
      <w:r w:rsidR="009D2338">
        <w:rPr>
          <w:rFonts w:ascii="Arial" w:hAnsi="Arial" w:cs="Arial"/>
        </w:rPr>
        <w:t>:</w:t>
      </w:r>
      <w:r w:rsidR="0053452C">
        <w:rPr>
          <w:rFonts w:ascii="Arial" w:hAnsi="Arial" w:cs="Arial"/>
        </w:rPr>
        <w:t xml:space="preserve"> </w:t>
      </w:r>
      <w:r w:rsidRPr="006A4413">
        <w:rPr>
          <w:rFonts w:ascii="Arial" w:hAnsi="Arial" w:cs="Arial" w:hint="cs"/>
        </w:rPr>
        <w:t>United Nations Commission on International Trade Law (UNCITRAL)</w:t>
      </w:r>
      <w:r w:rsidR="0053452C">
        <w:rPr>
          <w:rStyle w:val="FootnoteReference"/>
          <w:rFonts w:ascii="Arial" w:hAnsi="Arial" w:cs="Arial"/>
        </w:rPr>
        <w:footnoteReference w:id="53"/>
      </w:r>
      <w:r w:rsidRPr="006A4413">
        <w:rPr>
          <w:rFonts w:ascii="Arial" w:hAnsi="Arial" w:cs="Arial" w:hint="cs"/>
        </w:rPr>
        <w:t xml:space="preserve"> and the World Bank</w:t>
      </w:r>
      <w:r w:rsidR="001510B4">
        <w:rPr>
          <w:rStyle w:val="FootnoteReference"/>
          <w:rFonts w:ascii="Arial" w:hAnsi="Arial" w:cs="Arial"/>
        </w:rPr>
        <w:footnoteReference w:id="54"/>
      </w:r>
      <w:r w:rsidRPr="006A4413">
        <w:rPr>
          <w:rFonts w:ascii="Arial" w:hAnsi="Arial" w:cs="Arial" w:hint="cs"/>
        </w:rPr>
        <w:t>, as well as insolvency practitioners’ organisations, such as INSOL International</w:t>
      </w:r>
      <w:r w:rsidR="0033731B">
        <w:rPr>
          <w:rFonts w:ascii="Arial" w:hAnsi="Arial" w:cs="Arial"/>
        </w:rPr>
        <w:t>, INSOL Europe and the International Insolvency Institute</w:t>
      </w:r>
      <w:r w:rsidRPr="006A4413">
        <w:rPr>
          <w:rFonts w:ascii="Arial" w:hAnsi="Arial" w:cs="Arial" w:hint="cs"/>
        </w:rPr>
        <w:t>.</w:t>
      </w:r>
    </w:p>
    <w:p w14:paraId="774A5BBC" w14:textId="77777777" w:rsidR="0005638C" w:rsidRDefault="0005638C" w:rsidP="00077882">
      <w:pPr>
        <w:autoSpaceDE w:val="0"/>
        <w:autoSpaceDN w:val="0"/>
        <w:adjustRightInd w:val="0"/>
        <w:spacing w:after="0" w:line="240" w:lineRule="auto"/>
        <w:rPr>
          <w:rFonts w:ascii="Arial" w:hAnsi="Arial" w:cs="Arial"/>
        </w:rPr>
      </w:pPr>
    </w:p>
    <w:p w14:paraId="6FDF84E9" w14:textId="5E5E6905" w:rsidR="000E1385" w:rsidRPr="00654A82" w:rsidRDefault="00C520B7" w:rsidP="00077882">
      <w:pPr>
        <w:autoSpaceDE w:val="0"/>
        <w:autoSpaceDN w:val="0"/>
        <w:adjustRightInd w:val="0"/>
        <w:spacing w:after="0" w:line="240" w:lineRule="auto"/>
        <w:rPr>
          <w:rFonts w:ascii="Arial" w:hAnsi="Arial" w:cs="Arial"/>
        </w:rPr>
      </w:pPr>
      <w:r>
        <w:rPr>
          <w:rFonts w:ascii="Arial" w:hAnsi="Arial" w:cs="Arial"/>
        </w:rPr>
        <w:t xml:space="preserve">Given that I work in many jurisdictions, I do not have a </w:t>
      </w:r>
      <w:r w:rsidR="00155729">
        <w:rPr>
          <w:rFonts w:ascii="Arial" w:hAnsi="Arial" w:cs="Arial"/>
        </w:rPr>
        <w:t xml:space="preserve">specific </w:t>
      </w:r>
      <w:r>
        <w:rPr>
          <w:rFonts w:ascii="Arial" w:hAnsi="Arial" w:cs="Arial"/>
        </w:rPr>
        <w:t>country or region</w:t>
      </w:r>
      <w:r w:rsidR="00155729">
        <w:rPr>
          <w:rFonts w:ascii="Arial" w:hAnsi="Arial" w:cs="Arial"/>
        </w:rPr>
        <w:t xml:space="preserve">. However, there are examples of other soft law available in other regions. </w:t>
      </w:r>
      <w:r w:rsidR="00450A04">
        <w:rPr>
          <w:rFonts w:ascii="Arial" w:hAnsi="Arial" w:cs="Arial"/>
        </w:rPr>
        <w:t>For example, if the parties were in Asia</w:t>
      </w:r>
      <w:r w:rsidR="00E979B9">
        <w:rPr>
          <w:rFonts w:ascii="Arial" w:hAnsi="Arial" w:cs="Arial"/>
        </w:rPr>
        <w:t>,</w:t>
      </w:r>
      <w:r w:rsidR="00450A04">
        <w:rPr>
          <w:rFonts w:ascii="Arial" w:hAnsi="Arial" w:cs="Arial"/>
        </w:rPr>
        <w:t xml:space="preserve"> they may consider adopting the </w:t>
      </w:r>
      <w:r w:rsidR="00654A82" w:rsidRPr="00654A82">
        <w:rPr>
          <w:rFonts w:ascii="Arial" w:hAnsi="Arial" w:cs="Arial"/>
          <w:i/>
          <w:iCs/>
        </w:rPr>
        <w:t>Asian Principles of Business Restructuring</w:t>
      </w:r>
      <w:r w:rsidR="00E35F0C">
        <w:rPr>
          <w:rFonts w:ascii="Arial" w:hAnsi="Arial" w:cs="Arial"/>
        </w:rPr>
        <w:t xml:space="preserve"> (Asian Principles)</w:t>
      </w:r>
      <w:r w:rsidR="005E5563">
        <w:rPr>
          <w:rFonts w:ascii="Arial" w:hAnsi="Arial" w:cs="Arial"/>
        </w:rPr>
        <w:t>, which also comes with a Guide</w:t>
      </w:r>
      <w:r w:rsidR="00E979B9">
        <w:rPr>
          <w:rFonts w:ascii="Arial" w:hAnsi="Arial" w:cs="Arial"/>
        </w:rPr>
        <w:t xml:space="preserve">. </w:t>
      </w:r>
      <w:r w:rsidR="00051B7D">
        <w:rPr>
          <w:rFonts w:ascii="Arial" w:hAnsi="Arial" w:cs="Arial"/>
        </w:rPr>
        <w:t>The Asian Principles and Guide are a</w:t>
      </w:r>
      <w:r w:rsidR="00051B7D" w:rsidRPr="00051B7D">
        <w:rPr>
          <w:rFonts w:ascii="Arial" w:hAnsi="Arial" w:cs="Arial"/>
        </w:rPr>
        <w:t xml:space="preserve"> joint project by the International Insolvency Institute and the Asian Business Law Institute</w:t>
      </w:r>
      <w:r w:rsidR="00051B7D">
        <w:rPr>
          <w:rFonts w:ascii="Arial" w:hAnsi="Arial" w:cs="Arial"/>
        </w:rPr>
        <w:t xml:space="preserve">. </w:t>
      </w:r>
      <w:r w:rsidR="00E979B9">
        <w:rPr>
          <w:rFonts w:ascii="Arial" w:hAnsi="Arial" w:cs="Arial"/>
        </w:rPr>
        <w:t xml:space="preserve">These are </w:t>
      </w:r>
      <w:r w:rsidR="007C1A7D">
        <w:rPr>
          <w:rFonts w:ascii="Arial" w:hAnsi="Arial" w:cs="Arial"/>
        </w:rPr>
        <w:t xml:space="preserve">a set of nine </w:t>
      </w:r>
      <w:r w:rsidR="00AA49F1">
        <w:rPr>
          <w:rFonts w:ascii="Arial" w:hAnsi="Arial" w:cs="Arial"/>
        </w:rPr>
        <w:t xml:space="preserve">out-of-court consensual </w:t>
      </w:r>
      <w:r w:rsidR="00712850">
        <w:rPr>
          <w:rFonts w:ascii="Arial" w:hAnsi="Arial" w:cs="Arial"/>
        </w:rPr>
        <w:t xml:space="preserve">principles </w:t>
      </w:r>
      <w:r w:rsidR="00AA49F1">
        <w:rPr>
          <w:rFonts w:ascii="Arial" w:hAnsi="Arial" w:cs="Arial"/>
        </w:rPr>
        <w:t xml:space="preserve">which </w:t>
      </w:r>
      <w:r w:rsidR="00F76D6A">
        <w:rPr>
          <w:rFonts w:ascii="Arial" w:hAnsi="Arial" w:cs="Arial"/>
        </w:rPr>
        <w:t xml:space="preserve">can help </w:t>
      </w:r>
      <w:r w:rsidR="00E35F0C">
        <w:rPr>
          <w:rFonts w:ascii="Arial" w:hAnsi="Arial" w:cs="Arial"/>
        </w:rPr>
        <w:t xml:space="preserve">parties conduct a multi-creditor workout in Asia. The Asian Principles </w:t>
      </w:r>
      <w:r w:rsidR="005E5563">
        <w:rPr>
          <w:rFonts w:ascii="Arial" w:hAnsi="Arial" w:cs="Arial"/>
        </w:rPr>
        <w:t xml:space="preserve">and Guide </w:t>
      </w:r>
      <w:r w:rsidR="002B2F32">
        <w:rPr>
          <w:rFonts w:ascii="Arial" w:hAnsi="Arial" w:cs="Arial"/>
        </w:rPr>
        <w:t xml:space="preserve">contain elements which are specific to Asia’s cultural characteristics </w:t>
      </w:r>
      <w:r w:rsidR="00AE2837">
        <w:rPr>
          <w:rFonts w:ascii="Arial" w:hAnsi="Arial" w:cs="Arial"/>
        </w:rPr>
        <w:t xml:space="preserve">and </w:t>
      </w:r>
      <w:r w:rsidR="003451FC">
        <w:rPr>
          <w:rFonts w:ascii="Arial" w:hAnsi="Arial" w:cs="Arial"/>
        </w:rPr>
        <w:t>is a more detailed than the INSOL Principles</w:t>
      </w:r>
      <w:r w:rsidR="005E5563">
        <w:rPr>
          <w:rFonts w:ascii="Arial" w:hAnsi="Arial" w:cs="Arial"/>
        </w:rPr>
        <w:t xml:space="preserve"> and Commentary. </w:t>
      </w:r>
      <w:r w:rsidR="007C1A7D">
        <w:rPr>
          <w:rFonts w:ascii="Arial" w:hAnsi="Arial" w:cs="Arial"/>
        </w:rPr>
        <w:t xml:space="preserve">Parties may </w:t>
      </w:r>
      <w:r w:rsidR="007C1A7D">
        <w:rPr>
          <w:rFonts w:ascii="Arial" w:hAnsi="Arial" w:cs="Arial"/>
        </w:rPr>
        <w:lastRenderedPageBreak/>
        <w:t xml:space="preserve">want to adopt </w:t>
      </w:r>
      <w:r w:rsidR="00C5601B">
        <w:rPr>
          <w:rFonts w:ascii="Arial" w:hAnsi="Arial" w:cs="Arial"/>
        </w:rPr>
        <w:t>soft law which is more suited to their region – including cultural considerations and legal traditions.</w:t>
      </w:r>
    </w:p>
    <w:p w14:paraId="381CB186" w14:textId="77777777" w:rsidR="00C520B7" w:rsidRDefault="00C520B7" w:rsidP="00077882">
      <w:pPr>
        <w:autoSpaceDE w:val="0"/>
        <w:autoSpaceDN w:val="0"/>
        <w:adjustRightInd w:val="0"/>
        <w:spacing w:after="0" w:line="240" w:lineRule="auto"/>
        <w:rPr>
          <w:rFonts w:ascii="Arial" w:hAnsi="Arial" w:cs="Arial"/>
        </w:rPr>
      </w:pPr>
    </w:p>
    <w:p w14:paraId="03D3E3FB" w14:textId="77777777" w:rsidR="00CF7FF0" w:rsidRDefault="00710269" w:rsidP="00B56C33">
      <w:pPr>
        <w:autoSpaceDE w:val="0"/>
        <w:autoSpaceDN w:val="0"/>
        <w:adjustRightInd w:val="0"/>
        <w:spacing w:after="0" w:line="240" w:lineRule="auto"/>
        <w:rPr>
          <w:rFonts w:ascii="Arial" w:hAnsi="Arial" w:cs="Arial"/>
        </w:rPr>
      </w:pPr>
      <w:r>
        <w:rPr>
          <w:rFonts w:ascii="Arial" w:hAnsi="Arial" w:cs="Arial"/>
        </w:rPr>
        <w:t xml:space="preserve">Another alternative in some of the Sub-Saharan African jurisdictions I work </w:t>
      </w:r>
      <w:r w:rsidR="0097552B">
        <w:rPr>
          <w:rFonts w:ascii="Arial" w:hAnsi="Arial" w:cs="Arial"/>
        </w:rPr>
        <w:t>in,</w:t>
      </w:r>
      <w:r w:rsidR="00312D22">
        <w:rPr>
          <w:rFonts w:ascii="Arial" w:hAnsi="Arial" w:cs="Arial"/>
        </w:rPr>
        <w:t xml:space="preserve"> and many other regions</w:t>
      </w:r>
      <w:r w:rsidR="004F7F0F">
        <w:rPr>
          <w:rFonts w:ascii="Arial" w:hAnsi="Arial" w:cs="Arial"/>
        </w:rPr>
        <w:t>,</w:t>
      </w:r>
      <w:r w:rsidR="00312D22">
        <w:rPr>
          <w:rFonts w:ascii="Arial" w:hAnsi="Arial" w:cs="Arial"/>
        </w:rPr>
        <w:t xml:space="preserve"> is to use </w:t>
      </w:r>
      <w:r>
        <w:rPr>
          <w:rFonts w:ascii="Arial" w:hAnsi="Arial" w:cs="Arial"/>
        </w:rPr>
        <w:t>mediat</w:t>
      </w:r>
      <w:r w:rsidR="00312D22">
        <w:rPr>
          <w:rFonts w:ascii="Arial" w:hAnsi="Arial" w:cs="Arial"/>
        </w:rPr>
        <w:t xml:space="preserve">ors </w:t>
      </w:r>
      <w:r w:rsidR="0097552B">
        <w:rPr>
          <w:rFonts w:ascii="Arial" w:hAnsi="Arial" w:cs="Arial"/>
        </w:rPr>
        <w:t xml:space="preserve">and conciliators </w:t>
      </w:r>
      <w:r w:rsidR="00312D22">
        <w:rPr>
          <w:rFonts w:ascii="Arial" w:hAnsi="Arial" w:cs="Arial"/>
        </w:rPr>
        <w:t xml:space="preserve">to </w:t>
      </w:r>
      <w:r w:rsidR="0097552B">
        <w:rPr>
          <w:rFonts w:ascii="Arial" w:hAnsi="Arial" w:cs="Arial"/>
        </w:rPr>
        <w:t>come to a restructuring agreement</w:t>
      </w:r>
      <w:r w:rsidR="004F7F0F">
        <w:rPr>
          <w:rFonts w:ascii="Arial" w:hAnsi="Arial" w:cs="Arial"/>
        </w:rPr>
        <w:t xml:space="preserve"> and resolve debt</w:t>
      </w:r>
      <w:r>
        <w:rPr>
          <w:rFonts w:ascii="Arial" w:hAnsi="Arial" w:cs="Arial"/>
        </w:rPr>
        <w:t>.</w:t>
      </w:r>
      <w:r w:rsidR="0097552B">
        <w:rPr>
          <w:rFonts w:ascii="Arial" w:hAnsi="Arial" w:cs="Arial"/>
        </w:rPr>
        <w:t xml:space="preserve"> Some</w:t>
      </w:r>
      <w:r w:rsidR="00AB6135">
        <w:rPr>
          <w:rFonts w:ascii="Arial" w:hAnsi="Arial" w:cs="Arial"/>
        </w:rPr>
        <w:t xml:space="preserve"> methods are informal and other hybrid, with some court involvement. </w:t>
      </w:r>
      <w:r w:rsidR="002B58CF" w:rsidRPr="002B58CF">
        <w:rPr>
          <w:rFonts w:ascii="Arial" w:hAnsi="Arial" w:cs="Arial"/>
        </w:rPr>
        <w:t xml:space="preserve">The </w:t>
      </w:r>
      <w:r w:rsidR="002B58CF">
        <w:rPr>
          <w:rFonts w:ascii="Arial" w:hAnsi="Arial" w:cs="Arial"/>
        </w:rPr>
        <w:t>World Bank’s Principles</w:t>
      </w:r>
      <w:r w:rsidR="00A4358A">
        <w:rPr>
          <w:rFonts w:ascii="Arial" w:hAnsi="Arial" w:cs="Arial"/>
        </w:rPr>
        <w:t xml:space="preserve"> section on micro and small enterprise insolvency (Principle D5.4) </w:t>
      </w:r>
      <w:r w:rsidR="00F64ACB">
        <w:rPr>
          <w:rFonts w:ascii="Arial" w:hAnsi="Arial" w:cs="Arial"/>
        </w:rPr>
        <w:t>advocates for legal systems to provide for mediation, conciliation</w:t>
      </w:r>
      <w:r w:rsidR="00264CE1">
        <w:rPr>
          <w:rFonts w:ascii="Arial" w:hAnsi="Arial" w:cs="Arial"/>
        </w:rPr>
        <w:t>,</w:t>
      </w:r>
      <w:r w:rsidR="00F64ACB">
        <w:rPr>
          <w:rFonts w:ascii="Arial" w:hAnsi="Arial" w:cs="Arial"/>
        </w:rPr>
        <w:t xml:space="preserve"> and other </w:t>
      </w:r>
      <w:r w:rsidR="00264CE1">
        <w:rPr>
          <w:rFonts w:ascii="Arial" w:hAnsi="Arial" w:cs="Arial"/>
        </w:rPr>
        <w:t xml:space="preserve">alternative dispute resolution techniques. </w:t>
      </w:r>
      <w:r w:rsidR="00AB6135">
        <w:rPr>
          <w:rFonts w:ascii="Arial" w:hAnsi="Arial" w:cs="Arial"/>
        </w:rPr>
        <w:t xml:space="preserve">Cabo Verde’s Insolvency Law </w:t>
      </w:r>
      <w:r w:rsidR="00572FC4">
        <w:rPr>
          <w:rFonts w:ascii="Arial" w:hAnsi="Arial" w:cs="Arial"/>
        </w:rPr>
        <w:t xml:space="preserve">provides the framework for an out-of-court </w:t>
      </w:r>
      <w:r w:rsidR="00200B69">
        <w:rPr>
          <w:rFonts w:ascii="Arial" w:hAnsi="Arial" w:cs="Arial"/>
        </w:rPr>
        <w:t xml:space="preserve">confidential </w:t>
      </w:r>
      <w:r w:rsidR="00572FC4">
        <w:rPr>
          <w:rFonts w:ascii="Arial" w:hAnsi="Arial" w:cs="Arial"/>
        </w:rPr>
        <w:t>mediation procedure.</w:t>
      </w:r>
      <w:r w:rsidR="00572FC4">
        <w:rPr>
          <w:rStyle w:val="FootnoteReference"/>
          <w:rFonts w:ascii="Arial" w:hAnsi="Arial" w:cs="Arial"/>
        </w:rPr>
        <w:footnoteReference w:id="55"/>
      </w:r>
      <w:r w:rsidR="00E135B1">
        <w:rPr>
          <w:rFonts w:ascii="Arial" w:hAnsi="Arial" w:cs="Arial"/>
        </w:rPr>
        <w:t xml:space="preserve"> It is mostly informal</w:t>
      </w:r>
      <w:r w:rsidR="003B4F61">
        <w:rPr>
          <w:rFonts w:ascii="Arial" w:hAnsi="Arial" w:cs="Arial"/>
        </w:rPr>
        <w:t xml:space="preserve"> and </w:t>
      </w:r>
      <w:r w:rsidR="0021724D">
        <w:rPr>
          <w:rFonts w:ascii="Arial" w:hAnsi="Arial" w:cs="Arial"/>
        </w:rPr>
        <w:t>flexible but</w:t>
      </w:r>
      <w:r w:rsidR="007F2E67">
        <w:rPr>
          <w:rFonts w:ascii="Arial" w:hAnsi="Arial" w:cs="Arial"/>
        </w:rPr>
        <w:t xml:space="preserve"> does have certain prescribed </w:t>
      </w:r>
      <w:r w:rsidR="0012592B">
        <w:rPr>
          <w:rFonts w:ascii="Arial" w:hAnsi="Arial" w:cs="Arial"/>
        </w:rPr>
        <w:t>elements in the law</w:t>
      </w:r>
      <w:r w:rsidR="00DE71E9">
        <w:rPr>
          <w:rFonts w:ascii="Arial" w:hAnsi="Arial" w:cs="Arial"/>
        </w:rPr>
        <w:t xml:space="preserve">.  This include </w:t>
      </w:r>
      <w:r w:rsidR="00CD63AC">
        <w:rPr>
          <w:rFonts w:ascii="Arial" w:hAnsi="Arial" w:cs="Arial"/>
        </w:rPr>
        <w:t xml:space="preserve">general principles for </w:t>
      </w:r>
      <w:r w:rsidR="0012592B">
        <w:rPr>
          <w:rFonts w:ascii="Arial" w:hAnsi="Arial" w:cs="Arial"/>
        </w:rPr>
        <w:t xml:space="preserve">how the mediation sessions will run, </w:t>
      </w:r>
      <w:r w:rsidR="003B4F61">
        <w:rPr>
          <w:rFonts w:ascii="Arial" w:hAnsi="Arial" w:cs="Arial"/>
        </w:rPr>
        <w:t>how the process is closed</w:t>
      </w:r>
      <w:r w:rsidR="00D47A09">
        <w:rPr>
          <w:rFonts w:ascii="Arial" w:hAnsi="Arial" w:cs="Arial"/>
        </w:rPr>
        <w:t xml:space="preserve"> and the potential for the court intervention if there are problems. </w:t>
      </w:r>
      <w:r w:rsidR="001B0F08">
        <w:rPr>
          <w:rFonts w:ascii="Arial" w:hAnsi="Arial" w:cs="Arial"/>
        </w:rPr>
        <w:t xml:space="preserve">Mediation is useful to bring the parties together in a neutral </w:t>
      </w:r>
      <w:r w:rsidR="00DE71E9">
        <w:rPr>
          <w:rFonts w:ascii="Arial" w:hAnsi="Arial" w:cs="Arial"/>
        </w:rPr>
        <w:t>setting with an independent</w:t>
      </w:r>
      <w:r w:rsidR="00871606">
        <w:rPr>
          <w:rFonts w:ascii="Arial" w:hAnsi="Arial" w:cs="Arial"/>
        </w:rPr>
        <w:t xml:space="preserve"> referee</w:t>
      </w:r>
      <w:r w:rsidR="001B0F08">
        <w:rPr>
          <w:rFonts w:ascii="Arial" w:hAnsi="Arial" w:cs="Arial"/>
        </w:rPr>
        <w:t xml:space="preserve">. </w:t>
      </w:r>
      <w:r w:rsidR="00E65EE0">
        <w:rPr>
          <w:rFonts w:ascii="Arial" w:hAnsi="Arial" w:cs="Arial"/>
        </w:rPr>
        <w:t>M</w:t>
      </w:r>
      <w:r w:rsidR="001B0F08">
        <w:rPr>
          <w:rFonts w:ascii="Arial" w:hAnsi="Arial" w:cs="Arial"/>
        </w:rPr>
        <w:t xml:space="preserve">ediators </w:t>
      </w:r>
      <w:r w:rsidR="00871606">
        <w:rPr>
          <w:rFonts w:ascii="Arial" w:hAnsi="Arial" w:cs="Arial"/>
        </w:rPr>
        <w:t xml:space="preserve">in an insolvency situation </w:t>
      </w:r>
      <w:r w:rsidR="001B0F08">
        <w:rPr>
          <w:rFonts w:ascii="Arial" w:hAnsi="Arial" w:cs="Arial"/>
        </w:rPr>
        <w:t xml:space="preserve">should have specialized training in both mediation and insolvency concepts to be </w:t>
      </w:r>
      <w:r w:rsidR="0021724D">
        <w:rPr>
          <w:rFonts w:ascii="Arial" w:hAnsi="Arial" w:cs="Arial"/>
        </w:rPr>
        <w:t>effective.</w:t>
      </w:r>
      <w:r w:rsidR="00CD63AC">
        <w:rPr>
          <w:rFonts w:ascii="Arial" w:hAnsi="Arial" w:cs="Arial"/>
        </w:rPr>
        <w:t xml:space="preserve"> </w:t>
      </w:r>
    </w:p>
    <w:p w14:paraId="3E89CF5D" w14:textId="77777777" w:rsidR="00CF7FF0" w:rsidRDefault="00CF7FF0" w:rsidP="00B56C33">
      <w:pPr>
        <w:autoSpaceDE w:val="0"/>
        <w:autoSpaceDN w:val="0"/>
        <w:adjustRightInd w:val="0"/>
        <w:spacing w:after="0" w:line="240" w:lineRule="auto"/>
        <w:rPr>
          <w:rFonts w:ascii="Arial" w:hAnsi="Arial" w:cs="Arial"/>
        </w:rPr>
      </w:pPr>
    </w:p>
    <w:p w14:paraId="223EFE52" w14:textId="72DDB586" w:rsidR="00B56C33" w:rsidRDefault="00CD63AC" w:rsidP="00B56C33">
      <w:pPr>
        <w:autoSpaceDE w:val="0"/>
        <w:autoSpaceDN w:val="0"/>
        <w:adjustRightInd w:val="0"/>
        <w:spacing w:after="0" w:line="240" w:lineRule="auto"/>
        <w:rPr>
          <w:rFonts w:ascii="Arial" w:hAnsi="Arial" w:cs="Arial"/>
          <w:color w:val="717273"/>
          <w:sz w:val="16"/>
          <w:szCs w:val="16"/>
        </w:rPr>
      </w:pPr>
      <w:r>
        <w:rPr>
          <w:rFonts w:ascii="Arial" w:hAnsi="Arial" w:cs="Arial"/>
        </w:rPr>
        <w:t xml:space="preserve">A more hybrid approach is found in </w:t>
      </w:r>
      <w:r w:rsidR="00FF22A1">
        <w:rPr>
          <w:rFonts w:ascii="Arial" w:hAnsi="Arial" w:cs="Arial"/>
        </w:rPr>
        <w:t xml:space="preserve">the Organization for the Harmonization of </w:t>
      </w:r>
      <w:r w:rsidR="00B57DF9">
        <w:rPr>
          <w:rFonts w:ascii="Arial" w:hAnsi="Arial" w:cs="Arial"/>
        </w:rPr>
        <w:t>Business Law in Africa (OHADA)</w:t>
      </w:r>
      <w:r w:rsidR="00E65EE0">
        <w:rPr>
          <w:rFonts w:ascii="Arial" w:hAnsi="Arial" w:cs="Arial"/>
        </w:rPr>
        <w:t>, which</w:t>
      </w:r>
      <w:r w:rsidR="00B57DF9">
        <w:rPr>
          <w:rFonts w:ascii="Arial" w:hAnsi="Arial" w:cs="Arial"/>
        </w:rPr>
        <w:t xml:space="preserve"> has a relatively new Uniform Act on Insolvency which includes a conciliation </w:t>
      </w:r>
      <w:r w:rsidR="005D7E32">
        <w:rPr>
          <w:rFonts w:ascii="Arial" w:hAnsi="Arial" w:cs="Arial"/>
        </w:rPr>
        <w:t>technique</w:t>
      </w:r>
      <w:r w:rsidR="00B57DF9">
        <w:rPr>
          <w:rFonts w:ascii="Arial" w:hAnsi="Arial" w:cs="Arial"/>
        </w:rPr>
        <w:t xml:space="preserve"> similar to the French procedure.</w:t>
      </w:r>
      <w:r w:rsidR="0078765A">
        <w:rPr>
          <w:rFonts w:ascii="Arial" w:hAnsi="Arial" w:cs="Arial"/>
        </w:rPr>
        <w:t xml:space="preserve"> This procedure is </w:t>
      </w:r>
      <w:r w:rsidR="008F1B94">
        <w:rPr>
          <w:rFonts w:ascii="Arial" w:hAnsi="Arial" w:cs="Arial"/>
        </w:rPr>
        <w:t xml:space="preserve">confidential and voluntary, but the final settlement agreement must be </w:t>
      </w:r>
      <w:r w:rsidR="00A2106C">
        <w:rPr>
          <w:rFonts w:ascii="Arial" w:hAnsi="Arial" w:cs="Arial"/>
        </w:rPr>
        <w:t>approved by a notary public or the court.</w:t>
      </w:r>
      <w:r w:rsidR="00CD575B">
        <w:rPr>
          <w:rStyle w:val="FootnoteReference"/>
          <w:rFonts w:ascii="Arial" w:hAnsi="Arial" w:cs="Arial"/>
        </w:rPr>
        <w:footnoteReference w:id="56"/>
      </w:r>
      <w:r w:rsidR="00E65EE0">
        <w:rPr>
          <w:rFonts w:ascii="Arial" w:hAnsi="Arial" w:cs="Arial"/>
        </w:rPr>
        <w:t xml:space="preserve"> The conciliator plays </w:t>
      </w:r>
      <w:r w:rsidR="00FF17B3">
        <w:rPr>
          <w:rFonts w:ascii="Arial" w:hAnsi="Arial" w:cs="Arial"/>
        </w:rPr>
        <w:t>a similar role as a mediator.</w:t>
      </w:r>
    </w:p>
    <w:p w14:paraId="0BAD5E31" w14:textId="77777777" w:rsidR="00E16A54" w:rsidRDefault="00E16A54" w:rsidP="00077882">
      <w:pPr>
        <w:autoSpaceDE w:val="0"/>
        <w:autoSpaceDN w:val="0"/>
        <w:adjustRightInd w:val="0"/>
        <w:spacing w:after="0" w:line="240" w:lineRule="auto"/>
        <w:rPr>
          <w:rFonts w:ascii="Arial" w:hAnsi="Arial" w:cs="Arial"/>
        </w:rPr>
      </w:pPr>
    </w:p>
    <w:p w14:paraId="3F3F7703" w14:textId="0DEBC4C6" w:rsidR="00011126" w:rsidRPr="00077882" w:rsidRDefault="00011126" w:rsidP="00011126">
      <w:pPr>
        <w:pStyle w:val="ListParagraph"/>
        <w:numPr>
          <w:ilvl w:val="0"/>
          <w:numId w:val="1"/>
        </w:numPr>
        <w:autoSpaceDE w:val="0"/>
        <w:autoSpaceDN w:val="0"/>
        <w:adjustRightInd w:val="0"/>
        <w:spacing w:after="0" w:line="240" w:lineRule="auto"/>
        <w:rPr>
          <w:rFonts w:ascii="Arial" w:hAnsi="Arial" w:cs="Arial"/>
          <w:b/>
          <w:bCs/>
        </w:rPr>
      </w:pPr>
      <w:r w:rsidRPr="00077882">
        <w:rPr>
          <w:rFonts w:ascii="Arial" w:hAnsi="Arial" w:cs="Arial"/>
          <w:b/>
          <w:bCs/>
        </w:rPr>
        <w:t>Explain in detail the essence and result of the restructuring agreement as signed on the 4</w:t>
      </w:r>
      <w:r w:rsidRPr="00077882">
        <w:rPr>
          <w:rFonts w:ascii="Arial" w:hAnsi="Arial" w:cs="Arial"/>
          <w:b/>
          <w:bCs/>
          <w:vertAlign w:val="superscript"/>
        </w:rPr>
        <w:t>th</w:t>
      </w:r>
      <w:r w:rsidRPr="00077882">
        <w:rPr>
          <w:rFonts w:ascii="Arial" w:hAnsi="Arial" w:cs="Arial"/>
          <w:b/>
          <w:bCs/>
        </w:rPr>
        <w:t xml:space="preserve"> of July 2015.</w:t>
      </w:r>
    </w:p>
    <w:p w14:paraId="51F57274" w14:textId="77777777" w:rsidR="00F64955" w:rsidRDefault="00F64955" w:rsidP="00091A17">
      <w:pPr>
        <w:autoSpaceDE w:val="0"/>
        <w:autoSpaceDN w:val="0"/>
        <w:adjustRightInd w:val="0"/>
        <w:spacing w:after="0" w:line="240" w:lineRule="auto"/>
        <w:rPr>
          <w:rFonts w:ascii="Arial" w:hAnsi="Arial" w:cs="Arial"/>
        </w:rPr>
      </w:pPr>
    </w:p>
    <w:p w14:paraId="38E7C5FD" w14:textId="423DA526" w:rsidR="00826ABC" w:rsidRDefault="00B157D7" w:rsidP="00091A17">
      <w:pPr>
        <w:autoSpaceDE w:val="0"/>
        <w:autoSpaceDN w:val="0"/>
        <w:adjustRightInd w:val="0"/>
        <w:spacing w:after="0" w:line="240" w:lineRule="auto"/>
        <w:rPr>
          <w:rFonts w:ascii="Arial" w:hAnsi="Arial" w:cs="Arial"/>
        </w:rPr>
      </w:pPr>
      <w:r>
        <w:rPr>
          <w:rFonts w:ascii="Arial" w:hAnsi="Arial" w:cs="Arial"/>
        </w:rPr>
        <w:t>The</w:t>
      </w:r>
      <w:r w:rsidR="005216FE">
        <w:rPr>
          <w:rFonts w:ascii="Arial" w:hAnsi="Arial" w:cs="Arial"/>
        </w:rPr>
        <w:t xml:space="preserve"> </w:t>
      </w:r>
      <w:r w:rsidR="00F03948">
        <w:rPr>
          <w:rFonts w:ascii="Arial" w:hAnsi="Arial" w:cs="Arial"/>
        </w:rPr>
        <w:t xml:space="preserve">result </w:t>
      </w:r>
      <w:r w:rsidR="00826ABC">
        <w:rPr>
          <w:rFonts w:ascii="Arial" w:hAnsi="Arial" w:cs="Arial"/>
        </w:rPr>
        <w:t xml:space="preserve">and effect </w:t>
      </w:r>
      <w:r w:rsidR="005216FE">
        <w:rPr>
          <w:rFonts w:ascii="Arial" w:hAnsi="Arial" w:cs="Arial"/>
        </w:rPr>
        <w:t xml:space="preserve">of the restructuring agreement signed on 4 July 2015 </w:t>
      </w:r>
      <w:r w:rsidR="00F36A90">
        <w:rPr>
          <w:rFonts w:ascii="Arial" w:hAnsi="Arial" w:cs="Arial"/>
        </w:rPr>
        <w:t xml:space="preserve">is </w:t>
      </w:r>
      <w:r w:rsidR="00A86AB0">
        <w:rPr>
          <w:rFonts w:ascii="Arial" w:hAnsi="Arial" w:cs="Arial"/>
        </w:rPr>
        <w:t xml:space="preserve">somewhat unclear. </w:t>
      </w:r>
      <w:r w:rsidR="00826ABC">
        <w:rPr>
          <w:rFonts w:ascii="Arial" w:hAnsi="Arial" w:cs="Arial"/>
        </w:rPr>
        <w:t>However, I will break down what we know and what we don’t know below.</w:t>
      </w:r>
    </w:p>
    <w:p w14:paraId="2421C2E9" w14:textId="77777777" w:rsidR="00826ABC" w:rsidRDefault="00826ABC" w:rsidP="00091A17">
      <w:pPr>
        <w:autoSpaceDE w:val="0"/>
        <w:autoSpaceDN w:val="0"/>
        <w:adjustRightInd w:val="0"/>
        <w:spacing w:after="0" w:line="240" w:lineRule="auto"/>
        <w:rPr>
          <w:rFonts w:ascii="Arial" w:hAnsi="Arial" w:cs="Arial"/>
        </w:rPr>
      </w:pPr>
    </w:p>
    <w:p w14:paraId="55E9D174" w14:textId="447451F2" w:rsidR="00F01E92" w:rsidRDefault="009C7865" w:rsidP="00091A17">
      <w:pPr>
        <w:autoSpaceDE w:val="0"/>
        <w:autoSpaceDN w:val="0"/>
        <w:adjustRightInd w:val="0"/>
        <w:spacing w:after="0" w:line="240" w:lineRule="auto"/>
        <w:rPr>
          <w:rFonts w:ascii="Arial" w:hAnsi="Arial" w:cs="Arial"/>
        </w:rPr>
      </w:pPr>
      <w:r w:rsidRPr="009A5F44">
        <w:rPr>
          <w:rFonts w:ascii="Arial" w:hAnsi="Arial" w:cs="Arial"/>
        </w:rPr>
        <w:t>A</w:t>
      </w:r>
      <w:r w:rsidR="00D90B3C" w:rsidRPr="009A5F44">
        <w:rPr>
          <w:rFonts w:ascii="Arial" w:hAnsi="Arial" w:cs="Arial"/>
        </w:rPr>
        <w:t xml:space="preserve"> new</w:t>
      </w:r>
      <w:r w:rsidR="00DB1888" w:rsidRPr="009A5F44">
        <w:rPr>
          <w:rFonts w:ascii="Arial" w:hAnsi="Arial" w:cs="Arial"/>
        </w:rPr>
        <w:t xml:space="preserve"> </w:t>
      </w:r>
      <w:r w:rsidR="00F914A2" w:rsidRPr="009A5F44">
        <w:rPr>
          <w:rFonts w:ascii="Arial" w:hAnsi="Arial" w:cs="Arial"/>
        </w:rPr>
        <w:t xml:space="preserve">shell subsidiary </w:t>
      </w:r>
      <w:r w:rsidR="002C62D9">
        <w:rPr>
          <w:rFonts w:ascii="Arial" w:hAnsi="Arial" w:cs="Arial"/>
        </w:rPr>
        <w:t>(</w:t>
      </w:r>
      <w:r w:rsidR="009A5F44" w:rsidRPr="009A5F44">
        <w:rPr>
          <w:rFonts w:ascii="Arial" w:hAnsi="Arial" w:cs="Arial"/>
        </w:rPr>
        <w:t xml:space="preserve">presumably </w:t>
      </w:r>
      <w:r w:rsidR="00F914A2" w:rsidRPr="009A5F44">
        <w:rPr>
          <w:rFonts w:ascii="Arial" w:hAnsi="Arial" w:cs="Arial"/>
        </w:rPr>
        <w:t xml:space="preserve">of </w:t>
      </w:r>
      <w:r w:rsidR="00D90B3C" w:rsidRPr="009A5F44">
        <w:rPr>
          <w:rFonts w:ascii="Arial" w:hAnsi="Arial" w:cs="Arial"/>
        </w:rPr>
        <w:t>Lease Group Holding United Kingdom Ltd.</w:t>
      </w:r>
      <w:r w:rsidR="002C62D9">
        <w:rPr>
          <w:rFonts w:ascii="Arial" w:hAnsi="Arial" w:cs="Arial"/>
        </w:rPr>
        <w:t>)</w:t>
      </w:r>
      <w:r w:rsidR="00D90B3C" w:rsidRPr="009A5F44">
        <w:rPr>
          <w:rFonts w:ascii="Arial" w:hAnsi="Arial" w:cs="Arial"/>
        </w:rPr>
        <w:t xml:space="preserve"> </w:t>
      </w:r>
      <w:r w:rsidR="00420CDF" w:rsidRPr="009A5F44">
        <w:rPr>
          <w:rFonts w:ascii="Arial" w:hAnsi="Arial" w:cs="Arial"/>
        </w:rPr>
        <w:t xml:space="preserve">called </w:t>
      </w:r>
      <w:r w:rsidR="005216FE" w:rsidRPr="009A5F44">
        <w:rPr>
          <w:rFonts w:ascii="Arial" w:hAnsi="Arial" w:cs="Arial"/>
        </w:rPr>
        <w:t xml:space="preserve">Flow Management II BV </w:t>
      </w:r>
      <w:r w:rsidR="00CC002E" w:rsidRPr="009A5F44">
        <w:rPr>
          <w:rFonts w:ascii="Arial" w:hAnsi="Arial" w:cs="Arial"/>
        </w:rPr>
        <w:t xml:space="preserve">(Flow II) </w:t>
      </w:r>
      <w:r w:rsidR="009A5F44" w:rsidRPr="009A5F44">
        <w:rPr>
          <w:rFonts w:ascii="Arial" w:hAnsi="Arial" w:cs="Arial"/>
        </w:rPr>
        <w:t>is created and</w:t>
      </w:r>
      <w:r w:rsidR="00474AA0">
        <w:rPr>
          <w:rFonts w:ascii="Arial" w:hAnsi="Arial" w:cs="Arial"/>
        </w:rPr>
        <w:t xml:space="preserve"> </w:t>
      </w:r>
      <w:r w:rsidR="00420CDF" w:rsidRPr="009A5F44">
        <w:rPr>
          <w:rFonts w:ascii="Arial" w:hAnsi="Arial" w:cs="Arial"/>
        </w:rPr>
        <w:t xml:space="preserve">all operating companies of Flow </w:t>
      </w:r>
      <w:r w:rsidR="002C62D9">
        <w:rPr>
          <w:rFonts w:ascii="Arial" w:hAnsi="Arial" w:cs="Arial"/>
        </w:rPr>
        <w:t xml:space="preserve">Management Holding BV (Flow) </w:t>
      </w:r>
      <w:r w:rsidR="00474AA0">
        <w:rPr>
          <w:rFonts w:ascii="Arial" w:hAnsi="Arial" w:cs="Arial"/>
        </w:rPr>
        <w:t>are accommodated in it</w:t>
      </w:r>
      <w:r w:rsidR="00420CDF" w:rsidRPr="009A5F44">
        <w:rPr>
          <w:rFonts w:ascii="Arial" w:hAnsi="Arial" w:cs="Arial"/>
        </w:rPr>
        <w:t>.</w:t>
      </w:r>
      <w:r w:rsidR="00F01E92" w:rsidRPr="009A5F44">
        <w:rPr>
          <w:rFonts w:ascii="Arial" w:hAnsi="Arial" w:cs="Arial"/>
        </w:rPr>
        <w:t xml:space="preserve"> </w:t>
      </w:r>
      <w:r w:rsidR="002266AB" w:rsidRPr="009A5F44">
        <w:rPr>
          <w:rFonts w:ascii="Arial" w:hAnsi="Arial" w:cs="Arial"/>
        </w:rPr>
        <w:t>This could mean that</w:t>
      </w:r>
      <w:r w:rsidR="00F01E92" w:rsidRPr="009A5F44">
        <w:rPr>
          <w:rFonts w:ascii="Arial" w:hAnsi="Arial" w:cs="Arial"/>
        </w:rPr>
        <w:t xml:space="preserve"> the</w:t>
      </w:r>
      <w:r w:rsidR="009B0FB4" w:rsidRPr="009A5F44">
        <w:rPr>
          <w:rFonts w:ascii="Arial" w:hAnsi="Arial" w:cs="Arial"/>
        </w:rPr>
        <w:t xml:space="preserve"> </w:t>
      </w:r>
      <w:r w:rsidR="007E0CAD" w:rsidRPr="009A5F44">
        <w:rPr>
          <w:rFonts w:ascii="Arial" w:hAnsi="Arial" w:cs="Arial"/>
        </w:rPr>
        <w:t xml:space="preserve">six </w:t>
      </w:r>
      <w:r w:rsidR="00872AE9" w:rsidRPr="009A5F44">
        <w:rPr>
          <w:rFonts w:ascii="Arial" w:hAnsi="Arial" w:cs="Arial"/>
        </w:rPr>
        <w:t xml:space="preserve">subsidiary </w:t>
      </w:r>
      <w:r w:rsidR="005216FE" w:rsidRPr="009A5F44">
        <w:rPr>
          <w:rFonts w:ascii="Arial" w:hAnsi="Arial" w:cs="Arial"/>
        </w:rPr>
        <w:t>companies</w:t>
      </w:r>
      <w:r w:rsidR="00CC002E" w:rsidRPr="009A5F44">
        <w:rPr>
          <w:rFonts w:ascii="Arial" w:hAnsi="Arial" w:cs="Arial"/>
        </w:rPr>
        <w:t xml:space="preserve"> in different jurisdictions</w:t>
      </w:r>
      <w:r w:rsidR="005216FE" w:rsidRPr="009A5F44">
        <w:rPr>
          <w:rFonts w:ascii="Arial" w:hAnsi="Arial" w:cs="Arial"/>
        </w:rPr>
        <w:t xml:space="preserve"> </w:t>
      </w:r>
      <w:r w:rsidR="00317EEB">
        <w:rPr>
          <w:rFonts w:ascii="Arial" w:hAnsi="Arial" w:cs="Arial"/>
        </w:rPr>
        <w:t xml:space="preserve">originally </w:t>
      </w:r>
      <w:r w:rsidR="005216FE" w:rsidRPr="009A5F44">
        <w:rPr>
          <w:rFonts w:ascii="Arial" w:hAnsi="Arial" w:cs="Arial"/>
        </w:rPr>
        <w:t xml:space="preserve">under </w:t>
      </w:r>
      <w:r w:rsidR="00CC002E" w:rsidRPr="009A5F44">
        <w:rPr>
          <w:rFonts w:ascii="Arial" w:hAnsi="Arial" w:cs="Arial"/>
        </w:rPr>
        <w:t xml:space="preserve">Flow </w:t>
      </w:r>
      <w:r w:rsidR="005216FE" w:rsidRPr="009A5F44">
        <w:rPr>
          <w:rFonts w:ascii="Arial" w:hAnsi="Arial" w:cs="Arial"/>
        </w:rPr>
        <w:t>are transferred</w:t>
      </w:r>
      <w:r w:rsidR="007E0CAD" w:rsidRPr="009A5F44">
        <w:rPr>
          <w:rFonts w:ascii="Arial" w:hAnsi="Arial" w:cs="Arial"/>
        </w:rPr>
        <w:t xml:space="preserve"> (if this is what “accommodated” means)</w:t>
      </w:r>
      <w:r w:rsidR="00CC002E" w:rsidRPr="009A5F44">
        <w:rPr>
          <w:rFonts w:ascii="Arial" w:hAnsi="Arial" w:cs="Arial"/>
        </w:rPr>
        <w:t xml:space="preserve"> to Flow II.</w:t>
      </w:r>
      <w:r w:rsidR="00872AE9" w:rsidRPr="009A5F44">
        <w:rPr>
          <w:rFonts w:ascii="Arial" w:hAnsi="Arial" w:cs="Arial"/>
        </w:rPr>
        <w:t xml:space="preserve"> </w:t>
      </w:r>
      <w:r w:rsidR="002266AB" w:rsidRPr="009A5F44">
        <w:rPr>
          <w:rFonts w:ascii="Arial" w:hAnsi="Arial" w:cs="Arial"/>
        </w:rPr>
        <w:t xml:space="preserve">Whether they are </w:t>
      </w:r>
      <w:r w:rsidR="0064530F">
        <w:rPr>
          <w:rFonts w:ascii="Arial" w:hAnsi="Arial" w:cs="Arial"/>
        </w:rPr>
        <w:t xml:space="preserve">somehow </w:t>
      </w:r>
      <w:r w:rsidR="002266AB" w:rsidRPr="009A5F44">
        <w:rPr>
          <w:rFonts w:ascii="Arial" w:hAnsi="Arial" w:cs="Arial"/>
        </w:rPr>
        <w:t>absorbed into Flow II or remain subsidiary companies of Flow II is an unanswered question.</w:t>
      </w:r>
      <w:r w:rsidR="0064530F">
        <w:rPr>
          <w:rFonts w:ascii="Arial" w:hAnsi="Arial" w:cs="Arial"/>
        </w:rPr>
        <w:t xml:space="preserve"> I assume they remain subsidiaries of Flow II, as in the original structure.</w:t>
      </w:r>
    </w:p>
    <w:p w14:paraId="7630A713" w14:textId="77777777" w:rsidR="00F01E92" w:rsidRDefault="00F01E92" w:rsidP="00091A17">
      <w:pPr>
        <w:autoSpaceDE w:val="0"/>
        <w:autoSpaceDN w:val="0"/>
        <w:adjustRightInd w:val="0"/>
        <w:spacing w:after="0" w:line="240" w:lineRule="auto"/>
        <w:rPr>
          <w:rFonts w:ascii="Arial" w:hAnsi="Arial" w:cs="Arial"/>
        </w:rPr>
      </w:pPr>
    </w:p>
    <w:p w14:paraId="177A4F1F" w14:textId="06359AD1" w:rsidR="00C720C3" w:rsidRDefault="006224E9" w:rsidP="00091A17">
      <w:pPr>
        <w:autoSpaceDE w:val="0"/>
        <w:autoSpaceDN w:val="0"/>
        <w:adjustRightInd w:val="0"/>
        <w:spacing w:after="0" w:line="240" w:lineRule="auto"/>
        <w:rPr>
          <w:rFonts w:ascii="Arial" w:hAnsi="Arial" w:cs="Arial"/>
        </w:rPr>
      </w:pPr>
      <w:r>
        <w:rPr>
          <w:rFonts w:ascii="Arial" w:hAnsi="Arial" w:cs="Arial"/>
        </w:rPr>
        <w:t xml:space="preserve">Next, </w:t>
      </w:r>
      <w:r w:rsidR="00091A17">
        <w:rPr>
          <w:rFonts w:ascii="Arial" w:hAnsi="Arial" w:cs="Arial"/>
        </w:rPr>
        <w:t>t</w:t>
      </w:r>
      <w:r w:rsidR="00CC002E">
        <w:rPr>
          <w:rFonts w:ascii="Arial" w:hAnsi="Arial" w:cs="Arial"/>
        </w:rPr>
        <w:t>he</w:t>
      </w:r>
      <w:r w:rsidR="00091A17">
        <w:rPr>
          <w:rFonts w:ascii="Arial" w:hAnsi="Arial" w:cs="Arial"/>
        </w:rPr>
        <w:t xml:space="preserve"> </w:t>
      </w:r>
      <w:r w:rsidR="00CC002E">
        <w:rPr>
          <w:rFonts w:ascii="Arial" w:hAnsi="Arial" w:cs="Arial"/>
        </w:rPr>
        <w:t>shares</w:t>
      </w:r>
      <w:r w:rsidR="00091A17">
        <w:rPr>
          <w:rFonts w:ascii="Arial" w:hAnsi="Arial" w:cs="Arial"/>
        </w:rPr>
        <w:t xml:space="preserve"> in Flow</w:t>
      </w:r>
      <w:r w:rsidR="00575E97">
        <w:rPr>
          <w:rFonts w:ascii="Arial" w:hAnsi="Arial" w:cs="Arial"/>
        </w:rPr>
        <w:t xml:space="preserve"> II</w:t>
      </w:r>
      <w:r w:rsidR="00CC002E">
        <w:rPr>
          <w:rFonts w:ascii="Arial" w:hAnsi="Arial" w:cs="Arial"/>
        </w:rPr>
        <w:t xml:space="preserve"> are transferred to Banks A, B, C and D </w:t>
      </w:r>
      <w:r w:rsidR="00176AC1">
        <w:rPr>
          <w:rFonts w:ascii="Arial" w:hAnsi="Arial" w:cs="Arial"/>
        </w:rPr>
        <w:t xml:space="preserve">(Banks) </w:t>
      </w:r>
      <w:r w:rsidR="00CC002E">
        <w:rPr>
          <w:rFonts w:ascii="Arial" w:hAnsi="Arial" w:cs="Arial"/>
        </w:rPr>
        <w:t>as well as to some of the board members</w:t>
      </w:r>
      <w:r w:rsidR="00510F9C">
        <w:rPr>
          <w:rFonts w:ascii="Arial" w:hAnsi="Arial" w:cs="Arial"/>
        </w:rPr>
        <w:t xml:space="preserve">. </w:t>
      </w:r>
      <w:r w:rsidR="00C80F15">
        <w:rPr>
          <w:rFonts w:ascii="Arial" w:hAnsi="Arial" w:cs="Arial"/>
        </w:rPr>
        <w:t xml:space="preserve">No information about the share split </w:t>
      </w:r>
      <w:r w:rsidR="00EC7019">
        <w:rPr>
          <w:rFonts w:ascii="Arial" w:hAnsi="Arial" w:cs="Arial"/>
        </w:rPr>
        <w:t xml:space="preserve">between the Banks and the board members is provided. Therefore, who ultimately controls Flow II is not known. However, </w:t>
      </w:r>
      <w:r w:rsidR="00FB31CC">
        <w:rPr>
          <w:rFonts w:ascii="Arial" w:hAnsi="Arial" w:cs="Arial"/>
        </w:rPr>
        <w:t xml:space="preserve">an equity stake would </w:t>
      </w:r>
      <w:r w:rsidR="00895606">
        <w:rPr>
          <w:rFonts w:ascii="Arial" w:hAnsi="Arial" w:cs="Arial"/>
        </w:rPr>
        <w:t xml:space="preserve">give the Banks </w:t>
      </w:r>
      <w:r w:rsidR="00FB31CC">
        <w:rPr>
          <w:rFonts w:ascii="Arial" w:hAnsi="Arial" w:cs="Arial"/>
        </w:rPr>
        <w:t xml:space="preserve">some </w:t>
      </w:r>
      <w:r w:rsidR="00895606">
        <w:rPr>
          <w:rFonts w:ascii="Arial" w:hAnsi="Arial" w:cs="Arial"/>
        </w:rPr>
        <w:t>control</w:t>
      </w:r>
      <w:r w:rsidR="00FB31CC">
        <w:rPr>
          <w:rFonts w:ascii="Arial" w:hAnsi="Arial" w:cs="Arial"/>
        </w:rPr>
        <w:t xml:space="preserve"> or influence</w:t>
      </w:r>
      <w:r w:rsidR="00895606">
        <w:rPr>
          <w:rFonts w:ascii="Arial" w:hAnsi="Arial" w:cs="Arial"/>
        </w:rPr>
        <w:t xml:space="preserve"> over the operations of Flow II as direct equity holders instead of just debt holders. </w:t>
      </w:r>
      <w:r w:rsidR="0027253D">
        <w:rPr>
          <w:rFonts w:ascii="Arial" w:hAnsi="Arial" w:cs="Arial"/>
        </w:rPr>
        <w:t xml:space="preserve">The </w:t>
      </w:r>
      <w:r w:rsidR="005E7E6B">
        <w:rPr>
          <w:rFonts w:ascii="Arial" w:hAnsi="Arial" w:cs="Arial"/>
        </w:rPr>
        <w:t>reason for the</w:t>
      </w:r>
      <w:r w:rsidR="0027253D">
        <w:rPr>
          <w:rFonts w:ascii="Arial" w:hAnsi="Arial" w:cs="Arial"/>
        </w:rPr>
        <w:t xml:space="preserve"> transfer</w:t>
      </w:r>
      <w:r w:rsidR="00FB31CC">
        <w:rPr>
          <w:rFonts w:ascii="Arial" w:hAnsi="Arial" w:cs="Arial"/>
        </w:rPr>
        <w:t xml:space="preserve"> of the shares</w:t>
      </w:r>
      <w:r w:rsidR="0027253D">
        <w:rPr>
          <w:rFonts w:ascii="Arial" w:hAnsi="Arial" w:cs="Arial"/>
        </w:rPr>
        <w:t xml:space="preserve"> is not clear, but it would likely be in exchange for something. Although not stated in the case, this could have been a </w:t>
      </w:r>
      <w:r w:rsidR="0027253D" w:rsidRPr="0027253D">
        <w:rPr>
          <w:rFonts w:ascii="Arial" w:hAnsi="Arial" w:cs="Arial"/>
        </w:rPr>
        <w:t>debt-to-equity swap</w:t>
      </w:r>
      <w:r w:rsidR="0027253D">
        <w:rPr>
          <w:rFonts w:ascii="Arial" w:hAnsi="Arial" w:cs="Arial"/>
        </w:rPr>
        <w:t xml:space="preserve">. In that </w:t>
      </w:r>
      <w:r w:rsidR="00064779">
        <w:rPr>
          <w:rFonts w:ascii="Arial" w:hAnsi="Arial" w:cs="Arial"/>
        </w:rPr>
        <w:t>scenario</w:t>
      </w:r>
      <w:r w:rsidR="0027253D">
        <w:rPr>
          <w:rFonts w:ascii="Arial" w:hAnsi="Arial" w:cs="Arial"/>
        </w:rPr>
        <w:t>, the</w:t>
      </w:r>
      <w:r w:rsidR="00510F9C">
        <w:rPr>
          <w:rFonts w:ascii="Arial" w:hAnsi="Arial" w:cs="Arial"/>
        </w:rPr>
        <w:t xml:space="preserve"> claims against Flow </w:t>
      </w:r>
      <w:r w:rsidR="00CD2ADA">
        <w:rPr>
          <w:rFonts w:ascii="Arial" w:hAnsi="Arial" w:cs="Arial"/>
        </w:rPr>
        <w:t xml:space="preserve">by the Banks </w:t>
      </w:r>
      <w:r w:rsidR="00510F9C">
        <w:rPr>
          <w:rFonts w:ascii="Arial" w:hAnsi="Arial" w:cs="Arial"/>
        </w:rPr>
        <w:t>being cancelled</w:t>
      </w:r>
      <w:r w:rsidR="008168A4">
        <w:rPr>
          <w:rFonts w:ascii="Arial" w:hAnsi="Arial" w:cs="Arial"/>
        </w:rPr>
        <w:t xml:space="preserve"> (discussed below)</w:t>
      </w:r>
      <w:r w:rsidR="0081336D">
        <w:rPr>
          <w:rFonts w:ascii="Arial" w:hAnsi="Arial" w:cs="Arial"/>
        </w:rPr>
        <w:t xml:space="preserve"> are swapped for equity</w:t>
      </w:r>
      <w:r w:rsidR="00CD2ADA">
        <w:rPr>
          <w:rFonts w:ascii="Arial" w:hAnsi="Arial" w:cs="Arial"/>
        </w:rPr>
        <w:t xml:space="preserve">. </w:t>
      </w:r>
      <w:r w:rsidR="008B3656">
        <w:rPr>
          <w:rFonts w:ascii="Arial" w:hAnsi="Arial" w:cs="Arial"/>
        </w:rPr>
        <w:t xml:space="preserve">Further, the CRO could be receiving shares </w:t>
      </w:r>
      <w:r w:rsidR="004D5666">
        <w:rPr>
          <w:rFonts w:ascii="Arial" w:hAnsi="Arial" w:cs="Arial"/>
        </w:rPr>
        <w:t>to</w:t>
      </w:r>
      <w:r w:rsidR="008B3656">
        <w:rPr>
          <w:rFonts w:ascii="Arial" w:hAnsi="Arial" w:cs="Arial"/>
        </w:rPr>
        <w:t xml:space="preserve"> entice the person to stay on.</w:t>
      </w:r>
    </w:p>
    <w:p w14:paraId="315112C8" w14:textId="77777777" w:rsidR="00C720C3" w:rsidRDefault="00C720C3" w:rsidP="00091A17">
      <w:pPr>
        <w:autoSpaceDE w:val="0"/>
        <w:autoSpaceDN w:val="0"/>
        <w:adjustRightInd w:val="0"/>
        <w:spacing w:after="0" w:line="240" w:lineRule="auto"/>
        <w:rPr>
          <w:rFonts w:ascii="Arial" w:hAnsi="Arial" w:cs="Arial"/>
        </w:rPr>
      </w:pPr>
    </w:p>
    <w:p w14:paraId="1C6E5767" w14:textId="3CBB443E" w:rsidR="00B7627E" w:rsidRDefault="007E21EB" w:rsidP="00E26BF8">
      <w:pPr>
        <w:autoSpaceDE w:val="0"/>
        <w:autoSpaceDN w:val="0"/>
        <w:adjustRightInd w:val="0"/>
        <w:spacing w:after="0" w:line="240" w:lineRule="auto"/>
        <w:rPr>
          <w:rFonts w:ascii="Arial" w:hAnsi="Arial" w:cs="Arial"/>
        </w:rPr>
      </w:pPr>
      <w:r>
        <w:rPr>
          <w:rFonts w:ascii="Arial" w:hAnsi="Arial" w:cs="Arial"/>
        </w:rPr>
        <w:t xml:space="preserve">Flow is also </w:t>
      </w:r>
      <w:r w:rsidR="001D0900">
        <w:rPr>
          <w:rFonts w:ascii="Arial" w:hAnsi="Arial" w:cs="Arial"/>
        </w:rPr>
        <w:t>liquidated (although, in an undisclosed manner)</w:t>
      </w:r>
      <w:r w:rsidR="00DD0217">
        <w:rPr>
          <w:rFonts w:ascii="Arial" w:hAnsi="Arial" w:cs="Arial"/>
        </w:rPr>
        <w:t xml:space="preserve">. </w:t>
      </w:r>
      <w:r w:rsidR="006F49DF">
        <w:rPr>
          <w:rFonts w:ascii="Arial" w:hAnsi="Arial" w:cs="Arial"/>
        </w:rPr>
        <w:t xml:space="preserve">All claims against Flow by the banks and the shareholder are canceled. </w:t>
      </w:r>
      <w:r w:rsidR="00E31086">
        <w:rPr>
          <w:rFonts w:ascii="Arial" w:hAnsi="Arial" w:cs="Arial"/>
        </w:rPr>
        <w:t xml:space="preserve">However, it is not clear how the liquidation can take </w:t>
      </w:r>
      <w:r w:rsidR="00E31086">
        <w:rPr>
          <w:rFonts w:ascii="Arial" w:hAnsi="Arial" w:cs="Arial"/>
        </w:rPr>
        <w:lastRenderedPageBreak/>
        <w:t>place in the middle of an informal restructuring. Opening a formal liquidation may lead to the invalidation of parts of the Restructuring Agreement</w:t>
      </w:r>
      <w:r w:rsidR="00DD3AB9">
        <w:rPr>
          <w:rFonts w:ascii="Arial" w:hAnsi="Arial" w:cs="Arial"/>
        </w:rPr>
        <w:t xml:space="preserve"> and potential delays in the restructuring.</w:t>
      </w:r>
    </w:p>
    <w:p w14:paraId="53B28777" w14:textId="77777777" w:rsidR="00B7627E" w:rsidRDefault="00B7627E" w:rsidP="00E26BF8">
      <w:pPr>
        <w:autoSpaceDE w:val="0"/>
        <w:autoSpaceDN w:val="0"/>
        <w:adjustRightInd w:val="0"/>
        <w:spacing w:after="0" w:line="240" w:lineRule="auto"/>
        <w:rPr>
          <w:rFonts w:ascii="Arial" w:hAnsi="Arial" w:cs="Arial"/>
        </w:rPr>
      </w:pPr>
    </w:p>
    <w:p w14:paraId="4F7B46B9" w14:textId="501BC071" w:rsidR="00B10C2C" w:rsidRDefault="001808F8" w:rsidP="00E26BF8">
      <w:pPr>
        <w:autoSpaceDE w:val="0"/>
        <w:autoSpaceDN w:val="0"/>
        <w:adjustRightInd w:val="0"/>
        <w:spacing w:after="0" w:line="240" w:lineRule="auto"/>
        <w:rPr>
          <w:rFonts w:ascii="Arial" w:hAnsi="Arial" w:cs="Arial"/>
        </w:rPr>
      </w:pPr>
      <w:r w:rsidRPr="00C720C3">
        <w:rPr>
          <w:rFonts w:ascii="Arial" w:hAnsi="Arial" w:cs="Arial"/>
        </w:rPr>
        <w:t>Any claims Flow and its shareholders may have against Flow II and its subsidiaries are canceled.</w:t>
      </w:r>
      <w:r w:rsidR="00D76D22">
        <w:rPr>
          <w:rFonts w:ascii="Arial" w:hAnsi="Arial" w:cs="Arial"/>
        </w:rPr>
        <w:t xml:space="preserve"> </w:t>
      </w:r>
      <w:r w:rsidR="00B10C2C" w:rsidRPr="00D76D22">
        <w:rPr>
          <w:rFonts w:ascii="Arial" w:hAnsi="Arial" w:cs="Arial"/>
        </w:rPr>
        <w:t>Banks C and D</w:t>
      </w:r>
      <w:r w:rsidR="00D76D22">
        <w:rPr>
          <w:rFonts w:ascii="Arial" w:hAnsi="Arial" w:cs="Arial"/>
        </w:rPr>
        <w:t>,</w:t>
      </w:r>
      <w:r w:rsidR="00B10C2C" w:rsidRPr="00D76D22">
        <w:rPr>
          <w:rFonts w:ascii="Arial" w:hAnsi="Arial" w:cs="Arial"/>
        </w:rPr>
        <w:t xml:space="preserve"> which provided </w:t>
      </w:r>
      <w:r w:rsidR="006607D4">
        <w:rPr>
          <w:rFonts w:ascii="Arial" w:hAnsi="Arial" w:cs="Arial"/>
        </w:rPr>
        <w:t xml:space="preserve">Flow Management Work BV (Flow MW) </w:t>
      </w:r>
      <w:r w:rsidR="00B10C2C" w:rsidRPr="00D76D22">
        <w:rPr>
          <w:rFonts w:ascii="Arial" w:hAnsi="Arial" w:cs="Arial"/>
        </w:rPr>
        <w:t>with additional working capital</w:t>
      </w:r>
      <w:r w:rsidR="00D76D22">
        <w:rPr>
          <w:rFonts w:ascii="Arial" w:hAnsi="Arial" w:cs="Arial"/>
        </w:rPr>
        <w:t>,</w:t>
      </w:r>
      <w:r w:rsidR="00B10C2C" w:rsidRPr="00D76D22">
        <w:rPr>
          <w:rFonts w:ascii="Arial" w:hAnsi="Arial" w:cs="Arial"/>
        </w:rPr>
        <w:t xml:space="preserve"> write off their debts</w:t>
      </w:r>
      <w:r w:rsidR="00600661">
        <w:rPr>
          <w:rFonts w:ascii="Arial" w:hAnsi="Arial" w:cs="Arial"/>
        </w:rPr>
        <w:t xml:space="preserve"> (again, this could be in exchange for the shares the Banks receive)</w:t>
      </w:r>
      <w:r w:rsidR="00B10C2C" w:rsidRPr="00D76D22">
        <w:rPr>
          <w:rFonts w:ascii="Arial" w:hAnsi="Arial" w:cs="Arial"/>
        </w:rPr>
        <w:t>.</w:t>
      </w:r>
      <w:r w:rsidR="00600661">
        <w:rPr>
          <w:rFonts w:ascii="Arial" w:hAnsi="Arial" w:cs="Arial"/>
        </w:rPr>
        <w:t xml:space="preserve"> </w:t>
      </w:r>
      <w:r w:rsidR="008F7503">
        <w:rPr>
          <w:rFonts w:ascii="Arial" w:hAnsi="Arial" w:cs="Arial"/>
        </w:rPr>
        <w:t xml:space="preserve">The consortium who provided Flow </w:t>
      </w:r>
      <w:r w:rsidR="006607D4">
        <w:rPr>
          <w:rFonts w:ascii="Arial" w:hAnsi="Arial" w:cs="Arial"/>
        </w:rPr>
        <w:t xml:space="preserve">MW </w:t>
      </w:r>
      <w:r w:rsidR="00E26BF8">
        <w:rPr>
          <w:rFonts w:ascii="Arial" w:hAnsi="Arial" w:cs="Arial"/>
        </w:rPr>
        <w:t xml:space="preserve">with working capital waive EUR 97.5 million. </w:t>
      </w:r>
      <w:r w:rsidR="00B10C2C" w:rsidRPr="00E26BF8">
        <w:rPr>
          <w:rFonts w:ascii="Arial" w:hAnsi="Arial" w:cs="Arial"/>
        </w:rPr>
        <w:t xml:space="preserve">However, a EUR 240 million claim against Flow </w:t>
      </w:r>
      <w:r w:rsidR="00835EB0">
        <w:rPr>
          <w:rFonts w:ascii="Arial" w:hAnsi="Arial" w:cs="Arial"/>
        </w:rPr>
        <w:t>MW</w:t>
      </w:r>
      <w:r w:rsidR="00B10C2C" w:rsidRPr="00E26BF8">
        <w:rPr>
          <w:rFonts w:ascii="Arial" w:hAnsi="Arial" w:cs="Arial"/>
        </w:rPr>
        <w:t xml:space="preserve"> remains</w:t>
      </w:r>
      <w:r w:rsidR="00835EB0">
        <w:rPr>
          <w:rFonts w:ascii="Arial" w:hAnsi="Arial" w:cs="Arial"/>
        </w:rPr>
        <w:t>.</w:t>
      </w:r>
      <w:r w:rsidR="00EF1EB8">
        <w:rPr>
          <w:rFonts w:ascii="Arial" w:hAnsi="Arial" w:cs="Arial"/>
        </w:rPr>
        <w:t xml:space="preserve"> </w:t>
      </w:r>
      <w:r w:rsidR="00A06F1D">
        <w:rPr>
          <w:rFonts w:ascii="Arial" w:hAnsi="Arial" w:cs="Arial"/>
        </w:rPr>
        <w:t>A</w:t>
      </w:r>
      <w:r w:rsidR="00350102">
        <w:rPr>
          <w:rFonts w:ascii="Arial" w:hAnsi="Arial" w:cs="Arial"/>
        </w:rPr>
        <w:t>s an original subsidiary</w:t>
      </w:r>
      <w:r w:rsidR="00A06F1D">
        <w:rPr>
          <w:rFonts w:ascii="Arial" w:hAnsi="Arial" w:cs="Arial"/>
        </w:rPr>
        <w:t xml:space="preserve"> of Flow,</w:t>
      </w:r>
      <w:r w:rsidR="00350102">
        <w:rPr>
          <w:rFonts w:ascii="Arial" w:hAnsi="Arial" w:cs="Arial"/>
        </w:rPr>
        <w:t xml:space="preserve"> </w:t>
      </w:r>
      <w:r w:rsidR="00853A20">
        <w:rPr>
          <w:rFonts w:ascii="Arial" w:hAnsi="Arial" w:cs="Arial"/>
        </w:rPr>
        <w:t xml:space="preserve">Flow MW has been acquired </w:t>
      </w:r>
      <w:r w:rsidR="005E4560">
        <w:rPr>
          <w:rFonts w:ascii="Arial" w:hAnsi="Arial" w:cs="Arial"/>
        </w:rPr>
        <w:t xml:space="preserve">(or somehow absorbed) </w:t>
      </w:r>
      <w:r w:rsidR="00853A20">
        <w:rPr>
          <w:rFonts w:ascii="Arial" w:hAnsi="Arial" w:cs="Arial"/>
        </w:rPr>
        <w:t>by Flow II</w:t>
      </w:r>
      <w:r w:rsidR="005E4560">
        <w:rPr>
          <w:rFonts w:ascii="Arial" w:hAnsi="Arial" w:cs="Arial"/>
        </w:rPr>
        <w:t>.</w:t>
      </w:r>
      <w:r w:rsidR="00853A20">
        <w:rPr>
          <w:rFonts w:ascii="Arial" w:hAnsi="Arial" w:cs="Arial"/>
        </w:rPr>
        <w:t xml:space="preserve"> </w:t>
      </w:r>
      <w:r w:rsidR="005E4560">
        <w:rPr>
          <w:rFonts w:ascii="Arial" w:hAnsi="Arial" w:cs="Arial"/>
        </w:rPr>
        <w:t xml:space="preserve">This </w:t>
      </w:r>
      <w:r w:rsidR="00A06F1D">
        <w:rPr>
          <w:rFonts w:ascii="Arial" w:hAnsi="Arial" w:cs="Arial"/>
        </w:rPr>
        <w:t xml:space="preserve">likely </w:t>
      </w:r>
      <w:r w:rsidR="005E4560">
        <w:rPr>
          <w:rFonts w:ascii="Arial" w:hAnsi="Arial" w:cs="Arial"/>
        </w:rPr>
        <w:t>mean</w:t>
      </w:r>
      <w:r w:rsidR="00A06F1D">
        <w:rPr>
          <w:rFonts w:ascii="Arial" w:hAnsi="Arial" w:cs="Arial"/>
        </w:rPr>
        <w:t>s</w:t>
      </w:r>
      <w:r w:rsidR="005E4560">
        <w:rPr>
          <w:rFonts w:ascii="Arial" w:hAnsi="Arial" w:cs="Arial"/>
        </w:rPr>
        <w:t xml:space="preserve"> that Flow II still has this very large </w:t>
      </w:r>
      <w:r w:rsidR="00F50778">
        <w:rPr>
          <w:rFonts w:ascii="Arial" w:hAnsi="Arial" w:cs="Arial"/>
        </w:rPr>
        <w:t>liability</w:t>
      </w:r>
      <w:r w:rsidR="00811FB4">
        <w:rPr>
          <w:rFonts w:ascii="Arial" w:hAnsi="Arial" w:cs="Arial"/>
        </w:rPr>
        <w:t xml:space="preserve"> through Flow MW. </w:t>
      </w:r>
      <w:r w:rsidR="009B4729">
        <w:rPr>
          <w:rFonts w:ascii="Arial" w:hAnsi="Arial" w:cs="Arial"/>
        </w:rPr>
        <w:t xml:space="preserve">The Banks therefore have both an equity stake </w:t>
      </w:r>
      <w:r w:rsidR="00C80F15">
        <w:rPr>
          <w:rFonts w:ascii="Arial" w:hAnsi="Arial" w:cs="Arial"/>
        </w:rPr>
        <w:t xml:space="preserve">and remaining large debt claim. </w:t>
      </w:r>
      <w:r w:rsidR="00C57C1D">
        <w:rPr>
          <w:rFonts w:ascii="Arial" w:hAnsi="Arial" w:cs="Arial"/>
        </w:rPr>
        <w:t>Finally, the EUR 55 million loan in Flow MW is cancelled.</w:t>
      </w:r>
      <w:r w:rsidR="009B4729">
        <w:rPr>
          <w:rFonts w:ascii="Arial" w:hAnsi="Arial" w:cs="Arial"/>
        </w:rPr>
        <w:t xml:space="preserve"> </w:t>
      </w:r>
    </w:p>
    <w:p w14:paraId="3569E6F4" w14:textId="77777777" w:rsidR="00F87945" w:rsidRDefault="00F87945" w:rsidP="00E26BF8">
      <w:pPr>
        <w:autoSpaceDE w:val="0"/>
        <w:autoSpaceDN w:val="0"/>
        <w:adjustRightInd w:val="0"/>
        <w:spacing w:after="0" w:line="240" w:lineRule="auto"/>
        <w:rPr>
          <w:rFonts w:ascii="Arial" w:hAnsi="Arial" w:cs="Arial"/>
        </w:rPr>
      </w:pPr>
    </w:p>
    <w:p w14:paraId="746A0125" w14:textId="10ACDCFC" w:rsidR="002B098F" w:rsidRDefault="008121DF" w:rsidP="00E26BF8">
      <w:pPr>
        <w:autoSpaceDE w:val="0"/>
        <w:autoSpaceDN w:val="0"/>
        <w:adjustRightInd w:val="0"/>
        <w:spacing w:after="0" w:line="240" w:lineRule="auto"/>
        <w:rPr>
          <w:rFonts w:ascii="Arial" w:hAnsi="Arial" w:cs="Arial"/>
        </w:rPr>
      </w:pPr>
      <w:r>
        <w:rPr>
          <w:rFonts w:ascii="Arial" w:hAnsi="Arial" w:cs="Arial"/>
        </w:rPr>
        <w:t>T</w:t>
      </w:r>
      <w:r w:rsidR="002B098F">
        <w:rPr>
          <w:rFonts w:ascii="Arial" w:hAnsi="Arial" w:cs="Arial"/>
        </w:rPr>
        <w:t xml:space="preserve">he </w:t>
      </w:r>
      <w:r w:rsidR="00803DD6">
        <w:rPr>
          <w:rFonts w:ascii="Arial" w:hAnsi="Arial" w:cs="Arial"/>
        </w:rPr>
        <w:t xml:space="preserve">Banks, as the </w:t>
      </w:r>
      <w:r w:rsidR="00677B3F">
        <w:rPr>
          <w:rFonts w:ascii="Arial" w:hAnsi="Arial" w:cs="Arial"/>
        </w:rPr>
        <w:t>providers of the original working capital</w:t>
      </w:r>
      <w:r w:rsidR="00803DD6">
        <w:rPr>
          <w:rFonts w:ascii="Arial" w:hAnsi="Arial" w:cs="Arial"/>
        </w:rPr>
        <w:t>,</w:t>
      </w:r>
      <w:r w:rsidR="00372F87">
        <w:rPr>
          <w:rFonts w:ascii="Arial" w:hAnsi="Arial" w:cs="Arial"/>
        </w:rPr>
        <w:t xml:space="preserve"> </w:t>
      </w:r>
      <w:r w:rsidR="00D64965">
        <w:rPr>
          <w:rFonts w:ascii="Arial" w:hAnsi="Arial" w:cs="Arial"/>
        </w:rPr>
        <w:t xml:space="preserve">possess security on most assets of Flow MW and will receive part of their claim on liquidation. </w:t>
      </w:r>
      <w:r w:rsidR="00504C0C">
        <w:rPr>
          <w:rFonts w:ascii="Arial" w:hAnsi="Arial" w:cs="Arial"/>
        </w:rPr>
        <w:t xml:space="preserve">The subsidiaries may also be brought into the formal process, which may create cross-border issues. </w:t>
      </w:r>
      <w:r w:rsidR="00916C03">
        <w:rPr>
          <w:rFonts w:ascii="Arial" w:hAnsi="Arial" w:cs="Arial"/>
        </w:rPr>
        <w:t xml:space="preserve">The other </w:t>
      </w:r>
      <w:r w:rsidR="00211E7C">
        <w:rPr>
          <w:rFonts w:ascii="Arial" w:hAnsi="Arial" w:cs="Arial"/>
        </w:rPr>
        <w:t>banks</w:t>
      </w:r>
      <w:r w:rsidR="00916C03">
        <w:rPr>
          <w:rFonts w:ascii="Arial" w:hAnsi="Arial" w:cs="Arial"/>
        </w:rPr>
        <w:t xml:space="preserve"> </w:t>
      </w:r>
      <w:r w:rsidR="00211E7C">
        <w:rPr>
          <w:rFonts w:ascii="Arial" w:hAnsi="Arial" w:cs="Arial"/>
        </w:rPr>
        <w:t>and shareholders have no or subordinated security rights and will (“most probably”) receive nothing from claims on liquidation.</w:t>
      </w:r>
      <w:r w:rsidR="00E91B5E">
        <w:rPr>
          <w:rFonts w:ascii="Arial" w:hAnsi="Arial" w:cs="Arial"/>
        </w:rPr>
        <w:t xml:space="preserve"> Therefore, at least the additional EUR 10 million provided by the shareholder as an unsecured loan would likely not be paid back.</w:t>
      </w:r>
    </w:p>
    <w:p w14:paraId="7C14690C" w14:textId="77777777" w:rsidR="00840CAC" w:rsidRDefault="00840CAC" w:rsidP="00E26BF8">
      <w:pPr>
        <w:autoSpaceDE w:val="0"/>
        <w:autoSpaceDN w:val="0"/>
        <w:adjustRightInd w:val="0"/>
        <w:spacing w:after="0" w:line="240" w:lineRule="auto"/>
        <w:rPr>
          <w:rFonts w:ascii="Arial" w:hAnsi="Arial" w:cs="Arial"/>
        </w:rPr>
      </w:pPr>
    </w:p>
    <w:p w14:paraId="7308D914" w14:textId="11F1E71C" w:rsidR="00840CAC" w:rsidRDefault="0065676A" w:rsidP="00E26BF8">
      <w:pPr>
        <w:autoSpaceDE w:val="0"/>
        <w:autoSpaceDN w:val="0"/>
        <w:adjustRightInd w:val="0"/>
        <w:spacing w:after="0" w:line="240" w:lineRule="auto"/>
        <w:rPr>
          <w:rFonts w:ascii="Arial" w:hAnsi="Arial" w:cs="Arial"/>
        </w:rPr>
      </w:pPr>
      <w:r>
        <w:rPr>
          <w:rFonts w:ascii="Arial" w:hAnsi="Arial" w:cs="Arial"/>
        </w:rPr>
        <w:t>T</w:t>
      </w:r>
      <w:r w:rsidR="00F64955">
        <w:rPr>
          <w:rFonts w:ascii="Arial" w:hAnsi="Arial" w:cs="Arial"/>
        </w:rPr>
        <w:t xml:space="preserve">he case notes that </w:t>
      </w:r>
      <w:r w:rsidR="00F00DEB">
        <w:rPr>
          <w:rFonts w:ascii="Arial" w:hAnsi="Arial" w:cs="Arial"/>
        </w:rPr>
        <w:t>Flow II will still incur operational loses of nearly EUR 9 million</w:t>
      </w:r>
      <w:r w:rsidR="005F41AA">
        <w:rPr>
          <w:rFonts w:ascii="Arial" w:hAnsi="Arial" w:cs="Arial"/>
        </w:rPr>
        <w:t xml:space="preserve"> in May 201</w:t>
      </w:r>
      <w:r w:rsidR="00B939C2">
        <w:rPr>
          <w:rFonts w:ascii="Arial" w:hAnsi="Arial" w:cs="Arial"/>
        </w:rPr>
        <w:t>5</w:t>
      </w:r>
      <w:r w:rsidR="00F00DEB">
        <w:rPr>
          <w:rFonts w:ascii="Arial" w:hAnsi="Arial" w:cs="Arial"/>
        </w:rPr>
        <w:t xml:space="preserve"> when they expected a break-even result. This is reminiscent of all the other </w:t>
      </w:r>
      <w:r w:rsidR="00293CE2">
        <w:rPr>
          <w:rFonts w:ascii="Arial" w:hAnsi="Arial" w:cs="Arial"/>
        </w:rPr>
        <w:t xml:space="preserve">changes in financial results from Flow prior to the </w:t>
      </w:r>
      <w:r w:rsidR="00B40A04">
        <w:rPr>
          <w:rFonts w:ascii="Arial" w:hAnsi="Arial" w:cs="Arial"/>
        </w:rPr>
        <w:t>R</w:t>
      </w:r>
      <w:r w:rsidR="00293CE2">
        <w:rPr>
          <w:rFonts w:ascii="Arial" w:hAnsi="Arial" w:cs="Arial"/>
        </w:rPr>
        <w:t>estructuring</w:t>
      </w:r>
      <w:r w:rsidR="00B40A04">
        <w:rPr>
          <w:rFonts w:ascii="Arial" w:hAnsi="Arial" w:cs="Arial"/>
        </w:rPr>
        <w:t xml:space="preserve"> Agreement being signed. </w:t>
      </w:r>
      <w:r w:rsidR="00C73404">
        <w:rPr>
          <w:rFonts w:ascii="Arial" w:hAnsi="Arial" w:cs="Arial"/>
        </w:rPr>
        <w:t>Not good news because p</w:t>
      </w:r>
      <w:r w:rsidR="00B40A04">
        <w:rPr>
          <w:rFonts w:ascii="Arial" w:hAnsi="Arial" w:cs="Arial"/>
        </w:rPr>
        <w:t xml:space="preserve">erhaps the company still has faulty </w:t>
      </w:r>
      <w:r w:rsidR="00C73404">
        <w:rPr>
          <w:rFonts w:ascii="Arial" w:hAnsi="Arial" w:cs="Arial"/>
        </w:rPr>
        <w:t>processes and controls. Further, t</w:t>
      </w:r>
      <w:r w:rsidR="00560190">
        <w:rPr>
          <w:rFonts w:ascii="Arial" w:hAnsi="Arial" w:cs="Arial"/>
        </w:rPr>
        <w:t xml:space="preserve">he actual restructuring seems to occur </w:t>
      </w:r>
      <w:r w:rsidR="00B40A04">
        <w:rPr>
          <w:rFonts w:ascii="Arial" w:hAnsi="Arial" w:cs="Arial"/>
        </w:rPr>
        <w:t xml:space="preserve">after May 2016, which is over a year after the </w:t>
      </w:r>
      <w:r w:rsidR="00F5678F">
        <w:rPr>
          <w:rFonts w:ascii="Arial" w:hAnsi="Arial" w:cs="Arial"/>
        </w:rPr>
        <w:t>R</w:t>
      </w:r>
      <w:r w:rsidR="00B40A04">
        <w:rPr>
          <w:rFonts w:ascii="Arial" w:hAnsi="Arial" w:cs="Arial"/>
        </w:rPr>
        <w:t xml:space="preserve">estructuring </w:t>
      </w:r>
      <w:r w:rsidR="00F5678F">
        <w:rPr>
          <w:rFonts w:ascii="Arial" w:hAnsi="Arial" w:cs="Arial"/>
        </w:rPr>
        <w:t>A</w:t>
      </w:r>
      <w:r w:rsidR="00B40A04">
        <w:rPr>
          <w:rFonts w:ascii="Arial" w:hAnsi="Arial" w:cs="Arial"/>
        </w:rPr>
        <w:t>greement is signed.</w:t>
      </w:r>
      <w:r>
        <w:rPr>
          <w:rFonts w:ascii="Arial" w:hAnsi="Arial" w:cs="Arial"/>
        </w:rPr>
        <w:t xml:space="preserve"> </w:t>
      </w:r>
      <w:r w:rsidR="000E1DDC">
        <w:rPr>
          <w:rFonts w:ascii="Arial" w:hAnsi="Arial" w:cs="Arial"/>
        </w:rPr>
        <w:t>Even after the restructuring the 2016</w:t>
      </w:r>
      <w:r w:rsidR="00F5678F">
        <w:rPr>
          <w:rFonts w:ascii="Arial" w:hAnsi="Arial" w:cs="Arial"/>
        </w:rPr>
        <w:t>,</w:t>
      </w:r>
      <w:r w:rsidR="000E1DDC">
        <w:rPr>
          <w:rFonts w:ascii="Arial" w:hAnsi="Arial" w:cs="Arial"/>
        </w:rPr>
        <w:t xml:space="preserve"> results may be negative or just break-even. </w:t>
      </w:r>
    </w:p>
    <w:p w14:paraId="6EB6CCDD" w14:textId="77777777" w:rsidR="00BF7B81" w:rsidRDefault="00BF7B81" w:rsidP="00E26BF8">
      <w:pPr>
        <w:autoSpaceDE w:val="0"/>
        <w:autoSpaceDN w:val="0"/>
        <w:adjustRightInd w:val="0"/>
        <w:spacing w:after="0" w:line="240" w:lineRule="auto"/>
        <w:rPr>
          <w:rFonts w:ascii="Arial" w:hAnsi="Arial" w:cs="Arial"/>
        </w:rPr>
      </w:pPr>
    </w:p>
    <w:p w14:paraId="015704F7" w14:textId="0B176147" w:rsidR="00E26BF8" w:rsidRDefault="00BF7B81" w:rsidP="00E26BF8">
      <w:pPr>
        <w:autoSpaceDE w:val="0"/>
        <w:autoSpaceDN w:val="0"/>
        <w:adjustRightInd w:val="0"/>
        <w:spacing w:after="0" w:line="240" w:lineRule="auto"/>
        <w:rPr>
          <w:rFonts w:ascii="Arial" w:hAnsi="Arial" w:cs="Arial"/>
        </w:rPr>
      </w:pPr>
      <w:r>
        <w:rPr>
          <w:rFonts w:ascii="Arial" w:hAnsi="Arial" w:cs="Arial"/>
        </w:rPr>
        <w:t xml:space="preserve">The goal of selling Flow II </w:t>
      </w:r>
      <w:r w:rsidR="002C698D">
        <w:rPr>
          <w:rFonts w:ascii="Arial" w:hAnsi="Arial" w:cs="Arial"/>
        </w:rPr>
        <w:t>as a going concern does not seem to have been achieved</w:t>
      </w:r>
      <w:r w:rsidR="00240C1E">
        <w:rPr>
          <w:rFonts w:ascii="Arial" w:hAnsi="Arial" w:cs="Arial"/>
        </w:rPr>
        <w:t xml:space="preserve"> because of the restructuring</w:t>
      </w:r>
      <w:r w:rsidR="002C698D">
        <w:rPr>
          <w:rFonts w:ascii="Arial" w:hAnsi="Arial" w:cs="Arial"/>
        </w:rPr>
        <w:t xml:space="preserve">. The talks after the restructuring with potential buyers points to </w:t>
      </w:r>
      <w:r w:rsidR="00D152FE">
        <w:rPr>
          <w:rFonts w:ascii="Arial" w:hAnsi="Arial" w:cs="Arial"/>
        </w:rPr>
        <w:t>the company being put into liquidation</w:t>
      </w:r>
      <w:r w:rsidR="002415E0">
        <w:rPr>
          <w:rFonts w:ascii="Arial" w:hAnsi="Arial" w:cs="Arial"/>
        </w:rPr>
        <w:t>.</w:t>
      </w:r>
      <w:r w:rsidR="003D3546">
        <w:rPr>
          <w:rFonts w:ascii="Arial" w:hAnsi="Arial" w:cs="Arial"/>
        </w:rPr>
        <w:t xml:space="preserve"> The situation is still critical, but the parties are still – despite everything – forecasting </w:t>
      </w:r>
      <w:r w:rsidR="00AF0C82">
        <w:rPr>
          <w:rFonts w:ascii="Arial" w:hAnsi="Arial" w:cs="Arial"/>
        </w:rPr>
        <w:t>a better future.</w:t>
      </w:r>
      <w:r w:rsidR="00F87634">
        <w:rPr>
          <w:rFonts w:ascii="Arial" w:hAnsi="Arial" w:cs="Arial"/>
        </w:rPr>
        <w:t xml:space="preserve"> </w:t>
      </w:r>
    </w:p>
    <w:p w14:paraId="779E336A" w14:textId="77777777" w:rsidR="00AF0C82" w:rsidRDefault="00AF0C82" w:rsidP="00E26BF8">
      <w:pPr>
        <w:autoSpaceDE w:val="0"/>
        <w:autoSpaceDN w:val="0"/>
        <w:adjustRightInd w:val="0"/>
        <w:spacing w:after="0" w:line="240" w:lineRule="auto"/>
        <w:rPr>
          <w:rFonts w:ascii="Arial" w:hAnsi="Arial" w:cs="Arial"/>
        </w:rPr>
      </w:pPr>
    </w:p>
    <w:p w14:paraId="48EB0E8D" w14:textId="04D3F9CD" w:rsidR="00CA036B" w:rsidRPr="003D3546" w:rsidRDefault="00806DC0" w:rsidP="00E26BF8">
      <w:pPr>
        <w:autoSpaceDE w:val="0"/>
        <w:autoSpaceDN w:val="0"/>
        <w:adjustRightInd w:val="0"/>
        <w:spacing w:after="0" w:line="240" w:lineRule="auto"/>
        <w:rPr>
          <w:rFonts w:ascii="Arial" w:hAnsi="Arial" w:cs="Arial"/>
        </w:rPr>
      </w:pPr>
      <w:r>
        <w:rPr>
          <w:rFonts w:ascii="Arial" w:hAnsi="Arial" w:cs="Arial"/>
        </w:rPr>
        <w:t>Given the readings in this module about successful turnarounds, i</w:t>
      </w:r>
      <w:r w:rsidR="00CA036B">
        <w:rPr>
          <w:rFonts w:ascii="Arial" w:hAnsi="Arial" w:cs="Arial"/>
        </w:rPr>
        <w:t xml:space="preserve">t is surprising that the Restructuring Agreement </w:t>
      </w:r>
      <w:r w:rsidR="0023135C">
        <w:rPr>
          <w:rFonts w:ascii="Arial" w:hAnsi="Arial" w:cs="Arial"/>
        </w:rPr>
        <w:t xml:space="preserve">seems entirely financial. There is </w:t>
      </w:r>
      <w:r w:rsidR="00CA036B">
        <w:rPr>
          <w:rFonts w:ascii="Arial" w:hAnsi="Arial" w:cs="Arial"/>
        </w:rPr>
        <w:t xml:space="preserve">nothing in </w:t>
      </w:r>
      <w:r w:rsidR="0023135C">
        <w:rPr>
          <w:rFonts w:ascii="Arial" w:hAnsi="Arial" w:cs="Arial"/>
        </w:rPr>
        <w:t>the outline</w:t>
      </w:r>
      <w:r w:rsidR="00CA036B">
        <w:rPr>
          <w:rFonts w:ascii="Arial" w:hAnsi="Arial" w:cs="Arial"/>
        </w:rPr>
        <w:t xml:space="preserve"> abou</w:t>
      </w:r>
      <w:r w:rsidR="00B62270">
        <w:rPr>
          <w:rFonts w:ascii="Arial" w:hAnsi="Arial" w:cs="Arial"/>
        </w:rPr>
        <w:t>t capital</w:t>
      </w:r>
      <w:r w:rsidR="00A87455">
        <w:rPr>
          <w:rFonts w:ascii="Arial" w:hAnsi="Arial" w:cs="Arial"/>
        </w:rPr>
        <w:t xml:space="preserve"> expenditures</w:t>
      </w:r>
      <w:r w:rsidR="00B62270">
        <w:rPr>
          <w:rFonts w:ascii="Arial" w:hAnsi="Arial" w:cs="Arial"/>
        </w:rPr>
        <w:t>, strategic business changes</w:t>
      </w:r>
      <w:r>
        <w:rPr>
          <w:rFonts w:ascii="Arial" w:hAnsi="Arial" w:cs="Arial"/>
        </w:rPr>
        <w:t xml:space="preserve"> or acquisitions </w:t>
      </w:r>
      <w:r w:rsidR="0047226A">
        <w:rPr>
          <w:rFonts w:ascii="Arial" w:hAnsi="Arial" w:cs="Arial"/>
        </w:rPr>
        <w:t>– more longer</w:t>
      </w:r>
      <w:r w:rsidR="0024654E">
        <w:rPr>
          <w:rFonts w:ascii="Arial" w:hAnsi="Arial" w:cs="Arial"/>
        </w:rPr>
        <w:t>-t</w:t>
      </w:r>
      <w:r w:rsidR="0047226A">
        <w:rPr>
          <w:rFonts w:ascii="Arial" w:hAnsi="Arial" w:cs="Arial"/>
        </w:rPr>
        <w:t xml:space="preserve">erm investments which research shows leads to a higher chance of a successful restructuring. </w:t>
      </w:r>
      <w:r w:rsidR="0024654E">
        <w:rPr>
          <w:rFonts w:ascii="Arial" w:hAnsi="Arial" w:cs="Arial"/>
        </w:rPr>
        <w:t xml:space="preserve">There is also nothing of note </w:t>
      </w:r>
      <w:r w:rsidR="00582BC8">
        <w:rPr>
          <w:rFonts w:ascii="Arial" w:hAnsi="Arial" w:cs="Arial"/>
        </w:rPr>
        <w:t xml:space="preserve">in the Restructuring Agreement </w:t>
      </w:r>
      <w:r w:rsidR="0024654E">
        <w:rPr>
          <w:rFonts w:ascii="Arial" w:hAnsi="Arial" w:cs="Arial"/>
        </w:rPr>
        <w:t>about other important stakeholders like suppliers, customers</w:t>
      </w:r>
      <w:r w:rsidR="00DC641A">
        <w:rPr>
          <w:rFonts w:ascii="Arial" w:hAnsi="Arial" w:cs="Arial"/>
        </w:rPr>
        <w:t>,</w:t>
      </w:r>
      <w:r w:rsidR="0024654E">
        <w:rPr>
          <w:rFonts w:ascii="Arial" w:hAnsi="Arial" w:cs="Arial"/>
        </w:rPr>
        <w:t xml:space="preserve"> and employees.</w:t>
      </w:r>
      <w:r w:rsidR="00DC641A">
        <w:rPr>
          <w:rFonts w:ascii="Arial" w:hAnsi="Arial" w:cs="Arial"/>
        </w:rPr>
        <w:t xml:space="preserve"> Has there been adequate consultation and communication about the changes?</w:t>
      </w:r>
      <w:r w:rsidR="005D3021">
        <w:rPr>
          <w:rFonts w:ascii="Arial" w:hAnsi="Arial" w:cs="Arial"/>
        </w:rPr>
        <w:t xml:space="preserve">  There is also no mention of an implementation period in the outline of the Restructuring Agreement or any monitoring processes </w:t>
      </w:r>
      <w:r w:rsidR="0023135C">
        <w:rPr>
          <w:rFonts w:ascii="Arial" w:hAnsi="Arial" w:cs="Arial"/>
        </w:rPr>
        <w:t>to give updates to the creditors and other interested parties.</w:t>
      </w:r>
      <w:r w:rsidR="005A1DCD">
        <w:rPr>
          <w:rFonts w:ascii="Arial" w:hAnsi="Arial" w:cs="Arial"/>
        </w:rPr>
        <w:t xml:space="preserve"> </w:t>
      </w:r>
    </w:p>
    <w:p w14:paraId="4181DE20" w14:textId="77777777" w:rsidR="00077882" w:rsidRDefault="00077882" w:rsidP="00077882">
      <w:pPr>
        <w:autoSpaceDE w:val="0"/>
        <w:autoSpaceDN w:val="0"/>
        <w:adjustRightInd w:val="0"/>
        <w:spacing w:after="0" w:line="240" w:lineRule="auto"/>
        <w:rPr>
          <w:rFonts w:ascii="Arial" w:hAnsi="Arial" w:cs="Arial"/>
        </w:rPr>
      </w:pPr>
    </w:p>
    <w:p w14:paraId="0395678B" w14:textId="77777777" w:rsidR="00493C83" w:rsidRDefault="00493C83" w:rsidP="00077882">
      <w:pPr>
        <w:autoSpaceDE w:val="0"/>
        <w:autoSpaceDN w:val="0"/>
        <w:adjustRightInd w:val="0"/>
        <w:spacing w:after="0" w:line="240" w:lineRule="auto"/>
        <w:rPr>
          <w:rFonts w:ascii="Arial" w:hAnsi="Arial" w:cs="Arial"/>
        </w:rPr>
      </w:pPr>
    </w:p>
    <w:p w14:paraId="65A3990F" w14:textId="77777777" w:rsidR="00493C83" w:rsidRDefault="00493C83" w:rsidP="00077882">
      <w:pPr>
        <w:autoSpaceDE w:val="0"/>
        <w:autoSpaceDN w:val="0"/>
        <w:adjustRightInd w:val="0"/>
        <w:spacing w:after="0" w:line="240" w:lineRule="auto"/>
        <w:rPr>
          <w:rFonts w:ascii="Arial" w:hAnsi="Arial" w:cs="Arial"/>
        </w:rPr>
      </w:pPr>
    </w:p>
    <w:p w14:paraId="6DE52E2F" w14:textId="77777777" w:rsidR="00493C83" w:rsidRDefault="00493C83" w:rsidP="00077882">
      <w:pPr>
        <w:autoSpaceDE w:val="0"/>
        <w:autoSpaceDN w:val="0"/>
        <w:adjustRightInd w:val="0"/>
        <w:spacing w:after="0" w:line="240" w:lineRule="auto"/>
        <w:rPr>
          <w:rFonts w:ascii="Arial" w:hAnsi="Arial" w:cs="Arial"/>
        </w:rPr>
      </w:pPr>
    </w:p>
    <w:p w14:paraId="37D49EF5" w14:textId="77777777" w:rsidR="00493C83" w:rsidRDefault="00493C83" w:rsidP="00077882">
      <w:pPr>
        <w:autoSpaceDE w:val="0"/>
        <w:autoSpaceDN w:val="0"/>
        <w:adjustRightInd w:val="0"/>
        <w:spacing w:after="0" w:line="240" w:lineRule="auto"/>
        <w:rPr>
          <w:rFonts w:ascii="Arial" w:hAnsi="Arial" w:cs="Arial"/>
        </w:rPr>
      </w:pPr>
    </w:p>
    <w:p w14:paraId="052AD06A" w14:textId="77777777" w:rsidR="00493C83" w:rsidRDefault="00493C83" w:rsidP="00077882">
      <w:pPr>
        <w:autoSpaceDE w:val="0"/>
        <w:autoSpaceDN w:val="0"/>
        <w:adjustRightInd w:val="0"/>
        <w:spacing w:after="0" w:line="240" w:lineRule="auto"/>
        <w:rPr>
          <w:rFonts w:ascii="Arial" w:hAnsi="Arial" w:cs="Arial"/>
        </w:rPr>
      </w:pPr>
    </w:p>
    <w:p w14:paraId="0F80A7F6" w14:textId="77777777" w:rsidR="00493C83" w:rsidRDefault="00493C83" w:rsidP="00077882">
      <w:pPr>
        <w:autoSpaceDE w:val="0"/>
        <w:autoSpaceDN w:val="0"/>
        <w:adjustRightInd w:val="0"/>
        <w:spacing w:after="0" w:line="240" w:lineRule="auto"/>
        <w:rPr>
          <w:rFonts w:ascii="Arial" w:hAnsi="Arial" w:cs="Arial"/>
        </w:rPr>
      </w:pPr>
    </w:p>
    <w:p w14:paraId="170228F9" w14:textId="77777777" w:rsidR="00493C83" w:rsidRDefault="00493C83" w:rsidP="00077882">
      <w:pPr>
        <w:autoSpaceDE w:val="0"/>
        <w:autoSpaceDN w:val="0"/>
        <w:adjustRightInd w:val="0"/>
        <w:spacing w:after="0" w:line="240" w:lineRule="auto"/>
        <w:rPr>
          <w:rFonts w:ascii="Arial" w:hAnsi="Arial" w:cs="Arial"/>
        </w:rPr>
      </w:pPr>
    </w:p>
    <w:p w14:paraId="69E75768" w14:textId="77777777" w:rsidR="00493C83" w:rsidRDefault="00493C83" w:rsidP="00077882">
      <w:pPr>
        <w:autoSpaceDE w:val="0"/>
        <w:autoSpaceDN w:val="0"/>
        <w:adjustRightInd w:val="0"/>
        <w:spacing w:after="0" w:line="240" w:lineRule="auto"/>
        <w:rPr>
          <w:rFonts w:ascii="Arial" w:hAnsi="Arial" w:cs="Arial"/>
        </w:rPr>
      </w:pPr>
    </w:p>
    <w:p w14:paraId="328143B7" w14:textId="5C3F382B" w:rsidR="00011126" w:rsidRPr="001F0789" w:rsidRDefault="00011126" w:rsidP="00277232">
      <w:pPr>
        <w:pStyle w:val="ListParagraph"/>
        <w:numPr>
          <w:ilvl w:val="0"/>
          <w:numId w:val="1"/>
        </w:numPr>
        <w:autoSpaceDE w:val="0"/>
        <w:autoSpaceDN w:val="0"/>
        <w:adjustRightInd w:val="0"/>
        <w:spacing w:after="0" w:line="240" w:lineRule="auto"/>
        <w:rPr>
          <w:rFonts w:ascii="Arial" w:hAnsi="Arial" w:cs="Arial"/>
          <w:b/>
          <w:bCs/>
        </w:rPr>
      </w:pPr>
      <w:r w:rsidRPr="001F0789">
        <w:rPr>
          <w:rFonts w:ascii="Arial" w:hAnsi="Arial" w:cs="Arial"/>
          <w:b/>
          <w:bCs/>
        </w:rPr>
        <w:lastRenderedPageBreak/>
        <w:t>Which (potential) legal and/or non-legal cross-border issues – if any – do you recognize</w:t>
      </w:r>
      <w:r w:rsidR="00277232" w:rsidRPr="001F0789">
        <w:rPr>
          <w:rFonts w:ascii="Arial" w:hAnsi="Arial" w:cs="Arial"/>
          <w:b/>
          <w:bCs/>
        </w:rPr>
        <w:t xml:space="preserve"> </w:t>
      </w:r>
      <w:r w:rsidRPr="001F0789">
        <w:rPr>
          <w:rFonts w:ascii="Arial" w:hAnsi="Arial" w:cs="Arial"/>
          <w:b/>
          <w:bCs/>
        </w:rPr>
        <w:t>in the Flow Management restructuring process?</w:t>
      </w:r>
    </w:p>
    <w:p w14:paraId="005ABFB6" w14:textId="0895FFEF" w:rsidR="00D34615" w:rsidRDefault="00D34615" w:rsidP="00D34615">
      <w:pPr>
        <w:autoSpaceDE w:val="0"/>
        <w:autoSpaceDN w:val="0"/>
        <w:adjustRightInd w:val="0"/>
        <w:spacing w:after="0" w:line="240" w:lineRule="auto"/>
        <w:rPr>
          <w:rFonts w:ascii="Arial" w:hAnsi="Arial" w:cs="Arial"/>
        </w:rPr>
      </w:pPr>
    </w:p>
    <w:p w14:paraId="45948138" w14:textId="0513EFEE" w:rsidR="004F7E31" w:rsidRDefault="004F7E31" w:rsidP="00D34615">
      <w:pPr>
        <w:autoSpaceDE w:val="0"/>
        <w:autoSpaceDN w:val="0"/>
        <w:adjustRightInd w:val="0"/>
        <w:spacing w:after="0" w:line="240" w:lineRule="auto"/>
        <w:rPr>
          <w:rFonts w:ascii="Arial" w:hAnsi="Arial" w:cs="Arial"/>
        </w:rPr>
      </w:pPr>
      <w:r>
        <w:rPr>
          <w:rFonts w:ascii="Arial" w:hAnsi="Arial" w:cs="Arial"/>
        </w:rPr>
        <w:t>I recognize the following legal and non-legal cross-border issues in the restructuring process:</w:t>
      </w:r>
    </w:p>
    <w:p w14:paraId="6EA827DE" w14:textId="77777777" w:rsidR="004F7E31" w:rsidRDefault="004F7E31" w:rsidP="00D34615">
      <w:pPr>
        <w:autoSpaceDE w:val="0"/>
        <w:autoSpaceDN w:val="0"/>
        <w:adjustRightInd w:val="0"/>
        <w:spacing w:after="0" w:line="240" w:lineRule="auto"/>
        <w:rPr>
          <w:rFonts w:ascii="Arial" w:hAnsi="Arial" w:cs="Arial"/>
        </w:rPr>
      </w:pPr>
    </w:p>
    <w:p w14:paraId="69762ACD" w14:textId="2D60D91F" w:rsidR="00D30D83" w:rsidRDefault="00E771D2" w:rsidP="00E771D2">
      <w:pPr>
        <w:pStyle w:val="ListParagraph"/>
        <w:numPr>
          <w:ilvl w:val="0"/>
          <w:numId w:val="8"/>
        </w:numPr>
        <w:autoSpaceDE w:val="0"/>
        <w:autoSpaceDN w:val="0"/>
        <w:adjustRightInd w:val="0"/>
        <w:spacing w:after="0" w:line="240" w:lineRule="auto"/>
        <w:rPr>
          <w:rFonts w:ascii="Arial" w:hAnsi="Arial" w:cs="Arial"/>
          <w:color w:val="0A1212"/>
        </w:rPr>
      </w:pPr>
      <w:r w:rsidRPr="004D4080">
        <w:rPr>
          <w:rFonts w:ascii="Arial" w:hAnsi="Arial" w:cs="Arial"/>
          <w:b/>
          <w:bCs/>
          <w:color w:val="0A1212"/>
        </w:rPr>
        <w:t xml:space="preserve">The </w:t>
      </w:r>
      <w:r w:rsidR="00965D93" w:rsidRPr="004D4080">
        <w:rPr>
          <w:rFonts w:ascii="Arial" w:hAnsi="Arial" w:cs="Arial"/>
          <w:b/>
          <w:bCs/>
          <w:color w:val="0A1212"/>
        </w:rPr>
        <w:t xml:space="preserve">Standstill and </w:t>
      </w:r>
      <w:r w:rsidRPr="004D4080">
        <w:rPr>
          <w:rFonts w:ascii="Arial" w:hAnsi="Arial" w:cs="Arial"/>
          <w:b/>
          <w:bCs/>
          <w:color w:val="0A1212"/>
        </w:rPr>
        <w:t>Restructuring Agreement</w:t>
      </w:r>
      <w:r w:rsidR="00965D93" w:rsidRPr="004D4080">
        <w:rPr>
          <w:rFonts w:ascii="Arial" w:hAnsi="Arial" w:cs="Arial"/>
          <w:b/>
          <w:bCs/>
          <w:color w:val="0A1212"/>
        </w:rPr>
        <w:t>s</w:t>
      </w:r>
      <w:r w:rsidRPr="004D4080">
        <w:rPr>
          <w:rFonts w:ascii="Arial" w:hAnsi="Arial" w:cs="Arial"/>
          <w:b/>
          <w:bCs/>
          <w:color w:val="0A1212"/>
        </w:rPr>
        <w:t xml:space="preserve"> could possibly not be recognized in another country.</w:t>
      </w:r>
      <w:r w:rsidRPr="004D4080">
        <w:rPr>
          <w:rFonts w:ascii="Arial" w:hAnsi="Arial" w:cs="Arial"/>
          <w:color w:val="0A1212"/>
        </w:rPr>
        <w:t xml:space="preserve"> </w:t>
      </w:r>
      <w:r w:rsidR="00D30D83" w:rsidRPr="004D4080">
        <w:rPr>
          <w:rFonts w:ascii="Arial" w:hAnsi="Arial" w:cs="Arial"/>
          <w:color w:val="0A1212"/>
        </w:rPr>
        <w:t xml:space="preserve">It is unclear how these agreements </w:t>
      </w:r>
      <w:r w:rsidR="00D60F07" w:rsidRPr="004D4080">
        <w:rPr>
          <w:rFonts w:ascii="Arial" w:hAnsi="Arial" w:cs="Arial"/>
          <w:color w:val="0A1212"/>
        </w:rPr>
        <w:t>would be</w:t>
      </w:r>
      <w:r w:rsidR="00D30D83" w:rsidRPr="004D4080">
        <w:rPr>
          <w:rFonts w:ascii="Arial" w:hAnsi="Arial" w:cs="Arial"/>
          <w:color w:val="0A1212"/>
        </w:rPr>
        <w:t xml:space="preserve"> </w:t>
      </w:r>
      <w:r w:rsidR="00F7090D">
        <w:rPr>
          <w:rFonts w:ascii="Arial" w:hAnsi="Arial" w:cs="Arial"/>
          <w:color w:val="0A1212"/>
        </w:rPr>
        <w:t xml:space="preserve">legally </w:t>
      </w:r>
      <w:r w:rsidR="00D30D83" w:rsidRPr="004D4080">
        <w:rPr>
          <w:rFonts w:ascii="Arial" w:hAnsi="Arial" w:cs="Arial"/>
          <w:color w:val="0A1212"/>
        </w:rPr>
        <w:t xml:space="preserve">recognized in the </w:t>
      </w:r>
      <w:r w:rsidR="00273CDC" w:rsidRPr="004D4080">
        <w:rPr>
          <w:rFonts w:ascii="Arial" w:hAnsi="Arial" w:cs="Arial"/>
          <w:color w:val="0A1212"/>
        </w:rPr>
        <w:t>subsidiaries in Spain, France, Australia, South Africa</w:t>
      </w:r>
      <w:r w:rsidR="00093868">
        <w:rPr>
          <w:rFonts w:ascii="Arial" w:hAnsi="Arial" w:cs="Arial"/>
          <w:color w:val="0A1212"/>
        </w:rPr>
        <w:t>,</w:t>
      </w:r>
      <w:r w:rsidR="00273CDC" w:rsidRPr="004D4080">
        <w:rPr>
          <w:rFonts w:ascii="Arial" w:hAnsi="Arial" w:cs="Arial"/>
          <w:color w:val="0A1212"/>
        </w:rPr>
        <w:t xml:space="preserve"> and the USA.</w:t>
      </w:r>
      <w:r w:rsidR="00BE317E" w:rsidRPr="004D4080">
        <w:rPr>
          <w:rFonts w:ascii="Arial" w:hAnsi="Arial" w:cs="Arial"/>
          <w:color w:val="0A1212"/>
        </w:rPr>
        <w:t xml:space="preserve"> In addition, if the companies were to </w:t>
      </w:r>
      <w:r w:rsidR="00093868" w:rsidRPr="004D4080">
        <w:rPr>
          <w:rFonts w:ascii="Arial" w:hAnsi="Arial" w:cs="Arial"/>
          <w:color w:val="0A1212"/>
        </w:rPr>
        <w:t>enter</w:t>
      </w:r>
      <w:r w:rsidR="00BE317E" w:rsidRPr="004D4080">
        <w:rPr>
          <w:rFonts w:ascii="Arial" w:hAnsi="Arial" w:cs="Arial"/>
          <w:color w:val="0A1212"/>
        </w:rPr>
        <w:t xml:space="preserve"> a formal insolvency process, the agreements may be </w:t>
      </w:r>
      <w:r w:rsidR="00F41C53" w:rsidRPr="004D4080">
        <w:rPr>
          <w:rFonts w:ascii="Arial" w:hAnsi="Arial" w:cs="Arial"/>
          <w:color w:val="0A1212"/>
        </w:rPr>
        <w:t xml:space="preserve">rendered void and certain components could be </w:t>
      </w:r>
      <w:r w:rsidR="00925E6F" w:rsidRPr="004D4080">
        <w:rPr>
          <w:rFonts w:ascii="Arial" w:hAnsi="Arial" w:cs="Arial"/>
          <w:color w:val="0A1212"/>
        </w:rPr>
        <w:t xml:space="preserve">reversed if they were found to be preferential or </w:t>
      </w:r>
      <w:r w:rsidR="00FD3A60" w:rsidRPr="004D4080">
        <w:rPr>
          <w:rFonts w:ascii="Arial" w:hAnsi="Arial" w:cs="Arial"/>
          <w:color w:val="0A1212"/>
        </w:rPr>
        <w:t>completed during the suspect period under applicable law.</w:t>
      </w:r>
    </w:p>
    <w:p w14:paraId="20FDCFF1" w14:textId="77777777" w:rsidR="004D4080" w:rsidRPr="004D4080" w:rsidRDefault="004D4080" w:rsidP="004D4080">
      <w:pPr>
        <w:pStyle w:val="ListParagraph"/>
        <w:autoSpaceDE w:val="0"/>
        <w:autoSpaceDN w:val="0"/>
        <w:adjustRightInd w:val="0"/>
        <w:spacing w:after="0" w:line="240" w:lineRule="auto"/>
        <w:ind w:left="360"/>
        <w:rPr>
          <w:rFonts w:ascii="Arial" w:hAnsi="Arial" w:cs="Arial"/>
          <w:color w:val="0A1212"/>
        </w:rPr>
      </w:pPr>
    </w:p>
    <w:p w14:paraId="5105516A" w14:textId="2B17DAA7" w:rsidR="000F5685" w:rsidRDefault="004E6D69" w:rsidP="00E771D2">
      <w:pPr>
        <w:pStyle w:val="ListParagraph"/>
        <w:numPr>
          <w:ilvl w:val="0"/>
          <w:numId w:val="8"/>
        </w:numPr>
        <w:autoSpaceDE w:val="0"/>
        <w:autoSpaceDN w:val="0"/>
        <w:adjustRightInd w:val="0"/>
        <w:spacing w:after="0" w:line="240" w:lineRule="auto"/>
        <w:rPr>
          <w:rFonts w:ascii="Arial" w:hAnsi="Arial" w:cs="Arial"/>
          <w:color w:val="0A1212"/>
        </w:rPr>
      </w:pPr>
      <w:r w:rsidRPr="004D4080">
        <w:rPr>
          <w:rFonts w:ascii="Arial" w:hAnsi="Arial" w:cs="Arial"/>
          <w:b/>
          <w:bCs/>
          <w:color w:val="0A1212"/>
        </w:rPr>
        <w:t xml:space="preserve">Requirements to file for formal insolvency. </w:t>
      </w:r>
      <w:r w:rsidR="007A1EBA" w:rsidRPr="004D4080">
        <w:rPr>
          <w:rFonts w:ascii="Arial" w:hAnsi="Arial" w:cs="Arial"/>
          <w:color w:val="0A1212"/>
        </w:rPr>
        <w:t>Under the other countries’ applicable laws, there c</w:t>
      </w:r>
      <w:r w:rsidR="00123C14" w:rsidRPr="004D4080">
        <w:rPr>
          <w:rFonts w:ascii="Arial" w:hAnsi="Arial" w:cs="Arial"/>
          <w:color w:val="0A1212"/>
        </w:rPr>
        <w:t xml:space="preserve">ould be requirement that directors of </w:t>
      </w:r>
      <w:r w:rsidR="006B54A7" w:rsidRPr="004D4080">
        <w:rPr>
          <w:rFonts w:ascii="Arial" w:hAnsi="Arial" w:cs="Arial"/>
          <w:color w:val="0A1212"/>
        </w:rPr>
        <w:t xml:space="preserve">the </w:t>
      </w:r>
      <w:r w:rsidR="00123C14" w:rsidRPr="004D4080">
        <w:rPr>
          <w:rFonts w:ascii="Arial" w:hAnsi="Arial" w:cs="Arial"/>
          <w:color w:val="0A1212"/>
        </w:rPr>
        <w:t xml:space="preserve">subsidiary companies file for </w:t>
      </w:r>
      <w:r w:rsidR="006B54A7" w:rsidRPr="004D4080">
        <w:rPr>
          <w:rFonts w:ascii="Arial" w:hAnsi="Arial" w:cs="Arial"/>
          <w:color w:val="0A1212"/>
        </w:rPr>
        <w:t xml:space="preserve">formal </w:t>
      </w:r>
      <w:r w:rsidR="00123C14" w:rsidRPr="004D4080">
        <w:rPr>
          <w:rFonts w:ascii="Arial" w:hAnsi="Arial" w:cs="Arial"/>
          <w:color w:val="0A1212"/>
        </w:rPr>
        <w:t>insolvency</w:t>
      </w:r>
      <w:r w:rsidR="006B54A7" w:rsidRPr="004D4080">
        <w:rPr>
          <w:rFonts w:ascii="Arial" w:hAnsi="Arial" w:cs="Arial"/>
          <w:color w:val="0A1212"/>
        </w:rPr>
        <w:t xml:space="preserve"> if they believe the company is insolvent under the relevant test</w:t>
      </w:r>
      <w:r w:rsidR="00123C14" w:rsidRPr="004D4080">
        <w:rPr>
          <w:rFonts w:ascii="Arial" w:hAnsi="Arial" w:cs="Arial"/>
          <w:color w:val="0A1212"/>
        </w:rPr>
        <w:t xml:space="preserve">. </w:t>
      </w:r>
      <w:r w:rsidR="003337D5" w:rsidRPr="004D4080">
        <w:rPr>
          <w:rFonts w:ascii="Arial" w:hAnsi="Arial" w:cs="Arial"/>
          <w:color w:val="0A1212"/>
        </w:rPr>
        <w:t>This may bring the subsidiary under a formal insolvency procedure while the restructuring process is ongoing and potentially greatly complicate matters.</w:t>
      </w:r>
      <w:r w:rsidR="001F4C6D">
        <w:rPr>
          <w:rFonts w:ascii="Arial" w:hAnsi="Arial" w:cs="Arial"/>
          <w:color w:val="0A1212"/>
        </w:rPr>
        <w:t xml:space="preserve"> It may also expose directors of those subsidiaries to substantial financial or other penalties.</w:t>
      </w:r>
    </w:p>
    <w:p w14:paraId="4B06829C" w14:textId="77777777" w:rsidR="004D4080" w:rsidRPr="004D4080" w:rsidRDefault="004D4080" w:rsidP="004D4080">
      <w:pPr>
        <w:pStyle w:val="ListParagraph"/>
        <w:rPr>
          <w:rFonts w:ascii="Arial" w:hAnsi="Arial" w:cs="Arial"/>
          <w:color w:val="0A1212"/>
        </w:rPr>
      </w:pPr>
    </w:p>
    <w:p w14:paraId="088FF858" w14:textId="5ABAB32C" w:rsidR="00104B59" w:rsidRDefault="00A05B8A" w:rsidP="009D160E">
      <w:pPr>
        <w:pStyle w:val="ListParagraph"/>
        <w:numPr>
          <w:ilvl w:val="0"/>
          <w:numId w:val="8"/>
        </w:numPr>
        <w:autoSpaceDE w:val="0"/>
        <w:autoSpaceDN w:val="0"/>
        <w:adjustRightInd w:val="0"/>
        <w:spacing w:after="0" w:line="240" w:lineRule="auto"/>
        <w:rPr>
          <w:rFonts w:ascii="Arial" w:hAnsi="Arial" w:cs="Arial"/>
          <w:color w:val="0A1212"/>
        </w:rPr>
      </w:pPr>
      <w:r w:rsidRPr="004D4080">
        <w:rPr>
          <w:rFonts w:ascii="Arial" w:hAnsi="Arial" w:cs="Arial"/>
          <w:b/>
          <w:bCs/>
          <w:color w:val="0A1212"/>
        </w:rPr>
        <w:t>Structural issues in the five other countries.</w:t>
      </w:r>
      <w:r w:rsidRPr="004D4080">
        <w:rPr>
          <w:rFonts w:ascii="Arial" w:hAnsi="Arial" w:cs="Arial"/>
          <w:color w:val="0A1212"/>
        </w:rPr>
        <w:t xml:space="preserve"> </w:t>
      </w:r>
      <w:r w:rsidR="003504C4" w:rsidRPr="004D4080">
        <w:rPr>
          <w:rFonts w:ascii="Arial" w:hAnsi="Arial" w:cs="Arial"/>
          <w:color w:val="0A1212"/>
        </w:rPr>
        <w:t xml:space="preserve">The Restructuring Agreement states that the subsidiaries are “accommodated” under the new Flow II.  </w:t>
      </w:r>
      <w:r w:rsidR="003821C4" w:rsidRPr="004D4080">
        <w:rPr>
          <w:rFonts w:ascii="Arial" w:hAnsi="Arial" w:cs="Arial"/>
          <w:color w:val="0A1212"/>
        </w:rPr>
        <w:t>The l</w:t>
      </w:r>
      <w:r w:rsidR="00C64F6F" w:rsidRPr="004D4080">
        <w:rPr>
          <w:rFonts w:ascii="Arial" w:hAnsi="Arial" w:cs="Arial"/>
          <w:color w:val="0A1212"/>
        </w:rPr>
        <w:t>egal p</w:t>
      </w:r>
      <w:r w:rsidR="00B425B1" w:rsidRPr="004D4080">
        <w:rPr>
          <w:rFonts w:ascii="Arial" w:hAnsi="Arial" w:cs="Arial"/>
          <w:color w:val="0A1212"/>
        </w:rPr>
        <w:t xml:space="preserve">rocess under each subsidiary to </w:t>
      </w:r>
      <w:r w:rsidR="00C64F6F" w:rsidRPr="004D4080">
        <w:rPr>
          <w:rFonts w:ascii="Arial" w:hAnsi="Arial" w:cs="Arial"/>
          <w:color w:val="0A1212"/>
        </w:rPr>
        <w:t xml:space="preserve">transfer from </w:t>
      </w:r>
      <w:r w:rsidR="003821C4" w:rsidRPr="004D4080">
        <w:rPr>
          <w:rFonts w:ascii="Arial" w:hAnsi="Arial" w:cs="Arial"/>
          <w:color w:val="0A1212"/>
        </w:rPr>
        <w:t xml:space="preserve">being under </w:t>
      </w:r>
      <w:r w:rsidR="00C64F6F" w:rsidRPr="004D4080">
        <w:rPr>
          <w:rFonts w:ascii="Arial" w:hAnsi="Arial" w:cs="Arial"/>
          <w:color w:val="0A1212"/>
        </w:rPr>
        <w:t>the paren</w:t>
      </w:r>
      <w:r w:rsidR="003821C4" w:rsidRPr="004D4080">
        <w:rPr>
          <w:rFonts w:ascii="Arial" w:hAnsi="Arial" w:cs="Arial"/>
          <w:color w:val="0A1212"/>
        </w:rPr>
        <w:t xml:space="preserve">t </w:t>
      </w:r>
      <w:r w:rsidR="00C64F6F" w:rsidRPr="004D4080">
        <w:rPr>
          <w:rFonts w:ascii="Arial" w:hAnsi="Arial" w:cs="Arial"/>
          <w:color w:val="0A1212"/>
        </w:rPr>
        <w:t>Flow Management Holdings BV to Flow II</w:t>
      </w:r>
      <w:r w:rsidR="003821C4" w:rsidRPr="004D4080">
        <w:rPr>
          <w:rFonts w:ascii="Arial" w:hAnsi="Arial" w:cs="Arial"/>
          <w:color w:val="0A1212"/>
        </w:rPr>
        <w:t xml:space="preserve"> could be complicated and lengthy</w:t>
      </w:r>
      <w:r w:rsidR="00C64F6F" w:rsidRPr="004D4080">
        <w:rPr>
          <w:rFonts w:ascii="Arial" w:hAnsi="Arial" w:cs="Arial"/>
          <w:color w:val="0A1212"/>
        </w:rPr>
        <w:t xml:space="preserve">. </w:t>
      </w:r>
      <w:r w:rsidR="002778DB">
        <w:rPr>
          <w:rFonts w:ascii="Arial" w:hAnsi="Arial" w:cs="Arial"/>
          <w:color w:val="0A1212"/>
        </w:rPr>
        <w:t>The process of liquidating the original Flow may also be complicated because the owner is a United Kingdom-based company (Lease Group Holding).</w:t>
      </w:r>
    </w:p>
    <w:p w14:paraId="79AF9F9D" w14:textId="77777777" w:rsidR="004D4080" w:rsidRPr="004D4080" w:rsidRDefault="004D4080" w:rsidP="004D4080">
      <w:pPr>
        <w:pStyle w:val="ListParagraph"/>
        <w:rPr>
          <w:rFonts w:ascii="Arial" w:hAnsi="Arial" w:cs="Arial"/>
          <w:color w:val="0A1212"/>
        </w:rPr>
      </w:pPr>
    </w:p>
    <w:p w14:paraId="1D21CBA6" w14:textId="34BFC6E1" w:rsidR="00E959CB" w:rsidRDefault="009D160E" w:rsidP="00E771D2">
      <w:pPr>
        <w:pStyle w:val="ListParagraph"/>
        <w:numPr>
          <w:ilvl w:val="0"/>
          <w:numId w:val="8"/>
        </w:numPr>
        <w:autoSpaceDE w:val="0"/>
        <w:autoSpaceDN w:val="0"/>
        <w:adjustRightInd w:val="0"/>
        <w:spacing w:after="0" w:line="240" w:lineRule="auto"/>
        <w:rPr>
          <w:rFonts w:ascii="Arial" w:hAnsi="Arial" w:cs="Arial"/>
          <w:color w:val="0A1212"/>
        </w:rPr>
      </w:pPr>
      <w:r w:rsidRPr="004D4080">
        <w:rPr>
          <w:rFonts w:ascii="Arial" w:hAnsi="Arial" w:cs="Arial"/>
          <w:b/>
          <w:bCs/>
          <w:color w:val="0A1212"/>
        </w:rPr>
        <w:t>International Tax</w:t>
      </w:r>
      <w:r w:rsidRPr="004D4080">
        <w:rPr>
          <w:rFonts w:ascii="Arial" w:hAnsi="Arial" w:cs="Arial"/>
          <w:color w:val="0A1212"/>
        </w:rPr>
        <w:t xml:space="preserve">. </w:t>
      </w:r>
      <w:r w:rsidR="0054199E" w:rsidRPr="004D4080">
        <w:rPr>
          <w:rFonts w:ascii="Arial" w:hAnsi="Arial" w:cs="Arial"/>
          <w:color w:val="0A1212"/>
        </w:rPr>
        <w:t xml:space="preserve">Operating under so many different jurisdictions may mean that the effect of the restructuring could have tax implications. </w:t>
      </w:r>
      <w:r w:rsidR="006C4C17" w:rsidRPr="004D4080">
        <w:rPr>
          <w:rFonts w:ascii="Arial" w:hAnsi="Arial" w:cs="Arial"/>
          <w:color w:val="0A1212"/>
        </w:rPr>
        <w:t xml:space="preserve">These could arise, for example, with respect to the tax treatment of the </w:t>
      </w:r>
      <w:r w:rsidR="00E959CB" w:rsidRPr="004D4080">
        <w:rPr>
          <w:rFonts w:ascii="Arial" w:hAnsi="Arial" w:cs="Arial"/>
          <w:color w:val="0A1212"/>
        </w:rPr>
        <w:t>cancel</w:t>
      </w:r>
      <w:r w:rsidR="006C4C17" w:rsidRPr="004D4080">
        <w:rPr>
          <w:rFonts w:ascii="Arial" w:hAnsi="Arial" w:cs="Arial"/>
          <w:color w:val="0A1212"/>
        </w:rPr>
        <w:t>ation or haircut of debts or transfer of shares.</w:t>
      </w:r>
    </w:p>
    <w:p w14:paraId="61E9D688" w14:textId="77777777" w:rsidR="004D4080" w:rsidRPr="004D4080" w:rsidRDefault="004D4080" w:rsidP="004D4080">
      <w:pPr>
        <w:pStyle w:val="ListParagraph"/>
        <w:rPr>
          <w:rFonts w:ascii="Arial" w:hAnsi="Arial" w:cs="Arial"/>
          <w:color w:val="0A1212"/>
        </w:rPr>
      </w:pPr>
    </w:p>
    <w:p w14:paraId="2F6EFFD1" w14:textId="2ED4333D" w:rsidR="00B16928" w:rsidRDefault="00271BD2" w:rsidP="00E771D2">
      <w:pPr>
        <w:pStyle w:val="ListParagraph"/>
        <w:numPr>
          <w:ilvl w:val="0"/>
          <w:numId w:val="8"/>
        </w:numPr>
        <w:autoSpaceDE w:val="0"/>
        <w:autoSpaceDN w:val="0"/>
        <w:adjustRightInd w:val="0"/>
        <w:spacing w:after="0" w:line="240" w:lineRule="auto"/>
        <w:rPr>
          <w:rFonts w:ascii="Arial" w:hAnsi="Arial" w:cs="Arial"/>
          <w:color w:val="0A1212"/>
        </w:rPr>
      </w:pPr>
      <w:r w:rsidRPr="004D4080">
        <w:rPr>
          <w:rFonts w:ascii="Arial" w:hAnsi="Arial" w:cs="Arial"/>
          <w:b/>
          <w:bCs/>
          <w:color w:val="0A1212"/>
        </w:rPr>
        <w:t>Recognition</w:t>
      </w:r>
      <w:r w:rsidR="002D58E4" w:rsidRPr="004D4080">
        <w:rPr>
          <w:rFonts w:ascii="Arial" w:hAnsi="Arial" w:cs="Arial"/>
          <w:b/>
          <w:bCs/>
          <w:color w:val="0A1212"/>
        </w:rPr>
        <w:t xml:space="preserve">, Relief and Access in Formal Proceedings. </w:t>
      </w:r>
      <w:r w:rsidR="003877CF" w:rsidRPr="004D4080">
        <w:rPr>
          <w:rFonts w:ascii="Arial" w:hAnsi="Arial" w:cs="Arial"/>
          <w:color w:val="0A1212"/>
        </w:rPr>
        <w:t>If there is a formal process</w:t>
      </w:r>
      <w:r w:rsidR="00D0372C" w:rsidRPr="004D4080">
        <w:rPr>
          <w:rFonts w:ascii="Arial" w:hAnsi="Arial" w:cs="Arial"/>
          <w:color w:val="0A1212"/>
        </w:rPr>
        <w:t xml:space="preserve">, </w:t>
      </w:r>
      <w:r w:rsidR="003877CF" w:rsidRPr="004D4080">
        <w:rPr>
          <w:rFonts w:ascii="Arial" w:hAnsi="Arial" w:cs="Arial"/>
          <w:color w:val="0A1212"/>
        </w:rPr>
        <w:t xml:space="preserve">do the subsidiaries of the other countries have </w:t>
      </w:r>
      <w:r w:rsidR="006B3D39" w:rsidRPr="004D4080">
        <w:rPr>
          <w:rFonts w:ascii="Arial" w:hAnsi="Arial" w:cs="Arial"/>
          <w:color w:val="0A1212"/>
        </w:rPr>
        <w:t xml:space="preserve">clear cross-border insolvency procedures? </w:t>
      </w:r>
      <w:r w:rsidR="00D0372C" w:rsidRPr="004D4080">
        <w:rPr>
          <w:rFonts w:ascii="Arial" w:hAnsi="Arial" w:cs="Arial"/>
          <w:color w:val="0A1212"/>
        </w:rPr>
        <w:t>For example, it would be important to examine in advance w</w:t>
      </w:r>
      <w:r w:rsidR="00B16928" w:rsidRPr="004D4080">
        <w:rPr>
          <w:rFonts w:ascii="Arial" w:hAnsi="Arial" w:cs="Arial"/>
          <w:color w:val="0A1212"/>
        </w:rPr>
        <w:t xml:space="preserve">hether the other countries have something like the </w:t>
      </w:r>
      <w:r w:rsidR="002E278A" w:rsidRPr="004D4080">
        <w:rPr>
          <w:rFonts w:ascii="Arial" w:hAnsi="Arial" w:cs="Arial"/>
          <w:color w:val="0A1212"/>
        </w:rPr>
        <w:t xml:space="preserve">UNCITRAL </w:t>
      </w:r>
      <w:r w:rsidR="00B16928" w:rsidRPr="004D4080">
        <w:rPr>
          <w:rFonts w:ascii="Arial" w:hAnsi="Arial" w:cs="Arial"/>
          <w:color w:val="0A1212"/>
        </w:rPr>
        <w:t xml:space="preserve">Cross-Border </w:t>
      </w:r>
      <w:r w:rsidR="002E278A" w:rsidRPr="004D4080">
        <w:rPr>
          <w:rFonts w:ascii="Arial" w:hAnsi="Arial" w:cs="Arial"/>
          <w:color w:val="0A1212"/>
        </w:rPr>
        <w:t xml:space="preserve">Insolvency </w:t>
      </w:r>
      <w:r w:rsidR="00B16928" w:rsidRPr="004D4080">
        <w:rPr>
          <w:rFonts w:ascii="Arial" w:hAnsi="Arial" w:cs="Arial"/>
          <w:color w:val="0A1212"/>
        </w:rPr>
        <w:t xml:space="preserve">Model </w:t>
      </w:r>
      <w:r w:rsidR="002E278A" w:rsidRPr="004D4080">
        <w:rPr>
          <w:rFonts w:ascii="Arial" w:hAnsi="Arial" w:cs="Arial"/>
          <w:color w:val="0A1212"/>
        </w:rPr>
        <w:t>L</w:t>
      </w:r>
      <w:r w:rsidR="00B16928" w:rsidRPr="004D4080">
        <w:rPr>
          <w:rFonts w:ascii="Arial" w:hAnsi="Arial" w:cs="Arial"/>
          <w:color w:val="0A1212"/>
        </w:rPr>
        <w:t>aw</w:t>
      </w:r>
      <w:r w:rsidR="002E278A" w:rsidRPr="004D4080">
        <w:rPr>
          <w:rFonts w:ascii="Arial" w:hAnsi="Arial" w:cs="Arial"/>
          <w:color w:val="0A1212"/>
        </w:rPr>
        <w:t xml:space="preserve"> (Model Law)</w:t>
      </w:r>
      <w:r w:rsidR="00B16928" w:rsidRPr="004D4080">
        <w:rPr>
          <w:rFonts w:ascii="Arial" w:hAnsi="Arial" w:cs="Arial"/>
          <w:color w:val="0A1212"/>
        </w:rPr>
        <w:t xml:space="preserve"> in place</w:t>
      </w:r>
      <w:r w:rsidR="002E278A" w:rsidRPr="004D4080">
        <w:rPr>
          <w:rFonts w:ascii="Arial" w:hAnsi="Arial" w:cs="Arial"/>
          <w:color w:val="0A1212"/>
        </w:rPr>
        <w:t xml:space="preserve">.  The Model Law </w:t>
      </w:r>
      <w:r w:rsidR="00B16928" w:rsidRPr="004D4080">
        <w:rPr>
          <w:rFonts w:ascii="Arial" w:hAnsi="Arial" w:cs="Arial"/>
          <w:color w:val="0A1212"/>
        </w:rPr>
        <w:t>allows for: access</w:t>
      </w:r>
      <w:r w:rsidR="00470A3F" w:rsidRPr="004D4080">
        <w:rPr>
          <w:rFonts w:ascii="Arial" w:hAnsi="Arial" w:cs="Arial"/>
          <w:color w:val="0A1212"/>
        </w:rPr>
        <w:t xml:space="preserve"> of a foreign insolvency representative to the </w:t>
      </w:r>
      <w:r w:rsidR="006213EC" w:rsidRPr="004D4080">
        <w:rPr>
          <w:rFonts w:ascii="Arial" w:hAnsi="Arial" w:cs="Arial"/>
          <w:color w:val="0A1212"/>
        </w:rPr>
        <w:t>courts</w:t>
      </w:r>
      <w:r w:rsidR="00B16928" w:rsidRPr="004D4080">
        <w:rPr>
          <w:rFonts w:ascii="Arial" w:hAnsi="Arial" w:cs="Arial"/>
          <w:color w:val="0A1212"/>
        </w:rPr>
        <w:t xml:space="preserve">, </w:t>
      </w:r>
      <w:r w:rsidR="007B0E12" w:rsidRPr="004D4080">
        <w:rPr>
          <w:rFonts w:ascii="Arial" w:hAnsi="Arial" w:cs="Arial"/>
          <w:color w:val="0A1212"/>
        </w:rPr>
        <w:t xml:space="preserve">a simplified procedure for recognition of qualifying foreign insolvency </w:t>
      </w:r>
      <w:r w:rsidR="0034780D" w:rsidRPr="004D4080">
        <w:rPr>
          <w:rFonts w:ascii="Arial" w:hAnsi="Arial" w:cs="Arial"/>
          <w:color w:val="0A1212"/>
        </w:rPr>
        <w:t xml:space="preserve">and relief </w:t>
      </w:r>
      <w:r w:rsidR="00306BB6" w:rsidRPr="004D4080">
        <w:rPr>
          <w:rFonts w:ascii="Arial" w:hAnsi="Arial" w:cs="Arial"/>
          <w:color w:val="0A1212"/>
        </w:rPr>
        <w:t xml:space="preserve">including </w:t>
      </w:r>
      <w:r w:rsidR="00031E41" w:rsidRPr="004D4080">
        <w:rPr>
          <w:rFonts w:ascii="Arial" w:hAnsi="Arial" w:cs="Arial"/>
          <w:color w:val="0A1212"/>
        </w:rPr>
        <w:t>for both main and non-main proceedings – components would be stay of actions, suspension of debtor’s rights to transfer</w:t>
      </w:r>
      <w:r w:rsidR="00286ABB" w:rsidRPr="004D4080">
        <w:rPr>
          <w:rFonts w:ascii="Arial" w:hAnsi="Arial" w:cs="Arial"/>
          <w:color w:val="0A1212"/>
        </w:rPr>
        <w:t>/encumber</w:t>
      </w:r>
      <w:r w:rsidR="00031E41" w:rsidRPr="004D4080">
        <w:rPr>
          <w:rFonts w:ascii="Arial" w:hAnsi="Arial" w:cs="Arial"/>
          <w:color w:val="0A1212"/>
        </w:rPr>
        <w:t xml:space="preserve"> assets</w:t>
      </w:r>
      <w:r w:rsidR="009A6D92" w:rsidRPr="004D4080">
        <w:rPr>
          <w:rFonts w:ascii="Arial" w:hAnsi="Arial" w:cs="Arial"/>
          <w:color w:val="0A1212"/>
        </w:rPr>
        <w:t xml:space="preserve">. </w:t>
      </w:r>
      <w:r w:rsidR="007E68C1" w:rsidRPr="004D4080">
        <w:rPr>
          <w:rFonts w:ascii="Arial" w:hAnsi="Arial" w:cs="Arial"/>
          <w:color w:val="0A1212"/>
        </w:rPr>
        <w:t>W</w:t>
      </w:r>
      <w:r w:rsidR="009A6D92" w:rsidRPr="004D4080">
        <w:rPr>
          <w:rFonts w:ascii="Arial" w:hAnsi="Arial" w:cs="Arial"/>
          <w:color w:val="0A1212"/>
        </w:rPr>
        <w:t xml:space="preserve">ithout something akin to the </w:t>
      </w:r>
      <w:r w:rsidR="007E68C1" w:rsidRPr="004D4080">
        <w:rPr>
          <w:rFonts w:ascii="Arial" w:hAnsi="Arial" w:cs="Arial"/>
          <w:color w:val="0A1212"/>
        </w:rPr>
        <w:t>M</w:t>
      </w:r>
      <w:r w:rsidR="009A6D92" w:rsidRPr="004D4080">
        <w:rPr>
          <w:rFonts w:ascii="Arial" w:hAnsi="Arial" w:cs="Arial"/>
          <w:color w:val="0A1212"/>
        </w:rPr>
        <w:t xml:space="preserve">odel </w:t>
      </w:r>
      <w:r w:rsidR="007E68C1" w:rsidRPr="004D4080">
        <w:rPr>
          <w:rFonts w:ascii="Arial" w:hAnsi="Arial" w:cs="Arial"/>
          <w:color w:val="0A1212"/>
        </w:rPr>
        <w:t>L</w:t>
      </w:r>
      <w:r w:rsidR="009A6D92" w:rsidRPr="004D4080">
        <w:rPr>
          <w:rFonts w:ascii="Arial" w:hAnsi="Arial" w:cs="Arial"/>
          <w:color w:val="0A1212"/>
        </w:rPr>
        <w:t xml:space="preserve">aw, </w:t>
      </w:r>
      <w:r w:rsidR="007810AD" w:rsidRPr="004D4080">
        <w:rPr>
          <w:rFonts w:ascii="Arial" w:hAnsi="Arial" w:cs="Arial"/>
          <w:color w:val="0A1212"/>
        </w:rPr>
        <w:t xml:space="preserve">cooperation </w:t>
      </w:r>
      <w:r w:rsidR="003159DF" w:rsidRPr="004D4080">
        <w:rPr>
          <w:rFonts w:ascii="Arial" w:hAnsi="Arial" w:cs="Arial"/>
          <w:color w:val="0A1212"/>
        </w:rPr>
        <w:t>between court and foreign representatives and coordination of concurrent proceedings may be difficult</w:t>
      </w:r>
      <w:r w:rsidR="007E68C1" w:rsidRPr="004D4080">
        <w:rPr>
          <w:rFonts w:ascii="Arial" w:hAnsi="Arial" w:cs="Arial"/>
          <w:color w:val="0A1212"/>
        </w:rPr>
        <w:t>, making the process uncertain, lengthy</w:t>
      </w:r>
      <w:r w:rsidR="00D06B82">
        <w:rPr>
          <w:rFonts w:ascii="Arial" w:hAnsi="Arial" w:cs="Arial"/>
          <w:color w:val="0A1212"/>
        </w:rPr>
        <w:t>,</w:t>
      </w:r>
      <w:r w:rsidR="007E68C1" w:rsidRPr="004D4080">
        <w:rPr>
          <w:rFonts w:ascii="Arial" w:hAnsi="Arial" w:cs="Arial"/>
          <w:color w:val="0A1212"/>
        </w:rPr>
        <w:t xml:space="preserve"> and expensive.</w:t>
      </w:r>
    </w:p>
    <w:p w14:paraId="65D31935" w14:textId="77777777" w:rsidR="004D4080" w:rsidRPr="004D4080" w:rsidRDefault="004D4080" w:rsidP="004D4080">
      <w:pPr>
        <w:pStyle w:val="ListParagraph"/>
        <w:rPr>
          <w:rFonts w:ascii="Arial" w:hAnsi="Arial" w:cs="Arial"/>
          <w:color w:val="0A1212"/>
        </w:rPr>
      </w:pPr>
    </w:p>
    <w:p w14:paraId="7231A608" w14:textId="6DD7A320" w:rsidR="008D6CCF" w:rsidRDefault="008D6CCF" w:rsidP="00E771D2">
      <w:pPr>
        <w:pStyle w:val="ListParagraph"/>
        <w:numPr>
          <w:ilvl w:val="0"/>
          <w:numId w:val="8"/>
        </w:numPr>
        <w:autoSpaceDE w:val="0"/>
        <w:autoSpaceDN w:val="0"/>
        <w:adjustRightInd w:val="0"/>
        <w:spacing w:after="0" w:line="240" w:lineRule="auto"/>
        <w:rPr>
          <w:rFonts w:ascii="Arial" w:hAnsi="Arial" w:cs="Arial"/>
          <w:color w:val="0A1212"/>
        </w:rPr>
      </w:pPr>
      <w:r w:rsidRPr="004D4080">
        <w:rPr>
          <w:rFonts w:ascii="Arial" w:hAnsi="Arial" w:cs="Arial"/>
          <w:b/>
          <w:bCs/>
          <w:color w:val="0A1212"/>
        </w:rPr>
        <w:t xml:space="preserve">Cultural </w:t>
      </w:r>
      <w:r w:rsidR="001775E9" w:rsidRPr="004D4080">
        <w:rPr>
          <w:rFonts w:ascii="Arial" w:hAnsi="Arial" w:cs="Arial"/>
          <w:b/>
          <w:bCs/>
          <w:color w:val="0A1212"/>
        </w:rPr>
        <w:t>I</w:t>
      </w:r>
      <w:r w:rsidRPr="004D4080">
        <w:rPr>
          <w:rFonts w:ascii="Arial" w:hAnsi="Arial" w:cs="Arial"/>
          <w:b/>
          <w:bCs/>
          <w:color w:val="0A1212"/>
        </w:rPr>
        <w:t>ssues</w:t>
      </w:r>
      <w:r w:rsidR="006532DB" w:rsidRPr="004D4080">
        <w:rPr>
          <w:rFonts w:ascii="Arial" w:hAnsi="Arial" w:cs="Arial"/>
          <w:b/>
          <w:bCs/>
          <w:color w:val="0A1212"/>
        </w:rPr>
        <w:t>.</w:t>
      </w:r>
      <w:r w:rsidRPr="004D4080">
        <w:rPr>
          <w:rFonts w:ascii="Arial" w:hAnsi="Arial" w:cs="Arial"/>
          <w:color w:val="0A1212"/>
        </w:rPr>
        <w:t xml:space="preserve"> </w:t>
      </w:r>
      <w:r w:rsidR="006F3976" w:rsidRPr="004D4080">
        <w:rPr>
          <w:rFonts w:ascii="Arial" w:hAnsi="Arial" w:cs="Arial"/>
          <w:color w:val="0A1212"/>
        </w:rPr>
        <w:t xml:space="preserve">In terms of non-legal issues, </w:t>
      </w:r>
      <w:r w:rsidR="00F45D18" w:rsidRPr="004D4080">
        <w:rPr>
          <w:rFonts w:ascii="Arial" w:hAnsi="Arial" w:cs="Arial"/>
          <w:color w:val="0A1212"/>
        </w:rPr>
        <w:t>cultural</w:t>
      </w:r>
      <w:r w:rsidR="003D17AA" w:rsidRPr="004D4080">
        <w:rPr>
          <w:rFonts w:ascii="Arial" w:hAnsi="Arial" w:cs="Arial"/>
          <w:color w:val="0A1212"/>
        </w:rPr>
        <w:t xml:space="preserve"> considerations should be </w:t>
      </w:r>
      <w:r w:rsidR="00E06317" w:rsidRPr="004D4080">
        <w:rPr>
          <w:rFonts w:ascii="Arial" w:hAnsi="Arial" w:cs="Arial"/>
          <w:color w:val="0A1212"/>
        </w:rPr>
        <w:t>examined</w:t>
      </w:r>
      <w:r w:rsidR="003D17AA" w:rsidRPr="004D4080">
        <w:rPr>
          <w:rFonts w:ascii="Arial" w:hAnsi="Arial" w:cs="Arial"/>
          <w:color w:val="0A1212"/>
        </w:rPr>
        <w:t>.  Stigma related to insolvency still exists in many countries. Further, c</w:t>
      </w:r>
      <w:r w:rsidRPr="004D4080">
        <w:rPr>
          <w:rFonts w:ascii="Arial" w:hAnsi="Arial" w:cs="Arial"/>
          <w:color w:val="0A1212"/>
        </w:rPr>
        <w:t>oordination</w:t>
      </w:r>
      <w:r w:rsidR="003D17AA" w:rsidRPr="004D4080">
        <w:rPr>
          <w:rFonts w:ascii="Arial" w:hAnsi="Arial" w:cs="Arial"/>
          <w:color w:val="0A1212"/>
        </w:rPr>
        <w:t xml:space="preserve"> and </w:t>
      </w:r>
      <w:r w:rsidRPr="004D4080">
        <w:rPr>
          <w:rFonts w:ascii="Arial" w:hAnsi="Arial" w:cs="Arial"/>
          <w:color w:val="0A1212"/>
        </w:rPr>
        <w:t xml:space="preserve">communication amongst countries </w:t>
      </w:r>
      <w:r w:rsidR="00AF4A56" w:rsidRPr="004D4080">
        <w:rPr>
          <w:rFonts w:ascii="Arial" w:hAnsi="Arial" w:cs="Arial"/>
          <w:color w:val="0A1212"/>
        </w:rPr>
        <w:t xml:space="preserve">(including language issues) should be </w:t>
      </w:r>
      <w:r w:rsidR="00E15CF6" w:rsidRPr="004D4080">
        <w:rPr>
          <w:rFonts w:ascii="Arial" w:hAnsi="Arial" w:cs="Arial"/>
          <w:color w:val="0A1212"/>
        </w:rPr>
        <w:t>considered</w:t>
      </w:r>
      <w:r w:rsidR="00AF4A56" w:rsidRPr="004D4080">
        <w:rPr>
          <w:rFonts w:ascii="Arial" w:hAnsi="Arial" w:cs="Arial"/>
          <w:color w:val="0A1212"/>
        </w:rPr>
        <w:t xml:space="preserve"> – what’s the best and most effective method to communicate given the goals?</w:t>
      </w:r>
    </w:p>
    <w:p w14:paraId="4DA58766" w14:textId="77777777" w:rsidR="004D4080" w:rsidRPr="004D4080" w:rsidRDefault="004D4080" w:rsidP="004D4080">
      <w:pPr>
        <w:pStyle w:val="ListParagraph"/>
        <w:rPr>
          <w:rFonts w:ascii="Arial" w:hAnsi="Arial" w:cs="Arial"/>
          <w:color w:val="0A1212"/>
        </w:rPr>
      </w:pPr>
    </w:p>
    <w:p w14:paraId="6BD4FB54" w14:textId="33ECD1D8" w:rsidR="001775E9" w:rsidRPr="004D4080" w:rsidRDefault="001775E9" w:rsidP="00E771D2">
      <w:pPr>
        <w:pStyle w:val="ListParagraph"/>
        <w:numPr>
          <w:ilvl w:val="0"/>
          <w:numId w:val="8"/>
        </w:numPr>
        <w:autoSpaceDE w:val="0"/>
        <w:autoSpaceDN w:val="0"/>
        <w:adjustRightInd w:val="0"/>
        <w:spacing w:after="0" w:line="240" w:lineRule="auto"/>
        <w:rPr>
          <w:rFonts w:ascii="Arial" w:hAnsi="Arial" w:cs="Arial"/>
          <w:color w:val="0A1212"/>
        </w:rPr>
      </w:pPr>
      <w:r w:rsidRPr="004D4080">
        <w:rPr>
          <w:rFonts w:ascii="Arial" w:hAnsi="Arial" w:cs="Arial"/>
          <w:b/>
          <w:bCs/>
          <w:color w:val="0A1212"/>
        </w:rPr>
        <w:t xml:space="preserve">Different </w:t>
      </w:r>
      <w:r w:rsidR="00B83E6B">
        <w:rPr>
          <w:rFonts w:ascii="Arial" w:hAnsi="Arial" w:cs="Arial"/>
          <w:b/>
          <w:bCs/>
          <w:color w:val="0A1212"/>
        </w:rPr>
        <w:t xml:space="preserve">Professional </w:t>
      </w:r>
      <w:r w:rsidRPr="004D4080">
        <w:rPr>
          <w:rFonts w:ascii="Arial" w:hAnsi="Arial" w:cs="Arial"/>
          <w:b/>
          <w:bCs/>
          <w:color w:val="0A1212"/>
        </w:rPr>
        <w:t>Standards.</w:t>
      </w:r>
      <w:r w:rsidR="00AF4A56" w:rsidRPr="004D4080">
        <w:rPr>
          <w:rFonts w:ascii="Arial" w:hAnsi="Arial" w:cs="Arial"/>
          <w:b/>
          <w:bCs/>
          <w:color w:val="0A1212"/>
        </w:rPr>
        <w:t xml:space="preserve"> </w:t>
      </w:r>
      <w:r w:rsidR="00AF4A56" w:rsidRPr="004D4080">
        <w:rPr>
          <w:rFonts w:ascii="Arial" w:hAnsi="Arial" w:cs="Arial"/>
          <w:color w:val="0A1212"/>
        </w:rPr>
        <w:t xml:space="preserve">Different countries also likely have </w:t>
      </w:r>
      <w:r w:rsidR="008F5217" w:rsidRPr="004D4080">
        <w:rPr>
          <w:rFonts w:ascii="Arial" w:hAnsi="Arial" w:cs="Arial"/>
          <w:color w:val="0A1212"/>
        </w:rPr>
        <w:t xml:space="preserve">differing professional standards such as accounting standards or even regulatory </w:t>
      </w:r>
      <w:r w:rsidR="007F0840" w:rsidRPr="004D4080">
        <w:rPr>
          <w:rFonts w:ascii="Arial" w:hAnsi="Arial" w:cs="Arial"/>
          <w:color w:val="0A1212"/>
        </w:rPr>
        <w:t>standards.</w:t>
      </w:r>
    </w:p>
    <w:p w14:paraId="2E40722E" w14:textId="77777777" w:rsidR="00D34615" w:rsidRPr="00D34615" w:rsidRDefault="00D34615" w:rsidP="00D34615">
      <w:pPr>
        <w:autoSpaceDE w:val="0"/>
        <w:autoSpaceDN w:val="0"/>
        <w:adjustRightInd w:val="0"/>
        <w:spacing w:after="0" w:line="240" w:lineRule="auto"/>
        <w:rPr>
          <w:rFonts w:ascii="Arial" w:hAnsi="Arial" w:cs="Arial"/>
        </w:rPr>
      </w:pPr>
    </w:p>
    <w:p w14:paraId="6580D1D4" w14:textId="340B441E" w:rsidR="00ED399D" w:rsidRDefault="00011126" w:rsidP="00277232">
      <w:pPr>
        <w:pStyle w:val="ListParagraph"/>
        <w:numPr>
          <w:ilvl w:val="0"/>
          <w:numId w:val="1"/>
        </w:numPr>
        <w:autoSpaceDE w:val="0"/>
        <w:autoSpaceDN w:val="0"/>
        <w:adjustRightInd w:val="0"/>
        <w:spacing w:after="0" w:line="240" w:lineRule="auto"/>
        <w:rPr>
          <w:rFonts w:ascii="Arial" w:hAnsi="Arial" w:cs="Arial"/>
          <w:b/>
          <w:bCs/>
        </w:rPr>
      </w:pPr>
      <w:r w:rsidRPr="00A22C9C">
        <w:rPr>
          <w:rFonts w:ascii="Arial" w:hAnsi="Arial" w:cs="Arial"/>
          <w:b/>
          <w:bCs/>
        </w:rPr>
        <w:lastRenderedPageBreak/>
        <w:t xml:space="preserve">In October 2014 four scenarios have been drawn up. Why </w:t>
      </w:r>
      <w:r w:rsidRPr="00A22C9C">
        <w:rPr>
          <w:rFonts w:ascii="Arial" w:hAnsi="Arial" w:cs="Arial"/>
          <w:b/>
          <w:bCs/>
          <w:i/>
          <w:iCs/>
        </w:rPr>
        <w:t xml:space="preserve">was </w:t>
      </w:r>
      <w:r w:rsidRPr="00A22C9C">
        <w:rPr>
          <w:rFonts w:ascii="Arial" w:hAnsi="Arial" w:cs="Arial"/>
          <w:b/>
          <w:bCs/>
        </w:rPr>
        <w:t xml:space="preserve">or </w:t>
      </w:r>
      <w:r w:rsidRPr="00A22C9C">
        <w:rPr>
          <w:rFonts w:ascii="Arial" w:hAnsi="Arial" w:cs="Arial"/>
          <w:b/>
          <w:bCs/>
          <w:i/>
          <w:iCs/>
        </w:rPr>
        <w:t xml:space="preserve">wasn’t </w:t>
      </w:r>
      <w:r w:rsidRPr="00A22C9C">
        <w:rPr>
          <w:rFonts w:ascii="Arial" w:hAnsi="Arial" w:cs="Arial"/>
          <w:b/>
          <w:bCs/>
        </w:rPr>
        <w:t>calling for a</w:t>
      </w:r>
      <w:r w:rsidR="00277232" w:rsidRPr="00A22C9C">
        <w:rPr>
          <w:rFonts w:ascii="Arial" w:hAnsi="Arial" w:cs="Arial"/>
          <w:b/>
          <w:bCs/>
        </w:rPr>
        <w:t xml:space="preserve"> </w:t>
      </w:r>
      <w:r w:rsidRPr="00A22C9C">
        <w:rPr>
          <w:rFonts w:ascii="Arial" w:hAnsi="Arial" w:cs="Arial"/>
          <w:b/>
          <w:bCs/>
        </w:rPr>
        <w:t>moratorium (see scenario 4) a good option given the situation at that time? [you are</w:t>
      </w:r>
      <w:r w:rsidR="00277232" w:rsidRPr="00A22C9C">
        <w:rPr>
          <w:rFonts w:ascii="Arial" w:hAnsi="Arial" w:cs="Arial"/>
          <w:b/>
          <w:bCs/>
        </w:rPr>
        <w:t xml:space="preserve"> </w:t>
      </w:r>
      <w:r w:rsidRPr="00A22C9C">
        <w:rPr>
          <w:rFonts w:ascii="Arial" w:hAnsi="Arial" w:cs="Arial"/>
          <w:b/>
          <w:bCs/>
        </w:rPr>
        <w:t>allowed to give your opinion based on your own countries’ Bankruptcy Act; be as</w:t>
      </w:r>
      <w:r w:rsidR="00277232" w:rsidRPr="00A22C9C">
        <w:rPr>
          <w:rFonts w:ascii="Arial" w:hAnsi="Arial" w:cs="Arial"/>
          <w:b/>
          <w:bCs/>
        </w:rPr>
        <w:t xml:space="preserve"> </w:t>
      </w:r>
      <w:r w:rsidRPr="00A22C9C">
        <w:rPr>
          <w:rFonts w:ascii="Arial" w:hAnsi="Arial" w:cs="Arial"/>
          <w:b/>
          <w:bCs/>
        </w:rPr>
        <w:t>detailed as possible]</w:t>
      </w:r>
    </w:p>
    <w:p w14:paraId="5B35EE45" w14:textId="77777777" w:rsidR="004D4080" w:rsidRPr="00A22C9C" w:rsidRDefault="004D4080" w:rsidP="004D4080">
      <w:pPr>
        <w:pStyle w:val="ListParagraph"/>
        <w:autoSpaceDE w:val="0"/>
        <w:autoSpaceDN w:val="0"/>
        <w:adjustRightInd w:val="0"/>
        <w:spacing w:after="0" w:line="240" w:lineRule="auto"/>
        <w:ind w:left="360"/>
        <w:rPr>
          <w:rFonts w:ascii="Arial" w:hAnsi="Arial" w:cs="Arial"/>
          <w:b/>
          <w:bCs/>
        </w:rPr>
      </w:pPr>
    </w:p>
    <w:p w14:paraId="335171D0" w14:textId="04F9A8D6" w:rsidR="00432A79" w:rsidRDefault="003E7689" w:rsidP="00A97436">
      <w:pPr>
        <w:autoSpaceDE w:val="0"/>
        <w:autoSpaceDN w:val="0"/>
        <w:adjustRightInd w:val="0"/>
        <w:spacing w:after="0" w:line="240" w:lineRule="auto"/>
        <w:rPr>
          <w:rFonts w:ascii="Arial" w:hAnsi="Arial" w:cs="Arial"/>
        </w:rPr>
      </w:pPr>
      <w:r>
        <w:rPr>
          <w:rFonts w:ascii="Arial" w:hAnsi="Arial" w:cs="Arial"/>
        </w:rPr>
        <w:t>From my understanding of the case study</w:t>
      </w:r>
      <w:r w:rsidR="00B9408D">
        <w:rPr>
          <w:rFonts w:ascii="Arial" w:hAnsi="Arial" w:cs="Arial"/>
        </w:rPr>
        <w:t>, the</w:t>
      </w:r>
      <w:r w:rsidR="00990D45">
        <w:rPr>
          <w:rFonts w:ascii="Arial" w:hAnsi="Arial" w:cs="Arial"/>
        </w:rPr>
        <w:t xml:space="preserve"> moratorium</w:t>
      </w:r>
      <w:r w:rsidR="00B9408D">
        <w:rPr>
          <w:rFonts w:ascii="Arial" w:hAnsi="Arial" w:cs="Arial"/>
        </w:rPr>
        <w:t xml:space="preserve"> </w:t>
      </w:r>
      <w:r w:rsidR="00716064">
        <w:rPr>
          <w:rFonts w:ascii="Arial" w:hAnsi="Arial" w:cs="Arial"/>
        </w:rPr>
        <w:t xml:space="preserve">mentioned in </w:t>
      </w:r>
      <w:r w:rsidR="00B9408D">
        <w:rPr>
          <w:rFonts w:ascii="Arial" w:hAnsi="Arial" w:cs="Arial"/>
        </w:rPr>
        <w:t xml:space="preserve">part of scenario 4 </w:t>
      </w:r>
      <w:r w:rsidR="00990D45">
        <w:rPr>
          <w:rFonts w:ascii="Arial" w:hAnsi="Arial" w:cs="Arial"/>
        </w:rPr>
        <w:t>would be</w:t>
      </w:r>
      <w:r w:rsidR="00BC5EE1">
        <w:rPr>
          <w:rFonts w:ascii="Arial" w:hAnsi="Arial" w:cs="Arial"/>
        </w:rPr>
        <w:t xml:space="preserve"> to open a formal restructuring procedure under Dutch Law. </w:t>
      </w:r>
      <w:r w:rsidR="00C61C71">
        <w:rPr>
          <w:rFonts w:ascii="Arial" w:hAnsi="Arial" w:cs="Arial"/>
        </w:rPr>
        <w:t>Therefore, the question is wh</w:t>
      </w:r>
      <w:r w:rsidR="00F1393A">
        <w:rPr>
          <w:rFonts w:ascii="Arial" w:hAnsi="Arial" w:cs="Arial"/>
        </w:rPr>
        <w:t>y was or wasn’t calling for a formal restructuring procedure a good option given the situation.</w:t>
      </w:r>
      <w:r w:rsidR="008C706B">
        <w:rPr>
          <w:rFonts w:ascii="Arial" w:hAnsi="Arial" w:cs="Arial"/>
        </w:rPr>
        <w:t xml:space="preserve"> </w:t>
      </w:r>
      <w:r w:rsidR="00A000B6">
        <w:rPr>
          <w:rFonts w:ascii="Arial" w:hAnsi="Arial" w:cs="Arial"/>
        </w:rPr>
        <w:t xml:space="preserve">Based upon the case, this doesn’t seem to be a good option at the time for </w:t>
      </w:r>
      <w:r w:rsidR="008C706B">
        <w:rPr>
          <w:rFonts w:ascii="Arial" w:hAnsi="Arial" w:cs="Arial"/>
        </w:rPr>
        <w:t>several</w:t>
      </w:r>
      <w:r w:rsidR="00A000B6">
        <w:rPr>
          <w:rFonts w:ascii="Arial" w:hAnsi="Arial" w:cs="Arial"/>
        </w:rPr>
        <w:t xml:space="preserve"> reasons. </w:t>
      </w:r>
      <w:r w:rsidR="00432A79">
        <w:rPr>
          <w:rFonts w:ascii="Arial" w:hAnsi="Arial" w:cs="Arial"/>
        </w:rPr>
        <w:t xml:space="preserve">I will </w:t>
      </w:r>
      <w:r w:rsidR="008316C5">
        <w:rPr>
          <w:rFonts w:ascii="Arial" w:hAnsi="Arial" w:cs="Arial"/>
        </w:rPr>
        <w:t xml:space="preserve">also </w:t>
      </w:r>
      <w:r w:rsidR="00432A79">
        <w:rPr>
          <w:rFonts w:ascii="Arial" w:hAnsi="Arial" w:cs="Arial"/>
        </w:rPr>
        <w:t xml:space="preserve">use the Rwandan Insolvency Law, 2021 </w:t>
      </w:r>
      <w:r w:rsidR="00386AEC">
        <w:rPr>
          <w:rFonts w:ascii="Arial" w:hAnsi="Arial" w:cs="Arial"/>
        </w:rPr>
        <w:t>to provide examples in my answer.</w:t>
      </w:r>
    </w:p>
    <w:p w14:paraId="318C93E8" w14:textId="77777777" w:rsidR="00386AEC" w:rsidRDefault="00386AEC" w:rsidP="00A97436">
      <w:pPr>
        <w:autoSpaceDE w:val="0"/>
        <w:autoSpaceDN w:val="0"/>
        <w:adjustRightInd w:val="0"/>
        <w:spacing w:after="0" w:line="240" w:lineRule="auto"/>
        <w:rPr>
          <w:rFonts w:ascii="Arial" w:hAnsi="Arial" w:cs="Arial"/>
        </w:rPr>
      </w:pPr>
    </w:p>
    <w:p w14:paraId="5083DEB3" w14:textId="18539C8E" w:rsidR="009540C4" w:rsidRDefault="009540C4" w:rsidP="009540C4">
      <w:pPr>
        <w:pStyle w:val="ListParagraph"/>
        <w:numPr>
          <w:ilvl w:val="0"/>
          <w:numId w:val="14"/>
        </w:numPr>
        <w:autoSpaceDE w:val="0"/>
        <w:autoSpaceDN w:val="0"/>
        <w:adjustRightInd w:val="0"/>
        <w:spacing w:after="0" w:line="240" w:lineRule="auto"/>
        <w:rPr>
          <w:rFonts w:ascii="Arial" w:hAnsi="Arial" w:cs="Arial"/>
        </w:rPr>
      </w:pPr>
      <w:r w:rsidRPr="007D7B7A">
        <w:rPr>
          <w:rFonts w:ascii="Arial" w:hAnsi="Arial" w:cs="Arial"/>
          <w:b/>
          <w:bCs/>
        </w:rPr>
        <w:t>Involvement of all creditors:</w:t>
      </w:r>
      <w:r>
        <w:rPr>
          <w:rFonts w:ascii="Arial" w:hAnsi="Arial" w:cs="Arial"/>
        </w:rPr>
        <w:t xml:space="preserve"> </w:t>
      </w:r>
      <w:r w:rsidR="00E46FB5">
        <w:rPr>
          <w:rFonts w:ascii="Arial" w:hAnsi="Arial" w:cs="Arial"/>
        </w:rPr>
        <w:t>since a formal re</w:t>
      </w:r>
      <w:r w:rsidR="00497C1C">
        <w:rPr>
          <w:rFonts w:ascii="Arial" w:hAnsi="Arial" w:cs="Arial"/>
        </w:rPr>
        <w:t xml:space="preserve">structuring is a collective procedure, all creditors must be informed </w:t>
      </w:r>
      <w:r w:rsidR="00D16FC4">
        <w:rPr>
          <w:rFonts w:ascii="Arial" w:hAnsi="Arial" w:cs="Arial"/>
        </w:rPr>
        <w:t xml:space="preserve">of the procedure, and they are entitled to fully participate. This means that they must receive notice, file claims, </w:t>
      </w:r>
      <w:r w:rsidR="006921F0">
        <w:rPr>
          <w:rFonts w:ascii="Arial" w:hAnsi="Arial" w:cs="Arial"/>
        </w:rPr>
        <w:t>vote on restructuring plans. The restructuring</w:t>
      </w:r>
      <w:r w:rsidR="007D7B7A">
        <w:rPr>
          <w:rFonts w:ascii="Arial" w:hAnsi="Arial" w:cs="Arial"/>
        </w:rPr>
        <w:t xml:space="preserve"> becomes a much larger process instead of one with select important creditors.</w:t>
      </w:r>
      <w:r w:rsidR="007F1871">
        <w:rPr>
          <w:rFonts w:ascii="Arial" w:hAnsi="Arial" w:cs="Arial"/>
        </w:rPr>
        <w:t xml:space="preserve"> In Flow, the Banks are </w:t>
      </w:r>
      <w:r w:rsidR="00B30406">
        <w:rPr>
          <w:rFonts w:ascii="Arial" w:hAnsi="Arial" w:cs="Arial"/>
        </w:rPr>
        <w:t>those involved in the informal restructuring process. They would likely have to invite many other creditors into the process.</w:t>
      </w:r>
      <w:r w:rsidR="00672E62">
        <w:rPr>
          <w:rFonts w:ascii="Arial" w:hAnsi="Arial" w:cs="Arial"/>
        </w:rPr>
        <w:t xml:space="preserve"> Further, voting procedures sometimes require consent of </w:t>
      </w:r>
      <w:proofErr w:type="gramStart"/>
      <w:r w:rsidR="00672E62">
        <w:rPr>
          <w:rFonts w:ascii="Arial" w:hAnsi="Arial" w:cs="Arial"/>
        </w:rPr>
        <w:t>all of</w:t>
      </w:r>
      <w:proofErr w:type="gramEnd"/>
      <w:r w:rsidR="00672E62">
        <w:rPr>
          <w:rFonts w:ascii="Arial" w:hAnsi="Arial" w:cs="Arial"/>
        </w:rPr>
        <w:t xml:space="preserve"> the different creditor classes to pass a reorganization plan.</w:t>
      </w:r>
      <w:r w:rsidR="00C16598">
        <w:rPr>
          <w:rStyle w:val="FootnoteReference"/>
          <w:rFonts w:ascii="Arial" w:hAnsi="Arial" w:cs="Arial"/>
        </w:rPr>
        <w:footnoteReference w:id="57"/>
      </w:r>
    </w:p>
    <w:p w14:paraId="483FDCEE" w14:textId="77777777" w:rsidR="00725259" w:rsidRDefault="00725259" w:rsidP="00725259">
      <w:pPr>
        <w:pStyle w:val="ListParagraph"/>
        <w:autoSpaceDE w:val="0"/>
        <w:autoSpaceDN w:val="0"/>
        <w:adjustRightInd w:val="0"/>
        <w:spacing w:after="0" w:line="240" w:lineRule="auto"/>
        <w:ind w:left="360"/>
        <w:rPr>
          <w:rFonts w:ascii="Arial" w:hAnsi="Arial" w:cs="Arial"/>
        </w:rPr>
      </w:pPr>
    </w:p>
    <w:p w14:paraId="0E17D5F6" w14:textId="0497EDC0" w:rsidR="00386AEC" w:rsidRPr="00725259" w:rsidRDefault="00386AEC" w:rsidP="00386AEC">
      <w:pPr>
        <w:pStyle w:val="ListParagraph"/>
        <w:numPr>
          <w:ilvl w:val="0"/>
          <w:numId w:val="14"/>
        </w:numPr>
        <w:autoSpaceDE w:val="0"/>
        <w:autoSpaceDN w:val="0"/>
        <w:adjustRightInd w:val="0"/>
        <w:spacing w:after="0" w:line="240" w:lineRule="auto"/>
        <w:rPr>
          <w:rFonts w:ascii="Arial" w:hAnsi="Arial" w:cs="Arial"/>
          <w:b/>
          <w:bCs/>
        </w:rPr>
      </w:pPr>
      <w:r w:rsidRPr="00BB0136">
        <w:rPr>
          <w:rFonts w:ascii="Arial" w:hAnsi="Arial" w:cs="Arial"/>
          <w:b/>
          <w:bCs/>
        </w:rPr>
        <w:t>Replacement of management</w:t>
      </w:r>
      <w:r w:rsidR="009C05C1" w:rsidRPr="00BB0136">
        <w:rPr>
          <w:rFonts w:ascii="Arial" w:hAnsi="Arial" w:cs="Arial"/>
          <w:b/>
          <w:bCs/>
        </w:rPr>
        <w:t>:</w:t>
      </w:r>
      <w:r w:rsidR="00BB0136">
        <w:rPr>
          <w:rFonts w:ascii="Arial" w:hAnsi="Arial" w:cs="Arial"/>
        </w:rPr>
        <w:t xml:space="preserve"> </w:t>
      </w:r>
      <w:r w:rsidR="00ED2897">
        <w:rPr>
          <w:rFonts w:ascii="Arial" w:hAnsi="Arial" w:cs="Arial"/>
        </w:rPr>
        <w:t xml:space="preserve">in some jurisdictions </w:t>
      </w:r>
      <w:r w:rsidR="00A83D9F">
        <w:rPr>
          <w:rFonts w:ascii="Arial" w:hAnsi="Arial" w:cs="Arial"/>
        </w:rPr>
        <w:t xml:space="preserve">once a formal process is started, then the existing management is replaced with an insolvency administrator who </w:t>
      </w:r>
      <w:r w:rsidR="006C431A">
        <w:rPr>
          <w:rFonts w:ascii="Arial" w:hAnsi="Arial" w:cs="Arial"/>
        </w:rPr>
        <w:t xml:space="preserve">takes control over the company, makes decisions about assets, communicates with </w:t>
      </w:r>
      <w:r w:rsidR="003F5453">
        <w:rPr>
          <w:rFonts w:ascii="Arial" w:hAnsi="Arial" w:cs="Arial"/>
        </w:rPr>
        <w:t>parties,</w:t>
      </w:r>
      <w:r w:rsidR="006C431A">
        <w:rPr>
          <w:rFonts w:ascii="Arial" w:hAnsi="Arial" w:cs="Arial"/>
        </w:rPr>
        <w:t xml:space="preserve"> and even</w:t>
      </w:r>
      <w:r w:rsidR="003F5453">
        <w:rPr>
          <w:rFonts w:ascii="Arial" w:hAnsi="Arial" w:cs="Arial"/>
        </w:rPr>
        <w:t xml:space="preserve"> can be charged with</w:t>
      </w:r>
      <w:r w:rsidR="006C431A">
        <w:rPr>
          <w:rFonts w:ascii="Arial" w:hAnsi="Arial" w:cs="Arial"/>
        </w:rPr>
        <w:t xml:space="preserve"> </w:t>
      </w:r>
      <w:r w:rsidR="003F5453">
        <w:rPr>
          <w:rFonts w:ascii="Arial" w:hAnsi="Arial" w:cs="Arial"/>
        </w:rPr>
        <w:t>drafting the restructuring plan.</w:t>
      </w:r>
      <w:r w:rsidR="003F5453">
        <w:rPr>
          <w:rStyle w:val="FootnoteReference"/>
          <w:rFonts w:ascii="Arial" w:hAnsi="Arial" w:cs="Arial"/>
        </w:rPr>
        <w:footnoteReference w:id="58"/>
      </w:r>
      <w:r w:rsidR="0067240A">
        <w:rPr>
          <w:rFonts w:ascii="Arial" w:hAnsi="Arial" w:cs="Arial"/>
        </w:rPr>
        <w:t xml:space="preserve"> In the Flow process, they are almost at a point of deciding a restructuring agreement</w:t>
      </w:r>
      <w:r w:rsidR="003C5D14">
        <w:rPr>
          <w:rFonts w:ascii="Arial" w:hAnsi="Arial" w:cs="Arial"/>
        </w:rPr>
        <w:t xml:space="preserve"> and they have a new management team in place. All of that may be jeopardized by a formal application.</w:t>
      </w:r>
      <w:r w:rsidR="00514237">
        <w:rPr>
          <w:rFonts w:ascii="Arial" w:hAnsi="Arial" w:cs="Arial"/>
        </w:rPr>
        <w:t xml:space="preserve"> </w:t>
      </w:r>
    </w:p>
    <w:p w14:paraId="11B9029A" w14:textId="77777777" w:rsidR="00725259" w:rsidRPr="00BB0136" w:rsidRDefault="00725259" w:rsidP="00725259">
      <w:pPr>
        <w:pStyle w:val="ListParagraph"/>
        <w:autoSpaceDE w:val="0"/>
        <w:autoSpaceDN w:val="0"/>
        <w:adjustRightInd w:val="0"/>
        <w:spacing w:after="0" w:line="240" w:lineRule="auto"/>
        <w:ind w:left="360"/>
        <w:rPr>
          <w:rFonts w:ascii="Arial" w:hAnsi="Arial" w:cs="Arial"/>
          <w:b/>
          <w:bCs/>
        </w:rPr>
      </w:pPr>
    </w:p>
    <w:p w14:paraId="652C1C4F" w14:textId="75D7E301" w:rsidR="00386AEC" w:rsidRDefault="00386AEC" w:rsidP="0060438D">
      <w:pPr>
        <w:pStyle w:val="ListParagraph"/>
        <w:numPr>
          <w:ilvl w:val="0"/>
          <w:numId w:val="14"/>
        </w:numPr>
        <w:autoSpaceDE w:val="0"/>
        <w:autoSpaceDN w:val="0"/>
        <w:adjustRightInd w:val="0"/>
        <w:spacing w:after="0" w:line="240" w:lineRule="auto"/>
        <w:rPr>
          <w:rFonts w:ascii="Arial" w:hAnsi="Arial" w:cs="Arial"/>
        </w:rPr>
      </w:pPr>
      <w:r w:rsidRPr="000B4D0F">
        <w:rPr>
          <w:rFonts w:ascii="Arial" w:hAnsi="Arial" w:cs="Arial"/>
          <w:b/>
          <w:bCs/>
        </w:rPr>
        <w:t>Loss of control</w:t>
      </w:r>
      <w:r w:rsidR="009C05C1" w:rsidRPr="000B4D0F">
        <w:rPr>
          <w:rFonts w:ascii="Arial" w:hAnsi="Arial" w:cs="Arial"/>
          <w:b/>
          <w:bCs/>
        </w:rPr>
        <w:t>:</w:t>
      </w:r>
      <w:r w:rsidR="00345361">
        <w:rPr>
          <w:rFonts w:ascii="Arial" w:hAnsi="Arial" w:cs="Arial"/>
        </w:rPr>
        <w:t xml:space="preserve"> once the formal procedure starts, a judge </w:t>
      </w:r>
      <w:r w:rsidR="000B4D0F">
        <w:rPr>
          <w:rFonts w:ascii="Arial" w:hAnsi="Arial" w:cs="Arial"/>
        </w:rPr>
        <w:t>and insolvency administrator are</w:t>
      </w:r>
      <w:r w:rsidR="00345361">
        <w:rPr>
          <w:rFonts w:ascii="Arial" w:hAnsi="Arial" w:cs="Arial"/>
        </w:rPr>
        <w:t xml:space="preserve"> normally appointed</w:t>
      </w:r>
      <w:r w:rsidR="000B4D0F">
        <w:rPr>
          <w:rFonts w:ascii="Arial" w:hAnsi="Arial" w:cs="Arial"/>
        </w:rPr>
        <w:t>. These parties will make decisions on timeline</w:t>
      </w:r>
      <w:r w:rsidR="00C36A8D">
        <w:rPr>
          <w:rFonts w:ascii="Arial" w:hAnsi="Arial" w:cs="Arial"/>
        </w:rPr>
        <w:t xml:space="preserve"> and fairness based upon the </w:t>
      </w:r>
      <w:r w:rsidR="0060438D">
        <w:rPr>
          <w:rFonts w:ascii="Arial" w:hAnsi="Arial" w:cs="Arial"/>
        </w:rPr>
        <w:t xml:space="preserve">court’s schedule and </w:t>
      </w:r>
      <w:r w:rsidR="00C36A8D" w:rsidRPr="0060438D">
        <w:rPr>
          <w:rFonts w:ascii="Arial" w:hAnsi="Arial" w:cs="Arial"/>
        </w:rPr>
        <w:t>applicable law, not the parties</w:t>
      </w:r>
      <w:r w:rsidR="0060438D">
        <w:rPr>
          <w:rFonts w:ascii="Arial" w:hAnsi="Arial" w:cs="Arial"/>
        </w:rPr>
        <w:t>’</w:t>
      </w:r>
      <w:r w:rsidR="00C36A8D" w:rsidRPr="0060438D">
        <w:rPr>
          <w:rFonts w:ascii="Arial" w:hAnsi="Arial" w:cs="Arial"/>
        </w:rPr>
        <w:t xml:space="preserve"> own wishes. </w:t>
      </w:r>
      <w:r w:rsidR="00E445D5">
        <w:rPr>
          <w:rFonts w:ascii="Arial" w:hAnsi="Arial" w:cs="Arial"/>
        </w:rPr>
        <w:t>At the beginning, t</w:t>
      </w:r>
      <w:r w:rsidR="0060438D">
        <w:rPr>
          <w:rFonts w:ascii="Arial" w:hAnsi="Arial" w:cs="Arial"/>
        </w:rPr>
        <w:t>he judge hears a commencement application</w:t>
      </w:r>
      <w:r w:rsidR="00C12C74">
        <w:rPr>
          <w:rStyle w:val="FootnoteReference"/>
          <w:rFonts w:ascii="Arial" w:hAnsi="Arial" w:cs="Arial"/>
        </w:rPr>
        <w:footnoteReference w:id="59"/>
      </w:r>
      <w:r w:rsidR="00E445D5">
        <w:rPr>
          <w:rFonts w:ascii="Arial" w:hAnsi="Arial" w:cs="Arial"/>
        </w:rPr>
        <w:t xml:space="preserve"> and then sets a timetable.</w:t>
      </w:r>
      <w:r w:rsidR="00C12C74">
        <w:rPr>
          <w:rStyle w:val="FootnoteReference"/>
          <w:rFonts w:ascii="Arial" w:hAnsi="Arial" w:cs="Arial"/>
        </w:rPr>
        <w:footnoteReference w:id="60"/>
      </w:r>
      <w:r w:rsidR="00E445D5">
        <w:rPr>
          <w:rFonts w:ascii="Arial" w:hAnsi="Arial" w:cs="Arial"/>
        </w:rPr>
        <w:t xml:space="preserve"> </w:t>
      </w:r>
      <w:r w:rsidR="00D67B3E">
        <w:rPr>
          <w:rFonts w:ascii="Arial" w:hAnsi="Arial" w:cs="Arial"/>
        </w:rPr>
        <w:t>If the judge determines that the company is not viable, then the procedure can even be converted to a liquidation.</w:t>
      </w:r>
      <w:r w:rsidR="00D5419E">
        <w:rPr>
          <w:rFonts w:ascii="Arial" w:hAnsi="Arial" w:cs="Arial"/>
        </w:rPr>
        <w:t xml:space="preserve"> A formal procedure can greatly reduce predictability, especially in developing countries where judges may not be as familiar with insolvency procedures.</w:t>
      </w:r>
    </w:p>
    <w:p w14:paraId="3EBCBFCE" w14:textId="77777777" w:rsidR="00725259" w:rsidRPr="0060438D" w:rsidRDefault="00725259" w:rsidP="00725259">
      <w:pPr>
        <w:pStyle w:val="ListParagraph"/>
        <w:autoSpaceDE w:val="0"/>
        <w:autoSpaceDN w:val="0"/>
        <w:adjustRightInd w:val="0"/>
        <w:spacing w:after="0" w:line="240" w:lineRule="auto"/>
        <w:ind w:left="360"/>
        <w:rPr>
          <w:rFonts w:ascii="Arial" w:hAnsi="Arial" w:cs="Arial"/>
        </w:rPr>
      </w:pPr>
    </w:p>
    <w:p w14:paraId="683A1F70" w14:textId="6E0121E4" w:rsidR="007C0535" w:rsidRDefault="007C0535" w:rsidP="00386AEC">
      <w:pPr>
        <w:pStyle w:val="ListParagraph"/>
        <w:numPr>
          <w:ilvl w:val="0"/>
          <w:numId w:val="14"/>
        </w:numPr>
        <w:autoSpaceDE w:val="0"/>
        <w:autoSpaceDN w:val="0"/>
        <w:adjustRightInd w:val="0"/>
        <w:spacing w:after="0" w:line="240" w:lineRule="auto"/>
        <w:rPr>
          <w:rFonts w:ascii="Arial" w:hAnsi="Arial" w:cs="Arial"/>
        </w:rPr>
      </w:pPr>
      <w:r w:rsidRPr="0008740F">
        <w:rPr>
          <w:rFonts w:ascii="Arial" w:hAnsi="Arial" w:cs="Arial"/>
          <w:b/>
          <w:bCs/>
        </w:rPr>
        <w:t>Public process</w:t>
      </w:r>
      <w:r w:rsidR="009C05C1" w:rsidRPr="0008740F">
        <w:rPr>
          <w:rFonts w:ascii="Arial" w:hAnsi="Arial" w:cs="Arial"/>
          <w:b/>
          <w:bCs/>
        </w:rPr>
        <w:t>:</w:t>
      </w:r>
      <w:r w:rsidR="0008740F">
        <w:rPr>
          <w:rFonts w:ascii="Arial" w:hAnsi="Arial" w:cs="Arial"/>
        </w:rPr>
        <w:t xml:space="preserve"> once the proceedings commence, most of the procedures are public. Normally notices are required to be public (</w:t>
      </w:r>
      <w:r w:rsidR="00C31FC1">
        <w:rPr>
          <w:rFonts w:ascii="Arial" w:hAnsi="Arial" w:cs="Arial"/>
        </w:rPr>
        <w:t>even in newspapers</w:t>
      </w:r>
      <w:r w:rsidR="00C31FC1">
        <w:rPr>
          <w:rStyle w:val="FootnoteReference"/>
          <w:rFonts w:ascii="Arial" w:hAnsi="Arial" w:cs="Arial"/>
        </w:rPr>
        <w:footnoteReference w:id="61"/>
      </w:r>
      <w:r w:rsidR="00C31FC1">
        <w:rPr>
          <w:rFonts w:ascii="Arial" w:hAnsi="Arial" w:cs="Arial"/>
        </w:rPr>
        <w:t>)</w:t>
      </w:r>
      <w:r w:rsidR="008265FB">
        <w:rPr>
          <w:rFonts w:ascii="Arial" w:hAnsi="Arial" w:cs="Arial"/>
        </w:rPr>
        <w:t xml:space="preserve">. This means that suppliers, customers, and other creditors will all become aware of the financial difficulties of the company. They may stop doing business with the company, leading to even worse conditions which may </w:t>
      </w:r>
      <w:r w:rsidR="00DC1B58">
        <w:rPr>
          <w:rFonts w:ascii="Arial" w:hAnsi="Arial" w:cs="Arial"/>
        </w:rPr>
        <w:t>prevent an effective restructuring from happening.</w:t>
      </w:r>
      <w:r w:rsidR="00370884">
        <w:rPr>
          <w:rFonts w:ascii="Arial" w:hAnsi="Arial" w:cs="Arial"/>
        </w:rPr>
        <w:t xml:space="preserve"> In the case of Flow, analysis is that the company is viabl</w:t>
      </w:r>
      <w:r w:rsidR="00F4245D">
        <w:rPr>
          <w:rFonts w:ascii="Arial" w:hAnsi="Arial" w:cs="Arial"/>
        </w:rPr>
        <w:t>e</w:t>
      </w:r>
      <w:r w:rsidR="00370884">
        <w:rPr>
          <w:rFonts w:ascii="Arial" w:hAnsi="Arial" w:cs="Arial"/>
        </w:rPr>
        <w:t>, but maybe it wouldn’t be as viable if customers stop using them and their reputation is ruined.</w:t>
      </w:r>
    </w:p>
    <w:p w14:paraId="6C991DDC" w14:textId="77777777" w:rsidR="00725259" w:rsidRDefault="00725259" w:rsidP="00725259">
      <w:pPr>
        <w:pStyle w:val="ListParagraph"/>
        <w:autoSpaceDE w:val="0"/>
        <w:autoSpaceDN w:val="0"/>
        <w:adjustRightInd w:val="0"/>
        <w:spacing w:after="0" w:line="240" w:lineRule="auto"/>
        <w:ind w:left="360"/>
        <w:rPr>
          <w:rFonts w:ascii="Arial" w:hAnsi="Arial" w:cs="Arial"/>
        </w:rPr>
      </w:pPr>
    </w:p>
    <w:p w14:paraId="7ABFF83D" w14:textId="4B363F82" w:rsidR="007C0535" w:rsidRPr="00725259" w:rsidRDefault="007C0535" w:rsidP="00386AEC">
      <w:pPr>
        <w:pStyle w:val="ListParagraph"/>
        <w:numPr>
          <w:ilvl w:val="0"/>
          <w:numId w:val="14"/>
        </w:numPr>
        <w:autoSpaceDE w:val="0"/>
        <w:autoSpaceDN w:val="0"/>
        <w:adjustRightInd w:val="0"/>
        <w:spacing w:after="0" w:line="240" w:lineRule="auto"/>
        <w:rPr>
          <w:rFonts w:ascii="Arial" w:hAnsi="Arial" w:cs="Arial"/>
          <w:b/>
          <w:bCs/>
        </w:rPr>
      </w:pPr>
      <w:r w:rsidRPr="00F4245D">
        <w:rPr>
          <w:rFonts w:ascii="Arial" w:hAnsi="Arial" w:cs="Arial"/>
          <w:b/>
          <w:bCs/>
        </w:rPr>
        <w:t>Costs and time increase</w:t>
      </w:r>
      <w:r w:rsidR="009C05C1" w:rsidRPr="00F4245D">
        <w:rPr>
          <w:rFonts w:ascii="Arial" w:hAnsi="Arial" w:cs="Arial"/>
          <w:b/>
          <w:bCs/>
        </w:rPr>
        <w:t>:</w:t>
      </w:r>
      <w:r w:rsidR="00F4245D">
        <w:rPr>
          <w:rFonts w:ascii="Arial" w:hAnsi="Arial" w:cs="Arial"/>
          <w:b/>
          <w:bCs/>
        </w:rPr>
        <w:t xml:space="preserve"> </w:t>
      </w:r>
      <w:r w:rsidR="00F4245D">
        <w:rPr>
          <w:rFonts w:ascii="Arial" w:hAnsi="Arial" w:cs="Arial"/>
        </w:rPr>
        <w:t xml:space="preserve">all the issues noted above increase </w:t>
      </w:r>
      <w:r w:rsidR="003A5DBA">
        <w:rPr>
          <w:rFonts w:ascii="Arial" w:hAnsi="Arial" w:cs="Arial"/>
        </w:rPr>
        <w:t xml:space="preserve">costs and time. </w:t>
      </w:r>
      <w:r w:rsidR="005C06B6">
        <w:rPr>
          <w:rFonts w:ascii="Arial" w:hAnsi="Arial" w:cs="Arial"/>
        </w:rPr>
        <w:t xml:space="preserve">More professional advisors such as lawyers, accountants and valuators are normally brought into </w:t>
      </w:r>
      <w:r w:rsidR="005C06B6">
        <w:rPr>
          <w:rFonts w:ascii="Arial" w:hAnsi="Arial" w:cs="Arial"/>
        </w:rPr>
        <w:lastRenderedPageBreak/>
        <w:t>a formal in</w:t>
      </w:r>
      <w:r w:rsidR="0046030F">
        <w:rPr>
          <w:rFonts w:ascii="Arial" w:hAnsi="Arial" w:cs="Arial"/>
        </w:rPr>
        <w:t xml:space="preserve">solvency process. There are also normally prescribed periods for coming to an agreement on a plan, voting </w:t>
      </w:r>
      <w:r w:rsidR="00456268">
        <w:rPr>
          <w:rFonts w:ascii="Arial" w:hAnsi="Arial" w:cs="Arial"/>
        </w:rPr>
        <w:t xml:space="preserve">and executing the plan. Parties can also appeal at any time, which could greatly delay proceedings. </w:t>
      </w:r>
      <w:r w:rsidR="00CE555C">
        <w:rPr>
          <w:rFonts w:ascii="Arial" w:hAnsi="Arial" w:cs="Arial"/>
        </w:rPr>
        <w:t>This all can increase the time it takes to restructure, meaning that assets may depreciate</w:t>
      </w:r>
      <w:r w:rsidR="00077F9B">
        <w:rPr>
          <w:rFonts w:ascii="Arial" w:hAnsi="Arial" w:cs="Arial"/>
        </w:rPr>
        <w:t>,</w:t>
      </w:r>
      <w:r w:rsidR="00CE555C">
        <w:rPr>
          <w:rFonts w:ascii="Arial" w:hAnsi="Arial" w:cs="Arial"/>
        </w:rPr>
        <w:t xml:space="preserve"> </w:t>
      </w:r>
      <w:r w:rsidR="00077F9B">
        <w:rPr>
          <w:rFonts w:ascii="Arial" w:hAnsi="Arial" w:cs="Arial"/>
        </w:rPr>
        <w:t xml:space="preserve">and the environment change in the interim – leading potentially to less likely agreement on a plan. Costs also balloon with </w:t>
      </w:r>
      <w:r w:rsidR="003428AD">
        <w:rPr>
          <w:rFonts w:ascii="Arial" w:hAnsi="Arial" w:cs="Arial"/>
        </w:rPr>
        <w:t>so many professionals and an extended time.</w:t>
      </w:r>
    </w:p>
    <w:p w14:paraId="213534C6" w14:textId="77777777" w:rsidR="00725259" w:rsidRPr="00A3771C" w:rsidRDefault="00725259" w:rsidP="00725259">
      <w:pPr>
        <w:pStyle w:val="ListParagraph"/>
        <w:autoSpaceDE w:val="0"/>
        <w:autoSpaceDN w:val="0"/>
        <w:adjustRightInd w:val="0"/>
        <w:spacing w:after="0" w:line="240" w:lineRule="auto"/>
        <w:ind w:left="360"/>
        <w:rPr>
          <w:rFonts w:ascii="Arial" w:hAnsi="Arial" w:cs="Arial"/>
          <w:b/>
          <w:bCs/>
        </w:rPr>
      </w:pPr>
    </w:p>
    <w:p w14:paraId="60F6BCD0" w14:textId="61B89C59" w:rsidR="00A3771C" w:rsidRPr="00F4245D" w:rsidRDefault="005C06B6" w:rsidP="00386AEC">
      <w:pPr>
        <w:pStyle w:val="ListParagraph"/>
        <w:numPr>
          <w:ilvl w:val="0"/>
          <w:numId w:val="14"/>
        </w:numPr>
        <w:autoSpaceDE w:val="0"/>
        <w:autoSpaceDN w:val="0"/>
        <w:adjustRightInd w:val="0"/>
        <w:spacing w:after="0" w:line="240" w:lineRule="auto"/>
        <w:rPr>
          <w:rFonts w:ascii="Arial" w:hAnsi="Arial" w:cs="Arial"/>
          <w:b/>
          <w:bCs/>
        </w:rPr>
      </w:pPr>
      <w:r>
        <w:rPr>
          <w:rFonts w:ascii="Arial" w:hAnsi="Arial" w:cs="Arial"/>
          <w:b/>
          <w:bCs/>
        </w:rPr>
        <w:t>Probably no need for automatic stay:</w:t>
      </w:r>
      <w:r>
        <w:rPr>
          <w:rFonts w:ascii="Arial" w:hAnsi="Arial" w:cs="Arial"/>
        </w:rPr>
        <w:t xml:space="preserve"> </w:t>
      </w:r>
      <w:r w:rsidR="00B436AB">
        <w:rPr>
          <w:rFonts w:ascii="Arial" w:hAnsi="Arial" w:cs="Arial"/>
        </w:rPr>
        <w:t>formal restructuring procedures often start with an automatic time limited stay against creditor action</w:t>
      </w:r>
      <w:r w:rsidR="0068036A">
        <w:rPr>
          <w:rFonts w:ascii="Arial" w:hAnsi="Arial" w:cs="Arial"/>
        </w:rPr>
        <w:t xml:space="preserve">. However, in the case, the Standstill Agreement had just been signed, which acts as a stay for the parties who signed-up. </w:t>
      </w:r>
    </w:p>
    <w:p w14:paraId="77C568B3" w14:textId="77777777" w:rsidR="00797FE8" w:rsidRDefault="00797FE8" w:rsidP="00A97436">
      <w:pPr>
        <w:autoSpaceDE w:val="0"/>
        <w:autoSpaceDN w:val="0"/>
        <w:adjustRightInd w:val="0"/>
        <w:spacing w:after="0" w:line="240" w:lineRule="auto"/>
        <w:rPr>
          <w:rFonts w:ascii="Arial" w:hAnsi="Arial" w:cs="Arial"/>
        </w:rPr>
      </w:pPr>
    </w:p>
    <w:sectPr w:rsidR="00797F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FDC9" w14:textId="77777777" w:rsidR="00EE2D5E" w:rsidRDefault="00EE2D5E" w:rsidP="00F41D53">
      <w:pPr>
        <w:spacing w:after="0" w:line="240" w:lineRule="auto"/>
      </w:pPr>
      <w:r>
        <w:separator/>
      </w:r>
    </w:p>
  </w:endnote>
  <w:endnote w:type="continuationSeparator" w:id="0">
    <w:p w14:paraId="0C455C2E" w14:textId="77777777" w:rsidR="00EE2D5E" w:rsidRDefault="00EE2D5E" w:rsidP="00F4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360930"/>
      <w:docPartObj>
        <w:docPartGallery w:val="Page Numbers (Bottom of Page)"/>
        <w:docPartUnique/>
      </w:docPartObj>
    </w:sdtPr>
    <w:sdtEndPr>
      <w:rPr>
        <w:rFonts w:ascii="Arial" w:hAnsi="Arial" w:cs="Arial"/>
        <w:noProof/>
      </w:rPr>
    </w:sdtEndPr>
    <w:sdtContent>
      <w:p w14:paraId="6B2FE436" w14:textId="797622B1" w:rsidR="00DA5118" w:rsidRPr="0035113E" w:rsidRDefault="00DA5118">
        <w:pPr>
          <w:pStyle w:val="Footer"/>
          <w:jc w:val="right"/>
          <w:rPr>
            <w:rFonts w:ascii="Arial" w:hAnsi="Arial" w:cs="Arial"/>
          </w:rPr>
        </w:pPr>
        <w:r w:rsidRPr="0035113E">
          <w:rPr>
            <w:rFonts w:ascii="Arial" w:hAnsi="Arial" w:cs="Arial"/>
          </w:rPr>
          <w:fldChar w:fldCharType="begin"/>
        </w:r>
        <w:r w:rsidRPr="0035113E">
          <w:rPr>
            <w:rFonts w:ascii="Arial" w:hAnsi="Arial" w:cs="Arial"/>
          </w:rPr>
          <w:instrText xml:space="preserve"> PAGE   \* MERGEFORMAT </w:instrText>
        </w:r>
        <w:r w:rsidRPr="0035113E">
          <w:rPr>
            <w:rFonts w:ascii="Arial" w:hAnsi="Arial" w:cs="Arial"/>
          </w:rPr>
          <w:fldChar w:fldCharType="separate"/>
        </w:r>
        <w:r w:rsidRPr="0035113E">
          <w:rPr>
            <w:rFonts w:ascii="Arial" w:hAnsi="Arial" w:cs="Arial"/>
            <w:noProof/>
          </w:rPr>
          <w:t>2</w:t>
        </w:r>
        <w:r w:rsidRPr="0035113E">
          <w:rPr>
            <w:rFonts w:ascii="Arial" w:hAnsi="Arial" w:cs="Arial"/>
            <w:noProof/>
          </w:rPr>
          <w:fldChar w:fldCharType="end"/>
        </w:r>
      </w:p>
    </w:sdtContent>
  </w:sdt>
  <w:p w14:paraId="5397010D" w14:textId="77777777" w:rsidR="00DA5118" w:rsidRDefault="00DA5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BE9A" w14:textId="77777777" w:rsidR="00EE2D5E" w:rsidRDefault="00EE2D5E" w:rsidP="00F41D53">
      <w:pPr>
        <w:spacing w:after="0" w:line="240" w:lineRule="auto"/>
      </w:pPr>
      <w:r>
        <w:separator/>
      </w:r>
    </w:p>
  </w:footnote>
  <w:footnote w:type="continuationSeparator" w:id="0">
    <w:p w14:paraId="12731036" w14:textId="77777777" w:rsidR="00EE2D5E" w:rsidRDefault="00EE2D5E" w:rsidP="00F41D53">
      <w:pPr>
        <w:spacing w:after="0" w:line="240" w:lineRule="auto"/>
      </w:pPr>
      <w:r>
        <w:continuationSeparator/>
      </w:r>
    </w:p>
  </w:footnote>
  <w:footnote w:id="1">
    <w:p w14:paraId="56E0A39B" w14:textId="77777777" w:rsidR="006849AC" w:rsidRPr="006849AC" w:rsidRDefault="00807EF3" w:rsidP="006849AC">
      <w:pPr>
        <w:autoSpaceDE w:val="0"/>
        <w:autoSpaceDN w:val="0"/>
        <w:adjustRightInd w:val="0"/>
        <w:spacing w:after="0" w:line="240" w:lineRule="auto"/>
        <w:rPr>
          <w:rFonts w:cstheme="minorHAnsi"/>
          <w:sz w:val="20"/>
          <w:szCs w:val="20"/>
        </w:rPr>
      </w:pPr>
      <w:r w:rsidRPr="006849AC">
        <w:rPr>
          <w:rStyle w:val="FootnoteReference"/>
          <w:rFonts w:cstheme="minorHAnsi"/>
          <w:sz w:val="20"/>
          <w:szCs w:val="20"/>
        </w:rPr>
        <w:footnoteRef/>
      </w:r>
      <w:r w:rsidRPr="006849AC">
        <w:rPr>
          <w:rFonts w:cstheme="minorHAnsi"/>
          <w:sz w:val="20"/>
          <w:szCs w:val="20"/>
        </w:rPr>
        <w:t xml:space="preserve"> </w:t>
      </w:r>
      <w:r w:rsidR="006849AC" w:rsidRPr="006849AC">
        <w:rPr>
          <w:rFonts w:cstheme="minorHAnsi"/>
          <w:sz w:val="20"/>
          <w:szCs w:val="20"/>
        </w:rPr>
        <w:t>Mellahi, K., &amp; Wilkinson, A. (2004). Organizational failure: a critique of recent research and a</w:t>
      </w:r>
    </w:p>
    <w:p w14:paraId="76E06831" w14:textId="0E65A981" w:rsidR="00807EF3" w:rsidRDefault="006849AC" w:rsidP="006849AC">
      <w:pPr>
        <w:pStyle w:val="FootnoteText"/>
      </w:pPr>
      <w:r w:rsidRPr="006849AC">
        <w:rPr>
          <w:rFonts w:cstheme="minorHAnsi"/>
        </w:rPr>
        <w:t xml:space="preserve">proposed integrative framework. </w:t>
      </w:r>
      <w:r w:rsidRPr="006849AC">
        <w:rPr>
          <w:rFonts w:cstheme="minorHAnsi"/>
          <w:i/>
          <w:iCs/>
        </w:rPr>
        <w:t>International Journal of Management Reviews</w:t>
      </w:r>
      <w:r w:rsidRPr="006849AC">
        <w:rPr>
          <w:rFonts w:cstheme="minorHAnsi"/>
        </w:rPr>
        <w:t>, 5(1), 21-41.</w:t>
      </w:r>
      <w:r>
        <w:rPr>
          <w:rFonts w:cstheme="minorHAnsi"/>
        </w:rPr>
        <w:t xml:space="preserve"> (</w:t>
      </w:r>
      <w:r w:rsidR="00807EF3" w:rsidRPr="00807EF3">
        <w:t>Mellahi &amp; Wilkinson, 2004</w:t>
      </w:r>
      <w:r>
        <w:t>)</w:t>
      </w:r>
      <w:r w:rsidR="00807EF3">
        <w:t>, p. 21-22.</w:t>
      </w:r>
    </w:p>
  </w:footnote>
  <w:footnote w:id="2">
    <w:p w14:paraId="58A7293D" w14:textId="42D58440" w:rsidR="005C6961" w:rsidRDefault="005C6961">
      <w:pPr>
        <w:pStyle w:val="FootnoteText"/>
      </w:pPr>
      <w:r>
        <w:rPr>
          <w:rStyle w:val="FootnoteReference"/>
        </w:rPr>
        <w:footnoteRef/>
      </w:r>
      <w:r>
        <w:t xml:space="preserve"> </w:t>
      </w:r>
      <w:r w:rsidRPr="00807EF3">
        <w:t>Mellahi &amp; Wilkinson, 2004</w:t>
      </w:r>
      <w:r>
        <w:t>, p. 28.</w:t>
      </w:r>
    </w:p>
  </w:footnote>
  <w:footnote w:id="3">
    <w:p w14:paraId="1D4E614E" w14:textId="7E203AA8" w:rsidR="00E26982" w:rsidRDefault="00E26982" w:rsidP="00E26982">
      <w:pPr>
        <w:pStyle w:val="FootnoteText"/>
      </w:pPr>
      <w:r>
        <w:rPr>
          <w:rStyle w:val="FootnoteReference"/>
        </w:rPr>
        <w:footnoteRef/>
      </w:r>
      <w:r>
        <w:t xml:space="preserve"> </w:t>
      </w:r>
      <w:r w:rsidRPr="00807EF3">
        <w:t>Mellahi &amp; Wilkinson, 2004</w:t>
      </w:r>
      <w:r>
        <w:t xml:space="preserve">, </w:t>
      </w:r>
      <w:r w:rsidRPr="000F7BAB">
        <w:t>p. 28</w:t>
      </w:r>
      <w:r w:rsidR="00C8353E">
        <w:t>.</w:t>
      </w:r>
    </w:p>
  </w:footnote>
  <w:footnote w:id="4">
    <w:p w14:paraId="762452A6" w14:textId="6EC45C92" w:rsidR="00C8353E" w:rsidRDefault="00C8353E">
      <w:pPr>
        <w:pStyle w:val="FootnoteText"/>
      </w:pPr>
      <w:r>
        <w:rPr>
          <w:rStyle w:val="FootnoteReference"/>
        </w:rPr>
        <w:footnoteRef/>
      </w:r>
      <w:r>
        <w:t xml:space="preserve"> </w:t>
      </w:r>
      <w:r w:rsidRPr="00807EF3">
        <w:t>Mellahi &amp; Wilkinson, 2004</w:t>
      </w:r>
      <w:r>
        <w:t xml:space="preserve">, </w:t>
      </w:r>
      <w:r w:rsidRPr="000F7BAB">
        <w:t xml:space="preserve">p. </w:t>
      </w:r>
      <w:r>
        <w:t>29.</w:t>
      </w:r>
    </w:p>
  </w:footnote>
  <w:footnote w:id="5">
    <w:p w14:paraId="5D1B9BB5" w14:textId="0E64C2A7" w:rsidR="007A2046" w:rsidRDefault="007A2046">
      <w:pPr>
        <w:pStyle w:val="FootnoteText"/>
      </w:pPr>
      <w:r>
        <w:rPr>
          <w:rStyle w:val="FootnoteReference"/>
        </w:rPr>
        <w:footnoteRef/>
      </w:r>
      <w:r>
        <w:t xml:space="preserve"> </w:t>
      </w:r>
      <w:r w:rsidRPr="00807EF3">
        <w:t>Mellahi &amp; Wilkinson, 2004</w:t>
      </w:r>
      <w:r>
        <w:t xml:space="preserve">, </w:t>
      </w:r>
      <w:r w:rsidRPr="000F7BAB">
        <w:t xml:space="preserve">p. </w:t>
      </w:r>
      <w:r>
        <w:t>29.</w:t>
      </w:r>
    </w:p>
  </w:footnote>
  <w:footnote w:id="6">
    <w:p w14:paraId="39CC09B4" w14:textId="15B92AB1" w:rsidR="003C1489" w:rsidRDefault="003C1489">
      <w:pPr>
        <w:pStyle w:val="FootnoteText"/>
      </w:pPr>
      <w:r>
        <w:rPr>
          <w:rStyle w:val="FootnoteReference"/>
        </w:rPr>
        <w:footnoteRef/>
      </w:r>
      <w:r>
        <w:t xml:space="preserve"> </w:t>
      </w:r>
      <w:r w:rsidRPr="00807EF3">
        <w:t>Mellahi &amp; Wilkinson, 2004</w:t>
      </w:r>
      <w:r>
        <w:t xml:space="preserve">, </w:t>
      </w:r>
      <w:r w:rsidRPr="000F7BAB">
        <w:t xml:space="preserve">p. </w:t>
      </w:r>
      <w:r>
        <w:t>29.</w:t>
      </w:r>
    </w:p>
  </w:footnote>
  <w:footnote w:id="7">
    <w:p w14:paraId="446A361E" w14:textId="1F735B5C" w:rsidR="001176F4" w:rsidRDefault="001176F4">
      <w:pPr>
        <w:pStyle w:val="FootnoteText"/>
      </w:pPr>
      <w:r>
        <w:rPr>
          <w:rStyle w:val="FootnoteReference"/>
        </w:rPr>
        <w:footnoteRef/>
      </w:r>
      <w:r>
        <w:t xml:space="preserve"> </w:t>
      </w:r>
      <w:r w:rsidRPr="00807EF3">
        <w:t>Mellahi &amp; Wilkinson, 2004</w:t>
      </w:r>
      <w:r>
        <w:t xml:space="preserve">, </w:t>
      </w:r>
      <w:r w:rsidRPr="000F7BAB">
        <w:t xml:space="preserve">p. </w:t>
      </w:r>
      <w:r>
        <w:t>29.</w:t>
      </w:r>
    </w:p>
  </w:footnote>
  <w:footnote w:id="8">
    <w:p w14:paraId="51611183" w14:textId="35D494E0" w:rsidR="007C47F7" w:rsidRDefault="007C47F7">
      <w:pPr>
        <w:pStyle w:val="FootnoteText"/>
      </w:pPr>
      <w:r>
        <w:rPr>
          <w:rStyle w:val="FootnoteReference"/>
        </w:rPr>
        <w:footnoteRef/>
      </w:r>
      <w:r>
        <w:t xml:space="preserve"> </w:t>
      </w:r>
      <w:r w:rsidR="00CC1D0F">
        <w:t>Although, w</w:t>
      </w:r>
      <w:r>
        <w:t xml:space="preserve">e never find out if the CFO is </w:t>
      </w:r>
      <w:proofErr w:type="gramStart"/>
      <w:r>
        <w:t>actually replaced</w:t>
      </w:r>
      <w:proofErr w:type="gramEnd"/>
      <w:r>
        <w:t xml:space="preserve"> or when since it is just announced</w:t>
      </w:r>
      <w:r w:rsidR="00A40B21">
        <w:t xml:space="preserve"> that a new CFO will be appointed “soon”.</w:t>
      </w:r>
    </w:p>
  </w:footnote>
  <w:footnote w:id="9">
    <w:p w14:paraId="673E90D1" w14:textId="431FEE90" w:rsidR="005620A7" w:rsidRDefault="00B27AE4">
      <w:pPr>
        <w:pStyle w:val="FootnoteText"/>
      </w:pPr>
      <w:r>
        <w:rPr>
          <w:rStyle w:val="FootnoteReference"/>
        </w:rPr>
        <w:footnoteRef/>
      </w:r>
      <w:r w:rsidR="005620A7">
        <w:t xml:space="preserve"> </w:t>
      </w:r>
      <w:r w:rsidRPr="00807EF3">
        <w:t>Mellahi &amp; Wilkinson, 2004</w:t>
      </w:r>
      <w:r>
        <w:t xml:space="preserve">, </w:t>
      </w:r>
      <w:r w:rsidRPr="000F7BAB">
        <w:t>p.</w:t>
      </w:r>
      <w:r>
        <w:t xml:space="preserve"> 29.</w:t>
      </w:r>
    </w:p>
  </w:footnote>
  <w:footnote w:id="10">
    <w:p w14:paraId="39A66AAC" w14:textId="6BE668BD" w:rsidR="0071541E" w:rsidRDefault="0071541E">
      <w:pPr>
        <w:pStyle w:val="FootnoteText"/>
      </w:pPr>
      <w:r>
        <w:rPr>
          <w:rStyle w:val="FootnoteReference"/>
        </w:rPr>
        <w:footnoteRef/>
      </w:r>
      <w:r>
        <w:t xml:space="preserve"> </w:t>
      </w:r>
      <w:r w:rsidRPr="00807EF3">
        <w:t>Mellahi &amp; Wilkinson, 2004</w:t>
      </w:r>
      <w:r>
        <w:t xml:space="preserve">, </w:t>
      </w:r>
      <w:r w:rsidRPr="000F7BAB">
        <w:t>p.</w:t>
      </w:r>
      <w:r>
        <w:t xml:space="preserve"> 30.</w:t>
      </w:r>
    </w:p>
  </w:footnote>
  <w:footnote w:id="11">
    <w:p w14:paraId="08F25087" w14:textId="4D79F5AE" w:rsidR="004A4592" w:rsidRDefault="004A4592">
      <w:pPr>
        <w:pStyle w:val="FootnoteText"/>
      </w:pPr>
      <w:r>
        <w:rPr>
          <w:rStyle w:val="FootnoteReference"/>
        </w:rPr>
        <w:footnoteRef/>
      </w:r>
      <w:r>
        <w:t xml:space="preserve"> </w:t>
      </w:r>
      <w:r w:rsidRPr="00807EF3">
        <w:t>Mellahi &amp; Wilkinson, 2004</w:t>
      </w:r>
      <w:r>
        <w:t xml:space="preserve">, </w:t>
      </w:r>
      <w:r w:rsidRPr="000F7BAB">
        <w:t>p.</w:t>
      </w:r>
      <w:r>
        <w:t xml:space="preserve"> 30.</w:t>
      </w:r>
    </w:p>
  </w:footnote>
  <w:footnote w:id="12">
    <w:p w14:paraId="23498E54" w14:textId="4886921B" w:rsidR="00DA4433" w:rsidRDefault="00DA4433">
      <w:pPr>
        <w:pStyle w:val="FootnoteText"/>
      </w:pPr>
      <w:r>
        <w:rPr>
          <w:rStyle w:val="FootnoteReference"/>
        </w:rPr>
        <w:footnoteRef/>
      </w:r>
      <w:r>
        <w:t xml:space="preserve"> </w:t>
      </w:r>
      <w:r w:rsidRPr="00807EF3">
        <w:t>Mellahi &amp; Wilkinson, 2004</w:t>
      </w:r>
      <w:r>
        <w:t xml:space="preserve">, </w:t>
      </w:r>
      <w:r w:rsidRPr="000F7BAB">
        <w:t>p.</w:t>
      </w:r>
      <w:r>
        <w:t xml:space="preserve"> 31.</w:t>
      </w:r>
    </w:p>
  </w:footnote>
  <w:footnote w:id="13">
    <w:p w14:paraId="6971DFBB" w14:textId="5554CB75" w:rsidR="007D08D8" w:rsidRDefault="007D08D8">
      <w:pPr>
        <w:pStyle w:val="FootnoteText"/>
      </w:pPr>
      <w:r>
        <w:rPr>
          <w:rStyle w:val="FootnoteReference"/>
        </w:rPr>
        <w:footnoteRef/>
      </w:r>
      <w:r>
        <w:t xml:space="preserve"> </w:t>
      </w:r>
      <w:r w:rsidRPr="007D08D8">
        <w:t>World Bank</w:t>
      </w:r>
      <w:r>
        <w:t xml:space="preserve">, </w:t>
      </w:r>
      <w:r w:rsidRPr="007D08D8">
        <w:rPr>
          <w:i/>
          <w:iCs/>
        </w:rPr>
        <w:t xml:space="preserve">A Toolkit for </w:t>
      </w:r>
      <w:r w:rsidR="008C10DC">
        <w:rPr>
          <w:i/>
          <w:iCs/>
        </w:rPr>
        <w:t xml:space="preserve">Corporate </w:t>
      </w:r>
      <w:r w:rsidRPr="007D08D8">
        <w:rPr>
          <w:i/>
          <w:iCs/>
        </w:rPr>
        <w:t>Workouts</w:t>
      </w:r>
      <w:r>
        <w:t>, January 2022</w:t>
      </w:r>
      <w:r w:rsidR="00ED2AED">
        <w:t>, pp. 29-30.</w:t>
      </w:r>
    </w:p>
  </w:footnote>
  <w:footnote w:id="14">
    <w:p w14:paraId="6A8F8D78" w14:textId="5397A5A5" w:rsidR="008151F2" w:rsidRPr="0068084D" w:rsidRDefault="008151F2" w:rsidP="00DF0803">
      <w:pPr>
        <w:autoSpaceDE w:val="0"/>
        <w:autoSpaceDN w:val="0"/>
        <w:adjustRightInd w:val="0"/>
        <w:spacing w:after="0" w:line="240" w:lineRule="auto"/>
        <w:rPr>
          <w:rFonts w:cstheme="minorHAnsi"/>
          <w:sz w:val="20"/>
          <w:szCs w:val="20"/>
        </w:rPr>
      </w:pPr>
      <w:r w:rsidRPr="0068084D">
        <w:rPr>
          <w:rStyle w:val="FootnoteReference"/>
          <w:rFonts w:cstheme="minorHAnsi"/>
          <w:sz w:val="20"/>
          <w:szCs w:val="20"/>
        </w:rPr>
        <w:footnoteRef/>
      </w:r>
      <w:r w:rsidRPr="0068084D">
        <w:rPr>
          <w:rFonts w:cstheme="minorHAnsi"/>
          <w:sz w:val="20"/>
          <w:szCs w:val="20"/>
        </w:rPr>
        <w:t xml:space="preserve"> </w:t>
      </w:r>
      <w:r w:rsidR="00DF0803" w:rsidRPr="0068084D">
        <w:rPr>
          <w:rFonts w:cstheme="minorHAnsi"/>
          <w:sz w:val="20"/>
          <w:szCs w:val="20"/>
        </w:rPr>
        <w:t xml:space="preserve">Adriaanse, J.A.A., &amp; Kuijl, J.G. (2006). Resolving Financial Distress: Informal Reorganization in The Netherlands as a Beacon for Policy Makers in the CIS and CEE/SEE </w:t>
      </w:r>
      <w:proofErr w:type="gramStart"/>
      <w:r w:rsidR="00DF0803" w:rsidRPr="0068084D">
        <w:rPr>
          <w:rFonts w:cstheme="minorHAnsi"/>
          <w:sz w:val="20"/>
          <w:szCs w:val="20"/>
        </w:rPr>
        <w:t>Regions?,</w:t>
      </w:r>
      <w:proofErr w:type="gramEnd"/>
      <w:r w:rsidR="00DF0803" w:rsidRPr="0068084D">
        <w:rPr>
          <w:rFonts w:cstheme="minorHAnsi"/>
          <w:sz w:val="20"/>
          <w:szCs w:val="20"/>
        </w:rPr>
        <w:t xml:space="preserve"> </w:t>
      </w:r>
      <w:r w:rsidR="00DF0803" w:rsidRPr="0068084D">
        <w:rPr>
          <w:rFonts w:cstheme="minorHAnsi"/>
          <w:i/>
          <w:iCs/>
          <w:sz w:val="20"/>
          <w:szCs w:val="20"/>
        </w:rPr>
        <w:t>Review of Central and East European Law</w:t>
      </w:r>
      <w:r w:rsidR="00DF0803" w:rsidRPr="0068084D">
        <w:rPr>
          <w:rFonts w:cstheme="minorHAnsi"/>
          <w:sz w:val="20"/>
          <w:szCs w:val="20"/>
        </w:rPr>
        <w:t xml:space="preserve">, </w:t>
      </w:r>
      <w:r w:rsidR="00DF0803" w:rsidRPr="0068084D">
        <w:rPr>
          <w:rFonts w:cstheme="minorHAnsi"/>
          <w:i/>
          <w:iCs/>
          <w:sz w:val="20"/>
          <w:szCs w:val="20"/>
        </w:rPr>
        <w:t>31</w:t>
      </w:r>
      <w:r w:rsidR="00DF0803" w:rsidRPr="0068084D">
        <w:rPr>
          <w:rFonts w:cstheme="minorHAnsi"/>
          <w:sz w:val="20"/>
          <w:szCs w:val="20"/>
        </w:rPr>
        <w:t>(2), 135-154 (</w:t>
      </w:r>
      <w:r w:rsidRPr="0068084D">
        <w:rPr>
          <w:rFonts w:cstheme="minorHAnsi"/>
          <w:sz w:val="20"/>
          <w:szCs w:val="20"/>
        </w:rPr>
        <w:t>Adriaanse &amp; Kuijl, 2006</w:t>
      </w:r>
      <w:r w:rsidR="00DF0803" w:rsidRPr="0068084D">
        <w:rPr>
          <w:rFonts w:cstheme="minorHAnsi"/>
          <w:sz w:val="20"/>
          <w:szCs w:val="20"/>
        </w:rPr>
        <w:t>),</w:t>
      </w:r>
      <w:r w:rsidRPr="0068084D">
        <w:rPr>
          <w:rFonts w:cstheme="minorHAnsi"/>
          <w:sz w:val="20"/>
          <w:szCs w:val="20"/>
        </w:rPr>
        <w:t xml:space="preserve"> p. 1</w:t>
      </w:r>
      <w:r w:rsidR="009E1F93" w:rsidRPr="0068084D">
        <w:rPr>
          <w:rFonts w:cstheme="minorHAnsi"/>
          <w:sz w:val="20"/>
          <w:szCs w:val="20"/>
        </w:rPr>
        <w:t>39.</w:t>
      </w:r>
    </w:p>
  </w:footnote>
  <w:footnote w:id="15">
    <w:p w14:paraId="3F1364E1" w14:textId="143C3C80" w:rsidR="00360FFC" w:rsidRDefault="00360FFC">
      <w:pPr>
        <w:pStyle w:val="FootnoteText"/>
      </w:pPr>
      <w:r>
        <w:rPr>
          <w:rStyle w:val="FootnoteReference"/>
        </w:rPr>
        <w:footnoteRef/>
      </w:r>
      <w:r>
        <w:t xml:space="preserve"> </w:t>
      </w:r>
      <w:r w:rsidRPr="0001452D">
        <w:t>Adriaanse &amp; Kuijl, 2006</w:t>
      </w:r>
      <w:r>
        <w:t>, p. 140.</w:t>
      </w:r>
    </w:p>
  </w:footnote>
  <w:footnote w:id="16">
    <w:p w14:paraId="10EDFD2C" w14:textId="297358A7" w:rsidR="00205FF4" w:rsidRDefault="00205FF4">
      <w:pPr>
        <w:pStyle w:val="FootnoteText"/>
      </w:pPr>
      <w:r>
        <w:rPr>
          <w:rStyle w:val="FootnoteReference"/>
        </w:rPr>
        <w:footnoteRef/>
      </w:r>
      <w:r>
        <w:t xml:space="preserve"> </w:t>
      </w:r>
      <w:r w:rsidRPr="0001452D">
        <w:t>Adriaanse &amp; Kuijl, 2006</w:t>
      </w:r>
      <w:r>
        <w:t>, p. 141.</w:t>
      </w:r>
    </w:p>
  </w:footnote>
  <w:footnote w:id="17">
    <w:p w14:paraId="04160AAF" w14:textId="44D3CB66" w:rsidR="00F64393" w:rsidRDefault="00F64393">
      <w:pPr>
        <w:pStyle w:val="FootnoteText"/>
      </w:pPr>
      <w:r>
        <w:rPr>
          <w:rStyle w:val="FootnoteReference"/>
        </w:rPr>
        <w:footnoteRef/>
      </w:r>
      <w:r>
        <w:t xml:space="preserve"> </w:t>
      </w:r>
      <w:r w:rsidRPr="0001452D">
        <w:t>Adriaanse &amp; Kuijl, 2006</w:t>
      </w:r>
      <w:r>
        <w:t>, p. 14</w:t>
      </w:r>
      <w:r w:rsidR="00530101">
        <w:t>2.</w:t>
      </w:r>
    </w:p>
  </w:footnote>
  <w:footnote w:id="18">
    <w:p w14:paraId="70BCA9F8" w14:textId="136360F2" w:rsidR="00F23150" w:rsidRDefault="00F23150">
      <w:pPr>
        <w:pStyle w:val="FootnoteText"/>
      </w:pPr>
      <w:r>
        <w:rPr>
          <w:rStyle w:val="FootnoteReference"/>
        </w:rPr>
        <w:footnoteRef/>
      </w:r>
      <w:r>
        <w:t xml:space="preserve"> </w:t>
      </w:r>
      <w:r w:rsidRPr="0001452D">
        <w:t>Adriaanse &amp; Kuijl, 2006</w:t>
      </w:r>
      <w:r>
        <w:t>, p. 143.</w:t>
      </w:r>
    </w:p>
  </w:footnote>
  <w:footnote w:id="19">
    <w:p w14:paraId="426B98D1" w14:textId="4728FAC7" w:rsidR="00356555" w:rsidRDefault="00356555">
      <w:pPr>
        <w:pStyle w:val="FootnoteText"/>
      </w:pPr>
      <w:r>
        <w:rPr>
          <w:rStyle w:val="FootnoteReference"/>
        </w:rPr>
        <w:footnoteRef/>
      </w:r>
      <w:r>
        <w:t xml:space="preserve"> </w:t>
      </w:r>
      <w:r w:rsidRPr="0001452D">
        <w:t>Adriaanse &amp; Kuijl, 2006</w:t>
      </w:r>
      <w:r>
        <w:t>, p. 143.</w:t>
      </w:r>
    </w:p>
  </w:footnote>
  <w:footnote w:id="20">
    <w:p w14:paraId="6F56DD44" w14:textId="77777777" w:rsidR="00360FFC" w:rsidRDefault="00360FFC" w:rsidP="00360FFC">
      <w:pPr>
        <w:pStyle w:val="FootnoteText"/>
      </w:pPr>
      <w:r>
        <w:rPr>
          <w:rStyle w:val="FootnoteReference"/>
        </w:rPr>
        <w:footnoteRef/>
      </w:r>
      <w:r>
        <w:t xml:space="preserve"> </w:t>
      </w:r>
      <w:r w:rsidRPr="0001452D">
        <w:t>Adriaanse &amp; Kuijl, 2006</w:t>
      </w:r>
      <w:r>
        <w:t>, p. 149.</w:t>
      </w:r>
    </w:p>
  </w:footnote>
  <w:footnote w:id="21">
    <w:p w14:paraId="25BAD530" w14:textId="3C2AF21C" w:rsidR="00750DE8" w:rsidRDefault="00750DE8">
      <w:pPr>
        <w:pStyle w:val="FootnoteText"/>
      </w:pPr>
      <w:r>
        <w:rPr>
          <w:rStyle w:val="FootnoteReference"/>
        </w:rPr>
        <w:footnoteRef/>
      </w:r>
      <w:r>
        <w:t xml:space="preserve"> </w:t>
      </w:r>
      <w:r w:rsidRPr="0001452D">
        <w:t>Adriaanse &amp; Kuijl, 2006</w:t>
      </w:r>
      <w:r>
        <w:t>, p. 149.</w:t>
      </w:r>
    </w:p>
  </w:footnote>
  <w:footnote w:id="22">
    <w:p w14:paraId="5F0E41A4" w14:textId="77777777" w:rsidR="00852191" w:rsidRPr="00852191" w:rsidRDefault="004A680C" w:rsidP="00852191">
      <w:pPr>
        <w:autoSpaceDE w:val="0"/>
        <w:autoSpaceDN w:val="0"/>
        <w:adjustRightInd w:val="0"/>
        <w:spacing w:after="0" w:line="240" w:lineRule="auto"/>
        <w:rPr>
          <w:rFonts w:cstheme="minorHAnsi"/>
          <w:sz w:val="20"/>
          <w:szCs w:val="20"/>
        </w:rPr>
      </w:pPr>
      <w:r>
        <w:rPr>
          <w:rStyle w:val="FootnoteReference"/>
        </w:rPr>
        <w:footnoteRef/>
      </w:r>
      <w:r>
        <w:t xml:space="preserve"> </w:t>
      </w:r>
      <w:r w:rsidR="00852191" w:rsidRPr="00852191">
        <w:rPr>
          <w:rFonts w:cstheme="minorHAnsi"/>
          <w:sz w:val="20"/>
          <w:szCs w:val="20"/>
        </w:rPr>
        <w:t>Sudarsanam, S, Lai, J., (2001), ‘Corporate Financial Distress and Turnaround Strategies: An</w:t>
      </w:r>
    </w:p>
    <w:p w14:paraId="5ED00027" w14:textId="3D863E0C" w:rsidR="004A680C" w:rsidRDefault="00852191" w:rsidP="00852191">
      <w:pPr>
        <w:pStyle w:val="FootnoteText"/>
      </w:pPr>
      <w:r w:rsidRPr="00852191">
        <w:rPr>
          <w:rFonts w:cstheme="minorHAnsi"/>
        </w:rPr>
        <w:t xml:space="preserve">Empirical Analysis’, </w:t>
      </w:r>
      <w:r w:rsidRPr="00852191">
        <w:rPr>
          <w:rFonts w:cstheme="minorHAnsi"/>
          <w:i/>
          <w:iCs/>
        </w:rPr>
        <w:t>British Journal of Management</w:t>
      </w:r>
      <w:r w:rsidRPr="00852191">
        <w:rPr>
          <w:rFonts w:cstheme="minorHAnsi"/>
        </w:rPr>
        <w:t xml:space="preserve">, Vol. 12, 183-199. </w:t>
      </w:r>
      <w:r>
        <w:rPr>
          <w:rFonts w:ascii="TimesNewRoman" w:hAnsi="TimesNewRoman" w:cs="TimesNewRoman"/>
        </w:rPr>
        <w:t>(</w:t>
      </w:r>
      <w:r w:rsidR="004A680C" w:rsidRPr="004A680C">
        <w:t>Sudarsanam, S, Lai, J., 2001</w:t>
      </w:r>
      <w:r>
        <w:t>)</w:t>
      </w:r>
      <w:r w:rsidR="004A680C">
        <w:t xml:space="preserve">, p. </w:t>
      </w:r>
      <w:r w:rsidR="00D834AD">
        <w:t>183.</w:t>
      </w:r>
    </w:p>
  </w:footnote>
  <w:footnote w:id="23">
    <w:p w14:paraId="553CB841" w14:textId="33D272E0" w:rsidR="00691168" w:rsidRDefault="00691168">
      <w:pPr>
        <w:pStyle w:val="FootnoteText"/>
      </w:pPr>
      <w:r>
        <w:rPr>
          <w:rStyle w:val="FootnoteReference"/>
        </w:rPr>
        <w:footnoteRef/>
      </w:r>
      <w:r>
        <w:t xml:space="preserve"> </w:t>
      </w:r>
      <w:r w:rsidRPr="004A680C">
        <w:t>Sudarsanam, S, Lai, J., 2001</w:t>
      </w:r>
      <w:r>
        <w:t>, p. 193.</w:t>
      </w:r>
    </w:p>
  </w:footnote>
  <w:footnote w:id="24">
    <w:p w14:paraId="2790AD65" w14:textId="6FC38A0E" w:rsidR="00B26E90" w:rsidRDefault="00B26E90">
      <w:pPr>
        <w:pStyle w:val="FootnoteText"/>
      </w:pPr>
      <w:r>
        <w:rPr>
          <w:rStyle w:val="FootnoteReference"/>
        </w:rPr>
        <w:footnoteRef/>
      </w:r>
      <w:r>
        <w:t xml:space="preserve"> </w:t>
      </w:r>
      <w:r w:rsidRPr="004A680C">
        <w:t>Sudarsanam, S, Lai, J., 2001</w:t>
      </w:r>
      <w:r>
        <w:t>, p. 193.</w:t>
      </w:r>
    </w:p>
  </w:footnote>
  <w:footnote w:id="25">
    <w:p w14:paraId="63AD5580" w14:textId="6D42B026" w:rsidR="00A61A17" w:rsidRDefault="00A61A17">
      <w:pPr>
        <w:pStyle w:val="FootnoteText"/>
      </w:pPr>
      <w:r>
        <w:rPr>
          <w:rStyle w:val="FootnoteReference"/>
        </w:rPr>
        <w:footnoteRef/>
      </w:r>
      <w:r>
        <w:t xml:space="preserve"> </w:t>
      </w:r>
      <w:r w:rsidRPr="004A680C">
        <w:t>Sudarsanam, S, Lai, J., 2001</w:t>
      </w:r>
      <w:r>
        <w:t>, p. 186.</w:t>
      </w:r>
    </w:p>
  </w:footnote>
  <w:footnote w:id="26">
    <w:p w14:paraId="08E3D103" w14:textId="77777777" w:rsidR="002E1A3B" w:rsidRPr="002E1A3B" w:rsidRDefault="00344783" w:rsidP="002E1A3B">
      <w:pPr>
        <w:autoSpaceDE w:val="0"/>
        <w:autoSpaceDN w:val="0"/>
        <w:adjustRightInd w:val="0"/>
        <w:spacing w:after="0" w:line="240" w:lineRule="auto"/>
        <w:rPr>
          <w:rFonts w:cstheme="minorHAnsi"/>
          <w:sz w:val="20"/>
          <w:szCs w:val="20"/>
        </w:rPr>
      </w:pPr>
      <w:r w:rsidRPr="002E1A3B">
        <w:rPr>
          <w:rStyle w:val="FootnoteReference"/>
          <w:rFonts w:cstheme="minorHAnsi"/>
          <w:sz w:val="20"/>
          <w:szCs w:val="20"/>
        </w:rPr>
        <w:footnoteRef/>
      </w:r>
      <w:r w:rsidRPr="002E1A3B">
        <w:rPr>
          <w:rFonts w:cstheme="minorHAnsi"/>
          <w:sz w:val="20"/>
          <w:szCs w:val="20"/>
        </w:rPr>
        <w:t xml:space="preserve"> </w:t>
      </w:r>
      <w:r w:rsidR="002E1A3B" w:rsidRPr="002E1A3B">
        <w:rPr>
          <w:rFonts w:cstheme="minorHAnsi"/>
          <w:sz w:val="20"/>
          <w:szCs w:val="20"/>
        </w:rPr>
        <w:t>Schmitt, A., Raisch, S. (2013). ‘Corporate Turnarounds: The Duality of Retrenchment and</w:t>
      </w:r>
    </w:p>
    <w:p w14:paraId="20E9666A" w14:textId="34F78B86" w:rsidR="00344783" w:rsidRDefault="002E1A3B" w:rsidP="002E1A3B">
      <w:pPr>
        <w:pStyle w:val="FootnoteText"/>
      </w:pPr>
      <w:r w:rsidRPr="002E1A3B">
        <w:rPr>
          <w:rFonts w:cstheme="minorHAnsi"/>
        </w:rPr>
        <w:t xml:space="preserve">Recovery’, </w:t>
      </w:r>
      <w:r w:rsidRPr="002E1A3B">
        <w:rPr>
          <w:rFonts w:cstheme="minorHAnsi"/>
          <w:i/>
          <w:iCs/>
        </w:rPr>
        <w:t>Journal of Management Studies</w:t>
      </w:r>
      <w:r w:rsidRPr="002E1A3B">
        <w:rPr>
          <w:rFonts w:cstheme="minorHAnsi"/>
        </w:rPr>
        <w:t>, 50(7) p. p. 216-1244.</w:t>
      </w:r>
      <w:r>
        <w:rPr>
          <w:rFonts w:ascii="TimesNewRoman" w:hAnsi="TimesNewRoman" w:cs="TimesNewRoman"/>
        </w:rPr>
        <w:t xml:space="preserve"> (</w:t>
      </w:r>
      <w:r w:rsidR="00344783" w:rsidRPr="00344783">
        <w:t>Schmitt, A., Raisch, S., 2013</w:t>
      </w:r>
      <w:r>
        <w:t>)</w:t>
      </w:r>
      <w:r w:rsidR="00344783">
        <w:t xml:space="preserve">, p. </w:t>
      </w:r>
      <w:r w:rsidR="00731B28">
        <w:t>1216</w:t>
      </w:r>
      <w:r w:rsidR="007C5408">
        <w:t>, 1240.</w:t>
      </w:r>
    </w:p>
  </w:footnote>
  <w:footnote w:id="27">
    <w:p w14:paraId="36FB408F" w14:textId="664CD5D2" w:rsidR="005D34F0" w:rsidRDefault="005D34F0">
      <w:pPr>
        <w:pStyle w:val="FootnoteText"/>
      </w:pPr>
      <w:r>
        <w:rPr>
          <w:rStyle w:val="FootnoteReference"/>
        </w:rPr>
        <w:footnoteRef/>
      </w:r>
      <w:r>
        <w:t xml:space="preserve"> </w:t>
      </w:r>
      <w:r w:rsidRPr="00344783">
        <w:t>Schmitt, A., Raisch, S., 2013</w:t>
      </w:r>
      <w:r>
        <w:t>, p. 1218.</w:t>
      </w:r>
    </w:p>
  </w:footnote>
  <w:footnote w:id="28">
    <w:p w14:paraId="6F23CC46" w14:textId="01DEF70F" w:rsidR="00E55445" w:rsidRDefault="00E55445">
      <w:pPr>
        <w:pStyle w:val="FootnoteText"/>
      </w:pPr>
      <w:r>
        <w:rPr>
          <w:rStyle w:val="FootnoteReference"/>
        </w:rPr>
        <w:footnoteRef/>
      </w:r>
      <w:r>
        <w:t xml:space="preserve"> </w:t>
      </w:r>
      <w:r w:rsidRPr="00344783">
        <w:t>Schmitt, A., Raisch, S., 2013</w:t>
      </w:r>
      <w:r>
        <w:t>, p. 1218.</w:t>
      </w:r>
    </w:p>
  </w:footnote>
  <w:footnote w:id="29">
    <w:p w14:paraId="464202D7" w14:textId="5955744B" w:rsidR="00496A4A" w:rsidRDefault="00496A4A">
      <w:pPr>
        <w:pStyle w:val="FootnoteText"/>
      </w:pPr>
      <w:r>
        <w:rPr>
          <w:rStyle w:val="FootnoteReference"/>
        </w:rPr>
        <w:footnoteRef/>
      </w:r>
      <w:r>
        <w:t xml:space="preserve"> </w:t>
      </w:r>
      <w:r w:rsidRPr="00344783">
        <w:t>Schmitt, A., Raisch, S., 2013</w:t>
      </w:r>
      <w:r>
        <w:t>, p. 1237.</w:t>
      </w:r>
    </w:p>
  </w:footnote>
  <w:footnote w:id="30">
    <w:p w14:paraId="195DFF14" w14:textId="2EF71029" w:rsidR="004A3CB6" w:rsidRDefault="004A3CB6">
      <w:pPr>
        <w:pStyle w:val="FootnoteText"/>
      </w:pPr>
      <w:r>
        <w:rPr>
          <w:rStyle w:val="FootnoteReference"/>
        </w:rPr>
        <w:footnoteRef/>
      </w:r>
      <w:r>
        <w:t xml:space="preserve"> </w:t>
      </w:r>
      <w:r w:rsidRPr="00344783">
        <w:t>Schmitt, A., Raisch, S., 2013</w:t>
      </w:r>
      <w:r>
        <w:t>, p. 1225.</w:t>
      </w:r>
    </w:p>
  </w:footnote>
  <w:footnote w:id="31">
    <w:p w14:paraId="3EB97643" w14:textId="77777777" w:rsidR="009C7E27" w:rsidRDefault="009C7E27" w:rsidP="009C7E27">
      <w:pPr>
        <w:pStyle w:val="FootnoteText"/>
      </w:pPr>
      <w:r>
        <w:rPr>
          <w:rStyle w:val="FootnoteReference"/>
        </w:rPr>
        <w:footnoteRef/>
      </w:r>
      <w:r>
        <w:t xml:space="preserve"> </w:t>
      </w:r>
      <w:r w:rsidRPr="00344783">
        <w:t>Schmitt, A., Raisch, S., 2013</w:t>
      </w:r>
      <w:r>
        <w:t>, p. 1222.</w:t>
      </w:r>
    </w:p>
  </w:footnote>
  <w:footnote w:id="32">
    <w:p w14:paraId="29A96F1D" w14:textId="31C1AF7D" w:rsidR="00334D23" w:rsidRDefault="00334D23">
      <w:pPr>
        <w:pStyle w:val="FootnoteText"/>
      </w:pPr>
      <w:r>
        <w:rPr>
          <w:rStyle w:val="FootnoteReference"/>
        </w:rPr>
        <w:footnoteRef/>
      </w:r>
      <w:r>
        <w:t xml:space="preserve"> </w:t>
      </w:r>
      <w:r w:rsidRPr="00344783">
        <w:t>Schmitt, A., Raisch, S., 2013</w:t>
      </w:r>
      <w:r>
        <w:t>, p. 1218.</w:t>
      </w:r>
    </w:p>
  </w:footnote>
  <w:footnote w:id="33">
    <w:p w14:paraId="474688F5" w14:textId="77777777" w:rsidR="003B1696" w:rsidRPr="003B1696" w:rsidRDefault="000F3AD4" w:rsidP="003B1696">
      <w:pPr>
        <w:autoSpaceDE w:val="0"/>
        <w:autoSpaceDN w:val="0"/>
        <w:adjustRightInd w:val="0"/>
        <w:spacing w:after="0" w:line="240" w:lineRule="auto"/>
        <w:rPr>
          <w:rFonts w:cstheme="minorHAnsi"/>
          <w:i/>
          <w:iCs/>
          <w:sz w:val="20"/>
          <w:szCs w:val="20"/>
        </w:rPr>
      </w:pPr>
      <w:r w:rsidRPr="003B1696">
        <w:rPr>
          <w:rStyle w:val="FootnoteReference"/>
          <w:rFonts w:cstheme="minorHAnsi"/>
          <w:sz w:val="20"/>
          <w:szCs w:val="20"/>
        </w:rPr>
        <w:footnoteRef/>
      </w:r>
      <w:r w:rsidRPr="003B1696">
        <w:rPr>
          <w:rFonts w:cstheme="minorHAnsi"/>
          <w:sz w:val="20"/>
          <w:szCs w:val="20"/>
        </w:rPr>
        <w:t xml:space="preserve"> </w:t>
      </w:r>
      <w:r w:rsidR="003B1696" w:rsidRPr="003B1696">
        <w:rPr>
          <w:rFonts w:cstheme="minorHAnsi"/>
          <w:sz w:val="20"/>
          <w:szCs w:val="20"/>
        </w:rPr>
        <w:t xml:space="preserve">Pajunen, K. (2006). Stakeholder Influences in Organizational Survival. </w:t>
      </w:r>
      <w:r w:rsidR="003B1696" w:rsidRPr="003B1696">
        <w:rPr>
          <w:rFonts w:cstheme="minorHAnsi"/>
          <w:i/>
          <w:iCs/>
          <w:sz w:val="20"/>
          <w:szCs w:val="20"/>
        </w:rPr>
        <w:t>Journal of Management</w:t>
      </w:r>
    </w:p>
    <w:p w14:paraId="6DFC62D8" w14:textId="5D21DA59" w:rsidR="000F3AD4" w:rsidRPr="000F3AD4" w:rsidRDefault="003B1696" w:rsidP="003B1696">
      <w:pPr>
        <w:pStyle w:val="FootnoteText"/>
        <w:rPr>
          <w:lang w:val="fr-FR"/>
        </w:rPr>
      </w:pPr>
      <w:r w:rsidRPr="003B1696">
        <w:rPr>
          <w:rFonts w:cstheme="minorHAnsi"/>
          <w:i/>
          <w:iCs/>
        </w:rPr>
        <w:t>Studies</w:t>
      </w:r>
      <w:r w:rsidRPr="003B1696">
        <w:rPr>
          <w:rFonts w:cstheme="minorHAnsi"/>
        </w:rPr>
        <w:t>, 43(6), 1261-1288.</w:t>
      </w:r>
      <w:r>
        <w:rPr>
          <w:rFonts w:ascii="TimesNewRoman" w:hAnsi="TimesNewRoman" w:cs="TimesNewRoman"/>
        </w:rPr>
        <w:t xml:space="preserve"> (</w:t>
      </w:r>
      <w:r w:rsidR="000F3AD4" w:rsidRPr="000F3AD4">
        <w:rPr>
          <w:lang w:val="fr-FR"/>
        </w:rPr>
        <w:t>Pajunen, 2006</w:t>
      </w:r>
      <w:r>
        <w:rPr>
          <w:lang w:val="fr-FR"/>
        </w:rPr>
        <w:t>)</w:t>
      </w:r>
      <w:r w:rsidR="000F3AD4" w:rsidRPr="000F3AD4">
        <w:rPr>
          <w:lang w:val="fr-FR"/>
        </w:rPr>
        <w:t>, p. 1261.</w:t>
      </w:r>
    </w:p>
  </w:footnote>
  <w:footnote w:id="34">
    <w:p w14:paraId="0668E844" w14:textId="77777777" w:rsidR="000F3AD4" w:rsidRPr="000F3AD4" w:rsidRDefault="000F3AD4" w:rsidP="000F3AD4">
      <w:pPr>
        <w:pStyle w:val="FootnoteText"/>
        <w:rPr>
          <w:lang w:val="fr-FR"/>
        </w:rPr>
      </w:pPr>
      <w:r>
        <w:rPr>
          <w:rStyle w:val="FootnoteReference"/>
        </w:rPr>
        <w:footnoteRef/>
      </w:r>
      <w:r w:rsidRPr="000F3AD4">
        <w:rPr>
          <w:lang w:val="fr-FR"/>
        </w:rPr>
        <w:t xml:space="preserve"> Pajunen, 2006, p. 1262.</w:t>
      </w:r>
    </w:p>
  </w:footnote>
  <w:footnote w:id="35">
    <w:p w14:paraId="01A32C7C" w14:textId="77777777" w:rsidR="000F3AD4" w:rsidRPr="000F3AD4" w:rsidRDefault="000F3AD4" w:rsidP="000F3AD4">
      <w:pPr>
        <w:pStyle w:val="FootnoteText"/>
        <w:rPr>
          <w:lang w:val="fr-FR"/>
        </w:rPr>
      </w:pPr>
      <w:r>
        <w:rPr>
          <w:rStyle w:val="FootnoteReference"/>
        </w:rPr>
        <w:footnoteRef/>
      </w:r>
      <w:r w:rsidRPr="000F3AD4">
        <w:rPr>
          <w:lang w:val="fr-FR"/>
        </w:rPr>
        <w:t xml:space="preserve"> Pajunen, 2006, p. 1262.</w:t>
      </w:r>
    </w:p>
  </w:footnote>
  <w:footnote w:id="36">
    <w:p w14:paraId="6BEE31DD" w14:textId="77777777" w:rsidR="000F3AD4" w:rsidRPr="000F3AD4" w:rsidRDefault="000F3AD4" w:rsidP="000F3AD4">
      <w:pPr>
        <w:pStyle w:val="FootnoteText"/>
        <w:rPr>
          <w:lang w:val="fr-FR"/>
        </w:rPr>
      </w:pPr>
      <w:r>
        <w:rPr>
          <w:rStyle w:val="FootnoteReference"/>
        </w:rPr>
        <w:footnoteRef/>
      </w:r>
      <w:r w:rsidRPr="000F3AD4">
        <w:rPr>
          <w:lang w:val="fr-FR"/>
        </w:rPr>
        <w:t xml:space="preserve"> Pajunen, 2006, p. 1283.</w:t>
      </w:r>
    </w:p>
  </w:footnote>
  <w:footnote w:id="37">
    <w:p w14:paraId="2BFBDA8E" w14:textId="77777777" w:rsidR="000F3AD4" w:rsidRPr="000F3AD4" w:rsidRDefault="000F3AD4" w:rsidP="000F3AD4">
      <w:pPr>
        <w:pStyle w:val="FootnoteText"/>
        <w:rPr>
          <w:lang w:val="fr-FR"/>
        </w:rPr>
      </w:pPr>
      <w:r>
        <w:rPr>
          <w:rStyle w:val="FootnoteReference"/>
        </w:rPr>
        <w:footnoteRef/>
      </w:r>
      <w:r w:rsidRPr="000F3AD4">
        <w:rPr>
          <w:lang w:val="fr-FR"/>
        </w:rPr>
        <w:t xml:space="preserve"> Pajunen, 2006, p. 1278.</w:t>
      </w:r>
    </w:p>
  </w:footnote>
  <w:footnote w:id="38">
    <w:p w14:paraId="77FC54EC" w14:textId="77777777" w:rsidR="000F3AD4" w:rsidRPr="000F3AD4" w:rsidRDefault="000F3AD4" w:rsidP="000F3AD4">
      <w:pPr>
        <w:pStyle w:val="FootnoteText"/>
        <w:rPr>
          <w:lang w:val="fr-FR"/>
        </w:rPr>
      </w:pPr>
      <w:r>
        <w:rPr>
          <w:rStyle w:val="FootnoteReference"/>
        </w:rPr>
        <w:footnoteRef/>
      </w:r>
      <w:r w:rsidRPr="000F3AD4">
        <w:rPr>
          <w:lang w:val="fr-FR"/>
        </w:rPr>
        <w:t xml:space="preserve"> Pajunen, 2006, p. 1279-1280.</w:t>
      </w:r>
    </w:p>
  </w:footnote>
  <w:footnote w:id="39">
    <w:p w14:paraId="2652CBAF" w14:textId="77777777" w:rsidR="000F3AD4" w:rsidRPr="000F3AD4" w:rsidRDefault="000F3AD4" w:rsidP="000F3AD4">
      <w:pPr>
        <w:pStyle w:val="FootnoteText"/>
        <w:rPr>
          <w:lang w:val="fr-FR"/>
        </w:rPr>
      </w:pPr>
      <w:r>
        <w:rPr>
          <w:rStyle w:val="FootnoteReference"/>
        </w:rPr>
        <w:footnoteRef/>
      </w:r>
      <w:r w:rsidRPr="000F3AD4">
        <w:rPr>
          <w:lang w:val="fr-FR"/>
        </w:rPr>
        <w:t xml:space="preserve"> Pajunen, 2006, p. 1280.</w:t>
      </w:r>
    </w:p>
  </w:footnote>
  <w:footnote w:id="40">
    <w:p w14:paraId="515CCC6B" w14:textId="77777777" w:rsidR="000F3AD4" w:rsidRPr="000F3AD4" w:rsidRDefault="000F3AD4" w:rsidP="000F3AD4">
      <w:pPr>
        <w:pStyle w:val="FootnoteText"/>
        <w:rPr>
          <w:lang w:val="fr-FR"/>
        </w:rPr>
      </w:pPr>
      <w:r>
        <w:rPr>
          <w:rStyle w:val="FootnoteReference"/>
        </w:rPr>
        <w:footnoteRef/>
      </w:r>
      <w:r w:rsidRPr="000F3AD4">
        <w:rPr>
          <w:lang w:val="fr-FR"/>
        </w:rPr>
        <w:t xml:space="preserve"> Pajunen, 2006, p. 1281.</w:t>
      </w:r>
    </w:p>
  </w:footnote>
  <w:footnote w:id="41">
    <w:p w14:paraId="701B0886" w14:textId="77777777" w:rsidR="000F3AD4" w:rsidRPr="000F3AD4" w:rsidRDefault="000F3AD4" w:rsidP="000F3AD4">
      <w:pPr>
        <w:pStyle w:val="FootnoteText"/>
        <w:rPr>
          <w:lang w:val="fr-FR"/>
        </w:rPr>
      </w:pPr>
      <w:r>
        <w:rPr>
          <w:rStyle w:val="FootnoteReference"/>
        </w:rPr>
        <w:footnoteRef/>
      </w:r>
      <w:r w:rsidRPr="000F3AD4">
        <w:rPr>
          <w:lang w:val="fr-FR"/>
        </w:rPr>
        <w:t xml:space="preserve"> Pajunen, 2006, p. 1282.</w:t>
      </w:r>
    </w:p>
  </w:footnote>
  <w:footnote w:id="42">
    <w:p w14:paraId="5822ECD9" w14:textId="77777777" w:rsidR="000F3AD4" w:rsidRDefault="000F3AD4" w:rsidP="000F3AD4">
      <w:pPr>
        <w:pStyle w:val="FootnoteText"/>
      </w:pPr>
      <w:r>
        <w:rPr>
          <w:rStyle w:val="FootnoteReference"/>
        </w:rPr>
        <w:footnoteRef/>
      </w:r>
      <w:r>
        <w:t xml:space="preserve"> Pajunen, 2006, p. 1283.</w:t>
      </w:r>
    </w:p>
  </w:footnote>
  <w:footnote w:id="43">
    <w:p w14:paraId="19C57608" w14:textId="77777777" w:rsidR="00D96EC9" w:rsidRPr="00D96EC9" w:rsidRDefault="009532FC" w:rsidP="00D96EC9">
      <w:pPr>
        <w:autoSpaceDE w:val="0"/>
        <w:autoSpaceDN w:val="0"/>
        <w:adjustRightInd w:val="0"/>
        <w:spacing w:after="0" w:line="240" w:lineRule="auto"/>
        <w:rPr>
          <w:rFonts w:cstheme="minorHAnsi"/>
          <w:sz w:val="20"/>
          <w:szCs w:val="20"/>
        </w:rPr>
      </w:pPr>
      <w:r w:rsidRPr="00D96EC9">
        <w:rPr>
          <w:rStyle w:val="FootnoteReference"/>
          <w:rFonts w:cstheme="minorHAnsi"/>
          <w:sz w:val="20"/>
          <w:szCs w:val="20"/>
        </w:rPr>
        <w:footnoteRef/>
      </w:r>
      <w:r w:rsidRPr="00D96EC9">
        <w:rPr>
          <w:rFonts w:cstheme="minorHAnsi"/>
          <w:sz w:val="20"/>
          <w:szCs w:val="20"/>
        </w:rPr>
        <w:t xml:space="preserve"> </w:t>
      </w:r>
      <w:r w:rsidR="00D96EC9" w:rsidRPr="00D96EC9">
        <w:rPr>
          <w:rFonts w:cstheme="minorHAnsi"/>
          <w:sz w:val="20"/>
          <w:szCs w:val="20"/>
        </w:rPr>
        <w:t>Broekema M.J.R. &amp; Adriaanse J.A.A. (2022), Valuation Ambiguities under the European</w:t>
      </w:r>
    </w:p>
    <w:p w14:paraId="474DD338" w14:textId="77777777" w:rsidR="00D96EC9" w:rsidRPr="00D96EC9" w:rsidRDefault="00D96EC9" w:rsidP="00D96EC9">
      <w:pPr>
        <w:autoSpaceDE w:val="0"/>
        <w:autoSpaceDN w:val="0"/>
        <w:adjustRightInd w:val="0"/>
        <w:spacing w:after="0" w:line="240" w:lineRule="auto"/>
        <w:rPr>
          <w:rFonts w:cstheme="minorHAnsi"/>
          <w:sz w:val="20"/>
          <w:szCs w:val="20"/>
        </w:rPr>
      </w:pPr>
      <w:r w:rsidRPr="00D96EC9">
        <w:rPr>
          <w:rFonts w:cstheme="minorHAnsi"/>
          <w:sz w:val="20"/>
          <w:szCs w:val="20"/>
        </w:rPr>
        <w:t>Directive on Preventive Restructuring Frameworks: Insights from the Netherlands, The European</w:t>
      </w:r>
    </w:p>
    <w:p w14:paraId="078ECEE4" w14:textId="62D50496" w:rsidR="009532FC" w:rsidRDefault="00D96EC9" w:rsidP="00D96EC9">
      <w:pPr>
        <w:pStyle w:val="FootnoteText"/>
      </w:pPr>
      <w:r w:rsidRPr="00D96EC9">
        <w:rPr>
          <w:rFonts w:cstheme="minorHAnsi"/>
        </w:rPr>
        <w:t xml:space="preserve">Business Valuation Magazine 1(1): 4-10. </w:t>
      </w:r>
      <w:r>
        <w:rPr>
          <w:rFonts w:cstheme="minorHAnsi"/>
        </w:rPr>
        <w:t>(</w:t>
      </w:r>
      <w:r w:rsidR="009532FC" w:rsidRPr="00DD7C16">
        <w:t>Adriaanse, Broekema, 2022</w:t>
      </w:r>
      <w:r>
        <w:t>)</w:t>
      </w:r>
      <w:r w:rsidR="009532FC">
        <w:t>, p. 4-5.</w:t>
      </w:r>
    </w:p>
  </w:footnote>
  <w:footnote w:id="44">
    <w:p w14:paraId="0CA3A971" w14:textId="77777777" w:rsidR="009532FC" w:rsidRDefault="009532FC" w:rsidP="009532FC">
      <w:pPr>
        <w:pStyle w:val="FootnoteText"/>
      </w:pPr>
      <w:r>
        <w:rPr>
          <w:rStyle w:val="FootnoteReference"/>
        </w:rPr>
        <w:footnoteRef/>
      </w:r>
      <w:r>
        <w:t xml:space="preserve"> </w:t>
      </w:r>
      <w:r w:rsidRPr="00DD7C16">
        <w:t>Adriaanse, Broekema, 2022</w:t>
      </w:r>
      <w:r>
        <w:t>, p. 10.</w:t>
      </w:r>
    </w:p>
  </w:footnote>
  <w:footnote w:id="45">
    <w:p w14:paraId="7DA818C2" w14:textId="77777777" w:rsidR="009532FC" w:rsidRDefault="009532FC" w:rsidP="009532FC">
      <w:pPr>
        <w:pStyle w:val="FootnoteText"/>
      </w:pPr>
      <w:r>
        <w:rPr>
          <w:rStyle w:val="FootnoteReference"/>
        </w:rPr>
        <w:footnoteRef/>
      </w:r>
      <w:r>
        <w:t xml:space="preserve"> </w:t>
      </w:r>
      <w:r w:rsidRPr="00DD7C16">
        <w:t>Adriaanse, Broekema, 2022</w:t>
      </w:r>
      <w:r>
        <w:t>, p. 9.</w:t>
      </w:r>
    </w:p>
  </w:footnote>
  <w:footnote w:id="46">
    <w:p w14:paraId="4D6F83C5" w14:textId="0E61D735" w:rsidR="00DA5931" w:rsidRDefault="00DA5931">
      <w:pPr>
        <w:pStyle w:val="FootnoteText"/>
      </w:pPr>
      <w:r>
        <w:rPr>
          <w:rStyle w:val="FootnoteReference"/>
        </w:rPr>
        <w:footnoteRef/>
      </w:r>
      <w:r>
        <w:t xml:space="preserve"> INSOL Statement of Principles II Commentary, p. 6.</w:t>
      </w:r>
    </w:p>
  </w:footnote>
  <w:footnote w:id="47">
    <w:p w14:paraId="2DC1E009" w14:textId="43A2FE8A" w:rsidR="007B2E38" w:rsidRDefault="007B2E38">
      <w:pPr>
        <w:pStyle w:val="FootnoteText"/>
      </w:pPr>
      <w:r>
        <w:rPr>
          <w:rStyle w:val="FootnoteReference"/>
        </w:rPr>
        <w:footnoteRef/>
      </w:r>
      <w:r>
        <w:t xml:space="preserve"> INSOL Statement of Principles II Commentary, p. </w:t>
      </w:r>
      <w:r w:rsidR="00E66B3F">
        <w:t>9.</w:t>
      </w:r>
    </w:p>
  </w:footnote>
  <w:footnote w:id="48">
    <w:p w14:paraId="7F5D53E2" w14:textId="51EF6942" w:rsidR="004F206A" w:rsidRDefault="004F206A">
      <w:pPr>
        <w:pStyle w:val="FootnoteText"/>
      </w:pPr>
      <w:r>
        <w:rPr>
          <w:rStyle w:val="FootnoteReference"/>
        </w:rPr>
        <w:footnoteRef/>
      </w:r>
      <w:r>
        <w:t xml:space="preserve"> INSOL Statement of Principles II Commentary, p. 5.</w:t>
      </w:r>
    </w:p>
  </w:footnote>
  <w:footnote w:id="49">
    <w:p w14:paraId="3D14BE89" w14:textId="601B8AE3" w:rsidR="000962F0" w:rsidRDefault="000962F0">
      <w:pPr>
        <w:pStyle w:val="FootnoteText"/>
      </w:pPr>
      <w:r>
        <w:rPr>
          <w:rStyle w:val="FootnoteReference"/>
        </w:rPr>
        <w:footnoteRef/>
      </w:r>
      <w:r>
        <w:t xml:space="preserve"> INSOL Statement of Principles II Commentary, p. 30.</w:t>
      </w:r>
    </w:p>
  </w:footnote>
  <w:footnote w:id="50">
    <w:p w14:paraId="0AB738AD" w14:textId="11F5C535" w:rsidR="00704734" w:rsidRDefault="00704734">
      <w:pPr>
        <w:pStyle w:val="FootnoteText"/>
      </w:pPr>
      <w:r>
        <w:rPr>
          <w:rStyle w:val="FootnoteReference"/>
        </w:rPr>
        <w:footnoteRef/>
      </w:r>
      <w:r>
        <w:t xml:space="preserve"> INSOL Statement of Principles II Commentary, p. 30.</w:t>
      </w:r>
    </w:p>
  </w:footnote>
  <w:footnote w:id="51">
    <w:p w14:paraId="68F48653" w14:textId="1B30F04A" w:rsidR="00A54ABF" w:rsidRDefault="00A54ABF">
      <w:pPr>
        <w:pStyle w:val="FootnoteText"/>
      </w:pPr>
      <w:r>
        <w:rPr>
          <w:rStyle w:val="FootnoteReference"/>
        </w:rPr>
        <w:footnoteRef/>
      </w:r>
      <w:r>
        <w:t xml:space="preserve"> </w:t>
      </w:r>
      <w:r w:rsidR="0021230D">
        <w:t xml:space="preserve">See </w:t>
      </w:r>
      <w:r w:rsidRPr="00A54ABF">
        <w:t>https://blogs.law.ox.ac.uk/business-law-blog/blog/2019/07/soft-law-instruments-restructuring-and-insolvency-law-why-they-matter</w:t>
      </w:r>
    </w:p>
  </w:footnote>
  <w:footnote w:id="52">
    <w:p w14:paraId="6EE27887" w14:textId="1B56E965" w:rsidR="0021230D" w:rsidRDefault="0021230D">
      <w:pPr>
        <w:pStyle w:val="FootnoteText"/>
      </w:pPr>
      <w:r>
        <w:rPr>
          <w:rStyle w:val="FootnoteReference"/>
        </w:rPr>
        <w:footnoteRef/>
      </w:r>
      <w:r>
        <w:t xml:space="preserve"> See </w:t>
      </w:r>
      <w:r w:rsidRPr="0021230D">
        <w:t>https://www.fsb.org/2011/01/cos_051201/</w:t>
      </w:r>
    </w:p>
  </w:footnote>
  <w:footnote w:id="53">
    <w:p w14:paraId="2FD5D3BD" w14:textId="7E1D123C" w:rsidR="0053452C" w:rsidRDefault="0053452C">
      <w:pPr>
        <w:pStyle w:val="FootnoteText"/>
      </w:pPr>
      <w:r>
        <w:rPr>
          <w:rStyle w:val="FootnoteReference"/>
        </w:rPr>
        <w:footnoteRef/>
      </w:r>
      <w:r>
        <w:t xml:space="preserve"> For example</w:t>
      </w:r>
      <w:r w:rsidR="001510B4">
        <w:t>,</w:t>
      </w:r>
      <w:r>
        <w:t xml:space="preserve"> the UNICTRAL Legislative Guide</w:t>
      </w:r>
      <w:r w:rsidR="001510B4">
        <w:t xml:space="preserve">, </w:t>
      </w:r>
      <w:r w:rsidR="008D3F10">
        <w:t xml:space="preserve">UNCITRAL Model Law on </w:t>
      </w:r>
      <w:r w:rsidR="001510B4">
        <w:t xml:space="preserve">Cross-Border Insolvency.  </w:t>
      </w:r>
    </w:p>
  </w:footnote>
  <w:footnote w:id="54">
    <w:p w14:paraId="11296B32" w14:textId="635B0CB3" w:rsidR="001510B4" w:rsidRDefault="001510B4">
      <w:pPr>
        <w:pStyle w:val="FootnoteText"/>
      </w:pPr>
      <w:r>
        <w:rPr>
          <w:rStyle w:val="FootnoteReference"/>
        </w:rPr>
        <w:footnoteRef/>
      </w:r>
      <w:r>
        <w:t xml:space="preserve"> This comprises the World Bank Principles for </w:t>
      </w:r>
      <w:r w:rsidR="00522356">
        <w:t>Effective Insolvency and Creditor/Debtor Regimes.</w:t>
      </w:r>
    </w:p>
  </w:footnote>
  <w:footnote w:id="55">
    <w:p w14:paraId="5F0DAB05" w14:textId="6A71A7F3" w:rsidR="00572FC4" w:rsidRDefault="00572FC4">
      <w:pPr>
        <w:pStyle w:val="FootnoteText"/>
      </w:pPr>
      <w:r>
        <w:rPr>
          <w:rStyle w:val="FootnoteReference"/>
        </w:rPr>
        <w:footnoteRef/>
      </w:r>
      <w:r>
        <w:t xml:space="preserve"> See Cabo Verde Insolvency Law 201</w:t>
      </w:r>
      <w:r w:rsidR="001D4555">
        <w:t>6, Art. 9</w:t>
      </w:r>
      <w:r w:rsidR="00970685">
        <w:t xml:space="preserve"> and from Art. 83.</w:t>
      </w:r>
      <w:r w:rsidR="001D4555">
        <w:t xml:space="preserve"> </w:t>
      </w:r>
    </w:p>
  </w:footnote>
  <w:footnote w:id="56">
    <w:p w14:paraId="10389A13" w14:textId="03A82421" w:rsidR="00CD575B" w:rsidRPr="00781BD6" w:rsidRDefault="00CD575B">
      <w:pPr>
        <w:pStyle w:val="FootnoteText"/>
        <w:rPr>
          <w:lang w:val="fr-FR"/>
        </w:rPr>
      </w:pPr>
      <w:r>
        <w:rPr>
          <w:rStyle w:val="FootnoteReference"/>
        </w:rPr>
        <w:footnoteRef/>
      </w:r>
      <w:r w:rsidRPr="00781BD6">
        <w:rPr>
          <w:lang w:val="fr-FR"/>
        </w:rPr>
        <w:t xml:space="preserve"> </w:t>
      </w:r>
      <w:r w:rsidR="00765C66">
        <w:rPr>
          <w:lang w:val="fr-FR"/>
        </w:rPr>
        <w:t xml:space="preserve">OHADA </w:t>
      </w:r>
      <w:r w:rsidR="00781BD6" w:rsidRPr="00781BD6">
        <w:rPr>
          <w:i/>
          <w:iCs/>
          <w:lang w:val="fr-FR"/>
        </w:rPr>
        <w:t xml:space="preserve">L'Acte uniforme portant organisation des </w:t>
      </w:r>
      <w:r w:rsidR="00765C66" w:rsidRPr="00781BD6">
        <w:rPr>
          <w:i/>
          <w:iCs/>
          <w:lang w:val="fr-FR"/>
        </w:rPr>
        <w:t>procédures</w:t>
      </w:r>
      <w:r w:rsidR="00781BD6" w:rsidRPr="00781BD6">
        <w:rPr>
          <w:i/>
          <w:iCs/>
          <w:lang w:val="fr-FR"/>
        </w:rPr>
        <w:t xml:space="preserve"> collectives d'apurement du passif</w:t>
      </w:r>
      <w:r w:rsidR="00781BD6">
        <w:rPr>
          <w:lang w:val="fr-FR"/>
        </w:rPr>
        <w:t xml:space="preserve">, Art. </w:t>
      </w:r>
      <w:r w:rsidR="00765C66">
        <w:rPr>
          <w:lang w:val="fr-FR"/>
        </w:rPr>
        <w:t>5.</w:t>
      </w:r>
    </w:p>
  </w:footnote>
  <w:footnote w:id="57">
    <w:p w14:paraId="5AA9B3E0" w14:textId="281539EB" w:rsidR="00C16598" w:rsidRDefault="00C16598">
      <w:pPr>
        <w:pStyle w:val="FootnoteText"/>
      </w:pPr>
      <w:r>
        <w:rPr>
          <w:rStyle w:val="FootnoteReference"/>
        </w:rPr>
        <w:footnoteRef/>
      </w:r>
      <w:r>
        <w:t xml:space="preserve"> Rwanda Insolvency Law, 2021, Art. 91.</w:t>
      </w:r>
    </w:p>
  </w:footnote>
  <w:footnote w:id="58">
    <w:p w14:paraId="07122A00" w14:textId="5B626A64" w:rsidR="003F5453" w:rsidRDefault="003F5453">
      <w:pPr>
        <w:pStyle w:val="FootnoteText"/>
      </w:pPr>
      <w:r>
        <w:rPr>
          <w:rStyle w:val="FootnoteReference"/>
        </w:rPr>
        <w:footnoteRef/>
      </w:r>
      <w:r>
        <w:t xml:space="preserve"> Rwanda Insolvency Law, 2021, Art. 89.</w:t>
      </w:r>
    </w:p>
  </w:footnote>
  <w:footnote w:id="59">
    <w:p w14:paraId="74185CF3" w14:textId="17F978C0" w:rsidR="00C12C74" w:rsidRDefault="00C12C74">
      <w:pPr>
        <w:pStyle w:val="FootnoteText"/>
      </w:pPr>
      <w:r>
        <w:rPr>
          <w:rStyle w:val="FootnoteReference"/>
        </w:rPr>
        <w:footnoteRef/>
      </w:r>
      <w:r>
        <w:t xml:space="preserve"> Rwanda Insolvency Law, 2021, Art.8.</w:t>
      </w:r>
    </w:p>
  </w:footnote>
  <w:footnote w:id="60">
    <w:p w14:paraId="29E9EBDD" w14:textId="5736FF7F" w:rsidR="00C12C74" w:rsidRDefault="00C12C74">
      <w:pPr>
        <w:pStyle w:val="FootnoteText"/>
      </w:pPr>
      <w:r>
        <w:rPr>
          <w:rStyle w:val="FootnoteReference"/>
        </w:rPr>
        <w:footnoteRef/>
      </w:r>
      <w:r>
        <w:t xml:space="preserve"> Rwanda Insolvency Law, 2021, Art 10.</w:t>
      </w:r>
    </w:p>
  </w:footnote>
  <w:footnote w:id="61">
    <w:p w14:paraId="25DEB3C6" w14:textId="5BBB98D8" w:rsidR="00C31FC1" w:rsidRDefault="00C31FC1">
      <w:pPr>
        <w:pStyle w:val="FootnoteText"/>
      </w:pPr>
      <w:r>
        <w:rPr>
          <w:rStyle w:val="FootnoteReference"/>
        </w:rPr>
        <w:footnoteRef/>
      </w:r>
      <w:r>
        <w:t xml:space="preserve"> Rwanda Insolvency Law, 2021, Art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B3F"/>
    <w:multiLevelType w:val="hybridMultilevel"/>
    <w:tmpl w:val="5CEADC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74FEB"/>
    <w:multiLevelType w:val="hybridMultilevel"/>
    <w:tmpl w:val="82B49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93E87"/>
    <w:multiLevelType w:val="hybridMultilevel"/>
    <w:tmpl w:val="E8B066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434190"/>
    <w:multiLevelType w:val="hybridMultilevel"/>
    <w:tmpl w:val="F668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054C1"/>
    <w:multiLevelType w:val="hybridMultilevel"/>
    <w:tmpl w:val="8546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4232F"/>
    <w:multiLevelType w:val="hybridMultilevel"/>
    <w:tmpl w:val="425C2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81325"/>
    <w:multiLevelType w:val="hybridMultilevel"/>
    <w:tmpl w:val="82567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C2A68"/>
    <w:multiLevelType w:val="hybridMultilevel"/>
    <w:tmpl w:val="1E5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23B14"/>
    <w:multiLevelType w:val="hybridMultilevel"/>
    <w:tmpl w:val="544E8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597295"/>
    <w:multiLevelType w:val="hybridMultilevel"/>
    <w:tmpl w:val="909E6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14242"/>
    <w:multiLevelType w:val="hybridMultilevel"/>
    <w:tmpl w:val="59522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DF3484"/>
    <w:multiLevelType w:val="hybridMultilevel"/>
    <w:tmpl w:val="84726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B5DF0"/>
    <w:multiLevelType w:val="hybridMultilevel"/>
    <w:tmpl w:val="30F0E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872D5A"/>
    <w:multiLevelType w:val="hybridMultilevel"/>
    <w:tmpl w:val="165E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64DAE"/>
    <w:multiLevelType w:val="hybridMultilevel"/>
    <w:tmpl w:val="BFE8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A0735"/>
    <w:multiLevelType w:val="hybridMultilevel"/>
    <w:tmpl w:val="54D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F6570"/>
    <w:multiLevelType w:val="hybridMultilevel"/>
    <w:tmpl w:val="826E2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B738B6"/>
    <w:multiLevelType w:val="hybridMultilevel"/>
    <w:tmpl w:val="D20E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2015E"/>
    <w:multiLevelType w:val="hybridMultilevel"/>
    <w:tmpl w:val="2822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6198356">
    <w:abstractNumId w:val="0"/>
  </w:num>
  <w:num w:numId="2" w16cid:durableId="146358579">
    <w:abstractNumId w:val="3"/>
  </w:num>
  <w:num w:numId="3" w16cid:durableId="1334911340">
    <w:abstractNumId w:val="14"/>
  </w:num>
  <w:num w:numId="4" w16cid:durableId="464859330">
    <w:abstractNumId w:val="7"/>
  </w:num>
  <w:num w:numId="5" w16cid:durableId="175271392">
    <w:abstractNumId w:val="17"/>
  </w:num>
  <w:num w:numId="6" w16cid:durableId="1561210530">
    <w:abstractNumId w:val="1"/>
  </w:num>
  <w:num w:numId="7" w16cid:durableId="1858426464">
    <w:abstractNumId w:val="15"/>
  </w:num>
  <w:num w:numId="8" w16cid:durableId="179586677">
    <w:abstractNumId w:val="8"/>
  </w:num>
  <w:num w:numId="9" w16cid:durableId="566768339">
    <w:abstractNumId w:val="18"/>
  </w:num>
  <w:num w:numId="10" w16cid:durableId="347876163">
    <w:abstractNumId w:val="13"/>
  </w:num>
  <w:num w:numId="11" w16cid:durableId="332690259">
    <w:abstractNumId w:val="4"/>
  </w:num>
  <w:num w:numId="12" w16cid:durableId="1569343321">
    <w:abstractNumId w:val="16"/>
  </w:num>
  <w:num w:numId="13" w16cid:durableId="315688715">
    <w:abstractNumId w:val="2"/>
  </w:num>
  <w:num w:numId="14" w16cid:durableId="1688209917">
    <w:abstractNumId w:val="10"/>
  </w:num>
  <w:num w:numId="15" w16cid:durableId="1837650450">
    <w:abstractNumId w:val="9"/>
  </w:num>
  <w:num w:numId="16" w16cid:durableId="1400978426">
    <w:abstractNumId w:val="5"/>
  </w:num>
  <w:num w:numId="17" w16cid:durableId="1145201528">
    <w:abstractNumId w:val="11"/>
  </w:num>
  <w:num w:numId="18" w16cid:durableId="2024701412">
    <w:abstractNumId w:val="12"/>
  </w:num>
  <w:num w:numId="19" w16cid:durableId="13906122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53"/>
    <w:rsid w:val="000005E7"/>
    <w:rsid w:val="00000653"/>
    <w:rsid w:val="0000378A"/>
    <w:rsid w:val="00004118"/>
    <w:rsid w:val="00005767"/>
    <w:rsid w:val="00006A83"/>
    <w:rsid w:val="00007A92"/>
    <w:rsid w:val="00011126"/>
    <w:rsid w:val="00013B33"/>
    <w:rsid w:val="0001452D"/>
    <w:rsid w:val="00014B4D"/>
    <w:rsid w:val="00016E23"/>
    <w:rsid w:val="00017CF7"/>
    <w:rsid w:val="000233CC"/>
    <w:rsid w:val="000236B1"/>
    <w:rsid w:val="00023710"/>
    <w:rsid w:val="000308E4"/>
    <w:rsid w:val="00030F83"/>
    <w:rsid w:val="00031E41"/>
    <w:rsid w:val="00032D72"/>
    <w:rsid w:val="00033AE7"/>
    <w:rsid w:val="00035981"/>
    <w:rsid w:val="00036226"/>
    <w:rsid w:val="000369B5"/>
    <w:rsid w:val="000371F1"/>
    <w:rsid w:val="00037A90"/>
    <w:rsid w:val="000400A9"/>
    <w:rsid w:val="00040FDB"/>
    <w:rsid w:val="000423A0"/>
    <w:rsid w:val="00043285"/>
    <w:rsid w:val="000447C0"/>
    <w:rsid w:val="00044FC7"/>
    <w:rsid w:val="00045642"/>
    <w:rsid w:val="00045B92"/>
    <w:rsid w:val="00046457"/>
    <w:rsid w:val="000465D4"/>
    <w:rsid w:val="00046894"/>
    <w:rsid w:val="0004695E"/>
    <w:rsid w:val="00046B3D"/>
    <w:rsid w:val="00050B8D"/>
    <w:rsid w:val="00050DD3"/>
    <w:rsid w:val="00051B7D"/>
    <w:rsid w:val="00055119"/>
    <w:rsid w:val="0005638C"/>
    <w:rsid w:val="00063CD0"/>
    <w:rsid w:val="00064779"/>
    <w:rsid w:val="0006564A"/>
    <w:rsid w:val="00067469"/>
    <w:rsid w:val="000717C8"/>
    <w:rsid w:val="00072978"/>
    <w:rsid w:val="00073B7E"/>
    <w:rsid w:val="00075AE4"/>
    <w:rsid w:val="000767F8"/>
    <w:rsid w:val="00077882"/>
    <w:rsid w:val="00077F9B"/>
    <w:rsid w:val="0008035F"/>
    <w:rsid w:val="00082AE4"/>
    <w:rsid w:val="000837E8"/>
    <w:rsid w:val="00083C8D"/>
    <w:rsid w:val="0008696C"/>
    <w:rsid w:val="0008740F"/>
    <w:rsid w:val="00087D42"/>
    <w:rsid w:val="00091A17"/>
    <w:rsid w:val="00091C90"/>
    <w:rsid w:val="0009246D"/>
    <w:rsid w:val="00093868"/>
    <w:rsid w:val="00095803"/>
    <w:rsid w:val="0009597B"/>
    <w:rsid w:val="000962F0"/>
    <w:rsid w:val="000966CE"/>
    <w:rsid w:val="0009747A"/>
    <w:rsid w:val="000A0139"/>
    <w:rsid w:val="000A093C"/>
    <w:rsid w:val="000A2971"/>
    <w:rsid w:val="000A2F2A"/>
    <w:rsid w:val="000A74C0"/>
    <w:rsid w:val="000B0E1B"/>
    <w:rsid w:val="000B268B"/>
    <w:rsid w:val="000B294F"/>
    <w:rsid w:val="000B3BAF"/>
    <w:rsid w:val="000B3D06"/>
    <w:rsid w:val="000B4D0F"/>
    <w:rsid w:val="000B57B8"/>
    <w:rsid w:val="000B6395"/>
    <w:rsid w:val="000C3121"/>
    <w:rsid w:val="000C4C50"/>
    <w:rsid w:val="000C7CC9"/>
    <w:rsid w:val="000D22BC"/>
    <w:rsid w:val="000D559E"/>
    <w:rsid w:val="000D5602"/>
    <w:rsid w:val="000D6473"/>
    <w:rsid w:val="000E0602"/>
    <w:rsid w:val="000E0668"/>
    <w:rsid w:val="000E0D45"/>
    <w:rsid w:val="000E1385"/>
    <w:rsid w:val="000E1DDC"/>
    <w:rsid w:val="000E349F"/>
    <w:rsid w:val="000E3F38"/>
    <w:rsid w:val="000E535C"/>
    <w:rsid w:val="000E5957"/>
    <w:rsid w:val="000E5E98"/>
    <w:rsid w:val="000F190E"/>
    <w:rsid w:val="000F3AD4"/>
    <w:rsid w:val="000F3BA8"/>
    <w:rsid w:val="000F4266"/>
    <w:rsid w:val="000F522C"/>
    <w:rsid w:val="000F5685"/>
    <w:rsid w:val="000F6758"/>
    <w:rsid w:val="000F7BAB"/>
    <w:rsid w:val="00101570"/>
    <w:rsid w:val="00104B59"/>
    <w:rsid w:val="0011010D"/>
    <w:rsid w:val="00114C4A"/>
    <w:rsid w:val="00116284"/>
    <w:rsid w:val="001176F4"/>
    <w:rsid w:val="0012294A"/>
    <w:rsid w:val="00122D43"/>
    <w:rsid w:val="00123C14"/>
    <w:rsid w:val="0012592B"/>
    <w:rsid w:val="00126657"/>
    <w:rsid w:val="00126882"/>
    <w:rsid w:val="00126DC1"/>
    <w:rsid w:val="00130AC2"/>
    <w:rsid w:val="001321E2"/>
    <w:rsid w:val="00132B8D"/>
    <w:rsid w:val="00132CAD"/>
    <w:rsid w:val="00134BCB"/>
    <w:rsid w:val="001373C0"/>
    <w:rsid w:val="00137D73"/>
    <w:rsid w:val="001403FF"/>
    <w:rsid w:val="00141831"/>
    <w:rsid w:val="00147FB2"/>
    <w:rsid w:val="00150924"/>
    <w:rsid w:val="001510B4"/>
    <w:rsid w:val="00152294"/>
    <w:rsid w:val="00152F21"/>
    <w:rsid w:val="00155729"/>
    <w:rsid w:val="001559C0"/>
    <w:rsid w:val="001570F5"/>
    <w:rsid w:val="00157419"/>
    <w:rsid w:val="0016274D"/>
    <w:rsid w:val="00163036"/>
    <w:rsid w:val="001634F3"/>
    <w:rsid w:val="00164E22"/>
    <w:rsid w:val="00165069"/>
    <w:rsid w:val="00165831"/>
    <w:rsid w:val="0017315C"/>
    <w:rsid w:val="00174338"/>
    <w:rsid w:val="00174EFF"/>
    <w:rsid w:val="00176AC1"/>
    <w:rsid w:val="001775E9"/>
    <w:rsid w:val="00177E38"/>
    <w:rsid w:val="00180880"/>
    <w:rsid w:val="001808F8"/>
    <w:rsid w:val="0018139B"/>
    <w:rsid w:val="00181EE5"/>
    <w:rsid w:val="001831EA"/>
    <w:rsid w:val="00185CB3"/>
    <w:rsid w:val="00185FD2"/>
    <w:rsid w:val="00186131"/>
    <w:rsid w:val="00190B5A"/>
    <w:rsid w:val="00190DEB"/>
    <w:rsid w:val="00191424"/>
    <w:rsid w:val="001922F9"/>
    <w:rsid w:val="001927AC"/>
    <w:rsid w:val="00192C3C"/>
    <w:rsid w:val="00197281"/>
    <w:rsid w:val="001977B3"/>
    <w:rsid w:val="001A10BD"/>
    <w:rsid w:val="001A1216"/>
    <w:rsid w:val="001A3404"/>
    <w:rsid w:val="001B0F08"/>
    <w:rsid w:val="001B20A0"/>
    <w:rsid w:val="001B2635"/>
    <w:rsid w:val="001B28DB"/>
    <w:rsid w:val="001B4306"/>
    <w:rsid w:val="001B4C11"/>
    <w:rsid w:val="001B78E4"/>
    <w:rsid w:val="001C0A6F"/>
    <w:rsid w:val="001C0C0B"/>
    <w:rsid w:val="001C22E6"/>
    <w:rsid w:val="001C3443"/>
    <w:rsid w:val="001C59F6"/>
    <w:rsid w:val="001D0900"/>
    <w:rsid w:val="001D0D8D"/>
    <w:rsid w:val="001D3717"/>
    <w:rsid w:val="001D4555"/>
    <w:rsid w:val="001D4AD5"/>
    <w:rsid w:val="001D4BC0"/>
    <w:rsid w:val="001D58FE"/>
    <w:rsid w:val="001D59C4"/>
    <w:rsid w:val="001E02C6"/>
    <w:rsid w:val="001E1277"/>
    <w:rsid w:val="001E2B59"/>
    <w:rsid w:val="001E2BEB"/>
    <w:rsid w:val="001E3B80"/>
    <w:rsid w:val="001E77AA"/>
    <w:rsid w:val="001F0789"/>
    <w:rsid w:val="001F1E8F"/>
    <w:rsid w:val="001F2418"/>
    <w:rsid w:val="001F3073"/>
    <w:rsid w:val="001F4C37"/>
    <w:rsid w:val="001F4C6D"/>
    <w:rsid w:val="001F65C9"/>
    <w:rsid w:val="001F7F56"/>
    <w:rsid w:val="00200B69"/>
    <w:rsid w:val="00201EB0"/>
    <w:rsid w:val="00204538"/>
    <w:rsid w:val="00205FF4"/>
    <w:rsid w:val="002067E3"/>
    <w:rsid w:val="00207FA5"/>
    <w:rsid w:val="00210E5E"/>
    <w:rsid w:val="00211E7C"/>
    <w:rsid w:val="0021230D"/>
    <w:rsid w:val="002137ED"/>
    <w:rsid w:val="00214A88"/>
    <w:rsid w:val="0021724D"/>
    <w:rsid w:val="00220E32"/>
    <w:rsid w:val="0022146B"/>
    <w:rsid w:val="002227F6"/>
    <w:rsid w:val="00223975"/>
    <w:rsid w:val="002257D4"/>
    <w:rsid w:val="002266AB"/>
    <w:rsid w:val="00226827"/>
    <w:rsid w:val="0023135C"/>
    <w:rsid w:val="00232878"/>
    <w:rsid w:val="00234CD9"/>
    <w:rsid w:val="00237748"/>
    <w:rsid w:val="002379B3"/>
    <w:rsid w:val="00240C1E"/>
    <w:rsid w:val="00240C63"/>
    <w:rsid w:val="002415E0"/>
    <w:rsid w:val="00245E05"/>
    <w:rsid w:val="0024654E"/>
    <w:rsid w:val="00246721"/>
    <w:rsid w:val="00246B4A"/>
    <w:rsid w:val="002475D8"/>
    <w:rsid w:val="00250E36"/>
    <w:rsid w:val="0025619D"/>
    <w:rsid w:val="002562D4"/>
    <w:rsid w:val="00256404"/>
    <w:rsid w:val="00256A6C"/>
    <w:rsid w:val="002613B8"/>
    <w:rsid w:val="00261F2C"/>
    <w:rsid w:val="00263C2D"/>
    <w:rsid w:val="00264CE1"/>
    <w:rsid w:val="00265774"/>
    <w:rsid w:val="00270866"/>
    <w:rsid w:val="0027143D"/>
    <w:rsid w:val="00271BD2"/>
    <w:rsid w:val="0027247C"/>
    <w:rsid w:val="0027253D"/>
    <w:rsid w:val="00273079"/>
    <w:rsid w:val="00273CDC"/>
    <w:rsid w:val="00274BCE"/>
    <w:rsid w:val="00275A24"/>
    <w:rsid w:val="00277232"/>
    <w:rsid w:val="002778DB"/>
    <w:rsid w:val="00286ABB"/>
    <w:rsid w:val="002931A3"/>
    <w:rsid w:val="00293CE2"/>
    <w:rsid w:val="0029688C"/>
    <w:rsid w:val="002A14C0"/>
    <w:rsid w:val="002A2061"/>
    <w:rsid w:val="002A6A06"/>
    <w:rsid w:val="002B00D4"/>
    <w:rsid w:val="002B0944"/>
    <w:rsid w:val="002B098F"/>
    <w:rsid w:val="002B2F32"/>
    <w:rsid w:val="002B2FD6"/>
    <w:rsid w:val="002B58CF"/>
    <w:rsid w:val="002B7AF9"/>
    <w:rsid w:val="002C169C"/>
    <w:rsid w:val="002C1BF2"/>
    <w:rsid w:val="002C2307"/>
    <w:rsid w:val="002C36B0"/>
    <w:rsid w:val="002C43EE"/>
    <w:rsid w:val="002C62D9"/>
    <w:rsid w:val="002C698D"/>
    <w:rsid w:val="002D0DF0"/>
    <w:rsid w:val="002D0FFC"/>
    <w:rsid w:val="002D2DAD"/>
    <w:rsid w:val="002D3292"/>
    <w:rsid w:val="002D3E32"/>
    <w:rsid w:val="002D58E4"/>
    <w:rsid w:val="002D6E78"/>
    <w:rsid w:val="002E13F7"/>
    <w:rsid w:val="002E1A10"/>
    <w:rsid w:val="002E1A3B"/>
    <w:rsid w:val="002E278A"/>
    <w:rsid w:val="002E3771"/>
    <w:rsid w:val="002E377A"/>
    <w:rsid w:val="002E3BFC"/>
    <w:rsid w:val="002E3ED8"/>
    <w:rsid w:val="002E412E"/>
    <w:rsid w:val="002E4E6F"/>
    <w:rsid w:val="002E5E0D"/>
    <w:rsid w:val="002E61A2"/>
    <w:rsid w:val="002E66D2"/>
    <w:rsid w:val="002E6B83"/>
    <w:rsid w:val="002E70E6"/>
    <w:rsid w:val="002E70F4"/>
    <w:rsid w:val="002E723D"/>
    <w:rsid w:val="002F028F"/>
    <w:rsid w:val="002F0B15"/>
    <w:rsid w:val="002F1C32"/>
    <w:rsid w:val="002F32AF"/>
    <w:rsid w:val="002F39B6"/>
    <w:rsid w:val="002F3AC4"/>
    <w:rsid w:val="002F628D"/>
    <w:rsid w:val="002F6DFD"/>
    <w:rsid w:val="00302604"/>
    <w:rsid w:val="0030381A"/>
    <w:rsid w:val="00303FCE"/>
    <w:rsid w:val="00304688"/>
    <w:rsid w:val="00304720"/>
    <w:rsid w:val="003056E3"/>
    <w:rsid w:val="003062E4"/>
    <w:rsid w:val="00306515"/>
    <w:rsid w:val="00306BB6"/>
    <w:rsid w:val="003105F9"/>
    <w:rsid w:val="00311B8F"/>
    <w:rsid w:val="00312C81"/>
    <w:rsid w:val="00312D22"/>
    <w:rsid w:val="00313C93"/>
    <w:rsid w:val="0031596E"/>
    <w:rsid w:val="003159DF"/>
    <w:rsid w:val="00316535"/>
    <w:rsid w:val="00316564"/>
    <w:rsid w:val="0031723F"/>
    <w:rsid w:val="00317EEB"/>
    <w:rsid w:val="0032190C"/>
    <w:rsid w:val="00321D5A"/>
    <w:rsid w:val="00323E85"/>
    <w:rsid w:val="00323F1F"/>
    <w:rsid w:val="00324210"/>
    <w:rsid w:val="00324CDF"/>
    <w:rsid w:val="00324FE0"/>
    <w:rsid w:val="00325E0B"/>
    <w:rsid w:val="00326358"/>
    <w:rsid w:val="003270CD"/>
    <w:rsid w:val="00332125"/>
    <w:rsid w:val="003337D5"/>
    <w:rsid w:val="00333A0F"/>
    <w:rsid w:val="00334D23"/>
    <w:rsid w:val="0033731B"/>
    <w:rsid w:val="003428AD"/>
    <w:rsid w:val="00344783"/>
    <w:rsid w:val="003451FC"/>
    <w:rsid w:val="00345361"/>
    <w:rsid w:val="00345C0B"/>
    <w:rsid w:val="00346057"/>
    <w:rsid w:val="0034780D"/>
    <w:rsid w:val="00350102"/>
    <w:rsid w:val="003504C4"/>
    <w:rsid w:val="00350C13"/>
    <w:rsid w:val="0035113E"/>
    <w:rsid w:val="003519DF"/>
    <w:rsid w:val="0035582D"/>
    <w:rsid w:val="00356555"/>
    <w:rsid w:val="003608F0"/>
    <w:rsid w:val="00360FFC"/>
    <w:rsid w:val="00361A40"/>
    <w:rsid w:val="00361E7E"/>
    <w:rsid w:val="00362552"/>
    <w:rsid w:val="00364531"/>
    <w:rsid w:val="0036511E"/>
    <w:rsid w:val="00366A08"/>
    <w:rsid w:val="003674EC"/>
    <w:rsid w:val="00370884"/>
    <w:rsid w:val="003713F1"/>
    <w:rsid w:val="00372B3A"/>
    <w:rsid w:val="00372D74"/>
    <w:rsid w:val="00372F87"/>
    <w:rsid w:val="003768EF"/>
    <w:rsid w:val="003821C4"/>
    <w:rsid w:val="0038343A"/>
    <w:rsid w:val="003841B5"/>
    <w:rsid w:val="00384A3D"/>
    <w:rsid w:val="003863FC"/>
    <w:rsid w:val="00386A56"/>
    <w:rsid w:val="00386AEC"/>
    <w:rsid w:val="003877CF"/>
    <w:rsid w:val="00391A67"/>
    <w:rsid w:val="00391C15"/>
    <w:rsid w:val="003937E1"/>
    <w:rsid w:val="00394105"/>
    <w:rsid w:val="00395FFE"/>
    <w:rsid w:val="003A3BF6"/>
    <w:rsid w:val="003A5DBA"/>
    <w:rsid w:val="003B06F6"/>
    <w:rsid w:val="003B0E69"/>
    <w:rsid w:val="003B1411"/>
    <w:rsid w:val="003B1696"/>
    <w:rsid w:val="003B1F4C"/>
    <w:rsid w:val="003B3143"/>
    <w:rsid w:val="003B4F61"/>
    <w:rsid w:val="003B5DE1"/>
    <w:rsid w:val="003C1489"/>
    <w:rsid w:val="003C1FEF"/>
    <w:rsid w:val="003C2FFB"/>
    <w:rsid w:val="003C3FD6"/>
    <w:rsid w:val="003C58F6"/>
    <w:rsid w:val="003C5D14"/>
    <w:rsid w:val="003C5DEC"/>
    <w:rsid w:val="003C67B9"/>
    <w:rsid w:val="003D15E0"/>
    <w:rsid w:val="003D17AA"/>
    <w:rsid w:val="003D1972"/>
    <w:rsid w:val="003D1D8D"/>
    <w:rsid w:val="003D1F51"/>
    <w:rsid w:val="003D3546"/>
    <w:rsid w:val="003D4571"/>
    <w:rsid w:val="003D6A01"/>
    <w:rsid w:val="003D713B"/>
    <w:rsid w:val="003E1BE3"/>
    <w:rsid w:val="003E4B7C"/>
    <w:rsid w:val="003E7689"/>
    <w:rsid w:val="003F4DEC"/>
    <w:rsid w:val="003F5453"/>
    <w:rsid w:val="003F5E92"/>
    <w:rsid w:val="003F7861"/>
    <w:rsid w:val="003F7AC7"/>
    <w:rsid w:val="00400302"/>
    <w:rsid w:val="00400401"/>
    <w:rsid w:val="0040109D"/>
    <w:rsid w:val="00401816"/>
    <w:rsid w:val="00402D74"/>
    <w:rsid w:val="00403656"/>
    <w:rsid w:val="00403D1D"/>
    <w:rsid w:val="00403E9A"/>
    <w:rsid w:val="00404AFB"/>
    <w:rsid w:val="00405D82"/>
    <w:rsid w:val="00405F86"/>
    <w:rsid w:val="0040625B"/>
    <w:rsid w:val="00407F4C"/>
    <w:rsid w:val="00410327"/>
    <w:rsid w:val="0041196B"/>
    <w:rsid w:val="00411C54"/>
    <w:rsid w:val="00412878"/>
    <w:rsid w:val="00414970"/>
    <w:rsid w:val="00415198"/>
    <w:rsid w:val="00415CEB"/>
    <w:rsid w:val="00420753"/>
    <w:rsid w:val="00420CDF"/>
    <w:rsid w:val="00420F9F"/>
    <w:rsid w:val="004230A5"/>
    <w:rsid w:val="00424AA2"/>
    <w:rsid w:val="0042718C"/>
    <w:rsid w:val="0042779C"/>
    <w:rsid w:val="00432A79"/>
    <w:rsid w:val="00433EFA"/>
    <w:rsid w:val="00435C34"/>
    <w:rsid w:val="00435C60"/>
    <w:rsid w:val="004364F7"/>
    <w:rsid w:val="0044309C"/>
    <w:rsid w:val="004434D8"/>
    <w:rsid w:val="00446CD8"/>
    <w:rsid w:val="00450A04"/>
    <w:rsid w:val="00452C31"/>
    <w:rsid w:val="00454021"/>
    <w:rsid w:val="00455043"/>
    <w:rsid w:val="00455B2F"/>
    <w:rsid w:val="00456268"/>
    <w:rsid w:val="00456637"/>
    <w:rsid w:val="004566EF"/>
    <w:rsid w:val="00460263"/>
    <w:rsid w:val="0046030F"/>
    <w:rsid w:val="004627D6"/>
    <w:rsid w:val="004627EE"/>
    <w:rsid w:val="004631B7"/>
    <w:rsid w:val="0046638C"/>
    <w:rsid w:val="00467F66"/>
    <w:rsid w:val="00470A3F"/>
    <w:rsid w:val="0047226A"/>
    <w:rsid w:val="004723E8"/>
    <w:rsid w:val="004738BC"/>
    <w:rsid w:val="004739A4"/>
    <w:rsid w:val="00474971"/>
    <w:rsid w:val="00474AA0"/>
    <w:rsid w:val="00474CBA"/>
    <w:rsid w:val="00475303"/>
    <w:rsid w:val="00475A4D"/>
    <w:rsid w:val="004762F1"/>
    <w:rsid w:val="004770EE"/>
    <w:rsid w:val="0047777A"/>
    <w:rsid w:val="00480CD6"/>
    <w:rsid w:val="00482325"/>
    <w:rsid w:val="004842E8"/>
    <w:rsid w:val="00484DC6"/>
    <w:rsid w:val="00485F14"/>
    <w:rsid w:val="00487D27"/>
    <w:rsid w:val="004918FB"/>
    <w:rsid w:val="00493C83"/>
    <w:rsid w:val="00496A4A"/>
    <w:rsid w:val="00497C1C"/>
    <w:rsid w:val="004A12DB"/>
    <w:rsid w:val="004A1821"/>
    <w:rsid w:val="004A2279"/>
    <w:rsid w:val="004A287F"/>
    <w:rsid w:val="004A3CB6"/>
    <w:rsid w:val="004A4175"/>
    <w:rsid w:val="004A4592"/>
    <w:rsid w:val="004A629F"/>
    <w:rsid w:val="004A680C"/>
    <w:rsid w:val="004A7031"/>
    <w:rsid w:val="004B25FE"/>
    <w:rsid w:val="004B3E24"/>
    <w:rsid w:val="004B5FD0"/>
    <w:rsid w:val="004B62A1"/>
    <w:rsid w:val="004C0A63"/>
    <w:rsid w:val="004C29B4"/>
    <w:rsid w:val="004C3519"/>
    <w:rsid w:val="004C400C"/>
    <w:rsid w:val="004C50AD"/>
    <w:rsid w:val="004C536B"/>
    <w:rsid w:val="004C5560"/>
    <w:rsid w:val="004C580C"/>
    <w:rsid w:val="004C6EB2"/>
    <w:rsid w:val="004D1B8B"/>
    <w:rsid w:val="004D4080"/>
    <w:rsid w:val="004D4560"/>
    <w:rsid w:val="004D48F9"/>
    <w:rsid w:val="004D5666"/>
    <w:rsid w:val="004D6394"/>
    <w:rsid w:val="004D7020"/>
    <w:rsid w:val="004E0661"/>
    <w:rsid w:val="004E181E"/>
    <w:rsid w:val="004E2679"/>
    <w:rsid w:val="004E2C9B"/>
    <w:rsid w:val="004E353E"/>
    <w:rsid w:val="004E3547"/>
    <w:rsid w:val="004E4A70"/>
    <w:rsid w:val="004E6564"/>
    <w:rsid w:val="004E6D69"/>
    <w:rsid w:val="004E6FED"/>
    <w:rsid w:val="004F07AB"/>
    <w:rsid w:val="004F206A"/>
    <w:rsid w:val="004F32C7"/>
    <w:rsid w:val="004F5520"/>
    <w:rsid w:val="004F7E31"/>
    <w:rsid w:val="004F7F0F"/>
    <w:rsid w:val="00501F0D"/>
    <w:rsid w:val="00504C0C"/>
    <w:rsid w:val="00510F9C"/>
    <w:rsid w:val="00511909"/>
    <w:rsid w:val="0051303E"/>
    <w:rsid w:val="005135E4"/>
    <w:rsid w:val="00514237"/>
    <w:rsid w:val="005153A0"/>
    <w:rsid w:val="005163FF"/>
    <w:rsid w:val="005206ED"/>
    <w:rsid w:val="00521095"/>
    <w:rsid w:val="005216FE"/>
    <w:rsid w:val="00522356"/>
    <w:rsid w:val="00523237"/>
    <w:rsid w:val="0052327A"/>
    <w:rsid w:val="005264D5"/>
    <w:rsid w:val="00527AEA"/>
    <w:rsid w:val="00530101"/>
    <w:rsid w:val="00531C20"/>
    <w:rsid w:val="00532BC9"/>
    <w:rsid w:val="00534084"/>
    <w:rsid w:val="0053452C"/>
    <w:rsid w:val="005356B3"/>
    <w:rsid w:val="00536089"/>
    <w:rsid w:val="0054159E"/>
    <w:rsid w:val="0054166C"/>
    <w:rsid w:val="0054199E"/>
    <w:rsid w:val="00541A04"/>
    <w:rsid w:val="00542AAA"/>
    <w:rsid w:val="0054316B"/>
    <w:rsid w:val="005445AA"/>
    <w:rsid w:val="00545BB6"/>
    <w:rsid w:val="00551255"/>
    <w:rsid w:val="00554754"/>
    <w:rsid w:val="00555C86"/>
    <w:rsid w:val="00556F51"/>
    <w:rsid w:val="00557AF9"/>
    <w:rsid w:val="00560190"/>
    <w:rsid w:val="005620A7"/>
    <w:rsid w:val="005626DC"/>
    <w:rsid w:val="005669F5"/>
    <w:rsid w:val="00566BF4"/>
    <w:rsid w:val="005707C8"/>
    <w:rsid w:val="0057136C"/>
    <w:rsid w:val="005725C3"/>
    <w:rsid w:val="00572FC4"/>
    <w:rsid w:val="00575BB3"/>
    <w:rsid w:val="00575E97"/>
    <w:rsid w:val="0058173D"/>
    <w:rsid w:val="00582BC8"/>
    <w:rsid w:val="00583B5F"/>
    <w:rsid w:val="00583DCA"/>
    <w:rsid w:val="005843FB"/>
    <w:rsid w:val="005850DE"/>
    <w:rsid w:val="00587248"/>
    <w:rsid w:val="00590439"/>
    <w:rsid w:val="005912E8"/>
    <w:rsid w:val="0059159A"/>
    <w:rsid w:val="00595033"/>
    <w:rsid w:val="00596D1F"/>
    <w:rsid w:val="005A0304"/>
    <w:rsid w:val="005A0503"/>
    <w:rsid w:val="005A15F9"/>
    <w:rsid w:val="005A17FE"/>
    <w:rsid w:val="005A199A"/>
    <w:rsid w:val="005A1DCD"/>
    <w:rsid w:val="005A3CE9"/>
    <w:rsid w:val="005A4965"/>
    <w:rsid w:val="005A7440"/>
    <w:rsid w:val="005B181F"/>
    <w:rsid w:val="005B1B09"/>
    <w:rsid w:val="005B4EB5"/>
    <w:rsid w:val="005B6F4C"/>
    <w:rsid w:val="005C06B6"/>
    <w:rsid w:val="005C400B"/>
    <w:rsid w:val="005C5D45"/>
    <w:rsid w:val="005C6961"/>
    <w:rsid w:val="005C6BC3"/>
    <w:rsid w:val="005C7299"/>
    <w:rsid w:val="005D3021"/>
    <w:rsid w:val="005D34F0"/>
    <w:rsid w:val="005D717A"/>
    <w:rsid w:val="005D7E32"/>
    <w:rsid w:val="005E18D3"/>
    <w:rsid w:val="005E1A7D"/>
    <w:rsid w:val="005E3327"/>
    <w:rsid w:val="005E38F7"/>
    <w:rsid w:val="005E3BB8"/>
    <w:rsid w:val="005E43F8"/>
    <w:rsid w:val="005E4560"/>
    <w:rsid w:val="005E5563"/>
    <w:rsid w:val="005E5F9A"/>
    <w:rsid w:val="005E7E6B"/>
    <w:rsid w:val="005F078F"/>
    <w:rsid w:val="005F2A0F"/>
    <w:rsid w:val="005F2E9B"/>
    <w:rsid w:val="005F41AA"/>
    <w:rsid w:val="005F4617"/>
    <w:rsid w:val="005F50DA"/>
    <w:rsid w:val="005F5BB7"/>
    <w:rsid w:val="005F794C"/>
    <w:rsid w:val="0060029E"/>
    <w:rsid w:val="00600661"/>
    <w:rsid w:val="0060118B"/>
    <w:rsid w:val="00601515"/>
    <w:rsid w:val="00603942"/>
    <w:rsid w:val="006040F2"/>
    <w:rsid w:val="0060438D"/>
    <w:rsid w:val="00605331"/>
    <w:rsid w:val="00606450"/>
    <w:rsid w:val="00610BFC"/>
    <w:rsid w:val="00611B1F"/>
    <w:rsid w:val="00612AFB"/>
    <w:rsid w:val="00614070"/>
    <w:rsid w:val="0061647C"/>
    <w:rsid w:val="00620BAA"/>
    <w:rsid w:val="006213EC"/>
    <w:rsid w:val="006219F4"/>
    <w:rsid w:val="00621BB9"/>
    <w:rsid w:val="006224E9"/>
    <w:rsid w:val="00622994"/>
    <w:rsid w:val="006268E8"/>
    <w:rsid w:val="006309C2"/>
    <w:rsid w:val="00631E0B"/>
    <w:rsid w:val="00632F27"/>
    <w:rsid w:val="00633970"/>
    <w:rsid w:val="00633CFF"/>
    <w:rsid w:val="00635DF7"/>
    <w:rsid w:val="00641B82"/>
    <w:rsid w:val="00641F0D"/>
    <w:rsid w:val="0064530F"/>
    <w:rsid w:val="00652EB1"/>
    <w:rsid w:val="006532DB"/>
    <w:rsid w:val="006533CB"/>
    <w:rsid w:val="0065368F"/>
    <w:rsid w:val="006539CB"/>
    <w:rsid w:val="00654A82"/>
    <w:rsid w:val="0065676A"/>
    <w:rsid w:val="006607D4"/>
    <w:rsid w:val="00662011"/>
    <w:rsid w:val="006624B2"/>
    <w:rsid w:val="00665D8C"/>
    <w:rsid w:val="00666223"/>
    <w:rsid w:val="00670838"/>
    <w:rsid w:val="006714C2"/>
    <w:rsid w:val="0067240A"/>
    <w:rsid w:val="00672E62"/>
    <w:rsid w:val="006747F0"/>
    <w:rsid w:val="006763FC"/>
    <w:rsid w:val="00677686"/>
    <w:rsid w:val="00677B3F"/>
    <w:rsid w:val="0068036A"/>
    <w:rsid w:val="00680799"/>
    <w:rsid w:val="0068084D"/>
    <w:rsid w:val="006814A0"/>
    <w:rsid w:val="006826C6"/>
    <w:rsid w:val="00684498"/>
    <w:rsid w:val="006849AC"/>
    <w:rsid w:val="00691168"/>
    <w:rsid w:val="006912A3"/>
    <w:rsid w:val="00691421"/>
    <w:rsid w:val="006921F0"/>
    <w:rsid w:val="00692D24"/>
    <w:rsid w:val="006956C0"/>
    <w:rsid w:val="0069576C"/>
    <w:rsid w:val="00695866"/>
    <w:rsid w:val="00696381"/>
    <w:rsid w:val="006A1F23"/>
    <w:rsid w:val="006A30DB"/>
    <w:rsid w:val="006A4413"/>
    <w:rsid w:val="006A6BAA"/>
    <w:rsid w:val="006A778E"/>
    <w:rsid w:val="006B1CA9"/>
    <w:rsid w:val="006B3455"/>
    <w:rsid w:val="006B3D39"/>
    <w:rsid w:val="006B54A7"/>
    <w:rsid w:val="006B7679"/>
    <w:rsid w:val="006C0699"/>
    <w:rsid w:val="006C0CCC"/>
    <w:rsid w:val="006C1B74"/>
    <w:rsid w:val="006C2A80"/>
    <w:rsid w:val="006C36D6"/>
    <w:rsid w:val="006C41B2"/>
    <w:rsid w:val="006C431A"/>
    <w:rsid w:val="006C47D1"/>
    <w:rsid w:val="006C4C17"/>
    <w:rsid w:val="006C6885"/>
    <w:rsid w:val="006C78C4"/>
    <w:rsid w:val="006D10F2"/>
    <w:rsid w:val="006D3CF6"/>
    <w:rsid w:val="006D4233"/>
    <w:rsid w:val="006D4857"/>
    <w:rsid w:val="006E0A54"/>
    <w:rsid w:val="006E5BE7"/>
    <w:rsid w:val="006F25B4"/>
    <w:rsid w:val="006F3976"/>
    <w:rsid w:val="006F49DF"/>
    <w:rsid w:val="006F65B0"/>
    <w:rsid w:val="00702400"/>
    <w:rsid w:val="00702973"/>
    <w:rsid w:val="0070399C"/>
    <w:rsid w:val="00704734"/>
    <w:rsid w:val="007061C8"/>
    <w:rsid w:val="00706C28"/>
    <w:rsid w:val="00707BD4"/>
    <w:rsid w:val="00710269"/>
    <w:rsid w:val="00712850"/>
    <w:rsid w:val="007131A0"/>
    <w:rsid w:val="00714C20"/>
    <w:rsid w:val="0071541E"/>
    <w:rsid w:val="00715447"/>
    <w:rsid w:val="00716064"/>
    <w:rsid w:val="00716634"/>
    <w:rsid w:val="00717557"/>
    <w:rsid w:val="00722CDE"/>
    <w:rsid w:val="00725259"/>
    <w:rsid w:val="00726E54"/>
    <w:rsid w:val="00727CCB"/>
    <w:rsid w:val="00731B28"/>
    <w:rsid w:val="007322D2"/>
    <w:rsid w:val="007328D9"/>
    <w:rsid w:val="007402A0"/>
    <w:rsid w:val="0074102C"/>
    <w:rsid w:val="00741D05"/>
    <w:rsid w:val="00742A15"/>
    <w:rsid w:val="0074321B"/>
    <w:rsid w:val="00744437"/>
    <w:rsid w:val="007471DD"/>
    <w:rsid w:val="00747396"/>
    <w:rsid w:val="007500A8"/>
    <w:rsid w:val="00750DE8"/>
    <w:rsid w:val="007513C6"/>
    <w:rsid w:val="00756E55"/>
    <w:rsid w:val="0076112C"/>
    <w:rsid w:val="00762540"/>
    <w:rsid w:val="00765424"/>
    <w:rsid w:val="00765C10"/>
    <w:rsid w:val="00765C66"/>
    <w:rsid w:val="007741A2"/>
    <w:rsid w:val="00780875"/>
    <w:rsid w:val="007810AD"/>
    <w:rsid w:val="00781BD6"/>
    <w:rsid w:val="007826DA"/>
    <w:rsid w:val="0078276B"/>
    <w:rsid w:val="00782AE1"/>
    <w:rsid w:val="00784FC7"/>
    <w:rsid w:val="00785158"/>
    <w:rsid w:val="007853B1"/>
    <w:rsid w:val="0078615B"/>
    <w:rsid w:val="00787639"/>
    <w:rsid w:val="0078765A"/>
    <w:rsid w:val="00787A53"/>
    <w:rsid w:val="00792176"/>
    <w:rsid w:val="0079389C"/>
    <w:rsid w:val="00795927"/>
    <w:rsid w:val="00797637"/>
    <w:rsid w:val="00797FE8"/>
    <w:rsid w:val="007A1EBA"/>
    <w:rsid w:val="007A2046"/>
    <w:rsid w:val="007A2A68"/>
    <w:rsid w:val="007A4D07"/>
    <w:rsid w:val="007A56F6"/>
    <w:rsid w:val="007A603B"/>
    <w:rsid w:val="007A7CDE"/>
    <w:rsid w:val="007B0DE0"/>
    <w:rsid w:val="007B0E12"/>
    <w:rsid w:val="007B2254"/>
    <w:rsid w:val="007B2E38"/>
    <w:rsid w:val="007B629E"/>
    <w:rsid w:val="007C019F"/>
    <w:rsid w:val="007C0535"/>
    <w:rsid w:val="007C1A7D"/>
    <w:rsid w:val="007C41D9"/>
    <w:rsid w:val="007C42DB"/>
    <w:rsid w:val="007C47F7"/>
    <w:rsid w:val="007C5408"/>
    <w:rsid w:val="007D08D8"/>
    <w:rsid w:val="007D18B6"/>
    <w:rsid w:val="007D1B00"/>
    <w:rsid w:val="007D1B56"/>
    <w:rsid w:val="007D1E76"/>
    <w:rsid w:val="007D2DB2"/>
    <w:rsid w:val="007D4449"/>
    <w:rsid w:val="007D53AB"/>
    <w:rsid w:val="007D72B9"/>
    <w:rsid w:val="007D7392"/>
    <w:rsid w:val="007D7B7A"/>
    <w:rsid w:val="007E0720"/>
    <w:rsid w:val="007E0CAD"/>
    <w:rsid w:val="007E21EB"/>
    <w:rsid w:val="007E45BB"/>
    <w:rsid w:val="007E68C1"/>
    <w:rsid w:val="007E702A"/>
    <w:rsid w:val="007F0840"/>
    <w:rsid w:val="007F1871"/>
    <w:rsid w:val="007F1CC7"/>
    <w:rsid w:val="007F2E67"/>
    <w:rsid w:val="007F32FC"/>
    <w:rsid w:val="007F4B9F"/>
    <w:rsid w:val="007F6245"/>
    <w:rsid w:val="007F7702"/>
    <w:rsid w:val="00801A57"/>
    <w:rsid w:val="00801FE1"/>
    <w:rsid w:val="0080301C"/>
    <w:rsid w:val="008039DF"/>
    <w:rsid w:val="00803DD6"/>
    <w:rsid w:val="008053B4"/>
    <w:rsid w:val="00805A83"/>
    <w:rsid w:val="00806B46"/>
    <w:rsid w:val="00806DC0"/>
    <w:rsid w:val="00807D9A"/>
    <w:rsid w:val="00807EF3"/>
    <w:rsid w:val="00811372"/>
    <w:rsid w:val="008115B7"/>
    <w:rsid w:val="00811FB4"/>
    <w:rsid w:val="008121DF"/>
    <w:rsid w:val="0081336D"/>
    <w:rsid w:val="008151F2"/>
    <w:rsid w:val="00815E24"/>
    <w:rsid w:val="00815F93"/>
    <w:rsid w:val="008168A4"/>
    <w:rsid w:val="00824522"/>
    <w:rsid w:val="008265FB"/>
    <w:rsid w:val="00826ABC"/>
    <w:rsid w:val="00826C3B"/>
    <w:rsid w:val="00826D03"/>
    <w:rsid w:val="00830D21"/>
    <w:rsid w:val="008316C5"/>
    <w:rsid w:val="00833FF7"/>
    <w:rsid w:val="00834B7C"/>
    <w:rsid w:val="00835EB0"/>
    <w:rsid w:val="00836A13"/>
    <w:rsid w:val="00837F19"/>
    <w:rsid w:val="00840CAC"/>
    <w:rsid w:val="00841228"/>
    <w:rsid w:val="00841A04"/>
    <w:rsid w:val="008422A2"/>
    <w:rsid w:val="00842600"/>
    <w:rsid w:val="0084292E"/>
    <w:rsid w:val="00843CF0"/>
    <w:rsid w:val="008440C0"/>
    <w:rsid w:val="00845439"/>
    <w:rsid w:val="00846186"/>
    <w:rsid w:val="0084775A"/>
    <w:rsid w:val="008513C4"/>
    <w:rsid w:val="00852191"/>
    <w:rsid w:val="00852F22"/>
    <w:rsid w:val="0085304B"/>
    <w:rsid w:val="00853A20"/>
    <w:rsid w:val="008573F2"/>
    <w:rsid w:val="008577F5"/>
    <w:rsid w:val="00857E98"/>
    <w:rsid w:val="0086255C"/>
    <w:rsid w:val="008629F1"/>
    <w:rsid w:val="00864820"/>
    <w:rsid w:val="00867974"/>
    <w:rsid w:val="00870DF3"/>
    <w:rsid w:val="00871606"/>
    <w:rsid w:val="008725B5"/>
    <w:rsid w:val="00872AE9"/>
    <w:rsid w:val="00875E46"/>
    <w:rsid w:val="00877192"/>
    <w:rsid w:val="00877255"/>
    <w:rsid w:val="008815FF"/>
    <w:rsid w:val="008824AA"/>
    <w:rsid w:val="00891AFF"/>
    <w:rsid w:val="008943B2"/>
    <w:rsid w:val="00895429"/>
    <w:rsid w:val="00895606"/>
    <w:rsid w:val="00895E3C"/>
    <w:rsid w:val="008A03DD"/>
    <w:rsid w:val="008A14AB"/>
    <w:rsid w:val="008A48E9"/>
    <w:rsid w:val="008A593A"/>
    <w:rsid w:val="008A5AB2"/>
    <w:rsid w:val="008A5E0D"/>
    <w:rsid w:val="008A6044"/>
    <w:rsid w:val="008A6046"/>
    <w:rsid w:val="008A705C"/>
    <w:rsid w:val="008B3656"/>
    <w:rsid w:val="008B7BDA"/>
    <w:rsid w:val="008C00A7"/>
    <w:rsid w:val="008C10DC"/>
    <w:rsid w:val="008C2E01"/>
    <w:rsid w:val="008C5B52"/>
    <w:rsid w:val="008C6889"/>
    <w:rsid w:val="008C706B"/>
    <w:rsid w:val="008D0CF1"/>
    <w:rsid w:val="008D1AC9"/>
    <w:rsid w:val="008D3F10"/>
    <w:rsid w:val="008D41A8"/>
    <w:rsid w:val="008D4F3E"/>
    <w:rsid w:val="008D5E83"/>
    <w:rsid w:val="008D6CAB"/>
    <w:rsid w:val="008D6CCF"/>
    <w:rsid w:val="008D6EDF"/>
    <w:rsid w:val="008D7ABC"/>
    <w:rsid w:val="008E01D9"/>
    <w:rsid w:val="008E0369"/>
    <w:rsid w:val="008E0726"/>
    <w:rsid w:val="008E1775"/>
    <w:rsid w:val="008E2169"/>
    <w:rsid w:val="008E6003"/>
    <w:rsid w:val="008E6B14"/>
    <w:rsid w:val="008F027B"/>
    <w:rsid w:val="008F1B94"/>
    <w:rsid w:val="008F3D3B"/>
    <w:rsid w:val="008F3FFC"/>
    <w:rsid w:val="008F4953"/>
    <w:rsid w:val="008F5217"/>
    <w:rsid w:val="008F5939"/>
    <w:rsid w:val="008F7503"/>
    <w:rsid w:val="008F761B"/>
    <w:rsid w:val="009012F7"/>
    <w:rsid w:val="00904031"/>
    <w:rsid w:val="00904A12"/>
    <w:rsid w:val="00905A7F"/>
    <w:rsid w:val="00910C21"/>
    <w:rsid w:val="00910D57"/>
    <w:rsid w:val="0091402D"/>
    <w:rsid w:val="00916C03"/>
    <w:rsid w:val="00916C65"/>
    <w:rsid w:val="00916ED8"/>
    <w:rsid w:val="009176B9"/>
    <w:rsid w:val="00917B68"/>
    <w:rsid w:val="00920B9B"/>
    <w:rsid w:val="00921BE9"/>
    <w:rsid w:val="0092252B"/>
    <w:rsid w:val="00922A1F"/>
    <w:rsid w:val="00922C01"/>
    <w:rsid w:val="00922D6D"/>
    <w:rsid w:val="00923E9F"/>
    <w:rsid w:val="00925E6F"/>
    <w:rsid w:val="00925FCE"/>
    <w:rsid w:val="00926210"/>
    <w:rsid w:val="00926A55"/>
    <w:rsid w:val="00933603"/>
    <w:rsid w:val="00933FCA"/>
    <w:rsid w:val="0093485A"/>
    <w:rsid w:val="009353A5"/>
    <w:rsid w:val="009356B6"/>
    <w:rsid w:val="00936EC7"/>
    <w:rsid w:val="009425A9"/>
    <w:rsid w:val="00944E3A"/>
    <w:rsid w:val="00946A10"/>
    <w:rsid w:val="00947F46"/>
    <w:rsid w:val="00950F53"/>
    <w:rsid w:val="00951D0F"/>
    <w:rsid w:val="00951DC5"/>
    <w:rsid w:val="009532FC"/>
    <w:rsid w:val="0095342A"/>
    <w:rsid w:val="009540C4"/>
    <w:rsid w:val="00955215"/>
    <w:rsid w:val="009552F3"/>
    <w:rsid w:val="0095663E"/>
    <w:rsid w:val="00956860"/>
    <w:rsid w:val="009607D2"/>
    <w:rsid w:val="009622B9"/>
    <w:rsid w:val="009631C0"/>
    <w:rsid w:val="00963B48"/>
    <w:rsid w:val="009642A6"/>
    <w:rsid w:val="00965D93"/>
    <w:rsid w:val="00966B2D"/>
    <w:rsid w:val="009670E1"/>
    <w:rsid w:val="009701DA"/>
    <w:rsid w:val="00970522"/>
    <w:rsid w:val="00970685"/>
    <w:rsid w:val="00970B3D"/>
    <w:rsid w:val="00970DC5"/>
    <w:rsid w:val="00971467"/>
    <w:rsid w:val="009717A9"/>
    <w:rsid w:val="00971FA4"/>
    <w:rsid w:val="00973439"/>
    <w:rsid w:val="0097552B"/>
    <w:rsid w:val="00975760"/>
    <w:rsid w:val="00976FB5"/>
    <w:rsid w:val="0098023C"/>
    <w:rsid w:val="00980B64"/>
    <w:rsid w:val="00981431"/>
    <w:rsid w:val="00985D3D"/>
    <w:rsid w:val="00990D45"/>
    <w:rsid w:val="0099112B"/>
    <w:rsid w:val="00991C36"/>
    <w:rsid w:val="009920D3"/>
    <w:rsid w:val="00993B21"/>
    <w:rsid w:val="0099411E"/>
    <w:rsid w:val="009962FA"/>
    <w:rsid w:val="009A0697"/>
    <w:rsid w:val="009A1304"/>
    <w:rsid w:val="009A5ED7"/>
    <w:rsid w:val="009A5F44"/>
    <w:rsid w:val="009A6D92"/>
    <w:rsid w:val="009A70F0"/>
    <w:rsid w:val="009A70F8"/>
    <w:rsid w:val="009B029F"/>
    <w:rsid w:val="009B0FB4"/>
    <w:rsid w:val="009B2A8F"/>
    <w:rsid w:val="009B4212"/>
    <w:rsid w:val="009B42FF"/>
    <w:rsid w:val="009B4605"/>
    <w:rsid w:val="009B4729"/>
    <w:rsid w:val="009B5C2F"/>
    <w:rsid w:val="009B7AEC"/>
    <w:rsid w:val="009C00E4"/>
    <w:rsid w:val="009C05C1"/>
    <w:rsid w:val="009C3448"/>
    <w:rsid w:val="009C7865"/>
    <w:rsid w:val="009C7E27"/>
    <w:rsid w:val="009D160E"/>
    <w:rsid w:val="009D2338"/>
    <w:rsid w:val="009D351B"/>
    <w:rsid w:val="009D3F7F"/>
    <w:rsid w:val="009D438C"/>
    <w:rsid w:val="009D4B22"/>
    <w:rsid w:val="009D5BFA"/>
    <w:rsid w:val="009D6640"/>
    <w:rsid w:val="009D6F07"/>
    <w:rsid w:val="009E1805"/>
    <w:rsid w:val="009E1F93"/>
    <w:rsid w:val="009E3163"/>
    <w:rsid w:val="009E3906"/>
    <w:rsid w:val="009E5162"/>
    <w:rsid w:val="009F0024"/>
    <w:rsid w:val="009F03B7"/>
    <w:rsid w:val="009F0EB6"/>
    <w:rsid w:val="009F242D"/>
    <w:rsid w:val="009F3BEB"/>
    <w:rsid w:val="009F3C38"/>
    <w:rsid w:val="009F4543"/>
    <w:rsid w:val="00A000B6"/>
    <w:rsid w:val="00A049BE"/>
    <w:rsid w:val="00A05B8A"/>
    <w:rsid w:val="00A06E68"/>
    <w:rsid w:val="00A06F1D"/>
    <w:rsid w:val="00A0783B"/>
    <w:rsid w:val="00A07A6B"/>
    <w:rsid w:val="00A126EC"/>
    <w:rsid w:val="00A12FC7"/>
    <w:rsid w:val="00A13995"/>
    <w:rsid w:val="00A13C4B"/>
    <w:rsid w:val="00A1405A"/>
    <w:rsid w:val="00A15210"/>
    <w:rsid w:val="00A1674B"/>
    <w:rsid w:val="00A16E69"/>
    <w:rsid w:val="00A2106C"/>
    <w:rsid w:val="00A218E3"/>
    <w:rsid w:val="00A22C9C"/>
    <w:rsid w:val="00A23D01"/>
    <w:rsid w:val="00A2522D"/>
    <w:rsid w:val="00A279FB"/>
    <w:rsid w:val="00A31EE8"/>
    <w:rsid w:val="00A33F3D"/>
    <w:rsid w:val="00A3771C"/>
    <w:rsid w:val="00A40B21"/>
    <w:rsid w:val="00A4358A"/>
    <w:rsid w:val="00A4370E"/>
    <w:rsid w:val="00A462FC"/>
    <w:rsid w:val="00A466CD"/>
    <w:rsid w:val="00A47498"/>
    <w:rsid w:val="00A47C31"/>
    <w:rsid w:val="00A47D4C"/>
    <w:rsid w:val="00A5040F"/>
    <w:rsid w:val="00A50B56"/>
    <w:rsid w:val="00A544C5"/>
    <w:rsid w:val="00A54ABF"/>
    <w:rsid w:val="00A56FA5"/>
    <w:rsid w:val="00A61A17"/>
    <w:rsid w:val="00A63C61"/>
    <w:rsid w:val="00A6575E"/>
    <w:rsid w:val="00A71457"/>
    <w:rsid w:val="00A72554"/>
    <w:rsid w:val="00A72DEA"/>
    <w:rsid w:val="00A7696F"/>
    <w:rsid w:val="00A80760"/>
    <w:rsid w:val="00A83050"/>
    <w:rsid w:val="00A830A6"/>
    <w:rsid w:val="00A83D9F"/>
    <w:rsid w:val="00A85B0A"/>
    <w:rsid w:val="00A86AB0"/>
    <w:rsid w:val="00A87455"/>
    <w:rsid w:val="00A8777C"/>
    <w:rsid w:val="00A96701"/>
    <w:rsid w:val="00A97436"/>
    <w:rsid w:val="00AA0F8E"/>
    <w:rsid w:val="00AA199D"/>
    <w:rsid w:val="00AA1ED9"/>
    <w:rsid w:val="00AA21F9"/>
    <w:rsid w:val="00AA49F1"/>
    <w:rsid w:val="00AA68C9"/>
    <w:rsid w:val="00AA6BCD"/>
    <w:rsid w:val="00AB3DB3"/>
    <w:rsid w:val="00AB5F29"/>
    <w:rsid w:val="00AB6135"/>
    <w:rsid w:val="00AC0D7E"/>
    <w:rsid w:val="00AC10B8"/>
    <w:rsid w:val="00AC1584"/>
    <w:rsid w:val="00AC1856"/>
    <w:rsid w:val="00AC46A7"/>
    <w:rsid w:val="00AC56BC"/>
    <w:rsid w:val="00AC5BDA"/>
    <w:rsid w:val="00AC5DB0"/>
    <w:rsid w:val="00AC7784"/>
    <w:rsid w:val="00AD25B2"/>
    <w:rsid w:val="00AD3444"/>
    <w:rsid w:val="00AD6023"/>
    <w:rsid w:val="00AD6460"/>
    <w:rsid w:val="00AD665B"/>
    <w:rsid w:val="00AD713C"/>
    <w:rsid w:val="00AE0530"/>
    <w:rsid w:val="00AE1620"/>
    <w:rsid w:val="00AE2079"/>
    <w:rsid w:val="00AE27C7"/>
    <w:rsid w:val="00AE2837"/>
    <w:rsid w:val="00AE3A10"/>
    <w:rsid w:val="00AF0C82"/>
    <w:rsid w:val="00AF1AE6"/>
    <w:rsid w:val="00AF245C"/>
    <w:rsid w:val="00AF305A"/>
    <w:rsid w:val="00AF353C"/>
    <w:rsid w:val="00AF42AD"/>
    <w:rsid w:val="00AF4A56"/>
    <w:rsid w:val="00AF6879"/>
    <w:rsid w:val="00B013F4"/>
    <w:rsid w:val="00B014A9"/>
    <w:rsid w:val="00B014BB"/>
    <w:rsid w:val="00B01F64"/>
    <w:rsid w:val="00B02157"/>
    <w:rsid w:val="00B02400"/>
    <w:rsid w:val="00B0242D"/>
    <w:rsid w:val="00B071B3"/>
    <w:rsid w:val="00B10C2C"/>
    <w:rsid w:val="00B14AE4"/>
    <w:rsid w:val="00B1565F"/>
    <w:rsid w:val="00B157D7"/>
    <w:rsid w:val="00B16162"/>
    <w:rsid w:val="00B16928"/>
    <w:rsid w:val="00B20212"/>
    <w:rsid w:val="00B229A5"/>
    <w:rsid w:val="00B238FA"/>
    <w:rsid w:val="00B2512E"/>
    <w:rsid w:val="00B2523D"/>
    <w:rsid w:val="00B25D82"/>
    <w:rsid w:val="00B25E25"/>
    <w:rsid w:val="00B26E90"/>
    <w:rsid w:val="00B27AE4"/>
    <w:rsid w:val="00B30406"/>
    <w:rsid w:val="00B310CB"/>
    <w:rsid w:val="00B334AB"/>
    <w:rsid w:val="00B33621"/>
    <w:rsid w:val="00B357BA"/>
    <w:rsid w:val="00B35978"/>
    <w:rsid w:val="00B36A75"/>
    <w:rsid w:val="00B40A04"/>
    <w:rsid w:val="00B40F3D"/>
    <w:rsid w:val="00B4139E"/>
    <w:rsid w:val="00B425B1"/>
    <w:rsid w:val="00B436AB"/>
    <w:rsid w:val="00B441A9"/>
    <w:rsid w:val="00B443F0"/>
    <w:rsid w:val="00B45455"/>
    <w:rsid w:val="00B4747D"/>
    <w:rsid w:val="00B537A1"/>
    <w:rsid w:val="00B54B83"/>
    <w:rsid w:val="00B5570F"/>
    <w:rsid w:val="00B56797"/>
    <w:rsid w:val="00B56C33"/>
    <w:rsid w:val="00B56D0A"/>
    <w:rsid w:val="00B5755F"/>
    <w:rsid w:val="00B57C9B"/>
    <w:rsid w:val="00B57DF9"/>
    <w:rsid w:val="00B62270"/>
    <w:rsid w:val="00B632E5"/>
    <w:rsid w:val="00B63B20"/>
    <w:rsid w:val="00B64306"/>
    <w:rsid w:val="00B656D5"/>
    <w:rsid w:val="00B66E7A"/>
    <w:rsid w:val="00B67617"/>
    <w:rsid w:val="00B70399"/>
    <w:rsid w:val="00B71832"/>
    <w:rsid w:val="00B71A8C"/>
    <w:rsid w:val="00B72011"/>
    <w:rsid w:val="00B72130"/>
    <w:rsid w:val="00B74EE5"/>
    <w:rsid w:val="00B75615"/>
    <w:rsid w:val="00B7627E"/>
    <w:rsid w:val="00B770A2"/>
    <w:rsid w:val="00B77AEB"/>
    <w:rsid w:val="00B77BF2"/>
    <w:rsid w:val="00B80A68"/>
    <w:rsid w:val="00B83E6B"/>
    <w:rsid w:val="00B8444E"/>
    <w:rsid w:val="00B844EC"/>
    <w:rsid w:val="00B84B70"/>
    <w:rsid w:val="00B85BCF"/>
    <w:rsid w:val="00B86420"/>
    <w:rsid w:val="00B87510"/>
    <w:rsid w:val="00B87F4C"/>
    <w:rsid w:val="00B939C2"/>
    <w:rsid w:val="00B9408D"/>
    <w:rsid w:val="00B953EB"/>
    <w:rsid w:val="00BA0958"/>
    <w:rsid w:val="00BA0EB9"/>
    <w:rsid w:val="00BA5AAF"/>
    <w:rsid w:val="00BA5C0A"/>
    <w:rsid w:val="00BA6F2F"/>
    <w:rsid w:val="00BA70DE"/>
    <w:rsid w:val="00BA75F4"/>
    <w:rsid w:val="00BB0136"/>
    <w:rsid w:val="00BB1D2F"/>
    <w:rsid w:val="00BB268A"/>
    <w:rsid w:val="00BB5593"/>
    <w:rsid w:val="00BB55B7"/>
    <w:rsid w:val="00BC0198"/>
    <w:rsid w:val="00BC1F46"/>
    <w:rsid w:val="00BC2A71"/>
    <w:rsid w:val="00BC3203"/>
    <w:rsid w:val="00BC46FA"/>
    <w:rsid w:val="00BC4B56"/>
    <w:rsid w:val="00BC4C44"/>
    <w:rsid w:val="00BC5982"/>
    <w:rsid w:val="00BC5EE1"/>
    <w:rsid w:val="00BC661D"/>
    <w:rsid w:val="00BC7EFF"/>
    <w:rsid w:val="00BD0D00"/>
    <w:rsid w:val="00BD3763"/>
    <w:rsid w:val="00BD38F1"/>
    <w:rsid w:val="00BD3CB3"/>
    <w:rsid w:val="00BE1720"/>
    <w:rsid w:val="00BE1A9E"/>
    <w:rsid w:val="00BE2362"/>
    <w:rsid w:val="00BE317E"/>
    <w:rsid w:val="00BE729B"/>
    <w:rsid w:val="00BE7AC0"/>
    <w:rsid w:val="00BE7AD0"/>
    <w:rsid w:val="00BF0550"/>
    <w:rsid w:val="00BF0E6A"/>
    <w:rsid w:val="00BF152F"/>
    <w:rsid w:val="00BF5088"/>
    <w:rsid w:val="00BF54DA"/>
    <w:rsid w:val="00BF6856"/>
    <w:rsid w:val="00BF6F97"/>
    <w:rsid w:val="00BF7B81"/>
    <w:rsid w:val="00C01225"/>
    <w:rsid w:val="00C01F30"/>
    <w:rsid w:val="00C04869"/>
    <w:rsid w:val="00C049CA"/>
    <w:rsid w:val="00C07831"/>
    <w:rsid w:val="00C12B40"/>
    <w:rsid w:val="00C12C74"/>
    <w:rsid w:val="00C16598"/>
    <w:rsid w:val="00C20D1E"/>
    <w:rsid w:val="00C21EBA"/>
    <w:rsid w:val="00C23086"/>
    <w:rsid w:val="00C256EF"/>
    <w:rsid w:val="00C26253"/>
    <w:rsid w:val="00C30B6F"/>
    <w:rsid w:val="00C30DDA"/>
    <w:rsid w:val="00C31FC1"/>
    <w:rsid w:val="00C321D7"/>
    <w:rsid w:val="00C35037"/>
    <w:rsid w:val="00C35454"/>
    <w:rsid w:val="00C35601"/>
    <w:rsid w:val="00C35EC8"/>
    <w:rsid w:val="00C36331"/>
    <w:rsid w:val="00C36A8D"/>
    <w:rsid w:val="00C419E0"/>
    <w:rsid w:val="00C506F4"/>
    <w:rsid w:val="00C51BFF"/>
    <w:rsid w:val="00C520B7"/>
    <w:rsid w:val="00C54D9D"/>
    <w:rsid w:val="00C54F14"/>
    <w:rsid w:val="00C5601B"/>
    <w:rsid w:val="00C57C1D"/>
    <w:rsid w:val="00C60009"/>
    <w:rsid w:val="00C61023"/>
    <w:rsid w:val="00C615F2"/>
    <w:rsid w:val="00C6174E"/>
    <w:rsid w:val="00C61C00"/>
    <w:rsid w:val="00C61C71"/>
    <w:rsid w:val="00C64ED2"/>
    <w:rsid w:val="00C64F6F"/>
    <w:rsid w:val="00C6561D"/>
    <w:rsid w:val="00C6628C"/>
    <w:rsid w:val="00C67DA4"/>
    <w:rsid w:val="00C7062D"/>
    <w:rsid w:val="00C720C3"/>
    <w:rsid w:val="00C7293B"/>
    <w:rsid w:val="00C73404"/>
    <w:rsid w:val="00C75B8E"/>
    <w:rsid w:val="00C75ECF"/>
    <w:rsid w:val="00C80F15"/>
    <w:rsid w:val="00C82C28"/>
    <w:rsid w:val="00C8353E"/>
    <w:rsid w:val="00C836D9"/>
    <w:rsid w:val="00C85FF9"/>
    <w:rsid w:val="00C939B8"/>
    <w:rsid w:val="00C93B1C"/>
    <w:rsid w:val="00C97B60"/>
    <w:rsid w:val="00C97F39"/>
    <w:rsid w:val="00CA036B"/>
    <w:rsid w:val="00CA2E43"/>
    <w:rsid w:val="00CA32D9"/>
    <w:rsid w:val="00CA3C64"/>
    <w:rsid w:val="00CA5821"/>
    <w:rsid w:val="00CB03EA"/>
    <w:rsid w:val="00CB287B"/>
    <w:rsid w:val="00CB357F"/>
    <w:rsid w:val="00CB66FE"/>
    <w:rsid w:val="00CC002E"/>
    <w:rsid w:val="00CC1D0F"/>
    <w:rsid w:val="00CC36A2"/>
    <w:rsid w:val="00CC49FE"/>
    <w:rsid w:val="00CC6061"/>
    <w:rsid w:val="00CC7573"/>
    <w:rsid w:val="00CC7757"/>
    <w:rsid w:val="00CD0B8D"/>
    <w:rsid w:val="00CD29C9"/>
    <w:rsid w:val="00CD2ADA"/>
    <w:rsid w:val="00CD555C"/>
    <w:rsid w:val="00CD575B"/>
    <w:rsid w:val="00CD5C52"/>
    <w:rsid w:val="00CD63AC"/>
    <w:rsid w:val="00CD7F11"/>
    <w:rsid w:val="00CE0269"/>
    <w:rsid w:val="00CE1752"/>
    <w:rsid w:val="00CE17D3"/>
    <w:rsid w:val="00CE2D21"/>
    <w:rsid w:val="00CE3A59"/>
    <w:rsid w:val="00CE555C"/>
    <w:rsid w:val="00CE693D"/>
    <w:rsid w:val="00CE7988"/>
    <w:rsid w:val="00CF00DB"/>
    <w:rsid w:val="00CF3E75"/>
    <w:rsid w:val="00CF3FAD"/>
    <w:rsid w:val="00CF501C"/>
    <w:rsid w:val="00CF723F"/>
    <w:rsid w:val="00CF7AF3"/>
    <w:rsid w:val="00CF7FF0"/>
    <w:rsid w:val="00D00C3D"/>
    <w:rsid w:val="00D019AE"/>
    <w:rsid w:val="00D01AE9"/>
    <w:rsid w:val="00D032AB"/>
    <w:rsid w:val="00D0372C"/>
    <w:rsid w:val="00D06B82"/>
    <w:rsid w:val="00D07AD3"/>
    <w:rsid w:val="00D122C2"/>
    <w:rsid w:val="00D128C5"/>
    <w:rsid w:val="00D146A4"/>
    <w:rsid w:val="00D152FE"/>
    <w:rsid w:val="00D16FC4"/>
    <w:rsid w:val="00D1753B"/>
    <w:rsid w:val="00D20069"/>
    <w:rsid w:val="00D21763"/>
    <w:rsid w:val="00D2424B"/>
    <w:rsid w:val="00D2443B"/>
    <w:rsid w:val="00D24713"/>
    <w:rsid w:val="00D26770"/>
    <w:rsid w:val="00D275D1"/>
    <w:rsid w:val="00D30D83"/>
    <w:rsid w:val="00D3205D"/>
    <w:rsid w:val="00D34615"/>
    <w:rsid w:val="00D35328"/>
    <w:rsid w:val="00D35FB1"/>
    <w:rsid w:val="00D36E0C"/>
    <w:rsid w:val="00D40752"/>
    <w:rsid w:val="00D4094A"/>
    <w:rsid w:val="00D44ED7"/>
    <w:rsid w:val="00D46E56"/>
    <w:rsid w:val="00D47138"/>
    <w:rsid w:val="00D474DF"/>
    <w:rsid w:val="00D47A09"/>
    <w:rsid w:val="00D5419E"/>
    <w:rsid w:val="00D56D7E"/>
    <w:rsid w:val="00D57B29"/>
    <w:rsid w:val="00D57BEA"/>
    <w:rsid w:val="00D609C2"/>
    <w:rsid w:val="00D60CBB"/>
    <w:rsid w:val="00D60F07"/>
    <w:rsid w:val="00D63BE6"/>
    <w:rsid w:val="00D64965"/>
    <w:rsid w:val="00D675CA"/>
    <w:rsid w:val="00D67B3E"/>
    <w:rsid w:val="00D706B0"/>
    <w:rsid w:val="00D73721"/>
    <w:rsid w:val="00D7389F"/>
    <w:rsid w:val="00D7612A"/>
    <w:rsid w:val="00D762CF"/>
    <w:rsid w:val="00D7689E"/>
    <w:rsid w:val="00D76D22"/>
    <w:rsid w:val="00D77885"/>
    <w:rsid w:val="00D80A72"/>
    <w:rsid w:val="00D80E76"/>
    <w:rsid w:val="00D831AC"/>
    <w:rsid w:val="00D8346F"/>
    <w:rsid w:val="00D834AD"/>
    <w:rsid w:val="00D8551B"/>
    <w:rsid w:val="00D85528"/>
    <w:rsid w:val="00D85B6F"/>
    <w:rsid w:val="00D87D91"/>
    <w:rsid w:val="00D90B3C"/>
    <w:rsid w:val="00D92636"/>
    <w:rsid w:val="00D92A7E"/>
    <w:rsid w:val="00D96D23"/>
    <w:rsid w:val="00D96EC9"/>
    <w:rsid w:val="00DA087A"/>
    <w:rsid w:val="00DA1F9B"/>
    <w:rsid w:val="00DA38EE"/>
    <w:rsid w:val="00DA4433"/>
    <w:rsid w:val="00DA5118"/>
    <w:rsid w:val="00DA54FA"/>
    <w:rsid w:val="00DA5931"/>
    <w:rsid w:val="00DA6351"/>
    <w:rsid w:val="00DA688C"/>
    <w:rsid w:val="00DA7065"/>
    <w:rsid w:val="00DB0EFE"/>
    <w:rsid w:val="00DB1888"/>
    <w:rsid w:val="00DB283F"/>
    <w:rsid w:val="00DB366E"/>
    <w:rsid w:val="00DB64BA"/>
    <w:rsid w:val="00DB6FE2"/>
    <w:rsid w:val="00DC0807"/>
    <w:rsid w:val="00DC1B58"/>
    <w:rsid w:val="00DC22DC"/>
    <w:rsid w:val="00DC37C4"/>
    <w:rsid w:val="00DC641A"/>
    <w:rsid w:val="00DC7D45"/>
    <w:rsid w:val="00DD0217"/>
    <w:rsid w:val="00DD1AB6"/>
    <w:rsid w:val="00DD2853"/>
    <w:rsid w:val="00DD2A31"/>
    <w:rsid w:val="00DD3AB9"/>
    <w:rsid w:val="00DD4C55"/>
    <w:rsid w:val="00DD7C16"/>
    <w:rsid w:val="00DE0AD1"/>
    <w:rsid w:val="00DE302A"/>
    <w:rsid w:val="00DE46EA"/>
    <w:rsid w:val="00DE5F2A"/>
    <w:rsid w:val="00DE659C"/>
    <w:rsid w:val="00DE71E9"/>
    <w:rsid w:val="00DF07EF"/>
    <w:rsid w:val="00DF0803"/>
    <w:rsid w:val="00DF3DC1"/>
    <w:rsid w:val="00DF3DD8"/>
    <w:rsid w:val="00DF4BD3"/>
    <w:rsid w:val="00DF678A"/>
    <w:rsid w:val="00DF67F3"/>
    <w:rsid w:val="00DF74AA"/>
    <w:rsid w:val="00DF79FD"/>
    <w:rsid w:val="00E01EB8"/>
    <w:rsid w:val="00E0611E"/>
    <w:rsid w:val="00E06317"/>
    <w:rsid w:val="00E0678E"/>
    <w:rsid w:val="00E06F1E"/>
    <w:rsid w:val="00E07CFD"/>
    <w:rsid w:val="00E101AE"/>
    <w:rsid w:val="00E10657"/>
    <w:rsid w:val="00E116B7"/>
    <w:rsid w:val="00E135B1"/>
    <w:rsid w:val="00E13CFB"/>
    <w:rsid w:val="00E143F5"/>
    <w:rsid w:val="00E15CF6"/>
    <w:rsid w:val="00E16A54"/>
    <w:rsid w:val="00E206F9"/>
    <w:rsid w:val="00E2126D"/>
    <w:rsid w:val="00E24E89"/>
    <w:rsid w:val="00E254AF"/>
    <w:rsid w:val="00E26982"/>
    <w:rsid w:val="00E26A95"/>
    <w:rsid w:val="00E26BF8"/>
    <w:rsid w:val="00E31086"/>
    <w:rsid w:val="00E3135B"/>
    <w:rsid w:val="00E35F0C"/>
    <w:rsid w:val="00E42AAF"/>
    <w:rsid w:val="00E4324E"/>
    <w:rsid w:val="00E434E8"/>
    <w:rsid w:val="00E4435E"/>
    <w:rsid w:val="00E445D5"/>
    <w:rsid w:val="00E44E93"/>
    <w:rsid w:val="00E46FB5"/>
    <w:rsid w:val="00E51A4E"/>
    <w:rsid w:val="00E52A8F"/>
    <w:rsid w:val="00E53106"/>
    <w:rsid w:val="00E5394E"/>
    <w:rsid w:val="00E55445"/>
    <w:rsid w:val="00E61B2D"/>
    <w:rsid w:val="00E644CF"/>
    <w:rsid w:val="00E65341"/>
    <w:rsid w:val="00E65EE0"/>
    <w:rsid w:val="00E66B3F"/>
    <w:rsid w:val="00E6752D"/>
    <w:rsid w:val="00E70431"/>
    <w:rsid w:val="00E71D71"/>
    <w:rsid w:val="00E72194"/>
    <w:rsid w:val="00E730AD"/>
    <w:rsid w:val="00E738EF"/>
    <w:rsid w:val="00E771D2"/>
    <w:rsid w:val="00E80375"/>
    <w:rsid w:val="00E80791"/>
    <w:rsid w:val="00E80E7C"/>
    <w:rsid w:val="00E8165A"/>
    <w:rsid w:val="00E81D78"/>
    <w:rsid w:val="00E83D12"/>
    <w:rsid w:val="00E90813"/>
    <w:rsid w:val="00E917D5"/>
    <w:rsid w:val="00E91B5E"/>
    <w:rsid w:val="00E957E5"/>
    <w:rsid w:val="00E959CB"/>
    <w:rsid w:val="00E964A1"/>
    <w:rsid w:val="00E97178"/>
    <w:rsid w:val="00E972C8"/>
    <w:rsid w:val="00E979B9"/>
    <w:rsid w:val="00EA10F1"/>
    <w:rsid w:val="00EA7174"/>
    <w:rsid w:val="00EB1353"/>
    <w:rsid w:val="00EB2316"/>
    <w:rsid w:val="00EB3941"/>
    <w:rsid w:val="00EC2259"/>
    <w:rsid w:val="00EC29A5"/>
    <w:rsid w:val="00EC50D0"/>
    <w:rsid w:val="00EC5E14"/>
    <w:rsid w:val="00EC7019"/>
    <w:rsid w:val="00ED00AD"/>
    <w:rsid w:val="00ED08D4"/>
    <w:rsid w:val="00ED2897"/>
    <w:rsid w:val="00ED2AED"/>
    <w:rsid w:val="00ED399D"/>
    <w:rsid w:val="00ED39D0"/>
    <w:rsid w:val="00ED7B32"/>
    <w:rsid w:val="00ED7FD8"/>
    <w:rsid w:val="00EE1077"/>
    <w:rsid w:val="00EE1894"/>
    <w:rsid w:val="00EE2D5E"/>
    <w:rsid w:val="00EE3D69"/>
    <w:rsid w:val="00EE7310"/>
    <w:rsid w:val="00EF07A3"/>
    <w:rsid w:val="00EF140B"/>
    <w:rsid w:val="00EF1EB8"/>
    <w:rsid w:val="00EF2930"/>
    <w:rsid w:val="00EF2FA2"/>
    <w:rsid w:val="00EF33C9"/>
    <w:rsid w:val="00EF5CD6"/>
    <w:rsid w:val="00EF6670"/>
    <w:rsid w:val="00F00DEB"/>
    <w:rsid w:val="00F01E92"/>
    <w:rsid w:val="00F03948"/>
    <w:rsid w:val="00F03CCA"/>
    <w:rsid w:val="00F05C98"/>
    <w:rsid w:val="00F10492"/>
    <w:rsid w:val="00F1369B"/>
    <w:rsid w:val="00F1393A"/>
    <w:rsid w:val="00F13D99"/>
    <w:rsid w:val="00F15010"/>
    <w:rsid w:val="00F15F6E"/>
    <w:rsid w:val="00F17C9B"/>
    <w:rsid w:val="00F21308"/>
    <w:rsid w:val="00F2198B"/>
    <w:rsid w:val="00F21CC3"/>
    <w:rsid w:val="00F23150"/>
    <w:rsid w:val="00F24F0D"/>
    <w:rsid w:val="00F25265"/>
    <w:rsid w:val="00F2709F"/>
    <w:rsid w:val="00F27F5A"/>
    <w:rsid w:val="00F305B8"/>
    <w:rsid w:val="00F31CC5"/>
    <w:rsid w:val="00F31FDB"/>
    <w:rsid w:val="00F32FED"/>
    <w:rsid w:val="00F357F9"/>
    <w:rsid w:val="00F35FD4"/>
    <w:rsid w:val="00F360F0"/>
    <w:rsid w:val="00F36A90"/>
    <w:rsid w:val="00F40579"/>
    <w:rsid w:val="00F415DC"/>
    <w:rsid w:val="00F41C53"/>
    <w:rsid w:val="00F41D53"/>
    <w:rsid w:val="00F4245D"/>
    <w:rsid w:val="00F439F6"/>
    <w:rsid w:val="00F43B0D"/>
    <w:rsid w:val="00F43C7E"/>
    <w:rsid w:val="00F44707"/>
    <w:rsid w:val="00F451BE"/>
    <w:rsid w:val="00F45D18"/>
    <w:rsid w:val="00F46D7A"/>
    <w:rsid w:val="00F46EF9"/>
    <w:rsid w:val="00F470A7"/>
    <w:rsid w:val="00F50092"/>
    <w:rsid w:val="00F50778"/>
    <w:rsid w:val="00F52106"/>
    <w:rsid w:val="00F5415B"/>
    <w:rsid w:val="00F558B8"/>
    <w:rsid w:val="00F5678F"/>
    <w:rsid w:val="00F567EE"/>
    <w:rsid w:val="00F56957"/>
    <w:rsid w:val="00F64393"/>
    <w:rsid w:val="00F643E3"/>
    <w:rsid w:val="00F64955"/>
    <w:rsid w:val="00F64ACB"/>
    <w:rsid w:val="00F653AF"/>
    <w:rsid w:val="00F667F1"/>
    <w:rsid w:val="00F67577"/>
    <w:rsid w:val="00F67846"/>
    <w:rsid w:val="00F7090D"/>
    <w:rsid w:val="00F710EE"/>
    <w:rsid w:val="00F719D3"/>
    <w:rsid w:val="00F729E1"/>
    <w:rsid w:val="00F75A97"/>
    <w:rsid w:val="00F75F90"/>
    <w:rsid w:val="00F76D6A"/>
    <w:rsid w:val="00F82E52"/>
    <w:rsid w:val="00F84DDF"/>
    <w:rsid w:val="00F84F76"/>
    <w:rsid w:val="00F85702"/>
    <w:rsid w:val="00F869DD"/>
    <w:rsid w:val="00F869ED"/>
    <w:rsid w:val="00F87634"/>
    <w:rsid w:val="00F87945"/>
    <w:rsid w:val="00F87D43"/>
    <w:rsid w:val="00F914A2"/>
    <w:rsid w:val="00F91601"/>
    <w:rsid w:val="00F94E20"/>
    <w:rsid w:val="00FA01EB"/>
    <w:rsid w:val="00FA45A3"/>
    <w:rsid w:val="00FA4DB2"/>
    <w:rsid w:val="00FA51D7"/>
    <w:rsid w:val="00FA6BB8"/>
    <w:rsid w:val="00FA75DC"/>
    <w:rsid w:val="00FB3023"/>
    <w:rsid w:val="00FB31CC"/>
    <w:rsid w:val="00FB3BCA"/>
    <w:rsid w:val="00FB457A"/>
    <w:rsid w:val="00FB5555"/>
    <w:rsid w:val="00FB6119"/>
    <w:rsid w:val="00FB7F1D"/>
    <w:rsid w:val="00FC0A33"/>
    <w:rsid w:val="00FC0B20"/>
    <w:rsid w:val="00FC1992"/>
    <w:rsid w:val="00FC2E13"/>
    <w:rsid w:val="00FC4B94"/>
    <w:rsid w:val="00FC5020"/>
    <w:rsid w:val="00FC6C6E"/>
    <w:rsid w:val="00FC7DAB"/>
    <w:rsid w:val="00FD1B21"/>
    <w:rsid w:val="00FD270A"/>
    <w:rsid w:val="00FD2A42"/>
    <w:rsid w:val="00FD3A60"/>
    <w:rsid w:val="00FD4930"/>
    <w:rsid w:val="00FD7D35"/>
    <w:rsid w:val="00FE0537"/>
    <w:rsid w:val="00FE232E"/>
    <w:rsid w:val="00FE6E6C"/>
    <w:rsid w:val="00FE7036"/>
    <w:rsid w:val="00FF17B3"/>
    <w:rsid w:val="00FF22A1"/>
    <w:rsid w:val="00FF2996"/>
    <w:rsid w:val="00FF34B5"/>
    <w:rsid w:val="00FF34D2"/>
    <w:rsid w:val="00FF4F47"/>
    <w:rsid w:val="00FF4FC1"/>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350"/>
  <w15:chartTrackingRefBased/>
  <w15:docId w15:val="{C4C48D53-2687-4A57-9D9F-B3A95B56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B7C"/>
    <w:pPr>
      <w:ind w:left="720"/>
      <w:contextualSpacing/>
    </w:pPr>
  </w:style>
  <w:style w:type="paragraph" w:styleId="Header">
    <w:name w:val="header"/>
    <w:basedOn w:val="Normal"/>
    <w:link w:val="HeaderChar"/>
    <w:uiPriority w:val="99"/>
    <w:unhideWhenUsed/>
    <w:rsid w:val="00DA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118"/>
  </w:style>
  <w:style w:type="paragraph" w:styleId="Footer">
    <w:name w:val="footer"/>
    <w:basedOn w:val="Normal"/>
    <w:link w:val="FooterChar"/>
    <w:uiPriority w:val="99"/>
    <w:unhideWhenUsed/>
    <w:rsid w:val="00DA5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118"/>
  </w:style>
  <w:style w:type="paragraph" w:styleId="FootnoteText">
    <w:name w:val="footnote text"/>
    <w:basedOn w:val="Normal"/>
    <w:link w:val="FootnoteTextChar"/>
    <w:uiPriority w:val="99"/>
    <w:semiHidden/>
    <w:unhideWhenUsed/>
    <w:rsid w:val="00A54A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ABF"/>
    <w:rPr>
      <w:sz w:val="20"/>
      <w:szCs w:val="20"/>
    </w:rPr>
  </w:style>
  <w:style w:type="character" w:styleId="FootnoteReference">
    <w:name w:val="footnote reference"/>
    <w:basedOn w:val="DefaultParagraphFont"/>
    <w:uiPriority w:val="99"/>
    <w:semiHidden/>
    <w:unhideWhenUsed/>
    <w:rsid w:val="00A54A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8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7D444-86D1-4C72-A519-9C3AA5B2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8484</Words>
  <Characters>48361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WBG</Company>
  <LinksUpToDate>false</LinksUpToDate>
  <CharactersWithSpaces>56732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Paterson</dc:creator>
  <cp:keywords/>
  <dc:description/>
  <cp:lastModifiedBy>Will Paterson</cp:lastModifiedBy>
  <cp:revision>2</cp:revision>
  <dcterms:created xsi:type="dcterms:W3CDTF">2023-11-06T23:53:00Z</dcterms:created>
  <dcterms:modified xsi:type="dcterms:W3CDTF">2023-11-06T23:53:00Z</dcterms:modified>
</cp:coreProperties>
</file>