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F181" w14:textId="651A3FB4" w:rsidR="003F536C" w:rsidRPr="00030BC3" w:rsidRDefault="00BB7EEC" w:rsidP="003E4141">
      <w:pPr>
        <w:jc w:val="both"/>
        <w:rPr>
          <w:rFonts w:ascii="Arial" w:hAnsi="Arial" w:cs="Arial"/>
          <w:b/>
          <w:bCs/>
        </w:rPr>
      </w:pPr>
      <w:r w:rsidRPr="00030BC3">
        <w:rPr>
          <w:rFonts w:ascii="Arial" w:hAnsi="Arial" w:cs="Arial"/>
          <w:b/>
          <w:bCs/>
        </w:rPr>
        <w:t xml:space="preserve">Case Study 1: </w:t>
      </w:r>
      <w:r w:rsidR="00030BC3" w:rsidRPr="00030BC3">
        <w:rPr>
          <w:rFonts w:ascii="Arial" w:hAnsi="Arial" w:cs="Arial"/>
          <w:b/>
          <w:bCs/>
        </w:rPr>
        <w:t>Responses to Assigned Questions</w:t>
      </w:r>
    </w:p>
    <w:p w14:paraId="28873E5F" w14:textId="17EE3C17" w:rsidR="00030BC3" w:rsidRDefault="00030BC3" w:rsidP="003E4141">
      <w:pPr>
        <w:jc w:val="both"/>
        <w:rPr>
          <w:rFonts w:ascii="Arial" w:hAnsi="Arial" w:cs="Arial"/>
        </w:rPr>
      </w:pPr>
      <w:r w:rsidRPr="00030BC3">
        <w:rPr>
          <w:rFonts w:ascii="Arial" w:hAnsi="Arial" w:cs="Arial"/>
          <w:b/>
          <w:bCs/>
        </w:rPr>
        <w:t>Nina Mocheva</w:t>
      </w:r>
    </w:p>
    <w:p w14:paraId="4645E586" w14:textId="49CDE764" w:rsidR="00030BC3" w:rsidRPr="00E25F44" w:rsidRDefault="002770BE" w:rsidP="003E4141">
      <w:pPr>
        <w:pStyle w:val="ListParagraph"/>
        <w:numPr>
          <w:ilvl w:val="0"/>
          <w:numId w:val="1"/>
        </w:numPr>
        <w:jc w:val="both"/>
        <w:rPr>
          <w:rFonts w:ascii="Arial" w:hAnsi="Arial" w:cs="Arial"/>
          <w:b/>
          <w:bCs/>
        </w:rPr>
      </w:pPr>
      <w:r w:rsidRPr="00E25F44">
        <w:rPr>
          <w:rFonts w:ascii="Arial" w:hAnsi="Arial" w:cs="Arial"/>
          <w:b/>
          <w:bCs/>
        </w:rPr>
        <w:t>What were in your opinion the causes of financial distress at Flow Management (see e.g. Mellahi &amp; Wilkinson, 2004)? Could the financial distress have been prevented? If yes, explain how. If no, why not?</w:t>
      </w:r>
    </w:p>
    <w:p w14:paraId="4A302FF2" w14:textId="38C52044" w:rsidR="00853BA1" w:rsidRPr="004F3B0F" w:rsidRDefault="00853BA1" w:rsidP="0024496A">
      <w:pPr>
        <w:jc w:val="both"/>
        <w:rPr>
          <w:rFonts w:ascii="Arial" w:hAnsi="Arial" w:cs="Arial"/>
          <w:b/>
          <w:bCs/>
          <w:i/>
          <w:iCs/>
        </w:rPr>
      </w:pPr>
      <w:r w:rsidRPr="004F3B0F">
        <w:rPr>
          <w:rFonts w:ascii="Arial" w:hAnsi="Arial" w:cs="Arial"/>
          <w:b/>
          <w:bCs/>
          <w:i/>
          <w:iCs/>
        </w:rPr>
        <w:t>Causes of financial distress at Flow Management</w:t>
      </w:r>
    </w:p>
    <w:p w14:paraId="5977CBA5" w14:textId="5050E363" w:rsidR="00BB0FFC" w:rsidRDefault="004A1E23" w:rsidP="0024496A">
      <w:pPr>
        <w:jc w:val="both"/>
        <w:rPr>
          <w:rFonts w:ascii="Arial" w:hAnsi="Arial" w:cs="Arial"/>
        </w:rPr>
      </w:pPr>
      <w:r>
        <w:rPr>
          <w:rFonts w:ascii="Arial" w:hAnsi="Arial" w:cs="Arial"/>
        </w:rPr>
        <w:t>Flow Management</w:t>
      </w:r>
      <w:r w:rsidR="00BB0FFC" w:rsidRPr="0024496A">
        <w:rPr>
          <w:rFonts w:ascii="Arial" w:hAnsi="Arial" w:cs="Arial"/>
        </w:rPr>
        <w:t xml:space="preserve"> appears to be a once successfu</w:t>
      </w:r>
      <w:r w:rsidR="00D5563C">
        <w:rPr>
          <w:rFonts w:ascii="Arial" w:hAnsi="Arial" w:cs="Arial"/>
        </w:rPr>
        <w:t>l</w:t>
      </w:r>
      <w:r w:rsidR="00BB0FFC" w:rsidRPr="0024496A">
        <w:rPr>
          <w:rFonts w:ascii="Arial" w:hAnsi="Arial" w:cs="Arial"/>
        </w:rPr>
        <w:t xml:space="preserve"> family-owned business </w:t>
      </w:r>
      <w:r w:rsidR="00330C2E">
        <w:rPr>
          <w:rFonts w:ascii="Arial" w:hAnsi="Arial" w:cs="Arial"/>
        </w:rPr>
        <w:t>(</w:t>
      </w:r>
      <w:r w:rsidR="00364D7B">
        <w:rPr>
          <w:rFonts w:ascii="Arial" w:hAnsi="Arial" w:cs="Arial"/>
        </w:rPr>
        <w:t xml:space="preserve">“the Company”) </w:t>
      </w:r>
      <w:r w:rsidR="00D5563C">
        <w:rPr>
          <w:rFonts w:ascii="Arial" w:hAnsi="Arial" w:cs="Arial"/>
        </w:rPr>
        <w:t xml:space="preserve">owned by </w:t>
      </w:r>
      <w:r w:rsidR="00330C2E">
        <w:rPr>
          <w:rFonts w:ascii="Arial" w:hAnsi="Arial" w:cs="Arial"/>
        </w:rPr>
        <w:t>the Johnson family</w:t>
      </w:r>
      <w:r w:rsidR="00935897">
        <w:rPr>
          <w:rFonts w:ascii="Arial" w:hAnsi="Arial" w:cs="Arial"/>
        </w:rPr>
        <w:t xml:space="preserve"> based in the USA </w:t>
      </w:r>
      <w:r w:rsidR="00BB0FFC" w:rsidRPr="0024496A">
        <w:rPr>
          <w:rFonts w:ascii="Arial" w:hAnsi="Arial" w:cs="Arial"/>
        </w:rPr>
        <w:t xml:space="preserve">that grew, probably too rapidly, with the support of </w:t>
      </w:r>
      <w:r w:rsidR="00ED56FD">
        <w:rPr>
          <w:rFonts w:ascii="Arial" w:hAnsi="Arial" w:cs="Arial"/>
        </w:rPr>
        <w:t>two potentially</w:t>
      </w:r>
      <w:r w:rsidR="00BB0FFC" w:rsidRPr="0024496A">
        <w:rPr>
          <w:rFonts w:ascii="Arial" w:hAnsi="Arial" w:cs="Arial"/>
        </w:rPr>
        <w:t xml:space="preserve"> passive institutional investors </w:t>
      </w:r>
      <w:r w:rsidR="008A2CCD">
        <w:rPr>
          <w:rFonts w:ascii="Arial" w:hAnsi="Arial" w:cs="Arial"/>
        </w:rPr>
        <w:t xml:space="preserve">(“the investment companies”) </w:t>
      </w:r>
      <w:r w:rsidR="008A31DE">
        <w:rPr>
          <w:rFonts w:ascii="Arial" w:hAnsi="Arial" w:cs="Arial"/>
        </w:rPr>
        <w:t>which did not</w:t>
      </w:r>
      <w:r w:rsidR="00BB0FFC" w:rsidRPr="0024496A">
        <w:rPr>
          <w:rFonts w:ascii="Arial" w:hAnsi="Arial" w:cs="Arial"/>
        </w:rPr>
        <w:t xml:space="preserve"> contribute to improve the corporate governance or the business, and massive leverage provided by </w:t>
      </w:r>
      <w:r w:rsidR="00D008F8">
        <w:rPr>
          <w:rFonts w:ascii="Arial" w:hAnsi="Arial" w:cs="Arial"/>
        </w:rPr>
        <w:t xml:space="preserve">four </w:t>
      </w:r>
      <w:r w:rsidR="00BB0FFC" w:rsidRPr="0024496A">
        <w:rPr>
          <w:rFonts w:ascii="Arial" w:hAnsi="Arial" w:cs="Arial"/>
        </w:rPr>
        <w:t xml:space="preserve">banks that were not monitoring their exposure adequately and who failed -from the very due diligence- at </w:t>
      </w:r>
      <w:r w:rsidR="009E541C">
        <w:rPr>
          <w:rFonts w:ascii="Arial" w:hAnsi="Arial" w:cs="Arial"/>
        </w:rPr>
        <w:t>identifying early enough</w:t>
      </w:r>
      <w:r w:rsidR="00BB0FFC" w:rsidRPr="0024496A">
        <w:rPr>
          <w:rFonts w:ascii="Arial" w:hAnsi="Arial" w:cs="Arial"/>
        </w:rPr>
        <w:t xml:space="preserve"> the shortcomings of the Company’s management and its </w:t>
      </w:r>
      <w:r w:rsidR="009E541C">
        <w:rPr>
          <w:rFonts w:ascii="Arial" w:hAnsi="Arial" w:cs="Arial"/>
        </w:rPr>
        <w:t xml:space="preserve">operational </w:t>
      </w:r>
      <w:r w:rsidR="00BB0FFC" w:rsidRPr="0024496A">
        <w:rPr>
          <w:rFonts w:ascii="Arial" w:hAnsi="Arial" w:cs="Arial"/>
        </w:rPr>
        <w:t>systems</w:t>
      </w:r>
      <w:r w:rsidR="009E541C">
        <w:rPr>
          <w:rFonts w:ascii="Arial" w:hAnsi="Arial" w:cs="Arial"/>
        </w:rPr>
        <w:t xml:space="preserve"> and procedures</w:t>
      </w:r>
      <w:r w:rsidR="00BB0FFC" w:rsidRPr="0024496A">
        <w:rPr>
          <w:rFonts w:ascii="Arial" w:hAnsi="Arial" w:cs="Arial"/>
        </w:rPr>
        <w:t xml:space="preserve">.  </w:t>
      </w:r>
    </w:p>
    <w:p w14:paraId="72EA68E6" w14:textId="430FBD68" w:rsidR="00520168" w:rsidRPr="0024496A" w:rsidRDefault="00520168" w:rsidP="00520168">
      <w:pPr>
        <w:jc w:val="both"/>
        <w:rPr>
          <w:rFonts w:ascii="Arial" w:hAnsi="Arial" w:cs="Arial"/>
        </w:rPr>
      </w:pPr>
      <w:r>
        <w:rPr>
          <w:rFonts w:ascii="Arial" w:hAnsi="Arial" w:cs="Arial"/>
        </w:rPr>
        <w:t>As</w:t>
      </w:r>
      <w:r w:rsidRPr="0024496A">
        <w:rPr>
          <w:rFonts w:ascii="Arial" w:hAnsi="Arial" w:cs="Arial"/>
        </w:rPr>
        <w:t xml:space="preserve"> </w:t>
      </w:r>
      <w:r w:rsidR="00742181">
        <w:rPr>
          <w:rFonts w:ascii="Arial" w:hAnsi="Arial" w:cs="Arial"/>
        </w:rPr>
        <w:t>discussed</w:t>
      </w:r>
      <w:r w:rsidRPr="0024496A">
        <w:rPr>
          <w:rFonts w:ascii="Arial" w:hAnsi="Arial" w:cs="Arial"/>
        </w:rPr>
        <w:t xml:space="preserve"> </w:t>
      </w:r>
      <w:r w:rsidR="00742181">
        <w:rPr>
          <w:rFonts w:ascii="Arial" w:hAnsi="Arial" w:cs="Arial"/>
        </w:rPr>
        <w:t>in the 2004</w:t>
      </w:r>
      <w:r w:rsidRPr="0024496A">
        <w:rPr>
          <w:rFonts w:ascii="Arial" w:hAnsi="Arial" w:cs="Arial"/>
        </w:rPr>
        <w:t xml:space="preserve"> Mellahi and Wilkinson’s </w:t>
      </w:r>
      <w:r w:rsidR="00742181">
        <w:rPr>
          <w:rFonts w:ascii="Arial" w:hAnsi="Arial" w:cs="Arial"/>
        </w:rPr>
        <w:t>study</w:t>
      </w:r>
      <w:r w:rsidRPr="0024496A">
        <w:rPr>
          <w:rFonts w:ascii="Arial" w:hAnsi="Arial" w:cs="Arial"/>
        </w:rPr>
        <w:t>,</w:t>
      </w:r>
      <w:r w:rsidRPr="0024496A">
        <w:rPr>
          <w:rStyle w:val="FootnoteReference"/>
          <w:rFonts w:ascii="Arial" w:hAnsi="Arial" w:cs="Arial"/>
        </w:rPr>
        <w:footnoteReference w:id="1"/>
      </w:r>
      <w:r w:rsidRPr="0024496A">
        <w:rPr>
          <w:rFonts w:ascii="Arial" w:hAnsi="Arial" w:cs="Arial"/>
        </w:rPr>
        <w:t xml:space="preserve"> </w:t>
      </w:r>
      <w:r w:rsidR="001C531B">
        <w:rPr>
          <w:rFonts w:ascii="Arial" w:hAnsi="Arial" w:cs="Arial"/>
        </w:rPr>
        <w:t>literature on failure</w:t>
      </w:r>
      <w:r w:rsidRPr="0024496A">
        <w:rPr>
          <w:rFonts w:ascii="Arial" w:hAnsi="Arial" w:cs="Arial"/>
        </w:rPr>
        <w:t xml:space="preserve"> tend</w:t>
      </w:r>
      <w:r w:rsidR="001C531B">
        <w:rPr>
          <w:rFonts w:ascii="Arial" w:hAnsi="Arial" w:cs="Arial"/>
        </w:rPr>
        <w:t xml:space="preserve">s </w:t>
      </w:r>
      <w:r w:rsidRPr="0024496A">
        <w:rPr>
          <w:rFonts w:ascii="Arial" w:hAnsi="Arial" w:cs="Arial"/>
        </w:rPr>
        <w:t xml:space="preserve">to gather around two main tendencies when it comes to analyzing organizational failures, that focus either on external or internal factors.  This seems counterintuitive, as common sense would suggest -as the authors propose- that failed companies can fail for either or both, internal and external factors, hence, their proposal for an integrated approach. </w:t>
      </w:r>
    </w:p>
    <w:p w14:paraId="63CC5A59" w14:textId="28C2D2FC" w:rsidR="00BB0FFC" w:rsidRPr="0024496A" w:rsidRDefault="00F040C5" w:rsidP="0024496A">
      <w:pPr>
        <w:jc w:val="both"/>
        <w:rPr>
          <w:rFonts w:ascii="Arial" w:hAnsi="Arial" w:cs="Arial"/>
        </w:rPr>
      </w:pPr>
      <w:r>
        <w:rPr>
          <w:rFonts w:ascii="Arial" w:hAnsi="Arial" w:cs="Arial"/>
        </w:rPr>
        <w:t xml:space="preserve">In the case of </w:t>
      </w:r>
      <w:r w:rsidR="004A1E23">
        <w:rPr>
          <w:rFonts w:ascii="Arial" w:hAnsi="Arial" w:cs="Arial"/>
        </w:rPr>
        <w:t>Flow Management, the</w:t>
      </w:r>
      <w:r w:rsidR="00BB0FFC" w:rsidRPr="0024496A">
        <w:rPr>
          <w:rFonts w:ascii="Arial" w:hAnsi="Arial" w:cs="Arial"/>
        </w:rPr>
        <w:t xml:space="preserve"> </w:t>
      </w:r>
      <w:r w:rsidR="006B0850">
        <w:rPr>
          <w:rFonts w:ascii="Arial" w:hAnsi="Arial" w:cs="Arial"/>
        </w:rPr>
        <w:t>causes of financial distress of the</w:t>
      </w:r>
      <w:r w:rsidR="00BB0FFC" w:rsidRPr="0024496A">
        <w:rPr>
          <w:rFonts w:ascii="Arial" w:hAnsi="Arial" w:cs="Arial"/>
        </w:rPr>
        <w:t xml:space="preserve"> </w:t>
      </w:r>
      <w:r w:rsidR="00487217">
        <w:rPr>
          <w:rFonts w:ascii="Arial" w:hAnsi="Arial" w:cs="Arial"/>
        </w:rPr>
        <w:t>C</w:t>
      </w:r>
      <w:r w:rsidR="00BB0FFC" w:rsidRPr="0024496A">
        <w:rPr>
          <w:rFonts w:ascii="Arial" w:hAnsi="Arial" w:cs="Arial"/>
        </w:rPr>
        <w:t xml:space="preserve">ompany appear to be </w:t>
      </w:r>
      <w:r w:rsidR="00D5100D">
        <w:rPr>
          <w:rFonts w:ascii="Arial" w:hAnsi="Arial" w:cs="Arial"/>
        </w:rPr>
        <w:t xml:space="preserve">primarily </w:t>
      </w:r>
      <w:r w:rsidR="00DD2B2A">
        <w:rPr>
          <w:rFonts w:ascii="Arial" w:hAnsi="Arial" w:cs="Arial"/>
        </w:rPr>
        <w:t xml:space="preserve">caused by a combination of organizational </w:t>
      </w:r>
      <w:r w:rsidR="00455D7E">
        <w:rPr>
          <w:rFonts w:ascii="Arial" w:hAnsi="Arial" w:cs="Arial"/>
        </w:rPr>
        <w:t xml:space="preserve">(managerial organization and performance) </w:t>
      </w:r>
      <w:r w:rsidR="00A270E1">
        <w:rPr>
          <w:rFonts w:ascii="Arial" w:hAnsi="Arial" w:cs="Arial"/>
        </w:rPr>
        <w:t>and psychological factors</w:t>
      </w:r>
      <w:r w:rsidR="00860535">
        <w:rPr>
          <w:rFonts w:ascii="Arial" w:hAnsi="Arial" w:cs="Arial"/>
        </w:rPr>
        <w:t xml:space="preserve"> (managerial perceptions)</w:t>
      </w:r>
      <w:r w:rsidR="00A270E1">
        <w:rPr>
          <w:rFonts w:ascii="Arial" w:hAnsi="Arial" w:cs="Arial"/>
        </w:rPr>
        <w:t xml:space="preserve">, </w:t>
      </w:r>
      <w:r w:rsidR="00BB0FFC" w:rsidRPr="0024496A">
        <w:rPr>
          <w:rFonts w:ascii="Arial" w:hAnsi="Arial" w:cs="Arial"/>
        </w:rPr>
        <w:t>that ha</w:t>
      </w:r>
      <w:r w:rsidR="00455D7E">
        <w:rPr>
          <w:rFonts w:ascii="Arial" w:hAnsi="Arial" w:cs="Arial"/>
        </w:rPr>
        <w:t>ve</w:t>
      </w:r>
      <w:r w:rsidR="00BB0FFC" w:rsidRPr="0024496A">
        <w:rPr>
          <w:rFonts w:ascii="Arial" w:hAnsi="Arial" w:cs="Arial"/>
        </w:rPr>
        <w:t xml:space="preserve"> been exacerbated by the lack of adequate systems. </w:t>
      </w:r>
    </w:p>
    <w:p w14:paraId="5791FF86" w14:textId="77777777" w:rsidR="00F31F0F" w:rsidRDefault="00BB0FFC" w:rsidP="0024496A">
      <w:pPr>
        <w:jc w:val="both"/>
        <w:rPr>
          <w:rFonts w:ascii="Arial" w:hAnsi="Arial" w:cs="Arial"/>
        </w:rPr>
      </w:pPr>
      <w:r w:rsidRPr="0024496A">
        <w:rPr>
          <w:rFonts w:ascii="Arial" w:hAnsi="Arial" w:cs="Arial"/>
        </w:rPr>
        <w:t xml:space="preserve">We have neither information nor indications as to environmental or ecological factors that could </w:t>
      </w:r>
      <w:r w:rsidR="00861250">
        <w:rPr>
          <w:rFonts w:ascii="Arial" w:hAnsi="Arial" w:cs="Arial"/>
        </w:rPr>
        <w:t>have contributed to</w:t>
      </w:r>
      <w:r w:rsidRPr="0024496A">
        <w:rPr>
          <w:rFonts w:ascii="Arial" w:hAnsi="Arial" w:cs="Arial"/>
        </w:rPr>
        <w:t xml:space="preserve"> its organizational failure. In fact, a turnaround consultant</w:t>
      </w:r>
      <w:r w:rsidR="007A3456">
        <w:rPr>
          <w:rFonts w:ascii="Arial" w:hAnsi="Arial" w:cs="Arial"/>
        </w:rPr>
        <w:t xml:space="preserve"> </w:t>
      </w:r>
      <w:r w:rsidRPr="0024496A">
        <w:rPr>
          <w:rFonts w:ascii="Arial" w:hAnsi="Arial" w:cs="Arial"/>
        </w:rPr>
        <w:t xml:space="preserve">was hired and confirmed the viability of the business, taking into consideration its market share and expected turnovers. </w:t>
      </w:r>
    </w:p>
    <w:p w14:paraId="51CABDFC" w14:textId="68C532C8" w:rsidR="00BB0FFC" w:rsidRPr="0024496A" w:rsidRDefault="00B23845" w:rsidP="0024496A">
      <w:pPr>
        <w:jc w:val="both"/>
        <w:rPr>
          <w:rFonts w:ascii="Arial" w:hAnsi="Arial" w:cs="Arial"/>
        </w:rPr>
      </w:pPr>
      <w:r>
        <w:rPr>
          <w:rFonts w:ascii="Arial" w:hAnsi="Arial" w:cs="Arial"/>
        </w:rPr>
        <w:t xml:space="preserve">Based on the </w:t>
      </w:r>
      <w:r w:rsidR="00FE4BEF">
        <w:rPr>
          <w:rFonts w:ascii="Arial" w:hAnsi="Arial" w:cs="Arial"/>
        </w:rPr>
        <w:t>facts outlined in the case study,</w:t>
      </w:r>
      <w:r w:rsidR="00BB0FFC" w:rsidRPr="0024496A">
        <w:rPr>
          <w:rFonts w:ascii="Arial" w:hAnsi="Arial" w:cs="Arial"/>
        </w:rPr>
        <w:t xml:space="preserve"> the following problems</w:t>
      </w:r>
      <w:r w:rsidR="00FE4BEF">
        <w:rPr>
          <w:rFonts w:ascii="Arial" w:hAnsi="Arial" w:cs="Arial"/>
        </w:rPr>
        <w:t xml:space="preserve"> can be identified as causes of financial distress </w:t>
      </w:r>
      <w:r w:rsidR="00F510E6">
        <w:rPr>
          <w:rFonts w:ascii="Arial" w:hAnsi="Arial" w:cs="Arial"/>
        </w:rPr>
        <w:t>at Flow Management</w:t>
      </w:r>
      <w:r w:rsidR="00BB0FFC" w:rsidRPr="0024496A">
        <w:rPr>
          <w:rFonts w:ascii="Arial" w:hAnsi="Arial" w:cs="Arial"/>
        </w:rPr>
        <w:t>:</w:t>
      </w:r>
    </w:p>
    <w:p w14:paraId="69E7543F" w14:textId="77777777" w:rsidR="00BB0FFC" w:rsidRPr="0024496A" w:rsidRDefault="00BB0FFC" w:rsidP="0024496A">
      <w:pPr>
        <w:jc w:val="both"/>
        <w:rPr>
          <w:rFonts w:ascii="Arial" w:hAnsi="Arial" w:cs="Arial"/>
        </w:rPr>
      </w:pPr>
      <w:r w:rsidRPr="0024496A">
        <w:rPr>
          <w:rFonts w:ascii="Arial" w:hAnsi="Arial" w:cs="Arial"/>
          <w:u w:val="single"/>
        </w:rPr>
        <w:t>Organizational failure</w:t>
      </w:r>
      <w:r w:rsidRPr="0024496A">
        <w:rPr>
          <w:rFonts w:ascii="Arial" w:hAnsi="Arial" w:cs="Arial"/>
        </w:rPr>
        <w:t>:</w:t>
      </w:r>
    </w:p>
    <w:p w14:paraId="6A97DDB6" w14:textId="5892CE4C" w:rsidR="00BB0FFC" w:rsidRPr="00192C44" w:rsidRDefault="00BB0FFC" w:rsidP="00192C44">
      <w:pPr>
        <w:pStyle w:val="ListParagraph"/>
        <w:numPr>
          <w:ilvl w:val="0"/>
          <w:numId w:val="8"/>
        </w:numPr>
        <w:jc w:val="both"/>
        <w:rPr>
          <w:rFonts w:ascii="Arial" w:hAnsi="Arial" w:cs="Arial"/>
        </w:rPr>
      </w:pPr>
      <w:r w:rsidRPr="00192C44">
        <w:rPr>
          <w:rFonts w:ascii="Arial" w:hAnsi="Arial" w:cs="Arial"/>
        </w:rPr>
        <w:t xml:space="preserve">Accounting (incorrect annotations in </w:t>
      </w:r>
      <w:r w:rsidR="00852CB9">
        <w:rPr>
          <w:rFonts w:ascii="Arial" w:hAnsi="Arial" w:cs="Arial"/>
        </w:rPr>
        <w:t>the C</w:t>
      </w:r>
      <w:r w:rsidRPr="00192C44">
        <w:rPr>
          <w:rFonts w:ascii="Arial" w:hAnsi="Arial" w:cs="Arial"/>
        </w:rPr>
        <w:t xml:space="preserve">ompany’s books, improper assumptions, etc.) </w:t>
      </w:r>
    </w:p>
    <w:p w14:paraId="5F216D60" w14:textId="77777777" w:rsidR="00BB0FFC" w:rsidRPr="00192C44" w:rsidRDefault="00BB0FFC" w:rsidP="00192C44">
      <w:pPr>
        <w:pStyle w:val="ListParagraph"/>
        <w:numPr>
          <w:ilvl w:val="0"/>
          <w:numId w:val="8"/>
        </w:numPr>
        <w:jc w:val="both"/>
        <w:rPr>
          <w:rFonts w:ascii="Arial" w:hAnsi="Arial" w:cs="Arial"/>
        </w:rPr>
      </w:pPr>
      <w:r w:rsidRPr="00192C44">
        <w:rPr>
          <w:rFonts w:ascii="Arial" w:hAnsi="Arial" w:cs="Arial"/>
        </w:rPr>
        <w:t xml:space="preserve">Operational (outdated and inadequate systems) </w:t>
      </w:r>
    </w:p>
    <w:p w14:paraId="206DE90C" w14:textId="77777777" w:rsidR="00BB0FFC" w:rsidRPr="00192C44" w:rsidRDefault="00BB0FFC" w:rsidP="00192C44">
      <w:pPr>
        <w:pStyle w:val="ListParagraph"/>
        <w:numPr>
          <w:ilvl w:val="0"/>
          <w:numId w:val="8"/>
        </w:numPr>
        <w:jc w:val="both"/>
        <w:rPr>
          <w:rFonts w:ascii="Arial" w:hAnsi="Arial" w:cs="Arial"/>
        </w:rPr>
      </w:pPr>
      <w:r w:rsidRPr="00192C44">
        <w:rPr>
          <w:rFonts w:ascii="Arial" w:hAnsi="Arial" w:cs="Arial"/>
        </w:rPr>
        <w:t xml:space="preserve">Financial (overleveraged structure) </w:t>
      </w:r>
    </w:p>
    <w:p w14:paraId="33923DCA" w14:textId="77777777" w:rsidR="00BB0FFC" w:rsidRPr="00192C44" w:rsidRDefault="00BB0FFC" w:rsidP="00192C44">
      <w:pPr>
        <w:pStyle w:val="ListParagraph"/>
        <w:numPr>
          <w:ilvl w:val="0"/>
          <w:numId w:val="8"/>
        </w:numPr>
        <w:jc w:val="both"/>
        <w:rPr>
          <w:rFonts w:ascii="Arial" w:hAnsi="Arial" w:cs="Arial"/>
        </w:rPr>
      </w:pPr>
      <w:r w:rsidRPr="00192C44">
        <w:rPr>
          <w:rFonts w:ascii="Arial" w:hAnsi="Arial" w:cs="Arial"/>
        </w:rPr>
        <w:t>Ethical (CEO and CFO collected bonuses predicated on incorrectly reported results)</w:t>
      </w:r>
    </w:p>
    <w:p w14:paraId="0C592C5A" w14:textId="39F49FEB" w:rsidR="00BB0FFC" w:rsidRPr="0024496A" w:rsidRDefault="00BB0FFC" w:rsidP="0024496A">
      <w:pPr>
        <w:jc w:val="both"/>
        <w:rPr>
          <w:rFonts w:ascii="Arial" w:hAnsi="Arial" w:cs="Arial"/>
        </w:rPr>
      </w:pPr>
      <w:r w:rsidRPr="0024496A">
        <w:rPr>
          <w:rFonts w:ascii="Arial" w:hAnsi="Arial" w:cs="Arial"/>
        </w:rPr>
        <w:t xml:space="preserve">Based </w:t>
      </w:r>
      <w:r w:rsidR="002C7D0B">
        <w:rPr>
          <w:rFonts w:ascii="Arial" w:hAnsi="Arial" w:cs="Arial"/>
        </w:rPr>
        <w:t xml:space="preserve">on the </w:t>
      </w:r>
      <w:r w:rsidRPr="0024496A">
        <w:rPr>
          <w:rFonts w:ascii="Arial" w:hAnsi="Arial" w:cs="Arial"/>
        </w:rPr>
        <w:t xml:space="preserve">problems that are reported, it could be inferred that the </w:t>
      </w:r>
      <w:r w:rsidR="00726A28">
        <w:rPr>
          <w:rFonts w:ascii="Arial" w:hAnsi="Arial" w:cs="Arial"/>
        </w:rPr>
        <w:t>C</w:t>
      </w:r>
      <w:r w:rsidRPr="0024496A">
        <w:rPr>
          <w:rFonts w:ascii="Arial" w:hAnsi="Arial" w:cs="Arial"/>
        </w:rPr>
        <w:t>ompany’s growth may have happened too fast and that it was</w:t>
      </w:r>
      <w:r w:rsidR="00726A28">
        <w:rPr>
          <w:rFonts w:ascii="Arial" w:hAnsi="Arial" w:cs="Arial"/>
        </w:rPr>
        <w:t xml:space="preserve"> not</w:t>
      </w:r>
      <w:r w:rsidRPr="0024496A">
        <w:rPr>
          <w:rFonts w:ascii="Arial" w:hAnsi="Arial" w:cs="Arial"/>
        </w:rPr>
        <w:t xml:space="preserve"> followed by a proportional growth </w:t>
      </w:r>
      <w:r w:rsidR="00726A28">
        <w:rPr>
          <w:rFonts w:ascii="Arial" w:hAnsi="Arial" w:cs="Arial"/>
        </w:rPr>
        <w:t xml:space="preserve">and sophistication </w:t>
      </w:r>
      <w:r w:rsidRPr="0024496A">
        <w:rPr>
          <w:rFonts w:ascii="Arial" w:hAnsi="Arial" w:cs="Arial"/>
        </w:rPr>
        <w:lastRenderedPageBreak/>
        <w:t>of the internal systems and controls.  Lack of an adequate backbone to support larger and more complex operations is a common theme in family-run business as they seek to expand.</w:t>
      </w:r>
      <w:r w:rsidR="0022371C">
        <w:rPr>
          <w:rFonts w:ascii="Arial" w:hAnsi="Arial" w:cs="Arial"/>
        </w:rPr>
        <w:t xml:space="preserve"> </w:t>
      </w:r>
      <w:r w:rsidRPr="0024496A">
        <w:rPr>
          <w:rFonts w:ascii="Arial" w:hAnsi="Arial" w:cs="Arial"/>
        </w:rPr>
        <w:t xml:space="preserve">A failure to implement adequate professionalization strategies of the </w:t>
      </w:r>
      <w:r w:rsidR="0022371C">
        <w:rPr>
          <w:rFonts w:ascii="Arial" w:hAnsi="Arial" w:cs="Arial"/>
        </w:rPr>
        <w:t>C</w:t>
      </w:r>
      <w:r w:rsidRPr="0024496A">
        <w:rPr>
          <w:rFonts w:ascii="Arial" w:hAnsi="Arial" w:cs="Arial"/>
        </w:rPr>
        <w:t xml:space="preserve">ompany’s management can enhance the problems.   </w:t>
      </w:r>
    </w:p>
    <w:p w14:paraId="5407347D" w14:textId="632D5CC5" w:rsidR="00BB0FFC" w:rsidRPr="0024496A" w:rsidRDefault="00BB0FFC" w:rsidP="0024496A">
      <w:pPr>
        <w:jc w:val="both"/>
        <w:rPr>
          <w:rFonts w:ascii="Arial" w:hAnsi="Arial" w:cs="Arial"/>
        </w:rPr>
      </w:pPr>
      <w:r w:rsidRPr="0024496A">
        <w:rPr>
          <w:rFonts w:ascii="Arial" w:hAnsi="Arial" w:cs="Arial"/>
        </w:rPr>
        <w:t xml:space="preserve">In the </w:t>
      </w:r>
      <w:r w:rsidR="00D31B91">
        <w:rPr>
          <w:rFonts w:ascii="Arial" w:hAnsi="Arial" w:cs="Arial"/>
        </w:rPr>
        <w:t>present</w:t>
      </w:r>
      <w:r w:rsidRPr="0024496A">
        <w:rPr>
          <w:rFonts w:ascii="Arial" w:hAnsi="Arial" w:cs="Arial"/>
        </w:rPr>
        <w:t xml:space="preserve"> case, the Company did not keep an updated price chart, which led to significant losses.  This is a negligent lapse in management for a company that makes a living out of operating leases. </w:t>
      </w:r>
    </w:p>
    <w:p w14:paraId="3375774D" w14:textId="7F18CA41" w:rsidR="00BB0FFC" w:rsidRPr="0024496A" w:rsidRDefault="00BB0FFC" w:rsidP="0024496A">
      <w:pPr>
        <w:jc w:val="both"/>
        <w:rPr>
          <w:rFonts w:ascii="Arial" w:hAnsi="Arial" w:cs="Arial"/>
        </w:rPr>
      </w:pPr>
      <w:r w:rsidRPr="0024496A">
        <w:rPr>
          <w:rFonts w:ascii="Arial" w:hAnsi="Arial" w:cs="Arial"/>
        </w:rPr>
        <w:t xml:space="preserve">On the other hand, </w:t>
      </w:r>
      <w:r w:rsidR="00337337">
        <w:rPr>
          <w:rFonts w:ascii="Arial" w:hAnsi="Arial" w:cs="Arial"/>
        </w:rPr>
        <w:t xml:space="preserve">there have been </w:t>
      </w:r>
      <w:r w:rsidR="00D05DD5">
        <w:rPr>
          <w:rFonts w:ascii="Arial" w:hAnsi="Arial" w:cs="Arial"/>
        </w:rPr>
        <w:t>serious communication issues</w:t>
      </w:r>
      <w:r w:rsidR="00787507">
        <w:rPr>
          <w:rFonts w:ascii="Arial" w:hAnsi="Arial" w:cs="Arial"/>
        </w:rPr>
        <w:t xml:space="preserve">: </w:t>
      </w:r>
      <w:r w:rsidRPr="0024496A">
        <w:rPr>
          <w:rFonts w:ascii="Arial" w:hAnsi="Arial" w:cs="Arial"/>
        </w:rPr>
        <w:t xml:space="preserve">information about losses has been delivered to stakeholders by piecemeal.  This raises multiple questions and </w:t>
      </w:r>
      <w:r w:rsidR="006057CC">
        <w:rPr>
          <w:rFonts w:ascii="Arial" w:hAnsi="Arial" w:cs="Arial"/>
        </w:rPr>
        <w:t>concerns</w:t>
      </w:r>
      <w:r w:rsidRPr="0024496A">
        <w:rPr>
          <w:rFonts w:ascii="Arial" w:hAnsi="Arial" w:cs="Arial"/>
        </w:rPr>
        <w:t xml:space="preserve"> as to Management’s competence and character.  More importantly, numbers kept changing drastically and rapidly.  In fact, in a matter of 2 months from the initial meeting with creditors to discuss the losses of the group, such losses went from ($5.</w:t>
      </w:r>
      <w:r w:rsidR="006B3F55">
        <w:rPr>
          <w:rFonts w:ascii="Arial" w:hAnsi="Arial" w:cs="Arial"/>
        </w:rPr>
        <w:t>4</w:t>
      </w:r>
      <w:r w:rsidRPr="0024496A">
        <w:rPr>
          <w:rFonts w:ascii="Arial" w:hAnsi="Arial" w:cs="Arial"/>
        </w:rPr>
        <w:t xml:space="preserve"> MM) to ($36.5 MM)</w:t>
      </w:r>
      <w:r w:rsidR="00437A1D">
        <w:rPr>
          <w:rFonts w:ascii="Arial" w:hAnsi="Arial" w:cs="Arial"/>
        </w:rPr>
        <w:t>, i.e., m</w:t>
      </w:r>
      <w:r w:rsidRPr="0024496A">
        <w:rPr>
          <w:rFonts w:ascii="Arial" w:hAnsi="Arial" w:cs="Arial"/>
        </w:rPr>
        <w:t xml:space="preserve">ore than $31 MM difference.  Such striking difference could be symptomatic of gross negligence in the management of this business or of foul play.  Even if the latter is not the case, it can make negotiations with lenders overly burdensome as it would be very difficult to persuade a lender that the management of a heavily leveraged borrower </w:t>
      </w:r>
      <w:r w:rsidR="00AB3F02">
        <w:rPr>
          <w:rFonts w:ascii="Arial" w:hAnsi="Arial" w:cs="Arial"/>
        </w:rPr>
        <w:t>was not aware</w:t>
      </w:r>
      <w:r w:rsidRPr="0024496A">
        <w:rPr>
          <w:rFonts w:ascii="Arial" w:hAnsi="Arial" w:cs="Arial"/>
        </w:rPr>
        <w:t xml:space="preserve"> of such a sizeable loss.</w:t>
      </w:r>
      <w:r w:rsidR="00AB3F02">
        <w:rPr>
          <w:rFonts w:ascii="Arial" w:hAnsi="Arial" w:cs="Arial"/>
        </w:rPr>
        <w:t xml:space="preserve"> As discussed in the Pajunen </w:t>
      </w:r>
      <w:r w:rsidR="00E851D0">
        <w:rPr>
          <w:rFonts w:ascii="Arial" w:hAnsi="Arial" w:cs="Arial"/>
        </w:rPr>
        <w:t xml:space="preserve">2006 study, </w:t>
      </w:r>
      <w:r w:rsidR="00E851D0" w:rsidRPr="00E851D0">
        <w:rPr>
          <w:rFonts w:ascii="Arial" w:hAnsi="Arial" w:cs="Arial"/>
        </w:rPr>
        <w:t xml:space="preserve">frequent and open communication between </w:t>
      </w:r>
      <w:r w:rsidR="00A87F7C">
        <w:rPr>
          <w:rFonts w:ascii="Arial" w:hAnsi="Arial" w:cs="Arial"/>
        </w:rPr>
        <w:t>management</w:t>
      </w:r>
      <w:r w:rsidR="00E851D0" w:rsidRPr="00E851D0">
        <w:rPr>
          <w:rFonts w:ascii="Arial" w:hAnsi="Arial" w:cs="Arial"/>
        </w:rPr>
        <w:t xml:space="preserve"> and </w:t>
      </w:r>
      <w:r w:rsidR="00F97640">
        <w:rPr>
          <w:rFonts w:ascii="Arial" w:hAnsi="Arial" w:cs="Arial"/>
        </w:rPr>
        <w:t>key stakeholders, in this case the four financial institutions,</w:t>
      </w:r>
      <w:r w:rsidR="00E851D0" w:rsidRPr="00E851D0">
        <w:rPr>
          <w:rFonts w:ascii="Arial" w:hAnsi="Arial" w:cs="Arial"/>
        </w:rPr>
        <w:t xml:space="preserve"> </w:t>
      </w:r>
      <w:r w:rsidR="00F97640">
        <w:rPr>
          <w:rFonts w:ascii="Arial" w:hAnsi="Arial" w:cs="Arial"/>
        </w:rPr>
        <w:t>can</w:t>
      </w:r>
      <w:r w:rsidR="00E851D0" w:rsidRPr="00E851D0">
        <w:rPr>
          <w:rFonts w:ascii="Arial" w:hAnsi="Arial" w:cs="Arial"/>
        </w:rPr>
        <w:t xml:space="preserve"> enhance the continuing support of those stakeholders and increase the probability of organizational survival.</w:t>
      </w:r>
      <w:r w:rsidR="00E851D0">
        <w:rPr>
          <w:rStyle w:val="FootnoteReference"/>
          <w:rFonts w:ascii="Arial" w:hAnsi="Arial" w:cs="Arial"/>
        </w:rPr>
        <w:footnoteReference w:id="2"/>
      </w:r>
      <w:r w:rsidR="00A2561E">
        <w:rPr>
          <w:rFonts w:ascii="Arial" w:hAnsi="Arial" w:cs="Arial"/>
        </w:rPr>
        <w:t xml:space="preserve"> In the case of Flow Management, the frequency and accuracy of the communication </w:t>
      </w:r>
      <w:r w:rsidR="00991A9B">
        <w:rPr>
          <w:rFonts w:ascii="Arial" w:hAnsi="Arial" w:cs="Arial"/>
        </w:rPr>
        <w:t xml:space="preserve">provided by management </w:t>
      </w:r>
      <w:r w:rsidR="000C10F5">
        <w:rPr>
          <w:rFonts w:ascii="Arial" w:hAnsi="Arial" w:cs="Arial"/>
        </w:rPr>
        <w:t>suffers from major flaws and should make financial lenders concerned.</w:t>
      </w:r>
    </w:p>
    <w:p w14:paraId="3C6EA149" w14:textId="77777777" w:rsidR="00BB0FFC" w:rsidRPr="0024496A" w:rsidRDefault="00BB0FFC" w:rsidP="0024496A">
      <w:pPr>
        <w:jc w:val="both"/>
        <w:rPr>
          <w:rFonts w:ascii="Arial" w:hAnsi="Arial" w:cs="Arial"/>
          <w:u w:val="single"/>
        </w:rPr>
      </w:pPr>
      <w:r w:rsidRPr="0024496A">
        <w:rPr>
          <w:rFonts w:ascii="Arial" w:hAnsi="Arial" w:cs="Arial"/>
          <w:u w:val="single"/>
        </w:rPr>
        <w:t>Structuring and supervision failures:</w:t>
      </w:r>
    </w:p>
    <w:p w14:paraId="7B2E3EF7" w14:textId="66D33AD4" w:rsidR="00BB0FFC" w:rsidRPr="0024496A" w:rsidRDefault="00665D5C" w:rsidP="0024496A">
      <w:pPr>
        <w:jc w:val="both"/>
        <w:rPr>
          <w:rFonts w:ascii="Arial" w:hAnsi="Arial" w:cs="Arial"/>
        </w:rPr>
      </w:pPr>
      <w:r>
        <w:rPr>
          <w:rFonts w:ascii="Arial" w:hAnsi="Arial" w:cs="Arial"/>
        </w:rPr>
        <w:t>Another factor</w:t>
      </w:r>
      <w:r w:rsidR="00BB0FFC" w:rsidRPr="0024496A">
        <w:rPr>
          <w:rFonts w:ascii="Arial" w:hAnsi="Arial" w:cs="Arial"/>
        </w:rPr>
        <w:t xml:space="preserve"> that could have played a significant role in the failure of Flow Management, is the </w:t>
      </w:r>
      <w:r w:rsidR="00E36C67">
        <w:rPr>
          <w:rFonts w:ascii="Arial" w:hAnsi="Arial" w:cs="Arial"/>
        </w:rPr>
        <w:t>size</w:t>
      </w:r>
      <w:r w:rsidR="00BB0FFC" w:rsidRPr="0024496A">
        <w:rPr>
          <w:rFonts w:ascii="Arial" w:hAnsi="Arial" w:cs="Arial"/>
        </w:rPr>
        <w:t xml:space="preserve"> of its financial debt, the extraordinarily low equity to total assets ratio that the lenders allowed, and what appears to be a group of banks </w:t>
      </w:r>
      <w:r w:rsidR="00E36C67">
        <w:rPr>
          <w:rFonts w:ascii="Arial" w:hAnsi="Arial" w:cs="Arial"/>
        </w:rPr>
        <w:t xml:space="preserve">arguably staying passive until </w:t>
      </w:r>
      <w:r w:rsidR="004911F0">
        <w:rPr>
          <w:rFonts w:ascii="Arial" w:hAnsi="Arial" w:cs="Arial"/>
        </w:rPr>
        <w:t>the Company’s financial distress became inevitable</w:t>
      </w:r>
      <w:r w:rsidR="00BB0FFC" w:rsidRPr="0024496A">
        <w:rPr>
          <w:rFonts w:ascii="Arial" w:hAnsi="Arial" w:cs="Arial"/>
        </w:rPr>
        <w:t>.  The combination of these factors with a weak management</w:t>
      </w:r>
      <w:r w:rsidR="004911F0">
        <w:rPr>
          <w:rFonts w:ascii="Arial" w:hAnsi="Arial" w:cs="Arial"/>
        </w:rPr>
        <w:t xml:space="preserve"> structure</w:t>
      </w:r>
      <w:r w:rsidR="00BB0FFC" w:rsidRPr="0024496A">
        <w:rPr>
          <w:rFonts w:ascii="Arial" w:hAnsi="Arial" w:cs="Arial"/>
        </w:rPr>
        <w:t>, can create a perfect storm.</w:t>
      </w:r>
    </w:p>
    <w:p w14:paraId="02AF2C82" w14:textId="1BE15781" w:rsidR="00BB0FFC" w:rsidRPr="0024496A" w:rsidRDefault="00BB0FFC" w:rsidP="0024496A">
      <w:pPr>
        <w:jc w:val="both"/>
        <w:rPr>
          <w:rFonts w:ascii="Arial" w:hAnsi="Arial" w:cs="Arial"/>
        </w:rPr>
      </w:pPr>
      <w:r w:rsidRPr="0024496A">
        <w:rPr>
          <w:rFonts w:ascii="Arial" w:hAnsi="Arial" w:cs="Arial"/>
        </w:rPr>
        <w:t xml:space="preserve">Indeed, this was such a highly leveraged business that it warranted very close monitoring from lenders, and we have no indication that this was the case.  Allowing such low levels of equity in a company breaks the alignment of interests between creditors and shareholders, and it can result -as </w:t>
      </w:r>
      <w:r w:rsidR="00901C1D">
        <w:rPr>
          <w:rFonts w:ascii="Arial" w:hAnsi="Arial" w:cs="Arial"/>
        </w:rPr>
        <w:t>I</w:t>
      </w:r>
      <w:r w:rsidRPr="0024496A">
        <w:rPr>
          <w:rFonts w:ascii="Arial" w:hAnsi="Arial" w:cs="Arial"/>
        </w:rPr>
        <w:t xml:space="preserve"> submit it did- in a situation where management appears to have been left without supervision or much guidance.  This would</w:t>
      </w:r>
      <w:r w:rsidR="00901C1D">
        <w:rPr>
          <w:rFonts w:ascii="Arial" w:hAnsi="Arial" w:cs="Arial"/>
        </w:rPr>
        <w:t xml:space="preserve"> not</w:t>
      </w:r>
      <w:r w:rsidRPr="0024496A">
        <w:rPr>
          <w:rFonts w:ascii="Arial" w:hAnsi="Arial" w:cs="Arial"/>
        </w:rPr>
        <w:t xml:space="preserve"> necessarily be a problem with a very competent and strong management but that was</w:t>
      </w:r>
      <w:r w:rsidR="00631440">
        <w:rPr>
          <w:rFonts w:ascii="Arial" w:hAnsi="Arial" w:cs="Arial"/>
        </w:rPr>
        <w:t xml:space="preserve"> not</w:t>
      </w:r>
      <w:r w:rsidRPr="0024496A">
        <w:rPr>
          <w:rFonts w:ascii="Arial" w:hAnsi="Arial" w:cs="Arial"/>
        </w:rPr>
        <w:t xml:space="preserve"> the case.</w:t>
      </w:r>
      <w:r w:rsidR="00631440">
        <w:rPr>
          <w:rFonts w:ascii="Arial" w:hAnsi="Arial" w:cs="Arial"/>
        </w:rPr>
        <w:t xml:space="preserve"> </w:t>
      </w:r>
    </w:p>
    <w:p w14:paraId="154B296E" w14:textId="77777777" w:rsidR="00BB0FFC" w:rsidRPr="0024496A" w:rsidRDefault="00BB0FFC" w:rsidP="0024496A">
      <w:pPr>
        <w:jc w:val="both"/>
        <w:rPr>
          <w:rFonts w:ascii="Arial" w:hAnsi="Arial" w:cs="Arial"/>
        </w:rPr>
      </w:pPr>
      <w:r w:rsidRPr="0024496A">
        <w:rPr>
          <w:rFonts w:ascii="Arial" w:hAnsi="Arial" w:cs="Arial"/>
        </w:rPr>
        <w:t>It appears that the debt financing of this transaction was flawed from inception:</w:t>
      </w:r>
    </w:p>
    <w:p w14:paraId="7F812F43" w14:textId="3C8283EC" w:rsidR="00BB0FFC" w:rsidRPr="00234B5E" w:rsidRDefault="00BB0FFC" w:rsidP="00234B5E">
      <w:pPr>
        <w:pStyle w:val="ListParagraph"/>
        <w:numPr>
          <w:ilvl w:val="0"/>
          <w:numId w:val="9"/>
        </w:numPr>
        <w:jc w:val="both"/>
        <w:rPr>
          <w:rFonts w:ascii="Arial" w:hAnsi="Arial" w:cs="Arial"/>
        </w:rPr>
      </w:pPr>
      <w:r w:rsidRPr="00234B5E">
        <w:rPr>
          <w:rFonts w:ascii="Arial" w:hAnsi="Arial" w:cs="Arial"/>
        </w:rPr>
        <w:t xml:space="preserve">Adequate diligence from lenders should have identified the inadequacy of the reporting systems and controls of the </w:t>
      </w:r>
      <w:r w:rsidR="006D665A">
        <w:rPr>
          <w:rFonts w:ascii="Arial" w:hAnsi="Arial" w:cs="Arial"/>
        </w:rPr>
        <w:t>C</w:t>
      </w:r>
      <w:r w:rsidRPr="00234B5E">
        <w:rPr>
          <w:rFonts w:ascii="Arial" w:hAnsi="Arial" w:cs="Arial"/>
        </w:rPr>
        <w:t xml:space="preserve">ompany.  </w:t>
      </w:r>
    </w:p>
    <w:p w14:paraId="19FF0711" w14:textId="6C9ACB71" w:rsidR="00BB0FFC" w:rsidRPr="00234B5E" w:rsidRDefault="00BB0FFC" w:rsidP="00234B5E">
      <w:pPr>
        <w:pStyle w:val="ListParagraph"/>
        <w:numPr>
          <w:ilvl w:val="0"/>
          <w:numId w:val="9"/>
        </w:numPr>
        <w:jc w:val="both"/>
        <w:rPr>
          <w:rFonts w:ascii="Arial" w:hAnsi="Arial" w:cs="Arial"/>
        </w:rPr>
      </w:pPr>
      <w:r w:rsidRPr="00234B5E">
        <w:rPr>
          <w:rFonts w:ascii="Arial" w:hAnsi="Arial" w:cs="Arial"/>
        </w:rPr>
        <w:lastRenderedPageBreak/>
        <w:t>Appropriate structuring of the debt would have also included stricter leverage ratios</w:t>
      </w:r>
      <w:r w:rsidR="00D33C2C">
        <w:rPr>
          <w:rFonts w:ascii="Arial" w:hAnsi="Arial" w:cs="Arial"/>
        </w:rPr>
        <w:t>. I</w:t>
      </w:r>
      <w:r w:rsidRPr="00234B5E">
        <w:rPr>
          <w:rFonts w:ascii="Arial" w:hAnsi="Arial" w:cs="Arial"/>
        </w:rPr>
        <w:t xml:space="preserve">t should have required an action plan to improve accounting controls and systems, and it would have included extensive reporting requirements.  </w:t>
      </w:r>
    </w:p>
    <w:p w14:paraId="67BED60A" w14:textId="3C652B29" w:rsidR="00BB0FFC" w:rsidRPr="00234B5E" w:rsidRDefault="00BB0FFC" w:rsidP="00234B5E">
      <w:pPr>
        <w:pStyle w:val="ListParagraph"/>
        <w:numPr>
          <w:ilvl w:val="0"/>
          <w:numId w:val="9"/>
        </w:numPr>
        <w:jc w:val="both"/>
        <w:rPr>
          <w:rFonts w:ascii="Arial" w:hAnsi="Arial" w:cs="Arial"/>
        </w:rPr>
      </w:pPr>
      <w:r w:rsidRPr="00234B5E">
        <w:rPr>
          <w:rFonts w:ascii="Arial" w:hAnsi="Arial" w:cs="Arial"/>
        </w:rPr>
        <w:t>The security package was also flawed, which is a very serious lapse from the lenders, more so in such a heavily leveraged transaction</w:t>
      </w:r>
      <w:r w:rsidR="00D33C2C">
        <w:rPr>
          <w:rFonts w:ascii="Arial" w:hAnsi="Arial" w:cs="Arial"/>
        </w:rPr>
        <w:t xml:space="preserve"> (</w:t>
      </w:r>
      <w:r w:rsidR="0064624D">
        <w:rPr>
          <w:rFonts w:ascii="Arial" w:hAnsi="Arial" w:cs="Arial"/>
        </w:rPr>
        <w:t xml:space="preserve">reportedly, </w:t>
      </w:r>
      <w:r w:rsidR="002E31B5">
        <w:rPr>
          <w:rFonts w:ascii="Arial" w:hAnsi="Arial" w:cs="Arial"/>
        </w:rPr>
        <w:t>there was “a problem with the securities (pledges) on the assets established by the banks”</w:t>
      </w:r>
      <w:r w:rsidR="00217BDA">
        <w:rPr>
          <w:rFonts w:ascii="Arial" w:hAnsi="Arial" w:cs="Arial"/>
        </w:rPr>
        <w:t>)</w:t>
      </w:r>
      <w:r w:rsidRPr="00234B5E">
        <w:rPr>
          <w:rFonts w:ascii="Arial" w:hAnsi="Arial" w:cs="Arial"/>
        </w:rPr>
        <w:t xml:space="preserve">. </w:t>
      </w:r>
    </w:p>
    <w:p w14:paraId="1F2626AF" w14:textId="77777777" w:rsidR="00BB0FFC" w:rsidRPr="0024496A" w:rsidRDefault="00BB0FFC" w:rsidP="0024496A">
      <w:pPr>
        <w:jc w:val="both"/>
        <w:rPr>
          <w:rFonts w:ascii="Arial" w:hAnsi="Arial" w:cs="Arial"/>
        </w:rPr>
      </w:pPr>
      <w:r w:rsidRPr="0024496A">
        <w:rPr>
          <w:rFonts w:ascii="Arial" w:hAnsi="Arial" w:cs="Arial"/>
        </w:rPr>
        <w:t xml:space="preserve">Given that the problems with the security package were common to all lenders, it could be inferred that certain banks provided financing earlier than others (presumably banks A &amp; B) and implemented a comprehensive security package.  When new lenders joined the financing (arguably banks C &amp; D), that security package would have had to be shared with them, and an inter-creditor agreement might have been put in place, governing the security sharing among lenders. </w:t>
      </w:r>
    </w:p>
    <w:p w14:paraId="15A6D461" w14:textId="6FBAF51E" w:rsidR="00BB0FFC" w:rsidRDefault="00BB0FFC" w:rsidP="0024496A">
      <w:pPr>
        <w:jc w:val="both"/>
        <w:rPr>
          <w:rFonts w:ascii="Arial" w:hAnsi="Arial" w:cs="Arial"/>
        </w:rPr>
      </w:pPr>
      <w:r w:rsidRPr="0024496A">
        <w:rPr>
          <w:rFonts w:ascii="Arial" w:hAnsi="Arial" w:cs="Arial"/>
        </w:rPr>
        <w:t xml:space="preserve">More importantly, lenders should have monitored this transaction closely and frequently.  While this is not stated in the facts, it seems plausible to conclude that lenders were passive, and their monitoring was </w:t>
      </w:r>
      <w:r w:rsidR="005448CF">
        <w:rPr>
          <w:rFonts w:ascii="Arial" w:hAnsi="Arial" w:cs="Arial"/>
        </w:rPr>
        <w:t>not fully adequate</w:t>
      </w:r>
      <w:r w:rsidRPr="0024496A">
        <w:rPr>
          <w:rFonts w:ascii="Arial" w:hAnsi="Arial" w:cs="Arial"/>
        </w:rPr>
        <w:t>.</w:t>
      </w:r>
    </w:p>
    <w:p w14:paraId="1A412ED0" w14:textId="3D6BC5EE" w:rsidR="004F3B0F" w:rsidRPr="004F3B0F" w:rsidRDefault="004F3B0F" w:rsidP="0024496A">
      <w:pPr>
        <w:jc w:val="both"/>
        <w:rPr>
          <w:rFonts w:ascii="Arial" w:hAnsi="Arial" w:cs="Arial"/>
          <w:b/>
          <w:bCs/>
          <w:i/>
          <w:iCs/>
        </w:rPr>
      </w:pPr>
      <w:r w:rsidRPr="004F3B0F">
        <w:rPr>
          <w:rFonts w:ascii="Arial" w:hAnsi="Arial" w:cs="Arial"/>
          <w:b/>
          <w:bCs/>
          <w:i/>
          <w:iCs/>
        </w:rPr>
        <w:t>Could the financial distress have been prevented</w:t>
      </w:r>
      <w:r w:rsidRPr="004F3B0F">
        <w:rPr>
          <w:rFonts w:ascii="Arial" w:hAnsi="Arial" w:cs="Arial"/>
          <w:b/>
          <w:bCs/>
          <w:i/>
          <w:iCs/>
        </w:rPr>
        <w:t xml:space="preserve"> and how?</w:t>
      </w:r>
    </w:p>
    <w:p w14:paraId="3C2E47AF" w14:textId="193C71A3" w:rsidR="00BB0FFC" w:rsidRPr="0024496A" w:rsidRDefault="00BB0FFC" w:rsidP="0024496A">
      <w:pPr>
        <w:jc w:val="both"/>
        <w:rPr>
          <w:rFonts w:ascii="Arial" w:hAnsi="Arial" w:cs="Arial"/>
        </w:rPr>
      </w:pPr>
      <w:r w:rsidRPr="0024496A">
        <w:rPr>
          <w:rFonts w:ascii="Arial" w:hAnsi="Arial" w:cs="Arial"/>
        </w:rPr>
        <w:t xml:space="preserve">The situation of Flow Management could have been prevented if </w:t>
      </w:r>
      <w:r w:rsidR="00B87456">
        <w:rPr>
          <w:rFonts w:ascii="Arial" w:hAnsi="Arial" w:cs="Arial"/>
        </w:rPr>
        <w:t>the governing</w:t>
      </w:r>
      <w:r w:rsidRPr="0024496A">
        <w:rPr>
          <w:rFonts w:ascii="Arial" w:hAnsi="Arial" w:cs="Arial"/>
        </w:rPr>
        <w:t xml:space="preserve"> stakeholders</w:t>
      </w:r>
      <w:r w:rsidR="004D427C">
        <w:rPr>
          <w:rStyle w:val="FootnoteReference"/>
          <w:rFonts w:ascii="Arial" w:hAnsi="Arial" w:cs="Arial"/>
        </w:rPr>
        <w:footnoteReference w:id="3"/>
      </w:r>
      <w:r w:rsidRPr="0024496A">
        <w:rPr>
          <w:rFonts w:ascii="Arial" w:hAnsi="Arial" w:cs="Arial"/>
        </w:rPr>
        <w:t xml:space="preserve"> had assumed a more proactive and critical view of things. In fact:  </w:t>
      </w:r>
    </w:p>
    <w:p w14:paraId="5680D220" w14:textId="77777777" w:rsidR="00BB0FFC" w:rsidRPr="00EA15FE" w:rsidRDefault="00BB0FFC" w:rsidP="00EA15FE">
      <w:pPr>
        <w:pStyle w:val="ListParagraph"/>
        <w:numPr>
          <w:ilvl w:val="0"/>
          <w:numId w:val="10"/>
        </w:numPr>
        <w:jc w:val="both"/>
        <w:rPr>
          <w:rFonts w:ascii="Arial" w:hAnsi="Arial" w:cs="Arial"/>
        </w:rPr>
      </w:pPr>
      <w:r w:rsidRPr="00EA15FE">
        <w:rPr>
          <w:rFonts w:ascii="Arial" w:hAnsi="Arial" w:cs="Arial"/>
        </w:rPr>
        <w:t>Management has had presumably ample opportunities to improve controls and systems, to increase efficiencies and to make sure that their pricing is correct;</w:t>
      </w:r>
    </w:p>
    <w:p w14:paraId="2709EF64" w14:textId="77777777" w:rsidR="00BB0FFC" w:rsidRPr="00EA15FE" w:rsidRDefault="00BB0FFC" w:rsidP="00EA15FE">
      <w:pPr>
        <w:pStyle w:val="ListParagraph"/>
        <w:numPr>
          <w:ilvl w:val="0"/>
          <w:numId w:val="10"/>
        </w:numPr>
        <w:jc w:val="both"/>
        <w:rPr>
          <w:rFonts w:ascii="Arial" w:hAnsi="Arial" w:cs="Arial"/>
        </w:rPr>
      </w:pPr>
      <w:r w:rsidRPr="00EA15FE">
        <w:rPr>
          <w:rFonts w:ascii="Arial" w:hAnsi="Arial" w:cs="Arial"/>
        </w:rPr>
        <w:t>Board of Directors had, at a minimum, annual opportunities to challenge what the Management was doing;</w:t>
      </w:r>
    </w:p>
    <w:p w14:paraId="43319A08" w14:textId="77777777" w:rsidR="00BB0FFC" w:rsidRPr="00EA15FE" w:rsidRDefault="00BB0FFC" w:rsidP="00EA15FE">
      <w:pPr>
        <w:pStyle w:val="ListParagraph"/>
        <w:numPr>
          <w:ilvl w:val="0"/>
          <w:numId w:val="10"/>
        </w:numPr>
        <w:jc w:val="both"/>
        <w:rPr>
          <w:rFonts w:ascii="Arial" w:hAnsi="Arial" w:cs="Arial"/>
        </w:rPr>
      </w:pPr>
      <w:r w:rsidRPr="00EA15FE">
        <w:rPr>
          <w:rFonts w:ascii="Arial" w:hAnsi="Arial" w:cs="Arial"/>
        </w:rPr>
        <w:t xml:space="preserve">Shareholders also had opportunities and -presumably- an interest to make sure this business succeeded by demanding more accountability and better governance. </w:t>
      </w:r>
    </w:p>
    <w:p w14:paraId="60EF026A" w14:textId="77777777" w:rsidR="00BB0FFC" w:rsidRPr="00EA15FE" w:rsidRDefault="00BB0FFC" w:rsidP="00EA15FE">
      <w:pPr>
        <w:pStyle w:val="ListParagraph"/>
        <w:numPr>
          <w:ilvl w:val="0"/>
          <w:numId w:val="10"/>
        </w:numPr>
        <w:jc w:val="both"/>
        <w:rPr>
          <w:rFonts w:ascii="Arial" w:hAnsi="Arial" w:cs="Arial"/>
        </w:rPr>
      </w:pPr>
      <w:r w:rsidRPr="00EA15FE">
        <w:rPr>
          <w:rFonts w:ascii="Arial" w:hAnsi="Arial" w:cs="Arial"/>
        </w:rPr>
        <w:t xml:space="preserve">Lenders were not monitoring adequately the level of risk that they were exposed to.  While they have been taking a risk akin to equity, they seem to have been acting as passive lenders up to this point.  </w:t>
      </w:r>
    </w:p>
    <w:p w14:paraId="4C3C90B9" w14:textId="3CC019E5" w:rsidR="00BB0FFC" w:rsidRPr="0024496A" w:rsidRDefault="00BB0FFC" w:rsidP="0024496A">
      <w:pPr>
        <w:jc w:val="both"/>
        <w:rPr>
          <w:rFonts w:ascii="Arial" w:hAnsi="Arial" w:cs="Arial"/>
        </w:rPr>
      </w:pPr>
      <w:r w:rsidRPr="0024496A">
        <w:rPr>
          <w:rFonts w:ascii="Arial" w:hAnsi="Arial" w:cs="Arial"/>
        </w:rPr>
        <w:t>Had any of the parties above done a better job in monitoring the performance of the Company, some corrections could have been made on time to mitigate the exten</w:t>
      </w:r>
      <w:r w:rsidR="00DE18BB">
        <w:rPr>
          <w:rFonts w:ascii="Arial" w:hAnsi="Arial" w:cs="Arial"/>
        </w:rPr>
        <w:t>t</w:t>
      </w:r>
      <w:r w:rsidRPr="0024496A">
        <w:rPr>
          <w:rFonts w:ascii="Arial" w:hAnsi="Arial" w:cs="Arial"/>
        </w:rPr>
        <w:t xml:space="preserve"> of the financial disarray of the group.   </w:t>
      </w:r>
    </w:p>
    <w:p w14:paraId="294748A0" w14:textId="766796BD" w:rsidR="00D47FEB" w:rsidRPr="00E25F44" w:rsidRDefault="00D47FEB" w:rsidP="00D47FEB">
      <w:pPr>
        <w:pStyle w:val="ListParagraph"/>
        <w:numPr>
          <w:ilvl w:val="0"/>
          <w:numId w:val="1"/>
        </w:numPr>
        <w:jc w:val="both"/>
        <w:rPr>
          <w:rFonts w:ascii="Arial" w:hAnsi="Arial" w:cs="Arial"/>
          <w:b/>
          <w:bCs/>
        </w:rPr>
      </w:pPr>
      <w:r w:rsidRPr="00E25F44">
        <w:rPr>
          <w:rFonts w:ascii="Arial" w:hAnsi="Arial" w:cs="Arial"/>
          <w:b/>
          <w:bCs/>
        </w:rPr>
        <w:t>What are in general advantages and disadvantages of an out-of-court restructuring (workout) as compared to a formal bankruptcy procedure? More specific, what are the advantages versus disadvantages in your country?</w:t>
      </w:r>
    </w:p>
    <w:p w14:paraId="6EAAF418" w14:textId="67BB0AA0" w:rsidR="0024496A" w:rsidRDefault="004D6F9B" w:rsidP="0024496A">
      <w:pPr>
        <w:jc w:val="both"/>
        <w:rPr>
          <w:rFonts w:ascii="Arial" w:hAnsi="Arial" w:cs="Arial"/>
        </w:rPr>
      </w:pPr>
      <w:r>
        <w:rPr>
          <w:rFonts w:ascii="Arial" w:hAnsi="Arial" w:cs="Arial"/>
        </w:rPr>
        <w:t>As desc</w:t>
      </w:r>
      <w:r w:rsidR="005D7826">
        <w:rPr>
          <w:rFonts w:ascii="Arial" w:hAnsi="Arial" w:cs="Arial"/>
        </w:rPr>
        <w:t>ussed</w:t>
      </w:r>
      <w:r>
        <w:rPr>
          <w:rFonts w:ascii="Arial" w:hAnsi="Arial" w:cs="Arial"/>
        </w:rPr>
        <w:t xml:space="preserve"> </w:t>
      </w:r>
      <w:r w:rsidR="00006487">
        <w:rPr>
          <w:rFonts w:ascii="Arial" w:hAnsi="Arial" w:cs="Arial"/>
        </w:rPr>
        <w:t xml:space="preserve">in the </w:t>
      </w:r>
      <w:r w:rsidR="00AA06C6">
        <w:rPr>
          <w:rFonts w:ascii="Arial" w:hAnsi="Arial" w:cs="Arial"/>
        </w:rPr>
        <w:t xml:space="preserve">2006 </w:t>
      </w:r>
      <w:r w:rsidR="00AA06C6" w:rsidRPr="00AA06C6">
        <w:rPr>
          <w:rFonts w:ascii="Arial" w:hAnsi="Arial" w:cs="Arial"/>
        </w:rPr>
        <w:t>Adriaanse</w:t>
      </w:r>
      <w:r w:rsidR="00AA06C6">
        <w:rPr>
          <w:rFonts w:ascii="Arial" w:hAnsi="Arial" w:cs="Arial"/>
        </w:rPr>
        <w:t xml:space="preserve"> </w:t>
      </w:r>
      <w:r w:rsidR="00AA06C6" w:rsidRPr="00AA06C6">
        <w:rPr>
          <w:rFonts w:ascii="Arial" w:hAnsi="Arial" w:cs="Arial"/>
        </w:rPr>
        <w:t>&amp; Kuijl</w:t>
      </w:r>
      <w:r w:rsidR="00AA06C6">
        <w:rPr>
          <w:rFonts w:ascii="Arial" w:hAnsi="Arial" w:cs="Arial"/>
        </w:rPr>
        <w:t xml:space="preserve"> paper,</w:t>
      </w:r>
      <w:r w:rsidR="00AA06C6">
        <w:rPr>
          <w:rStyle w:val="FootnoteReference"/>
          <w:rFonts w:ascii="Arial" w:hAnsi="Arial" w:cs="Arial"/>
        </w:rPr>
        <w:footnoteReference w:id="4"/>
      </w:r>
      <w:r w:rsidR="00AA06C6">
        <w:rPr>
          <w:rFonts w:ascii="Arial" w:hAnsi="Arial" w:cs="Arial"/>
        </w:rPr>
        <w:t xml:space="preserve"> </w:t>
      </w:r>
      <w:r w:rsidR="00760F8B">
        <w:rPr>
          <w:rFonts w:ascii="Arial" w:hAnsi="Arial" w:cs="Arial"/>
        </w:rPr>
        <w:t xml:space="preserve">informal or out-of-court restructuring (workout) has important advantages </w:t>
      </w:r>
      <w:r w:rsidR="009B11D7">
        <w:rPr>
          <w:rFonts w:ascii="Arial" w:hAnsi="Arial" w:cs="Arial"/>
        </w:rPr>
        <w:t xml:space="preserve">compared to formal (court-supervised) </w:t>
      </w:r>
      <w:r w:rsidR="00A91F5A">
        <w:rPr>
          <w:rFonts w:ascii="Arial" w:hAnsi="Arial" w:cs="Arial"/>
        </w:rPr>
        <w:t xml:space="preserve">procedures, because </w:t>
      </w:r>
      <w:r w:rsidR="00A91F5A">
        <w:rPr>
          <w:rFonts w:ascii="Arial" w:hAnsi="Arial" w:cs="Arial"/>
        </w:rPr>
        <w:lastRenderedPageBreak/>
        <w:t xml:space="preserve">of their </w:t>
      </w:r>
      <w:r w:rsidR="00B71C1D">
        <w:rPr>
          <w:rFonts w:ascii="Arial" w:hAnsi="Arial" w:cs="Arial"/>
        </w:rPr>
        <w:t xml:space="preserve">(i) </w:t>
      </w:r>
      <w:r w:rsidR="00A91F5A">
        <w:rPr>
          <w:rFonts w:ascii="Arial" w:hAnsi="Arial" w:cs="Arial"/>
        </w:rPr>
        <w:t xml:space="preserve">flexibility </w:t>
      </w:r>
      <w:r w:rsidR="005F6E30">
        <w:rPr>
          <w:rFonts w:ascii="Arial" w:hAnsi="Arial" w:cs="Arial"/>
        </w:rPr>
        <w:t>(</w:t>
      </w:r>
      <w:r w:rsidR="00B750B9">
        <w:rPr>
          <w:rFonts w:ascii="Arial" w:hAnsi="Arial" w:cs="Arial"/>
        </w:rPr>
        <w:t xml:space="preserve">ability to </w:t>
      </w:r>
      <w:r w:rsidR="0050058C">
        <w:rPr>
          <w:rFonts w:ascii="Arial" w:hAnsi="Arial" w:cs="Arial"/>
        </w:rPr>
        <w:t xml:space="preserve">reach a mutual agreement without strict statutory </w:t>
      </w:r>
      <w:r w:rsidR="00BC657B">
        <w:rPr>
          <w:rFonts w:ascii="Arial" w:hAnsi="Arial" w:cs="Arial"/>
        </w:rPr>
        <w:t xml:space="preserve">regulations on its content required </w:t>
      </w:r>
      <w:r w:rsidR="00973C3E">
        <w:rPr>
          <w:rFonts w:ascii="Arial" w:hAnsi="Arial" w:cs="Arial"/>
        </w:rPr>
        <w:t>by</w:t>
      </w:r>
      <w:r w:rsidR="00BC657B">
        <w:rPr>
          <w:rFonts w:ascii="Arial" w:hAnsi="Arial" w:cs="Arial"/>
        </w:rPr>
        <w:t xml:space="preserve"> many jurisdictions</w:t>
      </w:r>
      <w:r w:rsidR="00973C3E">
        <w:rPr>
          <w:rFonts w:ascii="Arial" w:hAnsi="Arial" w:cs="Arial"/>
        </w:rPr>
        <w:t>’</w:t>
      </w:r>
      <w:r w:rsidR="00BC657B">
        <w:rPr>
          <w:rFonts w:ascii="Arial" w:hAnsi="Arial" w:cs="Arial"/>
        </w:rPr>
        <w:t xml:space="preserve"> formal bankruptcy laws</w:t>
      </w:r>
      <w:r w:rsidR="00EB7F4F">
        <w:rPr>
          <w:rFonts w:ascii="Arial" w:hAnsi="Arial" w:cs="Arial"/>
        </w:rPr>
        <w:t xml:space="preserve">, </w:t>
      </w:r>
      <w:r w:rsidR="00EB7F4F" w:rsidRPr="00EB7F4F">
        <w:rPr>
          <w:rFonts w:ascii="Arial" w:hAnsi="Arial" w:cs="Arial"/>
        </w:rPr>
        <w:t xml:space="preserve">subject </w:t>
      </w:r>
      <w:r w:rsidR="00E96F56">
        <w:rPr>
          <w:rFonts w:ascii="Arial" w:hAnsi="Arial" w:cs="Arial"/>
        </w:rPr>
        <w:t xml:space="preserve">only </w:t>
      </w:r>
      <w:r w:rsidR="00EB7F4F" w:rsidRPr="00EB7F4F">
        <w:rPr>
          <w:rFonts w:ascii="Arial" w:hAnsi="Arial" w:cs="Arial"/>
        </w:rPr>
        <w:t xml:space="preserve">to the </w:t>
      </w:r>
      <w:r w:rsidR="00E96F56">
        <w:rPr>
          <w:rFonts w:ascii="Arial" w:hAnsi="Arial" w:cs="Arial"/>
        </w:rPr>
        <w:t>requirements</w:t>
      </w:r>
      <w:r w:rsidR="00EB7F4F" w:rsidRPr="00EB7F4F">
        <w:rPr>
          <w:rFonts w:ascii="Arial" w:hAnsi="Arial" w:cs="Arial"/>
        </w:rPr>
        <w:t xml:space="preserve"> of a valid contract under governing law, and applicable requirements of </w:t>
      </w:r>
      <w:r w:rsidR="008F1D74">
        <w:rPr>
          <w:rFonts w:ascii="Arial" w:hAnsi="Arial" w:cs="Arial"/>
        </w:rPr>
        <w:t>relevant</w:t>
      </w:r>
      <w:r w:rsidR="00EB7F4F" w:rsidRPr="00EB7F4F">
        <w:rPr>
          <w:rFonts w:ascii="Arial" w:hAnsi="Arial" w:cs="Arial"/>
        </w:rPr>
        <w:t xml:space="preserve"> laws governing the existing arrangements</w:t>
      </w:r>
      <w:r w:rsidR="00BC657B">
        <w:rPr>
          <w:rFonts w:ascii="Arial" w:hAnsi="Arial" w:cs="Arial"/>
        </w:rPr>
        <w:t>)</w:t>
      </w:r>
      <w:r w:rsidR="00B71C1D">
        <w:rPr>
          <w:rFonts w:ascii="Arial" w:hAnsi="Arial" w:cs="Arial"/>
        </w:rPr>
        <w:t xml:space="preserve">, (ii) confidentiality </w:t>
      </w:r>
      <w:r w:rsidR="00E91B81">
        <w:rPr>
          <w:rFonts w:ascii="Arial" w:hAnsi="Arial" w:cs="Arial"/>
        </w:rPr>
        <w:t>(as opposed to formal bankruptcy procedures which are public by definition</w:t>
      </w:r>
      <w:r w:rsidR="0066506D">
        <w:rPr>
          <w:rFonts w:ascii="Arial" w:hAnsi="Arial" w:cs="Arial"/>
        </w:rPr>
        <w:t xml:space="preserve"> and may lead to </w:t>
      </w:r>
      <w:r w:rsidR="00F76FAB">
        <w:rPr>
          <w:rFonts w:ascii="Arial" w:hAnsi="Arial" w:cs="Arial"/>
        </w:rPr>
        <w:t>clients and suppliers</w:t>
      </w:r>
      <w:r w:rsidR="0027053C">
        <w:rPr>
          <w:rFonts w:ascii="Arial" w:hAnsi="Arial" w:cs="Arial"/>
        </w:rPr>
        <w:t xml:space="preserve"> removing their trust in the distressed company</w:t>
      </w:r>
      <w:r w:rsidR="005A20D1">
        <w:rPr>
          <w:rFonts w:ascii="Arial" w:hAnsi="Arial" w:cs="Arial"/>
        </w:rPr>
        <w:t>, potentially resulting in reputational damage</w:t>
      </w:r>
      <w:r w:rsidR="001B324B">
        <w:rPr>
          <w:rFonts w:ascii="Arial" w:hAnsi="Arial" w:cs="Arial"/>
        </w:rPr>
        <w:t xml:space="preserve"> of the debtor and loss of value</w:t>
      </w:r>
      <w:r w:rsidR="0027053C">
        <w:rPr>
          <w:rFonts w:ascii="Arial" w:hAnsi="Arial" w:cs="Arial"/>
        </w:rPr>
        <w:t>)</w:t>
      </w:r>
      <w:r w:rsidR="007B3ADB">
        <w:rPr>
          <w:rFonts w:ascii="Arial" w:hAnsi="Arial" w:cs="Arial"/>
        </w:rPr>
        <w:t xml:space="preserve">, </w:t>
      </w:r>
      <w:r w:rsidR="00412221">
        <w:rPr>
          <w:rFonts w:ascii="Arial" w:hAnsi="Arial" w:cs="Arial"/>
        </w:rPr>
        <w:t xml:space="preserve">and </w:t>
      </w:r>
      <w:r w:rsidR="007B3ADB">
        <w:rPr>
          <w:rFonts w:ascii="Arial" w:hAnsi="Arial" w:cs="Arial"/>
        </w:rPr>
        <w:t xml:space="preserve">(iii) management and governing stakeholders </w:t>
      </w:r>
      <w:r w:rsidR="00514406">
        <w:rPr>
          <w:rFonts w:ascii="Arial" w:hAnsi="Arial" w:cs="Arial"/>
        </w:rPr>
        <w:t xml:space="preserve">retain control of the restructuring process (as opposed to judges and trustees who supervise and manage the process in </w:t>
      </w:r>
      <w:r w:rsidR="00412221">
        <w:rPr>
          <w:rFonts w:ascii="Arial" w:hAnsi="Arial" w:cs="Arial"/>
        </w:rPr>
        <w:t>formal proceedings).</w:t>
      </w:r>
      <w:r w:rsidR="00973C3E">
        <w:rPr>
          <w:rFonts w:ascii="Arial" w:hAnsi="Arial" w:cs="Arial"/>
        </w:rPr>
        <w:t xml:space="preserve"> </w:t>
      </w:r>
    </w:p>
    <w:p w14:paraId="5B3C52C5" w14:textId="7F74E39D" w:rsidR="009B602A" w:rsidRDefault="00387E2A" w:rsidP="00943302">
      <w:pPr>
        <w:jc w:val="both"/>
        <w:rPr>
          <w:rFonts w:ascii="Arial" w:hAnsi="Arial" w:cs="Arial"/>
        </w:rPr>
      </w:pPr>
      <w:r>
        <w:rPr>
          <w:rFonts w:ascii="Arial" w:hAnsi="Arial" w:cs="Arial"/>
        </w:rPr>
        <w:t>In addition to the</w:t>
      </w:r>
      <w:r w:rsidR="00681F9B">
        <w:rPr>
          <w:rFonts w:ascii="Arial" w:hAnsi="Arial" w:cs="Arial"/>
        </w:rPr>
        <w:t>se</w:t>
      </w:r>
      <w:r>
        <w:rPr>
          <w:rFonts w:ascii="Arial" w:hAnsi="Arial" w:cs="Arial"/>
        </w:rPr>
        <w:t xml:space="preserve"> three </w:t>
      </w:r>
      <w:r w:rsidR="00670980">
        <w:rPr>
          <w:rFonts w:ascii="Arial" w:hAnsi="Arial" w:cs="Arial"/>
        </w:rPr>
        <w:t xml:space="preserve">main advantages, other important benefits of </w:t>
      </w:r>
      <w:r w:rsidR="00943302">
        <w:rPr>
          <w:rFonts w:ascii="Arial" w:hAnsi="Arial" w:cs="Arial"/>
        </w:rPr>
        <w:t>workouts are</w:t>
      </w:r>
      <w:r w:rsidR="009B602A">
        <w:rPr>
          <w:rFonts w:ascii="Arial" w:hAnsi="Arial" w:cs="Arial"/>
        </w:rPr>
        <w:t>:</w:t>
      </w:r>
    </w:p>
    <w:p w14:paraId="3EC425A6" w14:textId="7103AD40" w:rsidR="00943302" w:rsidRDefault="009B602A" w:rsidP="009B602A">
      <w:pPr>
        <w:pStyle w:val="ListParagraph"/>
        <w:numPr>
          <w:ilvl w:val="0"/>
          <w:numId w:val="11"/>
        </w:numPr>
        <w:jc w:val="both"/>
        <w:rPr>
          <w:rFonts w:ascii="Arial" w:hAnsi="Arial" w:cs="Arial"/>
        </w:rPr>
      </w:pPr>
      <w:r>
        <w:rPr>
          <w:rFonts w:ascii="Arial" w:hAnsi="Arial" w:cs="Arial"/>
        </w:rPr>
        <w:t xml:space="preserve">Speed: the workout process is flexible and </w:t>
      </w:r>
      <w:r w:rsidR="006E7781">
        <w:rPr>
          <w:rFonts w:ascii="Arial" w:hAnsi="Arial" w:cs="Arial"/>
        </w:rPr>
        <w:t xml:space="preserve">does not have to follow </w:t>
      </w:r>
      <w:r w:rsidR="004912A4">
        <w:rPr>
          <w:rFonts w:ascii="Arial" w:hAnsi="Arial" w:cs="Arial"/>
        </w:rPr>
        <w:t xml:space="preserve">legally prescribed </w:t>
      </w:r>
      <w:r w:rsidR="006E7781">
        <w:rPr>
          <w:rFonts w:ascii="Arial" w:hAnsi="Arial" w:cs="Arial"/>
        </w:rPr>
        <w:t xml:space="preserve">timeframes and often bureaucratic steps </w:t>
      </w:r>
      <w:r w:rsidR="004912A4">
        <w:rPr>
          <w:rFonts w:ascii="Arial" w:hAnsi="Arial" w:cs="Arial"/>
        </w:rPr>
        <w:t xml:space="preserve">mandated by bankruptcy </w:t>
      </w:r>
      <w:r w:rsidR="001B324B">
        <w:rPr>
          <w:rFonts w:ascii="Arial" w:hAnsi="Arial" w:cs="Arial"/>
        </w:rPr>
        <w:t>laws, therefore</w:t>
      </w:r>
      <w:r w:rsidR="00CF6277">
        <w:rPr>
          <w:rFonts w:ascii="Arial" w:hAnsi="Arial" w:cs="Arial"/>
        </w:rPr>
        <w:t xml:space="preserve"> it</w:t>
      </w:r>
      <w:r w:rsidR="00943302" w:rsidRPr="009B602A">
        <w:rPr>
          <w:rFonts w:ascii="Arial" w:hAnsi="Arial" w:cs="Arial"/>
        </w:rPr>
        <w:t xml:space="preserve"> can be highly efficient. </w:t>
      </w:r>
    </w:p>
    <w:p w14:paraId="05E51F62" w14:textId="70AD1494" w:rsidR="00943302" w:rsidRDefault="00CF6277" w:rsidP="00BF41CA">
      <w:pPr>
        <w:pStyle w:val="ListParagraph"/>
        <w:numPr>
          <w:ilvl w:val="0"/>
          <w:numId w:val="11"/>
        </w:numPr>
        <w:jc w:val="both"/>
        <w:rPr>
          <w:rFonts w:ascii="Arial" w:hAnsi="Arial" w:cs="Arial"/>
        </w:rPr>
      </w:pPr>
      <w:r>
        <w:rPr>
          <w:rFonts w:ascii="Arial" w:hAnsi="Arial" w:cs="Arial"/>
        </w:rPr>
        <w:t>Cost</w:t>
      </w:r>
      <w:r w:rsidR="00BF41CA">
        <w:rPr>
          <w:rFonts w:ascii="Arial" w:hAnsi="Arial" w:cs="Arial"/>
        </w:rPr>
        <w:t xml:space="preserve">-effectiveness: </w:t>
      </w:r>
      <w:r w:rsidR="00943302" w:rsidRPr="00943302">
        <w:rPr>
          <w:rFonts w:ascii="Arial" w:hAnsi="Arial" w:cs="Arial"/>
        </w:rPr>
        <w:t>expense</w:t>
      </w:r>
      <w:r w:rsidR="00BF41CA">
        <w:rPr>
          <w:rFonts w:ascii="Arial" w:hAnsi="Arial" w:cs="Arial"/>
        </w:rPr>
        <w:t>s</w:t>
      </w:r>
      <w:r w:rsidR="00943302" w:rsidRPr="00943302">
        <w:rPr>
          <w:rFonts w:ascii="Arial" w:hAnsi="Arial" w:cs="Arial"/>
        </w:rPr>
        <w:t xml:space="preserve"> associated with court filings and attending court hearings can be avoided. </w:t>
      </w:r>
    </w:p>
    <w:p w14:paraId="732BB139" w14:textId="3E28F029" w:rsidR="00574BD6" w:rsidRDefault="00EE2750" w:rsidP="00BF41CA">
      <w:pPr>
        <w:pStyle w:val="ListParagraph"/>
        <w:numPr>
          <w:ilvl w:val="0"/>
          <w:numId w:val="11"/>
        </w:numPr>
        <w:jc w:val="both"/>
        <w:rPr>
          <w:rFonts w:ascii="Arial" w:hAnsi="Arial" w:cs="Arial"/>
        </w:rPr>
      </w:pPr>
      <w:r>
        <w:rPr>
          <w:rFonts w:ascii="Arial" w:hAnsi="Arial" w:cs="Arial"/>
        </w:rPr>
        <w:t xml:space="preserve">Consistent with cultural preferences: </w:t>
      </w:r>
      <w:r w:rsidR="00E71693">
        <w:rPr>
          <w:rFonts w:ascii="Arial" w:hAnsi="Arial" w:cs="Arial"/>
        </w:rPr>
        <w:t xml:space="preserve">since they are privately negotiated, workouts may be an </w:t>
      </w:r>
      <w:r w:rsidRPr="00EE2750">
        <w:rPr>
          <w:rFonts w:ascii="Arial" w:hAnsi="Arial" w:cs="Arial"/>
        </w:rPr>
        <w:t xml:space="preserve">attractive </w:t>
      </w:r>
      <w:r w:rsidR="00E71693">
        <w:rPr>
          <w:rFonts w:ascii="Arial" w:hAnsi="Arial" w:cs="Arial"/>
        </w:rPr>
        <w:t>option</w:t>
      </w:r>
      <w:r w:rsidR="00DC6B4A">
        <w:rPr>
          <w:rFonts w:ascii="Arial" w:hAnsi="Arial" w:cs="Arial"/>
        </w:rPr>
        <w:t xml:space="preserve"> as </w:t>
      </w:r>
      <w:r w:rsidRPr="00EE2750">
        <w:rPr>
          <w:rFonts w:ascii="Arial" w:hAnsi="Arial" w:cs="Arial"/>
        </w:rPr>
        <w:t>courts</w:t>
      </w:r>
      <w:r w:rsidR="00DC6B4A">
        <w:rPr>
          <w:rFonts w:ascii="Arial" w:hAnsi="Arial" w:cs="Arial"/>
        </w:rPr>
        <w:t xml:space="preserve"> are not </w:t>
      </w:r>
      <w:r w:rsidR="00DA7A84">
        <w:rPr>
          <w:rFonts w:ascii="Arial" w:hAnsi="Arial" w:cs="Arial"/>
        </w:rPr>
        <w:t>involved and</w:t>
      </w:r>
      <w:r w:rsidRPr="00EE2750">
        <w:rPr>
          <w:rFonts w:ascii="Arial" w:hAnsi="Arial" w:cs="Arial"/>
        </w:rPr>
        <w:t xml:space="preserve"> might be more in line with a cultural preference for consensual dispute resolution</w:t>
      </w:r>
      <w:r w:rsidR="00DC6B4A">
        <w:rPr>
          <w:rFonts w:ascii="Arial" w:hAnsi="Arial" w:cs="Arial"/>
        </w:rPr>
        <w:t>.</w:t>
      </w:r>
    </w:p>
    <w:p w14:paraId="2EE304B1" w14:textId="6C1398E0" w:rsidR="001B324B" w:rsidRDefault="00140103" w:rsidP="001B324B">
      <w:pPr>
        <w:jc w:val="both"/>
        <w:rPr>
          <w:rFonts w:ascii="Arial" w:hAnsi="Arial" w:cs="Arial"/>
        </w:rPr>
      </w:pPr>
      <w:r>
        <w:rPr>
          <w:rFonts w:ascii="Arial" w:hAnsi="Arial" w:cs="Arial"/>
        </w:rPr>
        <w:t xml:space="preserve">As discussed in the </w:t>
      </w:r>
      <w:r w:rsidR="00681F9B" w:rsidRPr="00681F9B">
        <w:rPr>
          <w:rFonts w:ascii="Arial" w:hAnsi="Arial" w:cs="Arial"/>
        </w:rPr>
        <w:t>2006 Adriannse &amp; Kujil paper</w:t>
      </w:r>
      <w:r w:rsidR="00681F9B">
        <w:rPr>
          <w:rFonts w:ascii="Arial" w:hAnsi="Arial" w:cs="Arial"/>
        </w:rPr>
        <w:t xml:space="preserve">, </w:t>
      </w:r>
      <w:r w:rsidR="00392775">
        <w:rPr>
          <w:rFonts w:ascii="Arial" w:hAnsi="Arial" w:cs="Arial"/>
        </w:rPr>
        <w:t xml:space="preserve">there are also </w:t>
      </w:r>
      <w:r w:rsidR="006B71AD">
        <w:rPr>
          <w:rFonts w:ascii="Arial" w:hAnsi="Arial" w:cs="Arial"/>
        </w:rPr>
        <w:t xml:space="preserve">potential </w:t>
      </w:r>
      <w:r w:rsidR="005A671F">
        <w:rPr>
          <w:rFonts w:ascii="Arial" w:hAnsi="Arial" w:cs="Arial"/>
        </w:rPr>
        <w:t>problems with workouts</w:t>
      </w:r>
      <w:r w:rsidR="00392775">
        <w:rPr>
          <w:rFonts w:ascii="Arial" w:hAnsi="Arial" w:cs="Arial"/>
        </w:rPr>
        <w:t xml:space="preserve">, namely </w:t>
      </w:r>
      <w:r w:rsidR="005A671F">
        <w:rPr>
          <w:rFonts w:ascii="Arial" w:hAnsi="Arial" w:cs="Arial"/>
        </w:rPr>
        <w:t xml:space="preserve">(i) passive attitude by management and </w:t>
      </w:r>
      <w:r w:rsidR="00704586">
        <w:rPr>
          <w:rFonts w:ascii="Arial" w:hAnsi="Arial" w:cs="Arial"/>
        </w:rPr>
        <w:t xml:space="preserve">shareholders leading to </w:t>
      </w:r>
      <w:r w:rsidR="004F6E52">
        <w:rPr>
          <w:rFonts w:ascii="Arial" w:hAnsi="Arial" w:cs="Arial"/>
        </w:rPr>
        <w:t xml:space="preserve">an </w:t>
      </w:r>
      <w:r w:rsidR="00501888">
        <w:rPr>
          <w:rFonts w:ascii="Arial" w:hAnsi="Arial" w:cs="Arial"/>
        </w:rPr>
        <w:t xml:space="preserve">unsuccessful process; (ii) lack of sufficient </w:t>
      </w:r>
      <w:r w:rsidR="000302C6">
        <w:rPr>
          <w:rFonts w:ascii="Arial" w:hAnsi="Arial" w:cs="Arial"/>
        </w:rPr>
        <w:t>information into the actual financial situation of the company, as provided by the management</w:t>
      </w:r>
      <w:r w:rsidR="0088359F">
        <w:rPr>
          <w:rFonts w:ascii="Arial" w:hAnsi="Arial" w:cs="Arial"/>
        </w:rPr>
        <w:t xml:space="preserve"> and/or </w:t>
      </w:r>
      <w:r w:rsidR="00867E3B">
        <w:rPr>
          <w:rFonts w:ascii="Arial" w:hAnsi="Arial" w:cs="Arial"/>
        </w:rPr>
        <w:t>informational asymmetry vis-à-vis different creditors</w:t>
      </w:r>
      <w:r w:rsidR="000302C6">
        <w:rPr>
          <w:rFonts w:ascii="Arial" w:hAnsi="Arial" w:cs="Arial"/>
        </w:rPr>
        <w:t xml:space="preserve">; (iii) </w:t>
      </w:r>
      <w:r w:rsidR="00560A5F">
        <w:rPr>
          <w:rFonts w:ascii="Arial" w:hAnsi="Arial" w:cs="Arial"/>
        </w:rPr>
        <w:t xml:space="preserve">inability to find timely risk-bearing capital. </w:t>
      </w:r>
      <w:r w:rsidR="00394E77">
        <w:rPr>
          <w:rFonts w:ascii="Arial" w:hAnsi="Arial" w:cs="Arial"/>
        </w:rPr>
        <w:t xml:space="preserve">These are all practical challenges which may result in an unsuccessful workout, but other </w:t>
      </w:r>
      <w:r w:rsidR="00E06FE3">
        <w:rPr>
          <w:rFonts w:ascii="Arial" w:hAnsi="Arial" w:cs="Arial"/>
        </w:rPr>
        <w:t>disadvantages of the process, depending on the jurisdiction where it takes place, may be:</w:t>
      </w:r>
    </w:p>
    <w:p w14:paraId="753279C5" w14:textId="77777777" w:rsidR="00764594" w:rsidRPr="00764594" w:rsidRDefault="00F24E87" w:rsidP="00764594">
      <w:pPr>
        <w:numPr>
          <w:ilvl w:val="0"/>
          <w:numId w:val="13"/>
        </w:numPr>
        <w:jc w:val="both"/>
        <w:rPr>
          <w:rFonts w:ascii="Arial" w:hAnsi="Arial" w:cs="Arial"/>
        </w:rPr>
      </w:pPr>
      <w:r w:rsidRPr="00F24E87">
        <w:rPr>
          <w:rFonts w:ascii="Arial" w:hAnsi="Arial" w:cs="Arial"/>
          <w:iCs/>
        </w:rPr>
        <w:t>Risk of</w:t>
      </w:r>
      <w:r w:rsidR="001955FB">
        <w:rPr>
          <w:rFonts w:ascii="Arial" w:hAnsi="Arial" w:cs="Arial"/>
          <w:iCs/>
        </w:rPr>
        <w:t xml:space="preserve"> a creditor or shareholder “holdout”: </w:t>
      </w:r>
      <w:r w:rsidR="00702194">
        <w:rPr>
          <w:rFonts w:ascii="Arial" w:hAnsi="Arial" w:cs="Arial"/>
          <w:iCs/>
        </w:rPr>
        <w:t xml:space="preserve">workouts are contractual in nature and therefore only binding on the parties who sign </w:t>
      </w:r>
      <w:r w:rsidR="00B50160">
        <w:rPr>
          <w:rFonts w:ascii="Arial" w:hAnsi="Arial" w:cs="Arial"/>
          <w:iCs/>
        </w:rPr>
        <w:t>o</w:t>
      </w:r>
      <w:r w:rsidR="00702194">
        <w:rPr>
          <w:rFonts w:ascii="Arial" w:hAnsi="Arial" w:cs="Arial"/>
          <w:iCs/>
        </w:rPr>
        <w:t>n</w:t>
      </w:r>
      <w:r w:rsidR="00977395">
        <w:rPr>
          <w:rFonts w:ascii="Arial" w:hAnsi="Arial" w:cs="Arial"/>
          <w:iCs/>
        </w:rPr>
        <w:t xml:space="preserve"> </w:t>
      </w:r>
      <w:r w:rsidR="00702194">
        <w:rPr>
          <w:rFonts w:ascii="Arial" w:hAnsi="Arial" w:cs="Arial"/>
          <w:iCs/>
        </w:rPr>
        <w:t xml:space="preserve">to them. </w:t>
      </w:r>
    </w:p>
    <w:p w14:paraId="21D0F39D" w14:textId="6930648D" w:rsidR="00AC6BF9" w:rsidRPr="00AC6BF9" w:rsidRDefault="00164F9B" w:rsidP="00764594">
      <w:pPr>
        <w:numPr>
          <w:ilvl w:val="0"/>
          <w:numId w:val="13"/>
        </w:numPr>
        <w:jc w:val="both"/>
        <w:rPr>
          <w:rFonts w:ascii="Arial" w:hAnsi="Arial" w:cs="Arial"/>
        </w:rPr>
      </w:pPr>
      <w:r>
        <w:rPr>
          <w:rFonts w:ascii="Arial" w:hAnsi="Arial" w:cs="Arial"/>
          <w:iCs/>
        </w:rPr>
        <w:t xml:space="preserve">Risk of </w:t>
      </w:r>
      <w:r w:rsidR="00D218E4">
        <w:rPr>
          <w:rFonts w:ascii="Arial" w:hAnsi="Arial" w:cs="Arial"/>
          <w:iCs/>
        </w:rPr>
        <w:t>disagreements among c</w:t>
      </w:r>
      <w:r w:rsidRPr="00164F9B">
        <w:rPr>
          <w:rFonts w:ascii="Arial" w:hAnsi="Arial" w:cs="Arial"/>
          <w:iCs/>
        </w:rPr>
        <w:t>reditor</w:t>
      </w:r>
      <w:r w:rsidR="00D218E4">
        <w:rPr>
          <w:rFonts w:ascii="Arial" w:hAnsi="Arial" w:cs="Arial"/>
          <w:iCs/>
        </w:rPr>
        <w:t>s</w:t>
      </w:r>
      <w:r w:rsidR="002D5502">
        <w:rPr>
          <w:rFonts w:ascii="Arial" w:hAnsi="Arial" w:cs="Arial"/>
          <w:i/>
        </w:rPr>
        <w:t xml:space="preserve"> </w:t>
      </w:r>
      <w:r w:rsidR="00D218E4">
        <w:rPr>
          <w:rFonts w:ascii="Arial" w:hAnsi="Arial" w:cs="Arial"/>
        </w:rPr>
        <w:t>to voluntarily subscribe to the workout</w:t>
      </w:r>
      <w:r w:rsidR="002D5502">
        <w:rPr>
          <w:rFonts w:ascii="Arial" w:hAnsi="Arial" w:cs="Arial"/>
        </w:rPr>
        <w:t xml:space="preserve"> </w:t>
      </w:r>
      <w:r w:rsidR="002867F5">
        <w:rPr>
          <w:rFonts w:ascii="Arial" w:hAnsi="Arial" w:cs="Arial"/>
        </w:rPr>
        <w:t xml:space="preserve">or to </w:t>
      </w:r>
      <w:r w:rsidR="009E6779">
        <w:rPr>
          <w:rFonts w:ascii="Arial" w:hAnsi="Arial" w:cs="Arial"/>
        </w:rPr>
        <w:t xml:space="preserve">agree on a standstill </w:t>
      </w:r>
      <w:r w:rsidR="002D5502">
        <w:rPr>
          <w:rFonts w:ascii="Arial" w:hAnsi="Arial" w:cs="Arial"/>
        </w:rPr>
        <w:t xml:space="preserve">(in the </w:t>
      </w:r>
      <w:r w:rsidR="001E44BA">
        <w:rPr>
          <w:rFonts w:ascii="Arial" w:hAnsi="Arial" w:cs="Arial"/>
        </w:rPr>
        <w:t>Flow Management case, there is a strong risk that banks C and D will frustrate the process).</w:t>
      </w:r>
      <w:r w:rsidR="009E6779">
        <w:rPr>
          <w:rFonts w:ascii="Arial" w:hAnsi="Arial" w:cs="Arial"/>
        </w:rPr>
        <w:t xml:space="preserve"> Unlike formal </w:t>
      </w:r>
      <w:r w:rsidR="0049788D">
        <w:rPr>
          <w:rFonts w:ascii="Arial" w:hAnsi="Arial" w:cs="Arial"/>
        </w:rPr>
        <w:t xml:space="preserve">reorganizations which provide for an automatic standstill in many jurisdictions, workouts </w:t>
      </w:r>
      <w:r w:rsidR="00EC5878">
        <w:rPr>
          <w:rFonts w:ascii="Arial" w:hAnsi="Arial" w:cs="Arial"/>
        </w:rPr>
        <w:t xml:space="preserve">are dependent on creditors agreeing to abide by a standstill. </w:t>
      </w:r>
    </w:p>
    <w:p w14:paraId="7516535D" w14:textId="445B5AD3" w:rsidR="00AC6BF9" w:rsidRPr="00AC6BF9" w:rsidRDefault="0024401D" w:rsidP="00AC6BF9">
      <w:pPr>
        <w:numPr>
          <w:ilvl w:val="0"/>
          <w:numId w:val="12"/>
        </w:numPr>
        <w:jc w:val="both"/>
        <w:rPr>
          <w:rFonts w:ascii="Arial" w:hAnsi="Arial" w:cs="Arial"/>
        </w:rPr>
      </w:pPr>
      <w:r w:rsidRPr="00CE22A2">
        <w:rPr>
          <w:rFonts w:ascii="Arial" w:hAnsi="Arial" w:cs="Arial"/>
          <w:iCs/>
        </w:rPr>
        <w:t>Probl</w:t>
      </w:r>
      <w:r w:rsidR="00CE22A2" w:rsidRPr="00CE22A2">
        <w:rPr>
          <w:rFonts w:ascii="Arial" w:hAnsi="Arial" w:cs="Arial"/>
          <w:iCs/>
        </w:rPr>
        <w:t>ems with coordination among creditors:</w:t>
      </w:r>
      <w:r w:rsidR="00CE22A2">
        <w:rPr>
          <w:rFonts w:ascii="Arial" w:hAnsi="Arial" w:cs="Arial"/>
          <w:iCs/>
        </w:rPr>
        <w:t xml:space="preserve"> since no court or an authority is involved, </w:t>
      </w:r>
      <w:r w:rsidR="008102ED">
        <w:rPr>
          <w:rFonts w:ascii="Arial" w:hAnsi="Arial" w:cs="Arial"/>
          <w:iCs/>
        </w:rPr>
        <w:t xml:space="preserve">coordination may be challenging, unless the creditors appoint a </w:t>
      </w:r>
      <w:r w:rsidR="00543355">
        <w:rPr>
          <w:rFonts w:ascii="Arial" w:hAnsi="Arial" w:cs="Arial"/>
          <w:iCs/>
        </w:rPr>
        <w:t xml:space="preserve">leading coordinator to facilitate negotiations. </w:t>
      </w:r>
      <w:r w:rsidR="00CE22A2">
        <w:rPr>
          <w:rFonts w:ascii="Arial" w:hAnsi="Arial" w:cs="Arial"/>
          <w:i/>
        </w:rPr>
        <w:t xml:space="preserve"> </w:t>
      </w:r>
    </w:p>
    <w:p w14:paraId="02266EBE" w14:textId="72D250C9" w:rsidR="00AC6BF9" w:rsidRDefault="002B0121" w:rsidP="00AC6BF9">
      <w:pPr>
        <w:numPr>
          <w:ilvl w:val="0"/>
          <w:numId w:val="12"/>
        </w:numPr>
        <w:jc w:val="both"/>
        <w:rPr>
          <w:rFonts w:ascii="Arial" w:hAnsi="Arial" w:cs="Arial"/>
        </w:rPr>
      </w:pPr>
      <w:r>
        <w:rPr>
          <w:rFonts w:ascii="Arial" w:hAnsi="Arial" w:cs="Arial"/>
        </w:rPr>
        <w:t>P</w:t>
      </w:r>
      <w:r w:rsidR="00AC6BF9" w:rsidRPr="00AC6BF9">
        <w:rPr>
          <w:rFonts w:ascii="Arial" w:hAnsi="Arial" w:cs="Arial"/>
        </w:rPr>
        <w:t xml:space="preserve">rovisions on the avoidance or reversal of transactions </w:t>
      </w:r>
      <w:r w:rsidR="0033714C">
        <w:rPr>
          <w:rFonts w:ascii="Arial" w:hAnsi="Arial" w:cs="Arial"/>
        </w:rPr>
        <w:t>in the formal bankruptcy law may nullify</w:t>
      </w:r>
      <w:r w:rsidR="00AC6BF9" w:rsidRPr="00AC6BF9">
        <w:rPr>
          <w:rFonts w:ascii="Arial" w:hAnsi="Arial" w:cs="Arial"/>
        </w:rPr>
        <w:t xml:space="preserve"> agreements </w:t>
      </w:r>
      <w:r w:rsidR="00BF3384">
        <w:rPr>
          <w:rFonts w:ascii="Arial" w:hAnsi="Arial" w:cs="Arial"/>
        </w:rPr>
        <w:t xml:space="preserve">as part of a workout </w:t>
      </w:r>
      <w:r w:rsidR="00AC6BF9" w:rsidRPr="00AC6BF9">
        <w:rPr>
          <w:rFonts w:ascii="Arial" w:hAnsi="Arial" w:cs="Arial"/>
        </w:rPr>
        <w:t xml:space="preserve">that involve the creation of additional security or preferences, while the </w:t>
      </w:r>
      <w:r w:rsidR="00C53D12">
        <w:rPr>
          <w:rFonts w:ascii="Arial" w:hAnsi="Arial" w:cs="Arial"/>
        </w:rPr>
        <w:t>company</w:t>
      </w:r>
      <w:r w:rsidR="00AC6BF9" w:rsidRPr="00AC6BF9">
        <w:rPr>
          <w:rFonts w:ascii="Arial" w:hAnsi="Arial" w:cs="Arial"/>
        </w:rPr>
        <w:t xml:space="preserve"> is on the verge of insolvency</w:t>
      </w:r>
      <w:r w:rsidR="00A0253E">
        <w:rPr>
          <w:rFonts w:ascii="Arial" w:hAnsi="Arial" w:cs="Arial"/>
        </w:rPr>
        <w:t xml:space="preserve"> (</w:t>
      </w:r>
      <w:r w:rsidR="00BF3384">
        <w:rPr>
          <w:rFonts w:ascii="Arial" w:hAnsi="Arial" w:cs="Arial"/>
        </w:rPr>
        <w:t>e.g.,</w:t>
      </w:r>
      <w:r w:rsidR="00A0253E">
        <w:rPr>
          <w:rFonts w:ascii="Arial" w:hAnsi="Arial" w:cs="Arial"/>
        </w:rPr>
        <w:t xml:space="preserve"> agreements granting </w:t>
      </w:r>
      <w:r w:rsidR="001E2CF4">
        <w:rPr>
          <w:rFonts w:ascii="Arial" w:hAnsi="Arial" w:cs="Arial"/>
        </w:rPr>
        <w:t>super priority</w:t>
      </w:r>
      <w:r w:rsidR="00A0253E">
        <w:rPr>
          <w:rFonts w:ascii="Arial" w:hAnsi="Arial" w:cs="Arial"/>
        </w:rPr>
        <w:t xml:space="preserve"> of </w:t>
      </w:r>
      <w:r w:rsidR="001E2CF4">
        <w:rPr>
          <w:rFonts w:ascii="Arial" w:hAnsi="Arial" w:cs="Arial"/>
        </w:rPr>
        <w:t>new financing)</w:t>
      </w:r>
      <w:r w:rsidR="00AC6BF9" w:rsidRPr="00AC6BF9">
        <w:rPr>
          <w:rFonts w:ascii="Arial" w:hAnsi="Arial" w:cs="Arial"/>
        </w:rPr>
        <w:t xml:space="preserve">. </w:t>
      </w:r>
    </w:p>
    <w:p w14:paraId="2F96867E" w14:textId="348C9285" w:rsidR="00187ED9" w:rsidRDefault="004019D9" w:rsidP="00AC6BF9">
      <w:pPr>
        <w:numPr>
          <w:ilvl w:val="0"/>
          <w:numId w:val="12"/>
        </w:numPr>
        <w:jc w:val="both"/>
        <w:rPr>
          <w:rFonts w:ascii="Arial" w:hAnsi="Arial" w:cs="Arial"/>
        </w:rPr>
      </w:pPr>
      <w:r>
        <w:rPr>
          <w:rFonts w:ascii="Arial" w:hAnsi="Arial" w:cs="Arial"/>
        </w:rPr>
        <w:lastRenderedPageBreak/>
        <w:t>Potential l</w:t>
      </w:r>
      <w:r w:rsidR="00187ED9">
        <w:rPr>
          <w:rFonts w:ascii="Arial" w:hAnsi="Arial" w:cs="Arial"/>
        </w:rPr>
        <w:t xml:space="preserve">ack of consequences for directors and managers, who may have </w:t>
      </w:r>
      <w:r w:rsidR="000919B0">
        <w:rPr>
          <w:rFonts w:ascii="Arial" w:hAnsi="Arial" w:cs="Arial"/>
        </w:rPr>
        <w:t>been found liable for the financial distress of the company in a formal bankruptcy procedure.</w:t>
      </w:r>
    </w:p>
    <w:p w14:paraId="2A737777" w14:textId="491D6E07" w:rsidR="00CD53A6" w:rsidRPr="00AC6BF9" w:rsidRDefault="00942C6C" w:rsidP="00AC6BF9">
      <w:pPr>
        <w:numPr>
          <w:ilvl w:val="0"/>
          <w:numId w:val="12"/>
        </w:numPr>
        <w:jc w:val="both"/>
        <w:rPr>
          <w:rFonts w:ascii="Arial" w:hAnsi="Arial" w:cs="Arial"/>
        </w:rPr>
      </w:pPr>
      <w:r>
        <w:rPr>
          <w:rFonts w:ascii="Arial" w:hAnsi="Arial" w:cs="Arial"/>
        </w:rPr>
        <w:t xml:space="preserve">Requirement of “workout culture” </w:t>
      </w:r>
      <w:r w:rsidR="00B376BB">
        <w:rPr>
          <w:rFonts w:ascii="Arial" w:hAnsi="Arial" w:cs="Arial"/>
        </w:rPr>
        <w:t>among creditors, which may not be present in the jurisdiction.</w:t>
      </w:r>
    </w:p>
    <w:p w14:paraId="6423C2CE" w14:textId="7C27BC07" w:rsidR="00E06FE3" w:rsidRDefault="00751F57" w:rsidP="001B324B">
      <w:pPr>
        <w:jc w:val="both"/>
        <w:rPr>
          <w:rFonts w:ascii="Arial" w:hAnsi="Arial" w:cs="Arial"/>
          <w:iCs/>
        </w:rPr>
      </w:pPr>
      <w:r>
        <w:rPr>
          <w:rFonts w:ascii="Arial" w:hAnsi="Arial" w:cs="Arial"/>
          <w:iCs/>
        </w:rPr>
        <w:t xml:space="preserve">The benefits of informal workouts outweigh the potential </w:t>
      </w:r>
      <w:r w:rsidR="00734F80">
        <w:rPr>
          <w:rFonts w:ascii="Arial" w:hAnsi="Arial" w:cs="Arial"/>
          <w:iCs/>
        </w:rPr>
        <w:t>disadvantages,</w:t>
      </w:r>
      <w:r>
        <w:rPr>
          <w:rFonts w:ascii="Arial" w:hAnsi="Arial" w:cs="Arial"/>
          <w:iCs/>
        </w:rPr>
        <w:t xml:space="preserve"> </w:t>
      </w:r>
      <w:r w:rsidR="002C7B7C">
        <w:rPr>
          <w:rFonts w:ascii="Arial" w:hAnsi="Arial" w:cs="Arial"/>
          <w:iCs/>
        </w:rPr>
        <w:t xml:space="preserve">and they are recognized by the World Bank, the international standard-setter in the area of insolvency and creditor/debtor rights regimes, as </w:t>
      </w:r>
      <w:r w:rsidR="0042717A">
        <w:rPr>
          <w:rFonts w:ascii="Arial" w:hAnsi="Arial" w:cs="Arial"/>
          <w:iCs/>
        </w:rPr>
        <w:t xml:space="preserve">a core feature of a country’s </w:t>
      </w:r>
      <w:r w:rsidR="005F7C92">
        <w:rPr>
          <w:rFonts w:ascii="Arial" w:hAnsi="Arial" w:cs="Arial"/>
          <w:iCs/>
        </w:rPr>
        <w:t xml:space="preserve">restructuring framework. </w:t>
      </w:r>
      <w:r w:rsidR="00734F80" w:rsidRPr="00734F80">
        <w:rPr>
          <w:rFonts w:ascii="Arial" w:hAnsi="Arial" w:cs="Arial"/>
          <w:iCs/>
        </w:rPr>
        <w:t xml:space="preserve">WB-ICR Principle B5 recommends the development of a code of conduct on a voluntary procedure for dealing with cases of corporate financial difficulty in which financial institutions have a significant </w:t>
      </w:r>
      <w:r w:rsidR="00623086" w:rsidRPr="00734F80">
        <w:rPr>
          <w:rFonts w:ascii="Arial" w:hAnsi="Arial" w:cs="Arial"/>
          <w:iCs/>
        </w:rPr>
        <w:t>exposure</w:t>
      </w:r>
      <w:r w:rsidR="00623086">
        <w:rPr>
          <w:rFonts w:ascii="Arial" w:hAnsi="Arial" w:cs="Arial"/>
          <w:iCs/>
        </w:rPr>
        <w:t xml:space="preserve"> and</w:t>
      </w:r>
      <w:r w:rsidR="00FE4629">
        <w:rPr>
          <w:rFonts w:ascii="Arial" w:hAnsi="Arial" w:cs="Arial"/>
          <w:iCs/>
        </w:rPr>
        <w:t xml:space="preserve"> </w:t>
      </w:r>
      <w:r w:rsidR="001F4710" w:rsidRPr="001F4710">
        <w:rPr>
          <w:rFonts w:ascii="Arial" w:hAnsi="Arial" w:cs="Arial"/>
          <w:iCs/>
        </w:rPr>
        <w:t>may take the form of guidelines for OCWs</w:t>
      </w:r>
      <w:r w:rsidR="00FE4629">
        <w:rPr>
          <w:rFonts w:ascii="Arial" w:hAnsi="Arial" w:cs="Arial"/>
          <w:iCs/>
        </w:rPr>
        <w:t>.</w:t>
      </w:r>
      <w:r w:rsidR="00FE4629">
        <w:rPr>
          <w:rStyle w:val="FootnoteReference"/>
          <w:rFonts w:ascii="Arial" w:hAnsi="Arial" w:cs="Arial"/>
          <w:iCs/>
        </w:rPr>
        <w:footnoteReference w:id="5"/>
      </w:r>
      <w:r w:rsidR="00623086">
        <w:rPr>
          <w:rFonts w:ascii="Arial" w:hAnsi="Arial" w:cs="Arial"/>
          <w:iCs/>
        </w:rPr>
        <w:t xml:space="preserve"> </w:t>
      </w:r>
      <w:r w:rsidR="00B6426C">
        <w:rPr>
          <w:rFonts w:ascii="Arial" w:hAnsi="Arial" w:cs="Arial"/>
          <w:iCs/>
        </w:rPr>
        <w:t xml:space="preserve">That said, informal workouts </w:t>
      </w:r>
      <w:r w:rsidR="007E7F5D">
        <w:rPr>
          <w:rFonts w:ascii="Arial" w:hAnsi="Arial" w:cs="Arial"/>
          <w:iCs/>
        </w:rPr>
        <w:t>operate</w:t>
      </w:r>
      <w:r w:rsidR="005B396E" w:rsidRPr="005B396E">
        <w:rPr>
          <w:rFonts w:ascii="Arial" w:hAnsi="Arial" w:cs="Arial"/>
          <w:iCs/>
        </w:rPr>
        <w:t xml:space="preserve"> in the “shadow of the law”, </w:t>
      </w:r>
      <w:r w:rsidR="007E7F5D" w:rsidRPr="005B396E">
        <w:rPr>
          <w:rFonts w:ascii="Arial" w:hAnsi="Arial" w:cs="Arial"/>
          <w:iCs/>
        </w:rPr>
        <w:t>i.e.,</w:t>
      </w:r>
      <w:r w:rsidR="005B396E" w:rsidRPr="005B396E">
        <w:rPr>
          <w:rFonts w:ascii="Arial" w:hAnsi="Arial" w:cs="Arial"/>
          <w:iCs/>
        </w:rPr>
        <w:t xml:space="preserve"> against the backdrop of the applicable legal rules</w:t>
      </w:r>
      <w:r w:rsidR="007E7F5D">
        <w:rPr>
          <w:rFonts w:ascii="Arial" w:hAnsi="Arial" w:cs="Arial"/>
          <w:iCs/>
        </w:rPr>
        <w:t xml:space="preserve">, and therefore </w:t>
      </w:r>
      <w:r w:rsidR="001E6AC4" w:rsidRPr="001E6AC4">
        <w:rPr>
          <w:rFonts w:ascii="Arial" w:hAnsi="Arial" w:cs="Arial"/>
          <w:iCs/>
        </w:rPr>
        <w:t xml:space="preserve">work best when the parties can fall back on the formal procedure if they fail to come to an agreement, as the knowledge that they might get a worse result in a court filing gives them the incentive to reach a deal. </w:t>
      </w:r>
      <w:r w:rsidR="00344CF6">
        <w:rPr>
          <w:rFonts w:ascii="Arial" w:hAnsi="Arial" w:cs="Arial"/>
          <w:iCs/>
        </w:rPr>
        <w:t>Some of the disadvantages of a purely informal workout</w:t>
      </w:r>
      <w:r w:rsidR="00A22645">
        <w:rPr>
          <w:rFonts w:ascii="Arial" w:hAnsi="Arial" w:cs="Arial"/>
          <w:iCs/>
        </w:rPr>
        <w:t>, such as the</w:t>
      </w:r>
      <w:r w:rsidR="00A22645" w:rsidRPr="00A22645">
        <w:rPr>
          <w:rFonts w:ascii="Arial" w:hAnsi="Arial" w:cs="Arial"/>
          <w:iCs/>
        </w:rPr>
        <w:t xml:space="preserve"> holdout problem </w:t>
      </w:r>
      <w:r w:rsidR="00716F96">
        <w:rPr>
          <w:rFonts w:ascii="Arial" w:hAnsi="Arial" w:cs="Arial"/>
          <w:iCs/>
        </w:rPr>
        <w:t xml:space="preserve">and the risk of </w:t>
      </w:r>
      <w:r w:rsidR="00034EE2">
        <w:rPr>
          <w:rFonts w:ascii="Arial" w:hAnsi="Arial" w:cs="Arial"/>
          <w:iCs/>
        </w:rPr>
        <w:t xml:space="preserve">avoidance of transactions, </w:t>
      </w:r>
      <w:r w:rsidR="00A22645" w:rsidRPr="00A22645">
        <w:rPr>
          <w:rFonts w:ascii="Arial" w:hAnsi="Arial" w:cs="Arial"/>
          <w:iCs/>
        </w:rPr>
        <w:t>may be avoided with a hybrid workout procedure in which the terms of a restructuring plan can be crammed down on dissenting creditors and shareholders</w:t>
      </w:r>
      <w:r w:rsidR="004F7169">
        <w:rPr>
          <w:rFonts w:ascii="Arial" w:hAnsi="Arial" w:cs="Arial"/>
          <w:iCs/>
        </w:rPr>
        <w:t xml:space="preserve">, such as the new Dutch </w:t>
      </w:r>
      <w:r w:rsidR="003F72CB">
        <w:rPr>
          <w:rFonts w:ascii="Arial" w:hAnsi="Arial" w:cs="Arial"/>
          <w:iCs/>
        </w:rPr>
        <w:t xml:space="preserve">scheme WHOA, discussed in the </w:t>
      </w:r>
      <w:r w:rsidR="00D652D1">
        <w:rPr>
          <w:rFonts w:ascii="Arial" w:hAnsi="Arial" w:cs="Arial"/>
          <w:iCs/>
        </w:rPr>
        <w:t xml:space="preserve">2022 </w:t>
      </w:r>
      <w:r w:rsidR="00E1746E">
        <w:rPr>
          <w:rFonts w:ascii="Arial" w:hAnsi="Arial" w:cs="Arial"/>
          <w:iCs/>
        </w:rPr>
        <w:t>Broekema &amp; Adriaanse paper</w:t>
      </w:r>
      <w:r w:rsidR="00E1746E">
        <w:rPr>
          <w:rStyle w:val="FootnoteReference"/>
          <w:rFonts w:ascii="Arial" w:hAnsi="Arial" w:cs="Arial"/>
          <w:iCs/>
        </w:rPr>
        <w:footnoteReference w:id="6"/>
      </w:r>
      <w:r w:rsidR="0063484D">
        <w:rPr>
          <w:rFonts w:ascii="Arial" w:hAnsi="Arial" w:cs="Arial"/>
          <w:iCs/>
        </w:rPr>
        <w:t xml:space="preserve"> </w:t>
      </w:r>
      <w:r w:rsidR="00386DEC">
        <w:rPr>
          <w:rFonts w:ascii="Arial" w:hAnsi="Arial" w:cs="Arial"/>
          <w:iCs/>
        </w:rPr>
        <w:t xml:space="preserve">or the </w:t>
      </w:r>
      <w:r w:rsidR="00393062">
        <w:rPr>
          <w:rFonts w:ascii="Arial" w:hAnsi="Arial" w:cs="Arial"/>
          <w:iCs/>
        </w:rPr>
        <w:t>202</w:t>
      </w:r>
      <w:r w:rsidR="000E5ED3">
        <w:rPr>
          <w:rFonts w:ascii="Arial" w:hAnsi="Arial" w:cs="Arial"/>
          <w:iCs/>
        </w:rPr>
        <w:t xml:space="preserve">0 </w:t>
      </w:r>
      <w:r w:rsidR="00386DEC">
        <w:rPr>
          <w:rFonts w:ascii="Arial" w:hAnsi="Arial" w:cs="Arial"/>
          <w:iCs/>
        </w:rPr>
        <w:t xml:space="preserve">Polish </w:t>
      </w:r>
      <w:r w:rsidR="00897002" w:rsidRPr="00897002">
        <w:rPr>
          <w:rFonts w:ascii="Arial" w:hAnsi="Arial" w:cs="Arial"/>
          <w:iCs/>
        </w:rPr>
        <w:t>simplified restructuring procedure, known as “proceedings for the approval of arrangement</w:t>
      </w:r>
      <w:r w:rsidR="00EB40A7">
        <w:rPr>
          <w:rFonts w:ascii="Arial" w:hAnsi="Arial" w:cs="Arial"/>
          <w:iCs/>
        </w:rPr>
        <w:t xml:space="preserve">”, </w:t>
      </w:r>
      <w:r w:rsidR="00F004C7">
        <w:rPr>
          <w:rFonts w:ascii="Arial" w:hAnsi="Arial" w:cs="Arial"/>
          <w:iCs/>
        </w:rPr>
        <w:t xml:space="preserve">in which negotiations take place entirely out of court and </w:t>
      </w:r>
      <w:r w:rsidR="00F004C7" w:rsidRPr="00F004C7">
        <w:rPr>
          <w:rFonts w:ascii="Arial" w:hAnsi="Arial" w:cs="Arial"/>
          <w:iCs/>
        </w:rPr>
        <w:t xml:space="preserve">court involvement in the procedure is limited to hearing motions to lift the automatic stay for cause, </w:t>
      </w:r>
      <w:r w:rsidR="00403B56">
        <w:rPr>
          <w:rFonts w:ascii="Arial" w:hAnsi="Arial" w:cs="Arial"/>
          <w:iCs/>
        </w:rPr>
        <w:t xml:space="preserve">and </w:t>
      </w:r>
      <w:r w:rsidR="00F004C7" w:rsidRPr="00F004C7">
        <w:rPr>
          <w:rFonts w:ascii="Arial" w:hAnsi="Arial" w:cs="Arial"/>
          <w:iCs/>
        </w:rPr>
        <w:t>approval of the restructuring plan following voting by creditors</w:t>
      </w:r>
      <w:r w:rsidR="00A64030">
        <w:rPr>
          <w:rFonts w:ascii="Arial" w:hAnsi="Arial" w:cs="Arial"/>
          <w:iCs/>
        </w:rPr>
        <w:t xml:space="preserve">. </w:t>
      </w:r>
      <w:r w:rsidR="000E5ED3">
        <w:rPr>
          <w:rFonts w:ascii="Arial" w:hAnsi="Arial" w:cs="Arial"/>
          <w:iCs/>
        </w:rPr>
        <w:t xml:space="preserve">Both of these hybrid workouts are </w:t>
      </w:r>
      <w:r w:rsidR="001D0805">
        <w:rPr>
          <w:rFonts w:ascii="Arial" w:hAnsi="Arial" w:cs="Arial"/>
          <w:iCs/>
        </w:rPr>
        <w:t>inspired by the 2019</w:t>
      </w:r>
      <w:r w:rsidR="00A64030" w:rsidRPr="00A64030">
        <w:rPr>
          <w:rFonts w:ascii="Arial" w:hAnsi="Arial" w:cs="Arial"/>
          <w:iCs/>
        </w:rPr>
        <w:t xml:space="preserve"> EU Restructuring Directive</w:t>
      </w:r>
      <w:r w:rsidR="001D0805">
        <w:rPr>
          <w:rStyle w:val="FootnoteReference"/>
          <w:rFonts w:ascii="Arial" w:hAnsi="Arial" w:cs="Arial"/>
          <w:iCs/>
        </w:rPr>
        <w:footnoteReference w:id="7"/>
      </w:r>
      <w:r w:rsidR="001D0805">
        <w:rPr>
          <w:rFonts w:ascii="Arial" w:hAnsi="Arial" w:cs="Arial"/>
          <w:iCs/>
        </w:rPr>
        <w:t xml:space="preserve"> which </w:t>
      </w:r>
      <w:r w:rsidR="00A64030" w:rsidRPr="00A64030">
        <w:rPr>
          <w:rFonts w:ascii="Arial" w:hAnsi="Arial" w:cs="Arial"/>
          <w:iCs/>
        </w:rPr>
        <w:t xml:space="preserve">provides pioneering guidelines for member country authorities </w:t>
      </w:r>
      <w:r w:rsidR="0040140E">
        <w:rPr>
          <w:rFonts w:ascii="Arial" w:hAnsi="Arial" w:cs="Arial"/>
          <w:iCs/>
        </w:rPr>
        <w:t>on</w:t>
      </w:r>
      <w:r w:rsidR="00A64030" w:rsidRPr="00A64030">
        <w:rPr>
          <w:rFonts w:ascii="Arial" w:hAnsi="Arial" w:cs="Arial"/>
          <w:iCs/>
        </w:rPr>
        <w:t xml:space="preserve"> preventive restructuring frameworks, allowing distressed but viable debtors to remain in possession of the operation of their business, while undergoing </w:t>
      </w:r>
      <w:r w:rsidR="0040140E">
        <w:rPr>
          <w:rFonts w:ascii="Arial" w:hAnsi="Arial" w:cs="Arial"/>
          <w:iCs/>
        </w:rPr>
        <w:t>restructuring</w:t>
      </w:r>
      <w:r w:rsidR="00A64030" w:rsidRPr="00A64030">
        <w:rPr>
          <w:rFonts w:ascii="Arial" w:hAnsi="Arial" w:cs="Arial"/>
          <w:iCs/>
        </w:rPr>
        <w:t xml:space="preserve"> proceedings, facilitating access to interim and new financing, promoting voting by creditors’ classes, and improving restructuring outcomes by the incorporation of cross-class cram-down mechanisms to ensure a swift and simplified adoption of the restructuring plan by overriding the dissenting minority creditors.</w:t>
      </w:r>
    </w:p>
    <w:p w14:paraId="43A634F4" w14:textId="3D152427" w:rsidR="00CC0689" w:rsidRDefault="00D62C95" w:rsidP="001B324B">
      <w:pPr>
        <w:jc w:val="both"/>
        <w:rPr>
          <w:rFonts w:ascii="Arial" w:hAnsi="Arial" w:cs="Arial"/>
          <w:iCs/>
        </w:rPr>
      </w:pPr>
      <w:r>
        <w:rPr>
          <w:rFonts w:ascii="Arial" w:hAnsi="Arial" w:cs="Arial"/>
          <w:iCs/>
        </w:rPr>
        <w:t xml:space="preserve">In the jurisdiction where I am licensed, Bulgaria, there </w:t>
      </w:r>
      <w:r w:rsidR="00B83353">
        <w:rPr>
          <w:rFonts w:ascii="Arial" w:hAnsi="Arial" w:cs="Arial"/>
          <w:iCs/>
        </w:rPr>
        <w:t xml:space="preserve">is no prevalent practice for out-of-court restructuring. </w:t>
      </w:r>
      <w:r w:rsidR="001B2718" w:rsidRPr="001B2718">
        <w:rPr>
          <w:rFonts w:ascii="Arial" w:hAnsi="Arial" w:cs="Arial"/>
          <w:iCs/>
        </w:rPr>
        <w:t xml:space="preserve">A culture of out-of-court collective negotiation and agreements to restore an enterprise financial viability is insufficiently developed. </w:t>
      </w:r>
      <w:r w:rsidR="004F2780">
        <w:rPr>
          <w:rFonts w:ascii="Arial" w:hAnsi="Arial" w:cs="Arial"/>
          <w:iCs/>
        </w:rPr>
        <w:t xml:space="preserve">Many financial institutions in Bulgaria </w:t>
      </w:r>
      <w:r w:rsidR="004F2780" w:rsidRPr="007150FF">
        <w:rPr>
          <w:rFonts w:ascii="Arial" w:hAnsi="Arial" w:cs="Arial"/>
          <w:iCs/>
        </w:rPr>
        <w:t xml:space="preserve">recognize that in theory </w:t>
      </w:r>
      <w:r w:rsidR="004F2780">
        <w:rPr>
          <w:rFonts w:ascii="Arial" w:hAnsi="Arial" w:cs="Arial"/>
          <w:iCs/>
        </w:rPr>
        <w:t>an informal workout</w:t>
      </w:r>
      <w:r w:rsidR="004F2780" w:rsidRPr="007150FF">
        <w:rPr>
          <w:rFonts w:ascii="Arial" w:hAnsi="Arial" w:cs="Arial"/>
          <w:iCs/>
        </w:rPr>
        <w:t xml:space="preserve"> could be faster and cheaper and more successful than formal reorganization proceedings (which are also infrequent in practice), but </w:t>
      </w:r>
      <w:r w:rsidR="004F2780">
        <w:rPr>
          <w:rFonts w:ascii="Arial" w:hAnsi="Arial" w:cs="Arial"/>
          <w:iCs/>
        </w:rPr>
        <w:t>banks</w:t>
      </w:r>
      <w:r w:rsidR="004F2780" w:rsidRPr="007150FF">
        <w:rPr>
          <w:rFonts w:ascii="Arial" w:hAnsi="Arial" w:cs="Arial"/>
          <w:iCs/>
        </w:rPr>
        <w:t xml:space="preserve"> find </w:t>
      </w:r>
      <w:r w:rsidR="00990AB2">
        <w:rPr>
          <w:rFonts w:ascii="Arial" w:hAnsi="Arial" w:cs="Arial"/>
          <w:iCs/>
        </w:rPr>
        <w:t xml:space="preserve">it </w:t>
      </w:r>
      <w:r w:rsidR="004F2780" w:rsidRPr="007150FF">
        <w:rPr>
          <w:rFonts w:ascii="Arial" w:hAnsi="Arial" w:cs="Arial"/>
          <w:iCs/>
        </w:rPr>
        <w:t xml:space="preserve">difficult to negotiate together a single solution </w:t>
      </w:r>
      <w:r w:rsidR="003E58CD">
        <w:rPr>
          <w:rFonts w:ascii="Arial" w:hAnsi="Arial" w:cs="Arial"/>
          <w:iCs/>
        </w:rPr>
        <w:t>in the case of</w:t>
      </w:r>
      <w:r w:rsidR="004F2780" w:rsidRPr="007150FF">
        <w:rPr>
          <w:rFonts w:ascii="Arial" w:hAnsi="Arial" w:cs="Arial"/>
          <w:iCs/>
        </w:rPr>
        <w:t xml:space="preserve"> a common </w:t>
      </w:r>
      <w:r w:rsidR="004F2780">
        <w:rPr>
          <w:rFonts w:ascii="Arial" w:hAnsi="Arial" w:cs="Arial"/>
          <w:iCs/>
        </w:rPr>
        <w:t>debtor</w:t>
      </w:r>
      <w:r w:rsidR="004F2780" w:rsidRPr="007150FF">
        <w:rPr>
          <w:rFonts w:ascii="Arial" w:hAnsi="Arial" w:cs="Arial"/>
          <w:iCs/>
        </w:rPr>
        <w:t xml:space="preserve">. </w:t>
      </w:r>
      <w:r w:rsidR="004F2780">
        <w:rPr>
          <w:rFonts w:ascii="Arial" w:hAnsi="Arial" w:cs="Arial"/>
          <w:iCs/>
        </w:rPr>
        <w:t>In addition, t</w:t>
      </w:r>
      <w:r w:rsidR="001B2718" w:rsidRPr="001B2718">
        <w:rPr>
          <w:rFonts w:ascii="Arial" w:hAnsi="Arial" w:cs="Arial"/>
          <w:iCs/>
        </w:rPr>
        <w:t xml:space="preserve">he legal framework does not encourage the use of workouts. Most transactions that could be entered into by the debtor and some creditors in a workout would be at a risk of being challenged in </w:t>
      </w:r>
      <w:r w:rsidR="001B2718" w:rsidRPr="001B2718">
        <w:rPr>
          <w:rFonts w:ascii="Arial" w:hAnsi="Arial" w:cs="Arial"/>
          <w:iCs/>
        </w:rPr>
        <w:lastRenderedPageBreak/>
        <w:t xml:space="preserve">bankruptcy under the avoidable transactions regime. The </w:t>
      </w:r>
      <w:r w:rsidR="00827759">
        <w:rPr>
          <w:rFonts w:ascii="Arial" w:hAnsi="Arial" w:cs="Arial"/>
          <w:iCs/>
        </w:rPr>
        <w:t xml:space="preserve">bankruptcy </w:t>
      </w:r>
      <w:r w:rsidR="001B2718" w:rsidRPr="001B2718">
        <w:rPr>
          <w:rFonts w:ascii="Arial" w:hAnsi="Arial" w:cs="Arial"/>
          <w:iCs/>
        </w:rPr>
        <w:t>law</w:t>
      </w:r>
      <w:r w:rsidR="00827759">
        <w:rPr>
          <w:rStyle w:val="FootnoteReference"/>
          <w:rFonts w:ascii="Arial" w:hAnsi="Arial" w:cs="Arial"/>
          <w:iCs/>
        </w:rPr>
        <w:footnoteReference w:id="8"/>
      </w:r>
      <w:r w:rsidR="001B2718" w:rsidRPr="001B2718">
        <w:rPr>
          <w:rFonts w:ascii="Arial" w:hAnsi="Arial" w:cs="Arial"/>
          <w:iCs/>
        </w:rPr>
        <w:t xml:space="preserve"> does not provide for an expedited procedure to confirm a pre-negotiated agreement (“pre-packaged plan”). </w:t>
      </w:r>
    </w:p>
    <w:p w14:paraId="2D4C5990" w14:textId="77777777" w:rsidR="00E5410F" w:rsidRPr="00E5410F" w:rsidRDefault="00E5410F" w:rsidP="00E5410F">
      <w:pPr>
        <w:pStyle w:val="ListParagraph"/>
        <w:numPr>
          <w:ilvl w:val="0"/>
          <w:numId w:val="1"/>
        </w:numPr>
        <w:rPr>
          <w:rFonts w:ascii="Arial" w:hAnsi="Arial" w:cs="Arial"/>
          <w:b/>
          <w:bCs/>
          <w:iCs/>
        </w:rPr>
      </w:pPr>
      <w:r w:rsidRPr="00E5410F">
        <w:rPr>
          <w:rFonts w:ascii="Arial" w:hAnsi="Arial" w:cs="Arial"/>
          <w:b/>
          <w:bCs/>
          <w:iCs/>
        </w:rPr>
        <w:t>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w:t>
      </w:r>
    </w:p>
    <w:p w14:paraId="064A4F68" w14:textId="620AF18E" w:rsidR="00D723A4" w:rsidRDefault="00416A1E" w:rsidP="00E5410F">
      <w:pPr>
        <w:jc w:val="both"/>
        <w:rPr>
          <w:rFonts w:ascii="Arial" w:hAnsi="Arial" w:cs="Arial"/>
          <w:iCs/>
        </w:rPr>
      </w:pPr>
      <w:r>
        <w:rPr>
          <w:rFonts w:ascii="Arial" w:hAnsi="Arial" w:cs="Arial"/>
          <w:iCs/>
        </w:rPr>
        <w:t xml:space="preserve">Some of the turnaround approaches discussed in the reading material </w:t>
      </w:r>
      <w:r w:rsidR="00582A21">
        <w:rPr>
          <w:rFonts w:ascii="Arial" w:hAnsi="Arial" w:cs="Arial"/>
          <w:iCs/>
        </w:rPr>
        <w:t xml:space="preserve">seem to have been applied in the Flow Management restructuring </w:t>
      </w:r>
      <w:r w:rsidR="0094039A">
        <w:rPr>
          <w:rFonts w:ascii="Arial" w:hAnsi="Arial" w:cs="Arial"/>
          <w:iCs/>
        </w:rPr>
        <w:t>case but many important considerations do not seem to have been deployed to result in a</w:t>
      </w:r>
      <w:r w:rsidR="005B2CFB">
        <w:rPr>
          <w:rFonts w:ascii="Arial" w:hAnsi="Arial" w:cs="Arial"/>
          <w:iCs/>
        </w:rPr>
        <w:t xml:space="preserve">n effective forward-looking solution. </w:t>
      </w:r>
    </w:p>
    <w:p w14:paraId="55617F16" w14:textId="5E60D6DE" w:rsidR="008C600D" w:rsidRPr="00EA3EDB" w:rsidRDefault="00EA3EDB" w:rsidP="00E5410F">
      <w:pPr>
        <w:jc w:val="both"/>
        <w:rPr>
          <w:rFonts w:ascii="Arial" w:hAnsi="Arial" w:cs="Arial"/>
          <w:b/>
          <w:bCs/>
          <w:iCs/>
        </w:rPr>
      </w:pPr>
      <w:r>
        <w:rPr>
          <w:rFonts w:ascii="Arial" w:hAnsi="Arial" w:cs="Arial"/>
          <w:b/>
          <w:bCs/>
          <w:iCs/>
        </w:rPr>
        <w:t>Phases</w:t>
      </w:r>
      <w:r w:rsidR="008C600D" w:rsidRPr="00EA3EDB">
        <w:rPr>
          <w:rFonts w:ascii="Arial" w:hAnsi="Arial" w:cs="Arial"/>
          <w:b/>
          <w:bCs/>
          <w:iCs/>
        </w:rPr>
        <w:t xml:space="preserve"> </w:t>
      </w:r>
      <w:r w:rsidR="00C9554F">
        <w:rPr>
          <w:rFonts w:ascii="Arial" w:hAnsi="Arial" w:cs="Arial"/>
          <w:b/>
          <w:bCs/>
          <w:iCs/>
        </w:rPr>
        <w:t xml:space="preserve">and components </w:t>
      </w:r>
      <w:r w:rsidR="008C600D" w:rsidRPr="00EA3EDB">
        <w:rPr>
          <w:rFonts w:ascii="Arial" w:hAnsi="Arial" w:cs="Arial"/>
          <w:b/>
          <w:bCs/>
          <w:iCs/>
        </w:rPr>
        <w:t xml:space="preserve">of </w:t>
      </w:r>
      <w:r w:rsidRPr="00EA3EDB">
        <w:rPr>
          <w:rFonts w:ascii="Arial" w:hAnsi="Arial" w:cs="Arial"/>
          <w:b/>
          <w:bCs/>
          <w:iCs/>
        </w:rPr>
        <w:t xml:space="preserve">informal reorganization </w:t>
      </w:r>
    </w:p>
    <w:p w14:paraId="443848A4" w14:textId="77777777" w:rsidR="0072516A" w:rsidRDefault="00DF2954" w:rsidP="00E5410F">
      <w:pPr>
        <w:jc w:val="both"/>
        <w:rPr>
          <w:rFonts w:ascii="Arial" w:hAnsi="Arial" w:cs="Arial"/>
          <w:iCs/>
        </w:rPr>
      </w:pPr>
      <w:r>
        <w:rPr>
          <w:rFonts w:ascii="Arial" w:hAnsi="Arial" w:cs="Arial"/>
          <w:iCs/>
        </w:rPr>
        <w:t xml:space="preserve">The </w:t>
      </w:r>
      <w:r w:rsidR="0098755F" w:rsidRPr="0098755F">
        <w:rPr>
          <w:rFonts w:ascii="Arial" w:hAnsi="Arial" w:cs="Arial"/>
          <w:iCs/>
        </w:rPr>
        <w:t>Adriaanse &amp; Kuijl, 2006</w:t>
      </w:r>
      <w:r>
        <w:rPr>
          <w:rFonts w:ascii="Arial" w:hAnsi="Arial" w:cs="Arial"/>
          <w:iCs/>
        </w:rPr>
        <w:t xml:space="preserve"> </w:t>
      </w:r>
      <w:r w:rsidR="008638C0">
        <w:rPr>
          <w:rFonts w:ascii="Arial" w:hAnsi="Arial" w:cs="Arial"/>
          <w:iCs/>
        </w:rPr>
        <w:t>article</w:t>
      </w:r>
      <w:r>
        <w:rPr>
          <w:rFonts w:ascii="Arial" w:hAnsi="Arial" w:cs="Arial"/>
          <w:iCs/>
        </w:rPr>
        <w:t xml:space="preserve"> </w:t>
      </w:r>
      <w:r w:rsidR="008E0FA8">
        <w:rPr>
          <w:rFonts w:ascii="Arial" w:hAnsi="Arial" w:cs="Arial"/>
          <w:iCs/>
        </w:rPr>
        <w:t>discusse</w:t>
      </w:r>
      <w:r w:rsidR="00834CAF">
        <w:rPr>
          <w:rFonts w:ascii="Arial" w:hAnsi="Arial" w:cs="Arial"/>
          <w:iCs/>
        </w:rPr>
        <w:t>s</w:t>
      </w:r>
      <w:r w:rsidR="008E0FA8">
        <w:rPr>
          <w:rFonts w:ascii="Arial" w:hAnsi="Arial" w:cs="Arial"/>
          <w:iCs/>
        </w:rPr>
        <w:t xml:space="preserve"> the difference between formal and informal reorganization</w:t>
      </w:r>
      <w:r w:rsidR="004253A0">
        <w:rPr>
          <w:rStyle w:val="FootnoteReference"/>
          <w:rFonts w:ascii="Arial" w:hAnsi="Arial" w:cs="Arial"/>
          <w:iCs/>
        </w:rPr>
        <w:footnoteReference w:id="9"/>
      </w:r>
      <w:r w:rsidR="008E0FA8">
        <w:rPr>
          <w:rFonts w:ascii="Arial" w:hAnsi="Arial" w:cs="Arial"/>
          <w:iCs/>
        </w:rPr>
        <w:t xml:space="preserve">, </w:t>
      </w:r>
      <w:r w:rsidR="006B135B">
        <w:rPr>
          <w:rFonts w:ascii="Arial" w:hAnsi="Arial" w:cs="Arial"/>
          <w:iCs/>
        </w:rPr>
        <w:t xml:space="preserve">and the former was first attempted by the management and its key creditors. </w:t>
      </w:r>
      <w:r w:rsidR="00A94D29">
        <w:rPr>
          <w:rFonts w:ascii="Arial" w:hAnsi="Arial" w:cs="Arial"/>
          <w:iCs/>
        </w:rPr>
        <w:t xml:space="preserve">The paper </w:t>
      </w:r>
      <w:r w:rsidR="002513A3">
        <w:rPr>
          <w:rFonts w:ascii="Arial" w:hAnsi="Arial" w:cs="Arial"/>
          <w:iCs/>
        </w:rPr>
        <w:t xml:space="preserve">identifies two main components of an informal reorganization, namely business restructuring and financial restructuring. </w:t>
      </w:r>
    </w:p>
    <w:p w14:paraId="75173413" w14:textId="05E52E92" w:rsidR="0098755F" w:rsidRDefault="008638C0" w:rsidP="00E5410F">
      <w:pPr>
        <w:jc w:val="both"/>
        <w:rPr>
          <w:rFonts w:ascii="Arial" w:hAnsi="Arial" w:cs="Arial"/>
          <w:iCs/>
        </w:rPr>
      </w:pPr>
      <w:r w:rsidRPr="00FA539E">
        <w:rPr>
          <w:rFonts w:ascii="Arial" w:hAnsi="Arial" w:cs="Arial"/>
          <w:i/>
        </w:rPr>
        <w:t>Business restructuring</w:t>
      </w:r>
      <w:r>
        <w:rPr>
          <w:rFonts w:ascii="Arial" w:hAnsi="Arial" w:cs="Arial"/>
          <w:iCs/>
        </w:rPr>
        <w:t xml:space="preserve"> is then dissected into </w:t>
      </w:r>
      <w:r w:rsidR="00A81371">
        <w:rPr>
          <w:rFonts w:ascii="Arial" w:hAnsi="Arial" w:cs="Arial"/>
          <w:iCs/>
        </w:rPr>
        <w:t>four main phases:</w:t>
      </w:r>
    </w:p>
    <w:p w14:paraId="428D87B0" w14:textId="77777777" w:rsidR="00EF4D6F" w:rsidRDefault="0072516A" w:rsidP="0072516A">
      <w:pPr>
        <w:pStyle w:val="ListParagraph"/>
        <w:numPr>
          <w:ilvl w:val="0"/>
          <w:numId w:val="14"/>
        </w:numPr>
        <w:jc w:val="both"/>
        <w:rPr>
          <w:rFonts w:ascii="Arial" w:hAnsi="Arial" w:cs="Arial"/>
          <w:iCs/>
        </w:rPr>
      </w:pPr>
      <w:r>
        <w:rPr>
          <w:rFonts w:ascii="Arial" w:hAnsi="Arial" w:cs="Arial"/>
          <w:iCs/>
        </w:rPr>
        <w:t>Phase I. Stabilizing</w:t>
      </w:r>
      <w:r w:rsidR="00E351FA">
        <w:rPr>
          <w:rFonts w:ascii="Arial" w:hAnsi="Arial" w:cs="Arial"/>
          <w:iCs/>
        </w:rPr>
        <w:t xml:space="preserve"> is described with the identification of </w:t>
      </w:r>
      <w:r w:rsidR="008E1814">
        <w:rPr>
          <w:rFonts w:ascii="Arial" w:hAnsi="Arial" w:cs="Arial"/>
          <w:iCs/>
        </w:rPr>
        <w:t xml:space="preserve">the critical problems requiring immediate action in order to stabilize the situation of the distressed company, </w:t>
      </w:r>
      <w:r w:rsidR="00185493">
        <w:rPr>
          <w:rFonts w:ascii="Arial" w:hAnsi="Arial" w:cs="Arial"/>
          <w:iCs/>
        </w:rPr>
        <w:t xml:space="preserve">particularly with a view to crease cash flow in the short term. </w:t>
      </w:r>
    </w:p>
    <w:p w14:paraId="52AC41C7" w14:textId="60A6BDD8" w:rsidR="00D5199E" w:rsidRDefault="00185493" w:rsidP="00EF4D6F">
      <w:pPr>
        <w:jc w:val="both"/>
        <w:rPr>
          <w:rFonts w:ascii="Arial" w:hAnsi="Arial" w:cs="Arial"/>
          <w:iCs/>
        </w:rPr>
      </w:pPr>
      <w:r w:rsidRPr="00EF4D6F">
        <w:rPr>
          <w:rFonts w:ascii="Arial" w:hAnsi="Arial" w:cs="Arial"/>
          <w:iCs/>
        </w:rPr>
        <w:t xml:space="preserve">Indeed, </w:t>
      </w:r>
      <w:r w:rsidR="001225BD" w:rsidRPr="00EF4D6F">
        <w:rPr>
          <w:rFonts w:ascii="Arial" w:hAnsi="Arial" w:cs="Arial"/>
          <w:iCs/>
        </w:rPr>
        <w:t>Flow Management takes action to cutback expenditures</w:t>
      </w:r>
      <w:r w:rsidR="00321F86" w:rsidRPr="00EF4D6F">
        <w:rPr>
          <w:rFonts w:ascii="Arial" w:hAnsi="Arial" w:cs="Arial"/>
          <w:iCs/>
        </w:rPr>
        <w:t xml:space="preserve"> (</w:t>
      </w:r>
      <w:r w:rsidR="00E07C2B" w:rsidRPr="00EF4D6F">
        <w:rPr>
          <w:rFonts w:ascii="Arial" w:hAnsi="Arial" w:cs="Arial"/>
          <w:iCs/>
        </w:rPr>
        <w:t xml:space="preserve">with regard to labor costs </w:t>
      </w:r>
      <w:r w:rsidR="001320E5" w:rsidRPr="00EF4D6F">
        <w:rPr>
          <w:rFonts w:ascii="Arial" w:hAnsi="Arial" w:cs="Arial"/>
          <w:iCs/>
        </w:rPr>
        <w:t>in particular</w:t>
      </w:r>
      <w:r w:rsidR="00E66FE5">
        <w:rPr>
          <w:rFonts w:ascii="Arial" w:hAnsi="Arial" w:cs="Arial"/>
          <w:iCs/>
        </w:rPr>
        <w:t xml:space="preserve"> – 130 staff members</w:t>
      </w:r>
      <w:r w:rsidR="00AF3108">
        <w:rPr>
          <w:rFonts w:ascii="Arial" w:hAnsi="Arial" w:cs="Arial"/>
          <w:iCs/>
        </w:rPr>
        <w:t xml:space="preserve"> will be made redundant in order to yield an annual </w:t>
      </w:r>
      <w:r w:rsidR="00383C4E" w:rsidRPr="00383C4E">
        <w:rPr>
          <w:rFonts w:ascii="Arial" w:hAnsi="Arial" w:cs="Arial"/>
          <w:iCs/>
        </w:rPr>
        <w:t>saving of € 3.3 million</w:t>
      </w:r>
      <w:r w:rsidR="001320E5">
        <w:rPr>
          <w:rFonts w:ascii="Arial" w:hAnsi="Arial" w:cs="Arial"/>
          <w:iCs/>
        </w:rPr>
        <w:t>) and</w:t>
      </w:r>
      <w:r w:rsidR="00756B4D">
        <w:rPr>
          <w:rFonts w:ascii="Arial" w:hAnsi="Arial" w:cs="Arial"/>
          <w:iCs/>
        </w:rPr>
        <w:t xml:space="preserve"> </w:t>
      </w:r>
      <w:r w:rsidR="00952C47">
        <w:rPr>
          <w:rFonts w:ascii="Arial" w:hAnsi="Arial" w:cs="Arial"/>
          <w:iCs/>
        </w:rPr>
        <w:t xml:space="preserve">plans to realize extra savings by </w:t>
      </w:r>
      <w:r w:rsidR="002A62DD" w:rsidRPr="002A62DD">
        <w:rPr>
          <w:rFonts w:ascii="Arial" w:hAnsi="Arial" w:cs="Arial"/>
          <w:iCs/>
        </w:rPr>
        <w:t>improved loss recovery, higher excess premiums and savings on car repairs</w:t>
      </w:r>
      <w:r w:rsidR="001320E5">
        <w:rPr>
          <w:rFonts w:ascii="Arial" w:hAnsi="Arial" w:cs="Arial"/>
          <w:iCs/>
        </w:rPr>
        <w:t xml:space="preserve"> (expected to result in</w:t>
      </w:r>
      <w:r w:rsidR="002A62DD" w:rsidRPr="002A62DD">
        <w:rPr>
          <w:rFonts w:ascii="Arial" w:hAnsi="Arial" w:cs="Arial"/>
          <w:iCs/>
        </w:rPr>
        <w:t xml:space="preserve"> € 3.9 million</w:t>
      </w:r>
      <w:r w:rsidR="001320E5">
        <w:rPr>
          <w:rFonts w:ascii="Arial" w:hAnsi="Arial" w:cs="Arial"/>
          <w:iCs/>
        </w:rPr>
        <w:t xml:space="preserve"> total amount of savings).</w:t>
      </w:r>
      <w:r w:rsidR="008A6714">
        <w:rPr>
          <w:rFonts w:ascii="Arial" w:hAnsi="Arial" w:cs="Arial"/>
          <w:iCs/>
        </w:rPr>
        <w:t xml:space="preserve"> The shareholder company proposes to sell 350 cars to improve the solvency rate.</w:t>
      </w:r>
    </w:p>
    <w:p w14:paraId="5838F1CE" w14:textId="6E01E97B" w:rsidR="001320E5" w:rsidRPr="001320E5" w:rsidRDefault="001320E5" w:rsidP="001320E5">
      <w:pPr>
        <w:pStyle w:val="ListParagraph"/>
        <w:numPr>
          <w:ilvl w:val="0"/>
          <w:numId w:val="14"/>
        </w:numPr>
        <w:jc w:val="both"/>
        <w:rPr>
          <w:rFonts w:ascii="Arial" w:hAnsi="Arial" w:cs="Arial"/>
          <w:iCs/>
        </w:rPr>
      </w:pPr>
      <w:r>
        <w:rPr>
          <w:rFonts w:ascii="Arial" w:hAnsi="Arial" w:cs="Arial"/>
          <w:iCs/>
        </w:rPr>
        <w:t xml:space="preserve">Phase II. </w:t>
      </w:r>
      <w:r w:rsidR="00470DB1">
        <w:rPr>
          <w:rFonts w:ascii="Arial" w:hAnsi="Arial" w:cs="Arial"/>
          <w:iCs/>
        </w:rPr>
        <w:t>Analyzing require</w:t>
      </w:r>
      <w:r w:rsidR="00F65FB9">
        <w:rPr>
          <w:rFonts w:ascii="Arial" w:hAnsi="Arial" w:cs="Arial"/>
          <w:iCs/>
        </w:rPr>
        <w:t>s</w:t>
      </w:r>
      <w:r w:rsidR="00470DB1">
        <w:rPr>
          <w:rFonts w:ascii="Arial" w:hAnsi="Arial" w:cs="Arial"/>
          <w:iCs/>
        </w:rPr>
        <w:t xml:space="preserve"> the company to look into its long-term prospects. </w:t>
      </w:r>
      <w:r w:rsidR="0030033C">
        <w:rPr>
          <w:rFonts w:ascii="Arial" w:hAnsi="Arial" w:cs="Arial"/>
          <w:iCs/>
        </w:rPr>
        <w:t xml:space="preserve">This is the phase where the company </w:t>
      </w:r>
      <w:r w:rsidR="007065A9">
        <w:rPr>
          <w:rFonts w:ascii="Arial" w:hAnsi="Arial" w:cs="Arial"/>
          <w:iCs/>
        </w:rPr>
        <w:t xml:space="preserve">should actively engage with its main creditors – financial institutions and </w:t>
      </w:r>
      <w:r w:rsidR="00DA2E3D">
        <w:rPr>
          <w:rFonts w:ascii="Arial" w:hAnsi="Arial" w:cs="Arial"/>
          <w:iCs/>
        </w:rPr>
        <w:t xml:space="preserve">large suppliers, as well as the </w:t>
      </w:r>
      <w:r w:rsidR="00D11A45">
        <w:rPr>
          <w:rFonts w:ascii="Arial" w:hAnsi="Arial" w:cs="Arial"/>
          <w:iCs/>
        </w:rPr>
        <w:t xml:space="preserve">equity </w:t>
      </w:r>
      <w:r w:rsidR="00DA2E3D">
        <w:rPr>
          <w:rFonts w:ascii="Arial" w:hAnsi="Arial" w:cs="Arial"/>
          <w:iCs/>
        </w:rPr>
        <w:t>shareholders</w:t>
      </w:r>
      <w:r w:rsidR="00D11A45">
        <w:rPr>
          <w:rFonts w:ascii="Arial" w:hAnsi="Arial" w:cs="Arial"/>
          <w:iCs/>
        </w:rPr>
        <w:t xml:space="preserve">. </w:t>
      </w:r>
    </w:p>
    <w:p w14:paraId="2268D763" w14:textId="2F817462" w:rsidR="0098755F" w:rsidRDefault="00EF4228" w:rsidP="000D757C">
      <w:pPr>
        <w:jc w:val="both"/>
        <w:rPr>
          <w:rFonts w:ascii="Arial" w:hAnsi="Arial" w:cs="Arial"/>
          <w:iCs/>
        </w:rPr>
      </w:pPr>
      <w:r>
        <w:rPr>
          <w:rFonts w:ascii="Arial" w:hAnsi="Arial" w:cs="Arial"/>
          <w:iCs/>
        </w:rPr>
        <w:t xml:space="preserve">Flow Management </w:t>
      </w:r>
      <w:r w:rsidR="00E97ED8">
        <w:rPr>
          <w:rFonts w:ascii="Arial" w:hAnsi="Arial" w:cs="Arial"/>
          <w:iCs/>
        </w:rPr>
        <w:t xml:space="preserve">plans to take </w:t>
      </w:r>
      <w:r>
        <w:rPr>
          <w:rFonts w:ascii="Arial" w:hAnsi="Arial" w:cs="Arial"/>
          <w:iCs/>
        </w:rPr>
        <w:t xml:space="preserve">active steps to engage </w:t>
      </w:r>
      <w:r w:rsidR="00E97ED8">
        <w:rPr>
          <w:rFonts w:ascii="Arial" w:hAnsi="Arial" w:cs="Arial"/>
          <w:iCs/>
        </w:rPr>
        <w:t xml:space="preserve">with its main stakeholders: </w:t>
      </w:r>
      <w:r w:rsidR="00194E5A">
        <w:rPr>
          <w:rFonts w:ascii="Arial" w:hAnsi="Arial" w:cs="Arial"/>
          <w:iCs/>
        </w:rPr>
        <w:t>through negotiating price increases with its main clients</w:t>
      </w:r>
      <w:r w:rsidR="00AB057E">
        <w:rPr>
          <w:rFonts w:ascii="Arial" w:hAnsi="Arial" w:cs="Arial"/>
          <w:iCs/>
        </w:rPr>
        <w:t xml:space="preserve"> / informing other clients of the price increases, </w:t>
      </w:r>
      <w:r w:rsidR="000A2085">
        <w:rPr>
          <w:rFonts w:ascii="Arial" w:hAnsi="Arial" w:cs="Arial"/>
          <w:iCs/>
        </w:rPr>
        <w:t xml:space="preserve">starts discussions with its four bank lenders (banks A, B, C and D) and </w:t>
      </w:r>
      <w:r w:rsidR="00606690">
        <w:rPr>
          <w:rFonts w:ascii="Arial" w:hAnsi="Arial" w:cs="Arial"/>
          <w:iCs/>
        </w:rPr>
        <w:t xml:space="preserve">an independent accounting firm is engaged to investigate the </w:t>
      </w:r>
      <w:r w:rsidR="00810A5E">
        <w:rPr>
          <w:rFonts w:ascii="Arial" w:hAnsi="Arial" w:cs="Arial"/>
          <w:iCs/>
        </w:rPr>
        <w:t xml:space="preserve">internal procedures of the Company. </w:t>
      </w:r>
      <w:r w:rsidR="0014220E">
        <w:rPr>
          <w:rFonts w:ascii="Arial" w:hAnsi="Arial" w:cs="Arial"/>
          <w:iCs/>
        </w:rPr>
        <w:t xml:space="preserve">An inquiry </w:t>
      </w:r>
      <w:r w:rsidR="00313955">
        <w:rPr>
          <w:rFonts w:ascii="Arial" w:hAnsi="Arial" w:cs="Arial"/>
          <w:iCs/>
        </w:rPr>
        <w:t xml:space="preserve">into the actual financial position </w:t>
      </w:r>
      <w:r w:rsidR="001926AF">
        <w:rPr>
          <w:rFonts w:ascii="Arial" w:hAnsi="Arial" w:cs="Arial"/>
          <w:iCs/>
        </w:rPr>
        <w:t xml:space="preserve">is made and is revealed that the foreign subsidiaries </w:t>
      </w:r>
      <w:r w:rsidR="000D757C" w:rsidRPr="000D757C">
        <w:rPr>
          <w:rFonts w:ascii="Arial" w:hAnsi="Arial" w:cs="Arial"/>
          <w:iCs/>
        </w:rPr>
        <w:t>have made a loss of € 6.3 million as a result of which total losses of 2013, including a loss of the holding [Flow Management] of €</w:t>
      </w:r>
      <w:r w:rsidR="007654F9">
        <w:rPr>
          <w:rFonts w:ascii="Arial" w:hAnsi="Arial" w:cs="Arial"/>
          <w:iCs/>
        </w:rPr>
        <w:t xml:space="preserve"> </w:t>
      </w:r>
      <w:r w:rsidR="000D757C" w:rsidRPr="000D757C">
        <w:rPr>
          <w:rFonts w:ascii="Arial" w:hAnsi="Arial" w:cs="Arial"/>
          <w:iCs/>
        </w:rPr>
        <w:t xml:space="preserve">11.4 million, amount to € 23.1 million. </w:t>
      </w:r>
      <w:r w:rsidR="007654F9">
        <w:rPr>
          <w:rFonts w:ascii="Arial" w:hAnsi="Arial" w:cs="Arial"/>
          <w:iCs/>
        </w:rPr>
        <w:t>An</w:t>
      </w:r>
      <w:r w:rsidR="000D757C" w:rsidRPr="000D757C">
        <w:rPr>
          <w:rFonts w:ascii="Arial" w:hAnsi="Arial" w:cs="Arial"/>
          <w:iCs/>
        </w:rPr>
        <w:t xml:space="preserve"> independent turnaround consultan</w:t>
      </w:r>
      <w:r w:rsidR="007654F9">
        <w:rPr>
          <w:rFonts w:ascii="Arial" w:hAnsi="Arial" w:cs="Arial"/>
          <w:iCs/>
        </w:rPr>
        <w:t xml:space="preserve">t is also hired during this stage and </w:t>
      </w:r>
      <w:r w:rsidR="000D757C" w:rsidRPr="000D757C">
        <w:rPr>
          <w:rFonts w:ascii="Arial" w:hAnsi="Arial" w:cs="Arial"/>
          <w:iCs/>
        </w:rPr>
        <w:t xml:space="preserve">concludes that the company is viable, with a view to the market share and </w:t>
      </w:r>
      <w:r w:rsidR="000D757C" w:rsidRPr="000D757C">
        <w:rPr>
          <w:rFonts w:ascii="Arial" w:hAnsi="Arial" w:cs="Arial"/>
          <w:iCs/>
        </w:rPr>
        <w:lastRenderedPageBreak/>
        <w:t>achieving the estimated turnovers.</w:t>
      </w:r>
      <w:r w:rsidR="00A45F3E">
        <w:rPr>
          <w:rFonts w:ascii="Arial" w:hAnsi="Arial" w:cs="Arial"/>
          <w:iCs/>
        </w:rPr>
        <w:t xml:space="preserve"> However, </w:t>
      </w:r>
      <w:r w:rsidR="008F6009">
        <w:rPr>
          <w:rFonts w:ascii="Arial" w:hAnsi="Arial" w:cs="Arial"/>
          <w:iCs/>
        </w:rPr>
        <w:t xml:space="preserve">shortly thereafter it is announced that </w:t>
      </w:r>
      <w:r w:rsidR="00F52471" w:rsidRPr="00F52471">
        <w:rPr>
          <w:rFonts w:ascii="Arial" w:hAnsi="Arial" w:cs="Arial"/>
          <w:iCs/>
        </w:rPr>
        <w:t xml:space="preserve">total loss </w:t>
      </w:r>
      <w:r w:rsidR="00F52471">
        <w:rPr>
          <w:rFonts w:ascii="Arial" w:hAnsi="Arial" w:cs="Arial"/>
          <w:iCs/>
        </w:rPr>
        <w:t>is</w:t>
      </w:r>
      <w:r w:rsidR="00F52471" w:rsidRPr="00F52471">
        <w:rPr>
          <w:rFonts w:ascii="Arial" w:hAnsi="Arial" w:cs="Arial"/>
          <w:iCs/>
        </w:rPr>
        <w:t xml:space="preserve"> even higher than </w:t>
      </w:r>
      <w:r w:rsidR="00B0204F">
        <w:rPr>
          <w:rFonts w:ascii="Arial" w:hAnsi="Arial" w:cs="Arial"/>
          <w:iCs/>
        </w:rPr>
        <w:t xml:space="preserve">initially </w:t>
      </w:r>
      <w:r w:rsidR="00F52471" w:rsidRPr="00F52471">
        <w:rPr>
          <w:rFonts w:ascii="Arial" w:hAnsi="Arial" w:cs="Arial"/>
          <w:iCs/>
        </w:rPr>
        <w:t xml:space="preserve">stated </w:t>
      </w:r>
      <w:r w:rsidR="00B0204F">
        <w:rPr>
          <w:rFonts w:ascii="Arial" w:hAnsi="Arial" w:cs="Arial"/>
          <w:iCs/>
        </w:rPr>
        <w:t>and s</w:t>
      </w:r>
      <w:r w:rsidR="00F52471" w:rsidRPr="00F52471">
        <w:rPr>
          <w:rFonts w:ascii="Arial" w:hAnsi="Arial" w:cs="Arial"/>
          <w:iCs/>
        </w:rPr>
        <w:t>olvency</w:t>
      </w:r>
      <w:r w:rsidR="00B0204F">
        <w:rPr>
          <w:rFonts w:ascii="Arial" w:hAnsi="Arial" w:cs="Arial"/>
          <w:iCs/>
        </w:rPr>
        <w:t xml:space="preserve"> </w:t>
      </w:r>
      <w:r w:rsidR="00F52471" w:rsidRPr="00F52471">
        <w:rPr>
          <w:rFonts w:ascii="Arial" w:hAnsi="Arial" w:cs="Arial"/>
          <w:iCs/>
        </w:rPr>
        <w:t>is virtually zero.</w:t>
      </w:r>
      <w:r w:rsidR="00512071">
        <w:rPr>
          <w:rFonts w:ascii="Arial" w:hAnsi="Arial" w:cs="Arial"/>
          <w:iCs/>
        </w:rPr>
        <w:t xml:space="preserve"> </w:t>
      </w:r>
      <w:r w:rsidR="00137702">
        <w:rPr>
          <w:rFonts w:ascii="Arial" w:hAnsi="Arial" w:cs="Arial"/>
          <w:iCs/>
        </w:rPr>
        <w:t xml:space="preserve">In an attempt to continue the restructuring process, a new </w:t>
      </w:r>
      <w:r w:rsidR="007676BA">
        <w:rPr>
          <w:rFonts w:ascii="Arial" w:hAnsi="Arial" w:cs="Arial"/>
          <w:iCs/>
        </w:rPr>
        <w:t xml:space="preserve">CFO </w:t>
      </w:r>
      <w:r w:rsidR="00133FD7">
        <w:rPr>
          <w:rFonts w:ascii="Arial" w:hAnsi="Arial" w:cs="Arial"/>
          <w:iCs/>
        </w:rPr>
        <w:t>is hired</w:t>
      </w:r>
      <w:r w:rsidR="00E14F1C">
        <w:rPr>
          <w:rFonts w:ascii="Arial" w:hAnsi="Arial" w:cs="Arial"/>
          <w:iCs/>
        </w:rPr>
        <w:t xml:space="preserve">, restructuring options are explored, </w:t>
      </w:r>
      <w:r w:rsidR="007A1845">
        <w:rPr>
          <w:rFonts w:ascii="Arial" w:hAnsi="Arial" w:cs="Arial"/>
          <w:iCs/>
        </w:rPr>
        <w:t xml:space="preserve">proposals are made and eventually, </w:t>
      </w:r>
      <w:r w:rsidR="004A3FE7">
        <w:rPr>
          <w:rFonts w:ascii="Arial" w:hAnsi="Arial" w:cs="Arial"/>
          <w:iCs/>
        </w:rPr>
        <w:t xml:space="preserve">a Restructuring Agreement is finally signed. </w:t>
      </w:r>
    </w:p>
    <w:p w14:paraId="767A512F" w14:textId="17A5E57F" w:rsidR="004A3FE7" w:rsidRDefault="004A3FE7" w:rsidP="004A3FE7">
      <w:pPr>
        <w:pStyle w:val="ListParagraph"/>
        <w:numPr>
          <w:ilvl w:val="0"/>
          <w:numId w:val="14"/>
        </w:numPr>
        <w:jc w:val="both"/>
        <w:rPr>
          <w:rFonts w:ascii="Arial" w:hAnsi="Arial" w:cs="Arial"/>
          <w:iCs/>
        </w:rPr>
      </w:pPr>
      <w:r>
        <w:rPr>
          <w:rFonts w:ascii="Arial" w:hAnsi="Arial" w:cs="Arial"/>
          <w:iCs/>
        </w:rPr>
        <w:t xml:space="preserve">Phase III. </w:t>
      </w:r>
      <w:r w:rsidR="006313CF">
        <w:rPr>
          <w:rFonts w:ascii="Arial" w:hAnsi="Arial" w:cs="Arial"/>
          <w:iCs/>
        </w:rPr>
        <w:t xml:space="preserve">Repositioning is the phase where </w:t>
      </w:r>
      <w:r w:rsidR="00433FD5">
        <w:rPr>
          <w:rFonts w:ascii="Arial" w:hAnsi="Arial" w:cs="Arial"/>
          <w:iCs/>
        </w:rPr>
        <w:t>the implementation of the reorganization plan is initiated</w:t>
      </w:r>
      <w:r w:rsidR="00C14609">
        <w:rPr>
          <w:rFonts w:ascii="Arial" w:hAnsi="Arial" w:cs="Arial"/>
          <w:iCs/>
        </w:rPr>
        <w:t xml:space="preserve">, and special emphasis must be made </w:t>
      </w:r>
      <w:r w:rsidR="005C37A0">
        <w:rPr>
          <w:rFonts w:ascii="Arial" w:hAnsi="Arial" w:cs="Arial"/>
          <w:iCs/>
        </w:rPr>
        <w:t>on management’s</w:t>
      </w:r>
      <w:r w:rsidR="00C14609">
        <w:rPr>
          <w:rFonts w:ascii="Arial" w:hAnsi="Arial" w:cs="Arial"/>
          <w:iCs/>
        </w:rPr>
        <w:t xml:space="preserve"> reporting </w:t>
      </w:r>
      <w:r w:rsidR="005C37A0">
        <w:rPr>
          <w:rFonts w:ascii="Arial" w:hAnsi="Arial" w:cs="Arial"/>
          <w:iCs/>
        </w:rPr>
        <w:t>of information in an open and timely manner in order to restore the confidence of interested parties.</w:t>
      </w:r>
    </w:p>
    <w:p w14:paraId="159068BD" w14:textId="32377130" w:rsidR="005C37A0" w:rsidRDefault="00C272EC" w:rsidP="005C37A0">
      <w:pPr>
        <w:jc w:val="both"/>
        <w:rPr>
          <w:rFonts w:ascii="Arial" w:hAnsi="Arial" w:cs="Arial"/>
          <w:iCs/>
        </w:rPr>
      </w:pPr>
      <w:r>
        <w:rPr>
          <w:rFonts w:ascii="Arial" w:hAnsi="Arial" w:cs="Arial"/>
          <w:iCs/>
        </w:rPr>
        <w:t xml:space="preserve">Information sharing </w:t>
      </w:r>
      <w:r w:rsidR="00A12059">
        <w:rPr>
          <w:rFonts w:ascii="Arial" w:hAnsi="Arial" w:cs="Arial"/>
          <w:iCs/>
        </w:rPr>
        <w:t>appears to be problematic in the case of the Flow Management restructuring</w:t>
      </w:r>
      <w:r w:rsidR="005A4B6D">
        <w:rPr>
          <w:rFonts w:ascii="Arial" w:hAnsi="Arial" w:cs="Arial"/>
          <w:iCs/>
        </w:rPr>
        <w:t xml:space="preserve">, and as indicated in my answer to the first question, </w:t>
      </w:r>
      <w:r w:rsidR="00B4087E">
        <w:rPr>
          <w:rFonts w:ascii="Arial" w:hAnsi="Arial" w:cs="Arial"/>
          <w:iCs/>
        </w:rPr>
        <w:t>should have been approached differently by management</w:t>
      </w:r>
      <w:r w:rsidR="00A12059">
        <w:rPr>
          <w:rFonts w:ascii="Arial" w:hAnsi="Arial" w:cs="Arial"/>
          <w:iCs/>
        </w:rPr>
        <w:t xml:space="preserve">. </w:t>
      </w:r>
      <w:r w:rsidR="003523F6">
        <w:rPr>
          <w:rFonts w:ascii="Arial" w:hAnsi="Arial" w:cs="Arial"/>
          <w:iCs/>
        </w:rPr>
        <w:t xml:space="preserve">Multiple times during the attempted reorganization process, </w:t>
      </w:r>
      <w:r w:rsidR="00761EFD" w:rsidRPr="00761EFD">
        <w:rPr>
          <w:rFonts w:ascii="Arial" w:hAnsi="Arial" w:cs="Arial"/>
          <w:iCs/>
        </w:rPr>
        <w:t xml:space="preserve">information about losses has been delivered to stakeholders by piecemeal.  This is tremendously frustrating and raises multiple questions and doubts as to </w:t>
      </w:r>
      <w:r w:rsidR="002D45C9">
        <w:rPr>
          <w:rFonts w:ascii="Arial" w:hAnsi="Arial" w:cs="Arial"/>
          <w:iCs/>
        </w:rPr>
        <w:t>m</w:t>
      </w:r>
      <w:r w:rsidR="00761EFD" w:rsidRPr="00761EFD">
        <w:rPr>
          <w:rFonts w:ascii="Arial" w:hAnsi="Arial" w:cs="Arial"/>
          <w:iCs/>
        </w:rPr>
        <w:t>anagement’s competence and character</w:t>
      </w:r>
      <w:r w:rsidR="002D45C9">
        <w:rPr>
          <w:rFonts w:ascii="Arial" w:hAnsi="Arial" w:cs="Arial"/>
          <w:iCs/>
        </w:rPr>
        <w:t>, which makes it difficult to restore the confidence of interested parties.</w:t>
      </w:r>
      <w:r w:rsidR="00761EFD" w:rsidRPr="00761EFD">
        <w:rPr>
          <w:rFonts w:ascii="Arial" w:hAnsi="Arial" w:cs="Arial"/>
          <w:iCs/>
        </w:rPr>
        <w:t xml:space="preserve">  More importantly, numbers kept changing drastically and rapidly</w:t>
      </w:r>
      <w:r w:rsidR="007B2D54">
        <w:rPr>
          <w:rFonts w:ascii="Arial" w:hAnsi="Arial" w:cs="Arial"/>
          <w:iCs/>
        </w:rPr>
        <w:t>, which may raise stakeholders’ concerns about</w:t>
      </w:r>
      <w:r w:rsidR="00761EFD" w:rsidRPr="00761EFD">
        <w:rPr>
          <w:rFonts w:ascii="Arial" w:hAnsi="Arial" w:cs="Arial"/>
          <w:iCs/>
        </w:rPr>
        <w:t xml:space="preserve"> gross negligence in the management of this business or of foul play.  </w:t>
      </w:r>
    </w:p>
    <w:p w14:paraId="3F34F7FA" w14:textId="2D79E2DD" w:rsidR="00606942" w:rsidRDefault="00606942" w:rsidP="00606942">
      <w:pPr>
        <w:pStyle w:val="ListParagraph"/>
        <w:numPr>
          <w:ilvl w:val="0"/>
          <w:numId w:val="14"/>
        </w:numPr>
        <w:jc w:val="both"/>
        <w:rPr>
          <w:rFonts w:ascii="Arial" w:hAnsi="Arial" w:cs="Arial"/>
          <w:iCs/>
        </w:rPr>
      </w:pPr>
      <w:r w:rsidRPr="00606942">
        <w:rPr>
          <w:rFonts w:ascii="Arial" w:hAnsi="Arial" w:cs="Arial"/>
          <w:iCs/>
        </w:rPr>
        <w:t>Phase I</w:t>
      </w:r>
      <w:r>
        <w:rPr>
          <w:rFonts w:ascii="Arial" w:hAnsi="Arial" w:cs="Arial"/>
          <w:iCs/>
        </w:rPr>
        <w:t>V</w:t>
      </w:r>
      <w:r w:rsidRPr="00606942">
        <w:rPr>
          <w:rFonts w:ascii="Arial" w:hAnsi="Arial" w:cs="Arial"/>
          <w:iCs/>
        </w:rPr>
        <w:t>.</w:t>
      </w:r>
      <w:r w:rsidR="006900F9">
        <w:rPr>
          <w:rFonts w:ascii="Arial" w:hAnsi="Arial" w:cs="Arial"/>
          <w:iCs/>
        </w:rPr>
        <w:t xml:space="preserve"> Reinforcing requires </w:t>
      </w:r>
      <w:r w:rsidR="00D15795">
        <w:rPr>
          <w:rFonts w:ascii="Arial" w:hAnsi="Arial" w:cs="Arial"/>
          <w:iCs/>
        </w:rPr>
        <w:t xml:space="preserve">looking into changes of the management structure, and </w:t>
      </w:r>
      <w:r w:rsidR="00C725DD">
        <w:rPr>
          <w:rFonts w:ascii="Arial" w:hAnsi="Arial" w:cs="Arial"/>
          <w:iCs/>
        </w:rPr>
        <w:t>the balance sheet.</w:t>
      </w:r>
    </w:p>
    <w:p w14:paraId="694D7749" w14:textId="77777777" w:rsidR="00FA539E" w:rsidRDefault="00C725DD" w:rsidP="00C725DD">
      <w:pPr>
        <w:jc w:val="both"/>
        <w:rPr>
          <w:rFonts w:ascii="Arial" w:hAnsi="Arial" w:cs="Arial"/>
          <w:iCs/>
        </w:rPr>
      </w:pPr>
      <w:r>
        <w:rPr>
          <w:rFonts w:ascii="Arial" w:hAnsi="Arial" w:cs="Arial"/>
          <w:iCs/>
        </w:rPr>
        <w:t xml:space="preserve">Indeed, </w:t>
      </w:r>
      <w:r w:rsidR="00200466">
        <w:rPr>
          <w:rFonts w:ascii="Arial" w:hAnsi="Arial" w:cs="Arial"/>
          <w:iCs/>
        </w:rPr>
        <w:t xml:space="preserve">some </w:t>
      </w:r>
      <w:r w:rsidR="00E66E29">
        <w:rPr>
          <w:rFonts w:ascii="Arial" w:hAnsi="Arial" w:cs="Arial"/>
          <w:iCs/>
        </w:rPr>
        <w:t xml:space="preserve">changes of the management structure </w:t>
      </w:r>
      <w:r w:rsidR="00E16437">
        <w:rPr>
          <w:rFonts w:ascii="Arial" w:hAnsi="Arial" w:cs="Arial"/>
          <w:iCs/>
        </w:rPr>
        <w:t xml:space="preserve">have been deployed in the case of Flow Management: </w:t>
      </w:r>
      <w:r w:rsidR="00AB0C47">
        <w:rPr>
          <w:rFonts w:ascii="Arial" w:hAnsi="Arial" w:cs="Arial"/>
          <w:iCs/>
        </w:rPr>
        <w:t>it announces that it will appoint a new CFO</w:t>
      </w:r>
      <w:r w:rsidR="00200466">
        <w:rPr>
          <w:rFonts w:ascii="Arial" w:hAnsi="Arial" w:cs="Arial"/>
          <w:iCs/>
        </w:rPr>
        <w:t xml:space="preserve">, </w:t>
      </w:r>
      <w:r w:rsidR="00CE60C2">
        <w:rPr>
          <w:rFonts w:ascii="Arial" w:hAnsi="Arial" w:cs="Arial"/>
          <w:iCs/>
        </w:rPr>
        <w:t>the CEO is replaced by the board of the shareholder company</w:t>
      </w:r>
      <w:r w:rsidR="002852E3">
        <w:rPr>
          <w:rFonts w:ascii="Arial" w:hAnsi="Arial" w:cs="Arial"/>
          <w:iCs/>
        </w:rPr>
        <w:t xml:space="preserve">, a CRO is eventually appointed </w:t>
      </w:r>
      <w:r w:rsidR="001B0253">
        <w:rPr>
          <w:rFonts w:ascii="Arial" w:hAnsi="Arial" w:cs="Arial"/>
          <w:iCs/>
        </w:rPr>
        <w:t>in the board at the banks’ initiation</w:t>
      </w:r>
      <w:r w:rsidR="00FA539E">
        <w:rPr>
          <w:rFonts w:ascii="Arial" w:hAnsi="Arial" w:cs="Arial"/>
          <w:iCs/>
        </w:rPr>
        <w:t>.</w:t>
      </w:r>
    </w:p>
    <w:p w14:paraId="6761DFBB" w14:textId="379E5BEF" w:rsidR="00C725DD" w:rsidRPr="00FA539E" w:rsidRDefault="001B0253" w:rsidP="00C725DD">
      <w:pPr>
        <w:jc w:val="both"/>
        <w:rPr>
          <w:rFonts w:ascii="Arial" w:hAnsi="Arial" w:cs="Arial"/>
          <w:iCs/>
        </w:rPr>
      </w:pPr>
      <w:r>
        <w:rPr>
          <w:rFonts w:ascii="Arial" w:hAnsi="Arial" w:cs="Arial"/>
          <w:iCs/>
        </w:rPr>
        <w:t xml:space="preserve"> </w:t>
      </w:r>
      <w:r w:rsidR="00FA539E">
        <w:rPr>
          <w:rFonts w:ascii="Arial" w:hAnsi="Arial" w:cs="Arial"/>
          <w:i/>
        </w:rPr>
        <w:t>Financial restructuring,</w:t>
      </w:r>
      <w:r w:rsidR="00FA539E">
        <w:rPr>
          <w:rFonts w:ascii="Arial" w:hAnsi="Arial" w:cs="Arial"/>
          <w:iCs/>
        </w:rPr>
        <w:t xml:space="preserve"> as discussed in the </w:t>
      </w:r>
      <w:r w:rsidR="00FA539E" w:rsidRPr="00FA539E">
        <w:rPr>
          <w:rFonts w:ascii="Arial" w:hAnsi="Arial" w:cs="Arial"/>
          <w:iCs/>
        </w:rPr>
        <w:t>Adriaanse &amp; Kuijl, 2006</w:t>
      </w:r>
      <w:r w:rsidR="00FA539E">
        <w:rPr>
          <w:rFonts w:ascii="Arial" w:hAnsi="Arial" w:cs="Arial"/>
          <w:iCs/>
        </w:rPr>
        <w:t xml:space="preserve"> article is also </w:t>
      </w:r>
      <w:r w:rsidR="00686474">
        <w:rPr>
          <w:rFonts w:ascii="Arial" w:hAnsi="Arial" w:cs="Arial"/>
          <w:iCs/>
        </w:rPr>
        <w:t>applied in the case of Flow Management</w:t>
      </w:r>
      <w:r w:rsidR="00712A61">
        <w:rPr>
          <w:rFonts w:ascii="Arial" w:hAnsi="Arial" w:cs="Arial"/>
          <w:iCs/>
        </w:rPr>
        <w:t xml:space="preserve"> </w:t>
      </w:r>
      <w:r w:rsidR="00900A12">
        <w:rPr>
          <w:rFonts w:ascii="Arial" w:hAnsi="Arial" w:cs="Arial"/>
          <w:iCs/>
        </w:rPr>
        <w:t>although it may not have been optimal</w:t>
      </w:r>
      <w:r w:rsidR="00311CC2">
        <w:rPr>
          <w:rFonts w:ascii="Arial" w:hAnsi="Arial" w:cs="Arial"/>
          <w:iCs/>
        </w:rPr>
        <w:t xml:space="preserve"> to effectively reorganize the Company</w:t>
      </w:r>
      <w:r w:rsidR="00900A12">
        <w:rPr>
          <w:rFonts w:ascii="Arial" w:hAnsi="Arial" w:cs="Arial"/>
          <w:iCs/>
        </w:rPr>
        <w:t xml:space="preserve">. Relevant creditors indeed voluntarily commit to revised </w:t>
      </w:r>
      <w:r w:rsidR="00083D2E">
        <w:rPr>
          <w:rFonts w:ascii="Arial" w:hAnsi="Arial" w:cs="Arial"/>
          <w:iCs/>
        </w:rPr>
        <w:t xml:space="preserve">terms of the funding they made available, through the Restructuring Agreement </w:t>
      </w:r>
      <w:r w:rsidR="00EB30C2">
        <w:rPr>
          <w:rFonts w:ascii="Arial" w:hAnsi="Arial" w:cs="Arial"/>
          <w:iCs/>
        </w:rPr>
        <w:t>signed in July 2015</w:t>
      </w:r>
      <w:r w:rsidR="001F4AED">
        <w:rPr>
          <w:rFonts w:ascii="Arial" w:hAnsi="Arial" w:cs="Arial"/>
          <w:iCs/>
        </w:rPr>
        <w:t xml:space="preserve"> </w:t>
      </w:r>
      <w:r w:rsidR="001F4AED" w:rsidRPr="001F4AED">
        <w:rPr>
          <w:rFonts w:ascii="Arial" w:hAnsi="Arial" w:cs="Arial"/>
          <w:iCs/>
        </w:rPr>
        <w:t>where the main drivers were minimizing loss of value and maximizing recovery</w:t>
      </w:r>
      <w:r w:rsidR="001F4AED">
        <w:rPr>
          <w:rFonts w:ascii="Arial" w:hAnsi="Arial" w:cs="Arial"/>
          <w:iCs/>
        </w:rPr>
        <w:t xml:space="preserve">. </w:t>
      </w:r>
      <w:r w:rsidR="00563BD7">
        <w:rPr>
          <w:rFonts w:ascii="Arial" w:hAnsi="Arial" w:cs="Arial"/>
          <w:iCs/>
        </w:rPr>
        <w:t xml:space="preserve">That said, it does not seem that new funding was made available </w:t>
      </w:r>
      <w:r w:rsidR="00BC3954">
        <w:rPr>
          <w:rFonts w:ascii="Arial" w:hAnsi="Arial" w:cs="Arial"/>
          <w:iCs/>
        </w:rPr>
        <w:t xml:space="preserve">by </w:t>
      </w:r>
      <w:r w:rsidR="008E6B21">
        <w:rPr>
          <w:rFonts w:ascii="Arial" w:hAnsi="Arial" w:cs="Arial"/>
          <w:iCs/>
        </w:rPr>
        <w:t xml:space="preserve">the lenders or the shareholders: </w:t>
      </w:r>
      <w:r w:rsidR="006B5212">
        <w:rPr>
          <w:rFonts w:ascii="Arial" w:hAnsi="Arial" w:cs="Arial"/>
          <w:iCs/>
        </w:rPr>
        <w:t xml:space="preserve">banks initially put pressure on the shareholder to raise </w:t>
      </w:r>
      <w:r w:rsidR="009914E4" w:rsidRPr="000D757C">
        <w:rPr>
          <w:rFonts w:ascii="Arial" w:hAnsi="Arial" w:cs="Arial"/>
          <w:iCs/>
        </w:rPr>
        <w:t xml:space="preserve">€ </w:t>
      </w:r>
      <w:r w:rsidR="009914E4">
        <w:rPr>
          <w:rFonts w:ascii="Arial" w:hAnsi="Arial" w:cs="Arial"/>
          <w:iCs/>
        </w:rPr>
        <w:t>35</w:t>
      </w:r>
      <w:r w:rsidR="009914E4" w:rsidRPr="000D757C">
        <w:rPr>
          <w:rFonts w:ascii="Arial" w:hAnsi="Arial" w:cs="Arial"/>
          <w:iCs/>
        </w:rPr>
        <w:t xml:space="preserve"> million</w:t>
      </w:r>
      <w:r w:rsidR="009914E4">
        <w:rPr>
          <w:rFonts w:ascii="Arial" w:hAnsi="Arial" w:cs="Arial"/>
          <w:iCs/>
        </w:rPr>
        <w:t xml:space="preserve"> in order to repay part of the debts, </w:t>
      </w:r>
      <w:r w:rsidR="00AA64BB">
        <w:rPr>
          <w:rFonts w:ascii="Arial" w:hAnsi="Arial" w:cs="Arial"/>
          <w:iCs/>
        </w:rPr>
        <w:t xml:space="preserve">which does not </w:t>
      </w:r>
      <w:r w:rsidR="0016529B">
        <w:rPr>
          <w:rFonts w:ascii="Arial" w:hAnsi="Arial" w:cs="Arial"/>
          <w:iCs/>
        </w:rPr>
        <w:t xml:space="preserve">seem to </w:t>
      </w:r>
      <w:r w:rsidR="00AA64BB">
        <w:rPr>
          <w:rFonts w:ascii="Arial" w:hAnsi="Arial" w:cs="Arial"/>
          <w:iCs/>
        </w:rPr>
        <w:t xml:space="preserve">take place, and it is unclear if the </w:t>
      </w:r>
      <w:r w:rsidR="003D77BA">
        <w:rPr>
          <w:rFonts w:ascii="Arial" w:hAnsi="Arial" w:cs="Arial"/>
          <w:iCs/>
        </w:rPr>
        <w:t xml:space="preserve">additional </w:t>
      </w:r>
      <w:r w:rsidR="003D77BA" w:rsidRPr="000D757C">
        <w:rPr>
          <w:rFonts w:ascii="Arial" w:hAnsi="Arial" w:cs="Arial"/>
          <w:iCs/>
        </w:rPr>
        <w:t xml:space="preserve">€ </w:t>
      </w:r>
      <w:r w:rsidR="003D77BA">
        <w:rPr>
          <w:rFonts w:ascii="Arial" w:hAnsi="Arial" w:cs="Arial"/>
          <w:iCs/>
        </w:rPr>
        <w:t>12.5</w:t>
      </w:r>
      <w:r w:rsidR="003D77BA" w:rsidRPr="000D757C">
        <w:rPr>
          <w:rFonts w:ascii="Arial" w:hAnsi="Arial" w:cs="Arial"/>
          <w:iCs/>
        </w:rPr>
        <w:t xml:space="preserve"> million</w:t>
      </w:r>
      <w:r w:rsidR="003D77BA">
        <w:rPr>
          <w:rFonts w:ascii="Arial" w:hAnsi="Arial" w:cs="Arial"/>
          <w:iCs/>
        </w:rPr>
        <w:t xml:space="preserve"> </w:t>
      </w:r>
      <w:r w:rsidR="00194278">
        <w:rPr>
          <w:rFonts w:ascii="Arial" w:hAnsi="Arial" w:cs="Arial"/>
          <w:iCs/>
        </w:rPr>
        <w:t>to strengthen the equity capital position was ever contributed by the shareholder</w:t>
      </w:r>
      <w:r w:rsidR="00B91043">
        <w:rPr>
          <w:rFonts w:ascii="Arial" w:hAnsi="Arial" w:cs="Arial"/>
          <w:iCs/>
        </w:rPr>
        <w:t xml:space="preserve"> (on the contrary, it is </w:t>
      </w:r>
      <w:r w:rsidR="008206B6">
        <w:rPr>
          <w:rFonts w:ascii="Arial" w:hAnsi="Arial" w:cs="Arial"/>
          <w:iCs/>
        </w:rPr>
        <w:t xml:space="preserve">mentioned that injection of </w:t>
      </w:r>
      <w:r w:rsidR="007508D7">
        <w:rPr>
          <w:rFonts w:ascii="Arial" w:hAnsi="Arial" w:cs="Arial"/>
          <w:iCs/>
        </w:rPr>
        <w:t xml:space="preserve">necessary capital by the shareholder will “possibly not be taken”). </w:t>
      </w:r>
    </w:p>
    <w:p w14:paraId="35921FCE" w14:textId="40DF8DDE" w:rsidR="00F65FB9" w:rsidRPr="008C600D" w:rsidRDefault="00720DE8" w:rsidP="00E5410F">
      <w:pPr>
        <w:jc w:val="both"/>
        <w:rPr>
          <w:rFonts w:ascii="Arial" w:hAnsi="Arial" w:cs="Arial"/>
          <w:b/>
          <w:bCs/>
          <w:iCs/>
        </w:rPr>
      </w:pPr>
      <w:r w:rsidRPr="008C600D">
        <w:rPr>
          <w:rFonts w:ascii="Arial" w:hAnsi="Arial" w:cs="Arial"/>
          <w:b/>
          <w:bCs/>
          <w:iCs/>
        </w:rPr>
        <w:t>Importance of stakeholder influences</w:t>
      </w:r>
      <w:r w:rsidR="001D303F">
        <w:rPr>
          <w:rFonts w:ascii="Arial" w:hAnsi="Arial" w:cs="Arial"/>
          <w:b/>
          <w:bCs/>
          <w:iCs/>
        </w:rPr>
        <w:t xml:space="preserve"> in company turnaround </w:t>
      </w:r>
    </w:p>
    <w:p w14:paraId="4FE1C7DA" w14:textId="19320369" w:rsidR="00720DE8" w:rsidRDefault="001D303F" w:rsidP="00E5410F">
      <w:pPr>
        <w:jc w:val="both"/>
        <w:rPr>
          <w:rFonts w:ascii="Arial" w:hAnsi="Arial" w:cs="Arial"/>
          <w:iCs/>
        </w:rPr>
      </w:pPr>
      <w:r>
        <w:rPr>
          <w:rFonts w:ascii="Arial" w:hAnsi="Arial" w:cs="Arial"/>
          <w:iCs/>
        </w:rPr>
        <w:t xml:space="preserve">The Pajunen 2006 paper </w:t>
      </w:r>
      <w:r w:rsidR="00BC709F">
        <w:rPr>
          <w:rFonts w:ascii="Arial" w:hAnsi="Arial" w:cs="Arial"/>
          <w:iCs/>
        </w:rPr>
        <w:t xml:space="preserve">discusses the importance of identifying the </w:t>
      </w:r>
      <w:r w:rsidR="00FD6F71">
        <w:rPr>
          <w:rFonts w:ascii="Arial" w:hAnsi="Arial" w:cs="Arial"/>
          <w:iCs/>
        </w:rPr>
        <w:t xml:space="preserve">influential stakeholders </w:t>
      </w:r>
      <w:r w:rsidR="00500806">
        <w:rPr>
          <w:rFonts w:ascii="Arial" w:hAnsi="Arial" w:cs="Arial"/>
          <w:iCs/>
        </w:rPr>
        <w:t xml:space="preserve">in the turnaround process and </w:t>
      </w:r>
      <w:r w:rsidR="00740D04">
        <w:rPr>
          <w:rFonts w:ascii="Arial" w:hAnsi="Arial" w:cs="Arial"/>
          <w:iCs/>
        </w:rPr>
        <w:t xml:space="preserve">how </w:t>
      </w:r>
      <w:r w:rsidR="00F043AD">
        <w:rPr>
          <w:rFonts w:ascii="Arial" w:hAnsi="Arial" w:cs="Arial"/>
          <w:iCs/>
        </w:rPr>
        <w:t>handling them</w:t>
      </w:r>
      <w:r w:rsidR="00740D04">
        <w:rPr>
          <w:rFonts w:ascii="Arial" w:hAnsi="Arial" w:cs="Arial"/>
          <w:iCs/>
        </w:rPr>
        <w:t xml:space="preserve"> based on their importance may </w:t>
      </w:r>
      <w:r w:rsidR="00F043AD">
        <w:rPr>
          <w:rFonts w:ascii="Arial" w:hAnsi="Arial" w:cs="Arial"/>
          <w:iCs/>
        </w:rPr>
        <w:t xml:space="preserve">be operationalized to achieve successful restructuring. </w:t>
      </w:r>
      <w:r w:rsidR="00963B58">
        <w:rPr>
          <w:rFonts w:ascii="Arial" w:hAnsi="Arial" w:cs="Arial"/>
          <w:iCs/>
        </w:rPr>
        <w:t xml:space="preserve">In particular, the paper argues that </w:t>
      </w:r>
      <w:r w:rsidR="00C27DCD">
        <w:rPr>
          <w:rFonts w:ascii="Arial" w:hAnsi="Arial" w:cs="Arial"/>
          <w:iCs/>
        </w:rPr>
        <w:t xml:space="preserve">the distressed company must ensure the support by the critical (influential stakeholders) </w:t>
      </w:r>
      <w:r w:rsidR="00C04EE1">
        <w:rPr>
          <w:rFonts w:ascii="Arial" w:hAnsi="Arial" w:cs="Arial"/>
          <w:iCs/>
        </w:rPr>
        <w:t xml:space="preserve">through undertaking management replacements if necessary and continuous communication </w:t>
      </w:r>
      <w:r w:rsidR="005679D9">
        <w:rPr>
          <w:rFonts w:ascii="Arial" w:hAnsi="Arial" w:cs="Arial"/>
          <w:iCs/>
        </w:rPr>
        <w:t xml:space="preserve">with the critical stakeholders in order to </w:t>
      </w:r>
      <w:r w:rsidR="00C611EC">
        <w:rPr>
          <w:rFonts w:ascii="Arial" w:hAnsi="Arial" w:cs="Arial"/>
          <w:iCs/>
        </w:rPr>
        <w:t xml:space="preserve">positively influence their perceptions. </w:t>
      </w:r>
      <w:r w:rsidR="00DF613F">
        <w:rPr>
          <w:rFonts w:ascii="Arial" w:hAnsi="Arial" w:cs="Arial"/>
          <w:iCs/>
        </w:rPr>
        <w:t>In the Flow Man</w:t>
      </w:r>
      <w:r w:rsidR="00100AB5">
        <w:rPr>
          <w:rFonts w:ascii="Arial" w:hAnsi="Arial" w:cs="Arial"/>
          <w:iCs/>
        </w:rPr>
        <w:t xml:space="preserve">agement case, </w:t>
      </w:r>
      <w:r w:rsidR="00BB70B0">
        <w:rPr>
          <w:rFonts w:ascii="Arial" w:hAnsi="Arial" w:cs="Arial"/>
          <w:iCs/>
        </w:rPr>
        <w:t xml:space="preserve">the four </w:t>
      </w:r>
      <w:r w:rsidR="00006E0B">
        <w:rPr>
          <w:rFonts w:ascii="Arial" w:hAnsi="Arial" w:cs="Arial"/>
          <w:iCs/>
        </w:rPr>
        <w:t xml:space="preserve">bank lenders can quickly be identified as the most influential </w:t>
      </w:r>
      <w:r w:rsidR="00ED2B46">
        <w:rPr>
          <w:rFonts w:ascii="Arial" w:hAnsi="Arial" w:cs="Arial"/>
          <w:iCs/>
        </w:rPr>
        <w:t xml:space="preserve">stakeholders </w:t>
      </w:r>
      <w:r w:rsidR="00A32250">
        <w:rPr>
          <w:rFonts w:ascii="Arial" w:hAnsi="Arial" w:cs="Arial"/>
          <w:iCs/>
        </w:rPr>
        <w:t xml:space="preserve">with banks A and B </w:t>
      </w:r>
      <w:r w:rsidR="004E6402">
        <w:rPr>
          <w:rFonts w:ascii="Arial" w:hAnsi="Arial" w:cs="Arial"/>
          <w:iCs/>
        </w:rPr>
        <w:t xml:space="preserve">being </w:t>
      </w:r>
      <w:r w:rsidR="00006E0B">
        <w:rPr>
          <w:rFonts w:ascii="Arial" w:hAnsi="Arial" w:cs="Arial"/>
          <w:iCs/>
        </w:rPr>
        <w:t xml:space="preserve">“governing” </w:t>
      </w:r>
      <w:r w:rsidR="005E0B19">
        <w:rPr>
          <w:rFonts w:ascii="Arial" w:hAnsi="Arial" w:cs="Arial"/>
          <w:iCs/>
        </w:rPr>
        <w:t>stakeholders</w:t>
      </w:r>
      <w:r w:rsidR="00ED2B46">
        <w:rPr>
          <w:rFonts w:ascii="Arial" w:hAnsi="Arial" w:cs="Arial"/>
          <w:iCs/>
        </w:rPr>
        <w:t>, as defined in the Pajunen 2006 paper</w:t>
      </w:r>
      <w:r w:rsidR="004E6402">
        <w:rPr>
          <w:rFonts w:ascii="Arial" w:hAnsi="Arial" w:cs="Arial"/>
          <w:iCs/>
        </w:rPr>
        <w:t xml:space="preserve"> (</w:t>
      </w:r>
      <w:r w:rsidR="00A709A0">
        <w:rPr>
          <w:rFonts w:ascii="Arial" w:hAnsi="Arial" w:cs="Arial"/>
          <w:iCs/>
        </w:rPr>
        <w:t xml:space="preserve">particularly when they contemplate buying out banks C and D when they threaten to frustrate the process) and </w:t>
      </w:r>
      <w:r w:rsidR="00E20AEF">
        <w:rPr>
          <w:rFonts w:ascii="Arial" w:hAnsi="Arial" w:cs="Arial"/>
          <w:iCs/>
        </w:rPr>
        <w:t xml:space="preserve">banks C and D being </w:t>
      </w:r>
      <w:r w:rsidR="00E20AEF">
        <w:rPr>
          <w:rFonts w:ascii="Arial" w:hAnsi="Arial" w:cs="Arial"/>
          <w:iCs/>
        </w:rPr>
        <w:lastRenderedPageBreak/>
        <w:t xml:space="preserve">“potential” stakeholders, </w:t>
      </w:r>
      <w:r w:rsidR="00842E0F">
        <w:rPr>
          <w:rFonts w:ascii="Arial" w:hAnsi="Arial" w:cs="Arial"/>
          <w:iCs/>
        </w:rPr>
        <w:t xml:space="preserve">becoming governing stakeholders </w:t>
      </w:r>
      <w:r w:rsidR="007C7536">
        <w:rPr>
          <w:rFonts w:ascii="Arial" w:hAnsi="Arial" w:cs="Arial"/>
          <w:iCs/>
        </w:rPr>
        <w:t xml:space="preserve">when they </w:t>
      </w:r>
      <w:r w:rsidR="007E7D1F">
        <w:rPr>
          <w:rFonts w:ascii="Arial" w:hAnsi="Arial" w:cs="Arial"/>
          <w:iCs/>
        </w:rPr>
        <w:t xml:space="preserve">start </w:t>
      </w:r>
      <w:r w:rsidR="00341B03">
        <w:rPr>
          <w:rFonts w:ascii="Arial" w:hAnsi="Arial" w:cs="Arial"/>
          <w:iCs/>
        </w:rPr>
        <w:t xml:space="preserve">lacking confidence in the Company and </w:t>
      </w:r>
      <w:r w:rsidR="00447AC3">
        <w:rPr>
          <w:rFonts w:ascii="Arial" w:hAnsi="Arial" w:cs="Arial"/>
          <w:iCs/>
        </w:rPr>
        <w:t xml:space="preserve">hesitate to sign a standstill agreement, thereby </w:t>
      </w:r>
      <w:r w:rsidR="002B161A">
        <w:rPr>
          <w:rFonts w:ascii="Arial" w:hAnsi="Arial" w:cs="Arial"/>
          <w:iCs/>
        </w:rPr>
        <w:t>jeopardizing the restructuring process</w:t>
      </w:r>
      <w:r w:rsidR="006A1BDE">
        <w:rPr>
          <w:rFonts w:ascii="Arial" w:hAnsi="Arial" w:cs="Arial"/>
          <w:iCs/>
        </w:rPr>
        <w:t xml:space="preserve">. </w:t>
      </w:r>
      <w:r w:rsidR="00E16B55">
        <w:rPr>
          <w:rFonts w:ascii="Arial" w:hAnsi="Arial" w:cs="Arial"/>
          <w:iCs/>
        </w:rPr>
        <w:t xml:space="preserve">The banks critically influence the process, </w:t>
      </w:r>
      <w:r w:rsidR="00DD23C6">
        <w:rPr>
          <w:rFonts w:ascii="Arial" w:hAnsi="Arial" w:cs="Arial"/>
          <w:iCs/>
        </w:rPr>
        <w:t>when they appoint (at bank A</w:t>
      </w:r>
      <w:r w:rsidR="009A1CF2">
        <w:rPr>
          <w:rFonts w:ascii="Arial" w:hAnsi="Arial" w:cs="Arial"/>
          <w:iCs/>
        </w:rPr>
        <w:t>’s</w:t>
      </w:r>
      <w:r w:rsidR="00DD23C6">
        <w:rPr>
          <w:rFonts w:ascii="Arial" w:hAnsi="Arial" w:cs="Arial"/>
          <w:iCs/>
        </w:rPr>
        <w:t xml:space="preserve"> instigation) </w:t>
      </w:r>
      <w:r w:rsidR="006E73F8">
        <w:rPr>
          <w:rFonts w:ascii="Arial" w:hAnsi="Arial" w:cs="Arial"/>
          <w:iCs/>
        </w:rPr>
        <w:t>a CRO in the board of the Company</w:t>
      </w:r>
      <w:r w:rsidR="00DA3533">
        <w:rPr>
          <w:rFonts w:ascii="Arial" w:hAnsi="Arial" w:cs="Arial"/>
          <w:iCs/>
        </w:rPr>
        <w:t xml:space="preserve">. </w:t>
      </w:r>
    </w:p>
    <w:p w14:paraId="0B968D6B" w14:textId="22FD7560" w:rsidR="003B020B" w:rsidRDefault="00DA3533" w:rsidP="00E5410F">
      <w:pPr>
        <w:jc w:val="both"/>
        <w:rPr>
          <w:rFonts w:ascii="Arial" w:hAnsi="Arial" w:cs="Arial"/>
          <w:iCs/>
        </w:rPr>
      </w:pPr>
      <w:r>
        <w:rPr>
          <w:rFonts w:ascii="Arial" w:hAnsi="Arial" w:cs="Arial"/>
          <w:iCs/>
        </w:rPr>
        <w:t xml:space="preserve">The CRO </w:t>
      </w:r>
      <w:r w:rsidR="003066F0">
        <w:rPr>
          <w:rFonts w:ascii="Arial" w:hAnsi="Arial" w:cs="Arial"/>
          <w:iCs/>
        </w:rPr>
        <w:t>may also be identified as</w:t>
      </w:r>
      <w:r>
        <w:rPr>
          <w:rFonts w:ascii="Arial" w:hAnsi="Arial" w:cs="Arial"/>
          <w:iCs/>
        </w:rPr>
        <w:t xml:space="preserve"> “</w:t>
      </w:r>
      <w:r w:rsidR="003066F0">
        <w:rPr>
          <w:rFonts w:ascii="Arial" w:hAnsi="Arial" w:cs="Arial"/>
          <w:iCs/>
        </w:rPr>
        <w:t xml:space="preserve">governing” stakeholder as </w:t>
      </w:r>
      <w:r w:rsidR="00DE193A">
        <w:rPr>
          <w:rFonts w:ascii="Arial" w:hAnsi="Arial" w:cs="Arial"/>
          <w:iCs/>
        </w:rPr>
        <w:t>s</w:t>
      </w:r>
      <w:r w:rsidR="003066F0">
        <w:rPr>
          <w:rFonts w:ascii="Arial" w:hAnsi="Arial" w:cs="Arial"/>
          <w:iCs/>
        </w:rPr>
        <w:t xml:space="preserve">he is entrusted by the banks to </w:t>
      </w:r>
      <w:r w:rsidR="00C40163">
        <w:rPr>
          <w:rFonts w:ascii="Arial" w:hAnsi="Arial" w:cs="Arial"/>
          <w:iCs/>
        </w:rPr>
        <w:t xml:space="preserve">be their “eyes and ears” into the management of the company and is </w:t>
      </w:r>
      <w:r w:rsidR="00D553FA">
        <w:rPr>
          <w:rFonts w:ascii="Arial" w:hAnsi="Arial" w:cs="Arial"/>
          <w:iCs/>
        </w:rPr>
        <w:t xml:space="preserve">credited with the “slight result improvement” that eventually leads to </w:t>
      </w:r>
      <w:r w:rsidR="00B9394C">
        <w:rPr>
          <w:rFonts w:ascii="Arial" w:hAnsi="Arial" w:cs="Arial"/>
          <w:iCs/>
        </w:rPr>
        <w:t xml:space="preserve">their decision to pursue a standstill agreement in the short term. </w:t>
      </w:r>
      <w:r w:rsidR="00FD69A6">
        <w:rPr>
          <w:rFonts w:ascii="Arial" w:hAnsi="Arial" w:cs="Arial"/>
          <w:iCs/>
        </w:rPr>
        <w:t xml:space="preserve">The January 2015 Restructuring Agreement envisages the CRO as one of the board members </w:t>
      </w:r>
      <w:r w:rsidR="00AE2862">
        <w:rPr>
          <w:rFonts w:ascii="Arial" w:hAnsi="Arial" w:cs="Arial"/>
          <w:iCs/>
        </w:rPr>
        <w:t>that receives shares in the NewCo (</w:t>
      </w:r>
      <w:r w:rsidR="00660110">
        <w:rPr>
          <w:rFonts w:ascii="Arial" w:hAnsi="Arial" w:cs="Arial"/>
          <w:iCs/>
        </w:rPr>
        <w:t xml:space="preserve">Flow Management II BV). </w:t>
      </w:r>
    </w:p>
    <w:p w14:paraId="6128F7FD" w14:textId="31512CF9" w:rsidR="003B020B" w:rsidRDefault="003B020B" w:rsidP="00E5410F">
      <w:pPr>
        <w:jc w:val="both"/>
        <w:rPr>
          <w:rFonts w:ascii="Arial" w:hAnsi="Arial" w:cs="Arial"/>
          <w:iCs/>
        </w:rPr>
      </w:pPr>
      <w:r>
        <w:rPr>
          <w:rFonts w:ascii="Arial" w:hAnsi="Arial" w:cs="Arial"/>
          <w:iCs/>
        </w:rPr>
        <w:t>“Minor” stakeholders</w:t>
      </w:r>
      <w:r w:rsidR="009A1CF2">
        <w:rPr>
          <w:rFonts w:ascii="Arial" w:hAnsi="Arial" w:cs="Arial"/>
          <w:iCs/>
        </w:rPr>
        <w:t xml:space="preserve"> would be the main clients</w:t>
      </w:r>
      <w:r w:rsidR="004E3132">
        <w:rPr>
          <w:rFonts w:ascii="Arial" w:hAnsi="Arial" w:cs="Arial"/>
          <w:iCs/>
        </w:rPr>
        <w:t xml:space="preserve"> of the Company as they seem to be going ahead with the </w:t>
      </w:r>
      <w:r w:rsidR="00F5732B">
        <w:rPr>
          <w:rFonts w:ascii="Arial" w:hAnsi="Arial" w:cs="Arial"/>
          <w:iCs/>
        </w:rPr>
        <w:t>price increases and do not pose difficulties in the process</w:t>
      </w:r>
      <w:r w:rsidR="00616808">
        <w:rPr>
          <w:rFonts w:ascii="Arial" w:hAnsi="Arial" w:cs="Arial"/>
          <w:iCs/>
        </w:rPr>
        <w:t xml:space="preserve">, the other contacts/clients may also be identified as “minor” as they also seem to be </w:t>
      </w:r>
      <w:r w:rsidR="00EB4BC8">
        <w:rPr>
          <w:rFonts w:ascii="Arial" w:hAnsi="Arial" w:cs="Arial"/>
          <w:iCs/>
        </w:rPr>
        <w:t xml:space="preserve">fine with the price </w:t>
      </w:r>
      <w:r w:rsidR="004B7279">
        <w:rPr>
          <w:rFonts w:ascii="Arial" w:hAnsi="Arial" w:cs="Arial"/>
          <w:iCs/>
        </w:rPr>
        <w:t>increases with</w:t>
      </w:r>
      <w:r w:rsidR="00EB4BC8">
        <w:rPr>
          <w:rFonts w:ascii="Arial" w:hAnsi="Arial" w:cs="Arial"/>
          <w:iCs/>
        </w:rPr>
        <w:t xml:space="preserve"> “only a few negative </w:t>
      </w:r>
      <w:r w:rsidR="004B7279">
        <w:rPr>
          <w:rFonts w:ascii="Arial" w:hAnsi="Arial" w:cs="Arial"/>
          <w:iCs/>
        </w:rPr>
        <w:t>replies” received which do not seem to be influential of the process.</w:t>
      </w:r>
    </w:p>
    <w:p w14:paraId="333591B2" w14:textId="1A5F7159" w:rsidR="00516B67" w:rsidRDefault="00516B67" w:rsidP="00E5410F">
      <w:pPr>
        <w:jc w:val="both"/>
        <w:rPr>
          <w:rFonts w:ascii="Arial" w:hAnsi="Arial" w:cs="Arial"/>
          <w:iCs/>
        </w:rPr>
      </w:pPr>
      <w:r>
        <w:rPr>
          <w:rFonts w:ascii="Arial" w:hAnsi="Arial" w:cs="Arial"/>
          <w:iCs/>
        </w:rPr>
        <w:t xml:space="preserve">The approach to stakeholder identification and </w:t>
      </w:r>
      <w:r w:rsidR="00E541E2">
        <w:rPr>
          <w:rFonts w:ascii="Arial" w:hAnsi="Arial" w:cs="Arial"/>
          <w:iCs/>
        </w:rPr>
        <w:t xml:space="preserve">appropriate management seems to have been deployed by the Company as part of their turnaround process as evidenced by the Company’s readiness to replace critical managerial positions, </w:t>
      </w:r>
      <w:r w:rsidR="00B96233">
        <w:rPr>
          <w:rFonts w:ascii="Arial" w:hAnsi="Arial" w:cs="Arial"/>
          <w:iCs/>
        </w:rPr>
        <w:t xml:space="preserve">in particular </w:t>
      </w:r>
      <w:r w:rsidR="00E541E2">
        <w:rPr>
          <w:rFonts w:ascii="Arial" w:hAnsi="Arial" w:cs="Arial"/>
          <w:iCs/>
        </w:rPr>
        <w:t xml:space="preserve">to engage </w:t>
      </w:r>
      <w:r w:rsidR="00B96233">
        <w:rPr>
          <w:rFonts w:ascii="Arial" w:hAnsi="Arial" w:cs="Arial"/>
          <w:iCs/>
        </w:rPr>
        <w:t>a new CFO</w:t>
      </w:r>
      <w:r w:rsidR="00236569">
        <w:rPr>
          <w:rFonts w:ascii="Arial" w:hAnsi="Arial" w:cs="Arial"/>
          <w:iCs/>
        </w:rPr>
        <w:t xml:space="preserve"> in order to gain the governing stakeholders’ trust, as well as to </w:t>
      </w:r>
      <w:r w:rsidR="001667FD">
        <w:rPr>
          <w:rFonts w:ascii="Arial" w:hAnsi="Arial" w:cs="Arial"/>
          <w:iCs/>
        </w:rPr>
        <w:t xml:space="preserve">cooperate with the CRO appointed by the banks. </w:t>
      </w:r>
      <w:r w:rsidR="001A6393">
        <w:rPr>
          <w:rFonts w:ascii="Arial" w:hAnsi="Arial" w:cs="Arial"/>
          <w:iCs/>
        </w:rPr>
        <w:t>However, the</w:t>
      </w:r>
      <w:r w:rsidR="0064233B">
        <w:rPr>
          <w:rFonts w:ascii="Arial" w:hAnsi="Arial" w:cs="Arial"/>
          <w:iCs/>
        </w:rPr>
        <w:t xml:space="preserve">re are issues with respect to achieving consensus </w:t>
      </w:r>
      <w:r w:rsidR="00F01247">
        <w:rPr>
          <w:rFonts w:ascii="Arial" w:hAnsi="Arial" w:cs="Arial"/>
          <w:iCs/>
        </w:rPr>
        <w:t xml:space="preserve">on long-term goals among the governing stakeholders (particularly banks A and B on one hand, and banks C and D on the other hand) which </w:t>
      </w:r>
      <w:r w:rsidR="00C063B6">
        <w:rPr>
          <w:rFonts w:ascii="Arial" w:hAnsi="Arial" w:cs="Arial"/>
          <w:iCs/>
        </w:rPr>
        <w:t xml:space="preserve">at some point </w:t>
      </w:r>
      <w:r w:rsidR="00AB4B18">
        <w:rPr>
          <w:rFonts w:ascii="Arial" w:hAnsi="Arial" w:cs="Arial"/>
          <w:iCs/>
        </w:rPr>
        <w:t xml:space="preserve">threatens to </w:t>
      </w:r>
      <w:r w:rsidR="00C063B6">
        <w:rPr>
          <w:rFonts w:ascii="Arial" w:hAnsi="Arial" w:cs="Arial"/>
          <w:iCs/>
        </w:rPr>
        <w:t xml:space="preserve">undermine the probability of </w:t>
      </w:r>
      <w:r w:rsidR="00AB4B18">
        <w:rPr>
          <w:rFonts w:ascii="Arial" w:hAnsi="Arial" w:cs="Arial"/>
          <w:iCs/>
        </w:rPr>
        <w:t xml:space="preserve">organizational survival. </w:t>
      </w:r>
      <w:r w:rsidR="00176B4B">
        <w:rPr>
          <w:rFonts w:ascii="Arial" w:hAnsi="Arial" w:cs="Arial"/>
          <w:iCs/>
        </w:rPr>
        <w:t xml:space="preserve">Banks C and D do not seem to have been properly “handled” in the process, potentially because of asymmetry of information they receive in comparison to banks A and B, and </w:t>
      </w:r>
      <w:r w:rsidR="00106FA2">
        <w:rPr>
          <w:rFonts w:ascii="Arial" w:hAnsi="Arial" w:cs="Arial"/>
          <w:iCs/>
        </w:rPr>
        <w:t xml:space="preserve">management’s changing </w:t>
      </w:r>
      <w:r w:rsidR="009D521F">
        <w:rPr>
          <w:rFonts w:ascii="Arial" w:hAnsi="Arial" w:cs="Arial"/>
          <w:iCs/>
        </w:rPr>
        <w:t xml:space="preserve">numbers in terms of </w:t>
      </w:r>
      <w:r w:rsidR="001D029A">
        <w:rPr>
          <w:rFonts w:ascii="Arial" w:hAnsi="Arial" w:cs="Arial"/>
          <w:iCs/>
        </w:rPr>
        <w:t xml:space="preserve">the size of the losses. </w:t>
      </w:r>
    </w:p>
    <w:p w14:paraId="06F084CD" w14:textId="711D975C" w:rsidR="00F65FB9" w:rsidRPr="007B415F" w:rsidRDefault="00DE790F" w:rsidP="00E5410F">
      <w:pPr>
        <w:jc w:val="both"/>
        <w:rPr>
          <w:rFonts w:ascii="Arial" w:hAnsi="Arial" w:cs="Arial"/>
          <w:b/>
          <w:bCs/>
          <w:iCs/>
        </w:rPr>
      </w:pPr>
      <w:r w:rsidRPr="007B415F">
        <w:rPr>
          <w:rFonts w:ascii="Arial" w:hAnsi="Arial" w:cs="Arial"/>
          <w:b/>
          <w:bCs/>
          <w:iCs/>
        </w:rPr>
        <w:t>Effective implementation of turnaround stra</w:t>
      </w:r>
      <w:r w:rsidR="007B415F" w:rsidRPr="007B415F">
        <w:rPr>
          <w:rFonts w:ascii="Arial" w:hAnsi="Arial" w:cs="Arial"/>
          <w:b/>
          <w:bCs/>
          <w:iCs/>
        </w:rPr>
        <w:t xml:space="preserve">tegies </w:t>
      </w:r>
    </w:p>
    <w:p w14:paraId="20062963" w14:textId="77777777" w:rsidR="00FB5927" w:rsidRDefault="007B415F" w:rsidP="00E5410F">
      <w:pPr>
        <w:jc w:val="both"/>
        <w:rPr>
          <w:rFonts w:ascii="Arial" w:hAnsi="Arial" w:cs="Arial"/>
          <w:iCs/>
        </w:rPr>
      </w:pPr>
      <w:r>
        <w:rPr>
          <w:rFonts w:ascii="Arial" w:hAnsi="Arial" w:cs="Arial"/>
          <w:iCs/>
        </w:rPr>
        <w:t xml:space="preserve">The </w:t>
      </w:r>
      <w:r w:rsidR="0098755F" w:rsidRPr="0098755F">
        <w:rPr>
          <w:rFonts w:ascii="Arial" w:hAnsi="Arial" w:cs="Arial"/>
          <w:iCs/>
        </w:rPr>
        <w:t>Sudarsanam</w:t>
      </w:r>
      <w:r>
        <w:rPr>
          <w:rFonts w:ascii="Arial" w:hAnsi="Arial" w:cs="Arial"/>
          <w:iCs/>
        </w:rPr>
        <w:t xml:space="preserve"> &amp;</w:t>
      </w:r>
      <w:r w:rsidR="0098755F" w:rsidRPr="0098755F">
        <w:rPr>
          <w:rFonts w:ascii="Arial" w:hAnsi="Arial" w:cs="Arial"/>
          <w:iCs/>
        </w:rPr>
        <w:t xml:space="preserve"> Lai 2001</w:t>
      </w:r>
      <w:r>
        <w:rPr>
          <w:rFonts w:ascii="Arial" w:hAnsi="Arial" w:cs="Arial"/>
          <w:iCs/>
        </w:rPr>
        <w:t xml:space="preserve"> paper makes an important distinction </w:t>
      </w:r>
      <w:r w:rsidR="009A6AED">
        <w:rPr>
          <w:rFonts w:ascii="Arial" w:hAnsi="Arial" w:cs="Arial"/>
          <w:iCs/>
        </w:rPr>
        <w:t xml:space="preserve">between the successful recovery firms and non-recovery firms </w:t>
      </w:r>
      <w:r w:rsidR="00FC66DB">
        <w:rPr>
          <w:rFonts w:ascii="Arial" w:hAnsi="Arial" w:cs="Arial"/>
          <w:iCs/>
        </w:rPr>
        <w:t>based on their strategy implementation.</w:t>
      </w:r>
      <w:r w:rsidR="00FC66DB">
        <w:rPr>
          <w:rStyle w:val="FootnoteReference"/>
          <w:rFonts w:ascii="Arial" w:hAnsi="Arial" w:cs="Arial"/>
          <w:iCs/>
        </w:rPr>
        <w:footnoteReference w:id="10"/>
      </w:r>
      <w:r w:rsidR="00FC66DB">
        <w:rPr>
          <w:rFonts w:ascii="Arial" w:hAnsi="Arial" w:cs="Arial"/>
          <w:iCs/>
        </w:rPr>
        <w:t xml:space="preserve"> </w:t>
      </w:r>
      <w:r w:rsidR="00F06EB0">
        <w:rPr>
          <w:rFonts w:ascii="Arial" w:hAnsi="Arial" w:cs="Arial"/>
          <w:iCs/>
        </w:rPr>
        <w:t xml:space="preserve">While restructuring strategies are </w:t>
      </w:r>
      <w:r w:rsidR="00272BAC">
        <w:rPr>
          <w:rFonts w:ascii="Arial" w:hAnsi="Arial" w:cs="Arial"/>
          <w:iCs/>
        </w:rPr>
        <w:t>similar across the board (</w:t>
      </w:r>
      <w:r w:rsidR="00D853BF">
        <w:rPr>
          <w:rFonts w:ascii="Arial" w:hAnsi="Arial" w:cs="Arial"/>
          <w:iCs/>
        </w:rPr>
        <w:t>managerial</w:t>
      </w:r>
      <w:r w:rsidR="00042145">
        <w:rPr>
          <w:rFonts w:ascii="Arial" w:hAnsi="Arial" w:cs="Arial"/>
          <w:iCs/>
        </w:rPr>
        <w:t xml:space="preserve">, operational, asset and financial restructuring), </w:t>
      </w:r>
      <w:r w:rsidR="001A3ECF">
        <w:rPr>
          <w:rFonts w:ascii="Arial" w:hAnsi="Arial" w:cs="Arial"/>
          <w:iCs/>
        </w:rPr>
        <w:t>successful</w:t>
      </w:r>
      <w:r w:rsidR="00822A4C">
        <w:rPr>
          <w:rFonts w:ascii="Arial" w:hAnsi="Arial" w:cs="Arial"/>
          <w:iCs/>
        </w:rPr>
        <w:t xml:space="preserve"> restructuring is dependent on the timing, intensity and effective implementation of these strategies. </w:t>
      </w:r>
      <w:r w:rsidR="001501F6">
        <w:rPr>
          <w:rFonts w:ascii="Arial" w:hAnsi="Arial" w:cs="Arial"/>
          <w:iCs/>
        </w:rPr>
        <w:t xml:space="preserve">Moreover, non-recovery firms seem to focus mostly on </w:t>
      </w:r>
      <w:r w:rsidR="00815E7F">
        <w:rPr>
          <w:rFonts w:ascii="Arial" w:hAnsi="Arial" w:cs="Arial"/>
          <w:iCs/>
        </w:rPr>
        <w:t xml:space="preserve">operational and financial restructuring (internal </w:t>
      </w:r>
      <w:r w:rsidR="00473427">
        <w:rPr>
          <w:rFonts w:ascii="Arial" w:hAnsi="Arial" w:cs="Arial"/>
          <w:iCs/>
        </w:rPr>
        <w:t>focus) while successfully recovered firms</w:t>
      </w:r>
      <w:r w:rsidR="006805DB">
        <w:rPr>
          <w:rFonts w:ascii="Arial" w:hAnsi="Arial" w:cs="Arial"/>
          <w:iCs/>
        </w:rPr>
        <w:t xml:space="preserve"> place a focus on longer-term goals </w:t>
      </w:r>
      <w:r w:rsidR="00811F33">
        <w:rPr>
          <w:rFonts w:ascii="Arial" w:hAnsi="Arial" w:cs="Arial"/>
          <w:iCs/>
        </w:rPr>
        <w:t xml:space="preserve">looking into acquiring companies that </w:t>
      </w:r>
      <w:r w:rsidR="000E0EC5">
        <w:rPr>
          <w:rFonts w:ascii="Arial" w:hAnsi="Arial" w:cs="Arial"/>
          <w:iCs/>
        </w:rPr>
        <w:t xml:space="preserve">strengthen their core business and </w:t>
      </w:r>
      <w:r w:rsidR="00650B01">
        <w:rPr>
          <w:rFonts w:ascii="Arial" w:hAnsi="Arial" w:cs="Arial"/>
          <w:iCs/>
        </w:rPr>
        <w:t xml:space="preserve">engage in major reconfiguration of their </w:t>
      </w:r>
      <w:r w:rsidR="00B1225B">
        <w:rPr>
          <w:rFonts w:ascii="Arial" w:hAnsi="Arial" w:cs="Arial"/>
          <w:iCs/>
        </w:rPr>
        <w:t xml:space="preserve">assets. </w:t>
      </w:r>
    </w:p>
    <w:p w14:paraId="3B4DE6CD" w14:textId="6426DDE1" w:rsidR="00FB5927" w:rsidRDefault="00DB2D6C" w:rsidP="00E5410F">
      <w:pPr>
        <w:jc w:val="both"/>
        <w:rPr>
          <w:rFonts w:ascii="Arial" w:hAnsi="Arial" w:cs="Arial"/>
          <w:iCs/>
        </w:rPr>
      </w:pPr>
      <w:r>
        <w:rPr>
          <w:rFonts w:ascii="Arial" w:hAnsi="Arial" w:cs="Arial"/>
          <w:iCs/>
        </w:rPr>
        <w:t>Based on the facts in the case study, in</w:t>
      </w:r>
      <w:r w:rsidR="00B1225B">
        <w:rPr>
          <w:rFonts w:ascii="Arial" w:hAnsi="Arial" w:cs="Arial"/>
          <w:iCs/>
        </w:rPr>
        <w:t xml:space="preserve"> the case of Flow Management, the </w:t>
      </w:r>
      <w:r>
        <w:rPr>
          <w:rFonts w:ascii="Arial" w:hAnsi="Arial" w:cs="Arial"/>
          <w:iCs/>
        </w:rPr>
        <w:t xml:space="preserve">restructuring </w:t>
      </w:r>
      <w:r w:rsidR="00B1225B">
        <w:rPr>
          <w:rFonts w:ascii="Arial" w:hAnsi="Arial" w:cs="Arial"/>
          <w:iCs/>
        </w:rPr>
        <w:t xml:space="preserve">approach is </w:t>
      </w:r>
      <w:r>
        <w:rPr>
          <w:rFonts w:ascii="Arial" w:hAnsi="Arial" w:cs="Arial"/>
          <w:iCs/>
        </w:rPr>
        <w:t xml:space="preserve">entirely internal – operational and financial restructuring </w:t>
      </w:r>
      <w:r w:rsidR="003174B9">
        <w:rPr>
          <w:rFonts w:ascii="Arial" w:hAnsi="Arial" w:cs="Arial"/>
          <w:iCs/>
        </w:rPr>
        <w:t>–</w:t>
      </w:r>
      <w:r>
        <w:rPr>
          <w:rFonts w:ascii="Arial" w:hAnsi="Arial" w:cs="Arial"/>
          <w:iCs/>
        </w:rPr>
        <w:t xml:space="preserve"> </w:t>
      </w:r>
      <w:r w:rsidR="003174B9">
        <w:rPr>
          <w:rFonts w:ascii="Arial" w:hAnsi="Arial" w:cs="Arial"/>
          <w:iCs/>
        </w:rPr>
        <w:t xml:space="preserve">which is classified as “fire-fighting” </w:t>
      </w:r>
      <w:r w:rsidR="007176AB">
        <w:rPr>
          <w:rFonts w:ascii="Arial" w:hAnsi="Arial" w:cs="Arial"/>
          <w:iCs/>
        </w:rPr>
        <w:t xml:space="preserve">by the </w:t>
      </w:r>
      <w:r w:rsidR="007176AB" w:rsidRPr="007176AB">
        <w:rPr>
          <w:rFonts w:ascii="Arial" w:hAnsi="Arial" w:cs="Arial"/>
          <w:iCs/>
        </w:rPr>
        <w:t>Sudarsanam &amp; Lai 2001 paper</w:t>
      </w:r>
      <w:r w:rsidR="007176AB">
        <w:rPr>
          <w:rFonts w:ascii="Arial" w:hAnsi="Arial" w:cs="Arial"/>
          <w:iCs/>
        </w:rPr>
        <w:t xml:space="preserve">. </w:t>
      </w:r>
      <w:r w:rsidR="00126E60">
        <w:rPr>
          <w:rFonts w:ascii="Arial" w:hAnsi="Arial" w:cs="Arial"/>
          <w:iCs/>
        </w:rPr>
        <w:t xml:space="preserve">Multiple </w:t>
      </w:r>
      <w:r w:rsidR="00BC778C">
        <w:rPr>
          <w:rFonts w:ascii="Arial" w:hAnsi="Arial" w:cs="Arial"/>
          <w:iCs/>
        </w:rPr>
        <w:t>operational</w:t>
      </w:r>
      <w:r w:rsidR="00126E60">
        <w:rPr>
          <w:rFonts w:ascii="Arial" w:hAnsi="Arial" w:cs="Arial"/>
          <w:iCs/>
        </w:rPr>
        <w:t xml:space="preserve"> changes </w:t>
      </w:r>
      <w:r w:rsidR="00BC778C">
        <w:rPr>
          <w:rFonts w:ascii="Arial" w:hAnsi="Arial" w:cs="Arial"/>
          <w:iCs/>
        </w:rPr>
        <w:t>(</w:t>
      </w:r>
      <w:r w:rsidR="003A18D2">
        <w:rPr>
          <w:rFonts w:ascii="Arial" w:hAnsi="Arial" w:cs="Arial"/>
          <w:iCs/>
        </w:rPr>
        <w:t xml:space="preserve">aimed at cutting costs and laying off workers) </w:t>
      </w:r>
      <w:r w:rsidR="00126E60">
        <w:rPr>
          <w:rFonts w:ascii="Arial" w:hAnsi="Arial" w:cs="Arial"/>
          <w:iCs/>
        </w:rPr>
        <w:t xml:space="preserve">and </w:t>
      </w:r>
      <w:r w:rsidR="00BC778C">
        <w:rPr>
          <w:rFonts w:ascii="Arial" w:hAnsi="Arial" w:cs="Arial"/>
          <w:iCs/>
        </w:rPr>
        <w:t>managerial replacements</w:t>
      </w:r>
      <w:r w:rsidR="00126E60">
        <w:rPr>
          <w:rFonts w:ascii="Arial" w:hAnsi="Arial" w:cs="Arial"/>
          <w:iCs/>
        </w:rPr>
        <w:t xml:space="preserve"> were deployed in the course of the </w:t>
      </w:r>
      <w:r w:rsidR="005254EE">
        <w:rPr>
          <w:rFonts w:ascii="Arial" w:hAnsi="Arial" w:cs="Arial"/>
          <w:iCs/>
        </w:rPr>
        <w:t xml:space="preserve">Flow Management attempted reorganization process, and the </w:t>
      </w:r>
      <w:r w:rsidR="009B54DF">
        <w:rPr>
          <w:rFonts w:ascii="Arial" w:hAnsi="Arial" w:cs="Arial"/>
          <w:iCs/>
        </w:rPr>
        <w:t xml:space="preserve">Restructuring Agreement that was eventually signed was mainly focused on financial </w:t>
      </w:r>
      <w:r w:rsidR="00FB4D65">
        <w:rPr>
          <w:rFonts w:ascii="Arial" w:hAnsi="Arial" w:cs="Arial"/>
          <w:iCs/>
        </w:rPr>
        <w:t xml:space="preserve">and organizational </w:t>
      </w:r>
      <w:r w:rsidR="009B54DF">
        <w:rPr>
          <w:rFonts w:ascii="Arial" w:hAnsi="Arial" w:cs="Arial"/>
          <w:iCs/>
        </w:rPr>
        <w:t xml:space="preserve">restructuring. </w:t>
      </w:r>
    </w:p>
    <w:p w14:paraId="108F398D" w14:textId="5DAF59AD" w:rsidR="001761C3" w:rsidRDefault="00751104" w:rsidP="001761C3">
      <w:pPr>
        <w:jc w:val="both"/>
        <w:rPr>
          <w:rFonts w:ascii="Arial" w:hAnsi="Arial" w:cs="Arial"/>
          <w:iCs/>
        </w:rPr>
      </w:pPr>
      <w:r>
        <w:rPr>
          <w:rFonts w:ascii="Arial" w:hAnsi="Arial" w:cs="Arial"/>
          <w:iCs/>
        </w:rPr>
        <w:lastRenderedPageBreak/>
        <w:t xml:space="preserve">In my opinion, the stakeholder should have looked into </w:t>
      </w:r>
      <w:r w:rsidR="0014140F">
        <w:rPr>
          <w:rFonts w:ascii="Arial" w:hAnsi="Arial" w:cs="Arial"/>
          <w:iCs/>
        </w:rPr>
        <w:t xml:space="preserve">longer-term competitive positioning of the Company, potentially </w:t>
      </w:r>
      <w:r w:rsidR="00A66776">
        <w:rPr>
          <w:rFonts w:ascii="Arial" w:hAnsi="Arial" w:cs="Arial"/>
          <w:iCs/>
        </w:rPr>
        <w:t xml:space="preserve">discontinuing some of the business lines, </w:t>
      </w:r>
      <w:r w:rsidR="009D052D">
        <w:rPr>
          <w:rFonts w:ascii="Arial" w:hAnsi="Arial" w:cs="Arial"/>
          <w:iCs/>
        </w:rPr>
        <w:t xml:space="preserve">not closely connected to the core business </w:t>
      </w:r>
      <w:r w:rsidR="00A66776">
        <w:rPr>
          <w:rFonts w:ascii="Arial" w:hAnsi="Arial" w:cs="Arial"/>
          <w:iCs/>
        </w:rPr>
        <w:t xml:space="preserve">such as real estate, and / or the least profiting subsidiaries, </w:t>
      </w:r>
      <w:r w:rsidR="00C502A3">
        <w:rPr>
          <w:rFonts w:ascii="Arial" w:hAnsi="Arial" w:cs="Arial"/>
          <w:iCs/>
        </w:rPr>
        <w:t xml:space="preserve">and investing in </w:t>
      </w:r>
      <w:r w:rsidR="009D052D">
        <w:rPr>
          <w:rFonts w:ascii="Arial" w:hAnsi="Arial" w:cs="Arial"/>
          <w:iCs/>
        </w:rPr>
        <w:t xml:space="preserve">proliferating the </w:t>
      </w:r>
      <w:r w:rsidR="0087213E">
        <w:rPr>
          <w:rFonts w:ascii="Arial" w:hAnsi="Arial" w:cs="Arial"/>
          <w:iCs/>
        </w:rPr>
        <w:t xml:space="preserve">core product offerings by potentially </w:t>
      </w:r>
      <w:r w:rsidR="00EF55FE">
        <w:rPr>
          <w:rFonts w:ascii="Arial" w:hAnsi="Arial" w:cs="Arial"/>
          <w:iCs/>
        </w:rPr>
        <w:t xml:space="preserve">adding new/enhanced products and </w:t>
      </w:r>
      <w:r w:rsidR="00F20DC0">
        <w:rPr>
          <w:rFonts w:ascii="Arial" w:hAnsi="Arial" w:cs="Arial"/>
          <w:iCs/>
        </w:rPr>
        <w:t xml:space="preserve">looking into more profitable market locations. It does not become clear from the case study if this strategic investing approach has been deployed in the </w:t>
      </w:r>
      <w:r w:rsidR="001761C3">
        <w:rPr>
          <w:rFonts w:ascii="Arial" w:hAnsi="Arial" w:cs="Arial"/>
          <w:iCs/>
        </w:rPr>
        <w:t>turnaround</w:t>
      </w:r>
      <w:r w:rsidR="00F20DC0">
        <w:rPr>
          <w:rFonts w:ascii="Arial" w:hAnsi="Arial" w:cs="Arial"/>
          <w:iCs/>
        </w:rPr>
        <w:t xml:space="preserve"> process. </w:t>
      </w:r>
      <w:r w:rsidR="001761C3">
        <w:rPr>
          <w:rFonts w:ascii="Arial" w:hAnsi="Arial" w:cs="Arial"/>
          <w:iCs/>
        </w:rPr>
        <w:t xml:space="preserve">As </w:t>
      </w:r>
      <w:r w:rsidR="001761C3">
        <w:rPr>
          <w:rFonts w:ascii="Arial" w:hAnsi="Arial" w:cs="Arial"/>
          <w:iCs/>
        </w:rPr>
        <w:t xml:space="preserve">also </w:t>
      </w:r>
      <w:r w:rsidR="001761C3">
        <w:rPr>
          <w:rFonts w:ascii="Arial" w:hAnsi="Arial" w:cs="Arial"/>
          <w:iCs/>
        </w:rPr>
        <w:t xml:space="preserve">discussed in the </w:t>
      </w:r>
      <w:r w:rsidR="001761C3" w:rsidRPr="001761C3">
        <w:rPr>
          <w:rFonts w:ascii="Arial" w:hAnsi="Arial" w:cs="Arial"/>
          <w:iCs/>
        </w:rPr>
        <w:t>Schmitt</w:t>
      </w:r>
      <w:r w:rsidR="001761C3">
        <w:rPr>
          <w:rFonts w:ascii="Arial" w:hAnsi="Arial" w:cs="Arial"/>
          <w:iCs/>
        </w:rPr>
        <w:t xml:space="preserve"> &amp; </w:t>
      </w:r>
      <w:r w:rsidR="001761C3" w:rsidRPr="001761C3">
        <w:rPr>
          <w:rFonts w:ascii="Arial" w:hAnsi="Arial" w:cs="Arial"/>
          <w:iCs/>
        </w:rPr>
        <w:t>Raisch 2013</w:t>
      </w:r>
      <w:r w:rsidR="001761C3">
        <w:rPr>
          <w:rFonts w:ascii="Arial" w:hAnsi="Arial" w:cs="Arial"/>
          <w:iCs/>
        </w:rPr>
        <w:t xml:space="preserve"> paper</w:t>
      </w:r>
      <w:r w:rsidR="00CF21F1">
        <w:rPr>
          <w:rFonts w:ascii="Arial" w:hAnsi="Arial" w:cs="Arial"/>
          <w:iCs/>
        </w:rPr>
        <w:t xml:space="preserve">, retrenchment </w:t>
      </w:r>
      <w:r w:rsidR="00C8538B">
        <w:rPr>
          <w:rFonts w:ascii="Arial" w:hAnsi="Arial" w:cs="Arial"/>
          <w:iCs/>
        </w:rPr>
        <w:t xml:space="preserve">and recovery approaches should be </w:t>
      </w:r>
      <w:r w:rsidR="00486386">
        <w:rPr>
          <w:rFonts w:ascii="Arial" w:hAnsi="Arial" w:cs="Arial"/>
          <w:iCs/>
        </w:rPr>
        <w:t xml:space="preserve">adopted in complementarity </w:t>
      </w:r>
      <w:r w:rsidR="00030615">
        <w:rPr>
          <w:rFonts w:ascii="Arial" w:hAnsi="Arial" w:cs="Arial"/>
          <w:iCs/>
        </w:rPr>
        <w:t>to have better prospects for successful restructuring.</w:t>
      </w:r>
      <w:r w:rsidR="00030615">
        <w:rPr>
          <w:rStyle w:val="FootnoteReference"/>
          <w:rFonts w:ascii="Arial" w:hAnsi="Arial" w:cs="Arial"/>
          <w:iCs/>
        </w:rPr>
        <w:footnoteReference w:id="11"/>
      </w:r>
    </w:p>
    <w:p w14:paraId="48165F3A" w14:textId="76324FDA" w:rsidR="0098755F" w:rsidRDefault="00463291" w:rsidP="00E5410F">
      <w:pPr>
        <w:jc w:val="both"/>
        <w:rPr>
          <w:rFonts w:ascii="Arial" w:hAnsi="Arial" w:cs="Arial"/>
          <w:b/>
          <w:bCs/>
          <w:iCs/>
        </w:rPr>
      </w:pPr>
      <w:r w:rsidRPr="00D02190">
        <w:rPr>
          <w:rFonts w:ascii="Arial" w:hAnsi="Arial" w:cs="Arial"/>
          <w:b/>
          <w:bCs/>
          <w:iCs/>
        </w:rPr>
        <w:t xml:space="preserve">Importance of </w:t>
      </w:r>
      <w:r w:rsidR="002C261F">
        <w:rPr>
          <w:rFonts w:ascii="Arial" w:hAnsi="Arial" w:cs="Arial"/>
          <w:b/>
          <w:bCs/>
          <w:iCs/>
        </w:rPr>
        <w:t xml:space="preserve">business </w:t>
      </w:r>
      <w:r w:rsidR="00D02190" w:rsidRPr="00D02190">
        <w:rPr>
          <w:rFonts w:ascii="Arial" w:hAnsi="Arial" w:cs="Arial"/>
          <w:b/>
          <w:bCs/>
          <w:iCs/>
        </w:rPr>
        <w:t xml:space="preserve">valuation </w:t>
      </w:r>
      <w:r w:rsidR="00E43767">
        <w:rPr>
          <w:rFonts w:ascii="Arial" w:hAnsi="Arial" w:cs="Arial"/>
          <w:b/>
          <w:bCs/>
          <w:iCs/>
        </w:rPr>
        <w:t xml:space="preserve">in the context of restructuring </w:t>
      </w:r>
    </w:p>
    <w:p w14:paraId="215B0A87" w14:textId="032E533D" w:rsidR="0098755F" w:rsidRDefault="00D02190" w:rsidP="00E5410F">
      <w:pPr>
        <w:jc w:val="both"/>
        <w:rPr>
          <w:rFonts w:ascii="Arial" w:hAnsi="Arial" w:cs="Arial"/>
          <w:iCs/>
        </w:rPr>
      </w:pPr>
      <w:r w:rsidRPr="00D02190">
        <w:rPr>
          <w:rFonts w:ascii="Arial" w:hAnsi="Arial" w:cs="Arial"/>
          <w:iCs/>
        </w:rPr>
        <w:t xml:space="preserve">An important aspect of </w:t>
      </w:r>
      <w:r w:rsidR="00B8778D">
        <w:rPr>
          <w:rFonts w:ascii="Arial" w:hAnsi="Arial" w:cs="Arial"/>
          <w:iCs/>
        </w:rPr>
        <w:t xml:space="preserve">successful restructuring </w:t>
      </w:r>
      <w:r w:rsidR="00BF3BB2">
        <w:rPr>
          <w:rFonts w:ascii="Arial" w:hAnsi="Arial" w:cs="Arial"/>
          <w:iCs/>
        </w:rPr>
        <w:t xml:space="preserve">process </w:t>
      </w:r>
      <w:r w:rsidR="000D58FB">
        <w:rPr>
          <w:rFonts w:ascii="Arial" w:hAnsi="Arial" w:cs="Arial"/>
          <w:iCs/>
        </w:rPr>
        <w:t xml:space="preserve">is credible </w:t>
      </w:r>
      <w:r w:rsidR="004E7693">
        <w:rPr>
          <w:rFonts w:ascii="Arial" w:hAnsi="Arial" w:cs="Arial"/>
          <w:iCs/>
        </w:rPr>
        <w:t>estimation</w:t>
      </w:r>
      <w:r w:rsidR="008147BE">
        <w:rPr>
          <w:rFonts w:ascii="Arial" w:hAnsi="Arial" w:cs="Arial"/>
          <w:iCs/>
        </w:rPr>
        <w:t xml:space="preserve"> of the distressed company’s </w:t>
      </w:r>
      <w:r w:rsidR="00BF3BB2">
        <w:rPr>
          <w:rFonts w:ascii="Arial" w:hAnsi="Arial" w:cs="Arial"/>
          <w:iCs/>
        </w:rPr>
        <w:t>liquidation and reorganization value</w:t>
      </w:r>
      <w:r w:rsidR="002C261F">
        <w:rPr>
          <w:rFonts w:ascii="Arial" w:hAnsi="Arial" w:cs="Arial"/>
          <w:iCs/>
        </w:rPr>
        <w:t>s</w:t>
      </w:r>
      <w:r w:rsidR="00BF3BB2">
        <w:rPr>
          <w:rFonts w:ascii="Arial" w:hAnsi="Arial" w:cs="Arial"/>
          <w:iCs/>
        </w:rPr>
        <w:t xml:space="preserve">. As </w:t>
      </w:r>
      <w:r w:rsidR="00F53850">
        <w:rPr>
          <w:rFonts w:ascii="Arial" w:hAnsi="Arial" w:cs="Arial"/>
          <w:iCs/>
        </w:rPr>
        <w:t xml:space="preserve">analyzed in the </w:t>
      </w:r>
      <w:r w:rsidR="00D5199E" w:rsidRPr="00D5199E">
        <w:rPr>
          <w:rFonts w:ascii="Arial" w:hAnsi="Arial" w:cs="Arial"/>
          <w:iCs/>
        </w:rPr>
        <w:t xml:space="preserve">Broekema &amp; Adriaanse </w:t>
      </w:r>
      <w:r w:rsidR="00F53850">
        <w:rPr>
          <w:rFonts w:ascii="Arial" w:hAnsi="Arial" w:cs="Arial"/>
          <w:iCs/>
        </w:rPr>
        <w:t>2022</w:t>
      </w:r>
      <w:r w:rsidR="00D5199E" w:rsidRPr="00D5199E">
        <w:rPr>
          <w:rFonts w:ascii="Arial" w:hAnsi="Arial" w:cs="Arial"/>
          <w:iCs/>
        </w:rPr>
        <w:t xml:space="preserve"> </w:t>
      </w:r>
      <w:r w:rsidR="00F53850">
        <w:rPr>
          <w:rFonts w:ascii="Arial" w:hAnsi="Arial" w:cs="Arial"/>
          <w:iCs/>
        </w:rPr>
        <w:t xml:space="preserve">paper, </w:t>
      </w:r>
      <w:r w:rsidR="00CE191A">
        <w:rPr>
          <w:rFonts w:ascii="Arial" w:hAnsi="Arial" w:cs="Arial"/>
          <w:iCs/>
        </w:rPr>
        <w:t xml:space="preserve">valuation outcomes may differ </w:t>
      </w:r>
      <w:r w:rsidR="0091158C">
        <w:rPr>
          <w:rFonts w:ascii="Arial" w:hAnsi="Arial" w:cs="Arial"/>
          <w:iCs/>
        </w:rPr>
        <w:t xml:space="preserve">depending on the interests of the stakeholders </w:t>
      </w:r>
      <w:r w:rsidR="006A54EB">
        <w:rPr>
          <w:rFonts w:ascii="Arial" w:hAnsi="Arial" w:cs="Arial"/>
          <w:iCs/>
        </w:rPr>
        <w:t xml:space="preserve">that have commissioned the valuation, particularly in the context of </w:t>
      </w:r>
      <w:r w:rsidR="0016393F">
        <w:rPr>
          <w:rFonts w:ascii="Arial" w:hAnsi="Arial" w:cs="Arial"/>
          <w:iCs/>
        </w:rPr>
        <w:t xml:space="preserve">a restructuring process </w:t>
      </w:r>
      <w:r w:rsidR="007C322C">
        <w:rPr>
          <w:rFonts w:ascii="Arial" w:hAnsi="Arial" w:cs="Arial"/>
          <w:iCs/>
        </w:rPr>
        <w:t>which by definition poses a high degree of uncertainty</w:t>
      </w:r>
      <w:r w:rsidR="007C58F2">
        <w:rPr>
          <w:rFonts w:ascii="Arial" w:hAnsi="Arial" w:cs="Arial"/>
          <w:iCs/>
        </w:rPr>
        <w:t xml:space="preserve">, as there is </w:t>
      </w:r>
      <w:r w:rsidR="00CF58CB">
        <w:rPr>
          <w:rFonts w:ascii="Arial" w:hAnsi="Arial" w:cs="Arial"/>
          <w:iCs/>
        </w:rPr>
        <w:t>no real market verification.</w:t>
      </w:r>
      <w:r w:rsidR="00815DD6">
        <w:rPr>
          <w:rStyle w:val="FootnoteReference"/>
          <w:rFonts w:ascii="Arial" w:hAnsi="Arial" w:cs="Arial"/>
          <w:iCs/>
        </w:rPr>
        <w:footnoteReference w:id="12"/>
      </w:r>
      <w:r w:rsidR="007C322C">
        <w:rPr>
          <w:rFonts w:ascii="Arial" w:hAnsi="Arial" w:cs="Arial"/>
          <w:iCs/>
        </w:rPr>
        <w:t xml:space="preserve"> </w:t>
      </w:r>
      <w:r w:rsidR="00CF58CB">
        <w:rPr>
          <w:rFonts w:ascii="Arial" w:hAnsi="Arial" w:cs="Arial"/>
          <w:iCs/>
        </w:rPr>
        <w:t xml:space="preserve">At the same time, credible valuation trusted by the main stakeholders is of critical </w:t>
      </w:r>
      <w:r w:rsidR="00C34926">
        <w:rPr>
          <w:rFonts w:ascii="Arial" w:hAnsi="Arial" w:cs="Arial"/>
          <w:iCs/>
        </w:rPr>
        <w:t xml:space="preserve">importance for the decision whether to pursue an out-of-court restructuring option or to </w:t>
      </w:r>
      <w:r w:rsidR="0038799A">
        <w:rPr>
          <w:rFonts w:ascii="Arial" w:hAnsi="Arial" w:cs="Arial"/>
          <w:iCs/>
        </w:rPr>
        <w:t xml:space="preserve">resort to liquidation, if the liquidation value </w:t>
      </w:r>
      <w:r w:rsidR="0014018A">
        <w:rPr>
          <w:rFonts w:ascii="Arial" w:hAnsi="Arial" w:cs="Arial"/>
          <w:iCs/>
        </w:rPr>
        <w:t xml:space="preserve">of the distressed business </w:t>
      </w:r>
      <w:r w:rsidR="0038799A">
        <w:rPr>
          <w:rFonts w:ascii="Arial" w:hAnsi="Arial" w:cs="Arial"/>
          <w:iCs/>
        </w:rPr>
        <w:t xml:space="preserve">is higher. </w:t>
      </w:r>
    </w:p>
    <w:p w14:paraId="6D96C0AB" w14:textId="7ABD0C5C" w:rsidR="00F0574F" w:rsidRDefault="000A53EE" w:rsidP="00E5410F">
      <w:pPr>
        <w:jc w:val="both"/>
        <w:rPr>
          <w:rFonts w:ascii="Arial" w:hAnsi="Arial" w:cs="Arial"/>
          <w:iCs/>
        </w:rPr>
      </w:pPr>
      <w:r>
        <w:rPr>
          <w:rFonts w:ascii="Arial" w:hAnsi="Arial" w:cs="Arial"/>
          <w:iCs/>
        </w:rPr>
        <w:t xml:space="preserve">In the case of Flow Management, it is indicated that </w:t>
      </w:r>
      <w:r w:rsidR="004E71B5">
        <w:rPr>
          <w:rFonts w:ascii="Arial" w:hAnsi="Arial" w:cs="Arial"/>
          <w:iCs/>
        </w:rPr>
        <w:t xml:space="preserve">a “liquidation scenario will probably have low proceeds” (a maximum of 55% of the total debt). </w:t>
      </w:r>
      <w:r w:rsidR="00D35529">
        <w:rPr>
          <w:rFonts w:ascii="Arial" w:hAnsi="Arial" w:cs="Arial"/>
          <w:iCs/>
        </w:rPr>
        <w:t xml:space="preserve">It is unclear if proper </w:t>
      </w:r>
      <w:r w:rsidR="00034193">
        <w:rPr>
          <w:rFonts w:ascii="Arial" w:hAnsi="Arial" w:cs="Arial"/>
          <w:iCs/>
        </w:rPr>
        <w:t xml:space="preserve">valuation was conducted for the different restructuring options </w:t>
      </w:r>
      <w:r w:rsidR="00B849CB">
        <w:rPr>
          <w:rFonts w:ascii="Arial" w:hAnsi="Arial" w:cs="Arial"/>
          <w:iCs/>
        </w:rPr>
        <w:t xml:space="preserve">considered by the stakeholders (going concern </w:t>
      </w:r>
      <w:r w:rsidR="007E7FE9">
        <w:rPr>
          <w:rFonts w:ascii="Arial" w:hAnsi="Arial" w:cs="Arial"/>
          <w:iCs/>
        </w:rPr>
        <w:t xml:space="preserve">option; going concern </w:t>
      </w:r>
      <w:r w:rsidR="00B849CB">
        <w:rPr>
          <w:rFonts w:ascii="Arial" w:hAnsi="Arial" w:cs="Arial"/>
          <w:iCs/>
        </w:rPr>
        <w:t xml:space="preserve">sale; debt-to-equity swap; </w:t>
      </w:r>
      <w:r w:rsidR="00462C7C">
        <w:rPr>
          <w:rFonts w:ascii="Arial" w:hAnsi="Arial" w:cs="Arial"/>
          <w:iCs/>
        </w:rPr>
        <w:t>judicial reorganization) and how potential differen</w:t>
      </w:r>
      <w:r w:rsidR="00DE70DB">
        <w:rPr>
          <w:rFonts w:ascii="Arial" w:hAnsi="Arial" w:cs="Arial"/>
          <w:iCs/>
        </w:rPr>
        <w:t xml:space="preserve">t valuations may have affected the behavior of some stakeholders in the process (e.g., </w:t>
      </w:r>
      <w:r w:rsidR="00176A0E">
        <w:rPr>
          <w:rFonts w:ascii="Arial" w:hAnsi="Arial" w:cs="Arial"/>
          <w:iCs/>
        </w:rPr>
        <w:t xml:space="preserve">banks C and D). As suggested in the </w:t>
      </w:r>
      <w:r w:rsidR="00176A0E" w:rsidRPr="00D5199E">
        <w:rPr>
          <w:rFonts w:ascii="Arial" w:hAnsi="Arial" w:cs="Arial"/>
          <w:iCs/>
        </w:rPr>
        <w:t xml:space="preserve">Broekema &amp; Adriaanse </w:t>
      </w:r>
      <w:r w:rsidR="00176A0E">
        <w:rPr>
          <w:rFonts w:ascii="Arial" w:hAnsi="Arial" w:cs="Arial"/>
          <w:iCs/>
        </w:rPr>
        <w:t>2022</w:t>
      </w:r>
      <w:r w:rsidR="00176A0E" w:rsidRPr="00D5199E">
        <w:rPr>
          <w:rFonts w:ascii="Arial" w:hAnsi="Arial" w:cs="Arial"/>
          <w:iCs/>
        </w:rPr>
        <w:t xml:space="preserve"> </w:t>
      </w:r>
      <w:r w:rsidR="00176A0E">
        <w:rPr>
          <w:rFonts w:ascii="Arial" w:hAnsi="Arial" w:cs="Arial"/>
          <w:iCs/>
        </w:rPr>
        <w:t xml:space="preserve">paper, </w:t>
      </w:r>
      <w:r w:rsidR="001A62C4">
        <w:rPr>
          <w:rFonts w:ascii="Arial" w:hAnsi="Arial" w:cs="Arial"/>
          <w:iCs/>
        </w:rPr>
        <w:t xml:space="preserve">an independent valuation may have contributed to </w:t>
      </w:r>
      <w:r w:rsidR="00F12FBA">
        <w:rPr>
          <w:rFonts w:ascii="Arial" w:hAnsi="Arial" w:cs="Arial"/>
          <w:iCs/>
        </w:rPr>
        <w:t xml:space="preserve">less </w:t>
      </w:r>
      <w:r w:rsidR="009A1D58">
        <w:rPr>
          <w:rFonts w:ascii="Arial" w:hAnsi="Arial" w:cs="Arial"/>
          <w:iCs/>
        </w:rPr>
        <w:t xml:space="preserve">problematic behavior by the banks and </w:t>
      </w:r>
      <w:r w:rsidR="009A1D58">
        <w:rPr>
          <w:rFonts w:ascii="Arial" w:hAnsi="Arial" w:cs="Arial"/>
          <w:iCs/>
        </w:rPr>
        <w:t>more efficient negotiations</w:t>
      </w:r>
      <w:r w:rsidR="009A1D58">
        <w:rPr>
          <w:rFonts w:ascii="Arial" w:hAnsi="Arial" w:cs="Arial"/>
          <w:iCs/>
        </w:rPr>
        <w:t>.</w:t>
      </w:r>
    </w:p>
    <w:p w14:paraId="0966AB3D" w14:textId="77777777" w:rsidR="00685251" w:rsidRPr="00685251" w:rsidRDefault="00685251" w:rsidP="00685251">
      <w:pPr>
        <w:pStyle w:val="ListParagraph"/>
        <w:numPr>
          <w:ilvl w:val="0"/>
          <w:numId w:val="1"/>
        </w:numPr>
        <w:rPr>
          <w:rFonts w:ascii="Arial" w:hAnsi="Arial" w:cs="Arial"/>
          <w:b/>
          <w:bCs/>
          <w:iCs/>
        </w:rPr>
      </w:pPr>
      <w:r w:rsidRPr="00685251">
        <w:rPr>
          <w:rFonts w:ascii="Arial" w:hAnsi="Arial" w:cs="Arial"/>
          <w:b/>
          <w:bCs/>
          <w:iCs/>
        </w:rPr>
        <w:t>Banks C and D seem to frustrate the process at a certain point. What could have been the (rational and/or opportunistic) reason(s) for them to behave like that? What would you have done in that situation in your role as advisor of the other two banks?</w:t>
      </w:r>
    </w:p>
    <w:p w14:paraId="14790427" w14:textId="7BB2DFC9" w:rsidR="00AC2457" w:rsidRPr="00AC2457" w:rsidRDefault="00AC2457" w:rsidP="00AC2457">
      <w:pPr>
        <w:jc w:val="both"/>
        <w:rPr>
          <w:rFonts w:ascii="Arial" w:hAnsi="Arial" w:cs="Arial"/>
          <w:iCs/>
        </w:rPr>
      </w:pPr>
      <w:r w:rsidRPr="00AC2457">
        <w:rPr>
          <w:rFonts w:ascii="Arial" w:hAnsi="Arial" w:cs="Arial"/>
          <w:iCs/>
        </w:rPr>
        <w:t xml:space="preserve">There is a variety of reasons that could be fueling the disruptive behavior of banks C </w:t>
      </w:r>
      <w:r w:rsidR="00EE1C50">
        <w:rPr>
          <w:rFonts w:ascii="Arial" w:hAnsi="Arial" w:cs="Arial"/>
          <w:iCs/>
        </w:rPr>
        <w:t>and</w:t>
      </w:r>
      <w:r w:rsidRPr="00AC2457">
        <w:rPr>
          <w:rFonts w:ascii="Arial" w:hAnsi="Arial" w:cs="Arial"/>
          <w:iCs/>
        </w:rPr>
        <w:t xml:space="preserve"> D</w:t>
      </w:r>
      <w:r w:rsidR="00C47663">
        <w:rPr>
          <w:rFonts w:ascii="Arial" w:hAnsi="Arial" w:cs="Arial"/>
          <w:iCs/>
        </w:rPr>
        <w:t xml:space="preserve"> at a certain point in the process and their refusal to </w:t>
      </w:r>
      <w:r w:rsidR="000346B9">
        <w:rPr>
          <w:rFonts w:ascii="Arial" w:hAnsi="Arial" w:cs="Arial"/>
          <w:iCs/>
        </w:rPr>
        <w:t>cooperate in the negotiations and to sign a standstill agreement</w:t>
      </w:r>
      <w:r w:rsidRPr="00AC2457">
        <w:rPr>
          <w:rFonts w:ascii="Arial" w:hAnsi="Arial" w:cs="Arial"/>
          <w:iCs/>
        </w:rPr>
        <w:t xml:space="preserve">.  </w:t>
      </w:r>
      <w:r w:rsidR="00D00FFD">
        <w:rPr>
          <w:rFonts w:ascii="Arial" w:hAnsi="Arial" w:cs="Arial"/>
          <w:iCs/>
        </w:rPr>
        <w:t>Below</w:t>
      </w:r>
      <w:r w:rsidRPr="00AC2457">
        <w:rPr>
          <w:rFonts w:ascii="Arial" w:hAnsi="Arial" w:cs="Arial"/>
          <w:iCs/>
        </w:rPr>
        <w:t xml:space="preserve"> is a list of possible causes: </w:t>
      </w:r>
    </w:p>
    <w:p w14:paraId="01A108F0" w14:textId="77777777" w:rsidR="00AC2457" w:rsidRPr="00AC2457" w:rsidRDefault="00AC2457" w:rsidP="00AC2457">
      <w:pPr>
        <w:numPr>
          <w:ilvl w:val="0"/>
          <w:numId w:val="15"/>
        </w:numPr>
        <w:jc w:val="both"/>
        <w:rPr>
          <w:rFonts w:ascii="Arial" w:hAnsi="Arial" w:cs="Arial"/>
          <w:iCs/>
        </w:rPr>
      </w:pPr>
      <w:r w:rsidRPr="00AC2457">
        <w:rPr>
          <w:rFonts w:ascii="Arial" w:hAnsi="Arial" w:cs="Arial"/>
          <w:iCs/>
        </w:rPr>
        <w:t>Chronology: </w:t>
      </w:r>
    </w:p>
    <w:p w14:paraId="19E09E94" w14:textId="2691BFCD" w:rsidR="00AC2457" w:rsidRPr="00AC2457" w:rsidRDefault="00AC2457" w:rsidP="004F6413">
      <w:pPr>
        <w:numPr>
          <w:ilvl w:val="0"/>
          <w:numId w:val="34"/>
        </w:numPr>
        <w:jc w:val="both"/>
        <w:rPr>
          <w:rFonts w:ascii="Arial" w:hAnsi="Arial" w:cs="Arial"/>
          <w:iCs/>
        </w:rPr>
      </w:pPr>
      <w:r w:rsidRPr="00AC2457">
        <w:rPr>
          <w:rFonts w:ascii="Arial" w:hAnsi="Arial" w:cs="Arial"/>
          <w:iCs/>
        </w:rPr>
        <w:t xml:space="preserve">Banks C &amp; D may have come onboard to the transaction later in time. If that was the case, banks C &amp; D could feel that banks A &amp; B are benefitting unfairly from their </w:t>
      </w:r>
      <w:r w:rsidRPr="00AC2457">
        <w:rPr>
          <w:rFonts w:ascii="Arial" w:hAnsi="Arial" w:cs="Arial"/>
          <w:iCs/>
        </w:rPr>
        <w:lastRenderedPageBreak/>
        <w:t xml:space="preserve">financing (newer money) and should take some responsibility for their poor structuring of the deal (e.gr.: </w:t>
      </w:r>
      <w:r w:rsidR="005B03BA">
        <w:rPr>
          <w:rFonts w:ascii="Arial" w:hAnsi="Arial" w:cs="Arial"/>
          <w:iCs/>
        </w:rPr>
        <w:t xml:space="preserve">the </w:t>
      </w:r>
      <w:r w:rsidRPr="00AC2457">
        <w:rPr>
          <w:rFonts w:ascii="Arial" w:hAnsi="Arial" w:cs="Arial"/>
          <w:iCs/>
        </w:rPr>
        <w:t>problems with the security package). </w:t>
      </w:r>
    </w:p>
    <w:p w14:paraId="593060DE" w14:textId="77777777" w:rsidR="00AC2457" w:rsidRPr="00AC2457" w:rsidRDefault="00AC2457" w:rsidP="004F6413">
      <w:pPr>
        <w:numPr>
          <w:ilvl w:val="0"/>
          <w:numId w:val="34"/>
        </w:numPr>
        <w:jc w:val="both"/>
        <w:rPr>
          <w:rFonts w:ascii="Arial" w:hAnsi="Arial" w:cs="Arial"/>
          <w:iCs/>
        </w:rPr>
      </w:pPr>
      <w:r w:rsidRPr="00AC2457">
        <w:rPr>
          <w:rFonts w:ascii="Arial" w:hAnsi="Arial" w:cs="Arial"/>
          <w:iCs/>
        </w:rPr>
        <w:t>Alternatively, banks C &amp; D, as providers of the additional working capital (which is presumably the money that came in last), may feel that they should have a way to recover their additional exposure first in time, without the participation of banks A &amp; B and the negotiation of those terms might be affecting the entire process. </w:t>
      </w:r>
    </w:p>
    <w:p w14:paraId="30010678" w14:textId="77777777" w:rsidR="00AC2457" w:rsidRPr="00AC2457" w:rsidRDefault="00AC2457" w:rsidP="00AC2457">
      <w:pPr>
        <w:numPr>
          <w:ilvl w:val="0"/>
          <w:numId w:val="18"/>
        </w:numPr>
        <w:jc w:val="both"/>
        <w:rPr>
          <w:rFonts w:ascii="Arial" w:hAnsi="Arial" w:cs="Arial"/>
          <w:iCs/>
        </w:rPr>
      </w:pPr>
      <w:r w:rsidRPr="00AC2457">
        <w:rPr>
          <w:rFonts w:ascii="Arial" w:hAnsi="Arial" w:cs="Arial"/>
          <w:iCs/>
        </w:rPr>
        <w:t>Low exposure: </w:t>
      </w:r>
    </w:p>
    <w:p w14:paraId="3261F546" w14:textId="702F5847" w:rsidR="00AC2457" w:rsidRPr="00AC2457" w:rsidRDefault="00AC2457" w:rsidP="004F6413">
      <w:pPr>
        <w:numPr>
          <w:ilvl w:val="0"/>
          <w:numId w:val="35"/>
        </w:numPr>
        <w:jc w:val="both"/>
        <w:rPr>
          <w:rFonts w:ascii="Arial" w:hAnsi="Arial" w:cs="Arial"/>
          <w:iCs/>
        </w:rPr>
      </w:pPr>
      <w:r w:rsidRPr="00AC2457">
        <w:rPr>
          <w:rFonts w:ascii="Arial" w:hAnsi="Arial" w:cs="Arial"/>
          <w:iCs/>
        </w:rPr>
        <w:t xml:space="preserve">Banks C &amp; D may be the ones with the lowest exposure, and they could be trying to encourage Banks A &amp; B to </w:t>
      </w:r>
      <w:r w:rsidR="00D16258">
        <w:rPr>
          <w:rFonts w:ascii="Arial" w:hAnsi="Arial" w:cs="Arial"/>
          <w:iCs/>
        </w:rPr>
        <w:t xml:space="preserve">buy </w:t>
      </w:r>
      <w:r w:rsidRPr="00AC2457">
        <w:rPr>
          <w:rFonts w:ascii="Arial" w:hAnsi="Arial" w:cs="Arial"/>
          <w:iCs/>
        </w:rPr>
        <w:t>them out</w:t>
      </w:r>
      <w:r w:rsidR="000451AC">
        <w:rPr>
          <w:rFonts w:ascii="Arial" w:hAnsi="Arial" w:cs="Arial"/>
          <w:iCs/>
        </w:rPr>
        <w:t xml:space="preserve"> (as indicated, Banks A &amp; B are considering this option after C &amp; D refuse to sign a standstill, although at a </w:t>
      </w:r>
      <w:r w:rsidR="00894563">
        <w:rPr>
          <w:rFonts w:ascii="Arial" w:hAnsi="Arial" w:cs="Arial"/>
          <w:iCs/>
        </w:rPr>
        <w:t>15-20% discount).</w:t>
      </w:r>
      <w:r w:rsidRPr="00AC2457">
        <w:rPr>
          <w:rFonts w:ascii="Arial" w:hAnsi="Arial" w:cs="Arial"/>
          <w:iCs/>
        </w:rPr>
        <w:t>  </w:t>
      </w:r>
    </w:p>
    <w:p w14:paraId="730B4370" w14:textId="77777777" w:rsidR="00AC2457" w:rsidRPr="00AC2457" w:rsidRDefault="00AC2457" w:rsidP="004F6413">
      <w:pPr>
        <w:numPr>
          <w:ilvl w:val="0"/>
          <w:numId w:val="35"/>
        </w:numPr>
        <w:jc w:val="both"/>
        <w:rPr>
          <w:rFonts w:ascii="Arial" w:hAnsi="Arial" w:cs="Arial"/>
          <w:iCs/>
        </w:rPr>
      </w:pPr>
      <w:r w:rsidRPr="00AC2457">
        <w:rPr>
          <w:rFonts w:ascii="Arial" w:hAnsi="Arial" w:cs="Arial"/>
          <w:iCs/>
        </w:rPr>
        <w:t>Having less exposure generally means that someone else must have a stronger incentive to make things work.  </w:t>
      </w:r>
    </w:p>
    <w:p w14:paraId="122704B2" w14:textId="77777777" w:rsidR="00AC2457" w:rsidRPr="00AC2457" w:rsidRDefault="00AC2457" w:rsidP="00AC2457">
      <w:pPr>
        <w:numPr>
          <w:ilvl w:val="0"/>
          <w:numId w:val="21"/>
        </w:numPr>
        <w:jc w:val="both"/>
        <w:rPr>
          <w:rFonts w:ascii="Arial" w:hAnsi="Arial" w:cs="Arial"/>
          <w:iCs/>
        </w:rPr>
      </w:pPr>
      <w:r w:rsidRPr="00AC2457">
        <w:rPr>
          <w:rFonts w:ascii="Arial" w:hAnsi="Arial" w:cs="Arial"/>
          <w:iCs/>
        </w:rPr>
        <w:t>No Prior experience with client or sector:  </w:t>
      </w:r>
    </w:p>
    <w:p w14:paraId="7DEBCE71" w14:textId="77777777" w:rsidR="00AC2457" w:rsidRPr="00AC2457" w:rsidRDefault="00AC2457" w:rsidP="00C55872">
      <w:pPr>
        <w:numPr>
          <w:ilvl w:val="0"/>
          <w:numId w:val="36"/>
        </w:numPr>
        <w:jc w:val="both"/>
        <w:rPr>
          <w:rFonts w:ascii="Arial" w:hAnsi="Arial" w:cs="Arial"/>
          <w:iCs/>
        </w:rPr>
      </w:pPr>
      <w:r w:rsidRPr="00AC2457">
        <w:rPr>
          <w:rFonts w:ascii="Arial" w:hAnsi="Arial" w:cs="Arial"/>
          <w:iCs/>
        </w:rPr>
        <w:t>Banks C &amp; D might have limited or no prior exposure to Flow Management as a client, or to the operating lease sector.   </w:t>
      </w:r>
    </w:p>
    <w:p w14:paraId="5A5BC494" w14:textId="1E86ED37" w:rsidR="00AC2457" w:rsidRPr="00AC2457" w:rsidRDefault="00AC2457" w:rsidP="00C55872">
      <w:pPr>
        <w:numPr>
          <w:ilvl w:val="0"/>
          <w:numId w:val="36"/>
        </w:numPr>
        <w:jc w:val="both"/>
        <w:rPr>
          <w:rFonts w:ascii="Arial" w:hAnsi="Arial" w:cs="Arial"/>
          <w:iCs/>
        </w:rPr>
      </w:pPr>
      <w:r w:rsidRPr="00AC2457">
        <w:rPr>
          <w:rFonts w:ascii="Arial" w:hAnsi="Arial" w:cs="Arial"/>
          <w:iCs/>
        </w:rPr>
        <w:t xml:space="preserve">Banks A &amp; B could be the </w:t>
      </w:r>
      <w:r w:rsidR="00791584">
        <w:rPr>
          <w:rFonts w:ascii="Arial" w:hAnsi="Arial" w:cs="Arial"/>
          <w:iCs/>
        </w:rPr>
        <w:t>C</w:t>
      </w:r>
      <w:r w:rsidRPr="00AC2457">
        <w:rPr>
          <w:rFonts w:ascii="Arial" w:hAnsi="Arial" w:cs="Arial"/>
          <w:iCs/>
        </w:rPr>
        <w:t>ompany’s relationship banks, or the more experienced ones in the operating lease sector.   </w:t>
      </w:r>
    </w:p>
    <w:p w14:paraId="0D91419A" w14:textId="75381E5F" w:rsidR="00AC2457" w:rsidRPr="00AC2457" w:rsidRDefault="00AC2457" w:rsidP="00C55872">
      <w:pPr>
        <w:numPr>
          <w:ilvl w:val="0"/>
          <w:numId w:val="36"/>
        </w:numPr>
        <w:jc w:val="both"/>
        <w:rPr>
          <w:rFonts w:ascii="Arial" w:hAnsi="Arial" w:cs="Arial"/>
          <w:iCs/>
        </w:rPr>
      </w:pPr>
      <w:r w:rsidRPr="00AC2457">
        <w:rPr>
          <w:rFonts w:ascii="Arial" w:hAnsi="Arial" w:cs="Arial"/>
          <w:iCs/>
        </w:rPr>
        <w:t xml:space="preserve">This could influence the diverging </w:t>
      </w:r>
      <w:r w:rsidR="00791584" w:rsidRPr="00AC2457">
        <w:rPr>
          <w:rFonts w:ascii="Arial" w:hAnsi="Arial" w:cs="Arial"/>
          <w:iCs/>
        </w:rPr>
        <w:t>lenders’</w:t>
      </w:r>
      <w:r w:rsidRPr="00AC2457">
        <w:rPr>
          <w:rFonts w:ascii="Arial" w:hAnsi="Arial" w:cs="Arial"/>
          <w:iCs/>
        </w:rPr>
        <w:t xml:space="preserve"> opinions on the character and capabilities of the management team, or on the prospects of a turnaround. </w:t>
      </w:r>
    </w:p>
    <w:p w14:paraId="188E70A3" w14:textId="77777777" w:rsidR="00AC2457" w:rsidRPr="00AC2457" w:rsidRDefault="00AC2457" w:rsidP="00AC2457">
      <w:pPr>
        <w:numPr>
          <w:ilvl w:val="0"/>
          <w:numId w:val="25"/>
        </w:numPr>
        <w:jc w:val="both"/>
        <w:rPr>
          <w:rFonts w:ascii="Arial" w:hAnsi="Arial" w:cs="Arial"/>
          <w:iCs/>
        </w:rPr>
      </w:pPr>
      <w:r w:rsidRPr="00AC2457">
        <w:rPr>
          <w:rFonts w:ascii="Arial" w:hAnsi="Arial" w:cs="Arial"/>
          <w:iCs/>
        </w:rPr>
        <w:t>Low tolerance to non-financial risks: </w:t>
      </w:r>
    </w:p>
    <w:p w14:paraId="2B83DFD4" w14:textId="75CBD0B4" w:rsidR="00AC2457" w:rsidRPr="00AC2457" w:rsidRDefault="00AC2457" w:rsidP="00C55872">
      <w:pPr>
        <w:numPr>
          <w:ilvl w:val="0"/>
          <w:numId w:val="37"/>
        </w:numPr>
        <w:jc w:val="both"/>
        <w:rPr>
          <w:rFonts w:ascii="Arial" w:hAnsi="Arial" w:cs="Arial"/>
          <w:iCs/>
        </w:rPr>
      </w:pPr>
      <w:r w:rsidRPr="00AC2457">
        <w:rPr>
          <w:rFonts w:ascii="Arial" w:hAnsi="Arial" w:cs="Arial"/>
          <w:iCs/>
        </w:rPr>
        <w:t xml:space="preserve">Banks C &amp; D might have a stronger view on </w:t>
      </w:r>
      <w:r w:rsidR="004F43F8">
        <w:rPr>
          <w:rFonts w:ascii="Arial" w:hAnsi="Arial" w:cs="Arial"/>
          <w:iCs/>
        </w:rPr>
        <w:t xml:space="preserve">the </w:t>
      </w:r>
      <w:r w:rsidRPr="00AC2457">
        <w:rPr>
          <w:rFonts w:ascii="Arial" w:hAnsi="Arial" w:cs="Arial"/>
          <w:iCs/>
        </w:rPr>
        <w:t xml:space="preserve">reporting mishaps, on the negligent management and </w:t>
      </w:r>
      <w:r w:rsidR="004F43F8">
        <w:rPr>
          <w:rFonts w:ascii="Arial" w:hAnsi="Arial" w:cs="Arial"/>
          <w:iCs/>
        </w:rPr>
        <w:t>imperfect communications</w:t>
      </w:r>
      <w:r w:rsidRPr="00AC2457">
        <w:rPr>
          <w:rFonts w:ascii="Arial" w:hAnsi="Arial" w:cs="Arial"/>
          <w:iCs/>
        </w:rPr>
        <w:t xml:space="preserve"> of the Company. </w:t>
      </w:r>
      <w:r w:rsidR="001B4821">
        <w:rPr>
          <w:rFonts w:ascii="Arial" w:hAnsi="Arial" w:cs="Arial"/>
          <w:iCs/>
        </w:rPr>
        <w:t xml:space="preserve">Reportedly, </w:t>
      </w:r>
      <w:r w:rsidR="00B04500">
        <w:rPr>
          <w:rFonts w:ascii="Arial" w:hAnsi="Arial" w:cs="Arial"/>
          <w:iCs/>
        </w:rPr>
        <w:t>B</w:t>
      </w:r>
      <w:r w:rsidR="002522F9">
        <w:rPr>
          <w:rFonts w:ascii="Arial" w:hAnsi="Arial" w:cs="Arial"/>
          <w:iCs/>
        </w:rPr>
        <w:t xml:space="preserve">anks C </w:t>
      </w:r>
      <w:r w:rsidR="00B04500">
        <w:rPr>
          <w:rFonts w:ascii="Arial" w:hAnsi="Arial" w:cs="Arial"/>
          <w:iCs/>
        </w:rPr>
        <w:t>&amp;</w:t>
      </w:r>
      <w:r w:rsidR="002522F9">
        <w:rPr>
          <w:rFonts w:ascii="Arial" w:hAnsi="Arial" w:cs="Arial"/>
          <w:iCs/>
        </w:rPr>
        <w:t xml:space="preserve"> D seem to be more concerned </w:t>
      </w:r>
      <w:r w:rsidR="00BA09C0">
        <w:rPr>
          <w:rFonts w:ascii="Arial" w:hAnsi="Arial" w:cs="Arial"/>
          <w:iCs/>
        </w:rPr>
        <w:t xml:space="preserve">with the management’s </w:t>
      </w:r>
      <w:r w:rsidR="00EE433F">
        <w:rPr>
          <w:rFonts w:ascii="Arial" w:hAnsi="Arial" w:cs="Arial"/>
          <w:iCs/>
        </w:rPr>
        <w:t xml:space="preserve">behavior than banks A and B and </w:t>
      </w:r>
      <w:r w:rsidR="0001561A">
        <w:rPr>
          <w:rFonts w:ascii="Arial" w:hAnsi="Arial" w:cs="Arial"/>
          <w:iCs/>
        </w:rPr>
        <w:t>lose confidence in the ability of management to work towards a solution.</w:t>
      </w:r>
    </w:p>
    <w:p w14:paraId="7D2E8DD8" w14:textId="77777777" w:rsidR="00AC2457" w:rsidRPr="00AC2457" w:rsidRDefault="00AC2457" w:rsidP="00C55872">
      <w:pPr>
        <w:numPr>
          <w:ilvl w:val="0"/>
          <w:numId w:val="37"/>
        </w:numPr>
        <w:jc w:val="both"/>
        <w:rPr>
          <w:rFonts w:ascii="Arial" w:hAnsi="Arial" w:cs="Arial"/>
          <w:iCs/>
        </w:rPr>
      </w:pPr>
      <w:r w:rsidRPr="00AC2457">
        <w:rPr>
          <w:rFonts w:ascii="Arial" w:hAnsi="Arial" w:cs="Arial"/>
          <w:iCs/>
        </w:rPr>
        <w:t>Banks C &amp; D might have harsher requirements when it comes to corporate governance, integrity, ESG, etc., which can heavily influence their decision making.   </w:t>
      </w:r>
    </w:p>
    <w:p w14:paraId="7E04A2C2" w14:textId="2867E2A1" w:rsidR="00AC2457" w:rsidRPr="00AC2457" w:rsidRDefault="00AC2457" w:rsidP="00C55872">
      <w:pPr>
        <w:numPr>
          <w:ilvl w:val="0"/>
          <w:numId w:val="37"/>
        </w:numPr>
        <w:jc w:val="both"/>
        <w:rPr>
          <w:rFonts w:ascii="Arial" w:hAnsi="Arial" w:cs="Arial"/>
          <w:iCs/>
        </w:rPr>
      </w:pPr>
      <w:r w:rsidRPr="00AC2457">
        <w:rPr>
          <w:rFonts w:ascii="Arial" w:hAnsi="Arial" w:cs="Arial"/>
          <w:iCs/>
        </w:rPr>
        <w:t xml:space="preserve">In other words, they could be looking at the facts </w:t>
      </w:r>
      <w:r w:rsidR="00F47D12">
        <w:rPr>
          <w:rFonts w:ascii="Arial" w:hAnsi="Arial" w:cs="Arial"/>
          <w:iCs/>
        </w:rPr>
        <w:t>as presented in the</w:t>
      </w:r>
      <w:r w:rsidRPr="00AC2457">
        <w:rPr>
          <w:rFonts w:ascii="Arial" w:hAnsi="Arial" w:cs="Arial"/>
          <w:iCs/>
        </w:rPr>
        <w:t xml:space="preserve"> case study as strong </w:t>
      </w:r>
      <w:r w:rsidR="00F47D12" w:rsidRPr="00AC2457">
        <w:rPr>
          <w:rFonts w:ascii="Arial" w:hAnsi="Arial" w:cs="Arial"/>
          <w:iCs/>
        </w:rPr>
        <w:t>indica</w:t>
      </w:r>
      <w:r w:rsidR="00F47D12">
        <w:rPr>
          <w:rFonts w:ascii="Arial" w:hAnsi="Arial" w:cs="Arial"/>
          <w:iCs/>
        </w:rPr>
        <w:t>tion</w:t>
      </w:r>
      <w:r w:rsidRPr="00AC2457">
        <w:rPr>
          <w:rFonts w:ascii="Arial" w:hAnsi="Arial" w:cs="Arial"/>
          <w:iCs/>
        </w:rPr>
        <w:t xml:space="preserve"> of fraudulent behavior</w:t>
      </w:r>
      <w:r w:rsidR="00F47D12">
        <w:rPr>
          <w:rFonts w:ascii="Arial" w:hAnsi="Arial" w:cs="Arial"/>
          <w:iCs/>
        </w:rPr>
        <w:t xml:space="preserve"> on the part of management</w:t>
      </w:r>
      <w:r w:rsidRPr="00AC2457">
        <w:rPr>
          <w:rFonts w:ascii="Arial" w:hAnsi="Arial" w:cs="Arial"/>
          <w:iCs/>
        </w:rPr>
        <w:t>, in which case, they would be less inclined to trust current management.  This would explain why they ultimately acceded to the restructuring, after a change of CFO, CEO and the incorporation of a Chief Restructuring Officer</w:t>
      </w:r>
      <w:r w:rsidR="00A47AB3">
        <w:rPr>
          <w:rFonts w:ascii="Arial" w:hAnsi="Arial" w:cs="Arial"/>
          <w:iCs/>
        </w:rPr>
        <w:t xml:space="preserve"> takes place</w:t>
      </w:r>
      <w:r w:rsidRPr="00AC2457">
        <w:rPr>
          <w:rFonts w:ascii="Arial" w:hAnsi="Arial" w:cs="Arial"/>
          <w:iCs/>
        </w:rPr>
        <w:t>.   </w:t>
      </w:r>
    </w:p>
    <w:p w14:paraId="12E4E018" w14:textId="789F6AC7" w:rsidR="00AC2457" w:rsidRPr="00AC2457" w:rsidRDefault="00AC2457" w:rsidP="00AC2457">
      <w:pPr>
        <w:numPr>
          <w:ilvl w:val="0"/>
          <w:numId w:val="29"/>
        </w:numPr>
        <w:jc w:val="both"/>
        <w:rPr>
          <w:rFonts w:ascii="Arial" w:hAnsi="Arial" w:cs="Arial"/>
          <w:iCs/>
        </w:rPr>
      </w:pPr>
      <w:r w:rsidRPr="00AC2457">
        <w:rPr>
          <w:rFonts w:ascii="Arial" w:hAnsi="Arial" w:cs="Arial"/>
          <w:iCs/>
        </w:rPr>
        <w:t xml:space="preserve">Size of exposure relative to a </w:t>
      </w:r>
      <w:r w:rsidR="00A47AB3">
        <w:rPr>
          <w:rFonts w:ascii="Arial" w:hAnsi="Arial" w:cs="Arial"/>
          <w:iCs/>
        </w:rPr>
        <w:t>b</w:t>
      </w:r>
      <w:r w:rsidRPr="00AC2457">
        <w:rPr>
          <w:rFonts w:ascii="Arial" w:hAnsi="Arial" w:cs="Arial"/>
          <w:iCs/>
        </w:rPr>
        <w:t>ank’s portfolio can also influence how seriously they care about successfully restructuring a deal.  The larger the exposure vis-à-vis the total portfolio, the more likely it is to incentivize strongly the relevant bank to find solutions.  </w:t>
      </w:r>
    </w:p>
    <w:p w14:paraId="7175B6AF" w14:textId="6C1F9A40" w:rsidR="00AC2457" w:rsidRPr="00AC2457" w:rsidRDefault="00AC2457" w:rsidP="00AC2457">
      <w:pPr>
        <w:numPr>
          <w:ilvl w:val="0"/>
          <w:numId w:val="30"/>
        </w:numPr>
        <w:jc w:val="both"/>
        <w:rPr>
          <w:rFonts w:ascii="Arial" w:hAnsi="Arial" w:cs="Arial"/>
          <w:iCs/>
        </w:rPr>
      </w:pPr>
      <w:r w:rsidRPr="00AC2457">
        <w:rPr>
          <w:rFonts w:ascii="Arial" w:hAnsi="Arial" w:cs="Arial"/>
          <w:iCs/>
        </w:rPr>
        <w:t xml:space="preserve">Possible contributory role of lead </w:t>
      </w:r>
      <w:r w:rsidR="0040069B">
        <w:rPr>
          <w:rFonts w:ascii="Arial" w:hAnsi="Arial" w:cs="Arial"/>
          <w:iCs/>
        </w:rPr>
        <w:t>coordinator</w:t>
      </w:r>
      <w:r w:rsidRPr="00AC2457">
        <w:rPr>
          <w:rFonts w:ascii="Arial" w:hAnsi="Arial" w:cs="Arial"/>
          <w:iCs/>
        </w:rPr>
        <w:t xml:space="preserve"> (if there was one</w:t>
      </w:r>
      <w:r w:rsidR="005E1A89">
        <w:rPr>
          <w:rFonts w:ascii="Arial" w:hAnsi="Arial" w:cs="Arial"/>
          <w:iCs/>
        </w:rPr>
        <w:t>, which the case study does not mention</w:t>
      </w:r>
      <w:r w:rsidRPr="00AC2457">
        <w:rPr>
          <w:rFonts w:ascii="Arial" w:hAnsi="Arial" w:cs="Arial"/>
          <w:iCs/>
        </w:rPr>
        <w:t>): </w:t>
      </w:r>
    </w:p>
    <w:p w14:paraId="4BEE39BB" w14:textId="77777777" w:rsidR="00AC2457" w:rsidRPr="00AC2457" w:rsidRDefault="00AC2457" w:rsidP="00DA52CC">
      <w:pPr>
        <w:numPr>
          <w:ilvl w:val="0"/>
          <w:numId w:val="38"/>
        </w:numPr>
        <w:jc w:val="both"/>
        <w:rPr>
          <w:rFonts w:ascii="Arial" w:hAnsi="Arial" w:cs="Arial"/>
          <w:iCs/>
        </w:rPr>
      </w:pPr>
      <w:r w:rsidRPr="00AC2457">
        <w:rPr>
          <w:rFonts w:ascii="Arial" w:hAnsi="Arial" w:cs="Arial"/>
          <w:iCs/>
        </w:rPr>
        <w:lastRenderedPageBreak/>
        <w:t>If the financing was a syndicated transaction, Banks A &amp; B might have been the lead arrangers, leading the due diligence, documentation and potentially the monitoring of the loans.   </w:t>
      </w:r>
    </w:p>
    <w:p w14:paraId="0D2992FA" w14:textId="77777777" w:rsidR="00AC2457" w:rsidRPr="00AC2457" w:rsidRDefault="00AC2457" w:rsidP="00DA52CC">
      <w:pPr>
        <w:numPr>
          <w:ilvl w:val="0"/>
          <w:numId w:val="38"/>
        </w:numPr>
        <w:jc w:val="both"/>
        <w:rPr>
          <w:rFonts w:ascii="Arial" w:hAnsi="Arial" w:cs="Arial"/>
          <w:iCs/>
        </w:rPr>
      </w:pPr>
      <w:r w:rsidRPr="00AC2457">
        <w:rPr>
          <w:rFonts w:ascii="Arial" w:hAnsi="Arial" w:cs="Arial"/>
          <w:iCs/>
        </w:rPr>
        <w:t>Banks C &amp; D may now feel that they are in this situation for failures of the co-arrangers to conduct proper diligence, to perfect security package adequately and to monitor the transaction prudently.  </w:t>
      </w:r>
    </w:p>
    <w:p w14:paraId="65709CF5" w14:textId="053F195E" w:rsidR="00AC2457" w:rsidRPr="00AC2457" w:rsidRDefault="00AC2457" w:rsidP="00AC2457">
      <w:pPr>
        <w:jc w:val="both"/>
        <w:rPr>
          <w:rFonts w:ascii="Arial" w:hAnsi="Arial" w:cs="Arial"/>
          <w:iCs/>
        </w:rPr>
      </w:pPr>
      <w:r w:rsidRPr="00AC2457">
        <w:rPr>
          <w:rFonts w:ascii="Arial" w:hAnsi="Arial" w:cs="Arial"/>
          <w:iCs/>
        </w:rPr>
        <w:t xml:space="preserve">As advisor to Banks A &amp; B, I would have made sure to get on the table with Banks C &amp; D, early on, and understand their position and their asks.  </w:t>
      </w:r>
      <w:r w:rsidR="007B5E42">
        <w:rPr>
          <w:rFonts w:ascii="Arial" w:hAnsi="Arial" w:cs="Arial"/>
          <w:iCs/>
        </w:rPr>
        <w:t xml:space="preserve">As described in the </w:t>
      </w:r>
      <w:r w:rsidR="005D01B3">
        <w:rPr>
          <w:rFonts w:ascii="Arial" w:hAnsi="Arial" w:cs="Arial"/>
          <w:iCs/>
        </w:rPr>
        <w:t>Pajunen 2006 paper, ensuring the support from potential stakeholders</w:t>
      </w:r>
      <w:r w:rsidR="004B7E8B">
        <w:rPr>
          <w:rFonts w:ascii="Arial" w:hAnsi="Arial" w:cs="Arial"/>
          <w:iCs/>
        </w:rPr>
        <w:t xml:space="preserve"> early in the reorganization process</w:t>
      </w:r>
      <w:r w:rsidR="005D01B3">
        <w:rPr>
          <w:rFonts w:ascii="Arial" w:hAnsi="Arial" w:cs="Arial"/>
          <w:iCs/>
        </w:rPr>
        <w:t xml:space="preserve">, </w:t>
      </w:r>
      <w:r w:rsidR="004B7E8B">
        <w:rPr>
          <w:rFonts w:ascii="Arial" w:hAnsi="Arial" w:cs="Arial"/>
          <w:iCs/>
        </w:rPr>
        <w:t>as they</w:t>
      </w:r>
      <w:r w:rsidR="005D01B3">
        <w:rPr>
          <w:rFonts w:ascii="Arial" w:hAnsi="Arial" w:cs="Arial"/>
          <w:iCs/>
        </w:rPr>
        <w:t xml:space="preserve"> may convert into </w:t>
      </w:r>
      <w:r w:rsidR="00BC69A4">
        <w:rPr>
          <w:rFonts w:ascii="Arial" w:hAnsi="Arial" w:cs="Arial"/>
          <w:iCs/>
        </w:rPr>
        <w:t xml:space="preserve">critical stakeholders at a certain point, </w:t>
      </w:r>
      <w:r w:rsidR="00457D5F">
        <w:rPr>
          <w:rFonts w:ascii="Arial" w:hAnsi="Arial" w:cs="Arial"/>
          <w:iCs/>
        </w:rPr>
        <w:t>should be done with a strategy of proaction</w:t>
      </w:r>
      <w:r w:rsidR="00C755AA">
        <w:rPr>
          <w:rFonts w:ascii="Arial" w:hAnsi="Arial" w:cs="Arial"/>
          <w:iCs/>
        </w:rPr>
        <w:t xml:space="preserve"> or accommodation which is crucial for the survival of the company.</w:t>
      </w:r>
      <w:r w:rsidR="004B7E8B">
        <w:rPr>
          <w:rStyle w:val="FootnoteReference"/>
          <w:rFonts w:ascii="Arial" w:hAnsi="Arial" w:cs="Arial"/>
          <w:iCs/>
        </w:rPr>
        <w:footnoteReference w:id="13"/>
      </w:r>
      <w:r w:rsidR="00C755AA">
        <w:rPr>
          <w:rFonts w:ascii="Arial" w:hAnsi="Arial" w:cs="Arial"/>
          <w:iCs/>
        </w:rPr>
        <w:t xml:space="preserve"> </w:t>
      </w:r>
      <w:r w:rsidRPr="00AC2457">
        <w:rPr>
          <w:rFonts w:ascii="Arial" w:hAnsi="Arial" w:cs="Arial"/>
          <w:iCs/>
        </w:rPr>
        <w:t xml:space="preserve">Buying them out should not be a solution for banks A &amp; B, </w:t>
      </w:r>
      <w:r w:rsidR="00866A65">
        <w:rPr>
          <w:rFonts w:ascii="Arial" w:hAnsi="Arial" w:cs="Arial"/>
          <w:iCs/>
        </w:rPr>
        <w:t>rather</w:t>
      </w:r>
      <w:r w:rsidRPr="00AC2457">
        <w:rPr>
          <w:rFonts w:ascii="Arial" w:hAnsi="Arial" w:cs="Arial"/>
          <w:iCs/>
        </w:rPr>
        <w:t xml:space="preserve"> there should be some discussion as to what role -if any- all parties involved had in the various faults in the diligence, structuring and monitoring, not to place blame but to make sure that the consortium of banks </w:t>
      </w:r>
      <w:r w:rsidR="00866A65">
        <w:rPr>
          <w:rFonts w:ascii="Arial" w:hAnsi="Arial" w:cs="Arial"/>
          <w:iCs/>
        </w:rPr>
        <w:t>will not</w:t>
      </w:r>
      <w:r w:rsidRPr="00AC2457">
        <w:rPr>
          <w:rFonts w:ascii="Arial" w:hAnsi="Arial" w:cs="Arial"/>
          <w:iCs/>
        </w:rPr>
        <w:t xml:space="preserve"> repeat those mistakes again.  </w:t>
      </w:r>
    </w:p>
    <w:p w14:paraId="2C424E9A" w14:textId="002211C0" w:rsidR="00AC2457" w:rsidRPr="00AC2457" w:rsidRDefault="00AC2457" w:rsidP="00AC2457">
      <w:pPr>
        <w:jc w:val="both"/>
        <w:rPr>
          <w:rFonts w:ascii="Arial" w:hAnsi="Arial" w:cs="Arial"/>
          <w:iCs/>
        </w:rPr>
      </w:pPr>
      <w:r w:rsidRPr="00AC2457">
        <w:rPr>
          <w:rFonts w:ascii="Arial" w:hAnsi="Arial" w:cs="Arial"/>
          <w:iCs/>
        </w:rPr>
        <w:t>It appears from the facts that the security package was somewhat perfected</w:t>
      </w:r>
      <w:r w:rsidR="00A1537C">
        <w:rPr>
          <w:rFonts w:ascii="Arial" w:hAnsi="Arial" w:cs="Arial"/>
          <w:iCs/>
        </w:rPr>
        <w:t xml:space="preserve"> eventually</w:t>
      </w:r>
      <w:r w:rsidRPr="00AC2457">
        <w:rPr>
          <w:rFonts w:ascii="Arial" w:hAnsi="Arial" w:cs="Arial"/>
          <w:iCs/>
        </w:rPr>
        <w:t>.  Understanding the feasibility of this must have been a critical piece in the discussions with C &amp; D, to give them assurances that the situation would be under control. </w:t>
      </w:r>
    </w:p>
    <w:p w14:paraId="7D8C1C97" w14:textId="77777777" w:rsidR="00C43277" w:rsidRPr="00C43277" w:rsidRDefault="00C43277" w:rsidP="00C43277">
      <w:pPr>
        <w:pStyle w:val="ListParagraph"/>
        <w:numPr>
          <w:ilvl w:val="0"/>
          <w:numId w:val="1"/>
        </w:numPr>
        <w:rPr>
          <w:rFonts w:ascii="Arial" w:hAnsi="Arial" w:cs="Arial"/>
          <w:b/>
          <w:bCs/>
          <w:iCs/>
        </w:rPr>
      </w:pPr>
      <w:r w:rsidRPr="00C43277">
        <w:rPr>
          <w:rFonts w:ascii="Arial" w:hAnsi="Arial" w:cs="Arial"/>
          <w:b/>
          <w:bCs/>
          <w:iCs/>
        </w:rPr>
        <w:t>Which of the eight principles of the 'Statement of Principles for a Global Approach to Multi-Creditor Workouts II' can be found in the workout process of Flow Management (explicit or implicit)?</w:t>
      </w:r>
    </w:p>
    <w:p w14:paraId="7DBC27E4" w14:textId="36255CDD" w:rsidR="00355D8C" w:rsidRDefault="00BC45E4" w:rsidP="00BE3D17">
      <w:pPr>
        <w:jc w:val="both"/>
        <w:rPr>
          <w:rFonts w:ascii="Arial" w:hAnsi="Arial" w:cs="Arial"/>
          <w:iCs/>
        </w:rPr>
      </w:pPr>
      <w:r>
        <w:rPr>
          <w:rFonts w:ascii="Arial" w:hAnsi="Arial" w:cs="Arial"/>
          <w:iCs/>
        </w:rPr>
        <w:t xml:space="preserve">The </w:t>
      </w:r>
      <w:r w:rsidR="00C3723A">
        <w:rPr>
          <w:rFonts w:ascii="Arial" w:hAnsi="Arial" w:cs="Arial"/>
          <w:iCs/>
        </w:rPr>
        <w:t xml:space="preserve">2017 </w:t>
      </w:r>
      <w:r w:rsidR="00DD2964">
        <w:rPr>
          <w:rFonts w:ascii="Arial" w:hAnsi="Arial" w:cs="Arial"/>
          <w:iCs/>
        </w:rPr>
        <w:t xml:space="preserve">INSOL International </w:t>
      </w:r>
      <w:r w:rsidRPr="00BC45E4">
        <w:rPr>
          <w:rFonts w:ascii="Arial" w:hAnsi="Arial" w:cs="Arial"/>
          <w:iCs/>
        </w:rPr>
        <w:t>Statement of Principles for a Global Approach to Multi-Creditor Workouts II</w:t>
      </w:r>
      <w:r>
        <w:rPr>
          <w:rStyle w:val="FootnoteReference"/>
          <w:rFonts w:ascii="Arial" w:hAnsi="Arial" w:cs="Arial"/>
          <w:iCs/>
        </w:rPr>
        <w:footnoteReference w:id="14"/>
      </w:r>
      <w:r w:rsidR="00330E14">
        <w:rPr>
          <w:rFonts w:ascii="Arial" w:hAnsi="Arial" w:cs="Arial"/>
          <w:iCs/>
        </w:rPr>
        <w:t xml:space="preserve"> </w:t>
      </w:r>
      <w:r w:rsidR="00AD646D">
        <w:rPr>
          <w:rFonts w:ascii="Arial" w:hAnsi="Arial" w:cs="Arial"/>
          <w:iCs/>
        </w:rPr>
        <w:t>(the “</w:t>
      </w:r>
      <w:r w:rsidR="00663588">
        <w:rPr>
          <w:rFonts w:ascii="Arial" w:hAnsi="Arial" w:cs="Arial"/>
          <w:iCs/>
        </w:rPr>
        <w:t xml:space="preserve">INSOL </w:t>
      </w:r>
      <w:r w:rsidR="00AD646D">
        <w:rPr>
          <w:rFonts w:ascii="Arial" w:hAnsi="Arial" w:cs="Arial"/>
          <w:iCs/>
        </w:rPr>
        <w:t xml:space="preserve">Principles”) </w:t>
      </w:r>
      <w:r w:rsidR="00330E14">
        <w:rPr>
          <w:rFonts w:ascii="Arial" w:hAnsi="Arial" w:cs="Arial"/>
          <w:iCs/>
        </w:rPr>
        <w:t xml:space="preserve">is the revised </w:t>
      </w:r>
      <w:r w:rsidR="0059250C">
        <w:rPr>
          <w:rFonts w:ascii="Arial" w:hAnsi="Arial" w:cs="Arial"/>
          <w:iCs/>
        </w:rPr>
        <w:t xml:space="preserve">and improved edition of the Statement of Principles introduced </w:t>
      </w:r>
      <w:r w:rsidR="00DD2964">
        <w:rPr>
          <w:rFonts w:ascii="Arial" w:hAnsi="Arial" w:cs="Arial"/>
          <w:iCs/>
        </w:rPr>
        <w:t xml:space="preserve">in </w:t>
      </w:r>
      <w:r w:rsidR="00A12D6C">
        <w:rPr>
          <w:rFonts w:ascii="Arial" w:hAnsi="Arial" w:cs="Arial"/>
          <w:iCs/>
        </w:rPr>
        <w:t>20</w:t>
      </w:r>
      <w:r w:rsidR="001954E9">
        <w:rPr>
          <w:rFonts w:ascii="Arial" w:hAnsi="Arial" w:cs="Arial"/>
          <w:iCs/>
        </w:rPr>
        <w:t>0</w:t>
      </w:r>
      <w:r w:rsidR="00A12D6C">
        <w:rPr>
          <w:rFonts w:ascii="Arial" w:hAnsi="Arial" w:cs="Arial"/>
          <w:iCs/>
        </w:rPr>
        <w:t xml:space="preserve">0 and endorsed </w:t>
      </w:r>
      <w:r w:rsidR="001954E9">
        <w:rPr>
          <w:rFonts w:ascii="Arial" w:hAnsi="Arial" w:cs="Arial"/>
          <w:iCs/>
        </w:rPr>
        <w:t xml:space="preserve">by the Bank of England, the World Bank and the British Bankers’ Association. </w:t>
      </w:r>
      <w:r w:rsidR="004B05C3">
        <w:rPr>
          <w:rFonts w:ascii="Arial" w:hAnsi="Arial" w:cs="Arial"/>
          <w:iCs/>
        </w:rPr>
        <w:t xml:space="preserve">The </w:t>
      </w:r>
      <w:r w:rsidR="00663588">
        <w:rPr>
          <w:rFonts w:ascii="Arial" w:hAnsi="Arial" w:cs="Arial"/>
          <w:iCs/>
        </w:rPr>
        <w:t xml:space="preserve">INSOL </w:t>
      </w:r>
      <w:r w:rsidR="00AD646D">
        <w:rPr>
          <w:rFonts w:ascii="Arial" w:hAnsi="Arial" w:cs="Arial"/>
          <w:iCs/>
        </w:rPr>
        <w:t xml:space="preserve">Principles </w:t>
      </w:r>
      <w:r w:rsidR="001A64AF">
        <w:rPr>
          <w:rFonts w:ascii="Arial" w:hAnsi="Arial" w:cs="Arial"/>
          <w:iCs/>
        </w:rPr>
        <w:t>may be used in an out</w:t>
      </w:r>
      <w:r w:rsidR="00C85E0B">
        <w:rPr>
          <w:rFonts w:ascii="Arial" w:hAnsi="Arial" w:cs="Arial"/>
          <w:iCs/>
        </w:rPr>
        <w:t>-</w:t>
      </w:r>
      <w:r w:rsidR="001A64AF">
        <w:rPr>
          <w:rFonts w:ascii="Arial" w:hAnsi="Arial" w:cs="Arial"/>
          <w:iCs/>
        </w:rPr>
        <w:t>of</w:t>
      </w:r>
      <w:r w:rsidR="00C85E0B">
        <w:rPr>
          <w:rFonts w:ascii="Arial" w:hAnsi="Arial" w:cs="Arial"/>
          <w:iCs/>
        </w:rPr>
        <w:t>-</w:t>
      </w:r>
      <w:r w:rsidR="001A64AF">
        <w:rPr>
          <w:rFonts w:ascii="Arial" w:hAnsi="Arial" w:cs="Arial"/>
          <w:iCs/>
        </w:rPr>
        <w:t>court workout in any jurisdiction</w:t>
      </w:r>
      <w:r w:rsidR="00BE3D17">
        <w:rPr>
          <w:rFonts w:ascii="Arial" w:hAnsi="Arial" w:cs="Arial"/>
          <w:iCs/>
        </w:rPr>
        <w:t xml:space="preserve"> and are</w:t>
      </w:r>
      <w:r w:rsidR="0046135E">
        <w:rPr>
          <w:rFonts w:ascii="Arial" w:hAnsi="Arial" w:cs="Arial"/>
          <w:iCs/>
        </w:rPr>
        <w:t xml:space="preserve"> </w:t>
      </w:r>
      <w:r w:rsidR="00BE3D17" w:rsidRPr="00BE3D17">
        <w:rPr>
          <w:rFonts w:ascii="Arial" w:hAnsi="Arial" w:cs="Arial"/>
          <w:iCs/>
        </w:rPr>
        <w:t xml:space="preserve">designed to </w:t>
      </w:r>
      <w:r w:rsidR="00B71B1C">
        <w:rPr>
          <w:rFonts w:ascii="Arial" w:hAnsi="Arial" w:cs="Arial"/>
          <w:iCs/>
        </w:rPr>
        <w:t>provide guidance to</w:t>
      </w:r>
      <w:r w:rsidR="00BE3D17" w:rsidRPr="00BE3D17">
        <w:rPr>
          <w:rFonts w:ascii="Arial" w:hAnsi="Arial" w:cs="Arial"/>
          <w:iCs/>
        </w:rPr>
        <w:t xml:space="preserve"> financial creditors </w:t>
      </w:r>
      <w:r w:rsidR="00B71B1C">
        <w:rPr>
          <w:rFonts w:ascii="Arial" w:hAnsi="Arial" w:cs="Arial"/>
          <w:iCs/>
        </w:rPr>
        <w:t>on how to take</w:t>
      </w:r>
      <w:r w:rsidR="00BE3D17" w:rsidRPr="00BE3D17">
        <w:rPr>
          <w:rFonts w:ascii="Arial" w:hAnsi="Arial" w:cs="Arial"/>
          <w:iCs/>
        </w:rPr>
        <w:t xml:space="preserve"> a collective, coordinated, and cooperative approach to debtors in financial difficulties and, most importantly, facilitate the</w:t>
      </w:r>
      <w:r w:rsidR="00EF7774">
        <w:rPr>
          <w:rFonts w:ascii="Arial" w:hAnsi="Arial" w:cs="Arial"/>
          <w:iCs/>
        </w:rPr>
        <w:t>ir</w:t>
      </w:r>
      <w:r w:rsidR="00BE3D17" w:rsidRPr="00BE3D17">
        <w:rPr>
          <w:rFonts w:ascii="Arial" w:hAnsi="Arial" w:cs="Arial"/>
          <w:iCs/>
        </w:rPr>
        <w:t xml:space="preserve"> restructuring.</w:t>
      </w:r>
      <w:r w:rsidR="00EF7774">
        <w:rPr>
          <w:rFonts w:ascii="Arial" w:hAnsi="Arial" w:cs="Arial"/>
          <w:iCs/>
        </w:rPr>
        <w:t xml:space="preserve"> </w:t>
      </w:r>
      <w:r w:rsidR="00BE3D17" w:rsidRPr="00BE3D17">
        <w:rPr>
          <w:rFonts w:ascii="Arial" w:hAnsi="Arial" w:cs="Arial"/>
          <w:iCs/>
        </w:rPr>
        <w:t xml:space="preserve">The eight INSOL Principles are followed by commentary on the most </w:t>
      </w:r>
      <w:r w:rsidR="00F822F1">
        <w:rPr>
          <w:rFonts w:ascii="Arial" w:hAnsi="Arial" w:cs="Arial"/>
          <w:iCs/>
        </w:rPr>
        <w:t>critical</w:t>
      </w:r>
      <w:r w:rsidR="00BE3D17" w:rsidRPr="00BE3D17">
        <w:rPr>
          <w:rFonts w:ascii="Arial" w:hAnsi="Arial" w:cs="Arial"/>
          <w:iCs/>
        </w:rPr>
        <w:t xml:space="preserve"> aspects of their </w:t>
      </w:r>
      <w:r w:rsidR="00F822F1">
        <w:rPr>
          <w:rFonts w:ascii="Arial" w:hAnsi="Arial" w:cs="Arial"/>
          <w:iCs/>
        </w:rPr>
        <w:t>application</w:t>
      </w:r>
      <w:r w:rsidR="00FC2927">
        <w:rPr>
          <w:rFonts w:ascii="Arial" w:hAnsi="Arial" w:cs="Arial"/>
          <w:iCs/>
        </w:rPr>
        <w:t xml:space="preserve"> and encompass</w:t>
      </w:r>
      <w:r w:rsidR="00BE3D17" w:rsidRPr="00BE3D17">
        <w:rPr>
          <w:rFonts w:ascii="Arial" w:hAnsi="Arial" w:cs="Arial"/>
          <w:iCs/>
        </w:rPr>
        <w:t xml:space="preserve"> many considerations that apply to workouts generally (at least in respect of </w:t>
      </w:r>
      <w:r w:rsidR="00FC2927">
        <w:rPr>
          <w:rFonts w:ascii="Arial" w:hAnsi="Arial" w:cs="Arial"/>
          <w:iCs/>
        </w:rPr>
        <w:t xml:space="preserve">purely </w:t>
      </w:r>
      <w:r w:rsidR="00BE3D17" w:rsidRPr="00BE3D17">
        <w:rPr>
          <w:rFonts w:ascii="Arial" w:hAnsi="Arial" w:cs="Arial"/>
          <w:iCs/>
        </w:rPr>
        <w:t xml:space="preserve">private negotiations). </w:t>
      </w:r>
    </w:p>
    <w:p w14:paraId="3267CBD4" w14:textId="49D0DE49" w:rsidR="000801CE" w:rsidRDefault="003D5204" w:rsidP="00BE3D17">
      <w:pPr>
        <w:jc w:val="both"/>
        <w:rPr>
          <w:rFonts w:ascii="Arial" w:hAnsi="Arial" w:cs="Arial"/>
          <w:iCs/>
        </w:rPr>
      </w:pPr>
      <w:r>
        <w:rPr>
          <w:rFonts w:ascii="Arial" w:hAnsi="Arial" w:cs="Arial"/>
          <w:iCs/>
        </w:rPr>
        <w:t xml:space="preserve">Several of the principles may be identified </w:t>
      </w:r>
      <w:r w:rsidR="00991865">
        <w:rPr>
          <w:rFonts w:ascii="Arial" w:hAnsi="Arial" w:cs="Arial"/>
          <w:iCs/>
        </w:rPr>
        <w:t xml:space="preserve">in the workout process of Flow Management, although it is not clear whether the workout stakeholders </w:t>
      </w:r>
      <w:r w:rsidR="00D33F23">
        <w:rPr>
          <w:rFonts w:ascii="Arial" w:hAnsi="Arial" w:cs="Arial"/>
          <w:iCs/>
        </w:rPr>
        <w:t xml:space="preserve">formally subscribed to follow a specific framework. </w:t>
      </w:r>
      <w:r w:rsidR="0042511B">
        <w:rPr>
          <w:rFonts w:ascii="Arial" w:hAnsi="Arial" w:cs="Arial"/>
          <w:iCs/>
        </w:rPr>
        <w:t xml:space="preserve">Below is a brief overview of the </w:t>
      </w:r>
      <w:r w:rsidR="00CF4CBC">
        <w:rPr>
          <w:rFonts w:ascii="Arial" w:hAnsi="Arial" w:cs="Arial"/>
          <w:iCs/>
        </w:rPr>
        <w:t xml:space="preserve">practices in the Flow Management </w:t>
      </w:r>
      <w:r w:rsidR="00A678DE">
        <w:rPr>
          <w:rFonts w:ascii="Arial" w:hAnsi="Arial" w:cs="Arial"/>
          <w:iCs/>
        </w:rPr>
        <w:t>workout</w:t>
      </w:r>
      <w:r w:rsidR="00591CAD">
        <w:rPr>
          <w:rFonts w:ascii="Arial" w:hAnsi="Arial" w:cs="Arial"/>
          <w:iCs/>
        </w:rPr>
        <w:t>, aspects of</w:t>
      </w:r>
      <w:r w:rsidR="00A678DE">
        <w:rPr>
          <w:rFonts w:ascii="Arial" w:hAnsi="Arial" w:cs="Arial"/>
          <w:iCs/>
        </w:rPr>
        <w:t xml:space="preserve"> which are consistent with the </w:t>
      </w:r>
      <w:r w:rsidR="00036BE4">
        <w:rPr>
          <w:rFonts w:ascii="Arial" w:hAnsi="Arial" w:cs="Arial"/>
          <w:iCs/>
        </w:rPr>
        <w:t>best practice promoted in the INSOL Principles:</w:t>
      </w:r>
    </w:p>
    <w:p w14:paraId="4F961576" w14:textId="4AD9266E" w:rsidR="00036BE4" w:rsidRDefault="002378B9" w:rsidP="00036BE4">
      <w:pPr>
        <w:pStyle w:val="ListParagraph"/>
        <w:numPr>
          <w:ilvl w:val="0"/>
          <w:numId w:val="40"/>
        </w:numPr>
        <w:jc w:val="both"/>
        <w:rPr>
          <w:rFonts w:ascii="Arial" w:hAnsi="Arial" w:cs="Arial"/>
          <w:iCs/>
        </w:rPr>
      </w:pPr>
      <w:r w:rsidRPr="00EF6972">
        <w:rPr>
          <w:rFonts w:ascii="Arial" w:hAnsi="Arial" w:cs="Arial"/>
          <w:b/>
          <w:bCs/>
          <w:iCs/>
        </w:rPr>
        <w:t>First Principle</w:t>
      </w:r>
      <w:r>
        <w:rPr>
          <w:rFonts w:ascii="Arial" w:hAnsi="Arial" w:cs="Arial"/>
          <w:iCs/>
        </w:rPr>
        <w:t xml:space="preserve">: </w:t>
      </w:r>
      <w:r w:rsidRPr="002378B9">
        <w:rPr>
          <w:rFonts w:ascii="Arial" w:hAnsi="Arial" w:cs="Arial"/>
          <w:iCs/>
        </w:rPr>
        <w:t xml:space="preserve">Where a debtor is found to be in financial difficulties, all relevant creditors should be prepared to co-operate with each other to give sufficient (though limited) time (a “Standstill Period”) to the debtor for information about the debtor to be obtained and </w:t>
      </w:r>
      <w:r w:rsidRPr="002378B9">
        <w:rPr>
          <w:rFonts w:ascii="Arial" w:hAnsi="Arial" w:cs="Arial"/>
          <w:iCs/>
        </w:rPr>
        <w:lastRenderedPageBreak/>
        <w:t>evaluated and for proposals for resolving the debtor’s financial difficulties to be formulated and assessed, unless such a course is inappropriate in a particular case</w:t>
      </w:r>
      <w:r w:rsidR="008A4329">
        <w:rPr>
          <w:rFonts w:ascii="Arial" w:hAnsi="Arial" w:cs="Arial"/>
          <w:iCs/>
        </w:rPr>
        <w:t>.</w:t>
      </w:r>
    </w:p>
    <w:p w14:paraId="6281E86A" w14:textId="6C0325BB" w:rsidR="0076782B" w:rsidRPr="00E5410F" w:rsidRDefault="006D289E" w:rsidP="0076782B">
      <w:pPr>
        <w:jc w:val="both"/>
        <w:rPr>
          <w:rFonts w:ascii="Arial" w:hAnsi="Arial" w:cs="Arial"/>
          <w:iCs/>
        </w:rPr>
      </w:pPr>
      <w:r>
        <w:rPr>
          <w:rFonts w:ascii="Arial" w:hAnsi="Arial" w:cs="Arial"/>
          <w:iCs/>
        </w:rPr>
        <w:t xml:space="preserve">Indeed, </w:t>
      </w:r>
      <w:r w:rsidR="002A4F31">
        <w:rPr>
          <w:rFonts w:ascii="Arial" w:hAnsi="Arial" w:cs="Arial"/>
          <w:iCs/>
        </w:rPr>
        <w:t xml:space="preserve">the focus is on “all relevant creditors” </w:t>
      </w:r>
      <w:r w:rsidR="00EC6924">
        <w:rPr>
          <w:rFonts w:ascii="Arial" w:hAnsi="Arial" w:cs="Arial"/>
          <w:iCs/>
        </w:rPr>
        <w:t xml:space="preserve">to be included in the workout process, </w:t>
      </w:r>
      <w:r w:rsidR="00732688">
        <w:rPr>
          <w:rFonts w:ascii="Arial" w:hAnsi="Arial" w:cs="Arial"/>
          <w:iCs/>
        </w:rPr>
        <w:t xml:space="preserve">particularly all financial creditors, </w:t>
      </w:r>
      <w:r w:rsidR="00EC6924">
        <w:rPr>
          <w:rFonts w:ascii="Arial" w:hAnsi="Arial" w:cs="Arial"/>
          <w:iCs/>
        </w:rPr>
        <w:t xml:space="preserve">even though some </w:t>
      </w:r>
      <w:r w:rsidR="00732688">
        <w:rPr>
          <w:rFonts w:ascii="Arial" w:hAnsi="Arial" w:cs="Arial"/>
          <w:iCs/>
        </w:rPr>
        <w:t xml:space="preserve">financial creditors may be less exposed than others and </w:t>
      </w:r>
      <w:r w:rsidR="009B50F7">
        <w:rPr>
          <w:rFonts w:ascii="Arial" w:hAnsi="Arial" w:cs="Arial"/>
          <w:iCs/>
        </w:rPr>
        <w:t xml:space="preserve">therefore have less interest in the rescue attempts. In the case of Flow Management, all four bank lenders </w:t>
      </w:r>
      <w:r w:rsidR="00A37EF9">
        <w:rPr>
          <w:rFonts w:ascii="Arial" w:hAnsi="Arial" w:cs="Arial"/>
          <w:iCs/>
        </w:rPr>
        <w:t xml:space="preserve">agree to </w:t>
      </w:r>
      <w:r w:rsidR="002318A7">
        <w:rPr>
          <w:rFonts w:ascii="Arial" w:hAnsi="Arial" w:cs="Arial"/>
          <w:iCs/>
        </w:rPr>
        <w:t xml:space="preserve">discuss the Company’s situation </w:t>
      </w:r>
      <w:r w:rsidR="00792339">
        <w:rPr>
          <w:rFonts w:ascii="Arial" w:hAnsi="Arial" w:cs="Arial"/>
          <w:iCs/>
        </w:rPr>
        <w:t xml:space="preserve">and to “constructively work together on a solution”. The also realize that a joint </w:t>
      </w:r>
      <w:r w:rsidR="006A76F3">
        <w:rPr>
          <w:rFonts w:ascii="Arial" w:hAnsi="Arial" w:cs="Arial"/>
          <w:iCs/>
        </w:rPr>
        <w:t xml:space="preserve">approach by the banks is desired </w:t>
      </w:r>
      <w:r w:rsidR="00952A2D">
        <w:rPr>
          <w:rFonts w:ascii="Arial" w:hAnsi="Arial" w:cs="Arial"/>
          <w:iCs/>
        </w:rPr>
        <w:t xml:space="preserve">and standstill agreement should be signed </w:t>
      </w:r>
      <w:r w:rsidR="00837837">
        <w:rPr>
          <w:rFonts w:ascii="Arial" w:hAnsi="Arial" w:cs="Arial"/>
          <w:iCs/>
        </w:rPr>
        <w:t xml:space="preserve">to give the debtor sufficient time to </w:t>
      </w:r>
      <w:r w:rsidR="005743D1">
        <w:rPr>
          <w:rFonts w:ascii="Arial" w:hAnsi="Arial" w:cs="Arial"/>
          <w:iCs/>
        </w:rPr>
        <w:t xml:space="preserve">provide the necessary information and also for the banks to solve the legal problems with regards to the pledges. </w:t>
      </w:r>
      <w:r w:rsidR="0088142E">
        <w:rPr>
          <w:rFonts w:ascii="Arial" w:hAnsi="Arial" w:cs="Arial"/>
          <w:iCs/>
        </w:rPr>
        <w:t xml:space="preserve">At the same time, </w:t>
      </w:r>
      <w:r w:rsidR="00C131A0">
        <w:rPr>
          <w:rFonts w:ascii="Arial" w:hAnsi="Arial" w:cs="Arial"/>
          <w:iCs/>
        </w:rPr>
        <w:t>no company</w:t>
      </w:r>
      <w:r w:rsidR="00C131A0" w:rsidRPr="00C131A0">
        <w:rPr>
          <w:rFonts w:ascii="Arial" w:hAnsi="Arial" w:cs="Arial"/>
          <w:iCs/>
        </w:rPr>
        <w:t xml:space="preserve"> has a “right” to breathing space to conduct </w:t>
      </w:r>
      <w:r w:rsidR="00C131A0">
        <w:rPr>
          <w:rFonts w:ascii="Arial" w:hAnsi="Arial" w:cs="Arial"/>
          <w:iCs/>
        </w:rPr>
        <w:t>a workout</w:t>
      </w:r>
      <w:r w:rsidR="00C131A0" w:rsidRPr="00C131A0">
        <w:rPr>
          <w:rFonts w:ascii="Arial" w:hAnsi="Arial" w:cs="Arial"/>
          <w:iCs/>
        </w:rPr>
        <w:t xml:space="preserve">: the granting of a standstill period is a concession by creditors and not a right of the debtor. The </w:t>
      </w:r>
      <w:r w:rsidR="008E5788">
        <w:rPr>
          <w:rFonts w:ascii="Arial" w:hAnsi="Arial" w:cs="Arial"/>
          <w:iCs/>
        </w:rPr>
        <w:t>Company</w:t>
      </w:r>
      <w:r w:rsidR="00C131A0" w:rsidRPr="00C131A0">
        <w:rPr>
          <w:rFonts w:ascii="Arial" w:hAnsi="Arial" w:cs="Arial"/>
          <w:iCs/>
        </w:rPr>
        <w:t xml:space="preserve"> (together with</w:t>
      </w:r>
      <w:r w:rsidR="008E5788">
        <w:rPr>
          <w:rFonts w:ascii="Arial" w:hAnsi="Arial" w:cs="Arial"/>
          <w:iCs/>
        </w:rPr>
        <w:t xml:space="preserve"> </w:t>
      </w:r>
      <w:r w:rsidR="00C131A0" w:rsidRPr="00C131A0">
        <w:rPr>
          <w:rFonts w:ascii="Arial" w:hAnsi="Arial" w:cs="Arial"/>
          <w:iCs/>
        </w:rPr>
        <w:t xml:space="preserve">its advisors) needs to assess whether there is a realistic possibility that its financial difficulties can be </w:t>
      </w:r>
      <w:r w:rsidR="004726E6" w:rsidRPr="00C131A0">
        <w:rPr>
          <w:rFonts w:ascii="Arial" w:hAnsi="Arial" w:cs="Arial"/>
          <w:iCs/>
        </w:rPr>
        <w:t>resolved,</w:t>
      </w:r>
      <w:r w:rsidR="00C131A0" w:rsidRPr="00C131A0">
        <w:rPr>
          <w:rFonts w:ascii="Arial" w:hAnsi="Arial" w:cs="Arial"/>
          <w:iCs/>
        </w:rPr>
        <w:t xml:space="preserve"> and </w:t>
      </w:r>
      <w:r w:rsidR="008E5788">
        <w:rPr>
          <w:rFonts w:ascii="Arial" w:hAnsi="Arial" w:cs="Arial"/>
          <w:iCs/>
        </w:rPr>
        <w:t>its</w:t>
      </w:r>
      <w:r w:rsidR="00C131A0" w:rsidRPr="00C131A0">
        <w:rPr>
          <w:rFonts w:ascii="Arial" w:hAnsi="Arial" w:cs="Arial"/>
          <w:iCs/>
        </w:rPr>
        <w:t xml:space="preserve"> sustainability restored. If a realistic possibility does not exist, liquidation of the enterprise through a formal insolvency proceeding should be considered</w:t>
      </w:r>
      <w:r w:rsidR="008E5788">
        <w:rPr>
          <w:rFonts w:ascii="Arial" w:hAnsi="Arial" w:cs="Arial"/>
          <w:iCs/>
        </w:rPr>
        <w:t xml:space="preserve">, </w:t>
      </w:r>
      <w:r w:rsidR="00A440A9">
        <w:rPr>
          <w:rFonts w:ascii="Arial" w:hAnsi="Arial" w:cs="Arial"/>
          <w:iCs/>
        </w:rPr>
        <w:t xml:space="preserve">which indeed was part of the four options drawn up in the October 2014 </w:t>
      </w:r>
      <w:r w:rsidR="004726E6">
        <w:rPr>
          <w:rFonts w:ascii="Arial" w:hAnsi="Arial" w:cs="Arial"/>
          <w:iCs/>
        </w:rPr>
        <w:t>scenarios</w:t>
      </w:r>
      <w:r w:rsidR="00C131A0" w:rsidRPr="00C131A0">
        <w:rPr>
          <w:rFonts w:ascii="Arial" w:hAnsi="Arial" w:cs="Arial"/>
          <w:iCs/>
        </w:rPr>
        <w:t>.</w:t>
      </w:r>
      <w:r w:rsidR="0076782B">
        <w:rPr>
          <w:rFonts w:ascii="Arial" w:hAnsi="Arial" w:cs="Arial"/>
          <w:iCs/>
        </w:rPr>
        <w:t xml:space="preserve"> </w:t>
      </w:r>
      <w:r w:rsidR="0076782B">
        <w:rPr>
          <w:rFonts w:ascii="Arial" w:hAnsi="Arial" w:cs="Arial"/>
          <w:iCs/>
        </w:rPr>
        <w:t xml:space="preserve">Consistent with the First Principle, the signed standstill </w:t>
      </w:r>
      <w:r w:rsidR="00050F2C">
        <w:rPr>
          <w:rFonts w:ascii="Arial" w:hAnsi="Arial" w:cs="Arial"/>
          <w:iCs/>
        </w:rPr>
        <w:t>is</w:t>
      </w:r>
      <w:r w:rsidR="0076782B">
        <w:rPr>
          <w:rFonts w:ascii="Arial" w:hAnsi="Arial" w:cs="Arial"/>
          <w:iCs/>
        </w:rPr>
        <w:t xml:space="preserve"> of limited duration (four months) </w:t>
      </w:r>
      <w:r w:rsidR="0076782B">
        <w:rPr>
          <w:rFonts w:ascii="Arial" w:hAnsi="Arial" w:cs="Arial"/>
          <w:iCs/>
        </w:rPr>
        <w:t xml:space="preserve">and </w:t>
      </w:r>
      <w:r w:rsidR="00050F2C">
        <w:rPr>
          <w:rFonts w:ascii="Arial" w:hAnsi="Arial" w:cs="Arial"/>
          <w:iCs/>
        </w:rPr>
        <w:t>different possibilities are explored, including sale scenarios and a liquidation scenario.</w:t>
      </w:r>
    </w:p>
    <w:p w14:paraId="4BE63847" w14:textId="6598C4A6" w:rsidR="004726E6" w:rsidRPr="00EB766C" w:rsidRDefault="00EB766C" w:rsidP="00EB766C">
      <w:pPr>
        <w:pStyle w:val="ListParagraph"/>
        <w:numPr>
          <w:ilvl w:val="0"/>
          <w:numId w:val="40"/>
        </w:numPr>
        <w:jc w:val="both"/>
        <w:rPr>
          <w:rFonts w:ascii="Arial" w:hAnsi="Arial" w:cs="Arial"/>
          <w:iCs/>
        </w:rPr>
      </w:pPr>
      <w:r w:rsidRPr="00EF6972">
        <w:rPr>
          <w:rFonts w:ascii="Arial" w:hAnsi="Arial" w:cs="Arial"/>
          <w:b/>
          <w:bCs/>
          <w:iCs/>
        </w:rPr>
        <w:t>Second Principle</w:t>
      </w:r>
      <w:r w:rsidRPr="00EB766C">
        <w:rPr>
          <w:rFonts w:ascii="Arial" w:hAnsi="Arial" w:cs="Arial"/>
          <w:iCs/>
        </w:rPr>
        <w:t>: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14:paraId="17F5A943" w14:textId="5953B930" w:rsidR="0014018A" w:rsidRDefault="005175D8" w:rsidP="00FB7B73">
      <w:pPr>
        <w:jc w:val="both"/>
        <w:rPr>
          <w:rFonts w:ascii="Arial" w:hAnsi="Arial" w:cs="Arial"/>
          <w:iCs/>
        </w:rPr>
      </w:pPr>
      <w:r>
        <w:rPr>
          <w:rFonts w:ascii="Arial" w:hAnsi="Arial" w:cs="Arial"/>
          <w:iCs/>
        </w:rPr>
        <w:t xml:space="preserve">While the four banks in the Flow Management workout </w:t>
      </w:r>
      <w:r w:rsidR="00645529">
        <w:rPr>
          <w:rFonts w:ascii="Arial" w:hAnsi="Arial" w:cs="Arial"/>
          <w:iCs/>
        </w:rPr>
        <w:t xml:space="preserve">seem to implicitly give breathing space to the Company, no formal standstill agreement was signed until </w:t>
      </w:r>
      <w:r w:rsidR="00754AEB">
        <w:rPr>
          <w:rFonts w:ascii="Arial" w:hAnsi="Arial" w:cs="Arial"/>
          <w:iCs/>
        </w:rPr>
        <w:t xml:space="preserve">two of the banks (banks C and D) became </w:t>
      </w:r>
      <w:r w:rsidR="008B4F2F">
        <w:rPr>
          <w:rFonts w:ascii="Arial" w:hAnsi="Arial" w:cs="Arial"/>
          <w:iCs/>
        </w:rPr>
        <w:t xml:space="preserve">more </w:t>
      </w:r>
      <w:r w:rsidR="00754AEB">
        <w:rPr>
          <w:rFonts w:ascii="Arial" w:hAnsi="Arial" w:cs="Arial"/>
          <w:iCs/>
        </w:rPr>
        <w:t xml:space="preserve">confident in the </w:t>
      </w:r>
      <w:r w:rsidR="008B4F2F">
        <w:rPr>
          <w:rFonts w:ascii="Arial" w:hAnsi="Arial" w:cs="Arial"/>
          <w:iCs/>
        </w:rPr>
        <w:t xml:space="preserve">information </w:t>
      </w:r>
      <w:r w:rsidR="004E074C">
        <w:rPr>
          <w:rFonts w:ascii="Arial" w:hAnsi="Arial" w:cs="Arial"/>
          <w:iCs/>
        </w:rPr>
        <w:t xml:space="preserve">given by the Company, after the new management (and particularly the CRO) was appointed and </w:t>
      </w:r>
      <w:r w:rsidR="007C01DE">
        <w:rPr>
          <w:rFonts w:ascii="Arial" w:hAnsi="Arial" w:cs="Arial"/>
          <w:iCs/>
        </w:rPr>
        <w:t xml:space="preserve">they noticed slight improvement in the results of their actions. </w:t>
      </w:r>
      <w:r w:rsidR="00FB7B73" w:rsidRPr="00FB7B73">
        <w:rPr>
          <w:rFonts w:ascii="Arial" w:hAnsi="Arial" w:cs="Arial"/>
          <w:iCs/>
        </w:rPr>
        <w:t xml:space="preserve">The objective of </w:t>
      </w:r>
      <w:r w:rsidR="00FB7B73">
        <w:rPr>
          <w:rFonts w:ascii="Arial" w:hAnsi="Arial" w:cs="Arial"/>
          <w:iCs/>
        </w:rPr>
        <w:t>the Second P</w:t>
      </w:r>
      <w:r w:rsidR="00FB7B73" w:rsidRPr="00FB7B73">
        <w:rPr>
          <w:rFonts w:ascii="Arial" w:hAnsi="Arial" w:cs="Arial"/>
          <w:iCs/>
        </w:rPr>
        <w:t>rinciple is to achieve stability and to maintain the pre-standstill status quo among relevant existing creditors.</w:t>
      </w:r>
      <w:r w:rsidR="00466721">
        <w:rPr>
          <w:rFonts w:ascii="Arial" w:hAnsi="Arial" w:cs="Arial"/>
          <w:iCs/>
        </w:rPr>
        <w:t xml:space="preserve"> As discussed above in response to Question </w:t>
      </w:r>
      <w:r w:rsidR="0010233D">
        <w:rPr>
          <w:rFonts w:ascii="Arial" w:hAnsi="Arial" w:cs="Arial"/>
          <w:iCs/>
        </w:rPr>
        <w:t>2, the benefits of out-of-court workouts</w:t>
      </w:r>
      <w:r w:rsidR="00FB7B73" w:rsidRPr="00FB7B73">
        <w:rPr>
          <w:rFonts w:ascii="Arial" w:hAnsi="Arial" w:cs="Arial"/>
          <w:iCs/>
        </w:rPr>
        <w:t xml:space="preserve"> may be increased by the involvement of qualified professional advisors that have the required know-how and can earn the respect of the creditors.</w:t>
      </w:r>
      <w:r w:rsidR="00EF2384">
        <w:rPr>
          <w:rFonts w:ascii="Arial" w:hAnsi="Arial" w:cs="Arial"/>
          <w:iCs/>
        </w:rPr>
        <w:t xml:space="preserve"> In the case of Flow Management, the hiring of a CRO seemed to have increased the creditors’ confidence </w:t>
      </w:r>
      <w:r w:rsidR="00EF6972">
        <w:rPr>
          <w:rFonts w:ascii="Arial" w:hAnsi="Arial" w:cs="Arial"/>
          <w:iCs/>
        </w:rPr>
        <w:t xml:space="preserve">in </w:t>
      </w:r>
      <w:r w:rsidR="009E38BB">
        <w:rPr>
          <w:rFonts w:ascii="Arial" w:hAnsi="Arial" w:cs="Arial"/>
          <w:iCs/>
        </w:rPr>
        <w:t xml:space="preserve">the prospects of the workout. </w:t>
      </w:r>
      <w:r w:rsidR="00FB7B73" w:rsidRPr="00FB7B73">
        <w:rPr>
          <w:rFonts w:ascii="Arial" w:hAnsi="Arial" w:cs="Arial"/>
          <w:iCs/>
        </w:rPr>
        <w:t xml:space="preserve">Creditors must be confident that, in deciding not to pursue their individual rights and remedies, they will not be prejudiced vis-à-vis other creditors if a consensual way forward for the restructuring of the debtor cannot be found. </w:t>
      </w:r>
      <w:r w:rsidR="00A2112E">
        <w:rPr>
          <w:rFonts w:ascii="Arial" w:hAnsi="Arial" w:cs="Arial"/>
          <w:iCs/>
        </w:rPr>
        <w:t xml:space="preserve">Banks C &amp; D at some point are </w:t>
      </w:r>
      <w:r w:rsidR="00821BC6">
        <w:rPr>
          <w:rFonts w:ascii="Arial" w:hAnsi="Arial" w:cs="Arial"/>
          <w:iCs/>
        </w:rPr>
        <w:t xml:space="preserve">no longer cooperating, as discussed in the response to Question 3, potentially because </w:t>
      </w:r>
      <w:r w:rsidR="00C40B4D">
        <w:rPr>
          <w:rFonts w:ascii="Arial" w:hAnsi="Arial" w:cs="Arial"/>
          <w:iCs/>
        </w:rPr>
        <w:t>of a conflict with the other two banks</w:t>
      </w:r>
      <w:r w:rsidR="0033286F">
        <w:rPr>
          <w:rFonts w:ascii="Arial" w:hAnsi="Arial" w:cs="Arial"/>
          <w:iCs/>
        </w:rPr>
        <w:t xml:space="preserve">, which justifiably worries Banks A &amp; </w:t>
      </w:r>
      <w:r w:rsidR="00C15971">
        <w:rPr>
          <w:rFonts w:ascii="Arial" w:hAnsi="Arial" w:cs="Arial"/>
          <w:iCs/>
        </w:rPr>
        <w:t xml:space="preserve">B, but the situation is eventually handled and all four banks get on board with the negotiations. </w:t>
      </w:r>
    </w:p>
    <w:p w14:paraId="67F32BB1" w14:textId="022952B2" w:rsidR="00C15971" w:rsidRPr="00C15971" w:rsidRDefault="002A0BA9" w:rsidP="00C15971">
      <w:pPr>
        <w:pStyle w:val="ListParagraph"/>
        <w:numPr>
          <w:ilvl w:val="0"/>
          <w:numId w:val="40"/>
        </w:numPr>
        <w:jc w:val="both"/>
        <w:rPr>
          <w:rFonts w:ascii="Arial" w:hAnsi="Arial" w:cs="Arial"/>
          <w:iCs/>
        </w:rPr>
      </w:pPr>
      <w:r w:rsidRPr="002A0BA9">
        <w:rPr>
          <w:rFonts w:ascii="Arial" w:hAnsi="Arial" w:cs="Arial"/>
          <w:b/>
          <w:bCs/>
          <w:iCs/>
        </w:rPr>
        <w:t>Third Principle</w:t>
      </w:r>
      <w:r w:rsidRPr="002A0BA9">
        <w:rPr>
          <w:rFonts w:ascii="Arial" w:hAnsi="Arial" w:cs="Arial"/>
          <w:iCs/>
        </w:rPr>
        <w:t>: During the Standstill Period, the debtor should not take any action which might adversely affect the prospective return to relevant creditors (either collectively or individually) as compared with the position at the Standstill Commencement Date.</w:t>
      </w:r>
    </w:p>
    <w:p w14:paraId="70BFA756" w14:textId="626B70DC" w:rsidR="004F2780" w:rsidRDefault="00406AE4" w:rsidP="001B324B">
      <w:pPr>
        <w:jc w:val="both"/>
        <w:rPr>
          <w:rFonts w:ascii="Arial" w:hAnsi="Arial" w:cs="Arial"/>
          <w:iCs/>
          <w:lang w:val="en-GB"/>
        </w:rPr>
      </w:pPr>
      <w:r w:rsidRPr="00406AE4">
        <w:rPr>
          <w:rFonts w:ascii="Arial" w:hAnsi="Arial" w:cs="Arial"/>
          <w:iCs/>
          <w:lang w:val="en-GB"/>
        </w:rPr>
        <w:lastRenderedPageBreak/>
        <w:t xml:space="preserve">Standstill Commencement Date means the date from which the </w:t>
      </w:r>
      <w:r w:rsidR="00046028">
        <w:rPr>
          <w:rFonts w:ascii="Arial" w:hAnsi="Arial" w:cs="Arial"/>
          <w:iCs/>
          <w:lang w:val="en-GB"/>
        </w:rPr>
        <w:t>P</w:t>
      </w:r>
      <w:r w:rsidRPr="00406AE4">
        <w:rPr>
          <w:rFonts w:ascii="Arial" w:hAnsi="Arial" w:cs="Arial"/>
          <w:iCs/>
          <w:lang w:val="en-GB"/>
        </w:rPr>
        <w:t>rinciples begin to operate and the standstill arrangements commence</w:t>
      </w:r>
      <w:r w:rsidR="00046028">
        <w:rPr>
          <w:rFonts w:ascii="Arial" w:hAnsi="Arial" w:cs="Arial"/>
          <w:iCs/>
          <w:lang w:val="en-GB"/>
        </w:rPr>
        <w:t xml:space="preserve">, which in the case of Flow Management is mid-August, 2014, although banks implicitly agree to follow a standstill </w:t>
      </w:r>
      <w:r w:rsidR="00311914">
        <w:rPr>
          <w:rFonts w:ascii="Arial" w:hAnsi="Arial" w:cs="Arial"/>
          <w:iCs/>
          <w:lang w:val="en-GB"/>
        </w:rPr>
        <w:t xml:space="preserve">earlier than that, when they agree to work together on a solution. It is unclear if such implicit agreement though would have had any effect before the standstill was formally signed. </w:t>
      </w:r>
      <w:r w:rsidR="00D10CA0">
        <w:rPr>
          <w:rFonts w:ascii="Arial" w:hAnsi="Arial" w:cs="Arial"/>
          <w:iCs/>
          <w:lang w:val="en-GB"/>
        </w:rPr>
        <w:t>The case study does not provide any details with respect to the content of the standstill agreement that was signed, so I would assume it follows the Third Principle in substance</w:t>
      </w:r>
      <w:r w:rsidR="00FE694E">
        <w:rPr>
          <w:rFonts w:ascii="Arial" w:hAnsi="Arial" w:cs="Arial"/>
          <w:iCs/>
          <w:lang w:val="en-GB"/>
        </w:rPr>
        <w:t xml:space="preserve">, and exceptions with respect to the Company’s ability to continue to make payments in </w:t>
      </w:r>
      <w:r w:rsidR="001774E7">
        <w:rPr>
          <w:rFonts w:ascii="Arial" w:hAnsi="Arial" w:cs="Arial"/>
          <w:iCs/>
          <w:lang w:val="en-GB"/>
        </w:rPr>
        <w:t>the</w:t>
      </w:r>
      <w:r w:rsidR="00FE694E">
        <w:rPr>
          <w:rFonts w:ascii="Arial" w:hAnsi="Arial" w:cs="Arial"/>
          <w:iCs/>
          <w:lang w:val="en-GB"/>
        </w:rPr>
        <w:t xml:space="preserve"> ordinary </w:t>
      </w:r>
      <w:r w:rsidR="001774E7">
        <w:rPr>
          <w:rFonts w:ascii="Arial" w:hAnsi="Arial" w:cs="Arial"/>
          <w:iCs/>
          <w:lang w:val="en-GB"/>
        </w:rPr>
        <w:t xml:space="preserve">course of its business are made, </w:t>
      </w:r>
      <w:r w:rsidR="00194991">
        <w:rPr>
          <w:rFonts w:ascii="Arial" w:hAnsi="Arial" w:cs="Arial"/>
          <w:iCs/>
          <w:lang w:val="en-GB"/>
        </w:rPr>
        <w:t>except preferential payments, transactions not at full value and incurring new debt without the four bank</w:t>
      </w:r>
      <w:r w:rsidR="00EA1F4C">
        <w:rPr>
          <w:rFonts w:ascii="Arial" w:hAnsi="Arial" w:cs="Arial"/>
          <w:iCs/>
          <w:lang w:val="en-GB"/>
        </w:rPr>
        <w:t xml:space="preserve">s’ consent. </w:t>
      </w:r>
    </w:p>
    <w:p w14:paraId="714FD6F5" w14:textId="772356BC" w:rsidR="00235E1E" w:rsidRDefault="00235E1E" w:rsidP="00235E1E">
      <w:pPr>
        <w:pStyle w:val="ListParagraph"/>
        <w:numPr>
          <w:ilvl w:val="0"/>
          <w:numId w:val="40"/>
        </w:numPr>
        <w:jc w:val="both"/>
        <w:rPr>
          <w:rFonts w:ascii="Arial" w:hAnsi="Arial" w:cs="Arial"/>
          <w:iCs/>
          <w:lang w:val="en-GB"/>
        </w:rPr>
      </w:pPr>
      <w:r w:rsidRPr="00235E1E">
        <w:rPr>
          <w:rFonts w:ascii="Arial" w:hAnsi="Arial" w:cs="Arial"/>
          <w:b/>
          <w:bCs/>
          <w:iCs/>
          <w:lang w:val="en-GB"/>
        </w:rPr>
        <w:t>Fourth Principle</w:t>
      </w:r>
      <w:r>
        <w:rPr>
          <w:rFonts w:ascii="Arial" w:hAnsi="Arial" w:cs="Arial"/>
          <w:iCs/>
          <w:lang w:val="en-GB"/>
        </w:rPr>
        <w:t xml:space="preserve">. </w:t>
      </w:r>
      <w:r w:rsidR="00FB41FB" w:rsidRPr="00FB41FB">
        <w:rPr>
          <w:rFonts w:ascii="Arial" w:hAnsi="Arial" w:cs="Arial"/>
          <w:iCs/>
          <w:lang w:val="en-GB"/>
        </w:rPr>
        <w:t>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p>
    <w:p w14:paraId="743D9B94" w14:textId="1B5D2348" w:rsidR="00FB41FB" w:rsidRDefault="00880329" w:rsidP="00FB41FB">
      <w:pPr>
        <w:jc w:val="both"/>
        <w:rPr>
          <w:rFonts w:ascii="Arial" w:hAnsi="Arial" w:cs="Arial"/>
          <w:lang w:val="en-GB"/>
        </w:rPr>
      </w:pPr>
      <w:r>
        <w:rPr>
          <w:rFonts w:ascii="Arial" w:hAnsi="Arial" w:cs="Arial"/>
          <w:lang w:val="en-GB"/>
        </w:rPr>
        <w:t xml:space="preserve">Implicitly, </w:t>
      </w:r>
      <w:r w:rsidR="003429CF">
        <w:rPr>
          <w:rFonts w:ascii="Arial" w:hAnsi="Arial" w:cs="Arial"/>
          <w:lang w:val="en-GB"/>
        </w:rPr>
        <w:t xml:space="preserve">in the Flow Management workout, </w:t>
      </w:r>
      <w:r>
        <w:rPr>
          <w:rFonts w:ascii="Arial" w:hAnsi="Arial" w:cs="Arial"/>
          <w:lang w:val="en-GB"/>
        </w:rPr>
        <w:t xml:space="preserve">the relevant financial creditors appear to have adopted the Fourth Principle in the beginning, by agreeing to </w:t>
      </w:r>
      <w:r w:rsidR="000E2ACC">
        <w:rPr>
          <w:rFonts w:ascii="Arial" w:hAnsi="Arial" w:cs="Arial"/>
          <w:lang w:val="en-GB"/>
        </w:rPr>
        <w:t xml:space="preserve">work together on a solution and the Company </w:t>
      </w:r>
      <w:r w:rsidR="006774C1">
        <w:rPr>
          <w:rFonts w:ascii="Arial" w:hAnsi="Arial" w:cs="Arial"/>
          <w:lang w:val="en-GB"/>
        </w:rPr>
        <w:t>also conditions its commitment to the workout process on the banks acting as “one party”.</w:t>
      </w:r>
      <w:r w:rsidR="003429CF">
        <w:rPr>
          <w:rFonts w:ascii="Arial" w:hAnsi="Arial" w:cs="Arial"/>
          <w:lang w:val="en-GB"/>
        </w:rPr>
        <w:t xml:space="preserve"> That said, it is unclear whether a coordination </w:t>
      </w:r>
      <w:r w:rsidR="00D749C5">
        <w:rPr>
          <w:rFonts w:ascii="Arial" w:hAnsi="Arial" w:cs="Arial"/>
          <w:lang w:val="en-GB"/>
        </w:rPr>
        <w:t xml:space="preserve">committee was ever appointed – most likely not, based on the facts, although Bank A seems to be the most proactive one, as evidenced by the appointment of the new CRO at its instigation on behalf of all banks. </w:t>
      </w:r>
      <w:r w:rsidR="007549DC">
        <w:rPr>
          <w:rFonts w:ascii="Arial" w:hAnsi="Arial" w:cs="Arial"/>
          <w:lang w:val="en-GB"/>
        </w:rPr>
        <w:t xml:space="preserve">Perhaps the small number of constituents (four banks) </w:t>
      </w:r>
      <w:r w:rsidR="00637ABC">
        <w:rPr>
          <w:rFonts w:ascii="Arial" w:hAnsi="Arial" w:cs="Arial"/>
          <w:lang w:val="en-GB"/>
        </w:rPr>
        <w:t>did not merit the cost of appointing a</w:t>
      </w:r>
      <w:r w:rsidR="00F863F3">
        <w:rPr>
          <w:rFonts w:ascii="Arial" w:hAnsi="Arial" w:cs="Arial"/>
          <w:lang w:val="en-GB"/>
        </w:rPr>
        <w:t xml:space="preserve"> steering committee. </w:t>
      </w:r>
      <w:r w:rsidR="00EB4C1B">
        <w:rPr>
          <w:rFonts w:ascii="Arial" w:hAnsi="Arial" w:cs="Arial"/>
          <w:lang w:val="en-GB"/>
        </w:rPr>
        <w:t xml:space="preserve">The CRO being appointed on the Board by the banks </w:t>
      </w:r>
      <w:r w:rsidR="00453701">
        <w:rPr>
          <w:rFonts w:ascii="Arial" w:hAnsi="Arial" w:cs="Arial"/>
          <w:lang w:val="en-GB"/>
        </w:rPr>
        <w:t>played a valuable role in the restructuring process, also consistent with Fourth Principle</w:t>
      </w:r>
      <w:r w:rsidR="009950EB">
        <w:rPr>
          <w:rFonts w:ascii="Arial" w:hAnsi="Arial" w:cs="Arial"/>
          <w:lang w:val="en-GB"/>
        </w:rPr>
        <w:t xml:space="preserve"> on the appointment of a professional advisor. </w:t>
      </w:r>
    </w:p>
    <w:p w14:paraId="4E6637AA" w14:textId="672059DB" w:rsidR="009950EB" w:rsidRDefault="00341518" w:rsidP="009950EB">
      <w:pPr>
        <w:pStyle w:val="ListParagraph"/>
        <w:numPr>
          <w:ilvl w:val="0"/>
          <w:numId w:val="40"/>
        </w:numPr>
        <w:jc w:val="both"/>
        <w:rPr>
          <w:rFonts w:ascii="Arial" w:hAnsi="Arial" w:cs="Arial"/>
          <w:iCs/>
          <w:lang w:val="en-GB"/>
        </w:rPr>
      </w:pPr>
      <w:r w:rsidRPr="00341518">
        <w:rPr>
          <w:rFonts w:ascii="Arial" w:hAnsi="Arial" w:cs="Arial"/>
          <w:b/>
          <w:bCs/>
          <w:iCs/>
          <w:lang w:val="en-GB"/>
        </w:rPr>
        <w:t>Fifth Principle</w:t>
      </w:r>
      <w:r>
        <w:rPr>
          <w:rFonts w:ascii="Arial" w:hAnsi="Arial" w:cs="Arial"/>
          <w:iCs/>
          <w:lang w:val="en-GB"/>
        </w:rPr>
        <w:t xml:space="preserve">. </w:t>
      </w:r>
      <w:r w:rsidRPr="00341518">
        <w:rPr>
          <w:rFonts w:ascii="Arial" w:hAnsi="Arial" w:cs="Arial"/>
          <w:iCs/>
          <w:lang w:val="en-GB"/>
        </w:rPr>
        <w:t>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r w:rsidR="005509A6">
        <w:rPr>
          <w:rFonts w:ascii="Arial" w:hAnsi="Arial" w:cs="Arial"/>
          <w:iCs/>
          <w:lang w:val="en-GB"/>
        </w:rPr>
        <w:t>.</w:t>
      </w:r>
    </w:p>
    <w:p w14:paraId="080FA29A" w14:textId="2B7D3A41" w:rsidR="005509A6" w:rsidRDefault="005509A6" w:rsidP="005509A6">
      <w:pPr>
        <w:jc w:val="both"/>
        <w:rPr>
          <w:rFonts w:ascii="Arial" w:hAnsi="Arial" w:cs="Arial"/>
          <w:lang w:val="en-GB"/>
        </w:rPr>
      </w:pPr>
      <w:r>
        <w:rPr>
          <w:rFonts w:ascii="Arial" w:hAnsi="Arial" w:cs="Arial"/>
          <w:lang w:val="en-GB"/>
        </w:rPr>
        <w:t xml:space="preserve">Although information was provided by Flow Management to </w:t>
      </w:r>
      <w:r w:rsidR="00B314D6">
        <w:rPr>
          <w:rFonts w:ascii="Arial" w:hAnsi="Arial" w:cs="Arial"/>
          <w:lang w:val="en-GB"/>
        </w:rPr>
        <w:t xml:space="preserve">the creditors, it was far from being timely and reliable, which at some point threatened to jeopardize the </w:t>
      </w:r>
      <w:r w:rsidR="00B74150">
        <w:rPr>
          <w:rFonts w:ascii="Arial" w:hAnsi="Arial" w:cs="Arial"/>
          <w:lang w:val="en-GB"/>
        </w:rPr>
        <w:t>continuation</w:t>
      </w:r>
      <w:r w:rsidR="00B314D6">
        <w:rPr>
          <w:rFonts w:ascii="Arial" w:hAnsi="Arial" w:cs="Arial"/>
          <w:lang w:val="en-GB"/>
        </w:rPr>
        <w:t xml:space="preserve"> of the workout process, with two of the banks have serious concerns in the management’s handling of the </w:t>
      </w:r>
      <w:r w:rsidR="00B74150">
        <w:rPr>
          <w:rFonts w:ascii="Arial" w:hAnsi="Arial" w:cs="Arial"/>
          <w:lang w:val="en-GB"/>
        </w:rPr>
        <w:t xml:space="preserve">situation. </w:t>
      </w:r>
      <w:r w:rsidR="002704CF" w:rsidRPr="002704CF">
        <w:rPr>
          <w:rFonts w:ascii="Arial" w:hAnsi="Arial" w:cs="Arial"/>
          <w:lang w:val="en-GB"/>
        </w:rPr>
        <w:t xml:space="preserve">The integrity of the process depends on creditors being provided with good-quality information regarding </w:t>
      </w:r>
      <w:r w:rsidR="00FA12E8">
        <w:rPr>
          <w:rFonts w:ascii="Arial" w:hAnsi="Arial" w:cs="Arial"/>
          <w:lang w:val="en-GB"/>
        </w:rPr>
        <w:t>the Company’s</w:t>
      </w:r>
      <w:r w:rsidR="00A30376" w:rsidRPr="00A30376">
        <w:rPr>
          <w:rFonts w:ascii="Arial" w:hAnsi="Arial" w:cs="Arial"/>
          <w:lang w:val="en-GB"/>
        </w:rPr>
        <w:t xml:space="preserve"> assets and liabilities, and information on </w:t>
      </w:r>
      <w:r w:rsidR="00FA12E8">
        <w:rPr>
          <w:rFonts w:ascii="Arial" w:hAnsi="Arial" w:cs="Arial"/>
          <w:lang w:val="en-GB"/>
        </w:rPr>
        <w:t>its</w:t>
      </w:r>
      <w:r w:rsidR="00A30376" w:rsidRPr="00A30376">
        <w:rPr>
          <w:rFonts w:ascii="Arial" w:hAnsi="Arial" w:cs="Arial"/>
          <w:lang w:val="en-GB"/>
        </w:rPr>
        <w:t xml:space="preserve"> future business prospects</w:t>
      </w:r>
      <w:r w:rsidR="00FA12E8">
        <w:rPr>
          <w:rFonts w:ascii="Arial" w:hAnsi="Arial" w:cs="Arial"/>
          <w:lang w:val="en-GB"/>
        </w:rPr>
        <w:t>, which was problematic in this case, although somewhat improved with the changes of CFO and CEO during the workout</w:t>
      </w:r>
      <w:r w:rsidR="00167845">
        <w:rPr>
          <w:rFonts w:ascii="Arial" w:hAnsi="Arial" w:cs="Arial"/>
          <w:lang w:val="en-GB"/>
        </w:rPr>
        <w:t>, and particularly the appointment of a CRO.</w:t>
      </w:r>
    </w:p>
    <w:p w14:paraId="2A82E898" w14:textId="6C419B20" w:rsidR="00167845" w:rsidRPr="00A616FA" w:rsidRDefault="00A616FA" w:rsidP="00167845">
      <w:pPr>
        <w:pStyle w:val="ListParagraph"/>
        <w:numPr>
          <w:ilvl w:val="0"/>
          <w:numId w:val="40"/>
        </w:numPr>
        <w:jc w:val="both"/>
        <w:rPr>
          <w:rFonts w:ascii="Arial" w:hAnsi="Arial" w:cs="Arial"/>
          <w:b/>
          <w:bCs/>
          <w:iCs/>
          <w:lang w:val="en-GB"/>
        </w:rPr>
      </w:pPr>
      <w:r>
        <w:rPr>
          <w:rFonts w:ascii="Arial" w:hAnsi="Arial" w:cs="Arial"/>
          <w:b/>
          <w:bCs/>
          <w:iCs/>
          <w:lang w:val="en-GB"/>
        </w:rPr>
        <w:t>Sixth</w:t>
      </w:r>
      <w:r w:rsidR="00167845" w:rsidRPr="00167845">
        <w:rPr>
          <w:rFonts w:ascii="Arial" w:hAnsi="Arial" w:cs="Arial"/>
          <w:b/>
          <w:bCs/>
          <w:iCs/>
          <w:lang w:val="en-GB"/>
        </w:rPr>
        <w:t xml:space="preserve"> Principle</w:t>
      </w:r>
      <w:r w:rsidR="00167845" w:rsidRPr="00167845">
        <w:rPr>
          <w:rFonts w:ascii="Arial" w:hAnsi="Arial" w:cs="Arial"/>
          <w:iCs/>
          <w:lang w:val="en-GB"/>
        </w:rPr>
        <w:t xml:space="preserve">. </w:t>
      </w:r>
      <w:r w:rsidRPr="00A616FA">
        <w:rPr>
          <w:rFonts w:ascii="Arial" w:hAnsi="Arial" w:cs="Arial"/>
          <w:iCs/>
          <w:lang w:val="en-GB"/>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271EDB21" w14:textId="2DE9EE13" w:rsidR="00A616FA" w:rsidRDefault="008806F1" w:rsidP="008806F1">
      <w:pPr>
        <w:jc w:val="both"/>
        <w:rPr>
          <w:rFonts w:ascii="Arial" w:hAnsi="Arial" w:cs="Arial"/>
          <w:iCs/>
          <w:lang w:val="en-GB"/>
        </w:rPr>
      </w:pPr>
      <w:r>
        <w:rPr>
          <w:rFonts w:ascii="Arial" w:hAnsi="Arial" w:cs="Arial"/>
          <w:iCs/>
          <w:lang w:val="en-GB"/>
        </w:rPr>
        <w:t>The</w:t>
      </w:r>
      <w:r w:rsidRPr="008806F1">
        <w:rPr>
          <w:rFonts w:ascii="Arial" w:hAnsi="Arial" w:cs="Arial"/>
          <w:iCs/>
          <w:lang w:val="en-GB"/>
        </w:rPr>
        <w:t xml:space="preserve"> provisions of local insolvency law </w:t>
      </w:r>
      <w:r w:rsidR="00853B01">
        <w:rPr>
          <w:rFonts w:ascii="Arial" w:hAnsi="Arial" w:cs="Arial"/>
          <w:iCs/>
          <w:lang w:val="en-GB"/>
        </w:rPr>
        <w:t>where the workout is taking place will be relevant with respect to the</w:t>
      </w:r>
      <w:r w:rsidRPr="008806F1">
        <w:rPr>
          <w:rFonts w:ascii="Arial" w:hAnsi="Arial" w:cs="Arial"/>
          <w:iCs/>
          <w:lang w:val="en-GB"/>
        </w:rPr>
        <w:t xml:space="preserve"> relative priority position of creditors. For example, unless local insolvency law </w:t>
      </w:r>
      <w:r w:rsidRPr="008806F1">
        <w:rPr>
          <w:rFonts w:ascii="Arial" w:hAnsi="Arial" w:cs="Arial"/>
          <w:iCs/>
          <w:lang w:val="en-GB"/>
        </w:rPr>
        <w:lastRenderedPageBreak/>
        <w:t>specifically so provides, it will generally be unacceptable if shareholders are to be provided with substantial recoveries if creditors are not being paid in full.</w:t>
      </w:r>
      <w:r w:rsidRPr="008806F1">
        <w:rPr>
          <w:rFonts w:ascii="Arial" w:hAnsi="Arial" w:cs="Arial"/>
          <w:iCs/>
          <w:lang w:val="en-GB"/>
        </w:rPr>
        <w:tab/>
      </w:r>
      <w:r w:rsidR="001356FF">
        <w:rPr>
          <w:rFonts w:ascii="Arial" w:hAnsi="Arial" w:cs="Arial"/>
          <w:iCs/>
          <w:lang w:val="en-GB"/>
        </w:rPr>
        <w:t xml:space="preserve">The Flow Management workout does follow the Principle in the sense that different </w:t>
      </w:r>
      <w:r w:rsidR="00E63666">
        <w:rPr>
          <w:rFonts w:ascii="Arial" w:hAnsi="Arial" w:cs="Arial"/>
          <w:iCs/>
          <w:lang w:val="en-GB"/>
        </w:rPr>
        <w:t xml:space="preserve">proposals are explored, including going concern sale options, debt to equity swap and even judicial reorganization </w:t>
      </w:r>
      <w:r w:rsidR="00932AC2">
        <w:rPr>
          <w:rFonts w:ascii="Arial" w:hAnsi="Arial" w:cs="Arial"/>
          <w:iCs/>
          <w:lang w:val="en-GB"/>
        </w:rPr>
        <w:t>(formal suspension of payments)</w:t>
      </w:r>
      <w:r w:rsidR="00E63666">
        <w:rPr>
          <w:rFonts w:ascii="Arial" w:hAnsi="Arial" w:cs="Arial"/>
          <w:iCs/>
          <w:lang w:val="en-GB"/>
        </w:rPr>
        <w:t>/ liquidation scenario</w:t>
      </w:r>
      <w:r w:rsidR="000B7702">
        <w:rPr>
          <w:rFonts w:ascii="Arial" w:hAnsi="Arial" w:cs="Arial"/>
          <w:iCs/>
          <w:lang w:val="en-GB"/>
        </w:rPr>
        <w:t>s</w:t>
      </w:r>
      <w:r w:rsidR="00E63666">
        <w:rPr>
          <w:rFonts w:ascii="Arial" w:hAnsi="Arial" w:cs="Arial"/>
          <w:iCs/>
          <w:lang w:val="en-GB"/>
        </w:rPr>
        <w:t xml:space="preserve">. </w:t>
      </w:r>
      <w:r w:rsidRPr="008806F1">
        <w:rPr>
          <w:rFonts w:ascii="Arial" w:hAnsi="Arial" w:cs="Arial"/>
          <w:iCs/>
          <w:lang w:val="en-GB"/>
        </w:rPr>
        <w:t xml:space="preserve">Creditors will typically </w:t>
      </w:r>
      <w:r w:rsidR="00932AC2" w:rsidRPr="008806F1">
        <w:rPr>
          <w:rFonts w:ascii="Arial" w:hAnsi="Arial" w:cs="Arial"/>
          <w:iCs/>
          <w:lang w:val="en-GB"/>
        </w:rPr>
        <w:t>analyse</w:t>
      </w:r>
      <w:r w:rsidRPr="008806F1">
        <w:rPr>
          <w:rFonts w:ascii="Arial" w:hAnsi="Arial" w:cs="Arial"/>
          <w:iCs/>
          <w:lang w:val="en-GB"/>
        </w:rPr>
        <w:t xml:space="preserve"> their position under different scenarios (for example, in a liquidation or in a judicial reorganization) in order to decide what their view of any proposed restructuring plan should be. That said, </w:t>
      </w:r>
      <w:r w:rsidR="000B7702">
        <w:rPr>
          <w:rFonts w:ascii="Arial" w:hAnsi="Arial" w:cs="Arial"/>
          <w:iCs/>
          <w:lang w:val="en-GB"/>
        </w:rPr>
        <w:t xml:space="preserve">the case study does not provide enough information regarding the </w:t>
      </w:r>
      <w:r w:rsidR="009B77F7">
        <w:rPr>
          <w:rFonts w:ascii="Arial" w:hAnsi="Arial" w:cs="Arial"/>
          <w:iCs/>
          <w:lang w:val="en-GB"/>
        </w:rPr>
        <w:t>validity and duration of the standstill agreement under local law</w:t>
      </w:r>
      <w:r w:rsidR="00485770">
        <w:rPr>
          <w:rFonts w:ascii="Arial" w:hAnsi="Arial" w:cs="Arial"/>
          <w:iCs/>
          <w:lang w:val="en-GB"/>
        </w:rPr>
        <w:t>, so I assume this has been considered and properly applied.</w:t>
      </w:r>
    </w:p>
    <w:p w14:paraId="17CD5125" w14:textId="5303A85D" w:rsidR="00485770" w:rsidRDefault="00EC1727" w:rsidP="00485770">
      <w:pPr>
        <w:pStyle w:val="ListParagraph"/>
        <w:numPr>
          <w:ilvl w:val="0"/>
          <w:numId w:val="40"/>
        </w:numPr>
        <w:jc w:val="both"/>
        <w:rPr>
          <w:rFonts w:ascii="Arial" w:hAnsi="Arial" w:cs="Arial"/>
          <w:iCs/>
          <w:lang w:val="en-GB"/>
        </w:rPr>
      </w:pPr>
      <w:r w:rsidRPr="00436AF2">
        <w:rPr>
          <w:rFonts w:ascii="Arial" w:hAnsi="Arial" w:cs="Arial"/>
          <w:b/>
          <w:bCs/>
          <w:iCs/>
          <w:lang w:val="en-GB"/>
        </w:rPr>
        <w:t>Seve</w:t>
      </w:r>
      <w:r w:rsidR="00436AF2" w:rsidRPr="00436AF2">
        <w:rPr>
          <w:rFonts w:ascii="Arial" w:hAnsi="Arial" w:cs="Arial"/>
          <w:b/>
          <w:bCs/>
          <w:iCs/>
          <w:lang w:val="en-GB"/>
        </w:rPr>
        <w:t>nth Principle</w:t>
      </w:r>
      <w:r w:rsidRPr="00436AF2">
        <w:rPr>
          <w:rFonts w:ascii="Arial" w:hAnsi="Arial" w:cs="Arial"/>
          <w:b/>
          <w:bCs/>
          <w:iCs/>
          <w:lang w:val="en-GB"/>
        </w:rPr>
        <w:t>:</w:t>
      </w:r>
      <w:r w:rsidRPr="00EC1727">
        <w:rPr>
          <w:rFonts w:ascii="Arial" w:hAnsi="Arial" w:cs="Arial"/>
          <w:iCs/>
          <w:lang w:val="en-GB"/>
        </w:rPr>
        <w:t xml:space="preserve">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29F27264" w14:textId="38C22149" w:rsidR="00436AF2" w:rsidRDefault="00A379BD" w:rsidP="00436AF2">
      <w:pPr>
        <w:jc w:val="both"/>
        <w:rPr>
          <w:rFonts w:ascii="Arial" w:hAnsi="Arial" w:cs="Arial"/>
          <w:iCs/>
          <w:lang w:val="en-GB"/>
        </w:rPr>
      </w:pPr>
      <w:r>
        <w:rPr>
          <w:rFonts w:ascii="Arial" w:hAnsi="Arial" w:cs="Arial"/>
          <w:iCs/>
          <w:lang w:val="en-GB"/>
        </w:rPr>
        <w:t xml:space="preserve">This </w:t>
      </w:r>
      <w:r w:rsidR="00880223">
        <w:rPr>
          <w:rFonts w:ascii="Arial" w:hAnsi="Arial" w:cs="Arial"/>
          <w:iCs/>
          <w:lang w:val="en-GB"/>
        </w:rPr>
        <w:t xml:space="preserve">idea of this </w:t>
      </w:r>
      <w:r>
        <w:rPr>
          <w:rFonts w:ascii="Arial" w:hAnsi="Arial" w:cs="Arial"/>
          <w:iCs/>
          <w:lang w:val="en-GB"/>
        </w:rPr>
        <w:t xml:space="preserve">Principle </w:t>
      </w:r>
      <w:r w:rsidR="00880223">
        <w:rPr>
          <w:rFonts w:ascii="Arial" w:hAnsi="Arial" w:cs="Arial"/>
          <w:iCs/>
          <w:lang w:val="en-GB"/>
        </w:rPr>
        <w:t xml:space="preserve">is that all </w:t>
      </w:r>
      <w:r w:rsidRPr="00A379BD">
        <w:rPr>
          <w:rFonts w:ascii="Arial" w:hAnsi="Arial" w:cs="Arial"/>
          <w:iCs/>
          <w:lang w:val="en-GB"/>
        </w:rPr>
        <w:t xml:space="preserve">relevant creditors should ideally be provided with the same information, subject to </w:t>
      </w:r>
      <w:r w:rsidR="004722C6">
        <w:rPr>
          <w:rFonts w:ascii="Arial" w:hAnsi="Arial" w:cs="Arial"/>
          <w:iCs/>
          <w:lang w:val="en-GB"/>
        </w:rPr>
        <w:t xml:space="preserve">any issues of </w:t>
      </w:r>
      <w:r w:rsidR="002756EB" w:rsidRPr="002756EB">
        <w:rPr>
          <w:rFonts w:ascii="Arial" w:hAnsi="Arial" w:cs="Arial"/>
          <w:iCs/>
          <w:lang w:val="en-GB"/>
        </w:rPr>
        <w:t>certain private information relating to the debt, at least where the debt is traded on an exchange (as is common in the case of bonds; the issue tends not to arise in other contexts)</w:t>
      </w:r>
      <w:r w:rsidR="00384934">
        <w:rPr>
          <w:rFonts w:ascii="Arial" w:hAnsi="Arial" w:cs="Arial"/>
          <w:iCs/>
          <w:lang w:val="en-GB"/>
        </w:rPr>
        <w:t>, but this does not seem to apply to the Flow Management case</w:t>
      </w:r>
      <w:r w:rsidRPr="00A379BD">
        <w:rPr>
          <w:rFonts w:ascii="Arial" w:hAnsi="Arial" w:cs="Arial"/>
          <w:iCs/>
          <w:lang w:val="en-GB"/>
        </w:rPr>
        <w:t xml:space="preserve">. The information should be sufficiently detailed to permit </w:t>
      </w:r>
      <w:r w:rsidR="00AC5D25">
        <w:rPr>
          <w:rFonts w:ascii="Arial" w:hAnsi="Arial" w:cs="Arial"/>
          <w:iCs/>
          <w:lang w:val="en-GB"/>
        </w:rPr>
        <w:t>the banks</w:t>
      </w:r>
      <w:r w:rsidRPr="00A379BD">
        <w:rPr>
          <w:rFonts w:ascii="Arial" w:hAnsi="Arial" w:cs="Arial"/>
          <w:iCs/>
          <w:lang w:val="en-GB"/>
        </w:rPr>
        <w:t xml:space="preserve"> to form their own view of the merits of the proposal put forward by the </w:t>
      </w:r>
      <w:r w:rsidR="00AC5D25">
        <w:rPr>
          <w:rFonts w:ascii="Arial" w:hAnsi="Arial" w:cs="Arial"/>
          <w:iCs/>
          <w:lang w:val="en-GB"/>
        </w:rPr>
        <w:t>Company</w:t>
      </w:r>
      <w:r w:rsidRPr="00A379BD">
        <w:rPr>
          <w:rFonts w:ascii="Arial" w:hAnsi="Arial" w:cs="Arial"/>
          <w:iCs/>
          <w:lang w:val="en-GB"/>
        </w:rPr>
        <w:t xml:space="preserve">. New and updated information should be provided to </w:t>
      </w:r>
      <w:r w:rsidR="00C17410">
        <w:rPr>
          <w:rFonts w:ascii="Arial" w:hAnsi="Arial" w:cs="Arial"/>
          <w:iCs/>
          <w:lang w:val="en-GB"/>
        </w:rPr>
        <w:t>them during the course of the workout</w:t>
      </w:r>
      <w:r w:rsidRPr="00A379BD">
        <w:rPr>
          <w:rFonts w:ascii="Arial" w:hAnsi="Arial" w:cs="Arial"/>
          <w:iCs/>
          <w:lang w:val="en-GB"/>
        </w:rPr>
        <w:t xml:space="preserve">, including on significant events affecting the </w:t>
      </w:r>
      <w:r w:rsidR="00C17410">
        <w:rPr>
          <w:rFonts w:ascii="Arial" w:hAnsi="Arial" w:cs="Arial"/>
          <w:iCs/>
          <w:lang w:val="en-GB"/>
        </w:rPr>
        <w:t>Company</w:t>
      </w:r>
      <w:r w:rsidRPr="00A379BD">
        <w:rPr>
          <w:rFonts w:ascii="Arial" w:hAnsi="Arial" w:cs="Arial"/>
          <w:iCs/>
          <w:lang w:val="en-GB"/>
        </w:rPr>
        <w:t>.</w:t>
      </w:r>
      <w:r w:rsidR="00C17410">
        <w:rPr>
          <w:rFonts w:ascii="Arial" w:hAnsi="Arial" w:cs="Arial"/>
          <w:iCs/>
          <w:lang w:val="en-GB"/>
        </w:rPr>
        <w:t xml:space="preserve"> There are no clear indications in the case study that </w:t>
      </w:r>
      <w:r w:rsidR="00FF1888">
        <w:rPr>
          <w:rFonts w:ascii="Arial" w:hAnsi="Arial" w:cs="Arial"/>
          <w:iCs/>
          <w:lang w:val="en-GB"/>
        </w:rPr>
        <w:t xml:space="preserve">information was not provided to all financial creditors on an equal basis, although the situation when banks C and D start to frustrate the process, may </w:t>
      </w:r>
      <w:r w:rsidR="00FC7FF3">
        <w:rPr>
          <w:rFonts w:ascii="Arial" w:hAnsi="Arial" w:cs="Arial"/>
          <w:iCs/>
          <w:lang w:val="en-GB"/>
        </w:rPr>
        <w:t>suggest such a problem. Addit</w:t>
      </w:r>
      <w:r w:rsidR="00D90ACF">
        <w:rPr>
          <w:rFonts w:ascii="Arial" w:hAnsi="Arial" w:cs="Arial"/>
          <w:iCs/>
          <w:lang w:val="en-GB"/>
        </w:rPr>
        <w:t xml:space="preserve">ional problem is that the Company kept changing the information </w:t>
      </w:r>
      <w:r w:rsidR="00CA18BE">
        <w:rPr>
          <w:rFonts w:ascii="Arial" w:hAnsi="Arial" w:cs="Arial"/>
          <w:iCs/>
          <w:lang w:val="en-GB"/>
        </w:rPr>
        <w:t xml:space="preserve">submitted to the banks </w:t>
      </w:r>
      <w:r w:rsidR="00D90ACF">
        <w:rPr>
          <w:rFonts w:ascii="Arial" w:hAnsi="Arial" w:cs="Arial"/>
          <w:iCs/>
          <w:lang w:val="en-GB"/>
        </w:rPr>
        <w:t>even after the standstill was formally signed</w:t>
      </w:r>
      <w:r w:rsidR="00DA5707">
        <w:rPr>
          <w:rFonts w:ascii="Arial" w:hAnsi="Arial" w:cs="Arial"/>
          <w:iCs/>
          <w:lang w:val="en-GB"/>
        </w:rPr>
        <w:t xml:space="preserve">. All the press releases regarding the </w:t>
      </w:r>
      <w:r w:rsidR="006E1EED">
        <w:rPr>
          <w:rFonts w:ascii="Arial" w:hAnsi="Arial" w:cs="Arial"/>
          <w:iCs/>
          <w:lang w:val="en-GB"/>
        </w:rPr>
        <w:t xml:space="preserve">expected losses of the Company </w:t>
      </w:r>
      <w:r w:rsidR="00AD6713">
        <w:rPr>
          <w:rFonts w:ascii="Arial" w:hAnsi="Arial" w:cs="Arial"/>
          <w:iCs/>
          <w:lang w:val="en-GB"/>
        </w:rPr>
        <w:t>on multiple occasions, including by the CRO, in my view were problematic</w:t>
      </w:r>
      <w:r w:rsidR="00CA18BE">
        <w:rPr>
          <w:rFonts w:ascii="Arial" w:hAnsi="Arial" w:cs="Arial"/>
          <w:iCs/>
          <w:lang w:val="en-GB"/>
        </w:rPr>
        <w:t xml:space="preserve"> for the success of the workout. </w:t>
      </w:r>
      <w:r w:rsidR="006B3FF1">
        <w:rPr>
          <w:rFonts w:ascii="Arial" w:hAnsi="Arial" w:cs="Arial"/>
          <w:iCs/>
          <w:lang w:val="en-GB"/>
        </w:rPr>
        <w:t xml:space="preserve">It is unclear if other stakeholders which may be considered “relevant” such as key trade creditors </w:t>
      </w:r>
      <w:r w:rsidR="008379C8">
        <w:rPr>
          <w:rFonts w:ascii="Arial" w:hAnsi="Arial" w:cs="Arial"/>
          <w:iCs/>
          <w:lang w:val="en-GB"/>
        </w:rPr>
        <w:t>were receiving adequate information, expect the mentioned press releases.</w:t>
      </w:r>
    </w:p>
    <w:p w14:paraId="7B05974A" w14:textId="20A037AB" w:rsidR="008379C8" w:rsidRDefault="002375E7" w:rsidP="008379C8">
      <w:pPr>
        <w:pStyle w:val="ListParagraph"/>
        <w:numPr>
          <w:ilvl w:val="0"/>
          <w:numId w:val="40"/>
        </w:numPr>
        <w:jc w:val="both"/>
        <w:rPr>
          <w:rFonts w:ascii="Arial" w:hAnsi="Arial" w:cs="Arial"/>
          <w:iCs/>
          <w:lang w:val="en-GB"/>
        </w:rPr>
      </w:pPr>
      <w:r w:rsidRPr="002375E7">
        <w:rPr>
          <w:rFonts w:ascii="Arial" w:hAnsi="Arial" w:cs="Arial"/>
          <w:b/>
          <w:bCs/>
          <w:iCs/>
          <w:lang w:val="en-GB"/>
        </w:rPr>
        <w:t>Eight Principle</w:t>
      </w:r>
      <w:r>
        <w:rPr>
          <w:rFonts w:ascii="Arial" w:hAnsi="Arial" w:cs="Arial"/>
          <w:iCs/>
          <w:lang w:val="en-GB"/>
        </w:rPr>
        <w:t xml:space="preserve">: </w:t>
      </w:r>
      <w:r w:rsidRPr="002375E7">
        <w:rPr>
          <w:rFonts w:ascii="Arial" w:hAnsi="Arial" w:cs="Arial"/>
          <w:iCs/>
          <w:lang w:val="en-GB"/>
        </w:rPr>
        <w:t>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5C6145DE" w14:textId="301A78EA" w:rsidR="0000779F" w:rsidRDefault="0000779F" w:rsidP="0000779F">
      <w:pPr>
        <w:jc w:val="both"/>
        <w:rPr>
          <w:rFonts w:ascii="Arial" w:hAnsi="Arial" w:cs="Arial"/>
          <w:lang w:val="en-GB"/>
        </w:rPr>
      </w:pPr>
      <w:r>
        <w:rPr>
          <w:rFonts w:ascii="Arial" w:hAnsi="Arial" w:cs="Arial"/>
          <w:lang w:val="en-GB"/>
        </w:rPr>
        <w:t xml:space="preserve">The only additional funding provided in the case of Flow Management seems to be the </w:t>
      </w:r>
      <w:r w:rsidR="00656B88" w:rsidRPr="00656B88">
        <w:rPr>
          <w:rFonts w:ascii="Arial" w:hAnsi="Arial" w:cs="Arial"/>
          <w:lang w:val="en-GB"/>
        </w:rPr>
        <w:t xml:space="preserve">€ 10 million </w:t>
      </w:r>
      <w:r w:rsidR="001A63D5">
        <w:rPr>
          <w:rFonts w:ascii="Arial" w:hAnsi="Arial" w:cs="Arial"/>
          <w:lang w:val="en-GB"/>
        </w:rPr>
        <w:t xml:space="preserve">deposited by the former CEO </w:t>
      </w:r>
      <w:r w:rsidR="00723A9F">
        <w:rPr>
          <w:rFonts w:ascii="Arial" w:hAnsi="Arial" w:cs="Arial"/>
          <w:lang w:val="en-GB"/>
        </w:rPr>
        <w:t xml:space="preserve">as an unsecured loan, </w:t>
      </w:r>
      <w:r w:rsidR="001A63D5">
        <w:rPr>
          <w:rFonts w:ascii="Arial" w:hAnsi="Arial" w:cs="Arial"/>
          <w:lang w:val="en-GB"/>
        </w:rPr>
        <w:t xml:space="preserve">at the time she was replaced by the </w:t>
      </w:r>
      <w:r w:rsidR="0032172A">
        <w:rPr>
          <w:rFonts w:ascii="Arial" w:hAnsi="Arial" w:cs="Arial"/>
          <w:lang w:val="en-GB"/>
        </w:rPr>
        <w:t xml:space="preserve">board of the shareholder company, but that deposit was made in </w:t>
      </w:r>
      <w:r w:rsidR="00656B88" w:rsidRPr="00656B88">
        <w:rPr>
          <w:rFonts w:ascii="Arial" w:hAnsi="Arial" w:cs="Arial"/>
          <w:lang w:val="en-GB"/>
        </w:rPr>
        <w:t xml:space="preserve">the middle of April 2014, </w:t>
      </w:r>
      <w:r w:rsidR="0032172A">
        <w:rPr>
          <w:rFonts w:ascii="Arial" w:hAnsi="Arial" w:cs="Arial"/>
          <w:lang w:val="en-GB"/>
        </w:rPr>
        <w:t xml:space="preserve">before the standstill agreement was signed in mid-August 2014. </w:t>
      </w:r>
      <w:r w:rsidR="00656B88" w:rsidRPr="00656B88">
        <w:rPr>
          <w:rFonts w:ascii="Arial" w:hAnsi="Arial" w:cs="Arial"/>
          <w:lang w:val="en-GB"/>
        </w:rPr>
        <w:t xml:space="preserve">She also makes a proposal </w:t>
      </w:r>
      <w:r w:rsidR="00323AEE" w:rsidRPr="00656B88">
        <w:rPr>
          <w:rFonts w:ascii="Arial" w:hAnsi="Arial" w:cs="Arial"/>
          <w:lang w:val="en-GB"/>
        </w:rPr>
        <w:t>mid-May</w:t>
      </w:r>
      <w:r w:rsidR="00656B88" w:rsidRPr="00656B88">
        <w:rPr>
          <w:rFonts w:ascii="Arial" w:hAnsi="Arial" w:cs="Arial"/>
          <w:lang w:val="en-GB"/>
        </w:rPr>
        <w:t xml:space="preserve"> 2014 to lend another € 27.5 million to Flow Management Holding BV under the same conditions</w:t>
      </w:r>
      <w:r w:rsidR="00323AEE">
        <w:rPr>
          <w:rFonts w:ascii="Arial" w:hAnsi="Arial" w:cs="Arial"/>
          <w:lang w:val="en-GB"/>
        </w:rPr>
        <w:t xml:space="preserve">, but it does not seem that this additional deposit was ever made. </w:t>
      </w:r>
      <w:r w:rsidR="008751B8">
        <w:rPr>
          <w:rFonts w:ascii="Arial" w:hAnsi="Arial" w:cs="Arial"/>
          <w:lang w:val="en-GB"/>
        </w:rPr>
        <w:t xml:space="preserve">More proposals for shareholder financial </w:t>
      </w:r>
      <w:r w:rsidR="00655333">
        <w:rPr>
          <w:rFonts w:ascii="Arial" w:hAnsi="Arial" w:cs="Arial"/>
          <w:lang w:val="en-GB"/>
        </w:rPr>
        <w:t>contributions</w:t>
      </w:r>
      <w:r w:rsidR="008751B8">
        <w:rPr>
          <w:rFonts w:ascii="Arial" w:hAnsi="Arial" w:cs="Arial"/>
          <w:lang w:val="en-GB"/>
        </w:rPr>
        <w:t xml:space="preserve"> are made afterwards but none seems to have been effected. </w:t>
      </w:r>
      <w:r w:rsidR="00A52BED">
        <w:rPr>
          <w:rFonts w:ascii="Arial" w:hAnsi="Arial" w:cs="Arial"/>
          <w:lang w:val="en-GB"/>
        </w:rPr>
        <w:t xml:space="preserve">During the formal standstill period (mid-August, 2014 to mid-December, 2014) </w:t>
      </w:r>
      <w:r w:rsidR="0088447A">
        <w:rPr>
          <w:rFonts w:ascii="Arial" w:hAnsi="Arial" w:cs="Arial"/>
          <w:lang w:val="en-GB"/>
        </w:rPr>
        <w:t xml:space="preserve">it is proposed in one of the possible workout scenarios (the going concern </w:t>
      </w:r>
      <w:r w:rsidR="00630C34">
        <w:rPr>
          <w:rFonts w:ascii="Arial" w:hAnsi="Arial" w:cs="Arial"/>
          <w:lang w:val="en-GB"/>
        </w:rPr>
        <w:t xml:space="preserve">option), that </w:t>
      </w:r>
      <w:r w:rsidR="00630C34" w:rsidRPr="00630C34">
        <w:rPr>
          <w:rFonts w:ascii="Arial" w:hAnsi="Arial" w:cs="Arial"/>
          <w:lang w:val="en-GB"/>
        </w:rPr>
        <w:t>the shareholder contributes another € 30 million and the banks will transfer security rights of € 45 million to the shareholder</w:t>
      </w:r>
      <w:r w:rsidR="00630C34">
        <w:rPr>
          <w:rFonts w:ascii="Arial" w:hAnsi="Arial" w:cs="Arial"/>
          <w:lang w:val="en-GB"/>
        </w:rPr>
        <w:t xml:space="preserve">, but it is </w:t>
      </w:r>
      <w:r w:rsidR="00E90910">
        <w:rPr>
          <w:rFonts w:ascii="Arial" w:hAnsi="Arial" w:cs="Arial"/>
          <w:lang w:val="en-GB"/>
        </w:rPr>
        <w:lastRenderedPageBreak/>
        <w:t xml:space="preserve">not included in the </w:t>
      </w:r>
      <w:r w:rsidR="00C5719F">
        <w:rPr>
          <w:rFonts w:ascii="Arial" w:hAnsi="Arial" w:cs="Arial"/>
          <w:lang w:val="en-GB"/>
        </w:rPr>
        <w:t xml:space="preserve">Restructuring Agreement signed on July 2015, so most likely that proposal did not take effect either. </w:t>
      </w:r>
    </w:p>
    <w:p w14:paraId="2DE1004C" w14:textId="03BDDD83" w:rsidR="009E44D7" w:rsidRDefault="00D5292E" w:rsidP="009E44D7">
      <w:pPr>
        <w:pStyle w:val="ListParagraph"/>
        <w:numPr>
          <w:ilvl w:val="0"/>
          <w:numId w:val="1"/>
        </w:numPr>
        <w:rPr>
          <w:rFonts w:ascii="Arial" w:hAnsi="Arial" w:cs="Arial"/>
          <w:b/>
          <w:bCs/>
          <w:iCs/>
        </w:rPr>
      </w:pPr>
      <w:r w:rsidRPr="00D5292E">
        <w:rPr>
          <w:rFonts w:ascii="Arial" w:hAnsi="Arial" w:cs="Arial"/>
          <w:b/>
          <w:bCs/>
          <w:iCs/>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6BBD9C2E" w14:textId="7E8BB1EC" w:rsidR="00C06BE3" w:rsidRDefault="00C9437A" w:rsidP="00FD7213">
      <w:pPr>
        <w:pStyle w:val="paragraph"/>
        <w:spacing w:before="0" w:beforeAutospacing="0" w:after="0" w:afterAutospacing="0"/>
        <w:ind w:right="150"/>
        <w:jc w:val="both"/>
        <w:textAlignment w:val="baseline"/>
        <w:rPr>
          <w:rFonts w:ascii="Arial" w:eastAsiaTheme="minorHAnsi" w:hAnsi="Arial" w:cs="Arial"/>
          <w:sz w:val="22"/>
          <w:szCs w:val="22"/>
          <w:lang w:val="en-GB"/>
        </w:rPr>
      </w:pPr>
      <w:r>
        <w:rPr>
          <w:rFonts w:ascii="Arial" w:eastAsiaTheme="minorHAnsi" w:hAnsi="Arial" w:cs="Arial"/>
          <w:sz w:val="22"/>
          <w:szCs w:val="22"/>
        </w:rPr>
        <w:t>N</w:t>
      </w:r>
      <w:r w:rsidR="00C06BE3" w:rsidRPr="00C06BE3">
        <w:rPr>
          <w:rFonts w:ascii="Arial" w:eastAsiaTheme="minorHAnsi" w:hAnsi="Arial" w:cs="Arial"/>
          <w:sz w:val="22"/>
          <w:szCs w:val="22"/>
        </w:rPr>
        <w:t xml:space="preserve">on-binding </w:t>
      </w:r>
      <w:r w:rsidR="00831E4C">
        <w:rPr>
          <w:rFonts w:ascii="Arial" w:eastAsiaTheme="minorHAnsi" w:hAnsi="Arial" w:cs="Arial"/>
          <w:sz w:val="22"/>
          <w:szCs w:val="22"/>
        </w:rPr>
        <w:t>out-of-court workout</w:t>
      </w:r>
      <w:r w:rsidR="00C06BE3" w:rsidRPr="00C06BE3">
        <w:rPr>
          <w:rFonts w:ascii="Arial" w:eastAsiaTheme="minorHAnsi" w:hAnsi="Arial" w:cs="Arial"/>
          <w:sz w:val="22"/>
          <w:szCs w:val="22"/>
        </w:rPr>
        <w:t xml:space="preserve"> guidelines </w:t>
      </w:r>
      <w:r w:rsidR="00526827">
        <w:rPr>
          <w:rFonts w:ascii="Arial" w:eastAsiaTheme="minorHAnsi" w:hAnsi="Arial" w:cs="Arial"/>
          <w:sz w:val="22"/>
          <w:szCs w:val="22"/>
        </w:rPr>
        <w:t>have been adopted and promoted in a number of countries over the years</w:t>
      </w:r>
      <w:r w:rsidR="00C06BE3" w:rsidRPr="00C06BE3">
        <w:rPr>
          <w:rFonts w:ascii="Arial" w:eastAsiaTheme="minorHAnsi" w:hAnsi="Arial" w:cs="Arial"/>
          <w:sz w:val="22"/>
          <w:szCs w:val="22"/>
        </w:rPr>
        <w:t xml:space="preserve">. For example, </w:t>
      </w:r>
      <w:r w:rsidR="00C06BE3" w:rsidRPr="00526827">
        <w:rPr>
          <w:rFonts w:ascii="Arial" w:eastAsiaTheme="minorHAnsi" w:hAnsi="Arial" w:cs="Arial"/>
          <w:sz w:val="22"/>
          <w:szCs w:val="22"/>
        </w:rPr>
        <w:t>the “Bangkok Approach” was adopted in Thailand during the Asian Financial Crisis, and the Latvian Corporate Debt Restructuring Guidelines</w:t>
      </w:r>
      <w:r w:rsidR="00C06BE3" w:rsidRPr="00526827">
        <w:rPr>
          <w:rFonts w:ascii="Arial" w:eastAsiaTheme="minorHAnsi" w:hAnsi="Arial" w:cs="Arial"/>
          <w:sz w:val="22"/>
          <w:szCs w:val="22"/>
          <w:vertAlign w:val="superscript"/>
        </w:rPr>
        <w:footnoteReference w:id="15"/>
      </w:r>
      <w:r w:rsidR="00C06BE3" w:rsidRPr="00526827">
        <w:rPr>
          <w:rFonts w:ascii="Arial" w:eastAsiaTheme="minorHAnsi" w:hAnsi="Arial" w:cs="Arial"/>
          <w:sz w:val="22"/>
          <w:szCs w:val="22"/>
        </w:rPr>
        <w:t xml:space="preserve"> were introduced by the Ministry of Justice during the global financial crisis in 2009. </w:t>
      </w:r>
      <w:r w:rsidR="006B779A">
        <w:rPr>
          <w:rFonts w:ascii="Arial" w:eastAsiaTheme="minorHAnsi" w:hAnsi="Arial" w:cs="Arial"/>
          <w:sz w:val="22"/>
          <w:szCs w:val="22"/>
        </w:rPr>
        <w:t>Similar to the INSOL Principles, g</w:t>
      </w:r>
      <w:r w:rsidR="00C06BE3" w:rsidRPr="00526827">
        <w:rPr>
          <w:rFonts w:ascii="Arial" w:eastAsiaTheme="minorHAnsi" w:hAnsi="Arial" w:cs="Arial"/>
          <w:sz w:val="22"/>
          <w:szCs w:val="22"/>
        </w:rPr>
        <w:t xml:space="preserve">eneralized </w:t>
      </w:r>
      <w:r w:rsidR="003C32C6">
        <w:rPr>
          <w:rFonts w:ascii="Arial" w:eastAsiaTheme="minorHAnsi" w:hAnsi="Arial" w:cs="Arial"/>
          <w:sz w:val="22"/>
          <w:szCs w:val="22"/>
        </w:rPr>
        <w:t>out-of-court restructuring</w:t>
      </w:r>
      <w:r w:rsidR="00C06BE3" w:rsidRPr="00526827">
        <w:rPr>
          <w:rFonts w:ascii="Arial" w:eastAsiaTheme="minorHAnsi" w:hAnsi="Arial" w:cs="Arial"/>
          <w:sz w:val="22"/>
          <w:szCs w:val="22"/>
        </w:rPr>
        <w:t xml:space="preserve"> principles were also published by </w:t>
      </w:r>
      <w:r w:rsidR="006B779A">
        <w:rPr>
          <w:rFonts w:ascii="Arial" w:eastAsiaTheme="minorHAnsi" w:hAnsi="Arial" w:cs="Arial"/>
          <w:sz w:val="22"/>
          <w:szCs w:val="22"/>
        </w:rPr>
        <w:t>othe</w:t>
      </w:r>
      <w:r w:rsidR="00E42ABC">
        <w:rPr>
          <w:rFonts w:ascii="Arial" w:eastAsiaTheme="minorHAnsi" w:hAnsi="Arial" w:cs="Arial"/>
          <w:sz w:val="22"/>
          <w:szCs w:val="22"/>
        </w:rPr>
        <w:t xml:space="preserve">r </w:t>
      </w:r>
      <w:r w:rsidR="00C06BE3" w:rsidRPr="00526827">
        <w:rPr>
          <w:rFonts w:ascii="Arial" w:eastAsiaTheme="minorHAnsi" w:hAnsi="Arial" w:cs="Arial"/>
          <w:sz w:val="22"/>
          <w:szCs w:val="22"/>
        </w:rPr>
        <w:t xml:space="preserve">industry organizations or by regional bodies (for instance, </w:t>
      </w:r>
      <w:bookmarkStart w:id="1" w:name="_Hlk144653801"/>
      <w:r w:rsidR="00C06BE3" w:rsidRPr="00526827">
        <w:rPr>
          <w:rFonts w:ascii="Arial" w:eastAsiaTheme="minorHAnsi" w:hAnsi="Arial" w:cs="Arial"/>
          <w:sz w:val="22"/>
          <w:szCs w:val="22"/>
        </w:rPr>
        <w:t xml:space="preserve">the </w:t>
      </w:r>
      <w:bookmarkStart w:id="2" w:name="_Hlk144719761"/>
      <w:r w:rsidR="00C06BE3" w:rsidRPr="00526827">
        <w:rPr>
          <w:rFonts w:ascii="Arial" w:eastAsiaTheme="minorHAnsi" w:hAnsi="Arial" w:cs="Arial"/>
          <w:sz w:val="22"/>
          <w:szCs w:val="22"/>
        </w:rPr>
        <w:t>Asian Bankers’ Association (ABA) Workout Guidelines and Model Agreement</w:t>
      </w:r>
      <w:bookmarkEnd w:id="1"/>
      <w:bookmarkEnd w:id="2"/>
      <w:r w:rsidR="00C06BE3" w:rsidRPr="00526827">
        <w:rPr>
          <w:rFonts w:ascii="Arial" w:eastAsiaTheme="minorHAnsi" w:hAnsi="Arial" w:cs="Arial"/>
          <w:sz w:val="22"/>
          <w:szCs w:val="22"/>
        </w:rPr>
        <w:t>).</w:t>
      </w:r>
      <w:r w:rsidR="00C06BE3" w:rsidRPr="00526827">
        <w:rPr>
          <w:rFonts w:ascii="Arial" w:eastAsiaTheme="minorHAnsi" w:hAnsi="Arial" w:cs="Arial"/>
          <w:sz w:val="22"/>
          <w:szCs w:val="22"/>
          <w:vertAlign w:val="superscript"/>
        </w:rPr>
        <w:footnoteReference w:id="16"/>
      </w:r>
      <w:r w:rsidR="00C06BE3" w:rsidRPr="00526827">
        <w:rPr>
          <w:rFonts w:ascii="Arial" w:eastAsiaTheme="minorHAnsi" w:hAnsi="Arial" w:cs="Arial"/>
          <w:sz w:val="22"/>
          <w:szCs w:val="22"/>
        </w:rPr>
        <w:t xml:space="preserve"> The latter contains non-binding principles on how financial creditors should deal with debtors</w:t>
      </w:r>
      <w:r w:rsidR="00C06BE3" w:rsidRPr="00C06BE3">
        <w:rPr>
          <w:rFonts w:ascii="Arial" w:eastAsiaTheme="minorHAnsi" w:hAnsi="Arial" w:cs="Arial"/>
          <w:sz w:val="22"/>
          <w:szCs w:val="22"/>
        </w:rPr>
        <w:t xml:space="preserve"> in difficulties in circumstances where the debtor is dealing with multiple financial creditors with a detailed road map on how the informal workout process should unfold.</w:t>
      </w:r>
    </w:p>
    <w:p w14:paraId="594DE0CB" w14:textId="77777777" w:rsidR="00C06BE3" w:rsidRDefault="00C06BE3" w:rsidP="00FD7213">
      <w:pPr>
        <w:pStyle w:val="paragraph"/>
        <w:spacing w:before="0" w:beforeAutospacing="0" w:after="0" w:afterAutospacing="0"/>
        <w:ind w:right="150"/>
        <w:jc w:val="both"/>
        <w:textAlignment w:val="baseline"/>
        <w:rPr>
          <w:rFonts w:ascii="Arial" w:eastAsiaTheme="minorHAnsi" w:hAnsi="Arial" w:cs="Arial"/>
          <w:sz w:val="22"/>
          <w:szCs w:val="22"/>
          <w:lang w:val="en-GB"/>
        </w:rPr>
      </w:pPr>
    </w:p>
    <w:p w14:paraId="099B2630" w14:textId="6A626FE6" w:rsidR="00562B4B" w:rsidRDefault="003700C6" w:rsidP="00FD7213">
      <w:pPr>
        <w:pStyle w:val="paragraph"/>
        <w:spacing w:before="0" w:beforeAutospacing="0" w:after="0" w:afterAutospacing="0"/>
        <w:ind w:right="150"/>
        <w:jc w:val="both"/>
        <w:textAlignment w:val="baseline"/>
        <w:rPr>
          <w:rFonts w:ascii="Arial" w:eastAsiaTheme="minorHAnsi" w:hAnsi="Arial" w:cs="Arial"/>
          <w:sz w:val="22"/>
          <w:szCs w:val="22"/>
          <w:lang w:val="en-GB"/>
        </w:rPr>
      </w:pPr>
      <w:r>
        <w:rPr>
          <w:rFonts w:ascii="Arial" w:eastAsiaTheme="minorHAnsi" w:hAnsi="Arial" w:cs="Arial"/>
          <w:sz w:val="22"/>
          <w:szCs w:val="22"/>
          <w:lang w:val="en-GB"/>
        </w:rPr>
        <w:t xml:space="preserve">It </w:t>
      </w:r>
      <w:r w:rsidR="00EE748E">
        <w:rPr>
          <w:rFonts w:ascii="Arial" w:eastAsiaTheme="minorHAnsi" w:hAnsi="Arial" w:cs="Arial"/>
          <w:sz w:val="22"/>
          <w:szCs w:val="22"/>
          <w:lang w:val="en-GB"/>
        </w:rPr>
        <w:t>may be</w:t>
      </w:r>
      <w:r>
        <w:rPr>
          <w:rFonts w:ascii="Arial" w:eastAsiaTheme="minorHAnsi" w:hAnsi="Arial" w:cs="Arial"/>
          <w:sz w:val="22"/>
          <w:szCs w:val="22"/>
          <w:lang w:val="en-GB"/>
        </w:rPr>
        <w:t xml:space="preserve"> </w:t>
      </w:r>
      <w:r w:rsidR="006F3BAB">
        <w:rPr>
          <w:rFonts w:ascii="Arial" w:eastAsiaTheme="minorHAnsi" w:hAnsi="Arial" w:cs="Arial"/>
          <w:sz w:val="22"/>
          <w:szCs w:val="22"/>
          <w:lang w:val="en-GB"/>
        </w:rPr>
        <w:t xml:space="preserve">challenging to convince all relevant </w:t>
      </w:r>
      <w:r w:rsidR="00562B4B">
        <w:rPr>
          <w:rFonts w:ascii="Arial" w:eastAsiaTheme="minorHAnsi" w:hAnsi="Arial" w:cs="Arial"/>
          <w:sz w:val="22"/>
          <w:szCs w:val="22"/>
          <w:lang w:val="en-GB"/>
        </w:rPr>
        <w:t>stakeholders</w:t>
      </w:r>
      <w:r w:rsidR="006F3BAB">
        <w:rPr>
          <w:rFonts w:ascii="Arial" w:eastAsiaTheme="minorHAnsi" w:hAnsi="Arial" w:cs="Arial"/>
          <w:sz w:val="22"/>
          <w:szCs w:val="22"/>
          <w:lang w:val="en-GB"/>
        </w:rPr>
        <w:t xml:space="preserve"> to adopt a framework of Principles</w:t>
      </w:r>
      <w:r w:rsidR="00296129">
        <w:rPr>
          <w:rFonts w:ascii="Arial" w:eastAsiaTheme="minorHAnsi" w:hAnsi="Arial" w:cs="Arial"/>
          <w:sz w:val="22"/>
          <w:szCs w:val="22"/>
          <w:lang w:val="en-GB"/>
        </w:rPr>
        <w:t xml:space="preserve"> to guide the out-of-court workout such as the 2017 INSOL Principles</w:t>
      </w:r>
      <w:r w:rsidR="00BB69EA">
        <w:rPr>
          <w:rFonts w:ascii="Arial" w:eastAsiaTheme="minorHAnsi" w:hAnsi="Arial" w:cs="Arial"/>
          <w:sz w:val="22"/>
          <w:szCs w:val="22"/>
          <w:lang w:val="en-GB"/>
        </w:rPr>
        <w:t xml:space="preserve">, because they are voluntary in nature and </w:t>
      </w:r>
      <w:r w:rsidR="00330B0D">
        <w:rPr>
          <w:rFonts w:ascii="Arial" w:eastAsiaTheme="minorHAnsi" w:hAnsi="Arial" w:cs="Arial"/>
          <w:sz w:val="22"/>
          <w:szCs w:val="22"/>
          <w:lang w:val="en-GB"/>
        </w:rPr>
        <w:t xml:space="preserve">all participants who are critical for the workout </w:t>
      </w:r>
      <w:r w:rsidR="00067A6D">
        <w:rPr>
          <w:rFonts w:ascii="Arial" w:eastAsiaTheme="minorHAnsi" w:hAnsi="Arial" w:cs="Arial"/>
          <w:sz w:val="22"/>
          <w:szCs w:val="22"/>
          <w:lang w:val="en-GB"/>
        </w:rPr>
        <w:t xml:space="preserve">should agree to be bound by some common terms. </w:t>
      </w:r>
      <w:r w:rsidR="00C30A69">
        <w:rPr>
          <w:rFonts w:ascii="Arial" w:eastAsiaTheme="minorHAnsi" w:hAnsi="Arial" w:cs="Arial"/>
          <w:sz w:val="22"/>
          <w:szCs w:val="22"/>
          <w:lang w:val="en-GB"/>
        </w:rPr>
        <w:t>If this is not possible, the procedure may</w:t>
      </w:r>
      <w:r w:rsidR="00CD0DB0" w:rsidRPr="00CD0DB0">
        <w:rPr>
          <w:rFonts w:ascii="Arial" w:eastAsiaTheme="minorHAnsi" w:hAnsi="Arial" w:cs="Arial"/>
          <w:sz w:val="22"/>
          <w:szCs w:val="22"/>
          <w:lang w:val="en-GB"/>
        </w:rPr>
        <w:t xml:space="preserve"> be enhanced through the involvement of an administrative authority</w:t>
      </w:r>
      <w:r w:rsidR="008E06E6">
        <w:rPr>
          <w:rFonts w:ascii="Arial" w:eastAsiaTheme="minorHAnsi" w:hAnsi="Arial" w:cs="Arial"/>
          <w:sz w:val="22"/>
          <w:szCs w:val="22"/>
          <w:lang w:val="en-GB"/>
        </w:rPr>
        <w:t xml:space="preserve"> </w:t>
      </w:r>
      <w:r w:rsidR="00CD0DB0" w:rsidRPr="00CD0DB0">
        <w:rPr>
          <w:rFonts w:ascii="Arial" w:eastAsiaTheme="minorHAnsi" w:hAnsi="Arial" w:cs="Arial"/>
          <w:sz w:val="22"/>
          <w:szCs w:val="22"/>
          <w:lang w:val="en-GB"/>
        </w:rPr>
        <w:t>to encourage stakeholders to enter into restructuring plans</w:t>
      </w:r>
      <w:r w:rsidR="00022BE9">
        <w:rPr>
          <w:rFonts w:ascii="Arial" w:eastAsiaTheme="minorHAnsi" w:hAnsi="Arial" w:cs="Arial"/>
          <w:sz w:val="22"/>
          <w:szCs w:val="22"/>
          <w:lang w:val="en-GB"/>
        </w:rPr>
        <w:t xml:space="preserve"> </w:t>
      </w:r>
      <w:r w:rsidR="005D5CC7" w:rsidRPr="005D5CC7">
        <w:rPr>
          <w:rFonts w:ascii="Arial" w:eastAsiaTheme="minorHAnsi" w:hAnsi="Arial" w:cs="Arial"/>
          <w:sz w:val="22"/>
          <w:szCs w:val="22"/>
          <w:lang w:val="en-GB"/>
        </w:rPr>
        <w:t xml:space="preserve">or </w:t>
      </w:r>
      <w:r w:rsidR="00CC16B2">
        <w:rPr>
          <w:rFonts w:ascii="Arial" w:eastAsiaTheme="minorHAnsi" w:hAnsi="Arial" w:cs="Arial"/>
          <w:sz w:val="22"/>
          <w:szCs w:val="22"/>
          <w:lang w:val="en-GB"/>
        </w:rPr>
        <w:t xml:space="preserve">to even </w:t>
      </w:r>
      <w:r w:rsidR="005D5CC7" w:rsidRPr="005D5CC7">
        <w:rPr>
          <w:rFonts w:ascii="Arial" w:eastAsiaTheme="minorHAnsi" w:hAnsi="Arial" w:cs="Arial"/>
          <w:sz w:val="22"/>
          <w:szCs w:val="22"/>
          <w:lang w:val="en-GB"/>
        </w:rPr>
        <w:t>require that restructuring participants commit in a legally binding manner to follow them.</w:t>
      </w:r>
      <w:r w:rsidR="00CC16B2">
        <w:rPr>
          <w:rFonts w:ascii="Arial" w:eastAsiaTheme="minorHAnsi" w:hAnsi="Arial" w:cs="Arial"/>
          <w:sz w:val="22"/>
          <w:szCs w:val="22"/>
          <w:lang w:val="en-GB"/>
        </w:rPr>
        <w:t xml:space="preserve"> </w:t>
      </w:r>
      <w:r w:rsidR="00FC2261">
        <w:rPr>
          <w:rFonts w:ascii="Arial" w:eastAsiaTheme="minorHAnsi" w:hAnsi="Arial" w:cs="Arial"/>
          <w:sz w:val="22"/>
          <w:szCs w:val="22"/>
        </w:rPr>
        <w:t>Such</w:t>
      </w:r>
      <w:r w:rsidR="00602711" w:rsidRPr="00602711">
        <w:rPr>
          <w:rFonts w:ascii="Arial" w:eastAsiaTheme="minorHAnsi" w:hAnsi="Arial" w:cs="Arial"/>
          <w:sz w:val="22"/>
          <w:szCs w:val="22"/>
        </w:rPr>
        <w:t xml:space="preserve"> </w:t>
      </w:r>
      <w:r w:rsidR="00602711" w:rsidRPr="00FC2261">
        <w:rPr>
          <w:rFonts w:ascii="Arial" w:eastAsiaTheme="minorHAnsi" w:hAnsi="Arial" w:cs="Arial"/>
          <w:bCs/>
          <w:i/>
          <w:iCs/>
          <w:sz w:val="22"/>
          <w:szCs w:val="22"/>
        </w:rPr>
        <w:t>enhanced workouts</w:t>
      </w:r>
      <w:r w:rsidR="00FC2261">
        <w:rPr>
          <w:rFonts w:ascii="Arial" w:eastAsiaTheme="minorHAnsi" w:hAnsi="Arial" w:cs="Arial"/>
          <w:sz w:val="22"/>
          <w:szCs w:val="22"/>
        </w:rPr>
        <w:t xml:space="preserve"> </w:t>
      </w:r>
      <w:r w:rsidR="00602711" w:rsidRPr="00602711">
        <w:rPr>
          <w:rFonts w:ascii="Arial" w:eastAsiaTheme="minorHAnsi" w:hAnsi="Arial" w:cs="Arial"/>
          <w:sz w:val="22"/>
          <w:szCs w:val="22"/>
        </w:rPr>
        <w:t>are similar to out-of-court workouts in a way that there is no provision for the court to play a role. The main difference is that in this type of out-of-court restructuring, the participants are bound by law, regulation, or contract to follow restructuring-specific standards introduced by an administrative authority, usually in the banking sector.</w:t>
      </w:r>
      <w:r w:rsidR="00602711" w:rsidRPr="00602711">
        <w:rPr>
          <w:rFonts w:ascii="Arial" w:eastAsiaTheme="minorHAnsi" w:hAnsi="Arial" w:cs="Arial"/>
          <w:sz w:val="22"/>
          <w:szCs w:val="22"/>
          <w:vertAlign w:val="superscript"/>
        </w:rPr>
        <w:footnoteReference w:id="17"/>
      </w:r>
    </w:p>
    <w:p w14:paraId="740EBE98" w14:textId="77777777" w:rsidR="00552446" w:rsidRDefault="00552446" w:rsidP="00FD7213">
      <w:pPr>
        <w:pStyle w:val="paragraph"/>
        <w:spacing w:before="0" w:beforeAutospacing="0" w:after="0" w:afterAutospacing="0"/>
        <w:ind w:right="150"/>
        <w:jc w:val="both"/>
        <w:textAlignment w:val="baseline"/>
        <w:rPr>
          <w:rFonts w:ascii="Arial" w:eastAsiaTheme="minorHAnsi" w:hAnsi="Arial" w:cs="Arial"/>
          <w:sz w:val="22"/>
          <w:szCs w:val="22"/>
          <w:lang w:val="en-GB"/>
        </w:rPr>
      </w:pPr>
    </w:p>
    <w:p w14:paraId="63F869A8" w14:textId="243B264D" w:rsidR="00CF3449" w:rsidRDefault="00897515" w:rsidP="00FD7213">
      <w:pPr>
        <w:pStyle w:val="paragraph"/>
        <w:spacing w:before="0" w:beforeAutospacing="0" w:after="0" w:afterAutospacing="0"/>
        <w:ind w:right="150"/>
        <w:jc w:val="both"/>
        <w:textAlignment w:val="baseline"/>
        <w:rPr>
          <w:rFonts w:ascii="Arial" w:hAnsi="Arial" w:cs="Arial"/>
          <w:iCs/>
          <w:sz w:val="22"/>
          <w:szCs w:val="22"/>
        </w:rPr>
      </w:pPr>
      <w:r w:rsidRPr="00897515">
        <w:rPr>
          <w:rFonts w:ascii="Arial" w:eastAsiaTheme="minorHAnsi" w:hAnsi="Arial" w:cs="Arial"/>
          <w:sz w:val="22"/>
          <w:szCs w:val="22"/>
          <w:lang w:val="en-GB"/>
        </w:rPr>
        <w:t xml:space="preserve">Although </w:t>
      </w:r>
      <w:r w:rsidR="00770202">
        <w:rPr>
          <w:rFonts w:ascii="Arial" w:eastAsiaTheme="minorHAnsi" w:hAnsi="Arial" w:cs="Arial"/>
          <w:sz w:val="22"/>
          <w:szCs w:val="22"/>
          <w:lang w:val="en-GB"/>
        </w:rPr>
        <w:t xml:space="preserve">the question calls for “soft law” and </w:t>
      </w:r>
      <w:r w:rsidRPr="00897515">
        <w:rPr>
          <w:rFonts w:ascii="Arial" w:eastAsiaTheme="minorHAnsi" w:hAnsi="Arial" w:cs="Arial"/>
          <w:sz w:val="22"/>
          <w:szCs w:val="22"/>
          <w:lang w:val="en-GB"/>
        </w:rPr>
        <w:t xml:space="preserve">enhanced workouts need not be provided for in legislation, some jurisdictions gave a statutory basis for enhanced workouts. </w:t>
      </w:r>
      <w:r w:rsidR="0006397E">
        <w:rPr>
          <w:rFonts w:ascii="Arial" w:eastAsiaTheme="minorHAnsi" w:hAnsi="Arial" w:cs="Arial"/>
          <w:sz w:val="22"/>
          <w:szCs w:val="22"/>
          <w:lang w:val="en-GB"/>
        </w:rPr>
        <w:t xml:space="preserve">An example of such enhanced workout </w:t>
      </w:r>
      <w:r w:rsidR="0069286B">
        <w:rPr>
          <w:rFonts w:ascii="Arial" w:eastAsiaTheme="minorHAnsi" w:hAnsi="Arial" w:cs="Arial"/>
          <w:sz w:val="22"/>
          <w:szCs w:val="22"/>
          <w:lang w:val="en-GB"/>
        </w:rPr>
        <w:t>procedure can be found in the</w:t>
      </w:r>
      <w:bookmarkStart w:id="3" w:name="_Toc144900053"/>
      <w:r w:rsidR="0069286B">
        <w:rPr>
          <w:rFonts w:ascii="Arial" w:eastAsiaTheme="minorHAnsi" w:hAnsi="Arial" w:cs="Arial"/>
          <w:sz w:val="22"/>
          <w:szCs w:val="22"/>
          <w:lang w:val="en-GB"/>
        </w:rPr>
        <w:t xml:space="preserve"> </w:t>
      </w:r>
      <w:r w:rsidR="0006397E" w:rsidRPr="0006397E">
        <w:rPr>
          <w:rFonts w:ascii="Arial" w:hAnsi="Arial" w:cs="Arial"/>
          <w:sz w:val="22"/>
          <w:szCs w:val="22"/>
        </w:rPr>
        <w:t>Republic of Korea’s Corporate Restructuring Promotion Act that feature</w:t>
      </w:r>
      <w:r w:rsidR="00F71B4C">
        <w:rPr>
          <w:rFonts w:ascii="Arial" w:hAnsi="Arial" w:cs="Arial"/>
          <w:sz w:val="22"/>
          <w:szCs w:val="22"/>
        </w:rPr>
        <w:t>s</w:t>
      </w:r>
      <w:r w:rsidR="0006397E" w:rsidRPr="0006397E">
        <w:rPr>
          <w:rFonts w:ascii="Arial" w:hAnsi="Arial" w:cs="Arial"/>
          <w:sz w:val="22"/>
          <w:szCs w:val="22"/>
        </w:rPr>
        <w:t xml:space="preserve"> a statutory compulsion to participate in the multi-creditor workout framework</w:t>
      </w:r>
      <w:bookmarkEnd w:id="3"/>
      <w:r w:rsidR="00F71B4C">
        <w:rPr>
          <w:rFonts w:ascii="Arial" w:hAnsi="Arial" w:cs="Arial"/>
          <w:sz w:val="22"/>
          <w:szCs w:val="22"/>
        </w:rPr>
        <w:t xml:space="preserve">. </w:t>
      </w:r>
      <w:bookmarkStart w:id="4" w:name="_Hlk144720181"/>
      <w:r w:rsidR="0006397E" w:rsidRPr="0006397E">
        <w:rPr>
          <w:rFonts w:ascii="Arial" w:hAnsi="Arial" w:cs="Arial"/>
          <w:sz w:val="22"/>
          <w:szCs w:val="22"/>
        </w:rPr>
        <w:t>The reason was to address the collective action problem where too few financial institutions consented to the multi-creditor workout frameworks. For instance, the statutory compulsion to participate in multi-creditor workout agreements was introduced i</w:t>
      </w:r>
      <w:r w:rsidR="0006397E" w:rsidRPr="0006397E">
        <w:rPr>
          <w:rFonts w:ascii="Arial" w:hAnsi="Arial" w:cs="Arial"/>
          <w:iCs/>
          <w:sz w:val="22"/>
          <w:szCs w:val="22"/>
        </w:rPr>
        <w:t>n the Republic of Korea in the form of a Corporate Restructuring Promotion Act (</w:t>
      </w:r>
      <w:r w:rsidR="0006397E" w:rsidRPr="0006397E">
        <w:rPr>
          <w:rFonts w:ascii="Arial" w:hAnsi="Arial" w:cs="Arial"/>
          <w:sz w:val="22"/>
          <w:szCs w:val="22"/>
        </w:rPr>
        <w:t>CRPA</w:t>
      </w:r>
      <w:r w:rsidR="0006397E" w:rsidRPr="0006397E">
        <w:rPr>
          <w:rFonts w:ascii="Arial" w:hAnsi="Arial" w:cs="Arial"/>
          <w:iCs/>
          <w:sz w:val="22"/>
          <w:szCs w:val="22"/>
        </w:rPr>
        <w:t>).</w:t>
      </w:r>
      <w:r w:rsidR="0006397E" w:rsidRPr="0006397E">
        <w:rPr>
          <w:rFonts w:ascii="Arial" w:hAnsi="Arial" w:cs="Arial"/>
          <w:iCs/>
          <w:sz w:val="22"/>
          <w:szCs w:val="22"/>
          <w:vertAlign w:val="superscript"/>
        </w:rPr>
        <w:footnoteReference w:id="18"/>
      </w:r>
      <w:r w:rsidR="0006397E" w:rsidRPr="0006397E">
        <w:rPr>
          <w:rFonts w:ascii="Arial" w:hAnsi="Arial" w:cs="Arial"/>
          <w:iCs/>
          <w:sz w:val="22"/>
          <w:szCs w:val="22"/>
        </w:rPr>
        <w:t xml:space="preserve"> The Act codified the voluntary framework developed by the banking industry in 1998 that committed participating creditors to using specific workout procedures. Because not all financial institutions participated </w:t>
      </w:r>
      <w:r w:rsidR="0006397E" w:rsidRPr="0006397E">
        <w:rPr>
          <w:rFonts w:ascii="Arial" w:hAnsi="Arial" w:cs="Arial"/>
          <w:iCs/>
          <w:sz w:val="22"/>
          <w:szCs w:val="22"/>
        </w:rPr>
        <w:lastRenderedPageBreak/>
        <w:t xml:space="preserve">in the framework voluntarily, the government made it obligatory for all financial institutions to participate in workouts through the CRPA enacted </w:t>
      </w:r>
      <w:r w:rsidR="00846046">
        <w:rPr>
          <w:rFonts w:ascii="Arial" w:hAnsi="Arial" w:cs="Arial"/>
          <w:iCs/>
          <w:sz w:val="22"/>
          <w:szCs w:val="22"/>
        </w:rPr>
        <w:t>in</w:t>
      </w:r>
      <w:r w:rsidR="0006397E" w:rsidRPr="0006397E">
        <w:rPr>
          <w:rFonts w:ascii="Arial" w:hAnsi="Arial" w:cs="Arial"/>
          <w:iCs/>
          <w:sz w:val="22"/>
          <w:szCs w:val="22"/>
        </w:rPr>
        <w:t xml:space="preserve"> 2001. </w:t>
      </w:r>
      <w:r w:rsidR="006835BC">
        <w:rPr>
          <w:rFonts w:ascii="Arial" w:hAnsi="Arial" w:cs="Arial"/>
          <w:iCs/>
          <w:sz w:val="22"/>
          <w:szCs w:val="22"/>
        </w:rPr>
        <w:t xml:space="preserve">Based on my understanding, </w:t>
      </w:r>
      <w:r w:rsidR="00846046">
        <w:rPr>
          <w:rFonts w:ascii="Arial" w:hAnsi="Arial" w:cs="Arial"/>
          <w:iCs/>
          <w:sz w:val="22"/>
          <w:szCs w:val="22"/>
        </w:rPr>
        <w:t>t</w:t>
      </w:r>
      <w:r w:rsidR="006835BC" w:rsidRPr="006835BC">
        <w:rPr>
          <w:rFonts w:ascii="Arial" w:hAnsi="Arial" w:cs="Arial"/>
          <w:iCs/>
          <w:sz w:val="22"/>
          <w:szCs w:val="22"/>
        </w:rPr>
        <w:t>he CRPA, enacted in 200</w:t>
      </w:r>
      <w:r w:rsidR="00DE129F">
        <w:rPr>
          <w:rFonts w:ascii="Arial" w:hAnsi="Arial" w:cs="Arial"/>
          <w:iCs/>
          <w:sz w:val="22"/>
          <w:szCs w:val="22"/>
        </w:rPr>
        <w:t>1</w:t>
      </w:r>
      <w:r w:rsidR="006835BC" w:rsidRPr="006835BC">
        <w:rPr>
          <w:rFonts w:ascii="Arial" w:hAnsi="Arial" w:cs="Arial"/>
          <w:iCs/>
          <w:sz w:val="22"/>
          <w:szCs w:val="22"/>
        </w:rPr>
        <w:t xml:space="preserve">, has undergone five extensions, and the current version </w:t>
      </w:r>
      <w:r w:rsidR="00DE129F">
        <w:rPr>
          <w:rFonts w:ascii="Arial" w:hAnsi="Arial" w:cs="Arial"/>
          <w:iCs/>
          <w:sz w:val="22"/>
          <w:szCs w:val="22"/>
        </w:rPr>
        <w:t xml:space="preserve">was </w:t>
      </w:r>
      <w:r w:rsidR="006835BC" w:rsidRPr="006835BC">
        <w:rPr>
          <w:rFonts w:ascii="Arial" w:hAnsi="Arial" w:cs="Arial"/>
          <w:iCs/>
          <w:sz w:val="22"/>
          <w:szCs w:val="22"/>
        </w:rPr>
        <w:t>set to expire in October 2023.</w:t>
      </w:r>
      <w:r w:rsidR="00DE129F">
        <w:rPr>
          <w:rStyle w:val="FootnoteReference"/>
          <w:rFonts w:ascii="Arial" w:hAnsi="Arial" w:cs="Arial"/>
          <w:iCs/>
          <w:sz w:val="22"/>
          <w:szCs w:val="22"/>
        </w:rPr>
        <w:footnoteReference w:id="19"/>
      </w:r>
      <w:r w:rsidR="006835BC" w:rsidRPr="006835BC">
        <w:rPr>
          <w:rFonts w:ascii="Arial" w:hAnsi="Arial" w:cs="Arial"/>
          <w:iCs/>
          <w:sz w:val="22"/>
          <w:szCs w:val="22"/>
        </w:rPr>
        <w:t xml:space="preserve"> The Financial Services Commission (FSC) has submitted an amendment to the National Assembly to consider making the CRPA a permanent law or extending its duration</w:t>
      </w:r>
      <w:r w:rsidR="00A52349">
        <w:rPr>
          <w:rFonts w:ascii="Arial" w:hAnsi="Arial" w:cs="Arial"/>
          <w:iCs/>
          <w:sz w:val="22"/>
          <w:szCs w:val="22"/>
        </w:rPr>
        <w:t xml:space="preserve">, but </w:t>
      </w:r>
      <w:r w:rsidR="006A2F87">
        <w:rPr>
          <w:rFonts w:ascii="Arial" w:hAnsi="Arial" w:cs="Arial"/>
          <w:iCs/>
          <w:sz w:val="22"/>
          <w:szCs w:val="22"/>
        </w:rPr>
        <w:t>I have no updated information whether this amendment was adopted.</w:t>
      </w:r>
      <w:bookmarkEnd w:id="4"/>
    </w:p>
    <w:p w14:paraId="5A7FB881" w14:textId="77777777" w:rsidR="00CF3449" w:rsidRDefault="00CF3449" w:rsidP="00FD7213">
      <w:pPr>
        <w:pStyle w:val="paragraph"/>
        <w:spacing w:before="0" w:beforeAutospacing="0" w:after="0" w:afterAutospacing="0"/>
        <w:ind w:right="150"/>
        <w:jc w:val="both"/>
        <w:textAlignment w:val="baseline"/>
        <w:rPr>
          <w:rFonts w:ascii="Arial" w:hAnsi="Arial" w:cs="Arial"/>
          <w:iCs/>
          <w:sz w:val="22"/>
          <w:szCs w:val="22"/>
        </w:rPr>
      </w:pPr>
    </w:p>
    <w:p w14:paraId="24E6343E" w14:textId="11E460D5" w:rsidR="00DD54FD" w:rsidRPr="00DD54FD" w:rsidRDefault="00FD7213" w:rsidP="00DD54FD">
      <w:pPr>
        <w:pStyle w:val="paragraph"/>
        <w:spacing w:before="0" w:beforeAutospacing="0" w:after="0" w:afterAutospacing="0"/>
        <w:ind w:right="150"/>
        <w:jc w:val="both"/>
        <w:textAlignment w:val="baseline"/>
        <w:rPr>
          <w:rFonts w:ascii="Arial" w:eastAsiaTheme="minorHAnsi" w:hAnsi="Arial" w:cs="Arial"/>
          <w:sz w:val="22"/>
          <w:szCs w:val="22"/>
          <w:lang w:val="en-GB"/>
        </w:rPr>
      </w:pPr>
      <w:r w:rsidRPr="006A1061">
        <w:rPr>
          <w:rFonts w:ascii="Arial" w:eastAsiaTheme="minorHAnsi" w:hAnsi="Arial" w:cs="Arial"/>
          <w:sz w:val="22"/>
          <w:szCs w:val="22"/>
          <w:lang w:val="en-GB"/>
        </w:rPr>
        <w:t xml:space="preserve">There is also a great variety of options </w:t>
      </w:r>
      <w:r w:rsidR="00EB4104">
        <w:rPr>
          <w:rFonts w:ascii="Arial" w:eastAsiaTheme="minorHAnsi" w:hAnsi="Arial" w:cs="Arial"/>
          <w:sz w:val="22"/>
          <w:szCs w:val="22"/>
          <w:lang w:val="en-GB"/>
        </w:rPr>
        <w:t xml:space="preserve">in most jurisdictions </w:t>
      </w:r>
      <w:r w:rsidRPr="006A1061">
        <w:rPr>
          <w:rFonts w:ascii="Arial" w:eastAsiaTheme="minorHAnsi" w:hAnsi="Arial" w:cs="Arial"/>
          <w:sz w:val="22"/>
          <w:szCs w:val="22"/>
          <w:lang w:val="en-GB"/>
        </w:rPr>
        <w:t xml:space="preserve">for alternative dispute resolution, some of which may </w:t>
      </w:r>
      <w:r w:rsidR="002C2590">
        <w:rPr>
          <w:rFonts w:ascii="Arial" w:eastAsiaTheme="minorHAnsi" w:hAnsi="Arial" w:cs="Arial"/>
          <w:sz w:val="22"/>
          <w:szCs w:val="22"/>
          <w:lang w:val="en-GB"/>
        </w:rPr>
        <w:t xml:space="preserve">be </w:t>
      </w:r>
      <w:r w:rsidRPr="006A1061">
        <w:rPr>
          <w:rFonts w:ascii="Arial" w:eastAsiaTheme="minorHAnsi" w:hAnsi="Arial" w:cs="Arial"/>
          <w:sz w:val="22"/>
          <w:szCs w:val="22"/>
          <w:lang w:val="en-GB"/>
        </w:rPr>
        <w:t>adapt</w:t>
      </w:r>
      <w:r w:rsidR="002C2590">
        <w:rPr>
          <w:rFonts w:ascii="Arial" w:eastAsiaTheme="minorHAnsi" w:hAnsi="Arial" w:cs="Arial"/>
          <w:sz w:val="22"/>
          <w:szCs w:val="22"/>
          <w:lang w:val="en-GB"/>
        </w:rPr>
        <w:t>ed</w:t>
      </w:r>
      <w:r w:rsidRPr="006A1061">
        <w:rPr>
          <w:rFonts w:ascii="Arial" w:eastAsiaTheme="minorHAnsi" w:hAnsi="Arial" w:cs="Arial"/>
          <w:sz w:val="22"/>
          <w:szCs w:val="22"/>
          <w:lang w:val="en-GB"/>
        </w:rPr>
        <w:t xml:space="preserve"> appropriately to a situation like the </w:t>
      </w:r>
      <w:r w:rsidR="002C2590">
        <w:rPr>
          <w:rFonts w:ascii="Arial" w:eastAsiaTheme="minorHAnsi" w:hAnsi="Arial" w:cs="Arial"/>
          <w:sz w:val="22"/>
          <w:szCs w:val="22"/>
          <w:lang w:val="en-GB"/>
        </w:rPr>
        <w:t>Flow Management workout</w:t>
      </w:r>
      <w:r w:rsidR="00EB4104">
        <w:rPr>
          <w:rFonts w:ascii="Arial" w:eastAsiaTheme="minorHAnsi" w:hAnsi="Arial" w:cs="Arial"/>
          <w:sz w:val="22"/>
          <w:szCs w:val="22"/>
          <w:lang w:val="en-GB"/>
        </w:rPr>
        <w:t xml:space="preserve"> and receive support from the stakeholders</w:t>
      </w:r>
      <w:r w:rsidRPr="006A1061">
        <w:rPr>
          <w:rFonts w:ascii="Arial" w:eastAsiaTheme="minorHAnsi" w:hAnsi="Arial" w:cs="Arial"/>
          <w:sz w:val="22"/>
          <w:szCs w:val="22"/>
          <w:lang w:val="en-GB"/>
        </w:rPr>
        <w:t xml:space="preserve">.  Among those, considering the circumstances of the </w:t>
      </w:r>
      <w:r w:rsidR="00EB4104">
        <w:rPr>
          <w:rFonts w:ascii="Arial" w:eastAsiaTheme="minorHAnsi" w:hAnsi="Arial" w:cs="Arial"/>
          <w:sz w:val="22"/>
          <w:szCs w:val="22"/>
          <w:lang w:val="en-GB"/>
        </w:rPr>
        <w:t>C</w:t>
      </w:r>
      <w:r w:rsidRPr="006A1061">
        <w:rPr>
          <w:rFonts w:ascii="Arial" w:eastAsiaTheme="minorHAnsi" w:hAnsi="Arial" w:cs="Arial"/>
          <w:sz w:val="22"/>
          <w:szCs w:val="22"/>
          <w:lang w:val="en-GB"/>
        </w:rPr>
        <w:t xml:space="preserve">ompany, a non-binding expert determination of the case could be pursued, to provide the creditors </w:t>
      </w:r>
      <w:r w:rsidR="00583676">
        <w:rPr>
          <w:rFonts w:ascii="Arial" w:eastAsiaTheme="minorHAnsi" w:hAnsi="Arial" w:cs="Arial"/>
          <w:sz w:val="22"/>
          <w:szCs w:val="22"/>
          <w:lang w:val="en-GB"/>
        </w:rPr>
        <w:t xml:space="preserve">with </w:t>
      </w:r>
      <w:r w:rsidRPr="006A1061">
        <w:rPr>
          <w:rFonts w:ascii="Arial" w:eastAsiaTheme="minorHAnsi" w:hAnsi="Arial" w:cs="Arial"/>
          <w:sz w:val="22"/>
          <w:szCs w:val="22"/>
          <w:lang w:val="en-GB"/>
        </w:rPr>
        <w:t>a realistic number of the actual recovery prospects that each class of creditor</w:t>
      </w:r>
      <w:r w:rsidR="003B09BA">
        <w:rPr>
          <w:rFonts w:ascii="Arial" w:eastAsiaTheme="minorHAnsi" w:hAnsi="Arial" w:cs="Arial"/>
          <w:sz w:val="22"/>
          <w:szCs w:val="22"/>
          <w:lang w:val="en-GB"/>
        </w:rPr>
        <w:t>s</w:t>
      </w:r>
      <w:r w:rsidRPr="006A1061">
        <w:rPr>
          <w:rFonts w:ascii="Arial" w:eastAsiaTheme="minorHAnsi" w:hAnsi="Arial" w:cs="Arial"/>
          <w:sz w:val="22"/>
          <w:szCs w:val="22"/>
          <w:lang w:val="en-GB"/>
        </w:rPr>
        <w:t xml:space="preserve"> can expect, under the various scenarios.  This might be </w:t>
      </w:r>
      <w:r w:rsidR="003B09BA" w:rsidRPr="006A1061">
        <w:rPr>
          <w:rFonts w:ascii="Arial" w:eastAsiaTheme="minorHAnsi" w:hAnsi="Arial" w:cs="Arial"/>
          <w:sz w:val="22"/>
          <w:szCs w:val="22"/>
          <w:lang w:val="en-GB"/>
        </w:rPr>
        <w:t>pricey,</w:t>
      </w:r>
      <w:r w:rsidRPr="006A1061">
        <w:rPr>
          <w:rFonts w:ascii="Arial" w:eastAsiaTheme="minorHAnsi" w:hAnsi="Arial" w:cs="Arial"/>
          <w:sz w:val="22"/>
          <w:szCs w:val="22"/>
          <w:lang w:val="en-GB"/>
        </w:rPr>
        <w:t xml:space="preserve"> and the results can be rather </w:t>
      </w:r>
      <w:r w:rsidR="00226B91" w:rsidRPr="006A1061">
        <w:rPr>
          <w:rFonts w:ascii="Arial" w:eastAsiaTheme="minorHAnsi" w:hAnsi="Arial" w:cs="Arial"/>
          <w:sz w:val="22"/>
          <w:szCs w:val="22"/>
          <w:lang w:val="en-GB"/>
        </w:rPr>
        <w:t>theoretical,</w:t>
      </w:r>
      <w:r w:rsidRPr="006A1061">
        <w:rPr>
          <w:rFonts w:ascii="Arial" w:eastAsiaTheme="minorHAnsi" w:hAnsi="Arial" w:cs="Arial"/>
          <w:sz w:val="22"/>
          <w:szCs w:val="22"/>
          <w:lang w:val="en-GB"/>
        </w:rPr>
        <w:t xml:space="preserve"> but it can contribute to motivate the </w:t>
      </w:r>
      <w:r w:rsidR="00BE7CB9">
        <w:rPr>
          <w:rFonts w:ascii="Arial" w:eastAsiaTheme="minorHAnsi" w:hAnsi="Arial" w:cs="Arial"/>
          <w:sz w:val="22"/>
          <w:szCs w:val="22"/>
          <w:lang w:val="en-GB"/>
        </w:rPr>
        <w:t>stakeholders</w:t>
      </w:r>
      <w:r w:rsidRPr="006A1061">
        <w:rPr>
          <w:rFonts w:ascii="Arial" w:eastAsiaTheme="minorHAnsi" w:hAnsi="Arial" w:cs="Arial"/>
          <w:sz w:val="22"/>
          <w:szCs w:val="22"/>
          <w:lang w:val="en-GB"/>
        </w:rPr>
        <w:t xml:space="preserve"> in a direction conducive to some form of workable arrangement rather than none.  </w:t>
      </w:r>
      <w:r w:rsidR="00131E2D">
        <w:rPr>
          <w:rFonts w:ascii="Arial" w:eastAsiaTheme="minorHAnsi" w:hAnsi="Arial" w:cs="Arial"/>
          <w:sz w:val="22"/>
          <w:szCs w:val="22"/>
          <w:lang w:val="en-GB"/>
        </w:rPr>
        <w:t xml:space="preserve">A mediator may also be </w:t>
      </w:r>
      <w:r w:rsidR="00880C01">
        <w:rPr>
          <w:rFonts w:ascii="Arial" w:eastAsiaTheme="minorHAnsi" w:hAnsi="Arial" w:cs="Arial"/>
          <w:sz w:val="22"/>
          <w:szCs w:val="22"/>
          <w:lang w:val="en-GB"/>
        </w:rPr>
        <w:t>appointed to facilitate the resolution of the conflict between the four financial lenders and the management</w:t>
      </w:r>
      <w:r w:rsidR="00DA2669">
        <w:rPr>
          <w:rFonts w:ascii="Arial" w:eastAsiaTheme="minorHAnsi" w:hAnsi="Arial" w:cs="Arial"/>
          <w:sz w:val="22"/>
          <w:szCs w:val="22"/>
          <w:lang w:val="en-GB"/>
        </w:rPr>
        <w:t xml:space="preserve"> during the Flow Management workout</w:t>
      </w:r>
      <w:r w:rsidR="00880C01">
        <w:rPr>
          <w:rFonts w:ascii="Arial" w:eastAsiaTheme="minorHAnsi" w:hAnsi="Arial" w:cs="Arial"/>
          <w:sz w:val="22"/>
          <w:szCs w:val="22"/>
          <w:lang w:val="en-GB"/>
        </w:rPr>
        <w:t xml:space="preserve">, which seems to pose a bottleneck to the negotiations at some point. </w:t>
      </w:r>
      <w:r w:rsidR="00473998">
        <w:rPr>
          <w:rFonts w:ascii="Arial" w:eastAsiaTheme="minorHAnsi" w:hAnsi="Arial" w:cs="Arial"/>
          <w:sz w:val="22"/>
          <w:szCs w:val="22"/>
          <w:lang w:val="en-GB"/>
        </w:rPr>
        <w:t xml:space="preserve">Mediation is a process of alternative dispute resolution which is available in many jurisdictions (including in the jurisdiction where I am licensed, Bulgaria) </w:t>
      </w:r>
      <w:r w:rsidR="00A57CDC">
        <w:rPr>
          <w:rFonts w:ascii="Arial" w:eastAsiaTheme="minorHAnsi" w:hAnsi="Arial" w:cs="Arial"/>
          <w:sz w:val="22"/>
          <w:szCs w:val="22"/>
          <w:lang w:val="en-GB"/>
        </w:rPr>
        <w:t xml:space="preserve">and </w:t>
      </w:r>
      <w:r w:rsidR="00021238">
        <w:rPr>
          <w:rFonts w:ascii="Arial" w:eastAsiaTheme="minorHAnsi" w:hAnsi="Arial" w:cs="Arial"/>
          <w:sz w:val="22"/>
          <w:szCs w:val="22"/>
          <w:lang w:val="en-GB"/>
        </w:rPr>
        <w:t>it involve</w:t>
      </w:r>
      <w:r w:rsidR="00B71DFB">
        <w:rPr>
          <w:rFonts w:ascii="Arial" w:eastAsiaTheme="minorHAnsi" w:hAnsi="Arial" w:cs="Arial"/>
          <w:sz w:val="22"/>
          <w:szCs w:val="22"/>
          <w:lang w:val="en-GB"/>
        </w:rPr>
        <w:t>s</w:t>
      </w:r>
      <w:r w:rsidR="00021238">
        <w:rPr>
          <w:rFonts w:ascii="Arial" w:eastAsiaTheme="minorHAnsi" w:hAnsi="Arial" w:cs="Arial"/>
          <w:sz w:val="22"/>
          <w:szCs w:val="22"/>
          <w:lang w:val="en-GB"/>
        </w:rPr>
        <w:t xml:space="preserve"> </w:t>
      </w:r>
      <w:r w:rsidR="00540B26">
        <w:rPr>
          <w:rFonts w:ascii="Arial" w:eastAsiaTheme="minorHAnsi" w:hAnsi="Arial" w:cs="Arial"/>
          <w:sz w:val="22"/>
          <w:szCs w:val="22"/>
          <w:lang w:val="en-GB"/>
        </w:rPr>
        <w:t xml:space="preserve">the intervention of </w:t>
      </w:r>
      <w:r w:rsidR="00021238">
        <w:rPr>
          <w:rFonts w:ascii="Arial" w:eastAsiaTheme="minorHAnsi" w:hAnsi="Arial" w:cs="Arial"/>
          <w:sz w:val="22"/>
          <w:szCs w:val="22"/>
          <w:lang w:val="en-GB"/>
        </w:rPr>
        <w:t xml:space="preserve">a </w:t>
      </w:r>
      <w:r w:rsidR="00EF292F">
        <w:rPr>
          <w:rFonts w:ascii="Arial" w:eastAsiaTheme="minorHAnsi" w:hAnsi="Arial" w:cs="Arial"/>
          <w:sz w:val="22"/>
          <w:szCs w:val="22"/>
          <w:lang w:val="en-GB"/>
        </w:rPr>
        <w:t>third-party</w:t>
      </w:r>
      <w:r w:rsidR="00021238">
        <w:rPr>
          <w:rFonts w:ascii="Arial" w:eastAsiaTheme="minorHAnsi" w:hAnsi="Arial" w:cs="Arial"/>
          <w:sz w:val="22"/>
          <w:szCs w:val="22"/>
          <w:lang w:val="en-GB"/>
        </w:rPr>
        <w:t xml:space="preserve"> neutral</w:t>
      </w:r>
      <w:r w:rsidR="00B71DFB">
        <w:rPr>
          <w:rFonts w:ascii="Arial" w:eastAsiaTheme="minorHAnsi" w:hAnsi="Arial" w:cs="Arial"/>
          <w:sz w:val="22"/>
          <w:szCs w:val="22"/>
          <w:lang w:val="en-GB"/>
        </w:rPr>
        <w:t xml:space="preserve"> appointed with the agreement of participating stakeholders who is specially trained </w:t>
      </w:r>
      <w:r w:rsidR="008A1B58">
        <w:rPr>
          <w:rFonts w:ascii="Arial" w:eastAsiaTheme="minorHAnsi" w:hAnsi="Arial" w:cs="Arial"/>
          <w:sz w:val="22"/>
          <w:szCs w:val="22"/>
          <w:lang w:val="en-GB"/>
        </w:rPr>
        <w:t xml:space="preserve">to assist the parties in negotiating jointly acceptable resolution </w:t>
      </w:r>
      <w:r w:rsidR="00B524CC">
        <w:rPr>
          <w:rFonts w:ascii="Arial" w:eastAsiaTheme="minorHAnsi" w:hAnsi="Arial" w:cs="Arial"/>
          <w:sz w:val="22"/>
          <w:szCs w:val="22"/>
          <w:lang w:val="en-GB"/>
        </w:rPr>
        <w:t xml:space="preserve">of issues in conflict by exploring a variety of options. </w:t>
      </w:r>
      <w:r w:rsidR="00EF292F">
        <w:rPr>
          <w:rFonts w:ascii="Arial" w:eastAsiaTheme="minorHAnsi" w:hAnsi="Arial" w:cs="Arial"/>
          <w:sz w:val="22"/>
          <w:szCs w:val="22"/>
          <w:lang w:val="en-GB"/>
        </w:rPr>
        <w:t xml:space="preserve">In the case of turnaround mediation, the mediator would preferably be skilled in both mediation techniques and </w:t>
      </w:r>
      <w:r w:rsidR="005429C3">
        <w:rPr>
          <w:rFonts w:ascii="Arial" w:eastAsiaTheme="minorHAnsi" w:hAnsi="Arial" w:cs="Arial"/>
          <w:sz w:val="22"/>
          <w:szCs w:val="22"/>
          <w:lang w:val="en-GB"/>
        </w:rPr>
        <w:t>business restructuring.</w:t>
      </w:r>
      <w:r w:rsidR="00DD54FD">
        <w:rPr>
          <w:rFonts w:ascii="Arial" w:eastAsiaTheme="minorHAnsi" w:hAnsi="Arial" w:cs="Arial"/>
          <w:sz w:val="22"/>
          <w:szCs w:val="22"/>
          <w:lang w:val="en-GB"/>
        </w:rPr>
        <w:t xml:space="preserve"> In some countries like Japan, for example, this type of out-of-court turnaround mediation is provided </w:t>
      </w:r>
      <w:r w:rsidR="00DD54FD" w:rsidRPr="00DD54FD">
        <w:rPr>
          <w:rFonts w:ascii="Arial" w:eastAsiaTheme="minorHAnsi" w:hAnsi="Arial" w:cs="Arial"/>
          <w:sz w:val="22"/>
          <w:szCs w:val="22"/>
          <w:lang w:val="en-GB"/>
        </w:rPr>
        <w:t>by a private sector institution, the Japan Association of Turnaround Professionals (“JATP”),</w:t>
      </w:r>
      <w:r w:rsidR="00303BE5">
        <w:rPr>
          <w:rStyle w:val="FootnoteReference"/>
          <w:rFonts w:ascii="Arial" w:eastAsiaTheme="minorHAnsi" w:hAnsi="Arial" w:cs="Arial"/>
          <w:sz w:val="22"/>
          <w:szCs w:val="22"/>
          <w:lang w:val="en-GB"/>
        </w:rPr>
        <w:footnoteReference w:id="20"/>
      </w:r>
      <w:r w:rsidR="00DD54FD" w:rsidRPr="00DD54FD">
        <w:rPr>
          <w:rFonts w:ascii="Arial" w:eastAsiaTheme="minorHAnsi" w:hAnsi="Arial" w:cs="Arial"/>
          <w:sz w:val="22"/>
          <w:szCs w:val="22"/>
          <w:lang w:val="en-GB"/>
        </w:rPr>
        <w:t xml:space="preserve"> which was established in 2003</w:t>
      </w:r>
      <w:r w:rsidR="003F0464">
        <w:rPr>
          <w:rFonts w:ascii="Arial" w:eastAsiaTheme="minorHAnsi" w:hAnsi="Arial" w:cs="Arial"/>
          <w:sz w:val="22"/>
          <w:szCs w:val="22"/>
          <w:lang w:val="en-GB"/>
        </w:rPr>
        <w:t xml:space="preserve">, and </w:t>
      </w:r>
      <w:r w:rsidR="00DD54FD" w:rsidRPr="00DD54FD">
        <w:rPr>
          <w:rFonts w:ascii="Arial" w:eastAsiaTheme="minorHAnsi" w:hAnsi="Arial" w:cs="Arial"/>
          <w:sz w:val="22"/>
          <w:szCs w:val="22"/>
          <w:lang w:val="en-GB"/>
        </w:rPr>
        <w:t xml:space="preserve">is both certified under the 2004 </w:t>
      </w:r>
      <w:r w:rsidR="003F0464">
        <w:rPr>
          <w:rFonts w:ascii="Arial" w:eastAsiaTheme="minorHAnsi" w:hAnsi="Arial" w:cs="Arial"/>
          <w:sz w:val="22"/>
          <w:szCs w:val="22"/>
          <w:lang w:val="en-GB"/>
        </w:rPr>
        <w:t xml:space="preserve">Japan </w:t>
      </w:r>
      <w:r w:rsidR="00DD54FD" w:rsidRPr="00DD54FD">
        <w:rPr>
          <w:rFonts w:ascii="Arial" w:eastAsiaTheme="minorHAnsi" w:hAnsi="Arial" w:cs="Arial"/>
          <w:sz w:val="22"/>
          <w:szCs w:val="22"/>
          <w:lang w:val="en-GB"/>
        </w:rPr>
        <w:t>Act on Promotion of Use of Alternative Dispute Resolution</w:t>
      </w:r>
      <w:r w:rsidR="003F0464">
        <w:rPr>
          <w:rStyle w:val="FootnoteReference"/>
          <w:rFonts w:ascii="Arial" w:eastAsiaTheme="minorHAnsi" w:hAnsi="Arial" w:cs="Arial"/>
          <w:sz w:val="22"/>
          <w:szCs w:val="22"/>
          <w:lang w:val="en-GB"/>
        </w:rPr>
        <w:footnoteReference w:id="21"/>
      </w:r>
      <w:r w:rsidR="00DD54FD" w:rsidRPr="00DD54FD">
        <w:rPr>
          <w:rFonts w:ascii="Arial" w:eastAsiaTheme="minorHAnsi" w:hAnsi="Arial" w:cs="Arial"/>
          <w:sz w:val="22"/>
          <w:szCs w:val="22"/>
          <w:lang w:val="en-GB"/>
        </w:rPr>
        <w:t xml:space="preserve"> and certified </w:t>
      </w:r>
      <w:r w:rsidR="00B51DD4">
        <w:rPr>
          <w:rFonts w:ascii="Arial" w:eastAsiaTheme="minorHAnsi" w:hAnsi="Arial" w:cs="Arial"/>
          <w:sz w:val="22"/>
          <w:szCs w:val="22"/>
          <w:lang w:val="en-GB"/>
        </w:rPr>
        <w:t xml:space="preserve">as a </w:t>
      </w:r>
      <w:r w:rsidR="00DD54FD" w:rsidRPr="00DD54FD">
        <w:rPr>
          <w:rFonts w:ascii="Arial" w:eastAsiaTheme="minorHAnsi" w:hAnsi="Arial" w:cs="Arial"/>
          <w:sz w:val="22"/>
          <w:szCs w:val="22"/>
          <w:lang w:val="en-GB"/>
        </w:rPr>
        <w:t>dispute resolution business operator under the Industrial Competitiveness Enhancement Act</w:t>
      </w:r>
      <w:r w:rsidR="00CF7C91">
        <w:rPr>
          <w:rStyle w:val="FootnoteReference"/>
          <w:rFonts w:ascii="Arial" w:eastAsiaTheme="minorHAnsi" w:hAnsi="Arial" w:cs="Arial"/>
          <w:sz w:val="22"/>
          <w:szCs w:val="22"/>
          <w:lang w:val="en-GB"/>
        </w:rPr>
        <w:footnoteReference w:id="22"/>
      </w:r>
      <w:r w:rsidR="00DD54FD" w:rsidRPr="00DD54FD">
        <w:rPr>
          <w:rFonts w:ascii="Arial" w:eastAsiaTheme="minorHAnsi" w:hAnsi="Arial" w:cs="Arial"/>
          <w:sz w:val="22"/>
          <w:szCs w:val="22"/>
          <w:lang w:val="en-GB"/>
        </w:rPr>
        <w:t xml:space="preserve"> to manage the Turnaround ADR procedure. </w:t>
      </w:r>
    </w:p>
    <w:p w14:paraId="68DA5406" w14:textId="2E6EF8B4" w:rsidR="00FD7213" w:rsidRPr="00CF3449" w:rsidRDefault="00FD7213" w:rsidP="00FD7213">
      <w:pPr>
        <w:pStyle w:val="paragraph"/>
        <w:spacing w:before="0" w:beforeAutospacing="0" w:after="0" w:afterAutospacing="0"/>
        <w:ind w:right="150"/>
        <w:jc w:val="both"/>
        <w:textAlignment w:val="baseline"/>
        <w:rPr>
          <w:rFonts w:ascii="Arial" w:hAnsi="Arial" w:cs="Arial"/>
          <w:iCs/>
          <w:sz w:val="22"/>
          <w:szCs w:val="22"/>
        </w:rPr>
      </w:pPr>
    </w:p>
    <w:p w14:paraId="2EA3F4E7" w14:textId="77777777" w:rsidR="00DA2645" w:rsidRPr="00FD7213" w:rsidRDefault="00DA2645" w:rsidP="00F85D91">
      <w:pPr>
        <w:rPr>
          <w:rFonts w:ascii="Arial" w:hAnsi="Arial" w:cs="Arial"/>
          <w:iCs/>
        </w:rPr>
      </w:pPr>
    </w:p>
    <w:p w14:paraId="43D56AC2" w14:textId="6D123C3F" w:rsidR="00D5292E" w:rsidRDefault="00DA2645" w:rsidP="009E44D7">
      <w:pPr>
        <w:pStyle w:val="ListParagraph"/>
        <w:numPr>
          <w:ilvl w:val="0"/>
          <w:numId w:val="1"/>
        </w:numPr>
        <w:rPr>
          <w:rFonts w:ascii="Arial" w:hAnsi="Arial" w:cs="Arial"/>
          <w:b/>
          <w:bCs/>
          <w:iCs/>
        </w:rPr>
      </w:pPr>
      <w:r w:rsidRPr="00DA2645">
        <w:rPr>
          <w:rFonts w:ascii="Arial" w:hAnsi="Arial" w:cs="Arial"/>
          <w:b/>
          <w:bCs/>
          <w:iCs/>
        </w:rPr>
        <w:t>Explain in detail the essence and result of the restructuring agreement as signed on the 4th of July 2015</w:t>
      </w:r>
      <w:r>
        <w:rPr>
          <w:rFonts w:ascii="Arial" w:hAnsi="Arial" w:cs="Arial"/>
          <w:b/>
          <w:bCs/>
          <w:iCs/>
        </w:rPr>
        <w:t>.</w:t>
      </w:r>
    </w:p>
    <w:p w14:paraId="34F4AE78" w14:textId="177E9D23" w:rsidR="00184738" w:rsidRPr="00184738" w:rsidRDefault="00CC0B02" w:rsidP="00184738">
      <w:pPr>
        <w:jc w:val="both"/>
        <w:rPr>
          <w:rFonts w:ascii="Arial" w:hAnsi="Arial" w:cs="Arial"/>
        </w:rPr>
      </w:pPr>
      <w:r>
        <w:rPr>
          <w:rFonts w:ascii="Arial" w:hAnsi="Arial" w:cs="Arial"/>
        </w:rPr>
        <w:t>B</w:t>
      </w:r>
      <w:r w:rsidR="00184738" w:rsidRPr="00184738">
        <w:rPr>
          <w:rFonts w:ascii="Arial" w:hAnsi="Arial" w:cs="Arial"/>
        </w:rPr>
        <w:t xml:space="preserve">ased on the </w:t>
      </w:r>
      <w:r w:rsidR="00633544">
        <w:rPr>
          <w:rFonts w:ascii="Arial" w:hAnsi="Arial" w:cs="Arial"/>
        </w:rPr>
        <w:t>facts</w:t>
      </w:r>
      <w:r w:rsidR="00184738" w:rsidRPr="00184738">
        <w:rPr>
          <w:rFonts w:ascii="Arial" w:hAnsi="Arial" w:cs="Arial"/>
        </w:rPr>
        <w:t xml:space="preserve"> provided in the case study, </w:t>
      </w:r>
      <w:r w:rsidR="0032316F">
        <w:rPr>
          <w:rFonts w:ascii="Arial" w:hAnsi="Arial" w:cs="Arial"/>
        </w:rPr>
        <w:t xml:space="preserve">the </w:t>
      </w:r>
      <w:r w:rsidR="00623F8B">
        <w:rPr>
          <w:rFonts w:ascii="Arial" w:hAnsi="Arial" w:cs="Arial"/>
        </w:rPr>
        <w:t>Restructuring agreement signed on 4 July 2015</w:t>
      </w:r>
      <w:r w:rsidR="00184738" w:rsidRPr="00184738">
        <w:rPr>
          <w:rFonts w:ascii="Arial" w:hAnsi="Arial" w:cs="Arial"/>
        </w:rPr>
        <w:t xml:space="preserve"> seems </w:t>
      </w:r>
      <w:r w:rsidR="0032316F">
        <w:rPr>
          <w:rFonts w:ascii="Arial" w:hAnsi="Arial" w:cs="Arial"/>
        </w:rPr>
        <w:t>to include</w:t>
      </w:r>
      <w:r w:rsidR="00184738" w:rsidRPr="00184738">
        <w:rPr>
          <w:rFonts w:ascii="Arial" w:hAnsi="Arial" w:cs="Arial"/>
        </w:rPr>
        <w:t xml:space="preserve"> purely financial restructuring</w:t>
      </w:r>
      <w:r w:rsidR="00156FFF">
        <w:rPr>
          <w:rFonts w:ascii="Arial" w:hAnsi="Arial" w:cs="Arial"/>
        </w:rPr>
        <w:t xml:space="preserve"> </w:t>
      </w:r>
      <w:r w:rsidR="00633544">
        <w:rPr>
          <w:rFonts w:ascii="Arial" w:hAnsi="Arial" w:cs="Arial"/>
        </w:rPr>
        <w:t>terms</w:t>
      </w:r>
      <w:r w:rsidR="00184738" w:rsidRPr="00184738">
        <w:rPr>
          <w:rFonts w:ascii="Arial" w:hAnsi="Arial" w:cs="Arial"/>
        </w:rPr>
        <w:t>, where the main drivers were minimizing loss of value and maximizing recovery.  It is unclear that there was any focus on the viability of the operations in the long term</w:t>
      </w:r>
      <w:r w:rsidR="00A95BCF">
        <w:rPr>
          <w:rFonts w:ascii="Arial" w:hAnsi="Arial" w:cs="Arial"/>
        </w:rPr>
        <w:t xml:space="preserve">, which is a key differentiator </w:t>
      </w:r>
      <w:r w:rsidR="009830E8">
        <w:rPr>
          <w:rFonts w:ascii="Arial" w:hAnsi="Arial" w:cs="Arial"/>
        </w:rPr>
        <w:t xml:space="preserve">of success between recovery and non-recovery firms as described in the </w:t>
      </w:r>
      <w:r w:rsidR="004F3CE1" w:rsidRPr="004F3CE1">
        <w:rPr>
          <w:rFonts w:ascii="Arial" w:hAnsi="Arial" w:cs="Arial"/>
        </w:rPr>
        <w:t>Sudarsanam &amp; Lai 2001</w:t>
      </w:r>
      <w:r w:rsidR="004F3CE1">
        <w:rPr>
          <w:rFonts w:ascii="Arial" w:hAnsi="Arial" w:cs="Arial"/>
        </w:rPr>
        <w:t xml:space="preserve"> paper.</w:t>
      </w:r>
      <w:r w:rsidR="00184738" w:rsidRPr="00184738">
        <w:rPr>
          <w:rFonts w:ascii="Arial" w:hAnsi="Arial" w:cs="Arial"/>
        </w:rPr>
        <w:t> </w:t>
      </w:r>
    </w:p>
    <w:p w14:paraId="29D60A03" w14:textId="6DFA6E52" w:rsidR="00184738" w:rsidRPr="00184738" w:rsidRDefault="009778A3" w:rsidP="00184738">
      <w:pPr>
        <w:jc w:val="both"/>
        <w:rPr>
          <w:rFonts w:ascii="Arial" w:hAnsi="Arial" w:cs="Arial"/>
        </w:rPr>
      </w:pPr>
      <w:r>
        <w:rPr>
          <w:rFonts w:ascii="Arial" w:hAnsi="Arial" w:cs="Arial"/>
        </w:rPr>
        <w:lastRenderedPageBreak/>
        <w:t xml:space="preserve">We lack </w:t>
      </w:r>
      <w:r w:rsidR="00184738" w:rsidRPr="00184738">
        <w:rPr>
          <w:rFonts w:ascii="Arial" w:hAnsi="Arial" w:cs="Arial"/>
        </w:rPr>
        <w:t xml:space="preserve">enough information about some aspects that would typically be directly relevant to the viability of the </w:t>
      </w:r>
      <w:r w:rsidR="00F255C1">
        <w:rPr>
          <w:rFonts w:ascii="Arial" w:hAnsi="Arial" w:cs="Arial"/>
        </w:rPr>
        <w:t>Company in the long run</w:t>
      </w:r>
      <w:r w:rsidR="00184738" w:rsidRPr="00184738">
        <w:rPr>
          <w:rFonts w:ascii="Arial" w:hAnsi="Arial" w:cs="Arial"/>
        </w:rPr>
        <w:t xml:space="preserve"> and the prospects of recovery of the various classes of lenders.  For example: </w:t>
      </w:r>
    </w:p>
    <w:p w14:paraId="134AD575" w14:textId="25781060" w:rsidR="00184738" w:rsidRPr="00184738" w:rsidRDefault="00184738" w:rsidP="00184738">
      <w:pPr>
        <w:numPr>
          <w:ilvl w:val="0"/>
          <w:numId w:val="42"/>
        </w:numPr>
        <w:jc w:val="both"/>
        <w:rPr>
          <w:rFonts w:ascii="Arial" w:hAnsi="Arial" w:cs="Arial"/>
        </w:rPr>
      </w:pPr>
      <w:r w:rsidRPr="00184738">
        <w:rPr>
          <w:rFonts w:ascii="Arial" w:hAnsi="Arial" w:cs="Arial"/>
        </w:rPr>
        <w:t>There are no references as to what arrangements have been made with employees</w:t>
      </w:r>
      <w:r w:rsidR="00F255C1">
        <w:rPr>
          <w:rFonts w:ascii="Arial" w:hAnsi="Arial" w:cs="Arial"/>
        </w:rPr>
        <w:t xml:space="preserve"> (</w:t>
      </w:r>
      <w:r w:rsidR="00F15632">
        <w:rPr>
          <w:rFonts w:ascii="Arial" w:hAnsi="Arial" w:cs="Arial"/>
        </w:rPr>
        <w:t>earlier</w:t>
      </w:r>
      <w:r w:rsidR="00380BDA">
        <w:rPr>
          <w:rFonts w:ascii="Arial" w:hAnsi="Arial" w:cs="Arial"/>
        </w:rPr>
        <w:t xml:space="preserve"> in the workout process, the Company </w:t>
      </w:r>
      <w:r w:rsidR="00F84A1F">
        <w:rPr>
          <w:rFonts w:ascii="Arial" w:hAnsi="Arial" w:cs="Arial"/>
        </w:rPr>
        <w:t xml:space="preserve">envisages spending cuts through making </w:t>
      </w:r>
      <w:r w:rsidR="00176604">
        <w:rPr>
          <w:rFonts w:ascii="Arial" w:hAnsi="Arial" w:cs="Arial"/>
        </w:rPr>
        <w:t>130 staff members redundant</w:t>
      </w:r>
      <w:r w:rsidR="006B3DAE">
        <w:rPr>
          <w:rFonts w:ascii="Arial" w:hAnsi="Arial" w:cs="Arial"/>
        </w:rPr>
        <w:t xml:space="preserve"> </w:t>
      </w:r>
      <w:r w:rsidR="00B4469A">
        <w:rPr>
          <w:rFonts w:ascii="Arial" w:hAnsi="Arial" w:cs="Arial"/>
        </w:rPr>
        <w:t>and e</w:t>
      </w:r>
      <w:r w:rsidR="00B4469A" w:rsidRPr="00B4469A">
        <w:rPr>
          <w:rFonts w:ascii="Arial" w:hAnsi="Arial" w:cs="Arial"/>
        </w:rPr>
        <w:t>mployees are often an important stakeholder group</w:t>
      </w:r>
      <w:r w:rsidR="006B3DAE">
        <w:rPr>
          <w:rFonts w:ascii="Arial" w:hAnsi="Arial" w:cs="Arial"/>
        </w:rPr>
        <w:t xml:space="preserve"> </w:t>
      </w:r>
      <w:r w:rsidR="00B4469A">
        <w:rPr>
          <w:rFonts w:ascii="Arial" w:hAnsi="Arial" w:cs="Arial"/>
        </w:rPr>
        <w:t>in a restructuring)</w:t>
      </w:r>
      <w:r w:rsidR="002E5C6F">
        <w:rPr>
          <w:rFonts w:ascii="Arial" w:hAnsi="Arial" w:cs="Arial"/>
        </w:rPr>
        <w:t>.</w:t>
      </w:r>
    </w:p>
    <w:p w14:paraId="38EB9E1B" w14:textId="571F768E" w:rsidR="00184738" w:rsidRPr="00184738" w:rsidRDefault="00184738" w:rsidP="00184738">
      <w:pPr>
        <w:numPr>
          <w:ilvl w:val="0"/>
          <w:numId w:val="42"/>
        </w:numPr>
        <w:jc w:val="both"/>
        <w:rPr>
          <w:rFonts w:ascii="Arial" w:hAnsi="Arial" w:cs="Arial"/>
        </w:rPr>
      </w:pPr>
      <w:r w:rsidRPr="00184738">
        <w:rPr>
          <w:rFonts w:ascii="Arial" w:hAnsi="Arial" w:cs="Arial"/>
        </w:rPr>
        <w:t xml:space="preserve">We do not have visibility as to the main drivers of cost for the operations of Flow Management, </w:t>
      </w:r>
      <w:r w:rsidR="007479CB">
        <w:rPr>
          <w:rFonts w:ascii="Arial" w:hAnsi="Arial" w:cs="Arial"/>
        </w:rPr>
        <w:t>and</w:t>
      </w:r>
      <w:r w:rsidRPr="00184738">
        <w:rPr>
          <w:rFonts w:ascii="Arial" w:hAnsi="Arial" w:cs="Arial"/>
        </w:rPr>
        <w:t xml:space="preserve"> there are no references in the terms of the </w:t>
      </w:r>
      <w:r w:rsidR="007479CB">
        <w:rPr>
          <w:rFonts w:ascii="Arial" w:hAnsi="Arial" w:cs="Arial"/>
        </w:rPr>
        <w:t>R</w:t>
      </w:r>
      <w:r w:rsidRPr="00184738">
        <w:rPr>
          <w:rFonts w:ascii="Arial" w:hAnsi="Arial" w:cs="Arial"/>
        </w:rPr>
        <w:t xml:space="preserve">estructuring </w:t>
      </w:r>
      <w:r w:rsidR="007479CB">
        <w:rPr>
          <w:rFonts w:ascii="Arial" w:hAnsi="Arial" w:cs="Arial"/>
        </w:rPr>
        <w:t xml:space="preserve">agreement </w:t>
      </w:r>
      <w:r w:rsidRPr="00184738">
        <w:rPr>
          <w:rFonts w:ascii="Arial" w:hAnsi="Arial" w:cs="Arial"/>
        </w:rPr>
        <w:t>to personnel reduction, or to other measures to increase efficiency, for example, selling or shutting down ancillary operations that do not support the core business</w:t>
      </w:r>
      <w:r w:rsidR="00C240E9">
        <w:rPr>
          <w:rFonts w:ascii="Arial" w:hAnsi="Arial" w:cs="Arial"/>
        </w:rPr>
        <w:t xml:space="preserve"> (such as, for example, the real estate line of business)</w:t>
      </w:r>
      <w:r w:rsidRPr="00184738">
        <w:rPr>
          <w:rFonts w:ascii="Arial" w:hAnsi="Arial" w:cs="Arial"/>
        </w:rPr>
        <w:t>. </w:t>
      </w:r>
    </w:p>
    <w:p w14:paraId="421D38EA" w14:textId="146CEABF" w:rsidR="00184738" w:rsidRPr="00184738" w:rsidRDefault="00184738" w:rsidP="00184738">
      <w:pPr>
        <w:numPr>
          <w:ilvl w:val="0"/>
          <w:numId w:val="42"/>
        </w:numPr>
        <w:jc w:val="both"/>
        <w:rPr>
          <w:rFonts w:ascii="Arial" w:hAnsi="Arial" w:cs="Arial"/>
        </w:rPr>
      </w:pPr>
      <w:r w:rsidRPr="00184738">
        <w:rPr>
          <w:rFonts w:ascii="Arial" w:hAnsi="Arial" w:cs="Arial"/>
        </w:rPr>
        <w:t>It is unclear who will retain the residual value of NewCo, if any.  Will it be a directors</w:t>
      </w:r>
      <w:r w:rsidR="00D54CB7">
        <w:rPr>
          <w:rFonts w:ascii="Arial" w:hAnsi="Arial" w:cs="Arial"/>
        </w:rPr>
        <w:t>-</w:t>
      </w:r>
      <w:r w:rsidRPr="00184738">
        <w:rPr>
          <w:rFonts w:ascii="Arial" w:hAnsi="Arial" w:cs="Arial"/>
        </w:rPr>
        <w:t>and</w:t>
      </w:r>
      <w:r w:rsidR="00D54CB7">
        <w:rPr>
          <w:rFonts w:ascii="Arial" w:hAnsi="Arial" w:cs="Arial"/>
        </w:rPr>
        <w:t>-</w:t>
      </w:r>
      <w:r w:rsidRPr="00184738">
        <w:rPr>
          <w:rFonts w:ascii="Arial" w:hAnsi="Arial" w:cs="Arial"/>
        </w:rPr>
        <w:t>officers owned company, once the loans are paid off? </w:t>
      </w:r>
      <w:r w:rsidR="00BC4E5C">
        <w:rPr>
          <w:rFonts w:ascii="Arial" w:hAnsi="Arial" w:cs="Arial"/>
        </w:rPr>
        <w:t xml:space="preserve">Did </w:t>
      </w:r>
      <w:r w:rsidR="0007505D">
        <w:rPr>
          <w:rFonts w:ascii="Arial" w:hAnsi="Arial" w:cs="Arial"/>
        </w:rPr>
        <w:t>Flow Management Holding retain the equity interest of that vehicle?</w:t>
      </w:r>
    </w:p>
    <w:p w14:paraId="761D514E" w14:textId="1A3DA21C" w:rsidR="00184738" w:rsidRPr="00184738" w:rsidRDefault="00184738" w:rsidP="00184738">
      <w:pPr>
        <w:jc w:val="both"/>
        <w:rPr>
          <w:rFonts w:ascii="Arial" w:hAnsi="Arial" w:cs="Arial"/>
        </w:rPr>
      </w:pPr>
      <w:r w:rsidRPr="00184738">
        <w:rPr>
          <w:rFonts w:ascii="Arial" w:hAnsi="Arial" w:cs="Arial"/>
        </w:rPr>
        <w:t xml:space="preserve">From the terms of the </w:t>
      </w:r>
      <w:r w:rsidR="00D54CB7">
        <w:rPr>
          <w:rFonts w:ascii="Arial" w:hAnsi="Arial" w:cs="Arial"/>
        </w:rPr>
        <w:t>R</w:t>
      </w:r>
      <w:r w:rsidRPr="00184738">
        <w:rPr>
          <w:rFonts w:ascii="Arial" w:hAnsi="Arial" w:cs="Arial"/>
        </w:rPr>
        <w:t>estructuring agreement, it can be confirmed that working capital to the group was provided in at least two stages, as follows:  </w:t>
      </w:r>
    </w:p>
    <w:p w14:paraId="5DC5178B" w14:textId="77777777" w:rsidR="00184738" w:rsidRPr="003E0721" w:rsidRDefault="00184738" w:rsidP="003E0721">
      <w:pPr>
        <w:pStyle w:val="ListParagraph"/>
        <w:numPr>
          <w:ilvl w:val="0"/>
          <w:numId w:val="40"/>
        </w:numPr>
        <w:jc w:val="both"/>
        <w:rPr>
          <w:rFonts w:ascii="Arial" w:hAnsi="Arial" w:cs="Arial"/>
          <w:b/>
          <w:bCs/>
        </w:rPr>
      </w:pPr>
      <w:r w:rsidRPr="003E0721">
        <w:rPr>
          <w:rFonts w:ascii="Arial" w:hAnsi="Arial" w:cs="Arial"/>
        </w:rPr>
        <w:t>original working capital financing in the amount of $346 MM provided to Flow Management Work BV by the consortium of banks (A, B, C, and D); and </w:t>
      </w:r>
      <w:r w:rsidRPr="003E0721">
        <w:rPr>
          <w:rFonts w:ascii="Arial" w:hAnsi="Arial" w:cs="Arial"/>
          <w:b/>
          <w:bCs/>
        </w:rPr>
        <w:t> </w:t>
      </w:r>
    </w:p>
    <w:p w14:paraId="6D251339" w14:textId="42C991F7" w:rsidR="00184738" w:rsidRPr="003E0721" w:rsidRDefault="00184738" w:rsidP="003E0721">
      <w:pPr>
        <w:pStyle w:val="ListParagraph"/>
        <w:numPr>
          <w:ilvl w:val="0"/>
          <w:numId w:val="40"/>
        </w:numPr>
        <w:jc w:val="both"/>
        <w:rPr>
          <w:rFonts w:ascii="Arial" w:hAnsi="Arial" w:cs="Arial"/>
          <w:b/>
          <w:bCs/>
        </w:rPr>
      </w:pPr>
      <w:r w:rsidRPr="003E0721">
        <w:rPr>
          <w:rFonts w:ascii="Arial" w:hAnsi="Arial" w:cs="Arial"/>
        </w:rPr>
        <w:t>additional working capital financing provided by banks C &amp; D to Flow Management</w:t>
      </w:r>
      <w:r w:rsidR="00CA6573">
        <w:rPr>
          <w:rFonts w:ascii="Arial" w:hAnsi="Arial" w:cs="Arial"/>
        </w:rPr>
        <w:t xml:space="preserve"> </w:t>
      </w:r>
      <w:r w:rsidRPr="003E0721">
        <w:rPr>
          <w:rFonts w:ascii="Arial" w:hAnsi="Arial" w:cs="Arial"/>
        </w:rPr>
        <w:t>Work BV ($55 MM).</w:t>
      </w:r>
      <w:r w:rsidRPr="003E0721">
        <w:rPr>
          <w:rFonts w:ascii="Arial" w:hAnsi="Arial" w:cs="Arial"/>
          <w:b/>
          <w:bCs/>
        </w:rPr>
        <w:t> </w:t>
      </w:r>
    </w:p>
    <w:p w14:paraId="425F68D8" w14:textId="6D8788B5" w:rsidR="00184738" w:rsidRPr="00184738" w:rsidRDefault="00184738" w:rsidP="00184738">
      <w:pPr>
        <w:jc w:val="both"/>
        <w:rPr>
          <w:rFonts w:ascii="Arial" w:hAnsi="Arial" w:cs="Arial"/>
        </w:rPr>
      </w:pPr>
      <w:r w:rsidRPr="00184738">
        <w:rPr>
          <w:rFonts w:ascii="Arial" w:hAnsi="Arial" w:cs="Arial"/>
        </w:rPr>
        <w:t xml:space="preserve">Six months before the restructuring is finally signed, a payment of $25 MM to the providers of the additional working capital is made.  Presumably, this was a payment to banks C &amp; D for their $55 MM financing to Flow Management Work BV.  The remainder of that debt, </w:t>
      </w:r>
      <w:r w:rsidR="00CA6573" w:rsidRPr="00184738">
        <w:rPr>
          <w:rFonts w:ascii="Arial" w:hAnsi="Arial" w:cs="Arial"/>
        </w:rPr>
        <w:t>appro</w:t>
      </w:r>
      <w:r w:rsidR="00CA6573">
        <w:rPr>
          <w:rFonts w:ascii="Arial" w:hAnsi="Arial" w:cs="Arial"/>
        </w:rPr>
        <w:t>ximately</w:t>
      </w:r>
      <w:r w:rsidRPr="00184738">
        <w:rPr>
          <w:rFonts w:ascii="Arial" w:hAnsi="Arial" w:cs="Arial"/>
        </w:rPr>
        <w:t xml:space="preserve"> $32.5 MM -which likely included interests and other charges- is ultimately cancelled as part of the restructuring.  </w:t>
      </w:r>
    </w:p>
    <w:p w14:paraId="6145F91D" w14:textId="75F1BA4A" w:rsidR="00184738" w:rsidRPr="00184738" w:rsidRDefault="00184738" w:rsidP="00184738">
      <w:pPr>
        <w:jc w:val="both"/>
        <w:rPr>
          <w:rFonts w:ascii="Arial" w:hAnsi="Arial" w:cs="Arial"/>
        </w:rPr>
      </w:pPr>
      <w:r w:rsidRPr="00184738">
        <w:rPr>
          <w:rFonts w:ascii="Arial" w:hAnsi="Arial" w:cs="Arial"/>
        </w:rPr>
        <w:t xml:space="preserve">All </w:t>
      </w:r>
      <w:r w:rsidR="006410BE">
        <w:rPr>
          <w:rFonts w:ascii="Arial" w:hAnsi="Arial" w:cs="Arial"/>
        </w:rPr>
        <w:t xml:space="preserve">operating companies of Flow Management </w:t>
      </w:r>
      <w:r w:rsidRPr="00184738">
        <w:rPr>
          <w:rFonts w:ascii="Arial" w:hAnsi="Arial" w:cs="Arial"/>
        </w:rPr>
        <w:t>are placed under a new holding and the shares of that holding are all “transferred” to the consortium of banks.  While the terms of such transfer are not included in the case study, given that a $240 MM claim against Flow Management</w:t>
      </w:r>
      <w:r w:rsidR="004F16C1">
        <w:rPr>
          <w:rFonts w:ascii="Arial" w:hAnsi="Arial" w:cs="Arial"/>
        </w:rPr>
        <w:t xml:space="preserve"> </w:t>
      </w:r>
      <w:r w:rsidRPr="00184738">
        <w:rPr>
          <w:rFonts w:ascii="Arial" w:hAnsi="Arial" w:cs="Arial"/>
        </w:rPr>
        <w:t xml:space="preserve">Work survives, it can be inferred that shares have been transferred as a fiduciary transfer or some other form of security arrangement, rather than a pure debt </w:t>
      </w:r>
      <w:r w:rsidR="004F16C1">
        <w:rPr>
          <w:rFonts w:ascii="Arial" w:hAnsi="Arial" w:cs="Arial"/>
        </w:rPr>
        <w:t xml:space="preserve">to equity </w:t>
      </w:r>
      <w:r w:rsidRPr="00184738">
        <w:rPr>
          <w:rFonts w:ascii="Arial" w:hAnsi="Arial" w:cs="Arial"/>
        </w:rPr>
        <w:t>swap.      </w:t>
      </w:r>
    </w:p>
    <w:p w14:paraId="5472B4C9" w14:textId="0CBE76BE" w:rsidR="00184738" w:rsidRPr="00184738" w:rsidRDefault="00184738" w:rsidP="00184738">
      <w:pPr>
        <w:jc w:val="both"/>
        <w:rPr>
          <w:rFonts w:ascii="Arial" w:hAnsi="Arial" w:cs="Arial"/>
        </w:rPr>
      </w:pPr>
      <w:r w:rsidRPr="00184738">
        <w:rPr>
          <w:rFonts w:ascii="Arial" w:hAnsi="Arial" w:cs="Arial"/>
        </w:rPr>
        <w:t xml:space="preserve">Board members and presumably some management officers are incentivized with </w:t>
      </w:r>
      <w:r w:rsidR="00B75DFE">
        <w:rPr>
          <w:rFonts w:ascii="Arial" w:hAnsi="Arial" w:cs="Arial"/>
        </w:rPr>
        <w:t>receiving</w:t>
      </w:r>
      <w:r w:rsidRPr="00184738">
        <w:rPr>
          <w:rFonts w:ascii="Arial" w:hAnsi="Arial" w:cs="Arial"/>
        </w:rPr>
        <w:t xml:space="preserve"> shares</w:t>
      </w:r>
      <w:r w:rsidR="00B75DFE">
        <w:rPr>
          <w:rFonts w:ascii="Arial" w:hAnsi="Arial" w:cs="Arial"/>
        </w:rPr>
        <w:t xml:space="preserve"> in </w:t>
      </w:r>
      <w:r w:rsidR="00670639">
        <w:rPr>
          <w:rFonts w:ascii="Arial" w:hAnsi="Arial" w:cs="Arial"/>
        </w:rPr>
        <w:t>Flow Management II</w:t>
      </w:r>
      <w:r w:rsidRPr="00184738">
        <w:rPr>
          <w:rFonts w:ascii="Arial" w:hAnsi="Arial" w:cs="Arial"/>
        </w:rPr>
        <w:t>, as well. </w:t>
      </w:r>
    </w:p>
    <w:p w14:paraId="4F8E6866" w14:textId="5E91A10D" w:rsidR="00184738" w:rsidRDefault="00184738" w:rsidP="00184738">
      <w:pPr>
        <w:jc w:val="both"/>
        <w:rPr>
          <w:rFonts w:ascii="Arial" w:hAnsi="Arial" w:cs="Arial"/>
        </w:rPr>
      </w:pPr>
      <w:r w:rsidRPr="00184738">
        <w:rPr>
          <w:rFonts w:ascii="Arial" w:hAnsi="Arial" w:cs="Arial"/>
        </w:rPr>
        <w:t xml:space="preserve">The equity interests of original shareholders </w:t>
      </w:r>
      <w:r w:rsidR="00670639" w:rsidRPr="00184738">
        <w:rPr>
          <w:rFonts w:ascii="Arial" w:hAnsi="Arial" w:cs="Arial"/>
        </w:rPr>
        <w:t>appear</w:t>
      </w:r>
      <w:r w:rsidRPr="00184738">
        <w:rPr>
          <w:rFonts w:ascii="Arial" w:hAnsi="Arial" w:cs="Arial"/>
        </w:rPr>
        <w:t xml:space="preserve"> to have been completely eviscerated, as well as any financing that the </w:t>
      </w:r>
      <w:r w:rsidR="00967E25">
        <w:rPr>
          <w:rFonts w:ascii="Arial" w:hAnsi="Arial" w:cs="Arial"/>
        </w:rPr>
        <w:t>holding company</w:t>
      </w:r>
      <w:r w:rsidRPr="00184738">
        <w:rPr>
          <w:rFonts w:ascii="Arial" w:hAnsi="Arial" w:cs="Arial"/>
        </w:rPr>
        <w:t xml:space="preserve"> may have provided over time to the </w:t>
      </w:r>
      <w:r w:rsidR="00967E25">
        <w:rPr>
          <w:rFonts w:ascii="Arial" w:hAnsi="Arial" w:cs="Arial"/>
        </w:rPr>
        <w:t>operating companies.</w:t>
      </w:r>
      <w:r w:rsidRPr="00184738">
        <w:rPr>
          <w:rFonts w:ascii="Arial" w:hAnsi="Arial" w:cs="Arial"/>
        </w:rPr>
        <w:t xml:space="preserve">  This does leave the question open as to who owns any residual interest in </w:t>
      </w:r>
      <w:r w:rsidR="00EB5BC9">
        <w:rPr>
          <w:rFonts w:ascii="Arial" w:hAnsi="Arial" w:cs="Arial"/>
        </w:rPr>
        <w:t>Flow Management II</w:t>
      </w:r>
      <w:r w:rsidRPr="00184738">
        <w:rPr>
          <w:rFonts w:ascii="Arial" w:hAnsi="Arial" w:cs="Arial"/>
        </w:rPr>
        <w:t>.   </w:t>
      </w:r>
    </w:p>
    <w:p w14:paraId="7AEA9CF0" w14:textId="10137DD5" w:rsidR="005A5648" w:rsidRDefault="005A5648" w:rsidP="005A5648">
      <w:pPr>
        <w:pStyle w:val="paragraph"/>
        <w:spacing w:before="0" w:beforeAutospacing="0" w:after="0" w:afterAutospacing="0"/>
        <w:ind w:right="150"/>
        <w:jc w:val="both"/>
        <w:textAlignment w:val="baseline"/>
        <w:rPr>
          <w:rFonts w:ascii="Arial" w:eastAsiaTheme="minorHAnsi" w:hAnsi="Arial" w:cs="Arial"/>
          <w:sz w:val="22"/>
          <w:szCs w:val="22"/>
          <w:lang w:val="en-GB"/>
        </w:rPr>
      </w:pPr>
      <w:r w:rsidRPr="006A1061">
        <w:rPr>
          <w:rFonts w:ascii="Arial" w:eastAsiaTheme="minorHAnsi" w:hAnsi="Arial" w:cs="Arial"/>
          <w:sz w:val="22"/>
          <w:szCs w:val="22"/>
          <w:lang w:val="en-GB"/>
        </w:rPr>
        <w:t xml:space="preserve">If there is value left in the going concern, having transferred it to a </w:t>
      </w:r>
      <w:r w:rsidR="00EB5BC9">
        <w:rPr>
          <w:rFonts w:ascii="Arial" w:eastAsiaTheme="minorHAnsi" w:hAnsi="Arial" w:cs="Arial"/>
          <w:sz w:val="22"/>
          <w:szCs w:val="22"/>
          <w:lang w:val="en-GB"/>
        </w:rPr>
        <w:t xml:space="preserve">Flow Management II </w:t>
      </w:r>
      <w:r w:rsidRPr="006A1061">
        <w:rPr>
          <w:rFonts w:ascii="Arial" w:eastAsiaTheme="minorHAnsi" w:hAnsi="Arial" w:cs="Arial"/>
          <w:sz w:val="22"/>
          <w:szCs w:val="22"/>
          <w:lang w:val="en-GB"/>
        </w:rPr>
        <w:t xml:space="preserve">without any surviving claims might improve the prospects of a sale but the amount of leverage at the </w:t>
      </w:r>
      <w:r w:rsidRPr="006A1061">
        <w:rPr>
          <w:rFonts w:ascii="Arial" w:eastAsiaTheme="minorHAnsi" w:hAnsi="Arial" w:cs="Arial"/>
          <w:sz w:val="22"/>
          <w:szCs w:val="22"/>
          <w:lang w:val="en-GB"/>
        </w:rPr>
        <w:lastRenderedPageBreak/>
        <w:t>OpCo level is still so significant that any successful sale may involve even deeper haircuts or debt swaps. </w:t>
      </w:r>
    </w:p>
    <w:p w14:paraId="76BF2C21" w14:textId="77777777" w:rsidR="005A5648" w:rsidRDefault="005A5648" w:rsidP="005A5648">
      <w:pPr>
        <w:pStyle w:val="paragraph"/>
        <w:spacing w:before="0" w:beforeAutospacing="0" w:after="0" w:afterAutospacing="0"/>
        <w:ind w:right="150"/>
        <w:jc w:val="both"/>
        <w:textAlignment w:val="baseline"/>
        <w:rPr>
          <w:rFonts w:ascii="Arial" w:eastAsiaTheme="minorHAnsi" w:hAnsi="Arial" w:cs="Arial"/>
          <w:sz w:val="22"/>
          <w:szCs w:val="22"/>
          <w:lang w:val="en-GB"/>
        </w:rPr>
      </w:pPr>
    </w:p>
    <w:p w14:paraId="7C564C11" w14:textId="24718E7B" w:rsidR="005A5648" w:rsidRPr="005A5648" w:rsidRDefault="008B668F" w:rsidP="005A5648">
      <w:pPr>
        <w:pStyle w:val="ListParagraph"/>
        <w:numPr>
          <w:ilvl w:val="0"/>
          <w:numId w:val="1"/>
        </w:numPr>
        <w:rPr>
          <w:rFonts w:ascii="Arial" w:hAnsi="Arial" w:cs="Arial"/>
          <w:b/>
          <w:bCs/>
          <w:iCs/>
        </w:rPr>
      </w:pPr>
      <w:r w:rsidRPr="008B668F">
        <w:rPr>
          <w:rFonts w:ascii="Arial" w:hAnsi="Arial" w:cs="Arial"/>
          <w:b/>
          <w:bCs/>
          <w:iCs/>
        </w:rPr>
        <w:t>Which (potential) legal and/or non-legal cross-border issues – if any – do you recognize in the Flow Management restructuring process?</w:t>
      </w:r>
    </w:p>
    <w:p w14:paraId="4D48C910" w14:textId="2EFF6B1D" w:rsidR="005A5648" w:rsidRDefault="00586723" w:rsidP="005A5648">
      <w:pPr>
        <w:pStyle w:val="paragraph"/>
        <w:spacing w:before="0" w:beforeAutospacing="0" w:after="0" w:afterAutospacing="0"/>
        <w:ind w:right="150"/>
        <w:jc w:val="both"/>
        <w:textAlignment w:val="baseline"/>
        <w:rPr>
          <w:rFonts w:ascii="Arial" w:eastAsiaTheme="minorHAnsi" w:hAnsi="Arial" w:cs="Arial"/>
          <w:sz w:val="22"/>
          <w:szCs w:val="22"/>
        </w:rPr>
      </w:pPr>
      <w:r>
        <w:rPr>
          <w:rFonts w:ascii="Arial" w:eastAsiaTheme="minorHAnsi" w:hAnsi="Arial" w:cs="Arial"/>
          <w:sz w:val="22"/>
          <w:szCs w:val="22"/>
        </w:rPr>
        <w:t xml:space="preserve">Given that the </w:t>
      </w:r>
      <w:r w:rsidR="00FD478D">
        <w:rPr>
          <w:rFonts w:ascii="Arial" w:eastAsiaTheme="minorHAnsi" w:hAnsi="Arial" w:cs="Arial"/>
          <w:sz w:val="22"/>
          <w:szCs w:val="22"/>
        </w:rPr>
        <w:t xml:space="preserve">Company may meet the insolvency test (cash flow or balance sheet) </w:t>
      </w:r>
      <w:r w:rsidR="00E90A65">
        <w:rPr>
          <w:rFonts w:ascii="Arial" w:eastAsiaTheme="minorHAnsi" w:hAnsi="Arial" w:cs="Arial"/>
          <w:sz w:val="22"/>
          <w:szCs w:val="22"/>
        </w:rPr>
        <w:t xml:space="preserve">required to initiate insolvency proceedings in the jurisdiction, there is a risk that </w:t>
      </w:r>
      <w:r w:rsidR="00C85188">
        <w:rPr>
          <w:rFonts w:ascii="Arial" w:eastAsiaTheme="minorHAnsi" w:hAnsi="Arial" w:cs="Arial"/>
          <w:sz w:val="22"/>
          <w:szCs w:val="22"/>
        </w:rPr>
        <w:t xml:space="preserve">eligible creditors, not bound by the standstill agreement, may file for </w:t>
      </w:r>
      <w:r w:rsidR="001A5A85">
        <w:rPr>
          <w:rFonts w:ascii="Arial" w:eastAsiaTheme="minorHAnsi" w:hAnsi="Arial" w:cs="Arial"/>
          <w:sz w:val="22"/>
          <w:szCs w:val="22"/>
        </w:rPr>
        <w:t xml:space="preserve">insolvency </w:t>
      </w:r>
      <w:r w:rsidR="002D345B">
        <w:rPr>
          <w:rFonts w:ascii="Arial" w:eastAsiaTheme="minorHAnsi" w:hAnsi="Arial" w:cs="Arial"/>
          <w:sz w:val="22"/>
          <w:szCs w:val="22"/>
        </w:rPr>
        <w:t>and bring the process in a bankruptcy court</w:t>
      </w:r>
      <w:r w:rsidR="00E778D6">
        <w:rPr>
          <w:rFonts w:ascii="Arial" w:eastAsiaTheme="minorHAnsi" w:hAnsi="Arial" w:cs="Arial"/>
          <w:sz w:val="22"/>
          <w:szCs w:val="22"/>
        </w:rPr>
        <w:t>, thus jeopardizing any ongoing out-of-court negotiations</w:t>
      </w:r>
      <w:r w:rsidR="002D345B">
        <w:rPr>
          <w:rFonts w:ascii="Arial" w:eastAsiaTheme="minorHAnsi" w:hAnsi="Arial" w:cs="Arial"/>
          <w:sz w:val="22"/>
          <w:szCs w:val="22"/>
        </w:rPr>
        <w:t>.</w:t>
      </w:r>
      <w:r w:rsidR="009E640B">
        <w:rPr>
          <w:rFonts w:ascii="Arial" w:eastAsiaTheme="minorHAnsi" w:hAnsi="Arial" w:cs="Arial"/>
          <w:sz w:val="22"/>
          <w:szCs w:val="22"/>
        </w:rPr>
        <w:t xml:space="preserve"> Moreover, some jurisdictions insolvency laws impose a duty </w:t>
      </w:r>
      <w:r w:rsidR="00EF2DC1">
        <w:rPr>
          <w:rFonts w:ascii="Arial" w:eastAsiaTheme="minorHAnsi" w:hAnsi="Arial" w:cs="Arial"/>
          <w:sz w:val="22"/>
          <w:szCs w:val="22"/>
        </w:rPr>
        <w:t>on companies’ director</w:t>
      </w:r>
      <w:r w:rsidR="002C0861">
        <w:rPr>
          <w:rFonts w:ascii="Arial" w:eastAsiaTheme="minorHAnsi" w:hAnsi="Arial" w:cs="Arial"/>
          <w:sz w:val="22"/>
          <w:szCs w:val="22"/>
        </w:rPr>
        <w:t>s</w:t>
      </w:r>
      <w:r w:rsidR="00EF2DC1">
        <w:rPr>
          <w:rFonts w:ascii="Arial" w:eastAsiaTheme="minorHAnsi" w:hAnsi="Arial" w:cs="Arial"/>
          <w:sz w:val="22"/>
          <w:szCs w:val="22"/>
        </w:rPr>
        <w:t xml:space="preserve"> </w:t>
      </w:r>
      <w:r w:rsidR="009E640B">
        <w:rPr>
          <w:rFonts w:ascii="Arial" w:eastAsiaTheme="minorHAnsi" w:hAnsi="Arial" w:cs="Arial"/>
          <w:sz w:val="22"/>
          <w:szCs w:val="22"/>
        </w:rPr>
        <w:t xml:space="preserve">to file </w:t>
      </w:r>
      <w:r w:rsidR="00EF2DC1">
        <w:rPr>
          <w:rFonts w:ascii="Arial" w:eastAsiaTheme="minorHAnsi" w:hAnsi="Arial" w:cs="Arial"/>
          <w:sz w:val="22"/>
          <w:szCs w:val="22"/>
        </w:rPr>
        <w:t>for insolvency</w:t>
      </w:r>
      <w:r w:rsidR="00B64E2D">
        <w:rPr>
          <w:rFonts w:ascii="Arial" w:eastAsiaTheme="minorHAnsi" w:hAnsi="Arial" w:cs="Arial"/>
          <w:sz w:val="22"/>
          <w:szCs w:val="22"/>
        </w:rPr>
        <w:t xml:space="preserve"> </w:t>
      </w:r>
      <w:r w:rsidR="002C0861">
        <w:rPr>
          <w:rFonts w:ascii="Arial" w:eastAsiaTheme="minorHAnsi" w:hAnsi="Arial" w:cs="Arial"/>
          <w:sz w:val="22"/>
          <w:szCs w:val="22"/>
        </w:rPr>
        <w:t xml:space="preserve">which may </w:t>
      </w:r>
      <w:r w:rsidR="00B64E2D">
        <w:rPr>
          <w:rFonts w:ascii="Arial" w:eastAsiaTheme="minorHAnsi" w:hAnsi="Arial" w:cs="Arial"/>
          <w:sz w:val="22"/>
          <w:szCs w:val="22"/>
        </w:rPr>
        <w:t>trigge</w:t>
      </w:r>
      <w:r w:rsidR="002C0861">
        <w:rPr>
          <w:rFonts w:ascii="Arial" w:eastAsiaTheme="minorHAnsi" w:hAnsi="Arial" w:cs="Arial"/>
          <w:sz w:val="22"/>
          <w:szCs w:val="22"/>
        </w:rPr>
        <w:t>r</w:t>
      </w:r>
      <w:r w:rsidR="00B64E2D">
        <w:rPr>
          <w:rFonts w:ascii="Arial" w:eastAsiaTheme="minorHAnsi" w:hAnsi="Arial" w:cs="Arial"/>
          <w:sz w:val="22"/>
          <w:szCs w:val="22"/>
        </w:rPr>
        <w:t xml:space="preserve"> t</w:t>
      </w:r>
      <w:r w:rsidR="00B64E2D">
        <w:rPr>
          <w:rFonts w:ascii="Arial" w:eastAsiaTheme="minorHAnsi" w:hAnsi="Arial" w:cs="Arial"/>
          <w:sz w:val="22"/>
          <w:szCs w:val="22"/>
        </w:rPr>
        <w:t>he</w:t>
      </w:r>
      <w:r w:rsidR="00B64E2D" w:rsidRPr="00D02F65">
        <w:rPr>
          <w:rFonts w:ascii="Arial" w:eastAsiaTheme="minorHAnsi" w:hAnsi="Arial" w:cs="Arial"/>
          <w:sz w:val="22"/>
          <w:szCs w:val="22"/>
        </w:rPr>
        <w:t xml:space="preserve"> potential liability of directors for delaying the commencement of an insolvency proceeding and </w:t>
      </w:r>
      <w:r w:rsidR="00B64E2D">
        <w:rPr>
          <w:rFonts w:ascii="Arial" w:eastAsiaTheme="minorHAnsi" w:hAnsi="Arial" w:cs="Arial"/>
          <w:sz w:val="22"/>
          <w:szCs w:val="22"/>
        </w:rPr>
        <w:t xml:space="preserve">potentially </w:t>
      </w:r>
      <w:r w:rsidR="00B64E2D" w:rsidRPr="00D02F65">
        <w:rPr>
          <w:rFonts w:ascii="Arial" w:eastAsiaTheme="minorHAnsi" w:hAnsi="Arial" w:cs="Arial"/>
          <w:sz w:val="22"/>
          <w:szCs w:val="22"/>
        </w:rPr>
        <w:t xml:space="preserve">damaging creditor </w:t>
      </w:r>
      <w:r w:rsidR="00B64E2D" w:rsidRPr="00D02F65">
        <w:rPr>
          <w:rFonts w:ascii="Arial" w:eastAsiaTheme="minorHAnsi" w:hAnsi="Arial" w:cs="Arial"/>
          <w:sz w:val="22"/>
          <w:szCs w:val="22"/>
        </w:rPr>
        <w:t>interests.</w:t>
      </w:r>
      <w:r w:rsidR="00EF2DC1">
        <w:rPr>
          <w:rFonts w:ascii="Arial" w:eastAsiaTheme="minorHAnsi" w:hAnsi="Arial" w:cs="Arial"/>
          <w:sz w:val="22"/>
          <w:szCs w:val="22"/>
        </w:rPr>
        <w:t xml:space="preserve"> For example, a</w:t>
      </w:r>
      <w:r w:rsidR="00B104DD" w:rsidRPr="00B104DD">
        <w:rPr>
          <w:rFonts w:ascii="Arial" w:eastAsiaTheme="minorHAnsi" w:hAnsi="Arial" w:cs="Arial"/>
          <w:sz w:val="22"/>
          <w:szCs w:val="22"/>
        </w:rPr>
        <w:t>ccording to the Spanish Insolvency Law, the deadline for directors to file for insolvency is two months from when they become aware, or it is possible to become aware of the insolvency situation</w:t>
      </w:r>
      <w:r w:rsidR="00E15D5C">
        <w:rPr>
          <w:rFonts w:ascii="Arial" w:eastAsiaTheme="minorHAnsi" w:hAnsi="Arial" w:cs="Arial"/>
          <w:sz w:val="22"/>
          <w:szCs w:val="22"/>
        </w:rPr>
        <w:t>, and if they fail to</w:t>
      </w:r>
      <w:r w:rsidR="001469D6">
        <w:rPr>
          <w:rFonts w:ascii="Arial" w:eastAsiaTheme="minorHAnsi" w:hAnsi="Arial" w:cs="Arial"/>
          <w:sz w:val="22"/>
          <w:szCs w:val="22"/>
        </w:rPr>
        <w:t xml:space="preserve"> file</w:t>
      </w:r>
      <w:r w:rsidR="00B104DD" w:rsidRPr="00B104DD">
        <w:rPr>
          <w:rFonts w:ascii="Arial" w:eastAsiaTheme="minorHAnsi" w:hAnsi="Arial" w:cs="Arial"/>
          <w:sz w:val="22"/>
          <w:szCs w:val="22"/>
        </w:rPr>
        <w:t xml:space="preserve"> for insolvency within the legally </w:t>
      </w:r>
      <w:r w:rsidR="001469D6">
        <w:rPr>
          <w:rFonts w:ascii="Arial" w:eastAsiaTheme="minorHAnsi" w:hAnsi="Arial" w:cs="Arial"/>
          <w:sz w:val="22"/>
          <w:szCs w:val="22"/>
        </w:rPr>
        <w:t>required</w:t>
      </w:r>
      <w:r w:rsidR="00B104DD" w:rsidRPr="00B104DD">
        <w:rPr>
          <w:rFonts w:ascii="Arial" w:eastAsiaTheme="minorHAnsi" w:hAnsi="Arial" w:cs="Arial"/>
          <w:sz w:val="22"/>
          <w:szCs w:val="22"/>
        </w:rPr>
        <w:t xml:space="preserve"> timeframe, the debtor, </w:t>
      </w:r>
      <w:r w:rsidR="001469D6">
        <w:rPr>
          <w:rFonts w:ascii="Arial" w:eastAsiaTheme="minorHAnsi" w:hAnsi="Arial" w:cs="Arial"/>
          <w:sz w:val="22"/>
          <w:szCs w:val="22"/>
        </w:rPr>
        <w:t xml:space="preserve">or </w:t>
      </w:r>
      <w:r w:rsidR="00B104DD" w:rsidRPr="00B104DD">
        <w:rPr>
          <w:rFonts w:ascii="Arial" w:eastAsiaTheme="minorHAnsi" w:hAnsi="Arial" w:cs="Arial"/>
          <w:sz w:val="22"/>
          <w:szCs w:val="22"/>
        </w:rPr>
        <w:t>its directors may incur personal liability.</w:t>
      </w:r>
      <w:r w:rsidR="001469D6">
        <w:rPr>
          <w:rFonts w:ascii="Arial" w:eastAsiaTheme="minorHAnsi" w:hAnsi="Arial" w:cs="Arial"/>
          <w:sz w:val="22"/>
          <w:szCs w:val="22"/>
        </w:rPr>
        <w:t xml:space="preserve"> </w:t>
      </w:r>
      <w:r w:rsidR="00F44C84">
        <w:rPr>
          <w:rFonts w:ascii="Arial" w:eastAsiaTheme="minorHAnsi" w:hAnsi="Arial" w:cs="Arial"/>
          <w:sz w:val="22"/>
          <w:szCs w:val="22"/>
        </w:rPr>
        <w:t xml:space="preserve">In the Flow Management case, this may </w:t>
      </w:r>
      <w:r w:rsidR="00B9462F">
        <w:rPr>
          <w:rFonts w:ascii="Arial" w:eastAsiaTheme="minorHAnsi" w:hAnsi="Arial" w:cs="Arial"/>
          <w:sz w:val="22"/>
          <w:szCs w:val="22"/>
        </w:rPr>
        <w:t xml:space="preserve">potentially </w:t>
      </w:r>
      <w:r w:rsidR="00F44C84">
        <w:rPr>
          <w:rFonts w:ascii="Arial" w:eastAsiaTheme="minorHAnsi" w:hAnsi="Arial" w:cs="Arial"/>
          <w:sz w:val="22"/>
          <w:szCs w:val="22"/>
        </w:rPr>
        <w:t xml:space="preserve">be an issue particularly for the Spanish subsidiary, although it is not clear </w:t>
      </w:r>
      <w:r w:rsidR="006F70D4">
        <w:rPr>
          <w:rFonts w:ascii="Arial" w:eastAsiaTheme="minorHAnsi" w:hAnsi="Arial" w:cs="Arial"/>
          <w:sz w:val="22"/>
          <w:szCs w:val="22"/>
        </w:rPr>
        <w:t>from the case study</w:t>
      </w:r>
      <w:r w:rsidR="00B9462F">
        <w:rPr>
          <w:rFonts w:ascii="Arial" w:eastAsiaTheme="minorHAnsi" w:hAnsi="Arial" w:cs="Arial"/>
          <w:sz w:val="22"/>
          <w:szCs w:val="22"/>
        </w:rPr>
        <w:t>.</w:t>
      </w:r>
      <w:r w:rsidR="006F70D4">
        <w:rPr>
          <w:rFonts w:ascii="Arial" w:eastAsiaTheme="minorHAnsi" w:hAnsi="Arial" w:cs="Arial"/>
          <w:sz w:val="22"/>
          <w:szCs w:val="22"/>
        </w:rPr>
        <w:t xml:space="preserve"> </w:t>
      </w:r>
    </w:p>
    <w:p w14:paraId="1CE4533F" w14:textId="77777777" w:rsidR="00B9462F" w:rsidRDefault="00B9462F" w:rsidP="005A5648">
      <w:pPr>
        <w:pStyle w:val="paragraph"/>
        <w:spacing w:before="0" w:beforeAutospacing="0" w:after="0" w:afterAutospacing="0"/>
        <w:ind w:right="150"/>
        <w:jc w:val="both"/>
        <w:textAlignment w:val="baseline"/>
        <w:rPr>
          <w:rFonts w:ascii="Arial" w:eastAsiaTheme="minorHAnsi" w:hAnsi="Arial" w:cs="Arial"/>
          <w:sz w:val="22"/>
          <w:szCs w:val="22"/>
        </w:rPr>
      </w:pPr>
    </w:p>
    <w:p w14:paraId="689145E3" w14:textId="0B0F2EBE" w:rsidR="00B9462F" w:rsidRDefault="0050672D" w:rsidP="005A5648">
      <w:pPr>
        <w:pStyle w:val="paragraph"/>
        <w:spacing w:before="0" w:beforeAutospacing="0" w:after="0" w:afterAutospacing="0"/>
        <w:ind w:right="150"/>
        <w:jc w:val="both"/>
        <w:textAlignment w:val="baseline"/>
        <w:rPr>
          <w:rFonts w:ascii="Arial" w:eastAsiaTheme="minorHAnsi" w:hAnsi="Arial" w:cs="Arial"/>
          <w:sz w:val="22"/>
          <w:szCs w:val="22"/>
        </w:rPr>
      </w:pPr>
      <w:r>
        <w:rPr>
          <w:rFonts w:ascii="Arial" w:eastAsiaTheme="minorHAnsi" w:hAnsi="Arial" w:cs="Arial"/>
          <w:sz w:val="22"/>
          <w:szCs w:val="22"/>
        </w:rPr>
        <w:t>In addition, some of the restruc</w:t>
      </w:r>
      <w:r w:rsidR="00EC5052">
        <w:rPr>
          <w:rFonts w:ascii="Arial" w:eastAsiaTheme="minorHAnsi" w:hAnsi="Arial" w:cs="Arial"/>
          <w:sz w:val="22"/>
          <w:szCs w:val="22"/>
        </w:rPr>
        <w:t xml:space="preserve">turing tools possibly used in the Flow Management workout may not be </w:t>
      </w:r>
      <w:r w:rsidR="007564B2">
        <w:rPr>
          <w:rFonts w:ascii="Arial" w:eastAsiaTheme="minorHAnsi" w:hAnsi="Arial" w:cs="Arial"/>
          <w:sz w:val="22"/>
          <w:szCs w:val="22"/>
        </w:rPr>
        <w:t>recognized</w:t>
      </w:r>
      <w:r w:rsidR="00221D7C">
        <w:rPr>
          <w:rFonts w:ascii="Arial" w:eastAsiaTheme="minorHAnsi" w:hAnsi="Arial" w:cs="Arial"/>
          <w:sz w:val="22"/>
          <w:szCs w:val="22"/>
        </w:rPr>
        <w:t xml:space="preserve"> by law in some jurisdictions, such as debt-to-equity swaps or a contractual standstill agreement. </w:t>
      </w:r>
    </w:p>
    <w:p w14:paraId="352085AE" w14:textId="22B71EE2" w:rsidR="00C7587C" w:rsidRDefault="00137300" w:rsidP="00E30424">
      <w:pPr>
        <w:pStyle w:val="paragraph"/>
        <w:spacing w:after="0"/>
        <w:ind w:right="150"/>
        <w:jc w:val="both"/>
        <w:textAlignment w:val="baseline"/>
        <w:rPr>
          <w:rFonts w:ascii="Arial" w:eastAsiaTheme="minorHAnsi" w:hAnsi="Arial" w:cs="Arial"/>
          <w:sz w:val="22"/>
          <w:szCs w:val="22"/>
        </w:rPr>
      </w:pPr>
      <w:r>
        <w:rPr>
          <w:rFonts w:ascii="Arial" w:eastAsiaTheme="minorHAnsi" w:hAnsi="Arial" w:cs="Arial"/>
          <w:sz w:val="22"/>
          <w:szCs w:val="22"/>
        </w:rPr>
        <w:t xml:space="preserve">As discussed above, and also </w:t>
      </w:r>
      <w:r w:rsidR="00A535F4">
        <w:rPr>
          <w:rFonts w:ascii="Arial" w:eastAsiaTheme="minorHAnsi" w:hAnsi="Arial" w:cs="Arial"/>
          <w:sz w:val="22"/>
          <w:szCs w:val="22"/>
        </w:rPr>
        <w:t xml:space="preserve">mentioned in the </w:t>
      </w:r>
      <w:r w:rsidR="0098702A">
        <w:rPr>
          <w:rFonts w:ascii="Arial" w:eastAsiaTheme="minorHAnsi" w:hAnsi="Arial" w:cs="Arial"/>
          <w:sz w:val="22"/>
          <w:szCs w:val="22"/>
        </w:rPr>
        <w:t xml:space="preserve">Adriaanse </w:t>
      </w:r>
      <w:r w:rsidR="00CE06AD">
        <w:rPr>
          <w:rFonts w:ascii="Arial" w:eastAsiaTheme="minorHAnsi" w:hAnsi="Arial" w:cs="Arial"/>
          <w:sz w:val="22"/>
          <w:szCs w:val="22"/>
        </w:rPr>
        <w:t>&amp; Kuijl 2006 paper, out-of-court</w:t>
      </w:r>
      <w:r w:rsidR="00CE06AD" w:rsidRPr="00CE06AD">
        <w:rPr>
          <w:rFonts w:ascii="Arial" w:eastAsiaTheme="minorHAnsi" w:hAnsi="Arial" w:cs="Arial"/>
          <w:sz w:val="22"/>
          <w:szCs w:val="22"/>
        </w:rPr>
        <w:t xml:space="preserve"> restructurings are said to take place in the “shadow of the insolvency law.” Creditors' and debtors' interest in participating will be partly determined by the expected results without a workout. </w:t>
      </w:r>
      <w:r w:rsidR="00CD0AC0">
        <w:rPr>
          <w:rFonts w:ascii="Arial" w:eastAsiaTheme="minorHAnsi" w:hAnsi="Arial" w:cs="Arial"/>
          <w:sz w:val="22"/>
          <w:szCs w:val="22"/>
        </w:rPr>
        <w:t>A debtor</w:t>
      </w:r>
      <w:r w:rsidR="00CE06AD" w:rsidRPr="00CE06AD">
        <w:rPr>
          <w:rFonts w:ascii="Arial" w:eastAsiaTheme="minorHAnsi" w:hAnsi="Arial" w:cs="Arial"/>
          <w:sz w:val="22"/>
          <w:szCs w:val="22"/>
        </w:rPr>
        <w:t xml:space="preserve"> may refuse to </w:t>
      </w:r>
      <w:r w:rsidR="00F4153E">
        <w:rPr>
          <w:rFonts w:ascii="Arial" w:eastAsiaTheme="minorHAnsi" w:hAnsi="Arial" w:cs="Arial"/>
          <w:sz w:val="22"/>
          <w:szCs w:val="22"/>
        </w:rPr>
        <w:t>commit to a workout</w:t>
      </w:r>
      <w:r w:rsidR="00CE06AD" w:rsidRPr="00CE06AD">
        <w:rPr>
          <w:rFonts w:ascii="Arial" w:eastAsiaTheme="minorHAnsi" w:hAnsi="Arial" w:cs="Arial"/>
          <w:sz w:val="22"/>
          <w:szCs w:val="22"/>
        </w:rPr>
        <w:t xml:space="preserve"> if they can take advantage of ineffective enforcement and insolvency systems that allow them to avoid or delay creditors' collection. Thus, it is vital to understand the applicable insolvency law even in a wholly out-of-court restructuring</w:t>
      </w:r>
      <w:r w:rsidR="00C7587C">
        <w:rPr>
          <w:rFonts w:ascii="Arial" w:eastAsiaTheme="minorHAnsi" w:hAnsi="Arial" w:cs="Arial"/>
          <w:sz w:val="22"/>
          <w:szCs w:val="22"/>
        </w:rPr>
        <w:t xml:space="preserve"> of such a large group, with subsidiaries in several jurisdictions.</w:t>
      </w:r>
      <w:r w:rsidR="00F160A3">
        <w:rPr>
          <w:rFonts w:ascii="Arial" w:eastAsiaTheme="minorHAnsi" w:hAnsi="Arial" w:cs="Arial"/>
          <w:sz w:val="22"/>
          <w:szCs w:val="22"/>
        </w:rPr>
        <w:t xml:space="preserve"> </w:t>
      </w:r>
      <w:r w:rsidR="00E30424">
        <w:rPr>
          <w:rFonts w:ascii="Arial" w:eastAsiaTheme="minorHAnsi" w:hAnsi="Arial" w:cs="Arial"/>
          <w:sz w:val="22"/>
          <w:szCs w:val="22"/>
        </w:rPr>
        <w:t>I</w:t>
      </w:r>
      <w:r w:rsidR="00F160A3" w:rsidRPr="00F160A3">
        <w:rPr>
          <w:rFonts w:ascii="Arial" w:eastAsiaTheme="minorHAnsi" w:hAnsi="Arial" w:cs="Arial"/>
          <w:sz w:val="22"/>
          <w:szCs w:val="22"/>
        </w:rPr>
        <w:t xml:space="preserve">nformal workouts mirror in a general way the handling of issues as specified in the </w:t>
      </w:r>
      <w:r w:rsidR="00E30424">
        <w:rPr>
          <w:rFonts w:ascii="Arial" w:eastAsiaTheme="minorHAnsi" w:hAnsi="Arial" w:cs="Arial"/>
          <w:sz w:val="22"/>
          <w:szCs w:val="22"/>
        </w:rPr>
        <w:t xml:space="preserve">applicable </w:t>
      </w:r>
      <w:r w:rsidR="00F160A3" w:rsidRPr="00F160A3">
        <w:rPr>
          <w:rFonts w:ascii="Arial" w:eastAsiaTheme="minorHAnsi" w:hAnsi="Arial" w:cs="Arial"/>
          <w:sz w:val="22"/>
          <w:szCs w:val="22"/>
        </w:rPr>
        <w:t xml:space="preserve">insolvency statute, for example, the ranking of creditor claims, voting, dealing with dissenting creditors, etc. </w:t>
      </w:r>
      <w:r w:rsidR="00F14ADE">
        <w:rPr>
          <w:rFonts w:ascii="Arial" w:eastAsiaTheme="minorHAnsi" w:hAnsi="Arial" w:cs="Arial"/>
          <w:sz w:val="22"/>
          <w:szCs w:val="22"/>
        </w:rPr>
        <w:t>The applicable</w:t>
      </w:r>
      <w:r w:rsidR="00F160A3" w:rsidRPr="00F160A3">
        <w:rPr>
          <w:rFonts w:ascii="Arial" w:eastAsiaTheme="minorHAnsi" w:hAnsi="Arial" w:cs="Arial"/>
          <w:sz w:val="22"/>
          <w:szCs w:val="22"/>
        </w:rPr>
        <w:t xml:space="preserve"> insolvency law provisions (or lack of them), may undermine the viability of </w:t>
      </w:r>
      <w:r w:rsidR="00F14ADE">
        <w:rPr>
          <w:rFonts w:ascii="Arial" w:eastAsiaTheme="minorHAnsi" w:hAnsi="Arial" w:cs="Arial"/>
          <w:sz w:val="22"/>
          <w:szCs w:val="22"/>
        </w:rPr>
        <w:t xml:space="preserve">the Restructuring agreement </w:t>
      </w:r>
      <w:r w:rsidR="00F160A3" w:rsidRPr="00F160A3">
        <w:rPr>
          <w:rFonts w:ascii="Arial" w:eastAsiaTheme="minorHAnsi" w:hAnsi="Arial" w:cs="Arial"/>
          <w:sz w:val="22"/>
          <w:szCs w:val="22"/>
        </w:rPr>
        <w:t xml:space="preserve">reached out-of-court. For example, the insolvency law </w:t>
      </w:r>
      <w:r w:rsidR="00BC7C99">
        <w:rPr>
          <w:rFonts w:ascii="Arial" w:eastAsiaTheme="minorHAnsi" w:hAnsi="Arial" w:cs="Arial"/>
          <w:sz w:val="22"/>
          <w:szCs w:val="22"/>
        </w:rPr>
        <w:t>may not safeguard against</w:t>
      </w:r>
      <w:r w:rsidR="00F160A3" w:rsidRPr="00F160A3">
        <w:rPr>
          <w:rFonts w:ascii="Arial" w:eastAsiaTheme="minorHAnsi" w:hAnsi="Arial" w:cs="Arial"/>
          <w:sz w:val="22"/>
          <w:szCs w:val="22"/>
        </w:rPr>
        <w:t xml:space="preserve"> revocation of the accords reached in good faith during </w:t>
      </w:r>
      <w:r w:rsidR="00B66CF8">
        <w:rPr>
          <w:rFonts w:ascii="Arial" w:eastAsiaTheme="minorHAnsi" w:hAnsi="Arial" w:cs="Arial"/>
          <w:sz w:val="22"/>
          <w:szCs w:val="22"/>
        </w:rPr>
        <w:t xml:space="preserve">the </w:t>
      </w:r>
      <w:r w:rsidR="00F160A3" w:rsidRPr="00F160A3">
        <w:rPr>
          <w:rFonts w:ascii="Arial" w:eastAsiaTheme="minorHAnsi" w:hAnsi="Arial" w:cs="Arial"/>
          <w:sz w:val="22"/>
          <w:szCs w:val="22"/>
        </w:rPr>
        <w:t xml:space="preserve">workout (for example, creation of additional security or granting priority to interim financing) based on avoidance actions that are applied in formal insolvency processes to reverse or nullify transactions detrimental to creditors that had been carried out during certain period before the insolvency proceeding (retroaction or suspect period). </w:t>
      </w:r>
    </w:p>
    <w:p w14:paraId="045EFBEC" w14:textId="0C787479" w:rsidR="000C31F7" w:rsidRDefault="00EF070F" w:rsidP="00E30424">
      <w:pPr>
        <w:pStyle w:val="paragraph"/>
        <w:spacing w:after="0"/>
        <w:ind w:right="150"/>
        <w:jc w:val="both"/>
        <w:textAlignment w:val="baseline"/>
        <w:rPr>
          <w:rFonts w:ascii="Arial" w:eastAsiaTheme="minorHAnsi" w:hAnsi="Arial" w:cs="Arial"/>
          <w:sz w:val="22"/>
          <w:szCs w:val="22"/>
        </w:rPr>
      </w:pPr>
      <w:r>
        <w:rPr>
          <w:rFonts w:ascii="Arial" w:eastAsiaTheme="minorHAnsi" w:hAnsi="Arial" w:cs="Arial"/>
          <w:sz w:val="22"/>
          <w:szCs w:val="22"/>
        </w:rPr>
        <w:t xml:space="preserve">Such differences in </w:t>
      </w:r>
      <w:r w:rsidR="00120EAB" w:rsidRPr="00120EAB">
        <w:rPr>
          <w:rFonts w:ascii="Arial" w:eastAsiaTheme="minorHAnsi" w:hAnsi="Arial" w:cs="Arial"/>
          <w:sz w:val="22"/>
          <w:szCs w:val="22"/>
        </w:rPr>
        <w:t xml:space="preserve">in national insolvency laws have important consequences in the case of </w:t>
      </w:r>
      <w:r w:rsidR="00120EAB">
        <w:rPr>
          <w:rFonts w:ascii="Arial" w:eastAsiaTheme="minorHAnsi" w:hAnsi="Arial" w:cs="Arial"/>
          <w:sz w:val="22"/>
          <w:szCs w:val="22"/>
        </w:rPr>
        <w:t>companies</w:t>
      </w:r>
      <w:r w:rsidR="00120EAB" w:rsidRPr="00120EAB">
        <w:rPr>
          <w:rFonts w:ascii="Arial" w:eastAsiaTheme="minorHAnsi" w:hAnsi="Arial" w:cs="Arial"/>
          <w:sz w:val="22"/>
          <w:szCs w:val="22"/>
        </w:rPr>
        <w:t xml:space="preserve"> with assets and liabilities in different countries</w:t>
      </w:r>
      <w:r w:rsidR="00120EAB">
        <w:rPr>
          <w:rFonts w:ascii="Arial" w:eastAsiaTheme="minorHAnsi" w:hAnsi="Arial" w:cs="Arial"/>
          <w:sz w:val="22"/>
          <w:szCs w:val="22"/>
        </w:rPr>
        <w:t>, such as Flow Management</w:t>
      </w:r>
      <w:r w:rsidR="00DD3282">
        <w:rPr>
          <w:rFonts w:ascii="Arial" w:eastAsiaTheme="minorHAnsi" w:hAnsi="Arial" w:cs="Arial"/>
          <w:sz w:val="22"/>
          <w:szCs w:val="22"/>
        </w:rPr>
        <w:t xml:space="preserve"> which has the Netherlands as the center of main </w:t>
      </w:r>
      <w:r w:rsidR="00B1025C">
        <w:rPr>
          <w:rFonts w:ascii="Arial" w:eastAsiaTheme="minorHAnsi" w:hAnsi="Arial" w:cs="Arial"/>
          <w:sz w:val="22"/>
          <w:szCs w:val="22"/>
        </w:rPr>
        <w:t>interest</w:t>
      </w:r>
      <w:r w:rsidR="00DD3282">
        <w:rPr>
          <w:rFonts w:ascii="Arial" w:eastAsiaTheme="minorHAnsi" w:hAnsi="Arial" w:cs="Arial"/>
          <w:sz w:val="22"/>
          <w:szCs w:val="22"/>
        </w:rPr>
        <w:t xml:space="preserve">, </w:t>
      </w:r>
      <w:r w:rsidR="00B72686">
        <w:rPr>
          <w:rFonts w:ascii="Arial" w:eastAsiaTheme="minorHAnsi" w:hAnsi="Arial" w:cs="Arial"/>
          <w:sz w:val="22"/>
          <w:szCs w:val="22"/>
        </w:rPr>
        <w:t xml:space="preserve">and </w:t>
      </w:r>
      <w:r w:rsidR="00B1025C">
        <w:rPr>
          <w:rFonts w:ascii="Arial" w:eastAsiaTheme="minorHAnsi" w:hAnsi="Arial" w:cs="Arial"/>
          <w:sz w:val="22"/>
          <w:szCs w:val="22"/>
        </w:rPr>
        <w:t xml:space="preserve">six </w:t>
      </w:r>
      <w:r w:rsidR="005D3EDF">
        <w:rPr>
          <w:rFonts w:ascii="Arial" w:eastAsiaTheme="minorHAnsi" w:hAnsi="Arial" w:cs="Arial"/>
          <w:sz w:val="22"/>
          <w:szCs w:val="22"/>
        </w:rPr>
        <w:t>operating companies (</w:t>
      </w:r>
      <w:r w:rsidR="00B72686">
        <w:rPr>
          <w:rFonts w:ascii="Arial" w:eastAsiaTheme="minorHAnsi" w:hAnsi="Arial" w:cs="Arial"/>
          <w:sz w:val="22"/>
          <w:szCs w:val="22"/>
        </w:rPr>
        <w:t>subsidiaries</w:t>
      </w:r>
      <w:r w:rsidR="005D3EDF">
        <w:rPr>
          <w:rFonts w:ascii="Arial" w:eastAsiaTheme="minorHAnsi" w:hAnsi="Arial" w:cs="Arial"/>
          <w:sz w:val="22"/>
          <w:szCs w:val="22"/>
        </w:rPr>
        <w:t>)</w:t>
      </w:r>
      <w:r w:rsidR="00B72686">
        <w:rPr>
          <w:rFonts w:ascii="Arial" w:eastAsiaTheme="minorHAnsi" w:hAnsi="Arial" w:cs="Arial"/>
          <w:sz w:val="22"/>
          <w:szCs w:val="22"/>
        </w:rPr>
        <w:t xml:space="preserve"> </w:t>
      </w:r>
      <w:r w:rsidR="005D3EDF">
        <w:rPr>
          <w:rFonts w:ascii="Arial" w:eastAsiaTheme="minorHAnsi" w:hAnsi="Arial" w:cs="Arial"/>
          <w:sz w:val="22"/>
          <w:szCs w:val="22"/>
        </w:rPr>
        <w:t xml:space="preserve">five of which are in other jurisdictions, </w:t>
      </w:r>
      <w:r w:rsidR="00DF73B5">
        <w:rPr>
          <w:rFonts w:ascii="Arial" w:eastAsiaTheme="minorHAnsi" w:hAnsi="Arial" w:cs="Arial"/>
          <w:sz w:val="22"/>
          <w:szCs w:val="22"/>
        </w:rPr>
        <w:t xml:space="preserve">three of which are outside the European Union </w:t>
      </w:r>
      <w:r w:rsidR="00A30EE0">
        <w:rPr>
          <w:rFonts w:ascii="Arial" w:eastAsiaTheme="minorHAnsi" w:hAnsi="Arial" w:cs="Arial"/>
          <w:sz w:val="22"/>
          <w:szCs w:val="22"/>
        </w:rPr>
        <w:t xml:space="preserve">and not subject to </w:t>
      </w:r>
      <w:r w:rsidR="00EC2280">
        <w:rPr>
          <w:rFonts w:ascii="Arial" w:eastAsiaTheme="minorHAnsi" w:hAnsi="Arial" w:cs="Arial"/>
          <w:sz w:val="22"/>
          <w:szCs w:val="22"/>
        </w:rPr>
        <w:t xml:space="preserve">the </w:t>
      </w:r>
      <w:r w:rsidR="00124826" w:rsidRPr="00124826">
        <w:rPr>
          <w:rFonts w:ascii="Arial" w:eastAsiaTheme="minorHAnsi" w:hAnsi="Arial" w:cs="Arial"/>
          <w:sz w:val="22"/>
          <w:szCs w:val="22"/>
        </w:rPr>
        <w:t>EU Regulation on Insolvency Proceedings, applicable in most European countries</w:t>
      </w:r>
      <w:r w:rsidR="00F558E3">
        <w:rPr>
          <w:rFonts w:ascii="Arial" w:eastAsiaTheme="minorHAnsi" w:hAnsi="Arial" w:cs="Arial"/>
          <w:sz w:val="22"/>
          <w:szCs w:val="22"/>
        </w:rPr>
        <w:t xml:space="preserve">. Therefore, it should be assessed whether all jurisdictions </w:t>
      </w:r>
      <w:r w:rsidR="00C97382">
        <w:rPr>
          <w:rFonts w:ascii="Arial" w:eastAsiaTheme="minorHAnsi" w:hAnsi="Arial" w:cs="Arial"/>
          <w:sz w:val="22"/>
          <w:szCs w:val="22"/>
        </w:rPr>
        <w:t>in the Flow Management</w:t>
      </w:r>
      <w:r w:rsidR="006617B0">
        <w:rPr>
          <w:rFonts w:ascii="Arial" w:eastAsiaTheme="minorHAnsi" w:hAnsi="Arial" w:cs="Arial"/>
          <w:sz w:val="22"/>
          <w:szCs w:val="22"/>
        </w:rPr>
        <w:t xml:space="preserve"> </w:t>
      </w:r>
      <w:r w:rsidR="00C97382">
        <w:rPr>
          <w:rFonts w:ascii="Arial" w:eastAsiaTheme="minorHAnsi" w:hAnsi="Arial" w:cs="Arial"/>
          <w:sz w:val="22"/>
          <w:szCs w:val="22"/>
        </w:rPr>
        <w:t xml:space="preserve">Group </w:t>
      </w:r>
      <w:r w:rsidR="006617B0">
        <w:rPr>
          <w:rFonts w:ascii="Arial" w:eastAsiaTheme="minorHAnsi" w:hAnsi="Arial" w:cs="Arial"/>
          <w:sz w:val="22"/>
          <w:szCs w:val="22"/>
        </w:rPr>
        <w:t xml:space="preserve">have introduced </w:t>
      </w:r>
      <w:r w:rsidR="006617B0" w:rsidRPr="006617B0">
        <w:rPr>
          <w:rFonts w:ascii="Arial" w:eastAsiaTheme="minorHAnsi" w:hAnsi="Arial" w:cs="Arial"/>
          <w:sz w:val="22"/>
          <w:szCs w:val="22"/>
        </w:rPr>
        <w:t xml:space="preserve">measures to facilitate the recognition of foreign proceedings and the cooperation and coordination among courts and administrators </w:t>
      </w:r>
      <w:r w:rsidR="0068422A">
        <w:rPr>
          <w:rFonts w:ascii="Arial" w:eastAsiaTheme="minorHAnsi" w:hAnsi="Arial" w:cs="Arial"/>
          <w:sz w:val="22"/>
          <w:szCs w:val="22"/>
        </w:rPr>
        <w:t xml:space="preserve">in the relevant countries where </w:t>
      </w:r>
      <w:r w:rsidR="00CD35AB">
        <w:rPr>
          <w:rFonts w:ascii="Arial" w:eastAsiaTheme="minorHAnsi" w:hAnsi="Arial" w:cs="Arial"/>
          <w:sz w:val="22"/>
          <w:szCs w:val="22"/>
        </w:rPr>
        <w:t xml:space="preserve">potentially </w:t>
      </w:r>
      <w:r w:rsidR="00CD35AB">
        <w:rPr>
          <w:rFonts w:ascii="Arial" w:eastAsiaTheme="minorHAnsi" w:hAnsi="Arial" w:cs="Arial"/>
          <w:sz w:val="22"/>
          <w:szCs w:val="22"/>
        </w:rPr>
        <w:lastRenderedPageBreak/>
        <w:t>insolvency proceedings may be initiated against a company within the Group</w:t>
      </w:r>
      <w:r w:rsidR="006617B0" w:rsidRPr="006617B0">
        <w:rPr>
          <w:rFonts w:ascii="Arial" w:eastAsiaTheme="minorHAnsi" w:hAnsi="Arial" w:cs="Arial"/>
          <w:sz w:val="22"/>
          <w:szCs w:val="22"/>
        </w:rPr>
        <w:t xml:space="preserve">. </w:t>
      </w:r>
      <w:r w:rsidR="00FB17CC">
        <w:rPr>
          <w:rFonts w:ascii="Arial" w:eastAsiaTheme="minorHAnsi" w:hAnsi="Arial" w:cs="Arial"/>
          <w:sz w:val="22"/>
          <w:szCs w:val="22"/>
        </w:rPr>
        <w:t xml:space="preserve">Since three of the subsidiaries of Flow Management are located in </w:t>
      </w:r>
      <w:r w:rsidR="00826DF4">
        <w:rPr>
          <w:rFonts w:ascii="Arial" w:eastAsiaTheme="minorHAnsi" w:hAnsi="Arial" w:cs="Arial"/>
          <w:sz w:val="22"/>
          <w:szCs w:val="22"/>
        </w:rPr>
        <w:t xml:space="preserve">jurisdictions that have adopted </w:t>
      </w:r>
      <w:r w:rsidR="002E566E">
        <w:rPr>
          <w:rFonts w:ascii="Arial" w:eastAsiaTheme="minorHAnsi" w:hAnsi="Arial" w:cs="Arial"/>
          <w:sz w:val="22"/>
          <w:szCs w:val="22"/>
        </w:rPr>
        <w:t xml:space="preserve">provisions based on </w:t>
      </w:r>
      <w:r w:rsidR="00826DF4">
        <w:rPr>
          <w:rFonts w:ascii="Arial" w:eastAsiaTheme="minorHAnsi" w:hAnsi="Arial" w:cs="Arial"/>
          <w:sz w:val="22"/>
          <w:szCs w:val="22"/>
        </w:rPr>
        <w:t xml:space="preserve">the </w:t>
      </w:r>
      <w:r w:rsidR="00240C7A" w:rsidRPr="00240C7A">
        <w:rPr>
          <w:rFonts w:ascii="Arial" w:eastAsiaTheme="minorHAnsi" w:hAnsi="Arial" w:cs="Arial"/>
          <w:sz w:val="22"/>
          <w:szCs w:val="22"/>
        </w:rPr>
        <w:t>UNCITRAL Model Law on Cross-Border Insolvency</w:t>
      </w:r>
      <w:r w:rsidR="00D719C7">
        <w:rPr>
          <w:rFonts w:ascii="Arial" w:eastAsiaTheme="minorHAnsi" w:hAnsi="Arial" w:cs="Arial"/>
          <w:sz w:val="22"/>
          <w:szCs w:val="22"/>
        </w:rPr>
        <w:t xml:space="preserve"> (Australia, South Africa and the USA)</w:t>
      </w:r>
      <w:r w:rsidR="00D719C7">
        <w:rPr>
          <w:rStyle w:val="FootnoteReference"/>
          <w:rFonts w:ascii="Arial" w:eastAsiaTheme="minorHAnsi" w:hAnsi="Arial" w:cs="Arial"/>
          <w:sz w:val="22"/>
          <w:szCs w:val="22"/>
        </w:rPr>
        <w:footnoteReference w:id="23"/>
      </w:r>
      <w:r w:rsidR="000A6997">
        <w:rPr>
          <w:rFonts w:ascii="Arial" w:eastAsiaTheme="minorHAnsi" w:hAnsi="Arial" w:cs="Arial"/>
          <w:sz w:val="22"/>
          <w:szCs w:val="22"/>
        </w:rPr>
        <w:t xml:space="preserve">, the interplay between these provisions and the </w:t>
      </w:r>
      <w:r w:rsidR="000A6997" w:rsidRPr="00124826">
        <w:rPr>
          <w:rFonts w:ascii="Arial" w:eastAsiaTheme="minorHAnsi" w:hAnsi="Arial" w:cs="Arial"/>
          <w:sz w:val="22"/>
          <w:szCs w:val="22"/>
        </w:rPr>
        <w:t>EU Regulation on Insolvency Proceedings</w:t>
      </w:r>
      <w:r w:rsidR="000A6997">
        <w:rPr>
          <w:rFonts w:ascii="Arial" w:eastAsiaTheme="minorHAnsi" w:hAnsi="Arial" w:cs="Arial"/>
          <w:sz w:val="22"/>
          <w:szCs w:val="22"/>
        </w:rPr>
        <w:t xml:space="preserve"> applicable in the </w:t>
      </w:r>
      <w:r w:rsidR="00A12B3E">
        <w:rPr>
          <w:rFonts w:ascii="Arial" w:eastAsiaTheme="minorHAnsi" w:hAnsi="Arial" w:cs="Arial"/>
          <w:sz w:val="22"/>
          <w:szCs w:val="22"/>
        </w:rPr>
        <w:t xml:space="preserve">Netherlands, France and Spain, should also be examined. </w:t>
      </w:r>
    </w:p>
    <w:p w14:paraId="181E43EA" w14:textId="77777777" w:rsidR="00037D8A" w:rsidRDefault="000352DA" w:rsidP="00E30424">
      <w:pPr>
        <w:pStyle w:val="paragraph"/>
        <w:spacing w:after="0"/>
        <w:ind w:right="150"/>
        <w:jc w:val="both"/>
        <w:textAlignment w:val="baseline"/>
        <w:rPr>
          <w:rFonts w:ascii="Arial" w:eastAsiaTheme="minorHAnsi" w:hAnsi="Arial" w:cs="Arial"/>
          <w:sz w:val="22"/>
          <w:szCs w:val="22"/>
        </w:rPr>
      </w:pPr>
      <w:r>
        <w:rPr>
          <w:rFonts w:ascii="Arial" w:eastAsiaTheme="minorHAnsi" w:hAnsi="Arial" w:cs="Arial"/>
          <w:sz w:val="22"/>
          <w:szCs w:val="22"/>
        </w:rPr>
        <w:t>In terms of non-legal issues which may arise in the Flow Management workout</w:t>
      </w:r>
      <w:r w:rsidR="00B53F60">
        <w:rPr>
          <w:rFonts w:ascii="Arial" w:eastAsiaTheme="minorHAnsi" w:hAnsi="Arial" w:cs="Arial"/>
          <w:sz w:val="22"/>
          <w:szCs w:val="22"/>
        </w:rPr>
        <w:t xml:space="preserve">, </w:t>
      </w:r>
      <w:r w:rsidR="00F80B7A">
        <w:rPr>
          <w:rFonts w:ascii="Arial" w:eastAsiaTheme="minorHAnsi" w:hAnsi="Arial" w:cs="Arial"/>
          <w:sz w:val="22"/>
          <w:szCs w:val="22"/>
        </w:rPr>
        <w:t xml:space="preserve">effective communication </w:t>
      </w:r>
      <w:r w:rsidR="00154041">
        <w:rPr>
          <w:rFonts w:ascii="Arial" w:eastAsiaTheme="minorHAnsi" w:hAnsi="Arial" w:cs="Arial"/>
          <w:sz w:val="22"/>
          <w:szCs w:val="22"/>
        </w:rPr>
        <w:t>which is critical</w:t>
      </w:r>
      <w:r w:rsidR="00154041" w:rsidRPr="00154041">
        <w:rPr>
          <w:rFonts w:ascii="Arial" w:eastAsiaTheme="minorHAnsi" w:hAnsi="Arial" w:cs="Arial"/>
          <w:sz w:val="22"/>
          <w:szCs w:val="22"/>
        </w:rPr>
        <w:t xml:space="preserve"> for any restructuring</w:t>
      </w:r>
      <w:r w:rsidR="00154041">
        <w:rPr>
          <w:rFonts w:ascii="Arial" w:eastAsiaTheme="minorHAnsi" w:hAnsi="Arial" w:cs="Arial"/>
          <w:sz w:val="22"/>
          <w:szCs w:val="22"/>
        </w:rPr>
        <w:t xml:space="preserve"> is </w:t>
      </w:r>
      <w:r w:rsidR="00154041" w:rsidRPr="00154041">
        <w:rPr>
          <w:rFonts w:ascii="Arial" w:eastAsiaTheme="minorHAnsi" w:hAnsi="Arial" w:cs="Arial"/>
          <w:sz w:val="22"/>
          <w:szCs w:val="22"/>
        </w:rPr>
        <w:t xml:space="preserve">even more </w:t>
      </w:r>
      <w:r w:rsidR="007C1C24">
        <w:rPr>
          <w:rFonts w:ascii="Arial" w:eastAsiaTheme="minorHAnsi" w:hAnsi="Arial" w:cs="Arial"/>
          <w:sz w:val="22"/>
          <w:szCs w:val="22"/>
        </w:rPr>
        <w:t>important in the context of</w:t>
      </w:r>
      <w:r w:rsidR="00154041" w:rsidRPr="00154041">
        <w:rPr>
          <w:rFonts w:ascii="Arial" w:eastAsiaTheme="minorHAnsi" w:hAnsi="Arial" w:cs="Arial"/>
          <w:sz w:val="22"/>
          <w:szCs w:val="22"/>
        </w:rPr>
        <w:t xml:space="preserve"> a cross-border one</w:t>
      </w:r>
      <w:r w:rsidR="00F43FA6">
        <w:rPr>
          <w:rFonts w:ascii="Arial" w:eastAsiaTheme="minorHAnsi" w:hAnsi="Arial" w:cs="Arial"/>
          <w:sz w:val="22"/>
          <w:szCs w:val="22"/>
        </w:rPr>
        <w:t xml:space="preserve">, which may pose difficulties with time delays and even language. </w:t>
      </w:r>
      <w:r w:rsidR="00E24667">
        <w:rPr>
          <w:rFonts w:ascii="Arial" w:eastAsiaTheme="minorHAnsi" w:hAnsi="Arial" w:cs="Arial"/>
          <w:sz w:val="22"/>
          <w:szCs w:val="22"/>
        </w:rPr>
        <w:t xml:space="preserve">Some of the conflicts that </w:t>
      </w:r>
      <w:r w:rsidR="005D6925">
        <w:rPr>
          <w:rFonts w:ascii="Arial" w:eastAsiaTheme="minorHAnsi" w:hAnsi="Arial" w:cs="Arial"/>
          <w:sz w:val="22"/>
          <w:szCs w:val="22"/>
        </w:rPr>
        <w:t xml:space="preserve">arise during the workout, may be also due to </w:t>
      </w:r>
      <w:r w:rsidR="00E24667" w:rsidRPr="00E24667">
        <w:rPr>
          <w:rFonts w:ascii="Arial" w:eastAsiaTheme="minorHAnsi" w:hAnsi="Arial" w:cs="Arial"/>
          <w:sz w:val="22"/>
          <w:szCs w:val="22"/>
        </w:rPr>
        <w:t>cultural clashes</w:t>
      </w:r>
      <w:r w:rsidR="005568F8">
        <w:rPr>
          <w:rFonts w:ascii="Arial" w:eastAsiaTheme="minorHAnsi" w:hAnsi="Arial" w:cs="Arial"/>
          <w:sz w:val="22"/>
          <w:szCs w:val="22"/>
        </w:rPr>
        <w:t xml:space="preserve"> and different risk perceptions based on each country’s context. </w:t>
      </w:r>
    </w:p>
    <w:p w14:paraId="308D000E" w14:textId="385EC10B" w:rsidR="00242A88" w:rsidRPr="006F61F5" w:rsidRDefault="006F61F5" w:rsidP="006F61F5">
      <w:pPr>
        <w:pStyle w:val="paragraph"/>
        <w:numPr>
          <w:ilvl w:val="0"/>
          <w:numId w:val="1"/>
        </w:numPr>
        <w:spacing w:after="0"/>
        <w:ind w:right="150"/>
        <w:jc w:val="both"/>
        <w:textAlignment w:val="baseline"/>
        <w:rPr>
          <w:rFonts w:ascii="Arial" w:eastAsiaTheme="minorHAnsi" w:hAnsi="Arial" w:cs="Arial"/>
          <w:b/>
          <w:bCs/>
          <w:sz w:val="22"/>
          <w:szCs w:val="22"/>
        </w:rPr>
      </w:pPr>
      <w:r w:rsidRPr="006F61F5">
        <w:rPr>
          <w:rFonts w:ascii="Arial" w:eastAsiaTheme="minorHAnsi" w:hAnsi="Arial" w:cs="Arial"/>
          <w:b/>
          <w:bCs/>
          <w:sz w:val="22"/>
          <w:szCs w:val="22"/>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68D0F6C5" w14:textId="09C37C44" w:rsidR="00C24889" w:rsidRDefault="00CD099A" w:rsidP="00C24889">
      <w:pPr>
        <w:pStyle w:val="paragraph"/>
        <w:spacing w:before="0" w:beforeAutospacing="0" w:after="0" w:afterAutospacing="0"/>
        <w:ind w:right="150"/>
        <w:jc w:val="both"/>
        <w:textAlignment w:val="baseline"/>
        <w:rPr>
          <w:rFonts w:ascii="Arial" w:eastAsiaTheme="minorHAnsi" w:hAnsi="Arial" w:cs="Arial"/>
          <w:sz w:val="22"/>
          <w:szCs w:val="22"/>
        </w:rPr>
      </w:pPr>
      <w:r>
        <w:rPr>
          <w:rFonts w:ascii="Arial" w:eastAsiaTheme="minorHAnsi" w:hAnsi="Arial" w:cs="Arial"/>
          <w:sz w:val="22"/>
          <w:szCs w:val="22"/>
        </w:rPr>
        <w:t xml:space="preserve">Before </w:t>
      </w:r>
      <w:r w:rsidR="00435507">
        <w:rPr>
          <w:rFonts w:ascii="Arial" w:eastAsiaTheme="minorHAnsi" w:hAnsi="Arial" w:cs="Arial"/>
          <w:sz w:val="22"/>
          <w:szCs w:val="22"/>
        </w:rPr>
        <w:t>si</w:t>
      </w:r>
      <w:r w:rsidR="002820BD">
        <w:rPr>
          <w:rFonts w:ascii="Arial" w:eastAsiaTheme="minorHAnsi" w:hAnsi="Arial" w:cs="Arial"/>
          <w:sz w:val="22"/>
          <w:szCs w:val="22"/>
        </w:rPr>
        <w:t>gn</w:t>
      </w:r>
      <w:r w:rsidR="00435507">
        <w:rPr>
          <w:rFonts w:ascii="Arial" w:eastAsiaTheme="minorHAnsi" w:hAnsi="Arial" w:cs="Arial"/>
          <w:sz w:val="22"/>
          <w:szCs w:val="22"/>
        </w:rPr>
        <w:t xml:space="preserve">ing a Restructuring agreement in January 2015, </w:t>
      </w:r>
      <w:r w:rsidR="004375EF">
        <w:rPr>
          <w:rFonts w:ascii="Arial" w:eastAsiaTheme="minorHAnsi" w:hAnsi="Arial" w:cs="Arial"/>
          <w:sz w:val="22"/>
          <w:szCs w:val="22"/>
        </w:rPr>
        <w:t>four possible scenarios are considere</w:t>
      </w:r>
      <w:r w:rsidR="002820BD">
        <w:rPr>
          <w:rFonts w:ascii="Arial" w:eastAsiaTheme="minorHAnsi" w:hAnsi="Arial" w:cs="Arial"/>
          <w:sz w:val="22"/>
          <w:szCs w:val="22"/>
        </w:rPr>
        <w:t>d</w:t>
      </w:r>
      <w:r w:rsidR="00400880">
        <w:rPr>
          <w:rFonts w:ascii="Arial" w:eastAsiaTheme="minorHAnsi" w:hAnsi="Arial" w:cs="Arial"/>
          <w:sz w:val="22"/>
          <w:szCs w:val="22"/>
        </w:rPr>
        <w:t xml:space="preserve"> in the Flow Management workout process</w:t>
      </w:r>
      <w:r w:rsidR="007665F7">
        <w:rPr>
          <w:rFonts w:ascii="Arial" w:eastAsiaTheme="minorHAnsi" w:hAnsi="Arial" w:cs="Arial"/>
          <w:sz w:val="22"/>
          <w:szCs w:val="22"/>
        </w:rPr>
        <w:t xml:space="preserve">: i) a going concern option </w:t>
      </w:r>
      <w:r w:rsidR="00830987">
        <w:rPr>
          <w:rFonts w:ascii="Arial" w:eastAsiaTheme="minorHAnsi" w:hAnsi="Arial" w:cs="Arial"/>
          <w:sz w:val="22"/>
          <w:szCs w:val="22"/>
        </w:rPr>
        <w:t xml:space="preserve">provided the Company is viable; ii) </w:t>
      </w:r>
      <w:r w:rsidR="0086078E">
        <w:rPr>
          <w:rFonts w:ascii="Arial" w:eastAsiaTheme="minorHAnsi" w:hAnsi="Arial" w:cs="Arial"/>
          <w:sz w:val="22"/>
          <w:szCs w:val="22"/>
        </w:rPr>
        <w:t>sale to a willing buyer</w:t>
      </w:r>
      <w:r w:rsidR="00593501">
        <w:rPr>
          <w:rFonts w:ascii="Arial" w:eastAsiaTheme="minorHAnsi" w:hAnsi="Arial" w:cs="Arial"/>
          <w:sz w:val="22"/>
          <w:szCs w:val="22"/>
        </w:rPr>
        <w:t xml:space="preserve">; iii) a </w:t>
      </w:r>
      <w:r w:rsidR="00F66865">
        <w:rPr>
          <w:rFonts w:ascii="Arial" w:eastAsiaTheme="minorHAnsi" w:hAnsi="Arial" w:cs="Arial"/>
          <w:sz w:val="22"/>
          <w:szCs w:val="22"/>
        </w:rPr>
        <w:t>debt-to-equity</w:t>
      </w:r>
      <w:r w:rsidR="00593501">
        <w:rPr>
          <w:rFonts w:ascii="Arial" w:eastAsiaTheme="minorHAnsi" w:hAnsi="Arial" w:cs="Arial"/>
          <w:sz w:val="22"/>
          <w:szCs w:val="22"/>
        </w:rPr>
        <w:t xml:space="preserve"> swap</w:t>
      </w:r>
      <w:r w:rsidR="001B7EE8">
        <w:rPr>
          <w:rFonts w:ascii="Arial" w:eastAsiaTheme="minorHAnsi" w:hAnsi="Arial" w:cs="Arial"/>
          <w:sz w:val="22"/>
          <w:szCs w:val="22"/>
        </w:rPr>
        <w:t xml:space="preserve">; and iv) </w:t>
      </w:r>
      <w:r w:rsidR="00820126">
        <w:rPr>
          <w:rFonts w:ascii="Arial" w:eastAsiaTheme="minorHAnsi" w:hAnsi="Arial" w:cs="Arial"/>
          <w:sz w:val="22"/>
          <w:szCs w:val="22"/>
        </w:rPr>
        <w:t xml:space="preserve">a court-supervised sale </w:t>
      </w:r>
      <w:r w:rsidR="00F66865">
        <w:rPr>
          <w:rFonts w:ascii="Arial" w:eastAsiaTheme="minorHAnsi" w:hAnsi="Arial" w:cs="Arial"/>
          <w:sz w:val="22"/>
          <w:szCs w:val="22"/>
        </w:rPr>
        <w:t>within</w:t>
      </w:r>
      <w:r w:rsidR="00820126">
        <w:rPr>
          <w:rFonts w:ascii="Arial" w:eastAsiaTheme="minorHAnsi" w:hAnsi="Arial" w:cs="Arial"/>
          <w:sz w:val="22"/>
          <w:szCs w:val="22"/>
        </w:rPr>
        <w:t xml:space="preserve"> </w:t>
      </w:r>
      <w:r w:rsidR="001B7EE8">
        <w:rPr>
          <w:rFonts w:ascii="Arial" w:eastAsiaTheme="minorHAnsi" w:hAnsi="Arial" w:cs="Arial"/>
          <w:sz w:val="22"/>
          <w:szCs w:val="22"/>
        </w:rPr>
        <w:t xml:space="preserve">a </w:t>
      </w:r>
      <w:r w:rsidR="00F66865">
        <w:rPr>
          <w:rFonts w:ascii="Arial" w:eastAsiaTheme="minorHAnsi" w:hAnsi="Arial" w:cs="Arial"/>
          <w:sz w:val="22"/>
          <w:szCs w:val="22"/>
        </w:rPr>
        <w:t xml:space="preserve">formal </w:t>
      </w:r>
      <w:r w:rsidR="001B7EE8">
        <w:rPr>
          <w:rFonts w:ascii="Arial" w:eastAsiaTheme="minorHAnsi" w:hAnsi="Arial" w:cs="Arial"/>
          <w:sz w:val="22"/>
          <w:szCs w:val="22"/>
        </w:rPr>
        <w:t>m</w:t>
      </w:r>
      <w:r w:rsidR="00820126">
        <w:rPr>
          <w:rFonts w:ascii="Arial" w:eastAsiaTheme="minorHAnsi" w:hAnsi="Arial" w:cs="Arial"/>
          <w:sz w:val="22"/>
          <w:szCs w:val="22"/>
        </w:rPr>
        <w:t xml:space="preserve">oratorium or liquidation </w:t>
      </w:r>
      <w:r w:rsidR="00F66865">
        <w:rPr>
          <w:rFonts w:ascii="Arial" w:eastAsiaTheme="minorHAnsi" w:hAnsi="Arial" w:cs="Arial"/>
          <w:sz w:val="22"/>
          <w:szCs w:val="22"/>
        </w:rPr>
        <w:t>proceeding.</w:t>
      </w:r>
    </w:p>
    <w:p w14:paraId="614C994D" w14:textId="77777777" w:rsidR="00C24889" w:rsidRDefault="00C24889" w:rsidP="00C24889">
      <w:pPr>
        <w:pStyle w:val="paragraph"/>
        <w:spacing w:before="0" w:beforeAutospacing="0" w:after="0" w:afterAutospacing="0"/>
        <w:ind w:right="150"/>
        <w:jc w:val="both"/>
        <w:textAlignment w:val="baseline"/>
        <w:rPr>
          <w:rFonts w:ascii="Arial" w:eastAsiaTheme="minorHAnsi" w:hAnsi="Arial" w:cs="Arial"/>
          <w:sz w:val="22"/>
          <w:szCs w:val="22"/>
        </w:rPr>
      </w:pPr>
    </w:p>
    <w:p w14:paraId="1B604713" w14:textId="0015FF5F" w:rsidR="00C24889" w:rsidRDefault="009F3D41" w:rsidP="004E6115">
      <w:pPr>
        <w:pStyle w:val="paragraph"/>
        <w:spacing w:before="0" w:beforeAutospacing="0" w:after="0" w:afterAutospacing="0"/>
        <w:ind w:right="150"/>
        <w:jc w:val="both"/>
        <w:textAlignment w:val="baseline"/>
        <w:rPr>
          <w:rFonts w:ascii="Arial" w:hAnsi="Arial" w:cs="Arial"/>
          <w:sz w:val="22"/>
          <w:szCs w:val="22"/>
        </w:rPr>
      </w:pPr>
      <w:r>
        <w:rPr>
          <w:rFonts w:ascii="Arial" w:eastAsiaTheme="minorHAnsi" w:hAnsi="Arial" w:cs="Arial"/>
          <w:sz w:val="22"/>
          <w:szCs w:val="22"/>
        </w:rPr>
        <w:t xml:space="preserve">Out of the four possible scenarios, the fourth one is the only </w:t>
      </w:r>
      <w:r w:rsidR="00C1140C">
        <w:rPr>
          <w:rFonts w:ascii="Arial" w:eastAsiaTheme="minorHAnsi" w:hAnsi="Arial" w:cs="Arial"/>
          <w:sz w:val="22"/>
          <w:szCs w:val="22"/>
        </w:rPr>
        <w:t xml:space="preserve">one fully conducted within a formal </w:t>
      </w:r>
      <w:r w:rsidR="00807CD5">
        <w:rPr>
          <w:rFonts w:ascii="Arial" w:eastAsiaTheme="minorHAnsi" w:hAnsi="Arial" w:cs="Arial"/>
          <w:sz w:val="22"/>
          <w:szCs w:val="22"/>
        </w:rPr>
        <w:t>bankruptcy</w:t>
      </w:r>
      <w:r w:rsidR="00C1140C">
        <w:rPr>
          <w:rFonts w:ascii="Arial" w:eastAsiaTheme="minorHAnsi" w:hAnsi="Arial" w:cs="Arial"/>
          <w:sz w:val="22"/>
          <w:szCs w:val="22"/>
        </w:rPr>
        <w:t xml:space="preserve"> proceeding, </w:t>
      </w:r>
      <w:r w:rsidR="0079760F">
        <w:rPr>
          <w:rFonts w:ascii="Arial" w:eastAsiaTheme="minorHAnsi" w:hAnsi="Arial" w:cs="Arial"/>
          <w:sz w:val="22"/>
          <w:szCs w:val="22"/>
        </w:rPr>
        <w:t xml:space="preserve">whether judicial reorganization or liquidation. As discussed in my answer to Question </w:t>
      </w:r>
      <w:r w:rsidR="00E7144F">
        <w:rPr>
          <w:rFonts w:ascii="Arial" w:eastAsiaTheme="minorHAnsi" w:hAnsi="Arial" w:cs="Arial"/>
          <w:sz w:val="22"/>
          <w:szCs w:val="22"/>
        </w:rPr>
        <w:t xml:space="preserve">2, </w:t>
      </w:r>
      <w:r w:rsidR="009A6F62">
        <w:rPr>
          <w:rFonts w:ascii="Arial" w:eastAsiaTheme="minorHAnsi" w:hAnsi="Arial" w:cs="Arial"/>
          <w:sz w:val="22"/>
          <w:szCs w:val="22"/>
        </w:rPr>
        <w:t xml:space="preserve">out-of-court restructuring </w:t>
      </w:r>
      <w:r w:rsidR="00352332">
        <w:rPr>
          <w:rFonts w:ascii="Arial" w:eastAsiaTheme="minorHAnsi" w:hAnsi="Arial" w:cs="Arial"/>
          <w:sz w:val="22"/>
          <w:szCs w:val="22"/>
        </w:rPr>
        <w:t xml:space="preserve">is often preferred because of its many benefits </w:t>
      </w:r>
      <w:r w:rsidR="00ED36F0">
        <w:rPr>
          <w:rFonts w:ascii="Arial" w:eastAsiaTheme="minorHAnsi" w:hAnsi="Arial" w:cs="Arial"/>
          <w:sz w:val="22"/>
          <w:szCs w:val="22"/>
        </w:rPr>
        <w:t>compared</w:t>
      </w:r>
      <w:r w:rsidR="00352332">
        <w:rPr>
          <w:rFonts w:ascii="Arial" w:eastAsiaTheme="minorHAnsi" w:hAnsi="Arial" w:cs="Arial"/>
          <w:sz w:val="22"/>
          <w:szCs w:val="22"/>
        </w:rPr>
        <w:t xml:space="preserve"> to </w:t>
      </w:r>
      <w:r w:rsidR="00655D1C">
        <w:rPr>
          <w:rFonts w:ascii="Arial" w:eastAsiaTheme="minorHAnsi" w:hAnsi="Arial" w:cs="Arial"/>
          <w:sz w:val="22"/>
          <w:szCs w:val="22"/>
        </w:rPr>
        <w:t xml:space="preserve">court-supervised </w:t>
      </w:r>
      <w:r w:rsidR="00807CD5">
        <w:rPr>
          <w:rFonts w:ascii="Arial" w:eastAsiaTheme="minorHAnsi" w:hAnsi="Arial" w:cs="Arial"/>
          <w:sz w:val="22"/>
          <w:szCs w:val="22"/>
        </w:rPr>
        <w:t>bankruptcy proceedings</w:t>
      </w:r>
      <w:r w:rsidR="00ED36F0">
        <w:rPr>
          <w:rFonts w:ascii="Arial" w:eastAsiaTheme="minorHAnsi" w:hAnsi="Arial" w:cs="Arial"/>
          <w:sz w:val="22"/>
          <w:szCs w:val="22"/>
        </w:rPr>
        <w:t xml:space="preserve">. </w:t>
      </w:r>
      <w:r w:rsidR="000928FE">
        <w:rPr>
          <w:rFonts w:ascii="Arial" w:hAnsi="Arial" w:cs="Arial"/>
          <w:sz w:val="22"/>
          <w:szCs w:val="22"/>
        </w:rPr>
        <w:t>With respect to judicial</w:t>
      </w:r>
      <w:r w:rsidR="00C24889" w:rsidRPr="00C24889">
        <w:rPr>
          <w:rFonts w:ascii="Arial" w:hAnsi="Arial" w:cs="Arial"/>
          <w:sz w:val="22"/>
          <w:szCs w:val="22"/>
        </w:rPr>
        <w:t xml:space="preserve"> reorganization</w:t>
      </w:r>
      <w:r w:rsidR="000928FE">
        <w:rPr>
          <w:rFonts w:ascii="Arial" w:hAnsi="Arial" w:cs="Arial"/>
          <w:sz w:val="22"/>
          <w:szCs w:val="22"/>
        </w:rPr>
        <w:t xml:space="preserve">, </w:t>
      </w:r>
      <w:r w:rsidR="00E342B2">
        <w:rPr>
          <w:rFonts w:ascii="Arial" w:hAnsi="Arial" w:cs="Arial"/>
          <w:sz w:val="22"/>
          <w:szCs w:val="22"/>
        </w:rPr>
        <w:t>countries’ insolvency laws</w:t>
      </w:r>
      <w:r w:rsidR="00C24889" w:rsidRPr="00C24889">
        <w:rPr>
          <w:rFonts w:ascii="Arial" w:hAnsi="Arial" w:cs="Arial"/>
          <w:sz w:val="22"/>
          <w:szCs w:val="22"/>
        </w:rPr>
        <w:t xml:space="preserve"> differ, </w:t>
      </w:r>
      <w:r w:rsidR="00E342B2">
        <w:rPr>
          <w:rFonts w:ascii="Arial" w:hAnsi="Arial" w:cs="Arial"/>
          <w:sz w:val="22"/>
          <w:szCs w:val="22"/>
        </w:rPr>
        <w:t xml:space="preserve">but generally </w:t>
      </w:r>
      <w:r w:rsidR="006D53C0">
        <w:rPr>
          <w:rFonts w:ascii="Arial" w:hAnsi="Arial" w:cs="Arial"/>
          <w:sz w:val="22"/>
          <w:szCs w:val="22"/>
        </w:rPr>
        <w:t>they must be initiated through a formal petition to the court (by eligible petitioners, the debtor or creditors</w:t>
      </w:r>
      <w:r w:rsidR="00EF6C2E">
        <w:rPr>
          <w:rFonts w:ascii="Arial" w:hAnsi="Arial" w:cs="Arial"/>
          <w:sz w:val="22"/>
          <w:szCs w:val="22"/>
        </w:rPr>
        <w:t>, if the jurisdiction allows it</w:t>
      </w:r>
      <w:r w:rsidR="006D53C0">
        <w:rPr>
          <w:rFonts w:ascii="Arial" w:hAnsi="Arial" w:cs="Arial"/>
          <w:sz w:val="22"/>
          <w:szCs w:val="22"/>
        </w:rPr>
        <w:t>)</w:t>
      </w:r>
      <w:r w:rsidR="00C24889" w:rsidRPr="00C24889">
        <w:rPr>
          <w:rFonts w:ascii="Arial" w:hAnsi="Arial" w:cs="Arial"/>
          <w:sz w:val="22"/>
          <w:szCs w:val="22"/>
        </w:rPr>
        <w:t xml:space="preserve"> </w:t>
      </w:r>
      <w:r w:rsidR="003676E0">
        <w:rPr>
          <w:rFonts w:ascii="Arial" w:hAnsi="Arial" w:cs="Arial"/>
          <w:sz w:val="22"/>
          <w:szCs w:val="22"/>
        </w:rPr>
        <w:t xml:space="preserve">and the procedure is </w:t>
      </w:r>
      <w:r w:rsidR="00B36A26">
        <w:rPr>
          <w:rFonts w:ascii="Arial" w:hAnsi="Arial" w:cs="Arial"/>
          <w:sz w:val="22"/>
          <w:szCs w:val="22"/>
        </w:rPr>
        <w:t>“</w:t>
      </w:r>
      <w:r w:rsidR="003676E0">
        <w:rPr>
          <w:rFonts w:ascii="Arial" w:hAnsi="Arial" w:cs="Arial"/>
          <w:sz w:val="22"/>
          <w:szCs w:val="22"/>
        </w:rPr>
        <w:t>universal</w:t>
      </w:r>
      <w:r w:rsidR="00B36A26">
        <w:rPr>
          <w:rFonts w:ascii="Arial" w:hAnsi="Arial" w:cs="Arial"/>
          <w:sz w:val="22"/>
          <w:szCs w:val="22"/>
        </w:rPr>
        <w:t>”</w:t>
      </w:r>
      <w:r w:rsidR="003676E0">
        <w:rPr>
          <w:rFonts w:ascii="Arial" w:hAnsi="Arial" w:cs="Arial"/>
          <w:sz w:val="22"/>
          <w:szCs w:val="22"/>
        </w:rPr>
        <w:t xml:space="preserve"> in the sense that </w:t>
      </w:r>
      <w:r w:rsidR="00C91C7F">
        <w:rPr>
          <w:rFonts w:ascii="Arial" w:hAnsi="Arial" w:cs="Arial"/>
          <w:sz w:val="22"/>
          <w:szCs w:val="22"/>
        </w:rPr>
        <w:t xml:space="preserve">it must </w:t>
      </w:r>
      <w:r w:rsidR="00B36A26" w:rsidRPr="00B36A26">
        <w:rPr>
          <w:rFonts w:ascii="Arial" w:hAnsi="Arial" w:cs="Arial"/>
          <w:sz w:val="22"/>
          <w:szCs w:val="22"/>
        </w:rPr>
        <w:t xml:space="preserve">include all creditors, </w:t>
      </w:r>
      <w:r w:rsidR="003E39C7">
        <w:rPr>
          <w:rFonts w:ascii="Arial" w:hAnsi="Arial" w:cs="Arial"/>
          <w:sz w:val="22"/>
          <w:szCs w:val="22"/>
        </w:rPr>
        <w:t>including state authorities (such as tax authorities).</w:t>
      </w:r>
      <w:r w:rsidR="003E39C7">
        <w:rPr>
          <w:rStyle w:val="FootnoteReference"/>
          <w:rFonts w:ascii="Arial" w:hAnsi="Arial" w:cs="Arial"/>
          <w:sz w:val="22"/>
          <w:szCs w:val="22"/>
        </w:rPr>
        <w:footnoteReference w:id="24"/>
      </w:r>
      <w:r w:rsidR="003E39C7">
        <w:rPr>
          <w:rFonts w:ascii="Arial" w:hAnsi="Arial" w:cs="Arial"/>
          <w:sz w:val="22"/>
          <w:szCs w:val="22"/>
        </w:rPr>
        <w:t xml:space="preserve"> </w:t>
      </w:r>
      <w:r w:rsidR="00C24889" w:rsidRPr="00C24889">
        <w:rPr>
          <w:rFonts w:ascii="Arial" w:hAnsi="Arial" w:cs="Arial"/>
          <w:sz w:val="22"/>
          <w:szCs w:val="22"/>
        </w:rPr>
        <w:t>Throughout this process and until a restructuring plan is implemented</w:t>
      </w:r>
      <w:r w:rsidR="00343838">
        <w:rPr>
          <w:rFonts w:ascii="Arial" w:hAnsi="Arial" w:cs="Arial"/>
          <w:sz w:val="22"/>
          <w:szCs w:val="22"/>
        </w:rPr>
        <w:t xml:space="preserve"> / or a sale within li</w:t>
      </w:r>
      <w:r w:rsidR="00F13E4A">
        <w:rPr>
          <w:rFonts w:ascii="Arial" w:hAnsi="Arial" w:cs="Arial"/>
          <w:sz w:val="22"/>
          <w:szCs w:val="22"/>
        </w:rPr>
        <w:t>quidation is completed</w:t>
      </w:r>
      <w:r w:rsidR="00C24889" w:rsidRPr="00C24889">
        <w:rPr>
          <w:rFonts w:ascii="Arial" w:hAnsi="Arial" w:cs="Arial"/>
          <w:sz w:val="22"/>
          <w:szCs w:val="22"/>
        </w:rPr>
        <w:t>, the debtor is under the supervision of the court.</w:t>
      </w:r>
      <w:r w:rsidR="004E6115">
        <w:rPr>
          <w:rFonts w:ascii="Arial" w:hAnsi="Arial" w:cs="Arial"/>
          <w:sz w:val="22"/>
          <w:szCs w:val="22"/>
        </w:rPr>
        <w:t xml:space="preserve"> </w:t>
      </w:r>
      <w:r w:rsidR="00C24889" w:rsidRPr="00C24889">
        <w:rPr>
          <w:rFonts w:ascii="Arial" w:hAnsi="Arial" w:cs="Arial"/>
          <w:sz w:val="22"/>
          <w:szCs w:val="22"/>
        </w:rPr>
        <w:t xml:space="preserve">In some jurisdictions (for example, the U.S.), a </w:t>
      </w:r>
      <w:r w:rsidR="004E6115">
        <w:rPr>
          <w:rFonts w:ascii="Arial" w:hAnsi="Arial" w:cs="Arial"/>
          <w:sz w:val="22"/>
          <w:szCs w:val="22"/>
        </w:rPr>
        <w:t>moratorium</w:t>
      </w:r>
      <w:r w:rsidR="00C24889" w:rsidRPr="00C24889">
        <w:rPr>
          <w:rFonts w:ascii="Arial" w:hAnsi="Arial" w:cs="Arial"/>
          <w:sz w:val="22"/>
          <w:szCs w:val="22"/>
        </w:rPr>
        <w:t xml:space="preserve"> is imposed automatically, </w:t>
      </w:r>
      <w:r w:rsidR="00DB1EB4">
        <w:rPr>
          <w:rFonts w:ascii="Arial" w:hAnsi="Arial" w:cs="Arial"/>
          <w:sz w:val="22"/>
          <w:szCs w:val="22"/>
        </w:rPr>
        <w:t xml:space="preserve">i.e., by statute, </w:t>
      </w:r>
      <w:r w:rsidR="00C24889" w:rsidRPr="00C24889">
        <w:rPr>
          <w:rFonts w:ascii="Arial" w:hAnsi="Arial" w:cs="Arial"/>
          <w:sz w:val="22"/>
          <w:szCs w:val="22"/>
        </w:rPr>
        <w:t>without any intervention or decision by the court or any administrative authority</w:t>
      </w:r>
      <w:r w:rsidR="00995223">
        <w:rPr>
          <w:rFonts w:ascii="Arial" w:hAnsi="Arial" w:cs="Arial"/>
          <w:sz w:val="22"/>
          <w:szCs w:val="22"/>
        </w:rPr>
        <w:t xml:space="preserve">, </w:t>
      </w:r>
      <w:r w:rsidR="00C24889" w:rsidRPr="00C24889">
        <w:rPr>
          <w:rFonts w:ascii="Arial" w:hAnsi="Arial" w:cs="Arial"/>
          <w:sz w:val="22"/>
          <w:szCs w:val="22"/>
        </w:rPr>
        <w:t xml:space="preserve">simply by </w:t>
      </w:r>
      <w:r w:rsidR="00995223">
        <w:rPr>
          <w:rFonts w:ascii="Arial" w:hAnsi="Arial" w:cs="Arial"/>
          <w:sz w:val="22"/>
          <w:szCs w:val="22"/>
        </w:rPr>
        <w:t>commencing the</w:t>
      </w:r>
      <w:r w:rsidR="00C24889" w:rsidRPr="00C24889">
        <w:rPr>
          <w:rFonts w:ascii="Arial" w:hAnsi="Arial" w:cs="Arial"/>
          <w:sz w:val="22"/>
          <w:szCs w:val="22"/>
        </w:rPr>
        <w:t xml:space="preserve"> insolvency proceeding</w:t>
      </w:r>
      <w:r w:rsidR="00DB1EB4">
        <w:rPr>
          <w:rFonts w:ascii="Arial" w:hAnsi="Arial" w:cs="Arial"/>
          <w:sz w:val="22"/>
          <w:szCs w:val="22"/>
        </w:rPr>
        <w:t xml:space="preserve">. </w:t>
      </w:r>
      <w:r w:rsidR="00996C25">
        <w:rPr>
          <w:rFonts w:ascii="Arial" w:hAnsi="Arial" w:cs="Arial"/>
          <w:sz w:val="22"/>
          <w:szCs w:val="22"/>
        </w:rPr>
        <w:t xml:space="preserve">Court-supervised bankruptcy procedures </w:t>
      </w:r>
      <w:r w:rsidR="00BC1BB4">
        <w:rPr>
          <w:rFonts w:ascii="Arial" w:hAnsi="Arial" w:cs="Arial"/>
          <w:sz w:val="22"/>
          <w:szCs w:val="22"/>
        </w:rPr>
        <w:t xml:space="preserve">are public by definition and </w:t>
      </w:r>
      <w:r w:rsidR="00996C25">
        <w:rPr>
          <w:rFonts w:ascii="Arial" w:hAnsi="Arial" w:cs="Arial"/>
          <w:sz w:val="22"/>
          <w:szCs w:val="22"/>
        </w:rPr>
        <w:t xml:space="preserve">may also involve </w:t>
      </w:r>
      <w:r w:rsidR="00BC1BB4">
        <w:rPr>
          <w:rFonts w:ascii="Arial" w:hAnsi="Arial" w:cs="Arial"/>
          <w:sz w:val="22"/>
          <w:szCs w:val="22"/>
        </w:rPr>
        <w:t xml:space="preserve">displacing the debtor’s management by a court-appointed trustee. </w:t>
      </w:r>
    </w:p>
    <w:p w14:paraId="22B6B7C1" w14:textId="77777777" w:rsidR="00BC1BB4" w:rsidRDefault="00BC1BB4" w:rsidP="004E6115">
      <w:pPr>
        <w:pStyle w:val="paragraph"/>
        <w:spacing w:before="0" w:beforeAutospacing="0" w:after="0" w:afterAutospacing="0"/>
        <w:ind w:right="150"/>
        <w:jc w:val="both"/>
        <w:textAlignment w:val="baseline"/>
        <w:rPr>
          <w:rFonts w:ascii="Arial" w:hAnsi="Arial" w:cs="Arial"/>
          <w:sz w:val="22"/>
          <w:szCs w:val="22"/>
        </w:rPr>
      </w:pPr>
    </w:p>
    <w:p w14:paraId="5B384D4E" w14:textId="1797541F" w:rsidR="00BC1BB4" w:rsidRDefault="00D00E68" w:rsidP="004E6115">
      <w:pPr>
        <w:pStyle w:val="paragraph"/>
        <w:spacing w:before="0" w:beforeAutospacing="0" w:after="0" w:afterAutospacing="0"/>
        <w:ind w:right="150"/>
        <w:jc w:val="both"/>
        <w:textAlignment w:val="baseline"/>
        <w:rPr>
          <w:rFonts w:ascii="Arial" w:hAnsi="Arial" w:cs="Arial"/>
          <w:sz w:val="22"/>
          <w:szCs w:val="22"/>
        </w:rPr>
      </w:pPr>
      <w:r>
        <w:rPr>
          <w:rFonts w:ascii="Arial" w:hAnsi="Arial" w:cs="Arial"/>
          <w:sz w:val="22"/>
          <w:szCs w:val="22"/>
        </w:rPr>
        <w:t>In the jurisdiction where I am licensed,</w:t>
      </w:r>
      <w:r w:rsidR="00BC1BB4">
        <w:rPr>
          <w:rFonts w:ascii="Arial" w:hAnsi="Arial" w:cs="Arial"/>
          <w:sz w:val="22"/>
          <w:szCs w:val="22"/>
        </w:rPr>
        <w:t xml:space="preserve"> </w:t>
      </w:r>
      <w:r w:rsidR="006164F1">
        <w:rPr>
          <w:rFonts w:ascii="Arial" w:hAnsi="Arial" w:cs="Arial"/>
          <w:sz w:val="22"/>
          <w:szCs w:val="22"/>
        </w:rPr>
        <w:t>Bulgaria</w:t>
      </w:r>
      <w:r>
        <w:rPr>
          <w:rFonts w:ascii="Arial" w:hAnsi="Arial" w:cs="Arial"/>
          <w:sz w:val="22"/>
          <w:szCs w:val="22"/>
        </w:rPr>
        <w:t>, the</w:t>
      </w:r>
      <w:r w:rsidR="006164F1">
        <w:rPr>
          <w:rFonts w:ascii="Arial" w:hAnsi="Arial" w:cs="Arial"/>
          <w:sz w:val="22"/>
          <w:szCs w:val="22"/>
        </w:rPr>
        <w:t xml:space="preserve"> bankruptcy </w:t>
      </w:r>
      <w:r w:rsidR="00485991">
        <w:rPr>
          <w:rFonts w:ascii="Arial" w:hAnsi="Arial" w:cs="Arial"/>
          <w:sz w:val="22"/>
          <w:szCs w:val="22"/>
        </w:rPr>
        <w:t>legislation</w:t>
      </w:r>
      <w:r>
        <w:rPr>
          <w:rFonts w:ascii="Arial" w:hAnsi="Arial" w:cs="Arial"/>
          <w:sz w:val="22"/>
          <w:szCs w:val="22"/>
        </w:rPr>
        <w:t xml:space="preserve"> </w:t>
      </w:r>
      <w:r w:rsidR="00DC3ACD" w:rsidRPr="00DC3ACD">
        <w:rPr>
          <w:rFonts w:ascii="Arial" w:hAnsi="Arial" w:cs="Arial"/>
          <w:sz w:val="22"/>
          <w:szCs w:val="22"/>
        </w:rPr>
        <w:t>is encompassed within the Commercial Act (“CA”)</w:t>
      </w:r>
      <w:r w:rsidR="00DC3ACD">
        <w:rPr>
          <w:rStyle w:val="FootnoteReference"/>
          <w:rFonts w:ascii="Arial" w:hAnsi="Arial" w:cs="Arial"/>
          <w:sz w:val="22"/>
          <w:szCs w:val="22"/>
        </w:rPr>
        <w:footnoteReference w:id="25"/>
      </w:r>
      <w:r w:rsidR="00DC3ACD" w:rsidRPr="00DC3ACD">
        <w:rPr>
          <w:rFonts w:ascii="Arial" w:hAnsi="Arial" w:cs="Arial"/>
          <w:sz w:val="22"/>
          <w:szCs w:val="22"/>
        </w:rPr>
        <w:t xml:space="preserve"> and it comprises of two procedures: i) formal insolvency proceedings with </w:t>
      </w:r>
      <w:r w:rsidR="00361FE3">
        <w:rPr>
          <w:rFonts w:ascii="Arial" w:hAnsi="Arial" w:cs="Arial"/>
          <w:sz w:val="22"/>
          <w:szCs w:val="22"/>
        </w:rPr>
        <w:t xml:space="preserve">reorganization or </w:t>
      </w:r>
      <w:r w:rsidR="00DC3ACD" w:rsidRPr="00DC3ACD">
        <w:rPr>
          <w:rFonts w:ascii="Arial" w:hAnsi="Arial" w:cs="Arial"/>
          <w:sz w:val="22"/>
          <w:szCs w:val="22"/>
        </w:rPr>
        <w:t xml:space="preserve">liquidation purposes and ii) a preventive restructuring procedure applicable to merchants and corporate debtors </w:t>
      </w:r>
      <w:r w:rsidR="00A22A19">
        <w:rPr>
          <w:rFonts w:ascii="Arial" w:hAnsi="Arial" w:cs="Arial"/>
          <w:sz w:val="22"/>
          <w:szCs w:val="22"/>
        </w:rPr>
        <w:t>in financial difficulty</w:t>
      </w:r>
      <w:r w:rsidR="00DC3ACD" w:rsidRPr="00DC3ACD">
        <w:rPr>
          <w:rFonts w:ascii="Arial" w:hAnsi="Arial" w:cs="Arial"/>
          <w:sz w:val="22"/>
          <w:szCs w:val="22"/>
        </w:rPr>
        <w:t xml:space="preserve"> (the “stabilization procedure”).</w:t>
      </w:r>
      <w:r w:rsidR="006F75C8">
        <w:rPr>
          <w:rFonts w:ascii="Arial" w:hAnsi="Arial" w:cs="Arial"/>
          <w:sz w:val="22"/>
          <w:szCs w:val="22"/>
        </w:rPr>
        <w:t xml:space="preserve"> </w:t>
      </w:r>
      <w:r w:rsidR="00D96368">
        <w:rPr>
          <w:rFonts w:ascii="Arial" w:hAnsi="Arial" w:cs="Arial"/>
          <w:sz w:val="22"/>
          <w:szCs w:val="22"/>
        </w:rPr>
        <w:t xml:space="preserve">Both the stabilization procedure and the </w:t>
      </w:r>
      <w:r w:rsidR="00A75C7C">
        <w:rPr>
          <w:rFonts w:ascii="Arial" w:hAnsi="Arial" w:cs="Arial"/>
          <w:sz w:val="22"/>
          <w:szCs w:val="22"/>
        </w:rPr>
        <w:t xml:space="preserve">reorganization procedure impose an automatic stay on </w:t>
      </w:r>
      <w:r w:rsidR="004230A9">
        <w:rPr>
          <w:rFonts w:ascii="Arial" w:hAnsi="Arial" w:cs="Arial"/>
          <w:sz w:val="22"/>
          <w:szCs w:val="22"/>
        </w:rPr>
        <w:t xml:space="preserve">individual </w:t>
      </w:r>
      <w:r w:rsidR="00A75C7C">
        <w:rPr>
          <w:rFonts w:ascii="Arial" w:hAnsi="Arial" w:cs="Arial"/>
          <w:sz w:val="22"/>
          <w:szCs w:val="22"/>
        </w:rPr>
        <w:t>enforcement</w:t>
      </w:r>
      <w:r w:rsidR="004230A9">
        <w:rPr>
          <w:rFonts w:ascii="Arial" w:hAnsi="Arial" w:cs="Arial"/>
          <w:sz w:val="22"/>
          <w:szCs w:val="22"/>
        </w:rPr>
        <w:t xml:space="preserve"> actions</w:t>
      </w:r>
      <w:r w:rsidR="00A75C7C">
        <w:rPr>
          <w:rFonts w:ascii="Arial" w:hAnsi="Arial" w:cs="Arial"/>
          <w:sz w:val="22"/>
          <w:szCs w:val="22"/>
        </w:rPr>
        <w:t xml:space="preserve">, similar to the “formal suspension of payments procedure”, </w:t>
      </w:r>
      <w:r w:rsidR="004230A9">
        <w:rPr>
          <w:rFonts w:ascii="Arial" w:hAnsi="Arial" w:cs="Arial"/>
          <w:sz w:val="22"/>
          <w:szCs w:val="22"/>
        </w:rPr>
        <w:t>the difference is the entry to the</w:t>
      </w:r>
      <w:r w:rsidR="00CA2B89">
        <w:rPr>
          <w:rFonts w:ascii="Arial" w:hAnsi="Arial" w:cs="Arial"/>
          <w:sz w:val="22"/>
          <w:szCs w:val="22"/>
        </w:rPr>
        <w:t xml:space="preserve"> process – if the debtor is in a state of insolvency </w:t>
      </w:r>
      <w:r w:rsidR="005032E2">
        <w:rPr>
          <w:rFonts w:ascii="Arial" w:hAnsi="Arial" w:cs="Arial"/>
          <w:sz w:val="22"/>
          <w:szCs w:val="22"/>
        </w:rPr>
        <w:t xml:space="preserve">as </w:t>
      </w:r>
      <w:r w:rsidR="005032E2">
        <w:rPr>
          <w:rFonts w:ascii="Arial" w:hAnsi="Arial" w:cs="Arial"/>
          <w:sz w:val="22"/>
          <w:szCs w:val="22"/>
        </w:rPr>
        <w:lastRenderedPageBreak/>
        <w:t>defined in the law</w:t>
      </w:r>
      <w:r w:rsidR="00094B9D">
        <w:rPr>
          <w:rFonts w:ascii="Arial" w:hAnsi="Arial" w:cs="Arial"/>
          <w:sz w:val="22"/>
          <w:szCs w:val="22"/>
        </w:rPr>
        <w:t xml:space="preserve"> (</w:t>
      </w:r>
      <w:r w:rsidR="00094B9D" w:rsidRPr="00094B9D">
        <w:rPr>
          <w:rFonts w:ascii="Arial" w:hAnsi="Arial" w:cs="Arial"/>
          <w:sz w:val="22"/>
          <w:szCs w:val="22"/>
        </w:rPr>
        <w:t>a liquidity or cash-flow test</w:t>
      </w:r>
      <w:r w:rsidR="0089140E">
        <w:rPr>
          <w:rFonts w:ascii="Arial" w:hAnsi="Arial" w:cs="Arial"/>
          <w:sz w:val="22"/>
          <w:szCs w:val="22"/>
        </w:rPr>
        <w:t xml:space="preserve"> is contemplated by the law)</w:t>
      </w:r>
      <w:r w:rsidR="005032E2">
        <w:rPr>
          <w:rFonts w:ascii="Arial" w:hAnsi="Arial" w:cs="Arial"/>
          <w:sz w:val="22"/>
          <w:szCs w:val="22"/>
        </w:rPr>
        <w:t xml:space="preserve">, </w:t>
      </w:r>
      <w:r w:rsidR="0015686C">
        <w:rPr>
          <w:rFonts w:ascii="Arial" w:hAnsi="Arial" w:cs="Arial"/>
          <w:sz w:val="22"/>
          <w:szCs w:val="22"/>
        </w:rPr>
        <w:t xml:space="preserve">the stabilization procedure is not available. I would not recommend </w:t>
      </w:r>
      <w:r w:rsidR="00F065ED">
        <w:rPr>
          <w:rFonts w:ascii="Arial" w:hAnsi="Arial" w:cs="Arial"/>
          <w:sz w:val="22"/>
          <w:szCs w:val="22"/>
        </w:rPr>
        <w:t xml:space="preserve">a court-supervised option in the case of Flow Management because </w:t>
      </w:r>
      <w:r w:rsidR="0022613E">
        <w:rPr>
          <w:rFonts w:ascii="Arial" w:hAnsi="Arial" w:cs="Arial"/>
          <w:sz w:val="22"/>
          <w:szCs w:val="22"/>
        </w:rPr>
        <w:t xml:space="preserve">it is a lengthy, </w:t>
      </w:r>
      <w:r w:rsidR="0074718D">
        <w:rPr>
          <w:rFonts w:ascii="Arial" w:hAnsi="Arial" w:cs="Arial"/>
          <w:sz w:val="22"/>
          <w:szCs w:val="22"/>
        </w:rPr>
        <w:t>expensive,</w:t>
      </w:r>
      <w:r w:rsidR="0022613E">
        <w:rPr>
          <w:rFonts w:ascii="Arial" w:hAnsi="Arial" w:cs="Arial"/>
          <w:sz w:val="22"/>
          <w:szCs w:val="22"/>
        </w:rPr>
        <w:t xml:space="preserve"> and largely inefficient process, </w:t>
      </w:r>
      <w:r w:rsidR="00F419D3">
        <w:rPr>
          <w:rFonts w:ascii="Arial" w:hAnsi="Arial" w:cs="Arial"/>
          <w:sz w:val="22"/>
          <w:szCs w:val="22"/>
        </w:rPr>
        <w:t xml:space="preserve">and sale as going concern </w:t>
      </w:r>
      <w:r w:rsidR="006A3F7F">
        <w:rPr>
          <w:rFonts w:ascii="Arial" w:hAnsi="Arial" w:cs="Arial"/>
          <w:sz w:val="22"/>
          <w:szCs w:val="22"/>
        </w:rPr>
        <w:t xml:space="preserve">as </w:t>
      </w:r>
      <w:r w:rsidR="00F419D3">
        <w:rPr>
          <w:rFonts w:ascii="Arial" w:hAnsi="Arial" w:cs="Arial"/>
          <w:sz w:val="22"/>
          <w:szCs w:val="22"/>
        </w:rPr>
        <w:t xml:space="preserve">envisaged in </w:t>
      </w:r>
      <w:r w:rsidR="0014605C">
        <w:rPr>
          <w:rFonts w:ascii="Arial" w:hAnsi="Arial" w:cs="Arial"/>
          <w:sz w:val="22"/>
          <w:szCs w:val="22"/>
        </w:rPr>
        <w:t>S</w:t>
      </w:r>
      <w:r w:rsidR="00F419D3">
        <w:rPr>
          <w:rFonts w:ascii="Arial" w:hAnsi="Arial" w:cs="Arial"/>
          <w:sz w:val="22"/>
          <w:szCs w:val="22"/>
        </w:rPr>
        <w:t>cenario 4 is unlikely to be successful</w:t>
      </w:r>
      <w:r w:rsidR="0074718D">
        <w:rPr>
          <w:rFonts w:ascii="Arial" w:hAnsi="Arial" w:cs="Arial"/>
          <w:sz w:val="22"/>
          <w:szCs w:val="22"/>
        </w:rPr>
        <w:t xml:space="preserve"> in Bulgaria</w:t>
      </w:r>
      <w:r w:rsidR="00F419D3">
        <w:rPr>
          <w:rFonts w:ascii="Arial" w:hAnsi="Arial" w:cs="Arial"/>
          <w:sz w:val="22"/>
          <w:szCs w:val="22"/>
        </w:rPr>
        <w:t xml:space="preserve">. </w:t>
      </w:r>
      <w:r w:rsidR="006A3F7F">
        <w:rPr>
          <w:rFonts w:ascii="Arial" w:hAnsi="Arial" w:cs="Arial"/>
          <w:sz w:val="22"/>
          <w:szCs w:val="22"/>
        </w:rPr>
        <w:t>First, the mere o</w:t>
      </w:r>
      <w:r w:rsidR="00BF2842" w:rsidRPr="00BF2842">
        <w:rPr>
          <w:rFonts w:ascii="Arial" w:hAnsi="Arial" w:cs="Arial"/>
          <w:sz w:val="22"/>
          <w:szCs w:val="22"/>
        </w:rPr>
        <w:t xml:space="preserve">pening </w:t>
      </w:r>
      <w:r w:rsidR="006A3F7F">
        <w:rPr>
          <w:rFonts w:ascii="Arial" w:hAnsi="Arial" w:cs="Arial"/>
          <w:sz w:val="22"/>
          <w:szCs w:val="22"/>
        </w:rPr>
        <w:t>of the</w:t>
      </w:r>
      <w:r w:rsidR="00BF2842" w:rsidRPr="00BF2842">
        <w:rPr>
          <w:rFonts w:ascii="Arial" w:hAnsi="Arial" w:cs="Arial"/>
          <w:sz w:val="22"/>
          <w:szCs w:val="22"/>
        </w:rPr>
        <w:t xml:space="preserve"> insolvency proceeding </w:t>
      </w:r>
      <w:r w:rsidR="006A3F7F">
        <w:rPr>
          <w:rFonts w:ascii="Arial" w:hAnsi="Arial" w:cs="Arial"/>
          <w:sz w:val="22"/>
          <w:szCs w:val="22"/>
        </w:rPr>
        <w:t>can be</w:t>
      </w:r>
      <w:r w:rsidR="00BF2842" w:rsidRPr="00BF2842">
        <w:rPr>
          <w:rFonts w:ascii="Arial" w:hAnsi="Arial" w:cs="Arial"/>
          <w:sz w:val="22"/>
          <w:szCs w:val="22"/>
        </w:rPr>
        <w:t xml:space="preserve"> a cumbersome and lengthy process</w:t>
      </w:r>
      <w:r w:rsidR="00DB5794">
        <w:rPr>
          <w:rFonts w:ascii="Arial" w:hAnsi="Arial" w:cs="Arial"/>
          <w:sz w:val="22"/>
          <w:szCs w:val="22"/>
        </w:rPr>
        <w:t xml:space="preserve"> (often exceeding the three</w:t>
      </w:r>
      <w:r w:rsidR="00BF2842" w:rsidRPr="00BF2842">
        <w:rPr>
          <w:rFonts w:ascii="Arial" w:hAnsi="Arial" w:cs="Arial"/>
          <w:sz w:val="22"/>
          <w:szCs w:val="22"/>
        </w:rPr>
        <w:t xml:space="preserve"> months period </w:t>
      </w:r>
      <w:r w:rsidR="00DB5794">
        <w:rPr>
          <w:rFonts w:ascii="Arial" w:hAnsi="Arial" w:cs="Arial"/>
          <w:sz w:val="22"/>
          <w:szCs w:val="22"/>
        </w:rPr>
        <w:t xml:space="preserve">prescribed </w:t>
      </w:r>
      <w:r w:rsidR="00BF2842" w:rsidRPr="00BF2842">
        <w:rPr>
          <w:rFonts w:ascii="Arial" w:hAnsi="Arial" w:cs="Arial"/>
          <w:sz w:val="22"/>
          <w:szCs w:val="22"/>
        </w:rPr>
        <w:t>by the law</w:t>
      </w:r>
      <w:r w:rsidR="00C90C85">
        <w:rPr>
          <w:rFonts w:ascii="Arial" w:hAnsi="Arial" w:cs="Arial"/>
          <w:sz w:val="22"/>
          <w:szCs w:val="22"/>
        </w:rPr>
        <w:t xml:space="preserve"> in the case of formal insolvency), </w:t>
      </w:r>
      <w:r w:rsidR="00BF2842" w:rsidRPr="00BF2842">
        <w:rPr>
          <w:rFonts w:ascii="Arial" w:hAnsi="Arial" w:cs="Arial"/>
          <w:sz w:val="22"/>
          <w:szCs w:val="22"/>
        </w:rPr>
        <w:t>because judicial terms are not imperative</w:t>
      </w:r>
      <w:r w:rsidR="00207704">
        <w:rPr>
          <w:rFonts w:ascii="Arial" w:hAnsi="Arial" w:cs="Arial"/>
          <w:sz w:val="22"/>
          <w:szCs w:val="22"/>
        </w:rPr>
        <w:t>, which will negatively affect</w:t>
      </w:r>
      <w:r w:rsidR="00BF2842" w:rsidRPr="00BF2842">
        <w:rPr>
          <w:rFonts w:ascii="Arial" w:hAnsi="Arial" w:cs="Arial"/>
          <w:sz w:val="22"/>
          <w:szCs w:val="22"/>
        </w:rPr>
        <w:t xml:space="preserve"> any chance of using the rehabilitation procedure successfully. Access to insolvency proceedings is not cost-effective either. Although the initial fees that a creditor </w:t>
      </w:r>
      <w:r w:rsidR="009201BE">
        <w:rPr>
          <w:rFonts w:ascii="Arial" w:hAnsi="Arial" w:cs="Arial"/>
          <w:sz w:val="22"/>
          <w:szCs w:val="22"/>
        </w:rPr>
        <w:t>must</w:t>
      </w:r>
      <w:r w:rsidR="00BF2842" w:rsidRPr="00BF2842">
        <w:rPr>
          <w:rFonts w:ascii="Arial" w:hAnsi="Arial" w:cs="Arial"/>
          <w:sz w:val="22"/>
          <w:szCs w:val="22"/>
        </w:rPr>
        <w:t xml:space="preserve"> pay with a bankruptcy application are not high, the expenses determined by the court that the creditors should advance to continue a bankruptcy proceeding refrain creditors from filing bankruptcy petitions in many instances.</w:t>
      </w:r>
      <w:r w:rsidR="00EC484B">
        <w:rPr>
          <w:rFonts w:ascii="Arial" w:hAnsi="Arial" w:cs="Arial"/>
          <w:sz w:val="22"/>
          <w:szCs w:val="22"/>
        </w:rPr>
        <w:t xml:space="preserve"> </w:t>
      </w:r>
    </w:p>
    <w:p w14:paraId="3B43A893" w14:textId="4F1FDFAB" w:rsidR="006A4CC4" w:rsidRDefault="0061619C" w:rsidP="0061619C">
      <w:pPr>
        <w:pStyle w:val="paragraph"/>
        <w:spacing w:after="0"/>
        <w:ind w:right="150"/>
        <w:jc w:val="both"/>
        <w:textAlignment w:val="baseline"/>
        <w:rPr>
          <w:rFonts w:ascii="Arial" w:hAnsi="Arial" w:cs="Arial"/>
          <w:sz w:val="22"/>
          <w:szCs w:val="22"/>
        </w:rPr>
      </w:pPr>
      <w:r>
        <w:rPr>
          <w:rFonts w:ascii="Arial" w:hAnsi="Arial" w:cs="Arial"/>
          <w:sz w:val="22"/>
          <w:szCs w:val="22"/>
        </w:rPr>
        <w:t>In practice, m</w:t>
      </w:r>
      <w:r w:rsidRPr="0061619C">
        <w:rPr>
          <w:rFonts w:ascii="Arial" w:hAnsi="Arial" w:cs="Arial"/>
          <w:sz w:val="22"/>
          <w:szCs w:val="22"/>
        </w:rPr>
        <w:t>ost insolvency proceedings end up as a piece-meal liquidation of assets</w:t>
      </w:r>
      <w:r w:rsidR="00516659">
        <w:rPr>
          <w:rFonts w:ascii="Arial" w:hAnsi="Arial" w:cs="Arial"/>
          <w:sz w:val="22"/>
          <w:szCs w:val="22"/>
        </w:rPr>
        <w:t xml:space="preserve">, and </w:t>
      </w:r>
      <w:r w:rsidRPr="0061619C">
        <w:rPr>
          <w:rFonts w:ascii="Arial" w:hAnsi="Arial" w:cs="Arial"/>
          <w:sz w:val="22"/>
          <w:szCs w:val="22"/>
        </w:rPr>
        <w:t>going concern sales</w:t>
      </w:r>
      <w:r w:rsidR="00516659">
        <w:rPr>
          <w:rFonts w:ascii="Arial" w:hAnsi="Arial" w:cs="Arial"/>
          <w:sz w:val="22"/>
          <w:szCs w:val="22"/>
        </w:rPr>
        <w:t>, as contemplated in Scenario 4,</w:t>
      </w:r>
      <w:r w:rsidRPr="0061619C">
        <w:rPr>
          <w:rFonts w:ascii="Arial" w:hAnsi="Arial" w:cs="Arial"/>
          <w:sz w:val="22"/>
          <w:szCs w:val="22"/>
        </w:rPr>
        <w:t xml:space="preserve"> under a rehabilitation plan are rarely implemented</w:t>
      </w:r>
      <w:r w:rsidR="00E1688F">
        <w:rPr>
          <w:rFonts w:ascii="Arial" w:hAnsi="Arial" w:cs="Arial"/>
          <w:sz w:val="22"/>
          <w:szCs w:val="22"/>
        </w:rPr>
        <w:t xml:space="preserve"> for many reasons</w:t>
      </w:r>
      <w:r w:rsidRPr="0061619C">
        <w:rPr>
          <w:rFonts w:ascii="Arial" w:hAnsi="Arial" w:cs="Arial"/>
          <w:sz w:val="22"/>
          <w:szCs w:val="22"/>
        </w:rPr>
        <w:t>.</w:t>
      </w:r>
      <w:r w:rsidR="00F85CA5">
        <w:rPr>
          <w:rFonts w:ascii="Arial" w:hAnsi="Arial" w:cs="Arial"/>
          <w:sz w:val="22"/>
          <w:szCs w:val="22"/>
        </w:rPr>
        <w:t xml:space="preserve"> T</w:t>
      </w:r>
      <w:r w:rsidRPr="0061619C">
        <w:rPr>
          <w:rFonts w:ascii="Arial" w:hAnsi="Arial" w:cs="Arial"/>
          <w:sz w:val="22"/>
          <w:szCs w:val="22"/>
        </w:rPr>
        <w:t>he law does not contemplate any mechanism to protect and encourage the use of workouts by pre-insolvent or insolvent debtors, through a “prepackaged plan” or “expedited reorganization”</w:t>
      </w:r>
      <w:r w:rsidR="006F4C9E">
        <w:rPr>
          <w:rFonts w:ascii="Arial" w:hAnsi="Arial" w:cs="Arial"/>
          <w:sz w:val="22"/>
          <w:szCs w:val="22"/>
        </w:rPr>
        <w:t xml:space="preserve"> which may </w:t>
      </w:r>
      <w:r w:rsidR="00A021AD">
        <w:rPr>
          <w:rFonts w:ascii="Arial" w:hAnsi="Arial" w:cs="Arial"/>
          <w:sz w:val="22"/>
          <w:szCs w:val="22"/>
        </w:rPr>
        <w:t>invalidate</w:t>
      </w:r>
      <w:r w:rsidR="006F4C9E">
        <w:rPr>
          <w:rFonts w:ascii="Arial" w:hAnsi="Arial" w:cs="Arial"/>
          <w:sz w:val="22"/>
          <w:szCs w:val="22"/>
        </w:rPr>
        <w:t xml:space="preserve"> </w:t>
      </w:r>
      <w:r w:rsidR="00A021AD">
        <w:rPr>
          <w:rFonts w:ascii="Arial" w:hAnsi="Arial" w:cs="Arial"/>
          <w:sz w:val="22"/>
          <w:szCs w:val="22"/>
        </w:rPr>
        <w:t>the</w:t>
      </w:r>
      <w:r w:rsidR="006F4C9E">
        <w:rPr>
          <w:rFonts w:ascii="Arial" w:hAnsi="Arial" w:cs="Arial"/>
          <w:sz w:val="22"/>
          <w:szCs w:val="22"/>
        </w:rPr>
        <w:t xml:space="preserve"> agreements or concessions made in the Flow Management case prior to filing in court</w:t>
      </w:r>
      <w:r w:rsidR="00A021AD">
        <w:rPr>
          <w:rFonts w:ascii="Arial" w:hAnsi="Arial" w:cs="Arial"/>
          <w:sz w:val="22"/>
          <w:szCs w:val="22"/>
        </w:rPr>
        <w:t>.</w:t>
      </w:r>
      <w:r w:rsidR="00BE3C94">
        <w:rPr>
          <w:rFonts w:ascii="Arial" w:hAnsi="Arial" w:cs="Arial"/>
          <w:sz w:val="22"/>
          <w:szCs w:val="22"/>
        </w:rPr>
        <w:t xml:space="preserve"> Perhaps the most important impediment</w:t>
      </w:r>
      <w:r w:rsidR="00535743">
        <w:rPr>
          <w:rFonts w:ascii="Arial" w:hAnsi="Arial" w:cs="Arial"/>
          <w:sz w:val="22"/>
          <w:szCs w:val="22"/>
        </w:rPr>
        <w:t xml:space="preserve"> is requirement that the</w:t>
      </w:r>
      <w:r w:rsidRPr="0061619C">
        <w:rPr>
          <w:rFonts w:ascii="Arial" w:hAnsi="Arial" w:cs="Arial"/>
          <w:sz w:val="22"/>
          <w:szCs w:val="22"/>
        </w:rPr>
        <w:t xml:space="preserve"> Ministry of Finance authoriz</w:t>
      </w:r>
      <w:r w:rsidR="00535743">
        <w:rPr>
          <w:rFonts w:ascii="Arial" w:hAnsi="Arial" w:cs="Arial"/>
          <w:sz w:val="22"/>
          <w:szCs w:val="22"/>
        </w:rPr>
        <w:t>es</w:t>
      </w:r>
      <w:r w:rsidRPr="0061619C">
        <w:rPr>
          <w:rFonts w:ascii="Arial" w:hAnsi="Arial" w:cs="Arial"/>
          <w:sz w:val="22"/>
          <w:szCs w:val="22"/>
        </w:rPr>
        <w:t xml:space="preserve"> / approv</w:t>
      </w:r>
      <w:r w:rsidR="00535743">
        <w:rPr>
          <w:rFonts w:ascii="Arial" w:hAnsi="Arial" w:cs="Arial"/>
          <w:sz w:val="22"/>
          <w:szCs w:val="22"/>
        </w:rPr>
        <w:t>es</w:t>
      </w:r>
      <w:r w:rsidRPr="0061619C">
        <w:rPr>
          <w:rFonts w:ascii="Arial" w:hAnsi="Arial" w:cs="Arial"/>
          <w:sz w:val="22"/>
          <w:szCs w:val="22"/>
        </w:rPr>
        <w:t xml:space="preserve"> any plan where taxes or other state claims are </w:t>
      </w:r>
      <w:r w:rsidR="009D125E">
        <w:rPr>
          <w:rFonts w:ascii="Arial" w:hAnsi="Arial" w:cs="Arial"/>
          <w:sz w:val="22"/>
          <w:szCs w:val="22"/>
        </w:rPr>
        <w:t>affected in any way, which remained in the law even after the most recent 2023 amendments</w:t>
      </w:r>
      <w:r w:rsidRPr="0061619C">
        <w:rPr>
          <w:rFonts w:ascii="Arial" w:hAnsi="Arial" w:cs="Arial"/>
          <w:sz w:val="22"/>
          <w:szCs w:val="22"/>
        </w:rPr>
        <w:t>. The preferential treatment afforded to state claims by the tax legislation may frustrate any rehabilitation plan procedure</w:t>
      </w:r>
      <w:r w:rsidR="00252995">
        <w:rPr>
          <w:rFonts w:ascii="Arial" w:hAnsi="Arial" w:cs="Arial"/>
          <w:sz w:val="22"/>
          <w:szCs w:val="22"/>
        </w:rPr>
        <w:t xml:space="preserve"> or attempt at a sale as going concern.</w:t>
      </w:r>
      <w:r w:rsidRPr="0061619C">
        <w:rPr>
          <w:rFonts w:ascii="Arial" w:hAnsi="Arial" w:cs="Arial"/>
          <w:sz w:val="22"/>
          <w:szCs w:val="22"/>
        </w:rPr>
        <w:tab/>
        <w:t>Where a plan contemplates the sale of the whole enterprise as a going concern, the requirement that a draft sale agreement signed by the purchaser shall be attached to the plan renders such sales quite difficult to achieve.</w:t>
      </w:r>
      <w:r w:rsidR="00E60BCC">
        <w:rPr>
          <w:rFonts w:ascii="Arial" w:hAnsi="Arial" w:cs="Arial"/>
          <w:sz w:val="22"/>
          <w:szCs w:val="22"/>
        </w:rPr>
        <w:t xml:space="preserve"> </w:t>
      </w:r>
      <w:r w:rsidR="00E60BCC" w:rsidRPr="00E60BCC">
        <w:rPr>
          <w:rFonts w:ascii="Arial" w:hAnsi="Arial" w:cs="Arial"/>
          <w:sz w:val="22"/>
          <w:szCs w:val="22"/>
        </w:rPr>
        <w:t xml:space="preserve">The </w:t>
      </w:r>
      <w:r w:rsidR="004B04C3">
        <w:rPr>
          <w:rFonts w:ascii="Arial" w:hAnsi="Arial" w:cs="Arial"/>
          <w:sz w:val="22"/>
          <w:szCs w:val="22"/>
        </w:rPr>
        <w:t>one-month deadline</w:t>
      </w:r>
      <w:r w:rsidR="00E60BCC" w:rsidRPr="00E60BCC">
        <w:rPr>
          <w:rFonts w:ascii="Arial" w:hAnsi="Arial" w:cs="Arial"/>
          <w:sz w:val="22"/>
          <w:szCs w:val="22"/>
        </w:rPr>
        <w:t xml:space="preserve"> for submitting a plan proposal is too short </w:t>
      </w:r>
      <w:r w:rsidR="00DC3EC7">
        <w:rPr>
          <w:rFonts w:ascii="Arial" w:hAnsi="Arial" w:cs="Arial"/>
          <w:sz w:val="22"/>
          <w:szCs w:val="22"/>
        </w:rPr>
        <w:t>to</w:t>
      </w:r>
      <w:r w:rsidR="00E60BCC" w:rsidRPr="00E60BCC">
        <w:rPr>
          <w:rFonts w:ascii="Arial" w:hAnsi="Arial" w:cs="Arial"/>
          <w:sz w:val="22"/>
          <w:szCs w:val="22"/>
        </w:rPr>
        <w:t xml:space="preserve"> allow a </w:t>
      </w:r>
      <w:r w:rsidR="00D22920" w:rsidRPr="00E60BCC">
        <w:rPr>
          <w:rFonts w:ascii="Arial" w:hAnsi="Arial" w:cs="Arial"/>
          <w:sz w:val="22"/>
          <w:szCs w:val="22"/>
        </w:rPr>
        <w:t>third-party</w:t>
      </w:r>
      <w:r w:rsidR="00E60BCC" w:rsidRPr="00E60BCC">
        <w:rPr>
          <w:rFonts w:ascii="Arial" w:hAnsi="Arial" w:cs="Arial"/>
          <w:sz w:val="22"/>
          <w:szCs w:val="22"/>
        </w:rPr>
        <w:t xml:space="preserve"> </w:t>
      </w:r>
      <w:r w:rsidR="00DC3EC7">
        <w:rPr>
          <w:rFonts w:ascii="Arial" w:hAnsi="Arial" w:cs="Arial"/>
          <w:sz w:val="22"/>
          <w:szCs w:val="22"/>
        </w:rPr>
        <w:t xml:space="preserve">buyer </w:t>
      </w:r>
      <w:r w:rsidR="00E60BCC" w:rsidRPr="00E60BCC">
        <w:rPr>
          <w:rFonts w:ascii="Arial" w:hAnsi="Arial" w:cs="Arial"/>
          <w:sz w:val="22"/>
          <w:szCs w:val="22"/>
        </w:rPr>
        <w:t>to evaluate the convenience of such a transaction and to structure all its terms in a draft that must be signed.</w:t>
      </w:r>
    </w:p>
    <w:p w14:paraId="3862E8AD" w14:textId="4F239470" w:rsidR="006A4CC4" w:rsidRPr="0061619C" w:rsidRDefault="006A4CC4" w:rsidP="0061619C">
      <w:pPr>
        <w:pStyle w:val="paragraph"/>
        <w:spacing w:after="0"/>
        <w:ind w:right="150"/>
        <w:jc w:val="both"/>
        <w:textAlignment w:val="baseline"/>
        <w:rPr>
          <w:rFonts w:ascii="Arial" w:hAnsi="Arial" w:cs="Arial"/>
          <w:sz w:val="22"/>
          <w:szCs w:val="22"/>
        </w:rPr>
      </w:pPr>
      <w:r>
        <w:rPr>
          <w:rFonts w:ascii="Arial" w:hAnsi="Arial" w:cs="Arial"/>
          <w:sz w:val="22"/>
          <w:szCs w:val="22"/>
        </w:rPr>
        <w:t xml:space="preserve">Finally, </w:t>
      </w:r>
      <w:r w:rsidR="00407B9C">
        <w:rPr>
          <w:rFonts w:ascii="Arial" w:hAnsi="Arial" w:cs="Arial"/>
          <w:sz w:val="22"/>
          <w:szCs w:val="22"/>
        </w:rPr>
        <w:t>wh</w:t>
      </w:r>
      <w:r w:rsidR="001A08FD">
        <w:rPr>
          <w:rFonts w:ascii="Arial" w:hAnsi="Arial" w:cs="Arial"/>
          <w:sz w:val="22"/>
          <w:szCs w:val="22"/>
        </w:rPr>
        <w:t>i</w:t>
      </w:r>
      <w:r w:rsidR="00407B9C">
        <w:rPr>
          <w:rFonts w:ascii="Arial" w:hAnsi="Arial" w:cs="Arial"/>
          <w:sz w:val="22"/>
          <w:szCs w:val="22"/>
        </w:rPr>
        <w:t xml:space="preserve">le the Bulgarian </w:t>
      </w:r>
      <w:r w:rsidR="00181F9A">
        <w:rPr>
          <w:rFonts w:ascii="Arial" w:hAnsi="Arial" w:cs="Arial"/>
          <w:sz w:val="22"/>
          <w:szCs w:val="22"/>
        </w:rPr>
        <w:t xml:space="preserve">bankruptcy legislation includes </w:t>
      </w:r>
      <w:r w:rsidR="00181F9A" w:rsidRPr="00181F9A">
        <w:rPr>
          <w:rFonts w:ascii="Arial" w:hAnsi="Arial" w:cs="Arial"/>
          <w:sz w:val="22"/>
          <w:szCs w:val="22"/>
        </w:rPr>
        <w:t xml:space="preserve">provisions governing cross-border insolvency issues where a non-EU </w:t>
      </w:r>
      <w:r w:rsidR="004E6A41">
        <w:rPr>
          <w:rFonts w:ascii="Arial" w:hAnsi="Arial" w:cs="Arial"/>
          <w:sz w:val="22"/>
          <w:szCs w:val="22"/>
        </w:rPr>
        <w:t>member state</w:t>
      </w:r>
      <w:r w:rsidR="00181F9A" w:rsidRPr="00181F9A">
        <w:rPr>
          <w:rFonts w:ascii="Arial" w:hAnsi="Arial" w:cs="Arial"/>
          <w:sz w:val="22"/>
          <w:szCs w:val="22"/>
        </w:rPr>
        <w:t xml:space="preserve"> is involved</w:t>
      </w:r>
      <w:r w:rsidR="001A08FD">
        <w:rPr>
          <w:rFonts w:ascii="Arial" w:hAnsi="Arial" w:cs="Arial"/>
          <w:sz w:val="22"/>
          <w:szCs w:val="22"/>
        </w:rPr>
        <w:t>, it</w:t>
      </w:r>
      <w:r w:rsidR="00181F9A" w:rsidRPr="00181F9A">
        <w:rPr>
          <w:rFonts w:ascii="Arial" w:hAnsi="Arial" w:cs="Arial"/>
          <w:sz w:val="22"/>
          <w:szCs w:val="22"/>
        </w:rPr>
        <w:t xml:space="preserve"> does not </w:t>
      </w:r>
      <w:r w:rsidR="0087612B">
        <w:rPr>
          <w:rFonts w:ascii="Arial" w:hAnsi="Arial" w:cs="Arial"/>
          <w:sz w:val="22"/>
          <w:szCs w:val="22"/>
        </w:rPr>
        <w:t>pres</w:t>
      </w:r>
      <w:r w:rsidR="00047E51">
        <w:rPr>
          <w:rFonts w:ascii="Arial" w:hAnsi="Arial" w:cs="Arial"/>
          <w:sz w:val="22"/>
          <w:szCs w:val="22"/>
        </w:rPr>
        <w:t>cribe</w:t>
      </w:r>
      <w:r w:rsidR="00181F9A" w:rsidRPr="00181F9A">
        <w:rPr>
          <w:rFonts w:ascii="Arial" w:hAnsi="Arial" w:cs="Arial"/>
          <w:sz w:val="22"/>
          <w:szCs w:val="22"/>
        </w:rPr>
        <w:t xml:space="preserve"> a clear and </w:t>
      </w:r>
      <w:r w:rsidR="00047E51">
        <w:rPr>
          <w:rFonts w:ascii="Arial" w:hAnsi="Arial" w:cs="Arial"/>
          <w:sz w:val="22"/>
          <w:szCs w:val="22"/>
        </w:rPr>
        <w:t>efficient</w:t>
      </w:r>
      <w:r w:rsidR="00181F9A" w:rsidRPr="00181F9A">
        <w:rPr>
          <w:rFonts w:ascii="Arial" w:hAnsi="Arial" w:cs="Arial"/>
          <w:sz w:val="22"/>
          <w:szCs w:val="22"/>
        </w:rPr>
        <w:t xml:space="preserve"> process for obtaining recognition of foreign insolvency proceedings. Many legal and practical aspects which are typically involved in cross-border cases are not regulated. </w:t>
      </w:r>
      <w:r w:rsidR="001B1FF1">
        <w:rPr>
          <w:rFonts w:ascii="Arial" w:hAnsi="Arial" w:cs="Arial"/>
          <w:sz w:val="22"/>
          <w:szCs w:val="22"/>
        </w:rPr>
        <w:t>Also</w:t>
      </w:r>
      <w:r w:rsidR="00181F9A" w:rsidRPr="00181F9A">
        <w:rPr>
          <w:rFonts w:ascii="Arial" w:hAnsi="Arial" w:cs="Arial"/>
          <w:sz w:val="22"/>
          <w:szCs w:val="22"/>
        </w:rPr>
        <w:t xml:space="preserve">, there are no legal provisions that </w:t>
      </w:r>
      <w:r w:rsidR="004E6A41">
        <w:rPr>
          <w:rFonts w:ascii="Arial" w:hAnsi="Arial" w:cs="Arial"/>
          <w:sz w:val="22"/>
          <w:szCs w:val="22"/>
        </w:rPr>
        <w:t>contemplate</w:t>
      </w:r>
      <w:r w:rsidR="00181F9A" w:rsidRPr="00181F9A">
        <w:rPr>
          <w:rFonts w:ascii="Arial" w:hAnsi="Arial" w:cs="Arial"/>
          <w:sz w:val="22"/>
          <w:szCs w:val="22"/>
        </w:rPr>
        <w:t xml:space="preserve"> the insolvency of domestic enterprise groups and, other than the EU </w:t>
      </w:r>
      <w:r w:rsidR="004E6A41">
        <w:rPr>
          <w:rFonts w:ascii="Arial" w:hAnsi="Arial" w:cs="Arial"/>
          <w:sz w:val="22"/>
          <w:szCs w:val="22"/>
        </w:rPr>
        <w:t>R</w:t>
      </w:r>
      <w:r w:rsidR="00181F9A" w:rsidRPr="00181F9A">
        <w:rPr>
          <w:rFonts w:ascii="Arial" w:hAnsi="Arial" w:cs="Arial"/>
          <w:sz w:val="22"/>
          <w:szCs w:val="22"/>
        </w:rPr>
        <w:t xml:space="preserve">egulation there are no provisions that deal with the insolvency of international enterprise groups where non-EU </w:t>
      </w:r>
      <w:r w:rsidR="004E6A41">
        <w:rPr>
          <w:rFonts w:ascii="Arial" w:hAnsi="Arial" w:cs="Arial"/>
          <w:sz w:val="22"/>
          <w:szCs w:val="22"/>
        </w:rPr>
        <w:t>member states</w:t>
      </w:r>
      <w:r w:rsidR="00181F9A" w:rsidRPr="00181F9A">
        <w:rPr>
          <w:rFonts w:ascii="Arial" w:hAnsi="Arial" w:cs="Arial"/>
          <w:sz w:val="22"/>
          <w:szCs w:val="22"/>
        </w:rPr>
        <w:t xml:space="preserve"> are involved</w:t>
      </w:r>
      <w:r w:rsidR="00570D43">
        <w:rPr>
          <w:rFonts w:ascii="Arial" w:hAnsi="Arial" w:cs="Arial"/>
          <w:sz w:val="22"/>
          <w:szCs w:val="22"/>
        </w:rPr>
        <w:t xml:space="preserve">, which is critical in the Flow Management situation. </w:t>
      </w:r>
    </w:p>
    <w:p w14:paraId="57936850" w14:textId="77777777" w:rsidR="00C24889" w:rsidRPr="00C24889" w:rsidRDefault="00C24889" w:rsidP="00C24889">
      <w:pPr>
        <w:pStyle w:val="paragraph"/>
        <w:ind w:right="150"/>
        <w:jc w:val="both"/>
        <w:textAlignment w:val="baseline"/>
        <w:rPr>
          <w:rFonts w:ascii="Arial" w:hAnsi="Arial" w:cs="Arial"/>
          <w:sz w:val="22"/>
          <w:szCs w:val="22"/>
        </w:rPr>
      </w:pPr>
    </w:p>
    <w:p w14:paraId="63F858B3" w14:textId="77777777" w:rsidR="00DF72CD" w:rsidRDefault="00DF72CD" w:rsidP="005A5648">
      <w:pPr>
        <w:pStyle w:val="paragraph"/>
        <w:spacing w:before="0" w:beforeAutospacing="0" w:after="0" w:afterAutospacing="0"/>
        <w:ind w:right="150"/>
        <w:jc w:val="both"/>
        <w:textAlignment w:val="baseline"/>
        <w:rPr>
          <w:rFonts w:ascii="Arial" w:eastAsiaTheme="minorHAnsi" w:hAnsi="Arial" w:cs="Arial"/>
          <w:sz w:val="22"/>
          <w:szCs w:val="22"/>
        </w:rPr>
      </w:pPr>
    </w:p>
    <w:p w14:paraId="5D1A130A" w14:textId="77777777" w:rsidR="00DF72CD" w:rsidRPr="005A5648" w:rsidRDefault="00DF72CD" w:rsidP="005A5648">
      <w:pPr>
        <w:pStyle w:val="paragraph"/>
        <w:spacing w:before="0" w:beforeAutospacing="0" w:after="0" w:afterAutospacing="0"/>
        <w:ind w:right="150"/>
        <w:jc w:val="both"/>
        <w:textAlignment w:val="baseline"/>
        <w:rPr>
          <w:rFonts w:ascii="Arial" w:eastAsiaTheme="minorHAnsi" w:hAnsi="Arial" w:cs="Arial"/>
          <w:sz w:val="22"/>
          <w:szCs w:val="22"/>
        </w:rPr>
      </w:pPr>
    </w:p>
    <w:p w14:paraId="61858791" w14:textId="77777777" w:rsidR="005A5648" w:rsidRPr="00184738" w:rsidRDefault="005A5648" w:rsidP="00184738">
      <w:pPr>
        <w:jc w:val="both"/>
        <w:rPr>
          <w:rFonts w:ascii="Arial" w:hAnsi="Arial" w:cs="Arial"/>
        </w:rPr>
      </w:pPr>
    </w:p>
    <w:p w14:paraId="1CD837CA" w14:textId="77777777" w:rsidR="009E44D7" w:rsidRPr="009E44D7" w:rsidRDefault="009E44D7" w:rsidP="0000779F">
      <w:pPr>
        <w:jc w:val="both"/>
        <w:rPr>
          <w:rFonts w:ascii="Arial" w:hAnsi="Arial" w:cs="Arial"/>
        </w:rPr>
      </w:pPr>
    </w:p>
    <w:p w14:paraId="749EF5D8" w14:textId="77777777" w:rsidR="009E44D7" w:rsidRPr="0000779F" w:rsidRDefault="009E44D7" w:rsidP="0000779F">
      <w:pPr>
        <w:jc w:val="both"/>
        <w:rPr>
          <w:rFonts w:ascii="Arial" w:hAnsi="Arial" w:cs="Arial"/>
          <w:iCs/>
          <w:lang w:val="en-GB"/>
        </w:rPr>
      </w:pPr>
    </w:p>
    <w:sectPr w:rsidR="009E44D7" w:rsidRPr="000077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6D9E" w14:textId="77777777" w:rsidR="007D17FE" w:rsidRDefault="007D17FE" w:rsidP="003C431C">
      <w:pPr>
        <w:spacing w:after="0" w:line="240" w:lineRule="auto"/>
      </w:pPr>
      <w:r>
        <w:separator/>
      </w:r>
    </w:p>
  </w:endnote>
  <w:endnote w:type="continuationSeparator" w:id="0">
    <w:p w14:paraId="78E9C895" w14:textId="77777777" w:rsidR="007D17FE" w:rsidRDefault="007D17FE" w:rsidP="003C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760974"/>
      <w:docPartObj>
        <w:docPartGallery w:val="Page Numbers (Bottom of Page)"/>
        <w:docPartUnique/>
      </w:docPartObj>
    </w:sdtPr>
    <w:sdtEndPr>
      <w:rPr>
        <w:noProof/>
      </w:rPr>
    </w:sdtEndPr>
    <w:sdtContent>
      <w:p w14:paraId="21DFBCD8" w14:textId="2FA10547" w:rsidR="0014018A" w:rsidRDefault="001401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EBF2" w14:textId="77777777" w:rsidR="0014018A" w:rsidRDefault="0014018A">
    <w:pPr>
      <w:pStyle w:val="Footer"/>
    </w:pPr>
  </w:p>
  <w:p w14:paraId="045A8C3F" w14:textId="77777777" w:rsidR="00000000" w:rsidRDefault="00000000"/>
  <w:p w14:paraId="2FD115E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8853" w14:textId="77777777" w:rsidR="007D17FE" w:rsidRDefault="007D17FE" w:rsidP="003C431C">
      <w:pPr>
        <w:spacing w:after="0" w:line="240" w:lineRule="auto"/>
      </w:pPr>
      <w:r>
        <w:separator/>
      </w:r>
    </w:p>
  </w:footnote>
  <w:footnote w:type="continuationSeparator" w:id="0">
    <w:p w14:paraId="75C2E86B" w14:textId="77777777" w:rsidR="007D17FE" w:rsidRDefault="007D17FE" w:rsidP="003C431C">
      <w:pPr>
        <w:spacing w:after="0" w:line="240" w:lineRule="auto"/>
      </w:pPr>
      <w:r>
        <w:continuationSeparator/>
      </w:r>
    </w:p>
  </w:footnote>
  <w:footnote w:id="1">
    <w:p w14:paraId="25C741DB" w14:textId="33588512" w:rsidR="00520168" w:rsidRDefault="00520168" w:rsidP="00520168">
      <w:pPr>
        <w:pStyle w:val="FootnoteText"/>
        <w:jc w:val="both"/>
      </w:pPr>
      <w:r>
        <w:rPr>
          <w:rStyle w:val="FootnoteReference"/>
        </w:rPr>
        <w:footnoteRef/>
      </w:r>
      <w:r>
        <w:t xml:space="preserve"> </w:t>
      </w:r>
      <w:r w:rsidR="001001D7" w:rsidRPr="009F375B">
        <w:rPr>
          <w:rFonts w:ascii="Arial" w:hAnsi="Arial" w:cs="Arial"/>
          <w:sz w:val="16"/>
          <w:szCs w:val="16"/>
        </w:rPr>
        <w:t>Mellahi, K., &amp; Wilkinson, A. (2004).</w:t>
      </w:r>
      <w:r w:rsidR="001001D7" w:rsidRPr="009F375B">
        <w:rPr>
          <w:rFonts w:ascii="Arial" w:hAnsi="Arial" w:cs="Arial"/>
          <w:i/>
          <w:iCs/>
          <w:sz w:val="16"/>
          <w:szCs w:val="16"/>
        </w:rPr>
        <w:t xml:space="preserve"> Organizational failure: a critique of recent research and a proposed integrative framework. </w:t>
      </w:r>
      <w:r w:rsidR="001001D7" w:rsidRPr="009F375B">
        <w:rPr>
          <w:rFonts w:ascii="Arial" w:hAnsi="Arial" w:cs="Arial"/>
          <w:sz w:val="16"/>
          <w:szCs w:val="16"/>
        </w:rPr>
        <w:t>International Journal of Management Reviews, 5(1), 21-41</w:t>
      </w:r>
      <w:r w:rsidRPr="009F375B">
        <w:rPr>
          <w:rFonts w:ascii="Arial" w:hAnsi="Arial" w:cs="Arial"/>
          <w:sz w:val="16"/>
          <w:szCs w:val="16"/>
        </w:rPr>
        <w:t>.</w:t>
      </w:r>
    </w:p>
  </w:footnote>
  <w:footnote w:id="2">
    <w:p w14:paraId="16B0BE6D" w14:textId="55D42B29" w:rsidR="00E851D0" w:rsidRPr="005E630E" w:rsidRDefault="00E851D0">
      <w:pPr>
        <w:pStyle w:val="FootnoteText"/>
        <w:rPr>
          <w:rFonts w:ascii="Arial" w:hAnsi="Arial" w:cs="Arial"/>
          <w:sz w:val="16"/>
          <w:szCs w:val="16"/>
        </w:rPr>
      </w:pPr>
      <w:r>
        <w:rPr>
          <w:rStyle w:val="FootnoteReference"/>
        </w:rPr>
        <w:footnoteRef/>
      </w:r>
      <w:r>
        <w:t xml:space="preserve"> </w:t>
      </w:r>
      <w:r w:rsidR="005E630E" w:rsidRPr="005E630E">
        <w:rPr>
          <w:rFonts w:ascii="Arial" w:hAnsi="Arial" w:cs="Arial"/>
          <w:sz w:val="16"/>
          <w:szCs w:val="16"/>
        </w:rPr>
        <w:t xml:space="preserve">Pajunen, K. (2006). </w:t>
      </w:r>
      <w:r w:rsidR="005E630E" w:rsidRPr="005E630E">
        <w:rPr>
          <w:rFonts w:ascii="Arial" w:hAnsi="Arial" w:cs="Arial"/>
          <w:i/>
          <w:iCs/>
          <w:sz w:val="16"/>
          <w:szCs w:val="16"/>
        </w:rPr>
        <w:t>Stakeholder Influences in Organizational Survival</w:t>
      </w:r>
      <w:r w:rsidR="005E630E" w:rsidRPr="005E630E">
        <w:rPr>
          <w:rFonts w:ascii="Arial" w:hAnsi="Arial" w:cs="Arial"/>
          <w:sz w:val="16"/>
          <w:szCs w:val="16"/>
        </w:rPr>
        <w:t>. Journal of Management Studies, 43(6), 1261-1288.</w:t>
      </w:r>
    </w:p>
  </w:footnote>
  <w:footnote w:id="3">
    <w:p w14:paraId="3EE04658" w14:textId="4335ED05" w:rsidR="004D427C" w:rsidRPr="006A5960" w:rsidRDefault="004D427C">
      <w:pPr>
        <w:pStyle w:val="FootnoteText"/>
        <w:rPr>
          <w:rFonts w:ascii="Arial" w:hAnsi="Arial" w:cs="Arial"/>
          <w:sz w:val="16"/>
          <w:szCs w:val="16"/>
        </w:rPr>
      </w:pPr>
      <w:r>
        <w:rPr>
          <w:rStyle w:val="FootnoteReference"/>
        </w:rPr>
        <w:footnoteRef/>
      </w:r>
      <w:r>
        <w:t xml:space="preserve"> </w:t>
      </w:r>
      <w:r w:rsidRPr="003728CD">
        <w:rPr>
          <w:rFonts w:ascii="Arial" w:hAnsi="Arial" w:cs="Arial"/>
          <w:sz w:val="16"/>
          <w:szCs w:val="16"/>
        </w:rPr>
        <w:t xml:space="preserve">Governing stakeholders are </w:t>
      </w:r>
      <w:r w:rsidRPr="009B4E37">
        <w:rPr>
          <w:rFonts w:ascii="Arial" w:hAnsi="Arial" w:cs="Arial"/>
          <w:i/>
          <w:iCs/>
          <w:sz w:val="16"/>
          <w:szCs w:val="16"/>
        </w:rPr>
        <w:t xml:space="preserve">described in the </w:t>
      </w:r>
      <w:r w:rsidR="00FF52E1" w:rsidRPr="009B4E37">
        <w:rPr>
          <w:rFonts w:ascii="Arial" w:hAnsi="Arial" w:cs="Arial"/>
          <w:i/>
          <w:iCs/>
          <w:sz w:val="16"/>
          <w:szCs w:val="16"/>
        </w:rPr>
        <w:t>2006 Pajunen study as those who have “</w:t>
      </w:r>
      <w:r w:rsidR="00FF52E1" w:rsidRPr="009B4E37">
        <w:rPr>
          <w:rFonts w:ascii="Arial" w:hAnsi="Arial" w:cs="Arial"/>
          <w:i/>
          <w:iCs/>
          <w:sz w:val="16"/>
          <w:szCs w:val="16"/>
        </w:rPr>
        <w:t>direct</w:t>
      </w:r>
      <w:r w:rsidR="00FF52E1" w:rsidRPr="009B4E37">
        <w:rPr>
          <w:rFonts w:ascii="Arial" w:hAnsi="Arial" w:cs="Arial"/>
          <w:i/>
          <w:iCs/>
          <w:sz w:val="16"/>
          <w:szCs w:val="16"/>
        </w:rPr>
        <w:t xml:space="preserve"> </w:t>
      </w:r>
      <w:r w:rsidR="00FF52E1" w:rsidRPr="009B4E37">
        <w:rPr>
          <w:rFonts w:ascii="Arial" w:hAnsi="Arial" w:cs="Arial"/>
          <w:i/>
          <w:iCs/>
          <w:sz w:val="16"/>
          <w:szCs w:val="16"/>
        </w:rPr>
        <w:t>influence on an organization’s survival</w:t>
      </w:r>
      <w:r w:rsidR="00FF52E1" w:rsidRPr="009B4E37">
        <w:rPr>
          <w:rFonts w:ascii="Arial" w:hAnsi="Arial" w:cs="Arial"/>
          <w:i/>
          <w:iCs/>
          <w:sz w:val="16"/>
          <w:szCs w:val="16"/>
        </w:rPr>
        <w:t xml:space="preserve">”, see </w:t>
      </w:r>
      <w:r w:rsidR="00DF12F0" w:rsidRPr="006A5960">
        <w:rPr>
          <w:rFonts w:ascii="Arial" w:hAnsi="Arial" w:cs="Arial"/>
          <w:sz w:val="16"/>
          <w:szCs w:val="16"/>
        </w:rPr>
        <w:t xml:space="preserve">Pajunen, K. (2006). </w:t>
      </w:r>
      <w:r w:rsidR="00DF12F0" w:rsidRPr="009B4E37">
        <w:rPr>
          <w:rFonts w:ascii="Arial" w:hAnsi="Arial" w:cs="Arial"/>
          <w:i/>
          <w:iCs/>
          <w:sz w:val="16"/>
          <w:szCs w:val="16"/>
        </w:rPr>
        <w:t>Stakeholder Influences</w:t>
      </w:r>
      <w:r w:rsidR="00DF12F0" w:rsidRPr="003728CD">
        <w:rPr>
          <w:rFonts w:ascii="Arial" w:hAnsi="Arial" w:cs="Arial"/>
          <w:i/>
          <w:iCs/>
          <w:sz w:val="16"/>
          <w:szCs w:val="16"/>
        </w:rPr>
        <w:t xml:space="preserve"> in Organizational Survival. </w:t>
      </w:r>
      <w:r w:rsidR="00DF12F0" w:rsidRPr="006A5960">
        <w:rPr>
          <w:rFonts w:ascii="Arial" w:hAnsi="Arial" w:cs="Arial"/>
          <w:sz w:val="16"/>
          <w:szCs w:val="16"/>
        </w:rPr>
        <w:t>Journal of Management Studies, 43(6), 1261-1288.</w:t>
      </w:r>
    </w:p>
  </w:footnote>
  <w:footnote w:id="4">
    <w:p w14:paraId="3ADA527F" w14:textId="56E2AE98" w:rsidR="00AA06C6" w:rsidRPr="009B4E37" w:rsidRDefault="00AA06C6">
      <w:pPr>
        <w:pStyle w:val="FootnoteText"/>
        <w:rPr>
          <w:rFonts w:ascii="Arial" w:hAnsi="Arial" w:cs="Arial"/>
          <w:sz w:val="16"/>
          <w:szCs w:val="16"/>
        </w:rPr>
      </w:pPr>
      <w:r>
        <w:rPr>
          <w:rStyle w:val="FootnoteReference"/>
        </w:rPr>
        <w:footnoteRef/>
      </w:r>
      <w:r>
        <w:t xml:space="preserve"> </w:t>
      </w:r>
      <w:r w:rsidR="009B4E37" w:rsidRPr="009B4E37">
        <w:rPr>
          <w:rFonts w:ascii="Arial" w:hAnsi="Arial" w:cs="Arial"/>
          <w:sz w:val="16"/>
          <w:szCs w:val="16"/>
        </w:rPr>
        <w:t xml:space="preserve">Adriaanse, J.A.A., &amp; Kuijl, J.G. (2006). </w:t>
      </w:r>
      <w:r w:rsidR="009B4E37" w:rsidRPr="009B4E37">
        <w:rPr>
          <w:rFonts w:ascii="Arial" w:hAnsi="Arial" w:cs="Arial"/>
          <w:i/>
          <w:iCs/>
          <w:sz w:val="16"/>
          <w:szCs w:val="16"/>
        </w:rPr>
        <w:t>Resolving Financial Distress: Informal Reorganization in The Netherlands as a Beacon for Policy Makers in the CIS and CEE/SEE Regions?</w:t>
      </w:r>
      <w:r w:rsidR="009B4E37" w:rsidRPr="009B4E37">
        <w:rPr>
          <w:rFonts w:ascii="Arial" w:hAnsi="Arial" w:cs="Arial"/>
          <w:sz w:val="16"/>
          <w:szCs w:val="16"/>
        </w:rPr>
        <w:t>, Review of Central and East European Law, 31(2), 135-154.</w:t>
      </w:r>
    </w:p>
  </w:footnote>
  <w:footnote w:id="5">
    <w:p w14:paraId="0E0E9533" w14:textId="313ABB6C" w:rsidR="00FE4629" w:rsidRPr="005A0BB9" w:rsidRDefault="00FE4629">
      <w:pPr>
        <w:pStyle w:val="FootnoteText"/>
        <w:rPr>
          <w:rFonts w:ascii="Arial" w:hAnsi="Arial" w:cs="Arial"/>
          <w:sz w:val="16"/>
          <w:szCs w:val="16"/>
        </w:rPr>
      </w:pPr>
      <w:r>
        <w:rPr>
          <w:rStyle w:val="FootnoteReference"/>
        </w:rPr>
        <w:footnoteRef/>
      </w:r>
      <w:r>
        <w:t xml:space="preserve"> </w:t>
      </w:r>
      <w:r w:rsidR="002C2A99" w:rsidRPr="005A0BB9">
        <w:rPr>
          <w:rFonts w:ascii="Arial" w:hAnsi="Arial" w:cs="Arial"/>
          <w:sz w:val="16"/>
          <w:szCs w:val="16"/>
        </w:rPr>
        <w:t>World Bank Principles for Effective Insolvency and Creditor/Debtor Regimes</w:t>
      </w:r>
      <w:r w:rsidR="005A0BB9" w:rsidRPr="005A0BB9">
        <w:rPr>
          <w:rFonts w:ascii="Arial" w:hAnsi="Arial" w:cs="Arial"/>
          <w:sz w:val="16"/>
          <w:szCs w:val="16"/>
        </w:rPr>
        <w:t>, available at</w:t>
      </w:r>
      <w:r w:rsidR="00623086">
        <w:rPr>
          <w:rFonts w:ascii="Arial" w:hAnsi="Arial" w:cs="Arial"/>
          <w:sz w:val="16"/>
          <w:szCs w:val="16"/>
        </w:rPr>
        <w:t xml:space="preserve"> </w:t>
      </w:r>
      <w:r w:rsidR="005A0BB9" w:rsidRPr="005A0BB9">
        <w:rPr>
          <w:rFonts w:ascii="Arial" w:hAnsi="Arial" w:cs="Arial"/>
          <w:sz w:val="16"/>
          <w:szCs w:val="16"/>
        </w:rPr>
        <w:t>https://openknowledge.worldbank.org/server/api/core/bitstreams/3824fe8e-edb3-5f9b-aa28-f5afc759e562/content#:~:text=The%20Principles%20for%20Effective%20Insolvency,involved%20in%20developing%20those%20solutions.</w:t>
      </w:r>
    </w:p>
  </w:footnote>
  <w:footnote w:id="6">
    <w:p w14:paraId="0FFAEFAD" w14:textId="70681ED2" w:rsidR="00E1746E" w:rsidRPr="00E1746E" w:rsidRDefault="00E1746E">
      <w:pPr>
        <w:pStyle w:val="FootnoteText"/>
        <w:rPr>
          <w:rFonts w:ascii="Arial" w:hAnsi="Arial" w:cs="Arial"/>
          <w:sz w:val="16"/>
          <w:szCs w:val="16"/>
        </w:rPr>
      </w:pPr>
      <w:r>
        <w:rPr>
          <w:rStyle w:val="FootnoteReference"/>
        </w:rPr>
        <w:footnoteRef/>
      </w:r>
      <w:r>
        <w:t xml:space="preserve"> </w:t>
      </w:r>
      <w:r w:rsidRPr="00E1746E">
        <w:rPr>
          <w:rFonts w:ascii="Arial" w:hAnsi="Arial" w:cs="Arial"/>
          <w:sz w:val="16"/>
          <w:szCs w:val="16"/>
        </w:rPr>
        <w:t xml:space="preserve">Broekema M.J.R. &amp; Adriaanse J.A.A. (2022), </w:t>
      </w:r>
      <w:r w:rsidRPr="00E1746E">
        <w:rPr>
          <w:rFonts w:ascii="Arial" w:hAnsi="Arial" w:cs="Arial"/>
          <w:i/>
          <w:iCs/>
          <w:sz w:val="16"/>
          <w:szCs w:val="16"/>
        </w:rPr>
        <w:t>Valuation Ambiguities under the European Directive on Preventive Restructuring Frameworks: Insights from the Netherlands</w:t>
      </w:r>
      <w:r w:rsidRPr="00E1746E">
        <w:rPr>
          <w:rFonts w:ascii="Arial" w:hAnsi="Arial" w:cs="Arial"/>
          <w:sz w:val="16"/>
          <w:szCs w:val="16"/>
        </w:rPr>
        <w:t>, The European Business Valuation Magazine 1(1): 4-10.</w:t>
      </w:r>
    </w:p>
  </w:footnote>
  <w:footnote w:id="7">
    <w:p w14:paraId="05DE9EF1" w14:textId="243864A8" w:rsidR="001D0805" w:rsidRPr="00EA25FE" w:rsidRDefault="001D0805">
      <w:pPr>
        <w:pStyle w:val="FootnoteText"/>
        <w:rPr>
          <w:rFonts w:ascii="Arial" w:hAnsi="Arial" w:cs="Arial"/>
          <w:sz w:val="16"/>
          <w:szCs w:val="16"/>
        </w:rPr>
      </w:pPr>
      <w:r>
        <w:rPr>
          <w:rStyle w:val="FootnoteReference"/>
        </w:rPr>
        <w:footnoteRef/>
      </w:r>
      <w:r>
        <w:t xml:space="preserve"> </w:t>
      </w:r>
      <w:r w:rsidR="00EA25FE">
        <w:rPr>
          <w:rFonts w:ascii="Arial" w:hAnsi="Arial" w:cs="Arial"/>
          <w:sz w:val="16"/>
          <w:szCs w:val="16"/>
        </w:rPr>
        <w:t xml:space="preserve">European Union </w:t>
      </w:r>
      <w:r w:rsidR="00EA25FE" w:rsidRPr="00EA25FE">
        <w:rPr>
          <w:rFonts w:ascii="Arial" w:hAnsi="Arial" w:cs="Arial"/>
          <w:sz w:val="16"/>
          <w:szCs w:val="16"/>
        </w:rPr>
        <w:t>Directive 2019/1023 on preventive restructuring frameworks, on the discharge of debt and disqualifications, and on measures to increase the efficiency of procedures concerning restructuring, insolvency, and discharge of debt</w:t>
      </w:r>
      <w:r w:rsidR="00ED5957">
        <w:rPr>
          <w:rFonts w:ascii="Arial" w:hAnsi="Arial" w:cs="Arial"/>
          <w:sz w:val="16"/>
          <w:szCs w:val="16"/>
        </w:rPr>
        <w:t>.</w:t>
      </w:r>
    </w:p>
  </w:footnote>
  <w:footnote w:id="8">
    <w:p w14:paraId="70E67907" w14:textId="519B19EE" w:rsidR="00827759" w:rsidRPr="00B30DE8" w:rsidRDefault="00827759">
      <w:pPr>
        <w:pStyle w:val="FootnoteText"/>
        <w:rPr>
          <w:rFonts w:ascii="Arial" w:hAnsi="Arial" w:cs="Arial"/>
          <w:sz w:val="16"/>
          <w:szCs w:val="16"/>
        </w:rPr>
      </w:pPr>
      <w:r>
        <w:rPr>
          <w:rStyle w:val="FootnoteReference"/>
        </w:rPr>
        <w:footnoteRef/>
      </w:r>
      <w:r>
        <w:t xml:space="preserve"> </w:t>
      </w:r>
      <w:r w:rsidR="00B30DE8" w:rsidRPr="00B30DE8">
        <w:rPr>
          <w:rFonts w:ascii="Arial" w:hAnsi="Arial" w:cs="Arial"/>
          <w:sz w:val="16"/>
          <w:szCs w:val="16"/>
        </w:rPr>
        <w:t xml:space="preserve">The amended version of the </w:t>
      </w:r>
      <w:r w:rsidR="00B30DE8">
        <w:rPr>
          <w:rFonts w:ascii="Arial" w:hAnsi="Arial" w:cs="Arial"/>
          <w:sz w:val="16"/>
          <w:szCs w:val="16"/>
        </w:rPr>
        <w:t xml:space="preserve">Bulgaria </w:t>
      </w:r>
      <w:r w:rsidR="00B30DE8" w:rsidRPr="00B30DE8">
        <w:rPr>
          <w:rFonts w:ascii="Arial" w:hAnsi="Arial" w:cs="Arial"/>
          <w:sz w:val="16"/>
          <w:szCs w:val="16"/>
        </w:rPr>
        <w:t xml:space="preserve">Commerce Act transposing the EU </w:t>
      </w:r>
      <w:r w:rsidR="00B30DE8">
        <w:rPr>
          <w:rFonts w:ascii="Arial" w:hAnsi="Arial" w:cs="Arial"/>
          <w:sz w:val="16"/>
          <w:szCs w:val="16"/>
        </w:rPr>
        <w:t xml:space="preserve">Restructuring </w:t>
      </w:r>
      <w:r w:rsidR="00B30DE8" w:rsidRPr="00B30DE8">
        <w:rPr>
          <w:rFonts w:ascii="Arial" w:hAnsi="Arial" w:cs="Arial"/>
          <w:sz w:val="16"/>
          <w:szCs w:val="16"/>
        </w:rPr>
        <w:t>Directive (supplemented by Law No 25 of 29.03.2022, in force as of 8.07.2022, amended by Law No 66 of 1.08.2023) was published on August 1, 2023, in the Official State Gazette.</w:t>
      </w:r>
    </w:p>
  </w:footnote>
  <w:footnote w:id="9">
    <w:p w14:paraId="6B01A9F9" w14:textId="4FB8A6C0" w:rsidR="004253A0" w:rsidRPr="002D643E" w:rsidRDefault="004253A0">
      <w:pPr>
        <w:pStyle w:val="FootnoteText"/>
        <w:rPr>
          <w:rFonts w:ascii="Arial" w:hAnsi="Arial" w:cs="Arial"/>
          <w:sz w:val="16"/>
          <w:szCs w:val="16"/>
        </w:rPr>
      </w:pPr>
      <w:r>
        <w:rPr>
          <w:rStyle w:val="FootnoteReference"/>
        </w:rPr>
        <w:footnoteRef/>
      </w:r>
      <w:r>
        <w:t xml:space="preserve"> </w:t>
      </w:r>
      <w:r w:rsidRPr="002D643E">
        <w:rPr>
          <w:rFonts w:ascii="Arial" w:hAnsi="Arial" w:cs="Arial"/>
          <w:sz w:val="16"/>
          <w:szCs w:val="16"/>
        </w:rPr>
        <w:t xml:space="preserve">Formal reorganization </w:t>
      </w:r>
      <w:r w:rsidR="00E15FD4" w:rsidRPr="002D643E">
        <w:rPr>
          <w:rFonts w:ascii="Arial" w:hAnsi="Arial" w:cs="Arial"/>
          <w:sz w:val="16"/>
          <w:szCs w:val="16"/>
        </w:rPr>
        <w:t xml:space="preserve">in the Netherlands, which </w:t>
      </w:r>
      <w:r w:rsidR="00B9399E" w:rsidRPr="002D643E">
        <w:rPr>
          <w:rFonts w:ascii="Arial" w:hAnsi="Arial" w:cs="Arial"/>
          <w:sz w:val="16"/>
          <w:szCs w:val="16"/>
        </w:rPr>
        <w:t xml:space="preserve">is the jurisdiction the </w:t>
      </w:r>
      <w:r w:rsidR="008A53E2">
        <w:rPr>
          <w:rFonts w:ascii="Arial" w:hAnsi="Arial" w:cs="Arial"/>
          <w:sz w:val="16"/>
          <w:szCs w:val="16"/>
        </w:rPr>
        <w:t>analysis</w:t>
      </w:r>
      <w:r w:rsidR="00B9399E" w:rsidRPr="002D643E">
        <w:rPr>
          <w:rFonts w:ascii="Arial" w:hAnsi="Arial" w:cs="Arial"/>
          <w:sz w:val="16"/>
          <w:szCs w:val="16"/>
        </w:rPr>
        <w:t xml:space="preserve"> is mainly based on</w:t>
      </w:r>
      <w:r w:rsidR="002D643E" w:rsidRPr="002D643E">
        <w:rPr>
          <w:rFonts w:ascii="Arial" w:hAnsi="Arial" w:cs="Arial"/>
          <w:sz w:val="16"/>
          <w:szCs w:val="16"/>
        </w:rPr>
        <w:t>, is the so called “moratorium on payment”</w:t>
      </w:r>
      <w:r w:rsidR="008A53E2">
        <w:rPr>
          <w:rFonts w:ascii="Arial" w:hAnsi="Arial" w:cs="Arial"/>
          <w:sz w:val="16"/>
          <w:szCs w:val="16"/>
        </w:rPr>
        <w:t xml:space="preserve">, </w:t>
      </w:r>
      <w:r w:rsidR="00DB6EA3" w:rsidRPr="00DB6EA3">
        <w:rPr>
          <w:rFonts w:ascii="Arial" w:hAnsi="Arial" w:cs="Arial"/>
          <w:sz w:val="16"/>
          <w:szCs w:val="16"/>
        </w:rPr>
        <w:t xml:space="preserve">Adriaanse, J.A.A., &amp; Kuijl, J.G. (2006). </w:t>
      </w:r>
      <w:r w:rsidR="00DB6EA3" w:rsidRPr="00DB6EA3">
        <w:rPr>
          <w:rFonts w:ascii="Arial" w:hAnsi="Arial" w:cs="Arial"/>
          <w:i/>
          <w:iCs/>
          <w:sz w:val="16"/>
          <w:szCs w:val="16"/>
        </w:rPr>
        <w:t>Resolving Financial Distress: Informal Reorganization in The Netherlands as a Beacon for Policy Makers in the CIS and CEE/SEE Regions?,</w:t>
      </w:r>
      <w:r w:rsidR="00DB6EA3" w:rsidRPr="00DB6EA3">
        <w:rPr>
          <w:rFonts w:ascii="Arial" w:hAnsi="Arial" w:cs="Arial"/>
          <w:sz w:val="16"/>
          <w:szCs w:val="16"/>
        </w:rPr>
        <w:t xml:space="preserve"> Review of Central and East European Law, 31(2), </w:t>
      </w:r>
      <w:r w:rsidR="00DB6EA3">
        <w:rPr>
          <w:rFonts w:ascii="Arial" w:hAnsi="Arial" w:cs="Arial"/>
          <w:sz w:val="16"/>
          <w:szCs w:val="16"/>
        </w:rPr>
        <w:t>p. 138.</w:t>
      </w:r>
    </w:p>
  </w:footnote>
  <w:footnote w:id="10">
    <w:p w14:paraId="4B041C9D" w14:textId="2496BEFA" w:rsidR="00FC66DB" w:rsidRPr="00EE0982" w:rsidRDefault="00FC66DB">
      <w:pPr>
        <w:pStyle w:val="FootnoteText"/>
        <w:rPr>
          <w:rFonts w:ascii="Arial" w:hAnsi="Arial" w:cs="Arial"/>
          <w:sz w:val="16"/>
          <w:szCs w:val="16"/>
        </w:rPr>
      </w:pPr>
      <w:r>
        <w:rPr>
          <w:rStyle w:val="FootnoteReference"/>
        </w:rPr>
        <w:footnoteRef/>
      </w:r>
      <w:r>
        <w:t xml:space="preserve"> </w:t>
      </w:r>
      <w:r w:rsidR="00EE0982" w:rsidRPr="00EE0982">
        <w:rPr>
          <w:rFonts w:ascii="Arial" w:hAnsi="Arial" w:cs="Arial"/>
          <w:sz w:val="16"/>
          <w:szCs w:val="16"/>
        </w:rPr>
        <w:t>Sudarsanam, S, Lai, J., (2001), ‘Corporate Financial Distress and Turnaround Strategies: An Empirical Analysis’, British Journal of Management, Vol. 12, 183-199.</w:t>
      </w:r>
    </w:p>
  </w:footnote>
  <w:footnote w:id="11">
    <w:p w14:paraId="2B102C8C" w14:textId="02F394FB" w:rsidR="00030615" w:rsidRPr="00F1698A" w:rsidRDefault="00030615">
      <w:pPr>
        <w:pStyle w:val="FootnoteText"/>
        <w:rPr>
          <w:rFonts w:ascii="Arial" w:hAnsi="Arial" w:cs="Arial"/>
          <w:sz w:val="16"/>
          <w:szCs w:val="16"/>
        </w:rPr>
      </w:pPr>
      <w:r>
        <w:rPr>
          <w:rStyle w:val="FootnoteReference"/>
        </w:rPr>
        <w:footnoteRef/>
      </w:r>
      <w:r>
        <w:t xml:space="preserve"> </w:t>
      </w:r>
      <w:r w:rsidRPr="00030615">
        <w:rPr>
          <w:rFonts w:ascii="Arial" w:hAnsi="Arial" w:cs="Arial"/>
          <w:sz w:val="16"/>
          <w:szCs w:val="16"/>
        </w:rPr>
        <w:t>Retrenchment</w:t>
      </w:r>
      <w:r w:rsidRPr="00F1698A">
        <w:rPr>
          <w:rFonts w:ascii="Arial" w:hAnsi="Arial" w:cs="Arial"/>
          <w:sz w:val="16"/>
          <w:szCs w:val="16"/>
        </w:rPr>
        <w:t xml:space="preserve"> </w:t>
      </w:r>
      <w:r w:rsidR="00F1698A" w:rsidRPr="00F1698A">
        <w:rPr>
          <w:rFonts w:ascii="Arial" w:hAnsi="Arial" w:cs="Arial"/>
          <w:sz w:val="16"/>
          <w:szCs w:val="16"/>
        </w:rPr>
        <w:t>approaches</w:t>
      </w:r>
      <w:r w:rsidR="00F1698A">
        <w:rPr>
          <w:rFonts w:ascii="Arial" w:hAnsi="Arial" w:cs="Arial"/>
          <w:sz w:val="16"/>
          <w:szCs w:val="16"/>
        </w:rPr>
        <w:t xml:space="preserve"> are focused on </w:t>
      </w:r>
      <w:r w:rsidR="00D0384C">
        <w:rPr>
          <w:rFonts w:ascii="Arial" w:hAnsi="Arial" w:cs="Arial"/>
          <w:sz w:val="16"/>
          <w:szCs w:val="16"/>
        </w:rPr>
        <w:t xml:space="preserve">more typical fire-fighting strategies aimed </w:t>
      </w:r>
      <w:r w:rsidR="005842E7">
        <w:rPr>
          <w:rFonts w:ascii="Arial" w:hAnsi="Arial" w:cs="Arial"/>
          <w:sz w:val="16"/>
          <w:szCs w:val="16"/>
        </w:rPr>
        <w:t xml:space="preserve">at stabilizing the company in the short-term while recovery approaches are </w:t>
      </w:r>
      <w:r w:rsidR="007827A4">
        <w:rPr>
          <w:rFonts w:ascii="Arial" w:hAnsi="Arial" w:cs="Arial"/>
          <w:sz w:val="16"/>
          <w:szCs w:val="16"/>
        </w:rPr>
        <w:t xml:space="preserve">aimed at long-term results. </w:t>
      </w:r>
      <w:r w:rsidR="007827A4" w:rsidRPr="006A75B5">
        <w:rPr>
          <w:rFonts w:ascii="Arial" w:hAnsi="Arial" w:cs="Arial"/>
          <w:i/>
          <w:iCs/>
          <w:sz w:val="16"/>
          <w:szCs w:val="16"/>
        </w:rPr>
        <w:t>See</w:t>
      </w:r>
      <w:r w:rsidR="007827A4">
        <w:rPr>
          <w:rFonts w:ascii="Arial" w:hAnsi="Arial" w:cs="Arial"/>
          <w:sz w:val="16"/>
          <w:szCs w:val="16"/>
        </w:rPr>
        <w:t xml:space="preserve"> </w:t>
      </w:r>
      <w:r w:rsidR="006A75B5" w:rsidRPr="006A75B5">
        <w:rPr>
          <w:rFonts w:ascii="Arial" w:hAnsi="Arial" w:cs="Arial"/>
          <w:sz w:val="16"/>
          <w:szCs w:val="16"/>
        </w:rPr>
        <w:t>Schmitt, A., Raisch, S. (2013). ‘</w:t>
      </w:r>
      <w:r w:rsidR="006A75B5" w:rsidRPr="006A75B5">
        <w:rPr>
          <w:rFonts w:ascii="Arial" w:hAnsi="Arial" w:cs="Arial"/>
          <w:i/>
          <w:iCs/>
          <w:sz w:val="16"/>
          <w:szCs w:val="16"/>
        </w:rPr>
        <w:t>Corporate Turnarounds: The Duality of Retrenchment and Recovery’</w:t>
      </w:r>
      <w:r w:rsidR="006A75B5" w:rsidRPr="006A75B5">
        <w:rPr>
          <w:rFonts w:ascii="Arial" w:hAnsi="Arial" w:cs="Arial"/>
          <w:sz w:val="16"/>
          <w:szCs w:val="16"/>
        </w:rPr>
        <w:t>, Journal of Management Studies, 50(7)</w:t>
      </w:r>
      <w:r w:rsidR="00B97B58">
        <w:rPr>
          <w:rFonts w:ascii="Arial" w:hAnsi="Arial" w:cs="Arial"/>
          <w:sz w:val="16"/>
          <w:szCs w:val="16"/>
        </w:rPr>
        <w:t>,</w:t>
      </w:r>
      <w:r w:rsidR="006A75B5" w:rsidRPr="006A75B5">
        <w:rPr>
          <w:rFonts w:ascii="Arial" w:hAnsi="Arial" w:cs="Arial"/>
          <w:sz w:val="16"/>
          <w:szCs w:val="16"/>
        </w:rPr>
        <w:t xml:space="preserve"> </w:t>
      </w:r>
      <w:r w:rsidR="00451D9B">
        <w:rPr>
          <w:rFonts w:ascii="Arial" w:hAnsi="Arial" w:cs="Arial"/>
          <w:sz w:val="16"/>
          <w:szCs w:val="16"/>
        </w:rPr>
        <w:t>1</w:t>
      </w:r>
      <w:r w:rsidR="006A75B5" w:rsidRPr="006A75B5">
        <w:rPr>
          <w:rFonts w:ascii="Arial" w:hAnsi="Arial" w:cs="Arial"/>
          <w:sz w:val="16"/>
          <w:szCs w:val="16"/>
        </w:rPr>
        <w:t>216-1244.</w:t>
      </w:r>
      <w:r w:rsidR="00F1698A" w:rsidRPr="00F1698A">
        <w:rPr>
          <w:rFonts w:ascii="Arial" w:hAnsi="Arial" w:cs="Arial"/>
          <w:sz w:val="16"/>
          <w:szCs w:val="16"/>
        </w:rPr>
        <w:t xml:space="preserve"> </w:t>
      </w:r>
    </w:p>
  </w:footnote>
  <w:footnote w:id="12">
    <w:p w14:paraId="60EEF185" w14:textId="14DDA43A" w:rsidR="00815DD6" w:rsidRPr="00815DD6" w:rsidRDefault="00815DD6">
      <w:pPr>
        <w:pStyle w:val="FootnoteText"/>
        <w:rPr>
          <w:rFonts w:ascii="Arial" w:hAnsi="Arial" w:cs="Arial"/>
          <w:sz w:val="16"/>
          <w:szCs w:val="16"/>
        </w:rPr>
      </w:pPr>
      <w:r>
        <w:rPr>
          <w:rStyle w:val="FootnoteReference"/>
        </w:rPr>
        <w:footnoteRef/>
      </w:r>
      <w:r>
        <w:t xml:space="preserve"> </w:t>
      </w:r>
      <w:r w:rsidRPr="00815DD6">
        <w:rPr>
          <w:rFonts w:ascii="Arial" w:hAnsi="Arial" w:cs="Arial"/>
          <w:sz w:val="16"/>
          <w:szCs w:val="16"/>
        </w:rPr>
        <w:t>See</w:t>
      </w:r>
      <w:r>
        <w:rPr>
          <w:rFonts w:ascii="Arial" w:hAnsi="Arial" w:cs="Arial"/>
          <w:sz w:val="16"/>
          <w:szCs w:val="16"/>
        </w:rPr>
        <w:t xml:space="preserve"> </w:t>
      </w:r>
      <w:r w:rsidR="001E0F59" w:rsidRPr="001E0F59">
        <w:rPr>
          <w:rFonts w:ascii="Arial" w:hAnsi="Arial" w:cs="Arial"/>
          <w:sz w:val="16"/>
          <w:szCs w:val="16"/>
        </w:rPr>
        <w:t xml:space="preserve">Broekema M.J.R. &amp; Adriaanse J.A.A. (2022), </w:t>
      </w:r>
      <w:r w:rsidR="001E0F59" w:rsidRPr="001E0F59">
        <w:rPr>
          <w:rFonts w:ascii="Arial" w:hAnsi="Arial" w:cs="Arial"/>
          <w:i/>
          <w:iCs/>
          <w:sz w:val="16"/>
          <w:szCs w:val="16"/>
        </w:rPr>
        <w:t>Valuation Ambiguities under the European Directive on Preventive Restructuring Frameworks: Insights from the Netherlands</w:t>
      </w:r>
      <w:r w:rsidR="001E0F59" w:rsidRPr="001E0F59">
        <w:rPr>
          <w:rFonts w:ascii="Arial" w:hAnsi="Arial" w:cs="Arial"/>
          <w:sz w:val="16"/>
          <w:szCs w:val="16"/>
        </w:rPr>
        <w:t>, The European Business Valuation Magazine 1(1): 4-10.</w:t>
      </w:r>
    </w:p>
  </w:footnote>
  <w:footnote w:id="13">
    <w:p w14:paraId="1BC505BB" w14:textId="6A0F5664" w:rsidR="004B7E8B" w:rsidRPr="006A5960" w:rsidRDefault="004B7E8B">
      <w:pPr>
        <w:pStyle w:val="FootnoteText"/>
      </w:pPr>
      <w:r>
        <w:rPr>
          <w:rStyle w:val="FootnoteReference"/>
        </w:rPr>
        <w:footnoteRef/>
      </w:r>
      <w:r>
        <w:t xml:space="preserve"> </w:t>
      </w:r>
      <w:r w:rsidR="006A5960" w:rsidRPr="006A5960">
        <w:rPr>
          <w:rFonts w:ascii="Arial" w:hAnsi="Arial" w:cs="Arial"/>
          <w:sz w:val="16"/>
          <w:szCs w:val="16"/>
        </w:rPr>
        <w:t>Pajunen, K. (2006).</w:t>
      </w:r>
      <w:r w:rsidR="006A5960" w:rsidRPr="009B4E37">
        <w:rPr>
          <w:rFonts w:ascii="Arial" w:hAnsi="Arial" w:cs="Arial"/>
          <w:i/>
          <w:iCs/>
          <w:sz w:val="16"/>
          <w:szCs w:val="16"/>
        </w:rPr>
        <w:t xml:space="preserve"> Stakeholder Influences</w:t>
      </w:r>
      <w:r w:rsidR="006A5960" w:rsidRPr="003728CD">
        <w:rPr>
          <w:rFonts w:ascii="Arial" w:hAnsi="Arial" w:cs="Arial"/>
          <w:i/>
          <w:iCs/>
          <w:sz w:val="16"/>
          <w:szCs w:val="16"/>
        </w:rPr>
        <w:t xml:space="preserve"> in Organizational Survival. </w:t>
      </w:r>
      <w:r w:rsidR="006A5960" w:rsidRPr="006A5960">
        <w:rPr>
          <w:rFonts w:ascii="Arial" w:hAnsi="Arial" w:cs="Arial"/>
          <w:sz w:val="16"/>
          <w:szCs w:val="16"/>
        </w:rPr>
        <w:t xml:space="preserve">Journal of Management Studies, 43(6), </w:t>
      </w:r>
      <w:r w:rsidR="006A5960">
        <w:rPr>
          <w:rFonts w:ascii="Arial" w:hAnsi="Arial" w:cs="Arial"/>
          <w:sz w:val="16"/>
          <w:szCs w:val="16"/>
        </w:rPr>
        <w:t xml:space="preserve">p. </w:t>
      </w:r>
      <w:r w:rsidR="00262469">
        <w:rPr>
          <w:rFonts w:ascii="Arial" w:hAnsi="Arial" w:cs="Arial"/>
          <w:sz w:val="16"/>
          <w:szCs w:val="16"/>
        </w:rPr>
        <w:t>1262</w:t>
      </w:r>
      <w:r w:rsidR="006A5960" w:rsidRPr="006A5960">
        <w:rPr>
          <w:rFonts w:ascii="Arial" w:hAnsi="Arial" w:cs="Arial"/>
          <w:sz w:val="16"/>
          <w:szCs w:val="16"/>
        </w:rPr>
        <w:t>.</w:t>
      </w:r>
    </w:p>
  </w:footnote>
  <w:footnote w:id="14">
    <w:p w14:paraId="23C9224D" w14:textId="02DC28B6" w:rsidR="00BC45E4" w:rsidRDefault="00BC45E4">
      <w:pPr>
        <w:pStyle w:val="FootnoteText"/>
      </w:pPr>
      <w:r>
        <w:rPr>
          <w:rStyle w:val="FootnoteReference"/>
        </w:rPr>
        <w:footnoteRef/>
      </w:r>
      <w:r>
        <w:t xml:space="preserve"> </w:t>
      </w:r>
      <w:r w:rsidR="00C3723A" w:rsidRPr="00C3723A">
        <w:rPr>
          <w:rFonts w:ascii="Arial" w:hAnsi="Arial" w:cs="Arial"/>
          <w:sz w:val="16"/>
          <w:szCs w:val="16"/>
        </w:rPr>
        <w:t>INSOL International. (2017), Statement of Principles for a Global Approach to Multi-Creditor Workouts II.</w:t>
      </w:r>
    </w:p>
  </w:footnote>
  <w:footnote w:id="15">
    <w:p w14:paraId="481746AB" w14:textId="77777777" w:rsidR="00C06BE3" w:rsidRPr="00875454" w:rsidRDefault="00C06BE3" w:rsidP="00C06BE3">
      <w:pPr>
        <w:pStyle w:val="FootnoteText"/>
        <w:rPr>
          <w:rFonts w:ascii="Times New Roman" w:hAnsi="Times New Roman" w:cs="Times New Roman"/>
        </w:rPr>
      </w:pPr>
      <w:r w:rsidRPr="00875454">
        <w:rPr>
          <w:rStyle w:val="FootnoteReference"/>
          <w:rFonts w:ascii="Times New Roman" w:hAnsi="Times New Roman" w:cs="Times New Roman"/>
        </w:rPr>
        <w:footnoteRef/>
      </w:r>
      <w:r w:rsidRPr="00875454">
        <w:rPr>
          <w:rFonts w:ascii="Times New Roman" w:hAnsi="Times New Roman" w:cs="Times New Roman"/>
        </w:rPr>
        <w:t xml:space="preserve"> Ministry of Justice of Latvia, available at: </w:t>
      </w:r>
      <w:bookmarkStart w:id="0" w:name="_Hlk144889919"/>
      <w:r w:rsidRPr="00875454">
        <w:rPr>
          <w:rFonts w:ascii="Times New Roman" w:hAnsi="Times New Roman" w:cs="Times New Roman"/>
        </w:rPr>
        <w:t>https://www.tm.gov.lv/lv/media/7364/download</w:t>
      </w:r>
      <w:bookmarkEnd w:id="0"/>
    </w:p>
  </w:footnote>
  <w:footnote w:id="16">
    <w:p w14:paraId="32A24831" w14:textId="77777777" w:rsidR="00C06BE3" w:rsidRPr="008C1B28" w:rsidRDefault="00C06BE3" w:rsidP="00C06BE3">
      <w:pPr>
        <w:pStyle w:val="FootnoteText"/>
        <w:rPr>
          <w:rFonts w:ascii="Times New Roman" w:hAnsi="Times New Roman" w:cs="Times New Roman"/>
        </w:rPr>
      </w:pPr>
      <w:r w:rsidRPr="008C1B28">
        <w:rPr>
          <w:rStyle w:val="FootnoteReference"/>
          <w:rFonts w:ascii="Times New Roman" w:hAnsi="Times New Roman" w:cs="Times New Roman"/>
        </w:rPr>
        <w:footnoteRef/>
      </w:r>
      <w:r w:rsidRPr="008C1B28">
        <w:rPr>
          <w:rFonts w:ascii="Times New Roman" w:hAnsi="Times New Roman" w:cs="Times New Roman"/>
        </w:rPr>
        <w:t xml:space="preserve"> The Asian Bankers Association (ABA) Workout Guidelines and Model Agreement, available at: https://www.aba.org.tw/wp-content/uploads/2018/11/ABA-Informal-Workout-Guidelines.pdf (last accessed on September 1, 2023)</w:t>
      </w:r>
    </w:p>
  </w:footnote>
  <w:footnote w:id="17">
    <w:p w14:paraId="71C03AF7" w14:textId="7178D2AE" w:rsidR="00602711" w:rsidRPr="00710AF1" w:rsidRDefault="00602711" w:rsidP="00602711">
      <w:pPr>
        <w:pStyle w:val="FootnoteText"/>
        <w:rPr>
          <w:rFonts w:ascii="Times New Roman" w:hAnsi="Times New Roman" w:cs="Times New Roman"/>
        </w:rPr>
      </w:pPr>
      <w:r w:rsidRPr="00710AF1">
        <w:rPr>
          <w:rStyle w:val="FootnoteReference"/>
          <w:rFonts w:ascii="Times New Roman" w:hAnsi="Times New Roman" w:cs="Times New Roman"/>
        </w:rPr>
        <w:footnoteRef/>
      </w:r>
      <w:r w:rsidRPr="00710AF1">
        <w:rPr>
          <w:rFonts w:ascii="Times New Roman" w:hAnsi="Times New Roman" w:cs="Times New Roman"/>
        </w:rPr>
        <w:t xml:space="preserve"> </w:t>
      </w:r>
      <w:r w:rsidR="003470D9">
        <w:rPr>
          <w:rFonts w:ascii="Times New Roman" w:hAnsi="Times New Roman" w:cs="Times New Roman"/>
        </w:rPr>
        <w:t xml:space="preserve">For purpose of this assignment, I have </w:t>
      </w:r>
      <w:r w:rsidR="0023226E">
        <w:rPr>
          <w:rFonts w:ascii="Times New Roman" w:hAnsi="Times New Roman" w:cs="Times New Roman"/>
        </w:rPr>
        <w:t>used</w:t>
      </w:r>
      <w:r w:rsidR="003470D9">
        <w:rPr>
          <w:rFonts w:ascii="Times New Roman" w:hAnsi="Times New Roman" w:cs="Times New Roman"/>
        </w:rPr>
        <w:t xml:space="preserve"> the definition of “enhanced workouts”</w:t>
      </w:r>
      <w:r w:rsidR="00AD71F3" w:rsidRPr="00AD71F3">
        <w:rPr>
          <w:rFonts w:ascii="Times New Roman" w:hAnsi="Times New Roman" w:cs="Times New Roman"/>
        </w:rPr>
        <w:t xml:space="preserve"> </w:t>
      </w:r>
      <w:r w:rsidR="0023226E">
        <w:rPr>
          <w:rFonts w:ascii="Times New Roman" w:hAnsi="Times New Roman" w:cs="Times New Roman"/>
        </w:rPr>
        <w:t>adopted</w:t>
      </w:r>
      <w:r w:rsidR="00AD71F3" w:rsidRPr="00AD71F3">
        <w:rPr>
          <w:rFonts w:ascii="Times New Roman" w:hAnsi="Times New Roman" w:cs="Times New Roman"/>
        </w:rPr>
        <w:t xml:space="preserve"> by the World Bank. 2022. </w:t>
      </w:r>
      <w:r w:rsidR="00AD71F3" w:rsidRPr="0023226E">
        <w:rPr>
          <w:rFonts w:ascii="Times New Roman" w:hAnsi="Times New Roman" w:cs="Times New Roman"/>
          <w:i/>
          <w:iCs/>
        </w:rPr>
        <w:t>A Toolkit for Corporate Workouts</w:t>
      </w:r>
      <w:r w:rsidR="00AD71F3" w:rsidRPr="00AD71F3">
        <w:rPr>
          <w:rFonts w:ascii="Times New Roman" w:hAnsi="Times New Roman" w:cs="Times New Roman"/>
        </w:rPr>
        <w:t>. World Bank, Washington, DC.</w:t>
      </w:r>
    </w:p>
  </w:footnote>
  <w:footnote w:id="18">
    <w:p w14:paraId="7EE41D97" w14:textId="77777777" w:rsidR="0006397E" w:rsidRPr="0035692B" w:rsidRDefault="0006397E" w:rsidP="0006397E">
      <w:pPr>
        <w:pStyle w:val="FootnoteText"/>
        <w:rPr>
          <w:rFonts w:ascii="Times New Roman" w:hAnsi="Times New Roman" w:cs="Times New Roman"/>
          <w:lang w:eastAsia="ko-KR"/>
        </w:rPr>
      </w:pPr>
      <w:r w:rsidRPr="0035692B">
        <w:rPr>
          <w:rStyle w:val="FootnoteReference"/>
          <w:rFonts w:ascii="Times New Roman" w:hAnsi="Times New Roman" w:cs="Times New Roman"/>
        </w:rPr>
        <w:footnoteRef/>
      </w:r>
      <w:r>
        <w:rPr>
          <w:rFonts w:ascii="Times New Roman" w:hAnsi="Times New Roman" w:cs="Times New Roman"/>
        </w:rPr>
        <w:t xml:space="preserve"> English translation available at: </w:t>
      </w:r>
      <w:hyperlink r:id="rId1" w:history="1">
        <w:r w:rsidRPr="00B92E7D">
          <w:rPr>
            <w:rStyle w:val="Hyperlink"/>
            <w:rFonts w:ascii="Times New Roman" w:hAnsi="Times New Roman" w:cs="Times New Roman"/>
          </w:rPr>
          <w:t>https://elaw.klri.re.kr/eng_mobile/viewer.do?hseq=49395&amp;type=part&amp;key=23</w:t>
        </w:r>
      </w:hyperlink>
      <w:r>
        <w:rPr>
          <w:rFonts w:ascii="Times New Roman" w:hAnsi="Times New Roman" w:cs="Times New Roman"/>
        </w:rPr>
        <w:t xml:space="preserve">. Also see </w:t>
      </w:r>
      <w:r w:rsidRPr="0035692B">
        <w:rPr>
          <w:rFonts w:ascii="Times New Roman" w:hAnsi="Times New Roman" w:cs="Times New Roman"/>
          <w:lang w:eastAsia="ko-KR"/>
        </w:rPr>
        <w:t xml:space="preserve">World Bank. 2022. </w:t>
      </w:r>
      <w:r w:rsidRPr="00897515">
        <w:rPr>
          <w:rFonts w:ascii="Times New Roman" w:hAnsi="Times New Roman" w:cs="Times New Roman"/>
          <w:i/>
          <w:iCs/>
          <w:lang w:eastAsia="ko-KR"/>
        </w:rPr>
        <w:t>A Toolkit for Corporate Workouts</w:t>
      </w:r>
      <w:r w:rsidRPr="0035692B">
        <w:rPr>
          <w:rFonts w:ascii="Times New Roman" w:hAnsi="Times New Roman" w:cs="Times New Roman"/>
          <w:lang w:eastAsia="ko-KR"/>
        </w:rPr>
        <w:t>. World Bank, Washington, DC., p. 41</w:t>
      </w:r>
    </w:p>
  </w:footnote>
  <w:footnote w:id="19">
    <w:p w14:paraId="36F6FA6F" w14:textId="3D6A87F4" w:rsidR="00DE129F" w:rsidRPr="00C5107D" w:rsidRDefault="00DE129F">
      <w:pPr>
        <w:pStyle w:val="FootnoteText"/>
        <w:rPr>
          <w:rFonts w:ascii="Times New Roman" w:hAnsi="Times New Roman" w:cs="Times New Roman"/>
        </w:rPr>
      </w:pPr>
      <w:r w:rsidRPr="00C5107D">
        <w:rPr>
          <w:rStyle w:val="FootnoteReference"/>
          <w:rFonts w:ascii="Times New Roman" w:hAnsi="Times New Roman" w:cs="Times New Roman"/>
        </w:rPr>
        <w:footnoteRef/>
      </w:r>
      <w:r w:rsidRPr="00C5107D">
        <w:rPr>
          <w:rStyle w:val="FootnoteReference"/>
          <w:rFonts w:ascii="Times New Roman" w:hAnsi="Times New Roman" w:cs="Times New Roman"/>
        </w:rPr>
        <w:t xml:space="preserve"> </w:t>
      </w:r>
      <w:r w:rsidR="00C5107D" w:rsidRPr="00C5107D">
        <w:rPr>
          <w:rFonts w:ascii="Times New Roman" w:hAnsi="Times New Roman" w:cs="Times New Roman"/>
        </w:rPr>
        <w:t xml:space="preserve">Based on </w:t>
      </w:r>
      <w:r w:rsidR="00C5107D">
        <w:rPr>
          <w:rFonts w:ascii="Times New Roman" w:hAnsi="Times New Roman" w:cs="Times New Roman"/>
        </w:rPr>
        <w:t xml:space="preserve">the submission by </w:t>
      </w:r>
      <w:r w:rsidR="00577947" w:rsidRPr="00577947">
        <w:rPr>
          <w:rFonts w:ascii="Times New Roman" w:hAnsi="Times New Roman" w:cs="Times New Roman"/>
        </w:rPr>
        <w:t>Judge Sanghoon NA</w:t>
      </w:r>
      <w:r w:rsidR="00577947">
        <w:rPr>
          <w:rFonts w:ascii="Times New Roman" w:hAnsi="Times New Roman" w:cs="Times New Roman"/>
        </w:rPr>
        <w:t xml:space="preserve"> of the</w:t>
      </w:r>
      <w:r w:rsidR="00577947" w:rsidRPr="00577947">
        <w:rPr>
          <w:rFonts w:ascii="Times New Roman" w:hAnsi="Times New Roman" w:cs="Times New Roman"/>
        </w:rPr>
        <w:t xml:space="preserve"> Seoul Bankruptcy Court, Republic of Korea</w:t>
      </w:r>
      <w:r w:rsidR="00577947">
        <w:rPr>
          <w:rFonts w:ascii="Times New Roman" w:hAnsi="Times New Roman" w:cs="Times New Roman"/>
        </w:rPr>
        <w:t xml:space="preserve">, shared during the 2023 INSOL Tokyo Judicial Round Table. </w:t>
      </w:r>
    </w:p>
  </w:footnote>
  <w:footnote w:id="20">
    <w:p w14:paraId="3F8EC0B2" w14:textId="3B147A76" w:rsidR="00303BE5" w:rsidRDefault="00303BE5">
      <w:pPr>
        <w:pStyle w:val="FootnoteText"/>
      </w:pPr>
      <w:r w:rsidRPr="002E566E">
        <w:rPr>
          <w:rStyle w:val="FootnoteReference"/>
          <w:rFonts w:ascii="Times New Roman" w:hAnsi="Times New Roman" w:cs="Times New Roman"/>
        </w:rPr>
        <w:footnoteRef/>
      </w:r>
      <w:r>
        <w:t xml:space="preserve"> </w:t>
      </w:r>
      <w:r w:rsidRPr="00303BE5">
        <w:rPr>
          <w:rFonts w:ascii="Times New Roman" w:hAnsi="Times New Roman" w:cs="Times New Roman"/>
        </w:rPr>
        <w:t>http://www.turnaround.jp/</w:t>
      </w:r>
    </w:p>
  </w:footnote>
  <w:footnote w:id="21">
    <w:p w14:paraId="24078F7B" w14:textId="120AAE2D" w:rsidR="003F0464" w:rsidRPr="003F0464" w:rsidRDefault="003F0464">
      <w:pPr>
        <w:pStyle w:val="FootnoteText"/>
        <w:rPr>
          <w:rFonts w:ascii="Times New Roman" w:hAnsi="Times New Roman" w:cs="Times New Roman"/>
        </w:rPr>
      </w:pPr>
      <w:r w:rsidRPr="002E566E">
        <w:rPr>
          <w:rStyle w:val="FootnoteReference"/>
          <w:rFonts w:ascii="Times New Roman" w:hAnsi="Times New Roman" w:cs="Times New Roman"/>
        </w:rPr>
        <w:footnoteRef/>
      </w:r>
      <w:r>
        <w:t xml:space="preserve"> </w:t>
      </w:r>
      <w:r w:rsidRPr="003F0464">
        <w:rPr>
          <w:rFonts w:ascii="Times New Roman" w:hAnsi="Times New Roman" w:cs="Times New Roman"/>
        </w:rPr>
        <w:t>Act No. 151 of December 1, 2004.</w:t>
      </w:r>
    </w:p>
  </w:footnote>
  <w:footnote w:id="22">
    <w:p w14:paraId="1ADCF7E4" w14:textId="1B55F956" w:rsidR="00CF7C91" w:rsidRPr="00CF7C91" w:rsidRDefault="00CF7C91">
      <w:pPr>
        <w:pStyle w:val="FootnoteText"/>
        <w:rPr>
          <w:rFonts w:ascii="Times New Roman" w:hAnsi="Times New Roman" w:cs="Times New Roman"/>
        </w:rPr>
      </w:pPr>
      <w:r w:rsidRPr="002E566E">
        <w:rPr>
          <w:rStyle w:val="FootnoteReference"/>
          <w:rFonts w:ascii="Times New Roman" w:hAnsi="Times New Roman" w:cs="Times New Roman"/>
        </w:rPr>
        <w:footnoteRef/>
      </w:r>
      <w:r>
        <w:t xml:space="preserve"> </w:t>
      </w:r>
      <w:r w:rsidRPr="00CF7C91">
        <w:rPr>
          <w:rFonts w:ascii="Times New Roman" w:hAnsi="Times New Roman" w:cs="Times New Roman"/>
        </w:rPr>
        <w:t>Act No. 98 of December 11, 2013</w:t>
      </w:r>
      <w:r>
        <w:rPr>
          <w:rFonts w:ascii="Times New Roman" w:hAnsi="Times New Roman" w:cs="Times New Roman"/>
        </w:rPr>
        <w:t>.</w:t>
      </w:r>
    </w:p>
  </w:footnote>
  <w:footnote w:id="23">
    <w:p w14:paraId="735A82D8" w14:textId="09CEB64A" w:rsidR="00D719C7" w:rsidRPr="002E566E" w:rsidRDefault="00D719C7">
      <w:pPr>
        <w:pStyle w:val="FootnoteText"/>
        <w:rPr>
          <w:rFonts w:ascii="Times New Roman" w:hAnsi="Times New Roman" w:cs="Times New Roman"/>
          <w:lang w:eastAsia="ko-KR"/>
        </w:rPr>
      </w:pPr>
      <w:r w:rsidRPr="002E566E">
        <w:rPr>
          <w:rStyle w:val="FootnoteReference"/>
          <w:rFonts w:ascii="Times New Roman" w:hAnsi="Times New Roman" w:cs="Times New Roman"/>
        </w:rPr>
        <w:footnoteRef/>
      </w:r>
      <w:r w:rsidR="002E566E" w:rsidRPr="002E566E">
        <w:rPr>
          <w:rFonts w:ascii="Times New Roman" w:hAnsi="Times New Roman" w:cs="Times New Roman"/>
          <w:lang w:eastAsia="ko-KR"/>
        </w:rPr>
        <w:t xml:space="preserve">As of November 2023, </w:t>
      </w:r>
      <w:r w:rsidR="002E566E" w:rsidRPr="002E566E">
        <w:rPr>
          <w:rFonts w:ascii="Times New Roman" w:hAnsi="Times New Roman" w:cs="Times New Roman"/>
          <w:lang w:eastAsia="ko-KR"/>
        </w:rPr>
        <w:t>https://uncitral.un.org/en/texts/insolvency/modellaw/cross-border_insolvency/status</w:t>
      </w:r>
    </w:p>
  </w:footnote>
  <w:footnote w:id="24">
    <w:p w14:paraId="58D0EBA8" w14:textId="302023FC" w:rsidR="003E39C7" w:rsidRDefault="003E39C7">
      <w:pPr>
        <w:pStyle w:val="FootnoteText"/>
      </w:pPr>
      <w:r w:rsidRPr="003E39C7">
        <w:rPr>
          <w:rStyle w:val="FootnoteReference"/>
          <w:rFonts w:ascii="Times New Roman" w:hAnsi="Times New Roman" w:cs="Times New Roman"/>
        </w:rPr>
        <w:footnoteRef/>
      </w:r>
      <w:r w:rsidRPr="003E39C7">
        <w:rPr>
          <w:rStyle w:val="FootnoteReference"/>
          <w:rFonts w:ascii="Times New Roman" w:hAnsi="Times New Roman" w:cs="Times New Roman"/>
        </w:rPr>
        <w:t xml:space="preserve"> </w:t>
      </w:r>
      <w:r w:rsidRPr="003E39C7">
        <w:rPr>
          <w:rFonts w:ascii="Times New Roman" w:hAnsi="Times New Roman" w:cs="Times New Roman"/>
          <w:lang w:eastAsia="ko-KR"/>
        </w:rPr>
        <w:t xml:space="preserve">Even though, </w:t>
      </w:r>
      <w:r w:rsidR="00B96386">
        <w:rPr>
          <w:rFonts w:ascii="Times New Roman" w:hAnsi="Times New Roman" w:cs="Times New Roman"/>
          <w:lang w:eastAsia="ko-KR"/>
        </w:rPr>
        <w:t xml:space="preserve">in some jurisdictions </w:t>
      </w:r>
      <w:r w:rsidRPr="003E39C7">
        <w:rPr>
          <w:rFonts w:ascii="Times New Roman" w:hAnsi="Times New Roman" w:cs="Times New Roman"/>
          <w:lang w:eastAsia="ko-KR"/>
        </w:rPr>
        <w:t>creditor</w:t>
      </w:r>
      <w:r w:rsidR="00766DB7">
        <w:rPr>
          <w:rFonts w:ascii="Times New Roman" w:hAnsi="Times New Roman" w:cs="Times New Roman"/>
          <w:lang w:eastAsia="ko-KR"/>
        </w:rPr>
        <w:t>s whose claims are not affected</w:t>
      </w:r>
      <w:r w:rsidR="00F65FDE">
        <w:rPr>
          <w:rFonts w:ascii="Times New Roman" w:hAnsi="Times New Roman" w:cs="Times New Roman"/>
          <w:lang w:eastAsia="ko-KR"/>
        </w:rPr>
        <w:t xml:space="preserve"> may not be a part of the process. </w:t>
      </w:r>
    </w:p>
  </w:footnote>
  <w:footnote w:id="25">
    <w:p w14:paraId="58DB0082" w14:textId="56A9C9F7" w:rsidR="00DC3ACD" w:rsidRPr="009162EC" w:rsidRDefault="00DC3ACD">
      <w:pPr>
        <w:pStyle w:val="FootnoteText"/>
        <w:rPr>
          <w:rFonts w:ascii="Times New Roman" w:hAnsi="Times New Roman" w:cs="Times New Roman"/>
          <w:lang w:eastAsia="ko-KR"/>
        </w:rPr>
      </w:pPr>
      <w:r w:rsidRPr="00DC3ACD">
        <w:rPr>
          <w:rStyle w:val="FootnoteReference"/>
          <w:rFonts w:ascii="Times New Roman" w:hAnsi="Times New Roman" w:cs="Times New Roman"/>
        </w:rPr>
        <w:footnoteRef/>
      </w:r>
      <w:r w:rsidRPr="00DC3ACD">
        <w:rPr>
          <w:rStyle w:val="FootnoteReference"/>
          <w:rFonts w:ascii="Times New Roman" w:hAnsi="Times New Roman" w:cs="Times New Roman"/>
        </w:rPr>
        <w:t xml:space="preserve"> </w:t>
      </w:r>
      <w:r w:rsidR="009162EC">
        <w:rPr>
          <w:rFonts w:ascii="Times New Roman" w:hAnsi="Times New Roman" w:cs="Times New Roman"/>
          <w:lang w:eastAsia="ko-KR"/>
        </w:rPr>
        <w:t>Last amended</w:t>
      </w:r>
      <w:r w:rsidR="009162EC" w:rsidRPr="009162EC">
        <w:rPr>
          <w:rFonts w:ascii="Times New Roman" w:hAnsi="Times New Roman" w:cs="Times New Roman"/>
          <w:lang w:eastAsia="ko-KR"/>
        </w:rPr>
        <w:t xml:space="preserve"> on August 1, 2023,</w:t>
      </w:r>
      <w:r w:rsidR="009162EC">
        <w:rPr>
          <w:rFonts w:ascii="Times New Roman" w:hAnsi="Times New Roman" w:cs="Times New Roman"/>
          <w:lang w:eastAsia="ko-KR"/>
        </w:rPr>
        <w:t xml:space="preserve"> and published</w:t>
      </w:r>
      <w:r w:rsidR="009162EC" w:rsidRPr="009162EC">
        <w:rPr>
          <w:rFonts w:ascii="Times New Roman" w:hAnsi="Times New Roman" w:cs="Times New Roman"/>
          <w:lang w:eastAsia="ko-KR"/>
        </w:rPr>
        <w:t xml:space="preserve"> in the Official State Gazette</w:t>
      </w:r>
      <w:r w:rsidR="009162EC">
        <w:rPr>
          <w:rFonts w:ascii="Times New Roman" w:hAnsi="Times New Roman" w:cs="Times New Roman"/>
          <w:lang w:eastAsia="ko-K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4B"/>
    <w:multiLevelType w:val="multilevel"/>
    <w:tmpl w:val="68924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057444"/>
    <w:multiLevelType w:val="hybridMultilevel"/>
    <w:tmpl w:val="7194B87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7AF0391"/>
    <w:multiLevelType w:val="multilevel"/>
    <w:tmpl w:val="E2E025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35711B"/>
    <w:multiLevelType w:val="multilevel"/>
    <w:tmpl w:val="DBFA8278"/>
    <w:lvl w:ilvl="0">
      <w:start w:val="1"/>
      <w:numFmt w:val="decimal"/>
      <w:lvlText w:val="%1."/>
      <w:lvlJc w:val="left"/>
      <w:pPr>
        <w:ind w:left="480" w:hanging="360"/>
      </w:pPr>
      <w:rPr>
        <w:rFonts w:hint="default"/>
        <w:spacing w:val="0"/>
        <w:w w:val="100"/>
        <w:lang w:val="en-US" w:eastAsia="en-US" w:bidi="ar-SA"/>
      </w:rPr>
    </w:lvl>
    <w:lvl w:ilvl="1">
      <w:start w:val="1"/>
      <w:numFmt w:val="decimal"/>
      <w:lvlText w:val="%2."/>
      <w:lvlJc w:val="left"/>
      <w:pPr>
        <w:ind w:left="84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start w:val="1"/>
      <w:numFmt w:val="decimal"/>
      <w:lvlText w:val="%3."/>
      <w:lvlJc w:val="left"/>
      <w:pPr>
        <w:ind w:left="2797" w:hanging="241"/>
        <w:jc w:val="right"/>
      </w:pPr>
      <w:rPr>
        <w:rFonts w:ascii="Georgia" w:eastAsia="Georgia" w:hAnsi="Georgia" w:cs="Georgia" w:hint="default"/>
        <w:b/>
        <w:bCs/>
        <w:i w:val="0"/>
        <w:iCs w:val="0"/>
        <w:color w:val="231F20"/>
        <w:spacing w:val="0"/>
        <w:w w:val="97"/>
        <w:sz w:val="24"/>
        <w:szCs w:val="24"/>
        <w:lang w:val="en-US" w:eastAsia="en-US" w:bidi="ar-SA"/>
      </w:rPr>
    </w:lvl>
    <w:lvl w:ilvl="3">
      <w:start w:val="1"/>
      <w:numFmt w:val="decimal"/>
      <w:lvlText w:val="%3.%4."/>
      <w:lvlJc w:val="left"/>
      <w:pPr>
        <w:ind w:left="2651" w:hanging="319"/>
      </w:pPr>
      <w:rPr>
        <w:rFonts w:ascii="Book Antiqua" w:eastAsia="Book Antiqua" w:hAnsi="Book Antiqua" w:cs="Book Antiqua" w:hint="default"/>
        <w:b w:val="0"/>
        <w:bCs w:val="0"/>
        <w:i/>
        <w:iCs/>
        <w:color w:val="231F20"/>
        <w:spacing w:val="0"/>
        <w:w w:val="82"/>
        <w:sz w:val="22"/>
        <w:szCs w:val="22"/>
        <w:lang w:val="en-US" w:eastAsia="en-US" w:bidi="ar-SA"/>
      </w:rPr>
    </w:lvl>
    <w:lvl w:ilvl="4">
      <w:start w:val="1"/>
      <w:numFmt w:val="decimal"/>
      <w:lvlText w:val="%3.%4.%5."/>
      <w:lvlJc w:val="left"/>
      <w:pPr>
        <w:ind w:left="2776" w:hanging="474"/>
        <w:jc w:val="right"/>
      </w:pPr>
      <w:rPr>
        <w:rFonts w:ascii="Palatino Linotype" w:eastAsia="Palatino Linotype" w:hAnsi="Palatino Linotype" w:cs="Palatino Linotype" w:hint="default"/>
        <w:b w:val="0"/>
        <w:bCs w:val="0"/>
        <w:i w:val="0"/>
        <w:iCs w:val="0"/>
        <w:color w:val="231F20"/>
        <w:spacing w:val="0"/>
        <w:w w:val="84"/>
        <w:sz w:val="22"/>
        <w:szCs w:val="22"/>
        <w:lang w:val="en-US" w:eastAsia="en-US" w:bidi="ar-SA"/>
      </w:rPr>
    </w:lvl>
    <w:lvl w:ilvl="5">
      <w:numFmt w:val="bullet"/>
      <w:lvlText w:val="•"/>
      <w:lvlJc w:val="left"/>
      <w:pPr>
        <w:ind w:left="3160" w:hanging="474"/>
      </w:pPr>
      <w:rPr>
        <w:rFonts w:hint="default"/>
        <w:lang w:val="en-US" w:eastAsia="en-US" w:bidi="ar-SA"/>
      </w:rPr>
    </w:lvl>
    <w:lvl w:ilvl="6">
      <w:numFmt w:val="bullet"/>
      <w:lvlText w:val="•"/>
      <w:lvlJc w:val="left"/>
      <w:pPr>
        <w:ind w:left="3904" w:hanging="474"/>
      </w:pPr>
      <w:rPr>
        <w:rFonts w:hint="default"/>
        <w:lang w:val="en-US" w:eastAsia="en-US" w:bidi="ar-SA"/>
      </w:rPr>
    </w:lvl>
    <w:lvl w:ilvl="7">
      <w:numFmt w:val="bullet"/>
      <w:lvlText w:val="•"/>
      <w:lvlJc w:val="left"/>
      <w:pPr>
        <w:ind w:left="4648" w:hanging="474"/>
      </w:pPr>
      <w:rPr>
        <w:rFonts w:hint="default"/>
        <w:lang w:val="en-US" w:eastAsia="en-US" w:bidi="ar-SA"/>
      </w:rPr>
    </w:lvl>
    <w:lvl w:ilvl="8">
      <w:numFmt w:val="bullet"/>
      <w:lvlText w:val="•"/>
      <w:lvlJc w:val="left"/>
      <w:pPr>
        <w:ind w:left="5392" w:hanging="474"/>
      </w:pPr>
      <w:rPr>
        <w:rFonts w:hint="default"/>
        <w:lang w:val="en-US" w:eastAsia="en-US" w:bidi="ar-SA"/>
      </w:rPr>
    </w:lvl>
  </w:abstractNum>
  <w:abstractNum w:abstractNumId="4" w15:restartNumberingAfterBreak="0">
    <w:nsid w:val="0BD34057"/>
    <w:multiLevelType w:val="hybridMultilevel"/>
    <w:tmpl w:val="D7A67834"/>
    <w:lvl w:ilvl="0" w:tplc="D2140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19EE"/>
    <w:multiLevelType w:val="multilevel"/>
    <w:tmpl w:val="02DC2A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C5958E8"/>
    <w:multiLevelType w:val="multilevel"/>
    <w:tmpl w:val="F40AA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D72481"/>
    <w:multiLevelType w:val="multilevel"/>
    <w:tmpl w:val="300CB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F8125D"/>
    <w:multiLevelType w:val="hybridMultilevel"/>
    <w:tmpl w:val="2CECC00C"/>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921F96"/>
    <w:multiLevelType w:val="multilevel"/>
    <w:tmpl w:val="CCF8C1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7F02ED"/>
    <w:multiLevelType w:val="hybridMultilevel"/>
    <w:tmpl w:val="2CECC00C"/>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24722"/>
    <w:multiLevelType w:val="multilevel"/>
    <w:tmpl w:val="55E47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8D37AE"/>
    <w:multiLevelType w:val="multilevel"/>
    <w:tmpl w:val="7AD6EF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522250"/>
    <w:multiLevelType w:val="hybridMultilevel"/>
    <w:tmpl w:val="0C1E5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A728EF"/>
    <w:multiLevelType w:val="multilevel"/>
    <w:tmpl w:val="0C5A24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13597B"/>
    <w:multiLevelType w:val="hybridMultilevel"/>
    <w:tmpl w:val="2E0C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70F76"/>
    <w:multiLevelType w:val="hybridMultilevel"/>
    <w:tmpl w:val="A078908A"/>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4FA26FD"/>
    <w:multiLevelType w:val="hybridMultilevel"/>
    <w:tmpl w:val="F1304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96563"/>
    <w:multiLevelType w:val="multilevel"/>
    <w:tmpl w:val="8B1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61B08"/>
    <w:multiLevelType w:val="multilevel"/>
    <w:tmpl w:val="596AC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CA21F7"/>
    <w:multiLevelType w:val="hybridMultilevel"/>
    <w:tmpl w:val="861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D1D1D"/>
    <w:multiLevelType w:val="hybridMultilevel"/>
    <w:tmpl w:val="1A7C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CE5BA4"/>
    <w:multiLevelType w:val="multilevel"/>
    <w:tmpl w:val="F03AA6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8A3B01"/>
    <w:multiLevelType w:val="multilevel"/>
    <w:tmpl w:val="86EC94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3CB7CCE"/>
    <w:multiLevelType w:val="hybridMultilevel"/>
    <w:tmpl w:val="F10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47631"/>
    <w:multiLevelType w:val="multilevel"/>
    <w:tmpl w:val="EE3C10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C47E27"/>
    <w:multiLevelType w:val="hybridMultilevel"/>
    <w:tmpl w:val="D1C871B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4826170A"/>
    <w:multiLevelType w:val="multilevel"/>
    <w:tmpl w:val="2496D8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9D4FF2"/>
    <w:multiLevelType w:val="multilevel"/>
    <w:tmpl w:val="8B9A0B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527C3A"/>
    <w:multiLevelType w:val="multilevel"/>
    <w:tmpl w:val="2098E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3BB78F1"/>
    <w:multiLevelType w:val="hybridMultilevel"/>
    <w:tmpl w:val="31469B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4406A57"/>
    <w:multiLevelType w:val="hybridMultilevel"/>
    <w:tmpl w:val="B4849842"/>
    <w:lvl w:ilvl="0" w:tplc="B19C4DE4">
      <w:numFmt w:val="bullet"/>
      <w:lvlText w:val="-"/>
      <w:lvlJc w:val="left"/>
      <w:pPr>
        <w:ind w:left="480" w:hanging="360"/>
      </w:pPr>
      <w:rPr>
        <w:rFonts w:ascii="Times New Roman" w:eastAsia="Times New Roman" w:hAnsi="Times New Roman" w:cs="Times New Roman" w:hint="default"/>
        <w:spacing w:val="0"/>
        <w:w w:val="100"/>
        <w:lang w:val="en-US" w:eastAsia="en-US" w:bidi="ar-SA"/>
      </w:rPr>
    </w:lvl>
    <w:lvl w:ilvl="1" w:tplc="93D83464">
      <w:numFmt w:val="bullet"/>
      <w:lvlText w:val="•"/>
      <w:lvlJc w:val="left"/>
      <w:pPr>
        <w:ind w:left="1320" w:hanging="360"/>
      </w:pPr>
      <w:rPr>
        <w:rFonts w:hint="default"/>
        <w:lang w:val="en-US" w:eastAsia="en-US" w:bidi="ar-SA"/>
      </w:rPr>
    </w:lvl>
    <w:lvl w:ilvl="2" w:tplc="2C04E580">
      <w:numFmt w:val="bullet"/>
      <w:lvlText w:val="•"/>
      <w:lvlJc w:val="left"/>
      <w:pPr>
        <w:ind w:left="2160" w:hanging="360"/>
      </w:pPr>
      <w:rPr>
        <w:rFonts w:hint="default"/>
        <w:lang w:val="en-US" w:eastAsia="en-US" w:bidi="ar-SA"/>
      </w:rPr>
    </w:lvl>
    <w:lvl w:ilvl="3" w:tplc="10A87B2E">
      <w:numFmt w:val="bullet"/>
      <w:lvlText w:val="•"/>
      <w:lvlJc w:val="left"/>
      <w:pPr>
        <w:ind w:left="3000" w:hanging="360"/>
      </w:pPr>
      <w:rPr>
        <w:rFonts w:hint="default"/>
        <w:lang w:val="en-US" w:eastAsia="en-US" w:bidi="ar-SA"/>
      </w:rPr>
    </w:lvl>
    <w:lvl w:ilvl="4" w:tplc="1D72EF90">
      <w:numFmt w:val="bullet"/>
      <w:lvlText w:val="•"/>
      <w:lvlJc w:val="left"/>
      <w:pPr>
        <w:ind w:left="3840" w:hanging="360"/>
      </w:pPr>
      <w:rPr>
        <w:rFonts w:hint="default"/>
        <w:lang w:val="en-US" w:eastAsia="en-US" w:bidi="ar-SA"/>
      </w:rPr>
    </w:lvl>
    <w:lvl w:ilvl="5" w:tplc="181EB664">
      <w:numFmt w:val="bullet"/>
      <w:lvlText w:val="•"/>
      <w:lvlJc w:val="left"/>
      <w:pPr>
        <w:ind w:left="4680" w:hanging="360"/>
      </w:pPr>
      <w:rPr>
        <w:rFonts w:hint="default"/>
        <w:lang w:val="en-US" w:eastAsia="en-US" w:bidi="ar-SA"/>
      </w:rPr>
    </w:lvl>
    <w:lvl w:ilvl="6" w:tplc="CB8E7D5C">
      <w:numFmt w:val="bullet"/>
      <w:lvlText w:val="•"/>
      <w:lvlJc w:val="left"/>
      <w:pPr>
        <w:ind w:left="5520" w:hanging="360"/>
      </w:pPr>
      <w:rPr>
        <w:rFonts w:hint="default"/>
        <w:lang w:val="en-US" w:eastAsia="en-US" w:bidi="ar-SA"/>
      </w:rPr>
    </w:lvl>
    <w:lvl w:ilvl="7" w:tplc="BCA83016">
      <w:numFmt w:val="bullet"/>
      <w:lvlText w:val="•"/>
      <w:lvlJc w:val="left"/>
      <w:pPr>
        <w:ind w:left="6360" w:hanging="360"/>
      </w:pPr>
      <w:rPr>
        <w:rFonts w:hint="default"/>
        <w:lang w:val="en-US" w:eastAsia="en-US" w:bidi="ar-SA"/>
      </w:rPr>
    </w:lvl>
    <w:lvl w:ilvl="8" w:tplc="32CC0F42">
      <w:numFmt w:val="bullet"/>
      <w:lvlText w:val="•"/>
      <w:lvlJc w:val="left"/>
      <w:pPr>
        <w:ind w:left="7200" w:hanging="360"/>
      </w:pPr>
      <w:rPr>
        <w:rFonts w:hint="default"/>
        <w:lang w:val="en-US" w:eastAsia="en-US" w:bidi="ar-SA"/>
      </w:rPr>
    </w:lvl>
  </w:abstractNum>
  <w:abstractNum w:abstractNumId="32" w15:restartNumberingAfterBreak="0">
    <w:nsid w:val="57BD3F03"/>
    <w:multiLevelType w:val="multilevel"/>
    <w:tmpl w:val="26EEFB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A979AF"/>
    <w:multiLevelType w:val="hybridMultilevel"/>
    <w:tmpl w:val="23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E11B3"/>
    <w:multiLevelType w:val="multilevel"/>
    <w:tmpl w:val="72C8FD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697693B"/>
    <w:multiLevelType w:val="multilevel"/>
    <w:tmpl w:val="76B80F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3118BD"/>
    <w:multiLevelType w:val="hybridMultilevel"/>
    <w:tmpl w:val="85C44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AD6E01"/>
    <w:multiLevelType w:val="hybridMultilevel"/>
    <w:tmpl w:val="CCA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A6491"/>
    <w:multiLevelType w:val="hybridMultilevel"/>
    <w:tmpl w:val="40C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075C6"/>
    <w:multiLevelType w:val="hybridMultilevel"/>
    <w:tmpl w:val="2CECC00C"/>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BC40D6"/>
    <w:multiLevelType w:val="multilevel"/>
    <w:tmpl w:val="17E4C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5D5E99"/>
    <w:multiLevelType w:val="hybridMultilevel"/>
    <w:tmpl w:val="964E9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268B9"/>
    <w:multiLevelType w:val="multilevel"/>
    <w:tmpl w:val="BBC86F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4D1827"/>
    <w:multiLevelType w:val="hybridMultilevel"/>
    <w:tmpl w:val="934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1659B"/>
    <w:multiLevelType w:val="hybridMultilevel"/>
    <w:tmpl w:val="2CECC00C"/>
    <w:lvl w:ilvl="0" w:tplc="097C4EE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30B1B"/>
    <w:multiLevelType w:val="hybridMultilevel"/>
    <w:tmpl w:val="7A2A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5408000">
    <w:abstractNumId w:val="44"/>
  </w:num>
  <w:num w:numId="2" w16cid:durableId="1874002579">
    <w:abstractNumId w:val="31"/>
  </w:num>
  <w:num w:numId="3" w16cid:durableId="1664549304">
    <w:abstractNumId w:val="26"/>
  </w:num>
  <w:num w:numId="4" w16cid:durableId="780883948">
    <w:abstractNumId w:val="4"/>
  </w:num>
  <w:num w:numId="5" w16cid:durableId="2064988224">
    <w:abstractNumId w:val="16"/>
  </w:num>
  <w:num w:numId="6" w16cid:durableId="676422184">
    <w:abstractNumId w:val="1"/>
  </w:num>
  <w:num w:numId="7" w16cid:durableId="1030187277">
    <w:abstractNumId w:val="3"/>
  </w:num>
  <w:num w:numId="8" w16cid:durableId="6368558">
    <w:abstractNumId w:val="43"/>
  </w:num>
  <w:num w:numId="9" w16cid:durableId="1719668071">
    <w:abstractNumId w:val="37"/>
  </w:num>
  <w:num w:numId="10" w16cid:durableId="1856190515">
    <w:abstractNumId w:val="15"/>
  </w:num>
  <w:num w:numId="11" w16cid:durableId="995452936">
    <w:abstractNumId w:val="20"/>
  </w:num>
  <w:num w:numId="12" w16cid:durableId="616302106">
    <w:abstractNumId w:val="33"/>
  </w:num>
  <w:num w:numId="13" w16cid:durableId="1264338631">
    <w:abstractNumId w:val="41"/>
  </w:num>
  <w:num w:numId="14" w16cid:durableId="1754818542">
    <w:abstractNumId w:val="38"/>
  </w:num>
  <w:num w:numId="15" w16cid:durableId="1401556801">
    <w:abstractNumId w:val="40"/>
  </w:num>
  <w:num w:numId="16" w16cid:durableId="1763601863">
    <w:abstractNumId w:val="19"/>
  </w:num>
  <w:num w:numId="17" w16cid:durableId="1152985058">
    <w:abstractNumId w:val="23"/>
  </w:num>
  <w:num w:numId="18" w16cid:durableId="1022125316">
    <w:abstractNumId w:val="27"/>
  </w:num>
  <w:num w:numId="19" w16cid:durableId="360789985">
    <w:abstractNumId w:val="7"/>
  </w:num>
  <w:num w:numId="20" w16cid:durableId="2080052855">
    <w:abstractNumId w:val="0"/>
  </w:num>
  <w:num w:numId="21" w16cid:durableId="164979453">
    <w:abstractNumId w:val="28"/>
  </w:num>
  <w:num w:numId="22" w16cid:durableId="1071540784">
    <w:abstractNumId w:val="11"/>
  </w:num>
  <w:num w:numId="23" w16cid:durableId="167839937">
    <w:abstractNumId w:val="35"/>
  </w:num>
  <w:num w:numId="24" w16cid:durableId="308445026">
    <w:abstractNumId w:val="9"/>
  </w:num>
  <w:num w:numId="25" w16cid:durableId="410737304">
    <w:abstractNumId w:val="22"/>
  </w:num>
  <w:num w:numId="26" w16cid:durableId="1261569181">
    <w:abstractNumId w:val="29"/>
  </w:num>
  <w:num w:numId="27" w16cid:durableId="544409955">
    <w:abstractNumId w:val="25"/>
  </w:num>
  <w:num w:numId="28" w16cid:durableId="1123302355">
    <w:abstractNumId w:val="2"/>
  </w:num>
  <w:num w:numId="29" w16cid:durableId="1001811361">
    <w:abstractNumId w:val="12"/>
  </w:num>
  <w:num w:numId="30" w16cid:durableId="377165975">
    <w:abstractNumId w:val="14"/>
  </w:num>
  <w:num w:numId="31" w16cid:durableId="2074889641">
    <w:abstractNumId w:val="6"/>
  </w:num>
  <w:num w:numId="32" w16cid:durableId="366106351">
    <w:abstractNumId w:val="32"/>
  </w:num>
  <w:num w:numId="33" w16cid:durableId="1532718490">
    <w:abstractNumId w:val="42"/>
  </w:num>
  <w:num w:numId="34" w16cid:durableId="1126658660">
    <w:abstractNumId w:val="17"/>
  </w:num>
  <w:num w:numId="35" w16cid:durableId="853151700">
    <w:abstractNumId w:val="36"/>
  </w:num>
  <w:num w:numId="36" w16cid:durableId="726417352">
    <w:abstractNumId w:val="13"/>
  </w:num>
  <w:num w:numId="37" w16cid:durableId="1064764292">
    <w:abstractNumId w:val="45"/>
  </w:num>
  <w:num w:numId="38" w16cid:durableId="2123838198">
    <w:abstractNumId w:val="21"/>
  </w:num>
  <w:num w:numId="39" w16cid:durableId="89665071">
    <w:abstractNumId w:val="39"/>
  </w:num>
  <w:num w:numId="40" w16cid:durableId="1654529444">
    <w:abstractNumId w:val="24"/>
  </w:num>
  <w:num w:numId="41" w16cid:durableId="943268125">
    <w:abstractNumId w:val="8"/>
  </w:num>
  <w:num w:numId="42" w16cid:durableId="23555040">
    <w:abstractNumId w:val="18"/>
  </w:num>
  <w:num w:numId="43" w16cid:durableId="1314261794">
    <w:abstractNumId w:val="5"/>
  </w:num>
  <w:num w:numId="44" w16cid:durableId="1483885337">
    <w:abstractNumId w:val="34"/>
  </w:num>
  <w:num w:numId="45" w16cid:durableId="1925915145">
    <w:abstractNumId w:val="10"/>
  </w:num>
  <w:num w:numId="46" w16cid:durableId="14422605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6C"/>
    <w:rsid w:val="00006487"/>
    <w:rsid w:val="00006E0B"/>
    <w:rsid w:val="0000779F"/>
    <w:rsid w:val="0001561A"/>
    <w:rsid w:val="00021238"/>
    <w:rsid w:val="00022BE9"/>
    <w:rsid w:val="000302C6"/>
    <w:rsid w:val="00030615"/>
    <w:rsid w:val="00030BC3"/>
    <w:rsid w:val="00034193"/>
    <w:rsid w:val="000346B9"/>
    <w:rsid w:val="00034EE2"/>
    <w:rsid w:val="000352DA"/>
    <w:rsid w:val="00036BE4"/>
    <w:rsid w:val="00037D8A"/>
    <w:rsid w:val="00042145"/>
    <w:rsid w:val="000451AC"/>
    <w:rsid w:val="00046028"/>
    <w:rsid w:val="00047E51"/>
    <w:rsid w:val="00050F2C"/>
    <w:rsid w:val="0006397E"/>
    <w:rsid w:val="00067A6D"/>
    <w:rsid w:val="0007505D"/>
    <w:rsid w:val="000801CE"/>
    <w:rsid w:val="00083D2E"/>
    <w:rsid w:val="000919B0"/>
    <w:rsid w:val="000928FE"/>
    <w:rsid w:val="00094B9D"/>
    <w:rsid w:val="000A2085"/>
    <w:rsid w:val="000A53EE"/>
    <w:rsid w:val="000A6997"/>
    <w:rsid w:val="000B1DD0"/>
    <w:rsid w:val="000B3AAF"/>
    <w:rsid w:val="000B4A15"/>
    <w:rsid w:val="000B7702"/>
    <w:rsid w:val="000C10F5"/>
    <w:rsid w:val="000C31F7"/>
    <w:rsid w:val="000D4A4D"/>
    <w:rsid w:val="000D58FB"/>
    <w:rsid w:val="000D757C"/>
    <w:rsid w:val="000E0EC5"/>
    <w:rsid w:val="000E2ACC"/>
    <w:rsid w:val="000E5ED3"/>
    <w:rsid w:val="001001D7"/>
    <w:rsid w:val="00100AB5"/>
    <w:rsid w:val="0010233D"/>
    <w:rsid w:val="00106FA2"/>
    <w:rsid w:val="00111117"/>
    <w:rsid w:val="00120EAB"/>
    <w:rsid w:val="001225BD"/>
    <w:rsid w:val="00124826"/>
    <w:rsid w:val="00126E60"/>
    <w:rsid w:val="00131E2D"/>
    <w:rsid w:val="001320E5"/>
    <w:rsid w:val="00133FD7"/>
    <w:rsid w:val="001356FF"/>
    <w:rsid w:val="00137300"/>
    <w:rsid w:val="00137702"/>
    <w:rsid w:val="00140103"/>
    <w:rsid w:val="0014018A"/>
    <w:rsid w:val="0014140F"/>
    <w:rsid w:val="0014220E"/>
    <w:rsid w:val="0014605C"/>
    <w:rsid w:val="001469D6"/>
    <w:rsid w:val="001501F6"/>
    <w:rsid w:val="00154041"/>
    <w:rsid w:val="0015686C"/>
    <w:rsid w:val="00156FFF"/>
    <w:rsid w:val="0016393F"/>
    <w:rsid w:val="00164F9B"/>
    <w:rsid w:val="0016529B"/>
    <w:rsid w:val="001667FD"/>
    <w:rsid w:val="00167845"/>
    <w:rsid w:val="00175F9C"/>
    <w:rsid w:val="001761C3"/>
    <w:rsid w:val="00176604"/>
    <w:rsid w:val="00176A0E"/>
    <w:rsid w:val="00176B4B"/>
    <w:rsid w:val="001774E7"/>
    <w:rsid w:val="001805EF"/>
    <w:rsid w:val="00181F9A"/>
    <w:rsid w:val="00184738"/>
    <w:rsid w:val="00185493"/>
    <w:rsid w:val="001869D2"/>
    <w:rsid w:val="00187ED9"/>
    <w:rsid w:val="001926AF"/>
    <w:rsid w:val="00192C44"/>
    <w:rsid w:val="00194278"/>
    <w:rsid w:val="00194991"/>
    <w:rsid w:val="00194E5A"/>
    <w:rsid w:val="001954E9"/>
    <w:rsid w:val="001955FB"/>
    <w:rsid w:val="001A08FD"/>
    <w:rsid w:val="001A3ECF"/>
    <w:rsid w:val="001A5A85"/>
    <w:rsid w:val="001A62C4"/>
    <w:rsid w:val="001A6393"/>
    <w:rsid w:val="001A63D5"/>
    <w:rsid w:val="001A64AF"/>
    <w:rsid w:val="001B0253"/>
    <w:rsid w:val="001B1FF1"/>
    <w:rsid w:val="001B2718"/>
    <w:rsid w:val="001B324B"/>
    <w:rsid w:val="001B4821"/>
    <w:rsid w:val="001B7EE8"/>
    <w:rsid w:val="001C531B"/>
    <w:rsid w:val="001D029A"/>
    <w:rsid w:val="001D04E2"/>
    <w:rsid w:val="001D0805"/>
    <w:rsid w:val="001D1015"/>
    <w:rsid w:val="001D303F"/>
    <w:rsid w:val="001D4BAF"/>
    <w:rsid w:val="001D5B84"/>
    <w:rsid w:val="001D5DFB"/>
    <w:rsid w:val="001E0F59"/>
    <w:rsid w:val="001E2CF4"/>
    <w:rsid w:val="001E44BA"/>
    <w:rsid w:val="001E6AC4"/>
    <w:rsid w:val="001F4710"/>
    <w:rsid w:val="001F4AED"/>
    <w:rsid w:val="00200466"/>
    <w:rsid w:val="00207704"/>
    <w:rsid w:val="00217BDA"/>
    <w:rsid w:val="00221D7C"/>
    <w:rsid w:val="0022371C"/>
    <w:rsid w:val="00225017"/>
    <w:rsid w:val="0022613E"/>
    <w:rsid w:val="00226B91"/>
    <w:rsid w:val="002318A7"/>
    <w:rsid w:val="0023226E"/>
    <w:rsid w:val="00234B5E"/>
    <w:rsid w:val="00235E1E"/>
    <w:rsid w:val="00236569"/>
    <w:rsid w:val="002375E7"/>
    <w:rsid w:val="002378B9"/>
    <w:rsid w:val="00240C7A"/>
    <w:rsid w:val="00242A88"/>
    <w:rsid w:val="0024401D"/>
    <w:rsid w:val="0024496A"/>
    <w:rsid w:val="002513A3"/>
    <w:rsid w:val="00252144"/>
    <w:rsid w:val="002522F9"/>
    <w:rsid w:val="00252995"/>
    <w:rsid w:val="00262469"/>
    <w:rsid w:val="002704CF"/>
    <w:rsid w:val="0027053C"/>
    <w:rsid w:val="00272BAC"/>
    <w:rsid w:val="002756EB"/>
    <w:rsid w:val="00275D3F"/>
    <w:rsid w:val="002770BE"/>
    <w:rsid w:val="002820BD"/>
    <w:rsid w:val="002852E3"/>
    <w:rsid w:val="002867F5"/>
    <w:rsid w:val="00296129"/>
    <w:rsid w:val="002A0BA9"/>
    <w:rsid w:val="002A4F31"/>
    <w:rsid w:val="002A62DD"/>
    <w:rsid w:val="002B0121"/>
    <w:rsid w:val="002B161A"/>
    <w:rsid w:val="002C0861"/>
    <w:rsid w:val="002C2590"/>
    <w:rsid w:val="002C261F"/>
    <w:rsid w:val="002C2A99"/>
    <w:rsid w:val="002C7B7C"/>
    <w:rsid w:val="002C7D0B"/>
    <w:rsid w:val="002D345B"/>
    <w:rsid w:val="002D3D8D"/>
    <w:rsid w:val="002D45C9"/>
    <w:rsid w:val="002D5502"/>
    <w:rsid w:val="002D643E"/>
    <w:rsid w:val="002E31B5"/>
    <w:rsid w:val="002E566E"/>
    <w:rsid w:val="002E5C6F"/>
    <w:rsid w:val="002F16BF"/>
    <w:rsid w:val="0030033C"/>
    <w:rsid w:val="00303BE5"/>
    <w:rsid w:val="003066F0"/>
    <w:rsid w:val="00311914"/>
    <w:rsid w:val="00311CC2"/>
    <w:rsid w:val="00313955"/>
    <w:rsid w:val="003174B9"/>
    <w:rsid w:val="00320C64"/>
    <w:rsid w:val="0032172A"/>
    <w:rsid w:val="00321F86"/>
    <w:rsid w:val="0032316F"/>
    <w:rsid w:val="00323AEE"/>
    <w:rsid w:val="00330B0D"/>
    <w:rsid w:val="00330C2E"/>
    <w:rsid w:val="00330E14"/>
    <w:rsid w:val="0033286F"/>
    <w:rsid w:val="0033714C"/>
    <w:rsid w:val="00337337"/>
    <w:rsid w:val="00341518"/>
    <w:rsid w:val="00341B03"/>
    <w:rsid w:val="003429CF"/>
    <w:rsid w:val="00343838"/>
    <w:rsid w:val="00343AD8"/>
    <w:rsid w:val="00344CF6"/>
    <w:rsid w:val="003470D9"/>
    <w:rsid w:val="00352332"/>
    <w:rsid w:val="003523F6"/>
    <w:rsid w:val="00355D8C"/>
    <w:rsid w:val="00361FE3"/>
    <w:rsid w:val="00364D7B"/>
    <w:rsid w:val="003676E0"/>
    <w:rsid w:val="003700C6"/>
    <w:rsid w:val="003728CD"/>
    <w:rsid w:val="00380BDA"/>
    <w:rsid w:val="003833ED"/>
    <w:rsid w:val="00383C4E"/>
    <w:rsid w:val="00384934"/>
    <w:rsid w:val="00386DEC"/>
    <w:rsid w:val="0038799A"/>
    <w:rsid w:val="00387E2A"/>
    <w:rsid w:val="00392775"/>
    <w:rsid w:val="00393062"/>
    <w:rsid w:val="00394E77"/>
    <w:rsid w:val="003A18D2"/>
    <w:rsid w:val="003B020B"/>
    <w:rsid w:val="003B063F"/>
    <w:rsid w:val="003B09BA"/>
    <w:rsid w:val="003C32C6"/>
    <w:rsid w:val="003C431C"/>
    <w:rsid w:val="003D5204"/>
    <w:rsid w:val="003D77BA"/>
    <w:rsid w:val="003E0721"/>
    <w:rsid w:val="003E39C7"/>
    <w:rsid w:val="003E4141"/>
    <w:rsid w:val="003E58CD"/>
    <w:rsid w:val="003F0464"/>
    <w:rsid w:val="003F536C"/>
    <w:rsid w:val="003F72CB"/>
    <w:rsid w:val="0040069B"/>
    <w:rsid w:val="00400880"/>
    <w:rsid w:val="0040140E"/>
    <w:rsid w:val="004019D9"/>
    <w:rsid w:val="00403B56"/>
    <w:rsid w:val="00406AE4"/>
    <w:rsid w:val="00407B9C"/>
    <w:rsid w:val="00412221"/>
    <w:rsid w:val="00416A1E"/>
    <w:rsid w:val="004230A9"/>
    <w:rsid w:val="0042511B"/>
    <w:rsid w:val="004253A0"/>
    <w:rsid w:val="0042654A"/>
    <w:rsid w:val="0042717A"/>
    <w:rsid w:val="00433FD5"/>
    <w:rsid w:val="00435507"/>
    <w:rsid w:val="00436AF2"/>
    <w:rsid w:val="004375EF"/>
    <w:rsid w:val="00437A1D"/>
    <w:rsid w:val="00445D0A"/>
    <w:rsid w:val="00447AC3"/>
    <w:rsid w:val="00451D9B"/>
    <w:rsid w:val="00453701"/>
    <w:rsid w:val="00455D7E"/>
    <w:rsid w:val="00457D5F"/>
    <w:rsid w:val="0046135E"/>
    <w:rsid w:val="00462C7C"/>
    <w:rsid w:val="00463291"/>
    <w:rsid w:val="00466721"/>
    <w:rsid w:val="00470DB1"/>
    <w:rsid w:val="004722C6"/>
    <w:rsid w:val="004726E6"/>
    <w:rsid w:val="00473427"/>
    <w:rsid w:val="00473998"/>
    <w:rsid w:val="00482F30"/>
    <w:rsid w:val="00485770"/>
    <w:rsid w:val="00485991"/>
    <w:rsid w:val="00486386"/>
    <w:rsid w:val="00487217"/>
    <w:rsid w:val="004911F0"/>
    <w:rsid w:val="004912A4"/>
    <w:rsid w:val="0049788D"/>
    <w:rsid w:val="004A0BC9"/>
    <w:rsid w:val="004A1E23"/>
    <w:rsid w:val="004A3FE7"/>
    <w:rsid w:val="004B04C3"/>
    <w:rsid w:val="004B05C3"/>
    <w:rsid w:val="004B7279"/>
    <w:rsid w:val="004B7E8B"/>
    <w:rsid w:val="004D427C"/>
    <w:rsid w:val="004D6F9B"/>
    <w:rsid w:val="004E074C"/>
    <w:rsid w:val="004E3132"/>
    <w:rsid w:val="004E6115"/>
    <w:rsid w:val="004E6402"/>
    <w:rsid w:val="004E6A41"/>
    <w:rsid w:val="004E71B5"/>
    <w:rsid w:val="004E7693"/>
    <w:rsid w:val="004F16C1"/>
    <w:rsid w:val="004F2780"/>
    <w:rsid w:val="004F3B0F"/>
    <w:rsid w:val="004F3CE1"/>
    <w:rsid w:val="004F43F8"/>
    <w:rsid w:val="004F6413"/>
    <w:rsid w:val="004F6E52"/>
    <w:rsid w:val="004F7169"/>
    <w:rsid w:val="0050058C"/>
    <w:rsid w:val="00500806"/>
    <w:rsid w:val="00501888"/>
    <w:rsid w:val="005032E2"/>
    <w:rsid w:val="0050672D"/>
    <w:rsid w:val="00506D46"/>
    <w:rsid w:val="00510E75"/>
    <w:rsid w:val="00512071"/>
    <w:rsid w:val="00514406"/>
    <w:rsid w:val="00516659"/>
    <w:rsid w:val="00516B67"/>
    <w:rsid w:val="005175D8"/>
    <w:rsid w:val="00520168"/>
    <w:rsid w:val="005254EE"/>
    <w:rsid w:val="00526827"/>
    <w:rsid w:val="00535743"/>
    <w:rsid w:val="00540099"/>
    <w:rsid w:val="00540B26"/>
    <w:rsid w:val="005429C3"/>
    <w:rsid w:val="00543355"/>
    <w:rsid w:val="005448CF"/>
    <w:rsid w:val="005509A6"/>
    <w:rsid w:val="00552446"/>
    <w:rsid w:val="005568F8"/>
    <w:rsid w:val="00560A5F"/>
    <w:rsid w:val="00562B4B"/>
    <w:rsid w:val="00563BD7"/>
    <w:rsid w:val="005679D9"/>
    <w:rsid w:val="00570D43"/>
    <w:rsid w:val="005743D1"/>
    <w:rsid w:val="00574BD6"/>
    <w:rsid w:val="00577947"/>
    <w:rsid w:val="00582A21"/>
    <w:rsid w:val="00583676"/>
    <w:rsid w:val="005842E7"/>
    <w:rsid w:val="00586723"/>
    <w:rsid w:val="00591CAD"/>
    <w:rsid w:val="0059250C"/>
    <w:rsid w:val="00593501"/>
    <w:rsid w:val="005A0BB9"/>
    <w:rsid w:val="005A20D1"/>
    <w:rsid w:val="005A4B6D"/>
    <w:rsid w:val="005A5648"/>
    <w:rsid w:val="005A671F"/>
    <w:rsid w:val="005B03BA"/>
    <w:rsid w:val="005B2CFB"/>
    <w:rsid w:val="005B396E"/>
    <w:rsid w:val="005C37A0"/>
    <w:rsid w:val="005D01B3"/>
    <w:rsid w:val="005D3EDF"/>
    <w:rsid w:val="005D566C"/>
    <w:rsid w:val="005D5CC7"/>
    <w:rsid w:val="005D6925"/>
    <w:rsid w:val="005D7826"/>
    <w:rsid w:val="005E0B19"/>
    <w:rsid w:val="005E1A89"/>
    <w:rsid w:val="005E630E"/>
    <w:rsid w:val="005F6E30"/>
    <w:rsid w:val="005F7C92"/>
    <w:rsid w:val="00602711"/>
    <w:rsid w:val="006057CC"/>
    <w:rsid w:val="00606690"/>
    <w:rsid w:val="00606942"/>
    <w:rsid w:val="0061619C"/>
    <w:rsid w:val="006164F1"/>
    <w:rsid w:val="00616808"/>
    <w:rsid w:val="00623086"/>
    <w:rsid w:val="00623F8B"/>
    <w:rsid w:val="00630C34"/>
    <w:rsid w:val="006313CF"/>
    <w:rsid w:val="00631440"/>
    <w:rsid w:val="00633544"/>
    <w:rsid w:val="0063484D"/>
    <w:rsid w:val="00637ABC"/>
    <w:rsid w:val="006410BE"/>
    <w:rsid w:val="0064233B"/>
    <w:rsid w:val="00645529"/>
    <w:rsid w:val="0064624D"/>
    <w:rsid w:val="00650B01"/>
    <w:rsid w:val="00655333"/>
    <w:rsid w:val="00655D1C"/>
    <w:rsid w:val="00656B88"/>
    <w:rsid w:val="00660110"/>
    <w:rsid w:val="006617B0"/>
    <w:rsid w:val="00663588"/>
    <w:rsid w:val="0066506D"/>
    <w:rsid w:val="00665D5C"/>
    <w:rsid w:val="00670639"/>
    <w:rsid w:val="00670980"/>
    <w:rsid w:val="00677214"/>
    <w:rsid w:val="006774C1"/>
    <w:rsid w:val="006805DB"/>
    <w:rsid w:val="00681F9B"/>
    <w:rsid w:val="006835BC"/>
    <w:rsid w:val="0068422A"/>
    <w:rsid w:val="00685251"/>
    <w:rsid w:val="00686474"/>
    <w:rsid w:val="006900F9"/>
    <w:rsid w:val="0069286B"/>
    <w:rsid w:val="00697355"/>
    <w:rsid w:val="006A1061"/>
    <w:rsid w:val="006A1BDE"/>
    <w:rsid w:val="006A2F87"/>
    <w:rsid w:val="006A3F7F"/>
    <w:rsid w:val="006A4CC4"/>
    <w:rsid w:val="006A54EB"/>
    <w:rsid w:val="006A5960"/>
    <w:rsid w:val="006A75B5"/>
    <w:rsid w:val="006A76F3"/>
    <w:rsid w:val="006B0850"/>
    <w:rsid w:val="006B135B"/>
    <w:rsid w:val="006B3DAE"/>
    <w:rsid w:val="006B3F55"/>
    <w:rsid w:val="006B3FF1"/>
    <w:rsid w:val="006B5212"/>
    <w:rsid w:val="006B71AD"/>
    <w:rsid w:val="006B779A"/>
    <w:rsid w:val="006D289E"/>
    <w:rsid w:val="006D53C0"/>
    <w:rsid w:val="006D665A"/>
    <w:rsid w:val="006D6B08"/>
    <w:rsid w:val="006E1EED"/>
    <w:rsid w:val="006E73F8"/>
    <w:rsid w:val="006E7781"/>
    <w:rsid w:val="006F3BAB"/>
    <w:rsid w:val="006F4C9E"/>
    <w:rsid w:val="006F61F5"/>
    <w:rsid w:val="006F70D4"/>
    <w:rsid w:val="006F75C8"/>
    <w:rsid w:val="00702194"/>
    <w:rsid w:val="0070321F"/>
    <w:rsid w:val="00704586"/>
    <w:rsid w:val="007065A9"/>
    <w:rsid w:val="00712A61"/>
    <w:rsid w:val="007150FF"/>
    <w:rsid w:val="00716F96"/>
    <w:rsid w:val="007176AB"/>
    <w:rsid w:val="00720DE8"/>
    <w:rsid w:val="00723A9F"/>
    <w:rsid w:val="0072516A"/>
    <w:rsid w:val="0072622F"/>
    <w:rsid w:val="00726A28"/>
    <w:rsid w:val="007322B3"/>
    <w:rsid w:val="00732688"/>
    <w:rsid w:val="00734F80"/>
    <w:rsid w:val="00740D04"/>
    <w:rsid w:val="00742181"/>
    <w:rsid w:val="0074718D"/>
    <w:rsid w:val="007479CB"/>
    <w:rsid w:val="007508D7"/>
    <w:rsid w:val="00751104"/>
    <w:rsid w:val="00751F57"/>
    <w:rsid w:val="007549DC"/>
    <w:rsid w:val="00754AEB"/>
    <w:rsid w:val="007564B2"/>
    <w:rsid w:val="00756B4D"/>
    <w:rsid w:val="00760F8B"/>
    <w:rsid w:val="00761EFD"/>
    <w:rsid w:val="00764594"/>
    <w:rsid w:val="007654F9"/>
    <w:rsid w:val="007665F7"/>
    <w:rsid w:val="00766DB7"/>
    <w:rsid w:val="007676BA"/>
    <w:rsid w:val="0076782B"/>
    <w:rsid w:val="00770202"/>
    <w:rsid w:val="00776450"/>
    <w:rsid w:val="007827A4"/>
    <w:rsid w:val="00787507"/>
    <w:rsid w:val="00791584"/>
    <w:rsid w:val="00792339"/>
    <w:rsid w:val="007949CE"/>
    <w:rsid w:val="0079760F"/>
    <w:rsid w:val="007A1845"/>
    <w:rsid w:val="007A3456"/>
    <w:rsid w:val="007B2D54"/>
    <w:rsid w:val="007B3ADB"/>
    <w:rsid w:val="007B415F"/>
    <w:rsid w:val="007B5E42"/>
    <w:rsid w:val="007C01DE"/>
    <w:rsid w:val="007C1C24"/>
    <w:rsid w:val="007C322C"/>
    <w:rsid w:val="007C58F2"/>
    <w:rsid w:val="007C7536"/>
    <w:rsid w:val="007D17FE"/>
    <w:rsid w:val="007D28B2"/>
    <w:rsid w:val="007E7D1F"/>
    <w:rsid w:val="007E7F5D"/>
    <w:rsid w:val="007E7FE9"/>
    <w:rsid w:val="00807CD5"/>
    <w:rsid w:val="008102ED"/>
    <w:rsid w:val="00810A5E"/>
    <w:rsid w:val="00811F33"/>
    <w:rsid w:val="008147BE"/>
    <w:rsid w:val="00815DD6"/>
    <w:rsid w:val="00815E7F"/>
    <w:rsid w:val="00820126"/>
    <w:rsid w:val="008206B6"/>
    <w:rsid w:val="00821BC6"/>
    <w:rsid w:val="00822A4C"/>
    <w:rsid w:val="00826DF4"/>
    <w:rsid w:val="00827759"/>
    <w:rsid w:val="00830987"/>
    <w:rsid w:val="00831E4C"/>
    <w:rsid w:val="00834CAF"/>
    <w:rsid w:val="00837837"/>
    <w:rsid w:val="008379C8"/>
    <w:rsid w:val="00842E0F"/>
    <w:rsid w:val="00846046"/>
    <w:rsid w:val="00852CB9"/>
    <w:rsid w:val="00853B01"/>
    <w:rsid w:val="00853BA1"/>
    <w:rsid w:val="00860535"/>
    <w:rsid w:val="0086078E"/>
    <w:rsid w:val="00861250"/>
    <w:rsid w:val="008638C0"/>
    <w:rsid w:val="00866A65"/>
    <w:rsid w:val="00867E3B"/>
    <w:rsid w:val="0087213E"/>
    <w:rsid w:val="008751B8"/>
    <w:rsid w:val="0087612B"/>
    <w:rsid w:val="00877DB3"/>
    <w:rsid w:val="00880223"/>
    <w:rsid w:val="00880329"/>
    <w:rsid w:val="008806F1"/>
    <w:rsid w:val="00880C01"/>
    <w:rsid w:val="0088142E"/>
    <w:rsid w:val="0088193E"/>
    <w:rsid w:val="0088359F"/>
    <w:rsid w:val="0088447A"/>
    <w:rsid w:val="0089140E"/>
    <w:rsid w:val="00894563"/>
    <w:rsid w:val="00897002"/>
    <w:rsid w:val="00897515"/>
    <w:rsid w:val="008A1B58"/>
    <w:rsid w:val="008A1D48"/>
    <w:rsid w:val="008A2A0D"/>
    <w:rsid w:val="008A2CCD"/>
    <w:rsid w:val="008A31DE"/>
    <w:rsid w:val="008A4329"/>
    <w:rsid w:val="008A53E2"/>
    <w:rsid w:val="008A6714"/>
    <w:rsid w:val="008B4F2F"/>
    <w:rsid w:val="008B54A6"/>
    <w:rsid w:val="008B581F"/>
    <w:rsid w:val="008B668F"/>
    <w:rsid w:val="008C600D"/>
    <w:rsid w:val="008D1B77"/>
    <w:rsid w:val="008E06E6"/>
    <w:rsid w:val="008E0FA8"/>
    <w:rsid w:val="008E1814"/>
    <w:rsid w:val="008E203F"/>
    <w:rsid w:val="008E5788"/>
    <w:rsid w:val="008E6B21"/>
    <w:rsid w:val="008F1D74"/>
    <w:rsid w:val="008F6009"/>
    <w:rsid w:val="00900A12"/>
    <w:rsid w:val="00901C1D"/>
    <w:rsid w:val="0091158C"/>
    <w:rsid w:val="009162EC"/>
    <w:rsid w:val="009201BE"/>
    <w:rsid w:val="00932AC2"/>
    <w:rsid w:val="00935897"/>
    <w:rsid w:val="0094039A"/>
    <w:rsid w:val="00942C6C"/>
    <w:rsid w:val="00943302"/>
    <w:rsid w:val="00952A2D"/>
    <w:rsid w:val="00952C47"/>
    <w:rsid w:val="00963B58"/>
    <w:rsid w:val="00967E25"/>
    <w:rsid w:val="0097265D"/>
    <w:rsid w:val="00973C3E"/>
    <w:rsid w:val="00977395"/>
    <w:rsid w:val="009778A3"/>
    <w:rsid w:val="009830E8"/>
    <w:rsid w:val="0098702A"/>
    <w:rsid w:val="0098755F"/>
    <w:rsid w:val="00990AB2"/>
    <w:rsid w:val="009914E4"/>
    <w:rsid w:val="00991865"/>
    <w:rsid w:val="00991A9B"/>
    <w:rsid w:val="009950EB"/>
    <w:rsid w:val="00995223"/>
    <w:rsid w:val="00996C25"/>
    <w:rsid w:val="009A1CF2"/>
    <w:rsid w:val="009A1D58"/>
    <w:rsid w:val="009A6AED"/>
    <w:rsid w:val="009A6F62"/>
    <w:rsid w:val="009B11D7"/>
    <w:rsid w:val="009B4E37"/>
    <w:rsid w:val="009B50F7"/>
    <w:rsid w:val="009B54DF"/>
    <w:rsid w:val="009B602A"/>
    <w:rsid w:val="009B77F7"/>
    <w:rsid w:val="009D052D"/>
    <w:rsid w:val="009D125E"/>
    <w:rsid w:val="009D521F"/>
    <w:rsid w:val="009E38BB"/>
    <w:rsid w:val="009E44D7"/>
    <w:rsid w:val="009E4CBE"/>
    <w:rsid w:val="009E541C"/>
    <w:rsid w:val="009E640B"/>
    <w:rsid w:val="009E6779"/>
    <w:rsid w:val="009F375B"/>
    <w:rsid w:val="009F3D41"/>
    <w:rsid w:val="009F457D"/>
    <w:rsid w:val="00A021AD"/>
    <w:rsid w:val="00A0253E"/>
    <w:rsid w:val="00A03B90"/>
    <w:rsid w:val="00A12059"/>
    <w:rsid w:val="00A12B3E"/>
    <w:rsid w:val="00A12D6C"/>
    <w:rsid w:val="00A1537C"/>
    <w:rsid w:val="00A2112E"/>
    <w:rsid w:val="00A22645"/>
    <w:rsid w:val="00A22A19"/>
    <w:rsid w:val="00A2561E"/>
    <w:rsid w:val="00A270E1"/>
    <w:rsid w:val="00A30376"/>
    <w:rsid w:val="00A30EE0"/>
    <w:rsid w:val="00A32250"/>
    <w:rsid w:val="00A32DF3"/>
    <w:rsid w:val="00A379BD"/>
    <w:rsid w:val="00A37EF9"/>
    <w:rsid w:val="00A42E1A"/>
    <w:rsid w:val="00A440A9"/>
    <w:rsid w:val="00A45F3E"/>
    <w:rsid w:val="00A47AB3"/>
    <w:rsid w:val="00A52349"/>
    <w:rsid w:val="00A52BED"/>
    <w:rsid w:val="00A535F4"/>
    <w:rsid w:val="00A57C62"/>
    <w:rsid w:val="00A57CDC"/>
    <w:rsid w:val="00A616FA"/>
    <w:rsid w:val="00A64030"/>
    <w:rsid w:val="00A66776"/>
    <w:rsid w:val="00A678DE"/>
    <w:rsid w:val="00A709A0"/>
    <w:rsid w:val="00A72399"/>
    <w:rsid w:val="00A74E04"/>
    <w:rsid w:val="00A75C7C"/>
    <w:rsid w:val="00A81371"/>
    <w:rsid w:val="00A87F7C"/>
    <w:rsid w:val="00A91F5A"/>
    <w:rsid w:val="00A94D29"/>
    <w:rsid w:val="00A95BCF"/>
    <w:rsid w:val="00AA06C6"/>
    <w:rsid w:val="00AA64BB"/>
    <w:rsid w:val="00AB057E"/>
    <w:rsid w:val="00AB0C47"/>
    <w:rsid w:val="00AB3F02"/>
    <w:rsid w:val="00AB4B18"/>
    <w:rsid w:val="00AC2457"/>
    <w:rsid w:val="00AC5D25"/>
    <w:rsid w:val="00AC6BF9"/>
    <w:rsid w:val="00AD4EB7"/>
    <w:rsid w:val="00AD646D"/>
    <w:rsid w:val="00AD6713"/>
    <w:rsid w:val="00AD71F3"/>
    <w:rsid w:val="00AE2862"/>
    <w:rsid w:val="00AF3108"/>
    <w:rsid w:val="00AF7867"/>
    <w:rsid w:val="00B0204F"/>
    <w:rsid w:val="00B04500"/>
    <w:rsid w:val="00B1025C"/>
    <w:rsid w:val="00B104DD"/>
    <w:rsid w:val="00B1225B"/>
    <w:rsid w:val="00B23845"/>
    <w:rsid w:val="00B30DE8"/>
    <w:rsid w:val="00B314D6"/>
    <w:rsid w:val="00B36A26"/>
    <w:rsid w:val="00B376BB"/>
    <w:rsid w:val="00B4087E"/>
    <w:rsid w:val="00B4469A"/>
    <w:rsid w:val="00B50160"/>
    <w:rsid w:val="00B51DD4"/>
    <w:rsid w:val="00B524CC"/>
    <w:rsid w:val="00B53F60"/>
    <w:rsid w:val="00B547FD"/>
    <w:rsid w:val="00B6426C"/>
    <w:rsid w:val="00B64E2D"/>
    <w:rsid w:val="00B66CF8"/>
    <w:rsid w:val="00B71B1C"/>
    <w:rsid w:val="00B71C1D"/>
    <w:rsid w:val="00B71DFB"/>
    <w:rsid w:val="00B72686"/>
    <w:rsid w:val="00B74150"/>
    <w:rsid w:val="00B750B9"/>
    <w:rsid w:val="00B75DFE"/>
    <w:rsid w:val="00B83353"/>
    <w:rsid w:val="00B849CB"/>
    <w:rsid w:val="00B87456"/>
    <w:rsid w:val="00B8778D"/>
    <w:rsid w:val="00B91043"/>
    <w:rsid w:val="00B9394C"/>
    <w:rsid w:val="00B9399E"/>
    <w:rsid w:val="00B9462F"/>
    <w:rsid w:val="00B96233"/>
    <w:rsid w:val="00B96386"/>
    <w:rsid w:val="00B97B58"/>
    <w:rsid w:val="00BA09C0"/>
    <w:rsid w:val="00BB0FFC"/>
    <w:rsid w:val="00BB69EA"/>
    <w:rsid w:val="00BB70B0"/>
    <w:rsid w:val="00BB7EEC"/>
    <w:rsid w:val="00BC1BB4"/>
    <w:rsid w:val="00BC3954"/>
    <w:rsid w:val="00BC45E4"/>
    <w:rsid w:val="00BC4E5C"/>
    <w:rsid w:val="00BC657B"/>
    <w:rsid w:val="00BC69A4"/>
    <w:rsid w:val="00BC709F"/>
    <w:rsid w:val="00BC778C"/>
    <w:rsid w:val="00BC7C99"/>
    <w:rsid w:val="00BE3C94"/>
    <w:rsid w:val="00BE3D17"/>
    <w:rsid w:val="00BE7CB9"/>
    <w:rsid w:val="00BF2842"/>
    <w:rsid w:val="00BF3384"/>
    <w:rsid w:val="00BF3BB2"/>
    <w:rsid w:val="00BF41CA"/>
    <w:rsid w:val="00C04EE1"/>
    <w:rsid w:val="00C063B6"/>
    <w:rsid w:val="00C06BE3"/>
    <w:rsid w:val="00C1140C"/>
    <w:rsid w:val="00C131A0"/>
    <w:rsid w:val="00C14609"/>
    <w:rsid w:val="00C147F7"/>
    <w:rsid w:val="00C14F33"/>
    <w:rsid w:val="00C15971"/>
    <w:rsid w:val="00C17410"/>
    <w:rsid w:val="00C240E9"/>
    <w:rsid w:val="00C24889"/>
    <w:rsid w:val="00C272EC"/>
    <w:rsid w:val="00C27DCD"/>
    <w:rsid w:val="00C30A69"/>
    <w:rsid w:val="00C34926"/>
    <w:rsid w:val="00C3723A"/>
    <w:rsid w:val="00C40163"/>
    <w:rsid w:val="00C40B4D"/>
    <w:rsid w:val="00C43277"/>
    <w:rsid w:val="00C47663"/>
    <w:rsid w:val="00C502A3"/>
    <w:rsid w:val="00C5107D"/>
    <w:rsid w:val="00C53D12"/>
    <w:rsid w:val="00C55872"/>
    <w:rsid w:val="00C5617F"/>
    <w:rsid w:val="00C5719F"/>
    <w:rsid w:val="00C611EC"/>
    <w:rsid w:val="00C725DD"/>
    <w:rsid w:val="00C755AA"/>
    <w:rsid w:val="00C7587C"/>
    <w:rsid w:val="00C7726F"/>
    <w:rsid w:val="00C85188"/>
    <w:rsid w:val="00C8538B"/>
    <w:rsid w:val="00C85E0B"/>
    <w:rsid w:val="00C90C85"/>
    <w:rsid w:val="00C91C7F"/>
    <w:rsid w:val="00C9437A"/>
    <w:rsid w:val="00C9554F"/>
    <w:rsid w:val="00C97382"/>
    <w:rsid w:val="00CA18BE"/>
    <w:rsid w:val="00CA2B89"/>
    <w:rsid w:val="00CA6573"/>
    <w:rsid w:val="00CC0689"/>
    <w:rsid w:val="00CC0B02"/>
    <w:rsid w:val="00CC16B2"/>
    <w:rsid w:val="00CD099A"/>
    <w:rsid w:val="00CD0AC0"/>
    <w:rsid w:val="00CD0DB0"/>
    <w:rsid w:val="00CD35AB"/>
    <w:rsid w:val="00CD53A6"/>
    <w:rsid w:val="00CE06AD"/>
    <w:rsid w:val="00CE191A"/>
    <w:rsid w:val="00CE22A2"/>
    <w:rsid w:val="00CE60C2"/>
    <w:rsid w:val="00CF21F1"/>
    <w:rsid w:val="00CF3449"/>
    <w:rsid w:val="00CF4CBC"/>
    <w:rsid w:val="00CF58CB"/>
    <w:rsid w:val="00CF6277"/>
    <w:rsid w:val="00CF7C91"/>
    <w:rsid w:val="00D008F8"/>
    <w:rsid w:val="00D00E68"/>
    <w:rsid w:val="00D00FFD"/>
    <w:rsid w:val="00D02190"/>
    <w:rsid w:val="00D02F65"/>
    <w:rsid w:val="00D0384C"/>
    <w:rsid w:val="00D05DD5"/>
    <w:rsid w:val="00D10CA0"/>
    <w:rsid w:val="00D11A45"/>
    <w:rsid w:val="00D15795"/>
    <w:rsid w:val="00D16258"/>
    <w:rsid w:val="00D205D0"/>
    <w:rsid w:val="00D218E4"/>
    <w:rsid w:val="00D22421"/>
    <w:rsid w:val="00D22920"/>
    <w:rsid w:val="00D31B91"/>
    <w:rsid w:val="00D33C2C"/>
    <w:rsid w:val="00D33F23"/>
    <w:rsid w:val="00D35529"/>
    <w:rsid w:val="00D47FEB"/>
    <w:rsid w:val="00D5100D"/>
    <w:rsid w:val="00D5199E"/>
    <w:rsid w:val="00D5292E"/>
    <w:rsid w:val="00D54CB7"/>
    <w:rsid w:val="00D553FA"/>
    <w:rsid w:val="00D5563C"/>
    <w:rsid w:val="00D62C95"/>
    <w:rsid w:val="00D652D1"/>
    <w:rsid w:val="00D719C7"/>
    <w:rsid w:val="00D723A4"/>
    <w:rsid w:val="00D749C5"/>
    <w:rsid w:val="00D853BF"/>
    <w:rsid w:val="00D90ACF"/>
    <w:rsid w:val="00D96368"/>
    <w:rsid w:val="00D97199"/>
    <w:rsid w:val="00DA2645"/>
    <w:rsid w:val="00DA2669"/>
    <w:rsid w:val="00DA2E3D"/>
    <w:rsid w:val="00DA3533"/>
    <w:rsid w:val="00DA52CC"/>
    <w:rsid w:val="00DA5707"/>
    <w:rsid w:val="00DA7A84"/>
    <w:rsid w:val="00DB1EB4"/>
    <w:rsid w:val="00DB2D6C"/>
    <w:rsid w:val="00DB5794"/>
    <w:rsid w:val="00DB6EA3"/>
    <w:rsid w:val="00DC3ACD"/>
    <w:rsid w:val="00DC3EC7"/>
    <w:rsid w:val="00DC6B4A"/>
    <w:rsid w:val="00DD23C6"/>
    <w:rsid w:val="00DD2964"/>
    <w:rsid w:val="00DD2B2A"/>
    <w:rsid w:val="00DD3282"/>
    <w:rsid w:val="00DD54FD"/>
    <w:rsid w:val="00DE0A20"/>
    <w:rsid w:val="00DE129F"/>
    <w:rsid w:val="00DE18BB"/>
    <w:rsid w:val="00DE193A"/>
    <w:rsid w:val="00DE58C8"/>
    <w:rsid w:val="00DE70DB"/>
    <w:rsid w:val="00DE790F"/>
    <w:rsid w:val="00DF12F0"/>
    <w:rsid w:val="00DF2954"/>
    <w:rsid w:val="00DF613F"/>
    <w:rsid w:val="00DF72CD"/>
    <w:rsid w:val="00DF73B5"/>
    <w:rsid w:val="00E06FE3"/>
    <w:rsid w:val="00E07C2B"/>
    <w:rsid w:val="00E14F1C"/>
    <w:rsid w:val="00E15D5C"/>
    <w:rsid w:val="00E15FD4"/>
    <w:rsid w:val="00E16437"/>
    <w:rsid w:val="00E1688F"/>
    <w:rsid w:val="00E16B55"/>
    <w:rsid w:val="00E1746E"/>
    <w:rsid w:val="00E20AEF"/>
    <w:rsid w:val="00E24667"/>
    <w:rsid w:val="00E25F44"/>
    <w:rsid w:val="00E30424"/>
    <w:rsid w:val="00E342B2"/>
    <w:rsid w:val="00E351FA"/>
    <w:rsid w:val="00E36C67"/>
    <w:rsid w:val="00E42ABC"/>
    <w:rsid w:val="00E43767"/>
    <w:rsid w:val="00E5410F"/>
    <w:rsid w:val="00E541E2"/>
    <w:rsid w:val="00E60A62"/>
    <w:rsid w:val="00E60BCC"/>
    <w:rsid w:val="00E63666"/>
    <w:rsid w:val="00E66E29"/>
    <w:rsid w:val="00E66FE5"/>
    <w:rsid w:val="00E7144F"/>
    <w:rsid w:val="00E71693"/>
    <w:rsid w:val="00E7605D"/>
    <w:rsid w:val="00E778D6"/>
    <w:rsid w:val="00E851D0"/>
    <w:rsid w:val="00E90910"/>
    <w:rsid w:val="00E90A65"/>
    <w:rsid w:val="00E91B81"/>
    <w:rsid w:val="00E96F56"/>
    <w:rsid w:val="00E97ED8"/>
    <w:rsid w:val="00EA15FE"/>
    <w:rsid w:val="00EA1F4C"/>
    <w:rsid w:val="00EA25FE"/>
    <w:rsid w:val="00EA3EDB"/>
    <w:rsid w:val="00EB30C2"/>
    <w:rsid w:val="00EB40A7"/>
    <w:rsid w:val="00EB4104"/>
    <w:rsid w:val="00EB4BC8"/>
    <w:rsid w:val="00EB4C1B"/>
    <w:rsid w:val="00EB5BC9"/>
    <w:rsid w:val="00EB766C"/>
    <w:rsid w:val="00EB7F4F"/>
    <w:rsid w:val="00EC1727"/>
    <w:rsid w:val="00EC2280"/>
    <w:rsid w:val="00EC484B"/>
    <w:rsid w:val="00EC5052"/>
    <w:rsid w:val="00EC5878"/>
    <w:rsid w:val="00EC6924"/>
    <w:rsid w:val="00ED2B46"/>
    <w:rsid w:val="00ED36F0"/>
    <w:rsid w:val="00ED56FD"/>
    <w:rsid w:val="00ED5957"/>
    <w:rsid w:val="00EE0982"/>
    <w:rsid w:val="00EE1B2F"/>
    <w:rsid w:val="00EE1C50"/>
    <w:rsid w:val="00EE2750"/>
    <w:rsid w:val="00EE433F"/>
    <w:rsid w:val="00EE748E"/>
    <w:rsid w:val="00EF070F"/>
    <w:rsid w:val="00EF17B7"/>
    <w:rsid w:val="00EF2384"/>
    <w:rsid w:val="00EF292F"/>
    <w:rsid w:val="00EF2DC1"/>
    <w:rsid w:val="00EF4228"/>
    <w:rsid w:val="00EF4D6F"/>
    <w:rsid w:val="00EF55FE"/>
    <w:rsid w:val="00EF6972"/>
    <w:rsid w:val="00EF6C2E"/>
    <w:rsid w:val="00EF7774"/>
    <w:rsid w:val="00F004C7"/>
    <w:rsid w:val="00F01247"/>
    <w:rsid w:val="00F040C5"/>
    <w:rsid w:val="00F043AD"/>
    <w:rsid w:val="00F0574F"/>
    <w:rsid w:val="00F065ED"/>
    <w:rsid w:val="00F06EB0"/>
    <w:rsid w:val="00F12BE2"/>
    <w:rsid w:val="00F12FBA"/>
    <w:rsid w:val="00F13E4A"/>
    <w:rsid w:val="00F14ADE"/>
    <w:rsid w:val="00F15632"/>
    <w:rsid w:val="00F160A3"/>
    <w:rsid w:val="00F1698A"/>
    <w:rsid w:val="00F20DC0"/>
    <w:rsid w:val="00F24E87"/>
    <w:rsid w:val="00F255C1"/>
    <w:rsid w:val="00F31F0F"/>
    <w:rsid w:val="00F343CA"/>
    <w:rsid w:val="00F370F8"/>
    <w:rsid w:val="00F4153E"/>
    <w:rsid w:val="00F419D3"/>
    <w:rsid w:val="00F43FA6"/>
    <w:rsid w:val="00F44C84"/>
    <w:rsid w:val="00F47D12"/>
    <w:rsid w:val="00F510E6"/>
    <w:rsid w:val="00F52471"/>
    <w:rsid w:val="00F53850"/>
    <w:rsid w:val="00F558E3"/>
    <w:rsid w:val="00F5732B"/>
    <w:rsid w:val="00F65FB9"/>
    <w:rsid w:val="00F65FDE"/>
    <w:rsid w:val="00F66865"/>
    <w:rsid w:val="00F71B4C"/>
    <w:rsid w:val="00F76FAB"/>
    <w:rsid w:val="00F80B7A"/>
    <w:rsid w:val="00F822F1"/>
    <w:rsid w:val="00F84A1F"/>
    <w:rsid w:val="00F85CA5"/>
    <w:rsid w:val="00F85D91"/>
    <w:rsid w:val="00F863F3"/>
    <w:rsid w:val="00F97640"/>
    <w:rsid w:val="00FA12E8"/>
    <w:rsid w:val="00FA539E"/>
    <w:rsid w:val="00FB17CC"/>
    <w:rsid w:val="00FB41FB"/>
    <w:rsid w:val="00FB4D65"/>
    <w:rsid w:val="00FB5927"/>
    <w:rsid w:val="00FB7B73"/>
    <w:rsid w:val="00FC0DCC"/>
    <w:rsid w:val="00FC2261"/>
    <w:rsid w:val="00FC2927"/>
    <w:rsid w:val="00FC66DB"/>
    <w:rsid w:val="00FC7FF3"/>
    <w:rsid w:val="00FD478D"/>
    <w:rsid w:val="00FD69A6"/>
    <w:rsid w:val="00FD6F71"/>
    <w:rsid w:val="00FD7213"/>
    <w:rsid w:val="00FE4629"/>
    <w:rsid w:val="00FE4BEF"/>
    <w:rsid w:val="00FE694E"/>
    <w:rsid w:val="00FF1888"/>
    <w:rsid w:val="00FF2AB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CB9"/>
  <w15:chartTrackingRefBased/>
  <w15:docId w15:val="{DF3FEF0D-5220-4517-AAEC-DAC0F309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70BE"/>
    <w:pPr>
      <w:ind w:left="720"/>
      <w:contextualSpacing/>
    </w:pPr>
  </w:style>
  <w:style w:type="table" w:styleId="TableGrid">
    <w:name w:val="Table Grid"/>
    <w:basedOn w:val="TableNormal"/>
    <w:uiPriority w:val="39"/>
    <w:rsid w:val="0017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8C8"/>
    <w:rPr>
      <w:sz w:val="16"/>
      <w:szCs w:val="16"/>
    </w:rPr>
  </w:style>
  <w:style w:type="paragraph" w:styleId="CommentText">
    <w:name w:val="annotation text"/>
    <w:basedOn w:val="Normal"/>
    <w:link w:val="CommentTextChar"/>
    <w:uiPriority w:val="99"/>
    <w:unhideWhenUsed/>
    <w:rsid w:val="00DE58C8"/>
    <w:pPr>
      <w:spacing w:line="240" w:lineRule="auto"/>
    </w:pPr>
    <w:rPr>
      <w:sz w:val="20"/>
      <w:szCs w:val="20"/>
    </w:rPr>
  </w:style>
  <w:style w:type="character" w:customStyle="1" w:styleId="CommentTextChar">
    <w:name w:val="Comment Text Char"/>
    <w:basedOn w:val="DefaultParagraphFont"/>
    <w:link w:val="CommentText"/>
    <w:uiPriority w:val="99"/>
    <w:rsid w:val="00DE58C8"/>
    <w:rPr>
      <w:sz w:val="20"/>
      <w:szCs w:val="20"/>
    </w:rPr>
  </w:style>
  <w:style w:type="paragraph" w:styleId="CommentSubject">
    <w:name w:val="annotation subject"/>
    <w:basedOn w:val="CommentText"/>
    <w:next w:val="CommentText"/>
    <w:link w:val="CommentSubjectChar"/>
    <w:uiPriority w:val="99"/>
    <w:semiHidden/>
    <w:unhideWhenUsed/>
    <w:rsid w:val="00DE58C8"/>
    <w:rPr>
      <w:b/>
      <w:bCs/>
    </w:rPr>
  </w:style>
  <w:style w:type="character" w:customStyle="1" w:styleId="CommentSubjectChar">
    <w:name w:val="Comment Subject Char"/>
    <w:basedOn w:val="CommentTextChar"/>
    <w:link w:val="CommentSubject"/>
    <w:uiPriority w:val="99"/>
    <w:semiHidden/>
    <w:rsid w:val="00DE58C8"/>
    <w:rPr>
      <w:b/>
      <w:bCs/>
      <w:sz w:val="20"/>
      <w:szCs w:val="20"/>
    </w:rPr>
  </w:style>
  <w:style w:type="paragraph" w:styleId="BodyText">
    <w:name w:val="Body Text"/>
    <w:basedOn w:val="Normal"/>
    <w:link w:val="BodyTextChar"/>
    <w:uiPriority w:val="1"/>
    <w:qFormat/>
    <w:rsid w:val="003C431C"/>
    <w:pPr>
      <w:widowControl w:val="0"/>
      <w:autoSpaceDE w:val="0"/>
      <w:autoSpaceDN w:val="0"/>
      <w:spacing w:after="0" w:line="240" w:lineRule="auto"/>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3C431C"/>
    <w:rPr>
      <w:rFonts w:ascii="Bookman Old Style" w:eastAsia="Bookman Old Style" w:hAnsi="Bookman Old Style" w:cs="Bookman Old Style"/>
    </w:rPr>
  </w:style>
  <w:style w:type="paragraph" w:styleId="FootnoteText">
    <w:name w:val="footnote text"/>
    <w:basedOn w:val="Normal"/>
    <w:link w:val="FootnoteTextChar"/>
    <w:uiPriority w:val="99"/>
    <w:unhideWhenUsed/>
    <w:rsid w:val="003C431C"/>
    <w:pPr>
      <w:widowControl w:val="0"/>
      <w:autoSpaceDE w:val="0"/>
      <w:autoSpaceDN w:val="0"/>
      <w:spacing w:after="0" w:line="240" w:lineRule="auto"/>
    </w:pPr>
    <w:rPr>
      <w:rFonts w:ascii="Bookman Old Style" w:eastAsia="Bookman Old Style" w:hAnsi="Bookman Old Style" w:cs="Bookman Old Style"/>
      <w:sz w:val="20"/>
      <w:szCs w:val="20"/>
    </w:rPr>
  </w:style>
  <w:style w:type="character" w:customStyle="1" w:styleId="FootnoteTextChar">
    <w:name w:val="Footnote Text Char"/>
    <w:basedOn w:val="DefaultParagraphFont"/>
    <w:link w:val="FootnoteText"/>
    <w:uiPriority w:val="99"/>
    <w:rsid w:val="003C431C"/>
    <w:rPr>
      <w:rFonts w:ascii="Bookman Old Style" w:eastAsia="Bookman Old Style" w:hAnsi="Bookman Old Style" w:cs="Bookman Old Style"/>
      <w:sz w:val="20"/>
      <w:szCs w:val="20"/>
    </w:rPr>
  </w:style>
  <w:style w:type="character" w:styleId="FootnoteReference">
    <w:name w:val="footnote reference"/>
    <w:aliases w:val="C26 Footnote Number,EN Footnote Reference,Footnote Reference Number,Footnote Reference_LVL6,Footnote Reference_LVL61,Footnote Reference_LVL62,Footnote Reference_LVL63,Footnote Reference_LVL64,Footnote symbol,Ref,SUPERS,fr,ftref,number"/>
    <w:basedOn w:val="DefaultParagraphFont"/>
    <w:uiPriority w:val="99"/>
    <w:unhideWhenUsed/>
    <w:qFormat/>
    <w:rsid w:val="003C431C"/>
    <w:rPr>
      <w:vertAlign w:val="superscript"/>
    </w:rPr>
  </w:style>
  <w:style w:type="paragraph" w:styleId="EndnoteText">
    <w:name w:val="endnote text"/>
    <w:basedOn w:val="Normal"/>
    <w:link w:val="EndnoteTextChar"/>
    <w:uiPriority w:val="99"/>
    <w:semiHidden/>
    <w:unhideWhenUsed/>
    <w:rsid w:val="00AC6B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BF9"/>
    <w:rPr>
      <w:sz w:val="20"/>
      <w:szCs w:val="20"/>
    </w:rPr>
  </w:style>
  <w:style w:type="character" w:styleId="Hyperlink">
    <w:name w:val="Hyperlink"/>
    <w:basedOn w:val="DefaultParagraphFont"/>
    <w:uiPriority w:val="99"/>
    <w:unhideWhenUsed/>
    <w:rsid w:val="00AC6BF9"/>
    <w:rPr>
      <w:color w:val="0000FF"/>
      <w:u w:val="single"/>
    </w:rPr>
  </w:style>
  <w:style w:type="character" w:styleId="EndnoteReference">
    <w:name w:val="endnote reference"/>
    <w:basedOn w:val="DefaultParagraphFont"/>
    <w:rsid w:val="00AC6BF9"/>
    <w:rPr>
      <w:vertAlign w:val="superscript"/>
    </w:rPr>
  </w:style>
  <w:style w:type="paragraph" w:styleId="Header">
    <w:name w:val="header"/>
    <w:basedOn w:val="Normal"/>
    <w:link w:val="HeaderChar"/>
    <w:uiPriority w:val="99"/>
    <w:unhideWhenUsed/>
    <w:rsid w:val="0014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18A"/>
  </w:style>
  <w:style w:type="paragraph" w:styleId="Footer">
    <w:name w:val="footer"/>
    <w:basedOn w:val="Normal"/>
    <w:link w:val="FooterChar"/>
    <w:uiPriority w:val="99"/>
    <w:unhideWhenUsed/>
    <w:rsid w:val="0014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18A"/>
  </w:style>
  <w:style w:type="paragraph" w:customStyle="1" w:styleId="paragraph">
    <w:name w:val="paragraph"/>
    <w:basedOn w:val="Normal"/>
    <w:rsid w:val="00FD7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7213"/>
  </w:style>
  <w:style w:type="character" w:customStyle="1" w:styleId="eop">
    <w:name w:val="eop"/>
    <w:basedOn w:val="DefaultParagraphFont"/>
    <w:rsid w:val="00FD7213"/>
  </w:style>
  <w:style w:type="paragraph" w:styleId="PlainText">
    <w:name w:val="Plain Text"/>
    <w:basedOn w:val="Normal"/>
    <w:link w:val="PlainTextChar"/>
    <w:uiPriority w:val="99"/>
    <w:semiHidden/>
    <w:unhideWhenUsed/>
    <w:rsid w:val="00C248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488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3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99">
          <w:marLeft w:val="0"/>
          <w:marRight w:val="0"/>
          <w:marTop w:val="0"/>
          <w:marBottom w:val="0"/>
          <w:divBdr>
            <w:top w:val="none" w:sz="0" w:space="0" w:color="auto"/>
            <w:left w:val="none" w:sz="0" w:space="0" w:color="auto"/>
            <w:bottom w:val="none" w:sz="0" w:space="0" w:color="auto"/>
            <w:right w:val="none" w:sz="0" w:space="0" w:color="auto"/>
          </w:divBdr>
        </w:div>
        <w:div w:id="599485365">
          <w:marLeft w:val="0"/>
          <w:marRight w:val="0"/>
          <w:marTop w:val="0"/>
          <w:marBottom w:val="0"/>
          <w:divBdr>
            <w:top w:val="none" w:sz="0" w:space="0" w:color="auto"/>
            <w:left w:val="none" w:sz="0" w:space="0" w:color="auto"/>
            <w:bottom w:val="none" w:sz="0" w:space="0" w:color="auto"/>
            <w:right w:val="none" w:sz="0" w:space="0" w:color="auto"/>
          </w:divBdr>
        </w:div>
      </w:divsChild>
    </w:div>
    <w:div w:id="1027440281">
      <w:bodyDiv w:val="1"/>
      <w:marLeft w:val="0"/>
      <w:marRight w:val="0"/>
      <w:marTop w:val="0"/>
      <w:marBottom w:val="0"/>
      <w:divBdr>
        <w:top w:val="none" w:sz="0" w:space="0" w:color="auto"/>
        <w:left w:val="none" w:sz="0" w:space="0" w:color="auto"/>
        <w:bottom w:val="none" w:sz="0" w:space="0" w:color="auto"/>
        <w:right w:val="none" w:sz="0" w:space="0" w:color="auto"/>
      </w:divBdr>
      <w:divsChild>
        <w:div w:id="50614074">
          <w:marLeft w:val="0"/>
          <w:marRight w:val="0"/>
          <w:marTop w:val="0"/>
          <w:marBottom w:val="0"/>
          <w:divBdr>
            <w:top w:val="none" w:sz="0" w:space="0" w:color="auto"/>
            <w:left w:val="none" w:sz="0" w:space="0" w:color="auto"/>
            <w:bottom w:val="none" w:sz="0" w:space="0" w:color="auto"/>
            <w:right w:val="none" w:sz="0" w:space="0" w:color="auto"/>
          </w:divBdr>
        </w:div>
        <w:div w:id="239992912">
          <w:marLeft w:val="0"/>
          <w:marRight w:val="0"/>
          <w:marTop w:val="0"/>
          <w:marBottom w:val="0"/>
          <w:divBdr>
            <w:top w:val="none" w:sz="0" w:space="0" w:color="auto"/>
            <w:left w:val="none" w:sz="0" w:space="0" w:color="auto"/>
            <w:bottom w:val="none" w:sz="0" w:space="0" w:color="auto"/>
            <w:right w:val="none" w:sz="0" w:space="0" w:color="auto"/>
          </w:divBdr>
        </w:div>
        <w:div w:id="275916130">
          <w:marLeft w:val="0"/>
          <w:marRight w:val="0"/>
          <w:marTop w:val="0"/>
          <w:marBottom w:val="0"/>
          <w:divBdr>
            <w:top w:val="none" w:sz="0" w:space="0" w:color="auto"/>
            <w:left w:val="none" w:sz="0" w:space="0" w:color="auto"/>
            <w:bottom w:val="none" w:sz="0" w:space="0" w:color="auto"/>
            <w:right w:val="none" w:sz="0" w:space="0" w:color="auto"/>
          </w:divBdr>
        </w:div>
        <w:div w:id="1128625352">
          <w:marLeft w:val="0"/>
          <w:marRight w:val="0"/>
          <w:marTop w:val="0"/>
          <w:marBottom w:val="0"/>
          <w:divBdr>
            <w:top w:val="none" w:sz="0" w:space="0" w:color="auto"/>
            <w:left w:val="none" w:sz="0" w:space="0" w:color="auto"/>
            <w:bottom w:val="none" w:sz="0" w:space="0" w:color="auto"/>
            <w:right w:val="none" w:sz="0" w:space="0" w:color="auto"/>
          </w:divBdr>
        </w:div>
        <w:div w:id="1443377858">
          <w:marLeft w:val="0"/>
          <w:marRight w:val="0"/>
          <w:marTop w:val="0"/>
          <w:marBottom w:val="0"/>
          <w:divBdr>
            <w:top w:val="none" w:sz="0" w:space="0" w:color="auto"/>
            <w:left w:val="none" w:sz="0" w:space="0" w:color="auto"/>
            <w:bottom w:val="none" w:sz="0" w:space="0" w:color="auto"/>
            <w:right w:val="none" w:sz="0" w:space="0" w:color="auto"/>
          </w:divBdr>
        </w:div>
        <w:div w:id="1257592663">
          <w:marLeft w:val="0"/>
          <w:marRight w:val="0"/>
          <w:marTop w:val="0"/>
          <w:marBottom w:val="0"/>
          <w:divBdr>
            <w:top w:val="none" w:sz="0" w:space="0" w:color="auto"/>
            <w:left w:val="none" w:sz="0" w:space="0" w:color="auto"/>
            <w:bottom w:val="none" w:sz="0" w:space="0" w:color="auto"/>
            <w:right w:val="none" w:sz="0" w:space="0" w:color="auto"/>
          </w:divBdr>
        </w:div>
        <w:div w:id="1380940141">
          <w:marLeft w:val="0"/>
          <w:marRight w:val="0"/>
          <w:marTop w:val="0"/>
          <w:marBottom w:val="0"/>
          <w:divBdr>
            <w:top w:val="none" w:sz="0" w:space="0" w:color="auto"/>
            <w:left w:val="none" w:sz="0" w:space="0" w:color="auto"/>
            <w:bottom w:val="none" w:sz="0" w:space="0" w:color="auto"/>
            <w:right w:val="none" w:sz="0" w:space="0" w:color="auto"/>
          </w:divBdr>
        </w:div>
        <w:div w:id="2082019944">
          <w:marLeft w:val="0"/>
          <w:marRight w:val="0"/>
          <w:marTop w:val="0"/>
          <w:marBottom w:val="0"/>
          <w:divBdr>
            <w:top w:val="none" w:sz="0" w:space="0" w:color="auto"/>
            <w:left w:val="none" w:sz="0" w:space="0" w:color="auto"/>
            <w:bottom w:val="none" w:sz="0" w:space="0" w:color="auto"/>
            <w:right w:val="none" w:sz="0" w:space="0" w:color="auto"/>
          </w:divBdr>
        </w:div>
        <w:div w:id="643244070">
          <w:marLeft w:val="0"/>
          <w:marRight w:val="0"/>
          <w:marTop w:val="0"/>
          <w:marBottom w:val="0"/>
          <w:divBdr>
            <w:top w:val="none" w:sz="0" w:space="0" w:color="auto"/>
            <w:left w:val="none" w:sz="0" w:space="0" w:color="auto"/>
            <w:bottom w:val="none" w:sz="0" w:space="0" w:color="auto"/>
            <w:right w:val="none" w:sz="0" w:space="0" w:color="auto"/>
          </w:divBdr>
        </w:div>
        <w:div w:id="1904949597">
          <w:marLeft w:val="0"/>
          <w:marRight w:val="0"/>
          <w:marTop w:val="0"/>
          <w:marBottom w:val="0"/>
          <w:divBdr>
            <w:top w:val="none" w:sz="0" w:space="0" w:color="auto"/>
            <w:left w:val="none" w:sz="0" w:space="0" w:color="auto"/>
            <w:bottom w:val="none" w:sz="0" w:space="0" w:color="auto"/>
            <w:right w:val="none" w:sz="0" w:space="0" w:color="auto"/>
          </w:divBdr>
        </w:div>
      </w:divsChild>
    </w:div>
    <w:div w:id="1097140671">
      <w:bodyDiv w:val="1"/>
      <w:marLeft w:val="0"/>
      <w:marRight w:val="0"/>
      <w:marTop w:val="0"/>
      <w:marBottom w:val="0"/>
      <w:divBdr>
        <w:top w:val="none" w:sz="0" w:space="0" w:color="auto"/>
        <w:left w:val="none" w:sz="0" w:space="0" w:color="auto"/>
        <w:bottom w:val="none" w:sz="0" w:space="0" w:color="auto"/>
        <w:right w:val="none" w:sz="0" w:space="0" w:color="auto"/>
      </w:divBdr>
      <w:divsChild>
        <w:div w:id="1959137901">
          <w:marLeft w:val="0"/>
          <w:marRight w:val="0"/>
          <w:marTop w:val="0"/>
          <w:marBottom w:val="0"/>
          <w:divBdr>
            <w:top w:val="none" w:sz="0" w:space="0" w:color="auto"/>
            <w:left w:val="none" w:sz="0" w:space="0" w:color="auto"/>
            <w:bottom w:val="none" w:sz="0" w:space="0" w:color="auto"/>
            <w:right w:val="none" w:sz="0" w:space="0" w:color="auto"/>
          </w:divBdr>
        </w:div>
        <w:div w:id="1715738962">
          <w:marLeft w:val="0"/>
          <w:marRight w:val="0"/>
          <w:marTop w:val="0"/>
          <w:marBottom w:val="0"/>
          <w:divBdr>
            <w:top w:val="none" w:sz="0" w:space="0" w:color="auto"/>
            <w:left w:val="none" w:sz="0" w:space="0" w:color="auto"/>
            <w:bottom w:val="none" w:sz="0" w:space="0" w:color="auto"/>
            <w:right w:val="none" w:sz="0" w:space="0" w:color="auto"/>
          </w:divBdr>
          <w:divsChild>
            <w:div w:id="924218704">
              <w:marLeft w:val="0"/>
              <w:marRight w:val="0"/>
              <w:marTop w:val="0"/>
              <w:marBottom w:val="0"/>
              <w:divBdr>
                <w:top w:val="none" w:sz="0" w:space="0" w:color="auto"/>
                <w:left w:val="none" w:sz="0" w:space="0" w:color="auto"/>
                <w:bottom w:val="none" w:sz="0" w:space="0" w:color="auto"/>
                <w:right w:val="none" w:sz="0" w:space="0" w:color="auto"/>
              </w:divBdr>
            </w:div>
            <w:div w:id="246114346">
              <w:marLeft w:val="0"/>
              <w:marRight w:val="0"/>
              <w:marTop w:val="0"/>
              <w:marBottom w:val="0"/>
              <w:divBdr>
                <w:top w:val="none" w:sz="0" w:space="0" w:color="auto"/>
                <w:left w:val="none" w:sz="0" w:space="0" w:color="auto"/>
                <w:bottom w:val="none" w:sz="0" w:space="0" w:color="auto"/>
                <w:right w:val="none" w:sz="0" w:space="0" w:color="auto"/>
              </w:divBdr>
            </w:div>
            <w:div w:id="2138253233">
              <w:marLeft w:val="0"/>
              <w:marRight w:val="0"/>
              <w:marTop w:val="0"/>
              <w:marBottom w:val="0"/>
              <w:divBdr>
                <w:top w:val="none" w:sz="0" w:space="0" w:color="auto"/>
                <w:left w:val="none" w:sz="0" w:space="0" w:color="auto"/>
                <w:bottom w:val="none" w:sz="0" w:space="0" w:color="auto"/>
                <w:right w:val="none" w:sz="0" w:space="0" w:color="auto"/>
              </w:divBdr>
            </w:div>
            <w:div w:id="1400011718">
              <w:marLeft w:val="0"/>
              <w:marRight w:val="0"/>
              <w:marTop w:val="0"/>
              <w:marBottom w:val="0"/>
              <w:divBdr>
                <w:top w:val="none" w:sz="0" w:space="0" w:color="auto"/>
                <w:left w:val="none" w:sz="0" w:space="0" w:color="auto"/>
                <w:bottom w:val="none" w:sz="0" w:space="0" w:color="auto"/>
                <w:right w:val="none" w:sz="0" w:space="0" w:color="auto"/>
              </w:divBdr>
            </w:div>
            <w:div w:id="1307316545">
              <w:marLeft w:val="0"/>
              <w:marRight w:val="0"/>
              <w:marTop w:val="0"/>
              <w:marBottom w:val="0"/>
              <w:divBdr>
                <w:top w:val="none" w:sz="0" w:space="0" w:color="auto"/>
                <w:left w:val="none" w:sz="0" w:space="0" w:color="auto"/>
                <w:bottom w:val="none" w:sz="0" w:space="0" w:color="auto"/>
                <w:right w:val="none" w:sz="0" w:space="0" w:color="auto"/>
              </w:divBdr>
            </w:div>
          </w:divsChild>
        </w:div>
        <w:div w:id="567763463">
          <w:marLeft w:val="0"/>
          <w:marRight w:val="0"/>
          <w:marTop w:val="0"/>
          <w:marBottom w:val="0"/>
          <w:divBdr>
            <w:top w:val="none" w:sz="0" w:space="0" w:color="auto"/>
            <w:left w:val="none" w:sz="0" w:space="0" w:color="auto"/>
            <w:bottom w:val="none" w:sz="0" w:space="0" w:color="auto"/>
            <w:right w:val="none" w:sz="0" w:space="0" w:color="auto"/>
          </w:divBdr>
          <w:divsChild>
            <w:div w:id="871260362">
              <w:marLeft w:val="0"/>
              <w:marRight w:val="0"/>
              <w:marTop w:val="0"/>
              <w:marBottom w:val="0"/>
              <w:divBdr>
                <w:top w:val="none" w:sz="0" w:space="0" w:color="auto"/>
                <w:left w:val="none" w:sz="0" w:space="0" w:color="auto"/>
                <w:bottom w:val="none" w:sz="0" w:space="0" w:color="auto"/>
                <w:right w:val="none" w:sz="0" w:space="0" w:color="auto"/>
              </w:divBdr>
            </w:div>
            <w:div w:id="573972947">
              <w:marLeft w:val="0"/>
              <w:marRight w:val="0"/>
              <w:marTop w:val="0"/>
              <w:marBottom w:val="0"/>
              <w:divBdr>
                <w:top w:val="none" w:sz="0" w:space="0" w:color="auto"/>
                <w:left w:val="none" w:sz="0" w:space="0" w:color="auto"/>
                <w:bottom w:val="none" w:sz="0" w:space="0" w:color="auto"/>
                <w:right w:val="none" w:sz="0" w:space="0" w:color="auto"/>
              </w:divBdr>
            </w:div>
            <w:div w:id="2003584901">
              <w:marLeft w:val="0"/>
              <w:marRight w:val="0"/>
              <w:marTop w:val="0"/>
              <w:marBottom w:val="0"/>
              <w:divBdr>
                <w:top w:val="none" w:sz="0" w:space="0" w:color="auto"/>
                <w:left w:val="none" w:sz="0" w:space="0" w:color="auto"/>
                <w:bottom w:val="none" w:sz="0" w:space="0" w:color="auto"/>
                <w:right w:val="none" w:sz="0" w:space="0" w:color="auto"/>
              </w:divBdr>
            </w:div>
            <w:div w:id="755126405">
              <w:marLeft w:val="0"/>
              <w:marRight w:val="0"/>
              <w:marTop w:val="0"/>
              <w:marBottom w:val="0"/>
              <w:divBdr>
                <w:top w:val="none" w:sz="0" w:space="0" w:color="auto"/>
                <w:left w:val="none" w:sz="0" w:space="0" w:color="auto"/>
                <w:bottom w:val="none" w:sz="0" w:space="0" w:color="auto"/>
                <w:right w:val="none" w:sz="0" w:space="0" w:color="auto"/>
              </w:divBdr>
            </w:div>
            <w:div w:id="1744065593">
              <w:marLeft w:val="0"/>
              <w:marRight w:val="0"/>
              <w:marTop w:val="0"/>
              <w:marBottom w:val="0"/>
              <w:divBdr>
                <w:top w:val="none" w:sz="0" w:space="0" w:color="auto"/>
                <w:left w:val="none" w:sz="0" w:space="0" w:color="auto"/>
                <w:bottom w:val="none" w:sz="0" w:space="0" w:color="auto"/>
                <w:right w:val="none" w:sz="0" w:space="0" w:color="auto"/>
              </w:divBdr>
            </w:div>
          </w:divsChild>
        </w:div>
        <w:div w:id="427039583">
          <w:marLeft w:val="0"/>
          <w:marRight w:val="0"/>
          <w:marTop w:val="0"/>
          <w:marBottom w:val="0"/>
          <w:divBdr>
            <w:top w:val="none" w:sz="0" w:space="0" w:color="auto"/>
            <w:left w:val="none" w:sz="0" w:space="0" w:color="auto"/>
            <w:bottom w:val="none" w:sz="0" w:space="0" w:color="auto"/>
            <w:right w:val="none" w:sz="0" w:space="0" w:color="auto"/>
          </w:divBdr>
          <w:divsChild>
            <w:div w:id="529882411">
              <w:marLeft w:val="0"/>
              <w:marRight w:val="0"/>
              <w:marTop w:val="0"/>
              <w:marBottom w:val="0"/>
              <w:divBdr>
                <w:top w:val="none" w:sz="0" w:space="0" w:color="auto"/>
                <w:left w:val="none" w:sz="0" w:space="0" w:color="auto"/>
                <w:bottom w:val="none" w:sz="0" w:space="0" w:color="auto"/>
                <w:right w:val="none" w:sz="0" w:space="0" w:color="auto"/>
              </w:divBdr>
            </w:div>
            <w:div w:id="2068185283">
              <w:marLeft w:val="0"/>
              <w:marRight w:val="0"/>
              <w:marTop w:val="0"/>
              <w:marBottom w:val="0"/>
              <w:divBdr>
                <w:top w:val="none" w:sz="0" w:space="0" w:color="auto"/>
                <w:left w:val="none" w:sz="0" w:space="0" w:color="auto"/>
                <w:bottom w:val="none" w:sz="0" w:space="0" w:color="auto"/>
                <w:right w:val="none" w:sz="0" w:space="0" w:color="auto"/>
              </w:divBdr>
            </w:div>
            <w:div w:id="167794657">
              <w:marLeft w:val="0"/>
              <w:marRight w:val="0"/>
              <w:marTop w:val="0"/>
              <w:marBottom w:val="0"/>
              <w:divBdr>
                <w:top w:val="none" w:sz="0" w:space="0" w:color="auto"/>
                <w:left w:val="none" w:sz="0" w:space="0" w:color="auto"/>
                <w:bottom w:val="none" w:sz="0" w:space="0" w:color="auto"/>
                <w:right w:val="none" w:sz="0" w:space="0" w:color="auto"/>
              </w:divBdr>
            </w:div>
            <w:div w:id="1570966943">
              <w:marLeft w:val="0"/>
              <w:marRight w:val="0"/>
              <w:marTop w:val="0"/>
              <w:marBottom w:val="0"/>
              <w:divBdr>
                <w:top w:val="none" w:sz="0" w:space="0" w:color="auto"/>
                <w:left w:val="none" w:sz="0" w:space="0" w:color="auto"/>
                <w:bottom w:val="none" w:sz="0" w:space="0" w:color="auto"/>
                <w:right w:val="none" w:sz="0" w:space="0" w:color="auto"/>
              </w:divBdr>
            </w:div>
            <w:div w:id="1102920515">
              <w:marLeft w:val="0"/>
              <w:marRight w:val="0"/>
              <w:marTop w:val="0"/>
              <w:marBottom w:val="0"/>
              <w:divBdr>
                <w:top w:val="none" w:sz="0" w:space="0" w:color="auto"/>
                <w:left w:val="none" w:sz="0" w:space="0" w:color="auto"/>
                <w:bottom w:val="none" w:sz="0" w:space="0" w:color="auto"/>
                <w:right w:val="none" w:sz="0" w:space="0" w:color="auto"/>
              </w:divBdr>
            </w:div>
          </w:divsChild>
        </w:div>
        <w:div w:id="1960716929">
          <w:marLeft w:val="0"/>
          <w:marRight w:val="0"/>
          <w:marTop w:val="0"/>
          <w:marBottom w:val="0"/>
          <w:divBdr>
            <w:top w:val="none" w:sz="0" w:space="0" w:color="auto"/>
            <w:left w:val="none" w:sz="0" w:space="0" w:color="auto"/>
            <w:bottom w:val="none" w:sz="0" w:space="0" w:color="auto"/>
            <w:right w:val="none" w:sz="0" w:space="0" w:color="auto"/>
          </w:divBdr>
          <w:divsChild>
            <w:div w:id="381248616">
              <w:marLeft w:val="0"/>
              <w:marRight w:val="0"/>
              <w:marTop w:val="0"/>
              <w:marBottom w:val="0"/>
              <w:divBdr>
                <w:top w:val="none" w:sz="0" w:space="0" w:color="auto"/>
                <w:left w:val="none" w:sz="0" w:space="0" w:color="auto"/>
                <w:bottom w:val="none" w:sz="0" w:space="0" w:color="auto"/>
                <w:right w:val="none" w:sz="0" w:space="0" w:color="auto"/>
              </w:divBdr>
            </w:div>
            <w:div w:id="1907915954">
              <w:marLeft w:val="0"/>
              <w:marRight w:val="0"/>
              <w:marTop w:val="0"/>
              <w:marBottom w:val="0"/>
              <w:divBdr>
                <w:top w:val="none" w:sz="0" w:space="0" w:color="auto"/>
                <w:left w:val="none" w:sz="0" w:space="0" w:color="auto"/>
                <w:bottom w:val="none" w:sz="0" w:space="0" w:color="auto"/>
                <w:right w:val="none" w:sz="0" w:space="0" w:color="auto"/>
              </w:divBdr>
            </w:div>
            <w:div w:id="1472819384">
              <w:marLeft w:val="0"/>
              <w:marRight w:val="0"/>
              <w:marTop w:val="0"/>
              <w:marBottom w:val="0"/>
              <w:divBdr>
                <w:top w:val="none" w:sz="0" w:space="0" w:color="auto"/>
                <w:left w:val="none" w:sz="0" w:space="0" w:color="auto"/>
                <w:bottom w:val="none" w:sz="0" w:space="0" w:color="auto"/>
                <w:right w:val="none" w:sz="0" w:space="0" w:color="auto"/>
              </w:divBdr>
            </w:div>
            <w:div w:id="618879412">
              <w:marLeft w:val="0"/>
              <w:marRight w:val="0"/>
              <w:marTop w:val="0"/>
              <w:marBottom w:val="0"/>
              <w:divBdr>
                <w:top w:val="none" w:sz="0" w:space="0" w:color="auto"/>
                <w:left w:val="none" w:sz="0" w:space="0" w:color="auto"/>
                <w:bottom w:val="none" w:sz="0" w:space="0" w:color="auto"/>
                <w:right w:val="none" w:sz="0" w:space="0" w:color="auto"/>
              </w:divBdr>
            </w:div>
            <w:div w:id="1692411476">
              <w:marLeft w:val="0"/>
              <w:marRight w:val="0"/>
              <w:marTop w:val="0"/>
              <w:marBottom w:val="0"/>
              <w:divBdr>
                <w:top w:val="none" w:sz="0" w:space="0" w:color="auto"/>
                <w:left w:val="none" w:sz="0" w:space="0" w:color="auto"/>
                <w:bottom w:val="none" w:sz="0" w:space="0" w:color="auto"/>
                <w:right w:val="none" w:sz="0" w:space="0" w:color="auto"/>
              </w:divBdr>
            </w:div>
          </w:divsChild>
        </w:div>
        <w:div w:id="993876623">
          <w:marLeft w:val="0"/>
          <w:marRight w:val="0"/>
          <w:marTop w:val="0"/>
          <w:marBottom w:val="0"/>
          <w:divBdr>
            <w:top w:val="none" w:sz="0" w:space="0" w:color="auto"/>
            <w:left w:val="none" w:sz="0" w:space="0" w:color="auto"/>
            <w:bottom w:val="none" w:sz="0" w:space="0" w:color="auto"/>
            <w:right w:val="none" w:sz="0" w:space="0" w:color="auto"/>
          </w:divBdr>
        </w:div>
      </w:divsChild>
    </w:div>
    <w:div w:id="1104691452">
      <w:bodyDiv w:val="1"/>
      <w:marLeft w:val="0"/>
      <w:marRight w:val="0"/>
      <w:marTop w:val="0"/>
      <w:marBottom w:val="0"/>
      <w:divBdr>
        <w:top w:val="none" w:sz="0" w:space="0" w:color="auto"/>
        <w:left w:val="none" w:sz="0" w:space="0" w:color="auto"/>
        <w:bottom w:val="none" w:sz="0" w:space="0" w:color="auto"/>
        <w:right w:val="none" w:sz="0" w:space="0" w:color="auto"/>
      </w:divBdr>
      <w:divsChild>
        <w:div w:id="1689528737">
          <w:marLeft w:val="0"/>
          <w:marRight w:val="0"/>
          <w:marTop w:val="0"/>
          <w:marBottom w:val="0"/>
          <w:divBdr>
            <w:top w:val="none" w:sz="0" w:space="0" w:color="auto"/>
            <w:left w:val="none" w:sz="0" w:space="0" w:color="auto"/>
            <w:bottom w:val="none" w:sz="0" w:space="0" w:color="auto"/>
            <w:right w:val="none" w:sz="0" w:space="0" w:color="auto"/>
          </w:divBdr>
        </w:div>
        <w:div w:id="738405908">
          <w:marLeft w:val="0"/>
          <w:marRight w:val="0"/>
          <w:marTop w:val="0"/>
          <w:marBottom w:val="0"/>
          <w:divBdr>
            <w:top w:val="none" w:sz="0" w:space="0" w:color="auto"/>
            <w:left w:val="none" w:sz="0" w:space="0" w:color="auto"/>
            <w:bottom w:val="none" w:sz="0" w:space="0" w:color="auto"/>
            <w:right w:val="none" w:sz="0" w:space="0" w:color="auto"/>
          </w:divBdr>
        </w:div>
      </w:divsChild>
    </w:div>
    <w:div w:id="1118328725">
      <w:bodyDiv w:val="1"/>
      <w:marLeft w:val="0"/>
      <w:marRight w:val="0"/>
      <w:marTop w:val="0"/>
      <w:marBottom w:val="0"/>
      <w:divBdr>
        <w:top w:val="none" w:sz="0" w:space="0" w:color="auto"/>
        <w:left w:val="none" w:sz="0" w:space="0" w:color="auto"/>
        <w:bottom w:val="none" w:sz="0" w:space="0" w:color="auto"/>
        <w:right w:val="none" w:sz="0" w:space="0" w:color="auto"/>
      </w:divBdr>
      <w:divsChild>
        <w:div w:id="1086000535">
          <w:marLeft w:val="0"/>
          <w:marRight w:val="0"/>
          <w:marTop w:val="0"/>
          <w:marBottom w:val="0"/>
          <w:divBdr>
            <w:top w:val="none" w:sz="0" w:space="0" w:color="auto"/>
            <w:left w:val="none" w:sz="0" w:space="0" w:color="auto"/>
            <w:bottom w:val="none" w:sz="0" w:space="0" w:color="auto"/>
            <w:right w:val="none" w:sz="0" w:space="0" w:color="auto"/>
          </w:divBdr>
        </w:div>
        <w:div w:id="1842500678">
          <w:marLeft w:val="0"/>
          <w:marRight w:val="0"/>
          <w:marTop w:val="0"/>
          <w:marBottom w:val="0"/>
          <w:divBdr>
            <w:top w:val="none" w:sz="0" w:space="0" w:color="auto"/>
            <w:left w:val="none" w:sz="0" w:space="0" w:color="auto"/>
            <w:bottom w:val="none" w:sz="0" w:space="0" w:color="auto"/>
            <w:right w:val="none" w:sz="0" w:space="0" w:color="auto"/>
          </w:divBdr>
        </w:div>
        <w:div w:id="1677001547">
          <w:marLeft w:val="0"/>
          <w:marRight w:val="0"/>
          <w:marTop w:val="0"/>
          <w:marBottom w:val="0"/>
          <w:divBdr>
            <w:top w:val="none" w:sz="0" w:space="0" w:color="auto"/>
            <w:left w:val="none" w:sz="0" w:space="0" w:color="auto"/>
            <w:bottom w:val="none" w:sz="0" w:space="0" w:color="auto"/>
            <w:right w:val="none" w:sz="0" w:space="0" w:color="auto"/>
          </w:divBdr>
        </w:div>
        <w:div w:id="1562979581">
          <w:marLeft w:val="0"/>
          <w:marRight w:val="0"/>
          <w:marTop w:val="0"/>
          <w:marBottom w:val="0"/>
          <w:divBdr>
            <w:top w:val="none" w:sz="0" w:space="0" w:color="auto"/>
            <w:left w:val="none" w:sz="0" w:space="0" w:color="auto"/>
            <w:bottom w:val="none" w:sz="0" w:space="0" w:color="auto"/>
            <w:right w:val="none" w:sz="0" w:space="0" w:color="auto"/>
          </w:divBdr>
        </w:div>
        <w:div w:id="1785617897">
          <w:marLeft w:val="0"/>
          <w:marRight w:val="0"/>
          <w:marTop w:val="0"/>
          <w:marBottom w:val="0"/>
          <w:divBdr>
            <w:top w:val="none" w:sz="0" w:space="0" w:color="auto"/>
            <w:left w:val="none" w:sz="0" w:space="0" w:color="auto"/>
            <w:bottom w:val="none" w:sz="0" w:space="0" w:color="auto"/>
            <w:right w:val="none" w:sz="0" w:space="0" w:color="auto"/>
          </w:divBdr>
        </w:div>
        <w:div w:id="406343265">
          <w:marLeft w:val="0"/>
          <w:marRight w:val="0"/>
          <w:marTop w:val="0"/>
          <w:marBottom w:val="0"/>
          <w:divBdr>
            <w:top w:val="none" w:sz="0" w:space="0" w:color="auto"/>
            <w:left w:val="none" w:sz="0" w:space="0" w:color="auto"/>
            <w:bottom w:val="none" w:sz="0" w:space="0" w:color="auto"/>
            <w:right w:val="none" w:sz="0" w:space="0" w:color="auto"/>
          </w:divBdr>
        </w:div>
        <w:div w:id="2084376334">
          <w:marLeft w:val="0"/>
          <w:marRight w:val="0"/>
          <w:marTop w:val="0"/>
          <w:marBottom w:val="0"/>
          <w:divBdr>
            <w:top w:val="none" w:sz="0" w:space="0" w:color="auto"/>
            <w:left w:val="none" w:sz="0" w:space="0" w:color="auto"/>
            <w:bottom w:val="none" w:sz="0" w:space="0" w:color="auto"/>
            <w:right w:val="none" w:sz="0" w:space="0" w:color="auto"/>
          </w:divBdr>
        </w:div>
        <w:div w:id="601181629">
          <w:marLeft w:val="0"/>
          <w:marRight w:val="0"/>
          <w:marTop w:val="0"/>
          <w:marBottom w:val="0"/>
          <w:divBdr>
            <w:top w:val="none" w:sz="0" w:space="0" w:color="auto"/>
            <w:left w:val="none" w:sz="0" w:space="0" w:color="auto"/>
            <w:bottom w:val="none" w:sz="0" w:space="0" w:color="auto"/>
            <w:right w:val="none" w:sz="0" w:space="0" w:color="auto"/>
          </w:divBdr>
        </w:div>
        <w:div w:id="1929843006">
          <w:marLeft w:val="0"/>
          <w:marRight w:val="0"/>
          <w:marTop w:val="0"/>
          <w:marBottom w:val="0"/>
          <w:divBdr>
            <w:top w:val="none" w:sz="0" w:space="0" w:color="auto"/>
            <w:left w:val="none" w:sz="0" w:space="0" w:color="auto"/>
            <w:bottom w:val="none" w:sz="0" w:space="0" w:color="auto"/>
            <w:right w:val="none" w:sz="0" w:space="0" w:color="auto"/>
          </w:divBdr>
        </w:div>
        <w:div w:id="305668947">
          <w:marLeft w:val="0"/>
          <w:marRight w:val="0"/>
          <w:marTop w:val="0"/>
          <w:marBottom w:val="0"/>
          <w:divBdr>
            <w:top w:val="none" w:sz="0" w:space="0" w:color="auto"/>
            <w:left w:val="none" w:sz="0" w:space="0" w:color="auto"/>
            <w:bottom w:val="none" w:sz="0" w:space="0" w:color="auto"/>
            <w:right w:val="none" w:sz="0" w:space="0" w:color="auto"/>
          </w:divBdr>
        </w:div>
      </w:divsChild>
    </w:div>
    <w:div w:id="1276012823">
      <w:bodyDiv w:val="1"/>
      <w:marLeft w:val="0"/>
      <w:marRight w:val="0"/>
      <w:marTop w:val="0"/>
      <w:marBottom w:val="0"/>
      <w:divBdr>
        <w:top w:val="none" w:sz="0" w:space="0" w:color="auto"/>
        <w:left w:val="none" w:sz="0" w:space="0" w:color="auto"/>
        <w:bottom w:val="none" w:sz="0" w:space="0" w:color="auto"/>
        <w:right w:val="none" w:sz="0" w:space="0" w:color="auto"/>
      </w:divBdr>
      <w:divsChild>
        <w:div w:id="106628650">
          <w:marLeft w:val="0"/>
          <w:marRight w:val="0"/>
          <w:marTop w:val="0"/>
          <w:marBottom w:val="0"/>
          <w:divBdr>
            <w:top w:val="none" w:sz="0" w:space="0" w:color="auto"/>
            <w:left w:val="none" w:sz="0" w:space="0" w:color="auto"/>
            <w:bottom w:val="none" w:sz="0" w:space="0" w:color="auto"/>
            <w:right w:val="none" w:sz="0" w:space="0" w:color="auto"/>
          </w:divBdr>
        </w:div>
        <w:div w:id="1200969263">
          <w:marLeft w:val="0"/>
          <w:marRight w:val="0"/>
          <w:marTop w:val="0"/>
          <w:marBottom w:val="0"/>
          <w:divBdr>
            <w:top w:val="none" w:sz="0" w:space="0" w:color="auto"/>
            <w:left w:val="none" w:sz="0" w:space="0" w:color="auto"/>
            <w:bottom w:val="none" w:sz="0" w:space="0" w:color="auto"/>
            <w:right w:val="none" w:sz="0" w:space="0" w:color="auto"/>
          </w:divBdr>
          <w:divsChild>
            <w:div w:id="1390878608">
              <w:marLeft w:val="0"/>
              <w:marRight w:val="0"/>
              <w:marTop w:val="0"/>
              <w:marBottom w:val="0"/>
              <w:divBdr>
                <w:top w:val="none" w:sz="0" w:space="0" w:color="auto"/>
                <w:left w:val="none" w:sz="0" w:space="0" w:color="auto"/>
                <w:bottom w:val="none" w:sz="0" w:space="0" w:color="auto"/>
                <w:right w:val="none" w:sz="0" w:space="0" w:color="auto"/>
              </w:divBdr>
            </w:div>
            <w:div w:id="93525898">
              <w:marLeft w:val="0"/>
              <w:marRight w:val="0"/>
              <w:marTop w:val="0"/>
              <w:marBottom w:val="0"/>
              <w:divBdr>
                <w:top w:val="none" w:sz="0" w:space="0" w:color="auto"/>
                <w:left w:val="none" w:sz="0" w:space="0" w:color="auto"/>
                <w:bottom w:val="none" w:sz="0" w:space="0" w:color="auto"/>
                <w:right w:val="none" w:sz="0" w:space="0" w:color="auto"/>
              </w:divBdr>
            </w:div>
            <w:div w:id="1320419963">
              <w:marLeft w:val="0"/>
              <w:marRight w:val="0"/>
              <w:marTop w:val="0"/>
              <w:marBottom w:val="0"/>
              <w:divBdr>
                <w:top w:val="none" w:sz="0" w:space="0" w:color="auto"/>
                <w:left w:val="none" w:sz="0" w:space="0" w:color="auto"/>
                <w:bottom w:val="none" w:sz="0" w:space="0" w:color="auto"/>
                <w:right w:val="none" w:sz="0" w:space="0" w:color="auto"/>
              </w:divBdr>
            </w:div>
            <w:div w:id="872234631">
              <w:marLeft w:val="0"/>
              <w:marRight w:val="0"/>
              <w:marTop w:val="0"/>
              <w:marBottom w:val="0"/>
              <w:divBdr>
                <w:top w:val="none" w:sz="0" w:space="0" w:color="auto"/>
                <w:left w:val="none" w:sz="0" w:space="0" w:color="auto"/>
                <w:bottom w:val="none" w:sz="0" w:space="0" w:color="auto"/>
                <w:right w:val="none" w:sz="0" w:space="0" w:color="auto"/>
              </w:divBdr>
            </w:div>
            <w:div w:id="1897351588">
              <w:marLeft w:val="0"/>
              <w:marRight w:val="0"/>
              <w:marTop w:val="0"/>
              <w:marBottom w:val="0"/>
              <w:divBdr>
                <w:top w:val="none" w:sz="0" w:space="0" w:color="auto"/>
                <w:left w:val="none" w:sz="0" w:space="0" w:color="auto"/>
                <w:bottom w:val="none" w:sz="0" w:space="0" w:color="auto"/>
                <w:right w:val="none" w:sz="0" w:space="0" w:color="auto"/>
              </w:divBdr>
            </w:div>
          </w:divsChild>
        </w:div>
        <w:div w:id="1375622810">
          <w:marLeft w:val="0"/>
          <w:marRight w:val="0"/>
          <w:marTop w:val="0"/>
          <w:marBottom w:val="0"/>
          <w:divBdr>
            <w:top w:val="none" w:sz="0" w:space="0" w:color="auto"/>
            <w:left w:val="none" w:sz="0" w:space="0" w:color="auto"/>
            <w:bottom w:val="none" w:sz="0" w:space="0" w:color="auto"/>
            <w:right w:val="none" w:sz="0" w:space="0" w:color="auto"/>
          </w:divBdr>
          <w:divsChild>
            <w:div w:id="247545351">
              <w:marLeft w:val="0"/>
              <w:marRight w:val="0"/>
              <w:marTop w:val="0"/>
              <w:marBottom w:val="0"/>
              <w:divBdr>
                <w:top w:val="none" w:sz="0" w:space="0" w:color="auto"/>
                <w:left w:val="none" w:sz="0" w:space="0" w:color="auto"/>
                <w:bottom w:val="none" w:sz="0" w:space="0" w:color="auto"/>
                <w:right w:val="none" w:sz="0" w:space="0" w:color="auto"/>
              </w:divBdr>
            </w:div>
            <w:div w:id="833684436">
              <w:marLeft w:val="0"/>
              <w:marRight w:val="0"/>
              <w:marTop w:val="0"/>
              <w:marBottom w:val="0"/>
              <w:divBdr>
                <w:top w:val="none" w:sz="0" w:space="0" w:color="auto"/>
                <w:left w:val="none" w:sz="0" w:space="0" w:color="auto"/>
                <w:bottom w:val="none" w:sz="0" w:space="0" w:color="auto"/>
                <w:right w:val="none" w:sz="0" w:space="0" w:color="auto"/>
              </w:divBdr>
            </w:div>
            <w:div w:id="1649895587">
              <w:marLeft w:val="0"/>
              <w:marRight w:val="0"/>
              <w:marTop w:val="0"/>
              <w:marBottom w:val="0"/>
              <w:divBdr>
                <w:top w:val="none" w:sz="0" w:space="0" w:color="auto"/>
                <w:left w:val="none" w:sz="0" w:space="0" w:color="auto"/>
                <w:bottom w:val="none" w:sz="0" w:space="0" w:color="auto"/>
                <w:right w:val="none" w:sz="0" w:space="0" w:color="auto"/>
              </w:divBdr>
            </w:div>
            <w:div w:id="829174496">
              <w:marLeft w:val="0"/>
              <w:marRight w:val="0"/>
              <w:marTop w:val="0"/>
              <w:marBottom w:val="0"/>
              <w:divBdr>
                <w:top w:val="none" w:sz="0" w:space="0" w:color="auto"/>
                <w:left w:val="none" w:sz="0" w:space="0" w:color="auto"/>
                <w:bottom w:val="none" w:sz="0" w:space="0" w:color="auto"/>
                <w:right w:val="none" w:sz="0" w:space="0" w:color="auto"/>
              </w:divBdr>
            </w:div>
            <w:div w:id="228074617">
              <w:marLeft w:val="0"/>
              <w:marRight w:val="0"/>
              <w:marTop w:val="0"/>
              <w:marBottom w:val="0"/>
              <w:divBdr>
                <w:top w:val="none" w:sz="0" w:space="0" w:color="auto"/>
                <w:left w:val="none" w:sz="0" w:space="0" w:color="auto"/>
                <w:bottom w:val="none" w:sz="0" w:space="0" w:color="auto"/>
                <w:right w:val="none" w:sz="0" w:space="0" w:color="auto"/>
              </w:divBdr>
            </w:div>
          </w:divsChild>
        </w:div>
        <w:div w:id="1103111792">
          <w:marLeft w:val="0"/>
          <w:marRight w:val="0"/>
          <w:marTop w:val="0"/>
          <w:marBottom w:val="0"/>
          <w:divBdr>
            <w:top w:val="none" w:sz="0" w:space="0" w:color="auto"/>
            <w:left w:val="none" w:sz="0" w:space="0" w:color="auto"/>
            <w:bottom w:val="none" w:sz="0" w:space="0" w:color="auto"/>
            <w:right w:val="none" w:sz="0" w:space="0" w:color="auto"/>
          </w:divBdr>
          <w:divsChild>
            <w:div w:id="139079051">
              <w:marLeft w:val="0"/>
              <w:marRight w:val="0"/>
              <w:marTop w:val="0"/>
              <w:marBottom w:val="0"/>
              <w:divBdr>
                <w:top w:val="none" w:sz="0" w:space="0" w:color="auto"/>
                <w:left w:val="none" w:sz="0" w:space="0" w:color="auto"/>
                <w:bottom w:val="none" w:sz="0" w:space="0" w:color="auto"/>
                <w:right w:val="none" w:sz="0" w:space="0" w:color="auto"/>
              </w:divBdr>
            </w:div>
            <w:div w:id="143209093">
              <w:marLeft w:val="0"/>
              <w:marRight w:val="0"/>
              <w:marTop w:val="0"/>
              <w:marBottom w:val="0"/>
              <w:divBdr>
                <w:top w:val="none" w:sz="0" w:space="0" w:color="auto"/>
                <w:left w:val="none" w:sz="0" w:space="0" w:color="auto"/>
                <w:bottom w:val="none" w:sz="0" w:space="0" w:color="auto"/>
                <w:right w:val="none" w:sz="0" w:space="0" w:color="auto"/>
              </w:divBdr>
            </w:div>
            <w:div w:id="3024374">
              <w:marLeft w:val="0"/>
              <w:marRight w:val="0"/>
              <w:marTop w:val="0"/>
              <w:marBottom w:val="0"/>
              <w:divBdr>
                <w:top w:val="none" w:sz="0" w:space="0" w:color="auto"/>
                <w:left w:val="none" w:sz="0" w:space="0" w:color="auto"/>
                <w:bottom w:val="none" w:sz="0" w:space="0" w:color="auto"/>
                <w:right w:val="none" w:sz="0" w:space="0" w:color="auto"/>
              </w:divBdr>
            </w:div>
            <w:div w:id="1288314977">
              <w:marLeft w:val="0"/>
              <w:marRight w:val="0"/>
              <w:marTop w:val="0"/>
              <w:marBottom w:val="0"/>
              <w:divBdr>
                <w:top w:val="none" w:sz="0" w:space="0" w:color="auto"/>
                <w:left w:val="none" w:sz="0" w:space="0" w:color="auto"/>
                <w:bottom w:val="none" w:sz="0" w:space="0" w:color="auto"/>
                <w:right w:val="none" w:sz="0" w:space="0" w:color="auto"/>
              </w:divBdr>
            </w:div>
            <w:div w:id="17051743">
              <w:marLeft w:val="0"/>
              <w:marRight w:val="0"/>
              <w:marTop w:val="0"/>
              <w:marBottom w:val="0"/>
              <w:divBdr>
                <w:top w:val="none" w:sz="0" w:space="0" w:color="auto"/>
                <w:left w:val="none" w:sz="0" w:space="0" w:color="auto"/>
                <w:bottom w:val="none" w:sz="0" w:space="0" w:color="auto"/>
                <w:right w:val="none" w:sz="0" w:space="0" w:color="auto"/>
              </w:divBdr>
            </w:div>
          </w:divsChild>
        </w:div>
        <w:div w:id="95827825">
          <w:marLeft w:val="0"/>
          <w:marRight w:val="0"/>
          <w:marTop w:val="0"/>
          <w:marBottom w:val="0"/>
          <w:divBdr>
            <w:top w:val="none" w:sz="0" w:space="0" w:color="auto"/>
            <w:left w:val="none" w:sz="0" w:space="0" w:color="auto"/>
            <w:bottom w:val="none" w:sz="0" w:space="0" w:color="auto"/>
            <w:right w:val="none" w:sz="0" w:space="0" w:color="auto"/>
          </w:divBdr>
          <w:divsChild>
            <w:div w:id="779228808">
              <w:marLeft w:val="0"/>
              <w:marRight w:val="0"/>
              <w:marTop w:val="0"/>
              <w:marBottom w:val="0"/>
              <w:divBdr>
                <w:top w:val="none" w:sz="0" w:space="0" w:color="auto"/>
                <w:left w:val="none" w:sz="0" w:space="0" w:color="auto"/>
                <w:bottom w:val="none" w:sz="0" w:space="0" w:color="auto"/>
                <w:right w:val="none" w:sz="0" w:space="0" w:color="auto"/>
              </w:divBdr>
            </w:div>
            <w:div w:id="1276987662">
              <w:marLeft w:val="0"/>
              <w:marRight w:val="0"/>
              <w:marTop w:val="0"/>
              <w:marBottom w:val="0"/>
              <w:divBdr>
                <w:top w:val="none" w:sz="0" w:space="0" w:color="auto"/>
                <w:left w:val="none" w:sz="0" w:space="0" w:color="auto"/>
                <w:bottom w:val="none" w:sz="0" w:space="0" w:color="auto"/>
                <w:right w:val="none" w:sz="0" w:space="0" w:color="auto"/>
              </w:divBdr>
            </w:div>
            <w:div w:id="1935085930">
              <w:marLeft w:val="0"/>
              <w:marRight w:val="0"/>
              <w:marTop w:val="0"/>
              <w:marBottom w:val="0"/>
              <w:divBdr>
                <w:top w:val="none" w:sz="0" w:space="0" w:color="auto"/>
                <w:left w:val="none" w:sz="0" w:space="0" w:color="auto"/>
                <w:bottom w:val="none" w:sz="0" w:space="0" w:color="auto"/>
                <w:right w:val="none" w:sz="0" w:space="0" w:color="auto"/>
              </w:divBdr>
            </w:div>
            <w:div w:id="93868571">
              <w:marLeft w:val="0"/>
              <w:marRight w:val="0"/>
              <w:marTop w:val="0"/>
              <w:marBottom w:val="0"/>
              <w:divBdr>
                <w:top w:val="none" w:sz="0" w:space="0" w:color="auto"/>
                <w:left w:val="none" w:sz="0" w:space="0" w:color="auto"/>
                <w:bottom w:val="none" w:sz="0" w:space="0" w:color="auto"/>
                <w:right w:val="none" w:sz="0" w:space="0" w:color="auto"/>
              </w:divBdr>
            </w:div>
            <w:div w:id="1821119016">
              <w:marLeft w:val="0"/>
              <w:marRight w:val="0"/>
              <w:marTop w:val="0"/>
              <w:marBottom w:val="0"/>
              <w:divBdr>
                <w:top w:val="none" w:sz="0" w:space="0" w:color="auto"/>
                <w:left w:val="none" w:sz="0" w:space="0" w:color="auto"/>
                <w:bottom w:val="none" w:sz="0" w:space="0" w:color="auto"/>
                <w:right w:val="none" w:sz="0" w:space="0" w:color="auto"/>
              </w:divBdr>
            </w:div>
          </w:divsChild>
        </w:div>
        <w:div w:id="195100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law.klri.re.kr/eng_mobile/viewer.do?hseq=49395&amp;type=part&amp;key=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E673-E771-4A90-B348-15DDC6F6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20</Pages>
  <Words>9462</Words>
  <Characters>53935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63271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Pavlova Mocheva</dc:creator>
  <cp:keywords/>
  <dc:description/>
  <cp:lastModifiedBy>Nina Pavlova Mocheva</cp:lastModifiedBy>
  <cp:revision>993</cp:revision>
  <dcterms:created xsi:type="dcterms:W3CDTF">2023-11-05T03:13:00Z</dcterms:created>
  <dcterms:modified xsi:type="dcterms:W3CDTF">2023-11-06T23:13:00Z</dcterms:modified>
</cp:coreProperties>
</file>