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EF" w:rsidRPr="001D40EF" w:rsidRDefault="001D40EF" w:rsidP="0041017A">
      <w:pPr>
        <w:spacing w:after="0" w:line="240" w:lineRule="auto"/>
        <w:jc w:val="both"/>
        <w:rPr>
          <w:rFonts w:asciiTheme="minorBidi" w:hAnsiTheme="minorBidi"/>
          <w:b/>
          <w:bCs/>
          <w:sz w:val="28"/>
          <w:szCs w:val="28"/>
          <w:u w:val="single"/>
        </w:rPr>
      </w:pPr>
      <w:r w:rsidRPr="001D40EF">
        <w:rPr>
          <w:rFonts w:asciiTheme="minorBidi" w:hAnsiTheme="minorBidi"/>
          <w:b/>
          <w:bCs/>
          <w:sz w:val="28"/>
          <w:szCs w:val="28"/>
          <w:u w:val="single"/>
        </w:rPr>
        <w:t>Case Study I – Peter Madden</w:t>
      </w:r>
    </w:p>
    <w:p w:rsidR="001D40EF" w:rsidRDefault="001D40EF" w:rsidP="0041017A">
      <w:pPr>
        <w:spacing w:after="0" w:line="240" w:lineRule="auto"/>
        <w:jc w:val="both"/>
        <w:rPr>
          <w:rFonts w:asciiTheme="minorBidi" w:hAnsiTheme="minorBidi"/>
        </w:rPr>
      </w:pPr>
    </w:p>
    <w:p w:rsidR="001D40EF" w:rsidRDefault="001D40EF" w:rsidP="0041017A">
      <w:pPr>
        <w:spacing w:after="0" w:line="240" w:lineRule="auto"/>
        <w:jc w:val="both"/>
        <w:rPr>
          <w:rFonts w:asciiTheme="minorBidi" w:hAnsiTheme="minorBidi"/>
        </w:rPr>
      </w:pP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t xml:space="preserve">Question </w:t>
      </w:r>
      <w:r w:rsidR="00391B80" w:rsidRPr="004C55DF">
        <w:rPr>
          <w:rFonts w:asciiTheme="minorBidi" w:hAnsiTheme="minorBidi"/>
          <w:b/>
          <w:bCs/>
        </w:rPr>
        <w:t>1. What were in your opinion the causes of financial distress at Flow Management (see e.g.</w:t>
      </w:r>
      <w:r w:rsidRPr="004C55DF">
        <w:rPr>
          <w:rFonts w:asciiTheme="minorBidi" w:hAnsiTheme="minorBidi"/>
          <w:b/>
          <w:bCs/>
        </w:rPr>
        <w:t xml:space="preserve"> </w:t>
      </w:r>
      <w:r w:rsidR="00391B80" w:rsidRPr="004C55DF">
        <w:rPr>
          <w:rFonts w:asciiTheme="minorBidi" w:hAnsiTheme="minorBidi"/>
          <w:b/>
          <w:bCs/>
        </w:rPr>
        <w:t>Mellahi &amp; Wilkinson, 2004)? Could the financial distress have been prevented? If yes,</w:t>
      </w:r>
      <w:r w:rsidRPr="004C55DF">
        <w:rPr>
          <w:rFonts w:asciiTheme="minorBidi" w:hAnsiTheme="minorBidi"/>
          <w:b/>
          <w:bCs/>
        </w:rPr>
        <w:t xml:space="preserve"> </w:t>
      </w:r>
      <w:r w:rsidR="00391B80" w:rsidRPr="004C55DF">
        <w:rPr>
          <w:rFonts w:asciiTheme="minorBidi" w:hAnsiTheme="minorBidi"/>
          <w:b/>
          <w:bCs/>
        </w:rPr>
        <w:t>explain how. If no, why not?</w:t>
      </w:r>
    </w:p>
    <w:p w:rsidR="00391B80" w:rsidRDefault="00391B80" w:rsidP="0041017A">
      <w:pPr>
        <w:spacing w:after="0" w:line="240" w:lineRule="auto"/>
        <w:jc w:val="both"/>
        <w:rPr>
          <w:rFonts w:asciiTheme="minorBidi" w:hAnsiTheme="minorBidi"/>
        </w:rPr>
      </w:pPr>
    </w:p>
    <w:p w:rsidR="00843386" w:rsidRDefault="00843386" w:rsidP="0041017A">
      <w:pPr>
        <w:spacing w:after="0" w:line="240" w:lineRule="auto"/>
        <w:jc w:val="both"/>
        <w:rPr>
          <w:rFonts w:asciiTheme="minorBidi" w:hAnsiTheme="minorBidi"/>
          <w:i/>
          <w:iCs/>
        </w:rPr>
      </w:pPr>
    </w:p>
    <w:p w:rsidR="00085A0A" w:rsidRPr="00754FDB" w:rsidRDefault="00E1775A" w:rsidP="0041017A">
      <w:pPr>
        <w:spacing w:after="0" w:line="240" w:lineRule="auto"/>
        <w:jc w:val="both"/>
        <w:rPr>
          <w:rFonts w:asciiTheme="minorBidi" w:hAnsiTheme="minorBidi"/>
          <w:i/>
          <w:iCs/>
          <w:u w:val="single"/>
        </w:rPr>
      </w:pPr>
      <w:r>
        <w:rPr>
          <w:rFonts w:asciiTheme="minorBidi" w:hAnsiTheme="minorBidi"/>
          <w:i/>
          <w:iCs/>
          <w:u w:val="single"/>
        </w:rPr>
        <w:t xml:space="preserve">Introduction </w:t>
      </w:r>
    </w:p>
    <w:p w:rsidR="00085A0A" w:rsidRDefault="00085A0A" w:rsidP="0041017A">
      <w:pPr>
        <w:spacing w:after="0" w:line="240" w:lineRule="auto"/>
        <w:jc w:val="both"/>
        <w:rPr>
          <w:rFonts w:asciiTheme="minorBidi" w:hAnsiTheme="minorBidi"/>
        </w:rPr>
      </w:pPr>
    </w:p>
    <w:p w:rsidR="00A131C1" w:rsidRDefault="001C06CA" w:rsidP="0041017A">
      <w:pPr>
        <w:spacing w:after="0" w:line="240" w:lineRule="auto"/>
        <w:jc w:val="both"/>
        <w:rPr>
          <w:rFonts w:asciiTheme="minorBidi" w:hAnsiTheme="minorBidi"/>
        </w:rPr>
      </w:pPr>
      <w:r>
        <w:rPr>
          <w:rFonts w:asciiTheme="minorBidi" w:hAnsiTheme="minorBidi"/>
        </w:rPr>
        <w:t>In my opinion, the f</w:t>
      </w:r>
      <w:r w:rsidR="00E17A35">
        <w:rPr>
          <w:rFonts w:asciiTheme="minorBidi" w:hAnsiTheme="minorBidi"/>
        </w:rPr>
        <w:t xml:space="preserve">inancial distress at </w:t>
      </w:r>
      <w:r w:rsidR="0041017A" w:rsidRPr="0041017A">
        <w:rPr>
          <w:rFonts w:asciiTheme="minorBidi" w:hAnsiTheme="minorBidi"/>
        </w:rPr>
        <w:t>Flow Management Holding BV and its subsidiaries (the “</w:t>
      </w:r>
      <w:r w:rsidR="0041017A" w:rsidRPr="0041017A">
        <w:rPr>
          <w:rFonts w:asciiTheme="minorBidi" w:hAnsiTheme="minorBidi"/>
          <w:b/>
          <w:bCs/>
        </w:rPr>
        <w:t>Flow Management Group</w:t>
      </w:r>
      <w:r w:rsidR="0041017A" w:rsidRPr="0041017A">
        <w:rPr>
          <w:rFonts w:asciiTheme="minorBidi" w:hAnsiTheme="minorBidi"/>
        </w:rPr>
        <w:t>”)</w:t>
      </w:r>
      <w:r w:rsidR="0041017A" w:rsidRPr="0041017A">
        <w:rPr>
          <w:rFonts w:asciiTheme="minorBidi" w:hAnsiTheme="minorBidi"/>
          <w:i/>
          <w:iCs/>
        </w:rPr>
        <w:t xml:space="preserve"> </w:t>
      </w:r>
      <w:r w:rsidR="00A131C1">
        <w:rPr>
          <w:rFonts w:asciiTheme="minorBidi" w:hAnsiTheme="minorBidi"/>
        </w:rPr>
        <w:t>was caused by environmental factors</w:t>
      </w:r>
      <w:r w:rsidR="00F55A9C">
        <w:rPr>
          <w:rFonts w:asciiTheme="minorBidi" w:hAnsiTheme="minorBidi"/>
        </w:rPr>
        <w:t>, which was then exacerbated by the</w:t>
      </w:r>
      <w:r w:rsidR="0041017A">
        <w:rPr>
          <w:rFonts w:asciiTheme="minorBidi" w:hAnsiTheme="minorBidi"/>
        </w:rPr>
        <w:t xml:space="preserve"> </w:t>
      </w:r>
      <w:r w:rsidR="00085A0A">
        <w:rPr>
          <w:rFonts w:asciiTheme="minorBidi" w:hAnsiTheme="minorBidi"/>
        </w:rPr>
        <w:t>decisions</w:t>
      </w:r>
      <w:r>
        <w:rPr>
          <w:rFonts w:asciiTheme="minorBidi" w:hAnsiTheme="minorBidi"/>
        </w:rPr>
        <w:t xml:space="preserve"> of </w:t>
      </w:r>
      <w:r w:rsidR="006E386A">
        <w:rPr>
          <w:rFonts w:asciiTheme="minorBidi" w:hAnsiTheme="minorBidi"/>
        </w:rPr>
        <w:t xml:space="preserve">the </w:t>
      </w:r>
      <w:r>
        <w:rPr>
          <w:rFonts w:asciiTheme="minorBidi" w:hAnsiTheme="minorBidi"/>
        </w:rPr>
        <w:t>management</w:t>
      </w:r>
      <w:r w:rsidR="006E386A">
        <w:rPr>
          <w:rFonts w:asciiTheme="minorBidi" w:hAnsiTheme="minorBidi"/>
        </w:rPr>
        <w:t xml:space="preserve"> of the </w:t>
      </w:r>
      <w:r w:rsidR="006E386A" w:rsidRPr="00427778">
        <w:rPr>
          <w:rFonts w:asciiTheme="minorBidi" w:hAnsiTheme="minorBidi"/>
        </w:rPr>
        <w:t xml:space="preserve">Flow Management </w:t>
      </w:r>
      <w:r w:rsidR="006E386A">
        <w:rPr>
          <w:rFonts w:asciiTheme="minorBidi" w:hAnsiTheme="minorBidi"/>
        </w:rPr>
        <w:t>Group (the “</w:t>
      </w:r>
      <w:r w:rsidR="006E386A" w:rsidRPr="00A47BFF">
        <w:rPr>
          <w:rFonts w:asciiTheme="minorBidi" w:hAnsiTheme="minorBidi"/>
          <w:b/>
          <w:bCs/>
        </w:rPr>
        <w:t>FMG Management</w:t>
      </w:r>
      <w:r w:rsidR="006E386A">
        <w:rPr>
          <w:rFonts w:asciiTheme="minorBidi" w:hAnsiTheme="minorBidi"/>
        </w:rPr>
        <w:t>”)</w:t>
      </w:r>
      <w:r w:rsidR="00085A0A">
        <w:rPr>
          <w:rFonts w:asciiTheme="minorBidi" w:hAnsiTheme="minorBidi"/>
        </w:rPr>
        <w:t xml:space="preserve">. </w:t>
      </w:r>
    </w:p>
    <w:p w:rsidR="00085A0A" w:rsidRDefault="00085A0A" w:rsidP="0041017A">
      <w:pPr>
        <w:spacing w:after="0" w:line="240" w:lineRule="auto"/>
        <w:jc w:val="both"/>
        <w:rPr>
          <w:rFonts w:asciiTheme="minorBidi" w:hAnsiTheme="minorBidi"/>
        </w:rPr>
      </w:pPr>
    </w:p>
    <w:p w:rsidR="00085A0A" w:rsidRDefault="00085A0A" w:rsidP="0041017A">
      <w:pPr>
        <w:spacing w:after="0" w:line="240" w:lineRule="auto"/>
        <w:jc w:val="both"/>
        <w:rPr>
          <w:rFonts w:asciiTheme="minorBidi" w:hAnsiTheme="minorBidi"/>
        </w:rPr>
      </w:pPr>
      <w:r>
        <w:rPr>
          <w:rFonts w:asciiTheme="minorBidi" w:hAnsiTheme="minorBidi"/>
        </w:rPr>
        <w:t>Mellahi and Wilkinson</w:t>
      </w:r>
      <w:r w:rsidR="00302A03">
        <w:rPr>
          <w:rStyle w:val="FootnoteReference"/>
          <w:rFonts w:asciiTheme="minorBidi" w:hAnsiTheme="minorBidi"/>
        </w:rPr>
        <w:footnoteReference w:id="1"/>
      </w:r>
      <w:r>
        <w:rPr>
          <w:rFonts w:asciiTheme="minorBidi" w:hAnsiTheme="minorBidi"/>
        </w:rPr>
        <w:t xml:space="preserve"> state that </w:t>
      </w:r>
      <w:r w:rsidR="001C06CA">
        <w:rPr>
          <w:rFonts w:asciiTheme="minorBidi" w:hAnsiTheme="minorBidi"/>
        </w:rPr>
        <w:t xml:space="preserve">business literature on the causes </w:t>
      </w:r>
      <w:r>
        <w:rPr>
          <w:rFonts w:asciiTheme="minorBidi" w:hAnsiTheme="minorBidi"/>
        </w:rPr>
        <w:t>of organisational failure</w:t>
      </w:r>
      <w:r w:rsidR="001C06CA">
        <w:rPr>
          <w:rFonts w:asciiTheme="minorBidi" w:hAnsiTheme="minorBidi"/>
        </w:rPr>
        <w:t xml:space="preserve"> </w:t>
      </w:r>
      <w:r w:rsidR="00F55A9C">
        <w:rPr>
          <w:rFonts w:asciiTheme="minorBidi" w:hAnsiTheme="minorBidi"/>
        </w:rPr>
        <w:t>is</w:t>
      </w:r>
      <w:r w:rsidR="001C06CA">
        <w:rPr>
          <w:rFonts w:asciiTheme="minorBidi" w:hAnsiTheme="minorBidi"/>
        </w:rPr>
        <w:t xml:space="preserve"> divided into two camps</w:t>
      </w:r>
      <w:r>
        <w:rPr>
          <w:rFonts w:asciiTheme="minorBidi" w:hAnsiTheme="minorBidi"/>
        </w:rPr>
        <w:t xml:space="preserve">. </w:t>
      </w:r>
      <w:r w:rsidR="00F55A9C">
        <w:rPr>
          <w:rFonts w:asciiTheme="minorBidi" w:hAnsiTheme="minorBidi"/>
        </w:rPr>
        <w:t>In one camp</w:t>
      </w:r>
      <w:r w:rsidR="001C06CA">
        <w:rPr>
          <w:rFonts w:asciiTheme="minorBidi" w:hAnsiTheme="minorBidi"/>
        </w:rPr>
        <w:t>,</w:t>
      </w:r>
      <w:r w:rsidR="00C02A94">
        <w:rPr>
          <w:rFonts w:asciiTheme="minorBidi" w:hAnsiTheme="minorBidi"/>
        </w:rPr>
        <w:t xml:space="preserve"> the classical industrial organisation and organisation ecology </w:t>
      </w:r>
      <w:r w:rsidR="001C06CA" w:rsidRPr="00C02A94">
        <w:rPr>
          <w:rFonts w:asciiTheme="minorBidi" w:hAnsiTheme="minorBidi"/>
        </w:rPr>
        <w:t xml:space="preserve">literature </w:t>
      </w:r>
      <w:r w:rsidR="001C06CA">
        <w:rPr>
          <w:rFonts w:asciiTheme="minorBidi" w:hAnsiTheme="minorBidi"/>
        </w:rPr>
        <w:t>argues</w:t>
      </w:r>
      <w:r w:rsidR="00C02A94">
        <w:rPr>
          <w:rFonts w:asciiTheme="minorBidi" w:hAnsiTheme="minorBidi"/>
        </w:rPr>
        <w:t xml:space="preserve"> that environmental factors are the dominant cause of organisational failure. </w:t>
      </w:r>
      <w:r w:rsidR="00F55A9C">
        <w:rPr>
          <w:rFonts w:asciiTheme="minorBidi" w:hAnsiTheme="minorBidi"/>
        </w:rPr>
        <w:t>In</w:t>
      </w:r>
      <w:r w:rsidR="00C02A94">
        <w:rPr>
          <w:rFonts w:asciiTheme="minorBidi" w:hAnsiTheme="minorBidi"/>
        </w:rPr>
        <w:t xml:space="preserve"> the other </w:t>
      </w:r>
      <w:r w:rsidR="00F55A9C">
        <w:rPr>
          <w:rFonts w:asciiTheme="minorBidi" w:hAnsiTheme="minorBidi"/>
        </w:rPr>
        <w:t>camp</w:t>
      </w:r>
      <w:r w:rsidR="00C02A94">
        <w:rPr>
          <w:rFonts w:asciiTheme="minorBidi" w:hAnsiTheme="minorBidi"/>
        </w:rPr>
        <w:t xml:space="preserve">, </w:t>
      </w:r>
      <w:r w:rsidR="00C02A94" w:rsidRPr="00C02A94">
        <w:rPr>
          <w:rFonts w:asciiTheme="minorBidi" w:hAnsiTheme="minorBidi"/>
        </w:rPr>
        <w:t>organi</w:t>
      </w:r>
      <w:r w:rsidR="00F55A9C">
        <w:rPr>
          <w:rFonts w:asciiTheme="minorBidi" w:hAnsiTheme="minorBidi"/>
        </w:rPr>
        <w:t>s</w:t>
      </w:r>
      <w:r w:rsidR="00C02A94" w:rsidRPr="00C02A94">
        <w:rPr>
          <w:rFonts w:asciiTheme="minorBidi" w:hAnsiTheme="minorBidi"/>
        </w:rPr>
        <w:t>ation studies and organi</w:t>
      </w:r>
      <w:r w:rsidR="00C02A94">
        <w:rPr>
          <w:rFonts w:asciiTheme="minorBidi" w:hAnsiTheme="minorBidi"/>
        </w:rPr>
        <w:t>s</w:t>
      </w:r>
      <w:r w:rsidR="00C02A94" w:rsidRPr="00C02A94">
        <w:rPr>
          <w:rFonts w:asciiTheme="minorBidi" w:hAnsiTheme="minorBidi"/>
        </w:rPr>
        <w:t>ational psychology</w:t>
      </w:r>
      <w:r w:rsidR="00C02A94">
        <w:rPr>
          <w:rFonts w:asciiTheme="minorBidi" w:hAnsiTheme="minorBidi"/>
        </w:rPr>
        <w:t xml:space="preserve"> </w:t>
      </w:r>
      <w:r w:rsidR="00C02A94" w:rsidRPr="00C02A94">
        <w:rPr>
          <w:rFonts w:asciiTheme="minorBidi" w:hAnsiTheme="minorBidi"/>
        </w:rPr>
        <w:t xml:space="preserve">literature argues that </w:t>
      </w:r>
      <w:r w:rsidR="00C02A94">
        <w:rPr>
          <w:rFonts w:asciiTheme="minorBidi" w:hAnsiTheme="minorBidi"/>
        </w:rPr>
        <w:t>the</w:t>
      </w:r>
      <w:r w:rsidR="00C02A94" w:rsidRPr="00C02A94">
        <w:rPr>
          <w:rFonts w:asciiTheme="minorBidi" w:hAnsiTheme="minorBidi"/>
        </w:rPr>
        <w:t xml:space="preserve"> actions and perceptions </w:t>
      </w:r>
      <w:r w:rsidR="00C02A94">
        <w:rPr>
          <w:rFonts w:asciiTheme="minorBidi" w:hAnsiTheme="minorBidi"/>
        </w:rPr>
        <w:t xml:space="preserve">of managers </w:t>
      </w:r>
      <w:r w:rsidR="00C02A94" w:rsidRPr="00C02A94">
        <w:rPr>
          <w:rFonts w:asciiTheme="minorBidi" w:hAnsiTheme="minorBidi"/>
        </w:rPr>
        <w:t>are the fundamental cause of</w:t>
      </w:r>
      <w:r w:rsidR="00C02A94">
        <w:rPr>
          <w:rFonts w:asciiTheme="minorBidi" w:hAnsiTheme="minorBidi"/>
        </w:rPr>
        <w:t xml:space="preserve"> </w:t>
      </w:r>
      <w:r w:rsidR="00C02A94" w:rsidRPr="00C02A94">
        <w:rPr>
          <w:rFonts w:asciiTheme="minorBidi" w:hAnsiTheme="minorBidi"/>
        </w:rPr>
        <w:t>organi</w:t>
      </w:r>
      <w:r w:rsidR="00C02A94">
        <w:rPr>
          <w:rFonts w:asciiTheme="minorBidi" w:hAnsiTheme="minorBidi"/>
        </w:rPr>
        <w:t>s</w:t>
      </w:r>
      <w:r w:rsidR="00C02A94" w:rsidRPr="00C02A94">
        <w:rPr>
          <w:rFonts w:asciiTheme="minorBidi" w:hAnsiTheme="minorBidi"/>
        </w:rPr>
        <w:t>ational failure.</w:t>
      </w:r>
      <w:r w:rsidR="00C02A94">
        <w:rPr>
          <w:rFonts w:asciiTheme="minorBidi" w:hAnsiTheme="minorBidi"/>
        </w:rPr>
        <w:t xml:space="preserve"> Mellahi and Wilkinson then seek to </w:t>
      </w:r>
      <w:r w:rsidR="00302A03">
        <w:rPr>
          <w:rFonts w:asciiTheme="minorBidi" w:hAnsiTheme="minorBidi"/>
        </w:rPr>
        <w:t>propose an integration of these opposite schools and explain a basis for their linkage</w:t>
      </w:r>
      <w:r w:rsidR="005B31B3">
        <w:rPr>
          <w:rFonts w:asciiTheme="minorBidi" w:hAnsiTheme="minorBidi"/>
        </w:rPr>
        <w:t>.</w:t>
      </w:r>
      <w:r w:rsidR="0041017A">
        <w:rPr>
          <w:rStyle w:val="FootnoteReference"/>
          <w:rFonts w:asciiTheme="minorBidi" w:hAnsiTheme="minorBidi"/>
        </w:rPr>
        <w:footnoteReference w:id="2"/>
      </w:r>
    </w:p>
    <w:p w:rsidR="00302A03" w:rsidRDefault="00302A03" w:rsidP="0041017A">
      <w:pPr>
        <w:spacing w:after="0" w:line="240" w:lineRule="auto"/>
        <w:jc w:val="both"/>
        <w:rPr>
          <w:rFonts w:asciiTheme="minorBidi" w:hAnsiTheme="minorBidi"/>
        </w:rPr>
      </w:pPr>
    </w:p>
    <w:p w:rsidR="00302A03" w:rsidRDefault="001C06CA" w:rsidP="0041017A">
      <w:pPr>
        <w:spacing w:after="0" w:line="240" w:lineRule="auto"/>
        <w:jc w:val="both"/>
        <w:rPr>
          <w:rFonts w:asciiTheme="minorBidi" w:hAnsiTheme="minorBidi"/>
        </w:rPr>
      </w:pPr>
      <w:r>
        <w:rPr>
          <w:rFonts w:asciiTheme="minorBidi" w:hAnsiTheme="minorBidi"/>
        </w:rPr>
        <w:t xml:space="preserve">In this respect, it </w:t>
      </w:r>
      <w:r w:rsidR="00622FB7">
        <w:rPr>
          <w:rFonts w:asciiTheme="minorBidi" w:hAnsiTheme="minorBidi"/>
        </w:rPr>
        <w:t>appears evident</w:t>
      </w:r>
      <w:r>
        <w:rPr>
          <w:rFonts w:asciiTheme="minorBidi" w:hAnsiTheme="minorBidi"/>
        </w:rPr>
        <w:t xml:space="preserve"> from the </w:t>
      </w:r>
      <w:r w:rsidR="00622FB7">
        <w:rPr>
          <w:rFonts w:asciiTheme="minorBidi" w:hAnsiTheme="minorBidi"/>
        </w:rPr>
        <w:t xml:space="preserve">facts presented in the </w:t>
      </w:r>
      <w:r>
        <w:rPr>
          <w:rFonts w:asciiTheme="minorBidi" w:hAnsiTheme="minorBidi"/>
        </w:rPr>
        <w:t xml:space="preserve">Case Study that there are elements of both environmental and management issues </w:t>
      </w:r>
      <w:r w:rsidR="006A6234">
        <w:rPr>
          <w:rFonts w:asciiTheme="minorBidi" w:hAnsiTheme="minorBidi"/>
        </w:rPr>
        <w:t>at the</w:t>
      </w:r>
      <w:r>
        <w:rPr>
          <w:rFonts w:asciiTheme="minorBidi" w:hAnsiTheme="minorBidi"/>
        </w:rPr>
        <w:t xml:space="preserve"> </w:t>
      </w:r>
      <w:r w:rsidRPr="00427778">
        <w:rPr>
          <w:rFonts w:asciiTheme="minorBidi" w:hAnsiTheme="minorBidi"/>
        </w:rPr>
        <w:t xml:space="preserve">Flow Management </w:t>
      </w:r>
      <w:r>
        <w:rPr>
          <w:rFonts w:asciiTheme="minorBidi" w:hAnsiTheme="minorBidi"/>
        </w:rPr>
        <w:t>Group</w:t>
      </w:r>
      <w:r w:rsidR="006A6234">
        <w:rPr>
          <w:rFonts w:asciiTheme="minorBidi" w:hAnsiTheme="minorBidi"/>
        </w:rPr>
        <w:t>, which interact</w:t>
      </w:r>
      <w:r w:rsidR="00640F35">
        <w:rPr>
          <w:rFonts w:asciiTheme="minorBidi" w:hAnsiTheme="minorBidi"/>
        </w:rPr>
        <w:t>ed</w:t>
      </w:r>
      <w:r w:rsidR="006A6234">
        <w:rPr>
          <w:rFonts w:asciiTheme="minorBidi" w:hAnsiTheme="minorBidi"/>
        </w:rPr>
        <w:t xml:space="preserve"> and combine</w:t>
      </w:r>
      <w:r w:rsidR="00640F35">
        <w:rPr>
          <w:rFonts w:asciiTheme="minorBidi" w:hAnsiTheme="minorBidi"/>
        </w:rPr>
        <w:t>d</w:t>
      </w:r>
      <w:r w:rsidR="006A6234">
        <w:rPr>
          <w:rFonts w:asciiTheme="minorBidi" w:hAnsiTheme="minorBidi"/>
        </w:rPr>
        <w:t xml:space="preserve"> to give rise to the financial distress experienced by the Flow Management Group</w:t>
      </w:r>
      <w:r>
        <w:rPr>
          <w:rFonts w:asciiTheme="minorBidi" w:hAnsiTheme="minorBidi"/>
        </w:rPr>
        <w:t>.</w:t>
      </w:r>
    </w:p>
    <w:p w:rsidR="00085A0A" w:rsidRDefault="00085A0A" w:rsidP="0041017A">
      <w:pPr>
        <w:spacing w:after="0" w:line="240" w:lineRule="auto"/>
        <w:jc w:val="both"/>
        <w:rPr>
          <w:rFonts w:asciiTheme="minorBidi" w:hAnsiTheme="minorBidi"/>
        </w:rPr>
      </w:pPr>
    </w:p>
    <w:p w:rsidR="003C40E5" w:rsidRDefault="003C40E5" w:rsidP="0041017A">
      <w:pPr>
        <w:spacing w:after="0" w:line="240" w:lineRule="auto"/>
        <w:jc w:val="both"/>
        <w:rPr>
          <w:rFonts w:asciiTheme="minorBidi" w:hAnsiTheme="minorBidi"/>
        </w:rPr>
      </w:pPr>
    </w:p>
    <w:p w:rsidR="00D01A04" w:rsidRPr="00754FDB" w:rsidRDefault="00D01A04" w:rsidP="0041017A">
      <w:pPr>
        <w:spacing w:after="0" w:line="240" w:lineRule="auto"/>
        <w:jc w:val="both"/>
        <w:rPr>
          <w:rFonts w:asciiTheme="minorBidi" w:hAnsiTheme="minorBidi"/>
          <w:i/>
          <w:iCs/>
          <w:u w:val="single"/>
        </w:rPr>
      </w:pPr>
      <w:r w:rsidRPr="00754FDB">
        <w:rPr>
          <w:rFonts w:asciiTheme="minorBidi" w:hAnsiTheme="minorBidi"/>
          <w:i/>
          <w:iCs/>
          <w:u w:val="single"/>
        </w:rPr>
        <w:t xml:space="preserve">Environmental factors </w:t>
      </w:r>
    </w:p>
    <w:p w:rsidR="00D01A04" w:rsidRDefault="00D01A04" w:rsidP="0041017A">
      <w:pPr>
        <w:spacing w:after="0" w:line="240" w:lineRule="auto"/>
        <w:jc w:val="both"/>
        <w:rPr>
          <w:rFonts w:asciiTheme="minorBidi" w:hAnsiTheme="minorBidi"/>
        </w:rPr>
      </w:pPr>
    </w:p>
    <w:p w:rsidR="00D01A04" w:rsidRDefault="00F806CF" w:rsidP="0041017A">
      <w:pPr>
        <w:spacing w:after="0" w:line="240" w:lineRule="auto"/>
        <w:jc w:val="both"/>
        <w:rPr>
          <w:rFonts w:asciiTheme="minorBidi" w:hAnsiTheme="minorBidi"/>
        </w:rPr>
      </w:pPr>
      <w:r>
        <w:rPr>
          <w:rFonts w:asciiTheme="minorBidi" w:hAnsiTheme="minorBidi"/>
        </w:rPr>
        <w:t>Based on the size of the Flow Management Group and its capital structure, i</w:t>
      </w:r>
      <w:r w:rsidR="001C06CA">
        <w:rPr>
          <w:rFonts w:asciiTheme="minorBidi" w:hAnsiTheme="minorBidi"/>
        </w:rPr>
        <w:t>t</w:t>
      </w:r>
      <w:r w:rsidR="00086E23">
        <w:rPr>
          <w:rFonts w:asciiTheme="minorBidi" w:hAnsiTheme="minorBidi"/>
        </w:rPr>
        <w:t xml:space="preserve"> appears that the Flow Management Group is a </w:t>
      </w:r>
      <w:r w:rsidR="006A2468">
        <w:rPr>
          <w:rFonts w:asciiTheme="minorBidi" w:hAnsiTheme="minorBidi"/>
        </w:rPr>
        <w:t>well-established</w:t>
      </w:r>
      <w:r w:rsidR="00086E23">
        <w:rPr>
          <w:rFonts w:asciiTheme="minorBidi" w:hAnsiTheme="minorBidi"/>
        </w:rPr>
        <w:t xml:space="preserve"> </w:t>
      </w:r>
      <w:r w:rsidR="006A2468">
        <w:rPr>
          <w:rFonts w:asciiTheme="minorBidi" w:hAnsiTheme="minorBidi"/>
        </w:rPr>
        <w:t>group</w:t>
      </w:r>
      <w:r w:rsidR="00086E23">
        <w:rPr>
          <w:rFonts w:asciiTheme="minorBidi" w:hAnsiTheme="minorBidi"/>
        </w:rPr>
        <w:t xml:space="preserve"> that has been operating in the market for some time. In particular, </w:t>
      </w:r>
      <w:r w:rsidR="006A2468">
        <w:rPr>
          <w:rFonts w:asciiTheme="minorBidi" w:hAnsiTheme="minorBidi"/>
        </w:rPr>
        <w:t xml:space="preserve">the </w:t>
      </w:r>
      <w:r w:rsidR="00E93644">
        <w:rPr>
          <w:rFonts w:asciiTheme="minorBidi" w:hAnsiTheme="minorBidi"/>
        </w:rPr>
        <w:t xml:space="preserve">shareholding structure </w:t>
      </w:r>
      <w:r w:rsidR="004B2ABB">
        <w:rPr>
          <w:rFonts w:asciiTheme="minorBidi" w:hAnsiTheme="minorBidi"/>
        </w:rPr>
        <w:t>suggests</w:t>
      </w:r>
      <w:r w:rsidR="006A2468">
        <w:rPr>
          <w:rFonts w:asciiTheme="minorBidi" w:hAnsiTheme="minorBidi"/>
        </w:rPr>
        <w:t xml:space="preserve"> that the Flow Management Group may have been founded by the Johnson family and then expanded through the </w:t>
      </w:r>
      <w:r w:rsidR="005B31B3">
        <w:rPr>
          <w:rFonts w:asciiTheme="minorBidi" w:hAnsiTheme="minorBidi"/>
        </w:rPr>
        <w:t>capital investments provided by</w:t>
      </w:r>
      <w:r w:rsidR="006A2468">
        <w:rPr>
          <w:rFonts w:asciiTheme="minorBidi" w:hAnsiTheme="minorBidi"/>
        </w:rPr>
        <w:t xml:space="preserve"> LLS Private Equity Fund Ltd and Cinderella Investment Ltd. </w:t>
      </w:r>
    </w:p>
    <w:p w:rsidR="00D01A04" w:rsidRDefault="00D01A04" w:rsidP="0041017A">
      <w:pPr>
        <w:spacing w:after="0" w:line="240" w:lineRule="auto"/>
        <w:jc w:val="both"/>
        <w:rPr>
          <w:rFonts w:asciiTheme="minorBidi" w:hAnsiTheme="minorBidi"/>
        </w:rPr>
      </w:pPr>
    </w:p>
    <w:p w:rsidR="001C06CA" w:rsidRDefault="00F806CF" w:rsidP="0041017A">
      <w:pPr>
        <w:spacing w:after="0" w:line="240" w:lineRule="auto"/>
        <w:jc w:val="both"/>
        <w:rPr>
          <w:rFonts w:asciiTheme="minorBidi" w:hAnsiTheme="minorBidi"/>
        </w:rPr>
      </w:pPr>
      <w:r>
        <w:rPr>
          <w:rFonts w:asciiTheme="minorBidi" w:hAnsiTheme="minorBidi"/>
        </w:rPr>
        <w:t xml:space="preserve">However, the shareholding structure of the Flow Management Group reveals that there is no dominant investor among the three shareholders (with LLS Private Equity Fund Ltd being the largest shareholder, with 40% of the equity). </w:t>
      </w:r>
      <w:r w:rsidR="00D01A04">
        <w:rPr>
          <w:rFonts w:asciiTheme="minorBidi" w:hAnsiTheme="minorBidi"/>
        </w:rPr>
        <w:t xml:space="preserve">Accordingly, in order to make decisions </w:t>
      </w:r>
      <w:r w:rsidR="004B2ABB">
        <w:rPr>
          <w:rFonts w:asciiTheme="minorBidi" w:hAnsiTheme="minorBidi"/>
        </w:rPr>
        <w:t>and</w:t>
      </w:r>
      <w:r w:rsidR="00D01A04">
        <w:rPr>
          <w:rFonts w:asciiTheme="minorBidi" w:hAnsiTheme="minorBidi"/>
        </w:rPr>
        <w:t xml:space="preserve"> implement strategies, the </w:t>
      </w:r>
      <w:r w:rsidR="00327AB3">
        <w:rPr>
          <w:rFonts w:asciiTheme="minorBidi" w:hAnsiTheme="minorBidi"/>
        </w:rPr>
        <w:t xml:space="preserve">FMG Management </w:t>
      </w:r>
      <w:r w:rsidR="00D01A04">
        <w:rPr>
          <w:rFonts w:asciiTheme="minorBidi" w:hAnsiTheme="minorBidi"/>
        </w:rPr>
        <w:t xml:space="preserve">is </w:t>
      </w:r>
      <w:r w:rsidR="004B2ABB">
        <w:rPr>
          <w:rFonts w:asciiTheme="minorBidi" w:hAnsiTheme="minorBidi"/>
        </w:rPr>
        <w:t xml:space="preserve">placed in the difficult position of having to </w:t>
      </w:r>
      <w:r w:rsidR="00D01A04">
        <w:rPr>
          <w:rFonts w:asciiTheme="minorBidi" w:hAnsiTheme="minorBidi"/>
        </w:rPr>
        <w:t xml:space="preserve">appease multiple </w:t>
      </w:r>
      <w:r w:rsidR="004B2ABB">
        <w:rPr>
          <w:rFonts w:asciiTheme="minorBidi" w:hAnsiTheme="minorBidi"/>
        </w:rPr>
        <w:t xml:space="preserve">non-dominant </w:t>
      </w:r>
      <w:r w:rsidR="00D01A04">
        <w:rPr>
          <w:rFonts w:asciiTheme="minorBidi" w:hAnsiTheme="minorBidi"/>
        </w:rPr>
        <w:t>shareholder</w:t>
      </w:r>
      <w:r w:rsidR="004B2ABB">
        <w:rPr>
          <w:rFonts w:asciiTheme="minorBidi" w:hAnsiTheme="minorBidi"/>
        </w:rPr>
        <w:t>s, each of</w:t>
      </w:r>
      <w:r w:rsidR="00D01A04">
        <w:rPr>
          <w:rFonts w:asciiTheme="minorBidi" w:hAnsiTheme="minorBidi"/>
        </w:rPr>
        <w:t xml:space="preserve"> which may have different </w:t>
      </w:r>
      <w:r w:rsidR="004B2ABB">
        <w:rPr>
          <w:rFonts w:asciiTheme="minorBidi" w:hAnsiTheme="minorBidi"/>
        </w:rPr>
        <w:t>short-term and long-term strategies and</w:t>
      </w:r>
      <w:r w:rsidR="00D01A04">
        <w:rPr>
          <w:rFonts w:asciiTheme="minorBidi" w:hAnsiTheme="minorBidi"/>
        </w:rPr>
        <w:t xml:space="preserve"> incentives. </w:t>
      </w:r>
      <w:r w:rsidR="004B2ABB">
        <w:rPr>
          <w:rFonts w:asciiTheme="minorBidi" w:hAnsiTheme="minorBidi"/>
        </w:rPr>
        <w:t xml:space="preserve">Other areas of complexity include the large workforce (3,000) and international network of offices. Each of these factors </w:t>
      </w:r>
      <w:r w:rsidR="00D01A04">
        <w:rPr>
          <w:rFonts w:asciiTheme="minorBidi" w:hAnsiTheme="minorBidi"/>
        </w:rPr>
        <w:t>add to the organisational complexit</w:t>
      </w:r>
      <w:r w:rsidR="005B31B3">
        <w:rPr>
          <w:rFonts w:asciiTheme="minorBidi" w:hAnsiTheme="minorBidi"/>
        </w:rPr>
        <w:t>y</w:t>
      </w:r>
      <w:r w:rsidR="00D01A04">
        <w:rPr>
          <w:rStyle w:val="FootnoteReference"/>
          <w:rFonts w:asciiTheme="minorBidi" w:hAnsiTheme="minorBidi"/>
        </w:rPr>
        <w:footnoteReference w:id="3"/>
      </w:r>
      <w:r w:rsidR="00D01A04">
        <w:rPr>
          <w:rFonts w:asciiTheme="minorBidi" w:hAnsiTheme="minorBidi"/>
        </w:rPr>
        <w:t xml:space="preserve"> of the Flow Management Group. According to industrial organisation scholars</w:t>
      </w:r>
      <w:r w:rsidR="00D01A04">
        <w:rPr>
          <w:rStyle w:val="FootnoteReference"/>
          <w:rFonts w:asciiTheme="minorBidi" w:hAnsiTheme="minorBidi"/>
        </w:rPr>
        <w:footnoteReference w:id="4"/>
      </w:r>
      <w:r w:rsidR="00D01A04">
        <w:rPr>
          <w:rFonts w:asciiTheme="minorBidi" w:hAnsiTheme="minorBidi"/>
        </w:rPr>
        <w:t xml:space="preserve">, there is a </w:t>
      </w:r>
      <w:r w:rsidR="00D01A04" w:rsidRPr="00D01A04">
        <w:rPr>
          <w:rFonts w:asciiTheme="minorBidi" w:hAnsiTheme="minorBidi"/>
        </w:rPr>
        <w:t>positive correlation between environmental</w:t>
      </w:r>
      <w:r w:rsidR="00D01A04">
        <w:rPr>
          <w:rFonts w:asciiTheme="minorBidi" w:hAnsiTheme="minorBidi"/>
        </w:rPr>
        <w:t xml:space="preserve"> </w:t>
      </w:r>
      <w:r w:rsidR="00D01A04" w:rsidRPr="00D01A04">
        <w:rPr>
          <w:rFonts w:asciiTheme="minorBidi" w:hAnsiTheme="minorBidi"/>
        </w:rPr>
        <w:t>complexity and organi</w:t>
      </w:r>
      <w:r w:rsidR="00B075B6">
        <w:rPr>
          <w:rFonts w:asciiTheme="minorBidi" w:hAnsiTheme="minorBidi"/>
        </w:rPr>
        <w:t>s</w:t>
      </w:r>
      <w:r w:rsidR="00D01A04" w:rsidRPr="00D01A04">
        <w:rPr>
          <w:rFonts w:asciiTheme="minorBidi" w:hAnsiTheme="minorBidi"/>
        </w:rPr>
        <w:t>ational mortality rate</w:t>
      </w:r>
      <w:r w:rsidR="00D01A04">
        <w:rPr>
          <w:rFonts w:asciiTheme="minorBidi" w:hAnsiTheme="minorBidi"/>
        </w:rPr>
        <w:t>.</w:t>
      </w:r>
    </w:p>
    <w:p w:rsidR="006609C3" w:rsidRDefault="006609C3" w:rsidP="0041017A">
      <w:pPr>
        <w:spacing w:after="0" w:line="240" w:lineRule="auto"/>
        <w:jc w:val="both"/>
        <w:rPr>
          <w:rFonts w:asciiTheme="minorBidi" w:hAnsiTheme="minorBidi"/>
        </w:rPr>
      </w:pPr>
    </w:p>
    <w:p w:rsidR="00A87455" w:rsidRDefault="00A87455" w:rsidP="0041017A">
      <w:pPr>
        <w:spacing w:after="0" w:line="240" w:lineRule="auto"/>
        <w:jc w:val="both"/>
        <w:rPr>
          <w:rFonts w:asciiTheme="minorBidi" w:hAnsiTheme="minorBidi"/>
        </w:rPr>
      </w:pPr>
      <w:r>
        <w:rPr>
          <w:rFonts w:asciiTheme="minorBidi" w:hAnsiTheme="minorBidi"/>
        </w:rPr>
        <w:t>Additionally, the fact that the Flow Management Group was well-established may have led to an inability to adapt to changing circumstances. In particular, the accounting and financial issues disclosed by the management of Flow Management Group to the Bank A, Bank B, Bank C and Bank D (the “</w:t>
      </w:r>
      <w:r w:rsidRPr="00862812">
        <w:rPr>
          <w:rFonts w:asciiTheme="minorBidi" w:hAnsiTheme="minorBidi"/>
          <w:b/>
          <w:bCs/>
        </w:rPr>
        <w:t>Working Capital Banks</w:t>
      </w:r>
      <w:r>
        <w:rPr>
          <w:rFonts w:asciiTheme="minorBidi" w:hAnsiTheme="minorBidi"/>
        </w:rPr>
        <w:t>”) on 16 November 2013 may be seen in the context of an organisation which has failed to adapt to changing circumstances</w:t>
      </w:r>
      <w:r w:rsidR="006E386A">
        <w:rPr>
          <w:rFonts w:asciiTheme="minorBidi" w:hAnsiTheme="minorBidi"/>
        </w:rPr>
        <w:t xml:space="preserve">, such as need to continually update its accounting systems. </w:t>
      </w:r>
      <w:r w:rsidRPr="006278D9">
        <w:rPr>
          <w:rFonts w:asciiTheme="minorBidi" w:hAnsiTheme="minorBidi"/>
        </w:rPr>
        <w:t>Organi</w:t>
      </w:r>
      <w:r w:rsidR="00B075B6">
        <w:rPr>
          <w:rFonts w:asciiTheme="minorBidi" w:hAnsiTheme="minorBidi"/>
        </w:rPr>
        <w:t>s</w:t>
      </w:r>
      <w:r w:rsidRPr="006278D9">
        <w:rPr>
          <w:rFonts w:asciiTheme="minorBidi" w:hAnsiTheme="minorBidi"/>
        </w:rPr>
        <w:t>ation ecology</w:t>
      </w:r>
      <w:r>
        <w:rPr>
          <w:rFonts w:asciiTheme="minorBidi" w:hAnsiTheme="minorBidi"/>
        </w:rPr>
        <w:t xml:space="preserve"> scholars </w:t>
      </w:r>
      <w:r w:rsidRPr="006278D9">
        <w:rPr>
          <w:rFonts w:asciiTheme="minorBidi" w:hAnsiTheme="minorBidi"/>
        </w:rPr>
        <w:t>suggest that, because of structural inertia,</w:t>
      </w:r>
      <w:r>
        <w:rPr>
          <w:rFonts w:asciiTheme="minorBidi" w:hAnsiTheme="minorBidi"/>
        </w:rPr>
        <w:t xml:space="preserve"> </w:t>
      </w:r>
      <w:r w:rsidRPr="006278D9">
        <w:rPr>
          <w:rFonts w:asciiTheme="minorBidi" w:hAnsiTheme="minorBidi"/>
        </w:rPr>
        <w:t>organi</w:t>
      </w:r>
      <w:r w:rsidR="00B075B6">
        <w:rPr>
          <w:rFonts w:asciiTheme="minorBidi" w:hAnsiTheme="minorBidi"/>
        </w:rPr>
        <w:t>s</w:t>
      </w:r>
      <w:r w:rsidRPr="006278D9">
        <w:rPr>
          <w:rFonts w:asciiTheme="minorBidi" w:hAnsiTheme="minorBidi"/>
        </w:rPr>
        <w:t>ations tend not to change, and when</w:t>
      </w:r>
      <w:r>
        <w:rPr>
          <w:rFonts w:asciiTheme="minorBidi" w:hAnsiTheme="minorBidi"/>
        </w:rPr>
        <w:t xml:space="preserve"> </w:t>
      </w:r>
      <w:r w:rsidRPr="006278D9">
        <w:rPr>
          <w:rFonts w:asciiTheme="minorBidi" w:hAnsiTheme="minorBidi"/>
        </w:rPr>
        <w:t>they do, they respond slowly to environmental</w:t>
      </w:r>
      <w:r>
        <w:rPr>
          <w:rFonts w:asciiTheme="minorBidi" w:hAnsiTheme="minorBidi"/>
        </w:rPr>
        <w:t xml:space="preserve"> </w:t>
      </w:r>
      <w:r w:rsidRPr="006278D9">
        <w:rPr>
          <w:rFonts w:asciiTheme="minorBidi" w:hAnsiTheme="minorBidi"/>
        </w:rPr>
        <w:t>threats and opportunities, and they are more</w:t>
      </w:r>
      <w:r>
        <w:rPr>
          <w:rFonts w:asciiTheme="minorBidi" w:hAnsiTheme="minorBidi"/>
        </w:rPr>
        <w:t xml:space="preserve"> </w:t>
      </w:r>
      <w:r w:rsidRPr="006278D9">
        <w:rPr>
          <w:rFonts w:asciiTheme="minorBidi" w:hAnsiTheme="minorBidi"/>
        </w:rPr>
        <w:t>likely to disband than adapt</w:t>
      </w:r>
      <w:r>
        <w:rPr>
          <w:rFonts w:asciiTheme="minorBidi" w:hAnsiTheme="minorBidi"/>
        </w:rPr>
        <w:t>.</w:t>
      </w:r>
      <w:r w:rsidR="006E386A">
        <w:rPr>
          <w:rStyle w:val="FootnoteReference"/>
          <w:rFonts w:asciiTheme="minorBidi" w:hAnsiTheme="minorBidi"/>
        </w:rPr>
        <w:footnoteReference w:id="5"/>
      </w:r>
    </w:p>
    <w:p w:rsidR="00D01A04" w:rsidRDefault="00D01A04" w:rsidP="0041017A">
      <w:pPr>
        <w:spacing w:after="0" w:line="240" w:lineRule="auto"/>
        <w:jc w:val="both"/>
        <w:rPr>
          <w:rFonts w:asciiTheme="minorBidi" w:hAnsiTheme="minorBidi"/>
        </w:rPr>
      </w:pPr>
    </w:p>
    <w:p w:rsidR="00427778" w:rsidRPr="006A2468" w:rsidRDefault="00A87455" w:rsidP="00E03F41">
      <w:pPr>
        <w:spacing w:after="0" w:line="240" w:lineRule="auto"/>
        <w:jc w:val="both"/>
        <w:rPr>
          <w:rFonts w:asciiTheme="minorBidi" w:hAnsiTheme="minorBidi"/>
        </w:rPr>
      </w:pPr>
      <w:r>
        <w:rPr>
          <w:rFonts w:asciiTheme="minorBidi" w:hAnsiTheme="minorBidi"/>
        </w:rPr>
        <w:t xml:space="preserve">Finally, </w:t>
      </w:r>
      <w:r w:rsidR="00E03F41">
        <w:rPr>
          <w:rFonts w:asciiTheme="minorBidi" w:hAnsiTheme="minorBidi"/>
        </w:rPr>
        <w:t>in line with the ‘Industry Life Cycle Theory’,</w:t>
      </w:r>
      <w:r w:rsidR="00E03F41">
        <w:rPr>
          <w:rStyle w:val="FootnoteReference"/>
          <w:rFonts w:asciiTheme="minorBidi" w:hAnsiTheme="minorBidi"/>
        </w:rPr>
        <w:footnoteReference w:id="6"/>
      </w:r>
      <w:r w:rsidR="00E03F41">
        <w:rPr>
          <w:rFonts w:asciiTheme="minorBidi" w:hAnsiTheme="minorBidi"/>
        </w:rPr>
        <w:t xml:space="preserve"> </w:t>
      </w:r>
      <w:r w:rsidR="006A2468">
        <w:rPr>
          <w:rFonts w:asciiTheme="minorBidi" w:hAnsiTheme="minorBidi"/>
        </w:rPr>
        <w:t>the decline of the Flow Management Group may be seen as a “</w:t>
      </w:r>
      <w:r w:rsidR="006A2468">
        <w:rPr>
          <w:rFonts w:asciiTheme="minorBidi" w:hAnsiTheme="minorBidi"/>
          <w:i/>
          <w:iCs/>
        </w:rPr>
        <w:t>natural and objective phenomenon</w:t>
      </w:r>
      <w:r w:rsidR="006A2468">
        <w:rPr>
          <w:rFonts w:asciiTheme="minorBidi" w:hAnsiTheme="minorBidi"/>
        </w:rPr>
        <w:t>”</w:t>
      </w:r>
      <w:r>
        <w:rPr>
          <w:rStyle w:val="FootnoteReference"/>
          <w:rFonts w:asciiTheme="minorBidi" w:hAnsiTheme="minorBidi"/>
        </w:rPr>
        <w:footnoteReference w:id="7"/>
      </w:r>
      <w:r w:rsidR="006A2468">
        <w:rPr>
          <w:rFonts w:asciiTheme="minorBidi" w:hAnsiTheme="minorBidi"/>
        </w:rPr>
        <w:t xml:space="preserve"> which is “</w:t>
      </w:r>
      <w:r w:rsidR="006A2468">
        <w:rPr>
          <w:rFonts w:asciiTheme="minorBidi" w:hAnsiTheme="minorBidi"/>
          <w:i/>
          <w:iCs/>
        </w:rPr>
        <w:t>inherent to the efficient operation of markets</w:t>
      </w:r>
      <w:r w:rsidR="006A2468">
        <w:rPr>
          <w:rFonts w:asciiTheme="minorBidi" w:hAnsiTheme="minorBidi"/>
        </w:rPr>
        <w:t>”</w:t>
      </w:r>
      <w:r>
        <w:rPr>
          <w:rStyle w:val="FootnoteReference"/>
          <w:rFonts w:asciiTheme="minorBidi" w:hAnsiTheme="minorBidi"/>
        </w:rPr>
        <w:footnoteReference w:id="8"/>
      </w:r>
    </w:p>
    <w:p w:rsidR="00A131C1" w:rsidRDefault="00A131C1" w:rsidP="0041017A">
      <w:pPr>
        <w:spacing w:after="0" w:line="240" w:lineRule="auto"/>
        <w:jc w:val="both"/>
        <w:rPr>
          <w:rFonts w:asciiTheme="minorBidi" w:hAnsiTheme="minorBidi"/>
        </w:rPr>
      </w:pPr>
    </w:p>
    <w:p w:rsidR="00862812" w:rsidRDefault="00862812" w:rsidP="0041017A">
      <w:pPr>
        <w:spacing w:after="0" w:line="240" w:lineRule="auto"/>
        <w:jc w:val="both"/>
        <w:rPr>
          <w:rFonts w:asciiTheme="minorBidi" w:hAnsiTheme="minorBidi"/>
        </w:rPr>
      </w:pPr>
    </w:p>
    <w:p w:rsidR="00A87455" w:rsidRPr="00754FDB" w:rsidRDefault="00A87455" w:rsidP="0041017A">
      <w:pPr>
        <w:spacing w:after="0" w:line="240" w:lineRule="auto"/>
        <w:jc w:val="both"/>
        <w:rPr>
          <w:rFonts w:asciiTheme="minorBidi" w:hAnsiTheme="minorBidi"/>
          <w:u w:val="single"/>
        </w:rPr>
      </w:pPr>
      <w:r w:rsidRPr="00754FDB">
        <w:rPr>
          <w:rFonts w:asciiTheme="minorBidi" w:hAnsiTheme="minorBidi"/>
          <w:i/>
          <w:iCs/>
          <w:u w:val="single"/>
        </w:rPr>
        <w:t>Management decisions</w:t>
      </w:r>
    </w:p>
    <w:p w:rsidR="00A87455" w:rsidRDefault="00A87455" w:rsidP="0041017A">
      <w:pPr>
        <w:spacing w:after="0" w:line="240" w:lineRule="auto"/>
        <w:jc w:val="both"/>
        <w:rPr>
          <w:rFonts w:asciiTheme="minorBidi" w:hAnsiTheme="minorBidi"/>
        </w:rPr>
      </w:pPr>
    </w:p>
    <w:p w:rsidR="006278D9" w:rsidRDefault="00327AB3" w:rsidP="0041017A">
      <w:pPr>
        <w:spacing w:after="0" w:line="240" w:lineRule="auto"/>
        <w:jc w:val="both"/>
        <w:rPr>
          <w:rFonts w:asciiTheme="minorBidi" w:hAnsiTheme="minorBidi"/>
        </w:rPr>
      </w:pPr>
      <w:r>
        <w:rPr>
          <w:rFonts w:asciiTheme="minorBidi" w:hAnsiTheme="minorBidi"/>
        </w:rPr>
        <w:t>The financial distress at the Flow Management Group can also be attributed to the role and actions of the FMG Management.</w:t>
      </w:r>
    </w:p>
    <w:p w:rsidR="00B82020" w:rsidRDefault="00B82020" w:rsidP="0041017A">
      <w:pPr>
        <w:spacing w:after="0" w:line="240" w:lineRule="auto"/>
        <w:jc w:val="both"/>
        <w:rPr>
          <w:rFonts w:asciiTheme="minorBidi" w:hAnsiTheme="minorBidi"/>
        </w:rPr>
      </w:pPr>
    </w:p>
    <w:p w:rsidR="00A47BFF" w:rsidRDefault="00A47BFF" w:rsidP="0041017A">
      <w:pPr>
        <w:spacing w:after="0" w:line="240" w:lineRule="auto"/>
        <w:jc w:val="both"/>
        <w:rPr>
          <w:rFonts w:asciiTheme="minorBidi" w:hAnsiTheme="minorBidi"/>
        </w:rPr>
      </w:pPr>
      <w:r>
        <w:rPr>
          <w:rFonts w:asciiTheme="minorBidi" w:hAnsiTheme="minorBidi"/>
        </w:rPr>
        <w:t xml:space="preserve">Based on the large management bonuses awarded to the FMG Management, it appears that the FMG Management may have been in place for some time. Pursuant to the </w:t>
      </w:r>
      <w:r w:rsidRPr="00562A26">
        <w:rPr>
          <w:rFonts w:asciiTheme="minorBidi" w:hAnsiTheme="minorBidi"/>
        </w:rPr>
        <w:t xml:space="preserve">‘Upper </w:t>
      </w:r>
      <w:r>
        <w:rPr>
          <w:rFonts w:asciiTheme="minorBidi" w:hAnsiTheme="minorBidi"/>
        </w:rPr>
        <w:t>E</w:t>
      </w:r>
      <w:r w:rsidRPr="00562A26">
        <w:rPr>
          <w:rFonts w:asciiTheme="minorBidi" w:hAnsiTheme="minorBidi"/>
        </w:rPr>
        <w:t>chelon’ theory</w:t>
      </w:r>
      <w:r w:rsidR="00AD18B0">
        <w:rPr>
          <w:rFonts w:asciiTheme="minorBidi" w:hAnsiTheme="minorBidi"/>
        </w:rPr>
        <w:t>’</w:t>
      </w:r>
      <w:r>
        <w:rPr>
          <w:rStyle w:val="FootnoteReference"/>
          <w:rFonts w:asciiTheme="minorBidi" w:hAnsiTheme="minorBidi"/>
        </w:rPr>
        <w:footnoteReference w:id="9"/>
      </w:r>
      <w:r>
        <w:rPr>
          <w:rFonts w:asciiTheme="minorBidi" w:hAnsiTheme="minorBidi"/>
        </w:rPr>
        <w:t>,</w:t>
      </w:r>
      <w:r w:rsidR="00562A26">
        <w:rPr>
          <w:rFonts w:asciiTheme="minorBidi" w:hAnsiTheme="minorBidi"/>
        </w:rPr>
        <w:t xml:space="preserve"> </w:t>
      </w:r>
      <w:r w:rsidR="00562A26" w:rsidRPr="00562A26">
        <w:rPr>
          <w:rFonts w:asciiTheme="minorBidi" w:hAnsiTheme="minorBidi"/>
        </w:rPr>
        <w:t>longer-tenured top management are likely to</w:t>
      </w:r>
      <w:r w:rsidR="00562A26">
        <w:rPr>
          <w:rFonts w:asciiTheme="minorBidi" w:hAnsiTheme="minorBidi"/>
        </w:rPr>
        <w:t xml:space="preserve"> </w:t>
      </w:r>
      <w:r w:rsidR="00562A26" w:rsidRPr="00562A26">
        <w:rPr>
          <w:rFonts w:asciiTheme="minorBidi" w:hAnsiTheme="minorBidi"/>
        </w:rPr>
        <w:t>be associated with increased rigidity and</w:t>
      </w:r>
      <w:r w:rsidR="00562A26">
        <w:rPr>
          <w:rFonts w:asciiTheme="minorBidi" w:hAnsiTheme="minorBidi"/>
        </w:rPr>
        <w:t xml:space="preserve"> </w:t>
      </w:r>
      <w:r w:rsidR="00562A26" w:rsidRPr="00562A26">
        <w:rPr>
          <w:rFonts w:asciiTheme="minorBidi" w:hAnsiTheme="minorBidi"/>
        </w:rPr>
        <w:t>commitment to standardi</w:t>
      </w:r>
      <w:r w:rsidR="000203F4">
        <w:rPr>
          <w:rFonts w:asciiTheme="minorBidi" w:hAnsiTheme="minorBidi"/>
        </w:rPr>
        <w:t>s</w:t>
      </w:r>
      <w:r w:rsidR="00562A26" w:rsidRPr="00562A26">
        <w:rPr>
          <w:rFonts w:asciiTheme="minorBidi" w:hAnsiTheme="minorBidi"/>
        </w:rPr>
        <w:t>ed practices</w:t>
      </w:r>
      <w:r w:rsidR="00562A26">
        <w:rPr>
          <w:rFonts w:asciiTheme="minorBidi" w:hAnsiTheme="minorBidi"/>
        </w:rPr>
        <w:t xml:space="preserve">. </w:t>
      </w:r>
      <w:r w:rsidR="006C43CB">
        <w:rPr>
          <w:rFonts w:asciiTheme="minorBidi" w:hAnsiTheme="minorBidi"/>
        </w:rPr>
        <w:t>This might explain why the</w:t>
      </w:r>
      <w:r>
        <w:rPr>
          <w:rFonts w:asciiTheme="minorBidi" w:hAnsiTheme="minorBidi"/>
        </w:rPr>
        <w:t xml:space="preserve"> FMG Management </w:t>
      </w:r>
      <w:r w:rsidR="006C43CB">
        <w:rPr>
          <w:rFonts w:asciiTheme="minorBidi" w:hAnsiTheme="minorBidi"/>
        </w:rPr>
        <w:t xml:space="preserve">failed </w:t>
      </w:r>
      <w:r>
        <w:rPr>
          <w:rFonts w:asciiTheme="minorBidi" w:hAnsiTheme="minorBidi"/>
        </w:rPr>
        <w:t xml:space="preserve">to update and change the accounting </w:t>
      </w:r>
      <w:r w:rsidR="00327AB3">
        <w:rPr>
          <w:rFonts w:asciiTheme="minorBidi" w:hAnsiTheme="minorBidi"/>
        </w:rPr>
        <w:t>systems</w:t>
      </w:r>
      <w:r w:rsidR="006C43CB">
        <w:rPr>
          <w:rFonts w:asciiTheme="minorBidi" w:hAnsiTheme="minorBidi"/>
        </w:rPr>
        <w:t xml:space="preserve"> which resulted in the failure to identify the accounting irregularities and pricing issues in the Flow Management Group. </w:t>
      </w:r>
    </w:p>
    <w:p w:rsidR="006C43CB" w:rsidRDefault="006C43CB" w:rsidP="0041017A">
      <w:pPr>
        <w:spacing w:after="0" w:line="240" w:lineRule="auto"/>
        <w:jc w:val="both"/>
        <w:rPr>
          <w:rFonts w:asciiTheme="minorBidi" w:hAnsiTheme="minorBidi"/>
        </w:rPr>
      </w:pPr>
    </w:p>
    <w:p w:rsidR="00562A26" w:rsidRDefault="006C43CB" w:rsidP="0041017A">
      <w:pPr>
        <w:spacing w:after="0" w:line="240" w:lineRule="auto"/>
        <w:jc w:val="both"/>
        <w:rPr>
          <w:rFonts w:asciiTheme="minorBidi" w:hAnsiTheme="minorBidi"/>
        </w:rPr>
      </w:pPr>
      <w:r>
        <w:rPr>
          <w:rFonts w:asciiTheme="minorBidi" w:hAnsiTheme="minorBidi"/>
        </w:rPr>
        <w:t xml:space="preserve">The FMG Management </w:t>
      </w:r>
      <w:r w:rsidR="00562A26">
        <w:rPr>
          <w:rFonts w:asciiTheme="minorBidi" w:hAnsiTheme="minorBidi"/>
        </w:rPr>
        <w:t xml:space="preserve">may have also </w:t>
      </w:r>
      <w:r w:rsidR="00327AB3">
        <w:rPr>
          <w:rFonts w:asciiTheme="minorBidi" w:hAnsiTheme="minorBidi"/>
        </w:rPr>
        <w:t xml:space="preserve">become complacent following a previous period of success and </w:t>
      </w:r>
      <w:r w:rsidR="00BF6429">
        <w:rPr>
          <w:rFonts w:asciiTheme="minorBidi" w:hAnsiTheme="minorBidi"/>
        </w:rPr>
        <w:t>high</w:t>
      </w:r>
      <w:r w:rsidR="00327AB3">
        <w:rPr>
          <w:rFonts w:asciiTheme="minorBidi" w:hAnsiTheme="minorBidi"/>
        </w:rPr>
        <w:t xml:space="preserve"> performance</w:t>
      </w:r>
      <w:r w:rsidR="006A51DB">
        <w:rPr>
          <w:rFonts w:asciiTheme="minorBidi" w:hAnsiTheme="minorBidi"/>
        </w:rPr>
        <w:t xml:space="preserve">. The large bonuses paid to </w:t>
      </w:r>
      <w:r>
        <w:rPr>
          <w:rFonts w:asciiTheme="minorBidi" w:hAnsiTheme="minorBidi"/>
        </w:rPr>
        <w:t>the FMG Management</w:t>
      </w:r>
      <w:r w:rsidR="006A51DB">
        <w:rPr>
          <w:rFonts w:asciiTheme="minorBidi" w:hAnsiTheme="minorBidi"/>
        </w:rPr>
        <w:t xml:space="preserve"> indicate </w:t>
      </w:r>
      <w:r>
        <w:rPr>
          <w:rFonts w:asciiTheme="minorBidi" w:hAnsiTheme="minorBidi"/>
        </w:rPr>
        <w:t xml:space="preserve">that there was a perception of the FMG Management as being </w:t>
      </w:r>
      <w:r w:rsidR="00BF6429">
        <w:rPr>
          <w:rFonts w:asciiTheme="minorBidi" w:hAnsiTheme="minorBidi"/>
        </w:rPr>
        <w:t>strong performers</w:t>
      </w:r>
      <w:r w:rsidR="006A51DB">
        <w:rPr>
          <w:rFonts w:asciiTheme="minorBidi" w:hAnsiTheme="minorBidi"/>
        </w:rPr>
        <w:t xml:space="preserve">. However, </w:t>
      </w:r>
      <w:r w:rsidR="006A51DB" w:rsidRPr="006A51DB">
        <w:rPr>
          <w:rFonts w:asciiTheme="minorBidi" w:hAnsiTheme="minorBidi"/>
        </w:rPr>
        <w:t>‘</w:t>
      </w:r>
      <w:r w:rsidR="006A51DB" w:rsidRPr="006C43CB">
        <w:rPr>
          <w:rFonts w:asciiTheme="minorBidi" w:hAnsiTheme="minorBidi"/>
          <w:i/>
          <w:iCs/>
        </w:rPr>
        <w:t>success can breed over confidence and arrogance</w:t>
      </w:r>
      <w:r w:rsidR="006A51DB" w:rsidRPr="006A51DB">
        <w:rPr>
          <w:rFonts w:asciiTheme="minorBidi" w:hAnsiTheme="minorBidi"/>
        </w:rPr>
        <w:t>’</w:t>
      </w:r>
      <w:r w:rsidR="007B1EF7">
        <w:rPr>
          <w:rStyle w:val="FootnoteReference"/>
          <w:rFonts w:asciiTheme="minorBidi" w:hAnsiTheme="minorBidi"/>
        </w:rPr>
        <w:footnoteReference w:id="10"/>
      </w:r>
      <w:r w:rsidR="006A51DB">
        <w:rPr>
          <w:rFonts w:asciiTheme="minorBidi" w:hAnsiTheme="minorBidi"/>
        </w:rPr>
        <w:t xml:space="preserve"> leading to a form of </w:t>
      </w:r>
      <w:r w:rsidR="006A51DB" w:rsidRPr="006A51DB">
        <w:rPr>
          <w:rFonts w:asciiTheme="minorBidi" w:hAnsiTheme="minorBidi"/>
        </w:rPr>
        <w:t>‘</w:t>
      </w:r>
      <w:r w:rsidR="006A51DB" w:rsidRPr="006C43CB">
        <w:rPr>
          <w:rFonts w:asciiTheme="minorBidi" w:hAnsiTheme="minorBidi"/>
          <w:i/>
          <w:iCs/>
        </w:rPr>
        <w:t>cautious conservatism and perhaps arrogant disdain’</w:t>
      </w:r>
      <w:r w:rsidR="007367E0">
        <w:rPr>
          <w:rFonts w:asciiTheme="minorBidi" w:hAnsiTheme="minorBidi"/>
          <w:i/>
          <w:iCs/>
        </w:rPr>
        <w:t>.</w:t>
      </w:r>
      <w:r w:rsidR="007B1EF7">
        <w:rPr>
          <w:rStyle w:val="FootnoteReference"/>
          <w:rFonts w:asciiTheme="minorBidi" w:hAnsiTheme="minorBidi"/>
          <w:i/>
          <w:iCs/>
        </w:rPr>
        <w:footnoteReference w:id="11"/>
      </w:r>
      <w:r w:rsidR="00BF6429">
        <w:rPr>
          <w:rFonts w:asciiTheme="minorBidi" w:hAnsiTheme="minorBidi"/>
        </w:rPr>
        <w:t xml:space="preserve"> Accordingly, the need for the Flow Management </w:t>
      </w:r>
      <w:r w:rsidR="007367E0">
        <w:rPr>
          <w:rFonts w:asciiTheme="minorBidi" w:hAnsiTheme="minorBidi"/>
        </w:rPr>
        <w:t xml:space="preserve">Group </w:t>
      </w:r>
      <w:r w:rsidR="00BF6429">
        <w:rPr>
          <w:rFonts w:asciiTheme="minorBidi" w:hAnsiTheme="minorBidi"/>
        </w:rPr>
        <w:t xml:space="preserve">to update its accounting systems and monitor its customer pricing </w:t>
      </w:r>
      <w:r w:rsidR="007367E0">
        <w:rPr>
          <w:rFonts w:asciiTheme="minorBidi" w:hAnsiTheme="minorBidi"/>
        </w:rPr>
        <w:t>may have been overshadowed by previous periods of success.</w:t>
      </w:r>
    </w:p>
    <w:p w:rsidR="006C43CB" w:rsidRDefault="006C43CB" w:rsidP="0041017A">
      <w:pPr>
        <w:spacing w:after="0" w:line="240" w:lineRule="auto"/>
        <w:jc w:val="both"/>
        <w:rPr>
          <w:rFonts w:asciiTheme="minorBidi" w:hAnsiTheme="minorBidi"/>
        </w:rPr>
      </w:pPr>
    </w:p>
    <w:p w:rsidR="006C43CB" w:rsidRDefault="006C43CB" w:rsidP="0041017A">
      <w:pPr>
        <w:spacing w:after="0" w:line="240" w:lineRule="auto"/>
        <w:jc w:val="both"/>
        <w:rPr>
          <w:rFonts w:asciiTheme="minorBidi" w:hAnsiTheme="minorBidi"/>
        </w:rPr>
      </w:pPr>
    </w:p>
    <w:p w:rsidR="006C43CB" w:rsidRPr="00754FDB" w:rsidRDefault="00BB0E2F" w:rsidP="0041017A">
      <w:pPr>
        <w:spacing w:after="0" w:line="240" w:lineRule="auto"/>
        <w:jc w:val="both"/>
        <w:rPr>
          <w:rFonts w:asciiTheme="minorBidi" w:hAnsiTheme="minorBidi"/>
          <w:i/>
          <w:iCs/>
          <w:u w:val="single"/>
        </w:rPr>
      </w:pPr>
      <w:r w:rsidRPr="00754FDB">
        <w:rPr>
          <w:rFonts w:asciiTheme="minorBidi" w:hAnsiTheme="minorBidi"/>
          <w:i/>
          <w:iCs/>
          <w:u w:val="single"/>
        </w:rPr>
        <w:t xml:space="preserve">How management decisions were exacerbated by environmental factors </w:t>
      </w:r>
    </w:p>
    <w:p w:rsidR="00F007DE" w:rsidRDefault="00F007DE" w:rsidP="0041017A">
      <w:pPr>
        <w:spacing w:after="0" w:line="240" w:lineRule="auto"/>
        <w:jc w:val="both"/>
        <w:rPr>
          <w:rFonts w:asciiTheme="minorBidi" w:hAnsiTheme="minorBidi"/>
        </w:rPr>
      </w:pPr>
    </w:p>
    <w:p w:rsidR="007A1EA1" w:rsidRDefault="00622FB7" w:rsidP="00001224">
      <w:pPr>
        <w:spacing w:after="0" w:line="240" w:lineRule="auto"/>
        <w:jc w:val="both"/>
        <w:rPr>
          <w:rFonts w:asciiTheme="minorBidi" w:hAnsiTheme="minorBidi"/>
        </w:rPr>
      </w:pPr>
      <w:r>
        <w:rPr>
          <w:rFonts w:asciiTheme="minorBidi" w:hAnsiTheme="minorBidi"/>
        </w:rPr>
        <w:t>The complexity of the Flow Management Group’s stakeholder environment</w:t>
      </w:r>
      <w:r w:rsidR="00804BD7">
        <w:rPr>
          <w:rFonts w:asciiTheme="minorBidi" w:hAnsiTheme="minorBidi"/>
        </w:rPr>
        <w:t>, including the lack of dominant shareholder</w:t>
      </w:r>
      <w:r w:rsidR="005547A9">
        <w:rPr>
          <w:rFonts w:asciiTheme="minorBidi" w:hAnsiTheme="minorBidi"/>
        </w:rPr>
        <w:t>, the large debt capital providers in the form of the Working Capital Banks</w:t>
      </w:r>
      <w:r w:rsidR="00804BD7">
        <w:rPr>
          <w:rFonts w:asciiTheme="minorBidi" w:hAnsiTheme="minorBidi"/>
        </w:rPr>
        <w:t xml:space="preserve"> </w:t>
      </w:r>
      <w:r w:rsidR="006609C3">
        <w:rPr>
          <w:rFonts w:asciiTheme="minorBidi" w:hAnsiTheme="minorBidi"/>
        </w:rPr>
        <w:t xml:space="preserve">and </w:t>
      </w:r>
      <w:r w:rsidR="005547A9">
        <w:rPr>
          <w:rFonts w:asciiTheme="minorBidi" w:hAnsiTheme="minorBidi"/>
        </w:rPr>
        <w:t xml:space="preserve">the </w:t>
      </w:r>
      <w:r w:rsidR="000B4281">
        <w:rPr>
          <w:rFonts w:asciiTheme="minorBidi" w:hAnsiTheme="minorBidi"/>
        </w:rPr>
        <w:t>extensive</w:t>
      </w:r>
      <w:r w:rsidR="006609C3">
        <w:rPr>
          <w:rFonts w:asciiTheme="minorBidi" w:hAnsiTheme="minorBidi"/>
        </w:rPr>
        <w:t xml:space="preserve"> international network of offices</w:t>
      </w:r>
      <w:r w:rsidR="005547A9">
        <w:rPr>
          <w:rFonts w:asciiTheme="minorBidi" w:hAnsiTheme="minorBidi"/>
        </w:rPr>
        <w:t>,</w:t>
      </w:r>
      <w:r w:rsidR="006609C3">
        <w:rPr>
          <w:rFonts w:asciiTheme="minorBidi" w:hAnsiTheme="minorBidi"/>
        </w:rPr>
        <w:t xml:space="preserve"> appear</w:t>
      </w:r>
      <w:r w:rsidR="00CA5516">
        <w:rPr>
          <w:rFonts w:asciiTheme="minorBidi" w:hAnsiTheme="minorBidi"/>
        </w:rPr>
        <w:t>s</w:t>
      </w:r>
      <w:r w:rsidR="006609C3">
        <w:rPr>
          <w:rFonts w:asciiTheme="minorBidi" w:hAnsiTheme="minorBidi"/>
        </w:rPr>
        <w:t xml:space="preserve"> to have led to </w:t>
      </w:r>
      <w:r w:rsidR="000B4281">
        <w:rPr>
          <w:rFonts w:asciiTheme="minorBidi" w:hAnsiTheme="minorBidi"/>
        </w:rPr>
        <w:t xml:space="preserve">the FMG </w:t>
      </w:r>
      <w:r w:rsidR="000B4281">
        <w:rPr>
          <w:rFonts w:asciiTheme="minorBidi" w:hAnsiTheme="minorBidi"/>
        </w:rPr>
        <w:lastRenderedPageBreak/>
        <w:t xml:space="preserve">Management </w:t>
      </w:r>
      <w:r w:rsidR="006609C3">
        <w:rPr>
          <w:rFonts w:asciiTheme="minorBidi" w:hAnsiTheme="minorBidi"/>
        </w:rPr>
        <w:t xml:space="preserve">seeking to </w:t>
      </w:r>
      <w:r w:rsidR="000B4281">
        <w:rPr>
          <w:rFonts w:asciiTheme="minorBidi" w:hAnsiTheme="minorBidi"/>
        </w:rPr>
        <w:t>manage</w:t>
      </w:r>
      <w:r w:rsidR="00001224">
        <w:rPr>
          <w:rFonts w:asciiTheme="minorBidi" w:hAnsiTheme="minorBidi"/>
        </w:rPr>
        <w:t xml:space="preserve"> and appease</w:t>
      </w:r>
      <w:r w:rsidR="006609C3">
        <w:rPr>
          <w:rFonts w:asciiTheme="minorBidi" w:hAnsiTheme="minorBidi"/>
        </w:rPr>
        <w:t xml:space="preserve"> the various stakeholders rather than </w:t>
      </w:r>
      <w:r w:rsidR="00001224">
        <w:rPr>
          <w:rFonts w:asciiTheme="minorBidi" w:hAnsiTheme="minorBidi"/>
        </w:rPr>
        <w:t>developing and maintaining the business</w:t>
      </w:r>
      <w:r w:rsidR="00EA6A7B">
        <w:rPr>
          <w:rFonts w:asciiTheme="minorBidi" w:hAnsiTheme="minorBidi"/>
        </w:rPr>
        <w:t xml:space="preserve">. </w:t>
      </w:r>
      <w:r w:rsidR="00001224">
        <w:rPr>
          <w:rFonts w:asciiTheme="minorBidi" w:hAnsiTheme="minorBidi"/>
        </w:rPr>
        <w:t>This effect has been referred to as the ‘rigidity of aging’.</w:t>
      </w:r>
      <w:r w:rsidR="00001224">
        <w:rPr>
          <w:rStyle w:val="FootnoteReference"/>
          <w:rFonts w:asciiTheme="minorBidi" w:hAnsiTheme="minorBidi"/>
        </w:rPr>
        <w:footnoteReference w:id="12"/>
      </w:r>
      <w:r w:rsidR="00001224">
        <w:rPr>
          <w:rFonts w:asciiTheme="minorBidi" w:hAnsiTheme="minorBidi"/>
        </w:rPr>
        <w:t xml:space="preserve"> Additionally, the</w:t>
      </w:r>
      <w:r w:rsidR="00840826">
        <w:rPr>
          <w:rFonts w:asciiTheme="minorBidi" w:hAnsiTheme="minorBidi"/>
        </w:rPr>
        <w:t xml:space="preserve"> established nature of </w:t>
      </w:r>
      <w:r w:rsidR="000203F4">
        <w:rPr>
          <w:rFonts w:asciiTheme="minorBidi" w:hAnsiTheme="minorBidi"/>
        </w:rPr>
        <w:t>the Flow Management Group likely created an environment of ‘</w:t>
      </w:r>
      <w:r w:rsidR="000203F4" w:rsidRPr="006278D9">
        <w:rPr>
          <w:rFonts w:asciiTheme="minorBidi" w:hAnsiTheme="minorBidi"/>
        </w:rPr>
        <w:t>structural inertia</w:t>
      </w:r>
      <w:r w:rsidR="000203F4">
        <w:rPr>
          <w:rFonts w:asciiTheme="minorBidi" w:hAnsiTheme="minorBidi"/>
        </w:rPr>
        <w:t xml:space="preserve">’ in which the </w:t>
      </w:r>
      <w:r w:rsidR="007A1EA1">
        <w:rPr>
          <w:rFonts w:asciiTheme="minorBidi" w:hAnsiTheme="minorBidi"/>
        </w:rPr>
        <w:t xml:space="preserve">FMG Management </w:t>
      </w:r>
      <w:r w:rsidR="000203F4">
        <w:rPr>
          <w:rFonts w:asciiTheme="minorBidi" w:hAnsiTheme="minorBidi"/>
        </w:rPr>
        <w:t xml:space="preserve">were encouraged to maintain the status quo rather than develop the business. </w:t>
      </w:r>
      <w:r w:rsidR="007A1EA1">
        <w:rPr>
          <w:rFonts w:asciiTheme="minorBidi" w:hAnsiTheme="minorBidi"/>
        </w:rPr>
        <w:t xml:space="preserve">This laid the seeds for future financial distress as the FMG Management were seemingly focused on their own position (as evidenced by the large bonuses) rather than </w:t>
      </w:r>
      <w:r w:rsidR="00001224">
        <w:rPr>
          <w:rFonts w:asciiTheme="minorBidi" w:hAnsiTheme="minorBidi"/>
        </w:rPr>
        <w:t xml:space="preserve">focusing on the underlying accounting and pricing issues. </w:t>
      </w:r>
    </w:p>
    <w:p w:rsidR="007A1EA1" w:rsidRDefault="007A1EA1" w:rsidP="0041017A">
      <w:pPr>
        <w:spacing w:after="0" w:line="240" w:lineRule="auto"/>
        <w:jc w:val="both"/>
        <w:rPr>
          <w:rFonts w:asciiTheme="minorBidi" w:hAnsiTheme="minorBidi"/>
        </w:rPr>
      </w:pPr>
    </w:p>
    <w:p w:rsidR="001D53A6" w:rsidRDefault="000203F4" w:rsidP="0041017A">
      <w:pPr>
        <w:spacing w:after="0" w:line="240" w:lineRule="auto"/>
        <w:jc w:val="both"/>
        <w:rPr>
          <w:rFonts w:asciiTheme="minorBidi" w:hAnsiTheme="minorBidi"/>
        </w:rPr>
      </w:pPr>
      <w:r>
        <w:rPr>
          <w:rFonts w:asciiTheme="minorBidi" w:hAnsiTheme="minorBidi"/>
        </w:rPr>
        <w:t xml:space="preserve">In this respect, the situation at Flow Management Group has similarities to </w:t>
      </w:r>
      <w:r w:rsidRPr="000203F4">
        <w:rPr>
          <w:rFonts w:asciiTheme="minorBidi" w:hAnsiTheme="minorBidi"/>
        </w:rPr>
        <w:t>Pajunen</w:t>
      </w:r>
      <w:r>
        <w:rPr>
          <w:rFonts w:asciiTheme="minorBidi" w:hAnsiTheme="minorBidi"/>
        </w:rPr>
        <w:t xml:space="preserve">’s </w:t>
      </w:r>
      <w:r w:rsidRPr="000203F4">
        <w:rPr>
          <w:rFonts w:asciiTheme="minorBidi" w:hAnsiTheme="minorBidi"/>
        </w:rPr>
        <w:t>case analysis of a decline and</w:t>
      </w:r>
      <w:r>
        <w:rPr>
          <w:rFonts w:asciiTheme="minorBidi" w:hAnsiTheme="minorBidi"/>
        </w:rPr>
        <w:t xml:space="preserve"> </w:t>
      </w:r>
      <w:r w:rsidRPr="000203F4">
        <w:rPr>
          <w:rFonts w:asciiTheme="minorBidi" w:hAnsiTheme="minorBidi"/>
        </w:rPr>
        <w:t xml:space="preserve">turnaround process </w:t>
      </w:r>
      <w:r w:rsidR="00CD58F7">
        <w:rPr>
          <w:rFonts w:asciiTheme="minorBidi" w:hAnsiTheme="minorBidi"/>
        </w:rPr>
        <w:t xml:space="preserve">in respect </w:t>
      </w:r>
      <w:r w:rsidRPr="000203F4">
        <w:rPr>
          <w:rFonts w:asciiTheme="minorBidi" w:hAnsiTheme="minorBidi"/>
        </w:rPr>
        <w:t>of a Finnish pulp and paper firm</w:t>
      </w:r>
      <w:r>
        <w:rPr>
          <w:rFonts w:asciiTheme="minorBidi" w:hAnsiTheme="minorBidi"/>
        </w:rPr>
        <w:t xml:space="preserve">, </w:t>
      </w:r>
      <w:r w:rsidRPr="000203F4">
        <w:rPr>
          <w:rFonts w:asciiTheme="minorBidi" w:hAnsiTheme="minorBidi"/>
        </w:rPr>
        <w:t>Kymi Corporation</w:t>
      </w:r>
      <w:r w:rsidR="003F363F">
        <w:rPr>
          <w:rFonts w:asciiTheme="minorBidi" w:hAnsiTheme="minorBidi"/>
        </w:rPr>
        <w:t xml:space="preserve"> (the “</w:t>
      </w:r>
      <w:r w:rsidR="003F363F" w:rsidRPr="003F363F">
        <w:rPr>
          <w:rFonts w:asciiTheme="minorBidi" w:hAnsiTheme="minorBidi"/>
          <w:b/>
          <w:bCs/>
        </w:rPr>
        <w:t>Kymi Case Study</w:t>
      </w:r>
      <w:r w:rsidR="003F363F">
        <w:rPr>
          <w:rFonts w:asciiTheme="minorBidi" w:hAnsiTheme="minorBidi"/>
        </w:rPr>
        <w:t>”)</w:t>
      </w:r>
      <w:r>
        <w:rPr>
          <w:rFonts w:asciiTheme="minorBidi" w:hAnsiTheme="minorBidi"/>
        </w:rPr>
        <w:t>.</w:t>
      </w:r>
      <w:r>
        <w:rPr>
          <w:rStyle w:val="FootnoteReference"/>
          <w:rFonts w:asciiTheme="minorBidi" w:hAnsiTheme="minorBidi"/>
        </w:rPr>
        <w:footnoteReference w:id="13"/>
      </w:r>
      <w:r w:rsidR="003F363F">
        <w:rPr>
          <w:rFonts w:asciiTheme="minorBidi" w:hAnsiTheme="minorBidi"/>
        </w:rPr>
        <w:t xml:space="preserve"> In the Kymi Case Study, one of the causes of the financial distress of Kymi Corporation was the ‘serious d</w:t>
      </w:r>
      <w:r w:rsidR="007A1EA1">
        <w:rPr>
          <w:rFonts w:asciiTheme="minorBidi" w:hAnsiTheme="minorBidi"/>
        </w:rPr>
        <w:t xml:space="preserve">eficiencies’ in the accounting system of the firm. </w:t>
      </w:r>
      <w:r w:rsidR="00B766D2">
        <w:rPr>
          <w:rFonts w:asciiTheme="minorBidi" w:hAnsiTheme="minorBidi"/>
        </w:rPr>
        <w:t>However, w</w:t>
      </w:r>
      <w:r w:rsidR="007A1EA1">
        <w:rPr>
          <w:rFonts w:asciiTheme="minorBidi" w:hAnsiTheme="minorBidi"/>
        </w:rPr>
        <w:t>hen the existing ‘autocratic’ management was replaced</w:t>
      </w:r>
      <w:r w:rsidR="00872164">
        <w:rPr>
          <w:rFonts w:asciiTheme="minorBidi" w:hAnsiTheme="minorBidi"/>
        </w:rPr>
        <w:t xml:space="preserve"> by the creditors to </w:t>
      </w:r>
      <w:r w:rsidR="00A17736">
        <w:rPr>
          <w:rFonts w:asciiTheme="minorBidi" w:hAnsiTheme="minorBidi"/>
        </w:rPr>
        <w:t xml:space="preserve">the </w:t>
      </w:r>
      <w:r w:rsidR="00872164">
        <w:rPr>
          <w:rFonts w:asciiTheme="minorBidi" w:hAnsiTheme="minorBidi"/>
        </w:rPr>
        <w:t>Kymi Corporation</w:t>
      </w:r>
      <w:r w:rsidR="004B208E">
        <w:rPr>
          <w:rFonts w:asciiTheme="minorBidi" w:hAnsiTheme="minorBidi"/>
        </w:rPr>
        <w:t xml:space="preserve"> (who were </w:t>
      </w:r>
      <w:r w:rsidR="00A17736">
        <w:rPr>
          <w:rFonts w:asciiTheme="minorBidi" w:hAnsiTheme="minorBidi"/>
        </w:rPr>
        <w:t xml:space="preserve">more </w:t>
      </w:r>
      <w:r w:rsidR="004B208E">
        <w:rPr>
          <w:rFonts w:asciiTheme="minorBidi" w:hAnsiTheme="minorBidi"/>
        </w:rPr>
        <w:t>focused on the Kymi Corporation delivering profits and settling debts</w:t>
      </w:r>
      <w:r w:rsidR="00FF137D">
        <w:rPr>
          <w:rFonts w:asciiTheme="minorBidi" w:hAnsiTheme="minorBidi"/>
        </w:rPr>
        <w:t xml:space="preserve"> in the near term</w:t>
      </w:r>
      <w:r w:rsidR="004B208E">
        <w:rPr>
          <w:rFonts w:asciiTheme="minorBidi" w:hAnsiTheme="minorBidi"/>
        </w:rPr>
        <w:t>, rather than “</w:t>
      </w:r>
      <w:r w:rsidR="004B208E" w:rsidRPr="00FF137D">
        <w:rPr>
          <w:rFonts w:asciiTheme="minorBidi" w:hAnsiTheme="minorBidi"/>
          <w:i/>
          <w:iCs/>
        </w:rPr>
        <w:t>megalomaniac investments</w:t>
      </w:r>
      <w:r w:rsidR="004B208E">
        <w:rPr>
          <w:rFonts w:asciiTheme="minorBidi" w:hAnsiTheme="minorBidi"/>
        </w:rPr>
        <w:t>”)</w:t>
      </w:r>
      <w:r w:rsidR="007A1EA1">
        <w:rPr>
          <w:rFonts w:asciiTheme="minorBidi" w:hAnsiTheme="minorBidi"/>
        </w:rPr>
        <w:t xml:space="preserve">, the new management </w:t>
      </w:r>
      <w:r w:rsidR="00872164">
        <w:rPr>
          <w:rFonts w:asciiTheme="minorBidi" w:hAnsiTheme="minorBidi"/>
        </w:rPr>
        <w:t>was</w:t>
      </w:r>
      <w:r w:rsidR="007A1EA1">
        <w:rPr>
          <w:rFonts w:asciiTheme="minorBidi" w:hAnsiTheme="minorBidi"/>
        </w:rPr>
        <w:t xml:space="preserve"> able to </w:t>
      </w:r>
      <w:r w:rsidR="001D53A6">
        <w:rPr>
          <w:rFonts w:asciiTheme="minorBidi" w:hAnsiTheme="minorBidi"/>
        </w:rPr>
        <w:t>introduce a new accounting system for the firm.</w:t>
      </w:r>
      <w:r w:rsidR="00B766D2">
        <w:rPr>
          <w:rStyle w:val="FootnoteReference"/>
          <w:rFonts w:asciiTheme="minorBidi" w:hAnsiTheme="minorBidi"/>
        </w:rPr>
        <w:footnoteReference w:id="14"/>
      </w:r>
      <w:r w:rsidR="001D53A6">
        <w:rPr>
          <w:rFonts w:asciiTheme="minorBidi" w:hAnsiTheme="minorBidi"/>
        </w:rPr>
        <w:t xml:space="preserve"> </w:t>
      </w:r>
    </w:p>
    <w:p w:rsidR="001D53A6" w:rsidRDefault="001D53A6" w:rsidP="0041017A">
      <w:pPr>
        <w:spacing w:after="0" w:line="240" w:lineRule="auto"/>
        <w:jc w:val="both"/>
        <w:rPr>
          <w:rFonts w:asciiTheme="minorBidi" w:hAnsiTheme="minorBidi"/>
        </w:rPr>
      </w:pPr>
    </w:p>
    <w:p w:rsidR="00D477B1" w:rsidRDefault="001D53A6" w:rsidP="0041017A">
      <w:pPr>
        <w:spacing w:after="0" w:line="240" w:lineRule="auto"/>
        <w:jc w:val="both"/>
        <w:rPr>
          <w:rFonts w:asciiTheme="minorBidi" w:hAnsiTheme="minorBidi"/>
        </w:rPr>
      </w:pPr>
      <w:r>
        <w:rPr>
          <w:rFonts w:asciiTheme="minorBidi" w:hAnsiTheme="minorBidi"/>
        </w:rPr>
        <w:t xml:space="preserve">On the basis of the Kymi Case Study, </w:t>
      </w:r>
      <w:r w:rsidRPr="000203F4">
        <w:rPr>
          <w:rFonts w:asciiTheme="minorBidi" w:hAnsiTheme="minorBidi"/>
        </w:rPr>
        <w:t>Pajunen</w:t>
      </w:r>
      <w:r>
        <w:rPr>
          <w:rFonts w:asciiTheme="minorBidi" w:hAnsiTheme="minorBidi"/>
        </w:rPr>
        <w:t xml:space="preserve"> developed the proposition that; “[</w:t>
      </w:r>
      <w:r>
        <w:rPr>
          <w:rFonts w:asciiTheme="minorBidi" w:hAnsiTheme="minorBidi"/>
          <w:i/>
          <w:iCs/>
        </w:rPr>
        <w:t>i</w:t>
      </w:r>
      <w:r w:rsidRPr="001D53A6">
        <w:rPr>
          <w:rFonts w:asciiTheme="minorBidi" w:hAnsiTheme="minorBidi"/>
        </w:rPr>
        <w:t>]</w:t>
      </w:r>
      <w:r w:rsidRPr="001D53A6">
        <w:rPr>
          <w:rFonts w:asciiTheme="minorBidi" w:hAnsiTheme="minorBidi"/>
          <w:i/>
          <w:iCs/>
        </w:rPr>
        <w:t>n an existence-threatening crisis, consensus on long-term goals among governing stakeholders will tend to enhance (rather than undermine) the continuing support of those stakeholders and increase (rather than decrease) the probability of organizational survival</w:t>
      </w:r>
      <w:r>
        <w:rPr>
          <w:rFonts w:asciiTheme="minorBidi" w:hAnsiTheme="minorBidi"/>
          <w:i/>
          <w:iCs/>
        </w:rPr>
        <w:t>.</w:t>
      </w:r>
      <w:r>
        <w:rPr>
          <w:rFonts w:asciiTheme="minorBidi" w:hAnsiTheme="minorBidi"/>
        </w:rPr>
        <w:t>”</w:t>
      </w:r>
      <w:r w:rsidR="00B766D2">
        <w:rPr>
          <w:rStyle w:val="FootnoteReference"/>
          <w:rFonts w:asciiTheme="minorBidi" w:hAnsiTheme="minorBidi"/>
        </w:rPr>
        <w:footnoteReference w:id="15"/>
      </w:r>
    </w:p>
    <w:p w:rsidR="001D53A6" w:rsidRDefault="001D53A6" w:rsidP="0041017A">
      <w:pPr>
        <w:spacing w:after="0" w:line="240" w:lineRule="auto"/>
        <w:jc w:val="both"/>
        <w:rPr>
          <w:rFonts w:asciiTheme="minorBidi" w:hAnsiTheme="minorBidi"/>
        </w:rPr>
      </w:pPr>
    </w:p>
    <w:p w:rsidR="001D53A6" w:rsidRPr="001D53A6" w:rsidRDefault="001D53A6" w:rsidP="0041017A">
      <w:pPr>
        <w:spacing w:after="0" w:line="240" w:lineRule="auto"/>
        <w:jc w:val="both"/>
        <w:rPr>
          <w:rFonts w:asciiTheme="minorBidi" w:hAnsiTheme="minorBidi"/>
        </w:rPr>
      </w:pPr>
      <w:r>
        <w:rPr>
          <w:rFonts w:asciiTheme="minorBidi" w:hAnsiTheme="minorBidi"/>
        </w:rPr>
        <w:t>Accordingly, I would</w:t>
      </w:r>
      <w:r w:rsidR="001D6F8C">
        <w:rPr>
          <w:rFonts w:asciiTheme="minorBidi" w:hAnsiTheme="minorBidi"/>
        </w:rPr>
        <w:t xml:space="preserve"> also</w:t>
      </w:r>
      <w:r>
        <w:rPr>
          <w:rFonts w:asciiTheme="minorBidi" w:hAnsiTheme="minorBidi"/>
        </w:rPr>
        <w:t xml:space="preserve"> argue that the severity of the unfolding financial distress at the Flow Management Group was exacerbated by </w:t>
      </w:r>
      <w:r w:rsidR="001D6F8C">
        <w:rPr>
          <w:rFonts w:asciiTheme="minorBidi" w:hAnsiTheme="minorBidi"/>
        </w:rPr>
        <w:t>a</w:t>
      </w:r>
      <w:r>
        <w:rPr>
          <w:rFonts w:asciiTheme="minorBidi" w:hAnsiTheme="minorBidi"/>
        </w:rPr>
        <w:t xml:space="preserve"> </w:t>
      </w:r>
      <w:r w:rsidR="001D6F8C">
        <w:rPr>
          <w:rFonts w:asciiTheme="minorBidi" w:hAnsiTheme="minorBidi"/>
        </w:rPr>
        <w:t>misalignment in the</w:t>
      </w:r>
      <w:r>
        <w:rPr>
          <w:rFonts w:asciiTheme="minorBidi" w:hAnsiTheme="minorBidi"/>
        </w:rPr>
        <w:t xml:space="preserve"> </w:t>
      </w:r>
      <w:r w:rsidR="003C4F0E">
        <w:rPr>
          <w:rFonts w:asciiTheme="minorBidi" w:hAnsiTheme="minorBidi"/>
        </w:rPr>
        <w:t xml:space="preserve">incentives and long term goals of the </w:t>
      </w:r>
      <w:r>
        <w:rPr>
          <w:rFonts w:asciiTheme="minorBidi" w:hAnsiTheme="minorBidi"/>
        </w:rPr>
        <w:t>various stakeholders</w:t>
      </w:r>
      <w:r w:rsidR="001D6F8C">
        <w:rPr>
          <w:rFonts w:asciiTheme="minorBidi" w:hAnsiTheme="minorBidi"/>
        </w:rPr>
        <w:t xml:space="preserve">, </w:t>
      </w:r>
      <w:r w:rsidR="003C4F0E">
        <w:rPr>
          <w:rFonts w:asciiTheme="minorBidi" w:hAnsiTheme="minorBidi"/>
        </w:rPr>
        <w:t xml:space="preserve">including the shareholders, the </w:t>
      </w:r>
      <w:r w:rsidR="001D6F8C">
        <w:rPr>
          <w:rFonts w:asciiTheme="minorBidi" w:hAnsiTheme="minorBidi"/>
        </w:rPr>
        <w:t>FMG Management and</w:t>
      </w:r>
      <w:r w:rsidR="003C4F0E">
        <w:rPr>
          <w:rFonts w:asciiTheme="minorBidi" w:hAnsiTheme="minorBidi"/>
        </w:rPr>
        <w:t xml:space="preserve"> the Working Capital Banks</w:t>
      </w:r>
      <w:r w:rsidR="001D6F8C">
        <w:rPr>
          <w:rFonts w:asciiTheme="minorBidi" w:hAnsiTheme="minorBidi"/>
        </w:rPr>
        <w:t>.</w:t>
      </w:r>
    </w:p>
    <w:p w:rsidR="00EA6A7B" w:rsidRDefault="00EA6A7B" w:rsidP="0041017A">
      <w:pPr>
        <w:spacing w:after="0" w:line="240" w:lineRule="auto"/>
        <w:jc w:val="both"/>
        <w:rPr>
          <w:rFonts w:asciiTheme="minorBidi" w:hAnsiTheme="minorBidi"/>
        </w:rPr>
      </w:pPr>
    </w:p>
    <w:p w:rsidR="00EA6A7B" w:rsidRDefault="00EA6A7B" w:rsidP="0041017A">
      <w:pPr>
        <w:spacing w:after="0" w:line="240" w:lineRule="auto"/>
        <w:jc w:val="both"/>
        <w:rPr>
          <w:rFonts w:asciiTheme="minorBidi" w:hAnsiTheme="minorBidi"/>
        </w:rPr>
      </w:pPr>
    </w:p>
    <w:p w:rsidR="003C4F0E" w:rsidRPr="00754FDB" w:rsidRDefault="003C4F0E" w:rsidP="0041017A">
      <w:pPr>
        <w:spacing w:after="0" w:line="240" w:lineRule="auto"/>
        <w:jc w:val="both"/>
        <w:rPr>
          <w:rFonts w:asciiTheme="minorBidi" w:hAnsiTheme="minorBidi"/>
          <w:i/>
          <w:iCs/>
          <w:u w:val="single"/>
        </w:rPr>
      </w:pPr>
      <w:r w:rsidRPr="00754FDB">
        <w:rPr>
          <w:rFonts w:asciiTheme="minorBidi" w:hAnsiTheme="minorBidi"/>
          <w:i/>
          <w:iCs/>
          <w:u w:val="single"/>
        </w:rPr>
        <w:t>Could the financial distress have been prevented?</w:t>
      </w:r>
    </w:p>
    <w:p w:rsidR="00BB0E2F" w:rsidRDefault="00BB0E2F" w:rsidP="0041017A">
      <w:pPr>
        <w:spacing w:after="0" w:line="240" w:lineRule="auto"/>
        <w:jc w:val="both"/>
        <w:rPr>
          <w:rFonts w:asciiTheme="minorBidi" w:hAnsiTheme="minorBidi"/>
        </w:rPr>
      </w:pPr>
    </w:p>
    <w:p w:rsidR="004A0F08" w:rsidRDefault="000D228D" w:rsidP="0041017A">
      <w:pPr>
        <w:spacing w:after="0" w:line="240" w:lineRule="auto"/>
        <w:jc w:val="both"/>
        <w:rPr>
          <w:rFonts w:asciiTheme="minorBidi" w:hAnsiTheme="minorBidi"/>
        </w:rPr>
      </w:pPr>
      <w:r>
        <w:rPr>
          <w:rFonts w:asciiTheme="minorBidi" w:hAnsiTheme="minorBidi"/>
        </w:rPr>
        <w:t>Given the environmental factors</w:t>
      </w:r>
      <w:r w:rsidR="00A17736">
        <w:rPr>
          <w:rFonts w:asciiTheme="minorBidi" w:hAnsiTheme="minorBidi"/>
        </w:rPr>
        <w:t xml:space="preserve"> and the misalignment of stakeholder incentives that had developed over time at</w:t>
      </w:r>
      <w:r>
        <w:rPr>
          <w:rFonts w:asciiTheme="minorBidi" w:hAnsiTheme="minorBidi"/>
        </w:rPr>
        <w:t xml:space="preserve"> the Flow Management Group, </w:t>
      </w:r>
      <w:r w:rsidR="004A0F08">
        <w:rPr>
          <w:rFonts w:asciiTheme="minorBidi" w:hAnsiTheme="minorBidi"/>
        </w:rPr>
        <w:t>my view is</w:t>
      </w:r>
      <w:r>
        <w:rPr>
          <w:rFonts w:asciiTheme="minorBidi" w:hAnsiTheme="minorBidi"/>
        </w:rPr>
        <w:t xml:space="preserve"> that it would have been difficult </w:t>
      </w:r>
      <w:r w:rsidR="00A17736">
        <w:rPr>
          <w:rFonts w:asciiTheme="minorBidi" w:hAnsiTheme="minorBidi"/>
        </w:rPr>
        <w:t xml:space="preserve">by 2013 </w:t>
      </w:r>
      <w:r>
        <w:rPr>
          <w:rFonts w:asciiTheme="minorBidi" w:hAnsiTheme="minorBidi"/>
        </w:rPr>
        <w:t xml:space="preserve">to avoid financial distress. </w:t>
      </w:r>
    </w:p>
    <w:p w:rsidR="004A0F08" w:rsidRDefault="004A0F08" w:rsidP="0041017A">
      <w:pPr>
        <w:spacing w:after="0" w:line="240" w:lineRule="auto"/>
        <w:jc w:val="both"/>
        <w:rPr>
          <w:rFonts w:asciiTheme="minorBidi" w:hAnsiTheme="minorBidi"/>
        </w:rPr>
      </w:pPr>
    </w:p>
    <w:p w:rsidR="006A51DB" w:rsidRDefault="004A0F08" w:rsidP="0041017A">
      <w:pPr>
        <w:spacing w:after="0" w:line="240" w:lineRule="auto"/>
        <w:jc w:val="both"/>
        <w:rPr>
          <w:rFonts w:asciiTheme="minorBidi" w:hAnsiTheme="minorBidi"/>
        </w:rPr>
      </w:pPr>
      <w:r>
        <w:rPr>
          <w:rFonts w:asciiTheme="minorBidi" w:hAnsiTheme="minorBidi"/>
        </w:rPr>
        <w:t>An analogy can be drawn with the Kymi Case Study in which the Kymi Corporation went from being “</w:t>
      </w:r>
      <w:r w:rsidRPr="004A0F08">
        <w:rPr>
          <w:rFonts w:asciiTheme="minorBidi" w:hAnsiTheme="minorBidi"/>
          <w:i/>
          <w:iCs/>
        </w:rPr>
        <w:t>one of the strongest players on the pulp and paper market of Northern and Eastern Europe</w:t>
      </w:r>
      <w:r>
        <w:rPr>
          <w:rFonts w:asciiTheme="minorBidi" w:hAnsiTheme="minorBidi"/>
        </w:rPr>
        <w:t>” to having the survival of the firm “</w:t>
      </w:r>
      <w:r w:rsidRPr="004A0F08">
        <w:rPr>
          <w:rFonts w:asciiTheme="minorBidi" w:hAnsiTheme="minorBidi"/>
          <w:i/>
          <w:iCs/>
        </w:rPr>
        <w:t>seriously threatened</w:t>
      </w:r>
      <w:r>
        <w:rPr>
          <w:rFonts w:asciiTheme="minorBidi" w:hAnsiTheme="minorBidi"/>
        </w:rPr>
        <w:t>”.</w:t>
      </w:r>
      <w:r w:rsidR="00B766D2">
        <w:rPr>
          <w:rStyle w:val="FootnoteReference"/>
          <w:rFonts w:asciiTheme="minorBidi" w:hAnsiTheme="minorBidi"/>
        </w:rPr>
        <w:footnoteReference w:id="16"/>
      </w:r>
      <w:r>
        <w:rPr>
          <w:rFonts w:asciiTheme="minorBidi" w:hAnsiTheme="minorBidi"/>
        </w:rPr>
        <w:t xml:space="preserve"> </w:t>
      </w:r>
      <w:r w:rsidR="00CB7529">
        <w:rPr>
          <w:rFonts w:asciiTheme="minorBidi" w:hAnsiTheme="minorBidi"/>
        </w:rPr>
        <w:t>In that case study, it was not any one particular issue which cause</w:t>
      </w:r>
      <w:r w:rsidR="00A17736">
        <w:rPr>
          <w:rFonts w:asciiTheme="minorBidi" w:hAnsiTheme="minorBidi"/>
        </w:rPr>
        <w:t>d</w:t>
      </w:r>
      <w:r w:rsidR="00CB7529">
        <w:rPr>
          <w:rFonts w:asciiTheme="minorBidi" w:hAnsiTheme="minorBidi"/>
        </w:rPr>
        <w:t xml:space="preserve"> the financial distress</w:t>
      </w:r>
      <w:r w:rsidR="00A17736">
        <w:rPr>
          <w:rFonts w:asciiTheme="minorBidi" w:hAnsiTheme="minorBidi"/>
        </w:rPr>
        <w:t>,</w:t>
      </w:r>
      <w:r w:rsidR="00CB7529">
        <w:rPr>
          <w:rFonts w:asciiTheme="minorBidi" w:hAnsiTheme="minorBidi"/>
        </w:rPr>
        <w:t xml:space="preserve"> but rather it was a complex interplay of various environmental factors and management decisions. Similarly</w:t>
      </w:r>
      <w:r w:rsidR="004B208E">
        <w:rPr>
          <w:rFonts w:asciiTheme="minorBidi" w:hAnsiTheme="minorBidi"/>
        </w:rPr>
        <w:t>,</w:t>
      </w:r>
      <w:r w:rsidR="00CB7529">
        <w:rPr>
          <w:rFonts w:asciiTheme="minorBidi" w:hAnsiTheme="minorBidi"/>
        </w:rPr>
        <w:t xml:space="preserve"> in the Flow Management Group,</w:t>
      </w:r>
      <w:r w:rsidR="00D80EB3">
        <w:rPr>
          <w:rFonts w:asciiTheme="minorBidi" w:hAnsiTheme="minorBidi"/>
        </w:rPr>
        <w:t xml:space="preserve"> the accounting and pricing issues were not the fault of any one stakeholder</w:t>
      </w:r>
      <w:r w:rsidR="004B208E">
        <w:rPr>
          <w:rFonts w:asciiTheme="minorBidi" w:hAnsiTheme="minorBidi"/>
        </w:rPr>
        <w:t>,</w:t>
      </w:r>
      <w:r w:rsidR="00D80EB3">
        <w:rPr>
          <w:rFonts w:asciiTheme="minorBidi" w:hAnsiTheme="minorBidi"/>
        </w:rPr>
        <w:t xml:space="preserve"> but rather </w:t>
      </w:r>
      <w:r w:rsidR="004B208E">
        <w:rPr>
          <w:rFonts w:asciiTheme="minorBidi" w:hAnsiTheme="minorBidi"/>
        </w:rPr>
        <w:t xml:space="preserve">it was </w:t>
      </w:r>
      <w:r w:rsidR="00A17736">
        <w:rPr>
          <w:rFonts w:asciiTheme="minorBidi" w:hAnsiTheme="minorBidi"/>
        </w:rPr>
        <w:t xml:space="preserve">the </w:t>
      </w:r>
      <w:r w:rsidR="004B208E">
        <w:rPr>
          <w:rFonts w:asciiTheme="minorBidi" w:hAnsiTheme="minorBidi"/>
        </w:rPr>
        <w:t xml:space="preserve">result of </w:t>
      </w:r>
      <w:r w:rsidR="00D80EB3">
        <w:rPr>
          <w:rFonts w:asciiTheme="minorBidi" w:hAnsiTheme="minorBidi"/>
        </w:rPr>
        <w:t xml:space="preserve">the collective oversight of the </w:t>
      </w:r>
      <w:r w:rsidR="004B208E">
        <w:rPr>
          <w:rFonts w:asciiTheme="minorBidi" w:hAnsiTheme="minorBidi"/>
        </w:rPr>
        <w:t xml:space="preserve">various </w:t>
      </w:r>
      <w:r w:rsidR="00D80EB3">
        <w:rPr>
          <w:rFonts w:asciiTheme="minorBidi" w:hAnsiTheme="minorBidi"/>
        </w:rPr>
        <w:t xml:space="preserve">stakeholders caused by the inability or lack or incentive for any stakeholder to address the </w:t>
      </w:r>
      <w:r w:rsidR="004A48C3">
        <w:rPr>
          <w:rFonts w:asciiTheme="minorBidi" w:hAnsiTheme="minorBidi"/>
        </w:rPr>
        <w:t>critical underlying issues</w:t>
      </w:r>
      <w:r w:rsidR="00D80EB3">
        <w:rPr>
          <w:rFonts w:asciiTheme="minorBidi" w:hAnsiTheme="minorBidi"/>
        </w:rPr>
        <w:t xml:space="preserve"> facing the Flow Management Group.</w:t>
      </w:r>
    </w:p>
    <w:p w:rsidR="00D80EB3" w:rsidRDefault="00D80EB3" w:rsidP="0041017A">
      <w:pPr>
        <w:spacing w:after="0" w:line="240" w:lineRule="auto"/>
        <w:jc w:val="both"/>
        <w:rPr>
          <w:rFonts w:asciiTheme="minorBidi" w:hAnsiTheme="minorBidi"/>
        </w:rPr>
      </w:pPr>
    </w:p>
    <w:p w:rsidR="004C55DF" w:rsidRDefault="001523A0" w:rsidP="00A0652E">
      <w:pPr>
        <w:spacing w:after="0" w:line="240" w:lineRule="auto"/>
        <w:jc w:val="both"/>
        <w:rPr>
          <w:rFonts w:asciiTheme="minorBidi" w:hAnsiTheme="minorBidi"/>
        </w:rPr>
      </w:pPr>
      <w:r>
        <w:rPr>
          <w:rFonts w:asciiTheme="minorBidi" w:hAnsiTheme="minorBidi"/>
        </w:rPr>
        <w:t>This is not to say that the financial distress at the Flow Management Group was completely unavoidable</w:t>
      </w:r>
      <w:r w:rsidR="00A55C08">
        <w:rPr>
          <w:rFonts w:asciiTheme="minorBidi" w:hAnsiTheme="minorBidi"/>
        </w:rPr>
        <w:t>,</w:t>
      </w:r>
      <w:r>
        <w:rPr>
          <w:rFonts w:asciiTheme="minorBidi" w:hAnsiTheme="minorBidi"/>
        </w:rPr>
        <w:t xml:space="preserve"> but it would have required a collective effort from all stakeholders to identify and address the misalignment and </w:t>
      </w:r>
      <w:r w:rsidR="004A48C3">
        <w:rPr>
          <w:rFonts w:asciiTheme="minorBidi" w:hAnsiTheme="minorBidi"/>
        </w:rPr>
        <w:t xml:space="preserve">the </w:t>
      </w:r>
      <w:r>
        <w:rPr>
          <w:rFonts w:asciiTheme="minorBidi" w:hAnsiTheme="minorBidi"/>
        </w:rPr>
        <w:t>underlying issues facing the Flow Management Group.</w:t>
      </w:r>
      <w:r w:rsidR="004C55DF">
        <w:rPr>
          <w:rFonts w:asciiTheme="minorBidi" w:hAnsiTheme="minorBidi"/>
        </w:rPr>
        <w:br w:type="page"/>
      </w:r>
    </w:p>
    <w:p w:rsidR="00391B80" w:rsidRPr="007245F1" w:rsidRDefault="004C55DF" w:rsidP="0041017A">
      <w:pPr>
        <w:spacing w:after="0" w:line="240" w:lineRule="auto"/>
        <w:jc w:val="both"/>
        <w:rPr>
          <w:rFonts w:asciiTheme="minorBidi" w:hAnsiTheme="minorBidi"/>
        </w:rPr>
      </w:pPr>
      <w:r>
        <w:rPr>
          <w:rFonts w:asciiTheme="minorBidi" w:hAnsiTheme="minorBidi"/>
          <w:b/>
          <w:bCs/>
        </w:rPr>
        <w:lastRenderedPageBreak/>
        <w:t xml:space="preserve">Question </w:t>
      </w:r>
      <w:r w:rsidR="00391B80" w:rsidRPr="004C55DF">
        <w:rPr>
          <w:rFonts w:asciiTheme="minorBidi" w:hAnsiTheme="minorBidi"/>
          <w:b/>
          <w:bCs/>
        </w:rPr>
        <w:t>2. What are in general advantages and disadvantages of an out-of-court restructuring</w:t>
      </w:r>
      <w:r>
        <w:rPr>
          <w:rFonts w:asciiTheme="minorBidi" w:hAnsiTheme="minorBidi"/>
          <w:b/>
          <w:bCs/>
        </w:rPr>
        <w:t xml:space="preserve"> </w:t>
      </w:r>
      <w:r w:rsidR="00391B80" w:rsidRPr="004C55DF">
        <w:rPr>
          <w:rFonts w:asciiTheme="minorBidi" w:hAnsiTheme="minorBidi"/>
          <w:b/>
          <w:bCs/>
        </w:rPr>
        <w:t>(workout) as compared to a formal bankruptcy procedure? More specific, what are the</w:t>
      </w:r>
      <w:r>
        <w:rPr>
          <w:rFonts w:asciiTheme="minorBidi" w:hAnsiTheme="minorBidi"/>
          <w:b/>
          <w:bCs/>
        </w:rPr>
        <w:t xml:space="preserve"> </w:t>
      </w:r>
      <w:r w:rsidR="00391B80" w:rsidRPr="004C55DF">
        <w:rPr>
          <w:rFonts w:asciiTheme="minorBidi" w:hAnsiTheme="minorBidi"/>
          <w:b/>
          <w:bCs/>
        </w:rPr>
        <w:t xml:space="preserve">advantages versus disadvantages </w:t>
      </w:r>
      <w:r w:rsidR="00391B80" w:rsidRPr="004C55DF">
        <w:rPr>
          <w:rFonts w:asciiTheme="minorBidi" w:hAnsiTheme="minorBidi"/>
          <w:b/>
          <w:bCs/>
          <w:i/>
          <w:iCs/>
        </w:rPr>
        <w:t>in your country</w:t>
      </w:r>
      <w:r w:rsidR="00391B80" w:rsidRPr="004C55DF">
        <w:rPr>
          <w:rFonts w:asciiTheme="minorBidi" w:hAnsiTheme="minorBidi"/>
          <w:b/>
          <w:bCs/>
        </w:rPr>
        <w:t>?</w:t>
      </w:r>
    </w:p>
    <w:p w:rsidR="00391B80" w:rsidRPr="007245F1" w:rsidRDefault="00391B80" w:rsidP="0041017A">
      <w:pPr>
        <w:spacing w:after="0" w:line="240" w:lineRule="auto"/>
        <w:jc w:val="both"/>
        <w:rPr>
          <w:rFonts w:asciiTheme="minorBidi" w:hAnsiTheme="minorBidi"/>
        </w:rPr>
      </w:pPr>
    </w:p>
    <w:p w:rsidR="00391B80" w:rsidRDefault="00391B80" w:rsidP="0041017A">
      <w:pPr>
        <w:spacing w:after="0" w:line="240" w:lineRule="auto"/>
        <w:jc w:val="both"/>
        <w:rPr>
          <w:rFonts w:asciiTheme="minorBidi" w:hAnsiTheme="minorBidi"/>
        </w:rPr>
      </w:pPr>
    </w:p>
    <w:p w:rsidR="00CC4329" w:rsidRDefault="00CC4329" w:rsidP="0041017A">
      <w:pPr>
        <w:spacing w:after="0" w:line="240" w:lineRule="auto"/>
        <w:jc w:val="both"/>
        <w:rPr>
          <w:rFonts w:asciiTheme="minorBidi" w:hAnsiTheme="minorBidi"/>
        </w:rPr>
      </w:pPr>
      <w:r>
        <w:rPr>
          <w:rFonts w:asciiTheme="minorBidi" w:hAnsiTheme="minorBidi"/>
        </w:rPr>
        <w:t>I discuss t</w:t>
      </w:r>
      <w:r w:rsidR="00865CF8">
        <w:rPr>
          <w:rFonts w:asciiTheme="minorBidi" w:hAnsiTheme="minorBidi"/>
        </w:rPr>
        <w:t xml:space="preserve">he advantages </w:t>
      </w:r>
      <w:r>
        <w:rPr>
          <w:rFonts w:asciiTheme="minorBidi" w:hAnsiTheme="minorBidi"/>
        </w:rPr>
        <w:t xml:space="preserve">and disadvantages </w:t>
      </w:r>
      <w:r w:rsidR="00865CF8">
        <w:rPr>
          <w:rFonts w:asciiTheme="minorBidi" w:hAnsiTheme="minorBidi"/>
        </w:rPr>
        <w:t>of an out-of-court restructuring (a “</w:t>
      </w:r>
      <w:r w:rsidR="00865CF8" w:rsidRPr="00865CF8">
        <w:rPr>
          <w:rFonts w:asciiTheme="minorBidi" w:hAnsiTheme="minorBidi"/>
          <w:b/>
          <w:bCs/>
        </w:rPr>
        <w:t>Workout</w:t>
      </w:r>
      <w:r w:rsidR="00865CF8">
        <w:rPr>
          <w:rFonts w:asciiTheme="minorBidi" w:hAnsiTheme="minorBidi"/>
        </w:rPr>
        <w:t xml:space="preserve">”) </w:t>
      </w:r>
      <w:r w:rsidR="00A302EF">
        <w:rPr>
          <w:rFonts w:asciiTheme="minorBidi" w:hAnsiTheme="minorBidi"/>
        </w:rPr>
        <w:t xml:space="preserve">compared </w:t>
      </w:r>
      <w:r w:rsidR="00D90A2D">
        <w:rPr>
          <w:rFonts w:asciiTheme="minorBidi" w:hAnsiTheme="minorBidi"/>
        </w:rPr>
        <w:t>to</w:t>
      </w:r>
      <w:r w:rsidR="00A302EF">
        <w:rPr>
          <w:rFonts w:asciiTheme="minorBidi" w:hAnsiTheme="minorBidi"/>
        </w:rPr>
        <w:t xml:space="preserve"> a form</w:t>
      </w:r>
      <w:r w:rsidR="00D90A2D">
        <w:rPr>
          <w:rFonts w:asciiTheme="minorBidi" w:hAnsiTheme="minorBidi"/>
        </w:rPr>
        <w:t>al</w:t>
      </w:r>
      <w:r w:rsidR="00A302EF">
        <w:rPr>
          <w:rFonts w:asciiTheme="minorBidi" w:hAnsiTheme="minorBidi"/>
        </w:rPr>
        <w:t xml:space="preserve"> bankruptcy procedure (a “</w:t>
      </w:r>
      <w:r w:rsidR="00A302EF" w:rsidRPr="00A302EF">
        <w:rPr>
          <w:rFonts w:asciiTheme="minorBidi" w:hAnsiTheme="minorBidi"/>
          <w:b/>
          <w:bCs/>
        </w:rPr>
        <w:t>Formal Procedure</w:t>
      </w:r>
      <w:r w:rsidR="00A302EF">
        <w:rPr>
          <w:rFonts w:asciiTheme="minorBidi" w:hAnsiTheme="minorBidi"/>
        </w:rPr>
        <w:t xml:space="preserve">”) </w:t>
      </w:r>
      <w:r>
        <w:rPr>
          <w:rFonts w:asciiTheme="minorBidi" w:hAnsiTheme="minorBidi"/>
        </w:rPr>
        <w:t>in the context of flexibility, silence and control.</w:t>
      </w:r>
      <w:r>
        <w:rPr>
          <w:rStyle w:val="FootnoteReference"/>
          <w:rFonts w:asciiTheme="minorBidi" w:hAnsiTheme="minorBidi"/>
        </w:rPr>
        <w:footnoteReference w:id="17"/>
      </w:r>
    </w:p>
    <w:p w:rsidR="00CC4329" w:rsidRDefault="00CC4329" w:rsidP="0041017A">
      <w:pPr>
        <w:spacing w:after="0" w:line="240" w:lineRule="auto"/>
        <w:jc w:val="both"/>
        <w:rPr>
          <w:rFonts w:asciiTheme="minorBidi" w:hAnsiTheme="minorBidi"/>
        </w:rPr>
      </w:pPr>
    </w:p>
    <w:p w:rsidR="003C40E5" w:rsidRDefault="003C40E5" w:rsidP="0041017A">
      <w:pPr>
        <w:spacing w:after="0" w:line="240" w:lineRule="auto"/>
        <w:jc w:val="both"/>
        <w:rPr>
          <w:rFonts w:asciiTheme="minorBidi" w:hAnsiTheme="minorBidi"/>
        </w:rPr>
      </w:pPr>
    </w:p>
    <w:p w:rsidR="00CC4329" w:rsidRPr="00754FDB" w:rsidRDefault="00CC4329" w:rsidP="0041017A">
      <w:pPr>
        <w:spacing w:after="0" w:line="240" w:lineRule="auto"/>
        <w:jc w:val="both"/>
        <w:rPr>
          <w:rFonts w:asciiTheme="minorBidi" w:hAnsiTheme="minorBidi"/>
          <w:i/>
          <w:iCs/>
          <w:u w:val="single"/>
        </w:rPr>
      </w:pPr>
      <w:r w:rsidRPr="00754FDB">
        <w:rPr>
          <w:rFonts w:asciiTheme="minorBidi" w:hAnsiTheme="minorBidi"/>
          <w:i/>
          <w:iCs/>
          <w:u w:val="single"/>
        </w:rPr>
        <w:t xml:space="preserve">Flexibility </w:t>
      </w:r>
    </w:p>
    <w:p w:rsidR="00CC4329" w:rsidRDefault="00CC4329" w:rsidP="0041017A">
      <w:pPr>
        <w:spacing w:after="0" w:line="240" w:lineRule="auto"/>
        <w:jc w:val="both"/>
        <w:rPr>
          <w:rFonts w:asciiTheme="minorBidi" w:hAnsiTheme="minorBidi"/>
          <w:i/>
          <w:iCs/>
        </w:rPr>
      </w:pPr>
    </w:p>
    <w:p w:rsidR="00CC4329" w:rsidRDefault="00A302EF" w:rsidP="0041017A">
      <w:pPr>
        <w:spacing w:after="0" w:line="240" w:lineRule="auto"/>
        <w:jc w:val="both"/>
        <w:rPr>
          <w:rFonts w:asciiTheme="minorBidi" w:hAnsiTheme="minorBidi"/>
        </w:rPr>
      </w:pPr>
      <w:r>
        <w:rPr>
          <w:rFonts w:asciiTheme="minorBidi" w:hAnsiTheme="minorBidi"/>
        </w:rPr>
        <w:t>The process of negotiating and implementing a Workout is generally considered less rigid than a Formal Procedure.</w:t>
      </w:r>
      <w:r>
        <w:rPr>
          <w:rStyle w:val="FootnoteReference"/>
          <w:rFonts w:asciiTheme="minorBidi" w:hAnsiTheme="minorBidi"/>
        </w:rPr>
        <w:footnoteReference w:id="18"/>
      </w:r>
      <w:r>
        <w:rPr>
          <w:rFonts w:asciiTheme="minorBidi" w:hAnsiTheme="minorBidi"/>
        </w:rPr>
        <w:t xml:space="preserve"> This is </w:t>
      </w:r>
      <w:r w:rsidR="008301FB">
        <w:rPr>
          <w:rFonts w:asciiTheme="minorBidi" w:hAnsiTheme="minorBidi"/>
        </w:rPr>
        <w:t>on the basis that</w:t>
      </w:r>
      <w:r>
        <w:rPr>
          <w:rFonts w:asciiTheme="minorBidi" w:hAnsiTheme="minorBidi"/>
        </w:rPr>
        <w:t xml:space="preserve"> Workouts </w:t>
      </w:r>
      <w:r w:rsidR="008301FB">
        <w:rPr>
          <w:rFonts w:asciiTheme="minorBidi" w:hAnsiTheme="minorBidi"/>
        </w:rPr>
        <w:t xml:space="preserve">generally </w:t>
      </w:r>
      <w:r>
        <w:rPr>
          <w:rFonts w:asciiTheme="minorBidi" w:hAnsiTheme="minorBidi"/>
        </w:rPr>
        <w:t xml:space="preserve">do not involve the strict legal processes, such a court hearings or the involvement of court-appointed insolvency officeholders, that are </w:t>
      </w:r>
      <w:r w:rsidR="00C1271E">
        <w:rPr>
          <w:rFonts w:asciiTheme="minorBidi" w:hAnsiTheme="minorBidi"/>
        </w:rPr>
        <w:t xml:space="preserve">generally </w:t>
      </w:r>
      <w:r>
        <w:rPr>
          <w:rFonts w:asciiTheme="minorBidi" w:hAnsiTheme="minorBidi"/>
        </w:rPr>
        <w:t>required as part of a Formal Procedure.</w:t>
      </w:r>
    </w:p>
    <w:p w:rsidR="00C1271E" w:rsidRDefault="00C1271E" w:rsidP="0041017A">
      <w:pPr>
        <w:spacing w:after="0" w:line="240" w:lineRule="auto"/>
        <w:jc w:val="both"/>
        <w:rPr>
          <w:rFonts w:asciiTheme="minorBidi" w:hAnsiTheme="minorBidi"/>
        </w:rPr>
      </w:pPr>
    </w:p>
    <w:p w:rsidR="00C1271E" w:rsidRDefault="00C1271E" w:rsidP="0041017A">
      <w:pPr>
        <w:spacing w:after="0" w:line="240" w:lineRule="auto"/>
        <w:jc w:val="both"/>
        <w:rPr>
          <w:rFonts w:asciiTheme="minorBidi" w:hAnsiTheme="minorBidi"/>
        </w:rPr>
      </w:pPr>
      <w:r>
        <w:rPr>
          <w:rFonts w:asciiTheme="minorBidi" w:hAnsiTheme="minorBidi"/>
        </w:rPr>
        <w:t xml:space="preserve">The benefit of this additional flexibility is that parties to a Workout can save considerable </w:t>
      </w:r>
      <w:r w:rsidR="003B0EF4">
        <w:rPr>
          <w:rFonts w:asciiTheme="minorBidi" w:hAnsiTheme="minorBidi"/>
        </w:rPr>
        <w:t xml:space="preserve">cost, </w:t>
      </w:r>
      <w:r>
        <w:rPr>
          <w:rFonts w:asciiTheme="minorBidi" w:hAnsiTheme="minorBidi"/>
        </w:rPr>
        <w:t xml:space="preserve">time and resources than would be the case in a Formal Procedure. </w:t>
      </w:r>
      <w:r w:rsidR="003B0EF4">
        <w:rPr>
          <w:rFonts w:asciiTheme="minorBidi" w:hAnsiTheme="minorBidi"/>
        </w:rPr>
        <w:t xml:space="preserve">For example in Singapore, the appointment of insolvency officeholders (such as an interim judicial manager or a judicial manager), as well as their legal counsel, can come at a considerable cost to the debtor. By comparison, the cost savings </w:t>
      </w:r>
      <w:r w:rsidR="006132BF">
        <w:rPr>
          <w:rFonts w:asciiTheme="minorBidi" w:hAnsiTheme="minorBidi"/>
        </w:rPr>
        <w:t xml:space="preserve">in a Workout </w:t>
      </w:r>
      <w:r w:rsidR="003B0EF4">
        <w:rPr>
          <w:rFonts w:asciiTheme="minorBidi" w:hAnsiTheme="minorBidi"/>
        </w:rPr>
        <w:t>will likely result in a higher returns</w:t>
      </w:r>
      <w:r w:rsidR="00BE5758">
        <w:rPr>
          <w:rStyle w:val="FootnoteReference"/>
          <w:rFonts w:asciiTheme="minorBidi" w:hAnsiTheme="minorBidi"/>
        </w:rPr>
        <w:footnoteReference w:id="19"/>
      </w:r>
      <w:r w:rsidR="003B0EF4">
        <w:rPr>
          <w:rFonts w:asciiTheme="minorBidi" w:hAnsiTheme="minorBidi"/>
        </w:rPr>
        <w:t xml:space="preserve"> for creditors and other stakeholders and the saving in time and resource can be used by the </w:t>
      </w:r>
      <w:r w:rsidR="00BF44A1">
        <w:rPr>
          <w:rFonts w:asciiTheme="minorBidi" w:hAnsiTheme="minorBidi"/>
        </w:rPr>
        <w:t xml:space="preserve">management of the </w:t>
      </w:r>
      <w:r w:rsidR="003B0EF4">
        <w:rPr>
          <w:rFonts w:asciiTheme="minorBidi" w:hAnsiTheme="minorBidi"/>
        </w:rPr>
        <w:t>debtor to focus on</w:t>
      </w:r>
      <w:r w:rsidR="006132BF">
        <w:rPr>
          <w:rFonts w:asciiTheme="minorBidi" w:hAnsiTheme="minorBidi"/>
        </w:rPr>
        <w:t xml:space="preserve"> the operational aspects of </w:t>
      </w:r>
      <w:r w:rsidR="00BF44A1">
        <w:rPr>
          <w:rFonts w:asciiTheme="minorBidi" w:hAnsiTheme="minorBidi"/>
        </w:rPr>
        <w:t>its</w:t>
      </w:r>
      <w:r w:rsidR="006132BF">
        <w:rPr>
          <w:rFonts w:asciiTheme="minorBidi" w:hAnsiTheme="minorBidi"/>
        </w:rPr>
        <w:t xml:space="preserve"> business.</w:t>
      </w:r>
    </w:p>
    <w:p w:rsidR="006132BF" w:rsidRDefault="006132BF" w:rsidP="0041017A">
      <w:pPr>
        <w:spacing w:after="0" w:line="240" w:lineRule="auto"/>
        <w:jc w:val="both"/>
        <w:rPr>
          <w:rFonts w:asciiTheme="minorBidi" w:hAnsiTheme="minorBidi"/>
        </w:rPr>
      </w:pPr>
    </w:p>
    <w:p w:rsidR="006132BF" w:rsidRDefault="006132BF" w:rsidP="0041017A">
      <w:pPr>
        <w:spacing w:after="0" w:line="240" w:lineRule="auto"/>
        <w:jc w:val="both"/>
        <w:rPr>
          <w:rFonts w:asciiTheme="minorBidi" w:hAnsiTheme="minorBidi"/>
        </w:rPr>
      </w:pPr>
      <w:r>
        <w:rPr>
          <w:rFonts w:asciiTheme="minorBidi" w:hAnsiTheme="minorBidi"/>
        </w:rPr>
        <w:t xml:space="preserve">However (and critically), the perceived flexibility of a Workout is dependent on the relevant parties acting consensually to agree and implement the </w:t>
      </w:r>
      <w:r w:rsidR="00BF44A1">
        <w:rPr>
          <w:rFonts w:asciiTheme="minorBidi" w:hAnsiTheme="minorBidi"/>
        </w:rPr>
        <w:t xml:space="preserve">terms of a </w:t>
      </w:r>
      <w:r>
        <w:rPr>
          <w:rFonts w:asciiTheme="minorBidi" w:hAnsiTheme="minorBidi"/>
        </w:rPr>
        <w:t xml:space="preserve">Workout. In this respect, </w:t>
      </w:r>
      <w:r w:rsidR="00BE5758">
        <w:rPr>
          <w:rFonts w:asciiTheme="minorBidi" w:hAnsiTheme="minorBidi"/>
        </w:rPr>
        <w:t xml:space="preserve">where a party to a Workout (whose consent is required to implement </w:t>
      </w:r>
      <w:r w:rsidR="00BF44A1">
        <w:rPr>
          <w:rFonts w:asciiTheme="minorBidi" w:hAnsiTheme="minorBidi"/>
        </w:rPr>
        <w:t>that</w:t>
      </w:r>
      <w:r w:rsidR="00BE5758">
        <w:rPr>
          <w:rFonts w:asciiTheme="minorBidi" w:hAnsiTheme="minorBidi"/>
        </w:rPr>
        <w:t xml:space="preserve"> Workout) does not consent to the Workout, then the Workout route may not be feasible. Furthermore, the ability of a party to block a Workout by withholding its consent, may result in parties seeking to obtain a strategic advantage by acting as a ‘hold-out’. Accordingly, ‘hold-outs’ may exploit one of the key weaknesses of the Workout (</w:t>
      </w:r>
      <w:r w:rsidR="00362BF9">
        <w:rPr>
          <w:rFonts w:asciiTheme="minorBidi" w:hAnsiTheme="minorBidi"/>
        </w:rPr>
        <w:t>the need for consensus</w:t>
      </w:r>
      <w:r w:rsidR="00BE5758">
        <w:rPr>
          <w:rFonts w:asciiTheme="minorBidi" w:hAnsiTheme="minorBidi"/>
        </w:rPr>
        <w:t xml:space="preserve">) </w:t>
      </w:r>
      <w:r w:rsidR="00362BF9">
        <w:rPr>
          <w:rFonts w:asciiTheme="minorBidi" w:hAnsiTheme="minorBidi"/>
        </w:rPr>
        <w:t xml:space="preserve">to extract advantages that it might not </w:t>
      </w:r>
      <w:r w:rsidR="00BF44A1">
        <w:rPr>
          <w:rFonts w:asciiTheme="minorBidi" w:hAnsiTheme="minorBidi"/>
        </w:rPr>
        <w:t xml:space="preserve">otherwise </w:t>
      </w:r>
      <w:r w:rsidR="00362BF9">
        <w:rPr>
          <w:rFonts w:asciiTheme="minorBidi" w:hAnsiTheme="minorBidi"/>
        </w:rPr>
        <w:t>have received in a Formal Procedure.</w:t>
      </w:r>
    </w:p>
    <w:p w:rsidR="00BE5758" w:rsidRDefault="00BE5758" w:rsidP="0041017A">
      <w:pPr>
        <w:spacing w:after="0" w:line="240" w:lineRule="auto"/>
        <w:jc w:val="both"/>
        <w:rPr>
          <w:rFonts w:asciiTheme="minorBidi" w:hAnsiTheme="minorBidi"/>
        </w:rPr>
      </w:pPr>
    </w:p>
    <w:p w:rsidR="00BE5758" w:rsidRDefault="00BE5758" w:rsidP="0041017A">
      <w:pPr>
        <w:spacing w:after="0" w:line="240" w:lineRule="auto"/>
        <w:jc w:val="both"/>
        <w:rPr>
          <w:rFonts w:asciiTheme="minorBidi" w:hAnsiTheme="minorBidi"/>
        </w:rPr>
      </w:pPr>
      <w:r>
        <w:rPr>
          <w:rFonts w:asciiTheme="minorBidi" w:hAnsiTheme="minorBidi"/>
        </w:rPr>
        <w:t>In contrast</w:t>
      </w:r>
      <w:r w:rsidR="00362BF9">
        <w:rPr>
          <w:rFonts w:asciiTheme="minorBidi" w:hAnsiTheme="minorBidi"/>
        </w:rPr>
        <w:t xml:space="preserve">, a Formal Procedure will </w:t>
      </w:r>
      <w:r w:rsidR="009119C7">
        <w:rPr>
          <w:rFonts w:asciiTheme="minorBidi" w:hAnsiTheme="minorBidi"/>
        </w:rPr>
        <w:t>generally</w:t>
      </w:r>
      <w:r w:rsidR="00362BF9">
        <w:rPr>
          <w:rFonts w:asciiTheme="minorBidi" w:hAnsiTheme="minorBidi"/>
        </w:rPr>
        <w:t xml:space="preserve"> offer more flexibility to deal with dissenting parties. For example, in Singapore, a scheme of arrangement under </w:t>
      </w:r>
      <w:r w:rsidR="009119C7">
        <w:rPr>
          <w:rFonts w:asciiTheme="minorBidi" w:hAnsiTheme="minorBidi"/>
        </w:rPr>
        <w:t xml:space="preserve">section 210(1) of the Companies Act 1967 or section 71(1) of the </w:t>
      </w:r>
      <w:r w:rsidR="009119C7" w:rsidRPr="009119C7">
        <w:rPr>
          <w:rFonts w:asciiTheme="minorBidi" w:hAnsiTheme="minorBidi"/>
        </w:rPr>
        <w:t>Insolvency, Restructuring</w:t>
      </w:r>
      <w:r w:rsidR="009119C7">
        <w:rPr>
          <w:rFonts w:asciiTheme="minorBidi" w:hAnsiTheme="minorBidi"/>
        </w:rPr>
        <w:t xml:space="preserve"> </w:t>
      </w:r>
      <w:r w:rsidR="009119C7" w:rsidRPr="009119C7">
        <w:rPr>
          <w:rFonts w:asciiTheme="minorBidi" w:hAnsiTheme="minorBidi"/>
        </w:rPr>
        <w:t>and Dissolution Act</w:t>
      </w:r>
      <w:r w:rsidR="009119C7">
        <w:rPr>
          <w:rFonts w:asciiTheme="minorBidi" w:hAnsiTheme="minorBidi"/>
        </w:rPr>
        <w:t xml:space="preserve"> </w:t>
      </w:r>
      <w:r w:rsidR="008D35ED">
        <w:rPr>
          <w:rFonts w:asciiTheme="minorBidi" w:hAnsiTheme="minorBidi"/>
        </w:rPr>
        <w:t>(the “</w:t>
      </w:r>
      <w:r w:rsidR="008D35ED" w:rsidRPr="008D35ED">
        <w:rPr>
          <w:rFonts w:asciiTheme="minorBidi" w:hAnsiTheme="minorBidi"/>
          <w:b/>
          <w:bCs/>
        </w:rPr>
        <w:t>IRDA</w:t>
      </w:r>
      <w:r w:rsidR="008D35ED">
        <w:rPr>
          <w:rFonts w:asciiTheme="minorBidi" w:hAnsiTheme="minorBidi"/>
        </w:rPr>
        <w:t xml:space="preserve">”) </w:t>
      </w:r>
      <w:r w:rsidR="00531D44">
        <w:rPr>
          <w:rFonts w:asciiTheme="minorBidi" w:hAnsiTheme="minorBidi"/>
        </w:rPr>
        <w:t>(a “</w:t>
      </w:r>
      <w:r w:rsidR="00531D44" w:rsidRPr="00531D44">
        <w:rPr>
          <w:rFonts w:asciiTheme="minorBidi" w:hAnsiTheme="minorBidi"/>
          <w:b/>
          <w:bCs/>
        </w:rPr>
        <w:t>Scheme of Arrangement</w:t>
      </w:r>
      <w:r w:rsidR="00531D44">
        <w:rPr>
          <w:rFonts w:asciiTheme="minorBidi" w:hAnsiTheme="minorBidi"/>
        </w:rPr>
        <w:t xml:space="preserve">”) </w:t>
      </w:r>
      <w:r w:rsidR="009119C7">
        <w:rPr>
          <w:rFonts w:asciiTheme="minorBidi" w:hAnsiTheme="minorBidi"/>
        </w:rPr>
        <w:t>require</w:t>
      </w:r>
      <w:r w:rsidR="004059DE">
        <w:rPr>
          <w:rFonts w:asciiTheme="minorBidi" w:hAnsiTheme="minorBidi"/>
        </w:rPr>
        <w:t>s</w:t>
      </w:r>
      <w:r w:rsidR="009119C7">
        <w:rPr>
          <w:rFonts w:asciiTheme="minorBidi" w:hAnsiTheme="minorBidi"/>
        </w:rPr>
        <w:t xml:space="preserve"> </w:t>
      </w:r>
      <w:r w:rsidR="004059DE">
        <w:rPr>
          <w:rFonts w:asciiTheme="minorBidi" w:hAnsiTheme="minorBidi"/>
        </w:rPr>
        <w:t xml:space="preserve">the approval of </w:t>
      </w:r>
      <w:r w:rsidR="009119C7">
        <w:rPr>
          <w:rFonts w:asciiTheme="minorBidi" w:hAnsiTheme="minorBidi"/>
        </w:rPr>
        <w:t>a majority in number and 75</w:t>
      </w:r>
      <w:r w:rsidR="00BF44A1">
        <w:rPr>
          <w:rFonts w:asciiTheme="minorBidi" w:hAnsiTheme="minorBidi"/>
        </w:rPr>
        <w:t>%</w:t>
      </w:r>
      <w:r w:rsidR="009119C7">
        <w:rPr>
          <w:rFonts w:asciiTheme="minorBidi" w:hAnsiTheme="minorBidi"/>
        </w:rPr>
        <w:t xml:space="preserve"> by value of each class </w:t>
      </w:r>
      <w:r w:rsidR="00BF44A1">
        <w:rPr>
          <w:rFonts w:asciiTheme="minorBidi" w:hAnsiTheme="minorBidi"/>
        </w:rPr>
        <w:t xml:space="preserve">of creditors </w:t>
      </w:r>
      <w:r w:rsidR="009119C7">
        <w:rPr>
          <w:rFonts w:asciiTheme="minorBidi" w:hAnsiTheme="minorBidi"/>
        </w:rPr>
        <w:t>voting</w:t>
      </w:r>
      <w:r w:rsidR="004059DE">
        <w:rPr>
          <w:rFonts w:asciiTheme="minorBidi" w:hAnsiTheme="minorBidi"/>
        </w:rPr>
        <w:t xml:space="preserve"> in the </w:t>
      </w:r>
      <w:r w:rsidR="00531D44">
        <w:rPr>
          <w:rFonts w:asciiTheme="minorBidi" w:hAnsiTheme="minorBidi"/>
        </w:rPr>
        <w:t>Scheme of Arrangement</w:t>
      </w:r>
      <w:r w:rsidR="004059DE">
        <w:rPr>
          <w:rFonts w:asciiTheme="minorBidi" w:hAnsiTheme="minorBidi"/>
        </w:rPr>
        <w:t xml:space="preserve">. Accordingly, the ability to manage dissenting creditors is far greater in a </w:t>
      </w:r>
      <w:r w:rsidR="00531D44">
        <w:rPr>
          <w:rFonts w:asciiTheme="minorBidi" w:hAnsiTheme="minorBidi"/>
        </w:rPr>
        <w:t xml:space="preserve">Scheme of Arrangement </w:t>
      </w:r>
      <w:r w:rsidR="004059DE">
        <w:rPr>
          <w:rFonts w:asciiTheme="minorBidi" w:hAnsiTheme="minorBidi"/>
        </w:rPr>
        <w:t xml:space="preserve">and, in relation to ‘hold out’ creditors, </w:t>
      </w:r>
      <w:r w:rsidR="00850C03">
        <w:rPr>
          <w:rFonts w:asciiTheme="minorBidi" w:hAnsiTheme="minorBidi"/>
        </w:rPr>
        <w:t>‘</w:t>
      </w:r>
      <w:r w:rsidR="004059DE">
        <w:rPr>
          <w:rFonts w:asciiTheme="minorBidi" w:hAnsiTheme="minorBidi"/>
        </w:rPr>
        <w:t>hold</w:t>
      </w:r>
      <w:r w:rsidR="007B21CC">
        <w:rPr>
          <w:rFonts w:asciiTheme="minorBidi" w:hAnsiTheme="minorBidi"/>
        </w:rPr>
        <w:t>ing</w:t>
      </w:r>
      <w:r w:rsidR="00850C03">
        <w:rPr>
          <w:rFonts w:asciiTheme="minorBidi" w:hAnsiTheme="minorBidi"/>
        </w:rPr>
        <w:t>-out’</w:t>
      </w:r>
      <w:r w:rsidR="004059DE">
        <w:rPr>
          <w:rFonts w:asciiTheme="minorBidi" w:hAnsiTheme="minorBidi"/>
        </w:rPr>
        <w:t xml:space="preserve"> is far more difficult</w:t>
      </w:r>
      <w:r w:rsidR="00BF44A1">
        <w:rPr>
          <w:rFonts w:asciiTheme="minorBidi" w:hAnsiTheme="minorBidi"/>
        </w:rPr>
        <w:t>,</w:t>
      </w:r>
      <w:r w:rsidR="004059DE">
        <w:rPr>
          <w:rFonts w:asciiTheme="minorBidi" w:hAnsiTheme="minorBidi"/>
        </w:rPr>
        <w:t xml:space="preserve"> as such creditors must hold a much larger position in the debt in order to block a </w:t>
      </w:r>
      <w:r w:rsidR="00531D44">
        <w:rPr>
          <w:rFonts w:asciiTheme="minorBidi" w:hAnsiTheme="minorBidi"/>
        </w:rPr>
        <w:t>Scheme of Arrangement</w:t>
      </w:r>
      <w:r w:rsidR="004059DE">
        <w:rPr>
          <w:rFonts w:asciiTheme="minorBidi" w:hAnsiTheme="minorBidi"/>
        </w:rPr>
        <w:t xml:space="preserve">. </w:t>
      </w:r>
    </w:p>
    <w:p w:rsidR="004059DE" w:rsidRDefault="004059DE" w:rsidP="0041017A">
      <w:pPr>
        <w:spacing w:after="0" w:line="240" w:lineRule="auto"/>
        <w:jc w:val="both"/>
        <w:rPr>
          <w:rFonts w:asciiTheme="minorBidi" w:hAnsiTheme="minorBidi"/>
        </w:rPr>
      </w:pPr>
    </w:p>
    <w:p w:rsidR="00BF44A1" w:rsidRDefault="00BF44A1" w:rsidP="0041017A">
      <w:pPr>
        <w:spacing w:after="0" w:line="240" w:lineRule="auto"/>
        <w:jc w:val="both"/>
        <w:rPr>
          <w:rFonts w:asciiTheme="minorBidi" w:hAnsiTheme="minorBidi"/>
          <w:i/>
          <w:iCs/>
          <w:u w:val="single"/>
        </w:rPr>
      </w:pPr>
    </w:p>
    <w:p w:rsidR="004059DE" w:rsidRPr="00754FDB" w:rsidRDefault="004059DE" w:rsidP="0041017A">
      <w:pPr>
        <w:spacing w:after="0" w:line="240" w:lineRule="auto"/>
        <w:jc w:val="both"/>
        <w:rPr>
          <w:rFonts w:asciiTheme="minorBidi" w:hAnsiTheme="minorBidi"/>
          <w:i/>
          <w:iCs/>
          <w:u w:val="single"/>
        </w:rPr>
      </w:pPr>
      <w:r w:rsidRPr="00754FDB">
        <w:rPr>
          <w:rFonts w:asciiTheme="minorBidi" w:hAnsiTheme="minorBidi"/>
          <w:i/>
          <w:iCs/>
          <w:u w:val="single"/>
        </w:rPr>
        <w:t>Silence</w:t>
      </w:r>
    </w:p>
    <w:p w:rsidR="004059DE" w:rsidRDefault="004059DE" w:rsidP="0041017A">
      <w:pPr>
        <w:spacing w:after="0" w:line="240" w:lineRule="auto"/>
        <w:jc w:val="both"/>
        <w:rPr>
          <w:rFonts w:asciiTheme="minorBidi" w:hAnsiTheme="minorBidi"/>
          <w:i/>
          <w:iCs/>
        </w:rPr>
      </w:pPr>
    </w:p>
    <w:p w:rsidR="004059DE" w:rsidRDefault="00B833C0" w:rsidP="0041017A">
      <w:pPr>
        <w:spacing w:after="0" w:line="240" w:lineRule="auto"/>
        <w:jc w:val="both"/>
        <w:rPr>
          <w:rFonts w:asciiTheme="minorBidi" w:hAnsiTheme="minorBidi"/>
        </w:rPr>
      </w:pPr>
      <w:r>
        <w:rPr>
          <w:rFonts w:asciiTheme="minorBidi" w:hAnsiTheme="minorBidi"/>
        </w:rPr>
        <w:t>Workouts can be negotiated and implemented in private between the relevant parties</w:t>
      </w:r>
      <w:r w:rsidR="008C533B">
        <w:rPr>
          <w:rFonts w:asciiTheme="minorBidi" w:hAnsiTheme="minorBidi"/>
        </w:rPr>
        <w:t xml:space="preserve">. Further, the privacy of the negotiations in connection with the Workout can be further formalised </w:t>
      </w:r>
      <w:r w:rsidR="008C533B">
        <w:rPr>
          <w:rFonts w:asciiTheme="minorBidi" w:hAnsiTheme="minorBidi"/>
        </w:rPr>
        <w:lastRenderedPageBreak/>
        <w:t>through the execution of a confidentiality agreement</w:t>
      </w:r>
      <w:r w:rsidR="007B21CC">
        <w:rPr>
          <w:rFonts w:asciiTheme="minorBidi" w:hAnsiTheme="minorBidi"/>
        </w:rPr>
        <w:t xml:space="preserve"> between the relevant parties</w:t>
      </w:r>
      <w:r w:rsidR="008C533B">
        <w:rPr>
          <w:rFonts w:asciiTheme="minorBidi" w:hAnsiTheme="minorBidi"/>
        </w:rPr>
        <w:t xml:space="preserve">. Entry into a formal confidentiality agreement by </w:t>
      </w:r>
      <w:r w:rsidR="007B21CC">
        <w:rPr>
          <w:rFonts w:asciiTheme="minorBidi" w:hAnsiTheme="minorBidi"/>
        </w:rPr>
        <w:t xml:space="preserve">the relevant parties </w:t>
      </w:r>
      <w:r w:rsidR="008C533B">
        <w:rPr>
          <w:rFonts w:asciiTheme="minorBidi" w:hAnsiTheme="minorBidi"/>
        </w:rPr>
        <w:t xml:space="preserve">is a recommended course of action under </w:t>
      </w:r>
      <w:r w:rsidR="007B21CC">
        <w:rPr>
          <w:rFonts w:asciiTheme="minorBidi" w:hAnsiTheme="minorBidi"/>
        </w:rPr>
        <w:t>INSOL International’s</w:t>
      </w:r>
      <w:r w:rsidR="00CC1142">
        <w:rPr>
          <w:rFonts w:asciiTheme="minorBidi" w:hAnsiTheme="minorBidi"/>
        </w:rPr>
        <w:t xml:space="preserve"> Seventh Principle</w:t>
      </w:r>
      <w:r w:rsidR="007B21CC">
        <w:rPr>
          <w:rFonts w:asciiTheme="minorBidi" w:hAnsiTheme="minorBidi"/>
        </w:rPr>
        <w:t>.</w:t>
      </w:r>
      <w:r w:rsidR="007B21CC">
        <w:rPr>
          <w:rStyle w:val="FootnoteReference"/>
          <w:rFonts w:asciiTheme="minorBidi" w:hAnsiTheme="minorBidi"/>
        </w:rPr>
        <w:footnoteReference w:id="20"/>
      </w:r>
      <w:r w:rsidR="00CC1142">
        <w:rPr>
          <w:rFonts w:asciiTheme="minorBidi" w:hAnsiTheme="minorBidi"/>
        </w:rPr>
        <w:t xml:space="preserve"> </w:t>
      </w:r>
    </w:p>
    <w:p w:rsidR="00CC1142" w:rsidRDefault="00CC1142" w:rsidP="0041017A">
      <w:pPr>
        <w:spacing w:after="0" w:line="240" w:lineRule="auto"/>
        <w:jc w:val="both"/>
        <w:rPr>
          <w:rFonts w:asciiTheme="minorBidi" w:hAnsiTheme="minorBidi"/>
        </w:rPr>
      </w:pPr>
    </w:p>
    <w:p w:rsidR="00361F76" w:rsidRDefault="00CC1142" w:rsidP="0041017A">
      <w:pPr>
        <w:spacing w:after="0" w:line="240" w:lineRule="auto"/>
        <w:jc w:val="both"/>
        <w:rPr>
          <w:rFonts w:asciiTheme="minorBidi" w:hAnsiTheme="minorBidi"/>
        </w:rPr>
      </w:pPr>
      <w:r>
        <w:rPr>
          <w:rFonts w:asciiTheme="minorBidi" w:hAnsiTheme="minorBidi"/>
        </w:rPr>
        <w:t xml:space="preserve">The advantage of silence in the context of Workouts is that </w:t>
      </w:r>
      <w:r w:rsidR="007B21CC">
        <w:rPr>
          <w:rFonts w:asciiTheme="minorBidi" w:hAnsiTheme="minorBidi"/>
        </w:rPr>
        <w:t xml:space="preserve">it </w:t>
      </w:r>
      <w:r w:rsidR="00B24763">
        <w:rPr>
          <w:rFonts w:asciiTheme="minorBidi" w:hAnsiTheme="minorBidi"/>
        </w:rPr>
        <w:t>offers a level of protection to the distressed debtor against a “</w:t>
      </w:r>
      <w:r w:rsidR="00B24763" w:rsidRPr="007B21CC">
        <w:rPr>
          <w:rFonts w:asciiTheme="minorBidi" w:hAnsiTheme="minorBidi"/>
          <w:i/>
          <w:iCs/>
        </w:rPr>
        <w:t>race to collect</w:t>
      </w:r>
      <w:r w:rsidR="00B24763">
        <w:rPr>
          <w:rFonts w:asciiTheme="minorBidi" w:hAnsiTheme="minorBidi"/>
        </w:rPr>
        <w:t>”</w:t>
      </w:r>
      <w:r w:rsidR="007B21CC">
        <w:rPr>
          <w:rStyle w:val="FootnoteReference"/>
          <w:rFonts w:asciiTheme="minorBidi" w:hAnsiTheme="minorBidi"/>
        </w:rPr>
        <w:footnoteReference w:id="21"/>
      </w:r>
      <w:r w:rsidR="00B24763">
        <w:rPr>
          <w:rFonts w:asciiTheme="minorBidi" w:hAnsiTheme="minorBidi"/>
        </w:rPr>
        <w:t xml:space="preserve"> by the general body of creditors and can also allow the distressed company to continue dealing with counterparties (such as suppliers and customers) who may </w:t>
      </w:r>
      <w:r w:rsidR="001F2D7E">
        <w:rPr>
          <w:rFonts w:asciiTheme="minorBidi" w:hAnsiTheme="minorBidi"/>
        </w:rPr>
        <w:t xml:space="preserve">otherwise be </w:t>
      </w:r>
      <w:r w:rsidR="00750ED4">
        <w:rPr>
          <w:rFonts w:asciiTheme="minorBidi" w:hAnsiTheme="minorBidi"/>
        </w:rPr>
        <w:t>deterred from dealing</w:t>
      </w:r>
      <w:r w:rsidR="00B24763">
        <w:rPr>
          <w:rFonts w:asciiTheme="minorBidi" w:hAnsiTheme="minorBidi"/>
        </w:rPr>
        <w:t xml:space="preserve"> with the distressed company</w:t>
      </w:r>
      <w:r w:rsidR="00361F76">
        <w:rPr>
          <w:rFonts w:asciiTheme="minorBidi" w:hAnsiTheme="minorBidi"/>
        </w:rPr>
        <w:t xml:space="preserve">. </w:t>
      </w:r>
    </w:p>
    <w:p w:rsidR="00361F76" w:rsidRDefault="00361F76" w:rsidP="0041017A">
      <w:pPr>
        <w:spacing w:after="0" w:line="240" w:lineRule="auto"/>
        <w:jc w:val="both"/>
        <w:rPr>
          <w:rFonts w:asciiTheme="minorBidi" w:hAnsiTheme="minorBidi"/>
        </w:rPr>
      </w:pPr>
    </w:p>
    <w:p w:rsidR="00CF1B3A" w:rsidRDefault="00361F76" w:rsidP="0041017A">
      <w:pPr>
        <w:spacing w:after="0" w:line="240" w:lineRule="auto"/>
        <w:jc w:val="both"/>
        <w:rPr>
          <w:rFonts w:asciiTheme="minorBidi" w:hAnsiTheme="minorBidi"/>
        </w:rPr>
      </w:pPr>
      <w:r>
        <w:rPr>
          <w:rFonts w:asciiTheme="minorBidi" w:hAnsiTheme="minorBidi"/>
        </w:rPr>
        <w:t>The disadvantage of silence</w:t>
      </w:r>
      <w:r w:rsidR="007B21CC">
        <w:rPr>
          <w:rFonts w:asciiTheme="minorBidi" w:hAnsiTheme="minorBidi"/>
        </w:rPr>
        <w:t xml:space="preserve"> in the context of Workouts </w:t>
      </w:r>
      <w:r>
        <w:rPr>
          <w:rFonts w:asciiTheme="minorBidi" w:hAnsiTheme="minorBidi"/>
        </w:rPr>
        <w:t xml:space="preserve">is that it </w:t>
      </w:r>
      <w:r w:rsidR="007B21CC">
        <w:rPr>
          <w:rFonts w:asciiTheme="minorBidi" w:hAnsiTheme="minorBidi"/>
        </w:rPr>
        <w:t xml:space="preserve">is not a watertight solution and </w:t>
      </w:r>
      <w:r w:rsidR="00FF675A">
        <w:rPr>
          <w:rFonts w:asciiTheme="minorBidi" w:hAnsiTheme="minorBidi"/>
        </w:rPr>
        <w:t>information leakage</w:t>
      </w:r>
      <w:r w:rsidR="007B21CC">
        <w:rPr>
          <w:rFonts w:asciiTheme="minorBidi" w:hAnsiTheme="minorBidi"/>
        </w:rPr>
        <w:t xml:space="preserve"> do</w:t>
      </w:r>
      <w:r w:rsidR="00FF675A">
        <w:rPr>
          <w:rFonts w:asciiTheme="minorBidi" w:hAnsiTheme="minorBidi"/>
        </w:rPr>
        <w:t>es</w:t>
      </w:r>
      <w:r w:rsidR="007B21CC">
        <w:rPr>
          <w:rFonts w:asciiTheme="minorBidi" w:hAnsiTheme="minorBidi"/>
        </w:rPr>
        <w:t xml:space="preserve"> occur</w:t>
      </w:r>
      <w:r w:rsidR="00975BB6">
        <w:rPr>
          <w:rFonts w:asciiTheme="minorBidi" w:hAnsiTheme="minorBidi"/>
        </w:rPr>
        <w:t xml:space="preserve">. </w:t>
      </w:r>
      <w:r w:rsidR="00FF675A">
        <w:rPr>
          <w:rFonts w:asciiTheme="minorBidi" w:hAnsiTheme="minorBidi"/>
        </w:rPr>
        <w:t>In this respect, it</w:t>
      </w:r>
      <w:r w:rsidR="00975BB6">
        <w:rPr>
          <w:rFonts w:asciiTheme="minorBidi" w:hAnsiTheme="minorBidi"/>
        </w:rPr>
        <w:t xml:space="preserve"> may be difficult for a distressed company to keep private the state of its financial distress for long periods, despite the privacy of Workout negotiations (with or without confidentiality agreements). </w:t>
      </w:r>
      <w:r w:rsidR="00CF1B3A">
        <w:rPr>
          <w:rFonts w:asciiTheme="minorBidi" w:hAnsiTheme="minorBidi"/>
        </w:rPr>
        <w:t>In my experience working in Asia, once a distressed company begins to struggle to pay trade creditors, the chances of the distressed company and its financial creditors keeping the Workout negotiations private are low. Further</w:t>
      </w:r>
      <w:r w:rsidR="00FF675A">
        <w:rPr>
          <w:rFonts w:asciiTheme="minorBidi" w:hAnsiTheme="minorBidi"/>
        </w:rPr>
        <w:t>,</w:t>
      </w:r>
      <w:r w:rsidR="00CF1B3A">
        <w:rPr>
          <w:rFonts w:asciiTheme="minorBidi" w:hAnsiTheme="minorBidi"/>
        </w:rPr>
        <w:t xml:space="preserve"> studies have shown that employees are aware of the financial distress of a</w:t>
      </w:r>
      <w:r w:rsidR="0062148C">
        <w:rPr>
          <w:rFonts w:asciiTheme="minorBidi" w:hAnsiTheme="minorBidi"/>
        </w:rPr>
        <w:t>n employer</w:t>
      </w:r>
      <w:r w:rsidR="00FF675A">
        <w:rPr>
          <w:rFonts w:asciiTheme="minorBidi" w:hAnsiTheme="minorBidi"/>
        </w:rPr>
        <w:t>,</w:t>
      </w:r>
      <w:r w:rsidR="0062148C">
        <w:rPr>
          <w:rFonts w:asciiTheme="minorBidi" w:hAnsiTheme="minorBidi"/>
        </w:rPr>
        <w:t xml:space="preserve"> resulting in a steady rise in employee attrition that begins “</w:t>
      </w:r>
      <w:r w:rsidR="0062148C" w:rsidRPr="0062148C">
        <w:rPr>
          <w:rFonts w:asciiTheme="minorBidi" w:hAnsiTheme="minorBidi"/>
          <w:i/>
          <w:iCs/>
        </w:rPr>
        <w:t>on average, a year prior to bankruptcy</w:t>
      </w:r>
      <w:r w:rsidR="0062148C">
        <w:rPr>
          <w:rFonts w:asciiTheme="minorBidi" w:hAnsiTheme="minorBidi"/>
        </w:rPr>
        <w:t>”.</w:t>
      </w:r>
      <w:r w:rsidR="0062148C">
        <w:rPr>
          <w:rStyle w:val="FootnoteReference"/>
          <w:rFonts w:asciiTheme="minorBidi" w:hAnsiTheme="minorBidi"/>
        </w:rPr>
        <w:footnoteReference w:id="22"/>
      </w:r>
      <w:r w:rsidR="0062148C">
        <w:rPr>
          <w:rFonts w:asciiTheme="minorBidi" w:hAnsiTheme="minorBidi"/>
        </w:rPr>
        <w:t xml:space="preserve"> </w:t>
      </w:r>
    </w:p>
    <w:p w:rsidR="00CF1B3A" w:rsidRDefault="00CF1B3A" w:rsidP="0041017A">
      <w:pPr>
        <w:spacing w:after="0" w:line="240" w:lineRule="auto"/>
        <w:jc w:val="both"/>
        <w:rPr>
          <w:rFonts w:asciiTheme="minorBidi" w:hAnsiTheme="minorBidi"/>
        </w:rPr>
      </w:pPr>
    </w:p>
    <w:p w:rsidR="00182B90" w:rsidRDefault="0062148C" w:rsidP="0041017A">
      <w:pPr>
        <w:spacing w:after="0" w:line="240" w:lineRule="auto"/>
        <w:jc w:val="both"/>
        <w:rPr>
          <w:rFonts w:asciiTheme="minorBidi" w:hAnsiTheme="minorBidi"/>
        </w:rPr>
      </w:pPr>
      <w:r>
        <w:rPr>
          <w:rFonts w:asciiTheme="minorBidi" w:hAnsiTheme="minorBidi"/>
        </w:rPr>
        <w:t>Additionally, one of the perceived benefits of silence, being that suppliers and customers may not seek to cancel ongoing contractual relationships with a financially distressed company, has, to an extent</w:t>
      </w:r>
      <w:r w:rsidR="00FF675A">
        <w:rPr>
          <w:rFonts w:asciiTheme="minorBidi" w:hAnsiTheme="minorBidi"/>
        </w:rPr>
        <w:t>,</w:t>
      </w:r>
      <w:r>
        <w:rPr>
          <w:rFonts w:asciiTheme="minorBidi" w:hAnsiTheme="minorBidi"/>
        </w:rPr>
        <w:t xml:space="preserve"> been addressed through the introduction of ‘ipso facto’ laws in certain jurisdiction. In Singapore for example, section 440 of the </w:t>
      </w:r>
      <w:r w:rsidR="008D35ED">
        <w:rPr>
          <w:rFonts w:asciiTheme="minorBidi" w:hAnsiTheme="minorBidi"/>
        </w:rPr>
        <w:t xml:space="preserve">IRDA restricts a party from, </w:t>
      </w:r>
      <w:r w:rsidR="008D35ED" w:rsidRPr="00BA64EA">
        <w:rPr>
          <w:rFonts w:asciiTheme="minorBidi" w:hAnsiTheme="minorBidi"/>
          <w:i/>
          <w:iCs/>
        </w:rPr>
        <w:t>inter alia</w:t>
      </w:r>
      <w:r w:rsidR="008D35ED">
        <w:rPr>
          <w:rFonts w:asciiTheme="minorBidi" w:hAnsiTheme="minorBidi"/>
        </w:rPr>
        <w:t xml:space="preserve">, terminating or claiming an accelerated payment under an agreement with a company </w:t>
      </w:r>
      <w:r w:rsidR="008D35ED" w:rsidRPr="008D35ED">
        <w:rPr>
          <w:rFonts w:asciiTheme="minorBidi" w:hAnsiTheme="minorBidi"/>
        </w:rPr>
        <w:t>by reason only that the company has commenced proceedings for</w:t>
      </w:r>
      <w:r w:rsidR="008D35ED">
        <w:rPr>
          <w:rFonts w:asciiTheme="minorBidi" w:hAnsiTheme="minorBidi"/>
        </w:rPr>
        <w:t xml:space="preserve">, </w:t>
      </w:r>
      <w:r w:rsidR="008D35ED" w:rsidRPr="008D35ED">
        <w:rPr>
          <w:rFonts w:asciiTheme="minorBidi" w:hAnsiTheme="minorBidi"/>
          <w:i/>
          <w:iCs/>
        </w:rPr>
        <w:t>inter alia</w:t>
      </w:r>
      <w:r w:rsidR="008D35ED">
        <w:rPr>
          <w:rFonts w:asciiTheme="minorBidi" w:hAnsiTheme="minorBidi"/>
        </w:rPr>
        <w:t>,</w:t>
      </w:r>
      <w:r w:rsidR="008D35ED" w:rsidRPr="008D35ED">
        <w:rPr>
          <w:rFonts w:asciiTheme="minorBidi" w:hAnsiTheme="minorBidi"/>
        </w:rPr>
        <w:t xml:space="preserve"> judicial management or a scheme of arrangement</w:t>
      </w:r>
      <w:r w:rsidR="00BA64EA">
        <w:rPr>
          <w:rFonts w:asciiTheme="minorBidi" w:hAnsiTheme="minorBidi"/>
        </w:rPr>
        <w:t>,</w:t>
      </w:r>
      <w:r w:rsidR="008D35ED" w:rsidRPr="008D35ED">
        <w:rPr>
          <w:rFonts w:asciiTheme="minorBidi" w:hAnsiTheme="minorBidi"/>
        </w:rPr>
        <w:t xml:space="preserve"> or that the company is insolvent.</w:t>
      </w:r>
      <w:r w:rsidR="008D35ED">
        <w:rPr>
          <w:rFonts w:asciiTheme="minorBidi" w:hAnsiTheme="minorBidi"/>
        </w:rPr>
        <w:t xml:space="preserve"> However, it should be noted that such ‘ipso facto’ laws are not a panacea for companies in financial distress given that </w:t>
      </w:r>
      <w:r w:rsidR="00182B90">
        <w:rPr>
          <w:rFonts w:asciiTheme="minorBidi" w:hAnsiTheme="minorBidi"/>
        </w:rPr>
        <w:t xml:space="preserve">future suppliers and customers are under no obligation to contract with the financially distressed company. </w:t>
      </w:r>
    </w:p>
    <w:p w:rsidR="00182B90" w:rsidRDefault="00182B90" w:rsidP="0041017A">
      <w:pPr>
        <w:spacing w:after="0" w:line="240" w:lineRule="auto"/>
        <w:jc w:val="both"/>
        <w:rPr>
          <w:rFonts w:asciiTheme="minorBidi" w:hAnsiTheme="minorBidi"/>
        </w:rPr>
      </w:pPr>
    </w:p>
    <w:p w:rsidR="00182B90" w:rsidRDefault="00182B90" w:rsidP="0041017A">
      <w:pPr>
        <w:spacing w:after="0" w:line="240" w:lineRule="auto"/>
        <w:jc w:val="both"/>
        <w:rPr>
          <w:rFonts w:asciiTheme="minorBidi" w:hAnsiTheme="minorBidi"/>
        </w:rPr>
      </w:pPr>
    </w:p>
    <w:p w:rsidR="00182B90" w:rsidRPr="00754FDB" w:rsidRDefault="00182B90" w:rsidP="0041017A">
      <w:pPr>
        <w:spacing w:after="0" w:line="240" w:lineRule="auto"/>
        <w:jc w:val="both"/>
        <w:rPr>
          <w:rFonts w:asciiTheme="minorBidi" w:hAnsiTheme="minorBidi"/>
          <w:i/>
          <w:iCs/>
          <w:u w:val="single"/>
        </w:rPr>
      </w:pPr>
      <w:r w:rsidRPr="00754FDB">
        <w:rPr>
          <w:rFonts w:asciiTheme="minorBidi" w:hAnsiTheme="minorBidi"/>
          <w:i/>
          <w:iCs/>
          <w:u w:val="single"/>
        </w:rPr>
        <w:t>Control</w:t>
      </w:r>
    </w:p>
    <w:p w:rsidR="00182B90" w:rsidRDefault="00182B90" w:rsidP="0041017A">
      <w:pPr>
        <w:spacing w:after="0" w:line="240" w:lineRule="auto"/>
        <w:jc w:val="both"/>
        <w:rPr>
          <w:rFonts w:asciiTheme="minorBidi" w:hAnsiTheme="minorBidi"/>
        </w:rPr>
      </w:pPr>
    </w:p>
    <w:p w:rsidR="00CC1142" w:rsidRPr="004059DE" w:rsidRDefault="00182B90" w:rsidP="0041017A">
      <w:pPr>
        <w:spacing w:after="0" w:line="240" w:lineRule="auto"/>
        <w:jc w:val="both"/>
        <w:rPr>
          <w:rFonts w:asciiTheme="minorBidi" w:hAnsiTheme="minorBidi"/>
        </w:rPr>
      </w:pPr>
      <w:r>
        <w:rPr>
          <w:rFonts w:asciiTheme="minorBidi" w:hAnsiTheme="minorBidi"/>
        </w:rPr>
        <w:t>Workouts enable the management of a debtor to stay in control and “</w:t>
      </w:r>
      <w:r w:rsidRPr="00182B90">
        <w:rPr>
          <w:rFonts w:asciiTheme="minorBidi" w:hAnsiTheme="minorBidi"/>
          <w:i/>
          <w:iCs/>
        </w:rPr>
        <w:t>continue to fully run the company independently</w:t>
      </w:r>
      <w:r>
        <w:rPr>
          <w:rFonts w:asciiTheme="minorBidi" w:hAnsiTheme="minorBidi"/>
        </w:rPr>
        <w:t>”.</w:t>
      </w:r>
      <w:r>
        <w:rPr>
          <w:rStyle w:val="FootnoteReference"/>
          <w:rFonts w:asciiTheme="minorBidi" w:hAnsiTheme="minorBidi"/>
        </w:rPr>
        <w:footnoteReference w:id="23"/>
      </w:r>
      <w:r>
        <w:rPr>
          <w:rFonts w:asciiTheme="minorBidi" w:hAnsiTheme="minorBidi"/>
        </w:rPr>
        <w:t xml:space="preserve"> In comparison, in certain types of Formal Procedures (such as judicial management or interim judicial management</w:t>
      </w:r>
      <w:r w:rsidR="00A30784">
        <w:rPr>
          <w:rFonts w:asciiTheme="minorBidi" w:hAnsiTheme="minorBidi"/>
        </w:rPr>
        <w:t xml:space="preserve"> in Singapore</w:t>
      </w:r>
      <w:r>
        <w:rPr>
          <w:rFonts w:asciiTheme="minorBidi" w:hAnsiTheme="minorBidi"/>
        </w:rPr>
        <w:t>), an independent insolvency officeholder is appointed</w:t>
      </w:r>
      <w:r w:rsidR="00E817E7">
        <w:rPr>
          <w:rFonts w:asciiTheme="minorBidi" w:hAnsiTheme="minorBidi"/>
        </w:rPr>
        <w:t xml:space="preserve"> (the “</w:t>
      </w:r>
      <w:r w:rsidR="00E817E7" w:rsidRPr="00E817E7">
        <w:rPr>
          <w:rFonts w:asciiTheme="minorBidi" w:hAnsiTheme="minorBidi"/>
          <w:b/>
          <w:bCs/>
        </w:rPr>
        <w:t>External Administrator</w:t>
      </w:r>
      <w:r w:rsidR="00E817E7">
        <w:rPr>
          <w:rFonts w:asciiTheme="minorBidi" w:hAnsiTheme="minorBidi"/>
        </w:rPr>
        <w:t xml:space="preserve">”). Depending on the type of External Administrator appointed, it may be an officer of the court and acts in the interests of creditors. </w:t>
      </w:r>
      <w:r w:rsidR="00A30784">
        <w:rPr>
          <w:rFonts w:asciiTheme="minorBidi" w:hAnsiTheme="minorBidi"/>
        </w:rPr>
        <w:t>Additionally, the</w:t>
      </w:r>
      <w:r w:rsidR="00E817E7">
        <w:rPr>
          <w:rFonts w:asciiTheme="minorBidi" w:hAnsiTheme="minorBidi"/>
        </w:rPr>
        <w:t xml:space="preserve"> authority of the directors of the company will generally be displaced in favour of the External Administrator. </w:t>
      </w:r>
    </w:p>
    <w:p w:rsidR="006132BF" w:rsidRDefault="006132BF" w:rsidP="0041017A">
      <w:pPr>
        <w:spacing w:after="0" w:line="240" w:lineRule="auto"/>
        <w:jc w:val="both"/>
        <w:rPr>
          <w:rFonts w:asciiTheme="minorBidi" w:hAnsiTheme="minorBidi"/>
        </w:rPr>
      </w:pPr>
    </w:p>
    <w:p w:rsidR="00865CF8" w:rsidRDefault="00E817E7" w:rsidP="0041017A">
      <w:pPr>
        <w:spacing w:after="0" w:line="240" w:lineRule="auto"/>
        <w:jc w:val="both"/>
        <w:rPr>
          <w:rFonts w:asciiTheme="minorBidi" w:hAnsiTheme="minorBidi"/>
        </w:rPr>
      </w:pPr>
      <w:r>
        <w:rPr>
          <w:rFonts w:asciiTheme="minorBidi" w:hAnsiTheme="minorBidi"/>
        </w:rPr>
        <w:t xml:space="preserve">Whether </w:t>
      </w:r>
      <w:r w:rsidR="00402186">
        <w:rPr>
          <w:rFonts w:asciiTheme="minorBidi" w:hAnsiTheme="minorBidi"/>
        </w:rPr>
        <w:t xml:space="preserve">the concept of ‘control’ is an advantage or disadvantage to a Workout depends </w:t>
      </w:r>
      <w:r w:rsidR="00A30784">
        <w:rPr>
          <w:rFonts w:asciiTheme="minorBidi" w:hAnsiTheme="minorBidi"/>
        </w:rPr>
        <w:t xml:space="preserve">on </w:t>
      </w:r>
      <w:r w:rsidR="00640F35">
        <w:rPr>
          <w:rFonts w:asciiTheme="minorBidi" w:hAnsiTheme="minorBidi"/>
        </w:rPr>
        <w:t xml:space="preserve">the </w:t>
      </w:r>
      <w:r w:rsidR="00A30784">
        <w:rPr>
          <w:rFonts w:asciiTheme="minorBidi" w:hAnsiTheme="minorBidi"/>
        </w:rPr>
        <w:t>perspective of each</w:t>
      </w:r>
      <w:r w:rsidR="00402186">
        <w:rPr>
          <w:rFonts w:asciiTheme="minorBidi" w:hAnsiTheme="minorBidi"/>
        </w:rPr>
        <w:t xml:space="preserve"> relevant stakeholder. </w:t>
      </w:r>
      <w:r w:rsidR="00531D44">
        <w:rPr>
          <w:rFonts w:asciiTheme="minorBidi" w:hAnsiTheme="minorBidi"/>
        </w:rPr>
        <w:t>For example, f</w:t>
      </w:r>
      <w:r w:rsidR="00402186">
        <w:rPr>
          <w:rFonts w:asciiTheme="minorBidi" w:hAnsiTheme="minorBidi"/>
        </w:rPr>
        <w:t xml:space="preserve">rom the perspective of a creditor which has lost faith in the management of a debtor, the appointment of an independent insolvency officeholder may be seen positively and may encourage the development of a restructuring plan. Conversely, other stakeholders (such as trade suppliers and long term customers) may view the appointment of External Administrators unfavourably given that their </w:t>
      </w:r>
      <w:r w:rsidR="00402186">
        <w:rPr>
          <w:rFonts w:asciiTheme="minorBidi" w:hAnsiTheme="minorBidi"/>
        </w:rPr>
        <w:lastRenderedPageBreak/>
        <w:t xml:space="preserve">personal relationship exists with management who no longer have the authority to operate the </w:t>
      </w:r>
      <w:r w:rsidR="00531D44">
        <w:rPr>
          <w:rFonts w:asciiTheme="minorBidi" w:hAnsiTheme="minorBidi"/>
        </w:rPr>
        <w:t>business.</w:t>
      </w:r>
      <w:r w:rsidR="00531D44">
        <w:rPr>
          <w:rStyle w:val="FootnoteReference"/>
          <w:rFonts w:asciiTheme="minorBidi" w:hAnsiTheme="minorBidi"/>
        </w:rPr>
        <w:footnoteReference w:id="24"/>
      </w:r>
    </w:p>
    <w:p w:rsidR="00531D44" w:rsidRDefault="00531D44" w:rsidP="0041017A">
      <w:pPr>
        <w:spacing w:after="0" w:line="240" w:lineRule="auto"/>
        <w:jc w:val="both"/>
        <w:rPr>
          <w:rFonts w:asciiTheme="minorBidi" w:hAnsiTheme="minorBidi"/>
        </w:rPr>
      </w:pPr>
    </w:p>
    <w:p w:rsidR="00531D44" w:rsidRDefault="00531D44" w:rsidP="0041017A">
      <w:pPr>
        <w:spacing w:after="0" w:line="240" w:lineRule="auto"/>
        <w:jc w:val="both"/>
        <w:rPr>
          <w:rFonts w:asciiTheme="minorBidi" w:hAnsiTheme="minorBidi"/>
        </w:rPr>
      </w:pPr>
      <w:r>
        <w:rPr>
          <w:rFonts w:asciiTheme="minorBidi" w:hAnsiTheme="minorBidi"/>
        </w:rPr>
        <w:t xml:space="preserve">Additionally, a Formal Procedure does not necessarily result in a loss of control for existing management. For example, in Singapore, a Scheme of Arrangement is often referred to a ‘debtor-in-possession’ procedure because the existing management remain in control of the debtor during the </w:t>
      </w:r>
      <w:r w:rsidR="00A30784">
        <w:rPr>
          <w:rFonts w:asciiTheme="minorBidi" w:hAnsiTheme="minorBidi"/>
        </w:rPr>
        <w:t>Scheme of Arrangement</w:t>
      </w:r>
      <w:r>
        <w:rPr>
          <w:rFonts w:asciiTheme="minorBidi" w:hAnsiTheme="minorBidi"/>
        </w:rPr>
        <w:t xml:space="preserve">. </w:t>
      </w:r>
    </w:p>
    <w:p w:rsidR="00531D44" w:rsidRDefault="00531D44" w:rsidP="0041017A">
      <w:pPr>
        <w:spacing w:after="0" w:line="240" w:lineRule="auto"/>
        <w:jc w:val="both"/>
        <w:rPr>
          <w:rFonts w:asciiTheme="minorBidi" w:hAnsiTheme="minorBidi"/>
        </w:rPr>
      </w:pPr>
    </w:p>
    <w:p w:rsidR="00531D44" w:rsidRDefault="00531D44" w:rsidP="0041017A">
      <w:pPr>
        <w:spacing w:after="0" w:line="240" w:lineRule="auto"/>
        <w:jc w:val="both"/>
        <w:rPr>
          <w:rFonts w:asciiTheme="minorBidi" w:hAnsiTheme="minorBidi"/>
        </w:rPr>
      </w:pPr>
    </w:p>
    <w:p w:rsidR="00531D44" w:rsidRPr="00754FDB" w:rsidRDefault="00531D44" w:rsidP="0041017A">
      <w:pPr>
        <w:spacing w:after="0" w:line="240" w:lineRule="auto"/>
        <w:jc w:val="both"/>
        <w:rPr>
          <w:rFonts w:asciiTheme="minorBidi" w:hAnsiTheme="minorBidi"/>
          <w:i/>
          <w:iCs/>
          <w:u w:val="single"/>
        </w:rPr>
      </w:pPr>
      <w:r w:rsidRPr="00754FDB">
        <w:rPr>
          <w:rFonts w:asciiTheme="minorBidi" w:hAnsiTheme="minorBidi"/>
          <w:i/>
          <w:iCs/>
          <w:u w:val="single"/>
        </w:rPr>
        <w:t>Conclusion</w:t>
      </w:r>
    </w:p>
    <w:p w:rsidR="00531D44" w:rsidRDefault="00531D44" w:rsidP="0041017A">
      <w:pPr>
        <w:spacing w:after="0" w:line="240" w:lineRule="auto"/>
        <w:jc w:val="both"/>
        <w:rPr>
          <w:rFonts w:asciiTheme="minorBidi" w:hAnsiTheme="minorBidi"/>
        </w:rPr>
      </w:pPr>
    </w:p>
    <w:p w:rsidR="00531D44" w:rsidRDefault="00531D44" w:rsidP="0041017A">
      <w:pPr>
        <w:spacing w:after="0" w:line="240" w:lineRule="auto"/>
        <w:jc w:val="both"/>
        <w:rPr>
          <w:rFonts w:asciiTheme="minorBidi" w:hAnsiTheme="minorBidi"/>
        </w:rPr>
      </w:pPr>
      <w:r>
        <w:rPr>
          <w:rFonts w:asciiTheme="minorBidi" w:hAnsiTheme="minorBidi"/>
        </w:rPr>
        <w:t xml:space="preserve">Workouts and Formal Procedures have differing strengths and weaknesses and, ultimately, whether parties decide to proceed with one or the other will turn on the particular facts of that case. Furthermore, </w:t>
      </w:r>
      <w:r w:rsidR="0023016E">
        <w:rPr>
          <w:rFonts w:asciiTheme="minorBidi" w:hAnsiTheme="minorBidi"/>
        </w:rPr>
        <w:t>in my experience, Workouts and Formal Procedures are not mutually exclusive events and</w:t>
      </w:r>
      <w:r w:rsidR="006252A3">
        <w:rPr>
          <w:rFonts w:asciiTheme="minorBidi" w:hAnsiTheme="minorBidi"/>
        </w:rPr>
        <w:t>,</w:t>
      </w:r>
      <w:r w:rsidR="0023016E">
        <w:rPr>
          <w:rFonts w:asciiTheme="minorBidi" w:hAnsiTheme="minorBidi"/>
        </w:rPr>
        <w:t xml:space="preserve"> rather, both forms will be used to implement </w:t>
      </w:r>
      <w:r w:rsidR="00BA64EA">
        <w:rPr>
          <w:rFonts w:asciiTheme="minorBidi" w:hAnsiTheme="minorBidi"/>
        </w:rPr>
        <w:t xml:space="preserve">the terms of </w:t>
      </w:r>
      <w:r w:rsidR="0023016E">
        <w:rPr>
          <w:rFonts w:asciiTheme="minorBidi" w:hAnsiTheme="minorBidi"/>
        </w:rPr>
        <w:t xml:space="preserve">a restructuring agreement negotiated between </w:t>
      </w:r>
      <w:r w:rsidR="00BA64EA">
        <w:rPr>
          <w:rFonts w:asciiTheme="minorBidi" w:hAnsiTheme="minorBidi"/>
        </w:rPr>
        <w:t xml:space="preserve">the </w:t>
      </w:r>
      <w:r w:rsidR="00146E78">
        <w:rPr>
          <w:rFonts w:asciiTheme="minorBidi" w:hAnsiTheme="minorBidi"/>
        </w:rPr>
        <w:t xml:space="preserve">relevant </w:t>
      </w:r>
      <w:r w:rsidR="0023016E">
        <w:rPr>
          <w:rFonts w:asciiTheme="minorBidi" w:hAnsiTheme="minorBidi"/>
        </w:rPr>
        <w:t xml:space="preserve">parties. </w:t>
      </w:r>
    </w:p>
    <w:p w:rsidR="00865CF8" w:rsidRDefault="00865CF8" w:rsidP="0041017A">
      <w:pPr>
        <w:spacing w:after="0" w:line="240" w:lineRule="auto"/>
        <w:jc w:val="both"/>
        <w:rPr>
          <w:rFonts w:asciiTheme="minorBidi" w:hAnsiTheme="minorBidi"/>
        </w:rPr>
      </w:pPr>
    </w:p>
    <w:p w:rsidR="00865CF8" w:rsidRDefault="00865CF8" w:rsidP="0041017A">
      <w:pPr>
        <w:spacing w:after="0" w:line="240" w:lineRule="auto"/>
        <w:jc w:val="both"/>
        <w:rPr>
          <w:rFonts w:asciiTheme="minorBidi" w:hAnsiTheme="minorBidi"/>
        </w:rPr>
      </w:pPr>
    </w:p>
    <w:p w:rsidR="00865CF8" w:rsidRDefault="00865CF8" w:rsidP="0041017A">
      <w:pPr>
        <w:spacing w:after="0" w:line="240" w:lineRule="auto"/>
        <w:jc w:val="both"/>
        <w:rPr>
          <w:rFonts w:asciiTheme="minorBidi" w:hAnsiTheme="minorBidi"/>
        </w:rPr>
      </w:pPr>
    </w:p>
    <w:p w:rsidR="00AF289A" w:rsidRPr="007245F1" w:rsidRDefault="00AF289A" w:rsidP="0041017A">
      <w:pPr>
        <w:spacing w:after="0" w:line="240" w:lineRule="auto"/>
        <w:jc w:val="both"/>
        <w:rPr>
          <w:rFonts w:asciiTheme="minorBidi" w:hAnsiTheme="minorBidi"/>
        </w:rPr>
      </w:pPr>
    </w:p>
    <w:p w:rsidR="004C55DF" w:rsidRDefault="004C55DF" w:rsidP="0041017A">
      <w:pPr>
        <w:jc w:val="both"/>
        <w:rPr>
          <w:rFonts w:asciiTheme="minorBidi" w:hAnsiTheme="minorBidi"/>
        </w:rPr>
      </w:pPr>
      <w:r>
        <w:rPr>
          <w:rFonts w:asciiTheme="minorBidi" w:hAnsiTheme="minorBidi"/>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3. Were the turnaround/reorganization approaches as presented in the reading material (see</w:t>
      </w:r>
      <w:r w:rsidRPr="004C55DF">
        <w:rPr>
          <w:rFonts w:asciiTheme="minorBidi" w:hAnsiTheme="minorBidi"/>
          <w:b/>
          <w:bCs/>
        </w:rPr>
        <w:t xml:space="preserve"> </w:t>
      </w:r>
      <w:r w:rsidR="00391B80" w:rsidRPr="004C55DF">
        <w:rPr>
          <w:rFonts w:asciiTheme="minorBidi" w:hAnsiTheme="minorBidi"/>
          <w:b/>
          <w:bCs/>
        </w:rPr>
        <w:t>e.g., Adriaanse &amp; Kuijl, 2006, Pajunen, 2006, Sudarsanam, S, Lai, J., 2001, Schmitt, A.,</w:t>
      </w:r>
      <w:r w:rsidRPr="004C55DF">
        <w:rPr>
          <w:rFonts w:asciiTheme="minorBidi" w:hAnsiTheme="minorBidi"/>
          <w:b/>
          <w:bCs/>
        </w:rPr>
        <w:t xml:space="preserve"> </w:t>
      </w:r>
      <w:r w:rsidR="00391B80" w:rsidRPr="004C55DF">
        <w:rPr>
          <w:rFonts w:asciiTheme="minorBidi" w:hAnsiTheme="minorBidi"/>
          <w:b/>
          <w:bCs/>
        </w:rPr>
        <w:t>Raisch, S., 2013) applied in this case? If yes, explain in what way. If no, detail what in</w:t>
      </w:r>
      <w:r w:rsidRPr="004C55DF">
        <w:rPr>
          <w:rFonts w:asciiTheme="minorBidi" w:hAnsiTheme="minorBidi"/>
          <w:b/>
          <w:bCs/>
        </w:rPr>
        <w:t xml:space="preserve"> </w:t>
      </w:r>
      <w:r w:rsidR="00391B80" w:rsidRPr="004C55DF">
        <w:rPr>
          <w:rFonts w:asciiTheme="minorBidi" w:hAnsiTheme="minorBidi"/>
          <w:b/>
          <w:bCs/>
        </w:rPr>
        <w:t>your opinion should have been done differently.</w:t>
      </w:r>
    </w:p>
    <w:p w:rsidR="00391B80" w:rsidRDefault="00391B80" w:rsidP="0041017A">
      <w:pPr>
        <w:spacing w:after="0" w:line="240" w:lineRule="auto"/>
        <w:jc w:val="both"/>
        <w:rPr>
          <w:rFonts w:asciiTheme="minorBidi" w:hAnsiTheme="minorBidi"/>
        </w:rPr>
      </w:pPr>
    </w:p>
    <w:p w:rsidR="009A648E" w:rsidRDefault="009A648E" w:rsidP="0041017A">
      <w:pPr>
        <w:spacing w:after="0" w:line="240" w:lineRule="auto"/>
        <w:jc w:val="both"/>
        <w:rPr>
          <w:rFonts w:asciiTheme="minorBidi" w:hAnsiTheme="minorBidi"/>
        </w:rPr>
      </w:pPr>
    </w:p>
    <w:p w:rsidR="000307E1" w:rsidRDefault="000307E1" w:rsidP="0041017A">
      <w:pPr>
        <w:spacing w:after="0" w:line="240" w:lineRule="auto"/>
        <w:jc w:val="both"/>
        <w:rPr>
          <w:rFonts w:asciiTheme="minorBidi" w:hAnsiTheme="minorBidi"/>
        </w:rPr>
      </w:pPr>
      <w:r>
        <w:rPr>
          <w:rFonts w:asciiTheme="minorBidi" w:hAnsiTheme="minorBidi"/>
        </w:rPr>
        <w:t>The Case Study present</w:t>
      </w:r>
      <w:r w:rsidR="00E440AA">
        <w:rPr>
          <w:rFonts w:asciiTheme="minorBidi" w:hAnsiTheme="minorBidi"/>
        </w:rPr>
        <w:t>s</w:t>
      </w:r>
      <w:r>
        <w:rPr>
          <w:rFonts w:asciiTheme="minorBidi" w:hAnsiTheme="minorBidi"/>
        </w:rPr>
        <w:t xml:space="preserve"> a series of different and (sometimes) conflicting turnaround / reorganisation approaches which were applied by the relevant parties in the Case Study</w:t>
      </w:r>
      <w:r w:rsidR="003120FA">
        <w:rPr>
          <w:rFonts w:asciiTheme="minorBidi" w:hAnsiTheme="minorBidi"/>
        </w:rPr>
        <w:t xml:space="preserve"> during the restructuring of </w:t>
      </w:r>
      <w:r w:rsidR="003120FA" w:rsidRPr="00427778">
        <w:rPr>
          <w:rFonts w:asciiTheme="minorBidi" w:hAnsiTheme="minorBidi"/>
        </w:rPr>
        <w:t xml:space="preserve">Flow Management </w:t>
      </w:r>
      <w:r w:rsidR="003120FA">
        <w:rPr>
          <w:rFonts w:asciiTheme="minorBidi" w:hAnsiTheme="minorBidi"/>
        </w:rPr>
        <w:t>Group (the “</w:t>
      </w:r>
      <w:r w:rsidR="003120FA" w:rsidRPr="003120FA">
        <w:rPr>
          <w:rFonts w:asciiTheme="minorBidi" w:hAnsiTheme="minorBidi"/>
          <w:b/>
          <w:bCs/>
        </w:rPr>
        <w:t>FMG Restructuring</w:t>
      </w:r>
      <w:r w:rsidR="003120FA">
        <w:rPr>
          <w:rFonts w:asciiTheme="minorBidi" w:hAnsiTheme="minorBidi"/>
        </w:rPr>
        <w:t>”).</w:t>
      </w:r>
    </w:p>
    <w:p w:rsidR="009F703B" w:rsidRDefault="009F703B" w:rsidP="0041017A">
      <w:pPr>
        <w:spacing w:after="0" w:line="240" w:lineRule="auto"/>
        <w:jc w:val="both"/>
        <w:rPr>
          <w:rFonts w:asciiTheme="minorBidi" w:hAnsiTheme="minorBidi"/>
        </w:rPr>
      </w:pPr>
    </w:p>
    <w:p w:rsidR="009F703B" w:rsidRDefault="009F703B" w:rsidP="0041017A">
      <w:pPr>
        <w:spacing w:after="0" w:line="240" w:lineRule="auto"/>
        <w:jc w:val="both"/>
        <w:rPr>
          <w:rFonts w:asciiTheme="minorBidi" w:hAnsiTheme="minorBidi"/>
        </w:rPr>
      </w:pPr>
    </w:p>
    <w:p w:rsidR="009F703B" w:rsidRPr="00640095" w:rsidRDefault="009F703B" w:rsidP="0041017A">
      <w:pPr>
        <w:spacing w:after="0" w:line="240" w:lineRule="auto"/>
        <w:jc w:val="both"/>
        <w:rPr>
          <w:rFonts w:asciiTheme="minorBidi" w:hAnsiTheme="minorBidi"/>
          <w:i/>
          <w:iCs/>
          <w:u w:val="single"/>
        </w:rPr>
      </w:pPr>
      <w:r w:rsidRPr="00640095">
        <w:rPr>
          <w:rFonts w:asciiTheme="minorBidi" w:hAnsiTheme="minorBidi"/>
          <w:i/>
          <w:iCs/>
          <w:u w:val="single"/>
        </w:rPr>
        <w:t>Business restructuring versus financial restructuring</w:t>
      </w:r>
    </w:p>
    <w:p w:rsidR="000307E1" w:rsidRDefault="000307E1" w:rsidP="0041017A">
      <w:pPr>
        <w:spacing w:after="0" w:line="240" w:lineRule="auto"/>
        <w:jc w:val="both"/>
        <w:rPr>
          <w:rFonts w:asciiTheme="minorBidi" w:hAnsiTheme="minorBidi"/>
        </w:rPr>
      </w:pPr>
    </w:p>
    <w:p w:rsidR="002A25D7" w:rsidRDefault="00173351" w:rsidP="0041017A">
      <w:pPr>
        <w:spacing w:after="0" w:line="240" w:lineRule="auto"/>
        <w:jc w:val="both"/>
        <w:rPr>
          <w:rFonts w:asciiTheme="minorBidi" w:hAnsiTheme="minorBidi"/>
        </w:rPr>
      </w:pPr>
      <w:r>
        <w:rPr>
          <w:rFonts w:asciiTheme="minorBidi" w:hAnsiTheme="minorBidi"/>
        </w:rPr>
        <w:t>Business restructuring has been defined as “</w:t>
      </w:r>
      <w:r w:rsidRPr="00173351">
        <w:rPr>
          <w:rFonts w:asciiTheme="minorBidi" w:hAnsiTheme="minorBidi"/>
          <w:i/>
          <w:iCs/>
        </w:rPr>
        <w:t>a comprehensive plan the aim of which is to restore the (operational) profitability of a company in financial difficulties</w:t>
      </w:r>
      <w:r>
        <w:rPr>
          <w:rFonts w:asciiTheme="minorBidi" w:hAnsiTheme="minorBidi"/>
          <w:i/>
          <w:iCs/>
        </w:rPr>
        <w:t>.</w:t>
      </w:r>
      <w:r>
        <w:rPr>
          <w:rFonts w:asciiTheme="minorBidi" w:hAnsiTheme="minorBidi"/>
        </w:rPr>
        <w:t>”</w:t>
      </w:r>
      <w:r>
        <w:rPr>
          <w:rStyle w:val="FootnoteReference"/>
          <w:rFonts w:asciiTheme="minorBidi" w:hAnsiTheme="minorBidi"/>
        </w:rPr>
        <w:footnoteReference w:id="25"/>
      </w:r>
      <w:r w:rsidR="0053061F">
        <w:rPr>
          <w:rFonts w:asciiTheme="minorBidi" w:hAnsiTheme="minorBidi"/>
        </w:rPr>
        <w:t xml:space="preserve"> In this respect, there is clear evidence that the </w:t>
      </w:r>
      <w:r w:rsidR="00591C19">
        <w:rPr>
          <w:rFonts w:asciiTheme="minorBidi" w:hAnsiTheme="minorBidi"/>
        </w:rPr>
        <w:t>FMG Management</w:t>
      </w:r>
      <w:r w:rsidR="0053061F">
        <w:rPr>
          <w:rFonts w:asciiTheme="minorBidi" w:hAnsiTheme="minorBidi"/>
        </w:rPr>
        <w:t xml:space="preserve"> sought to </w:t>
      </w:r>
      <w:r w:rsidR="0033104A" w:rsidRPr="0033104A">
        <w:rPr>
          <w:rFonts w:asciiTheme="minorBidi" w:hAnsiTheme="minorBidi"/>
        </w:rPr>
        <w:t>restore the operational profitabilit</w:t>
      </w:r>
      <w:r w:rsidR="0033104A">
        <w:rPr>
          <w:rFonts w:asciiTheme="minorBidi" w:hAnsiTheme="minorBidi"/>
        </w:rPr>
        <w:t xml:space="preserve">y of the </w:t>
      </w:r>
      <w:r w:rsidR="0033104A" w:rsidRPr="00427778">
        <w:rPr>
          <w:rFonts w:asciiTheme="minorBidi" w:hAnsiTheme="minorBidi"/>
        </w:rPr>
        <w:t xml:space="preserve">Flow Management </w:t>
      </w:r>
      <w:r w:rsidR="0033104A">
        <w:rPr>
          <w:rFonts w:asciiTheme="minorBidi" w:hAnsiTheme="minorBidi"/>
        </w:rPr>
        <w:t>Group through</w:t>
      </w:r>
      <w:r w:rsidR="00867413">
        <w:rPr>
          <w:rFonts w:asciiTheme="minorBidi" w:hAnsiTheme="minorBidi"/>
        </w:rPr>
        <w:t xml:space="preserve">, for example, </w:t>
      </w:r>
      <w:r w:rsidR="0033104A">
        <w:rPr>
          <w:rFonts w:asciiTheme="minorBidi" w:hAnsiTheme="minorBidi"/>
        </w:rPr>
        <w:t xml:space="preserve">discussions with clients regarding price increases </w:t>
      </w:r>
      <w:r w:rsidR="00867413">
        <w:rPr>
          <w:rFonts w:asciiTheme="minorBidi" w:hAnsiTheme="minorBidi"/>
        </w:rPr>
        <w:t xml:space="preserve">and the implementation of spending cuts in November 2013. It is noteworthy that, as the </w:t>
      </w:r>
      <w:r w:rsidR="003120FA">
        <w:rPr>
          <w:rFonts w:asciiTheme="minorBidi" w:hAnsiTheme="minorBidi"/>
        </w:rPr>
        <w:t xml:space="preserve">FMG Restructuring </w:t>
      </w:r>
      <w:r w:rsidR="00867413">
        <w:rPr>
          <w:rFonts w:asciiTheme="minorBidi" w:hAnsiTheme="minorBidi"/>
        </w:rPr>
        <w:t xml:space="preserve">developed, the business restructuring plans proposed by </w:t>
      </w:r>
      <w:r w:rsidR="00591C19">
        <w:rPr>
          <w:rFonts w:asciiTheme="minorBidi" w:hAnsiTheme="minorBidi"/>
        </w:rPr>
        <w:t xml:space="preserve">the FMG Management </w:t>
      </w:r>
      <w:r w:rsidR="00867413">
        <w:rPr>
          <w:rFonts w:asciiTheme="minorBidi" w:hAnsiTheme="minorBidi"/>
        </w:rPr>
        <w:t>increased in magnitude</w:t>
      </w:r>
      <w:r w:rsidR="00635802">
        <w:rPr>
          <w:rFonts w:asciiTheme="minorBidi" w:hAnsiTheme="minorBidi"/>
        </w:rPr>
        <w:t>,</w:t>
      </w:r>
      <w:r w:rsidR="00867413">
        <w:rPr>
          <w:rFonts w:asciiTheme="minorBidi" w:hAnsiTheme="minorBidi"/>
        </w:rPr>
        <w:t xml:space="preserve"> with larger cuts and more extensive evaluation and assessment of the business.</w:t>
      </w:r>
      <w:r w:rsidR="002A25D7">
        <w:rPr>
          <w:rFonts w:asciiTheme="minorBidi" w:hAnsiTheme="minorBidi"/>
        </w:rPr>
        <w:t xml:space="preserve"> This suggests that the business restructuring, by itself</w:t>
      </w:r>
      <w:r w:rsidR="00591C19">
        <w:rPr>
          <w:rFonts w:asciiTheme="minorBidi" w:hAnsiTheme="minorBidi"/>
        </w:rPr>
        <w:t>,</w:t>
      </w:r>
      <w:r w:rsidR="002A25D7">
        <w:rPr>
          <w:rFonts w:asciiTheme="minorBidi" w:hAnsiTheme="minorBidi"/>
        </w:rPr>
        <w:t xml:space="preserve"> was not sufficient to resolve the financial difficulties facing the </w:t>
      </w:r>
      <w:r w:rsidR="002A25D7" w:rsidRPr="00427778">
        <w:rPr>
          <w:rFonts w:asciiTheme="minorBidi" w:hAnsiTheme="minorBidi"/>
        </w:rPr>
        <w:t xml:space="preserve">Flow Management </w:t>
      </w:r>
      <w:r w:rsidR="002A25D7">
        <w:rPr>
          <w:rFonts w:asciiTheme="minorBidi" w:hAnsiTheme="minorBidi"/>
        </w:rPr>
        <w:t>Group.</w:t>
      </w:r>
    </w:p>
    <w:p w:rsidR="00D655D9" w:rsidRDefault="00D655D9" w:rsidP="0041017A">
      <w:pPr>
        <w:spacing w:after="0" w:line="240" w:lineRule="auto"/>
        <w:jc w:val="both"/>
        <w:rPr>
          <w:rFonts w:asciiTheme="minorBidi" w:hAnsiTheme="minorBidi"/>
        </w:rPr>
      </w:pPr>
    </w:p>
    <w:p w:rsidR="003B5B77" w:rsidRDefault="008E1BA3" w:rsidP="0041017A">
      <w:pPr>
        <w:spacing w:after="0" w:line="240" w:lineRule="auto"/>
        <w:jc w:val="both"/>
        <w:rPr>
          <w:rFonts w:asciiTheme="minorBidi" w:hAnsiTheme="minorBidi"/>
        </w:rPr>
      </w:pPr>
      <w:r>
        <w:rPr>
          <w:rFonts w:asciiTheme="minorBidi" w:hAnsiTheme="minorBidi"/>
        </w:rPr>
        <w:t>Financial restructuring</w:t>
      </w:r>
      <w:r w:rsidR="002461A0">
        <w:rPr>
          <w:rFonts w:asciiTheme="minorBidi" w:hAnsiTheme="minorBidi"/>
        </w:rPr>
        <w:t xml:space="preserve"> is necessary where the “</w:t>
      </w:r>
      <w:r w:rsidR="002461A0" w:rsidRPr="002461A0">
        <w:rPr>
          <w:rFonts w:asciiTheme="minorBidi" w:hAnsiTheme="minorBidi"/>
          <w:i/>
          <w:iCs/>
        </w:rPr>
        <w:t>losses from the past have — in most cases — disturbed the balance sheet ratios to such an extent that the obligations towards the assets are excessive; as a result, (future) interest and repayment obligations cannot be (or no longer have been) met.</w:t>
      </w:r>
      <w:r w:rsidR="002461A0">
        <w:rPr>
          <w:rFonts w:asciiTheme="minorBidi" w:hAnsiTheme="minorBidi"/>
        </w:rPr>
        <w:t>”</w:t>
      </w:r>
      <w:r w:rsidR="002461A0">
        <w:rPr>
          <w:rStyle w:val="FootnoteReference"/>
          <w:rFonts w:asciiTheme="minorBidi" w:hAnsiTheme="minorBidi"/>
        </w:rPr>
        <w:footnoteReference w:id="26"/>
      </w:r>
      <w:r w:rsidR="002461A0">
        <w:rPr>
          <w:rFonts w:asciiTheme="minorBidi" w:hAnsiTheme="minorBidi"/>
        </w:rPr>
        <w:t xml:space="preserve"> </w:t>
      </w:r>
      <w:r w:rsidR="002F414B">
        <w:rPr>
          <w:rFonts w:asciiTheme="minorBidi" w:hAnsiTheme="minorBidi"/>
        </w:rPr>
        <w:t xml:space="preserve">In this respect, </w:t>
      </w:r>
      <w:r w:rsidR="002461A0">
        <w:rPr>
          <w:rFonts w:asciiTheme="minorBidi" w:hAnsiTheme="minorBidi"/>
        </w:rPr>
        <w:t xml:space="preserve">it </w:t>
      </w:r>
      <w:r w:rsidR="00591C19">
        <w:rPr>
          <w:rFonts w:asciiTheme="minorBidi" w:hAnsiTheme="minorBidi"/>
        </w:rPr>
        <w:t xml:space="preserve">appears </w:t>
      </w:r>
      <w:r w:rsidR="002461A0">
        <w:rPr>
          <w:rFonts w:asciiTheme="minorBidi" w:hAnsiTheme="minorBidi"/>
        </w:rPr>
        <w:t xml:space="preserve">that the approach of the </w:t>
      </w:r>
      <w:r w:rsidR="00591C19">
        <w:rPr>
          <w:rFonts w:asciiTheme="minorBidi" w:hAnsiTheme="minorBidi"/>
        </w:rPr>
        <w:t xml:space="preserve">FMG Management </w:t>
      </w:r>
      <w:r w:rsidR="00E440AA">
        <w:rPr>
          <w:rFonts w:asciiTheme="minorBidi" w:hAnsiTheme="minorBidi"/>
        </w:rPr>
        <w:t>was</w:t>
      </w:r>
      <w:r w:rsidR="002461A0">
        <w:rPr>
          <w:rFonts w:asciiTheme="minorBidi" w:hAnsiTheme="minorBidi"/>
        </w:rPr>
        <w:t xml:space="preserve"> firstly </w:t>
      </w:r>
      <w:r w:rsidR="00E440AA">
        <w:rPr>
          <w:rFonts w:asciiTheme="minorBidi" w:hAnsiTheme="minorBidi"/>
        </w:rPr>
        <w:t>aimed at</w:t>
      </w:r>
      <w:r w:rsidR="002461A0">
        <w:rPr>
          <w:rFonts w:asciiTheme="minorBidi" w:hAnsiTheme="minorBidi"/>
        </w:rPr>
        <w:t xml:space="preserve"> address</w:t>
      </w:r>
      <w:r w:rsidR="00E440AA">
        <w:rPr>
          <w:rFonts w:asciiTheme="minorBidi" w:hAnsiTheme="minorBidi"/>
        </w:rPr>
        <w:t>ing</w:t>
      </w:r>
      <w:r w:rsidR="002461A0">
        <w:rPr>
          <w:rFonts w:asciiTheme="minorBidi" w:hAnsiTheme="minorBidi"/>
        </w:rPr>
        <w:t xml:space="preserve"> financial distress through a business restructuring. However, as</w:t>
      </w:r>
      <w:r w:rsidR="002F414B">
        <w:rPr>
          <w:rFonts w:asciiTheme="minorBidi" w:hAnsiTheme="minorBidi"/>
        </w:rPr>
        <w:t xml:space="preserve"> the financial distress continues, </w:t>
      </w:r>
      <w:r w:rsidR="00F04FDF">
        <w:rPr>
          <w:rFonts w:asciiTheme="minorBidi" w:hAnsiTheme="minorBidi"/>
        </w:rPr>
        <w:t xml:space="preserve">the FMG Management </w:t>
      </w:r>
      <w:r w:rsidR="002F414B">
        <w:rPr>
          <w:rFonts w:asciiTheme="minorBidi" w:hAnsiTheme="minorBidi"/>
        </w:rPr>
        <w:t>eventually seek</w:t>
      </w:r>
      <w:r w:rsidR="00F04FDF">
        <w:rPr>
          <w:rFonts w:asciiTheme="minorBidi" w:hAnsiTheme="minorBidi"/>
        </w:rPr>
        <w:t>s</w:t>
      </w:r>
      <w:r w:rsidR="002F414B">
        <w:rPr>
          <w:rFonts w:asciiTheme="minorBidi" w:hAnsiTheme="minorBidi"/>
        </w:rPr>
        <w:t xml:space="preserve"> to </w:t>
      </w:r>
      <w:r w:rsidR="00277A8E">
        <w:rPr>
          <w:rFonts w:asciiTheme="minorBidi" w:hAnsiTheme="minorBidi"/>
        </w:rPr>
        <w:t>financially</w:t>
      </w:r>
      <w:r w:rsidR="002F414B">
        <w:rPr>
          <w:rFonts w:asciiTheme="minorBidi" w:hAnsiTheme="minorBidi"/>
        </w:rPr>
        <w:t xml:space="preserve"> restructure the </w:t>
      </w:r>
      <w:r w:rsidR="002F414B" w:rsidRPr="00427778">
        <w:rPr>
          <w:rFonts w:asciiTheme="minorBidi" w:hAnsiTheme="minorBidi"/>
        </w:rPr>
        <w:t xml:space="preserve">Flow Management </w:t>
      </w:r>
      <w:r w:rsidR="002F414B">
        <w:rPr>
          <w:rFonts w:asciiTheme="minorBidi" w:hAnsiTheme="minorBidi"/>
        </w:rPr>
        <w:t xml:space="preserve">Group through a combination of equity injections from shareholders, small new loans (such as from the </w:t>
      </w:r>
      <w:r w:rsidR="00277A8E">
        <w:rPr>
          <w:rFonts w:asciiTheme="minorBidi" w:hAnsiTheme="minorBidi"/>
        </w:rPr>
        <w:t>Chief Executive Officer</w:t>
      </w:r>
      <w:r w:rsidR="002F414B">
        <w:rPr>
          <w:rFonts w:asciiTheme="minorBidi" w:hAnsiTheme="minorBidi"/>
        </w:rPr>
        <w:t xml:space="preserve"> of the </w:t>
      </w:r>
      <w:r w:rsidR="002F414B" w:rsidRPr="00427778">
        <w:rPr>
          <w:rFonts w:asciiTheme="minorBidi" w:hAnsiTheme="minorBidi"/>
        </w:rPr>
        <w:t xml:space="preserve">Flow Management </w:t>
      </w:r>
      <w:r w:rsidR="002F414B">
        <w:rPr>
          <w:rFonts w:asciiTheme="minorBidi" w:hAnsiTheme="minorBidi"/>
        </w:rPr>
        <w:t xml:space="preserve">Group in April 2014) and the debt-for-equity swap agreed between the </w:t>
      </w:r>
      <w:r w:rsidR="002F414B" w:rsidRPr="00427778">
        <w:rPr>
          <w:rFonts w:asciiTheme="minorBidi" w:hAnsiTheme="minorBidi"/>
        </w:rPr>
        <w:t xml:space="preserve">Flow Management </w:t>
      </w:r>
      <w:r w:rsidR="002F414B">
        <w:rPr>
          <w:rFonts w:asciiTheme="minorBidi" w:hAnsiTheme="minorBidi"/>
        </w:rPr>
        <w:t>Group and the Working Capital Banks in July 2015.</w:t>
      </w:r>
    </w:p>
    <w:p w:rsidR="003B5B77" w:rsidRDefault="003B5B77" w:rsidP="0041017A">
      <w:pPr>
        <w:spacing w:after="0" w:line="240" w:lineRule="auto"/>
        <w:jc w:val="both"/>
        <w:rPr>
          <w:rFonts w:asciiTheme="minorBidi" w:hAnsiTheme="minorBidi"/>
        </w:rPr>
      </w:pPr>
    </w:p>
    <w:p w:rsidR="002F414B" w:rsidRDefault="003B5B77" w:rsidP="0041017A">
      <w:pPr>
        <w:spacing w:after="0" w:line="240" w:lineRule="auto"/>
        <w:jc w:val="both"/>
        <w:rPr>
          <w:rFonts w:asciiTheme="minorBidi" w:hAnsiTheme="minorBidi"/>
        </w:rPr>
      </w:pPr>
      <w:r>
        <w:rPr>
          <w:rFonts w:asciiTheme="minorBidi" w:hAnsiTheme="minorBidi"/>
        </w:rPr>
        <w:t xml:space="preserve">In my opinion, the </w:t>
      </w:r>
      <w:r w:rsidR="00F04FDF">
        <w:rPr>
          <w:rFonts w:asciiTheme="minorBidi" w:hAnsiTheme="minorBidi"/>
        </w:rPr>
        <w:t xml:space="preserve">FMG Management </w:t>
      </w:r>
      <w:r>
        <w:rPr>
          <w:rFonts w:asciiTheme="minorBidi" w:hAnsiTheme="minorBidi"/>
        </w:rPr>
        <w:t xml:space="preserve">should have focused more initially on engaging with the Working Capital Banks to begin the process of negotiating a financial restructuring of the </w:t>
      </w:r>
      <w:r w:rsidRPr="00427778">
        <w:rPr>
          <w:rFonts w:asciiTheme="minorBidi" w:hAnsiTheme="minorBidi"/>
        </w:rPr>
        <w:t xml:space="preserve">Flow Management </w:t>
      </w:r>
      <w:r>
        <w:rPr>
          <w:rFonts w:asciiTheme="minorBidi" w:hAnsiTheme="minorBidi"/>
        </w:rPr>
        <w:t>Group. Ultimately</w:t>
      </w:r>
      <w:r w:rsidR="00F04FDF">
        <w:rPr>
          <w:rFonts w:asciiTheme="minorBidi" w:hAnsiTheme="minorBidi"/>
        </w:rPr>
        <w:t>,</w:t>
      </w:r>
      <w:r>
        <w:rPr>
          <w:rFonts w:asciiTheme="minorBidi" w:hAnsiTheme="minorBidi"/>
        </w:rPr>
        <w:t xml:space="preserve"> it was the financial restructuring of the </w:t>
      </w:r>
      <w:r w:rsidRPr="00427778">
        <w:rPr>
          <w:rFonts w:asciiTheme="minorBidi" w:hAnsiTheme="minorBidi"/>
        </w:rPr>
        <w:t xml:space="preserve">Flow Management </w:t>
      </w:r>
      <w:r>
        <w:rPr>
          <w:rFonts w:asciiTheme="minorBidi" w:hAnsiTheme="minorBidi"/>
        </w:rPr>
        <w:t xml:space="preserve">Group (by way of the debt-for-equity swap agreed in July 2015) which brought about an element of stability to the </w:t>
      </w:r>
      <w:r w:rsidRPr="00427778">
        <w:rPr>
          <w:rFonts w:asciiTheme="minorBidi" w:hAnsiTheme="minorBidi"/>
        </w:rPr>
        <w:t xml:space="preserve">Flow Management </w:t>
      </w:r>
      <w:r>
        <w:rPr>
          <w:rFonts w:asciiTheme="minorBidi" w:hAnsiTheme="minorBidi"/>
        </w:rPr>
        <w:t xml:space="preserve">Group and which allowed </w:t>
      </w:r>
      <w:r w:rsidR="00F04FDF">
        <w:rPr>
          <w:rFonts w:asciiTheme="minorBidi" w:hAnsiTheme="minorBidi"/>
        </w:rPr>
        <w:t xml:space="preserve">the FMG Management </w:t>
      </w:r>
      <w:r>
        <w:rPr>
          <w:rFonts w:asciiTheme="minorBidi" w:hAnsiTheme="minorBidi"/>
        </w:rPr>
        <w:t xml:space="preserve">to focus more on the operational (rather than financial aspects) of the business. </w:t>
      </w:r>
    </w:p>
    <w:p w:rsidR="00D80ECD" w:rsidRDefault="00D80ECD" w:rsidP="0041017A">
      <w:pPr>
        <w:spacing w:after="0" w:line="240" w:lineRule="auto"/>
        <w:jc w:val="both"/>
        <w:rPr>
          <w:rFonts w:asciiTheme="minorBidi" w:hAnsiTheme="minorBidi"/>
        </w:rPr>
      </w:pPr>
    </w:p>
    <w:p w:rsidR="00D80ECD" w:rsidRDefault="00E204C2" w:rsidP="0041017A">
      <w:pPr>
        <w:spacing w:after="0" w:line="240" w:lineRule="auto"/>
        <w:jc w:val="both"/>
        <w:rPr>
          <w:rFonts w:asciiTheme="minorBidi" w:hAnsiTheme="minorBidi"/>
        </w:rPr>
      </w:pPr>
      <w:r>
        <w:rPr>
          <w:rFonts w:asciiTheme="minorBidi" w:hAnsiTheme="minorBidi"/>
        </w:rPr>
        <w:t xml:space="preserve">The initial actions of </w:t>
      </w:r>
      <w:r w:rsidR="00357F9B">
        <w:rPr>
          <w:rFonts w:asciiTheme="minorBidi" w:hAnsiTheme="minorBidi"/>
        </w:rPr>
        <w:t xml:space="preserve">the FMG Management </w:t>
      </w:r>
      <w:r w:rsidR="00D80ECD">
        <w:rPr>
          <w:rFonts w:asciiTheme="minorBidi" w:hAnsiTheme="minorBidi"/>
        </w:rPr>
        <w:t>align</w:t>
      </w:r>
      <w:r w:rsidR="00357F9B">
        <w:rPr>
          <w:rFonts w:asciiTheme="minorBidi" w:hAnsiTheme="minorBidi"/>
        </w:rPr>
        <w:t>s</w:t>
      </w:r>
      <w:r w:rsidR="00D80ECD">
        <w:rPr>
          <w:rFonts w:asciiTheme="minorBidi" w:hAnsiTheme="minorBidi"/>
        </w:rPr>
        <w:t xml:space="preserve"> with the findings by </w:t>
      </w:r>
      <w:r w:rsidR="00D80ECD" w:rsidRPr="00D80ECD">
        <w:rPr>
          <w:rFonts w:asciiTheme="minorBidi" w:hAnsiTheme="minorBidi"/>
        </w:rPr>
        <w:t>Sudarsanam</w:t>
      </w:r>
      <w:r w:rsidR="00357F9B">
        <w:rPr>
          <w:rFonts w:asciiTheme="minorBidi" w:hAnsiTheme="minorBidi"/>
        </w:rPr>
        <w:t>,</w:t>
      </w:r>
      <w:r w:rsidR="00D80ECD">
        <w:rPr>
          <w:rFonts w:asciiTheme="minorBidi" w:hAnsiTheme="minorBidi"/>
        </w:rPr>
        <w:t xml:space="preserve"> who notes that </w:t>
      </w:r>
      <w:r>
        <w:rPr>
          <w:rFonts w:asciiTheme="minorBidi" w:hAnsiTheme="minorBidi"/>
        </w:rPr>
        <w:t>“</w:t>
      </w:r>
      <w:r w:rsidRPr="00E204C2">
        <w:rPr>
          <w:rFonts w:asciiTheme="minorBidi" w:hAnsiTheme="minorBidi"/>
          <w:i/>
          <w:iCs/>
        </w:rPr>
        <w:t>ineffectiveness of restructuring in early years leads to more intensification of strategies</w:t>
      </w:r>
      <w:r>
        <w:rPr>
          <w:rFonts w:asciiTheme="minorBidi" w:hAnsiTheme="minorBidi"/>
          <w:i/>
          <w:iCs/>
        </w:rPr>
        <w:t>.</w:t>
      </w:r>
      <w:r>
        <w:rPr>
          <w:rFonts w:asciiTheme="minorBidi" w:hAnsiTheme="minorBidi"/>
        </w:rPr>
        <w:t>”</w:t>
      </w:r>
      <w:r w:rsidR="00277A8E">
        <w:rPr>
          <w:rStyle w:val="FootnoteReference"/>
          <w:rFonts w:asciiTheme="minorBidi" w:hAnsiTheme="minorBidi"/>
        </w:rPr>
        <w:footnoteReference w:id="27"/>
      </w:r>
      <w:r>
        <w:rPr>
          <w:rFonts w:asciiTheme="minorBidi" w:hAnsiTheme="minorBidi"/>
        </w:rPr>
        <w:t xml:space="preserve"> In this respect, I would argue that if </w:t>
      </w:r>
      <w:r w:rsidR="00357F9B">
        <w:rPr>
          <w:rFonts w:asciiTheme="minorBidi" w:hAnsiTheme="minorBidi"/>
        </w:rPr>
        <w:t xml:space="preserve">the FMG Management </w:t>
      </w:r>
      <w:r>
        <w:rPr>
          <w:rFonts w:asciiTheme="minorBidi" w:hAnsiTheme="minorBidi"/>
        </w:rPr>
        <w:t xml:space="preserve">had sought earlier engagement with the Working Capital Banks regarding a financial restructuring of the </w:t>
      </w:r>
      <w:r w:rsidRPr="00427778">
        <w:rPr>
          <w:rFonts w:asciiTheme="minorBidi" w:hAnsiTheme="minorBidi"/>
        </w:rPr>
        <w:t xml:space="preserve">Flow Management </w:t>
      </w:r>
      <w:r>
        <w:rPr>
          <w:rFonts w:asciiTheme="minorBidi" w:hAnsiTheme="minorBidi"/>
        </w:rPr>
        <w:t xml:space="preserve">Group, then the FMG Restructuring may have been concluded in less time and the </w:t>
      </w:r>
      <w:r>
        <w:rPr>
          <w:rFonts w:asciiTheme="minorBidi" w:hAnsiTheme="minorBidi"/>
        </w:rPr>
        <w:lastRenderedPageBreak/>
        <w:t xml:space="preserve">shareholders and other investors may </w:t>
      </w:r>
      <w:r w:rsidR="00277A8E">
        <w:rPr>
          <w:rFonts w:asciiTheme="minorBidi" w:hAnsiTheme="minorBidi"/>
        </w:rPr>
        <w:t xml:space="preserve">have even </w:t>
      </w:r>
      <w:r w:rsidR="00F7639B">
        <w:rPr>
          <w:rFonts w:asciiTheme="minorBidi" w:hAnsiTheme="minorBidi"/>
        </w:rPr>
        <w:t xml:space="preserve">received </w:t>
      </w:r>
      <w:r w:rsidR="00277A8E">
        <w:rPr>
          <w:rFonts w:asciiTheme="minorBidi" w:hAnsiTheme="minorBidi"/>
        </w:rPr>
        <w:t>a greater return</w:t>
      </w:r>
      <w:r>
        <w:rPr>
          <w:rFonts w:asciiTheme="minorBidi" w:hAnsiTheme="minorBidi"/>
        </w:rPr>
        <w:t xml:space="preserve"> </w:t>
      </w:r>
      <w:r w:rsidR="006909CA">
        <w:rPr>
          <w:rFonts w:asciiTheme="minorBidi" w:hAnsiTheme="minorBidi"/>
        </w:rPr>
        <w:t xml:space="preserve">in the </w:t>
      </w:r>
      <w:r w:rsidR="00357F9B">
        <w:rPr>
          <w:rFonts w:asciiTheme="minorBidi" w:hAnsiTheme="minorBidi"/>
        </w:rPr>
        <w:t>final restructuring agreed in July 2015</w:t>
      </w:r>
      <w:r w:rsidR="006909CA">
        <w:rPr>
          <w:rFonts w:asciiTheme="minorBidi" w:hAnsiTheme="minorBidi"/>
        </w:rPr>
        <w:t>.</w:t>
      </w:r>
    </w:p>
    <w:p w:rsidR="006909CA" w:rsidRDefault="006909CA" w:rsidP="0041017A">
      <w:pPr>
        <w:spacing w:after="0" w:line="240" w:lineRule="auto"/>
        <w:jc w:val="both"/>
        <w:rPr>
          <w:rFonts w:asciiTheme="minorBidi" w:hAnsiTheme="minorBidi"/>
        </w:rPr>
      </w:pPr>
    </w:p>
    <w:p w:rsidR="006909CA" w:rsidRDefault="006909CA" w:rsidP="0041017A">
      <w:pPr>
        <w:spacing w:after="0" w:line="240" w:lineRule="auto"/>
        <w:jc w:val="both"/>
        <w:rPr>
          <w:rFonts w:asciiTheme="minorBidi" w:hAnsiTheme="minorBidi"/>
        </w:rPr>
      </w:pPr>
      <w:r>
        <w:rPr>
          <w:rFonts w:asciiTheme="minorBidi" w:hAnsiTheme="minorBidi"/>
        </w:rPr>
        <w:t>Further</w:t>
      </w:r>
      <w:r w:rsidR="00357F9B">
        <w:rPr>
          <w:rFonts w:asciiTheme="minorBidi" w:hAnsiTheme="minorBidi"/>
        </w:rPr>
        <w:t>more</w:t>
      </w:r>
      <w:r w:rsidR="00F7639B">
        <w:rPr>
          <w:rFonts w:asciiTheme="minorBidi" w:hAnsiTheme="minorBidi"/>
        </w:rPr>
        <w:t>,</w:t>
      </w:r>
      <w:r>
        <w:rPr>
          <w:rFonts w:asciiTheme="minorBidi" w:hAnsiTheme="minorBidi"/>
        </w:rPr>
        <w:t xml:space="preserve"> the business restructuring initiatives of </w:t>
      </w:r>
      <w:r w:rsidR="00357F9B">
        <w:rPr>
          <w:rFonts w:asciiTheme="minorBidi" w:hAnsiTheme="minorBidi"/>
        </w:rPr>
        <w:t xml:space="preserve">the FMG Management </w:t>
      </w:r>
      <w:r>
        <w:rPr>
          <w:rFonts w:asciiTheme="minorBidi" w:hAnsiTheme="minorBidi"/>
        </w:rPr>
        <w:t xml:space="preserve">could also have been pursued at the same time </w:t>
      </w:r>
      <w:r w:rsidR="00F7639B">
        <w:rPr>
          <w:rFonts w:asciiTheme="minorBidi" w:hAnsiTheme="minorBidi"/>
        </w:rPr>
        <w:t xml:space="preserve">as the financial restructuring of the Flow Management Group. As noted by </w:t>
      </w:r>
      <w:r w:rsidR="00F7639B" w:rsidRPr="00F7639B">
        <w:rPr>
          <w:rFonts w:asciiTheme="minorBidi" w:hAnsiTheme="minorBidi"/>
        </w:rPr>
        <w:t>Schmitt</w:t>
      </w:r>
      <w:r w:rsidR="00F7639B">
        <w:rPr>
          <w:rFonts w:asciiTheme="minorBidi" w:hAnsiTheme="minorBidi"/>
        </w:rPr>
        <w:t xml:space="preserve"> and </w:t>
      </w:r>
      <w:r w:rsidR="00F7639B" w:rsidRPr="00F7639B">
        <w:rPr>
          <w:rFonts w:asciiTheme="minorBidi" w:hAnsiTheme="minorBidi"/>
        </w:rPr>
        <w:t>Raisch</w:t>
      </w:r>
      <w:r w:rsidR="00F7639B">
        <w:rPr>
          <w:rFonts w:asciiTheme="minorBidi" w:hAnsiTheme="minorBidi"/>
        </w:rPr>
        <w:t xml:space="preserve">, </w:t>
      </w:r>
      <w:r>
        <w:rPr>
          <w:rFonts w:asciiTheme="minorBidi" w:hAnsiTheme="minorBidi"/>
        </w:rPr>
        <w:t>“</w:t>
      </w:r>
      <w:r w:rsidRPr="00F7639B">
        <w:rPr>
          <w:rFonts w:asciiTheme="minorBidi" w:hAnsiTheme="minorBidi"/>
          <w:i/>
          <w:iCs/>
        </w:rPr>
        <w:t>turnaround success is a function of the firm’s ability to integrate contradictory, yet interrelated, retrenchment and recovery activities in corporate turnarounds</w:t>
      </w:r>
      <w:r>
        <w:rPr>
          <w:rFonts w:asciiTheme="minorBidi" w:hAnsiTheme="minorBidi"/>
        </w:rPr>
        <w:t>”.</w:t>
      </w:r>
      <w:r w:rsidR="00301656">
        <w:rPr>
          <w:rStyle w:val="FootnoteReference"/>
          <w:rFonts w:asciiTheme="minorBidi" w:hAnsiTheme="minorBidi"/>
        </w:rPr>
        <w:footnoteReference w:id="28"/>
      </w:r>
      <w:r w:rsidR="00F7639B">
        <w:rPr>
          <w:rFonts w:asciiTheme="minorBidi" w:hAnsiTheme="minorBidi"/>
        </w:rPr>
        <w:t xml:space="preserve"> Accordingly, </w:t>
      </w:r>
      <w:r w:rsidR="005F57E3">
        <w:rPr>
          <w:rFonts w:asciiTheme="minorBidi" w:hAnsiTheme="minorBidi"/>
        </w:rPr>
        <w:t xml:space="preserve">while </w:t>
      </w:r>
      <w:r w:rsidR="00F7639B">
        <w:rPr>
          <w:rFonts w:asciiTheme="minorBidi" w:hAnsiTheme="minorBidi"/>
        </w:rPr>
        <w:t>investing in new strategies to improve turnover and market share</w:t>
      </w:r>
      <w:r w:rsidR="005F57E3">
        <w:rPr>
          <w:rFonts w:asciiTheme="minorBidi" w:hAnsiTheme="minorBidi"/>
        </w:rPr>
        <w:t xml:space="preserve"> and concurrently </w:t>
      </w:r>
      <w:r w:rsidR="00F7639B">
        <w:rPr>
          <w:rFonts w:asciiTheme="minorBidi" w:hAnsiTheme="minorBidi"/>
        </w:rPr>
        <w:t xml:space="preserve">negotiating a financial restructuring with creditors may </w:t>
      </w:r>
      <w:r w:rsidR="006D53D4">
        <w:rPr>
          <w:rFonts w:asciiTheme="minorBidi" w:hAnsiTheme="minorBidi"/>
        </w:rPr>
        <w:t>appear</w:t>
      </w:r>
      <w:r w:rsidR="00F7639B">
        <w:rPr>
          <w:rFonts w:asciiTheme="minorBidi" w:hAnsiTheme="minorBidi"/>
        </w:rPr>
        <w:t xml:space="preserve"> contradictory, I am of the view that the </w:t>
      </w:r>
      <w:r w:rsidR="005F57E3">
        <w:rPr>
          <w:rFonts w:asciiTheme="minorBidi" w:hAnsiTheme="minorBidi"/>
        </w:rPr>
        <w:t xml:space="preserve">FMG Management </w:t>
      </w:r>
      <w:r w:rsidR="006D53D4">
        <w:rPr>
          <w:rFonts w:asciiTheme="minorBidi" w:hAnsiTheme="minorBidi"/>
        </w:rPr>
        <w:t xml:space="preserve">should have pursued both approaches </w:t>
      </w:r>
      <w:r w:rsidR="005F57E3">
        <w:rPr>
          <w:rFonts w:asciiTheme="minorBidi" w:hAnsiTheme="minorBidi"/>
        </w:rPr>
        <w:t>simultaneously</w:t>
      </w:r>
      <w:r w:rsidR="006D53D4">
        <w:rPr>
          <w:rFonts w:asciiTheme="minorBidi" w:hAnsiTheme="minorBidi"/>
        </w:rPr>
        <w:t xml:space="preserve"> given the magnitude of the financial distress at the Flow Management Group</w:t>
      </w:r>
      <w:r w:rsidR="005F57E3">
        <w:rPr>
          <w:rFonts w:asciiTheme="minorBidi" w:hAnsiTheme="minorBidi"/>
        </w:rPr>
        <w:t xml:space="preserve"> in late 2013</w:t>
      </w:r>
      <w:r w:rsidR="006D53D4">
        <w:rPr>
          <w:rFonts w:asciiTheme="minorBidi" w:hAnsiTheme="minorBidi"/>
        </w:rPr>
        <w:t>.</w:t>
      </w:r>
      <w:r w:rsidR="003F3698">
        <w:rPr>
          <w:rFonts w:asciiTheme="minorBidi" w:hAnsiTheme="minorBidi"/>
        </w:rPr>
        <w:t xml:space="preserve"> </w:t>
      </w:r>
    </w:p>
    <w:p w:rsidR="002F414B" w:rsidRDefault="002F414B" w:rsidP="0041017A">
      <w:pPr>
        <w:spacing w:after="0" w:line="240" w:lineRule="auto"/>
        <w:jc w:val="both"/>
        <w:rPr>
          <w:rFonts w:asciiTheme="minorBidi" w:hAnsiTheme="minorBidi"/>
        </w:rPr>
      </w:pPr>
    </w:p>
    <w:p w:rsidR="002F414B" w:rsidRDefault="002F414B" w:rsidP="0041017A">
      <w:pPr>
        <w:spacing w:after="0" w:line="240" w:lineRule="auto"/>
        <w:jc w:val="both"/>
        <w:rPr>
          <w:rFonts w:asciiTheme="minorBidi" w:hAnsiTheme="minorBidi"/>
        </w:rPr>
      </w:pPr>
    </w:p>
    <w:p w:rsidR="002F414B" w:rsidRPr="00640095" w:rsidRDefault="002F414B" w:rsidP="0041017A">
      <w:pPr>
        <w:spacing w:after="0" w:line="240" w:lineRule="auto"/>
        <w:jc w:val="both"/>
        <w:rPr>
          <w:rFonts w:asciiTheme="minorBidi" w:hAnsiTheme="minorBidi"/>
          <w:i/>
          <w:iCs/>
          <w:u w:val="single"/>
        </w:rPr>
      </w:pPr>
      <w:r w:rsidRPr="00640095">
        <w:rPr>
          <w:rFonts w:asciiTheme="minorBidi" w:hAnsiTheme="minorBidi"/>
          <w:i/>
          <w:iCs/>
          <w:u w:val="single"/>
        </w:rPr>
        <w:t xml:space="preserve">Stakeholder influence identification </w:t>
      </w:r>
    </w:p>
    <w:p w:rsidR="002F414B" w:rsidRDefault="002F414B" w:rsidP="0041017A">
      <w:pPr>
        <w:spacing w:after="0" w:line="240" w:lineRule="auto"/>
        <w:jc w:val="both"/>
        <w:rPr>
          <w:rFonts w:asciiTheme="minorBidi" w:hAnsiTheme="minorBidi"/>
          <w:i/>
          <w:iCs/>
        </w:rPr>
      </w:pPr>
    </w:p>
    <w:p w:rsidR="002F414B" w:rsidRDefault="002F414B" w:rsidP="0041017A">
      <w:pPr>
        <w:spacing w:after="0" w:line="240" w:lineRule="auto"/>
        <w:jc w:val="both"/>
        <w:rPr>
          <w:rFonts w:asciiTheme="minorBidi" w:hAnsiTheme="minorBidi"/>
        </w:rPr>
      </w:pPr>
      <w:r>
        <w:rPr>
          <w:rFonts w:asciiTheme="minorBidi" w:hAnsiTheme="minorBidi"/>
        </w:rPr>
        <w:t xml:space="preserve">According to </w:t>
      </w:r>
      <w:r w:rsidRPr="00BA29BF">
        <w:rPr>
          <w:rFonts w:asciiTheme="minorBidi" w:hAnsiTheme="minorBidi"/>
        </w:rPr>
        <w:t xml:space="preserve">Pajunen, the identification of </w:t>
      </w:r>
      <w:r w:rsidR="00BA29BF" w:rsidRPr="00BA29BF">
        <w:rPr>
          <w:rFonts w:asciiTheme="minorBidi" w:hAnsiTheme="minorBidi"/>
        </w:rPr>
        <w:t>stakeholders with a</w:t>
      </w:r>
      <w:r w:rsidRPr="00BA29BF">
        <w:rPr>
          <w:rFonts w:asciiTheme="minorBidi" w:hAnsiTheme="minorBidi"/>
        </w:rPr>
        <w:t xml:space="preserve"> </w:t>
      </w:r>
      <w:r w:rsidR="00BA29BF" w:rsidRPr="00BA29BF">
        <w:rPr>
          <w:rFonts w:asciiTheme="minorBidi" w:hAnsiTheme="minorBidi"/>
        </w:rPr>
        <w:t>strong influence on an organisation’s survival</w:t>
      </w:r>
      <w:r w:rsidR="00BA29BF">
        <w:rPr>
          <w:rFonts w:asciiTheme="minorBidi" w:hAnsiTheme="minorBidi"/>
          <w:i/>
          <w:iCs/>
        </w:rPr>
        <w:t xml:space="preserve"> </w:t>
      </w:r>
      <w:r>
        <w:rPr>
          <w:rFonts w:asciiTheme="minorBidi" w:hAnsiTheme="minorBidi"/>
        </w:rPr>
        <w:t>“</w:t>
      </w:r>
      <w:r w:rsidRPr="000255C3">
        <w:rPr>
          <w:rFonts w:asciiTheme="minorBidi" w:hAnsiTheme="minorBidi"/>
          <w:i/>
          <w:iCs/>
        </w:rPr>
        <w:t>becomes an essential function for an organization in crisis</w:t>
      </w:r>
      <w:r>
        <w:rPr>
          <w:rFonts w:asciiTheme="minorBidi" w:hAnsiTheme="minorBidi"/>
          <w:i/>
          <w:iCs/>
        </w:rPr>
        <w:t>.</w:t>
      </w:r>
      <w:r>
        <w:rPr>
          <w:rFonts w:asciiTheme="minorBidi" w:hAnsiTheme="minorBidi"/>
        </w:rPr>
        <w:t>”</w:t>
      </w:r>
      <w:r w:rsidR="00BA29BF">
        <w:rPr>
          <w:rStyle w:val="FootnoteReference"/>
          <w:rFonts w:asciiTheme="minorBidi" w:hAnsiTheme="minorBidi"/>
        </w:rPr>
        <w:footnoteReference w:id="29"/>
      </w:r>
      <w:r w:rsidR="008014C4">
        <w:rPr>
          <w:rFonts w:asciiTheme="minorBidi" w:hAnsiTheme="minorBidi"/>
        </w:rPr>
        <w:t xml:space="preserve"> </w:t>
      </w:r>
    </w:p>
    <w:p w:rsidR="003120FA" w:rsidRDefault="003120FA" w:rsidP="0041017A">
      <w:pPr>
        <w:spacing w:after="0" w:line="240" w:lineRule="auto"/>
        <w:jc w:val="both"/>
        <w:rPr>
          <w:rFonts w:asciiTheme="minorBidi" w:hAnsiTheme="minorBidi"/>
        </w:rPr>
      </w:pPr>
    </w:p>
    <w:p w:rsidR="005639C0" w:rsidRDefault="003120FA" w:rsidP="0041017A">
      <w:pPr>
        <w:spacing w:after="0" w:line="240" w:lineRule="auto"/>
        <w:jc w:val="both"/>
        <w:rPr>
          <w:rFonts w:asciiTheme="minorBidi" w:hAnsiTheme="minorBidi"/>
        </w:rPr>
      </w:pPr>
      <w:r>
        <w:rPr>
          <w:rFonts w:asciiTheme="minorBidi" w:hAnsiTheme="minorBidi"/>
        </w:rPr>
        <w:t xml:space="preserve">In the Case Study, </w:t>
      </w:r>
      <w:r w:rsidR="005639C0">
        <w:rPr>
          <w:rFonts w:asciiTheme="minorBidi" w:hAnsiTheme="minorBidi"/>
        </w:rPr>
        <w:t xml:space="preserve">there is </w:t>
      </w:r>
      <w:r w:rsidR="003F3698">
        <w:rPr>
          <w:rFonts w:asciiTheme="minorBidi" w:hAnsiTheme="minorBidi"/>
        </w:rPr>
        <w:t xml:space="preserve">strong </w:t>
      </w:r>
      <w:r w:rsidR="005639C0">
        <w:rPr>
          <w:rFonts w:asciiTheme="minorBidi" w:hAnsiTheme="minorBidi"/>
        </w:rPr>
        <w:t xml:space="preserve">evidence that </w:t>
      </w:r>
      <w:r w:rsidR="003F3698">
        <w:rPr>
          <w:rFonts w:asciiTheme="minorBidi" w:hAnsiTheme="minorBidi"/>
        </w:rPr>
        <w:t xml:space="preserve">the </w:t>
      </w:r>
      <w:r w:rsidR="005639C0">
        <w:rPr>
          <w:rFonts w:asciiTheme="minorBidi" w:hAnsiTheme="minorBidi"/>
        </w:rPr>
        <w:t xml:space="preserve">identification of </w:t>
      </w:r>
      <w:r w:rsidRPr="003120FA">
        <w:rPr>
          <w:rFonts w:asciiTheme="minorBidi" w:hAnsiTheme="minorBidi"/>
        </w:rPr>
        <w:t xml:space="preserve">stakeholder influence </w:t>
      </w:r>
      <w:r w:rsidR="003F3698">
        <w:rPr>
          <w:rFonts w:asciiTheme="minorBidi" w:hAnsiTheme="minorBidi"/>
        </w:rPr>
        <w:t xml:space="preserve">(or the failure to do so) </w:t>
      </w:r>
      <w:r w:rsidR="005639C0">
        <w:rPr>
          <w:rFonts w:asciiTheme="minorBidi" w:hAnsiTheme="minorBidi"/>
        </w:rPr>
        <w:t xml:space="preserve">impacts how </w:t>
      </w:r>
      <w:r>
        <w:rPr>
          <w:rFonts w:asciiTheme="minorBidi" w:hAnsiTheme="minorBidi"/>
        </w:rPr>
        <w:t xml:space="preserve">the FMG Restructuring progresses. At the beginning of the FMG Restructuring, </w:t>
      </w:r>
      <w:r w:rsidR="003F3698">
        <w:rPr>
          <w:rFonts w:asciiTheme="minorBidi" w:hAnsiTheme="minorBidi"/>
        </w:rPr>
        <w:t xml:space="preserve">the FMG Management </w:t>
      </w:r>
      <w:r>
        <w:rPr>
          <w:rFonts w:asciiTheme="minorBidi" w:hAnsiTheme="minorBidi"/>
        </w:rPr>
        <w:t xml:space="preserve">appear to be wield extensive </w:t>
      </w:r>
      <w:r w:rsidR="005639C0">
        <w:rPr>
          <w:rFonts w:asciiTheme="minorBidi" w:hAnsiTheme="minorBidi"/>
        </w:rPr>
        <w:t>influence</w:t>
      </w:r>
      <w:r>
        <w:rPr>
          <w:rFonts w:asciiTheme="minorBidi" w:hAnsiTheme="minorBidi"/>
        </w:rPr>
        <w:t xml:space="preserve"> over the </w:t>
      </w:r>
      <w:r w:rsidRPr="00427778">
        <w:rPr>
          <w:rFonts w:asciiTheme="minorBidi" w:hAnsiTheme="minorBidi"/>
        </w:rPr>
        <w:t xml:space="preserve">Flow Management </w:t>
      </w:r>
      <w:r>
        <w:rPr>
          <w:rFonts w:asciiTheme="minorBidi" w:hAnsiTheme="minorBidi"/>
        </w:rPr>
        <w:t xml:space="preserve">Group (as evidenced by large management bonuses which </w:t>
      </w:r>
      <w:r w:rsidR="003F3698">
        <w:rPr>
          <w:rFonts w:asciiTheme="minorBidi" w:hAnsiTheme="minorBidi"/>
        </w:rPr>
        <w:t xml:space="preserve">the FMG Management </w:t>
      </w:r>
      <w:r>
        <w:rPr>
          <w:rFonts w:asciiTheme="minorBidi" w:hAnsiTheme="minorBidi"/>
        </w:rPr>
        <w:t xml:space="preserve">had sought to </w:t>
      </w:r>
      <w:r w:rsidR="00AD62F3">
        <w:rPr>
          <w:rFonts w:asciiTheme="minorBidi" w:hAnsiTheme="minorBidi"/>
        </w:rPr>
        <w:t>distribute</w:t>
      </w:r>
      <w:r>
        <w:rPr>
          <w:rFonts w:asciiTheme="minorBidi" w:hAnsiTheme="minorBidi"/>
        </w:rPr>
        <w:t xml:space="preserve"> to themselves). </w:t>
      </w:r>
      <w:r w:rsidR="00454404">
        <w:rPr>
          <w:rFonts w:asciiTheme="minorBidi" w:hAnsiTheme="minorBidi"/>
        </w:rPr>
        <w:t xml:space="preserve">This may be </w:t>
      </w:r>
      <w:r w:rsidR="006D53D4">
        <w:rPr>
          <w:rFonts w:asciiTheme="minorBidi" w:hAnsiTheme="minorBidi"/>
        </w:rPr>
        <w:t>characterised</w:t>
      </w:r>
      <w:r w:rsidR="00454404">
        <w:rPr>
          <w:rFonts w:asciiTheme="minorBidi" w:hAnsiTheme="minorBidi"/>
        </w:rPr>
        <w:t xml:space="preserve"> as </w:t>
      </w:r>
      <w:r w:rsidR="00454404" w:rsidRPr="005639C0">
        <w:rPr>
          <w:rFonts w:asciiTheme="minorBidi" w:hAnsiTheme="minorBidi"/>
        </w:rPr>
        <w:t>resource dependence based power</w:t>
      </w:r>
      <w:r w:rsidR="006D53D4">
        <w:rPr>
          <w:rFonts w:asciiTheme="minorBidi" w:hAnsiTheme="minorBidi"/>
        </w:rPr>
        <w:t>,</w:t>
      </w:r>
      <w:r w:rsidR="00454404">
        <w:rPr>
          <w:rFonts w:asciiTheme="minorBidi" w:hAnsiTheme="minorBidi"/>
        </w:rPr>
        <w:t xml:space="preserve"> however, </w:t>
      </w:r>
      <w:r w:rsidR="006D53D4">
        <w:rPr>
          <w:rFonts w:asciiTheme="minorBidi" w:hAnsiTheme="minorBidi"/>
        </w:rPr>
        <w:t xml:space="preserve">in my opinion, </w:t>
      </w:r>
      <w:r w:rsidR="00454404">
        <w:rPr>
          <w:rFonts w:asciiTheme="minorBidi" w:hAnsiTheme="minorBidi"/>
        </w:rPr>
        <w:t xml:space="preserve">the influence of the </w:t>
      </w:r>
      <w:r w:rsidR="00AD62F3">
        <w:rPr>
          <w:rFonts w:asciiTheme="minorBidi" w:hAnsiTheme="minorBidi"/>
        </w:rPr>
        <w:t xml:space="preserve">FMG Management </w:t>
      </w:r>
      <w:r w:rsidR="006D53D4">
        <w:rPr>
          <w:rFonts w:asciiTheme="minorBidi" w:hAnsiTheme="minorBidi"/>
        </w:rPr>
        <w:t>was in fact</w:t>
      </w:r>
      <w:r w:rsidR="00454404">
        <w:rPr>
          <w:rFonts w:asciiTheme="minorBidi" w:hAnsiTheme="minorBidi"/>
        </w:rPr>
        <w:t xml:space="preserve"> derived from their central position between the shareholders and the Working Capital Banks, which can be </w:t>
      </w:r>
      <w:r w:rsidR="006D53D4">
        <w:rPr>
          <w:rFonts w:asciiTheme="minorBidi" w:hAnsiTheme="minorBidi"/>
        </w:rPr>
        <w:t xml:space="preserve">characterised </w:t>
      </w:r>
      <w:r w:rsidR="00454404">
        <w:rPr>
          <w:rFonts w:asciiTheme="minorBidi" w:hAnsiTheme="minorBidi"/>
        </w:rPr>
        <w:t xml:space="preserve">as </w:t>
      </w:r>
      <w:r w:rsidR="00AD62F3">
        <w:rPr>
          <w:rFonts w:asciiTheme="minorBidi" w:hAnsiTheme="minorBidi"/>
        </w:rPr>
        <w:t xml:space="preserve">the FMG Management’s </w:t>
      </w:r>
      <w:r w:rsidR="00454404">
        <w:rPr>
          <w:rFonts w:asciiTheme="minorBidi" w:hAnsiTheme="minorBidi"/>
        </w:rPr>
        <w:t>network position based influence.</w:t>
      </w:r>
      <w:r w:rsidR="00454404">
        <w:rPr>
          <w:rStyle w:val="FootnoteReference"/>
          <w:rFonts w:asciiTheme="minorBidi" w:hAnsiTheme="minorBidi"/>
        </w:rPr>
        <w:footnoteReference w:id="30"/>
      </w:r>
    </w:p>
    <w:p w:rsidR="005639C0" w:rsidRDefault="005639C0" w:rsidP="0041017A">
      <w:pPr>
        <w:spacing w:after="0" w:line="240" w:lineRule="auto"/>
        <w:jc w:val="both"/>
        <w:rPr>
          <w:rFonts w:asciiTheme="minorBidi" w:hAnsiTheme="minorBidi"/>
        </w:rPr>
      </w:pPr>
    </w:p>
    <w:p w:rsidR="003120FA" w:rsidRDefault="003120FA" w:rsidP="0041017A">
      <w:pPr>
        <w:spacing w:after="0" w:line="240" w:lineRule="auto"/>
        <w:jc w:val="both"/>
        <w:rPr>
          <w:rFonts w:asciiTheme="minorBidi" w:hAnsiTheme="minorBidi"/>
        </w:rPr>
      </w:pPr>
      <w:r>
        <w:rPr>
          <w:rFonts w:asciiTheme="minorBidi" w:hAnsiTheme="minorBidi"/>
        </w:rPr>
        <w:t xml:space="preserve">However, as the FMG Restructuring progresses, the </w:t>
      </w:r>
      <w:r w:rsidR="005639C0">
        <w:rPr>
          <w:rFonts w:asciiTheme="minorBidi" w:hAnsiTheme="minorBidi"/>
        </w:rPr>
        <w:t xml:space="preserve">influence of the Working Capital Banks increases as it becomes clear that the </w:t>
      </w:r>
      <w:r w:rsidR="005639C0" w:rsidRPr="00427778">
        <w:rPr>
          <w:rFonts w:asciiTheme="minorBidi" w:hAnsiTheme="minorBidi"/>
        </w:rPr>
        <w:t xml:space="preserve">Flow Management </w:t>
      </w:r>
      <w:r w:rsidR="005639C0">
        <w:rPr>
          <w:rFonts w:asciiTheme="minorBidi" w:hAnsiTheme="minorBidi"/>
        </w:rPr>
        <w:t xml:space="preserve">Group cannot resolve its financial distress without the ‘buy-in’ of the Working Capital Banks. This demonstrates the </w:t>
      </w:r>
      <w:r w:rsidR="005639C0" w:rsidRPr="005639C0">
        <w:rPr>
          <w:rFonts w:asciiTheme="minorBidi" w:hAnsiTheme="minorBidi"/>
        </w:rPr>
        <w:t>resource dependence based power</w:t>
      </w:r>
      <w:r w:rsidR="005639C0">
        <w:rPr>
          <w:rStyle w:val="FootnoteReference"/>
          <w:rFonts w:asciiTheme="minorBidi" w:hAnsiTheme="minorBidi"/>
        </w:rPr>
        <w:footnoteReference w:id="31"/>
      </w:r>
      <w:r w:rsidR="005639C0">
        <w:rPr>
          <w:rFonts w:asciiTheme="minorBidi" w:hAnsiTheme="minorBidi"/>
        </w:rPr>
        <w:t xml:space="preserve"> of the Working Capital Banks. </w:t>
      </w:r>
    </w:p>
    <w:p w:rsidR="00F101F7" w:rsidRDefault="00F101F7" w:rsidP="0041017A">
      <w:pPr>
        <w:spacing w:after="0" w:line="240" w:lineRule="auto"/>
        <w:jc w:val="both"/>
        <w:rPr>
          <w:rFonts w:asciiTheme="minorBidi" w:hAnsiTheme="minorBidi"/>
        </w:rPr>
      </w:pPr>
    </w:p>
    <w:p w:rsidR="006526EF" w:rsidRDefault="00F101F7" w:rsidP="00A44CC5">
      <w:pPr>
        <w:spacing w:after="0" w:line="240" w:lineRule="auto"/>
        <w:jc w:val="both"/>
        <w:rPr>
          <w:rFonts w:asciiTheme="minorBidi" w:hAnsiTheme="minorBidi"/>
        </w:rPr>
      </w:pPr>
      <w:r>
        <w:rPr>
          <w:rFonts w:asciiTheme="minorBidi" w:hAnsiTheme="minorBidi"/>
        </w:rPr>
        <w:t xml:space="preserve">In my opinion, the relevant stakeholders in the FMG Restructuring failed to identify early enough that the Working Capital Banks held extensive </w:t>
      </w:r>
      <w:r w:rsidRPr="005639C0">
        <w:rPr>
          <w:rFonts w:asciiTheme="minorBidi" w:hAnsiTheme="minorBidi"/>
        </w:rPr>
        <w:t>resource dependence based power</w:t>
      </w:r>
      <w:r>
        <w:rPr>
          <w:rFonts w:asciiTheme="minorBidi" w:hAnsiTheme="minorBidi"/>
        </w:rPr>
        <w:t xml:space="preserve">. It may be that FMG Management was seeking to use their </w:t>
      </w:r>
      <w:r w:rsidR="0069798F">
        <w:rPr>
          <w:rFonts w:asciiTheme="minorBidi" w:hAnsiTheme="minorBidi"/>
        </w:rPr>
        <w:t xml:space="preserve">network position based influence to protect their position by acting as the </w:t>
      </w:r>
      <w:r w:rsidR="00506001">
        <w:rPr>
          <w:rFonts w:asciiTheme="minorBidi" w:hAnsiTheme="minorBidi"/>
        </w:rPr>
        <w:t>intermediary</w:t>
      </w:r>
      <w:r w:rsidR="0069798F">
        <w:rPr>
          <w:rFonts w:asciiTheme="minorBidi" w:hAnsiTheme="minorBidi"/>
        </w:rPr>
        <w:t xml:space="preserve"> between the shareholders and the Working Capital Banks. However, it </w:t>
      </w:r>
      <w:r w:rsidR="00DE18D2">
        <w:rPr>
          <w:rFonts w:asciiTheme="minorBidi" w:hAnsiTheme="minorBidi"/>
        </w:rPr>
        <w:t xml:space="preserve">soon became clear </w:t>
      </w:r>
      <w:r w:rsidR="0069798F">
        <w:rPr>
          <w:rFonts w:asciiTheme="minorBidi" w:hAnsiTheme="minorBidi"/>
        </w:rPr>
        <w:t xml:space="preserve">that the FMG Restructuring </w:t>
      </w:r>
      <w:r w:rsidR="00DE18D2">
        <w:rPr>
          <w:rFonts w:asciiTheme="minorBidi" w:hAnsiTheme="minorBidi"/>
        </w:rPr>
        <w:t>had fallen into</w:t>
      </w:r>
      <w:r w:rsidR="0069798F">
        <w:rPr>
          <w:rFonts w:asciiTheme="minorBidi" w:hAnsiTheme="minorBidi"/>
        </w:rPr>
        <w:t xml:space="preserve"> a state of paralysis</w:t>
      </w:r>
      <w:r w:rsidR="00DE18D2">
        <w:rPr>
          <w:rFonts w:asciiTheme="minorBidi" w:hAnsiTheme="minorBidi"/>
        </w:rPr>
        <w:t>. This was only resolved once</w:t>
      </w:r>
      <w:r w:rsidR="0069798F">
        <w:rPr>
          <w:rFonts w:asciiTheme="minorBidi" w:hAnsiTheme="minorBidi"/>
        </w:rPr>
        <w:t xml:space="preserve"> the FMG Management stepped down and the Chief Restructuring Officer was appointed around May 2014. </w:t>
      </w:r>
      <w:r w:rsidR="00956A71">
        <w:rPr>
          <w:rFonts w:asciiTheme="minorBidi" w:hAnsiTheme="minorBidi"/>
        </w:rPr>
        <w:t xml:space="preserve">This aligns with the </w:t>
      </w:r>
      <w:r w:rsidR="00956A71" w:rsidRPr="00956A71">
        <w:rPr>
          <w:rFonts w:asciiTheme="minorBidi" w:hAnsiTheme="minorBidi"/>
        </w:rPr>
        <w:t>Pajunen</w:t>
      </w:r>
      <w:r w:rsidR="00956A71">
        <w:rPr>
          <w:rFonts w:asciiTheme="minorBidi" w:hAnsiTheme="minorBidi"/>
        </w:rPr>
        <w:t>’s proposition that “</w:t>
      </w:r>
      <w:r w:rsidR="00956A71" w:rsidRPr="00956A71">
        <w:rPr>
          <w:rFonts w:asciiTheme="minorBidi" w:hAnsiTheme="minorBidi"/>
          <w:i/>
          <w:iCs/>
        </w:rPr>
        <w:t>the</w:t>
      </w:r>
      <w:r w:rsidR="00956A71">
        <w:rPr>
          <w:rFonts w:asciiTheme="minorBidi" w:hAnsiTheme="minorBidi"/>
        </w:rPr>
        <w:t xml:space="preserve"> </w:t>
      </w:r>
      <w:r w:rsidR="00956A71" w:rsidRPr="00956A71">
        <w:rPr>
          <w:rFonts w:asciiTheme="minorBidi" w:hAnsiTheme="minorBidi"/>
          <w:i/>
          <w:iCs/>
        </w:rPr>
        <w:t>more secure the continuing support of governing stakeholders in an existence-threatening crisis, the more probable is organizational survival</w:t>
      </w:r>
      <w:r w:rsidR="00956A71">
        <w:rPr>
          <w:rFonts w:asciiTheme="minorBidi" w:hAnsiTheme="minorBidi"/>
        </w:rPr>
        <w:t>”.</w:t>
      </w:r>
      <w:r w:rsidR="00DE18D2">
        <w:rPr>
          <w:rStyle w:val="FootnoteReference"/>
          <w:rFonts w:asciiTheme="minorBidi" w:hAnsiTheme="minorBidi"/>
        </w:rPr>
        <w:footnoteReference w:id="32"/>
      </w:r>
    </w:p>
    <w:p w:rsidR="006526EF" w:rsidRPr="007245F1" w:rsidRDefault="006526EF" w:rsidP="0041017A">
      <w:pPr>
        <w:spacing w:after="0" w:line="240" w:lineRule="auto"/>
        <w:jc w:val="both"/>
        <w:rPr>
          <w:rFonts w:asciiTheme="minorBidi" w:hAnsiTheme="minorBidi"/>
        </w:rPr>
      </w:pPr>
    </w:p>
    <w:p w:rsidR="004C55DF" w:rsidRDefault="004C55DF" w:rsidP="0041017A">
      <w:pPr>
        <w:jc w:val="both"/>
        <w:rPr>
          <w:rFonts w:asciiTheme="minorBidi" w:hAnsiTheme="minorBidi"/>
        </w:rPr>
      </w:pPr>
      <w:r>
        <w:rPr>
          <w:rFonts w:asciiTheme="minorBidi" w:hAnsiTheme="minorBidi"/>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4. Banks C and D seem to frustrate the process at a certain point. What could have been the</w:t>
      </w:r>
      <w:r w:rsidRPr="004C55DF">
        <w:rPr>
          <w:rFonts w:asciiTheme="minorBidi" w:hAnsiTheme="minorBidi"/>
          <w:b/>
          <w:bCs/>
        </w:rPr>
        <w:t xml:space="preserve"> </w:t>
      </w:r>
      <w:r w:rsidR="00391B80" w:rsidRPr="004C55DF">
        <w:rPr>
          <w:rFonts w:asciiTheme="minorBidi" w:hAnsiTheme="minorBidi"/>
          <w:b/>
          <w:bCs/>
        </w:rPr>
        <w:t>(rational and/or opportunistic) reason(s) for them to behave like that? What would you</w:t>
      </w:r>
      <w:r w:rsidRPr="004C55DF">
        <w:rPr>
          <w:rFonts w:asciiTheme="minorBidi" w:hAnsiTheme="minorBidi"/>
          <w:b/>
          <w:bCs/>
        </w:rPr>
        <w:t xml:space="preserve"> </w:t>
      </w:r>
      <w:r w:rsidR="00391B80" w:rsidRPr="004C55DF">
        <w:rPr>
          <w:rFonts w:asciiTheme="minorBidi" w:hAnsiTheme="minorBidi"/>
          <w:b/>
          <w:bCs/>
        </w:rPr>
        <w:t>have done in that situation in your role as advisor of the other two banks?</w:t>
      </w:r>
    </w:p>
    <w:p w:rsidR="00391B80" w:rsidRPr="007245F1" w:rsidRDefault="00391B80" w:rsidP="0041017A">
      <w:pPr>
        <w:spacing w:after="0" w:line="240" w:lineRule="auto"/>
        <w:jc w:val="both"/>
        <w:rPr>
          <w:rFonts w:asciiTheme="minorBidi" w:hAnsiTheme="minorBidi"/>
        </w:rPr>
      </w:pPr>
    </w:p>
    <w:p w:rsidR="00391B80" w:rsidRDefault="00391B80" w:rsidP="0041017A">
      <w:pPr>
        <w:spacing w:after="0" w:line="240" w:lineRule="auto"/>
        <w:jc w:val="both"/>
        <w:rPr>
          <w:rFonts w:asciiTheme="minorBidi" w:hAnsiTheme="minorBidi"/>
        </w:rPr>
      </w:pPr>
    </w:p>
    <w:p w:rsidR="00394A31" w:rsidRDefault="00111FFD" w:rsidP="0041017A">
      <w:pPr>
        <w:spacing w:after="0" w:line="240" w:lineRule="auto"/>
        <w:jc w:val="both"/>
        <w:rPr>
          <w:rFonts w:asciiTheme="minorBidi" w:hAnsiTheme="minorBidi"/>
        </w:rPr>
      </w:pPr>
      <w:r>
        <w:rPr>
          <w:rFonts w:asciiTheme="minorBidi" w:hAnsiTheme="minorBidi"/>
        </w:rPr>
        <w:t>The specific reasons for</w:t>
      </w:r>
      <w:r w:rsidR="00AB0B7B">
        <w:rPr>
          <w:rFonts w:asciiTheme="minorBidi" w:hAnsiTheme="minorBidi"/>
        </w:rPr>
        <w:t xml:space="preserve"> Banks C and D appear</w:t>
      </w:r>
      <w:r>
        <w:rPr>
          <w:rFonts w:asciiTheme="minorBidi" w:hAnsiTheme="minorBidi"/>
        </w:rPr>
        <w:t>ing</w:t>
      </w:r>
      <w:r w:rsidR="00AB0B7B">
        <w:rPr>
          <w:rFonts w:asciiTheme="minorBidi" w:hAnsiTheme="minorBidi"/>
        </w:rPr>
        <w:t xml:space="preserve"> to frustrate the FMG Restructuring at a certain point</w:t>
      </w:r>
      <w:r>
        <w:rPr>
          <w:rFonts w:asciiTheme="minorBidi" w:hAnsiTheme="minorBidi"/>
        </w:rPr>
        <w:t xml:space="preserve"> are not set out in the Case Study</w:t>
      </w:r>
      <w:r w:rsidR="00AB0B7B">
        <w:rPr>
          <w:rFonts w:asciiTheme="minorBidi" w:hAnsiTheme="minorBidi"/>
        </w:rPr>
        <w:t>. However, there are several reasons why Banks C and D might have acted this way.</w:t>
      </w:r>
    </w:p>
    <w:p w:rsidR="00AB0B7B" w:rsidRDefault="00AB0B7B" w:rsidP="0041017A">
      <w:pPr>
        <w:spacing w:after="0" w:line="240" w:lineRule="auto"/>
        <w:jc w:val="both"/>
        <w:rPr>
          <w:rFonts w:asciiTheme="minorBidi" w:hAnsiTheme="minorBidi"/>
        </w:rPr>
      </w:pPr>
    </w:p>
    <w:p w:rsidR="00430110" w:rsidRDefault="00430110" w:rsidP="0041017A">
      <w:pPr>
        <w:spacing w:after="0" w:line="240" w:lineRule="auto"/>
        <w:jc w:val="both"/>
        <w:rPr>
          <w:rFonts w:asciiTheme="minorBidi" w:hAnsiTheme="minorBidi"/>
        </w:rPr>
      </w:pPr>
    </w:p>
    <w:p w:rsidR="00430110" w:rsidRPr="00640095" w:rsidRDefault="00430110" w:rsidP="0041017A">
      <w:pPr>
        <w:spacing w:after="0" w:line="240" w:lineRule="auto"/>
        <w:jc w:val="both"/>
        <w:rPr>
          <w:rFonts w:asciiTheme="minorBidi" w:hAnsiTheme="minorBidi"/>
          <w:i/>
          <w:iCs/>
          <w:u w:val="single"/>
        </w:rPr>
      </w:pPr>
      <w:r w:rsidRPr="00640095">
        <w:rPr>
          <w:rFonts w:asciiTheme="minorBidi" w:hAnsiTheme="minorBidi"/>
          <w:i/>
          <w:iCs/>
          <w:u w:val="single"/>
        </w:rPr>
        <w:t>Information quality</w:t>
      </w:r>
    </w:p>
    <w:p w:rsidR="00430110" w:rsidRDefault="00430110" w:rsidP="0041017A">
      <w:pPr>
        <w:spacing w:after="0" w:line="240" w:lineRule="auto"/>
        <w:jc w:val="both"/>
        <w:rPr>
          <w:rFonts w:asciiTheme="minorBidi" w:hAnsiTheme="minorBidi"/>
          <w:i/>
          <w:iCs/>
        </w:rPr>
      </w:pPr>
    </w:p>
    <w:p w:rsidR="00430110" w:rsidRDefault="00430110" w:rsidP="0041017A">
      <w:pPr>
        <w:spacing w:after="0" w:line="240" w:lineRule="auto"/>
        <w:jc w:val="both"/>
        <w:rPr>
          <w:rFonts w:asciiTheme="minorBidi" w:hAnsiTheme="minorBidi"/>
        </w:rPr>
      </w:pPr>
      <w:r>
        <w:rPr>
          <w:rFonts w:asciiTheme="minorBidi" w:hAnsiTheme="minorBidi"/>
        </w:rPr>
        <w:t xml:space="preserve">It appears </w:t>
      </w:r>
      <w:r w:rsidR="00456F80">
        <w:rPr>
          <w:rFonts w:asciiTheme="minorBidi" w:hAnsiTheme="minorBidi"/>
        </w:rPr>
        <w:t xml:space="preserve">clear </w:t>
      </w:r>
      <w:r>
        <w:rPr>
          <w:rFonts w:asciiTheme="minorBidi" w:hAnsiTheme="minorBidi"/>
        </w:rPr>
        <w:t xml:space="preserve">that, in the early stages of the FMG Restructuring, the information provided by the </w:t>
      </w:r>
      <w:r w:rsidRPr="00427778">
        <w:rPr>
          <w:rFonts w:asciiTheme="minorBidi" w:hAnsiTheme="minorBidi"/>
        </w:rPr>
        <w:t xml:space="preserve">Flow Management </w:t>
      </w:r>
      <w:r>
        <w:rPr>
          <w:rFonts w:asciiTheme="minorBidi" w:hAnsiTheme="minorBidi"/>
        </w:rPr>
        <w:t xml:space="preserve">Group to the Working Capital Banks was </w:t>
      </w:r>
      <w:r w:rsidR="00511EF3">
        <w:rPr>
          <w:rFonts w:asciiTheme="minorBidi" w:hAnsiTheme="minorBidi"/>
        </w:rPr>
        <w:t xml:space="preserve">both </w:t>
      </w:r>
      <w:r w:rsidR="00456F80">
        <w:rPr>
          <w:rFonts w:asciiTheme="minorBidi" w:hAnsiTheme="minorBidi"/>
        </w:rPr>
        <w:t>unreliable</w:t>
      </w:r>
      <w:r w:rsidR="00511EF3">
        <w:rPr>
          <w:rFonts w:asciiTheme="minorBidi" w:hAnsiTheme="minorBidi"/>
        </w:rPr>
        <w:t xml:space="preserve"> and insufficient</w:t>
      </w:r>
      <w:r w:rsidR="00456F80">
        <w:rPr>
          <w:rFonts w:asciiTheme="minorBidi" w:hAnsiTheme="minorBidi"/>
        </w:rPr>
        <w:t xml:space="preserve">. </w:t>
      </w:r>
    </w:p>
    <w:p w:rsidR="00456F80" w:rsidRDefault="00456F80" w:rsidP="0041017A">
      <w:pPr>
        <w:spacing w:after="0" w:line="240" w:lineRule="auto"/>
        <w:jc w:val="both"/>
        <w:rPr>
          <w:rFonts w:asciiTheme="minorBidi" w:hAnsiTheme="minorBidi"/>
        </w:rPr>
      </w:pPr>
    </w:p>
    <w:p w:rsidR="00511EF3" w:rsidRDefault="00456F80" w:rsidP="0041017A">
      <w:pPr>
        <w:spacing w:after="0" w:line="240" w:lineRule="auto"/>
        <w:jc w:val="both"/>
        <w:rPr>
          <w:rFonts w:asciiTheme="minorBidi" w:hAnsiTheme="minorBidi"/>
        </w:rPr>
      </w:pPr>
      <w:r>
        <w:rPr>
          <w:rFonts w:asciiTheme="minorBidi" w:hAnsiTheme="minorBidi"/>
        </w:rPr>
        <w:t xml:space="preserve">The supply of </w:t>
      </w:r>
      <w:r w:rsidR="002E0128">
        <w:rPr>
          <w:rFonts w:asciiTheme="minorBidi" w:hAnsiTheme="minorBidi"/>
        </w:rPr>
        <w:t xml:space="preserve">unreliable or </w:t>
      </w:r>
      <w:r w:rsidR="00EB2793">
        <w:rPr>
          <w:rFonts w:asciiTheme="minorBidi" w:hAnsiTheme="minorBidi"/>
        </w:rPr>
        <w:t xml:space="preserve">insufficient </w:t>
      </w:r>
      <w:r>
        <w:rPr>
          <w:rFonts w:asciiTheme="minorBidi" w:hAnsiTheme="minorBidi"/>
        </w:rPr>
        <w:t xml:space="preserve">information from a </w:t>
      </w:r>
      <w:r w:rsidR="00EB2793">
        <w:rPr>
          <w:rFonts w:asciiTheme="minorBidi" w:hAnsiTheme="minorBidi"/>
        </w:rPr>
        <w:t>distressed company</w:t>
      </w:r>
      <w:r>
        <w:rPr>
          <w:rFonts w:asciiTheme="minorBidi" w:hAnsiTheme="minorBidi"/>
        </w:rPr>
        <w:t xml:space="preserve"> to its creditors regarding the financial state of the </w:t>
      </w:r>
      <w:r w:rsidR="00EB2793">
        <w:rPr>
          <w:rFonts w:asciiTheme="minorBidi" w:hAnsiTheme="minorBidi"/>
        </w:rPr>
        <w:t>distressed company is a key cause of the failure of out-of-court workouts.</w:t>
      </w:r>
      <w:r w:rsidR="00EB2793">
        <w:rPr>
          <w:rStyle w:val="FootnoteReference"/>
          <w:rFonts w:asciiTheme="minorBidi" w:hAnsiTheme="minorBidi"/>
        </w:rPr>
        <w:footnoteReference w:id="33"/>
      </w:r>
      <w:r w:rsidR="00EB2793">
        <w:rPr>
          <w:rFonts w:asciiTheme="minorBidi" w:hAnsiTheme="minorBidi"/>
        </w:rPr>
        <w:t xml:space="preserve"> </w:t>
      </w:r>
      <w:r>
        <w:rPr>
          <w:rFonts w:asciiTheme="minorBidi" w:hAnsiTheme="minorBidi"/>
        </w:rPr>
        <w:t xml:space="preserve">Accordingly, </w:t>
      </w:r>
      <w:r w:rsidR="00EB2793">
        <w:rPr>
          <w:rFonts w:asciiTheme="minorBidi" w:hAnsiTheme="minorBidi"/>
        </w:rPr>
        <w:t xml:space="preserve">it may that the action of Banks C and D </w:t>
      </w:r>
      <w:r w:rsidR="003F7FB9">
        <w:rPr>
          <w:rFonts w:asciiTheme="minorBidi" w:hAnsiTheme="minorBidi"/>
        </w:rPr>
        <w:t>is</w:t>
      </w:r>
      <w:r w:rsidR="00EB2793">
        <w:rPr>
          <w:rFonts w:asciiTheme="minorBidi" w:hAnsiTheme="minorBidi"/>
        </w:rPr>
        <w:t xml:space="preserve"> sourced from a frustration at the quality of information provided by the </w:t>
      </w:r>
      <w:r w:rsidR="00EB2793" w:rsidRPr="00427778">
        <w:rPr>
          <w:rFonts w:asciiTheme="minorBidi" w:hAnsiTheme="minorBidi"/>
        </w:rPr>
        <w:t xml:space="preserve">Flow Management </w:t>
      </w:r>
      <w:r w:rsidR="00EB2793">
        <w:rPr>
          <w:rFonts w:asciiTheme="minorBidi" w:hAnsiTheme="minorBidi"/>
        </w:rPr>
        <w:t xml:space="preserve">Group. </w:t>
      </w:r>
      <w:r w:rsidR="003F7FB9">
        <w:rPr>
          <w:rFonts w:asciiTheme="minorBidi" w:hAnsiTheme="minorBidi"/>
        </w:rPr>
        <w:t xml:space="preserve">In particular, Banks C and D may not have wished to ‘standstill’ or reserve their rights against a company that, in </w:t>
      </w:r>
      <w:r w:rsidR="00511EF3">
        <w:rPr>
          <w:rFonts w:asciiTheme="minorBidi" w:hAnsiTheme="minorBidi"/>
        </w:rPr>
        <w:t>their</w:t>
      </w:r>
      <w:r w:rsidR="003F7FB9">
        <w:rPr>
          <w:rFonts w:asciiTheme="minorBidi" w:hAnsiTheme="minorBidi"/>
        </w:rPr>
        <w:t xml:space="preserve"> opinion, was not being forthcoming with its ‘true’ financial state. </w:t>
      </w:r>
      <w:r w:rsidR="009A770C">
        <w:rPr>
          <w:rFonts w:asciiTheme="minorBidi" w:hAnsiTheme="minorBidi"/>
        </w:rPr>
        <w:t xml:space="preserve">From an Asian </w:t>
      </w:r>
      <w:r w:rsidR="00F653AB">
        <w:rPr>
          <w:rFonts w:asciiTheme="minorBidi" w:hAnsiTheme="minorBidi"/>
        </w:rPr>
        <w:t xml:space="preserve">restructuring </w:t>
      </w:r>
      <w:r w:rsidR="009A770C">
        <w:rPr>
          <w:rFonts w:asciiTheme="minorBidi" w:hAnsiTheme="minorBidi"/>
        </w:rPr>
        <w:t xml:space="preserve">perspective, </w:t>
      </w:r>
      <w:r w:rsidR="00511EF3">
        <w:rPr>
          <w:rFonts w:asciiTheme="minorBidi" w:hAnsiTheme="minorBidi"/>
        </w:rPr>
        <w:t>creditors are generally unwilling offer a standstill where the debtor has not shown good faith in providing disclosure.</w:t>
      </w:r>
      <w:r w:rsidR="000E480D">
        <w:rPr>
          <w:rStyle w:val="FootnoteReference"/>
          <w:rFonts w:asciiTheme="minorBidi" w:hAnsiTheme="minorBidi"/>
        </w:rPr>
        <w:footnoteReference w:id="34"/>
      </w:r>
    </w:p>
    <w:p w:rsidR="009A770C" w:rsidRDefault="009A770C" w:rsidP="0041017A">
      <w:pPr>
        <w:spacing w:after="0" w:line="240" w:lineRule="auto"/>
        <w:jc w:val="both"/>
        <w:rPr>
          <w:rFonts w:asciiTheme="minorBidi" w:hAnsiTheme="minorBidi"/>
        </w:rPr>
      </w:pPr>
    </w:p>
    <w:p w:rsidR="00165FD2" w:rsidRDefault="00165FD2" w:rsidP="0041017A">
      <w:pPr>
        <w:spacing w:after="0" w:line="240" w:lineRule="auto"/>
        <w:jc w:val="both"/>
        <w:rPr>
          <w:rFonts w:asciiTheme="minorBidi" w:hAnsiTheme="minorBidi"/>
        </w:rPr>
      </w:pPr>
    </w:p>
    <w:p w:rsidR="00165FD2" w:rsidRPr="00640095" w:rsidRDefault="00165FD2" w:rsidP="0041017A">
      <w:pPr>
        <w:spacing w:after="0" w:line="240" w:lineRule="auto"/>
        <w:jc w:val="both"/>
        <w:rPr>
          <w:rFonts w:asciiTheme="minorBidi" w:hAnsiTheme="minorBidi"/>
          <w:i/>
          <w:iCs/>
          <w:u w:val="single"/>
        </w:rPr>
      </w:pPr>
      <w:r w:rsidRPr="00640095">
        <w:rPr>
          <w:rFonts w:asciiTheme="minorBidi" w:hAnsiTheme="minorBidi"/>
          <w:i/>
          <w:iCs/>
          <w:u w:val="single"/>
        </w:rPr>
        <w:t>Valuation concerns</w:t>
      </w:r>
    </w:p>
    <w:p w:rsidR="00165FD2" w:rsidRDefault="00165FD2" w:rsidP="0041017A">
      <w:pPr>
        <w:spacing w:after="0" w:line="240" w:lineRule="auto"/>
        <w:jc w:val="both"/>
        <w:rPr>
          <w:rFonts w:asciiTheme="minorBidi" w:hAnsiTheme="minorBidi"/>
        </w:rPr>
      </w:pPr>
    </w:p>
    <w:p w:rsidR="00165FD2" w:rsidRDefault="00AA5379" w:rsidP="0041017A">
      <w:pPr>
        <w:spacing w:after="0" w:line="240" w:lineRule="auto"/>
        <w:jc w:val="both"/>
        <w:rPr>
          <w:rFonts w:asciiTheme="minorBidi" w:hAnsiTheme="minorBidi"/>
        </w:rPr>
      </w:pPr>
      <w:r>
        <w:rPr>
          <w:rFonts w:asciiTheme="minorBidi" w:hAnsiTheme="minorBidi"/>
        </w:rPr>
        <w:t xml:space="preserve">Related to the concerns regarding the quality of information received, it may have been that Banks C and D were concerned that the liquidation value of the Flow Management Group was greater than the potential value that they would receive in </w:t>
      </w:r>
      <w:r w:rsidR="000E480D">
        <w:rPr>
          <w:rFonts w:asciiTheme="minorBidi" w:hAnsiTheme="minorBidi"/>
        </w:rPr>
        <w:t xml:space="preserve">a </w:t>
      </w:r>
      <w:r>
        <w:rPr>
          <w:rFonts w:asciiTheme="minorBidi" w:hAnsiTheme="minorBidi"/>
        </w:rPr>
        <w:t xml:space="preserve">restructuring </w:t>
      </w:r>
      <w:r w:rsidR="000E480D">
        <w:rPr>
          <w:rFonts w:asciiTheme="minorBidi" w:hAnsiTheme="minorBidi"/>
        </w:rPr>
        <w:t xml:space="preserve">of </w:t>
      </w:r>
      <w:r>
        <w:rPr>
          <w:rFonts w:asciiTheme="minorBidi" w:hAnsiTheme="minorBidi"/>
        </w:rPr>
        <w:t xml:space="preserve">the Flow Management Group. </w:t>
      </w:r>
    </w:p>
    <w:p w:rsidR="00165FD2" w:rsidRDefault="00165FD2" w:rsidP="0041017A">
      <w:pPr>
        <w:spacing w:after="0" w:line="240" w:lineRule="auto"/>
        <w:jc w:val="both"/>
        <w:rPr>
          <w:rFonts w:asciiTheme="minorBidi" w:hAnsiTheme="minorBidi"/>
        </w:rPr>
      </w:pPr>
    </w:p>
    <w:p w:rsidR="00165FD2" w:rsidRDefault="00AA5379" w:rsidP="0041017A">
      <w:pPr>
        <w:spacing w:after="0" w:line="240" w:lineRule="auto"/>
        <w:jc w:val="both"/>
        <w:rPr>
          <w:rFonts w:asciiTheme="minorBidi" w:hAnsiTheme="minorBidi"/>
        </w:rPr>
      </w:pPr>
      <w:r>
        <w:rPr>
          <w:rFonts w:asciiTheme="minorBidi" w:hAnsiTheme="minorBidi"/>
        </w:rPr>
        <w:t xml:space="preserve">In accordance with the </w:t>
      </w:r>
      <w:r w:rsidR="000E480D">
        <w:rPr>
          <w:rFonts w:asciiTheme="minorBidi" w:hAnsiTheme="minorBidi"/>
        </w:rPr>
        <w:t xml:space="preserve">INSOL International’s </w:t>
      </w:r>
      <w:r>
        <w:rPr>
          <w:rFonts w:asciiTheme="minorBidi" w:hAnsiTheme="minorBidi"/>
        </w:rPr>
        <w:t>Sixth Principle</w:t>
      </w:r>
      <w:r w:rsidR="000E480D">
        <w:rPr>
          <w:rFonts w:asciiTheme="minorBidi" w:hAnsiTheme="minorBidi"/>
        </w:rPr>
        <w:t>,</w:t>
      </w:r>
      <w:r>
        <w:rPr>
          <w:rFonts w:asciiTheme="minorBidi" w:hAnsiTheme="minorBidi"/>
        </w:rPr>
        <w:t xml:space="preserve"> “</w:t>
      </w:r>
      <w:r w:rsidRPr="00AA5379">
        <w:rPr>
          <w:rFonts w:asciiTheme="minorBidi" w:hAnsiTheme="minorBidi"/>
          <w:i/>
          <w:iCs/>
        </w:rPr>
        <w:t>creditors will need to compare the</w:t>
      </w:r>
      <w:r w:rsidR="00165FD2">
        <w:rPr>
          <w:rFonts w:asciiTheme="minorBidi" w:hAnsiTheme="minorBidi"/>
          <w:i/>
          <w:iCs/>
        </w:rPr>
        <w:t xml:space="preserve"> </w:t>
      </w:r>
      <w:r w:rsidRPr="00AA5379">
        <w:rPr>
          <w:rFonts w:asciiTheme="minorBidi" w:hAnsiTheme="minorBidi"/>
          <w:i/>
          <w:iCs/>
        </w:rPr>
        <w:t>outcome they could expect from any proposals made to them against the returns they might expect to achieve in a formal insolvency process or from other options available to them</w:t>
      </w:r>
      <w:r>
        <w:rPr>
          <w:rFonts w:asciiTheme="minorBidi" w:hAnsiTheme="minorBidi"/>
          <w:i/>
          <w:iCs/>
        </w:rPr>
        <w:t>.</w:t>
      </w:r>
      <w:r w:rsidR="000E480D">
        <w:rPr>
          <w:rStyle w:val="FootnoteReference"/>
          <w:rFonts w:asciiTheme="minorBidi" w:hAnsiTheme="minorBidi"/>
          <w:i/>
          <w:iCs/>
        </w:rPr>
        <w:footnoteReference w:id="35"/>
      </w:r>
      <w:r>
        <w:rPr>
          <w:rFonts w:asciiTheme="minorBidi" w:hAnsiTheme="minorBidi"/>
        </w:rPr>
        <w:t>” Accordingly, Banks C and D may have had a concern that they were unable to make this comparison</w:t>
      </w:r>
      <w:r w:rsidR="00EB2AEE">
        <w:rPr>
          <w:rFonts w:asciiTheme="minorBidi" w:hAnsiTheme="minorBidi"/>
        </w:rPr>
        <w:t xml:space="preserve"> given the quality of the information provided. </w:t>
      </w:r>
    </w:p>
    <w:p w:rsidR="00165FD2" w:rsidRDefault="00165FD2" w:rsidP="0041017A">
      <w:pPr>
        <w:spacing w:after="0" w:line="240" w:lineRule="auto"/>
        <w:jc w:val="both"/>
        <w:rPr>
          <w:rFonts w:asciiTheme="minorBidi" w:hAnsiTheme="minorBidi"/>
        </w:rPr>
      </w:pPr>
    </w:p>
    <w:p w:rsidR="009A770C" w:rsidRPr="00165FD2" w:rsidRDefault="00165FD2" w:rsidP="0041017A">
      <w:pPr>
        <w:spacing w:after="0" w:line="240" w:lineRule="auto"/>
        <w:jc w:val="both"/>
        <w:rPr>
          <w:rFonts w:asciiTheme="minorBidi" w:hAnsiTheme="minorBidi"/>
        </w:rPr>
      </w:pPr>
      <w:r>
        <w:rPr>
          <w:rFonts w:asciiTheme="minorBidi" w:hAnsiTheme="minorBidi"/>
        </w:rPr>
        <w:t>Alternatively, Banks C and D may have held different views regarding the value of the Flow Management Group compared to Banks A and B. Where there is “</w:t>
      </w:r>
      <w:r w:rsidRPr="00254E7B">
        <w:rPr>
          <w:rFonts w:asciiTheme="minorBidi" w:hAnsiTheme="minorBidi"/>
          <w:i/>
          <w:iCs/>
        </w:rPr>
        <w:t>ambiguity of information, and the unavailability of and inaccessibility to relevant and objective inputs required for the valuation</w:t>
      </w:r>
      <w:r>
        <w:rPr>
          <w:rFonts w:asciiTheme="minorBidi" w:hAnsiTheme="minorBidi"/>
        </w:rPr>
        <w:t>”,</w:t>
      </w:r>
      <w:r w:rsidR="00CC2AB2">
        <w:rPr>
          <w:rStyle w:val="FootnoteReference"/>
          <w:rFonts w:asciiTheme="minorBidi" w:hAnsiTheme="minorBidi"/>
        </w:rPr>
        <w:footnoteReference w:id="36"/>
      </w:r>
      <w:r>
        <w:rPr>
          <w:rFonts w:asciiTheme="minorBidi" w:hAnsiTheme="minorBidi"/>
        </w:rPr>
        <w:t xml:space="preserve"> this can lead to “</w:t>
      </w:r>
      <w:r w:rsidRPr="00254E7B">
        <w:rPr>
          <w:rFonts w:asciiTheme="minorBidi" w:hAnsiTheme="minorBidi"/>
          <w:i/>
          <w:iCs/>
        </w:rPr>
        <w:t>fierce debates between stakeholders</w:t>
      </w:r>
      <w:r>
        <w:rPr>
          <w:rFonts w:asciiTheme="minorBidi" w:hAnsiTheme="minorBidi"/>
        </w:rPr>
        <w:t>”.</w:t>
      </w:r>
      <w:r w:rsidR="00CC2AB2">
        <w:rPr>
          <w:rStyle w:val="FootnoteReference"/>
          <w:rFonts w:asciiTheme="minorBidi" w:hAnsiTheme="minorBidi"/>
        </w:rPr>
        <w:footnoteReference w:id="37"/>
      </w:r>
    </w:p>
    <w:p w:rsidR="00430110" w:rsidRDefault="00430110" w:rsidP="0041017A">
      <w:pPr>
        <w:spacing w:after="0" w:line="240" w:lineRule="auto"/>
        <w:jc w:val="both"/>
        <w:rPr>
          <w:rFonts w:asciiTheme="minorBidi" w:hAnsiTheme="minorBidi"/>
        </w:rPr>
      </w:pPr>
    </w:p>
    <w:p w:rsidR="00AB0B7B" w:rsidRDefault="00AB0B7B" w:rsidP="0041017A">
      <w:pPr>
        <w:spacing w:after="0" w:line="240" w:lineRule="auto"/>
        <w:jc w:val="both"/>
        <w:rPr>
          <w:rFonts w:asciiTheme="minorBidi" w:hAnsiTheme="minorBidi"/>
        </w:rPr>
      </w:pPr>
    </w:p>
    <w:p w:rsidR="00AB0B7B" w:rsidRPr="00640095" w:rsidRDefault="00254E7B" w:rsidP="0041017A">
      <w:pPr>
        <w:spacing w:after="0" w:line="240" w:lineRule="auto"/>
        <w:jc w:val="both"/>
        <w:rPr>
          <w:rFonts w:asciiTheme="minorBidi" w:hAnsiTheme="minorBidi"/>
          <w:i/>
          <w:iCs/>
          <w:u w:val="single"/>
        </w:rPr>
      </w:pPr>
      <w:r w:rsidRPr="00640095">
        <w:rPr>
          <w:rFonts w:asciiTheme="minorBidi" w:hAnsiTheme="minorBidi"/>
          <w:i/>
          <w:iCs/>
          <w:u w:val="single"/>
        </w:rPr>
        <w:lastRenderedPageBreak/>
        <w:t>Opportunistic reasons</w:t>
      </w:r>
      <w:r w:rsidR="00AB0B7B" w:rsidRPr="00640095">
        <w:rPr>
          <w:rFonts w:asciiTheme="minorBidi" w:hAnsiTheme="minorBidi"/>
          <w:i/>
          <w:iCs/>
          <w:u w:val="single"/>
        </w:rPr>
        <w:t xml:space="preserve"> </w:t>
      </w:r>
    </w:p>
    <w:p w:rsidR="00AB0B7B" w:rsidRDefault="00AB0B7B" w:rsidP="0041017A">
      <w:pPr>
        <w:spacing w:after="0" w:line="240" w:lineRule="auto"/>
        <w:jc w:val="both"/>
        <w:rPr>
          <w:rFonts w:asciiTheme="minorBidi" w:hAnsiTheme="minorBidi"/>
          <w:i/>
          <w:iCs/>
        </w:rPr>
      </w:pPr>
    </w:p>
    <w:p w:rsidR="00AB0B7B" w:rsidRDefault="004F00C7" w:rsidP="0041017A">
      <w:pPr>
        <w:spacing w:after="0" w:line="240" w:lineRule="auto"/>
        <w:jc w:val="both"/>
        <w:rPr>
          <w:rFonts w:asciiTheme="minorBidi" w:hAnsiTheme="minorBidi"/>
        </w:rPr>
      </w:pPr>
      <w:r>
        <w:rPr>
          <w:rFonts w:asciiTheme="minorBidi" w:hAnsiTheme="minorBidi"/>
        </w:rPr>
        <w:t xml:space="preserve">Based on the facts of the Case Study, it appears that </w:t>
      </w:r>
      <w:r w:rsidR="00D23B0C">
        <w:rPr>
          <w:rFonts w:asciiTheme="minorBidi" w:hAnsiTheme="minorBidi"/>
        </w:rPr>
        <w:t xml:space="preserve">the consent of </w:t>
      </w:r>
      <w:r>
        <w:rPr>
          <w:rFonts w:asciiTheme="minorBidi" w:hAnsiTheme="minorBidi"/>
        </w:rPr>
        <w:t xml:space="preserve">Banks C and D </w:t>
      </w:r>
      <w:r w:rsidR="00D23B0C">
        <w:rPr>
          <w:rFonts w:asciiTheme="minorBidi" w:hAnsiTheme="minorBidi"/>
        </w:rPr>
        <w:t xml:space="preserve">was required in order to implement the FMG Restructuring. Accordingly, Banks C and D may have seen an opportunistic reason for withholding their consent. </w:t>
      </w:r>
    </w:p>
    <w:p w:rsidR="00D23B0C" w:rsidRDefault="00D23B0C" w:rsidP="0041017A">
      <w:pPr>
        <w:spacing w:after="0" w:line="240" w:lineRule="auto"/>
        <w:jc w:val="both"/>
        <w:rPr>
          <w:rFonts w:asciiTheme="minorBidi" w:hAnsiTheme="minorBidi"/>
        </w:rPr>
      </w:pPr>
    </w:p>
    <w:p w:rsidR="00D23B0C" w:rsidRDefault="00D23B0C" w:rsidP="0041017A">
      <w:pPr>
        <w:spacing w:after="0" w:line="240" w:lineRule="auto"/>
        <w:jc w:val="both"/>
        <w:rPr>
          <w:rFonts w:asciiTheme="minorBidi" w:hAnsiTheme="minorBidi"/>
        </w:rPr>
      </w:pPr>
      <w:r>
        <w:rPr>
          <w:rFonts w:asciiTheme="minorBidi" w:hAnsiTheme="minorBidi"/>
        </w:rPr>
        <w:t xml:space="preserve">By withholding their consent, the </w:t>
      </w:r>
      <w:r w:rsidRPr="00D23B0C">
        <w:rPr>
          <w:rFonts w:asciiTheme="minorBidi" w:hAnsiTheme="minorBidi"/>
        </w:rPr>
        <w:t>resource dependence based power</w:t>
      </w:r>
      <w:r>
        <w:rPr>
          <w:rFonts w:asciiTheme="minorBidi" w:hAnsiTheme="minorBidi"/>
        </w:rPr>
        <w:t xml:space="preserve"> of Banks C and D increased.</w:t>
      </w:r>
      <w:r>
        <w:rPr>
          <w:rStyle w:val="FootnoteReference"/>
          <w:rFonts w:asciiTheme="minorBidi" w:hAnsiTheme="minorBidi"/>
        </w:rPr>
        <w:footnoteReference w:id="38"/>
      </w:r>
      <w:r>
        <w:rPr>
          <w:rFonts w:asciiTheme="minorBidi" w:hAnsiTheme="minorBidi"/>
        </w:rPr>
        <w:t xml:space="preserve"> Accordingly, this may have positioned Banks C and D such that they were able to demand better or different treatment from Banks A and B</w:t>
      </w:r>
      <w:r w:rsidR="00CC2AB2">
        <w:rPr>
          <w:rFonts w:asciiTheme="minorBidi" w:hAnsiTheme="minorBidi"/>
        </w:rPr>
        <w:t xml:space="preserve"> and/or the Flow Management Group</w:t>
      </w:r>
      <w:r>
        <w:rPr>
          <w:rFonts w:asciiTheme="minorBidi" w:hAnsiTheme="minorBidi"/>
        </w:rPr>
        <w:t>.</w:t>
      </w:r>
    </w:p>
    <w:p w:rsidR="00D23B0C" w:rsidRDefault="00D23B0C" w:rsidP="0041017A">
      <w:pPr>
        <w:spacing w:after="0" w:line="240" w:lineRule="auto"/>
        <w:jc w:val="both"/>
        <w:rPr>
          <w:rFonts w:asciiTheme="minorBidi" w:hAnsiTheme="minorBidi"/>
        </w:rPr>
      </w:pPr>
    </w:p>
    <w:p w:rsidR="00D23B0C" w:rsidRPr="00AB0B7B" w:rsidRDefault="00D23B0C" w:rsidP="0041017A">
      <w:pPr>
        <w:spacing w:after="0" w:line="240" w:lineRule="auto"/>
        <w:jc w:val="both"/>
        <w:rPr>
          <w:rFonts w:asciiTheme="minorBidi" w:hAnsiTheme="minorBidi"/>
        </w:rPr>
      </w:pPr>
      <w:r>
        <w:rPr>
          <w:rFonts w:asciiTheme="minorBidi" w:hAnsiTheme="minorBidi"/>
        </w:rPr>
        <w:t xml:space="preserve">It is not entirely clear what the motivation was for Banks C and D to do this, but </w:t>
      </w:r>
      <w:r w:rsidR="00FE6D5E">
        <w:rPr>
          <w:rFonts w:asciiTheme="minorBidi" w:hAnsiTheme="minorBidi"/>
        </w:rPr>
        <w:t>Banks C and D may have been seeking</w:t>
      </w:r>
      <w:r w:rsidR="00430110">
        <w:rPr>
          <w:rFonts w:asciiTheme="minorBidi" w:hAnsiTheme="minorBidi"/>
        </w:rPr>
        <w:t>,</w:t>
      </w:r>
      <w:r w:rsidR="00FE6D5E">
        <w:rPr>
          <w:rFonts w:asciiTheme="minorBidi" w:hAnsiTheme="minorBidi"/>
        </w:rPr>
        <w:t xml:space="preserve"> </w:t>
      </w:r>
      <w:r w:rsidR="00430110">
        <w:rPr>
          <w:rFonts w:asciiTheme="minorBidi" w:hAnsiTheme="minorBidi"/>
        </w:rPr>
        <w:t xml:space="preserve">for example, </w:t>
      </w:r>
      <w:r w:rsidR="00FE6D5E">
        <w:rPr>
          <w:rFonts w:asciiTheme="minorBidi" w:hAnsiTheme="minorBidi"/>
        </w:rPr>
        <w:t>to</w:t>
      </w:r>
      <w:r w:rsidR="00430110">
        <w:rPr>
          <w:rFonts w:asciiTheme="minorBidi" w:hAnsiTheme="minorBidi"/>
        </w:rPr>
        <w:t xml:space="preserve"> (i) obtain a restructuring plan that better suited </w:t>
      </w:r>
      <w:r w:rsidR="00F06D81">
        <w:rPr>
          <w:rFonts w:asciiTheme="minorBidi" w:hAnsiTheme="minorBidi"/>
        </w:rPr>
        <w:t xml:space="preserve">to </w:t>
      </w:r>
      <w:r w:rsidR="00430110">
        <w:rPr>
          <w:rFonts w:asciiTheme="minorBidi" w:hAnsiTheme="minorBidi"/>
        </w:rPr>
        <w:t>the long term goals of Banks C and D</w:t>
      </w:r>
      <w:r w:rsidR="00CC2AB2">
        <w:rPr>
          <w:rFonts w:asciiTheme="minorBidi" w:hAnsiTheme="minorBidi"/>
        </w:rPr>
        <w:t>,</w:t>
      </w:r>
      <w:r w:rsidR="00430110">
        <w:rPr>
          <w:rFonts w:asciiTheme="minorBidi" w:hAnsiTheme="minorBidi"/>
        </w:rPr>
        <w:t xml:space="preserve"> (ii) encourage Banks A and B to buy the debt of Banks C and D (which, from the facts of the Case Study, Banks A and B were considering at one point) or (iii) encourage Banks A and B to sell their debt to Banks C and D. </w:t>
      </w:r>
    </w:p>
    <w:p w:rsidR="00394A31" w:rsidRDefault="00394A31" w:rsidP="0041017A">
      <w:pPr>
        <w:spacing w:after="0" w:line="240" w:lineRule="auto"/>
        <w:jc w:val="both"/>
        <w:rPr>
          <w:rFonts w:asciiTheme="minorBidi" w:hAnsiTheme="minorBidi"/>
        </w:rPr>
      </w:pPr>
    </w:p>
    <w:p w:rsidR="00254E7B" w:rsidRDefault="00254E7B" w:rsidP="0041017A">
      <w:pPr>
        <w:spacing w:after="0" w:line="240" w:lineRule="auto"/>
        <w:jc w:val="both"/>
        <w:rPr>
          <w:rFonts w:asciiTheme="minorBidi" w:hAnsiTheme="minorBidi"/>
        </w:rPr>
      </w:pPr>
    </w:p>
    <w:p w:rsidR="00254E7B" w:rsidRPr="00640095" w:rsidRDefault="00254E7B" w:rsidP="0041017A">
      <w:pPr>
        <w:spacing w:after="0" w:line="240" w:lineRule="auto"/>
        <w:jc w:val="both"/>
        <w:rPr>
          <w:rFonts w:asciiTheme="minorBidi" w:hAnsiTheme="minorBidi"/>
          <w:i/>
          <w:iCs/>
          <w:u w:val="single"/>
        </w:rPr>
      </w:pPr>
      <w:r w:rsidRPr="00640095">
        <w:rPr>
          <w:rFonts w:asciiTheme="minorBidi" w:hAnsiTheme="minorBidi"/>
          <w:i/>
          <w:iCs/>
          <w:u w:val="single"/>
        </w:rPr>
        <w:t>What would I have done in that situation in my role as advisor of Banks A and B?</w:t>
      </w:r>
    </w:p>
    <w:p w:rsidR="00254E7B" w:rsidRDefault="00254E7B" w:rsidP="0041017A">
      <w:pPr>
        <w:spacing w:after="0" w:line="240" w:lineRule="auto"/>
        <w:jc w:val="both"/>
        <w:rPr>
          <w:rFonts w:asciiTheme="minorBidi" w:hAnsiTheme="minorBidi"/>
          <w:i/>
          <w:iCs/>
        </w:rPr>
      </w:pPr>
    </w:p>
    <w:p w:rsidR="00254E7B" w:rsidRDefault="00254E7B" w:rsidP="0041017A">
      <w:pPr>
        <w:spacing w:after="0" w:line="240" w:lineRule="auto"/>
        <w:jc w:val="both"/>
        <w:rPr>
          <w:rFonts w:asciiTheme="minorBidi" w:hAnsiTheme="minorBidi"/>
        </w:rPr>
      </w:pPr>
      <w:r>
        <w:rPr>
          <w:rFonts w:asciiTheme="minorBidi" w:hAnsiTheme="minorBidi"/>
        </w:rPr>
        <w:t>Given my assessment of the potential rational and opportunistic reasons for Banks C and D to frustrate the FMG Restructuring, I would have adopted ‘Plan A’ and ‘Plan B’ approach.</w:t>
      </w:r>
    </w:p>
    <w:p w:rsidR="00254E7B" w:rsidRDefault="00254E7B" w:rsidP="0041017A">
      <w:pPr>
        <w:spacing w:after="0" w:line="240" w:lineRule="auto"/>
        <w:jc w:val="both"/>
        <w:rPr>
          <w:rFonts w:asciiTheme="minorBidi" w:hAnsiTheme="minorBidi"/>
        </w:rPr>
      </w:pPr>
    </w:p>
    <w:p w:rsidR="00771FFB" w:rsidRDefault="00771FFB" w:rsidP="0041017A">
      <w:pPr>
        <w:spacing w:after="0" w:line="240" w:lineRule="auto"/>
        <w:jc w:val="both"/>
        <w:rPr>
          <w:rFonts w:asciiTheme="minorBidi" w:hAnsiTheme="minorBidi"/>
        </w:rPr>
      </w:pPr>
      <w:r>
        <w:rPr>
          <w:rFonts w:asciiTheme="minorBidi" w:hAnsiTheme="minorBidi"/>
        </w:rPr>
        <w:t xml:space="preserve">Pursuant to ‘Plan A’, I would have sought to </w:t>
      </w:r>
      <w:r w:rsidR="003C40E5">
        <w:rPr>
          <w:rFonts w:asciiTheme="minorBidi" w:hAnsiTheme="minorBidi"/>
        </w:rPr>
        <w:t xml:space="preserve">enter into discussions with Banks C and D to better understand the basis of their concerns. If the concern of Banks C and D was derived from a lack of information or </w:t>
      </w:r>
      <w:r w:rsidR="00565B04">
        <w:rPr>
          <w:rFonts w:asciiTheme="minorBidi" w:hAnsiTheme="minorBidi"/>
        </w:rPr>
        <w:t xml:space="preserve">concerns regarding valuation, then I would have sought to bridge the information divide by working with Banks C and D to obtain further information from the Flow Management Group. </w:t>
      </w:r>
    </w:p>
    <w:p w:rsidR="00565B04" w:rsidRDefault="00565B04" w:rsidP="0041017A">
      <w:pPr>
        <w:spacing w:after="0" w:line="240" w:lineRule="auto"/>
        <w:jc w:val="both"/>
        <w:rPr>
          <w:rFonts w:asciiTheme="minorBidi" w:hAnsiTheme="minorBidi"/>
        </w:rPr>
      </w:pPr>
    </w:p>
    <w:p w:rsidR="00565B04" w:rsidRDefault="005A0517" w:rsidP="0041017A">
      <w:pPr>
        <w:spacing w:after="0" w:line="240" w:lineRule="auto"/>
        <w:jc w:val="both"/>
        <w:rPr>
          <w:rFonts w:asciiTheme="minorBidi" w:hAnsiTheme="minorBidi"/>
        </w:rPr>
      </w:pPr>
      <w:r>
        <w:rPr>
          <w:rFonts w:asciiTheme="minorBidi" w:hAnsiTheme="minorBidi"/>
        </w:rPr>
        <w:t xml:space="preserve">I would also have proposed co-ordinating the approach </w:t>
      </w:r>
      <w:r w:rsidR="00F06D81">
        <w:rPr>
          <w:rFonts w:asciiTheme="minorBidi" w:hAnsiTheme="minorBidi"/>
        </w:rPr>
        <w:t xml:space="preserve">to the FMG Restructuring </w:t>
      </w:r>
      <w:r>
        <w:rPr>
          <w:rFonts w:asciiTheme="minorBidi" w:hAnsiTheme="minorBidi"/>
        </w:rPr>
        <w:t xml:space="preserve">amongst the Working Capital Banks by appointing professional </w:t>
      </w:r>
      <w:r w:rsidR="00F06D81">
        <w:rPr>
          <w:rFonts w:asciiTheme="minorBidi" w:hAnsiTheme="minorBidi"/>
        </w:rPr>
        <w:t xml:space="preserve">financial and/or legal </w:t>
      </w:r>
      <w:r>
        <w:rPr>
          <w:rFonts w:asciiTheme="minorBidi" w:hAnsiTheme="minorBidi"/>
        </w:rPr>
        <w:t>adviser</w:t>
      </w:r>
      <w:r w:rsidR="00F06D81">
        <w:rPr>
          <w:rFonts w:asciiTheme="minorBidi" w:hAnsiTheme="minorBidi"/>
        </w:rPr>
        <w:t>s</w:t>
      </w:r>
      <w:r>
        <w:rPr>
          <w:rFonts w:asciiTheme="minorBidi" w:hAnsiTheme="minorBidi"/>
        </w:rPr>
        <w:t xml:space="preserve"> to advise the Working Capital Banks </w:t>
      </w:r>
      <w:r w:rsidR="00F06D81">
        <w:rPr>
          <w:rFonts w:asciiTheme="minorBidi" w:hAnsiTheme="minorBidi"/>
        </w:rPr>
        <w:t xml:space="preserve">with respect to the information received and </w:t>
      </w:r>
      <w:r w:rsidR="005D6891">
        <w:rPr>
          <w:rFonts w:asciiTheme="minorBidi" w:hAnsiTheme="minorBidi"/>
        </w:rPr>
        <w:t xml:space="preserve">issues of </w:t>
      </w:r>
      <w:r w:rsidR="00F06D81">
        <w:rPr>
          <w:rFonts w:asciiTheme="minorBidi" w:hAnsiTheme="minorBidi"/>
        </w:rPr>
        <w:t>valuation</w:t>
      </w:r>
      <w:r>
        <w:rPr>
          <w:rFonts w:asciiTheme="minorBidi" w:hAnsiTheme="minorBidi"/>
        </w:rPr>
        <w:t xml:space="preserve">. </w:t>
      </w:r>
      <w:r w:rsidR="000A5761">
        <w:rPr>
          <w:rFonts w:asciiTheme="minorBidi" w:hAnsiTheme="minorBidi"/>
        </w:rPr>
        <w:t>This approach would be intended to reduce friction between Banks A and B and Banks C and D</w:t>
      </w:r>
      <w:r w:rsidR="00D26269">
        <w:rPr>
          <w:rFonts w:asciiTheme="minorBidi" w:hAnsiTheme="minorBidi"/>
        </w:rPr>
        <w:t xml:space="preserve"> and would </w:t>
      </w:r>
      <w:r w:rsidR="00397573">
        <w:rPr>
          <w:rFonts w:asciiTheme="minorBidi" w:hAnsiTheme="minorBidi"/>
        </w:rPr>
        <w:t>align</w:t>
      </w:r>
      <w:r w:rsidR="00D26269">
        <w:rPr>
          <w:rFonts w:asciiTheme="minorBidi" w:hAnsiTheme="minorBidi"/>
        </w:rPr>
        <w:t xml:space="preserve"> with the </w:t>
      </w:r>
      <w:r w:rsidR="00397573">
        <w:rPr>
          <w:rFonts w:asciiTheme="minorBidi" w:hAnsiTheme="minorBidi"/>
        </w:rPr>
        <w:t xml:space="preserve">INSOL International’s </w:t>
      </w:r>
      <w:r w:rsidR="0009336E">
        <w:rPr>
          <w:rFonts w:asciiTheme="minorBidi" w:hAnsiTheme="minorBidi"/>
        </w:rPr>
        <w:t>Fourth Principle.</w:t>
      </w:r>
      <w:r w:rsidR="00397573">
        <w:rPr>
          <w:rStyle w:val="FootnoteReference"/>
          <w:rFonts w:asciiTheme="minorBidi" w:hAnsiTheme="minorBidi"/>
        </w:rPr>
        <w:footnoteReference w:id="39"/>
      </w:r>
    </w:p>
    <w:p w:rsidR="000A5761" w:rsidRDefault="000A5761" w:rsidP="0041017A">
      <w:pPr>
        <w:spacing w:after="0" w:line="240" w:lineRule="auto"/>
        <w:jc w:val="both"/>
        <w:rPr>
          <w:rFonts w:asciiTheme="minorBidi" w:hAnsiTheme="minorBidi"/>
        </w:rPr>
      </w:pPr>
    </w:p>
    <w:p w:rsidR="004C55DF" w:rsidRDefault="000A5761" w:rsidP="00397573">
      <w:pPr>
        <w:spacing w:after="0" w:line="240" w:lineRule="auto"/>
        <w:jc w:val="both"/>
        <w:rPr>
          <w:rFonts w:asciiTheme="minorBidi" w:hAnsiTheme="minorBidi"/>
        </w:rPr>
      </w:pPr>
      <w:r>
        <w:rPr>
          <w:rFonts w:asciiTheme="minorBidi" w:hAnsiTheme="minorBidi"/>
        </w:rPr>
        <w:t>In the event that ‘Plan A’ did not appear to be producing results, or it became evident that Banks C and D were frustrating the process for opportunistic reasons, I would develop a ‘Plan B’</w:t>
      </w:r>
      <w:r w:rsidR="00453A7E">
        <w:rPr>
          <w:rFonts w:asciiTheme="minorBidi" w:hAnsiTheme="minorBidi"/>
        </w:rPr>
        <w:t xml:space="preserve">. Pursuant to ‘Plan B’, </w:t>
      </w:r>
      <w:r>
        <w:rPr>
          <w:rFonts w:asciiTheme="minorBidi" w:hAnsiTheme="minorBidi"/>
        </w:rPr>
        <w:t xml:space="preserve">I would have explored opportunities to reduce the ability of Banks C and D to block a restructuring process. </w:t>
      </w:r>
      <w:r w:rsidR="00B07319">
        <w:rPr>
          <w:rFonts w:asciiTheme="minorBidi" w:hAnsiTheme="minorBidi"/>
        </w:rPr>
        <w:t xml:space="preserve">Such options might include continuing restructuring discussions with the Flow Management Group with a view to ‘cramming down’ </w:t>
      </w:r>
      <w:r w:rsidR="009E42F0">
        <w:rPr>
          <w:rFonts w:asciiTheme="minorBidi" w:hAnsiTheme="minorBidi"/>
        </w:rPr>
        <w:t>Banks C and D through a formal process</w:t>
      </w:r>
      <w:r w:rsidR="00453A7E">
        <w:rPr>
          <w:rFonts w:asciiTheme="minorBidi" w:hAnsiTheme="minorBidi"/>
        </w:rPr>
        <w:t>,</w:t>
      </w:r>
      <w:r w:rsidR="009E42F0">
        <w:rPr>
          <w:rFonts w:asciiTheme="minorBidi" w:hAnsiTheme="minorBidi"/>
        </w:rPr>
        <w:t xml:space="preserve"> such as a scheme of arrangement</w:t>
      </w:r>
      <w:r w:rsidR="00453A7E">
        <w:rPr>
          <w:rFonts w:asciiTheme="minorBidi" w:hAnsiTheme="minorBidi"/>
        </w:rPr>
        <w:t>,</w:t>
      </w:r>
      <w:r w:rsidR="009E42F0">
        <w:rPr>
          <w:rFonts w:asciiTheme="minorBidi" w:hAnsiTheme="minorBidi"/>
        </w:rPr>
        <w:t xml:space="preserve"> or alternatively acquiring the debts of Banks C and D. </w:t>
      </w:r>
      <w:r w:rsidR="004C55DF">
        <w:rPr>
          <w:rFonts w:asciiTheme="minorBidi" w:hAnsiTheme="minorBidi"/>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5. Which of the eight principles of the ‘Statement of Principles for a Global Approach to</w:t>
      </w:r>
      <w:r w:rsidRPr="004C55DF">
        <w:rPr>
          <w:rFonts w:asciiTheme="minorBidi" w:hAnsiTheme="minorBidi"/>
          <w:b/>
          <w:bCs/>
        </w:rPr>
        <w:t xml:space="preserve"> </w:t>
      </w:r>
      <w:r w:rsidR="00391B80" w:rsidRPr="004C55DF">
        <w:rPr>
          <w:rFonts w:asciiTheme="minorBidi" w:hAnsiTheme="minorBidi"/>
          <w:b/>
          <w:bCs/>
        </w:rPr>
        <w:t>Multi-Creditor Workouts II’ can be found in the workout process of Flow Management</w:t>
      </w:r>
      <w:r w:rsidRPr="004C55DF">
        <w:rPr>
          <w:rFonts w:asciiTheme="minorBidi" w:hAnsiTheme="minorBidi"/>
          <w:b/>
          <w:bCs/>
        </w:rPr>
        <w:t xml:space="preserve"> </w:t>
      </w:r>
      <w:r w:rsidR="00391B80" w:rsidRPr="004C55DF">
        <w:rPr>
          <w:rFonts w:asciiTheme="minorBidi" w:hAnsiTheme="minorBidi"/>
          <w:b/>
          <w:bCs/>
        </w:rPr>
        <w:t>(explicit or implicit)?</w:t>
      </w:r>
    </w:p>
    <w:p w:rsidR="00391B80" w:rsidRDefault="00391B80" w:rsidP="0041017A">
      <w:pPr>
        <w:spacing w:after="0" w:line="240" w:lineRule="auto"/>
        <w:jc w:val="both"/>
        <w:rPr>
          <w:rFonts w:asciiTheme="minorBidi" w:hAnsiTheme="minorBidi"/>
        </w:rPr>
      </w:pPr>
    </w:p>
    <w:p w:rsidR="00A342F3" w:rsidRDefault="00A342F3" w:rsidP="0041017A">
      <w:pPr>
        <w:spacing w:after="0" w:line="240" w:lineRule="auto"/>
        <w:jc w:val="both"/>
        <w:rPr>
          <w:rFonts w:asciiTheme="minorBidi" w:hAnsiTheme="minorBidi"/>
        </w:rPr>
      </w:pPr>
    </w:p>
    <w:p w:rsidR="004C55DF"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7D7C34" w:rsidRPr="00CE5A22">
        <w:rPr>
          <w:rFonts w:asciiTheme="minorBidi" w:hAnsiTheme="minorBidi"/>
          <w:i/>
          <w:iCs/>
          <w:u w:val="single"/>
        </w:rPr>
        <w:t xml:space="preserve">First </w:t>
      </w:r>
      <w:r w:rsidR="00821C07" w:rsidRPr="00CE5A22">
        <w:rPr>
          <w:rFonts w:asciiTheme="minorBidi" w:hAnsiTheme="minorBidi"/>
          <w:i/>
          <w:iCs/>
          <w:u w:val="single"/>
        </w:rPr>
        <w:t>P</w:t>
      </w:r>
      <w:r w:rsidR="007D7C34" w:rsidRPr="00CE5A22">
        <w:rPr>
          <w:rFonts w:asciiTheme="minorBidi" w:hAnsiTheme="minorBidi"/>
          <w:i/>
          <w:iCs/>
          <w:u w:val="single"/>
        </w:rPr>
        <w:t xml:space="preserve">rinciple: </w:t>
      </w:r>
    </w:p>
    <w:p w:rsidR="00821C07" w:rsidRDefault="00821C07" w:rsidP="0041017A">
      <w:pPr>
        <w:spacing w:after="0" w:line="240" w:lineRule="auto"/>
        <w:jc w:val="both"/>
        <w:rPr>
          <w:rFonts w:asciiTheme="minorBidi" w:hAnsiTheme="minorBidi"/>
        </w:rPr>
      </w:pPr>
    </w:p>
    <w:p w:rsidR="009214F1" w:rsidRDefault="00F03CE2" w:rsidP="0041017A">
      <w:pPr>
        <w:spacing w:after="0" w:line="240" w:lineRule="auto"/>
        <w:jc w:val="both"/>
        <w:rPr>
          <w:rFonts w:asciiTheme="minorBidi" w:hAnsiTheme="minorBidi"/>
        </w:rPr>
      </w:pPr>
      <w:r>
        <w:rPr>
          <w:rFonts w:asciiTheme="minorBidi" w:hAnsiTheme="minorBidi"/>
        </w:rPr>
        <w:t>In the Case Study, a 120-day standstill agreement was signed in the middle of August 2014 (the “</w:t>
      </w:r>
      <w:r w:rsidRPr="00F03CE2">
        <w:rPr>
          <w:rFonts w:asciiTheme="minorBidi" w:hAnsiTheme="minorBidi"/>
          <w:b/>
          <w:bCs/>
        </w:rPr>
        <w:t>Standstill Agreement</w:t>
      </w:r>
      <w:r>
        <w:rPr>
          <w:rFonts w:asciiTheme="minorBidi" w:hAnsiTheme="minorBidi"/>
        </w:rPr>
        <w:t>”)</w:t>
      </w:r>
      <w:r w:rsidR="009214F1">
        <w:rPr>
          <w:rFonts w:asciiTheme="minorBidi" w:hAnsiTheme="minorBidi"/>
        </w:rPr>
        <w:t xml:space="preserve">, which allowed for information about the Flow Management Group to be obtained and evaluated and for proposals for resolving the Flow Management Group’s financial difficulties to be formulated and assessed. </w:t>
      </w:r>
    </w:p>
    <w:p w:rsidR="009214F1" w:rsidRDefault="009214F1" w:rsidP="0041017A">
      <w:pPr>
        <w:spacing w:after="0" w:line="240" w:lineRule="auto"/>
        <w:jc w:val="both"/>
        <w:rPr>
          <w:rFonts w:asciiTheme="minorBidi" w:hAnsiTheme="minorBidi"/>
        </w:rPr>
      </w:pPr>
    </w:p>
    <w:p w:rsidR="00122FB4" w:rsidRDefault="00F03CE2" w:rsidP="0041017A">
      <w:pPr>
        <w:spacing w:after="0" w:line="240" w:lineRule="auto"/>
        <w:jc w:val="both"/>
        <w:rPr>
          <w:rFonts w:asciiTheme="minorBidi" w:hAnsiTheme="minorBidi"/>
        </w:rPr>
      </w:pPr>
      <w:r>
        <w:rPr>
          <w:rFonts w:asciiTheme="minorBidi" w:hAnsiTheme="minorBidi"/>
        </w:rPr>
        <w:t>However, the Standstill Agreement was entered into approximately 10 months after the Working Capital Banks were first notified by the Flow Management Group of its financial distress</w:t>
      </w:r>
      <w:r w:rsidR="009214F1">
        <w:rPr>
          <w:rFonts w:asciiTheme="minorBidi" w:hAnsiTheme="minorBidi"/>
        </w:rPr>
        <w:t xml:space="preserve">. It would have been more aligned with the First Principle </w:t>
      </w:r>
      <w:r w:rsidR="00F6233E">
        <w:rPr>
          <w:rFonts w:asciiTheme="minorBidi" w:hAnsiTheme="minorBidi"/>
        </w:rPr>
        <w:t>if</w:t>
      </w:r>
      <w:r w:rsidR="009214F1">
        <w:rPr>
          <w:rFonts w:asciiTheme="minorBidi" w:hAnsiTheme="minorBidi"/>
        </w:rPr>
        <w:t xml:space="preserve"> the Working Capital Banks </w:t>
      </w:r>
      <w:r w:rsidR="00F6233E">
        <w:rPr>
          <w:rFonts w:asciiTheme="minorBidi" w:hAnsiTheme="minorBidi"/>
        </w:rPr>
        <w:t>had</w:t>
      </w:r>
      <w:r w:rsidR="009214F1">
        <w:rPr>
          <w:rFonts w:asciiTheme="minorBidi" w:hAnsiTheme="minorBidi"/>
        </w:rPr>
        <w:t xml:space="preserve"> entered into the Standstill Agreement with the Flow Management Group closer to 16 November 2013, when the Working Capital Banks were first notified by the Flow Management Group of its financial distress. </w:t>
      </w:r>
    </w:p>
    <w:p w:rsidR="00122FB4" w:rsidRDefault="00122FB4" w:rsidP="0041017A">
      <w:pPr>
        <w:spacing w:after="0" w:line="240" w:lineRule="auto"/>
        <w:jc w:val="both"/>
        <w:rPr>
          <w:rFonts w:asciiTheme="minorBidi" w:hAnsiTheme="minorBidi"/>
        </w:rPr>
      </w:pPr>
    </w:p>
    <w:p w:rsidR="00821C07" w:rsidRDefault="009214F1" w:rsidP="0041017A">
      <w:pPr>
        <w:spacing w:after="0" w:line="240" w:lineRule="auto"/>
        <w:jc w:val="both"/>
        <w:rPr>
          <w:rFonts w:asciiTheme="minorBidi" w:hAnsiTheme="minorBidi"/>
        </w:rPr>
      </w:pPr>
      <w:r>
        <w:rPr>
          <w:rFonts w:asciiTheme="minorBidi" w:hAnsiTheme="minorBidi"/>
        </w:rPr>
        <w:t xml:space="preserve">Nonetheless, it </w:t>
      </w:r>
      <w:r w:rsidR="00122FB4">
        <w:rPr>
          <w:rFonts w:asciiTheme="minorBidi" w:hAnsiTheme="minorBidi"/>
        </w:rPr>
        <w:t>is arguable that a ‘de-facto’ standstill was in effect from 16 November 2013 (the “</w:t>
      </w:r>
      <w:r w:rsidR="00122FB4" w:rsidRPr="00122FB4">
        <w:rPr>
          <w:rFonts w:asciiTheme="minorBidi" w:hAnsiTheme="minorBidi"/>
          <w:b/>
          <w:bCs/>
        </w:rPr>
        <w:t>De-Facto Standstill</w:t>
      </w:r>
      <w:r w:rsidR="00122FB4">
        <w:rPr>
          <w:rFonts w:asciiTheme="minorBidi" w:hAnsiTheme="minorBidi"/>
        </w:rPr>
        <w:t>”), given</w:t>
      </w:r>
      <w:r w:rsidR="00751877">
        <w:rPr>
          <w:rFonts w:asciiTheme="minorBidi" w:hAnsiTheme="minorBidi"/>
        </w:rPr>
        <w:t xml:space="preserve"> that</w:t>
      </w:r>
      <w:r w:rsidR="00122FB4">
        <w:rPr>
          <w:rFonts w:asciiTheme="minorBidi" w:hAnsiTheme="minorBidi"/>
        </w:rPr>
        <w:t xml:space="preserve"> the Working Capital Banks appeared </w:t>
      </w:r>
      <w:r w:rsidR="00751877">
        <w:rPr>
          <w:rFonts w:asciiTheme="minorBidi" w:hAnsiTheme="minorBidi"/>
        </w:rPr>
        <w:t>to</w:t>
      </w:r>
      <w:r w:rsidR="00122FB4">
        <w:rPr>
          <w:rFonts w:asciiTheme="minorBidi" w:hAnsiTheme="minorBidi"/>
        </w:rPr>
        <w:t xml:space="preserve"> acquiesce with the Flow Management Group’s </w:t>
      </w:r>
      <w:r w:rsidR="0002317E">
        <w:rPr>
          <w:rFonts w:asciiTheme="minorBidi" w:hAnsiTheme="minorBidi"/>
        </w:rPr>
        <w:t xml:space="preserve">restructuring attempts. </w:t>
      </w:r>
    </w:p>
    <w:p w:rsidR="00821C07" w:rsidRDefault="00821C07" w:rsidP="0041017A">
      <w:pPr>
        <w:spacing w:after="0" w:line="240" w:lineRule="auto"/>
        <w:jc w:val="both"/>
        <w:rPr>
          <w:rFonts w:asciiTheme="minorBidi" w:hAnsiTheme="minorBidi"/>
        </w:rPr>
      </w:pPr>
    </w:p>
    <w:p w:rsidR="007D7C34" w:rsidRDefault="007D7C34" w:rsidP="0041017A">
      <w:pPr>
        <w:spacing w:after="0" w:line="240" w:lineRule="auto"/>
        <w:jc w:val="both"/>
        <w:rPr>
          <w:rFonts w:asciiTheme="minorBidi" w:hAnsiTheme="minorBidi"/>
        </w:rPr>
      </w:pPr>
    </w:p>
    <w:p w:rsidR="007D7C34"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821C07" w:rsidRPr="00CE5A22">
        <w:rPr>
          <w:rFonts w:asciiTheme="minorBidi" w:hAnsiTheme="minorBidi"/>
          <w:i/>
          <w:iCs/>
          <w:u w:val="single"/>
        </w:rPr>
        <w:t>Second Principle</w:t>
      </w:r>
      <w:r w:rsidR="005A6C6D" w:rsidRPr="00CE5A22">
        <w:rPr>
          <w:rFonts w:asciiTheme="minorBidi" w:hAnsiTheme="minorBidi"/>
          <w:i/>
          <w:iCs/>
          <w:u w:val="single"/>
        </w:rPr>
        <w:t xml:space="preserve">: </w:t>
      </w:r>
    </w:p>
    <w:p w:rsidR="00821C07" w:rsidRDefault="00821C07" w:rsidP="0041017A">
      <w:pPr>
        <w:spacing w:after="0" w:line="240" w:lineRule="auto"/>
        <w:jc w:val="both"/>
        <w:rPr>
          <w:rFonts w:asciiTheme="minorBidi" w:hAnsiTheme="minorBidi"/>
        </w:rPr>
      </w:pPr>
    </w:p>
    <w:p w:rsidR="00122FB4" w:rsidRDefault="0002317E" w:rsidP="0041017A">
      <w:pPr>
        <w:spacing w:after="0" w:line="240" w:lineRule="auto"/>
        <w:jc w:val="both"/>
        <w:rPr>
          <w:rFonts w:asciiTheme="minorBidi" w:hAnsiTheme="minorBidi"/>
        </w:rPr>
      </w:pPr>
      <w:r>
        <w:rPr>
          <w:rFonts w:asciiTheme="minorBidi" w:hAnsiTheme="minorBidi"/>
        </w:rPr>
        <w:t>Through the</w:t>
      </w:r>
      <w:r w:rsidR="00122FB4">
        <w:rPr>
          <w:rFonts w:asciiTheme="minorBidi" w:hAnsiTheme="minorBidi"/>
        </w:rPr>
        <w:t xml:space="preserve"> De-Facto Standstill and</w:t>
      </w:r>
      <w:r>
        <w:rPr>
          <w:rFonts w:asciiTheme="minorBidi" w:hAnsiTheme="minorBidi"/>
        </w:rPr>
        <w:t xml:space="preserve"> </w:t>
      </w:r>
      <w:r w:rsidR="00122FB4">
        <w:rPr>
          <w:rFonts w:asciiTheme="minorBidi" w:hAnsiTheme="minorBidi"/>
        </w:rPr>
        <w:t xml:space="preserve">the Standstill Agreement, the Working Capital Banks complied with </w:t>
      </w:r>
      <w:r w:rsidR="00322CC4">
        <w:rPr>
          <w:rFonts w:asciiTheme="minorBidi" w:hAnsiTheme="minorBidi"/>
        </w:rPr>
        <w:t>the</w:t>
      </w:r>
      <w:r w:rsidR="00CE5A22">
        <w:rPr>
          <w:rFonts w:asciiTheme="minorBidi" w:hAnsiTheme="minorBidi"/>
        </w:rPr>
        <w:t xml:space="preserve"> </w:t>
      </w:r>
      <w:r w:rsidR="00122FB4">
        <w:rPr>
          <w:rFonts w:asciiTheme="minorBidi" w:hAnsiTheme="minorBidi"/>
        </w:rPr>
        <w:t>Second Principle by refraining from taking any steps to enforce their claims against</w:t>
      </w:r>
      <w:r>
        <w:rPr>
          <w:rFonts w:asciiTheme="minorBidi" w:hAnsiTheme="minorBidi"/>
        </w:rPr>
        <w:t>,</w:t>
      </w:r>
      <w:r w:rsidR="00122FB4">
        <w:rPr>
          <w:rFonts w:asciiTheme="minorBidi" w:hAnsiTheme="minorBidi"/>
        </w:rPr>
        <w:t xml:space="preserve"> or to reduce their exposure to</w:t>
      </w:r>
      <w:r>
        <w:rPr>
          <w:rFonts w:asciiTheme="minorBidi" w:hAnsiTheme="minorBidi"/>
        </w:rPr>
        <w:t>,</w:t>
      </w:r>
      <w:r w:rsidR="00122FB4">
        <w:rPr>
          <w:rFonts w:asciiTheme="minorBidi" w:hAnsiTheme="minorBidi"/>
        </w:rPr>
        <w:t xml:space="preserve"> the Flow Management Group. </w:t>
      </w:r>
    </w:p>
    <w:p w:rsidR="00122FB4" w:rsidRDefault="00122FB4" w:rsidP="0041017A">
      <w:pPr>
        <w:spacing w:after="0" w:line="240" w:lineRule="auto"/>
        <w:jc w:val="both"/>
        <w:rPr>
          <w:rFonts w:asciiTheme="minorBidi" w:hAnsiTheme="minorBidi"/>
        </w:rPr>
      </w:pPr>
    </w:p>
    <w:p w:rsidR="00821C07" w:rsidRDefault="00122FB4" w:rsidP="0041017A">
      <w:pPr>
        <w:spacing w:after="0" w:line="240" w:lineRule="auto"/>
        <w:jc w:val="both"/>
        <w:rPr>
          <w:rFonts w:asciiTheme="minorBidi" w:hAnsiTheme="minorBidi"/>
        </w:rPr>
      </w:pPr>
      <w:r>
        <w:rPr>
          <w:rFonts w:asciiTheme="minorBidi" w:hAnsiTheme="minorBidi"/>
        </w:rPr>
        <w:t>In return</w:t>
      </w:r>
      <w:r w:rsidR="00CE5A22">
        <w:rPr>
          <w:rFonts w:asciiTheme="minorBidi" w:hAnsiTheme="minorBidi"/>
        </w:rPr>
        <w:t>,</w:t>
      </w:r>
      <w:r>
        <w:rPr>
          <w:rFonts w:asciiTheme="minorBidi" w:hAnsiTheme="minorBidi"/>
        </w:rPr>
        <w:t xml:space="preserve"> it appears that the Flow Management Group respected the </w:t>
      </w:r>
      <w:r w:rsidR="00030BBF">
        <w:rPr>
          <w:rFonts w:asciiTheme="minorBidi" w:hAnsiTheme="minorBidi"/>
        </w:rPr>
        <w:t>priority of the Working Capital Banks during the period of the De-Facto Standstill and the Standstill Agreement.</w:t>
      </w:r>
    </w:p>
    <w:p w:rsidR="00821C07" w:rsidRDefault="00821C07" w:rsidP="0041017A">
      <w:pPr>
        <w:spacing w:after="0" w:line="240" w:lineRule="auto"/>
        <w:jc w:val="both"/>
        <w:rPr>
          <w:rFonts w:asciiTheme="minorBidi" w:hAnsiTheme="minorBidi"/>
        </w:rPr>
      </w:pPr>
    </w:p>
    <w:p w:rsidR="005A6C6D" w:rsidRDefault="005A6C6D" w:rsidP="0041017A">
      <w:pPr>
        <w:spacing w:after="0" w:line="240" w:lineRule="auto"/>
        <w:jc w:val="both"/>
        <w:rPr>
          <w:rFonts w:asciiTheme="minorBidi" w:hAnsiTheme="minorBidi"/>
        </w:rPr>
      </w:pPr>
    </w:p>
    <w:p w:rsidR="005A6C6D"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821C07" w:rsidRPr="00CE5A22">
        <w:rPr>
          <w:rFonts w:asciiTheme="minorBidi" w:hAnsiTheme="minorBidi"/>
          <w:i/>
          <w:iCs/>
          <w:u w:val="single"/>
        </w:rPr>
        <w:t>Third Principle</w:t>
      </w:r>
      <w:r w:rsidR="005A6C6D" w:rsidRPr="00CE5A22">
        <w:rPr>
          <w:rFonts w:asciiTheme="minorBidi" w:hAnsiTheme="minorBidi"/>
          <w:i/>
          <w:iCs/>
          <w:u w:val="single"/>
        </w:rPr>
        <w:t xml:space="preserve">: </w:t>
      </w:r>
    </w:p>
    <w:p w:rsidR="00821C07" w:rsidRDefault="00821C07" w:rsidP="0041017A">
      <w:pPr>
        <w:spacing w:after="0" w:line="240" w:lineRule="auto"/>
        <w:jc w:val="both"/>
        <w:rPr>
          <w:rFonts w:asciiTheme="minorBidi" w:hAnsiTheme="minorBidi"/>
        </w:rPr>
      </w:pPr>
    </w:p>
    <w:p w:rsidR="00821C07" w:rsidRDefault="00030BBF" w:rsidP="0041017A">
      <w:pPr>
        <w:spacing w:after="0" w:line="240" w:lineRule="auto"/>
        <w:jc w:val="both"/>
        <w:rPr>
          <w:rFonts w:asciiTheme="minorBidi" w:hAnsiTheme="minorBidi"/>
        </w:rPr>
      </w:pPr>
      <w:r>
        <w:rPr>
          <w:rFonts w:asciiTheme="minorBidi" w:hAnsiTheme="minorBidi"/>
        </w:rPr>
        <w:t>It appears that the Flow Management Group</w:t>
      </w:r>
      <w:r w:rsidR="00560BA0">
        <w:rPr>
          <w:rFonts w:asciiTheme="minorBidi" w:hAnsiTheme="minorBidi"/>
        </w:rPr>
        <w:t xml:space="preserve"> did not take any action </w:t>
      </w:r>
      <w:r w:rsidR="0035664C" w:rsidRPr="0035664C">
        <w:rPr>
          <w:rFonts w:asciiTheme="minorBidi" w:hAnsiTheme="minorBidi"/>
        </w:rPr>
        <w:t>which might adversely affect the prospective return</w:t>
      </w:r>
      <w:r w:rsidR="0035664C">
        <w:rPr>
          <w:rFonts w:asciiTheme="minorBidi" w:hAnsiTheme="minorBidi"/>
        </w:rPr>
        <w:t>s</w:t>
      </w:r>
      <w:r w:rsidR="0035664C" w:rsidRPr="0035664C">
        <w:rPr>
          <w:rFonts w:asciiTheme="minorBidi" w:hAnsiTheme="minorBidi"/>
        </w:rPr>
        <w:t xml:space="preserve"> to</w:t>
      </w:r>
      <w:r w:rsidR="0035664C">
        <w:rPr>
          <w:rFonts w:asciiTheme="minorBidi" w:hAnsiTheme="minorBidi"/>
        </w:rPr>
        <w:t xml:space="preserve"> the Working Capital Banks </w:t>
      </w:r>
      <w:r w:rsidR="0035664C" w:rsidRPr="0035664C">
        <w:rPr>
          <w:rFonts w:asciiTheme="minorBidi" w:hAnsiTheme="minorBidi"/>
        </w:rPr>
        <w:t>(either collectively or individually) as compared with</w:t>
      </w:r>
      <w:r w:rsidR="0035664C">
        <w:rPr>
          <w:rFonts w:asciiTheme="minorBidi" w:hAnsiTheme="minorBidi"/>
        </w:rPr>
        <w:t xml:space="preserve"> </w:t>
      </w:r>
      <w:r w:rsidR="0035664C" w:rsidRPr="0035664C">
        <w:rPr>
          <w:rFonts w:asciiTheme="minorBidi" w:hAnsiTheme="minorBidi"/>
        </w:rPr>
        <w:t xml:space="preserve">the position </w:t>
      </w:r>
      <w:r w:rsidR="0035664C">
        <w:rPr>
          <w:rFonts w:asciiTheme="minorBidi" w:hAnsiTheme="minorBidi"/>
        </w:rPr>
        <w:t xml:space="preserve">of the Working Capital Banks </w:t>
      </w:r>
      <w:r w:rsidR="0035664C" w:rsidRPr="0035664C">
        <w:rPr>
          <w:rFonts w:asciiTheme="minorBidi" w:hAnsiTheme="minorBidi"/>
        </w:rPr>
        <w:t xml:space="preserve">at the </w:t>
      </w:r>
      <w:r w:rsidR="0035664C">
        <w:rPr>
          <w:rFonts w:asciiTheme="minorBidi" w:hAnsiTheme="minorBidi"/>
        </w:rPr>
        <w:t>commencement of the De-Facto Standstill and the Standstill Agreement.</w:t>
      </w:r>
    </w:p>
    <w:p w:rsidR="0035664C" w:rsidRDefault="0035664C" w:rsidP="0041017A">
      <w:pPr>
        <w:spacing w:after="0" w:line="240" w:lineRule="auto"/>
        <w:jc w:val="both"/>
        <w:rPr>
          <w:rFonts w:asciiTheme="minorBidi" w:hAnsiTheme="minorBidi"/>
        </w:rPr>
      </w:pPr>
    </w:p>
    <w:p w:rsidR="0035664C" w:rsidRDefault="0035664C" w:rsidP="0041017A">
      <w:pPr>
        <w:spacing w:after="0" w:line="240" w:lineRule="auto"/>
        <w:jc w:val="both"/>
        <w:rPr>
          <w:rFonts w:asciiTheme="minorBidi" w:hAnsiTheme="minorBidi"/>
        </w:rPr>
      </w:pPr>
      <w:r>
        <w:rPr>
          <w:rFonts w:asciiTheme="minorBidi" w:hAnsiTheme="minorBidi"/>
        </w:rPr>
        <w:t xml:space="preserve">The Flow Management Group did incur financial indebtedness during the </w:t>
      </w:r>
      <w:r w:rsidR="0001535C">
        <w:rPr>
          <w:rFonts w:asciiTheme="minorBidi" w:hAnsiTheme="minorBidi"/>
        </w:rPr>
        <w:t xml:space="preserve">period of the De-Facto Standstill and the Standstill Agreement, such as the loan from the </w:t>
      </w:r>
      <w:r w:rsidR="00CE5A22">
        <w:rPr>
          <w:rFonts w:asciiTheme="minorBidi" w:hAnsiTheme="minorBidi"/>
        </w:rPr>
        <w:t>Chief Executive Officer</w:t>
      </w:r>
      <w:r w:rsidR="0001535C">
        <w:rPr>
          <w:rFonts w:asciiTheme="minorBidi" w:hAnsiTheme="minorBidi"/>
        </w:rPr>
        <w:t xml:space="preserve"> of the </w:t>
      </w:r>
      <w:r w:rsidR="0001535C" w:rsidRPr="00427778">
        <w:rPr>
          <w:rFonts w:asciiTheme="minorBidi" w:hAnsiTheme="minorBidi"/>
        </w:rPr>
        <w:t xml:space="preserve">Flow Management </w:t>
      </w:r>
      <w:r w:rsidR="0001535C">
        <w:rPr>
          <w:rFonts w:asciiTheme="minorBidi" w:hAnsiTheme="minorBidi"/>
        </w:rPr>
        <w:t xml:space="preserve">Group in April 2014 and the shareholder deposit at the end of June 2014. However, these loans appear to have been entered into with the consent (or at least </w:t>
      </w:r>
      <w:r w:rsidR="00CE5A22">
        <w:rPr>
          <w:rFonts w:asciiTheme="minorBidi" w:hAnsiTheme="minorBidi"/>
        </w:rPr>
        <w:t xml:space="preserve">the </w:t>
      </w:r>
      <w:r w:rsidR="0001535C">
        <w:rPr>
          <w:rFonts w:asciiTheme="minorBidi" w:hAnsiTheme="minorBidi"/>
        </w:rPr>
        <w:t xml:space="preserve">knowledge of the Working Capital Banks). Further these loans </w:t>
      </w:r>
      <w:r w:rsidR="00B3155A">
        <w:rPr>
          <w:rFonts w:asciiTheme="minorBidi" w:hAnsiTheme="minorBidi"/>
        </w:rPr>
        <w:t>were</w:t>
      </w:r>
      <w:r w:rsidR="0001535C">
        <w:rPr>
          <w:rFonts w:asciiTheme="minorBidi" w:hAnsiTheme="minorBidi"/>
        </w:rPr>
        <w:t xml:space="preserve"> unsecured which aligns with the Second Principle that the Flow Management Group should respect the priority of the Working Capital Banks during the period of the De-Facto Standstill and the Standstill Agreement.</w:t>
      </w:r>
    </w:p>
    <w:p w:rsidR="00821C07" w:rsidRDefault="00821C07" w:rsidP="0041017A">
      <w:pPr>
        <w:spacing w:after="0" w:line="240" w:lineRule="auto"/>
        <w:jc w:val="both"/>
        <w:rPr>
          <w:rFonts w:asciiTheme="minorBidi" w:hAnsiTheme="minorBidi"/>
        </w:rPr>
      </w:pPr>
    </w:p>
    <w:p w:rsidR="005A6C6D" w:rsidRDefault="005A6C6D" w:rsidP="0041017A">
      <w:pPr>
        <w:spacing w:after="0" w:line="240" w:lineRule="auto"/>
        <w:jc w:val="both"/>
        <w:rPr>
          <w:rFonts w:asciiTheme="minorBidi" w:hAnsiTheme="minorBidi"/>
        </w:rPr>
      </w:pPr>
    </w:p>
    <w:p w:rsidR="005A6C6D"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821C07" w:rsidRPr="00CE5A22">
        <w:rPr>
          <w:rFonts w:asciiTheme="minorBidi" w:hAnsiTheme="minorBidi"/>
          <w:i/>
          <w:iCs/>
          <w:u w:val="single"/>
        </w:rPr>
        <w:t>Fourth Principle</w:t>
      </w:r>
      <w:r w:rsidR="005A6C6D" w:rsidRPr="00CE5A22">
        <w:rPr>
          <w:rFonts w:asciiTheme="minorBidi" w:hAnsiTheme="minorBidi"/>
          <w:i/>
          <w:iCs/>
          <w:u w:val="single"/>
        </w:rPr>
        <w:t xml:space="preserve">: </w:t>
      </w:r>
    </w:p>
    <w:p w:rsidR="00821C07" w:rsidRDefault="00821C07" w:rsidP="0041017A">
      <w:pPr>
        <w:spacing w:after="0" w:line="240" w:lineRule="auto"/>
        <w:jc w:val="both"/>
        <w:rPr>
          <w:rFonts w:asciiTheme="minorBidi" w:hAnsiTheme="minorBidi"/>
        </w:rPr>
      </w:pPr>
    </w:p>
    <w:p w:rsidR="00896453" w:rsidRDefault="00896453" w:rsidP="0041017A">
      <w:pPr>
        <w:spacing w:after="0" w:line="240" w:lineRule="auto"/>
        <w:jc w:val="both"/>
        <w:rPr>
          <w:rFonts w:asciiTheme="minorBidi" w:hAnsiTheme="minorBidi"/>
        </w:rPr>
      </w:pPr>
      <w:r>
        <w:rPr>
          <w:rFonts w:asciiTheme="minorBidi" w:hAnsiTheme="minorBidi"/>
        </w:rPr>
        <w:t>There was no co-ordination committee (“</w:t>
      </w:r>
      <w:r w:rsidRPr="00896453">
        <w:rPr>
          <w:rFonts w:asciiTheme="minorBidi" w:hAnsiTheme="minorBidi"/>
          <w:b/>
          <w:bCs/>
        </w:rPr>
        <w:t>Co-Com</w:t>
      </w:r>
      <w:r>
        <w:rPr>
          <w:rFonts w:asciiTheme="minorBidi" w:hAnsiTheme="minorBidi"/>
        </w:rPr>
        <w:t xml:space="preserve">”) formed amongst the Working Capital Banks. Given </w:t>
      </w:r>
      <w:r w:rsidR="00F02A14">
        <w:rPr>
          <w:rFonts w:asciiTheme="minorBidi" w:hAnsiTheme="minorBidi"/>
        </w:rPr>
        <w:t xml:space="preserve">that </w:t>
      </w:r>
      <w:r>
        <w:rPr>
          <w:rFonts w:asciiTheme="minorBidi" w:hAnsiTheme="minorBidi"/>
        </w:rPr>
        <w:t xml:space="preserve">there were only four members of the Working Capital Banks, it may have </w:t>
      </w:r>
      <w:r>
        <w:rPr>
          <w:rFonts w:asciiTheme="minorBidi" w:hAnsiTheme="minorBidi"/>
        </w:rPr>
        <w:lastRenderedPageBreak/>
        <w:t xml:space="preserve">been the view of the Working Capital Banks that they were small enough in number that they could have liaised </w:t>
      </w:r>
      <w:r w:rsidR="00631428">
        <w:rPr>
          <w:rFonts w:asciiTheme="minorBidi" w:hAnsiTheme="minorBidi"/>
        </w:rPr>
        <w:t xml:space="preserve">efficiently </w:t>
      </w:r>
      <w:r>
        <w:rPr>
          <w:rFonts w:asciiTheme="minorBidi" w:hAnsiTheme="minorBidi"/>
        </w:rPr>
        <w:t xml:space="preserve">with the Flow Management Group directly. </w:t>
      </w:r>
    </w:p>
    <w:p w:rsidR="00896453" w:rsidRDefault="00896453" w:rsidP="0041017A">
      <w:pPr>
        <w:spacing w:after="0" w:line="240" w:lineRule="auto"/>
        <w:jc w:val="both"/>
        <w:rPr>
          <w:rFonts w:asciiTheme="minorBidi" w:hAnsiTheme="minorBidi"/>
        </w:rPr>
      </w:pPr>
    </w:p>
    <w:p w:rsidR="00896453" w:rsidRDefault="00896453" w:rsidP="0041017A">
      <w:pPr>
        <w:spacing w:after="0" w:line="240" w:lineRule="auto"/>
        <w:jc w:val="both"/>
        <w:rPr>
          <w:rFonts w:asciiTheme="minorBidi" w:hAnsiTheme="minorBidi"/>
        </w:rPr>
      </w:pPr>
      <w:r>
        <w:rPr>
          <w:rFonts w:asciiTheme="minorBidi" w:hAnsiTheme="minorBidi"/>
        </w:rPr>
        <w:t xml:space="preserve">However, it would have been helpful to have formed a Co-Com for the purposes of engaging </w:t>
      </w:r>
      <w:r w:rsidR="001A1303">
        <w:rPr>
          <w:rFonts w:asciiTheme="minorBidi" w:hAnsiTheme="minorBidi"/>
        </w:rPr>
        <w:t>professional</w:t>
      </w:r>
      <w:r>
        <w:rPr>
          <w:rFonts w:asciiTheme="minorBidi" w:hAnsiTheme="minorBidi"/>
        </w:rPr>
        <w:t xml:space="preserve"> </w:t>
      </w:r>
      <w:r w:rsidR="001A1303">
        <w:rPr>
          <w:rFonts w:asciiTheme="minorBidi" w:hAnsiTheme="minorBidi"/>
        </w:rPr>
        <w:t>advisers</w:t>
      </w:r>
      <w:r>
        <w:rPr>
          <w:rFonts w:asciiTheme="minorBidi" w:hAnsiTheme="minorBidi"/>
        </w:rPr>
        <w:t xml:space="preserve"> to advise and </w:t>
      </w:r>
      <w:r w:rsidR="001A1303">
        <w:rPr>
          <w:rFonts w:asciiTheme="minorBidi" w:hAnsiTheme="minorBidi"/>
        </w:rPr>
        <w:t>assist</w:t>
      </w:r>
      <w:r>
        <w:rPr>
          <w:rFonts w:asciiTheme="minorBidi" w:hAnsiTheme="minorBidi"/>
        </w:rPr>
        <w:t xml:space="preserve"> the Co-Com</w:t>
      </w:r>
      <w:r w:rsidR="001A1303">
        <w:rPr>
          <w:rFonts w:asciiTheme="minorBidi" w:hAnsiTheme="minorBidi"/>
        </w:rPr>
        <w:t xml:space="preserve">. Although there are references to an accountancy firm investigating procedures within the Flow Management Group in December 2013 and an </w:t>
      </w:r>
      <w:r w:rsidR="001A1303" w:rsidRPr="00071C79">
        <w:rPr>
          <w:rFonts w:asciiTheme="minorBidi" w:hAnsiTheme="minorBidi"/>
        </w:rPr>
        <w:t>independent turnaround consultancy</w:t>
      </w:r>
      <w:r w:rsidR="001A1303">
        <w:rPr>
          <w:rFonts w:asciiTheme="minorBidi" w:hAnsiTheme="minorBidi"/>
        </w:rPr>
        <w:t xml:space="preserve"> </w:t>
      </w:r>
      <w:r w:rsidR="001A1303" w:rsidRPr="00071C79">
        <w:rPr>
          <w:rFonts w:asciiTheme="minorBidi" w:hAnsiTheme="minorBidi"/>
        </w:rPr>
        <w:t xml:space="preserve">agency </w:t>
      </w:r>
      <w:r w:rsidR="001A1303">
        <w:rPr>
          <w:rFonts w:asciiTheme="minorBidi" w:hAnsiTheme="minorBidi"/>
        </w:rPr>
        <w:t xml:space="preserve">reviewing the viability of the Flow Management Group, it does not appear from the Case Study that the Working Capital Banks engaged legal advisers </w:t>
      </w:r>
      <w:r w:rsidR="00320F27">
        <w:rPr>
          <w:rFonts w:asciiTheme="minorBidi" w:hAnsiTheme="minorBidi"/>
        </w:rPr>
        <w:t>or</w:t>
      </w:r>
      <w:r w:rsidR="001A1303">
        <w:rPr>
          <w:rFonts w:asciiTheme="minorBidi" w:hAnsiTheme="minorBidi"/>
        </w:rPr>
        <w:t xml:space="preserve"> financial advisers to advise the Working Capital Banks with respect to the restructuring.</w:t>
      </w:r>
    </w:p>
    <w:p w:rsidR="001A1303" w:rsidRDefault="001A1303" w:rsidP="0041017A">
      <w:pPr>
        <w:spacing w:after="0" w:line="240" w:lineRule="auto"/>
        <w:jc w:val="both"/>
        <w:rPr>
          <w:rFonts w:asciiTheme="minorBidi" w:hAnsiTheme="minorBidi"/>
        </w:rPr>
      </w:pPr>
    </w:p>
    <w:p w:rsidR="001A1303" w:rsidRDefault="001A1303" w:rsidP="0041017A">
      <w:pPr>
        <w:spacing w:after="0" w:line="240" w:lineRule="auto"/>
        <w:jc w:val="both"/>
        <w:rPr>
          <w:rFonts w:asciiTheme="minorBidi" w:hAnsiTheme="minorBidi"/>
        </w:rPr>
      </w:pPr>
      <w:r>
        <w:rPr>
          <w:rFonts w:asciiTheme="minorBidi" w:hAnsiTheme="minorBidi"/>
        </w:rPr>
        <w:t>If the Working Capital Banks had formed a Co-Com to engage legal advisers and financial advisers it may have assisted the restructuring process and also ensured that each member of the Working Capital Banks received the same information and advice. The failure to receive the same information and advice, may have been the reason that Banks C and D appeared to frustrate the restructuring at one point.</w:t>
      </w:r>
    </w:p>
    <w:p w:rsidR="00896453" w:rsidRDefault="00896453" w:rsidP="0041017A">
      <w:pPr>
        <w:spacing w:after="0" w:line="240" w:lineRule="auto"/>
        <w:jc w:val="both"/>
        <w:rPr>
          <w:rFonts w:asciiTheme="minorBidi" w:hAnsiTheme="minorBidi"/>
        </w:rPr>
      </w:pPr>
    </w:p>
    <w:p w:rsidR="005A6C6D" w:rsidRDefault="005A6C6D" w:rsidP="0041017A">
      <w:pPr>
        <w:spacing w:after="0" w:line="240" w:lineRule="auto"/>
        <w:jc w:val="both"/>
        <w:rPr>
          <w:rFonts w:asciiTheme="minorBidi" w:hAnsiTheme="minorBidi"/>
        </w:rPr>
      </w:pPr>
    </w:p>
    <w:p w:rsidR="00821C07"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821C07" w:rsidRPr="00CE5A22">
        <w:rPr>
          <w:rFonts w:asciiTheme="minorBidi" w:hAnsiTheme="minorBidi"/>
          <w:i/>
          <w:iCs/>
          <w:u w:val="single"/>
        </w:rPr>
        <w:t>Fifth Principle</w:t>
      </w:r>
      <w:r w:rsidR="005A6C6D" w:rsidRPr="00CE5A22">
        <w:rPr>
          <w:rFonts w:asciiTheme="minorBidi" w:hAnsiTheme="minorBidi"/>
          <w:i/>
          <w:iCs/>
          <w:u w:val="single"/>
        </w:rPr>
        <w:t xml:space="preserve">: </w:t>
      </w:r>
    </w:p>
    <w:p w:rsidR="00E0792C" w:rsidRDefault="00E0792C" w:rsidP="0041017A">
      <w:pPr>
        <w:spacing w:after="0" w:line="240" w:lineRule="auto"/>
        <w:jc w:val="both"/>
        <w:rPr>
          <w:rFonts w:asciiTheme="minorBidi" w:hAnsiTheme="minorBidi"/>
        </w:rPr>
      </w:pPr>
    </w:p>
    <w:p w:rsidR="00D642C0" w:rsidRDefault="00E0792C" w:rsidP="0041017A">
      <w:pPr>
        <w:spacing w:after="0" w:line="240" w:lineRule="auto"/>
        <w:jc w:val="both"/>
        <w:rPr>
          <w:rFonts w:asciiTheme="minorBidi" w:hAnsiTheme="minorBidi"/>
        </w:rPr>
      </w:pPr>
      <w:r>
        <w:rPr>
          <w:rFonts w:asciiTheme="minorBidi" w:hAnsiTheme="minorBidi"/>
        </w:rPr>
        <w:t xml:space="preserve">The Flow Management Group did provide </w:t>
      </w:r>
      <w:r w:rsidR="003429B4">
        <w:rPr>
          <w:rFonts w:asciiTheme="minorBidi" w:hAnsiTheme="minorBidi"/>
        </w:rPr>
        <w:t xml:space="preserve">some level of </w:t>
      </w:r>
      <w:r>
        <w:rPr>
          <w:rFonts w:asciiTheme="minorBidi" w:hAnsiTheme="minorBidi"/>
        </w:rPr>
        <w:t xml:space="preserve">information to the Working Capital Banks regarding its financial position. However, it is debatable whether the information provided </w:t>
      </w:r>
      <w:r w:rsidR="00D642C0">
        <w:rPr>
          <w:rFonts w:asciiTheme="minorBidi" w:hAnsiTheme="minorBidi"/>
        </w:rPr>
        <w:t xml:space="preserve">by the Flow Management Group in relation </w:t>
      </w:r>
      <w:r w:rsidR="00D642C0" w:rsidRPr="00E0792C">
        <w:rPr>
          <w:rFonts w:asciiTheme="minorBidi" w:hAnsiTheme="minorBidi"/>
        </w:rPr>
        <w:t>to its</w:t>
      </w:r>
      <w:r w:rsidR="00D642C0">
        <w:rPr>
          <w:rFonts w:asciiTheme="minorBidi" w:hAnsiTheme="minorBidi"/>
        </w:rPr>
        <w:t xml:space="preserve"> </w:t>
      </w:r>
      <w:r w:rsidR="00D642C0" w:rsidRPr="00E0792C">
        <w:rPr>
          <w:rFonts w:asciiTheme="minorBidi" w:hAnsiTheme="minorBidi"/>
        </w:rPr>
        <w:t>assets, liabilities, business and prospects</w:t>
      </w:r>
      <w:r w:rsidR="00D642C0">
        <w:rPr>
          <w:rFonts w:asciiTheme="minorBidi" w:hAnsiTheme="minorBidi"/>
        </w:rPr>
        <w:t xml:space="preserve"> </w:t>
      </w:r>
      <w:r>
        <w:rPr>
          <w:rFonts w:asciiTheme="minorBidi" w:hAnsiTheme="minorBidi"/>
        </w:rPr>
        <w:t xml:space="preserve">could be </w:t>
      </w:r>
      <w:r w:rsidR="00D642C0">
        <w:rPr>
          <w:rFonts w:asciiTheme="minorBidi" w:hAnsiTheme="minorBidi"/>
        </w:rPr>
        <w:t>described</w:t>
      </w:r>
      <w:r>
        <w:rPr>
          <w:rFonts w:asciiTheme="minorBidi" w:hAnsiTheme="minorBidi"/>
        </w:rPr>
        <w:t xml:space="preserve"> as ‘</w:t>
      </w:r>
      <w:r w:rsidRPr="00E0792C">
        <w:rPr>
          <w:rFonts w:asciiTheme="minorBidi" w:hAnsiTheme="minorBidi"/>
        </w:rPr>
        <w:t>reasonable</w:t>
      </w:r>
      <w:r>
        <w:rPr>
          <w:rFonts w:asciiTheme="minorBidi" w:hAnsiTheme="minorBidi"/>
        </w:rPr>
        <w:t>’</w:t>
      </w:r>
      <w:r w:rsidRPr="00E0792C">
        <w:rPr>
          <w:rFonts w:asciiTheme="minorBidi" w:hAnsiTheme="minorBidi"/>
        </w:rPr>
        <w:t xml:space="preserve"> and </w:t>
      </w:r>
      <w:r>
        <w:rPr>
          <w:rFonts w:asciiTheme="minorBidi" w:hAnsiTheme="minorBidi"/>
        </w:rPr>
        <w:t>‘</w:t>
      </w:r>
      <w:r w:rsidRPr="00E0792C">
        <w:rPr>
          <w:rFonts w:asciiTheme="minorBidi" w:hAnsiTheme="minorBidi"/>
        </w:rPr>
        <w:t>timely</w:t>
      </w:r>
      <w:r>
        <w:rPr>
          <w:rFonts w:asciiTheme="minorBidi" w:hAnsiTheme="minorBidi"/>
        </w:rPr>
        <w:t>’</w:t>
      </w:r>
      <w:r w:rsidRPr="00E0792C">
        <w:rPr>
          <w:rFonts w:asciiTheme="minorBidi" w:hAnsiTheme="minorBidi"/>
        </w:rPr>
        <w:t xml:space="preserve"> </w:t>
      </w:r>
      <w:r w:rsidR="00D642C0">
        <w:rPr>
          <w:rFonts w:asciiTheme="minorBidi" w:hAnsiTheme="minorBidi"/>
        </w:rPr>
        <w:t xml:space="preserve">in accordance with the Fifth Principle. </w:t>
      </w:r>
    </w:p>
    <w:p w:rsidR="00D642C0" w:rsidRDefault="00D642C0" w:rsidP="0041017A">
      <w:pPr>
        <w:spacing w:after="0" w:line="240" w:lineRule="auto"/>
        <w:jc w:val="both"/>
        <w:rPr>
          <w:rFonts w:asciiTheme="minorBidi" w:hAnsiTheme="minorBidi"/>
        </w:rPr>
      </w:pPr>
    </w:p>
    <w:p w:rsidR="00D642C0" w:rsidRDefault="00D642C0" w:rsidP="0041017A">
      <w:pPr>
        <w:spacing w:after="0" w:line="240" w:lineRule="auto"/>
        <w:jc w:val="both"/>
        <w:rPr>
          <w:rFonts w:asciiTheme="minorBidi" w:hAnsiTheme="minorBidi"/>
        </w:rPr>
      </w:pPr>
      <w:r>
        <w:rPr>
          <w:rFonts w:asciiTheme="minorBidi" w:hAnsiTheme="minorBidi"/>
        </w:rPr>
        <w:t xml:space="preserve">In contrast it is clear that the Working Capital Group becomes frustrated with the unreliable and constantly changing information provided by the Flow Management Group. This may be one of the reasons why the restructuring took </w:t>
      </w:r>
      <w:r w:rsidR="00320F27">
        <w:rPr>
          <w:rFonts w:asciiTheme="minorBidi" w:hAnsiTheme="minorBidi"/>
        </w:rPr>
        <w:t>a significant time period in which</w:t>
      </w:r>
      <w:r>
        <w:rPr>
          <w:rFonts w:asciiTheme="minorBidi" w:hAnsiTheme="minorBidi"/>
        </w:rPr>
        <w:t xml:space="preserve"> to complete. </w:t>
      </w:r>
    </w:p>
    <w:p w:rsidR="00821C07" w:rsidRDefault="00821C07" w:rsidP="0041017A">
      <w:pPr>
        <w:spacing w:after="0" w:line="240" w:lineRule="auto"/>
        <w:jc w:val="both"/>
        <w:rPr>
          <w:rFonts w:asciiTheme="minorBidi" w:hAnsiTheme="minorBidi"/>
        </w:rPr>
      </w:pPr>
    </w:p>
    <w:p w:rsidR="005A6C6D" w:rsidRDefault="005A6C6D" w:rsidP="0041017A">
      <w:pPr>
        <w:spacing w:after="0" w:line="240" w:lineRule="auto"/>
        <w:jc w:val="both"/>
        <w:rPr>
          <w:rFonts w:asciiTheme="minorBidi" w:hAnsiTheme="minorBidi"/>
        </w:rPr>
      </w:pPr>
    </w:p>
    <w:p w:rsidR="005A6C6D"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5A6C6D" w:rsidRPr="00CE5A22">
        <w:rPr>
          <w:rFonts w:asciiTheme="minorBidi" w:hAnsiTheme="minorBidi"/>
          <w:i/>
          <w:iCs/>
          <w:u w:val="single"/>
        </w:rPr>
        <w:t>Sixth</w:t>
      </w:r>
      <w:r w:rsidR="00821C07" w:rsidRPr="00CE5A22">
        <w:rPr>
          <w:rFonts w:asciiTheme="minorBidi" w:hAnsiTheme="minorBidi"/>
          <w:i/>
          <w:iCs/>
          <w:u w:val="single"/>
        </w:rPr>
        <w:t xml:space="preserve"> Principle</w:t>
      </w:r>
      <w:r w:rsidR="005A6C6D" w:rsidRPr="00CE5A22">
        <w:rPr>
          <w:rFonts w:asciiTheme="minorBidi" w:hAnsiTheme="minorBidi"/>
          <w:i/>
          <w:iCs/>
          <w:u w:val="single"/>
        </w:rPr>
        <w:t xml:space="preserve">: </w:t>
      </w:r>
    </w:p>
    <w:p w:rsidR="00821C07" w:rsidRDefault="00821C07" w:rsidP="0041017A">
      <w:pPr>
        <w:spacing w:after="0" w:line="240" w:lineRule="auto"/>
        <w:jc w:val="both"/>
        <w:rPr>
          <w:rFonts w:asciiTheme="minorBidi" w:hAnsiTheme="minorBidi"/>
        </w:rPr>
      </w:pPr>
    </w:p>
    <w:p w:rsidR="00821C07" w:rsidRDefault="003429B4" w:rsidP="0041017A">
      <w:pPr>
        <w:spacing w:after="0" w:line="240" w:lineRule="auto"/>
        <w:jc w:val="both"/>
        <w:rPr>
          <w:rFonts w:asciiTheme="minorBidi" w:hAnsiTheme="minorBidi"/>
        </w:rPr>
      </w:pPr>
      <w:r>
        <w:rPr>
          <w:rFonts w:asciiTheme="minorBidi" w:hAnsiTheme="minorBidi"/>
        </w:rPr>
        <w:t xml:space="preserve">The </w:t>
      </w:r>
      <w:r w:rsidR="00AA1A3C">
        <w:rPr>
          <w:rFonts w:asciiTheme="minorBidi" w:hAnsiTheme="minorBidi"/>
        </w:rPr>
        <w:t>appears to be little evidence of the production of insolvency models by either the Flow Management Group or the Working Capital Group.</w:t>
      </w:r>
    </w:p>
    <w:p w:rsidR="00821C07" w:rsidRDefault="00821C07" w:rsidP="0041017A">
      <w:pPr>
        <w:spacing w:after="0" w:line="240" w:lineRule="auto"/>
        <w:jc w:val="both"/>
        <w:rPr>
          <w:rFonts w:asciiTheme="minorBidi" w:hAnsiTheme="minorBidi"/>
        </w:rPr>
      </w:pPr>
    </w:p>
    <w:p w:rsidR="00C233AC" w:rsidRDefault="00C233AC" w:rsidP="0041017A">
      <w:pPr>
        <w:spacing w:after="0" w:line="240" w:lineRule="auto"/>
        <w:jc w:val="both"/>
        <w:rPr>
          <w:rFonts w:asciiTheme="minorBidi" w:hAnsiTheme="minorBidi"/>
        </w:rPr>
      </w:pPr>
    </w:p>
    <w:p w:rsidR="00821C07"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C233AC" w:rsidRPr="00CE5A22">
        <w:rPr>
          <w:rFonts w:asciiTheme="minorBidi" w:hAnsiTheme="minorBidi"/>
          <w:i/>
          <w:iCs/>
          <w:u w:val="single"/>
        </w:rPr>
        <w:t>Seventh</w:t>
      </w:r>
      <w:r w:rsidR="00821C07" w:rsidRPr="00CE5A22">
        <w:rPr>
          <w:rFonts w:asciiTheme="minorBidi" w:hAnsiTheme="minorBidi"/>
          <w:i/>
          <w:iCs/>
          <w:u w:val="single"/>
        </w:rPr>
        <w:t xml:space="preserve"> Principle</w:t>
      </w:r>
      <w:r w:rsidR="00C233AC" w:rsidRPr="00CE5A22">
        <w:rPr>
          <w:rFonts w:asciiTheme="minorBidi" w:hAnsiTheme="minorBidi"/>
          <w:i/>
          <w:iCs/>
          <w:u w:val="single"/>
        </w:rPr>
        <w:t xml:space="preserve">: </w:t>
      </w:r>
    </w:p>
    <w:p w:rsidR="008C1CB8" w:rsidRDefault="008C1CB8" w:rsidP="0041017A">
      <w:pPr>
        <w:spacing w:after="0" w:line="240" w:lineRule="auto"/>
        <w:jc w:val="both"/>
        <w:rPr>
          <w:rFonts w:asciiTheme="minorBidi" w:hAnsiTheme="minorBidi"/>
        </w:rPr>
      </w:pPr>
    </w:p>
    <w:p w:rsidR="00821C07" w:rsidRDefault="00AA1A3C" w:rsidP="0041017A">
      <w:pPr>
        <w:spacing w:after="0" w:line="240" w:lineRule="auto"/>
        <w:jc w:val="both"/>
        <w:rPr>
          <w:rFonts w:asciiTheme="minorBidi" w:hAnsiTheme="minorBidi"/>
        </w:rPr>
      </w:pPr>
      <w:r>
        <w:rPr>
          <w:rFonts w:asciiTheme="minorBidi" w:hAnsiTheme="minorBidi"/>
        </w:rPr>
        <w:t>It appears that information disclosed to the Working Capital Group by the Flow Management Group was kept confidential</w:t>
      </w:r>
      <w:r w:rsidR="008C1CB8">
        <w:rPr>
          <w:rFonts w:asciiTheme="minorBidi" w:hAnsiTheme="minorBidi"/>
        </w:rPr>
        <w:t xml:space="preserve">. It may be that confidentiality terms were included in the Standstill Agreement. </w:t>
      </w:r>
    </w:p>
    <w:p w:rsidR="00821C07" w:rsidRDefault="00821C07" w:rsidP="0041017A">
      <w:pPr>
        <w:spacing w:after="0" w:line="240" w:lineRule="auto"/>
        <w:jc w:val="both"/>
        <w:rPr>
          <w:rFonts w:asciiTheme="minorBidi" w:hAnsiTheme="minorBidi"/>
        </w:rPr>
      </w:pPr>
    </w:p>
    <w:p w:rsidR="00C233AC" w:rsidRDefault="00C233AC" w:rsidP="0041017A">
      <w:pPr>
        <w:spacing w:after="0" w:line="240" w:lineRule="auto"/>
        <w:jc w:val="both"/>
        <w:rPr>
          <w:rFonts w:asciiTheme="minorBidi" w:hAnsiTheme="minorBidi"/>
        </w:rPr>
      </w:pPr>
    </w:p>
    <w:p w:rsidR="00C233AC" w:rsidRPr="00CE5A22" w:rsidRDefault="00CE5A22" w:rsidP="0041017A">
      <w:pPr>
        <w:spacing w:after="0" w:line="240" w:lineRule="auto"/>
        <w:jc w:val="both"/>
        <w:rPr>
          <w:rFonts w:asciiTheme="minorBidi" w:hAnsiTheme="minorBidi"/>
          <w:i/>
          <w:iCs/>
          <w:u w:val="single"/>
        </w:rPr>
      </w:pPr>
      <w:r w:rsidRPr="00CE5A22">
        <w:rPr>
          <w:rFonts w:asciiTheme="minorBidi" w:hAnsiTheme="minorBidi"/>
          <w:i/>
          <w:iCs/>
          <w:u w:val="single"/>
        </w:rPr>
        <w:t xml:space="preserve">INSOL International’s </w:t>
      </w:r>
      <w:r w:rsidR="00C233AC" w:rsidRPr="00CE5A22">
        <w:rPr>
          <w:rFonts w:asciiTheme="minorBidi" w:hAnsiTheme="minorBidi"/>
          <w:i/>
          <w:iCs/>
          <w:u w:val="single"/>
        </w:rPr>
        <w:t>Eighth</w:t>
      </w:r>
      <w:r w:rsidR="00821C07" w:rsidRPr="00CE5A22">
        <w:rPr>
          <w:rFonts w:asciiTheme="minorBidi" w:hAnsiTheme="minorBidi"/>
          <w:i/>
          <w:iCs/>
          <w:u w:val="single"/>
        </w:rPr>
        <w:t xml:space="preserve"> Principle</w:t>
      </w:r>
      <w:r w:rsidR="00C233AC" w:rsidRPr="00CE5A22">
        <w:rPr>
          <w:rFonts w:asciiTheme="minorBidi" w:hAnsiTheme="minorBidi"/>
          <w:i/>
          <w:iCs/>
          <w:u w:val="single"/>
        </w:rPr>
        <w:t>:</w:t>
      </w:r>
    </w:p>
    <w:p w:rsidR="00821C07" w:rsidRDefault="00821C07" w:rsidP="0041017A">
      <w:pPr>
        <w:spacing w:after="0" w:line="240" w:lineRule="auto"/>
        <w:jc w:val="both"/>
        <w:rPr>
          <w:rFonts w:asciiTheme="minorBidi" w:hAnsiTheme="minorBidi"/>
        </w:rPr>
      </w:pPr>
    </w:p>
    <w:p w:rsidR="004C55DF" w:rsidRDefault="006A765E" w:rsidP="0041017A">
      <w:pPr>
        <w:spacing w:after="0" w:line="240" w:lineRule="auto"/>
        <w:jc w:val="both"/>
        <w:rPr>
          <w:rFonts w:asciiTheme="minorBidi" w:hAnsiTheme="minorBidi"/>
        </w:rPr>
      </w:pPr>
      <w:r>
        <w:rPr>
          <w:rFonts w:asciiTheme="minorBidi" w:hAnsiTheme="minorBidi"/>
        </w:rPr>
        <w:t xml:space="preserve">As mentioned, the Flow Management Group did incur financial indebtedness during the period of the De-Facto Standstill and the Standstill Agreement, such as the loan from the </w:t>
      </w:r>
      <w:r w:rsidR="000F7A59">
        <w:rPr>
          <w:rFonts w:asciiTheme="minorBidi" w:hAnsiTheme="minorBidi"/>
        </w:rPr>
        <w:t>Chief Executive Officer</w:t>
      </w:r>
      <w:r>
        <w:rPr>
          <w:rFonts w:asciiTheme="minorBidi" w:hAnsiTheme="minorBidi"/>
        </w:rPr>
        <w:t xml:space="preserve"> of the </w:t>
      </w:r>
      <w:r w:rsidRPr="00427778">
        <w:rPr>
          <w:rFonts w:asciiTheme="minorBidi" w:hAnsiTheme="minorBidi"/>
        </w:rPr>
        <w:t xml:space="preserve">Flow Management </w:t>
      </w:r>
      <w:r>
        <w:rPr>
          <w:rFonts w:asciiTheme="minorBidi" w:hAnsiTheme="minorBidi"/>
        </w:rPr>
        <w:t xml:space="preserve">Group in April 2014 and the shareholder deposit at the end of June 2014. However, these loans were unsecured and therefore were not accorded priority status in accordance with the debt of the Working Capital Banks, which appears to be unaligned with the Eight Principle. It is not clear from the facts of the Case Study why these lenders agreed to make available these loans on a non-priority basis. </w:t>
      </w:r>
      <w:r w:rsidR="004C55DF">
        <w:rPr>
          <w:rFonts w:asciiTheme="minorBidi" w:hAnsiTheme="minorBidi"/>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6. Suppose it is not possible to convince other creditors to adopt the Statement of Principles</w:t>
      </w:r>
      <w:r w:rsidRPr="004C55DF">
        <w:rPr>
          <w:rFonts w:asciiTheme="minorBidi" w:hAnsiTheme="minorBidi"/>
          <w:b/>
          <w:bCs/>
        </w:rPr>
        <w:t xml:space="preserve"> </w:t>
      </w:r>
      <w:r w:rsidR="00391B80" w:rsidRPr="004C55DF">
        <w:rPr>
          <w:rFonts w:asciiTheme="minorBidi" w:hAnsiTheme="minorBidi"/>
          <w:b/>
          <w:bCs/>
        </w:rPr>
        <w:t>in a given situation, are there any other possibilities for “soft law” to use (perhaps</w:t>
      </w:r>
      <w:r w:rsidRPr="004C55DF">
        <w:rPr>
          <w:rFonts w:asciiTheme="minorBidi" w:hAnsiTheme="minorBidi"/>
          <w:b/>
          <w:bCs/>
        </w:rPr>
        <w:t xml:space="preserve"> </w:t>
      </w:r>
      <w:r w:rsidR="00391B80" w:rsidRPr="004C55DF">
        <w:rPr>
          <w:rFonts w:asciiTheme="minorBidi" w:hAnsiTheme="minorBidi"/>
          <w:b/>
          <w:bCs/>
        </w:rPr>
        <w:t>specifically</w:t>
      </w:r>
      <w:r w:rsidRPr="004C55DF">
        <w:rPr>
          <w:rFonts w:asciiTheme="minorBidi" w:hAnsiTheme="minorBidi"/>
          <w:b/>
          <w:bCs/>
        </w:rPr>
        <w:t xml:space="preserve"> </w:t>
      </w:r>
      <w:r w:rsidR="00391B80" w:rsidRPr="004C55DF">
        <w:rPr>
          <w:rFonts w:asciiTheme="minorBidi" w:hAnsiTheme="minorBidi"/>
          <w:b/>
          <w:bCs/>
        </w:rPr>
        <w:t>in your country/region)? If yes, explain in what way. If not, do you see any</w:t>
      </w:r>
      <w:r w:rsidRPr="004C55DF">
        <w:rPr>
          <w:rFonts w:asciiTheme="minorBidi" w:hAnsiTheme="minorBidi"/>
          <w:b/>
          <w:bCs/>
        </w:rPr>
        <w:t xml:space="preserve"> </w:t>
      </w:r>
      <w:r w:rsidR="00391B80" w:rsidRPr="004C55DF">
        <w:rPr>
          <w:rFonts w:asciiTheme="minorBidi" w:hAnsiTheme="minorBidi"/>
          <w:b/>
          <w:bCs/>
        </w:rPr>
        <w:t>alternative (informal) possibilities?</w:t>
      </w:r>
    </w:p>
    <w:p w:rsidR="00391B80" w:rsidRDefault="00391B80" w:rsidP="0041017A">
      <w:pPr>
        <w:spacing w:after="0" w:line="240" w:lineRule="auto"/>
        <w:jc w:val="both"/>
        <w:rPr>
          <w:rFonts w:asciiTheme="minorBidi" w:hAnsiTheme="minorBidi"/>
        </w:rPr>
      </w:pPr>
    </w:p>
    <w:p w:rsidR="00E10BF7" w:rsidRDefault="00E10BF7" w:rsidP="0041017A">
      <w:pPr>
        <w:spacing w:after="0" w:line="240" w:lineRule="auto"/>
        <w:jc w:val="both"/>
        <w:rPr>
          <w:rFonts w:asciiTheme="minorBidi" w:hAnsiTheme="minorBidi"/>
          <w:i/>
          <w:iCs/>
          <w:u w:val="single"/>
        </w:rPr>
      </w:pPr>
    </w:p>
    <w:p w:rsidR="009A648E" w:rsidRPr="00E10BF7" w:rsidRDefault="00E10BF7" w:rsidP="0041017A">
      <w:pPr>
        <w:spacing w:after="0" w:line="240" w:lineRule="auto"/>
        <w:jc w:val="both"/>
        <w:rPr>
          <w:rFonts w:asciiTheme="minorBidi" w:hAnsiTheme="minorBidi"/>
          <w:i/>
          <w:iCs/>
          <w:u w:val="single"/>
        </w:rPr>
      </w:pPr>
      <w:r>
        <w:rPr>
          <w:rFonts w:asciiTheme="minorBidi" w:hAnsiTheme="minorBidi"/>
          <w:i/>
          <w:iCs/>
          <w:u w:val="single"/>
        </w:rPr>
        <w:t xml:space="preserve">Soft law and standard-setting organisations </w:t>
      </w:r>
    </w:p>
    <w:p w:rsidR="00E10BF7" w:rsidRDefault="00E10BF7" w:rsidP="0041017A">
      <w:pPr>
        <w:spacing w:after="0" w:line="240" w:lineRule="auto"/>
        <w:jc w:val="both"/>
        <w:rPr>
          <w:rFonts w:asciiTheme="minorBidi" w:hAnsiTheme="minorBidi"/>
        </w:rPr>
      </w:pPr>
    </w:p>
    <w:p w:rsidR="007160B4" w:rsidRDefault="00030080" w:rsidP="0041017A">
      <w:pPr>
        <w:spacing w:after="0" w:line="240" w:lineRule="auto"/>
        <w:jc w:val="both"/>
        <w:rPr>
          <w:rFonts w:asciiTheme="minorBidi" w:hAnsiTheme="minorBidi"/>
        </w:rPr>
      </w:pPr>
      <w:r>
        <w:rPr>
          <w:rFonts w:asciiTheme="minorBidi" w:hAnsiTheme="minorBidi"/>
        </w:rPr>
        <w:t>While there</w:t>
      </w:r>
      <w:r w:rsidR="00D40884">
        <w:rPr>
          <w:rFonts w:asciiTheme="minorBidi" w:hAnsiTheme="minorBidi"/>
        </w:rPr>
        <w:t xml:space="preserve"> is no clear con</w:t>
      </w:r>
      <w:r>
        <w:rPr>
          <w:rFonts w:asciiTheme="minorBidi" w:hAnsiTheme="minorBidi"/>
        </w:rPr>
        <w:t>sensus on the definition of ‘soft law’,</w:t>
      </w:r>
      <w:r>
        <w:rPr>
          <w:rStyle w:val="FootnoteReference"/>
          <w:rFonts w:asciiTheme="minorBidi" w:hAnsiTheme="minorBidi"/>
        </w:rPr>
        <w:footnoteReference w:id="40"/>
      </w:r>
      <w:r>
        <w:rPr>
          <w:rFonts w:asciiTheme="minorBidi" w:hAnsiTheme="minorBidi"/>
        </w:rPr>
        <w:t xml:space="preserve"> a </w:t>
      </w:r>
      <w:r w:rsidR="00986C03">
        <w:rPr>
          <w:rFonts w:asciiTheme="minorBidi" w:hAnsiTheme="minorBidi"/>
        </w:rPr>
        <w:t>suitable</w:t>
      </w:r>
      <w:r>
        <w:rPr>
          <w:rFonts w:asciiTheme="minorBidi" w:hAnsiTheme="minorBidi"/>
        </w:rPr>
        <w:t xml:space="preserve"> description of soft law is that it </w:t>
      </w:r>
      <w:r w:rsidR="003E42A3">
        <w:rPr>
          <w:rFonts w:asciiTheme="minorBidi" w:hAnsiTheme="minorBidi"/>
        </w:rPr>
        <w:t>comprises of non-binding</w:t>
      </w:r>
      <w:r w:rsidR="003E42A3">
        <w:rPr>
          <w:rStyle w:val="FootnoteReference"/>
          <w:rFonts w:asciiTheme="minorBidi" w:hAnsiTheme="minorBidi"/>
        </w:rPr>
        <w:footnoteReference w:id="41"/>
      </w:r>
      <w:r w:rsidR="003E42A3">
        <w:rPr>
          <w:rFonts w:asciiTheme="minorBidi" w:hAnsiTheme="minorBidi"/>
        </w:rPr>
        <w:t xml:space="preserve"> rules or guidelines developed</w:t>
      </w:r>
      <w:r>
        <w:rPr>
          <w:rFonts w:asciiTheme="minorBidi" w:hAnsiTheme="minorBidi"/>
        </w:rPr>
        <w:t xml:space="preserve"> by ‘standard-setting organisations’</w:t>
      </w:r>
      <w:r w:rsidR="003E42A3">
        <w:rPr>
          <w:rFonts w:asciiTheme="minorBidi" w:hAnsiTheme="minorBidi"/>
        </w:rPr>
        <w:t xml:space="preserve">. </w:t>
      </w:r>
    </w:p>
    <w:p w:rsidR="007160B4" w:rsidRDefault="007160B4" w:rsidP="0041017A">
      <w:pPr>
        <w:spacing w:after="0" w:line="240" w:lineRule="auto"/>
        <w:jc w:val="both"/>
        <w:rPr>
          <w:rFonts w:asciiTheme="minorBidi" w:hAnsiTheme="minorBidi"/>
        </w:rPr>
      </w:pPr>
    </w:p>
    <w:p w:rsidR="0020742B" w:rsidRDefault="003E42A3" w:rsidP="0041017A">
      <w:pPr>
        <w:spacing w:after="0" w:line="240" w:lineRule="auto"/>
        <w:jc w:val="both"/>
        <w:rPr>
          <w:rFonts w:asciiTheme="minorBidi" w:hAnsiTheme="minorBidi"/>
        </w:rPr>
      </w:pPr>
      <w:r>
        <w:rPr>
          <w:rFonts w:asciiTheme="minorBidi" w:hAnsiTheme="minorBidi"/>
        </w:rPr>
        <w:t>Standard-setting organisations are organisations “</w:t>
      </w:r>
      <w:r w:rsidRPr="003E42A3">
        <w:rPr>
          <w:rFonts w:asciiTheme="minorBidi" w:hAnsiTheme="minorBidi"/>
          <w:i/>
          <w:iCs/>
        </w:rPr>
        <w:t>with a good reputation and known for their expertise and/or experience</w:t>
      </w:r>
      <w:r>
        <w:rPr>
          <w:rFonts w:asciiTheme="minorBidi" w:hAnsiTheme="minorBidi"/>
        </w:rPr>
        <w:t>”</w:t>
      </w:r>
      <w:r w:rsidR="001A40E8">
        <w:rPr>
          <w:rFonts w:asciiTheme="minorBidi" w:hAnsiTheme="minorBidi"/>
        </w:rPr>
        <w:t>.</w:t>
      </w:r>
      <w:r>
        <w:rPr>
          <w:rStyle w:val="FootnoteReference"/>
          <w:rFonts w:asciiTheme="minorBidi" w:hAnsiTheme="minorBidi"/>
        </w:rPr>
        <w:footnoteReference w:id="42"/>
      </w:r>
      <w:r w:rsidR="007D1E92">
        <w:rPr>
          <w:rFonts w:asciiTheme="minorBidi" w:hAnsiTheme="minorBidi"/>
        </w:rPr>
        <w:t xml:space="preserve"> </w:t>
      </w:r>
      <w:r w:rsidR="001A40E8">
        <w:rPr>
          <w:rFonts w:asciiTheme="minorBidi" w:hAnsiTheme="minorBidi"/>
        </w:rPr>
        <w:t>These</w:t>
      </w:r>
      <w:r w:rsidR="007D1E92">
        <w:rPr>
          <w:rFonts w:asciiTheme="minorBidi" w:hAnsiTheme="minorBidi"/>
        </w:rPr>
        <w:t xml:space="preserve"> may include </w:t>
      </w:r>
      <w:r w:rsidR="007D1E92" w:rsidRPr="007D1E92">
        <w:rPr>
          <w:rFonts w:asciiTheme="minorBidi" w:hAnsiTheme="minorBidi"/>
        </w:rPr>
        <w:t xml:space="preserve">intergovernmental standard-setting organisations </w:t>
      </w:r>
      <w:r w:rsidR="007160B4">
        <w:rPr>
          <w:rFonts w:asciiTheme="minorBidi" w:hAnsiTheme="minorBidi"/>
        </w:rPr>
        <w:t xml:space="preserve">such as </w:t>
      </w:r>
      <w:r w:rsidR="007D1E92" w:rsidRPr="007D1E92">
        <w:rPr>
          <w:rFonts w:asciiTheme="minorBidi" w:hAnsiTheme="minorBidi"/>
        </w:rPr>
        <w:t>the United Nations Committee on International Trade Law (UNCITRAL) and the World Bank</w:t>
      </w:r>
      <w:r w:rsidR="007160B4">
        <w:rPr>
          <w:rFonts w:asciiTheme="minorBidi" w:hAnsiTheme="minorBidi"/>
        </w:rPr>
        <w:t xml:space="preserve"> or </w:t>
      </w:r>
      <w:r w:rsidR="001A40E8">
        <w:rPr>
          <w:rFonts w:asciiTheme="minorBidi" w:hAnsiTheme="minorBidi"/>
        </w:rPr>
        <w:t>non-governmental organisations consisting of practitioners, judges and academics, such as INSOL International.</w:t>
      </w:r>
      <w:r w:rsidR="001A40E8">
        <w:rPr>
          <w:rStyle w:val="FootnoteReference"/>
          <w:rFonts w:asciiTheme="minorBidi" w:hAnsiTheme="minorBidi"/>
        </w:rPr>
        <w:footnoteReference w:id="43"/>
      </w:r>
    </w:p>
    <w:p w:rsidR="001A40E8" w:rsidRDefault="001A40E8" w:rsidP="0041017A">
      <w:pPr>
        <w:spacing w:after="0" w:line="240" w:lineRule="auto"/>
        <w:jc w:val="both"/>
        <w:rPr>
          <w:rFonts w:asciiTheme="minorBidi" w:hAnsiTheme="minorBidi"/>
        </w:rPr>
      </w:pPr>
    </w:p>
    <w:p w:rsidR="001A40E8" w:rsidRDefault="001A40E8" w:rsidP="0041017A">
      <w:pPr>
        <w:spacing w:after="0" w:line="240" w:lineRule="auto"/>
        <w:jc w:val="both"/>
        <w:rPr>
          <w:rFonts w:asciiTheme="minorBidi" w:hAnsiTheme="minorBidi"/>
        </w:rPr>
      </w:pPr>
      <w:r>
        <w:rPr>
          <w:rFonts w:asciiTheme="minorBidi" w:hAnsiTheme="minorBidi"/>
        </w:rPr>
        <w:t xml:space="preserve">INSOL International is strongly influential </w:t>
      </w:r>
      <w:r w:rsidR="00357779">
        <w:rPr>
          <w:rFonts w:asciiTheme="minorBidi" w:hAnsiTheme="minorBidi"/>
        </w:rPr>
        <w:t xml:space="preserve">in Singapore </w:t>
      </w:r>
      <w:r>
        <w:rPr>
          <w:rFonts w:asciiTheme="minorBidi" w:hAnsiTheme="minorBidi"/>
        </w:rPr>
        <w:t xml:space="preserve">as evidenced by the opening of </w:t>
      </w:r>
      <w:r w:rsidRPr="001A40E8">
        <w:rPr>
          <w:rFonts w:asciiTheme="minorBidi" w:hAnsiTheme="minorBidi"/>
        </w:rPr>
        <w:t>INSOL International's Asia Hub in Singapore</w:t>
      </w:r>
      <w:r>
        <w:rPr>
          <w:rFonts w:asciiTheme="minorBidi" w:hAnsiTheme="minorBidi"/>
        </w:rPr>
        <w:t xml:space="preserve"> in 2019. Other </w:t>
      </w:r>
      <w:r w:rsidR="00357779">
        <w:rPr>
          <w:rFonts w:asciiTheme="minorBidi" w:hAnsiTheme="minorBidi"/>
        </w:rPr>
        <w:t xml:space="preserve">influential standard setting organisations in Singapore include </w:t>
      </w:r>
      <w:r w:rsidR="00175C73">
        <w:rPr>
          <w:rFonts w:asciiTheme="minorBidi" w:hAnsiTheme="minorBidi"/>
        </w:rPr>
        <w:t xml:space="preserve">the </w:t>
      </w:r>
      <w:r w:rsidR="00175C73" w:rsidRPr="00357779">
        <w:rPr>
          <w:rFonts w:asciiTheme="minorBidi" w:hAnsiTheme="minorBidi"/>
        </w:rPr>
        <w:t>Singapore Global Restructuring Initiative (SGRI)</w:t>
      </w:r>
      <w:r w:rsidR="00175C73">
        <w:rPr>
          <w:rFonts w:asciiTheme="minorBidi" w:hAnsiTheme="minorBidi"/>
        </w:rPr>
        <w:t xml:space="preserve">, </w:t>
      </w:r>
      <w:r w:rsidR="00175C73" w:rsidRPr="00175C73">
        <w:rPr>
          <w:rFonts w:asciiTheme="minorBidi" w:hAnsiTheme="minorBidi"/>
        </w:rPr>
        <w:t>the Asian Business Law Institute</w:t>
      </w:r>
      <w:r w:rsidR="00175C73">
        <w:rPr>
          <w:rFonts w:asciiTheme="minorBidi" w:hAnsiTheme="minorBidi"/>
        </w:rPr>
        <w:t xml:space="preserve"> and </w:t>
      </w:r>
      <w:r w:rsidR="00357779">
        <w:rPr>
          <w:rFonts w:asciiTheme="minorBidi" w:hAnsiTheme="minorBidi"/>
        </w:rPr>
        <w:t xml:space="preserve">the </w:t>
      </w:r>
      <w:r w:rsidR="00357779" w:rsidRPr="00357779">
        <w:rPr>
          <w:rFonts w:asciiTheme="minorBidi" w:hAnsiTheme="minorBidi"/>
        </w:rPr>
        <w:t>Insolvency Practitioners Association of Singapore (IPAS)</w:t>
      </w:r>
      <w:r w:rsidR="00175C73">
        <w:rPr>
          <w:rFonts w:asciiTheme="minorBidi" w:hAnsiTheme="minorBidi"/>
        </w:rPr>
        <w:t>.</w:t>
      </w:r>
      <w:r w:rsidR="00175C73">
        <w:rPr>
          <w:rStyle w:val="FootnoteReference"/>
          <w:rFonts w:asciiTheme="minorBidi" w:hAnsiTheme="minorBidi"/>
        </w:rPr>
        <w:footnoteReference w:id="44"/>
      </w:r>
    </w:p>
    <w:p w:rsidR="00175C73" w:rsidRDefault="00175C73" w:rsidP="0041017A">
      <w:pPr>
        <w:spacing w:after="0" w:line="240" w:lineRule="auto"/>
        <w:jc w:val="both"/>
        <w:rPr>
          <w:rFonts w:asciiTheme="minorBidi" w:hAnsiTheme="minorBidi"/>
        </w:rPr>
      </w:pPr>
    </w:p>
    <w:p w:rsidR="00175C73" w:rsidRDefault="00175C73" w:rsidP="0041017A">
      <w:pPr>
        <w:spacing w:after="0" w:line="240" w:lineRule="auto"/>
        <w:jc w:val="both"/>
        <w:rPr>
          <w:rFonts w:asciiTheme="minorBidi" w:hAnsiTheme="minorBidi"/>
        </w:rPr>
      </w:pPr>
    </w:p>
    <w:p w:rsidR="00E10BF7" w:rsidRDefault="00E10BF7" w:rsidP="0041017A">
      <w:pPr>
        <w:spacing w:after="0" w:line="240" w:lineRule="auto"/>
        <w:jc w:val="both"/>
        <w:rPr>
          <w:rFonts w:asciiTheme="minorBidi" w:hAnsiTheme="minorBidi"/>
          <w:i/>
          <w:iCs/>
          <w:u w:val="single"/>
        </w:rPr>
      </w:pPr>
      <w:r>
        <w:rPr>
          <w:rFonts w:asciiTheme="minorBidi" w:hAnsiTheme="minorBidi"/>
          <w:i/>
          <w:iCs/>
          <w:u w:val="single"/>
        </w:rPr>
        <w:t>Application of soft law in the Case Study</w:t>
      </w:r>
    </w:p>
    <w:p w:rsidR="00E10BF7" w:rsidRDefault="00E10BF7" w:rsidP="0041017A">
      <w:pPr>
        <w:spacing w:after="0" w:line="240" w:lineRule="auto"/>
        <w:jc w:val="both"/>
        <w:rPr>
          <w:rFonts w:asciiTheme="minorBidi" w:hAnsiTheme="minorBidi"/>
        </w:rPr>
      </w:pPr>
    </w:p>
    <w:p w:rsidR="00E10BF7" w:rsidRDefault="005E2594" w:rsidP="0041017A">
      <w:pPr>
        <w:spacing w:after="0" w:line="240" w:lineRule="auto"/>
        <w:jc w:val="both"/>
        <w:rPr>
          <w:rFonts w:asciiTheme="minorBidi" w:hAnsiTheme="minorBidi"/>
        </w:rPr>
      </w:pPr>
      <w:r>
        <w:rPr>
          <w:rFonts w:asciiTheme="minorBidi" w:hAnsiTheme="minorBidi"/>
        </w:rPr>
        <w:t xml:space="preserve">In March 2023, the </w:t>
      </w:r>
      <w:r w:rsidR="00470E5B" w:rsidRPr="00470E5B">
        <w:rPr>
          <w:rFonts w:asciiTheme="minorBidi" w:hAnsiTheme="minorBidi"/>
        </w:rPr>
        <w:t xml:space="preserve">International Insolvency Institute and the Asian Business Law Institute </w:t>
      </w:r>
      <w:r>
        <w:rPr>
          <w:rFonts w:asciiTheme="minorBidi" w:hAnsiTheme="minorBidi"/>
        </w:rPr>
        <w:t>released the ‘Guide on Conducting an Out-of-Court Workout in Asia’ (the “</w:t>
      </w:r>
      <w:r w:rsidRPr="005E2594">
        <w:rPr>
          <w:rFonts w:asciiTheme="minorBidi" w:hAnsiTheme="minorBidi"/>
          <w:b/>
          <w:bCs/>
        </w:rPr>
        <w:t>Asia Workout Guide</w:t>
      </w:r>
      <w:r>
        <w:rPr>
          <w:rFonts w:asciiTheme="minorBidi" w:hAnsiTheme="minorBidi"/>
        </w:rPr>
        <w:t>”).</w:t>
      </w:r>
      <w:r w:rsidR="00DB281C">
        <w:rPr>
          <w:rStyle w:val="FootnoteReference"/>
          <w:rFonts w:asciiTheme="minorBidi" w:hAnsiTheme="minorBidi"/>
        </w:rPr>
        <w:footnoteReference w:id="45"/>
      </w:r>
      <w:r>
        <w:rPr>
          <w:rFonts w:asciiTheme="minorBidi" w:hAnsiTheme="minorBidi"/>
        </w:rPr>
        <w:t xml:space="preserve"> The Asia Workout Guide sets out nine principles and eleven best practices which have been formulated specifically for out-of-court workouts in Asia. </w:t>
      </w:r>
    </w:p>
    <w:p w:rsidR="005E2594" w:rsidRDefault="005E2594" w:rsidP="0041017A">
      <w:pPr>
        <w:spacing w:after="0" w:line="240" w:lineRule="auto"/>
        <w:jc w:val="both"/>
        <w:rPr>
          <w:rFonts w:asciiTheme="minorBidi" w:hAnsiTheme="minorBidi"/>
        </w:rPr>
      </w:pPr>
    </w:p>
    <w:p w:rsidR="005E2594" w:rsidRDefault="005E2594" w:rsidP="0041017A">
      <w:pPr>
        <w:spacing w:after="0" w:line="240" w:lineRule="auto"/>
        <w:jc w:val="both"/>
        <w:rPr>
          <w:rFonts w:asciiTheme="minorBidi" w:hAnsiTheme="minorBidi"/>
        </w:rPr>
      </w:pPr>
      <w:r>
        <w:rPr>
          <w:rFonts w:asciiTheme="minorBidi" w:hAnsiTheme="minorBidi"/>
        </w:rPr>
        <w:t>The principles and best practices outlined in the Asia Workout Guide are, in may ways, similar to INSOL International’s Statement of Principles</w:t>
      </w:r>
      <w:r w:rsidR="00F756FD">
        <w:rPr>
          <w:rFonts w:asciiTheme="minorBidi" w:hAnsiTheme="minorBidi"/>
        </w:rPr>
        <w:t>,</w:t>
      </w:r>
      <w:r w:rsidR="00AA7C2B">
        <w:rPr>
          <w:rFonts w:asciiTheme="minorBidi" w:hAnsiTheme="minorBidi"/>
        </w:rPr>
        <w:t xml:space="preserve"> but with certain minor </w:t>
      </w:r>
      <w:r w:rsidR="00986C03">
        <w:rPr>
          <w:rFonts w:asciiTheme="minorBidi" w:hAnsiTheme="minorBidi"/>
        </w:rPr>
        <w:t>modifications</w:t>
      </w:r>
      <w:r w:rsidR="00AA7C2B">
        <w:rPr>
          <w:rFonts w:asciiTheme="minorBidi" w:hAnsiTheme="minorBidi"/>
        </w:rPr>
        <w:t xml:space="preserve"> for the Asian workout market.</w:t>
      </w:r>
    </w:p>
    <w:p w:rsidR="00692887" w:rsidRDefault="00692887" w:rsidP="0041017A">
      <w:pPr>
        <w:spacing w:after="0" w:line="240" w:lineRule="auto"/>
        <w:jc w:val="both"/>
        <w:rPr>
          <w:rFonts w:asciiTheme="minorBidi" w:hAnsiTheme="minorBidi"/>
        </w:rPr>
      </w:pPr>
    </w:p>
    <w:p w:rsidR="00692887" w:rsidRDefault="00692887" w:rsidP="0041017A">
      <w:pPr>
        <w:spacing w:after="0" w:line="240" w:lineRule="auto"/>
        <w:jc w:val="both"/>
        <w:rPr>
          <w:rFonts w:asciiTheme="minorBidi" w:hAnsiTheme="minorBidi"/>
        </w:rPr>
      </w:pPr>
      <w:r>
        <w:rPr>
          <w:rFonts w:asciiTheme="minorBidi" w:hAnsiTheme="minorBidi"/>
        </w:rPr>
        <w:t xml:space="preserve">One such modification is that </w:t>
      </w:r>
      <w:r w:rsidR="001D0EEE">
        <w:rPr>
          <w:rFonts w:asciiTheme="minorBidi" w:hAnsiTheme="minorBidi"/>
        </w:rPr>
        <w:t>proposition that, “</w:t>
      </w:r>
      <w:r w:rsidR="001D0EEE" w:rsidRPr="001D0EEE">
        <w:rPr>
          <w:rFonts w:asciiTheme="minorBidi" w:hAnsiTheme="minorBidi"/>
          <w:i/>
          <w:iCs/>
        </w:rPr>
        <w:t>[i]n Asia, early standstills are not plausible without a debtor first showing good faith by providing disclosure</w:t>
      </w:r>
      <w:r w:rsidR="001D0EEE">
        <w:rPr>
          <w:rFonts w:asciiTheme="minorBidi" w:hAnsiTheme="minorBidi"/>
          <w:i/>
          <w:iCs/>
        </w:rPr>
        <w:t>.</w:t>
      </w:r>
      <w:r w:rsidR="001D0EEE">
        <w:rPr>
          <w:rFonts w:asciiTheme="minorBidi" w:hAnsiTheme="minorBidi"/>
        </w:rPr>
        <w:t>”</w:t>
      </w:r>
      <w:r w:rsidR="001D0EEE">
        <w:rPr>
          <w:rStyle w:val="FootnoteReference"/>
          <w:rFonts w:asciiTheme="minorBidi" w:hAnsiTheme="minorBidi"/>
        </w:rPr>
        <w:footnoteReference w:id="46"/>
      </w:r>
      <w:r w:rsidR="001D0EEE">
        <w:rPr>
          <w:rFonts w:asciiTheme="minorBidi" w:hAnsiTheme="minorBidi"/>
        </w:rPr>
        <w:t xml:space="preserve"> Applying this to the Case Study, it might be possible to encourage the Flow Management Group to improve the quality and amount of information being provided as a means to demonstrating good faith with the uncooperative creditors. </w:t>
      </w:r>
    </w:p>
    <w:p w:rsidR="001D0EEE" w:rsidRDefault="001D0EEE" w:rsidP="0041017A">
      <w:pPr>
        <w:spacing w:after="0" w:line="240" w:lineRule="auto"/>
        <w:jc w:val="both"/>
        <w:rPr>
          <w:rFonts w:asciiTheme="minorBidi" w:hAnsiTheme="minorBidi"/>
        </w:rPr>
      </w:pPr>
    </w:p>
    <w:p w:rsidR="001D0EEE" w:rsidRDefault="001D0EEE" w:rsidP="0041017A">
      <w:pPr>
        <w:spacing w:after="0" w:line="240" w:lineRule="auto"/>
        <w:jc w:val="both"/>
        <w:rPr>
          <w:rFonts w:asciiTheme="minorBidi" w:hAnsiTheme="minorBidi"/>
        </w:rPr>
      </w:pPr>
      <w:r>
        <w:rPr>
          <w:rFonts w:asciiTheme="minorBidi" w:hAnsiTheme="minorBidi"/>
        </w:rPr>
        <w:t>Another soft law approach in an Asian setting arise</w:t>
      </w:r>
      <w:r w:rsidR="00CE6B34">
        <w:rPr>
          <w:rFonts w:asciiTheme="minorBidi" w:hAnsiTheme="minorBidi"/>
        </w:rPr>
        <w:t>s</w:t>
      </w:r>
      <w:r>
        <w:rPr>
          <w:rFonts w:asciiTheme="minorBidi" w:hAnsiTheme="minorBidi"/>
        </w:rPr>
        <w:t xml:space="preserve"> from </w:t>
      </w:r>
      <w:r w:rsidR="00C4540D">
        <w:rPr>
          <w:rFonts w:asciiTheme="minorBidi" w:hAnsiTheme="minorBidi"/>
        </w:rPr>
        <w:t>the occasional occurrence of “</w:t>
      </w:r>
      <w:r w:rsidR="00C4540D" w:rsidRPr="00C4540D">
        <w:rPr>
          <w:rFonts w:asciiTheme="minorBidi" w:hAnsiTheme="minorBidi"/>
          <w:i/>
          <w:iCs/>
        </w:rPr>
        <w:t>asymmetry of sophistication and experience between creditor and debtor</w:t>
      </w:r>
      <w:r w:rsidR="00C4540D">
        <w:rPr>
          <w:rFonts w:asciiTheme="minorBidi" w:hAnsiTheme="minorBidi"/>
          <w:i/>
          <w:iCs/>
        </w:rPr>
        <w:t>.</w:t>
      </w:r>
      <w:r w:rsidR="00C4540D">
        <w:rPr>
          <w:rFonts w:asciiTheme="minorBidi" w:hAnsiTheme="minorBidi"/>
        </w:rPr>
        <w:t>”</w:t>
      </w:r>
      <w:r w:rsidR="00C4540D">
        <w:rPr>
          <w:rStyle w:val="FootnoteReference"/>
          <w:rFonts w:asciiTheme="minorBidi" w:hAnsiTheme="minorBidi"/>
        </w:rPr>
        <w:footnoteReference w:id="47"/>
      </w:r>
      <w:r w:rsidR="00C4540D">
        <w:rPr>
          <w:rFonts w:asciiTheme="minorBidi" w:hAnsiTheme="minorBidi"/>
        </w:rPr>
        <w:t xml:space="preserve"> While it is not </w:t>
      </w:r>
      <w:r w:rsidR="00C4540D">
        <w:rPr>
          <w:rFonts w:asciiTheme="minorBidi" w:hAnsiTheme="minorBidi"/>
        </w:rPr>
        <w:lastRenderedPageBreak/>
        <w:t xml:space="preserve">clear from the Case Study whether such an </w:t>
      </w:r>
      <w:r w:rsidR="00C4540D" w:rsidRPr="00C4540D">
        <w:rPr>
          <w:rFonts w:asciiTheme="minorBidi" w:hAnsiTheme="minorBidi"/>
        </w:rPr>
        <w:t xml:space="preserve">asymmetry </w:t>
      </w:r>
      <w:r w:rsidR="00C4540D">
        <w:rPr>
          <w:rFonts w:asciiTheme="minorBidi" w:hAnsiTheme="minorBidi"/>
        </w:rPr>
        <w:t xml:space="preserve">is present, to the extent such an issue does exist, then Flow Management Group and the </w:t>
      </w:r>
      <w:r w:rsidR="002F5D21">
        <w:rPr>
          <w:rFonts w:asciiTheme="minorBidi" w:hAnsiTheme="minorBidi"/>
        </w:rPr>
        <w:t xml:space="preserve">cooperating </w:t>
      </w:r>
      <w:r w:rsidR="00C4540D">
        <w:rPr>
          <w:rFonts w:asciiTheme="minorBidi" w:hAnsiTheme="minorBidi"/>
        </w:rPr>
        <w:t xml:space="preserve">creditors should be encouraged to engage the </w:t>
      </w:r>
      <w:r w:rsidR="002F5D21">
        <w:rPr>
          <w:rFonts w:asciiTheme="minorBidi" w:hAnsiTheme="minorBidi"/>
        </w:rPr>
        <w:t xml:space="preserve">non-cooperating </w:t>
      </w:r>
      <w:r w:rsidR="00C4540D">
        <w:rPr>
          <w:rFonts w:asciiTheme="minorBidi" w:hAnsiTheme="minorBidi"/>
        </w:rPr>
        <w:t>creditors in a</w:t>
      </w:r>
      <w:r w:rsidR="002F5D21">
        <w:rPr>
          <w:rFonts w:asciiTheme="minorBidi" w:hAnsiTheme="minorBidi"/>
        </w:rPr>
        <w:t xml:space="preserve"> </w:t>
      </w:r>
      <w:r w:rsidR="00C4540D">
        <w:rPr>
          <w:rFonts w:asciiTheme="minorBidi" w:hAnsiTheme="minorBidi"/>
        </w:rPr>
        <w:t xml:space="preserve">way which demonstrates an understanding of the particular cultural and other concerns of those </w:t>
      </w:r>
      <w:r w:rsidR="002F5D21">
        <w:rPr>
          <w:rFonts w:asciiTheme="minorBidi" w:hAnsiTheme="minorBidi"/>
        </w:rPr>
        <w:t>non-cooperating creditors</w:t>
      </w:r>
      <w:r w:rsidR="00C4540D">
        <w:rPr>
          <w:rFonts w:asciiTheme="minorBidi" w:hAnsiTheme="minorBidi"/>
        </w:rPr>
        <w:t xml:space="preserve">. </w:t>
      </w:r>
    </w:p>
    <w:p w:rsidR="006A3F47" w:rsidRDefault="006A3F47" w:rsidP="0041017A">
      <w:pPr>
        <w:spacing w:after="0" w:line="240" w:lineRule="auto"/>
        <w:jc w:val="both"/>
        <w:rPr>
          <w:rFonts w:asciiTheme="minorBidi" w:hAnsiTheme="minorBidi"/>
        </w:rPr>
      </w:pPr>
    </w:p>
    <w:p w:rsidR="006A3F47" w:rsidRDefault="006A3F47" w:rsidP="0041017A">
      <w:pPr>
        <w:spacing w:after="0" w:line="240" w:lineRule="auto"/>
        <w:jc w:val="both"/>
        <w:rPr>
          <w:rFonts w:asciiTheme="minorBidi" w:hAnsiTheme="minorBidi"/>
        </w:rPr>
      </w:pPr>
    </w:p>
    <w:p w:rsidR="006A3F47" w:rsidRDefault="006A3F47" w:rsidP="0041017A">
      <w:pPr>
        <w:spacing w:after="0" w:line="240" w:lineRule="auto"/>
        <w:jc w:val="both"/>
        <w:rPr>
          <w:rFonts w:asciiTheme="minorBidi" w:hAnsiTheme="minorBidi"/>
          <w:i/>
          <w:iCs/>
          <w:u w:val="single"/>
        </w:rPr>
      </w:pPr>
      <w:r>
        <w:rPr>
          <w:rFonts w:asciiTheme="minorBidi" w:hAnsiTheme="minorBidi"/>
          <w:i/>
          <w:iCs/>
          <w:u w:val="single"/>
        </w:rPr>
        <w:t xml:space="preserve">Informal </w:t>
      </w:r>
      <w:r w:rsidRPr="006A3F47">
        <w:rPr>
          <w:rFonts w:asciiTheme="minorBidi" w:hAnsiTheme="minorBidi"/>
          <w:i/>
          <w:iCs/>
          <w:u w:val="single"/>
        </w:rPr>
        <w:t>possibilities</w:t>
      </w:r>
    </w:p>
    <w:p w:rsidR="006A3F47" w:rsidRDefault="006A3F47" w:rsidP="0041017A">
      <w:pPr>
        <w:spacing w:after="0" w:line="240" w:lineRule="auto"/>
        <w:jc w:val="both"/>
        <w:rPr>
          <w:rFonts w:asciiTheme="minorBidi" w:hAnsiTheme="minorBidi"/>
        </w:rPr>
      </w:pPr>
    </w:p>
    <w:p w:rsidR="00A31B65" w:rsidRDefault="00A31B65" w:rsidP="0041017A">
      <w:pPr>
        <w:spacing w:after="0" w:line="240" w:lineRule="auto"/>
        <w:jc w:val="both"/>
        <w:rPr>
          <w:rFonts w:asciiTheme="minorBidi" w:hAnsiTheme="minorBidi"/>
        </w:rPr>
      </w:pPr>
      <w:r>
        <w:rPr>
          <w:rFonts w:asciiTheme="minorBidi" w:hAnsiTheme="minorBidi"/>
        </w:rPr>
        <w:t xml:space="preserve">In the event of an impasse between cooperating and non-cooperating parties, it is often helpful for </w:t>
      </w:r>
      <w:r w:rsidR="006A4668">
        <w:rPr>
          <w:rFonts w:asciiTheme="minorBidi" w:hAnsiTheme="minorBidi"/>
        </w:rPr>
        <w:t xml:space="preserve">parties to communicate through pre-existing personal relationships between the parties. This proposition is supported by </w:t>
      </w:r>
      <w:r w:rsidR="006A4668" w:rsidRPr="006A3F47">
        <w:rPr>
          <w:rFonts w:asciiTheme="minorBidi" w:hAnsiTheme="minorBidi"/>
        </w:rPr>
        <w:t>Pajunen</w:t>
      </w:r>
      <w:r w:rsidR="006A4668">
        <w:rPr>
          <w:rFonts w:asciiTheme="minorBidi" w:hAnsiTheme="minorBidi"/>
        </w:rPr>
        <w:t xml:space="preserve"> who states that “</w:t>
      </w:r>
      <w:r w:rsidR="006A4668">
        <w:rPr>
          <w:rFonts w:asciiTheme="minorBidi" w:hAnsiTheme="minorBidi"/>
          <w:i/>
          <w:iCs/>
        </w:rPr>
        <w:t>[i]</w:t>
      </w:r>
      <w:r w:rsidR="006A4668" w:rsidRPr="006A3F47">
        <w:rPr>
          <w:rFonts w:asciiTheme="minorBidi" w:hAnsiTheme="minorBidi"/>
          <w:i/>
          <w:iCs/>
        </w:rPr>
        <w:t>n an existence-threatening crisis, personal relationships between managers and governing stakeholders will tend to enhance (rather than undermine) the continuing support of those stakeholders and increase (rather than decrease) the probability of organizational survival.</w:t>
      </w:r>
      <w:r w:rsidR="006A4668">
        <w:rPr>
          <w:rFonts w:asciiTheme="minorBidi" w:hAnsiTheme="minorBidi"/>
        </w:rPr>
        <w:t>”</w:t>
      </w:r>
      <w:r w:rsidR="00B377CA">
        <w:rPr>
          <w:rStyle w:val="FootnoteReference"/>
          <w:rFonts w:asciiTheme="minorBidi" w:hAnsiTheme="minorBidi"/>
        </w:rPr>
        <w:footnoteReference w:id="48"/>
      </w:r>
    </w:p>
    <w:p w:rsidR="00A31B65" w:rsidRDefault="00A31B65" w:rsidP="0041017A">
      <w:pPr>
        <w:spacing w:after="0" w:line="240" w:lineRule="auto"/>
        <w:jc w:val="both"/>
        <w:rPr>
          <w:rFonts w:asciiTheme="minorBidi" w:hAnsiTheme="minorBidi"/>
        </w:rPr>
      </w:pPr>
    </w:p>
    <w:p w:rsidR="006A3F47" w:rsidRPr="006A3F47" w:rsidRDefault="006A4668" w:rsidP="0041017A">
      <w:pPr>
        <w:spacing w:after="0" w:line="240" w:lineRule="auto"/>
        <w:jc w:val="both"/>
        <w:rPr>
          <w:rFonts w:asciiTheme="minorBidi" w:hAnsiTheme="minorBidi"/>
        </w:rPr>
      </w:pPr>
      <w:r>
        <w:rPr>
          <w:rFonts w:asciiTheme="minorBidi" w:hAnsiTheme="minorBidi"/>
        </w:rPr>
        <w:t>Accordingly, an option for the Flow Management Group and the cooperating creditors might be to reach out the non-cooperating creditors through pre-existing personal relationships between the parties. In my personal experience as a restructuring solicitor, correspondence between principals</w:t>
      </w:r>
      <w:r w:rsidR="00907E9C">
        <w:rPr>
          <w:rFonts w:asciiTheme="minorBidi" w:hAnsiTheme="minorBidi"/>
        </w:rPr>
        <w:t>,</w:t>
      </w:r>
      <w:r>
        <w:rPr>
          <w:rFonts w:asciiTheme="minorBidi" w:hAnsiTheme="minorBidi"/>
        </w:rPr>
        <w:t xml:space="preserve"> without the presence of solicitors</w:t>
      </w:r>
      <w:r w:rsidR="00907E9C">
        <w:rPr>
          <w:rFonts w:asciiTheme="minorBidi" w:hAnsiTheme="minorBidi"/>
        </w:rPr>
        <w:t>,</w:t>
      </w:r>
      <w:r>
        <w:rPr>
          <w:rFonts w:asciiTheme="minorBidi" w:hAnsiTheme="minorBidi"/>
        </w:rPr>
        <w:t xml:space="preserve"> </w:t>
      </w:r>
      <w:r w:rsidR="00907E9C">
        <w:rPr>
          <w:rFonts w:asciiTheme="minorBidi" w:hAnsiTheme="minorBidi"/>
        </w:rPr>
        <w:t>can</w:t>
      </w:r>
      <w:r>
        <w:rPr>
          <w:rFonts w:asciiTheme="minorBidi" w:hAnsiTheme="minorBidi"/>
        </w:rPr>
        <w:t xml:space="preserve"> produce faster results than legal discussions between </w:t>
      </w:r>
      <w:r w:rsidR="002F5D21">
        <w:rPr>
          <w:rFonts w:asciiTheme="minorBidi" w:hAnsiTheme="minorBidi"/>
        </w:rPr>
        <w:t>solicitors</w:t>
      </w:r>
      <w:r>
        <w:rPr>
          <w:rFonts w:asciiTheme="minorBidi" w:hAnsiTheme="minorBidi"/>
        </w:rPr>
        <w:t xml:space="preserve">. </w:t>
      </w:r>
    </w:p>
    <w:p w:rsidR="006A3F47" w:rsidRPr="006A3F47" w:rsidRDefault="006A3F47" w:rsidP="0041017A">
      <w:pPr>
        <w:spacing w:after="0" w:line="240" w:lineRule="auto"/>
        <w:jc w:val="both"/>
        <w:rPr>
          <w:rFonts w:asciiTheme="minorBidi" w:hAnsiTheme="minorBidi"/>
        </w:rPr>
      </w:pPr>
    </w:p>
    <w:p w:rsidR="003E42A3" w:rsidRDefault="003E42A3" w:rsidP="0041017A">
      <w:pPr>
        <w:spacing w:after="0" w:line="240" w:lineRule="auto"/>
        <w:jc w:val="both"/>
        <w:rPr>
          <w:rFonts w:asciiTheme="minorBidi" w:hAnsiTheme="minorBidi"/>
        </w:rPr>
      </w:pPr>
    </w:p>
    <w:p w:rsidR="003E42A3" w:rsidRDefault="003E42A3" w:rsidP="0041017A">
      <w:pPr>
        <w:spacing w:after="0" w:line="240" w:lineRule="auto"/>
        <w:jc w:val="both"/>
        <w:rPr>
          <w:rFonts w:asciiTheme="minorBidi" w:hAnsiTheme="minorBidi"/>
        </w:rPr>
      </w:pPr>
    </w:p>
    <w:p w:rsidR="003E42A3" w:rsidRDefault="003E42A3" w:rsidP="0041017A">
      <w:pPr>
        <w:spacing w:after="0" w:line="240" w:lineRule="auto"/>
        <w:jc w:val="both"/>
        <w:rPr>
          <w:rFonts w:asciiTheme="minorBidi" w:hAnsiTheme="minorBidi"/>
        </w:rPr>
      </w:pPr>
    </w:p>
    <w:p w:rsidR="003E42A3" w:rsidRDefault="003E42A3" w:rsidP="0041017A">
      <w:pPr>
        <w:spacing w:after="0" w:line="240" w:lineRule="auto"/>
        <w:jc w:val="both"/>
        <w:rPr>
          <w:rFonts w:asciiTheme="minorBidi" w:hAnsiTheme="minorBidi"/>
        </w:rPr>
      </w:pPr>
    </w:p>
    <w:p w:rsidR="0020742B" w:rsidRPr="007245F1" w:rsidRDefault="0020742B" w:rsidP="0041017A">
      <w:pPr>
        <w:spacing w:after="0" w:line="240" w:lineRule="auto"/>
        <w:jc w:val="both"/>
        <w:rPr>
          <w:rFonts w:asciiTheme="minorBidi" w:hAnsiTheme="minorBidi"/>
        </w:rPr>
      </w:pPr>
    </w:p>
    <w:p w:rsidR="004C55DF" w:rsidRDefault="004C55DF" w:rsidP="0041017A">
      <w:pPr>
        <w:jc w:val="both"/>
        <w:rPr>
          <w:rFonts w:asciiTheme="minorBidi" w:hAnsiTheme="minorBidi"/>
        </w:rPr>
      </w:pPr>
      <w:r>
        <w:rPr>
          <w:rFonts w:asciiTheme="minorBidi" w:hAnsiTheme="minorBidi"/>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7. Explain in detail the essence and result of the restructuring agreement as signed on the 4</w:t>
      </w:r>
      <w:r w:rsidR="00391B80" w:rsidRPr="004C55DF">
        <w:rPr>
          <w:rFonts w:asciiTheme="minorBidi" w:hAnsiTheme="minorBidi"/>
          <w:b/>
          <w:bCs/>
          <w:vertAlign w:val="superscript"/>
        </w:rPr>
        <w:t>th</w:t>
      </w:r>
      <w:r w:rsidR="007245F1" w:rsidRPr="004C55DF">
        <w:rPr>
          <w:rFonts w:asciiTheme="minorBidi" w:hAnsiTheme="minorBidi"/>
          <w:b/>
          <w:bCs/>
        </w:rPr>
        <w:t xml:space="preserve"> </w:t>
      </w:r>
      <w:r w:rsidR="00391B80" w:rsidRPr="004C55DF">
        <w:rPr>
          <w:rFonts w:asciiTheme="minorBidi" w:hAnsiTheme="minorBidi"/>
          <w:b/>
          <w:bCs/>
        </w:rPr>
        <w:t>of July 2015.</w:t>
      </w:r>
    </w:p>
    <w:p w:rsidR="00391B80" w:rsidRDefault="00391B80" w:rsidP="0041017A">
      <w:pPr>
        <w:spacing w:after="0" w:line="240" w:lineRule="auto"/>
        <w:jc w:val="both"/>
        <w:rPr>
          <w:rFonts w:asciiTheme="minorBidi" w:hAnsiTheme="minorBidi"/>
        </w:rPr>
      </w:pPr>
    </w:p>
    <w:p w:rsidR="009A648E" w:rsidRDefault="009A648E" w:rsidP="0041017A">
      <w:pPr>
        <w:spacing w:after="0" w:line="240" w:lineRule="auto"/>
        <w:jc w:val="both"/>
        <w:rPr>
          <w:rFonts w:asciiTheme="minorBidi" w:hAnsiTheme="minorBidi"/>
        </w:rPr>
      </w:pPr>
    </w:p>
    <w:p w:rsidR="00780183" w:rsidRDefault="00F164C5" w:rsidP="0041017A">
      <w:pPr>
        <w:spacing w:after="0" w:line="240" w:lineRule="auto"/>
        <w:jc w:val="both"/>
        <w:rPr>
          <w:rFonts w:asciiTheme="minorBidi" w:hAnsiTheme="minorBidi"/>
        </w:rPr>
      </w:pPr>
      <w:r>
        <w:rPr>
          <w:rFonts w:asciiTheme="minorBidi" w:hAnsiTheme="minorBidi"/>
        </w:rPr>
        <w:t>The restructuring agreement 4 July 2015 (the “</w:t>
      </w:r>
      <w:r w:rsidRPr="00F164C5">
        <w:rPr>
          <w:rFonts w:asciiTheme="minorBidi" w:hAnsiTheme="minorBidi"/>
          <w:b/>
          <w:bCs/>
        </w:rPr>
        <w:t>Restructuring Agreement</w:t>
      </w:r>
      <w:r>
        <w:rPr>
          <w:rFonts w:asciiTheme="minorBidi" w:hAnsiTheme="minorBidi"/>
        </w:rPr>
        <w:t>”) has the following key feature</w:t>
      </w:r>
      <w:r w:rsidR="008A0931">
        <w:rPr>
          <w:rFonts w:asciiTheme="minorBidi" w:hAnsiTheme="minorBidi"/>
        </w:rPr>
        <w:t>s</w:t>
      </w:r>
      <w:r w:rsidR="0051169B">
        <w:rPr>
          <w:rFonts w:asciiTheme="minorBidi" w:hAnsiTheme="minorBidi"/>
        </w:rPr>
        <w:t xml:space="preserve"> (i) </w:t>
      </w:r>
      <w:r w:rsidR="00B35982">
        <w:rPr>
          <w:rFonts w:asciiTheme="minorBidi" w:hAnsiTheme="minorBidi"/>
        </w:rPr>
        <w:t>it is a consensual out-of-court workout</w:t>
      </w:r>
      <w:r w:rsidR="008A0931">
        <w:rPr>
          <w:rFonts w:asciiTheme="minorBidi" w:hAnsiTheme="minorBidi"/>
        </w:rPr>
        <w:t xml:space="preserve"> (ii) </w:t>
      </w:r>
      <w:r w:rsidR="00780183">
        <w:rPr>
          <w:rFonts w:asciiTheme="minorBidi" w:hAnsiTheme="minorBidi"/>
        </w:rPr>
        <w:t>it reflects the priority of the financier</w:t>
      </w:r>
      <w:r w:rsidR="008A0931">
        <w:rPr>
          <w:rFonts w:asciiTheme="minorBidi" w:hAnsiTheme="minorBidi"/>
        </w:rPr>
        <w:t>s</w:t>
      </w:r>
      <w:r w:rsidR="00780183">
        <w:rPr>
          <w:rFonts w:asciiTheme="minorBidi" w:hAnsiTheme="minorBidi"/>
        </w:rPr>
        <w:t xml:space="preserve"> on 16 November 2013 and</w:t>
      </w:r>
      <w:r w:rsidR="008A0931">
        <w:rPr>
          <w:rFonts w:asciiTheme="minorBidi" w:hAnsiTheme="minorBidi"/>
        </w:rPr>
        <w:t xml:space="preserve"> (iii) </w:t>
      </w:r>
      <w:r w:rsidR="00780183">
        <w:rPr>
          <w:rFonts w:asciiTheme="minorBidi" w:hAnsiTheme="minorBidi"/>
        </w:rPr>
        <w:t xml:space="preserve">it offers the parties the same or a greater return than those parties would have received the immediate liquidation of the Flow Management Group. </w:t>
      </w:r>
      <w:r w:rsidR="008A0931">
        <w:rPr>
          <w:rFonts w:asciiTheme="minorBidi" w:hAnsiTheme="minorBidi"/>
        </w:rPr>
        <w:t>These features are explained in further detail below:</w:t>
      </w:r>
    </w:p>
    <w:p w:rsidR="008A0931" w:rsidRDefault="008A0931" w:rsidP="0041017A">
      <w:pPr>
        <w:spacing w:after="0" w:line="240" w:lineRule="auto"/>
        <w:jc w:val="both"/>
        <w:rPr>
          <w:rFonts w:asciiTheme="minorBidi" w:hAnsiTheme="minorBidi"/>
        </w:rPr>
      </w:pPr>
    </w:p>
    <w:p w:rsidR="008A0931" w:rsidRDefault="008A0931" w:rsidP="0041017A">
      <w:pPr>
        <w:spacing w:after="0" w:line="240" w:lineRule="auto"/>
        <w:jc w:val="both"/>
        <w:rPr>
          <w:rFonts w:asciiTheme="minorBidi" w:hAnsiTheme="minorBidi"/>
        </w:rPr>
      </w:pPr>
    </w:p>
    <w:p w:rsidR="00780183" w:rsidRPr="008A0931" w:rsidRDefault="008A0931" w:rsidP="0041017A">
      <w:pPr>
        <w:spacing w:after="0" w:line="240" w:lineRule="auto"/>
        <w:jc w:val="both"/>
        <w:rPr>
          <w:rFonts w:asciiTheme="minorBidi" w:hAnsiTheme="minorBidi"/>
          <w:i/>
          <w:iCs/>
          <w:u w:val="single"/>
        </w:rPr>
      </w:pPr>
      <w:r w:rsidRPr="008A0931">
        <w:rPr>
          <w:rFonts w:asciiTheme="minorBidi" w:hAnsiTheme="minorBidi"/>
          <w:i/>
          <w:iCs/>
          <w:u w:val="single"/>
        </w:rPr>
        <w:t xml:space="preserve">Consensual out-of-court workout </w:t>
      </w:r>
    </w:p>
    <w:p w:rsidR="008A0931" w:rsidRDefault="008A0931" w:rsidP="0041017A">
      <w:pPr>
        <w:spacing w:after="0" w:line="240" w:lineRule="auto"/>
        <w:jc w:val="both"/>
        <w:rPr>
          <w:rFonts w:asciiTheme="minorBidi" w:hAnsiTheme="minorBidi"/>
        </w:rPr>
      </w:pPr>
    </w:p>
    <w:p w:rsidR="008A0931" w:rsidRDefault="001A2904" w:rsidP="0041017A">
      <w:pPr>
        <w:spacing w:after="0" w:line="240" w:lineRule="auto"/>
        <w:jc w:val="both"/>
        <w:rPr>
          <w:rFonts w:asciiTheme="minorBidi" w:hAnsiTheme="minorBidi"/>
        </w:rPr>
      </w:pPr>
      <w:r>
        <w:rPr>
          <w:rFonts w:asciiTheme="minorBidi" w:hAnsiTheme="minorBidi"/>
        </w:rPr>
        <w:t>A key feature of the</w:t>
      </w:r>
      <w:r w:rsidR="00606CB0">
        <w:rPr>
          <w:rFonts w:asciiTheme="minorBidi" w:hAnsiTheme="minorBidi"/>
        </w:rPr>
        <w:t xml:space="preserve"> Restructuring Agreement </w:t>
      </w:r>
      <w:r>
        <w:rPr>
          <w:rFonts w:asciiTheme="minorBidi" w:hAnsiTheme="minorBidi"/>
        </w:rPr>
        <w:t xml:space="preserve">is that it an out-of-court workout consensually agreed between the relevant parties. </w:t>
      </w:r>
    </w:p>
    <w:p w:rsidR="001A2904" w:rsidRDefault="001A2904" w:rsidP="0041017A">
      <w:pPr>
        <w:spacing w:after="0" w:line="240" w:lineRule="auto"/>
        <w:jc w:val="both"/>
        <w:rPr>
          <w:rFonts w:asciiTheme="minorBidi" w:hAnsiTheme="minorBidi"/>
        </w:rPr>
      </w:pPr>
    </w:p>
    <w:p w:rsidR="00845D34" w:rsidRDefault="001A2904" w:rsidP="0041017A">
      <w:pPr>
        <w:spacing w:after="0" w:line="240" w:lineRule="auto"/>
        <w:jc w:val="both"/>
        <w:rPr>
          <w:rFonts w:asciiTheme="minorBidi" w:hAnsiTheme="minorBidi"/>
        </w:rPr>
      </w:pPr>
      <w:r>
        <w:rPr>
          <w:rFonts w:asciiTheme="minorBidi" w:hAnsiTheme="minorBidi"/>
        </w:rPr>
        <w:t>In the alternative, the relevant parties (o</w:t>
      </w:r>
      <w:r w:rsidR="008A6DDB">
        <w:rPr>
          <w:rFonts w:asciiTheme="minorBidi" w:hAnsiTheme="minorBidi"/>
        </w:rPr>
        <w:t>r</w:t>
      </w:r>
      <w:r>
        <w:rPr>
          <w:rFonts w:asciiTheme="minorBidi" w:hAnsiTheme="minorBidi"/>
        </w:rPr>
        <w:t xml:space="preserve"> some of them) may have sought to implement a restructuring through a formal insolvency process. For example, the Working Capital Banks may have sought to appoint an external administrator (such as (in Singapore) a judicial manager or a liquidator) to </w:t>
      </w:r>
      <w:r w:rsidRPr="001A2904">
        <w:rPr>
          <w:rFonts w:asciiTheme="minorBidi" w:hAnsiTheme="minorBidi"/>
        </w:rPr>
        <w:t>Flow Management Holding B</w:t>
      </w:r>
      <w:r>
        <w:rPr>
          <w:rFonts w:asciiTheme="minorBidi" w:hAnsiTheme="minorBidi"/>
        </w:rPr>
        <w:t xml:space="preserve">V in order to implement a restructuring desired by the creditors. However, this may have caused </w:t>
      </w:r>
      <w:r w:rsidR="00845D34">
        <w:rPr>
          <w:rFonts w:asciiTheme="minorBidi" w:hAnsiTheme="minorBidi"/>
        </w:rPr>
        <w:t>value destruction through the additional costs and publicity involved.</w:t>
      </w:r>
      <w:r w:rsidR="00845D34">
        <w:rPr>
          <w:rStyle w:val="FootnoteReference"/>
          <w:rFonts w:asciiTheme="minorBidi" w:hAnsiTheme="minorBidi"/>
        </w:rPr>
        <w:footnoteReference w:id="49"/>
      </w:r>
      <w:r w:rsidR="00845D34">
        <w:rPr>
          <w:rFonts w:asciiTheme="minorBidi" w:hAnsiTheme="minorBidi"/>
        </w:rPr>
        <w:t xml:space="preserve"> </w:t>
      </w:r>
    </w:p>
    <w:p w:rsidR="00845D34" w:rsidRDefault="00845D34" w:rsidP="0041017A">
      <w:pPr>
        <w:spacing w:after="0" w:line="240" w:lineRule="auto"/>
        <w:jc w:val="both"/>
        <w:rPr>
          <w:rFonts w:asciiTheme="minorBidi" w:hAnsiTheme="minorBidi"/>
        </w:rPr>
      </w:pPr>
    </w:p>
    <w:p w:rsidR="001A2904" w:rsidRDefault="00845D34" w:rsidP="0041017A">
      <w:pPr>
        <w:spacing w:after="0" w:line="240" w:lineRule="auto"/>
        <w:jc w:val="both"/>
        <w:rPr>
          <w:rFonts w:asciiTheme="minorBidi" w:hAnsiTheme="minorBidi"/>
        </w:rPr>
      </w:pPr>
      <w:r>
        <w:rPr>
          <w:rFonts w:asciiTheme="minorBidi" w:hAnsiTheme="minorBidi"/>
        </w:rPr>
        <w:t xml:space="preserve">Another alternative might have been for the </w:t>
      </w:r>
      <w:r w:rsidRPr="001A2904">
        <w:rPr>
          <w:rFonts w:asciiTheme="minorBidi" w:hAnsiTheme="minorBidi"/>
        </w:rPr>
        <w:t xml:space="preserve">Flow Management </w:t>
      </w:r>
      <w:r>
        <w:rPr>
          <w:rFonts w:asciiTheme="minorBidi" w:hAnsiTheme="minorBidi"/>
        </w:rPr>
        <w:t xml:space="preserve">Group and some of the creditors to agree a restructuring plan which ‘crammed down’ dissenting creditors, such as by way of a scheme of arrangement. </w:t>
      </w:r>
      <w:r w:rsidR="00F534CE">
        <w:rPr>
          <w:rFonts w:asciiTheme="minorBidi" w:hAnsiTheme="minorBidi"/>
        </w:rPr>
        <w:t xml:space="preserve">However, similar to judicial management or liquidation, there are issues of cost and publicity which would need to be taken into account. </w:t>
      </w:r>
    </w:p>
    <w:p w:rsidR="00F534CE" w:rsidRDefault="00F534CE" w:rsidP="0041017A">
      <w:pPr>
        <w:spacing w:after="0" w:line="240" w:lineRule="auto"/>
        <w:jc w:val="both"/>
        <w:rPr>
          <w:rFonts w:asciiTheme="minorBidi" w:hAnsiTheme="minorBidi"/>
        </w:rPr>
      </w:pPr>
    </w:p>
    <w:p w:rsidR="00F534CE" w:rsidRDefault="00DA3AD3" w:rsidP="0041017A">
      <w:pPr>
        <w:spacing w:after="0" w:line="240" w:lineRule="auto"/>
        <w:jc w:val="both"/>
        <w:rPr>
          <w:rFonts w:asciiTheme="minorBidi" w:hAnsiTheme="minorBidi"/>
        </w:rPr>
      </w:pPr>
      <w:r>
        <w:rPr>
          <w:rFonts w:asciiTheme="minorBidi" w:hAnsiTheme="minorBidi"/>
        </w:rPr>
        <w:t>Generally a consensual out-of-court workout will result in better returns for stakeholders</w:t>
      </w:r>
      <w:r w:rsidR="002E1515">
        <w:rPr>
          <w:rFonts w:asciiTheme="minorBidi" w:hAnsiTheme="minorBidi"/>
        </w:rPr>
        <w:t>,</w:t>
      </w:r>
      <w:r>
        <w:rPr>
          <w:rFonts w:asciiTheme="minorBidi" w:hAnsiTheme="minorBidi"/>
        </w:rPr>
        <w:t xml:space="preserve"> as well-summarised </w:t>
      </w:r>
      <w:r w:rsidR="00F534CE">
        <w:rPr>
          <w:rFonts w:asciiTheme="minorBidi" w:hAnsiTheme="minorBidi"/>
        </w:rPr>
        <w:t>in the Bank of England’s foreword to INSOL’s Principles, “</w:t>
      </w:r>
      <w:r w:rsidR="00F534CE" w:rsidRPr="00F534CE">
        <w:rPr>
          <w:rFonts w:asciiTheme="minorBidi" w:hAnsiTheme="minorBidi"/>
          <w:i/>
          <w:iCs/>
        </w:rPr>
        <w:t>[e]xperience suggests that a collective approach, such as the one advocated, can help preserve value, to the benefit of the creditors as a whole and other stakeholders in the company</w:t>
      </w:r>
      <w:r>
        <w:rPr>
          <w:rFonts w:asciiTheme="minorBidi" w:hAnsiTheme="minorBidi"/>
          <w:i/>
          <w:iCs/>
        </w:rPr>
        <w:t>.</w:t>
      </w:r>
      <w:r w:rsidR="00F534CE">
        <w:rPr>
          <w:rFonts w:asciiTheme="minorBidi" w:hAnsiTheme="minorBidi"/>
        </w:rPr>
        <w:t>”</w:t>
      </w:r>
      <w:r w:rsidR="00C83649">
        <w:rPr>
          <w:rStyle w:val="FootnoteReference"/>
          <w:rFonts w:asciiTheme="minorBidi" w:hAnsiTheme="minorBidi"/>
        </w:rPr>
        <w:footnoteReference w:id="50"/>
      </w:r>
    </w:p>
    <w:p w:rsidR="008A0931" w:rsidRDefault="008A0931" w:rsidP="0041017A">
      <w:pPr>
        <w:spacing w:after="0" w:line="240" w:lineRule="auto"/>
        <w:jc w:val="both"/>
        <w:rPr>
          <w:rFonts w:asciiTheme="minorBidi" w:hAnsiTheme="minorBidi"/>
        </w:rPr>
      </w:pPr>
    </w:p>
    <w:p w:rsidR="008A0931" w:rsidRDefault="008A0931" w:rsidP="0041017A">
      <w:pPr>
        <w:spacing w:after="0" w:line="240" w:lineRule="auto"/>
        <w:jc w:val="both"/>
        <w:rPr>
          <w:rFonts w:asciiTheme="minorBidi" w:hAnsiTheme="minorBidi"/>
        </w:rPr>
      </w:pPr>
    </w:p>
    <w:p w:rsidR="008A0931" w:rsidRPr="008A0931" w:rsidRDefault="008A0931" w:rsidP="0041017A">
      <w:pPr>
        <w:spacing w:after="0" w:line="240" w:lineRule="auto"/>
        <w:jc w:val="both"/>
        <w:rPr>
          <w:rFonts w:asciiTheme="minorBidi" w:hAnsiTheme="minorBidi"/>
          <w:i/>
          <w:iCs/>
          <w:u w:val="single"/>
        </w:rPr>
      </w:pPr>
      <w:r w:rsidRPr="008A0931">
        <w:rPr>
          <w:rFonts w:asciiTheme="minorBidi" w:hAnsiTheme="minorBidi"/>
          <w:i/>
          <w:iCs/>
          <w:u w:val="single"/>
        </w:rPr>
        <w:t xml:space="preserve">Reflects the priority of the financiers </w:t>
      </w:r>
    </w:p>
    <w:p w:rsidR="00780183" w:rsidRDefault="00780183" w:rsidP="0041017A">
      <w:pPr>
        <w:spacing w:after="0" w:line="240" w:lineRule="auto"/>
        <w:jc w:val="both"/>
        <w:rPr>
          <w:rFonts w:asciiTheme="minorBidi" w:hAnsiTheme="minorBidi"/>
        </w:rPr>
      </w:pPr>
      <w:r w:rsidRPr="00780183">
        <w:rPr>
          <w:rFonts w:asciiTheme="minorBidi" w:hAnsiTheme="minorBidi"/>
        </w:rPr>
        <w:t xml:space="preserve"> </w:t>
      </w:r>
    </w:p>
    <w:p w:rsidR="005A35FC" w:rsidRDefault="005A35FC" w:rsidP="0041017A">
      <w:pPr>
        <w:spacing w:after="0" w:line="240" w:lineRule="auto"/>
        <w:jc w:val="both"/>
        <w:rPr>
          <w:rFonts w:asciiTheme="minorBidi" w:hAnsiTheme="minorBidi"/>
        </w:rPr>
      </w:pPr>
      <w:r>
        <w:rPr>
          <w:rFonts w:asciiTheme="minorBidi" w:hAnsiTheme="minorBidi"/>
        </w:rPr>
        <w:t xml:space="preserve">As mentioned in the Case Study, the Restructuring Agreement </w:t>
      </w:r>
      <w:r w:rsidR="00E05493">
        <w:rPr>
          <w:rFonts w:asciiTheme="minorBidi" w:hAnsiTheme="minorBidi"/>
        </w:rPr>
        <w:t>r</w:t>
      </w:r>
      <w:r w:rsidRPr="005A35FC">
        <w:rPr>
          <w:rFonts w:asciiTheme="minorBidi" w:hAnsiTheme="minorBidi"/>
        </w:rPr>
        <w:t xml:space="preserve">eflects the priority of the financiers </w:t>
      </w:r>
      <w:r>
        <w:rPr>
          <w:rFonts w:asciiTheme="minorBidi" w:hAnsiTheme="minorBidi"/>
        </w:rPr>
        <w:t xml:space="preserve">involved </w:t>
      </w:r>
      <w:r w:rsidR="00A6142D">
        <w:rPr>
          <w:rFonts w:asciiTheme="minorBidi" w:hAnsiTheme="minorBidi"/>
        </w:rPr>
        <w:t xml:space="preserve">in </w:t>
      </w:r>
      <w:r>
        <w:rPr>
          <w:rFonts w:asciiTheme="minorBidi" w:hAnsiTheme="minorBidi"/>
        </w:rPr>
        <w:t>the restructuring. In this respect:</w:t>
      </w:r>
    </w:p>
    <w:p w:rsidR="008A0931" w:rsidRDefault="005A35FC" w:rsidP="0041017A">
      <w:pPr>
        <w:pStyle w:val="ListParagraph"/>
        <w:numPr>
          <w:ilvl w:val="0"/>
          <w:numId w:val="2"/>
        </w:numPr>
        <w:spacing w:after="0" w:line="240" w:lineRule="auto"/>
        <w:jc w:val="both"/>
        <w:rPr>
          <w:rFonts w:asciiTheme="minorBidi" w:hAnsiTheme="minorBidi"/>
        </w:rPr>
      </w:pPr>
      <w:r w:rsidRPr="005A35FC">
        <w:rPr>
          <w:rFonts w:asciiTheme="minorBidi" w:hAnsiTheme="minorBidi"/>
        </w:rPr>
        <w:t>the secured Working Capital Banks receive the shares in Flow Management II BV in return for a write-down of some of the debt owed to the Working Capital Banks</w:t>
      </w:r>
      <w:r>
        <w:rPr>
          <w:rFonts w:asciiTheme="minorBidi" w:hAnsiTheme="minorBidi"/>
        </w:rPr>
        <w:t>;</w:t>
      </w:r>
      <w:r w:rsidR="00E05493">
        <w:rPr>
          <w:rFonts w:asciiTheme="minorBidi" w:hAnsiTheme="minorBidi"/>
        </w:rPr>
        <w:t xml:space="preserve"> and</w:t>
      </w:r>
    </w:p>
    <w:p w:rsidR="005A35FC" w:rsidRDefault="00E05493" w:rsidP="0041017A">
      <w:pPr>
        <w:pStyle w:val="ListParagraph"/>
        <w:numPr>
          <w:ilvl w:val="0"/>
          <w:numId w:val="2"/>
        </w:numPr>
        <w:spacing w:after="0" w:line="240" w:lineRule="auto"/>
        <w:jc w:val="both"/>
        <w:rPr>
          <w:rFonts w:asciiTheme="minorBidi" w:hAnsiTheme="minorBidi"/>
        </w:rPr>
      </w:pPr>
      <w:r>
        <w:rPr>
          <w:rFonts w:asciiTheme="minorBidi" w:hAnsiTheme="minorBidi"/>
        </w:rPr>
        <w:t xml:space="preserve">the unsecured creditors and the shareholders receive no returns in the liquidation of Flow Management Holding BV. </w:t>
      </w:r>
    </w:p>
    <w:p w:rsidR="00E05493" w:rsidRDefault="00E05493" w:rsidP="0041017A">
      <w:pPr>
        <w:spacing w:after="0" w:line="240" w:lineRule="auto"/>
        <w:jc w:val="both"/>
        <w:rPr>
          <w:rFonts w:asciiTheme="minorBidi" w:hAnsiTheme="minorBidi"/>
        </w:rPr>
      </w:pPr>
    </w:p>
    <w:p w:rsidR="000747EE" w:rsidRDefault="00E05493" w:rsidP="0041017A">
      <w:pPr>
        <w:spacing w:after="0" w:line="240" w:lineRule="auto"/>
        <w:jc w:val="both"/>
        <w:rPr>
          <w:rFonts w:asciiTheme="minorBidi" w:hAnsiTheme="minorBidi"/>
        </w:rPr>
      </w:pPr>
      <w:r>
        <w:rPr>
          <w:rFonts w:asciiTheme="minorBidi" w:hAnsiTheme="minorBidi"/>
        </w:rPr>
        <w:t xml:space="preserve">By reflecting </w:t>
      </w:r>
      <w:r w:rsidRPr="005A35FC">
        <w:rPr>
          <w:rFonts w:asciiTheme="minorBidi" w:hAnsiTheme="minorBidi"/>
        </w:rPr>
        <w:t xml:space="preserve">the priority of the financiers </w:t>
      </w:r>
      <w:r>
        <w:rPr>
          <w:rFonts w:asciiTheme="minorBidi" w:hAnsiTheme="minorBidi"/>
        </w:rPr>
        <w:t>involved at the outset of the restructuring, the Restructuring Plan accords with</w:t>
      </w:r>
      <w:r w:rsidR="000747EE">
        <w:rPr>
          <w:rFonts w:asciiTheme="minorBidi" w:hAnsiTheme="minorBidi"/>
        </w:rPr>
        <w:t>:</w:t>
      </w:r>
    </w:p>
    <w:p w:rsidR="000747EE" w:rsidRDefault="0074482C" w:rsidP="0041017A">
      <w:pPr>
        <w:pStyle w:val="ListParagraph"/>
        <w:numPr>
          <w:ilvl w:val="0"/>
          <w:numId w:val="3"/>
        </w:numPr>
        <w:spacing w:after="0" w:line="240" w:lineRule="auto"/>
        <w:jc w:val="both"/>
        <w:rPr>
          <w:rFonts w:asciiTheme="minorBidi" w:hAnsiTheme="minorBidi"/>
        </w:rPr>
      </w:pPr>
      <w:r>
        <w:rPr>
          <w:rFonts w:asciiTheme="minorBidi" w:hAnsiTheme="minorBidi"/>
        </w:rPr>
        <w:t>INSOL International’s</w:t>
      </w:r>
      <w:r w:rsidR="000747EE">
        <w:rPr>
          <w:rFonts w:asciiTheme="minorBidi" w:hAnsiTheme="minorBidi"/>
        </w:rPr>
        <w:t xml:space="preserve"> </w:t>
      </w:r>
      <w:r w:rsidR="00E05493" w:rsidRPr="000747EE">
        <w:rPr>
          <w:rFonts w:asciiTheme="minorBidi" w:hAnsiTheme="minorBidi"/>
        </w:rPr>
        <w:t>Third Principle</w:t>
      </w:r>
      <w:r w:rsidR="00A6142D">
        <w:rPr>
          <w:rStyle w:val="FootnoteReference"/>
          <w:rFonts w:asciiTheme="minorBidi" w:hAnsiTheme="minorBidi"/>
        </w:rPr>
        <w:footnoteReference w:id="51"/>
      </w:r>
      <w:r w:rsidR="00A6142D" w:rsidRPr="000747EE">
        <w:rPr>
          <w:rFonts w:asciiTheme="minorBidi" w:hAnsiTheme="minorBidi"/>
        </w:rPr>
        <w:t>,</w:t>
      </w:r>
      <w:r w:rsidR="00E05493" w:rsidRPr="000747EE">
        <w:rPr>
          <w:rFonts w:asciiTheme="minorBidi" w:hAnsiTheme="minorBidi"/>
        </w:rPr>
        <w:t xml:space="preserve"> by </w:t>
      </w:r>
      <w:r w:rsidR="00A6142D" w:rsidRPr="000747EE">
        <w:rPr>
          <w:rFonts w:asciiTheme="minorBidi" w:hAnsiTheme="minorBidi"/>
        </w:rPr>
        <w:t xml:space="preserve">way of the debtor </w:t>
      </w:r>
      <w:r w:rsidR="002E1515">
        <w:rPr>
          <w:rFonts w:asciiTheme="minorBidi" w:hAnsiTheme="minorBidi"/>
        </w:rPr>
        <w:t xml:space="preserve">not taking any action which might adversely affect the prospective return to the relevant creditors </w:t>
      </w:r>
      <w:r w:rsidR="003F40B3">
        <w:rPr>
          <w:rFonts w:asciiTheme="minorBidi" w:hAnsiTheme="minorBidi"/>
        </w:rPr>
        <w:t xml:space="preserve">as compared with the position </w:t>
      </w:r>
      <w:r w:rsidR="00A6142D" w:rsidRPr="000747EE">
        <w:rPr>
          <w:rFonts w:asciiTheme="minorBidi" w:hAnsiTheme="minorBidi"/>
        </w:rPr>
        <w:t>at the commencement of the restructuring</w:t>
      </w:r>
      <w:r w:rsidR="000747EE">
        <w:rPr>
          <w:rFonts w:asciiTheme="minorBidi" w:hAnsiTheme="minorBidi"/>
        </w:rPr>
        <w:t>;</w:t>
      </w:r>
      <w:r w:rsidR="00A6142D" w:rsidRPr="000747EE">
        <w:rPr>
          <w:rFonts w:asciiTheme="minorBidi" w:hAnsiTheme="minorBidi"/>
        </w:rPr>
        <w:t xml:space="preserve"> </w:t>
      </w:r>
      <w:r w:rsidR="00E05493" w:rsidRPr="000747EE">
        <w:rPr>
          <w:rFonts w:asciiTheme="minorBidi" w:hAnsiTheme="minorBidi"/>
        </w:rPr>
        <w:t>and</w:t>
      </w:r>
    </w:p>
    <w:p w:rsidR="00E05493" w:rsidRDefault="0074482C" w:rsidP="0041017A">
      <w:pPr>
        <w:pStyle w:val="ListParagraph"/>
        <w:numPr>
          <w:ilvl w:val="0"/>
          <w:numId w:val="3"/>
        </w:numPr>
        <w:spacing w:after="0" w:line="240" w:lineRule="auto"/>
        <w:jc w:val="both"/>
        <w:rPr>
          <w:rFonts w:asciiTheme="minorBidi" w:hAnsiTheme="minorBidi"/>
        </w:rPr>
      </w:pPr>
      <w:r>
        <w:rPr>
          <w:rFonts w:asciiTheme="minorBidi" w:hAnsiTheme="minorBidi"/>
        </w:rPr>
        <w:lastRenderedPageBreak/>
        <w:t xml:space="preserve">INSOL International’s </w:t>
      </w:r>
      <w:r w:rsidR="00E05493" w:rsidRPr="000747EE">
        <w:rPr>
          <w:rFonts w:asciiTheme="minorBidi" w:hAnsiTheme="minorBidi"/>
        </w:rPr>
        <w:t>Sixth Principle</w:t>
      </w:r>
      <w:r w:rsidR="00A6142D">
        <w:rPr>
          <w:rStyle w:val="FootnoteReference"/>
          <w:rFonts w:asciiTheme="minorBidi" w:hAnsiTheme="minorBidi"/>
        </w:rPr>
        <w:footnoteReference w:id="52"/>
      </w:r>
      <w:r w:rsidR="00A6142D" w:rsidRPr="000747EE">
        <w:rPr>
          <w:rFonts w:asciiTheme="minorBidi" w:hAnsiTheme="minorBidi"/>
        </w:rPr>
        <w:t>,</w:t>
      </w:r>
      <w:r w:rsidR="00E05493" w:rsidRPr="000747EE">
        <w:rPr>
          <w:rFonts w:asciiTheme="minorBidi" w:hAnsiTheme="minorBidi"/>
        </w:rPr>
        <w:t xml:space="preserve"> </w:t>
      </w:r>
      <w:r w:rsidR="00A6142D" w:rsidRPr="000747EE">
        <w:rPr>
          <w:rFonts w:asciiTheme="minorBidi" w:hAnsiTheme="minorBidi"/>
        </w:rPr>
        <w:t xml:space="preserve">by way of the relevant parties resolving the financial difficulties of the debtor in a way which reflects the relative position of creditors at the outset of the restructuring. </w:t>
      </w:r>
    </w:p>
    <w:p w:rsidR="0074482C" w:rsidRPr="000747EE" w:rsidRDefault="0074482C" w:rsidP="0074482C">
      <w:pPr>
        <w:pStyle w:val="ListParagraph"/>
        <w:spacing w:after="0" w:line="240" w:lineRule="auto"/>
        <w:jc w:val="both"/>
        <w:rPr>
          <w:rFonts w:asciiTheme="minorBidi" w:hAnsiTheme="minorBidi"/>
        </w:rPr>
      </w:pPr>
      <w:r>
        <w:rPr>
          <w:rFonts w:asciiTheme="minorBidi" w:hAnsiTheme="minorBidi"/>
        </w:rPr>
        <w:t xml:space="preserve"> </w:t>
      </w:r>
    </w:p>
    <w:p w:rsidR="003A6BFB" w:rsidRDefault="00586373" w:rsidP="0041017A">
      <w:pPr>
        <w:spacing w:after="0" w:line="240" w:lineRule="auto"/>
        <w:jc w:val="both"/>
        <w:rPr>
          <w:rFonts w:asciiTheme="minorBidi" w:hAnsiTheme="minorBidi"/>
        </w:rPr>
      </w:pPr>
      <w:r>
        <w:rPr>
          <w:rFonts w:asciiTheme="minorBidi" w:hAnsiTheme="minorBidi"/>
        </w:rPr>
        <w:t xml:space="preserve">The Case Study mentions that some of the shares in </w:t>
      </w:r>
      <w:r w:rsidRPr="005A35FC">
        <w:rPr>
          <w:rFonts w:asciiTheme="minorBidi" w:hAnsiTheme="minorBidi"/>
        </w:rPr>
        <w:t>Flow Management II BV</w:t>
      </w:r>
      <w:r>
        <w:rPr>
          <w:rFonts w:asciiTheme="minorBidi" w:hAnsiTheme="minorBidi"/>
        </w:rPr>
        <w:t xml:space="preserve"> are transferred</w:t>
      </w:r>
      <w:r w:rsidRPr="005A35FC">
        <w:rPr>
          <w:rFonts w:asciiTheme="minorBidi" w:hAnsiTheme="minorBidi"/>
        </w:rPr>
        <w:t xml:space="preserve"> </w:t>
      </w:r>
      <w:r>
        <w:rPr>
          <w:rFonts w:asciiTheme="minorBidi" w:hAnsiTheme="minorBidi"/>
        </w:rPr>
        <w:t>to “</w:t>
      </w:r>
      <w:r w:rsidRPr="00586373">
        <w:rPr>
          <w:rFonts w:asciiTheme="minorBidi" w:hAnsiTheme="minorBidi"/>
          <w:i/>
          <w:iCs/>
        </w:rPr>
        <w:t>a number of board members (including the CRO)</w:t>
      </w:r>
      <w:r>
        <w:rPr>
          <w:rFonts w:asciiTheme="minorBidi" w:hAnsiTheme="minorBidi"/>
        </w:rPr>
        <w:t>” (the “</w:t>
      </w:r>
      <w:r w:rsidRPr="00586373">
        <w:rPr>
          <w:rFonts w:asciiTheme="minorBidi" w:hAnsiTheme="minorBidi"/>
          <w:b/>
          <w:bCs/>
        </w:rPr>
        <w:t>Management Shares</w:t>
      </w:r>
      <w:r w:rsidRPr="003A6BFB">
        <w:rPr>
          <w:rFonts w:asciiTheme="minorBidi" w:hAnsiTheme="minorBidi"/>
        </w:rPr>
        <w:t>”</w:t>
      </w:r>
      <w:r>
        <w:rPr>
          <w:rFonts w:asciiTheme="minorBidi" w:hAnsiTheme="minorBidi"/>
        </w:rPr>
        <w:t xml:space="preserve">). Accordingly, an argument might be raised that the </w:t>
      </w:r>
      <w:r w:rsidR="0074482C">
        <w:rPr>
          <w:rFonts w:asciiTheme="minorBidi" w:hAnsiTheme="minorBidi"/>
        </w:rPr>
        <w:t xml:space="preserve">distribution of the </w:t>
      </w:r>
      <w:r>
        <w:rPr>
          <w:rFonts w:asciiTheme="minorBidi" w:hAnsiTheme="minorBidi"/>
        </w:rPr>
        <w:t xml:space="preserve">Management Shares </w:t>
      </w:r>
      <w:r w:rsidR="0074482C">
        <w:rPr>
          <w:rFonts w:asciiTheme="minorBidi" w:hAnsiTheme="minorBidi"/>
        </w:rPr>
        <w:t xml:space="preserve">to board members </w:t>
      </w:r>
      <w:r>
        <w:rPr>
          <w:rFonts w:asciiTheme="minorBidi" w:hAnsiTheme="minorBidi"/>
        </w:rPr>
        <w:t>represent</w:t>
      </w:r>
      <w:r w:rsidR="0074482C">
        <w:rPr>
          <w:rFonts w:asciiTheme="minorBidi" w:hAnsiTheme="minorBidi"/>
        </w:rPr>
        <w:t>s</w:t>
      </w:r>
      <w:r>
        <w:rPr>
          <w:rFonts w:asciiTheme="minorBidi" w:hAnsiTheme="minorBidi"/>
        </w:rPr>
        <w:t xml:space="preserve"> a breach of </w:t>
      </w:r>
      <w:r w:rsidR="0074482C">
        <w:rPr>
          <w:rFonts w:asciiTheme="minorBidi" w:hAnsiTheme="minorBidi"/>
        </w:rPr>
        <w:t xml:space="preserve">INSOL International’s </w:t>
      </w:r>
      <w:r>
        <w:rPr>
          <w:rFonts w:asciiTheme="minorBidi" w:hAnsiTheme="minorBidi"/>
        </w:rPr>
        <w:t xml:space="preserve">Sixth Principle in that assets, which might have otherwise </w:t>
      </w:r>
      <w:r w:rsidR="003A6BFB">
        <w:rPr>
          <w:rFonts w:asciiTheme="minorBidi" w:hAnsiTheme="minorBidi"/>
        </w:rPr>
        <w:t>been distributed</w:t>
      </w:r>
      <w:r>
        <w:rPr>
          <w:rFonts w:asciiTheme="minorBidi" w:hAnsiTheme="minorBidi"/>
        </w:rPr>
        <w:t xml:space="preserve"> to other creditors or shareholders of the Flow Management Group, ended up being distributed to board members.</w:t>
      </w:r>
    </w:p>
    <w:p w:rsidR="003A6BFB" w:rsidRDefault="003A6BFB" w:rsidP="0041017A">
      <w:pPr>
        <w:spacing w:after="0" w:line="240" w:lineRule="auto"/>
        <w:jc w:val="both"/>
        <w:rPr>
          <w:rFonts w:asciiTheme="minorBidi" w:hAnsiTheme="minorBidi"/>
        </w:rPr>
      </w:pPr>
    </w:p>
    <w:p w:rsidR="00586373" w:rsidRDefault="00586373" w:rsidP="0074482C">
      <w:pPr>
        <w:spacing w:after="0" w:line="240" w:lineRule="auto"/>
        <w:jc w:val="both"/>
        <w:rPr>
          <w:rFonts w:asciiTheme="minorBidi" w:hAnsiTheme="minorBidi"/>
        </w:rPr>
      </w:pPr>
      <w:r>
        <w:rPr>
          <w:rFonts w:asciiTheme="minorBidi" w:hAnsiTheme="minorBidi"/>
        </w:rPr>
        <w:t xml:space="preserve">However, I would argue that there is no breach of </w:t>
      </w:r>
      <w:r w:rsidR="0074482C">
        <w:rPr>
          <w:rFonts w:asciiTheme="minorBidi" w:hAnsiTheme="minorBidi"/>
        </w:rPr>
        <w:t xml:space="preserve">INSOL International’s </w:t>
      </w:r>
      <w:r>
        <w:rPr>
          <w:rFonts w:asciiTheme="minorBidi" w:hAnsiTheme="minorBidi"/>
        </w:rPr>
        <w:t xml:space="preserve">Sixth Principle on that basis that </w:t>
      </w:r>
      <w:r w:rsidR="002E1515">
        <w:rPr>
          <w:rFonts w:asciiTheme="minorBidi" w:hAnsiTheme="minorBidi"/>
        </w:rPr>
        <w:t xml:space="preserve">the </w:t>
      </w:r>
      <w:r>
        <w:rPr>
          <w:rFonts w:asciiTheme="minorBidi" w:hAnsiTheme="minorBidi"/>
        </w:rPr>
        <w:t xml:space="preserve">value represented by the Management Shares would have been allocated to the Working Capital Banks in a liquidation </w:t>
      </w:r>
      <w:r w:rsidR="003A6BFB">
        <w:rPr>
          <w:rFonts w:asciiTheme="minorBidi" w:hAnsiTheme="minorBidi"/>
        </w:rPr>
        <w:t>of the Flow Management Group (</w:t>
      </w:r>
      <w:r w:rsidR="002E1515">
        <w:rPr>
          <w:rFonts w:asciiTheme="minorBidi" w:hAnsiTheme="minorBidi"/>
        </w:rPr>
        <w:t>evidenced by the fact</w:t>
      </w:r>
      <w:r w:rsidR="003A6BFB">
        <w:rPr>
          <w:rFonts w:asciiTheme="minorBidi" w:hAnsiTheme="minorBidi"/>
        </w:rPr>
        <w:t xml:space="preserve"> that the Working Capital Banks were required to write off a large part of their loan as part of the Restructuring Agreement) </w:t>
      </w:r>
      <w:r>
        <w:rPr>
          <w:rFonts w:asciiTheme="minorBidi" w:hAnsiTheme="minorBidi"/>
        </w:rPr>
        <w:t>and, therefore, it was at the discretion of the Working Capital Banks to re-allocate the value represented by the Management Shares to the board members</w:t>
      </w:r>
      <w:r w:rsidR="003A6BFB">
        <w:rPr>
          <w:rFonts w:asciiTheme="minorBidi" w:hAnsiTheme="minorBidi"/>
        </w:rPr>
        <w:t xml:space="preserve"> as part of the Restructuring Plan. In other words, the other creditors would never have received the value represented by the Management Shares in a liquidation of the Flow Management Group and, therefore, the other creditors cannot argue that they ought to have received the value represented by the Management Shares.</w:t>
      </w:r>
      <w:r w:rsidR="0074482C">
        <w:rPr>
          <w:rFonts w:asciiTheme="minorBidi" w:hAnsiTheme="minorBidi"/>
        </w:rPr>
        <w:t xml:space="preserve"> </w:t>
      </w:r>
    </w:p>
    <w:p w:rsidR="00586373" w:rsidRDefault="00586373" w:rsidP="0041017A">
      <w:pPr>
        <w:spacing w:after="0" w:line="240" w:lineRule="auto"/>
        <w:jc w:val="both"/>
        <w:rPr>
          <w:rFonts w:asciiTheme="minorBidi" w:hAnsiTheme="minorBidi"/>
        </w:rPr>
      </w:pPr>
    </w:p>
    <w:p w:rsidR="008A0931" w:rsidRDefault="008A0931" w:rsidP="0041017A">
      <w:pPr>
        <w:spacing w:after="0" w:line="240" w:lineRule="auto"/>
        <w:jc w:val="both"/>
        <w:rPr>
          <w:rFonts w:asciiTheme="minorBidi" w:hAnsiTheme="minorBidi"/>
        </w:rPr>
      </w:pPr>
    </w:p>
    <w:p w:rsidR="008A0931" w:rsidRPr="00780183" w:rsidRDefault="008A0931" w:rsidP="0041017A">
      <w:pPr>
        <w:spacing w:after="0" w:line="240" w:lineRule="auto"/>
        <w:jc w:val="both"/>
        <w:rPr>
          <w:rFonts w:asciiTheme="minorBidi" w:hAnsiTheme="minorBidi"/>
        </w:rPr>
      </w:pPr>
      <w:r w:rsidRPr="008A0931">
        <w:rPr>
          <w:rFonts w:asciiTheme="minorBidi" w:hAnsiTheme="minorBidi"/>
          <w:i/>
          <w:iCs/>
          <w:u w:val="single"/>
        </w:rPr>
        <w:t xml:space="preserve">Offers the parties the same or a greater return than those parties would have received </w:t>
      </w:r>
      <w:r w:rsidR="00041A5B">
        <w:rPr>
          <w:rFonts w:asciiTheme="minorBidi" w:hAnsiTheme="minorBidi"/>
          <w:i/>
          <w:iCs/>
          <w:u w:val="single"/>
        </w:rPr>
        <w:t xml:space="preserve">in </w:t>
      </w:r>
      <w:r w:rsidRPr="008A0931">
        <w:rPr>
          <w:rFonts w:asciiTheme="minorBidi" w:hAnsiTheme="minorBidi"/>
          <w:i/>
          <w:iCs/>
          <w:u w:val="single"/>
        </w:rPr>
        <w:t>the immediate liquidation of the Flow Management Group</w:t>
      </w:r>
    </w:p>
    <w:p w:rsidR="00F164C5" w:rsidRDefault="00F164C5" w:rsidP="0041017A">
      <w:pPr>
        <w:spacing w:after="0" w:line="240" w:lineRule="auto"/>
        <w:jc w:val="both"/>
        <w:rPr>
          <w:rFonts w:asciiTheme="minorBidi" w:hAnsiTheme="minorBidi"/>
        </w:rPr>
      </w:pPr>
    </w:p>
    <w:p w:rsidR="008A0931" w:rsidRDefault="00857B60" w:rsidP="0041017A">
      <w:pPr>
        <w:spacing w:after="0" w:line="240" w:lineRule="auto"/>
        <w:jc w:val="both"/>
        <w:rPr>
          <w:rFonts w:asciiTheme="minorBidi" w:hAnsiTheme="minorBidi"/>
        </w:rPr>
      </w:pPr>
      <w:r>
        <w:rPr>
          <w:rFonts w:asciiTheme="minorBidi" w:hAnsiTheme="minorBidi"/>
        </w:rPr>
        <w:t xml:space="preserve">In accordance with </w:t>
      </w:r>
      <w:r w:rsidR="0074482C">
        <w:rPr>
          <w:rFonts w:asciiTheme="minorBidi" w:hAnsiTheme="minorBidi"/>
        </w:rPr>
        <w:t xml:space="preserve">INSOL International’s </w:t>
      </w:r>
      <w:r w:rsidRPr="000747EE">
        <w:rPr>
          <w:rFonts w:asciiTheme="minorBidi" w:hAnsiTheme="minorBidi"/>
        </w:rPr>
        <w:t xml:space="preserve">Sixth Principle, </w:t>
      </w:r>
      <w:r>
        <w:rPr>
          <w:rFonts w:asciiTheme="minorBidi" w:hAnsiTheme="minorBidi"/>
        </w:rPr>
        <w:t xml:space="preserve">creditors </w:t>
      </w:r>
      <w:r w:rsidR="00CB2DB3">
        <w:rPr>
          <w:rFonts w:asciiTheme="minorBidi" w:hAnsiTheme="minorBidi"/>
        </w:rPr>
        <w:t>ought</w:t>
      </w:r>
      <w:r w:rsidR="003515A4">
        <w:rPr>
          <w:rFonts w:asciiTheme="minorBidi" w:hAnsiTheme="minorBidi"/>
        </w:rPr>
        <w:t xml:space="preserve"> to compare the outcome they will receive under a restructuring plan against the returns they would receive in a formal insolvency process.</w:t>
      </w:r>
      <w:r w:rsidR="0074482C">
        <w:rPr>
          <w:rStyle w:val="FootnoteReference"/>
          <w:rFonts w:asciiTheme="minorBidi" w:hAnsiTheme="minorBidi"/>
        </w:rPr>
        <w:footnoteReference w:id="53"/>
      </w:r>
    </w:p>
    <w:p w:rsidR="003515A4" w:rsidRDefault="003515A4" w:rsidP="0041017A">
      <w:pPr>
        <w:spacing w:after="0" w:line="240" w:lineRule="auto"/>
        <w:jc w:val="both"/>
        <w:rPr>
          <w:rFonts w:asciiTheme="minorBidi" w:hAnsiTheme="minorBidi"/>
        </w:rPr>
      </w:pPr>
    </w:p>
    <w:p w:rsidR="003515A4" w:rsidRPr="00041A5B" w:rsidRDefault="003515A4" w:rsidP="0041017A">
      <w:pPr>
        <w:spacing w:after="0" w:line="240" w:lineRule="auto"/>
        <w:jc w:val="both"/>
        <w:rPr>
          <w:rFonts w:asciiTheme="minorBidi" w:hAnsiTheme="minorBidi"/>
        </w:rPr>
      </w:pPr>
      <w:r>
        <w:rPr>
          <w:rFonts w:asciiTheme="minorBidi" w:hAnsiTheme="minorBidi"/>
        </w:rPr>
        <w:t>In this respect, it appears that the</w:t>
      </w:r>
      <w:r w:rsidR="00041A5B">
        <w:rPr>
          <w:rFonts w:asciiTheme="minorBidi" w:hAnsiTheme="minorBidi"/>
        </w:rPr>
        <w:t xml:space="preserve"> parties to the</w:t>
      </w:r>
      <w:r>
        <w:rPr>
          <w:rFonts w:asciiTheme="minorBidi" w:hAnsiTheme="minorBidi"/>
        </w:rPr>
        <w:t xml:space="preserve"> Restructuring Agreement </w:t>
      </w:r>
      <w:r w:rsidR="00041A5B">
        <w:rPr>
          <w:rFonts w:asciiTheme="minorBidi" w:hAnsiTheme="minorBidi"/>
        </w:rPr>
        <w:t xml:space="preserve">were comfortable that the Restructuring Agreement offered a return to each party which was the same or greater than that party would have </w:t>
      </w:r>
      <w:r w:rsidR="00041A5B" w:rsidRPr="00041A5B">
        <w:rPr>
          <w:rFonts w:asciiTheme="minorBidi" w:hAnsiTheme="minorBidi"/>
        </w:rPr>
        <w:t>received in the immediate liquidation of the Flow Management Group</w:t>
      </w:r>
      <w:r w:rsidR="00041A5B">
        <w:rPr>
          <w:rFonts w:asciiTheme="minorBidi" w:hAnsiTheme="minorBidi"/>
        </w:rPr>
        <w:t xml:space="preserve">. </w:t>
      </w:r>
    </w:p>
    <w:p w:rsidR="008A0931" w:rsidRDefault="008A0931" w:rsidP="0041017A">
      <w:pPr>
        <w:spacing w:after="0" w:line="240" w:lineRule="auto"/>
        <w:jc w:val="both"/>
        <w:rPr>
          <w:rFonts w:asciiTheme="minorBidi" w:hAnsiTheme="minorBidi"/>
        </w:rPr>
      </w:pPr>
    </w:p>
    <w:p w:rsidR="004C55DF" w:rsidRDefault="004C55DF" w:rsidP="0041017A">
      <w:pPr>
        <w:jc w:val="both"/>
        <w:rPr>
          <w:rFonts w:asciiTheme="minorBidi" w:hAnsiTheme="minorBidi"/>
        </w:rPr>
      </w:pPr>
    </w:p>
    <w:p w:rsidR="0074482C" w:rsidRDefault="0074482C">
      <w:pPr>
        <w:rPr>
          <w:rFonts w:asciiTheme="minorBidi" w:hAnsiTheme="minorBidi"/>
          <w:b/>
          <w:bCs/>
        </w:rPr>
      </w:pPr>
      <w:r>
        <w:rPr>
          <w:rFonts w:asciiTheme="minorBidi" w:hAnsiTheme="minorBidi"/>
          <w:b/>
          <w:bCs/>
        </w:rPr>
        <w:br w:type="page"/>
      </w:r>
    </w:p>
    <w:p w:rsidR="00391B80" w:rsidRPr="004C55DF"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8. Which (potential) legal and/or non-legal cross-border issues – if any – do you recognize</w:t>
      </w:r>
      <w:r w:rsidRPr="004C55DF">
        <w:rPr>
          <w:rFonts w:asciiTheme="minorBidi" w:hAnsiTheme="minorBidi"/>
          <w:b/>
          <w:bCs/>
        </w:rPr>
        <w:t xml:space="preserve"> </w:t>
      </w:r>
      <w:r w:rsidR="00391B80" w:rsidRPr="004C55DF">
        <w:rPr>
          <w:rFonts w:asciiTheme="minorBidi" w:hAnsiTheme="minorBidi"/>
          <w:b/>
          <w:bCs/>
        </w:rPr>
        <w:t>in the Flow Management restructuring process?</w:t>
      </w:r>
    </w:p>
    <w:p w:rsidR="004C55DF" w:rsidRDefault="004C55DF" w:rsidP="0041017A">
      <w:pPr>
        <w:spacing w:after="0" w:line="240" w:lineRule="auto"/>
        <w:jc w:val="both"/>
        <w:rPr>
          <w:rFonts w:asciiTheme="minorBidi" w:hAnsiTheme="minorBidi"/>
        </w:rPr>
      </w:pPr>
    </w:p>
    <w:p w:rsidR="00A67F05" w:rsidRDefault="00A67F05" w:rsidP="0041017A">
      <w:pPr>
        <w:spacing w:after="0" w:line="240" w:lineRule="auto"/>
        <w:jc w:val="both"/>
        <w:rPr>
          <w:rFonts w:asciiTheme="minorBidi" w:hAnsiTheme="minorBidi"/>
        </w:rPr>
      </w:pPr>
    </w:p>
    <w:p w:rsidR="00A67F05" w:rsidRDefault="00FF6AC3" w:rsidP="0041017A">
      <w:pPr>
        <w:spacing w:after="0" w:line="240" w:lineRule="auto"/>
        <w:jc w:val="both"/>
        <w:rPr>
          <w:rFonts w:asciiTheme="minorBidi" w:hAnsiTheme="minorBidi"/>
        </w:rPr>
      </w:pPr>
      <w:r>
        <w:rPr>
          <w:rFonts w:asciiTheme="minorBidi" w:hAnsiTheme="minorBidi"/>
        </w:rPr>
        <w:t xml:space="preserve">There are several </w:t>
      </w:r>
      <w:r w:rsidRPr="00FF6AC3">
        <w:rPr>
          <w:rFonts w:asciiTheme="minorBidi" w:hAnsiTheme="minorBidi"/>
        </w:rPr>
        <w:t xml:space="preserve">(potential) legal and/or non-legal cross-border issues </w:t>
      </w:r>
      <w:r>
        <w:rPr>
          <w:rFonts w:asciiTheme="minorBidi" w:hAnsiTheme="minorBidi"/>
        </w:rPr>
        <w:t xml:space="preserve">which may arise in </w:t>
      </w:r>
      <w:r w:rsidR="00FB445B">
        <w:rPr>
          <w:rFonts w:asciiTheme="minorBidi" w:hAnsiTheme="minorBidi"/>
        </w:rPr>
        <w:t xml:space="preserve">respect of </w:t>
      </w:r>
      <w:r>
        <w:rPr>
          <w:rFonts w:asciiTheme="minorBidi" w:hAnsiTheme="minorBidi"/>
        </w:rPr>
        <w:t>the</w:t>
      </w:r>
      <w:r w:rsidRPr="00FF6AC3">
        <w:rPr>
          <w:rFonts w:asciiTheme="minorBidi" w:hAnsiTheme="minorBidi"/>
        </w:rPr>
        <w:t xml:space="preserve"> Flow Management </w:t>
      </w:r>
      <w:r w:rsidR="00AD0C6A">
        <w:rPr>
          <w:rFonts w:asciiTheme="minorBidi" w:hAnsiTheme="minorBidi"/>
        </w:rPr>
        <w:t xml:space="preserve">Group’s </w:t>
      </w:r>
      <w:r w:rsidRPr="00FF6AC3">
        <w:rPr>
          <w:rFonts w:asciiTheme="minorBidi" w:hAnsiTheme="minorBidi"/>
        </w:rPr>
        <w:t>restructuring process</w:t>
      </w:r>
      <w:r>
        <w:rPr>
          <w:rFonts w:asciiTheme="minorBidi" w:hAnsiTheme="minorBidi"/>
        </w:rPr>
        <w:t>.</w:t>
      </w:r>
    </w:p>
    <w:p w:rsidR="00FF6AC3" w:rsidRDefault="00FF6AC3" w:rsidP="0041017A">
      <w:pPr>
        <w:spacing w:after="0" w:line="240" w:lineRule="auto"/>
        <w:jc w:val="both"/>
        <w:rPr>
          <w:rFonts w:asciiTheme="minorBidi" w:hAnsiTheme="minorBidi"/>
        </w:rPr>
      </w:pPr>
    </w:p>
    <w:p w:rsidR="00FF6AC3" w:rsidRDefault="00FF6AC3" w:rsidP="0041017A">
      <w:pPr>
        <w:spacing w:after="0" w:line="240" w:lineRule="auto"/>
        <w:jc w:val="both"/>
        <w:rPr>
          <w:rFonts w:asciiTheme="minorBidi" w:hAnsiTheme="minorBidi"/>
        </w:rPr>
      </w:pPr>
    </w:p>
    <w:p w:rsidR="003C6BDF" w:rsidRDefault="003C6BDF" w:rsidP="0041017A">
      <w:pPr>
        <w:spacing w:after="0" w:line="240" w:lineRule="auto"/>
        <w:jc w:val="both"/>
        <w:rPr>
          <w:rFonts w:asciiTheme="minorBidi" w:hAnsiTheme="minorBidi"/>
          <w:i/>
          <w:iCs/>
          <w:u w:val="single"/>
        </w:rPr>
      </w:pPr>
      <w:r>
        <w:rPr>
          <w:rFonts w:asciiTheme="minorBidi" w:hAnsiTheme="minorBidi"/>
          <w:i/>
          <w:iCs/>
          <w:u w:val="single"/>
        </w:rPr>
        <w:t>Centre of main interests (“COMI”)</w:t>
      </w:r>
    </w:p>
    <w:p w:rsidR="00BC22B8" w:rsidRPr="003C6BDF" w:rsidRDefault="00BC22B8" w:rsidP="0041017A">
      <w:pPr>
        <w:spacing w:after="0" w:line="240" w:lineRule="auto"/>
        <w:jc w:val="both"/>
        <w:rPr>
          <w:rFonts w:asciiTheme="minorBidi" w:hAnsiTheme="minorBidi"/>
        </w:rPr>
      </w:pPr>
    </w:p>
    <w:p w:rsidR="003C6BDF" w:rsidRDefault="00FF6AC3" w:rsidP="0041017A">
      <w:pPr>
        <w:spacing w:after="0" w:line="240" w:lineRule="auto"/>
        <w:jc w:val="both"/>
        <w:rPr>
          <w:rFonts w:asciiTheme="minorBidi" w:hAnsiTheme="minorBidi"/>
        </w:rPr>
      </w:pPr>
      <w:r>
        <w:rPr>
          <w:rFonts w:asciiTheme="minorBidi" w:hAnsiTheme="minorBidi"/>
        </w:rPr>
        <w:t>In the Case Study</w:t>
      </w:r>
      <w:r w:rsidR="003C6BDF">
        <w:rPr>
          <w:rFonts w:asciiTheme="minorBidi" w:hAnsiTheme="minorBidi"/>
        </w:rPr>
        <w:t>,</w:t>
      </w:r>
      <w:r>
        <w:rPr>
          <w:rFonts w:asciiTheme="minorBidi" w:hAnsiTheme="minorBidi"/>
        </w:rPr>
        <w:t xml:space="preserve"> it is stated that </w:t>
      </w:r>
      <w:r w:rsidR="00040CFF" w:rsidRPr="00040CFF">
        <w:rPr>
          <w:rFonts w:asciiTheme="minorBidi" w:hAnsiTheme="minorBidi"/>
        </w:rPr>
        <w:t>Flow Management Holding BV</w:t>
      </w:r>
      <w:r w:rsidR="00040CFF">
        <w:rPr>
          <w:rFonts w:asciiTheme="minorBidi" w:hAnsiTheme="minorBidi"/>
        </w:rPr>
        <w:t xml:space="preserve"> acts as </w:t>
      </w:r>
      <w:r>
        <w:rPr>
          <w:rFonts w:asciiTheme="minorBidi" w:hAnsiTheme="minorBidi"/>
        </w:rPr>
        <w:t xml:space="preserve">the </w:t>
      </w:r>
      <w:r w:rsidR="003C6BDF">
        <w:rPr>
          <w:rFonts w:asciiTheme="minorBidi" w:hAnsiTheme="minorBidi"/>
        </w:rPr>
        <w:t>COMI</w:t>
      </w:r>
      <w:r>
        <w:rPr>
          <w:rFonts w:asciiTheme="minorBidi" w:hAnsiTheme="minorBidi"/>
        </w:rPr>
        <w:t xml:space="preserve"> for the six operating companies of Flow Management Holding BV</w:t>
      </w:r>
      <w:r w:rsidR="00040CFF">
        <w:rPr>
          <w:rFonts w:asciiTheme="minorBidi" w:hAnsiTheme="minorBidi"/>
        </w:rPr>
        <w:t xml:space="preserve"> (the “</w:t>
      </w:r>
      <w:r w:rsidR="00040CFF" w:rsidRPr="00040CFF">
        <w:rPr>
          <w:rFonts w:asciiTheme="minorBidi" w:hAnsiTheme="minorBidi"/>
          <w:b/>
          <w:bCs/>
        </w:rPr>
        <w:t>Operating Subsidiaries</w:t>
      </w:r>
      <w:r w:rsidR="00040CFF">
        <w:rPr>
          <w:rFonts w:asciiTheme="minorBidi" w:hAnsiTheme="minorBidi"/>
        </w:rPr>
        <w:t>”)</w:t>
      </w:r>
      <w:r w:rsidR="0035537B">
        <w:rPr>
          <w:rFonts w:asciiTheme="minorBidi" w:hAnsiTheme="minorBidi"/>
        </w:rPr>
        <w:t xml:space="preserve">. </w:t>
      </w:r>
    </w:p>
    <w:p w:rsidR="003C6BDF" w:rsidRDefault="003C6BDF" w:rsidP="0041017A">
      <w:pPr>
        <w:spacing w:after="0" w:line="240" w:lineRule="auto"/>
        <w:jc w:val="both"/>
        <w:rPr>
          <w:rFonts w:asciiTheme="minorBidi" w:hAnsiTheme="minorBidi"/>
        </w:rPr>
      </w:pPr>
    </w:p>
    <w:p w:rsidR="003C6BDF" w:rsidRDefault="003C6BDF" w:rsidP="0041017A">
      <w:pPr>
        <w:spacing w:after="0" w:line="240" w:lineRule="auto"/>
        <w:jc w:val="both"/>
        <w:rPr>
          <w:rFonts w:asciiTheme="minorBidi" w:hAnsiTheme="minorBidi"/>
        </w:rPr>
      </w:pPr>
      <w:r>
        <w:rPr>
          <w:rFonts w:asciiTheme="minorBidi" w:hAnsiTheme="minorBidi"/>
        </w:rPr>
        <w:t xml:space="preserve">Accordingly, in the event that </w:t>
      </w:r>
      <w:r w:rsidR="00C50EF1">
        <w:rPr>
          <w:rFonts w:asciiTheme="minorBidi" w:hAnsiTheme="minorBidi"/>
        </w:rPr>
        <w:t>an</w:t>
      </w:r>
      <w:r>
        <w:rPr>
          <w:rFonts w:asciiTheme="minorBidi" w:hAnsiTheme="minorBidi"/>
        </w:rPr>
        <w:t xml:space="preserve"> Operating Subsidiar</w:t>
      </w:r>
      <w:r w:rsidR="00C50EF1">
        <w:rPr>
          <w:rFonts w:asciiTheme="minorBidi" w:hAnsiTheme="minorBidi"/>
        </w:rPr>
        <w:t>y</w:t>
      </w:r>
      <w:r>
        <w:rPr>
          <w:rFonts w:asciiTheme="minorBidi" w:hAnsiTheme="minorBidi"/>
        </w:rPr>
        <w:t xml:space="preserve"> </w:t>
      </w:r>
      <w:r w:rsidR="00C50EF1">
        <w:rPr>
          <w:rFonts w:asciiTheme="minorBidi" w:hAnsiTheme="minorBidi"/>
        </w:rPr>
        <w:t xml:space="preserve">is in a jurisdiction which is subject to either the </w:t>
      </w:r>
      <w:r w:rsidR="00C50EF1" w:rsidRPr="00040CFF">
        <w:rPr>
          <w:rFonts w:asciiTheme="minorBidi" w:hAnsiTheme="minorBidi"/>
        </w:rPr>
        <w:t>UNCITRAL Model Law on Cross-Border Insolvency</w:t>
      </w:r>
      <w:r w:rsidR="00C50EF1">
        <w:rPr>
          <w:rFonts w:asciiTheme="minorBidi" w:hAnsiTheme="minorBidi"/>
        </w:rPr>
        <w:t xml:space="preserve"> (the “</w:t>
      </w:r>
      <w:r w:rsidR="00C50EF1" w:rsidRPr="000D6E0E">
        <w:rPr>
          <w:rFonts w:asciiTheme="minorBidi" w:hAnsiTheme="minorBidi"/>
          <w:b/>
          <w:bCs/>
        </w:rPr>
        <w:t>Model Law</w:t>
      </w:r>
      <w:r w:rsidR="00C50EF1">
        <w:rPr>
          <w:rFonts w:asciiTheme="minorBidi" w:hAnsiTheme="minorBidi"/>
        </w:rPr>
        <w:t xml:space="preserve">”) or the </w:t>
      </w:r>
      <w:r w:rsidR="00C50EF1" w:rsidRPr="00040CFF">
        <w:rPr>
          <w:rFonts w:asciiTheme="minorBidi" w:hAnsiTheme="minorBidi"/>
        </w:rPr>
        <w:t>Regulation (EU) 2015/848 of the European Parliament and of the Council of 20 May 2015 on insolvency proceedings (recast) (</w:t>
      </w:r>
      <w:r w:rsidR="00C50EF1">
        <w:rPr>
          <w:rFonts w:asciiTheme="minorBidi" w:hAnsiTheme="minorBidi"/>
        </w:rPr>
        <w:t>the “</w:t>
      </w:r>
      <w:r w:rsidR="00C50EF1" w:rsidRPr="000D6E0E">
        <w:rPr>
          <w:rFonts w:asciiTheme="minorBidi" w:hAnsiTheme="minorBidi"/>
          <w:b/>
          <w:bCs/>
        </w:rPr>
        <w:t>Recast Insolvency Regulation</w:t>
      </w:r>
      <w:r w:rsidR="00C50EF1">
        <w:rPr>
          <w:rFonts w:asciiTheme="minorBidi" w:hAnsiTheme="minorBidi"/>
        </w:rPr>
        <w:t>”</w:t>
      </w:r>
      <w:r w:rsidR="00C50EF1" w:rsidRPr="00040CFF">
        <w:rPr>
          <w:rFonts w:asciiTheme="minorBidi" w:hAnsiTheme="minorBidi"/>
        </w:rPr>
        <w:t>)</w:t>
      </w:r>
      <w:r w:rsidR="00C50EF1">
        <w:rPr>
          <w:rFonts w:asciiTheme="minorBidi" w:hAnsiTheme="minorBidi"/>
        </w:rPr>
        <w:t>, then the</w:t>
      </w:r>
      <w:r w:rsidR="000D6E0E">
        <w:rPr>
          <w:rFonts w:asciiTheme="minorBidi" w:hAnsiTheme="minorBidi"/>
        </w:rPr>
        <w:t xml:space="preserve"> </w:t>
      </w:r>
      <w:r w:rsidR="00C50EF1">
        <w:rPr>
          <w:rFonts w:asciiTheme="minorBidi" w:hAnsiTheme="minorBidi"/>
        </w:rPr>
        <w:t xml:space="preserve">COMI of that Operating Subsidiary may be relevant </w:t>
      </w:r>
      <w:r w:rsidR="007D5B14">
        <w:rPr>
          <w:rFonts w:asciiTheme="minorBidi" w:hAnsiTheme="minorBidi"/>
        </w:rPr>
        <w:t>in the context of</w:t>
      </w:r>
      <w:r w:rsidR="000D6E0E">
        <w:rPr>
          <w:rFonts w:asciiTheme="minorBidi" w:hAnsiTheme="minorBidi"/>
        </w:rPr>
        <w:t xml:space="preserve"> insolvency proceedings.</w:t>
      </w:r>
    </w:p>
    <w:p w:rsidR="000D6E0E" w:rsidRDefault="000D6E0E" w:rsidP="0041017A">
      <w:pPr>
        <w:spacing w:after="0" w:line="240" w:lineRule="auto"/>
        <w:jc w:val="both"/>
        <w:rPr>
          <w:rFonts w:asciiTheme="minorBidi" w:hAnsiTheme="minorBidi"/>
        </w:rPr>
      </w:pPr>
    </w:p>
    <w:p w:rsidR="00EF0B03" w:rsidRDefault="000D6E0E" w:rsidP="0041017A">
      <w:pPr>
        <w:spacing w:after="0" w:line="240" w:lineRule="auto"/>
        <w:jc w:val="both"/>
        <w:rPr>
          <w:rFonts w:asciiTheme="minorBidi" w:hAnsiTheme="minorBidi"/>
        </w:rPr>
      </w:pPr>
      <w:r w:rsidRPr="000D6E0E">
        <w:rPr>
          <w:rFonts w:asciiTheme="minorBidi" w:hAnsiTheme="minorBidi"/>
        </w:rPr>
        <w:t>FMW</w:t>
      </w:r>
      <w:r>
        <w:rPr>
          <w:rFonts w:asciiTheme="minorBidi" w:hAnsiTheme="minorBidi"/>
        </w:rPr>
        <w:t xml:space="preserve"> </w:t>
      </w:r>
      <w:r w:rsidRPr="000D6E0E">
        <w:rPr>
          <w:rFonts w:asciiTheme="minorBidi" w:hAnsiTheme="minorBidi"/>
        </w:rPr>
        <w:t>Australia</w:t>
      </w:r>
      <w:r>
        <w:rPr>
          <w:rFonts w:asciiTheme="minorBidi" w:hAnsiTheme="minorBidi"/>
        </w:rPr>
        <w:t xml:space="preserve"> </w:t>
      </w:r>
      <w:r w:rsidRPr="000D6E0E">
        <w:rPr>
          <w:rFonts w:asciiTheme="minorBidi" w:hAnsiTheme="minorBidi"/>
        </w:rPr>
        <w:t>Ltd</w:t>
      </w:r>
      <w:r>
        <w:rPr>
          <w:rFonts w:asciiTheme="minorBidi" w:hAnsiTheme="minorBidi"/>
        </w:rPr>
        <w:t xml:space="preserve">, </w:t>
      </w:r>
      <w:r w:rsidRPr="000D6E0E">
        <w:rPr>
          <w:rFonts w:asciiTheme="minorBidi" w:hAnsiTheme="minorBidi"/>
        </w:rPr>
        <w:t>FMW</w:t>
      </w:r>
      <w:r>
        <w:rPr>
          <w:rFonts w:asciiTheme="minorBidi" w:hAnsiTheme="minorBidi"/>
        </w:rPr>
        <w:t xml:space="preserve"> </w:t>
      </w:r>
      <w:r w:rsidRPr="000D6E0E">
        <w:rPr>
          <w:rFonts w:asciiTheme="minorBidi" w:hAnsiTheme="minorBidi"/>
        </w:rPr>
        <w:t>South</w:t>
      </w:r>
      <w:r>
        <w:rPr>
          <w:rFonts w:asciiTheme="minorBidi" w:hAnsiTheme="minorBidi"/>
        </w:rPr>
        <w:t xml:space="preserve"> </w:t>
      </w:r>
      <w:r w:rsidRPr="000D6E0E">
        <w:rPr>
          <w:rFonts w:asciiTheme="minorBidi" w:hAnsiTheme="minorBidi"/>
        </w:rPr>
        <w:t>Africa</w:t>
      </w:r>
      <w:r>
        <w:rPr>
          <w:rFonts w:asciiTheme="minorBidi" w:hAnsiTheme="minorBidi"/>
        </w:rPr>
        <w:t xml:space="preserve"> </w:t>
      </w:r>
      <w:r w:rsidRPr="000D6E0E">
        <w:rPr>
          <w:rFonts w:asciiTheme="minorBidi" w:hAnsiTheme="minorBidi"/>
        </w:rPr>
        <w:t>Ltd.</w:t>
      </w:r>
      <w:r>
        <w:rPr>
          <w:rFonts w:asciiTheme="minorBidi" w:hAnsiTheme="minorBidi"/>
        </w:rPr>
        <w:t xml:space="preserve">, </w:t>
      </w:r>
      <w:r w:rsidRPr="000D6E0E">
        <w:rPr>
          <w:rFonts w:asciiTheme="minorBidi" w:hAnsiTheme="minorBidi"/>
        </w:rPr>
        <w:t>FMW</w:t>
      </w:r>
      <w:r>
        <w:rPr>
          <w:rFonts w:asciiTheme="minorBidi" w:hAnsiTheme="minorBidi"/>
        </w:rPr>
        <w:t xml:space="preserve"> </w:t>
      </w:r>
      <w:r w:rsidRPr="000D6E0E">
        <w:rPr>
          <w:rFonts w:asciiTheme="minorBidi" w:hAnsiTheme="minorBidi"/>
        </w:rPr>
        <w:t>USA</w:t>
      </w:r>
      <w:r>
        <w:rPr>
          <w:rFonts w:asciiTheme="minorBidi" w:hAnsiTheme="minorBidi"/>
        </w:rPr>
        <w:t xml:space="preserve"> </w:t>
      </w:r>
      <w:r w:rsidRPr="000D6E0E">
        <w:rPr>
          <w:rFonts w:asciiTheme="minorBidi" w:hAnsiTheme="minorBidi"/>
        </w:rPr>
        <w:t>Ltd.</w:t>
      </w:r>
      <w:r w:rsidR="00EF0B03">
        <w:rPr>
          <w:rFonts w:asciiTheme="minorBidi" w:hAnsiTheme="minorBidi"/>
        </w:rPr>
        <w:t xml:space="preserve"> are each i</w:t>
      </w:r>
      <w:r>
        <w:rPr>
          <w:rFonts w:asciiTheme="minorBidi" w:hAnsiTheme="minorBidi"/>
        </w:rPr>
        <w:t xml:space="preserve">ncorporated in </w:t>
      </w:r>
      <w:r w:rsidR="00EF0B03">
        <w:rPr>
          <w:rFonts w:asciiTheme="minorBidi" w:hAnsiTheme="minorBidi"/>
        </w:rPr>
        <w:t>jurisdictions</w:t>
      </w:r>
      <w:r>
        <w:rPr>
          <w:rFonts w:asciiTheme="minorBidi" w:hAnsiTheme="minorBidi"/>
        </w:rPr>
        <w:t xml:space="preserve"> which have implemented the Model Law into their domestic legislation</w:t>
      </w:r>
      <w:r w:rsidR="00EF0B03">
        <w:rPr>
          <w:rFonts w:asciiTheme="minorBidi" w:hAnsiTheme="minorBidi"/>
        </w:rPr>
        <w:t>. Accordingly, pursuant to the Model Law (as adopted in the domestic legislation of each jurisdiction</w:t>
      </w:r>
      <w:r w:rsidR="00247FA2">
        <w:rPr>
          <w:rFonts w:asciiTheme="minorBidi" w:hAnsiTheme="minorBidi"/>
        </w:rPr>
        <w:t>,</w:t>
      </w:r>
      <w:r w:rsidR="00EF0B03">
        <w:rPr>
          <w:rFonts w:asciiTheme="minorBidi" w:hAnsiTheme="minorBidi"/>
        </w:rPr>
        <w:t xml:space="preserve"> respectively), </w:t>
      </w:r>
      <w:r w:rsidR="00041261">
        <w:rPr>
          <w:rFonts w:asciiTheme="minorBidi" w:hAnsiTheme="minorBidi"/>
        </w:rPr>
        <w:t xml:space="preserve">the concept of COMI may be relevant </w:t>
      </w:r>
      <w:r w:rsidR="007D5B14">
        <w:rPr>
          <w:rFonts w:asciiTheme="minorBidi" w:hAnsiTheme="minorBidi"/>
        </w:rPr>
        <w:t>in connection with the</w:t>
      </w:r>
      <w:r w:rsidR="00041261">
        <w:rPr>
          <w:rFonts w:asciiTheme="minorBidi" w:hAnsiTheme="minorBidi"/>
        </w:rPr>
        <w:t xml:space="preserve"> recognition of foreign </w:t>
      </w:r>
      <w:r w:rsidR="002A0CA7">
        <w:rPr>
          <w:rFonts w:asciiTheme="minorBidi" w:hAnsiTheme="minorBidi"/>
        </w:rPr>
        <w:t>insolvency proceedings</w:t>
      </w:r>
      <w:r w:rsidR="00EF0B03">
        <w:rPr>
          <w:rFonts w:asciiTheme="minorBidi" w:hAnsiTheme="minorBidi"/>
        </w:rPr>
        <w:t xml:space="preserve">. </w:t>
      </w:r>
    </w:p>
    <w:p w:rsidR="00EF0B03" w:rsidRDefault="00EF0B03" w:rsidP="0041017A">
      <w:pPr>
        <w:spacing w:after="0" w:line="240" w:lineRule="auto"/>
        <w:jc w:val="both"/>
        <w:rPr>
          <w:rFonts w:asciiTheme="minorBidi" w:hAnsiTheme="minorBidi"/>
        </w:rPr>
      </w:pPr>
    </w:p>
    <w:p w:rsidR="000D6E0E" w:rsidRDefault="00EF0B03" w:rsidP="0041017A">
      <w:pPr>
        <w:spacing w:after="0" w:line="240" w:lineRule="auto"/>
        <w:jc w:val="both"/>
        <w:rPr>
          <w:rFonts w:asciiTheme="minorBidi" w:hAnsiTheme="minorBidi"/>
        </w:rPr>
      </w:pPr>
      <w:r w:rsidRPr="00EF0B03">
        <w:rPr>
          <w:rFonts w:asciiTheme="minorBidi" w:hAnsiTheme="minorBidi"/>
        </w:rPr>
        <w:t>FMW</w:t>
      </w:r>
      <w:r>
        <w:rPr>
          <w:rFonts w:asciiTheme="minorBidi" w:hAnsiTheme="minorBidi"/>
        </w:rPr>
        <w:t xml:space="preserve"> </w:t>
      </w:r>
      <w:r w:rsidRPr="00EF0B03">
        <w:rPr>
          <w:rFonts w:asciiTheme="minorBidi" w:hAnsiTheme="minorBidi"/>
        </w:rPr>
        <w:t>Spain</w:t>
      </w:r>
      <w:r>
        <w:rPr>
          <w:rFonts w:asciiTheme="minorBidi" w:hAnsiTheme="minorBidi"/>
        </w:rPr>
        <w:t xml:space="preserve"> </w:t>
      </w:r>
      <w:r w:rsidRPr="00EF0B03">
        <w:rPr>
          <w:rFonts w:asciiTheme="minorBidi" w:hAnsiTheme="minorBidi"/>
        </w:rPr>
        <w:t>SL</w:t>
      </w:r>
      <w:r>
        <w:rPr>
          <w:rFonts w:asciiTheme="minorBidi" w:hAnsiTheme="minorBidi"/>
        </w:rPr>
        <w:t xml:space="preserve">, </w:t>
      </w:r>
      <w:r w:rsidRPr="00EF0B03">
        <w:rPr>
          <w:rFonts w:asciiTheme="minorBidi" w:hAnsiTheme="minorBidi"/>
        </w:rPr>
        <w:t>FMW</w:t>
      </w:r>
      <w:r>
        <w:rPr>
          <w:rFonts w:asciiTheme="minorBidi" w:hAnsiTheme="minorBidi"/>
        </w:rPr>
        <w:t xml:space="preserve"> </w:t>
      </w:r>
      <w:r w:rsidRPr="00EF0B03">
        <w:rPr>
          <w:rFonts w:asciiTheme="minorBidi" w:hAnsiTheme="minorBidi"/>
        </w:rPr>
        <w:t>France</w:t>
      </w:r>
      <w:r>
        <w:rPr>
          <w:rFonts w:asciiTheme="minorBidi" w:hAnsiTheme="minorBidi"/>
        </w:rPr>
        <w:t xml:space="preserve"> </w:t>
      </w:r>
      <w:r w:rsidRPr="00EF0B03">
        <w:rPr>
          <w:rFonts w:asciiTheme="minorBidi" w:hAnsiTheme="minorBidi"/>
        </w:rPr>
        <w:t>SPRL</w:t>
      </w:r>
      <w:r>
        <w:rPr>
          <w:rFonts w:asciiTheme="minorBidi" w:hAnsiTheme="minorBidi"/>
        </w:rPr>
        <w:t xml:space="preserve"> and </w:t>
      </w:r>
      <w:r w:rsidRPr="00EF0B03">
        <w:rPr>
          <w:rFonts w:asciiTheme="minorBidi" w:hAnsiTheme="minorBidi"/>
        </w:rPr>
        <w:t>Flow</w:t>
      </w:r>
      <w:r>
        <w:rPr>
          <w:rFonts w:asciiTheme="minorBidi" w:hAnsiTheme="minorBidi"/>
        </w:rPr>
        <w:t xml:space="preserve"> </w:t>
      </w:r>
      <w:r w:rsidRPr="00EF0B03">
        <w:rPr>
          <w:rFonts w:asciiTheme="minorBidi" w:hAnsiTheme="minorBidi"/>
        </w:rPr>
        <w:t>Management</w:t>
      </w:r>
      <w:r>
        <w:rPr>
          <w:rFonts w:asciiTheme="minorBidi" w:hAnsiTheme="minorBidi"/>
        </w:rPr>
        <w:t xml:space="preserve"> </w:t>
      </w:r>
      <w:r w:rsidRPr="00EF0B03">
        <w:rPr>
          <w:rFonts w:asciiTheme="minorBidi" w:hAnsiTheme="minorBidi"/>
        </w:rPr>
        <w:t>Work BV</w:t>
      </w:r>
      <w:r>
        <w:rPr>
          <w:rFonts w:asciiTheme="minorBidi" w:hAnsiTheme="minorBidi"/>
        </w:rPr>
        <w:t xml:space="preserve"> are each incorporated in jurisdictions which are subject to the </w:t>
      </w:r>
      <w:r w:rsidRPr="00EF0B03">
        <w:rPr>
          <w:rFonts w:asciiTheme="minorBidi" w:hAnsiTheme="minorBidi"/>
        </w:rPr>
        <w:t>Recast Insolvency Regulation</w:t>
      </w:r>
      <w:r>
        <w:rPr>
          <w:rFonts w:asciiTheme="minorBidi" w:hAnsiTheme="minorBidi"/>
        </w:rPr>
        <w:t xml:space="preserve">. Accordingly, pursuant to the </w:t>
      </w:r>
      <w:r w:rsidRPr="00EF0B03">
        <w:rPr>
          <w:rFonts w:asciiTheme="minorBidi" w:hAnsiTheme="minorBidi"/>
        </w:rPr>
        <w:t>Recast Insolvency Regulation</w:t>
      </w:r>
      <w:r>
        <w:rPr>
          <w:rFonts w:asciiTheme="minorBidi" w:hAnsiTheme="minorBidi"/>
        </w:rPr>
        <w:t xml:space="preserve">, it appears that each of </w:t>
      </w:r>
      <w:r w:rsidRPr="00EF0B03">
        <w:rPr>
          <w:rFonts w:asciiTheme="minorBidi" w:hAnsiTheme="minorBidi"/>
        </w:rPr>
        <w:t>FMW</w:t>
      </w:r>
      <w:r>
        <w:rPr>
          <w:rFonts w:asciiTheme="minorBidi" w:hAnsiTheme="minorBidi"/>
        </w:rPr>
        <w:t xml:space="preserve"> </w:t>
      </w:r>
      <w:r w:rsidRPr="00EF0B03">
        <w:rPr>
          <w:rFonts w:asciiTheme="minorBidi" w:hAnsiTheme="minorBidi"/>
        </w:rPr>
        <w:t>Spain</w:t>
      </w:r>
      <w:r>
        <w:rPr>
          <w:rFonts w:asciiTheme="minorBidi" w:hAnsiTheme="minorBidi"/>
        </w:rPr>
        <w:t xml:space="preserve"> </w:t>
      </w:r>
      <w:r w:rsidRPr="00EF0B03">
        <w:rPr>
          <w:rFonts w:asciiTheme="minorBidi" w:hAnsiTheme="minorBidi"/>
        </w:rPr>
        <w:t>SL</w:t>
      </w:r>
      <w:r>
        <w:rPr>
          <w:rFonts w:asciiTheme="minorBidi" w:hAnsiTheme="minorBidi"/>
        </w:rPr>
        <w:t xml:space="preserve">, </w:t>
      </w:r>
      <w:r w:rsidRPr="00EF0B03">
        <w:rPr>
          <w:rFonts w:asciiTheme="minorBidi" w:hAnsiTheme="minorBidi"/>
        </w:rPr>
        <w:t>FMW</w:t>
      </w:r>
      <w:r>
        <w:rPr>
          <w:rFonts w:asciiTheme="minorBidi" w:hAnsiTheme="minorBidi"/>
        </w:rPr>
        <w:t xml:space="preserve"> </w:t>
      </w:r>
      <w:r w:rsidRPr="00EF0B03">
        <w:rPr>
          <w:rFonts w:asciiTheme="minorBidi" w:hAnsiTheme="minorBidi"/>
        </w:rPr>
        <w:t>France</w:t>
      </w:r>
      <w:r>
        <w:rPr>
          <w:rFonts w:asciiTheme="minorBidi" w:hAnsiTheme="minorBidi"/>
        </w:rPr>
        <w:t xml:space="preserve"> </w:t>
      </w:r>
      <w:r w:rsidRPr="00EF0B03">
        <w:rPr>
          <w:rFonts w:asciiTheme="minorBidi" w:hAnsiTheme="minorBidi"/>
        </w:rPr>
        <w:t>SPRL</w:t>
      </w:r>
      <w:r>
        <w:rPr>
          <w:rFonts w:asciiTheme="minorBidi" w:hAnsiTheme="minorBidi"/>
        </w:rPr>
        <w:t xml:space="preserve"> and </w:t>
      </w:r>
      <w:r w:rsidRPr="00EF0B03">
        <w:rPr>
          <w:rFonts w:asciiTheme="minorBidi" w:hAnsiTheme="minorBidi"/>
        </w:rPr>
        <w:t>Flow</w:t>
      </w:r>
      <w:r>
        <w:rPr>
          <w:rFonts w:asciiTheme="minorBidi" w:hAnsiTheme="minorBidi"/>
        </w:rPr>
        <w:t xml:space="preserve"> </w:t>
      </w:r>
      <w:r w:rsidRPr="00EF0B03">
        <w:rPr>
          <w:rFonts w:asciiTheme="minorBidi" w:hAnsiTheme="minorBidi"/>
        </w:rPr>
        <w:t>Management</w:t>
      </w:r>
      <w:r>
        <w:rPr>
          <w:rFonts w:asciiTheme="minorBidi" w:hAnsiTheme="minorBidi"/>
        </w:rPr>
        <w:t xml:space="preserve"> </w:t>
      </w:r>
      <w:r w:rsidRPr="00EF0B03">
        <w:rPr>
          <w:rFonts w:asciiTheme="minorBidi" w:hAnsiTheme="minorBidi"/>
        </w:rPr>
        <w:t>Work BV</w:t>
      </w:r>
      <w:r>
        <w:rPr>
          <w:rFonts w:asciiTheme="minorBidi" w:hAnsiTheme="minorBidi"/>
        </w:rPr>
        <w:t xml:space="preserve"> </w:t>
      </w:r>
      <w:r w:rsidR="002A0CA7">
        <w:rPr>
          <w:rFonts w:asciiTheme="minorBidi" w:hAnsiTheme="minorBidi"/>
        </w:rPr>
        <w:t>may</w:t>
      </w:r>
      <w:r>
        <w:rPr>
          <w:rFonts w:asciiTheme="minorBidi" w:hAnsiTheme="minorBidi"/>
        </w:rPr>
        <w:t xml:space="preserve"> be subject to an insolvency procedure under and in accordance with the laws of the Netherlands</w:t>
      </w:r>
      <w:r w:rsidR="00DB29D2">
        <w:rPr>
          <w:rFonts w:asciiTheme="minorBidi" w:hAnsiTheme="minorBidi"/>
        </w:rPr>
        <w:t>.</w:t>
      </w:r>
    </w:p>
    <w:p w:rsidR="00DB29D2" w:rsidRDefault="00DB29D2" w:rsidP="0041017A">
      <w:pPr>
        <w:spacing w:after="0" w:line="240" w:lineRule="auto"/>
        <w:jc w:val="both"/>
        <w:rPr>
          <w:rFonts w:asciiTheme="minorBidi" w:hAnsiTheme="minorBidi"/>
        </w:rPr>
      </w:pPr>
    </w:p>
    <w:p w:rsidR="00DB29D2" w:rsidRDefault="00DB29D2" w:rsidP="0041017A">
      <w:pPr>
        <w:spacing w:after="0" w:line="240" w:lineRule="auto"/>
        <w:jc w:val="both"/>
        <w:rPr>
          <w:rFonts w:asciiTheme="minorBidi" w:hAnsiTheme="minorBidi"/>
        </w:rPr>
      </w:pPr>
      <w:r>
        <w:rPr>
          <w:rFonts w:asciiTheme="minorBidi" w:hAnsiTheme="minorBidi"/>
        </w:rPr>
        <w:t xml:space="preserve">Accordingly, in the event that the </w:t>
      </w:r>
      <w:r w:rsidR="0018678D">
        <w:rPr>
          <w:rFonts w:asciiTheme="minorBidi" w:hAnsiTheme="minorBidi"/>
        </w:rPr>
        <w:t>R</w:t>
      </w:r>
      <w:r>
        <w:rPr>
          <w:rFonts w:asciiTheme="minorBidi" w:hAnsiTheme="minorBidi"/>
        </w:rPr>
        <w:t xml:space="preserve">estructuring </w:t>
      </w:r>
      <w:r w:rsidR="00B67003">
        <w:rPr>
          <w:rFonts w:asciiTheme="minorBidi" w:hAnsiTheme="minorBidi"/>
        </w:rPr>
        <w:t>Agreement dated</w:t>
      </w:r>
      <w:r>
        <w:rPr>
          <w:rFonts w:asciiTheme="minorBidi" w:hAnsiTheme="minorBidi"/>
        </w:rPr>
        <w:t xml:space="preserve"> 4 July 2015 was to be implemented by way of an insolvency procedure, then the above considerations relating to COMI would need to be considered by the relevant parties. Going forward, if the Flow Management II and its subsidiaries enters, or anticipates entering into, an insolvency procedure, then considerations relating to COMI will likewise arise. </w:t>
      </w:r>
    </w:p>
    <w:p w:rsidR="003C6BDF" w:rsidRDefault="003C6BDF" w:rsidP="0041017A">
      <w:pPr>
        <w:spacing w:after="0" w:line="240" w:lineRule="auto"/>
        <w:jc w:val="both"/>
        <w:rPr>
          <w:rFonts w:asciiTheme="minorBidi" w:hAnsiTheme="minorBidi"/>
        </w:rPr>
      </w:pPr>
    </w:p>
    <w:p w:rsidR="003C6BDF" w:rsidRDefault="003C6BDF" w:rsidP="0041017A">
      <w:pPr>
        <w:spacing w:after="0" w:line="240" w:lineRule="auto"/>
        <w:jc w:val="both"/>
        <w:rPr>
          <w:rFonts w:asciiTheme="minorBidi" w:hAnsiTheme="minorBidi"/>
        </w:rPr>
      </w:pPr>
    </w:p>
    <w:p w:rsidR="008A0931" w:rsidRPr="00FF6AC3" w:rsidRDefault="008A0931" w:rsidP="0041017A">
      <w:pPr>
        <w:spacing w:after="0" w:line="240" w:lineRule="auto"/>
        <w:jc w:val="both"/>
        <w:rPr>
          <w:rFonts w:asciiTheme="minorBidi" w:hAnsiTheme="minorBidi"/>
          <w:i/>
          <w:iCs/>
          <w:u w:val="single"/>
        </w:rPr>
      </w:pPr>
      <w:r w:rsidRPr="00FF6AC3">
        <w:rPr>
          <w:rFonts w:asciiTheme="minorBidi" w:hAnsiTheme="minorBidi"/>
          <w:i/>
          <w:iCs/>
          <w:u w:val="single"/>
        </w:rPr>
        <w:t>Equitable subordination</w:t>
      </w:r>
    </w:p>
    <w:p w:rsidR="00E01B07" w:rsidRDefault="00E01B07" w:rsidP="0041017A">
      <w:pPr>
        <w:spacing w:after="0" w:line="240" w:lineRule="auto"/>
        <w:jc w:val="both"/>
        <w:rPr>
          <w:rFonts w:asciiTheme="minorBidi" w:hAnsiTheme="minorBidi"/>
        </w:rPr>
      </w:pPr>
    </w:p>
    <w:p w:rsidR="006638CC" w:rsidRDefault="00F619D9" w:rsidP="0041017A">
      <w:pPr>
        <w:spacing w:after="0" w:line="240" w:lineRule="auto"/>
        <w:jc w:val="both"/>
        <w:rPr>
          <w:rFonts w:asciiTheme="minorBidi" w:hAnsiTheme="minorBidi"/>
        </w:rPr>
      </w:pPr>
      <w:r>
        <w:rPr>
          <w:rFonts w:asciiTheme="minorBidi" w:hAnsiTheme="minorBidi"/>
        </w:rPr>
        <w:t>As part of the Restructuring Agreement, the Working Capital Banks become the shareholders of Flow Management II and its subsidiaries</w:t>
      </w:r>
      <w:r w:rsidR="00533D5A">
        <w:rPr>
          <w:rFonts w:asciiTheme="minorBidi" w:hAnsiTheme="minorBidi"/>
        </w:rPr>
        <w:t xml:space="preserve"> (the “</w:t>
      </w:r>
      <w:r w:rsidR="00533D5A" w:rsidRPr="00533D5A">
        <w:rPr>
          <w:rFonts w:asciiTheme="minorBidi" w:hAnsiTheme="minorBidi"/>
          <w:b/>
          <w:bCs/>
        </w:rPr>
        <w:t>New Group</w:t>
      </w:r>
      <w:r w:rsidR="00533D5A">
        <w:rPr>
          <w:rFonts w:asciiTheme="minorBidi" w:hAnsiTheme="minorBidi"/>
        </w:rPr>
        <w:t>”)</w:t>
      </w:r>
      <w:r>
        <w:rPr>
          <w:rFonts w:asciiTheme="minorBidi" w:hAnsiTheme="minorBidi"/>
        </w:rPr>
        <w:t xml:space="preserve">. However, the Restructuring Agreement also provides that a €240m claim </w:t>
      </w:r>
      <w:r w:rsidR="00533D5A">
        <w:rPr>
          <w:rFonts w:asciiTheme="minorBidi" w:hAnsiTheme="minorBidi"/>
        </w:rPr>
        <w:t xml:space="preserve">against Flow Management Work BV will remain (the </w:t>
      </w:r>
      <w:r w:rsidR="00533D5A" w:rsidRPr="00533D5A">
        <w:rPr>
          <w:rFonts w:asciiTheme="minorBidi" w:hAnsiTheme="minorBidi"/>
          <w:b/>
          <w:bCs/>
        </w:rPr>
        <w:t>“€240m Loan</w:t>
      </w:r>
      <w:r w:rsidR="00533D5A">
        <w:rPr>
          <w:rFonts w:asciiTheme="minorBidi" w:hAnsiTheme="minorBidi"/>
        </w:rPr>
        <w:t xml:space="preserve">”). To the extent that the €240m Loan is guaranteed or secured by other entities within the New Group, then the issue of equitable subordination will need to be considered. </w:t>
      </w:r>
    </w:p>
    <w:p w:rsidR="006638CC" w:rsidRDefault="006638CC" w:rsidP="0041017A">
      <w:pPr>
        <w:spacing w:after="0" w:line="240" w:lineRule="auto"/>
        <w:jc w:val="both"/>
        <w:rPr>
          <w:rFonts w:asciiTheme="minorBidi" w:hAnsiTheme="minorBidi"/>
        </w:rPr>
      </w:pPr>
    </w:p>
    <w:p w:rsidR="00533D5A" w:rsidRDefault="00DB29D2" w:rsidP="0041017A">
      <w:pPr>
        <w:spacing w:after="0" w:line="240" w:lineRule="auto"/>
        <w:jc w:val="both"/>
        <w:rPr>
          <w:rFonts w:asciiTheme="minorBidi" w:hAnsiTheme="minorBidi"/>
        </w:rPr>
      </w:pPr>
      <w:r>
        <w:rPr>
          <w:rFonts w:asciiTheme="minorBidi" w:hAnsiTheme="minorBidi"/>
        </w:rPr>
        <w:t xml:space="preserve">In certain jurisdictions, the concept of equitable subordination </w:t>
      </w:r>
      <w:r w:rsidR="004E2899">
        <w:rPr>
          <w:rFonts w:asciiTheme="minorBidi" w:hAnsiTheme="minorBidi"/>
        </w:rPr>
        <w:t xml:space="preserve">may </w:t>
      </w:r>
      <w:r w:rsidR="00D555AB">
        <w:rPr>
          <w:rFonts w:asciiTheme="minorBidi" w:hAnsiTheme="minorBidi"/>
        </w:rPr>
        <w:t>be</w:t>
      </w:r>
      <w:r w:rsidR="004E2899">
        <w:rPr>
          <w:rFonts w:asciiTheme="minorBidi" w:hAnsiTheme="minorBidi"/>
        </w:rPr>
        <w:t xml:space="preserve"> an issue for creditors which are also shareholders. Broadly, the concept of equitable subordination </w:t>
      </w:r>
      <w:r w:rsidR="00D555AB">
        <w:rPr>
          <w:rFonts w:asciiTheme="minorBidi" w:hAnsiTheme="minorBidi"/>
        </w:rPr>
        <w:t xml:space="preserve">operates such that, in the event of </w:t>
      </w:r>
      <w:r w:rsidR="00B67003">
        <w:rPr>
          <w:rFonts w:asciiTheme="minorBidi" w:hAnsiTheme="minorBidi"/>
        </w:rPr>
        <w:t>the</w:t>
      </w:r>
      <w:r w:rsidR="00D555AB">
        <w:rPr>
          <w:rFonts w:asciiTheme="minorBidi" w:hAnsiTheme="minorBidi"/>
        </w:rPr>
        <w:t xml:space="preserve"> insolvency of a company, loans from shareholders will be statutorily subordinated to the claims of other creditors. Additionally, in some jurisdictions, </w:t>
      </w:r>
      <w:r w:rsidR="00533D5A">
        <w:rPr>
          <w:rFonts w:asciiTheme="minorBidi" w:hAnsiTheme="minorBidi"/>
        </w:rPr>
        <w:t xml:space="preserve">loans repaid to shareholders in a set period prior to the insolvency of the company may also be subject to clawback and subordination. </w:t>
      </w:r>
    </w:p>
    <w:p w:rsidR="00533D5A" w:rsidRDefault="00533D5A" w:rsidP="0041017A">
      <w:pPr>
        <w:spacing w:after="0" w:line="240" w:lineRule="auto"/>
        <w:jc w:val="both"/>
        <w:rPr>
          <w:rFonts w:asciiTheme="minorBidi" w:hAnsiTheme="minorBidi"/>
        </w:rPr>
      </w:pPr>
    </w:p>
    <w:p w:rsidR="00FF6AC3" w:rsidRDefault="00533D5A" w:rsidP="0041017A">
      <w:pPr>
        <w:spacing w:after="0" w:line="240" w:lineRule="auto"/>
        <w:jc w:val="both"/>
        <w:rPr>
          <w:rFonts w:asciiTheme="minorBidi" w:hAnsiTheme="minorBidi"/>
        </w:rPr>
      </w:pPr>
      <w:r>
        <w:rPr>
          <w:rFonts w:asciiTheme="minorBidi" w:hAnsiTheme="minorBidi"/>
        </w:rPr>
        <w:lastRenderedPageBreak/>
        <w:t>It appears that the concept of equitable subordination exists under Spanish law. Accordingly,</w:t>
      </w:r>
      <w:r w:rsidR="006A6234">
        <w:rPr>
          <w:rFonts w:asciiTheme="minorBidi" w:hAnsiTheme="minorBidi"/>
        </w:rPr>
        <w:t xml:space="preserve"> </w:t>
      </w:r>
      <w:r>
        <w:rPr>
          <w:rFonts w:asciiTheme="minorBidi" w:hAnsiTheme="minorBidi"/>
        </w:rPr>
        <w:t xml:space="preserve">to the extent that </w:t>
      </w:r>
      <w:r w:rsidRPr="00EF0B03">
        <w:rPr>
          <w:rFonts w:asciiTheme="minorBidi" w:hAnsiTheme="minorBidi"/>
        </w:rPr>
        <w:t>FMW</w:t>
      </w:r>
      <w:r>
        <w:rPr>
          <w:rFonts w:asciiTheme="minorBidi" w:hAnsiTheme="minorBidi"/>
        </w:rPr>
        <w:t xml:space="preserve"> </w:t>
      </w:r>
      <w:r w:rsidRPr="00EF0B03">
        <w:rPr>
          <w:rFonts w:asciiTheme="minorBidi" w:hAnsiTheme="minorBidi"/>
        </w:rPr>
        <w:t>Spain</w:t>
      </w:r>
      <w:r>
        <w:rPr>
          <w:rFonts w:asciiTheme="minorBidi" w:hAnsiTheme="minorBidi"/>
        </w:rPr>
        <w:t xml:space="preserve"> </w:t>
      </w:r>
      <w:r w:rsidRPr="00EF0B03">
        <w:rPr>
          <w:rFonts w:asciiTheme="minorBidi" w:hAnsiTheme="minorBidi"/>
        </w:rPr>
        <w:t>SL</w:t>
      </w:r>
      <w:r>
        <w:rPr>
          <w:rFonts w:asciiTheme="minorBidi" w:hAnsiTheme="minorBidi"/>
        </w:rPr>
        <w:t xml:space="preserve"> guarantees the €240m Loan, then the Working Capital Ban</w:t>
      </w:r>
      <w:r w:rsidR="00B67003">
        <w:rPr>
          <w:rFonts w:asciiTheme="minorBidi" w:hAnsiTheme="minorBidi"/>
        </w:rPr>
        <w:t>k</w:t>
      </w:r>
      <w:r>
        <w:rPr>
          <w:rFonts w:asciiTheme="minorBidi" w:hAnsiTheme="minorBidi"/>
        </w:rPr>
        <w:t xml:space="preserve">s may be </w:t>
      </w:r>
      <w:r w:rsidR="00B67003">
        <w:rPr>
          <w:rFonts w:asciiTheme="minorBidi" w:hAnsiTheme="minorBidi"/>
        </w:rPr>
        <w:t xml:space="preserve">equitably </w:t>
      </w:r>
      <w:r>
        <w:rPr>
          <w:rFonts w:asciiTheme="minorBidi" w:hAnsiTheme="minorBidi"/>
        </w:rPr>
        <w:t xml:space="preserve">subordinated </w:t>
      </w:r>
      <w:r w:rsidR="00B61D65">
        <w:rPr>
          <w:rFonts w:asciiTheme="minorBidi" w:hAnsiTheme="minorBidi"/>
        </w:rPr>
        <w:t xml:space="preserve">to other creditors in respect of the guarantee provided by </w:t>
      </w:r>
      <w:r w:rsidR="00B61D65" w:rsidRPr="00EF0B03">
        <w:rPr>
          <w:rFonts w:asciiTheme="minorBidi" w:hAnsiTheme="minorBidi"/>
        </w:rPr>
        <w:t>FMW</w:t>
      </w:r>
      <w:r w:rsidR="00B61D65">
        <w:rPr>
          <w:rFonts w:asciiTheme="minorBidi" w:hAnsiTheme="minorBidi"/>
        </w:rPr>
        <w:t xml:space="preserve"> </w:t>
      </w:r>
      <w:r w:rsidR="00B61D65" w:rsidRPr="00EF0B03">
        <w:rPr>
          <w:rFonts w:asciiTheme="minorBidi" w:hAnsiTheme="minorBidi"/>
        </w:rPr>
        <w:t>Spain</w:t>
      </w:r>
      <w:r w:rsidR="00B61D65">
        <w:rPr>
          <w:rFonts w:asciiTheme="minorBidi" w:hAnsiTheme="minorBidi"/>
        </w:rPr>
        <w:t xml:space="preserve"> </w:t>
      </w:r>
      <w:r w:rsidR="00B61D65" w:rsidRPr="00EF0B03">
        <w:rPr>
          <w:rFonts w:asciiTheme="minorBidi" w:hAnsiTheme="minorBidi"/>
        </w:rPr>
        <w:t>S</w:t>
      </w:r>
      <w:r w:rsidR="00B61D65">
        <w:rPr>
          <w:rFonts w:asciiTheme="minorBidi" w:hAnsiTheme="minorBidi"/>
        </w:rPr>
        <w:t xml:space="preserve">L. Further investigations </w:t>
      </w:r>
      <w:r w:rsidR="00B67003">
        <w:rPr>
          <w:rFonts w:asciiTheme="minorBidi" w:hAnsiTheme="minorBidi"/>
        </w:rPr>
        <w:t xml:space="preserve">in consultation with Spanish-qualified legal advisers </w:t>
      </w:r>
      <w:r w:rsidR="00B61D65">
        <w:rPr>
          <w:rFonts w:asciiTheme="minorBidi" w:hAnsiTheme="minorBidi"/>
        </w:rPr>
        <w:t xml:space="preserve">will need to be undertaken to understand if there is a way to minimise or structure around the risk of equitable subordination in Spain. </w:t>
      </w:r>
    </w:p>
    <w:p w:rsidR="00FF6AC3" w:rsidRDefault="00FF6AC3" w:rsidP="0041017A">
      <w:pPr>
        <w:spacing w:after="0" w:line="240" w:lineRule="auto"/>
        <w:jc w:val="both"/>
        <w:rPr>
          <w:rFonts w:asciiTheme="minorBidi" w:hAnsiTheme="minorBidi"/>
        </w:rPr>
      </w:pPr>
    </w:p>
    <w:p w:rsidR="00FF6AC3" w:rsidRDefault="00FF6AC3" w:rsidP="0041017A">
      <w:pPr>
        <w:spacing w:after="0" w:line="240" w:lineRule="auto"/>
        <w:jc w:val="both"/>
        <w:rPr>
          <w:rFonts w:asciiTheme="minorBidi" w:hAnsiTheme="minorBidi"/>
        </w:rPr>
      </w:pPr>
    </w:p>
    <w:p w:rsidR="00E01B07" w:rsidRPr="00FF6AC3" w:rsidRDefault="00FF6AC3" w:rsidP="0041017A">
      <w:pPr>
        <w:spacing w:after="0" w:line="240" w:lineRule="auto"/>
        <w:jc w:val="both"/>
        <w:rPr>
          <w:rFonts w:asciiTheme="minorBidi" w:hAnsiTheme="minorBidi"/>
          <w:i/>
          <w:iCs/>
          <w:u w:val="single"/>
        </w:rPr>
      </w:pPr>
      <w:r w:rsidRPr="00FF6AC3">
        <w:rPr>
          <w:rFonts w:asciiTheme="minorBidi" w:hAnsiTheme="minorBidi"/>
          <w:i/>
          <w:iCs/>
          <w:u w:val="single"/>
        </w:rPr>
        <w:t>Foreign takeover laws</w:t>
      </w:r>
    </w:p>
    <w:p w:rsidR="008A0931" w:rsidRDefault="008A0931" w:rsidP="0041017A">
      <w:pPr>
        <w:spacing w:after="0" w:line="240" w:lineRule="auto"/>
        <w:jc w:val="both"/>
        <w:rPr>
          <w:rFonts w:asciiTheme="minorBidi" w:hAnsiTheme="minorBidi"/>
        </w:rPr>
      </w:pPr>
    </w:p>
    <w:p w:rsidR="00B61D65" w:rsidRDefault="00B61D65" w:rsidP="0041017A">
      <w:pPr>
        <w:spacing w:after="0" w:line="240" w:lineRule="auto"/>
        <w:jc w:val="both"/>
        <w:rPr>
          <w:rFonts w:asciiTheme="minorBidi" w:hAnsiTheme="minorBidi"/>
        </w:rPr>
      </w:pPr>
      <w:r>
        <w:rPr>
          <w:rFonts w:asciiTheme="minorBidi" w:hAnsiTheme="minorBidi"/>
        </w:rPr>
        <w:t>As mentioned above, the Working Capital Banks become the shareholders of the New Group following the implementation of the Restructuring Agreement. Accordingly, given there will be a change of control in respect of the New Group, it will need to be considered whether any entity within the New Group is subject to foreign takeover laws.</w:t>
      </w:r>
    </w:p>
    <w:p w:rsidR="00B61D65" w:rsidRDefault="00B61D65" w:rsidP="0041017A">
      <w:pPr>
        <w:spacing w:after="0" w:line="240" w:lineRule="auto"/>
        <w:jc w:val="both"/>
        <w:rPr>
          <w:rFonts w:asciiTheme="minorBidi" w:hAnsiTheme="minorBidi"/>
        </w:rPr>
      </w:pPr>
    </w:p>
    <w:p w:rsidR="001964E7" w:rsidRDefault="00B61D65" w:rsidP="0041017A">
      <w:pPr>
        <w:spacing w:after="0" w:line="240" w:lineRule="auto"/>
        <w:jc w:val="both"/>
        <w:rPr>
          <w:rFonts w:asciiTheme="minorBidi" w:hAnsiTheme="minorBidi"/>
        </w:rPr>
      </w:pPr>
      <w:r>
        <w:rPr>
          <w:rFonts w:asciiTheme="minorBidi" w:hAnsiTheme="minorBidi"/>
        </w:rPr>
        <w:t>By way of example,</w:t>
      </w:r>
      <w:r w:rsidR="001964E7">
        <w:rPr>
          <w:rFonts w:asciiTheme="minorBidi" w:hAnsiTheme="minorBidi"/>
        </w:rPr>
        <w:t xml:space="preserve"> </w:t>
      </w:r>
      <w:r w:rsidR="001964E7" w:rsidRPr="001964E7">
        <w:rPr>
          <w:rFonts w:asciiTheme="minorBidi" w:hAnsiTheme="minorBidi"/>
        </w:rPr>
        <w:t>Australia</w:t>
      </w:r>
      <w:r w:rsidR="001964E7">
        <w:rPr>
          <w:rFonts w:asciiTheme="minorBidi" w:hAnsiTheme="minorBidi"/>
        </w:rPr>
        <w:t xml:space="preserve">, pursuant to the </w:t>
      </w:r>
      <w:r w:rsidR="001964E7" w:rsidRPr="001964E7">
        <w:rPr>
          <w:rFonts w:asciiTheme="minorBidi" w:hAnsiTheme="minorBidi"/>
        </w:rPr>
        <w:t xml:space="preserve">Foreign Acquisitions and Takeovers Act 1975 (Cth) and </w:t>
      </w:r>
      <w:r w:rsidR="001964E7">
        <w:rPr>
          <w:rFonts w:asciiTheme="minorBidi" w:hAnsiTheme="minorBidi"/>
        </w:rPr>
        <w:t>its related</w:t>
      </w:r>
      <w:r w:rsidR="001964E7" w:rsidRPr="001964E7">
        <w:rPr>
          <w:rFonts w:asciiTheme="minorBidi" w:hAnsiTheme="minorBidi"/>
        </w:rPr>
        <w:t xml:space="preserve"> regulations</w:t>
      </w:r>
      <w:r w:rsidR="001964E7">
        <w:rPr>
          <w:rFonts w:asciiTheme="minorBidi" w:hAnsiTheme="minorBidi"/>
        </w:rPr>
        <w:t xml:space="preserve"> (the “</w:t>
      </w:r>
      <w:r w:rsidR="001964E7" w:rsidRPr="001964E7">
        <w:rPr>
          <w:rFonts w:asciiTheme="minorBidi" w:hAnsiTheme="minorBidi"/>
          <w:b/>
          <w:bCs/>
        </w:rPr>
        <w:t>FATA Regime</w:t>
      </w:r>
      <w:r w:rsidR="001964E7">
        <w:rPr>
          <w:rFonts w:asciiTheme="minorBidi" w:hAnsiTheme="minorBidi"/>
        </w:rPr>
        <w:t>”),</w:t>
      </w:r>
      <w:r w:rsidR="001964E7" w:rsidRPr="001964E7">
        <w:rPr>
          <w:rFonts w:asciiTheme="minorBidi" w:hAnsiTheme="minorBidi"/>
        </w:rPr>
        <w:t xml:space="preserve"> has a foreign investment approval regime</w:t>
      </w:r>
      <w:r w:rsidR="001964E7">
        <w:rPr>
          <w:rFonts w:asciiTheme="minorBidi" w:hAnsiTheme="minorBidi"/>
        </w:rPr>
        <w:t xml:space="preserve">, which, broadly, </w:t>
      </w:r>
      <w:r w:rsidR="001964E7" w:rsidRPr="001964E7">
        <w:rPr>
          <w:rFonts w:asciiTheme="minorBidi" w:hAnsiTheme="minorBidi"/>
        </w:rPr>
        <w:t xml:space="preserve">regulates acquisitions by foreign persons of </w:t>
      </w:r>
      <w:r w:rsidR="001964E7">
        <w:rPr>
          <w:rFonts w:asciiTheme="minorBidi" w:hAnsiTheme="minorBidi"/>
        </w:rPr>
        <w:t xml:space="preserve">certain </w:t>
      </w:r>
      <w:r w:rsidR="001964E7" w:rsidRPr="001964E7">
        <w:rPr>
          <w:rFonts w:asciiTheme="minorBidi" w:hAnsiTheme="minorBidi"/>
        </w:rPr>
        <w:t>Australian companies</w:t>
      </w:r>
      <w:r w:rsidR="001964E7">
        <w:rPr>
          <w:rFonts w:asciiTheme="minorBidi" w:hAnsiTheme="minorBidi"/>
        </w:rPr>
        <w:t xml:space="preserve">, </w:t>
      </w:r>
      <w:r w:rsidR="001964E7" w:rsidRPr="001964E7">
        <w:rPr>
          <w:rFonts w:asciiTheme="minorBidi" w:hAnsiTheme="minorBidi"/>
        </w:rPr>
        <w:t xml:space="preserve">businesses and real property assets. </w:t>
      </w:r>
      <w:r w:rsidR="001964E7">
        <w:rPr>
          <w:rFonts w:asciiTheme="minorBidi" w:hAnsiTheme="minorBidi"/>
        </w:rPr>
        <w:t>Accordingly, the Working Capital Banks should consider</w:t>
      </w:r>
      <w:r w:rsidR="00B67003">
        <w:rPr>
          <w:rFonts w:asciiTheme="minorBidi" w:hAnsiTheme="minorBidi"/>
        </w:rPr>
        <w:t>, in consultation with Australian-qualified legal advisers,</w:t>
      </w:r>
      <w:r w:rsidR="001964E7">
        <w:rPr>
          <w:rFonts w:asciiTheme="minorBidi" w:hAnsiTheme="minorBidi"/>
        </w:rPr>
        <w:t xml:space="preserve"> whether the FATA Regime is applicable in respect of </w:t>
      </w:r>
      <w:r w:rsidR="001964E7" w:rsidRPr="001964E7">
        <w:rPr>
          <w:rFonts w:asciiTheme="minorBidi" w:hAnsiTheme="minorBidi"/>
        </w:rPr>
        <w:t>FMW</w:t>
      </w:r>
      <w:r w:rsidR="001964E7">
        <w:rPr>
          <w:rFonts w:asciiTheme="minorBidi" w:hAnsiTheme="minorBidi"/>
        </w:rPr>
        <w:t xml:space="preserve"> </w:t>
      </w:r>
      <w:r w:rsidR="001964E7" w:rsidRPr="001964E7">
        <w:rPr>
          <w:rFonts w:asciiTheme="minorBidi" w:hAnsiTheme="minorBidi"/>
        </w:rPr>
        <w:t>Australia</w:t>
      </w:r>
      <w:r w:rsidR="001964E7">
        <w:rPr>
          <w:rFonts w:asciiTheme="minorBidi" w:hAnsiTheme="minorBidi"/>
        </w:rPr>
        <w:t xml:space="preserve"> </w:t>
      </w:r>
      <w:r w:rsidR="001964E7" w:rsidRPr="001964E7">
        <w:rPr>
          <w:rFonts w:asciiTheme="minorBidi" w:hAnsiTheme="minorBidi"/>
        </w:rPr>
        <w:t>Ltd.</w:t>
      </w:r>
      <w:r w:rsidR="001964E7">
        <w:rPr>
          <w:rFonts w:asciiTheme="minorBidi" w:hAnsiTheme="minorBidi"/>
        </w:rPr>
        <w:t xml:space="preserve"> </w:t>
      </w:r>
    </w:p>
    <w:p w:rsidR="001964E7" w:rsidRDefault="001964E7" w:rsidP="0041017A">
      <w:pPr>
        <w:spacing w:after="0" w:line="240" w:lineRule="auto"/>
        <w:jc w:val="both"/>
        <w:rPr>
          <w:rFonts w:asciiTheme="minorBidi" w:hAnsiTheme="minorBidi"/>
        </w:rPr>
      </w:pPr>
    </w:p>
    <w:p w:rsidR="001964E7" w:rsidRDefault="001964E7" w:rsidP="0041017A">
      <w:pPr>
        <w:spacing w:after="0" w:line="240" w:lineRule="auto"/>
        <w:jc w:val="both"/>
        <w:rPr>
          <w:rFonts w:asciiTheme="minorBidi" w:hAnsiTheme="minorBidi"/>
        </w:rPr>
      </w:pPr>
      <w:r>
        <w:rPr>
          <w:rFonts w:asciiTheme="minorBidi" w:hAnsiTheme="minorBidi"/>
        </w:rPr>
        <w:t xml:space="preserve">Similar takeover laws may also apply in </w:t>
      </w:r>
      <w:r w:rsidR="00842FE2">
        <w:rPr>
          <w:rFonts w:asciiTheme="minorBidi" w:hAnsiTheme="minorBidi"/>
        </w:rPr>
        <w:t xml:space="preserve">the </w:t>
      </w:r>
      <w:r>
        <w:rPr>
          <w:rFonts w:asciiTheme="minorBidi" w:hAnsiTheme="minorBidi"/>
        </w:rPr>
        <w:t>other</w:t>
      </w:r>
      <w:r w:rsidR="00842FE2">
        <w:rPr>
          <w:rFonts w:asciiTheme="minorBidi" w:hAnsiTheme="minorBidi"/>
        </w:rPr>
        <w:t xml:space="preserve"> </w:t>
      </w:r>
      <w:r>
        <w:rPr>
          <w:rFonts w:asciiTheme="minorBidi" w:hAnsiTheme="minorBidi"/>
        </w:rPr>
        <w:t xml:space="preserve">jurisdictions </w:t>
      </w:r>
      <w:r w:rsidR="00842FE2">
        <w:rPr>
          <w:rFonts w:asciiTheme="minorBidi" w:hAnsiTheme="minorBidi"/>
        </w:rPr>
        <w:t xml:space="preserve">in which member of the New Group are incorporated. </w:t>
      </w:r>
    </w:p>
    <w:p w:rsidR="00842FE2" w:rsidRDefault="00842FE2" w:rsidP="0041017A">
      <w:pPr>
        <w:spacing w:after="0" w:line="240" w:lineRule="auto"/>
        <w:jc w:val="both"/>
        <w:rPr>
          <w:rFonts w:asciiTheme="minorBidi" w:hAnsiTheme="minorBidi"/>
        </w:rPr>
      </w:pPr>
    </w:p>
    <w:p w:rsidR="00842FE2" w:rsidRDefault="00842FE2" w:rsidP="0041017A">
      <w:pPr>
        <w:spacing w:after="0" w:line="240" w:lineRule="auto"/>
        <w:jc w:val="both"/>
        <w:rPr>
          <w:rFonts w:asciiTheme="minorBidi" w:hAnsiTheme="minorBidi"/>
        </w:rPr>
      </w:pPr>
    </w:p>
    <w:p w:rsidR="00842FE2" w:rsidRPr="00364932" w:rsidRDefault="00842FE2" w:rsidP="0041017A">
      <w:pPr>
        <w:spacing w:after="0" w:line="240" w:lineRule="auto"/>
        <w:jc w:val="both"/>
        <w:rPr>
          <w:rFonts w:asciiTheme="minorBidi" w:hAnsiTheme="minorBidi"/>
          <w:i/>
          <w:iCs/>
          <w:u w:val="single"/>
        </w:rPr>
      </w:pPr>
      <w:r w:rsidRPr="00364932">
        <w:rPr>
          <w:rFonts w:asciiTheme="minorBidi" w:hAnsiTheme="minorBidi"/>
          <w:i/>
          <w:iCs/>
          <w:u w:val="single"/>
        </w:rPr>
        <w:t>Potential non-legal cross-border issues</w:t>
      </w:r>
      <w:r w:rsidRPr="00364932">
        <w:rPr>
          <w:rFonts w:asciiTheme="minorBidi" w:hAnsiTheme="minorBidi"/>
          <w:b/>
          <w:bCs/>
          <w:u w:val="single"/>
        </w:rPr>
        <w:t xml:space="preserve"> </w:t>
      </w:r>
    </w:p>
    <w:p w:rsidR="004C55DF" w:rsidRPr="007245F1" w:rsidRDefault="004C55DF" w:rsidP="0041017A">
      <w:pPr>
        <w:spacing w:after="0" w:line="240" w:lineRule="auto"/>
        <w:jc w:val="both"/>
        <w:rPr>
          <w:rFonts w:asciiTheme="minorBidi" w:hAnsiTheme="minorBidi"/>
        </w:rPr>
      </w:pPr>
    </w:p>
    <w:p w:rsidR="009A648E" w:rsidRDefault="005E24C1" w:rsidP="0041017A">
      <w:pPr>
        <w:spacing w:after="0" w:line="240" w:lineRule="auto"/>
        <w:jc w:val="both"/>
        <w:rPr>
          <w:rFonts w:asciiTheme="minorBidi" w:hAnsiTheme="minorBidi"/>
        </w:rPr>
      </w:pPr>
      <w:r>
        <w:rPr>
          <w:rFonts w:asciiTheme="minorBidi" w:hAnsiTheme="minorBidi"/>
        </w:rPr>
        <w:t>I</w:t>
      </w:r>
      <w:r w:rsidR="00364932">
        <w:rPr>
          <w:rFonts w:asciiTheme="minorBidi" w:hAnsiTheme="minorBidi"/>
        </w:rPr>
        <w:t>n the Case Study</w:t>
      </w:r>
      <w:r>
        <w:rPr>
          <w:rFonts w:asciiTheme="minorBidi" w:hAnsiTheme="minorBidi"/>
        </w:rPr>
        <w:t>, it is stated</w:t>
      </w:r>
      <w:r w:rsidR="00364932">
        <w:rPr>
          <w:rFonts w:asciiTheme="minorBidi" w:hAnsiTheme="minorBidi"/>
        </w:rPr>
        <w:t xml:space="preserve"> that the Flow Management Group</w:t>
      </w:r>
      <w:r>
        <w:rPr>
          <w:rFonts w:asciiTheme="minorBidi" w:hAnsiTheme="minorBidi"/>
        </w:rPr>
        <w:t xml:space="preserve"> </w:t>
      </w:r>
      <w:r w:rsidR="00364932">
        <w:rPr>
          <w:rFonts w:asciiTheme="minorBidi" w:hAnsiTheme="minorBidi"/>
        </w:rPr>
        <w:t xml:space="preserve">employs over 3,000 people. Further, the New Group operates across </w:t>
      </w:r>
      <w:r>
        <w:rPr>
          <w:rFonts w:asciiTheme="minorBidi" w:hAnsiTheme="minorBidi"/>
        </w:rPr>
        <w:t xml:space="preserve">six different jurisdictions, being the Netherlands, Spain, France, Australia, South Africa and the United States. Accordingly, restructuring the Flow Management Group requires extensive coordination and cooperation among the relevant parties. </w:t>
      </w:r>
    </w:p>
    <w:p w:rsidR="005E24C1" w:rsidRDefault="005E24C1" w:rsidP="0041017A">
      <w:pPr>
        <w:spacing w:after="0" w:line="240" w:lineRule="auto"/>
        <w:jc w:val="both"/>
        <w:rPr>
          <w:rFonts w:asciiTheme="minorBidi" w:hAnsiTheme="minorBidi"/>
        </w:rPr>
      </w:pPr>
    </w:p>
    <w:p w:rsidR="005E24C1" w:rsidRDefault="005E24C1" w:rsidP="0041017A">
      <w:pPr>
        <w:spacing w:after="0" w:line="240" w:lineRule="auto"/>
        <w:jc w:val="both"/>
        <w:rPr>
          <w:rFonts w:asciiTheme="minorBidi" w:hAnsiTheme="minorBidi"/>
        </w:rPr>
      </w:pPr>
      <w:r>
        <w:rPr>
          <w:rFonts w:asciiTheme="minorBidi" w:hAnsiTheme="minorBidi"/>
        </w:rPr>
        <w:t>Having been involved in similar cross-border restructurings, I</w:t>
      </w:r>
      <w:r w:rsidR="00560A58">
        <w:rPr>
          <w:rFonts w:asciiTheme="minorBidi" w:hAnsiTheme="minorBidi"/>
        </w:rPr>
        <w:t xml:space="preserve"> recall that setting up communication structures among all key stakeholders is essential. Such key stakeholders will include</w:t>
      </w:r>
      <w:r w:rsidR="0097232D">
        <w:rPr>
          <w:rFonts w:asciiTheme="minorBidi" w:hAnsiTheme="minorBidi"/>
        </w:rPr>
        <w:t xml:space="preserve"> (at a minimum)</w:t>
      </w:r>
      <w:r w:rsidR="00560A58">
        <w:rPr>
          <w:rFonts w:asciiTheme="minorBidi" w:hAnsiTheme="minorBidi"/>
        </w:rPr>
        <w:t xml:space="preserve"> (i) the Chief Restructuring Officer and other management dealing directly with the restructuring (ii) the key contacts from the Working Capital Banks (iii) the key contacts from the shareholder parties (iv) the directors of each subsidiary within the New Group and (v) (if any) the legal and financial advisers of each of the </w:t>
      </w:r>
      <w:r w:rsidR="0097232D">
        <w:rPr>
          <w:rFonts w:asciiTheme="minorBidi" w:hAnsiTheme="minorBidi"/>
        </w:rPr>
        <w:t>preceding</w:t>
      </w:r>
      <w:r w:rsidR="00560A58">
        <w:rPr>
          <w:rFonts w:asciiTheme="minorBidi" w:hAnsiTheme="minorBidi"/>
        </w:rPr>
        <w:t xml:space="preserve">. </w:t>
      </w:r>
    </w:p>
    <w:p w:rsidR="00560A58" w:rsidRDefault="00560A58" w:rsidP="0041017A">
      <w:pPr>
        <w:spacing w:after="0" w:line="240" w:lineRule="auto"/>
        <w:jc w:val="both"/>
        <w:rPr>
          <w:rFonts w:asciiTheme="minorBidi" w:hAnsiTheme="minorBidi"/>
        </w:rPr>
      </w:pPr>
    </w:p>
    <w:p w:rsidR="00560A58" w:rsidRDefault="00560A58" w:rsidP="0041017A">
      <w:pPr>
        <w:spacing w:after="0" w:line="240" w:lineRule="auto"/>
        <w:jc w:val="both"/>
        <w:rPr>
          <w:rFonts w:asciiTheme="minorBidi" w:hAnsiTheme="minorBidi"/>
        </w:rPr>
      </w:pPr>
      <w:r>
        <w:rPr>
          <w:rFonts w:asciiTheme="minorBidi" w:hAnsiTheme="minorBidi"/>
        </w:rPr>
        <w:t>In particular, I have observed that it is important to involve the key persons from foreign jurisdictions</w:t>
      </w:r>
      <w:r w:rsidR="0097232D">
        <w:rPr>
          <w:rFonts w:asciiTheme="minorBidi" w:hAnsiTheme="minorBidi"/>
        </w:rPr>
        <w:t xml:space="preserve"> at any early stage </w:t>
      </w:r>
      <w:r w:rsidR="00AF0A45">
        <w:rPr>
          <w:rFonts w:asciiTheme="minorBidi" w:hAnsiTheme="minorBidi"/>
        </w:rPr>
        <w:t>in any restructuring</w:t>
      </w:r>
      <w:r w:rsidR="004E03A9">
        <w:rPr>
          <w:rFonts w:asciiTheme="minorBidi" w:hAnsiTheme="minorBidi"/>
        </w:rPr>
        <w:t xml:space="preserve"> in order</w:t>
      </w:r>
      <w:r w:rsidR="00AF0A45">
        <w:rPr>
          <w:rFonts w:asciiTheme="minorBidi" w:hAnsiTheme="minorBidi"/>
        </w:rPr>
        <w:t xml:space="preserve"> </w:t>
      </w:r>
      <w:r w:rsidR="0097232D">
        <w:rPr>
          <w:rFonts w:asciiTheme="minorBidi" w:hAnsiTheme="minorBidi"/>
        </w:rPr>
        <w:t>to identify and resolve any issues in that jurisdiction in respect of a potential restructuring plan.</w:t>
      </w:r>
    </w:p>
    <w:p w:rsidR="005E24C1" w:rsidRDefault="005E24C1" w:rsidP="0041017A">
      <w:pPr>
        <w:spacing w:after="0" w:line="240" w:lineRule="auto"/>
        <w:jc w:val="both"/>
        <w:rPr>
          <w:rFonts w:asciiTheme="minorBidi" w:hAnsiTheme="minorBidi"/>
        </w:rPr>
      </w:pPr>
    </w:p>
    <w:p w:rsidR="005E24C1" w:rsidRPr="007245F1" w:rsidRDefault="005E24C1" w:rsidP="0041017A">
      <w:pPr>
        <w:spacing w:after="0" w:line="240" w:lineRule="auto"/>
        <w:jc w:val="both"/>
        <w:rPr>
          <w:rFonts w:asciiTheme="minorBidi" w:hAnsiTheme="minorBidi"/>
        </w:rPr>
      </w:pPr>
    </w:p>
    <w:p w:rsidR="004C55DF" w:rsidRDefault="004C55DF" w:rsidP="0041017A">
      <w:pPr>
        <w:jc w:val="both"/>
        <w:rPr>
          <w:rFonts w:asciiTheme="minorBidi" w:hAnsiTheme="minorBidi"/>
        </w:rPr>
      </w:pPr>
      <w:r>
        <w:rPr>
          <w:rFonts w:asciiTheme="minorBidi" w:hAnsiTheme="minorBidi"/>
        </w:rPr>
        <w:br w:type="page"/>
      </w:r>
    </w:p>
    <w:p w:rsidR="003908B3" w:rsidRDefault="004C55DF" w:rsidP="0041017A">
      <w:pPr>
        <w:spacing w:after="0" w:line="240" w:lineRule="auto"/>
        <w:jc w:val="both"/>
        <w:rPr>
          <w:rFonts w:asciiTheme="minorBidi" w:hAnsiTheme="minorBidi"/>
          <w:b/>
          <w:bCs/>
        </w:rPr>
      </w:pPr>
      <w:r w:rsidRPr="004C55DF">
        <w:rPr>
          <w:rFonts w:asciiTheme="minorBidi" w:hAnsiTheme="minorBidi"/>
          <w:b/>
          <w:bCs/>
        </w:rPr>
        <w:lastRenderedPageBreak/>
        <w:t xml:space="preserve">Question </w:t>
      </w:r>
      <w:r w:rsidR="00391B80" w:rsidRPr="004C55DF">
        <w:rPr>
          <w:rFonts w:asciiTheme="minorBidi" w:hAnsiTheme="minorBidi"/>
          <w:b/>
          <w:bCs/>
        </w:rPr>
        <w:t>9. In October 2014 four scenarios have been drawn up. Why was or wasn’t calling for a</w:t>
      </w:r>
      <w:r w:rsidRPr="004C55DF">
        <w:rPr>
          <w:rFonts w:asciiTheme="minorBidi" w:hAnsiTheme="minorBidi"/>
          <w:b/>
          <w:bCs/>
        </w:rPr>
        <w:t xml:space="preserve"> </w:t>
      </w:r>
      <w:r w:rsidR="00391B80" w:rsidRPr="004C55DF">
        <w:rPr>
          <w:rFonts w:asciiTheme="minorBidi" w:hAnsiTheme="minorBidi"/>
          <w:b/>
          <w:bCs/>
        </w:rPr>
        <w:t>moratorium (see scenario 4) a good option given the situation at that time? [you are</w:t>
      </w:r>
      <w:r w:rsidRPr="004C55DF">
        <w:rPr>
          <w:rFonts w:asciiTheme="minorBidi" w:hAnsiTheme="minorBidi"/>
          <w:b/>
          <w:bCs/>
        </w:rPr>
        <w:t xml:space="preserve"> </w:t>
      </w:r>
      <w:r w:rsidR="00391B80" w:rsidRPr="004C55DF">
        <w:rPr>
          <w:rFonts w:asciiTheme="minorBidi" w:hAnsiTheme="minorBidi"/>
          <w:b/>
          <w:bCs/>
        </w:rPr>
        <w:t>allowed to give your opinion based on your own countries’ Bankruptcy Act; be as</w:t>
      </w:r>
      <w:r w:rsidRPr="004C55DF">
        <w:rPr>
          <w:rFonts w:asciiTheme="minorBidi" w:hAnsiTheme="minorBidi"/>
          <w:b/>
          <w:bCs/>
        </w:rPr>
        <w:t xml:space="preserve"> </w:t>
      </w:r>
      <w:r w:rsidR="00391B80" w:rsidRPr="004C55DF">
        <w:rPr>
          <w:rFonts w:asciiTheme="minorBidi" w:hAnsiTheme="minorBidi"/>
          <w:b/>
          <w:bCs/>
        </w:rPr>
        <w:t>detailed as possible]</w:t>
      </w:r>
    </w:p>
    <w:p w:rsidR="005F3A67" w:rsidRDefault="005F3A67" w:rsidP="0041017A">
      <w:pPr>
        <w:spacing w:after="0" w:line="240" w:lineRule="auto"/>
        <w:jc w:val="both"/>
        <w:rPr>
          <w:rFonts w:asciiTheme="minorBidi" w:hAnsiTheme="minorBidi"/>
          <w:b/>
          <w:bCs/>
        </w:rPr>
      </w:pPr>
    </w:p>
    <w:p w:rsidR="00CE0209" w:rsidRDefault="00CE0209" w:rsidP="0041017A">
      <w:pPr>
        <w:spacing w:after="0" w:line="240" w:lineRule="auto"/>
        <w:jc w:val="both"/>
        <w:rPr>
          <w:rFonts w:asciiTheme="minorBidi" w:hAnsiTheme="minorBidi"/>
          <w:b/>
          <w:bCs/>
        </w:rPr>
      </w:pPr>
    </w:p>
    <w:p w:rsidR="00D70175" w:rsidRDefault="0097325A" w:rsidP="0041017A">
      <w:pPr>
        <w:spacing w:after="0" w:line="240" w:lineRule="auto"/>
        <w:jc w:val="both"/>
        <w:rPr>
          <w:rFonts w:asciiTheme="minorBidi" w:hAnsiTheme="minorBidi"/>
        </w:rPr>
      </w:pPr>
      <w:r>
        <w:rPr>
          <w:rFonts w:asciiTheme="minorBidi" w:hAnsiTheme="minorBidi"/>
        </w:rPr>
        <w:t>In the Case Study, the moratorium proposed in the October 2014 scenarios (the “</w:t>
      </w:r>
      <w:r w:rsidRPr="0097325A">
        <w:rPr>
          <w:rFonts w:asciiTheme="minorBidi" w:hAnsiTheme="minorBidi"/>
          <w:b/>
          <w:bCs/>
        </w:rPr>
        <w:t>Moratorium</w:t>
      </w:r>
      <w:r>
        <w:rPr>
          <w:rFonts w:asciiTheme="minorBidi" w:hAnsiTheme="minorBidi"/>
        </w:rPr>
        <w:t xml:space="preserve">”) was not pursued by the Flow Management Group or the Working Capital Banks </w:t>
      </w:r>
      <w:r w:rsidR="00906548">
        <w:rPr>
          <w:rFonts w:asciiTheme="minorBidi" w:hAnsiTheme="minorBidi"/>
        </w:rPr>
        <w:t xml:space="preserve">due to </w:t>
      </w:r>
      <w:r w:rsidR="00870F93">
        <w:rPr>
          <w:rFonts w:asciiTheme="minorBidi" w:hAnsiTheme="minorBidi"/>
        </w:rPr>
        <w:t>the circumstances facing the Flow Management Group at the time</w:t>
      </w:r>
      <w:r>
        <w:rPr>
          <w:rFonts w:asciiTheme="minorBidi" w:hAnsiTheme="minorBidi"/>
        </w:rPr>
        <w:t xml:space="preserve">. </w:t>
      </w:r>
    </w:p>
    <w:p w:rsidR="0097325A" w:rsidRDefault="0097325A" w:rsidP="0041017A">
      <w:pPr>
        <w:spacing w:after="0" w:line="240" w:lineRule="auto"/>
        <w:jc w:val="both"/>
        <w:rPr>
          <w:rFonts w:asciiTheme="minorBidi" w:hAnsiTheme="minorBidi"/>
        </w:rPr>
      </w:pPr>
    </w:p>
    <w:p w:rsidR="0097325A" w:rsidRDefault="0097325A" w:rsidP="0041017A">
      <w:pPr>
        <w:spacing w:after="0" w:line="240" w:lineRule="auto"/>
        <w:jc w:val="both"/>
        <w:rPr>
          <w:rFonts w:asciiTheme="minorBidi" w:hAnsiTheme="minorBidi"/>
        </w:rPr>
      </w:pPr>
    </w:p>
    <w:p w:rsidR="0097325A" w:rsidRDefault="00FD1567" w:rsidP="0041017A">
      <w:pPr>
        <w:spacing w:after="0" w:line="240" w:lineRule="auto"/>
        <w:jc w:val="both"/>
        <w:rPr>
          <w:rFonts w:asciiTheme="minorBidi" w:hAnsiTheme="minorBidi"/>
          <w:i/>
          <w:iCs/>
          <w:u w:val="single"/>
        </w:rPr>
      </w:pPr>
      <w:r>
        <w:rPr>
          <w:rFonts w:asciiTheme="minorBidi" w:hAnsiTheme="minorBidi"/>
          <w:i/>
          <w:iCs/>
          <w:u w:val="single"/>
        </w:rPr>
        <w:t xml:space="preserve">Moratoriums </w:t>
      </w:r>
      <w:r w:rsidR="008170DB">
        <w:rPr>
          <w:rFonts w:asciiTheme="minorBidi" w:hAnsiTheme="minorBidi"/>
          <w:i/>
          <w:iCs/>
          <w:u w:val="single"/>
        </w:rPr>
        <w:t>are</w:t>
      </w:r>
      <w:r>
        <w:rPr>
          <w:rFonts w:asciiTheme="minorBidi" w:hAnsiTheme="minorBidi"/>
          <w:i/>
          <w:iCs/>
          <w:u w:val="single"/>
        </w:rPr>
        <w:t xml:space="preserve"> </w:t>
      </w:r>
      <w:r w:rsidR="00870F93">
        <w:rPr>
          <w:rFonts w:asciiTheme="minorBidi" w:hAnsiTheme="minorBidi"/>
          <w:i/>
          <w:iCs/>
          <w:u w:val="single"/>
        </w:rPr>
        <w:t xml:space="preserve">generally </w:t>
      </w:r>
      <w:r>
        <w:rPr>
          <w:rFonts w:asciiTheme="minorBidi" w:hAnsiTheme="minorBidi"/>
          <w:i/>
          <w:iCs/>
          <w:u w:val="single"/>
        </w:rPr>
        <w:t>only available as part of a formal insolvency procedure</w:t>
      </w:r>
    </w:p>
    <w:p w:rsidR="00FD1567" w:rsidRPr="00FD1567" w:rsidRDefault="00FD1567" w:rsidP="0041017A">
      <w:pPr>
        <w:spacing w:after="0" w:line="240" w:lineRule="auto"/>
        <w:jc w:val="both"/>
        <w:rPr>
          <w:rFonts w:asciiTheme="minorBidi" w:hAnsiTheme="minorBidi"/>
        </w:rPr>
      </w:pPr>
    </w:p>
    <w:p w:rsidR="00FD1567" w:rsidRPr="00FD1567" w:rsidRDefault="00FE1490" w:rsidP="0041017A">
      <w:pPr>
        <w:spacing w:after="0" w:line="240" w:lineRule="auto"/>
        <w:jc w:val="both"/>
        <w:rPr>
          <w:rFonts w:asciiTheme="minorBidi" w:hAnsiTheme="minorBidi"/>
        </w:rPr>
      </w:pPr>
      <w:r>
        <w:rPr>
          <w:rFonts w:asciiTheme="minorBidi" w:hAnsiTheme="minorBidi"/>
        </w:rPr>
        <w:t xml:space="preserve">In Singapore, there are </w:t>
      </w:r>
      <w:r w:rsidR="00D201E8">
        <w:rPr>
          <w:rFonts w:asciiTheme="minorBidi" w:hAnsiTheme="minorBidi"/>
        </w:rPr>
        <w:t xml:space="preserve">(excluding liquidation proceedings for the purposes of this answer) two main procedures for a financially distressed company to obtain a moratorium, being </w:t>
      </w:r>
      <w:r w:rsidR="00D26997">
        <w:rPr>
          <w:rFonts w:asciiTheme="minorBidi" w:hAnsiTheme="minorBidi"/>
        </w:rPr>
        <w:t>an application</w:t>
      </w:r>
      <w:r w:rsidR="00D201E8">
        <w:rPr>
          <w:rFonts w:asciiTheme="minorBidi" w:hAnsiTheme="minorBidi"/>
        </w:rPr>
        <w:t xml:space="preserve"> (i) for a moratorium under section 64 of the IRDA (a “</w:t>
      </w:r>
      <w:r w:rsidR="00D201E8" w:rsidRPr="00D201E8">
        <w:rPr>
          <w:rFonts w:asciiTheme="minorBidi" w:hAnsiTheme="minorBidi"/>
          <w:b/>
          <w:bCs/>
        </w:rPr>
        <w:t>s.64 Moratorium</w:t>
      </w:r>
      <w:r w:rsidR="00D201E8">
        <w:rPr>
          <w:rFonts w:asciiTheme="minorBidi" w:hAnsiTheme="minorBidi"/>
        </w:rPr>
        <w:t>”) or (ii) for judicial management and/or interim judicial management under section 91 and section 94, respectively, of the IRDA (the “</w:t>
      </w:r>
      <w:r w:rsidR="00D201E8" w:rsidRPr="00D201E8">
        <w:rPr>
          <w:rFonts w:asciiTheme="minorBidi" w:hAnsiTheme="minorBidi"/>
          <w:b/>
          <w:bCs/>
        </w:rPr>
        <w:t>JM/IJM Moratorium</w:t>
      </w:r>
      <w:r w:rsidR="00D201E8">
        <w:rPr>
          <w:rFonts w:asciiTheme="minorBidi" w:hAnsiTheme="minorBidi"/>
        </w:rPr>
        <w:t>”).</w:t>
      </w:r>
    </w:p>
    <w:p w:rsidR="004C55DF" w:rsidRDefault="004C55DF" w:rsidP="0041017A">
      <w:pPr>
        <w:spacing w:after="0" w:line="240" w:lineRule="auto"/>
        <w:jc w:val="both"/>
        <w:rPr>
          <w:rFonts w:asciiTheme="minorBidi" w:hAnsiTheme="minorBidi"/>
          <w:b/>
          <w:bCs/>
        </w:rPr>
      </w:pPr>
    </w:p>
    <w:p w:rsidR="004C55DF" w:rsidRDefault="00D26997" w:rsidP="0041017A">
      <w:pPr>
        <w:spacing w:after="0" w:line="240" w:lineRule="auto"/>
        <w:jc w:val="both"/>
        <w:rPr>
          <w:rFonts w:asciiTheme="minorBidi" w:hAnsiTheme="minorBidi"/>
        </w:rPr>
      </w:pPr>
      <w:r>
        <w:rPr>
          <w:rFonts w:asciiTheme="minorBidi" w:hAnsiTheme="minorBidi"/>
        </w:rPr>
        <w:t xml:space="preserve">In respect of a </w:t>
      </w:r>
      <w:r w:rsidR="00D201E8">
        <w:rPr>
          <w:rFonts w:asciiTheme="minorBidi" w:hAnsiTheme="minorBidi"/>
        </w:rPr>
        <w:t>s.64 Moratorium</w:t>
      </w:r>
      <w:r>
        <w:rPr>
          <w:rFonts w:asciiTheme="minorBidi" w:hAnsiTheme="minorBidi"/>
        </w:rPr>
        <w:t>, a company will benefit from an automatic moratorium against a broad range of creditor actions upon filing for the s.64 Moratorium. However, it should be noted that a company, when making a s.64 Moratorium</w:t>
      </w:r>
      <w:r w:rsidR="002B1C94">
        <w:rPr>
          <w:rFonts w:asciiTheme="minorBidi" w:hAnsiTheme="minorBidi"/>
        </w:rPr>
        <w:t>,</w:t>
      </w:r>
      <w:r>
        <w:rPr>
          <w:rFonts w:asciiTheme="minorBidi" w:hAnsiTheme="minorBidi"/>
        </w:rPr>
        <w:t xml:space="preserve"> must undertake to the Court to make as soon as possible an application for a scheme of arrangement under section 210(1) of the Company Act o</w:t>
      </w:r>
      <w:r w:rsidR="007C466D">
        <w:rPr>
          <w:rFonts w:asciiTheme="minorBidi" w:hAnsiTheme="minorBidi"/>
        </w:rPr>
        <w:t>r</w:t>
      </w:r>
      <w:r>
        <w:rPr>
          <w:rFonts w:asciiTheme="minorBidi" w:hAnsiTheme="minorBidi"/>
        </w:rPr>
        <w:t xml:space="preserve"> section 71(1) of the IRDA</w:t>
      </w:r>
      <w:r w:rsidR="007C466D">
        <w:rPr>
          <w:rFonts w:asciiTheme="minorBidi" w:hAnsiTheme="minorBidi"/>
        </w:rPr>
        <w:t>.</w:t>
      </w:r>
      <w:r w:rsidR="008170DB">
        <w:rPr>
          <w:rStyle w:val="FootnoteReference"/>
          <w:rFonts w:asciiTheme="minorBidi" w:hAnsiTheme="minorBidi"/>
        </w:rPr>
        <w:footnoteReference w:id="54"/>
      </w:r>
      <w:r>
        <w:rPr>
          <w:rFonts w:asciiTheme="minorBidi" w:hAnsiTheme="minorBidi"/>
        </w:rPr>
        <w:t xml:space="preserve"> Accordingly, </w:t>
      </w:r>
      <w:r w:rsidR="00711EE1">
        <w:rPr>
          <w:rFonts w:asciiTheme="minorBidi" w:hAnsiTheme="minorBidi"/>
        </w:rPr>
        <w:t>a s.64 Moratorium will generally only be a viable option for a company if it has a potentially viable restructuring plan to propose to creditors</w:t>
      </w:r>
      <w:r w:rsidR="007C466D">
        <w:rPr>
          <w:rFonts w:asciiTheme="minorBidi" w:hAnsiTheme="minorBidi"/>
        </w:rPr>
        <w:t xml:space="preserve"> by way of a scheme of arrangement</w:t>
      </w:r>
      <w:r w:rsidR="00711EE1">
        <w:rPr>
          <w:rFonts w:asciiTheme="minorBidi" w:hAnsiTheme="minorBidi"/>
        </w:rPr>
        <w:t xml:space="preserve">. In other words, the purposes of a s.64 Moratorium is not to simply ‘fend-off’ creditors, rather it is intended to be used in conjunction with a scheme of arrangement. </w:t>
      </w:r>
    </w:p>
    <w:p w:rsidR="00711EE1" w:rsidRPr="00711EE1" w:rsidRDefault="00711EE1" w:rsidP="0041017A">
      <w:pPr>
        <w:spacing w:after="0" w:line="240" w:lineRule="auto"/>
        <w:jc w:val="both"/>
        <w:rPr>
          <w:rFonts w:asciiTheme="minorBidi" w:hAnsiTheme="minorBidi"/>
        </w:rPr>
      </w:pPr>
      <w:bookmarkStart w:id="0" w:name="_GoBack"/>
      <w:bookmarkEnd w:id="0"/>
    </w:p>
    <w:p w:rsidR="00CE0209" w:rsidRDefault="00CE0209" w:rsidP="0041017A">
      <w:pPr>
        <w:spacing w:after="0" w:line="240" w:lineRule="auto"/>
        <w:jc w:val="both"/>
        <w:rPr>
          <w:rFonts w:asciiTheme="minorBidi" w:hAnsiTheme="minorBidi"/>
        </w:rPr>
      </w:pPr>
      <w:r>
        <w:rPr>
          <w:rFonts w:asciiTheme="minorBidi" w:hAnsiTheme="minorBidi"/>
        </w:rPr>
        <w:t xml:space="preserve">In the context of the Case Study, it is likely that the Flow Management Group decided against pursuing a moratorium along similar lines to a s.64 Moratorium on the basis that it was seeking to implement a restructuring through an out-of-court workout rather than a formal insolvency procedure. </w:t>
      </w:r>
    </w:p>
    <w:p w:rsidR="00711EE1" w:rsidRDefault="00711EE1" w:rsidP="0041017A">
      <w:pPr>
        <w:spacing w:after="0" w:line="240" w:lineRule="auto"/>
        <w:jc w:val="both"/>
        <w:rPr>
          <w:rFonts w:asciiTheme="minorBidi" w:hAnsiTheme="minorBidi"/>
        </w:rPr>
      </w:pPr>
    </w:p>
    <w:p w:rsidR="00711EE1" w:rsidRDefault="00711EE1" w:rsidP="0041017A">
      <w:pPr>
        <w:spacing w:after="0" w:line="240" w:lineRule="auto"/>
        <w:jc w:val="both"/>
        <w:rPr>
          <w:rFonts w:asciiTheme="minorBidi" w:hAnsiTheme="minorBidi"/>
        </w:rPr>
      </w:pPr>
      <w:r>
        <w:rPr>
          <w:rFonts w:asciiTheme="minorBidi" w:hAnsiTheme="minorBidi"/>
        </w:rPr>
        <w:t xml:space="preserve">In respect of a JM/IJM Moratorium, </w:t>
      </w:r>
      <w:r w:rsidR="00F4124D">
        <w:rPr>
          <w:rFonts w:asciiTheme="minorBidi" w:hAnsiTheme="minorBidi"/>
        </w:rPr>
        <w:t xml:space="preserve">upon entering into judicial management or interim judicial management, the company will obtain a moratorium against a wide range of creditors actions. However, it is relevant to note that a judicial manager or interim judicial manager will be appointed to the company and will displace the authority of the existing directors. Accordingly, a JM/IJM Moratorium may not be desirable for a company that wishes for its existing management to stay in control. There is also the additional costs of the judicial manager and/or interim judicial manager </w:t>
      </w:r>
      <w:r w:rsidR="00267315">
        <w:rPr>
          <w:rFonts w:asciiTheme="minorBidi" w:hAnsiTheme="minorBidi"/>
        </w:rPr>
        <w:t>which need</w:t>
      </w:r>
      <w:r w:rsidR="007C466D">
        <w:rPr>
          <w:rFonts w:asciiTheme="minorBidi" w:hAnsiTheme="minorBidi"/>
        </w:rPr>
        <w:t>s</w:t>
      </w:r>
      <w:r w:rsidR="00267315">
        <w:rPr>
          <w:rFonts w:asciiTheme="minorBidi" w:hAnsiTheme="minorBidi"/>
        </w:rPr>
        <w:t xml:space="preserve"> to</w:t>
      </w:r>
      <w:r w:rsidR="00F4124D">
        <w:rPr>
          <w:rFonts w:asciiTheme="minorBidi" w:hAnsiTheme="minorBidi"/>
        </w:rPr>
        <w:t xml:space="preserve"> be taken into account</w:t>
      </w:r>
      <w:r w:rsidR="00267315">
        <w:rPr>
          <w:rFonts w:asciiTheme="minorBidi" w:hAnsiTheme="minorBidi"/>
        </w:rPr>
        <w:t xml:space="preserve"> by a company considering a JM/IJM Moratorium.</w:t>
      </w:r>
      <w:r w:rsidR="00F4124D">
        <w:rPr>
          <w:rFonts w:asciiTheme="minorBidi" w:hAnsiTheme="minorBidi"/>
        </w:rPr>
        <w:t xml:space="preserve"> </w:t>
      </w:r>
    </w:p>
    <w:p w:rsidR="00F4124D" w:rsidRDefault="00F4124D" w:rsidP="0041017A">
      <w:pPr>
        <w:spacing w:after="0" w:line="240" w:lineRule="auto"/>
        <w:jc w:val="both"/>
        <w:rPr>
          <w:rFonts w:asciiTheme="minorBidi" w:hAnsiTheme="minorBidi"/>
        </w:rPr>
      </w:pPr>
    </w:p>
    <w:p w:rsidR="00CE0209" w:rsidRDefault="00CE0209" w:rsidP="0041017A">
      <w:pPr>
        <w:spacing w:after="0" w:line="240" w:lineRule="auto"/>
        <w:jc w:val="both"/>
        <w:rPr>
          <w:rFonts w:asciiTheme="minorBidi" w:hAnsiTheme="minorBidi"/>
        </w:rPr>
      </w:pPr>
      <w:r>
        <w:rPr>
          <w:rFonts w:asciiTheme="minorBidi" w:hAnsiTheme="minorBidi"/>
        </w:rPr>
        <w:t xml:space="preserve">In the context of the Case Study, it is likely that the Flow Management Group decided against pursuing a moratorium along similar lines to a JM/IJM Moratorium on the basis that the management did not want to be displaced by </w:t>
      </w:r>
      <w:r w:rsidR="007C466D">
        <w:rPr>
          <w:rFonts w:asciiTheme="minorBidi" w:hAnsiTheme="minorBidi"/>
        </w:rPr>
        <w:t xml:space="preserve">(and incur the costs of) </w:t>
      </w:r>
      <w:r>
        <w:rPr>
          <w:rFonts w:asciiTheme="minorBidi" w:hAnsiTheme="minorBidi"/>
        </w:rPr>
        <w:t>an external administrator.</w:t>
      </w:r>
    </w:p>
    <w:p w:rsidR="00711EE1" w:rsidRDefault="00CE0209" w:rsidP="0041017A">
      <w:pPr>
        <w:spacing w:after="0" w:line="240" w:lineRule="auto"/>
        <w:jc w:val="both"/>
        <w:rPr>
          <w:rFonts w:asciiTheme="minorBidi" w:hAnsiTheme="minorBidi"/>
        </w:rPr>
      </w:pPr>
      <w:r>
        <w:rPr>
          <w:rFonts w:asciiTheme="minorBidi" w:hAnsiTheme="minorBidi"/>
        </w:rPr>
        <w:t xml:space="preserve"> </w:t>
      </w:r>
    </w:p>
    <w:p w:rsidR="00CE0209" w:rsidRDefault="00CE0209" w:rsidP="0041017A">
      <w:pPr>
        <w:spacing w:after="0" w:line="240" w:lineRule="auto"/>
        <w:jc w:val="both"/>
        <w:rPr>
          <w:rFonts w:asciiTheme="minorBidi" w:hAnsiTheme="minorBidi"/>
        </w:rPr>
      </w:pPr>
    </w:p>
    <w:p w:rsidR="00CE0209" w:rsidRDefault="00CE0209" w:rsidP="0041017A">
      <w:pPr>
        <w:spacing w:after="0" w:line="240" w:lineRule="auto"/>
        <w:jc w:val="both"/>
        <w:rPr>
          <w:rFonts w:asciiTheme="minorBidi" w:hAnsiTheme="minorBidi"/>
          <w:i/>
          <w:iCs/>
          <w:u w:val="single"/>
        </w:rPr>
      </w:pPr>
      <w:r>
        <w:rPr>
          <w:rFonts w:asciiTheme="minorBidi" w:hAnsiTheme="minorBidi"/>
          <w:i/>
          <w:iCs/>
          <w:u w:val="single"/>
        </w:rPr>
        <w:t xml:space="preserve">Moratoriums attract publicity </w:t>
      </w:r>
    </w:p>
    <w:p w:rsidR="00CE0209" w:rsidRDefault="00CE0209" w:rsidP="0041017A">
      <w:pPr>
        <w:spacing w:after="0" w:line="240" w:lineRule="auto"/>
        <w:jc w:val="both"/>
        <w:rPr>
          <w:rFonts w:asciiTheme="minorBidi" w:hAnsiTheme="minorBidi"/>
        </w:rPr>
      </w:pPr>
    </w:p>
    <w:p w:rsidR="00CE0209" w:rsidRDefault="00CE0209" w:rsidP="0041017A">
      <w:pPr>
        <w:spacing w:after="0" w:line="240" w:lineRule="auto"/>
        <w:jc w:val="both"/>
        <w:rPr>
          <w:rFonts w:asciiTheme="minorBidi" w:hAnsiTheme="minorBidi"/>
        </w:rPr>
      </w:pPr>
      <w:r>
        <w:rPr>
          <w:rFonts w:asciiTheme="minorBidi" w:hAnsiTheme="minorBidi"/>
        </w:rPr>
        <w:t xml:space="preserve">Upon filing a s.64 Moratorium, a company is required to (i) </w:t>
      </w:r>
      <w:r w:rsidRPr="00711EE1">
        <w:rPr>
          <w:rFonts w:asciiTheme="minorBidi" w:hAnsiTheme="minorBidi"/>
        </w:rPr>
        <w:t xml:space="preserve">publish a notice of the </w:t>
      </w:r>
      <w:r>
        <w:rPr>
          <w:rFonts w:asciiTheme="minorBidi" w:hAnsiTheme="minorBidi"/>
        </w:rPr>
        <w:t xml:space="preserve">s.64 Moratorium </w:t>
      </w:r>
      <w:r w:rsidRPr="00711EE1">
        <w:rPr>
          <w:rFonts w:asciiTheme="minorBidi" w:hAnsiTheme="minorBidi"/>
        </w:rPr>
        <w:t xml:space="preserve">in </w:t>
      </w:r>
      <w:r>
        <w:rPr>
          <w:rFonts w:asciiTheme="minorBidi" w:hAnsiTheme="minorBidi"/>
        </w:rPr>
        <w:t>Singapore’s</w:t>
      </w:r>
      <w:r w:rsidRPr="00711EE1">
        <w:rPr>
          <w:rFonts w:asciiTheme="minorBidi" w:hAnsiTheme="minorBidi"/>
        </w:rPr>
        <w:t xml:space="preserve"> </w:t>
      </w:r>
      <w:r>
        <w:rPr>
          <w:rFonts w:asciiTheme="minorBidi" w:hAnsiTheme="minorBidi"/>
        </w:rPr>
        <w:t>g</w:t>
      </w:r>
      <w:r w:rsidRPr="00711EE1">
        <w:rPr>
          <w:rFonts w:asciiTheme="minorBidi" w:hAnsiTheme="minorBidi"/>
        </w:rPr>
        <w:t>azette and in</w:t>
      </w:r>
      <w:r>
        <w:rPr>
          <w:rFonts w:asciiTheme="minorBidi" w:hAnsiTheme="minorBidi"/>
        </w:rPr>
        <w:t xml:space="preserve"> </w:t>
      </w:r>
      <w:r w:rsidRPr="00711EE1">
        <w:rPr>
          <w:rFonts w:asciiTheme="minorBidi" w:hAnsiTheme="minorBidi"/>
        </w:rPr>
        <w:t xml:space="preserve">at least one English local daily newspaper, and send </w:t>
      </w:r>
      <w:r w:rsidRPr="00711EE1">
        <w:rPr>
          <w:rFonts w:asciiTheme="minorBidi" w:hAnsiTheme="minorBidi"/>
        </w:rPr>
        <w:lastRenderedPageBreak/>
        <w:t>a copy of the notice</w:t>
      </w:r>
      <w:r>
        <w:rPr>
          <w:rFonts w:asciiTheme="minorBidi" w:hAnsiTheme="minorBidi"/>
        </w:rPr>
        <w:t xml:space="preserve"> </w:t>
      </w:r>
      <w:r w:rsidRPr="00711EE1">
        <w:rPr>
          <w:rFonts w:asciiTheme="minorBidi" w:hAnsiTheme="minorBidi"/>
        </w:rPr>
        <w:t xml:space="preserve">published in the Gazette to </w:t>
      </w:r>
      <w:r>
        <w:rPr>
          <w:rFonts w:asciiTheme="minorBidi" w:hAnsiTheme="minorBidi"/>
        </w:rPr>
        <w:t>Singapore’s</w:t>
      </w:r>
      <w:r w:rsidRPr="00711EE1">
        <w:rPr>
          <w:rFonts w:asciiTheme="minorBidi" w:hAnsiTheme="minorBidi"/>
        </w:rPr>
        <w:t xml:space="preserve"> </w:t>
      </w:r>
      <w:r>
        <w:rPr>
          <w:rFonts w:asciiTheme="minorBidi" w:hAnsiTheme="minorBidi"/>
        </w:rPr>
        <w:t>r</w:t>
      </w:r>
      <w:r w:rsidRPr="00711EE1">
        <w:rPr>
          <w:rFonts w:asciiTheme="minorBidi" w:hAnsiTheme="minorBidi"/>
        </w:rPr>
        <w:t xml:space="preserve">egistrar of </w:t>
      </w:r>
      <w:r>
        <w:rPr>
          <w:rFonts w:asciiTheme="minorBidi" w:hAnsiTheme="minorBidi"/>
        </w:rPr>
        <w:t>c</w:t>
      </w:r>
      <w:r w:rsidRPr="00711EE1">
        <w:rPr>
          <w:rFonts w:asciiTheme="minorBidi" w:hAnsiTheme="minorBidi"/>
        </w:rPr>
        <w:t>ompanies</w:t>
      </w:r>
      <w:r w:rsidR="00D24B64">
        <w:rPr>
          <w:rStyle w:val="FootnoteReference"/>
          <w:rFonts w:asciiTheme="minorBidi" w:hAnsiTheme="minorBidi"/>
        </w:rPr>
        <w:footnoteReference w:id="55"/>
      </w:r>
      <w:r>
        <w:rPr>
          <w:rFonts w:asciiTheme="minorBidi" w:hAnsiTheme="minorBidi"/>
        </w:rPr>
        <w:t xml:space="preserve"> and (ii) send a notice of the s.64 Moratorium to </w:t>
      </w:r>
      <w:r w:rsidRPr="00711EE1">
        <w:rPr>
          <w:rFonts w:asciiTheme="minorBidi" w:hAnsiTheme="minorBidi"/>
        </w:rPr>
        <w:t>each creditor meant to be bound by the intended or proposed</w:t>
      </w:r>
      <w:r>
        <w:rPr>
          <w:rFonts w:asciiTheme="minorBidi" w:hAnsiTheme="minorBidi"/>
        </w:rPr>
        <w:t xml:space="preserve"> </w:t>
      </w:r>
      <w:r w:rsidRPr="00711EE1">
        <w:rPr>
          <w:rFonts w:asciiTheme="minorBidi" w:hAnsiTheme="minorBidi"/>
        </w:rPr>
        <w:t>compromise or arrangement and who is known to the company</w:t>
      </w:r>
      <w:r w:rsidR="00D24B64">
        <w:rPr>
          <w:rFonts w:asciiTheme="minorBidi" w:hAnsiTheme="minorBidi"/>
        </w:rPr>
        <w:t>.</w:t>
      </w:r>
      <w:r w:rsidR="00D24B64">
        <w:rPr>
          <w:rStyle w:val="FootnoteReference"/>
          <w:rFonts w:asciiTheme="minorBidi" w:hAnsiTheme="minorBidi"/>
        </w:rPr>
        <w:footnoteReference w:id="56"/>
      </w:r>
      <w:r>
        <w:rPr>
          <w:rFonts w:asciiTheme="minorBidi" w:hAnsiTheme="minorBidi"/>
        </w:rPr>
        <w:t xml:space="preserve"> Accordingly, making a s.64 Moratorium is a very public process for a company.</w:t>
      </w:r>
    </w:p>
    <w:p w:rsidR="00CE0209" w:rsidRDefault="00CE0209" w:rsidP="0041017A">
      <w:pPr>
        <w:spacing w:after="0" w:line="240" w:lineRule="auto"/>
        <w:jc w:val="both"/>
        <w:rPr>
          <w:rFonts w:asciiTheme="minorBidi" w:hAnsiTheme="minorBidi"/>
        </w:rPr>
      </w:pPr>
    </w:p>
    <w:p w:rsidR="00CE0209" w:rsidRDefault="00CE0209" w:rsidP="0041017A">
      <w:pPr>
        <w:spacing w:after="0" w:line="240" w:lineRule="auto"/>
        <w:jc w:val="both"/>
        <w:rPr>
          <w:rFonts w:asciiTheme="minorBidi" w:hAnsiTheme="minorBidi"/>
        </w:rPr>
      </w:pPr>
      <w:r>
        <w:rPr>
          <w:rFonts w:asciiTheme="minorBidi" w:hAnsiTheme="minorBidi"/>
        </w:rPr>
        <w:t>Additionally, similar to a s.64 Moratorium, a JM/IJM Moratorium is a public process</w:t>
      </w:r>
      <w:r w:rsidR="007C466D">
        <w:rPr>
          <w:rFonts w:asciiTheme="minorBidi" w:hAnsiTheme="minorBidi"/>
        </w:rPr>
        <w:t>,</w:t>
      </w:r>
      <w:r>
        <w:rPr>
          <w:rFonts w:asciiTheme="minorBidi" w:hAnsiTheme="minorBidi"/>
        </w:rPr>
        <w:t xml:space="preserve"> with notice of the application for a JM/IJM Moratorium </w:t>
      </w:r>
      <w:r w:rsidR="007C466D">
        <w:rPr>
          <w:rFonts w:asciiTheme="minorBidi" w:hAnsiTheme="minorBidi"/>
        </w:rPr>
        <w:t>required</w:t>
      </w:r>
      <w:r>
        <w:rPr>
          <w:rFonts w:asciiTheme="minorBidi" w:hAnsiTheme="minorBidi"/>
        </w:rPr>
        <w:t xml:space="preserve"> to be published in Singapore’s</w:t>
      </w:r>
      <w:r w:rsidRPr="00711EE1">
        <w:rPr>
          <w:rFonts w:asciiTheme="minorBidi" w:hAnsiTheme="minorBidi"/>
        </w:rPr>
        <w:t xml:space="preserve"> </w:t>
      </w:r>
      <w:r>
        <w:rPr>
          <w:rFonts w:asciiTheme="minorBidi" w:hAnsiTheme="minorBidi"/>
        </w:rPr>
        <w:t>g</w:t>
      </w:r>
      <w:r w:rsidRPr="00711EE1">
        <w:rPr>
          <w:rFonts w:asciiTheme="minorBidi" w:hAnsiTheme="minorBidi"/>
        </w:rPr>
        <w:t>azette and in</w:t>
      </w:r>
      <w:r>
        <w:rPr>
          <w:rFonts w:asciiTheme="minorBidi" w:hAnsiTheme="minorBidi"/>
        </w:rPr>
        <w:t xml:space="preserve"> </w:t>
      </w:r>
      <w:r w:rsidRPr="00711EE1">
        <w:rPr>
          <w:rFonts w:asciiTheme="minorBidi" w:hAnsiTheme="minorBidi"/>
        </w:rPr>
        <w:t>at least one English local daily newspaper</w:t>
      </w:r>
      <w:r>
        <w:rPr>
          <w:rFonts w:asciiTheme="minorBidi" w:hAnsiTheme="minorBidi"/>
        </w:rPr>
        <w:t>.</w:t>
      </w:r>
      <w:r w:rsidR="00D24B64">
        <w:rPr>
          <w:rStyle w:val="FootnoteReference"/>
          <w:rFonts w:asciiTheme="minorBidi" w:hAnsiTheme="minorBidi"/>
        </w:rPr>
        <w:footnoteReference w:id="57"/>
      </w:r>
      <w:r>
        <w:rPr>
          <w:rFonts w:asciiTheme="minorBidi" w:hAnsiTheme="minorBidi"/>
        </w:rPr>
        <w:t xml:space="preserve"> </w:t>
      </w:r>
    </w:p>
    <w:p w:rsidR="00640095" w:rsidRDefault="00640095" w:rsidP="0041017A">
      <w:pPr>
        <w:spacing w:after="0" w:line="240" w:lineRule="auto"/>
        <w:jc w:val="both"/>
        <w:rPr>
          <w:rFonts w:asciiTheme="minorBidi" w:hAnsiTheme="minorBidi"/>
        </w:rPr>
      </w:pPr>
    </w:p>
    <w:p w:rsidR="00640095" w:rsidRDefault="00640095" w:rsidP="0041017A">
      <w:pPr>
        <w:spacing w:after="0" w:line="240" w:lineRule="auto"/>
        <w:jc w:val="both"/>
        <w:rPr>
          <w:rFonts w:asciiTheme="minorBidi" w:hAnsiTheme="minorBidi"/>
        </w:rPr>
      </w:pPr>
      <w:r>
        <w:rPr>
          <w:rFonts w:asciiTheme="minorBidi" w:hAnsiTheme="minorBidi"/>
        </w:rPr>
        <w:t>In the context of the Case Study, it is likely that the Flow Management Group decided against pursuing a moratorium as it was concerned regarding the potential implications of publicising the financial difficulties facing the Flow Management Group. Such publicity may have resulted in a “</w:t>
      </w:r>
      <w:r w:rsidRPr="00D24B64">
        <w:rPr>
          <w:rFonts w:asciiTheme="minorBidi" w:hAnsiTheme="minorBidi"/>
          <w:i/>
          <w:iCs/>
        </w:rPr>
        <w:t>race to collect</w:t>
      </w:r>
      <w:r>
        <w:rPr>
          <w:rFonts w:asciiTheme="minorBidi" w:hAnsiTheme="minorBidi"/>
        </w:rPr>
        <w:t>”</w:t>
      </w:r>
      <w:r w:rsidR="00D24B64">
        <w:rPr>
          <w:rStyle w:val="FootnoteReference"/>
          <w:rFonts w:asciiTheme="minorBidi" w:hAnsiTheme="minorBidi"/>
        </w:rPr>
        <w:footnoteReference w:id="58"/>
      </w:r>
      <w:r>
        <w:rPr>
          <w:rFonts w:asciiTheme="minorBidi" w:hAnsiTheme="minorBidi"/>
        </w:rPr>
        <w:t xml:space="preserve"> by the general body of creditors and may also </w:t>
      </w:r>
      <w:r w:rsidR="007C466D">
        <w:rPr>
          <w:rFonts w:asciiTheme="minorBidi" w:hAnsiTheme="minorBidi"/>
        </w:rPr>
        <w:t>have led</w:t>
      </w:r>
      <w:r>
        <w:rPr>
          <w:rFonts w:asciiTheme="minorBidi" w:hAnsiTheme="minorBidi"/>
        </w:rPr>
        <w:t xml:space="preserve"> to counterparties (such as suppliers and customers) becoming unwilling to deal with the Flow Management Group.</w:t>
      </w:r>
    </w:p>
    <w:p w:rsidR="00640095" w:rsidRDefault="00640095" w:rsidP="0041017A">
      <w:pPr>
        <w:spacing w:after="0" w:line="240" w:lineRule="auto"/>
        <w:jc w:val="both"/>
        <w:rPr>
          <w:rFonts w:asciiTheme="minorBidi" w:hAnsiTheme="minorBidi"/>
        </w:rPr>
      </w:pPr>
    </w:p>
    <w:p w:rsidR="00640095" w:rsidRDefault="00640095" w:rsidP="0041017A">
      <w:pPr>
        <w:spacing w:after="0" w:line="240" w:lineRule="auto"/>
        <w:jc w:val="both"/>
        <w:rPr>
          <w:rFonts w:asciiTheme="minorBidi" w:hAnsiTheme="minorBidi"/>
        </w:rPr>
      </w:pPr>
    </w:p>
    <w:p w:rsidR="00640095" w:rsidRDefault="00640095" w:rsidP="0041017A">
      <w:pPr>
        <w:spacing w:after="0" w:line="240" w:lineRule="auto"/>
        <w:jc w:val="both"/>
        <w:rPr>
          <w:rFonts w:asciiTheme="minorBidi" w:hAnsiTheme="minorBidi"/>
          <w:i/>
          <w:iCs/>
          <w:u w:val="single"/>
        </w:rPr>
      </w:pPr>
      <w:r>
        <w:rPr>
          <w:rFonts w:asciiTheme="minorBidi" w:hAnsiTheme="minorBidi"/>
          <w:i/>
          <w:iCs/>
          <w:u w:val="single"/>
        </w:rPr>
        <w:t>Standstill</w:t>
      </w:r>
      <w:r w:rsidR="00DC5C4E">
        <w:rPr>
          <w:rFonts w:asciiTheme="minorBidi" w:hAnsiTheme="minorBidi"/>
          <w:i/>
          <w:iCs/>
          <w:u w:val="single"/>
        </w:rPr>
        <w:t>s already in place</w:t>
      </w:r>
      <w:r>
        <w:rPr>
          <w:rFonts w:asciiTheme="minorBidi" w:hAnsiTheme="minorBidi"/>
          <w:i/>
          <w:iCs/>
          <w:u w:val="single"/>
        </w:rPr>
        <w:t xml:space="preserve"> </w:t>
      </w:r>
    </w:p>
    <w:p w:rsidR="00CE0209" w:rsidRDefault="00CE0209" w:rsidP="0041017A">
      <w:pPr>
        <w:spacing w:after="0" w:line="240" w:lineRule="auto"/>
        <w:jc w:val="both"/>
        <w:rPr>
          <w:rFonts w:asciiTheme="minorBidi" w:hAnsiTheme="minorBidi"/>
        </w:rPr>
      </w:pPr>
    </w:p>
    <w:p w:rsidR="00640095" w:rsidRDefault="00640095" w:rsidP="0041017A">
      <w:pPr>
        <w:spacing w:after="0" w:line="240" w:lineRule="auto"/>
        <w:jc w:val="both"/>
        <w:rPr>
          <w:rFonts w:asciiTheme="minorBidi" w:hAnsiTheme="minorBidi"/>
        </w:rPr>
      </w:pPr>
      <w:r>
        <w:rPr>
          <w:rFonts w:asciiTheme="minorBidi" w:hAnsiTheme="minorBidi"/>
        </w:rPr>
        <w:t xml:space="preserve">As mentioned in the response to question 5, the </w:t>
      </w:r>
      <w:r w:rsidRPr="00DC5C4E">
        <w:rPr>
          <w:rFonts w:asciiTheme="minorBidi" w:hAnsiTheme="minorBidi"/>
        </w:rPr>
        <w:t>Standstill Agreement</w:t>
      </w:r>
      <w:r w:rsidR="00DC5C4E" w:rsidRPr="00DC5C4E">
        <w:rPr>
          <w:rFonts w:asciiTheme="minorBidi" w:hAnsiTheme="minorBidi"/>
        </w:rPr>
        <w:t xml:space="preserve"> was in plac</w:t>
      </w:r>
      <w:r w:rsidR="00DC5C4E">
        <w:rPr>
          <w:rFonts w:asciiTheme="minorBidi" w:hAnsiTheme="minorBidi"/>
        </w:rPr>
        <w:t>e from August 2014 and, arguably, the De-Facto Standstill had been in place since November 2013.</w:t>
      </w:r>
    </w:p>
    <w:p w:rsidR="00DC5C4E" w:rsidRDefault="00DC5C4E" w:rsidP="0041017A">
      <w:pPr>
        <w:spacing w:after="0" w:line="240" w:lineRule="auto"/>
        <w:jc w:val="both"/>
        <w:rPr>
          <w:rFonts w:asciiTheme="minorBidi" w:hAnsiTheme="minorBidi"/>
        </w:rPr>
      </w:pPr>
    </w:p>
    <w:p w:rsidR="00DC5C4E" w:rsidRDefault="00DC5C4E" w:rsidP="0041017A">
      <w:pPr>
        <w:spacing w:after="0" w:line="240" w:lineRule="auto"/>
        <w:jc w:val="both"/>
        <w:rPr>
          <w:rFonts w:asciiTheme="minorBidi" w:hAnsiTheme="minorBidi"/>
        </w:rPr>
      </w:pPr>
      <w:r>
        <w:rPr>
          <w:rFonts w:asciiTheme="minorBidi" w:hAnsiTheme="minorBidi"/>
        </w:rPr>
        <w:t xml:space="preserve">Accordingly, </w:t>
      </w:r>
      <w:r w:rsidR="004C055B">
        <w:rPr>
          <w:rFonts w:asciiTheme="minorBidi" w:hAnsiTheme="minorBidi"/>
        </w:rPr>
        <w:t>it appears that the Flow Management Group decided against pursuing a moratorium</w:t>
      </w:r>
      <w:r w:rsidR="006B2C64">
        <w:rPr>
          <w:rFonts w:asciiTheme="minorBidi" w:hAnsiTheme="minorBidi"/>
        </w:rPr>
        <w:t xml:space="preserve"> in October 2014</w:t>
      </w:r>
      <w:r w:rsidR="004C055B">
        <w:rPr>
          <w:rFonts w:asciiTheme="minorBidi" w:hAnsiTheme="minorBidi"/>
        </w:rPr>
        <w:t xml:space="preserve"> as it considered </w:t>
      </w:r>
      <w:r w:rsidR="006B2C64">
        <w:rPr>
          <w:rFonts w:asciiTheme="minorBidi" w:hAnsiTheme="minorBidi"/>
        </w:rPr>
        <w:t xml:space="preserve">that </w:t>
      </w:r>
      <w:r w:rsidR="004C055B">
        <w:rPr>
          <w:rFonts w:asciiTheme="minorBidi" w:hAnsiTheme="minorBidi"/>
        </w:rPr>
        <w:t xml:space="preserve">the </w:t>
      </w:r>
      <w:r w:rsidR="004C055B" w:rsidRPr="00DC5C4E">
        <w:rPr>
          <w:rFonts w:asciiTheme="minorBidi" w:hAnsiTheme="minorBidi"/>
        </w:rPr>
        <w:t xml:space="preserve">Standstill Agreement </w:t>
      </w:r>
      <w:r w:rsidR="004C055B">
        <w:rPr>
          <w:rFonts w:asciiTheme="minorBidi" w:hAnsiTheme="minorBidi"/>
        </w:rPr>
        <w:t xml:space="preserve">and the De-Facto Standstill </w:t>
      </w:r>
      <w:r w:rsidR="006B4ECF">
        <w:rPr>
          <w:rFonts w:asciiTheme="minorBidi" w:hAnsiTheme="minorBidi"/>
        </w:rPr>
        <w:t>offered</w:t>
      </w:r>
      <w:r w:rsidR="004C055B">
        <w:rPr>
          <w:rFonts w:asciiTheme="minorBidi" w:hAnsiTheme="minorBidi"/>
        </w:rPr>
        <w:t xml:space="preserve"> similar protection for the Flow Management Group without the complications that a formal moratorium would offer (as discussed in relation to the s.64 Moratorium and the JM/IJM Moratorium above). </w:t>
      </w:r>
    </w:p>
    <w:p w:rsidR="004C055B" w:rsidRDefault="004C055B" w:rsidP="0041017A">
      <w:pPr>
        <w:spacing w:after="0" w:line="240" w:lineRule="auto"/>
        <w:jc w:val="both"/>
        <w:rPr>
          <w:rFonts w:asciiTheme="minorBidi" w:hAnsiTheme="minorBidi"/>
        </w:rPr>
      </w:pPr>
    </w:p>
    <w:p w:rsidR="004C055B" w:rsidRDefault="004C055B" w:rsidP="0041017A">
      <w:pPr>
        <w:spacing w:after="0" w:line="240" w:lineRule="auto"/>
        <w:jc w:val="both"/>
        <w:rPr>
          <w:rFonts w:asciiTheme="minorBidi" w:hAnsiTheme="minorBidi"/>
        </w:rPr>
      </w:pPr>
      <w:r>
        <w:rPr>
          <w:rFonts w:asciiTheme="minorBidi" w:hAnsiTheme="minorBidi"/>
        </w:rPr>
        <w:t xml:space="preserve">This approach would align with the commentary to </w:t>
      </w:r>
      <w:r w:rsidR="00D24B64">
        <w:rPr>
          <w:rFonts w:asciiTheme="minorBidi" w:hAnsiTheme="minorBidi"/>
        </w:rPr>
        <w:t>INSOL International’s</w:t>
      </w:r>
      <w:r>
        <w:rPr>
          <w:rFonts w:asciiTheme="minorBidi" w:hAnsiTheme="minorBidi"/>
        </w:rPr>
        <w:t xml:space="preserve"> Second Principle which provides that “</w:t>
      </w:r>
      <w:r>
        <w:rPr>
          <w:rFonts w:asciiTheme="minorBidi" w:hAnsiTheme="minorBidi"/>
          <w:i/>
          <w:iCs/>
        </w:rPr>
        <w:t>[e]</w:t>
      </w:r>
      <w:r w:rsidRPr="004C055B">
        <w:rPr>
          <w:rFonts w:asciiTheme="minorBidi" w:hAnsiTheme="minorBidi"/>
          <w:i/>
          <w:iCs/>
        </w:rPr>
        <w:t>ven in jurisdictions which provide for a statutory pre-insolvency moratorium on creditor claims, there is often still advantage to both creditors and the debtor in adopting an informal or contract-based approach so as to avoid the costs and publicity associated with any formal process.</w:t>
      </w:r>
      <w:r>
        <w:rPr>
          <w:rFonts w:asciiTheme="minorBidi" w:hAnsiTheme="minorBidi"/>
        </w:rPr>
        <w:t>”</w:t>
      </w:r>
      <w:r w:rsidR="00D24B64">
        <w:rPr>
          <w:rStyle w:val="FootnoteReference"/>
          <w:rFonts w:asciiTheme="minorBidi" w:hAnsiTheme="minorBidi"/>
        </w:rPr>
        <w:footnoteReference w:id="59"/>
      </w:r>
    </w:p>
    <w:p w:rsidR="006B2C64" w:rsidRDefault="006B2C64" w:rsidP="0041017A">
      <w:pPr>
        <w:spacing w:after="0" w:line="240" w:lineRule="auto"/>
        <w:jc w:val="both"/>
        <w:rPr>
          <w:rFonts w:asciiTheme="minorBidi" w:hAnsiTheme="minorBidi"/>
        </w:rPr>
      </w:pPr>
    </w:p>
    <w:p w:rsidR="006B2C64" w:rsidRDefault="006B2C64" w:rsidP="0041017A">
      <w:pPr>
        <w:spacing w:after="0" w:line="240" w:lineRule="auto"/>
        <w:jc w:val="both"/>
        <w:rPr>
          <w:rFonts w:asciiTheme="minorBidi" w:hAnsiTheme="minorBidi"/>
        </w:rPr>
      </w:pPr>
    </w:p>
    <w:p w:rsidR="006B2C64" w:rsidRDefault="006B2C64" w:rsidP="0041017A">
      <w:pPr>
        <w:spacing w:after="0" w:line="240" w:lineRule="auto"/>
        <w:jc w:val="both"/>
        <w:rPr>
          <w:rFonts w:asciiTheme="minorBidi" w:hAnsiTheme="minorBidi"/>
          <w:i/>
          <w:iCs/>
          <w:u w:val="single"/>
        </w:rPr>
      </w:pPr>
      <w:r>
        <w:rPr>
          <w:rFonts w:asciiTheme="minorBidi" w:hAnsiTheme="minorBidi"/>
          <w:i/>
          <w:iCs/>
          <w:u w:val="single"/>
        </w:rPr>
        <w:t xml:space="preserve">Conclusion </w:t>
      </w:r>
    </w:p>
    <w:p w:rsidR="006B2C64" w:rsidRDefault="006B2C64" w:rsidP="0041017A">
      <w:pPr>
        <w:spacing w:after="0" w:line="240" w:lineRule="auto"/>
        <w:jc w:val="both"/>
        <w:rPr>
          <w:rFonts w:asciiTheme="minorBidi" w:hAnsiTheme="minorBidi"/>
        </w:rPr>
      </w:pPr>
    </w:p>
    <w:p w:rsidR="006B2C64" w:rsidRDefault="00906548" w:rsidP="0041017A">
      <w:pPr>
        <w:spacing w:after="0" w:line="240" w:lineRule="auto"/>
        <w:jc w:val="both"/>
        <w:rPr>
          <w:rFonts w:asciiTheme="minorBidi" w:hAnsiTheme="minorBidi"/>
        </w:rPr>
      </w:pPr>
      <w:r>
        <w:rPr>
          <w:rFonts w:asciiTheme="minorBidi" w:hAnsiTheme="minorBidi"/>
        </w:rPr>
        <w:t>Given the situation in October 2014, not calling for a moratorium was the correct approach</w:t>
      </w:r>
      <w:r w:rsidR="009A15EA">
        <w:rPr>
          <w:rFonts w:asciiTheme="minorBidi" w:hAnsiTheme="minorBidi"/>
        </w:rPr>
        <w:t>. This was</w:t>
      </w:r>
      <w:r>
        <w:rPr>
          <w:rFonts w:asciiTheme="minorBidi" w:hAnsiTheme="minorBidi"/>
        </w:rPr>
        <w:t xml:space="preserve"> due to several factors including (i) </w:t>
      </w:r>
      <w:r w:rsidR="00870F93">
        <w:rPr>
          <w:rFonts w:asciiTheme="minorBidi" w:hAnsiTheme="minorBidi"/>
        </w:rPr>
        <w:t>the desire to implement the restructuring through an out-of-court workout rather than a formal insolvency procedure, (ii) the desire of the management of the Flow Management Group not to be displaced by an external administrator (iii) the benefits of not publicising the restructuring and (iv) the effectiveness of the standstills with the Working Capital Banks at that time.</w:t>
      </w:r>
    </w:p>
    <w:p w:rsidR="00DC5C4E" w:rsidRPr="00711EE1" w:rsidRDefault="00DC5C4E" w:rsidP="0041017A">
      <w:pPr>
        <w:spacing w:after="0" w:line="240" w:lineRule="auto"/>
        <w:jc w:val="both"/>
        <w:rPr>
          <w:rFonts w:asciiTheme="minorBidi" w:hAnsiTheme="minorBidi"/>
        </w:rPr>
      </w:pPr>
    </w:p>
    <w:sectPr w:rsidR="00DC5C4E" w:rsidRPr="00711E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EB5" w:rsidRDefault="00634EB5" w:rsidP="001D40EF">
      <w:pPr>
        <w:spacing w:after="0" w:line="240" w:lineRule="auto"/>
      </w:pPr>
      <w:r>
        <w:separator/>
      </w:r>
    </w:p>
  </w:endnote>
  <w:endnote w:type="continuationSeparator" w:id="0">
    <w:p w:rsidR="00634EB5" w:rsidRDefault="00634EB5" w:rsidP="001D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EB5" w:rsidRDefault="00634EB5" w:rsidP="001D40EF">
      <w:pPr>
        <w:spacing w:after="0" w:line="240" w:lineRule="auto"/>
      </w:pPr>
      <w:r>
        <w:separator/>
      </w:r>
    </w:p>
  </w:footnote>
  <w:footnote w:type="continuationSeparator" w:id="0">
    <w:p w:rsidR="00634EB5" w:rsidRDefault="00634EB5" w:rsidP="001D40EF">
      <w:pPr>
        <w:spacing w:after="0" w:line="240" w:lineRule="auto"/>
      </w:pPr>
      <w:r>
        <w:continuationSeparator/>
      </w:r>
    </w:p>
  </w:footnote>
  <w:footnote w:id="1">
    <w:p w:rsidR="00591C19" w:rsidRDefault="00591C19" w:rsidP="00AE4E66">
      <w:pPr>
        <w:pStyle w:val="FootnoteText"/>
      </w:pPr>
      <w:r>
        <w:rPr>
          <w:rStyle w:val="FootnoteReference"/>
        </w:rPr>
        <w:footnoteRef/>
      </w:r>
      <w:r>
        <w:t xml:space="preserve"> Mellahi, K., &amp; Wilkinson, A. (2004). Organizational failure: a critique of recent research and a proposed integrative framework. </w:t>
      </w:r>
      <w:r w:rsidRPr="00BE7EF4">
        <w:rPr>
          <w:i/>
          <w:iCs/>
        </w:rPr>
        <w:t>International Journal of Management Reviews</w:t>
      </w:r>
      <w:r>
        <w:t>, 5(1), 21-41 at 21.</w:t>
      </w:r>
    </w:p>
  </w:footnote>
  <w:footnote w:id="2">
    <w:p w:rsidR="00591C19" w:rsidRDefault="00591C19">
      <w:pPr>
        <w:pStyle w:val="FootnoteText"/>
      </w:pPr>
      <w:r>
        <w:rPr>
          <w:rStyle w:val="FootnoteReference"/>
        </w:rPr>
        <w:footnoteRef/>
      </w:r>
      <w:r>
        <w:t xml:space="preserve"> Ibid at 31.</w:t>
      </w:r>
    </w:p>
  </w:footnote>
  <w:footnote w:id="3">
    <w:p w:rsidR="00591C19" w:rsidRDefault="00591C19" w:rsidP="005B31B3">
      <w:pPr>
        <w:pStyle w:val="FootnoteText"/>
      </w:pPr>
      <w:r>
        <w:rPr>
          <w:rStyle w:val="FootnoteReference"/>
        </w:rPr>
        <w:footnoteRef/>
      </w:r>
      <w:r>
        <w:t xml:space="preserve"> Dess, G.G. and Beard, D.W. (1984). Dimensions of organizational task environments. Administrative Science Quarterly, 29, 52–73.</w:t>
      </w:r>
    </w:p>
  </w:footnote>
  <w:footnote w:id="4">
    <w:p w:rsidR="00591C19" w:rsidRDefault="00591C19" w:rsidP="005B31B3">
      <w:pPr>
        <w:pStyle w:val="FootnoteText"/>
      </w:pPr>
      <w:r>
        <w:rPr>
          <w:rStyle w:val="FootnoteReference"/>
        </w:rPr>
        <w:footnoteRef/>
      </w:r>
      <w:r>
        <w:t xml:space="preserve"> Anderson, P. and Tushman, M. (2001). Organizational environments and industry exit: the effects of uncertainty, munificence and complexity. </w:t>
      </w:r>
      <w:r w:rsidRPr="005B31B3">
        <w:rPr>
          <w:i/>
          <w:iCs/>
        </w:rPr>
        <w:t>Industrial and Corporate Change</w:t>
      </w:r>
      <w:r>
        <w:t xml:space="preserve">, 10, 675–711 at </w:t>
      </w:r>
      <w:r w:rsidRPr="00D01A04">
        <w:t>69</w:t>
      </w:r>
      <w:r>
        <w:t>.</w:t>
      </w:r>
    </w:p>
  </w:footnote>
  <w:footnote w:id="5">
    <w:p w:rsidR="00591C19" w:rsidRDefault="00591C19" w:rsidP="006E386A">
      <w:pPr>
        <w:pStyle w:val="FootnoteText"/>
      </w:pPr>
      <w:r>
        <w:rPr>
          <w:rStyle w:val="FootnoteReference"/>
        </w:rPr>
        <w:footnoteRef/>
      </w:r>
      <w:r>
        <w:t xml:space="preserve"> Hannan, M.T. and Freeman, J.H. (1984). Structural inertia and organizational change. </w:t>
      </w:r>
      <w:r w:rsidRPr="00E03F41">
        <w:rPr>
          <w:i/>
          <w:iCs/>
        </w:rPr>
        <w:t>American Sociological Review</w:t>
      </w:r>
      <w:r>
        <w:t>, 49, 149–164.</w:t>
      </w:r>
    </w:p>
  </w:footnote>
  <w:footnote w:id="6">
    <w:p w:rsidR="00591C19" w:rsidRDefault="00591C19" w:rsidP="00E03F41">
      <w:pPr>
        <w:pStyle w:val="FootnoteText"/>
      </w:pPr>
      <w:r>
        <w:rPr>
          <w:rStyle w:val="FootnoteReference"/>
        </w:rPr>
        <w:footnoteRef/>
      </w:r>
      <w:r>
        <w:t xml:space="preserve"> Mellahi, </w:t>
      </w:r>
      <w:r w:rsidRPr="009C2D35">
        <w:rPr>
          <w:i/>
          <w:iCs/>
        </w:rPr>
        <w:t>op cit</w:t>
      </w:r>
      <w:r>
        <w:rPr>
          <w:i/>
          <w:iCs/>
        </w:rPr>
        <w:t xml:space="preserve"> </w:t>
      </w:r>
      <w:r>
        <w:t>note 1, at 25.</w:t>
      </w:r>
    </w:p>
  </w:footnote>
  <w:footnote w:id="7">
    <w:p w:rsidR="00591C19" w:rsidRDefault="00591C19" w:rsidP="00E03F41">
      <w:pPr>
        <w:pStyle w:val="FootnoteText"/>
      </w:pPr>
      <w:r>
        <w:rPr>
          <w:rStyle w:val="FootnoteReference"/>
        </w:rPr>
        <w:footnoteRef/>
      </w:r>
      <w:r>
        <w:t xml:space="preserve"> Balderston, F.E. (1972). Varieties of financial crisis. For Foundation Program for Research in University Administration. University of California, Berkeley. </w:t>
      </w:r>
    </w:p>
  </w:footnote>
  <w:footnote w:id="8">
    <w:p w:rsidR="00591C19" w:rsidRDefault="00591C19" w:rsidP="00E03F41">
      <w:pPr>
        <w:pStyle w:val="FootnoteText"/>
      </w:pPr>
      <w:r>
        <w:rPr>
          <w:rStyle w:val="FootnoteReference"/>
        </w:rPr>
        <w:footnoteRef/>
      </w:r>
      <w:r>
        <w:t xml:space="preserve"> Boulding, K.A. (1950). </w:t>
      </w:r>
      <w:r w:rsidRPr="006E386A">
        <w:rPr>
          <w:i/>
          <w:iCs/>
        </w:rPr>
        <w:t>A Reconstruction of Economics</w:t>
      </w:r>
      <w:r>
        <w:t xml:space="preserve">. New York: Wiley, at 38. </w:t>
      </w:r>
    </w:p>
  </w:footnote>
  <w:footnote w:id="9">
    <w:p w:rsidR="00591C19" w:rsidRDefault="00591C19" w:rsidP="00AD18B0">
      <w:pPr>
        <w:pStyle w:val="FootnoteText"/>
      </w:pPr>
      <w:r>
        <w:rPr>
          <w:rStyle w:val="FootnoteReference"/>
        </w:rPr>
        <w:footnoteRef/>
      </w:r>
      <w:r>
        <w:t xml:space="preserve"> Hambrick, D. and Mason, P. (1984). Upper echelons: the organization as a reflection of top managers. </w:t>
      </w:r>
      <w:r w:rsidRPr="00C91EB7">
        <w:rPr>
          <w:i/>
          <w:iCs/>
        </w:rPr>
        <w:t>Academy of Management Review</w:t>
      </w:r>
      <w:r>
        <w:t>, 9, 193–206.</w:t>
      </w:r>
    </w:p>
  </w:footnote>
  <w:footnote w:id="10">
    <w:p w:rsidR="00591C19" w:rsidRDefault="00591C19" w:rsidP="007B1EF7">
      <w:pPr>
        <w:pStyle w:val="FootnoteText"/>
      </w:pPr>
      <w:r>
        <w:rPr>
          <w:rStyle w:val="FootnoteReference"/>
        </w:rPr>
        <w:footnoteRef/>
      </w:r>
      <w:r>
        <w:t xml:space="preserve"> Miller, D. (1990). </w:t>
      </w:r>
      <w:r w:rsidRPr="007B1EF7">
        <w:rPr>
          <w:i/>
          <w:iCs/>
        </w:rPr>
        <w:t>The Icarus Paradox: How Exceptional Companies Bring About Their Own Downfall: New Lessons in the Dynamics of Corporate Success, Decline, and Renewal</w:t>
      </w:r>
      <w:r>
        <w:t>. New York: Harper Business.</w:t>
      </w:r>
    </w:p>
  </w:footnote>
  <w:footnote w:id="11">
    <w:p w:rsidR="00591C19" w:rsidRDefault="00591C19" w:rsidP="007B1EF7">
      <w:pPr>
        <w:pStyle w:val="FootnoteText"/>
      </w:pPr>
      <w:r>
        <w:rPr>
          <w:rStyle w:val="FootnoteReference"/>
        </w:rPr>
        <w:footnoteRef/>
      </w:r>
      <w:r>
        <w:t xml:space="preserve"> Ranft, L.A. and O’Neill, M.H. (2001). Board composition and high-flying founders: hints of trouble to come? </w:t>
      </w:r>
      <w:r w:rsidRPr="007B1EF7">
        <w:rPr>
          <w:i/>
          <w:iCs/>
        </w:rPr>
        <w:t>Academy of Management Executive</w:t>
      </w:r>
      <w:r>
        <w:t>, 15, 126–138 at 126.</w:t>
      </w:r>
    </w:p>
  </w:footnote>
  <w:footnote w:id="12">
    <w:p w:rsidR="00591C19" w:rsidRDefault="00591C19" w:rsidP="00001224">
      <w:pPr>
        <w:pStyle w:val="FootnoteText"/>
      </w:pPr>
      <w:r>
        <w:rPr>
          <w:rStyle w:val="FootnoteReference"/>
        </w:rPr>
        <w:footnoteRef/>
      </w:r>
      <w:r>
        <w:t xml:space="preserve"> Mellahi, </w:t>
      </w:r>
      <w:r w:rsidRPr="009C2D35">
        <w:rPr>
          <w:i/>
          <w:iCs/>
        </w:rPr>
        <w:t>op cit</w:t>
      </w:r>
      <w:r>
        <w:rPr>
          <w:i/>
          <w:iCs/>
        </w:rPr>
        <w:t xml:space="preserve"> </w:t>
      </w:r>
      <w:r>
        <w:t>note 1, at 34.</w:t>
      </w:r>
    </w:p>
  </w:footnote>
  <w:footnote w:id="13">
    <w:p w:rsidR="00591C19" w:rsidRDefault="00591C19" w:rsidP="0029102C">
      <w:pPr>
        <w:pStyle w:val="FootnoteText"/>
      </w:pPr>
      <w:r>
        <w:rPr>
          <w:rStyle w:val="FootnoteReference"/>
        </w:rPr>
        <w:footnoteRef/>
      </w:r>
      <w:r>
        <w:t xml:space="preserve"> Pajunen, K. (2006). Stakeholder Influences in Organizational Survival. Journal of Management Studies, 43(6), 1261-1288. </w:t>
      </w:r>
    </w:p>
  </w:footnote>
  <w:footnote w:id="14">
    <w:p w:rsidR="00591C19" w:rsidRDefault="00591C19">
      <w:pPr>
        <w:pStyle w:val="FootnoteText"/>
      </w:pPr>
      <w:r>
        <w:rPr>
          <w:rStyle w:val="FootnoteReference"/>
        </w:rPr>
        <w:footnoteRef/>
      </w:r>
      <w:r>
        <w:t xml:space="preserve"> Ibid at 1282.</w:t>
      </w:r>
    </w:p>
  </w:footnote>
  <w:footnote w:id="15">
    <w:p w:rsidR="00591C19" w:rsidRDefault="00591C19">
      <w:pPr>
        <w:pStyle w:val="FootnoteText"/>
      </w:pPr>
      <w:r>
        <w:rPr>
          <w:rStyle w:val="FootnoteReference"/>
        </w:rPr>
        <w:footnoteRef/>
      </w:r>
      <w:r>
        <w:t xml:space="preserve"> Ibid.</w:t>
      </w:r>
    </w:p>
  </w:footnote>
  <w:footnote w:id="16">
    <w:p w:rsidR="00591C19" w:rsidRDefault="00591C19">
      <w:pPr>
        <w:pStyle w:val="FootnoteText"/>
      </w:pPr>
      <w:r>
        <w:rPr>
          <w:rStyle w:val="FootnoteReference"/>
        </w:rPr>
        <w:footnoteRef/>
      </w:r>
      <w:r>
        <w:t xml:space="preserve"> Ibid at 1268.</w:t>
      </w:r>
    </w:p>
  </w:footnote>
  <w:footnote w:id="17">
    <w:p w:rsidR="00591C19" w:rsidRPr="00C96320" w:rsidRDefault="00591C19" w:rsidP="00DA4F9D">
      <w:pPr>
        <w:pStyle w:val="FootnoteText"/>
      </w:pPr>
      <w:r>
        <w:rPr>
          <w:rStyle w:val="FootnoteReference"/>
        </w:rPr>
        <w:footnoteRef/>
      </w:r>
      <w:r>
        <w:t xml:space="preserve"> Adriaanse, J.A.A., &amp; Kuijl, J.G. (2006). Resolving Financial Distress: Informal Reorganization in The Netherlands as a Beacon for Policy Makers in the CIS and CEE/SEE Regions?, </w:t>
      </w:r>
      <w:r w:rsidRPr="00DA4F9D">
        <w:rPr>
          <w:i/>
          <w:iCs/>
        </w:rPr>
        <w:t>Review of Central and East European Law</w:t>
      </w:r>
      <w:r>
        <w:t>, 31(2), 135-154.</w:t>
      </w:r>
    </w:p>
  </w:footnote>
  <w:footnote w:id="18">
    <w:p w:rsidR="00591C19" w:rsidRDefault="00591C19">
      <w:pPr>
        <w:pStyle w:val="FootnoteText"/>
      </w:pPr>
      <w:r>
        <w:rPr>
          <w:rStyle w:val="FootnoteReference"/>
        </w:rPr>
        <w:footnoteRef/>
      </w:r>
      <w:r>
        <w:t xml:space="preserve"> Ibid at 145.</w:t>
      </w:r>
    </w:p>
  </w:footnote>
  <w:footnote w:id="19">
    <w:p w:rsidR="00591C19" w:rsidRDefault="00591C19" w:rsidP="006429FC">
      <w:pPr>
        <w:pStyle w:val="FootnoteText"/>
      </w:pPr>
      <w:r>
        <w:rPr>
          <w:rStyle w:val="FootnoteReference"/>
        </w:rPr>
        <w:footnoteRef/>
      </w:r>
      <w:r>
        <w:t xml:space="preserve"> Gilson, S, </w:t>
      </w:r>
      <w:r w:rsidRPr="005C1C97">
        <w:rPr>
          <w:i/>
          <w:iCs/>
        </w:rPr>
        <w:t>et al</w:t>
      </w:r>
      <w:r>
        <w:t xml:space="preserve">. (1990), Troubled Debt Restructurings: An Empirical Study of Private Reorganization of Firms in Default, </w:t>
      </w:r>
      <w:r w:rsidRPr="006429FC">
        <w:rPr>
          <w:i/>
          <w:iCs/>
        </w:rPr>
        <w:t>Journal of Financial Economics</w:t>
      </w:r>
      <w:r>
        <w:t>, 77-124, at 109.</w:t>
      </w:r>
    </w:p>
  </w:footnote>
  <w:footnote w:id="20">
    <w:p w:rsidR="00591C19" w:rsidRDefault="00591C19" w:rsidP="007B21CC">
      <w:pPr>
        <w:pStyle w:val="FootnoteText"/>
      </w:pPr>
      <w:r>
        <w:rPr>
          <w:rStyle w:val="FootnoteReference"/>
        </w:rPr>
        <w:footnoteRef/>
      </w:r>
      <w:r>
        <w:t xml:space="preserve"> INSOL International. (2017), Statement of Principles for a Global Approach to Multi-Creditor Workouts II.</w:t>
      </w:r>
    </w:p>
  </w:footnote>
  <w:footnote w:id="21">
    <w:p w:rsidR="00591C19" w:rsidRDefault="00591C19">
      <w:pPr>
        <w:pStyle w:val="FootnoteText"/>
      </w:pPr>
      <w:r>
        <w:rPr>
          <w:rStyle w:val="FootnoteReference"/>
        </w:rPr>
        <w:footnoteRef/>
      </w:r>
      <w:r>
        <w:t xml:space="preserve"> Adriaanse, </w:t>
      </w:r>
      <w:r>
        <w:rPr>
          <w:i/>
          <w:iCs/>
        </w:rPr>
        <w:t xml:space="preserve">op cit </w:t>
      </w:r>
      <w:r>
        <w:t xml:space="preserve">note 17, at 146. </w:t>
      </w:r>
    </w:p>
  </w:footnote>
  <w:footnote w:id="22">
    <w:p w:rsidR="00591C19" w:rsidRDefault="00591C19">
      <w:pPr>
        <w:pStyle w:val="FootnoteText"/>
      </w:pPr>
      <w:r>
        <w:rPr>
          <w:rStyle w:val="FootnoteReference"/>
        </w:rPr>
        <w:footnoteRef/>
      </w:r>
      <w:r>
        <w:t xml:space="preserve"> </w:t>
      </w:r>
      <w:r w:rsidRPr="00703AE6">
        <w:t>Ellias, Jared A., Employee Bankruptcy Trauma (August 14, 2023). Available at SSRN:</w:t>
      </w:r>
      <w:r>
        <w:t xml:space="preserve"> </w:t>
      </w:r>
      <w:hyperlink r:id="rId1" w:history="1">
        <w:r w:rsidRPr="00F139CD">
          <w:rPr>
            <w:rStyle w:val="Hyperlink"/>
          </w:rPr>
          <w:t>https://ssrn.com/abstract=4540838</w:t>
        </w:r>
      </w:hyperlink>
      <w:r>
        <w:t xml:space="preserve">. </w:t>
      </w:r>
    </w:p>
  </w:footnote>
  <w:footnote w:id="23">
    <w:p w:rsidR="00591C19" w:rsidRDefault="00591C19">
      <w:pPr>
        <w:pStyle w:val="FootnoteText"/>
      </w:pPr>
      <w:r>
        <w:rPr>
          <w:rStyle w:val="FootnoteReference"/>
        </w:rPr>
        <w:footnoteRef/>
      </w:r>
      <w:r>
        <w:t xml:space="preserve"> Adriaanse, </w:t>
      </w:r>
      <w:r>
        <w:rPr>
          <w:i/>
          <w:iCs/>
        </w:rPr>
        <w:t xml:space="preserve">op cit </w:t>
      </w:r>
      <w:r>
        <w:t>note 17, at 146.</w:t>
      </w:r>
    </w:p>
  </w:footnote>
  <w:footnote w:id="24">
    <w:p w:rsidR="00591C19" w:rsidRDefault="00591C19" w:rsidP="0029102C">
      <w:pPr>
        <w:pStyle w:val="FootnoteText"/>
      </w:pPr>
      <w:r>
        <w:rPr>
          <w:rStyle w:val="FootnoteReference"/>
        </w:rPr>
        <w:footnoteRef/>
      </w:r>
      <w:r>
        <w:t xml:space="preserve"> Pajunen, </w:t>
      </w:r>
      <w:r w:rsidRPr="009C2D35">
        <w:rPr>
          <w:i/>
          <w:iCs/>
        </w:rPr>
        <w:t>op cit</w:t>
      </w:r>
      <w:r>
        <w:rPr>
          <w:i/>
          <w:iCs/>
        </w:rPr>
        <w:t xml:space="preserve"> </w:t>
      </w:r>
      <w:r>
        <w:t xml:space="preserve">note 13, at 1281. </w:t>
      </w:r>
    </w:p>
  </w:footnote>
  <w:footnote w:id="25">
    <w:p w:rsidR="00591C19" w:rsidRDefault="00591C19" w:rsidP="00A33333">
      <w:pPr>
        <w:pStyle w:val="FootnoteText"/>
      </w:pPr>
      <w:r>
        <w:rPr>
          <w:rStyle w:val="FootnoteReference"/>
        </w:rPr>
        <w:footnoteRef/>
      </w:r>
      <w:r>
        <w:t xml:space="preserve"> DiNapoli, D, and Fuhr, E, “Trouble Spotting: Assessing the Likelihood of a Turnaround”, in Dominic DiNapoli (ed.), </w:t>
      </w:r>
      <w:r w:rsidRPr="00635802">
        <w:rPr>
          <w:i/>
          <w:iCs/>
        </w:rPr>
        <w:t>Workouts &amp; Turnarounds II, Global Restructuring Strategies for the Next Century, Insights from the Leading Authorities in the Field</w:t>
      </w:r>
      <w:r>
        <w:t xml:space="preserve"> (John Wiley &amp; Sons, New York, 1999), 1-20, at 2-3.</w:t>
      </w:r>
    </w:p>
  </w:footnote>
  <w:footnote w:id="26">
    <w:p w:rsidR="00591C19" w:rsidRDefault="00591C19">
      <w:pPr>
        <w:pStyle w:val="FootnoteText"/>
      </w:pPr>
      <w:r>
        <w:rPr>
          <w:rStyle w:val="FootnoteReference"/>
        </w:rPr>
        <w:footnoteRef/>
      </w:r>
      <w:r>
        <w:t xml:space="preserve"> Adriaanse, </w:t>
      </w:r>
      <w:r>
        <w:rPr>
          <w:i/>
          <w:iCs/>
        </w:rPr>
        <w:t xml:space="preserve">op cit </w:t>
      </w:r>
      <w:r>
        <w:t>note 17, at 144.</w:t>
      </w:r>
    </w:p>
  </w:footnote>
  <w:footnote w:id="27">
    <w:p w:rsidR="00591C19" w:rsidRDefault="00591C19" w:rsidP="00277A8E">
      <w:pPr>
        <w:pStyle w:val="FootnoteText"/>
      </w:pPr>
      <w:r>
        <w:rPr>
          <w:rStyle w:val="FootnoteReference"/>
        </w:rPr>
        <w:footnoteRef/>
      </w:r>
      <w:r>
        <w:t xml:space="preserve"> Sudarsanam, S, Lai, J., (2001), ‘Corporate Financial Distress and Turnaround Strategies: An Empirical Analysis’, </w:t>
      </w:r>
      <w:r w:rsidRPr="00277A8E">
        <w:rPr>
          <w:i/>
          <w:iCs/>
        </w:rPr>
        <w:t>British Journal of Management</w:t>
      </w:r>
      <w:r>
        <w:t>, Vol. 12, 183-199 at 197.</w:t>
      </w:r>
    </w:p>
  </w:footnote>
  <w:footnote w:id="28">
    <w:p w:rsidR="00591C19" w:rsidRDefault="00591C19" w:rsidP="00301656">
      <w:pPr>
        <w:spacing w:after="0"/>
      </w:pPr>
      <w:r>
        <w:rPr>
          <w:rStyle w:val="FootnoteReference"/>
        </w:rPr>
        <w:footnoteRef/>
      </w:r>
      <w:r>
        <w:t xml:space="preserve"> </w:t>
      </w:r>
      <w:r w:rsidRPr="00301656">
        <w:rPr>
          <w:sz w:val="20"/>
          <w:szCs w:val="20"/>
        </w:rPr>
        <w:t>Schmitt, A., Raisch, S. (2013). ‘Corporate Turnarounds: The Duality of Retrenchment and</w:t>
      </w:r>
      <w:r>
        <w:rPr>
          <w:sz w:val="20"/>
          <w:szCs w:val="20"/>
        </w:rPr>
        <w:t xml:space="preserve"> </w:t>
      </w:r>
      <w:r w:rsidRPr="00301656">
        <w:rPr>
          <w:sz w:val="20"/>
          <w:szCs w:val="20"/>
        </w:rPr>
        <w:t xml:space="preserve">Recovery’, </w:t>
      </w:r>
      <w:r w:rsidRPr="00F7639B">
        <w:rPr>
          <w:i/>
          <w:iCs/>
          <w:sz w:val="20"/>
          <w:szCs w:val="20"/>
        </w:rPr>
        <w:t>Journal of Management Studies</w:t>
      </w:r>
      <w:r w:rsidRPr="00301656">
        <w:rPr>
          <w:sz w:val="20"/>
          <w:szCs w:val="20"/>
        </w:rPr>
        <w:t>, 50(7)</w:t>
      </w:r>
      <w:r>
        <w:rPr>
          <w:sz w:val="20"/>
          <w:szCs w:val="20"/>
        </w:rPr>
        <w:t>, 1</w:t>
      </w:r>
      <w:r w:rsidRPr="00301656">
        <w:rPr>
          <w:sz w:val="20"/>
          <w:szCs w:val="20"/>
        </w:rPr>
        <w:t>216-1244</w:t>
      </w:r>
      <w:r>
        <w:rPr>
          <w:sz w:val="20"/>
          <w:szCs w:val="20"/>
        </w:rPr>
        <w:t xml:space="preserve"> at 1236.</w:t>
      </w:r>
    </w:p>
  </w:footnote>
  <w:footnote w:id="29">
    <w:p w:rsidR="00591C19" w:rsidRDefault="00591C19">
      <w:pPr>
        <w:pStyle w:val="FootnoteText"/>
      </w:pPr>
      <w:r>
        <w:rPr>
          <w:rStyle w:val="FootnoteReference"/>
        </w:rPr>
        <w:footnoteRef/>
      </w:r>
      <w:r>
        <w:t xml:space="preserve"> Pajunen, </w:t>
      </w:r>
      <w:r w:rsidRPr="009C2D35">
        <w:rPr>
          <w:i/>
          <w:iCs/>
        </w:rPr>
        <w:t>op cit</w:t>
      </w:r>
      <w:r>
        <w:rPr>
          <w:i/>
          <w:iCs/>
        </w:rPr>
        <w:t xml:space="preserve"> </w:t>
      </w:r>
      <w:r>
        <w:t>note 13, at 1281.</w:t>
      </w:r>
    </w:p>
  </w:footnote>
  <w:footnote w:id="30">
    <w:p w:rsidR="00591C19" w:rsidRDefault="00591C19">
      <w:pPr>
        <w:pStyle w:val="FootnoteText"/>
      </w:pPr>
      <w:r>
        <w:rPr>
          <w:rStyle w:val="FootnoteReference"/>
        </w:rPr>
        <w:footnoteRef/>
      </w:r>
      <w:r>
        <w:t xml:space="preserve"> Ibid at 1274.</w:t>
      </w:r>
    </w:p>
  </w:footnote>
  <w:footnote w:id="31">
    <w:p w:rsidR="00591C19" w:rsidRDefault="00591C19">
      <w:pPr>
        <w:pStyle w:val="FootnoteText"/>
      </w:pPr>
      <w:r>
        <w:rPr>
          <w:rStyle w:val="FootnoteReference"/>
        </w:rPr>
        <w:footnoteRef/>
      </w:r>
      <w:r>
        <w:t xml:space="preserve"> Ibid at 1272.</w:t>
      </w:r>
    </w:p>
  </w:footnote>
  <w:footnote w:id="32">
    <w:p w:rsidR="00591C19" w:rsidRDefault="00591C19">
      <w:pPr>
        <w:pStyle w:val="FootnoteText"/>
      </w:pPr>
      <w:r>
        <w:rPr>
          <w:rStyle w:val="FootnoteReference"/>
        </w:rPr>
        <w:footnoteRef/>
      </w:r>
      <w:r>
        <w:t xml:space="preserve"> Ibid at 1279.</w:t>
      </w:r>
    </w:p>
  </w:footnote>
  <w:footnote w:id="33">
    <w:p w:rsidR="00591C19" w:rsidRDefault="00591C19">
      <w:pPr>
        <w:pStyle w:val="FootnoteText"/>
      </w:pPr>
      <w:r>
        <w:rPr>
          <w:rStyle w:val="FootnoteReference"/>
        </w:rPr>
        <w:footnoteRef/>
      </w:r>
      <w:r>
        <w:t xml:space="preserve"> Adriaanse, </w:t>
      </w:r>
      <w:r>
        <w:rPr>
          <w:i/>
          <w:iCs/>
        </w:rPr>
        <w:t xml:space="preserve">op cit </w:t>
      </w:r>
      <w:r>
        <w:t xml:space="preserve">note 17, at 151. </w:t>
      </w:r>
    </w:p>
  </w:footnote>
  <w:footnote w:id="34">
    <w:p w:rsidR="00591C19" w:rsidRDefault="00591C19" w:rsidP="000E480D">
      <w:pPr>
        <w:pStyle w:val="FootnoteText"/>
      </w:pPr>
      <w:r>
        <w:rPr>
          <w:rStyle w:val="FootnoteReference"/>
        </w:rPr>
        <w:footnoteRef/>
      </w:r>
      <w:r>
        <w:t xml:space="preserve"> </w:t>
      </w:r>
      <w:r w:rsidRPr="000E480D">
        <w:t>International Insolvency Institute and the Asian Business Law Institute</w:t>
      </w:r>
      <w:r>
        <w:t xml:space="preserve"> (2023), </w:t>
      </w:r>
      <w:r w:rsidRPr="000E480D">
        <w:rPr>
          <w:i/>
          <w:iCs/>
        </w:rPr>
        <w:t>Asian Principles of Business Restructuring: Guide on Conducting Out-of-Court Workout in Asia</w:t>
      </w:r>
      <w:r>
        <w:t>, at 6.</w:t>
      </w:r>
    </w:p>
  </w:footnote>
  <w:footnote w:id="35">
    <w:p w:rsidR="00591C19" w:rsidRDefault="00591C19">
      <w:pPr>
        <w:pStyle w:val="FootnoteText"/>
      </w:pPr>
      <w:r>
        <w:rPr>
          <w:rStyle w:val="FootnoteReference"/>
        </w:rPr>
        <w:footnoteRef/>
      </w:r>
      <w:r>
        <w:t xml:space="preserve"> INSOL International, </w:t>
      </w:r>
      <w:r>
        <w:rPr>
          <w:i/>
          <w:iCs/>
        </w:rPr>
        <w:t xml:space="preserve">op cit </w:t>
      </w:r>
      <w:r>
        <w:t xml:space="preserve">note 20, at 26. </w:t>
      </w:r>
    </w:p>
  </w:footnote>
  <w:footnote w:id="36">
    <w:p w:rsidR="00591C19" w:rsidRDefault="00591C19" w:rsidP="00CC2AB2">
      <w:pPr>
        <w:pStyle w:val="FootnoteText"/>
      </w:pPr>
      <w:r>
        <w:rPr>
          <w:rStyle w:val="FootnoteReference"/>
        </w:rPr>
        <w:footnoteRef/>
      </w:r>
      <w:r>
        <w:t xml:space="preserve"> Broekema M.J.R. &amp; Adriaanse J.A.A. (2022), Valuation Ambiguities under the European Directive on Preventive Restructuring Frameworks: Insights from the Netherlands, The European Business Valuation Magazine 1(1): 4-10, at 6.</w:t>
      </w:r>
    </w:p>
  </w:footnote>
  <w:footnote w:id="37">
    <w:p w:rsidR="00591C19" w:rsidRDefault="00591C19">
      <w:pPr>
        <w:pStyle w:val="FootnoteText"/>
      </w:pPr>
      <w:r>
        <w:rPr>
          <w:rStyle w:val="FootnoteReference"/>
        </w:rPr>
        <w:footnoteRef/>
      </w:r>
      <w:r>
        <w:t xml:space="preserve"> Ibid.</w:t>
      </w:r>
    </w:p>
  </w:footnote>
  <w:footnote w:id="38">
    <w:p w:rsidR="00591C19" w:rsidRDefault="00591C19">
      <w:pPr>
        <w:pStyle w:val="FootnoteText"/>
      </w:pPr>
      <w:r>
        <w:rPr>
          <w:rStyle w:val="FootnoteReference"/>
        </w:rPr>
        <w:footnoteRef/>
      </w:r>
      <w:r>
        <w:t xml:space="preserve"> Pajunen, </w:t>
      </w:r>
      <w:r w:rsidRPr="009C2D35">
        <w:rPr>
          <w:i/>
          <w:iCs/>
        </w:rPr>
        <w:t>op cit</w:t>
      </w:r>
      <w:r>
        <w:rPr>
          <w:i/>
          <w:iCs/>
        </w:rPr>
        <w:t xml:space="preserve"> </w:t>
      </w:r>
      <w:r>
        <w:t>note 13, at 1272.</w:t>
      </w:r>
    </w:p>
  </w:footnote>
  <w:footnote w:id="39">
    <w:p w:rsidR="00591C19" w:rsidRDefault="00591C19">
      <w:pPr>
        <w:pStyle w:val="FootnoteText"/>
      </w:pPr>
      <w:r>
        <w:rPr>
          <w:rStyle w:val="FootnoteReference"/>
        </w:rPr>
        <w:footnoteRef/>
      </w:r>
      <w:r>
        <w:t xml:space="preserve"> INSOL International, </w:t>
      </w:r>
      <w:r>
        <w:rPr>
          <w:i/>
          <w:iCs/>
        </w:rPr>
        <w:t xml:space="preserve">op cit </w:t>
      </w:r>
      <w:r>
        <w:t>note 20, at 18.</w:t>
      </w:r>
    </w:p>
  </w:footnote>
  <w:footnote w:id="40">
    <w:p w:rsidR="00591C19" w:rsidRDefault="00591C19">
      <w:pPr>
        <w:pStyle w:val="FootnoteText"/>
      </w:pPr>
      <w:r>
        <w:rPr>
          <w:rStyle w:val="FootnoteReference"/>
        </w:rPr>
        <w:footnoteRef/>
      </w:r>
      <w:r>
        <w:t xml:space="preserve"> </w:t>
      </w:r>
      <w:r w:rsidRPr="00030080">
        <w:t xml:space="preserve">Guzman, </w:t>
      </w:r>
      <w:r>
        <w:t>A</w:t>
      </w:r>
      <w:r w:rsidRPr="00030080">
        <w:t xml:space="preserve"> and Meyer, T</w:t>
      </w:r>
      <w:r>
        <w:t xml:space="preserve">. </w:t>
      </w:r>
      <w:r w:rsidRPr="00030080">
        <w:t>(2014), Soft Law</w:t>
      </w:r>
      <w:r>
        <w:t xml:space="preserve"> </w:t>
      </w:r>
      <w:r w:rsidRPr="00C52F47">
        <w:rPr>
          <w:i/>
          <w:iCs/>
        </w:rPr>
        <w:t>UC Berkeley Public Law Research Paper No. 2437956</w:t>
      </w:r>
      <w:r>
        <w:t>.</w:t>
      </w:r>
    </w:p>
  </w:footnote>
  <w:footnote w:id="41">
    <w:p w:rsidR="00591C19" w:rsidRDefault="00591C19">
      <w:pPr>
        <w:pStyle w:val="FootnoteText"/>
      </w:pPr>
      <w:r>
        <w:rPr>
          <w:rStyle w:val="FootnoteReference"/>
        </w:rPr>
        <w:footnoteRef/>
      </w:r>
      <w:r>
        <w:t xml:space="preserve"> </w:t>
      </w:r>
      <w:r w:rsidRPr="003E42A3">
        <w:t>Wessels,</w:t>
      </w:r>
      <w:r>
        <w:t xml:space="preserve"> Bob, </w:t>
      </w:r>
      <w:r w:rsidRPr="00BE1602">
        <w:rPr>
          <w:i/>
          <w:iCs/>
        </w:rPr>
        <w:t>International Insolvency Law, Part I Global Perspectives on Cross-Border Insolvency Law</w:t>
      </w:r>
      <w:r w:rsidRPr="003E42A3">
        <w:t>, Deventer: Wolters Kluwer 2015/10003 and 10090</w:t>
      </w:r>
      <w:r>
        <w:t>.</w:t>
      </w:r>
    </w:p>
  </w:footnote>
  <w:footnote w:id="42">
    <w:p w:rsidR="00591C19" w:rsidRDefault="00591C19">
      <w:pPr>
        <w:pStyle w:val="FootnoteText"/>
      </w:pPr>
      <w:r>
        <w:rPr>
          <w:rStyle w:val="FootnoteReference"/>
        </w:rPr>
        <w:footnoteRef/>
      </w:r>
      <w:r>
        <w:t xml:space="preserve"> </w:t>
      </w:r>
      <w:r w:rsidRPr="001A40E8">
        <w:t xml:space="preserve">Wessels, Bob and Boon, </w:t>
      </w:r>
      <w:r>
        <w:t>G-J</w:t>
      </w:r>
      <w:r w:rsidRPr="001A40E8">
        <w:t xml:space="preserve">, Soft Law Instruments in Restructuring and Insolvency Law: Exploring Its Rise and Impact (2019). Available at SSRN: </w:t>
      </w:r>
      <w:hyperlink r:id="rId2" w:history="1">
        <w:r w:rsidRPr="00F139CD">
          <w:rPr>
            <w:rStyle w:val="Hyperlink"/>
          </w:rPr>
          <w:t>https://ssrn.com/abstract=3397874</w:t>
        </w:r>
      </w:hyperlink>
      <w:r>
        <w:t xml:space="preserve">, 1. </w:t>
      </w:r>
    </w:p>
  </w:footnote>
  <w:footnote w:id="43">
    <w:p w:rsidR="00591C19" w:rsidRDefault="00591C19">
      <w:pPr>
        <w:pStyle w:val="FootnoteText"/>
      </w:pPr>
      <w:r>
        <w:rPr>
          <w:rStyle w:val="FootnoteReference"/>
        </w:rPr>
        <w:footnoteRef/>
      </w:r>
      <w:r>
        <w:t xml:space="preserve"> Ibid at 4.</w:t>
      </w:r>
    </w:p>
  </w:footnote>
  <w:footnote w:id="44">
    <w:p w:rsidR="00591C19" w:rsidRDefault="00591C19">
      <w:pPr>
        <w:pStyle w:val="FootnoteText"/>
      </w:pPr>
      <w:r>
        <w:rPr>
          <w:rStyle w:val="FootnoteReference"/>
        </w:rPr>
        <w:footnoteRef/>
      </w:r>
      <w:r>
        <w:t xml:space="preserve"> </w:t>
      </w:r>
      <w:r w:rsidRPr="00175C73">
        <w:t xml:space="preserve">Gurrea-Martínez, </w:t>
      </w:r>
      <w:r>
        <w:t>A</w:t>
      </w:r>
      <w:r w:rsidRPr="00175C73">
        <w:t>, Building a Restructuring Hub: Lessons from Singapore (2021</w:t>
      </w:r>
      <w:r w:rsidRPr="00C52F47">
        <w:rPr>
          <w:i/>
          <w:iCs/>
        </w:rPr>
        <w:t>) Singapore Management University School of Law Research Paper 16/2021</w:t>
      </w:r>
      <w:r>
        <w:t xml:space="preserve"> at 16.</w:t>
      </w:r>
    </w:p>
  </w:footnote>
  <w:footnote w:id="45">
    <w:p w:rsidR="00591C19" w:rsidRDefault="00591C19">
      <w:pPr>
        <w:pStyle w:val="FootnoteText"/>
      </w:pPr>
      <w:r>
        <w:rPr>
          <w:rStyle w:val="FootnoteReference"/>
        </w:rPr>
        <w:footnoteRef/>
      </w:r>
      <w:r>
        <w:t xml:space="preserve"> </w:t>
      </w:r>
      <w:r w:rsidRPr="000E480D">
        <w:t>International Insolvency Institute and the Asian Business Law Institute</w:t>
      </w:r>
      <w:r>
        <w:t xml:space="preserve"> </w:t>
      </w:r>
      <w:r>
        <w:rPr>
          <w:i/>
          <w:iCs/>
        </w:rPr>
        <w:t xml:space="preserve">op cit </w:t>
      </w:r>
      <w:r>
        <w:t>note 34</w:t>
      </w:r>
      <w:r>
        <w:rPr>
          <w:i/>
          <w:iCs/>
        </w:rPr>
        <w:t>.</w:t>
      </w:r>
    </w:p>
  </w:footnote>
  <w:footnote w:id="46">
    <w:p w:rsidR="00591C19" w:rsidRDefault="00591C19" w:rsidP="00514903">
      <w:pPr>
        <w:pStyle w:val="FootnoteText"/>
      </w:pPr>
      <w:r>
        <w:rPr>
          <w:rStyle w:val="FootnoteReference"/>
        </w:rPr>
        <w:footnoteRef/>
      </w:r>
      <w:r>
        <w:t xml:space="preserve"> </w:t>
      </w:r>
      <w:r w:rsidR="00514903">
        <w:t>Ibid</w:t>
      </w:r>
      <w:r>
        <w:t>, at 6.</w:t>
      </w:r>
    </w:p>
  </w:footnote>
  <w:footnote w:id="47">
    <w:p w:rsidR="00591C19" w:rsidRDefault="00591C19">
      <w:pPr>
        <w:pStyle w:val="FootnoteText"/>
      </w:pPr>
      <w:r>
        <w:rPr>
          <w:rStyle w:val="FootnoteReference"/>
        </w:rPr>
        <w:footnoteRef/>
      </w:r>
      <w:r>
        <w:t xml:space="preserve"> Ibid.</w:t>
      </w:r>
    </w:p>
  </w:footnote>
  <w:footnote w:id="48">
    <w:p w:rsidR="00591C19" w:rsidRDefault="00591C19">
      <w:pPr>
        <w:pStyle w:val="FootnoteText"/>
      </w:pPr>
      <w:r>
        <w:rPr>
          <w:rStyle w:val="FootnoteReference"/>
        </w:rPr>
        <w:footnoteRef/>
      </w:r>
      <w:r>
        <w:t xml:space="preserve"> Pajunen, </w:t>
      </w:r>
      <w:r w:rsidRPr="009C2D35">
        <w:rPr>
          <w:i/>
          <w:iCs/>
        </w:rPr>
        <w:t>op cit</w:t>
      </w:r>
      <w:r>
        <w:rPr>
          <w:i/>
          <w:iCs/>
        </w:rPr>
        <w:t xml:space="preserve"> </w:t>
      </w:r>
      <w:r>
        <w:t>note 13, at 1280.</w:t>
      </w:r>
    </w:p>
  </w:footnote>
  <w:footnote w:id="49">
    <w:p w:rsidR="00591C19" w:rsidRDefault="00591C19" w:rsidP="00845D34">
      <w:pPr>
        <w:pStyle w:val="FootnoteText"/>
      </w:pPr>
      <w:r>
        <w:rPr>
          <w:rStyle w:val="FootnoteReference"/>
        </w:rPr>
        <w:footnoteRef/>
      </w:r>
      <w:r>
        <w:t xml:space="preserve"> Adriaanse, </w:t>
      </w:r>
      <w:r>
        <w:rPr>
          <w:i/>
          <w:iCs/>
        </w:rPr>
        <w:t xml:space="preserve">op cit </w:t>
      </w:r>
      <w:r>
        <w:t>note 17, at 147.</w:t>
      </w:r>
    </w:p>
  </w:footnote>
  <w:footnote w:id="50">
    <w:p w:rsidR="00591C19" w:rsidRDefault="00591C19" w:rsidP="0074482C">
      <w:pPr>
        <w:pStyle w:val="FootnoteText"/>
      </w:pPr>
      <w:r>
        <w:rPr>
          <w:rStyle w:val="FootnoteReference"/>
        </w:rPr>
        <w:footnoteRef/>
      </w:r>
      <w:r>
        <w:t xml:space="preserve"> INSOL International, </w:t>
      </w:r>
      <w:r>
        <w:rPr>
          <w:i/>
          <w:iCs/>
        </w:rPr>
        <w:t xml:space="preserve">op cit </w:t>
      </w:r>
      <w:r>
        <w:t>note 20, at ii.</w:t>
      </w:r>
    </w:p>
  </w:footnote>
  <w:footnote w:id="51">
    <w:p w:rsidR="00591C19" w:rsidRDefault="00591C19">
      <w:pPr>
        <w:pStyle w:val="FootnoteText"/>
      </w:pPr>
      <w:r>
        <w:rPr>
          <w:rStyle w:val="FootnoteReference"/>
        </w:rPr>
        <w:footnoteRef/>
      </w:r>
      <w:r>
        <w:t xml:space="preserve"> </w:t>
      </w:r>
      <w:r w:rsidR="00514903">
        <w:t>Ibid</w:t>
      </w:r>
      <w:r>
        <w:t>, at 17.</w:t>
      </w:r>
    </w:p>
  </w:footnote>
  <w:footnote w:id="52">
    <w:p w:rsidR="00591C19" w:rsidRDefault="00591C19">
      <w:pPr>
        <w:pStyle w:val="FootnoteText"/>
      </w:pPr>
      <w:r>
        <w:rPr>
          <w:rStyle w:val="FootnoteReference"/>
        </w:rPr>
        <w:footnoteRef/>
      </w:r>
      <w:r>
        <w:t xml:space="preserve"> Ibid at 26.</w:t>
      </w:r>
    </w:p>
  </w:footnote>
  <w:footnote w:id="53">
    <w:p w:rsidR="00591C19" w:rsidRDefault="00591C19" w:rsidP="0074482C">
      <w:pPr>
        <w:pStyle w:val="FootnoteText"/>
      </w:pPr>
      <w:r>
        <w:rPr>
          <w:rStyle w:val="FootnoteReference"/>
        </w:rPr>
        <w:footnoteRef/>
      </w:r>
      <w:r>
        <w:t xml:space="preserve"> Ibid.</w:t>
      </w:r>
    </w:p>
  </w:footnote>
  <w:footnote w:id="54">
    <w:p w:rsidR="00591C19" w:rsidRDefault="00591C19">
      <w:pPr>
        <w:pStyle w:val="FootnoteText"/>
      </w:pPr>
      <w:r>
        <w:rPr>
          <w:rStyle w:val="FootnoteReference"/>
        </w:rPr>
        <w:footnoteRef/>
      </w:r>
      <w:r>
        <w:t xml:space="preserve"> S</w:t>
      </w:r>
      <w:r w:rsidRPr="008170DB">
        <w:t>ection 64</w:t>
      </w:r>
      <w:r>
        <w:t>(2)(b)</w:t>
      </w:r>
      <w:r w:rsidRPr="008170DB">
        <w:t xml:space="preserve"> IRDA</w:t>
      </w:r>
      <w:r>
        <w:t>.</w:t>
      </w:r>
    </w:p>
  </w:footnote>
  <w:footnote w:id="55">
    <w:p w:rsidR="00591C19" w:rsidRDefault="00591C19">
      <w:pPr>
        <w:pStyle w:val="FootnoteText"/>
      </w:pPr>
      <w:r>
        <w:rPr>
          <w:rStyle w:val="FootnoteReference"/>
        </w:rPr>
        <w:footnoteRef/>
      </w:r>
      <w:r>
        <w:t xml:space="preserve"> S</w:t>
      </w:r>
      <w:r w:rsidRPr="00D24B64">
        <w:t>ection 64(3)(a) IRDA</w:t>
      </w:r>
      <w:r>
        <w:t>.</w:t>
      </w:r>
    </w:p>
  </w:footnote>
  <w:footnote w:id="56">
    <w:p w:rsidR="00591C19" w:rsidRDefault="00591C19">
      <w:pPr>
        <w:pStyle w:val="FootnoteText"/>
      </w:pPr>
      <w:r>
        <w:rPr>
          <w:rStyle w:val="FootnoteReference"/>
        </w:rPr>
        <w:footnoteRef/>
      </w:r>
      <w:r>
        <w:t xml:space="preserve"> S</w:t>
      </w:r>
      <w:r w:rsidRPr="00D24B64">
        <w:t>ection 64(3)(b) IRDA</w:t>
      </w:r>
      <w:r>
        <w:t>.</w:t>
      </w:r>
    </w:p>
  </w:footnote>
  <w:footnote w:id="57">
    <w:p w:rsidR="00591C19" w:rsidRDefault="00591C19">
      <w:pPr>
        <w:pStyle w:val="FootnoteText"/>
      </w:pPr>
      <w:r>
        <w:rPr>
          <w:rStyle w:val="FootnoteReference"/>
        </w:rPr>
        <w:footnoteRef/>
      </w:r>
      <w:r>
        <w:t xml:space="preserve"> S</w:t>
      </w:r>
      <w:r w:rsidRPr="00D24B64">
        <w:t xml:space="preserve">ection </w:t>
      </w:r>
      <w:r>
        <w:t>91</w:t>
      </w:r>
      <w:r w:rsidRPr="00D24B64">
        <w:t>(</w:t>
      </w:r>
      <w:r>
        <w:t>4</w:t>
      </w:r>
      <w:r w:rsidRPr="00D24B64">
        <w:t>)(</w:t>
      </w:r>
      <w:r>
        <w:t>a</w:t>
      </w:r>
      <w:r w:rsidRPr="00D24B64">
        <w:t>) IRDA</w:t>
      </w:r>
      <w:r>
        <w:t>.</w:t>
      </w:r>
    </w:p>
  </w:footnote>
  <w:footnote w:id="58">
    <w:p w:rsidR="00591C19" w:rsidRDefault="00591C19" w:rsidP="00D24B64">
      <w:pPr>
        <w:pStyle w:val="FootnoteText"/>
      </w:pPr>
      <w:r>
        <w:rPr>
          <w:rStyle w:val="FootnoteReference"/>
        </w:rPr>
        <w:footnoteRef/>
      </w:r>
      <w:r>
        <w:t xml:space="preserve"> Adriaanse, </w:t>
      </w:r>
      <w:r>
        <w:rPr>
          <w:i/>
          <w:iCs/>
        </w:rPr>
        <w:t xml:space="preserve">op cit </w:t>
      </w:r>
      <w:r>
        <w:t>note 17, at 146.</w:t>
      </w:r>
    </w:p>
  </w:footnote>
  <w:footnote w:id="59">
    <w:p w:rsidR="00591C19" w:rsidRDefault="00591C19">
      <w:pPr>
        <w:pStyle w:val="FootnoteText"/>
      </w:pPr>
      <w:r>
        <w:rPr>
          <w:rStyle w:val="FootnoteReference"/>
        </w:rPr>
        <w:footnoteRef/>
      </w:r>
      <w:r>
        <w:t xml:space="preserve"> INSOL International, </w:t>
      </w:r>
      <w:r>
        <w:rPr>
          <w:i/>
          <w:iCs/>
        </w:rPr>
        <w:t xml:space="preserve">op cit </w:t>
      </w:r>
      <w:r>
        <w:t xml:space="preserve">note 20, at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BD2"/>
    <w:multiLevelType w:val="hybridMultilevel"/>
    <w:tmpl w:val="EDC646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B732163"/>
    <w:multiLevelType w:val="hybridMultilevel"/>
    <w:tmpl w:val="2DB0FE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C414E53"/>
    <w:multiLevelType w:val="hybridMultilevel"/>
    <w:tmpl w:val="F48A04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80"/>
    <w:rsid w:val="00001224"/>
    <w:rsid w:val="0001535C"/>
    <w:rsid w:val="000203F4"/>
    <w:rsid w:val="0002317E"/>
    <w:rsid w:val="000255C3"/>
    <w:rsid w:val="00030080"/>
    <w:rsid w:val="000307E1"/>
    <w:rsid w:val="00030BBF"/>
    <w:rsid w:val="00040CFF"/>
    <w:rsid w:val="00041261"/>
    <w:rsid w:val="00041A5B"/>
    <w:rsid w:val="00071C79"/>
    <w:rsid w:val="000747EE"/>
    <w:rsid w:val="00076DB1"/>
    <w:rsid w:val="00085A0A"/>
    <w:rsid w:val="00086E23"/>
    <w:rsid w:val="0009336E"/>
    <w:rsid w:val="000A5761"/>
    <w:rsid w:val="000B4281"/>
    <w:rsid w:val="000B437B"/>
    <w:rsid w:val="000C56FA"/>
    <w:rsid w:val="000D228D"/>
    <w:rsid w:val="000D6E0E"/>
    <w:rsid w:val="000D7CEE"/>
    <w:rsid w:val="000E480D"/>
    <w:rsid w:val="000F7A59"/>
    <w:rsid w:val="00111FFD"/>
    <w:rsid w:val="00122FB4"/>
    <w:rsid w:val="00146E78"/>
    <w:rsid w:val="001523A0"/>
    <w:rsid w:val="00165FD2"/>
    <w:rsid w:val="00173351"/>
    <w:rsid w:val="00175C73"/>
    <w:rsid w:val="00182B90"/>
    <w:rsid w:val="0018678D"/>
    <w:rsid w:val="001964E7"/>
    <w:rsid w:val="001A1303"/>
    <w:rsid w:val="001A2904"/>
    <w:rsid w:val="001A40E8"/>
    <w:rsid w:val="001C06CA"/>
    <w:rsid w:val="001C328B"/>
    <w:rsid w:val="001D0EEE"/>
    <w:rsid w:val="001D40EF"/>
    <w:rsid w:val="001D53A6"/>
    <w:rsid w:val="001D6F8C"/>
    <w:rsid w:val="001F2D7E"/>
    <w:rsid w:val="00202CD7"/>
    <w:rsid w:val="0020742B"/>
    <w:rsid w:val="00213097"/>
    <w:rsid w:val="0023016E"/>
    <w:rsid w:val="00235E36"/>
    <w:rsid w:val="0024596A"/>
    <w:rsid w:val="002461A0"/>
    <w:rsid w:val="00247FA2"/>
    <w:rsid w:val="00254E7B"/>
    <w:rsid w:val="002610F2"/>
    <w:rsid w:val="00267315"/>
    <w:rsid w:val="00277A8E"/>
    <w:rsid w:val="0029102C"/>
    <w:rsid w:val="002A0CA7"/>
    <w:rsid w:val="002A25D7"/>
    <w:rsid w:val="002B068E"/>
    <w:rsid w:val="002B1994"/>
    <w:rsid w:val="002B1C94"/>
    <w:rsid w:val="002B31E0"/>
    <w:rsid w:val="002E0128"/>
    <w:rsid w:val="002E1515"/>
    <w:rsid w:val="002F414B"/>
    <w:rsid w:val="002F5D21"/>
    <w:rsid w:val="003007CA"/>
    <w:rsid w:val="00301656"/>
    <w:rsid w:val="00302A03"/>
    <w:rsid w:val="003120FA"/>
    <w:rsid w:val="00320F27"/>
    <w:rsid w:val="00322CC4"/>
    <w:rsid w:val="00327AB3"/>
    <w:rsid w:val="0033104A"/>
    <w:rsid w:val="003429B4"/>
    <w:rsid w:val="003515A4"/>
    <w:rsid w:val="0035537B"/>
    <w:rsid w:val="0035664C"/>
    <w:rsid w:val="00357779"/>
    <w:rsid w:val="00357F9B"/>
    <w:rsid w:val="00361F76"/>
    <w:rsid w:val="00362BF9"/>
    <w:rsid w:val="00364932"/>
    <w:rsid w:val="0036709C"/>
    <w:rsid w:val="003908B3"/>
    <w:rsid w:val="00391B80"/>
    <w:rsid w:val="00394A31"/>
    <w:rsid w:val="00397573"/>
    <w:rsid w:val="003A3A28"/>
    <w:rsid w:val="003A6BFB"/>
    <w:rsid w:val="003B0EF4"/>
    <w:rsid w:val="003B5B77"/>
    <w:rsid w:val="003C40E5"/>
    <w:rsid w:val="003C490E"/>
    <w:rsid w:val="003C4F0E"/>
    <w:rsid w:val="003C64D2"/>
    <w:rsid w:val="003C6BDF"/>
    <w:rsid w:val="003D6B83"/>
    <w:rsid w:val="003E42A3"/>
    <w:rsid w:val="003F363F"/>
    <w:rsid w:val="003F3698"/>
    <w:rsid w:val="003F40B3"/>
    <w:rsid w:val="003F7FB9"/>
    <w:rsid w:val="00402186"/>
    <w:rsid w:val="004059DE"/>
    <w:rsid w:val="004078C2"/>
    <w:rsid w:val="0041017A"/>
    <w:rsid w:val="00427778"/>
    <w:rsid w:val="00430110"/>
    <w:rsid w:val="00453A7E"/>
    <w:rsid w:val="00454404"/>
    <w:rsid w:val="00456F80"/>
    <w:rsid w:val="00463726"/>
    <w:rsid w:val="004645DA"/>
    <w:rsid w:val="00470E5B"/>
    <w:rsid w:val="0047665C"/>
    <w:rsid w:val="004964FD"/>
    <w:rsid w:val="00497DCE"/>
    <w:rsid w:val="004A0F08"/>
    <w:rsid w:val="004A1FC4"/>
    <w:rsid w:val="004A48C3"/>
    <w:rsid w:val="004B208E"/>
    <w:rsid w:val="004B2ABB"/>
    <w:rsid w:val="004C055B"/>
    <w:rsid w:val="004C55DF"/>
    <w:rsid w:val="004E03A9"/>
    <w:rsid w:val="004E2899"/>
    <w:rsid w:val="004F00C7"/>
    <w:rsid w:val="00506001"/>
    <w:rsid w:val="00507D4C"/>
    <w:rsid w:val="0051169B"/>
    <w:rsid w:val="00511EF3"/>
    <w:rsid w:val="00514903"/>
    <w:rsid w:val="005252EC"/>
    <w:rsid w:val="0053061F"/>
    <w:rsid w:val="00531D44"/>
    <w:rsid w:val="00533D5A"/>
    <w:rsid w:val="005547A9"/>
    <w:rsid w:val="00560A58"/>
    <w:rsid w:val="00560BA0"/>
    <w:rsid w:val="00562A26"/>
    <w:rsid w:val="005639C0"/>
    <w:rsid w:val="00565B04"/>
    <w:rsid w:val="005855A3"/>
    <w:rsid w:val="00586373"/>
    <w:rsid w:val="005905ED"/>
    <w:rsid w:val="005915DF"/>
    <w:rsid w:val="00591C19"/>
    <w:rsid w:val="00591CE2"/>
    <w:rsid w:val="005A0517"/>
    <w:rsid w:val="005A35FC"/>
    <w:rsid w:val="005A507E"/>
    <w:rsid w:val="005A6C6D"/>
    <w:rsid w:val="005B31B3"/>
    <w:rsid w:val="005B5387"/>
    <w:rsid w:val="005C1C97"/>
    <w:rsid w:val="005D6891"/>
    <w:rsid w:val="005E24C1"/>
    <w:rsid w:val="005E2594"/>
    <w:rsid w:val="005E3B43"/>
    <w:rsid w:val="005F3A67"/>
    <w:rsid w:val="005F57E3"/>
    <w:rsid w:val="00601169"/>
    <w:rsid w:val="00606CB0"/>
    <w:rsid w:val="006071A0"/>
    <w:rsid w:val="006110EF"/>
    <w:rsid w:val="006132BF"/>
    <w:rsid w:val="0062148C"/>
    <w:rsid w:val="00622FB7"/>
    <w:rsid w:val="006252A3"/>
    <w:rsid w:val="006278D9"/>
    <w:rsid w:val="00631428"/>
    <w:rsid w:val="00634EB5"/>
    <w:rsid w:val="00635556"/>
    <w:rsid w:val="00635802"/>
    <w:rsid w:val="00640095"/>
    <w:rsid w:val="00640F35"/>
    <w:rsid w:val="006429FC"/>
    <w:rsid w:val="006526EF"/>
    <w:rsid w:val="006532B4"/>
    <w:rsid w:val="006609C3"/>
    <w:rsid w:val="00660B9B"/>
    <w:rsid w:val="006638CC"/>
    <w:rsid w:val="006909CA"/>
    <w:rsid w:val="00692887"/>
    <w:rsid w:val="0069798F"/>
    <w:rsid w:val="006A2468"/>
    <w:rsid w:val="006A3F47"/>
    <w:rsid w:val="006A4668"/>
    <w:rsid w:val="006A51DB"/>
    <w:rsid w:val="006A6234"/>
    <w:rsid w:val="006A74A1"/>
    <w:rsid w:val="006A765E"/>
    <w:rsid w:val="006B2C64"/>
    <w:rsid w:val="006B4ECF"/>
    <w:rsid w:val="006C3510"/>
    <w:rsid w:val="006C43CB"/>
    <w:rsid w:val="006D1720"/>
    <w:rsid w:val="006D36C6"/>
    <w:rsid w:val="006D53D4"/>
    <w:rsid w:val="006E386A"/>
    <w:rsid w:val="00703AE6"/>
    <w:rsid w:val="00711EE1"/>
    <w:rsid w:val="007160B4"/>
    <w:rsid w:val="007245F1"/>
    <w:rsid w:val="00727B54"/>
    <w:rsid w:val="007367E0"/>
    <w:rsid w:val="0074482C"/>
    <w:rsid w:val="00750ED4"/>
    <w:rsid w:val="00751877"/>
    <w:rsid w:val="00754FDB"/>
    <w:rsid w:val="00771FFB"/>
    <w:rsid w:val="00780183"/>
    <w:rsid w:val="007A1EA1"/>
    <w:rsid w:val="007B1EF7"/>
    <w:rsid w:val="007B21CC"/>
    <w:rsid w:val="007B52A6"/>
    <w:rsid w:val="007C466D"/>
    <w:rsid w:val="007C7705"/>
    <w:rsid w:val="007D1E92"/>
    <w:rsid w:val="007D263B"/>
    <w:rsid w:val="007D5B14"/>
    <w:rsid w:val="007D7C34"/>
    <w:rsid w:val="008014C4"/>
    <w:rsid w:val="00802237"/>
    <w:rsid w:val="00804BD7"/>
    <w:rsid w:val="008170DB"/>
    <w:rsid w:val="00821C07"/>
    <w:rsid w:val="00824F18"/>
    <w:rsid w:val="008301FB"/>
    <w:rsid w:val="0084067D"/>
    <w:rsid w:val="00840826"/>
    <w:rsid w:val="00842FE2"/>
    <w:rsid w:val="00843386"/>
    <w:rsid w:val="00845D34"/>
    <w:rsid w:val="00850C03"/>
    <w:rsid w:val="00857B60"/>
    <w:rsid w:val="00862812"/>
    <w:rsid w:val="00865CF8"/>
    <w:rsid w:val="00867413"/>
    <w:rsid w:val="00870F93"/>
    <w:rsid w:val="00872164"/>
    <w:rsid w:val="008916B4"/>
    <w:rsid w:val="00896453"/>
    <w:rsid w:val="008A0931"/>
    <w:rsid w:val="008A6DDB"/>
    <w:rsid w:val="008C1CB8"/>
    <w:rsid w:val="008C533B"/>
    <w:rsid w:val="008D35ED"/>
    <w:rsid w:val="008E12E0"/>
    <w:rsid w:val="008E177D"/>
    <w:rsid w:val="008E1BA3"/>
    <w:rsid w:val="008E4BD6"/>
    <w:rsid w:val="008E7FF6"/>
    <w:rsid w:val="00906548"/>
    <w:rsid w:val="00907E9C"/>
    <w:rsid w:val="009119C7"/>
    <w:rsid w:val="009162AF"/>
    <w:rsid w:val="009214F1"/>
    <w:rsid w:val="009249C5"/>
    <w:rsid w:val="0095532E"/>
    <w:rsid w:val="00956A71"/>
    <w:rsid w:val="0097232D"/>
    <w:rsid w:val="0097325A"/>
    <w:rsid w:val="00975BB6"/>
    <w:rsid w:val="00977798"/>
    <w:rsid w:val="00985205"/>
    <w:rsid w:val="00986C03"/>
    <w:rsid w:val="009A0C7C"/>
    <w:rsid w:val="009A15EA"/>
    <w:rsid w:val="009A1CC1"/>
    <w:rsid w:val="009A648E"/>
    <w:rsid w:val="009A770C"/>
    <w:rsid w:val="009C2D35"/>
    <w:rsid w:val="009D3D98"/>
    <w:rsid w:val="009E42F0"/>
    <w:rsid w:val="009F3B56"/>
    <w:rsid w:val="009F703B"/>
    <w:rsid w:val="009F73D2"/>
    <w:rsid w:val="00A0652E"/>
    <w:rsid w:val="00A131C1"/>
    <w:rsid w:val="00A13202"/>
    <w:rsid w:val="00A17736"/>
    <w:rsid w:val="00A302EF"/>
    <w:rsid w:val="00A30784"/>
    <w:rsid w:val="00A31B65"/>
    <w:rsid w:val="00A33333"/>
    <w:rsid w:val="00A342F3"/>
    <w:rsid w:val="00A42FE9"/>
    <w:rsid w:val="00A44CC5"/>
    <w:rsid w:val="00A47BFF"/>
    <w:rsid w:val="00A55C08"/>
    <w:rsid w:val="00A573BC"/>
    <w:rsid w:val="00A6142D"/>
    <w:rsid w:val="00A62154"/>
    <w:rsid w:val="00A67F05"/>
    <w:rsid w:val="00A82723"/>
    <w:rsid w:val="00A8325A"/>
    <w:rsid w:val="00A87455"/>
    <w:rsid w:val="00A9230C"/>
    <w:rsid w:val="00AA1A3C"/>
    <w:rsid w:val="00AA5379"/>
    <w:rsid w:val="00AA7C2B"/>
    <w:rsid w:val="00AB0B7B"/>
    <w:rsid w:val="00AB2DED"/>
    <w:rsid w:val="00AD0C6A"/>
    <w:rsid w:val="00AD18B0"/>
    <w:rsid w:val="00AD62F3"/>
    <w:rsid w:val="00AE4E66"/>
    <w:rsid w:val="00AF0A45"/>
    <w:rsid w:val="00AF289A"/>
    <w:rsid w:val="00B02DBF"/>
    <w:rsid w:val="00B07319"/>
    <w:rsid w:val="00B075B6"/>
    <w:rsid w:val="00B166A9"/>
    <w:rsid w:val="00B24763"/>
    <w:rsid w:val="00B3084D"/>
    <w:rsid w:val="00B3155A"/>
    <w:rsid w:val="00B35982"/>
    <w:rsid w:val="00B377CA"/>
    <w:rsid w:val="00B61D65"/>
    <w:rsid w:val="00B67003"/>
    <w:rsid w:val="00B71B05"/>
    <w:rsid w:val="00B766D2"/>
    <w:rsid w:val="00B82020"/>
    <w:rsid w:val="00B833C0"/>
    <w:rsid w:val="00B869A8"/>
    <w:rsid w:val="00B91F43"/>
    <w:rsid w:val="00BA29BF"/>
    <w:rsid w:val="00BA64EA"/>
    <w:rsid w:val="00BB0E2F"/>
    <w:rsid w:val="00BC22B8"/>
    <w:rsid w:val="00BD65B4"/>
    <w:rsid w:val="00BE1602"/>
    <w:rsid w:val="00BE5758"/>
    <w:rsid w:val="00BE7EF4"/>
    <w:rsid w:val="00BF44A1"/>
    <w:rsid w:val="00BF6429"/>
    <w:rsid w:val="00C02A94"/>
    <w:rsid w:val="00C1271E"/>
    <w:rsid w:val="00C233AC"/>
    <w:rsid w:val="00C4540D"/>
    <w:rsid w:val="00C50EF1"/>
    <w:rsid w:val="00C52F47"/>
    <w:rsid w:val="00C7518D"/>
    <w:rsid w:val="00C83649"/>
    <w:rsid w:val="00C91EB7"/>
    <w:rsid w:val="00C96320"/>
    <w:rsid w:val="00CA5516"/>
    <w:rsid w:val="00CB2DB3"/>
    <w:rsid w:val="00CB7529"/>
    <w:rsid w:val="00CC1142"/>
    <w:rsid w:val="00CC2AB2"/>
    <w:rsid w:val="00CC4329"/>
    <w:rsid w:val="00CD58F7"/>
    <w:rsid w:val="00CE0209"/>
    <w:rsid w:val="00CE5A22"/>
    <w:rsid w:val="00CE6B34"/>
    <w:rsid w:val="00CF1B3A"/>
    <w:rsid w:val="00D01A04"/>
    <w:rsid w:val="00D0627F"/>
    <w:rsid w:val="00D201E8"/>
    <w:rsid w:val="00D222CF"/>
    <w:rsid w:val="00D23B0C"/>
    <w:rsid w:val="00D24B64"/>
    <w:rsid w:val="00D26269"/>
    <w:rsid w:val="00D26997"/>
    <w:rsid w:val="00D40884"/>
    <w:rsid w:val="00D477B1"/>
    <w:rsid w:val="00D54AB1"/>
    <w:rsid w:val="00D555AB"/>
    <w:rsid w:val="00D642C0"/>
    <w:rsid w:val="00D655D9"/>
    <w:rsid w:val="00D70175"/>
    <w:rsid w:val="00D80EB3"/>
    <w:rsid w:val="00D80ECD"/>
    <w:rsid w:val="00D812DB"/>
    <w:rsid w:val="00D90A2D"/>
    <w:rsid w:val="00DA3AD3"/>
    <w:rsid w:val="00DA4F9D"/>
    <w:rsid w:val="00DB281C"/>
    <w:rsid w:val="00DB29D2"/>
    <w:rsid w:val="00DC57C8"/>
    <w:rsid w:val="00DC5C4E"/>
    <w:rsid w:val="00DE18D2"/>
    <w:rsid w:val="00DE63EA"/>
    <w:rsid w:val="00E01B07"/>
    <w:rsid w:val="00E03F41"/>
    <w:rsid w:val="00E05493"/>
    <w:rsid w:val="00E0792C"/>
    <w:rsid w:val="00E10BF7"/>
    <w:rsid w:val="00E11317"/>
    <w:rsid w:val="00E1775A"/>
    <w:rsid w:val="00E17A35"/>
    <w:rsid w:val="00E204C2"/>
    <w:rsid w:val="00E440AA"/>
    <w:rsid w:val="00E609FB"/>
    <w:rsid w:val="00E817E7"/>
    <w:rsid w:val="00E93644"/>
    <w:rsid w:val="00EA6A7B"/>
    <w:rsid w:val="00EB2793"/>
    <w:rsid w:val="00EB2AEE"/>
    <w:rsid w:val="00EB5F0C"/>
    <w:rsid w:val="00ED64DA"/>
    <w:rsid w:val="00EF0B03"/>
    <w:rsid w:val="00EF73C1"/>
    <w:rsid w:val="00EF76A2"/>
    <w:rsid w:val="00F007DE"/>
    <w:rsid w:val="00F02A14"/>
    <w:rsid w:val="00F03CE2"/>
    <w:rsid w:val="00F04FDF"/>
    <w:rsid w:val="00F06D81"/>
    <w:rsid w:val="00F101F7"/>
    <w:rsid w:val="00F10404"/>
    <w:rsid w:val="00F164C5"/>
    <w:rsid w:val="00F219CE"/>
    <w:rsid w:val="00F4124D"/>
    <w:rsid w:val="00F534CE"/>
    <w:rsid w:val="00F55A9C"/>
    <w:rsid w:val="00F619D9"/>
    <w:rsid w:val="00F6233E"/>
    <w:rsid w:val="00F63CE2"/>
    <w:rsid w:val="00F653AB"/>
    <w:rsid w:val="00F756FD"/>
    <w:rsid w:val="00F7639B"/>
    <w:rsid w:val="00F806CF"/>
    <w:rsid w:val="00F943EE"/>
    <w:rsid w:val="00FB445B"/>
    <w:rsid w:val="00FC2654"/>
    <w:rsid w:val="00FD1567"/>
    <w:rsid w:val="00FE0962"/>
    <w:rsid w:val="00FE1490"/>
    <w:rsid w:val="00FE6D5E"/>
    <w:rsid w:val="00FF137D"/>
    <w:rsid w:val="00FF675A"/>
    <w:rsid w:val="00FF6AC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3EE6"/>
  <w15:chartTrackingRefBased/>
  <w15:docId w15:val="{09181984-951D-4C5C-BB77-0D8CA70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EF"/>
  </w:style>
  <w:style w:type="paragraph" w:styleId="Footer">
    <w:name w:val="footer"/>
    <w:basedOn w:val="Normal"/>
    <w:link w:val="FooterChar"/>
    <w:uiPriority w:val="99"/>
    <w:unhideWhenUsed/>
    <w:rsid w:val="001D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EF"/>
  </w:style>
  <w:style w:type="paragraph" w:styleId="FootnoteText">
    <w:name w:val="footnote text"/>
    <w:basedOn w:val="Normal"/>
    <w:link w:val="FootnoteTextChar"/>
    <w:uiPriority w:val="99"/>
    <w:semiHidden/>
    <w:unhideWhenUsed/>
    <w:rsid w:val="00030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080"/>
    <w:rPr>
      <w:sz w:val="20"/>
      <w:szCs w:val="20"/>
    </w:rPr>
  </w:style>
  <w:style w:type="character" w:styleId="FootnoteReference">
    <w:name w:val="footnote reference"/>
    <w:basedOn w:val="DefaultParagraphFont"/>
    <w:uiPriority w:val="99"/>
    <w:semiHidden/>
    <w:unhideWhenUsed/>
    <w:rsid w:val="00030080"/>
    <w:rPr>
      <w:vertAlign w:val="superscript"/>
    </w:rPr>
  </w:style>
  <w:style w:type="paragraph" w:styleId="ListParagraph">
    <w:name w:val="List Paragraph"/>
    <w:basedOn w:val="Normal"/>
    <w:uiPriority w:val="34"/>
    <w:qFormat/>
    <w:rsid w:val="00B35982"/>
    <w:pPr>
      <w:ind w:left="720"/>
      <w:contextualSpacing/>
    </w:pPr>
  </w:style>
  <w:style w:type="character" w:styleId="Hyperlink">
    <w:name w:val="Hyperlink"/>
    <w:basedOn w:val="DefaultParagraphFont"/>
    <w:uiPriority w:val="99"/>
    <w:unhideWhenUsed/>
    <w:rsid w:val="00703AE6"/>
    <w:rPr>
      <w:color w:val="0563C1" w:themeColor="hyperlink"/>
      <w:u w:val="single"/>
    </w:rPr>
  </w:style>
  <w:style w:type="character" w:styleId="UnresolvedMention">
    <w:name w:val="Unresolved Mention"/>
    <w:basedOn w:val="DefaultParagraphFont"/>
    <w:uiPriority w:val="99"/>
    <w:semiHidden/>
    <w:unhideWhenUsed/>
    <w:rsid w:val="0070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38">
      <w:bodyDiv w:val="1"/>
      <w:marLeft w:val="0"/>
      <w:marRight w:val="0"/>
      <w:marTop w:val="0"/>
      <w:marBottom w:val="0"/>
      <w:divBdr>
        <w:top w:val="none" w:sz="0" w:space="0" w:color="auto"/>
        <w:left w:val="none" w:sz="0" w:space="0" w:color="auto"/>
        <w:bottom w:val="none" w:sz="0" w:space="0" w:color="auto"/>
        <w:right w:val="none" w:sz="0" w:space="0" w:color="auto"/>
      </w:divBdr>
    </w:div>
    <w:div w:id="602614432">
      <w:bodyDiv w:val="1"/>
      <w:marLeft w:val="0"/>
      <w:marRight w:val="0"/>
      <w:marTop w:val="0"/>
      <w:marBottom w:val="0"/>
      <w:divBdr>
        <w:top w:val="none" w:sz="0" w:space="0" w:color="auto"/>
        <w:left w:val="none" w:sz="0" w:space="0" w:color="auto"/>
        <w:bottom w:val="none" w:sz="0" w:space="0" w:color="auto"/>
        <w:right w:val="none" w:sz="0" w:space="0" w:color="auto"/>
      </w:divBdr>
    </w:div>
    <w:div w:id="14960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srn.com/abstract=3397874" TargetMode="External"/><Relationship Id="rId1" Type="http://schemas.openxmlformats.org/officeDocument/2006/relationships/hyperlink" Target="https://ssrn.com/abstract=454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06CD-C2D7-4FAF-9FD0-1E0315B9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Peter</dc:creator>
  <cp:keywords/>
  <dc:description/>
  <cp:lastModifiedBy>Madden, Peter</cp:lastModifiedBy>
  <cp:revision>205</cp:revision>
  <dcterms:created xsi:type="dcterms:W3CDTF">2023-10-21T08:05:00Z</dcterms:created>
  <dcterms:modified xsi:type="dcterms:W3CDTF">2023-11-05T16:11:00Z</dcterms:modified>
</cp:coreProperties>
</file>