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330681"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330681">
        <w:rPr>
          <w:rFonts w:ascii="Avenir Next" w:hAnsi="Avenir Next"/>
          <w:highlight w:val="yellow"/>
          <w:lang w:val="en-GB"/>
        </w:rPr>
        <w:t>Both (a) and (c)</w:t>
      </w:r>
      <w:r w:rsidR="003374AC" w:rsidRPr="00330681">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330681">
        <w:rPr>
          <w:highlight w:val="yellow"/>
        </w:rPr>
        <w:t xml:space="preserve">(b) </w:t>
      </w:r>
      <w:r w:rsidR="00003B23" w:rsidRPr="00330681">
        <w:rPr>
          <w:highlight w:val="yellow"/>
        </w:rPr>
        <w:tab/>
      </w:r>
      <w:r w:rsidR="008753CD" w:rsidRPr="00330681">
        <w:rPr>
          <w:highlight w:val="yellow"/>
        </w:rPr>
        <w:t>A</w:t>
      </w:r>
      <w:r w:rsidRPr="00330681">
        <w:rPr>
          <w:highlight w:val="yellow"/>
        </w:rPr>
        <w:t xml:space="preserve"> resolution by the company’s board of directors</w:t>
      </w:r>
      <w:r w:rsidR="008753CD" w:rsidRPr="00330681">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330681">
        <w:rPr>
          <w:highlight w:val="yellow"/>
          <w:lang w:val="en-GB"/>
        </w:rPr>
        <w:t>I</w:t>
      </w:r>
      <w:r w:rsidRPr="00330681">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330681">
        <w:rPr>
          <w:highlight w:val="yellow"/>
          <w:lang w:val="en-GB"/>
        </w:rPr>
        <w:t xml:space="preserve">ection </w:t>
      </w:r>
      <w:r w:rsidRPr="00330681">
        <w:rPr>
          <w:highlight w:val="yellow"/>
          <w:lang w:val="en-GB"/>
        </w:rPr>
        <w:t>133 of the Companies Act of 2008</w:t>
      </w:r>
      <w:r w:rsidR="008753CD" w:rsidRPr="00330681">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330681"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330681">
        <w:rPr>
          <w:rFonts w:ascii="Avenir Next" w:hAnsi="Avenir Next"/>
          <w:color w:val="404040"/>
          <w:highlight w:val="yellow"/>
          <w:lang w:val="en-GB"/>
        </w:rPr>
        <w:t xml:space="preserve">Both </w:t>
      </w:r>
      <w:r w:rsidR="00C25EAF" w:rsidRPr="00330681">
        <w:rPr>
          <w:rFonts w:ascii="Avenir Next" w:hAnsi="Avenir Next"/>
          <w:color w:val="404040"/>
          <w:highlight w:val="yellow"/>
          <w:lang w:val="en-GB"/>
        </w:rPr>
        <w:t xml:space="preserve">statements </w:t>
      </w:r>
      <w:r w:rsidR="00025460" w:rsidRPr="00330681">
        <w:rPr>
          <w:rFonts w:ascii="Avenir Next" w:hAnsi="Avenir Next"/>
          <w:color w:val="404040"/>
          <w:highlight w:val="yellow"/>
          <w:lang w:val="en-GB"/>
        </w:rPr>
        <w:t>(b) and (c)</w:t>
      </w:r>
      <w:r w:rsidRPr="00330681">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330681" w:rsidRDefault="00015AD8" w:rsidP="00F224C3">
      <w:pPr>
        <w:numPr>
          <w:ilvl w:val="0"/>
          <w:numId w:val="3"/>
        </w:numPr>
        <w:ind w:left="709" w:hanging="709"/>
        <w:jc w:val="left"/>
        <w:rPr>
          <w:rFonts w:cs="Calibri"/>
          <w:color w:val="212121"/>
          <w:highlight w:val="yellow"/>
          <w:lang w:val="en-GB" w:eastAsia="en-GB"/>
        </w:rPr>
      </w:pPr>
      <w:r w:rsidRPr="00330681">
        <w:rPr>
          <w:color w:val="212121"/>
          <w:highlight w:val="yellow"/>
          <w:lang w:val="en-GB" w:eastAsia="en-GB"/>
        </w:rPr>
        <w:t xml:space="preserve">Unsecured </w:t>
      </w:r>
      <w:r w:rsidR="00CA7069" w:rsidRPr="00330681">
        <w:rPr>
          <w:color w:val="212121"/>
          <w:highlight w:val="yellow"/>
          <w:lang w:val="en-GB" w:eastAsia="en-GB"/>
        </w:rPr>
        <w:t>c</w:t>
      </w:r>
      <w:r w:rsidRPr="00330681">
        <w:rPr>
          <w:color w:val="212121"/>
          <w:highlight w:val="yellow"/>
          <w:lang w:val="en-GB" w:eastAsia="en-GB"/>
        </w:rPr>
        <w:t>laim</w:t>
      </w:r>
      <w:r w:rsidR="00CA7069" w:rsidRPr="00330681">
        <w:rPr>
          <w:color w:val="212121"/>
          <w:highlight w:val="yellow"/>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330681"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330681">
        <w:rPr>
          <w:rFonts w:ascii="Avenir Next" w:hAnsi="Avenir Next" w:cs="Arial"/>
          <w:highlight w:val="yellow"/>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330681" w:rsidRDefault="00FD4D38" w:rsidP="0042235F">
      <w:pPr>
        <w:pStyle w:val="WWList2"/>
        <w:numPr>
          <w:ilvl w:val="0"/>
          <w:numId w:val="20"/>
        </w:numPr>
        <w:spacing w:after="0" w:line="240" w:lineRule="auto"/>
        <w:ind w:left="709" w:hanging="709"/>
        <w:rPr>
          <w:rFonts w:ascii="Avenir Next" w:hAnsi="Avenir Next"/>
          <w:szCs w:val="22"/>
          <w:highlight w:val="yellow"/>
        </w:rPr>
      </w:pPr>
      <w:r w:rsidRPr="00330681">
        <w:rPr>
          <w:rFonts w:ascii="Avenir Next" w:hAnsi="Avenir Next"/>
          <w:szCs w:val="22"/>
          <w:highlight w:val="yellow"/>
        </w:rPr>
        <w:t>A s</w:t>
      </w:r>
      <w:r w:rsidR="0054257F" w:rsidRPr="00330681">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330681"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330681">
        <w:rPr>
          <w:rFonts w:ascii="Avenir Next" w:hAnsi="Avenir Next"/>
          <w:highlight w:val="yellow"/>
          <w:lang w:val="en-GB"/>
        </w:rPr>
        <w:t>(</w:t>
      </w:r>
      <w:r w:rsidR="008865F3" w:rsidRPr="00330681">
        <w:rPr>
          <w:rFonts w:ascii="Avenir Next" w:hAnsi="Avenir Next"/>
          <w:highlight w:val="yellow"/>
          <w:lang w:val="en-GB"/>
        </w:rPr>
        <w:t>i</w:t>
      </w:r>
      <w:r w:rsidRPr="00330681">
        <w:rPr>
          <w:rFonts w:ascii="Avenir Next" w:hAnsi="Avenir Next"/>
          <w:highlight w:val="yellow"/>
          <w:lang w:val="en-GB"/>
        </w:rPr>
        <w:t>)</w:t>
      </w:r>
      <w:r w:rsidR="008865F3" w:rsidRPr="00330681">
        <w:rPr>
          <w:rFonts w:ascii="Avenir Next" w:hAnsi="Avenir Next"/>
          <w:highlight w:val="yellow"/>
          <w:lang w:val="en-GB"/>
        </w:rPr>
        <w:t xml:space="preserve">, </w:t>
      </w:r>
      <w:r w:rsidRPr="00330681">
        <w:rPr>
          <w:rFonts w:ascii="Avenir Next" w:hAnsi="Avenir Next"/>
          <w:highlight w:val="yellow"/>
          <w:lang w:val="en-GB"/>
        </w:rPr>
        <w:t>(</w:t>
      </w:r>
      <w:r w:rsidR="008865F3" w:rsidRPr="00330681">
        <w:rPr>
          <w:rFonts w:ascii="Avenir Next" w:hAnsi="Avenir Next"/>
          <w:highlight w:val="yellow"/>
          <w:lang w:val="en-GB"/>
        </w:rPr>
        <w:t>ii</w:t>
      </w:r>
      <w:r w:rsidRPr="00330681">
        <w:rPr>
          <w:rFonts w:ascii="Avenir Next" w:hAnsi="Avenir Next"/>
          <w:highlight w:val="yellow"/>
          <w:lang w:val="en-GB"/>
        </w:rPr>
        <w:t>)</w:t>
      </w:r>
      <w:r w:rsidR="008865F3" w:rsidRPr="00330681">
        <w:rPr>
          <w:rFonts w:ascii="Avenir Next" w:hAnsi="Avenir Next"/>
          <w:highlight w:val="yellow"/>
          <w:lang w:val="en-GB"/>
        </w:rPr>
        <w:t xml:space="preserve"> and </w:t>
      </w:r>
      <w:r w:rsidRPr="00330681">
        <w:rPr>
          <w:rFonts w:ascii="Avenir Next" w:hAnsi="Avenir Next"/>
          <w:highlight w:val="yellow"/>
          <w:lang w:val="en-GB"/>
        </w:rPr>
        <w:t>(</w:t>
      </w:r>
      <w:r w:rsidR="008865F3" w:rsidRPr="00330681">
        <w:rPr>
          <w:rFonts w:ascii="Avenir Next" w:hAnsi="Avenir Next"/>
          <w:highlight w:val="yellow"/>
          <w:lang w:val="en-GB"/>
        </w:rPr>
        <w:t>vi</w:t>
      </w:r>
      <w:r w:rsidRPr="00330681">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330681"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proofErr w:type="gramStart"/>
      <w:r w:rsidRPr="00330681">
        <w:rPr>
          <w:rFonts w:ascii="Avenir Next" w:hAnsi="Avenir Next"/>
          <w:sz w:val="22"/>
          <w:szCs w:val="22"/>
          <w:highlight w:val="yellow"/>
          <w:lang w:val="en-US"/>
        </w:rPr>
        <w:t>All of</w:t>
      </w:r>
      <w:proofErr w:type="gramEnd"/>
      <w:r w:rsidRPr="00330681">
        <w:rPr>
          <w:rFonts w:ascii="Avenir Next" w:hAnsi="Avenir Next"/>
          <w:sz w:val="22"/>
          <w:szCs w:val="22"/>
          <w:highlight w:val="yellow"/>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330681"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330681">
        <w:rPr>
          <w:rFonts w:ascii="Avenir Next" w:hAnsi="Avenir Next"/>
          <w:highlight w:val="yellow"/>
          <w:lang w:val="en-GB"/>
        </w:rPr>
        <w:t xml:space="preserve">The </w:t>
      </w:r>
      <w:r w:rsidR="00D106DD" w:rsidRPr="00330681">
        <w:rPr>
          <w:rFonts w:ascii="Avenir Next" w:hAnsi="Avenir Next"/>
          <w:highlight w:val="yellow"/>
          <w:lang w:val="en-GB"/>
        </w:rPr>
        <w:t>business rescue practitioner</w:t>
      </w:r>
      <w:r w:rsidRPr="00330681">
        <w:rPr>
          <w:rFonts w:ascii="Avenir Next" w:hAnsi="Avenir Next"/>
          <w:highlight w:val="yellow"/>
          <w:lang w:val="en-GB"/>
        </w:rPr>
        <w:t xml:space="preserve"> asks them to cast a vote late and re-calculates the outcome of the s</w:t>
      </w:r>
      <w:r w:rsidR="00973B2E" w:rsidRPr="00330681">
        <w:rPr>
          <w:rFonts w:ascii="Avenir Next" w:hAnsi="Avenir Next"/>
          <w:highlight w:val="yellow"/>
          <w:lang w:val="en-GB"/>
        </w:rPr>
        <w:t xml:space="preserve">ection </w:t>
      </w:r>
      <w:r w:rsidRPr="00330681">
        <w:rPr>
          <w:rFonts w:ascii="Avenir Next" w:hAnsi="Avenir Next"/>
          <w:highlight w:val="yellow"/>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The creditor is recognised and bound by the adopted plan regardless of whether they were present and voting at the s</w:t>
      </w:r>
      <w:r w:rsidR="00973B2E" w:rsidRPr="00C228D3">
        <w:rPr>
          <w:rFonts w:ascii="Avenir Next" w:hAnsi="Avenir Next"/>
          <w:lang w:val="en-GB"/>
        </w:rPr>
        <w:t xml:space="preserve">ection </w:t>
      </w:r>
      <w:r w:rsidRPr="00C228D3">
        <w:rPr>
          <w:rFonts w:ascii="Avenir Next" w:hAnsi="Avenir Next"/>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330681"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330681">
        <w:rPr>
          <w:rFonts w:ascii="Avenir Next" w:hAnsi="Avenir Next"/>
          <w:highlight w:val="yellow"/>
          <w:lang w:val="en-GB"/>
        </w:rPr>
        <w:t xml:space="preserve">The </w:t>
      </w:r>
      <w:r w:rsidR="00D106DD" w:rsidRPr="00330681">
        <w:rPr>
          <w:rFonts w:ascii="Avenir Next" w:hAnsi="Avenir Next"/>
          <w:highlight w:val="yellow"/>
          <w:lang w:val="en-GB"/>
        </w:rPr>
        <w:t xml:space="preserve">business rescue practitioner </w:t>
      </w:r>
      <w:r w:rsidRPr="00330681">
        <w:rPr>
          <w:rFonts w:ascii="Avenir Next" w:hAnsi="Avenir Next"/>
          <w:highlight w:val="yellow"/>
          <w:lang w:val="en-GB"/>
        </w:rPr>
        <w:t xml:space="preserve">only requires 50% of the shareholders to vote in favour of the plan to amend shareholder </w:t>
      </w:r>
      <w:r w:rsidR="00D0089A" w:rsidRPr="00330681">
        <w:rPr>
          <w:rFonts w:ascii="Avenir Next" w:hAnsi="Avenir Next"/>
          <w:highlight w:val="yellow"/>
          <w:lang w:val="en-GB"/>
        </w:rPr>
        <w:t>rights and</w:t>
      </w:r>
      <w:r w:rsidRPr="00330681">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330681"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proofErr w:type="gramStart"/>
      <w:r w:rsidRPr="00330681">
        <w:rPr>
          <w:rFonts w:ascii="Avenir Next" w:hAnsi="Avenir Next" w:cs="Arial"/>
          <w:highlight w:val="yellow"/>
          <w:lang w:val="en-US"/>
        </w:rPr>
        <w:t>All of</w:t>
      </w:r>
      <w:proofErr w:type="gramEnd"/>
      <w:r w:rsidRPr="00330681">
        <w:rPr>
          <w:rFonts w:ascii="Avenir Next" w:hAnsi="Avenir Next" w:cs="Arial"/>
          <w:highlight w:val="yellow"/>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330681"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330681">
        <w:rPr>
          <w:rFonts w:ascii="Avenir Next" w:hAnsi="Avenir Next"/>
          <w:highlight w:val="yellow"/>
          <w:lang w:val="en-GB"/>
        </w:rPr>
        <w:t>I</w:t>
      </w:r>
      <w:r w:rsidR="00C56E18" w:rsidRPr="00330681">
        <w:rPr>
          <w:rFonts w:ascii="Avenir Next" w:hAnsi="Avenir Next"/>
          <w:highlight w:val="yellow"/>
          <w:lang w:val="en-GB"/>
        </w:rPr>
        <w:t>mportant</w:t>
      </w:r>
      <w:r w:rsidR="00C56E18" w:rsidRPr="00330681">
        <w:rPr>
          <w:rFonts w:ascii="Avenir Next" w:hAnsi="Avenir Next"/>
          <w:spacing w:val="-3"/>
          <w:highlight w:val="yellow"/>
          <w:lang w:val="en-GB"/>
        </w:rPr>
        <w:t xml:space="preserve"> </w:t>
      </w:r>
      <w:r w:rsidR="00C56E18" w:rsidRPr="00330681">
        <w:rPr>
          <w:rFonts w:ascii="Avenir Next" w:hAnsi="Avenir Next"/>
          <w:highlight w:val="yellow"/>
          <w:lang w:val="en-GB"/>
        </w:rPr>
        <w:t>if</w:t>
      </w:r>
      <w:r w:rsidR="00C56E18" w:rsidRPr="00330681">
        <w:rPr>
          <w:rFonts w:ascii="Avenir Next" w:hAnsi="Avenir Next"/>
          <w:spacing w:val="-3"/>
          <w:highlight w:val="yellow"/>
          <w:lang w:val="en-GB"/>
        </w:rPr>
        <w:t xml:space="preserve"> </w:t>
      </w:r>
      <w:proofErr w:type="gramStart"/>
      <w:r w:rsidR="00C56E18" w:rsidRPr="00330681">
        <w:rPr>
          <w:rFonts w:ascii="Avenir Next" w:hAnsi="Avenir Next"/>
          <w:highlight w:val="yellow"/>
          <w:lang w:val="en-GB"/>
        </w:rPr>
        <w:t>possible</w:t>
      </w:r>
      <w:proofErr w:type="gramEnd"/>
      <w:r w:rsidR="00C56E18" w:rsidRPr="00330681">
        <w:rPr>
          <w:rFonts w:ascii="Avenir Next" w:hAnsi="Avenir Next"/>
          <w:spacing w:val="-6"/>
          <w:highlight w:val="yellow"/>
          <w:lang w:val="en-GB"/>
        </w:rPr>
        <w:t xml:space="preserve"> </w:t>
      </w:r>
      <w:r w:rsidR="00C56E18" w:rsidRPr="00330681">
        <w:rPr>
          <w:rFonts w:ascii="Avenir Next" w:hAnsi="Avenir Next"/>
          <w:highlight w:val="yellow"/>
          <w:lang w:val="en-GB"/>
        </w:rPr>
        <w:t>to</w:t>
      </w:r>
      <w:r w:rsidR="00C56E18" w:rsidRPr="00330681">
        <w:rPr>
          <w:rFonts w:ascii="Avenir Next" w:hAnsi="Avenir Next"/>
          <w:spacing w:val="-6"/>
          <w:highlight w:val="yellow"/>
          <w:lang w:val="en-GB"/>
        </w:rPr>
        <w:t xml:space="preserve"> </w:t>
      </w:r>
      <w:r w:rsidR="00C56E18" w:rsidRPr="00330681">
        <w:rPr>
          <w:rFonts w:ascii="Avenir Next" w:hAnsi="Avenir Next"/>
          <w:highlight w:val="yellow"/>
          <w:lang w:val="en-GB"/>
        </w:rPr>
        <w:t>maintain,</w:t>
      </w:r>
      <w:r w:rsidR="00C56E18" w:rsidRPr="00330681">
        <w:rPr>
          <w:rFonts w:ascii="Avenir Next" w:hAnsi="Avenir Next"/>
          <w:spacing w:val="-3"/>
          <w:highlight w:val="yellow"/>
          <w:lang w:val="en-GB"/>
        </w:rPr>
        <w:t xml:space="preserve"> </w:t>
      </w:r>
      <w:r w:rsidR="00C56E18" w:rsidRPr="00330681">
        <w:rPr>
          <w:rFonts w:ascii="Avenir Next" w:hAnsi="Avenir Next"/>
          <w:highlight w:val="yellow"/>
          <w:lang w:val="en-GB"/>
        </w:rPr>
        <w:t>assist</w:t>
      </w:r>
      <w:r w:rsidR="00C56E18" w:rsidRPr="00330681">
        <w:rPr>
          <w:rFonts w:ascii="Avenir Next" w:hAnsi="Avenir Next"/>
          <w:spacing w:val="-3"/>
          <w:highlight w:val="yellow"/>
          <w:lang w:val="en-GB"/>
        </w:rPr>
        <w:t xml:space="preserve"> </w:t>
      </w:r>
      <w:r w:rsidR="00C56E18" w:rsidRPr="00330681">
        <w:rPr>
          <w:rFonts w:ascii="Avenir Next" w:hAnsi="Avenir Next"/>
          <w:highlight w:val="yellow"/>
          <w:lang w:val="en-GB"/>
        </w:rPr>
        <w:t>with</w:t>
      </w:r>
      <w:r w:rsidR="00C56E18" w:rsidRPr="00330681">
        <w:rPr>
          <w:rFonts w:ascii="Avenir Next" w:hAnsi="Avenir Next"/>
          <w:spacing w:val="-6"/>
          <w:highlight w:val="yellow"/>
          <w:lang w:val="en-GB"/>
        </w:rPr>
        <w:t xml:space="preserve"> </w:t>
      </w:r>
      <w:r w:rsidR="00C56E18" w:rsidRPr="00330681">
        <w:rPr>
          <w:rFonts w:ascii="Avenir Next" w:hAnsi="Avenir Next"/>
          <w:highlight w:val="yellow"/>
          <w:lang w:val="en-GB"/>
        </w:rPr>
        <w:t>knowledge,</w:t>
      </w:r>
      <w:r w:rsidR="00C56E18" w:rsidRPr="00330681">
        <w:rPr>
          <w:rFonts w:ascii="Avenir Next" w:hAnsi="Avenir Next"/>
          <w:spacing w:val="-3"/>
          <w:highlight w:val="yellow"/>
          <w:lang w:val="en-GB"/>
        </w:rPr>
        <w:t xml:space="preserve"> </w:t>
      </w:r>
      <w:r w:rsidR="00C56E18" w:rsidRPr="00330681">
        <w:rPr>
          <w:rFonts w:ascii="Avenir Next" w:hAnsi="Avenir Next"/>
          <w:highlight w:val="yellow"/>
          <w:lang w:val="en-GB"/>
        </w:rPr>
        <w:t>bandwidth</w:t>
      </w:r>
      <w:r w:rsidR="00C56E18" w:rsidRPr="00330681">
        <w:rPr>
          <w:rFonts w:ascii="Avenir Next" w:hAnsi="Avenir Next"/>
          <w:spacing w:val="-6"/>
          <w:highlight w:val="yellow"/>
          <w:lang w:val="en-GB"/>
        </w:rPr>
        <w:t xml:space="preserve"> </w:t>
      </w:r>
      <w:r w:rsidR="00401CA8" w:rsidRPr="00330681">
        <w:rPr>
          <w:rFonts w:ascii="Avenir Next" w:hAnsi="Avenir Next"/>
          <w:spacing w:val="-6"/>
          <w:highlight w:val="yellow"/>
          <w:lang w:val="en-GB"/>
        </w:rPr>
        <w:t>and</w:t>
      </w:r>
      <w:r w:rsidR="00C56E18" w:rsidRPr="00330681">
        <w:rPr>
          <w:rFonts w:ascii="Avenir Next" w:hAnsi="Avenir Next"/>
          <w:spacing w:val="-4"/>
          <w:highlight w:val="yellow"/>
          <w:lang w:val="en-GB"/>
        </w:rPr>
        <w:t xml:space="preserve"> </w:t>
      </w:r>
      <w:r w:rsidR="00C56E18" w:rsidRPr="00330681">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330681" w:rsidRDefault="003005A4" w:rsidP="00F224C3">
      <w:pPr>
        <w:pStyle w:val="AOAltHead3"/>
        <w:spacing w:before="0" w:line="240" w:lineRule="auto"/>
        <w:ind w:left="709" w:hanging="709"/>
        <w:rPr>
          <w:rFonts w:ascii="Avenir Next" w:hAnsi="Avenir Next"/>
          <w:highlight w:val="yellow"/>
        </w:rPr>
      </w:pPr>
      <w:r w:rsidRPr="00330681">
        <w:rPr>
          <w:rFonts w:ascii="Avenir Next" w:hAnsi="Avenir Next"/>
          <w:highlight w:val="yellow"/>
        </w:rPr>
        <w:t xml:space="preserve">It is supported by more than 51% of all the creditors and approved by the </w:t>
      </w:r>
      <w:r w:rsidR="0090576D" w:rsidRPr="00330681">
        <w:rPr>
          <w:rFonts w:ascii="Avenir Next" w:hAnsi="Avenir Next"/>
          <w:highlight w:val="yellow"/>
        </w:rPr>
        <w:t>s</w:t>
      </w:r>
      <w:r w:rsidRPr="00330681">
        <w:rPr>
          <w:rFonts w:ascii="Avenir Next" w:hAnsi="Avenir Next"/>
          <w:highlight w:val="yellow"/>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330681" w:rsidRDefault="00BF4C0F" w:rsidP="00F224C3">
      <w:pPr>
        <w:pStyle w:val="AOAltHead3"/>
        <w:spacing w:before="0" w:line="240" w:lineRule="auto"/>
        <w:ind w:left="709" w:hanging="709"/>
        <w:rPr>
          <w:rFonts w:ascii="Avenir Next" w:hAnsi="Avenir Next"/>
          <w:bCs/>
          <w:highlight w:val="yellow"/>
        </w:rPr>
      </w:pPr>
      <w:r w:rsidRPr="00330681">
        <w:rPr>
          <w:rFonts w:ascii="Avenir Next" w:hAnsi="Avenir Next"/>
          <w:highlight w:val="yellow"/>
        </w:rPr>
        <w:t xml:space="preserve">It applies to both individual consumer debtors and companies, </w:t>
      </w:r>
      <w:r w:rsidRPr="00330681">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r>
      <w:r w:rsidRPr="00330681">
        <w:rPr>
          <w:highlight w:val="yellow"/>
          <w:lang w:val="en-GB"/>
        </w:rPr>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330681"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330681">
        <w:rPr>
          <w:rFonts w:ascii="Avenir Next" w:hAnsi="Avenir Next"/>
          <w:highlight w:val="yellow"/>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330681"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330681">
        <w:rPr>
          <w:rFonts w:ascii="Avenir Next" w:hAnsi="Avenir Next" w:cs="Calibri"/>
          <w:color w:val="000000"/>
          <w:highlight w:val="yellow"/>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330681"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330681">
        <w:rPr>
          <w:rFonts w:ascii="Avenir Next" w:hAnsi="Avenir Next"/>
          <w:color w:val="000000"/>
          <w:sz w:val="22"/>
          <w:szCs w:val="22"/>
          <w:highlight w:val="yellow"/>
          <w:lang w:val="en-US"/>
        </w:rPr>
        <w:t xml:space="preserve">the right to participate in court </w:t>
      </w:r>
      <w:proofErr w:type="gramStart"/>
      <w:r w:rsidRPr="00330681">
        <w:rPr>
          <w:rFonts w:ascii="Avenir Next" w:hAnsi="Avenir Next"/>
          <w:color w:val="000000"/>
          <w:sz w:val="22"/>
          <w:szCs w:val="22"/>
          <w:highlight w:val="yellow"/>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Preferent </w:t>
      </w:r>
      <w:r w:rsidR="00D66209" w:rsidRPr="00C228D3">
        <w:rPr>
          <w:color w:val="212121"/>
          <w:lang w:eastAsia="en-GB"/>
        </w:rPr>
        <w:t>c</w:t>
      </w:r>
      <w:r w:rsidRPr="00C228D3">
        <w:rPr>
          <w:color w:val="212121"/>
          <w:lang w:eastAsia="en-GB"/>
        </w:rPr>
        <w:t xml:space="preserve">laim in </w:t>
      </w:r>
      <w:r w:rsidR="00466CA0" w:rsidRPr="00C228D3">
        <w:rPr>
          <w:color w:val="212121"/>
          <w:lang w:eastAsia="en-GB"/>
        </w:rPr>
        <w:t>b</w:t>
      </w:r>
      <w:r w:rsidRPr="00C228D3">
        <w:rPr>
          <w:color w:val="212121"/>
          <w:lang w:eastAsia="en-GB"/>
        </w:rPr>
        <w:t xml:space="preserve">usiness </w:t>
      </w:r>
      <w:r w:rsidR="00466CA0" w:rsidRPr="00C228D3">
        <w:rPr>
          <w:color w:val="212121"/>
          <w:lang w:eastAsia="en-GB"/>
        </w:rPr>
        <w:t>r</w:t>
      </w:r>
      <w:r w:rsidRPr="00C228D3">
        <w:rPr>
          <w:color w:val="212121"/>
          <w:lang w:eastAsia="en-GB"/>
        </w:rPr>
        <w:t>escue</w:t>
      </w:r>
      <w:r w:rsidR="00D66209" w:rsidRPr="00C228D3">
        <w:rPr>
          <w:color w:val="212121"/>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330681" w:rsidRDefault="00F166FF" w:rsidP="0042235F">
      <w:pPr>
        <w:numPr>
          <w:ilvl w:val="0"/>
          <w:numId w:val="19"/>
        </w:numPr>
        <w:ind w:left="709" w:hanging="709"/>
        <w:jc w:val="left"/>
        <w:rPr>
          <w:rFonts w:cs="Calibri"/>
          <w:color w:val="212121"/>
          <w:highlight w:val="yellow"/>
          <w:lang w:eastAsia="en-GB"/>
        </w:rPr>
      </w:pPr>
      <w:r w:rsidRPr="00330681">
        <w:rPr>
          <w:color w:val="212121"/>
          <w:highlight w:val="yellow"/>
          <w:lang w:eastAsia="en-GB"/>
        </w:rPr>
        <w:t xml:space="preserve">Secured </w:t>
      </w:r>
      <w:r w:rsidR="00466CA0" w:rsidRPr="00330681">
        <w:rPr>
          <w:color w:val="212121"/>
          <w:highlight w:val="yellow"/>
          <w:lang w:eastAsia="en-GB"/>
        </w:rPr>
        <w:t>c</w:t>
      </w:r>
      <w:r w:rsidRPr="00330681">
        <w:rPr>
          <w:color w:val="212121"/>
          <w:highlight w:val="yellow"/>
          <w:lang w:eastAsia="en-GB"/>
        </w:rPr>
        <w:t>laim</w:t>
      </w:r>
      <w:r w:rsidR="00D66209" w:rsidRPr="00330681">
        <w:rPr>
          <w:color w:val="212121"/>
          <w:highlight w:val="yellow"/>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58C194D3" w:rsidR="00F50E64" w:rsidRPr="003566F2" w:rsidRDefault="003566F2" w:rsidP="00B64FBF">
      <w:pPr>
        <w:rPr>
          <w:u w:val="single"/>
        </w:rPr>
      </w:pPr>
      <w:r w:rsidRPr="003566F2">
        <w:rPr>
          <w:u w:val="single"/>
        </w:rPr>
        <w:t>Answer:</w:t>
      </w:r>
    </w:p>
    <w:p w14:paraId="5C98CA09" w14:textId="77777777" w:rsidR="003566F2" w:rsidRDefault="003566F2" w:rsidP="00B64FBF"/>
    <w:p w14:paraId="1E075507" w14:textId="5B661BA3" w:rsidR="003566F2" w:rsidRDefault="003566F2" w:rsidP="00B64FBF">
      <w:r>
        <w:t>It is important to note that there exist two entry routes into business rescue. The first way a company can enter the business rescue proceedings is by way of a board resolution that must be filed at CIPC – otherwise it is of no effect</w:t>
      </w:r>
      <w:r w:rsidR="002E7DA4">
        <w:t xml:space="preserve"> (section 129(1) of the Act)</w:t>
      </w:r>
      <w:r>
        <w:t>. The second way is by way of a court application. The first route is done voluntarily by the company and is known to be a much cheaper and quicker process that going to court to apply as an affected party for business rescue. However, the Companies Act prohibits a resolution by the board of directors if an application for liquidation has been initiated by or against the company. The business rescue process can then only take place by way of a court order that sets the liquidation application aside. A company can apply for business rescue at any time during a liquidation – up until the final order</w:t>
      </w:r>
      <w:r w:rsidR="002E7DA4">
        <w:t>.</w:t>
      </w:r>
    </w:p>
    <w:p w14:paraId="4D62C48C" w14:textId="06C18081" w:rsidR="002E7DA4" w:rsidRDefault="002E7DA4" w:rsidP="00B64FBF">
      <w:r>
        <w:t xml:space="preserve">In the </w:t>
      </w:r>
      <w:r w:rsidRPr="002E7DA4">
        <w:rPr>
          <w:i/>
          <w:iCs/>
        </w:rPr>
        <w:t>FirstRand Bank</w:t>
      </w:r>
      <w:r>
        <w:t xml:space="preserve"> case the court looked at the meaning of the word “initiated” and whether it means the same as “commenced” and the court held that it does to avoid uncertainty. Last-mentioned refers to a company where liquidation proceedings started prior to the consideration of Business rescue proceedings. The other case of particular importance is the </w:t>
      </w:r>
      <w:proofErr w:type="spellStart"/>
      <w:r w:rsidRPr="002E7DA4">
        <w:rPr>
          <w:i/>
          <w:iCs/>
        </w:rPr>
        <w:t>Tjeka</w:t>
      </w:r>
      <w:proofErr w:type="spellEnd"/>
      <w:r w:rsidRPr="002E7DA4">
        <w:rPr>
          <w:i/>
          <w:iCs/>
        </w:rPr>
        <w:t xml:space="preserve"> Training Matters</w:t>
      </w:r>
      <w:r>
        <w:t xml:space="preserve"> case, where the court </w:t>
      </w:r>
      <w:proofErr w:type="gramStart"/>
      <w:r>
        <w:t>came to the conclusion</w:t>
      </w:r>
      <w:proofErr w:type="gramEnd"/>
      <w:r>
        <w:t xml:space="preserve"> that in the case of a company filing voluntarily for business rescue does so without knowing about a</w:t>
      </w:r>
      <w:r w:rsidR="00DB6C6A">
        <w:t>n</w:t>
      </w:r>
      <w:r>
        <w:t xml:space="preserve"> existing liquidation application against a company – the voluntary business rescue filing will be upheld. The company must be fully aware (“served”) of liquidation proceedings</w:t>
      </w:r>
      <w:r w:rsidR="00DB6C6A">
        <w:t>.</w:t>
      </w:r>
      <w:r>
        <w:t xml:space="preserve"> </w:t>
      </w:r>
    </w:p>
    <w:p w14:paraId="0A629F21" w14:textId="77777777" w:rsidR="003566F2" w:rsidRDefault="003566F2" w:rsidP="00B64FBF"/>
    <w:p w14:paraId="659391EB" w14:textId="77C7582E" w:rsidR="00DB6C6A" w:rsidRDefault="00DB6C6A" w:rsidP="00B64FBF">
      <w:r>
        <w:t>Therefore, the board resolution was valid as the company was not served with any notice of liquidation proceedings against it.</w:t>
      </w:r>
    </w:p>
    <w:p w14:paraId="24DAA5CC" w14:textId="37C6E852" w:rsidR="003566F2" w:rsidRDefault="003566F2" w:rsidP="00B64FBF"/>
    <w:p w14:paraId="631D6376" w14:textId="77777777" w:rsidR="00DB6C6A" w:rsidRDefault="00DB6C6A" w:rsidP="00B64FBF"/>
    <w:p w14:paraId="61D4EF2E" w14:textId="77777777" w:rsidR="00DB6C6A" w:rsidRDefault="00DB6C6A" w:rsidP="00B64FBF"/>
    <w:p w14:paraId="35751C46" w14:textId="77777777" w:rsidR="00DB6C6A" w:rsidRDefault="00DB6C6A" w:rsidP="00B64FBF"/>
    <w:p w14:paraId="3BFE0108" w14:textId="77777777" w:rsidR="00DB6C6A" w:rsidRPr="003566F2" w:rsidRDefault="00DB6C6A" w:rsidP="00B64FBF"/>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547B8BDC" w14:textId="677F2C77" w:rsidR="00E80353" w:rsidRDefault="00DB6C6A" w:rsidP="00E80353">
      <w:pPr>
        <w:jc w:val="left"/>
        <w:rPr>
          <w:u w:val="single"/>
          <w:lang w:val="en-GB"/>
        </w:rPr>
      </w:pPr>
      <w:r w:rsidRPr="00DB6C6A">
        <w:rPr>
          <w:u w:val="single"/>
          <w:lang w:val="en-GB"/>
        </w:rPr>
        <w:t>Answer:</w:t>
      </w:r>
    </w:p>
    <w:p w14:paraId="66C9E57F" w14:textId="77777777" w:rsidR="00DB6C6A" w:rsidRDefault="00DB6C6A" w:rsidP="00E80353">
      <w:pPr>
        <w:jc w:val="left"/>
        <w:rPr>
          <w:u w:val="single"/>
          <w:lang w:val="en-GB"/>
        </w:rPr>
      </w:pPr>
    </w:p>
    <w:p w14:paraId="5252097F" w14:textId="6663F11B" w:rsidR="00DB6C6A" w:rsidRPr="00DB6C6A" w:rsidRDefault="00DB6C6A" w:rsidP="00E80353">
      <w:pPr>
        <w:jc w:val="left"/>
        <w:rPr>
          <w:lang w:val="en-GB"/>
        </w:rPr>
      </w:pPr>
      <w:r w:rsidRPr="00DB6C6A">
        <w:rPr>
          <w:lang w:val="en-GB"/>
        </w:rPr>
        <w:t>Wh</w:t>
      </w:r>
      <w:r>
        <w:rPr>
          <w:lang w:val="en-GB"/>
        </w:rPr>
        <w:t>en a company commences with business rescue proceedings, a general moratorium (section 133 of the Companies Act) provides the company with breathing space to restructure its affairs. The moratorium places a prohibition on all legal proceedings during the business rescue process against the company. Therefore, any claim against the company will be suspended until the business rescue process has come to an end. Mr Nkosi, as the business rescue practitioner is the only person who can seek its protection.</w:t>
      </w:r>
    </w:p>
    <w:p w14:paraId="02F9A45D" w14:textId="77777777" w:rsidR="00DB6C6A" w:rsidRPr="00DB6C6A" w:rsidRDefault="00DB6C6A" w:rsidP="00E80353">
      <w:pPr>
        <w:jc w:val="left"/>
        <w:rPr>
          <w:rFonts w:ascii="Avenir Next Demi Bold" w:hAnsi="Avenir Next Demi Bold"/>
          <w:b/>
          <w:bCs/>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2E465BEB" w:rsidR="00F33BD0" w:rsidRPr="00DB6C6A" w:rsidRDefault="00DB6C6A" w:rsidP="00E80353">
      <w:pPr>
        <w:pStyle w:val="AOHead2"/>
        <w:numPr>
          <w:ilvl w:val="0"/>
          <w:numId w:val="0"/>
        </w:numPr>
        <w:spacing w:before="0" w:line="240" w:lineRule="auto"/>
        <w:rPr>
          <w:rFonts w:ascii="Avenir Next" w:hAnsi="Avenir Next"/>
          <w:b w:val="0"/>
        </w:rPr>
      </w:pPr>
      <w:r w:rsidRPr="00DB6C6A">
        <w:rPr>
          <w:rFonts w:ascii="Avenir Next" w:hAnsi="Avenir Next"/>
          <w:b w:val="0"/>
          <w:u w:val="single"/>
        </w:rPr>
        <w:t>Answer:</w:t>
      </w:r>
      <w:r>
        <w:rPr>
          <w:rFonts w:ascii="Avenir Next" w:hAnsi="Avenir Next"/>
          <w:b w:val="0"/>
        </w:rPr>
        <w:t xml:space="preserve"> SARS, as a creditor of the company, should be informed of the business rescue process and submit their claim to Mr Nkosi.</w:t>
      </w:r>
      <w:r w:rsidR="00B53DB7">
        <w:rPr>
          <w:rFonts w:ascii="Avenir Next" w:hAnsi="Avenir Next"/>
          <w:b w:val="0"/>
        </w:rPr>
        <w:t xml:space="preserve"> Moratorium does not extend to juristic acts such as a letter of demand.</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78B3F8CC" w14:textId="5C4108FB" w:rsidR="00C228D3" w:rsidRPr="00DB6C6A" w:rsidRDefault="00B53DB7" w:rsidP="00C228D3">
      <w:pPr>
        <w:jc w:val="left"/>
        <w:rPr>
          <w:lang w:val="en-GB"/>
        </w:rPr>
      </w:pPr>
      <w:r>
        <w:rPr>
          <w:lang w:val="en-GB"/>
        </w:rPr>
        <w:t xml:space="preserve">The moratorium can only protect the company against legal proceedings concerning its own property – if it is someone else’s property the company is in unlawful possession thereof, and the moratorium (section 133) does not apply in such cases. </w:t>
      </w: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01F36EFA" w14:textId="5716D215" w:rsidR="00E84604" w:rsidRPr="00F33BD0" w:rsidRDefault="00B53DB7" w:rsidP="006E459C">
      <w:pPr>
        <w:tabs>
          <w:tab w:val="right" w:pos="9021"/>
        </w:tabs>
        <w:rPr>
          <w:color w:val="A6A6A6" w:themeColor="background1" w:themeShade="A6"/>
          <w:lang w:val="en-GB"/>
        </w:rPr>
      </w:pPr>
      <w:r w:rsidRPr="00B53DB7">
        <w:rPr>
          <w:u w:val="single"/>
          <w:lang w:val="en-GB"/>
        </w:rPr>
        <w:t>Answer:</w:t>
      </w:r>
      <w:r w:rsidRPr="00B53DB7">
        <w:rPr>
          <w:lang w:val="en-GB"/>
        </w:rPr>
        <w:t xml:space="preserve"> </w:t>
      </w:r>
      <w:r>
        <w:rPr>
          <w:lang w:val="en-GB"/>
        </w:rPr>
        <w:t>Security</w:t>
      </w:r>
      <w:r w:rsidRPr="00B53DB7">
        <w:rPr>
          <w:lang w:val="en-GB"/>
        </w:rPr>
        <w:t xml:space="preserve"> interest</w:t>
      </w:r>
      <w:r>
        <w:rPr>
          <w:lang w:val="en-GB"/>
        </w:rPr>
        <w:t>,</w:t>
      </w:r>
      <w:r w:rsidRPr="00B53DB7">
        <w:rPr>
          <w:lang w:val="en-GB"/>
        </w:rPr>
        <w:t xml:space="preserve"> </w:t>
      </w:r>
      <w:r>
        <w:rPr>
          <w:lang w:val="en-GB"/>
        </w:rPr>
        <w:t>as it concerns movable property.</w:t>
      </w: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lastRenderedPageBreak/>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E98E778" w14:textId="59A88E0A" w:rsidR="00E84604" w:rsidRPr="00964F97" w:rsidRDefault="00964F97" w:rsidP="006E459C">
      <w:pPr>
        <w:rPr>
          <w:lang w:val="en-GB"/>
        </w:rPr>
      </w:pPr>
      <w:r w:rsidRPr="00964F97">
        <w:rPr>
          <w:u w:val="single"/>
          <w:lang w:val="en-GB"/>
        </w:rPr>
        <w:t>Answer:</w:t>
      </w:r>
      <w:r w:rsidRPr="00964F97">
        <w:rPr>
          <w:lang w:val="en-GB"/>
        </w:rPr>
        <w:t xml:space="preserve"> </w:t>
      </w:r>
      <w:r w:rsidR="00B53DB7" w:rsidRPr="00964F97">
        <w:rPr>
          <w:lang w:val="en-GB"/>
        </w:rPr>
        <w:t xml:space="preserve">Security interest refers to the movable property (such as vehicles </w:t>
      </w:r>
      <w:r w:rsidRPr="00964F97">
        <w:rPr>
          <w:lang w:val="en-GB"/>
        </w:rPr>
        <w:t>held by way of a notarial bond)</w:t>
      </w:r>
      <w:r w:rsidR="00B53DB7" w:rsidRPr="00964F97">
        <w:rPr>
          <w:lang w:val="en-GB"/>
        </w:rPr>
        <w:t xml:space="preserve">. Property interest </w:t>
      </w:r>
      <w:r w:rsidRPr="00964F97">
        <w:rPr>
          <w:lang w:val="en-GB"/>
        </w:rPr>
        <w:t>is also known as title interest and refers to assets in question whilst in the company’s possession during business rescue (property).</w:t>
      </w: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46BBCD56" w:rsidR="00C228D3" w:rsidRPr="00964F97" w:rsidRDefault="00964F97" w:rsidP="00C228D3">
      <w:pPr>
        <w:jc w:val="left"/>
        <w:rPr>
          <w:color w:val="A6A6A6" w:themeColor="background1" w:themeShade="A6"/>
          <w:lang w:val="en-GB"/>
        </w:rPr>
      </w:pPr>
      <w:r w:rsidRPr="00964F97">
        <w:rPr>
          <w:u w:val="single"/>
          <w:lang w:val="en-GB"/>
        </w:rPr>
        <w:t>Answer:</w:t>
      </w:r>
      <w:r>
        <w:rPr>
          <w:u w:val="single"/>
          <w:lang w:val="en-GB"/>
        </w:rPr>
        <w:t xml:space="preserve"> </w:t>
      </w:r>
      <w:r>
        <w:rPr>
          <w:lang w:val="en-GB"/>
        </w:rPr>
        <w:t xml:space="preserve">The business rescue practitioner in this instance abused his powers. Agreements can be cancelled during business rescue, but it is </w:t>
      </w:r>
      <w:r w:rsidRPr="00964F97">
        <w:rPr>
          <w:i/>
          <w:iCs/>
          <w:lang w:val="en-GB"/>
        </w:rPr>
        <w:t>male fidei</w:t>
      </w:r>
      <w:r>
        <w:rPr>
          <w:i/>
          <w:iCs/>
          <w:lang w:val="en-GB"/>
        </w:rPr>
        <w:t xml:space="preserve"> </w:t>
      </w:r>
      <w:r>
        <w:rPr>
          <w:lang w:val="en-GB"/>
        </w:rPr>
        <w:t>of the business rescue practitioner to not return the vehicles to Wonderworld Auto after cancelling the agreement that was made with them.</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5CC6FCA1" w:rsidR="00C228D3" w:rsidRDefault="00964F97" w:rsidP="00C228D3">
      <w:pPr>
        <w:jc w:val="left"/>
        <w:rPr>
          <w:color w:val="A6A6A6" w:themeColor="background1" w:themeShade="A6"/>
          <w:lang w:val="en-GB"/>
        </w:rPr>
      </w:pPr>
      <w:r w:rsidRPr="00964F97">
        <w:rPr>
          <w:u w:val="single"/>
          <w:lang w:val="en-GB"/>
        </w:rPr>
        <w:t xml:space="preserve">Answer: </w:t>
      </w:r>
      <w:r>
        <w:rPr>
          <w:lang w:val="en-GB"/>
        </w:rPr>
        <w:t>No, he is not entitled to do so. It is important to note that the Labour Law Relations Act ranks above the Companies Act when it comes to business rescue proceedings and employees should be paid what they were paid before business rescue proceedings and in accordance with their contract/agreement.</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2E64FD86" w14:textId="1A4BE618" w:rsidR="00F50E64" w:rsidRPr="006C5797" w:rsidRDefault="006C5797" w:rsidP="000437C2">
      <w:pPr>
        <w:rPr>
          <w:u w:val="single"/>
        </w:rPr>
      </w:pPr>
      <w:r w:rsidRPr="006C5797">
        <w:rPr>
          <w:u w:val="single"/>
          <w:lang w:val="en-GB"/>
        </w:rPr>
        <w:t>Answer:</w:t>
      </w:r>
      <w:r>
        <w:rPr>
          <w:u w:val="single"/>
          <w:lang w:val="en-GB"/>
        </w:rPr>
        <w:t xml:space="preserve"> </w:t>
      </w:r>
      <w:r w:rsidRPr="006C5797">
        <w:rPr>
          <w:lang w:val="en-GB"/>
        </w:rPr>
        <w:t>They have rights in the business rescue process</w:t>
      </w:r>
      <w:r>
        <w:rPr>
          <w:lang w:val="en-GB"/>
        </w:rPr>
        <w:t xml:space="preserve"> as they are shareholders of the company. Shareholders are seen as creditors of the company and may vote on the plan. However, if they are not independent it may affect their voting right of the business rescue plan.</w:t>
      </w: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5D3703F8" w:rsidR="00C228D3" w:rsidRDefault="00964F97" w:rsidP="00C228D3">
      <w:pPr>
        <w:jc w:val="left"/>
        <w:rPr>
          <w:lang w:val="en-GB"/>
        </w:rPr>
      </w:pPr>
      <w:r w:rsidRPr="006C5797">
        <w:rPr>
          <w:u w:val="single"/>
          <w:lang w:val="en-GB"/>
        </w:rPr>
        <w:t>Answer</w:t>
      </w:r>
      <w:r w:rsidRPr="006C5797">
        <w:rPr>
          <w:lang w:val="en-GB"/>
        </w:rPr>
        <w:t xml:space="preserve">: Yes, because he </w:t>
      </w:r>
      <w:r w:rsidR="006C5797" w:rsidRPr="006C5797">
        <w:rPr>
          <w:lang w:val="en-GB"/>
        </w:rPr>
        <w:t>was reluctant to share the company’s financial information upon request and obstructed the business rescue process.</w:t>
      </w:r>
    </w:p>
    <w:p w14:paraId="267C2182" w14:textId="77777777" w:rsidR="006C5797" w:rsidRDefault="006C5797" w:rsidP="00C228D3">
      <w:pPr>
        <w:jc w:val="left"/>
        <w:rPr>
          <w:lang w:val="en-GB"/>
        </w:rPr>
      </w:pPr>
    </w:p>
    <w:p w14:paraId="3842E145" w14:textId="77777777" w:rsidR="006C5797" w:rsidRDefault="006C5797" w:rsidP="00C228D3">
      <w:pPr>
        <w:jc w:val="left"/>
        <w:rPr>
          <w:lang w:val="en-GB"/>
        </w:rPr>
      </w:pPr>
    </w:p>
    <w:p w14:paraId="4D8A1AE8" w14:textId="77777777" w:rsidR="006C5797" w:rsidRDefault="006C5797" w:rsidP="00C228D3">
      <w:pPr>
        <w:jc w:val="left"/>
        <w:rPr>
          <w:lang w:val="en-GB"/>
        </w:rPr>
      </w:pPr>
    </w:p>
    <w:p w14:paraId="4A583C96" w14:textId="77777777" w:rsidR="006C5797" w:rsidRPr="006C5797" w:rsidRDefault="006C5797" w:rsidP="00C228D3">
      <w:pPr>
        <w:jc w:val="left"/>
        <w:rPr>
          <w:lang w:val="en-GB"/>
        </w:rPr>
      </w:pP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lastRenderedPageBreak/>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4A52EE47" w14:textId="72C22AAD" w:rsidR="00F50E64" w:rsidRPr="00576846" w:rsidRDefault="00576846" w:rsidP="00A64410">
      <w:pPr>
        <w:rPr>
          <w:lang w:val="en-GB"/>
        </w:rPr>
      </w:pPr>
      <w:r w:rsidRPr="00576846">
        <w:rPr>
          <w:u w:val="single"/>
          <w:lang w:val="en-GB"/>
        </w:rPr>
        <w:t>Answer</w:t>
      </w:r>
      <w:r w:rsidRPr="00576846">
        <w:rPr>
          <w:lang w:val="en-GB"/>
        </w:rPr>
        <w:t xml:space="preserve">: He may be removed according to the grounds set out in section 130 </w:t>
      </w:r>
      <w:r>
        <w:rPr>
          <w:lang w:val="en-GB"/>
        </w:rPr>
        <w:t>of the Companies Act as he is not independent of the company or its management.</w:t>
      </w: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7372809B" w14:textId="4B17369B" w:rsidR="00F50E64" w:rsidRPr="00576846" w:rsidRDefault="00576846" w:rsidP="00A64410">
      <w:pPr>
        <w:rPr>
          <w:lang w:val="en-GB"/>
        </w:rPr>
      </w:pPr>
      <w:r w:rsidRPr="006F7D7B">
        <w:rPr>
          <w:u w:val="single"/>
          <w:lang w:val="en-GB"/>
        </w:rPr>
        <w:t>Answer:</w:t>
      </w:r>
      <w:r>
        <w:rPr>
          <w:lang w:val="en-GB"/>
        </w:rPr>
        <w:t xml:space="preserve"> No</w:t>
      </w:r>
      <w:r w:rsidR="006F7D7B">
        <w:rPr>
          <w:lang w:val="en-GB"/>
        </w:rPr>
        <w:t>,</w:t>
      </w:r>
      <w:r>
        <w:rPr>
          <w:lang w:val="en-GB"/>
        </w:rPr>
        <w:t xml:space="preserve"> they were not right. According to the Shiva Uranium case, the company can </w:t>
      </w:r>
      <w:r w:rsidR="006F7D7B">
        <w:rPr>
          <w:lang w:val="en-GB"/>
        </w:rPr>
        <w:t>appoint a substitute for the practitioner that was removed from office and an “affected part” can only appoint a substitute practitioner if practitioner resigns in terms of section 131(5).</w:t>
      </w: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Default="00D730F3" w:rsidP="00A64410">
      <w:pPr>
        <w:rPr>
          <w:lang w:val="en-GB"/>
        </w:rPr>
      </w:pPr>
    </w:p>
    <w:p w14:paraId="34400D59" w14:textId="16D45036" w:rsidR="006F7D7B" w:rsidRPr="006F7D7B" w:rsidRDefault="006F7D7B" w:rsidP="00A64410">
      <w:pPr>
        <w:rPr>
          <w:lang w:val="en-GB"/>
        </w:rPr>
      </w:pPr>
      <w:r w:rsidRPr="006F7D7B">
        <w:rPr>
          <w:u w:val="single"/>
          <w:lang w:val="en-GB"/>
        </w:rPr>
        <w:t>Answer:</w:t>
      </w:r>
      <w:r>
        <w:rPr>
          <w:lang w:val="en-GB"/>
        </w:rPr>
        <w:t xml:space="preserve"> The remuneration of the practitioner must be set out and voted on by creditors in the business rescue plan. The success fee is an agreement between the company and the practitioner specifically and does not necessarily become the knowledge of the creditors. It was male fidei of the practitioner to take a success fee without the knowledge of the company’s directors.</w:t>
      </w:r>
    </w:p>
    <w:p w14:paraId="2A433405" w14:textId="77777777" w:rsidR="00F50E64" w:rsidRPr="006F7D7B" w:rsidRDefault="00F50E64" w:rsidP="00A64410">
      <w:pPr>
        <w:rPr>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881"/>
        <w:gridCol w:w="1687"/>
        <w:gridCol w:w="1798"/>
        <w:gridCol w:w="1701"/>
      </w:tblGrid>
      <w:tr w:rsidR="007F182E" w:rsidRPr="00675520" w14:paraId="086F45FF" w14:textId="77777777" w:rsidTr="00CF2AA8">
        <w:trPr>
          <w:trHeight w:val="786"/>
        </w:trPr>
        <w:tc>
          <w:tcPr>
            <w:tcW w:w="3881"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687"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98"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CF2AA8">
        <w:trPr>
          <w:trHeight w:val="794"/>
        </w:trPr>
        <w:tc>
          <w:tcPr>
            <w:tcW w:w="3881"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lastRenderedPageBreak/>
              <w:t>Orlando Investments (Preference Shares, which are assumed to be equity in nature)</w:t>
            </w:r>
          </w:p>
        </w:tc>
        <w:tc>
          <w:tcPr>
            <w:tcW w:w="1687" w:type="dxa"/>
            <w:vAlign w:val="center"/>
          </w:tcPr>
          <w:p w14:paraId="4D52256B" w14:textId="1A8DF60C" w:rsidR="007F182E" w:rsidRPr="00675520" w:rsidRDefault="00CF2AA8" w:rsidP="009B7B4A">
            <w:pPr>
              <w:jc w:val="right"/>
              <w:rPr>
                <w:rFonts w:cs="Arial"/>
                <w:sz w:val="20"/>
                <w:szCs w:val="20"/>
                <w:lang w:val="en-GB"/>
              </w:rPr>
            </w:pPr>
            <w:r>
              <w:rPr>
                <w:rFonts w:cs="Arial"/>
                <w:sz w:val="20"/>
                <w:szCs w:val="20"/>
                <w:lang w:val="en-GB"/>
              </w:rPr>
              <w:t>Unsecured creditor</w:t>
            </w:r>
          </w:p>
        </w:tc>
        <w:tc>
          <w:tcPr>
            <w:tcW w:w="1798" w:type="dxa"/>
            <w:vAlign w:val="center"/>
          </w:tcPr>
          <w:p w14:paraId="637268EA" w14:textId="5F05AD61" w:rsidR="007F182E" w:rsidRPr="00675520" w:rsidRDefault="00CF2AA8"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3C68558C" w:rsidR="007F182E" w:rsidRPr="00675520" w:rsidRDefault="00CF2AA8" w:rsidP="009B7B4A">
            <w:pPr>
              <w:jc w:val="right"/>
              <w:rPr>
                <w:rFonts w:cs="Arial"/>
                <w:sz w:val="20"/>
                <w:szCs w:val="20"/>
                <w:lang w:val="en-GB"/>
              </w:rPr>
            </w:pPr>
            <w:r>
              <w:rPr>
                <w:rFonts w:cs="Arial"/>
                <w:sz w:val="20"/>
                <w:szCs w:val="20"/>
                <w:lang w:val="en-GB"/>
              </w:rPr>
              <w:t>no</w:t>
            </w:r>
          </w:p>
        </w:tc>
      </w:tr>
      <w:tr w:rsidR="007F182E" w:rsidRPr="00675520" w14:paraId="457A5E93" w14:textId="77777777" w:rsidTr="00CF2AA8">
        <w:trPr>
          <w:trHeight w:val="794"/>
        </w:trPr>
        <w:tc>
          <w:tcPr>
            <w:tcW w:w="3881"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687" w:type="dxa"/>
            <w:vAlign w:val="center"/>
          </w:tcPr>
          <w:p w14:paraId="05E6F5B7" w14:textId="0D039A80" w:rsidR="007F182E" w:rsidRPr="00675520" w:rsidRDefault="00CF2AA8" w:rsidP="009B7B4A">
            <w:pPr>
              <w:jc w:val="right"/>
              <w:rPr>
                <w:rFonts w:cs="Arial"/>
                <w:sz w:val="20"/>
                <w:szCs w:val="20"/>
                <w:lang w:val="en-GB"/>
              </w:rPr>
            </w:pPr>
            <w:r>
              <w:rPr>
                <w:rFonts w:cs="Arial"/>
                <w:sz w:val="20"/>
                <w:szCs w:val="20"/>
                <w:lang w:val="en-GB"/>
              </w:rPr>
              <w:t>Secured creditor</w:t>
            </w:r>
          </w:p>
        </w:tc>
        <w:tc>
          <w:tcPr>
            <w:tcW w:w="1798" w:type="dxa"/>
            <w:vAlign w:val="center"/>
          </w:tcPr>
          <w:p w14:paraId="086D1306" w14:textId="0F16C375" w:rsidR="007F182E" w:rsidRPr="00675520" w:rsidRDefault="00CF2AA8"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11F3D430" w:rsidR="007F182E" w:rsidRPr="00675520" w:rsidRDefault="00CF2AA8" w:rsidP="009B7B4A">
            <w:pPr>
              <w:jc w:val="right"/>
              <w:rPr>
                <w:rFonts w:cs="Arial"/>
                <w:sz w:val="20"/>
                <w:szCs w:val="20"/>
                <w:lang w:val="en-GB"/>
              </w:rPr>
            </w:pPr>
            <w:r>
              <w:rPr>
                <w:rFonts w:cs="Arial"/>
                <w:sz w:val="20"/>
                <w:szCs w:val="20"/>
                <w:lang w:val="en-GB"/>
              </w:rPr>
              <w:t>yes</w:t>
            </w:r>
          </w:p>
        </w:tc>
      </w:tr>
      <w:tr w:rsidR="007F182E" w:rsidRPr="00675520" w14:paraId="699E511A" w14:textId="77777777" w:rsidTr="00CF2AA8">
        <w:trPr>
          <w:trHeight w:val="794"/>
        </w:trPr>
        <w:tc>
          <w:tcPr>
            <w:tcW w:w="3881"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687" w:type="dxa"/>
            <w:vAlign w:val="center"/>
          </w:tcPr>
          <w:p w14:paraId="29F24F16" w14:textId="46ED5703" w:rsidR="007F182E" w:rsidRPr="00675520" w:rsidRDefault="00CF2AA8" w:rsidP="009B7B4A">
            <w:pPr>
              <w:jc w:val="right"/>
              <w:rPr>
                <w:rFonts w:cs="Arial"/>
                <w:sz w:val="20"/>
                <w:szCs w:val="20"/>
                <w:lang w:val="en-GB"/>
              </w:rPr>
            </w:pPr>
            <w:r>
              <w:rPr>
                <w:rFonts w:cs="Arial"/>
                <w:sz w:val="20"/>
                <w:szCs w:val="20"/>
                <w:lang w:val="en-GB"/>
              </w:rPr>
              <w:t>Concurrent creditor</w:t>
            </w:r>
          </w:p>
        </w:tc>
        <w:tc>
          <w:tcPr>
            <w:tcW w:w="1798" w:type="dxa"/>
            <w:vAlign w:val="center"/>
          </w:tcPr>
          <w:p w14:paraId="4FD0C73A" w14:textId="181DF36E" w:rsidR="007F182E" w:rsidRPr="00675520" w:rsidRDefault="00CF2AA8"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3DC48379" w:rsidR="007F182E" w:rsidRPr="00675520" w:rsidRDefault="00CF2AA8" w:rsidP="009B7B4A">
            <w:pPr>
              <w:jc w:val="right"/>
              <w:rPr>
                <w:rFonts w:cs="Arial"/>
                <w:sz w:val="20"/>
                <w:szCs w:val="20"/>
                <w:lang w:val="en-GB"/>
              </w:rPr>
            </w:pPr>
            <w:r>
              <w:rPr>
                <w:rFonts w:cs="Arial"/>
                <w:sz w:val="20"/>
                <w:szCs w:val="20"/>
                <w:lang w:val="en-GB"/>
              </w:rPr>
              <w:t>yes</w:t>
            </w:r>
          </w:p>
        </w:tc>
      </w:tr>
      <w:tr w:rsidR="007F182E" w:rsidRPr="00675520" w14:paraId="0140CE43" w14:textId="77777777" w:rsidTr="00CF2AA8">
        <w:trPr>
          <w:trHeight w:val="794"/>
        </w:trPr>
        <w:tc>
          <w:tcPr>
            <w:tcW w:w="3881"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687" w:type="dxa"/>
            <w:vAlign w:val="center"/>
          </w:tcPr>
          <w:p w14:paraId="2D118221" w14:textId="1A2C9DE0" w:rsidR="007F182E" w:rsidRPr="00675520" w:rsidRDefault="006F7D7B" w:rsidP="009B7B4A">
            <w:pPr>
              <w:jc w:val="right"/>
              <w:rPr>
                <w:rFonts w:cs="Arial"/>
                <w:sz w:val="20"/>
                <w:szCs w:val="20"/>
                <w:lang w:val="en-GB"/>
              </w:rPr>
            </w:pPr>
            <w:r>
              <w:rPr>
                <w:rFonts w:cs="Arial"/>
                <w:sz w:val="20"/>
                <w:szCs w:val="20"/>
                <w:lang w:val="en-GB"/>
              </w:rPr>
              <w:t>Secured creditor</w:t>
            </w:r>
          </w:p>
        </w:tc>
        <w:tc>
          <w:tcPr>
            <w:tcW w:w="1798" w:type="dxa"/>
            <w:vAlign w:val="center"/>
          </w:tcPr>
          <w:p w14:paraId="13B9F98B" w14:textId="48E51600" w:rsidR="007F182E" w:rsidRPr="00675520" w:rsidRDefault="006F7D7B"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60A6FCE5" w14:textId="6789A40E" w:rsidR="007F182E" w:rsidRPr="00675520" w:rsidRDefault="00CF2AA8" w:rsidP="009B7B4A">
            <w:pPr>
              <w:jc w:val="right"/>
              <w:rPr>
                <w:rFonts w:cs="Arial"/>
                <w:sz w:val="20"/>
                <w:szCs w:val="20"/>
                <w:lang w:val="en-GB"/>
              </w:rPr>
            </w:pPr>
            <w:r>
              <w:rPr>
                <w:rFonts w:cs="Arial"/>
                <w:sz w:val="20"/>
                <w:szCs w:val="20"/>
                <w:lang w:val="en-GB"/>
              </w:rPr>
              <w:t>yes</w:t>
            </w:r>
          </w:p>
        </w:tc>
      </w:tr>
      <w:tr w:rsidR="007F182E" w:rsidRPr="00675520" w14:paraId="538963FA" w14:textId="77777777" w:rsidTr="00CF2AA8">
        <w:trPr>
          <w:trHeight w:val="794"/>
        </w:trPr>
        <w:tc>
          <w:tcPr>
            <w:tcW w:w="3881"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687" w:type="dxa"/>
            <w:vAlign w:val="center"/>
          </w:tcPr>
          <w:p w14:paraId="2570391E" w14:textId="7C0A94C2" w:rsidR="007F182E" w:rsidRPr="00675520" w:rsidRDefault="00CF2AA8" w:rsidP="009B7B4A">
            <w:pPr>
              <w:jc w:val="right"/>
              <w:rPr>
                <w:rFonts w:cs="Arial"/>
                <w:sz w:val="20"/>
                <w:szCs w:val="20"/>
                <w:lang w:val="en-GB"/>
              </w:rPr>
            </w:pPr>
            <w:r>
              <w:rPr>
                <w:rFonts w:cs="Arial"/>
                <w:sz w:val="20"/>
                <w:szCs w:val="20"/>
                <w:lang w:val="en-GB"/>
              </w:rPr>
              <w:t>unsecured</w:t>
            </w:r>
            <w:r w:rsidR="006F7D7B">
              <w:rPr>
                <w:rFonts w:cs="Arial"/>
                <w:sz w:val="20"/>
                <w:szCs w:val="20"/>
                <w:lang w:val="en-GB"/>
              </w:rPr>
              <w:t xml:space="preserve"> creditor</w:t>
            </w:r>
          </w:p>
        </w:tc>
        <w:tc>
          <w:tcPr>
            <w:tcW w:w="1798" w:type="dxa"/>
            <w:vAlign w:val="center"/>
          </w:tcPr>
          <w:p w14:paraId="5D4BFCCD" w14:textId="3A4A422F" w:rsidR="007F182E" w:rsidRPr="00675520" w:rsidRDefault="00CF2AA8" w:rsidP="009B7B4A">
            <w:pPr>
              <w:jc w:val="right"/>
              <w:rPr>
                <w:rFonts w:cs="Arial"/>
                <w:sz w:val="20"/>
                <w:szCs w:val="20"/>
                <w:lang w:val="en-GB"/>
              </w:rPr>
            </w:pPr>
            <w:r>
              <w:rPr>
                <w:rFonts w:cs="Arial"/>
                <w:sz w:val="20"/>
                <w:szCs w:val="20"/>
                <w:lang w:val="en-GB"/>
              </w:rPr>
              <w:t>Non-Independent</w:t>
            </w:r>
          </w:p>
        </w:tc>
        <w:tc>
          <w:tcPr>
            <w:tcW w:w="1701" w:type="dxa"/>
            <w:vAlign w:val="center"/>
          </w:tcPr>
          <w:p w14:paraId="472E3A8F" w14:textId="72336445" w:rsidR="007F182E" w:rsidRPr="00675520" w:rsidRDefault="00CF2AA8" w:rsidP="009B7B4A">
            <w:pPr>
              <w:jc w:val="right"/>
              <w:rPr>
                <w:rFonts w:cs="Arial"/>
                <w:sz w:val="20"/>
                <w:szCs w:val="20"/>
                <w:lang w:val="en-GB"/>
              </w:rPr>
            </w:pPr>
            <w:r>
              <w:rPr>
                <w:rFonts w:cs="Arial"/>
                <w:sz w:val="20"/>
                <w:szCs w:val="20"/>
                <w:lang w:val="en-GB"/>
              </w:rPr>
              <w:t>no</w:t>
            </w:r>
          </w:p>
        </w:tc>
      </w:tr>
      <w:tr w:rsidR="007F182E" w:rsidRPr="00675520" w14:paraId="5913F84A" w14:textId="77777777" w:rsidTr="00CF2AA8">
        <w:trPr>
          <w:trHeight w:val="794"/>
        </w:trPr>
        <w:tc>
          <w:tcPr>
            <w:tcW w:w="3881"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687" w:type="dxa"/>
            <w:vAlign w:val="center"/>
          </w:tcPr>
          <w:p w14:paraId="59146F9B" w14:textId="5F3F8FAC" w:rsidR="007F182E" w:rsidRPr="00675520" w:rsidRDefault="00CF2AA8" w:rsidP="009B7B4A">
            <w:pPr>
              <w:jc w:val="right"/>
              <w:rPr>
                <w:rFonts w:cs="Arial"/>
                <w:sz w:val="20"/>
                <w:szCs w:val="20"/>
                <w:lang w:val="en-GB"/>
              </w:rPr>
            </w:pPr>
            <w:r>
              <w:rPr>
                <w:rFonts w:cs="Arial"/>
                <w:sz w:val="20"/>
                <w:szCs w:val="20"/>
                <w:lang w:val="en-GB"/>
              </w:rPr>
              <w:t>Preferent Creditor</w:t>
            </w:r>
          </w:p>
        </w:tc>
        <w:tc>
          <w:tcPr>
            <w:tcW w:w="1798" w:type="dxa"/>
            <w:vAlign w:val="center"/>
          </w:tcPr>
          <w:p w14:paraId="000A6820" w14:textId="6DA4EB4B" w:rsidR="007F182E" w:rsidRPr="00675520" w:rsidRDefault="00CF2AA8" w:rsidP="009B7B4A">
            <w:pPr>
              <w:jc w:val="right"/>
              <w:rPr>
                <w:rFonts w:cs="Arial"/>
                <w:sz w:val="20"/>
                <w:szCs w:val="20"/>
                <w:lang w:val="en-GB"/>
              </w:rPr>
            </w:pPr>
            <w:r>
              <w:rPr>
                <w:rFonts w:cs="Arial"/>
                <w:sz w:val="20"/>
                <w:szCs w:val="20"/>
                <w:lang w:val="en-GB"/>
              </w:rPr>
              <w:t>Non-Independent</w:t>
            </w:r>
          </w:p>
        </w:tc>
        <w:tc>
          <w:tcPr>
            <w:tcW w:w="1701" w:type="dxa"/>
            <w:vAlign w:val="center"/>
          </w:tcPr>
          <w:p w14:paraId="2A494CCC" w14:textId="23A136B6" w:rsidR="007F182E" w:rsidRPr="00675520" w:rsidRDefault="00CF2AA8" w:rsidP="00CF2AA8">
            <w:pPr>
              <w:jc w:val="center"/>
              <w:rPr>
                <w:rFonts w:cs="Arial"/>
                <w:sz w:val="20"/>
                <w:szCs w:val="20"/>
                <w:lang w:val="en-GB"/>
              </w:rPr>
            </w:pPr>
            <w:r>
              <w:rPr>
                <w:rFonts w:cs="Arial"/>
                <w:sz w:val="20"/>
                <w:szCs w:val="20"/>
                <w:lang w:val="en-GB"/>
              </w:rPr>
              <w:t>yes</w:t>
            </w:r>
          </w:p>
        </w:tc>
      </w:tr>
      <w:tr w:rsidR="007F182E" w:rsidRPr="00675520" w14:paraId="3FC442AE" w14:textId="77777777" w:rsidTr="00CF2AA8">
        <w:trPr>
          <w:trHeight w:val="794"/>
        </w:trPr>
        <w:tc>
          <w:tcPr>
            <w:tcW w:w="3881"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687" w:type="dxa"/>
            <w:vAlign w:val="center"/>
          </w:tcPr>
          <w:p w14:paraId="3848E6FB" w14:textId="5F71E312" w:rsidR="007F182E" w:rsidRPr="00675520" w:rsidRDefault="006F7D7B" w:rsidP="009B7B4A">
            <w:pPr>
              <w:jc w:val="right"/>
              <w:rPr>
                <w:rFonts w:cs="Arial"/>
                <w:sz w:val="20"/>
                <w:szCs w:val="20"/>
                <w:lang w:val="en-GB"/>
              </w:rPr>
            </w:pPr>
            <w:r>
              <w:rPr>
                <w:rFonts w:cs="Arial"/>
                <w:sz w:val="20"/>
                <w:szCs w:val="20"/>
                <w:lang w:val="en-GB"/>
              </w:rPr>
              <w:t xml:space="preserve">Secured creditor </w:t>
            </w:r>
          </w:p>
        </w:tc>
        <w:tc>
          <w:tcPr>
            <w:tcW w:w="1798" w:type="dxa"/>
            <w:vAlign w:val="center"/>
          </w:tcPr>
          <w:p w14:paraId="5FD20911" w14:textId="791B7EA8" w:rsidR="007F182E" w:rsidRPr="00675520" w:rsidRDefault="006F7D7B"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17B2C1DF" w14:textId="0F7D513B" w:rsidR="007F182E" w:rsidRPr="00675520" w:rsidRDefault="00CF2AA8" w:rsidP="009B7B4A">
            <w:pPr>
              <w:jc w:val="right"/>
              <w:rPr>
                <w:rFonts w:cs="Arial"/>
                <w:sz w:val="20"/>
                <w:szCs w:val="20"/>
                <w:lang w:val="en-GB"/>
              </w:rPr>
            </w:pPr>
            <w:r>
              <w:rPr>
                <w:rFonts w:cs="Arial"/>
                <w:sz w:val="20"/>
                <w:szCs w:val="20"/>
                <w:lang w:val="en-GB"/>
              </w:rPr>
              <w:t>yes</w:t>
            </w:r>
          </w:p>
        </w:tc>
      </w:tr>
      <w:tr w:rsidR="007F182E" w:rsidRPr="00675520" w14:paraId="020B7649" w14:textId="77777777" w:rsidTr="00CF2AA8">
        <w:trPr>
          <w:trHeight w:val="794"/>
        </w:trPr>
        <w:tc>
          <w:tcPr>
            <w:tcW w:w="3881"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687" w:type="dxa"/>
            <w:vAlign w:val="center"/>
          </w:tcPr>
          <w:p w14:paraId="04212083" w14:textId="116F9745" w:rsidR="007F182E" w:rsidRPr="00675520" w:rsidRDefault="00CF2AA8" w:rsidP="009B7B4A">
            <w:pPr>
              <w:jc w:val="right"/>
              <w:rPr>
                <w:rFonts w:cs="Arial"/>
                <w:sz w:val="20"/>
                <w:szCs w:val="20"/>
                <w:lang w:val="en-GB"/>
              </w:rPr>
            </w:pPr>
            <w:r>
              <w:rPr>
                <w:rFonts w:cs="Arial"/>
                <w:sz w:val="20"/>
                <w:szCs w:val="20"/>
                <w:lang w:val="en-GB"/>
              </w:rPr>
              <w:t>PCF</w:t>
            </w:r>
          </w:p>
        </w:tc>
        <w:tc>
          <w:tcPr>
            <w:tcW w:w="1798" w:type="dxa"/>
            <w:vAlign w:val="center"/>
          </w:tcPr>
          <w:p w14:paraId="05E8EE2D" w14:textId="24A22BF1" w:rsidR="007F182E" w:rsidRPr="00675520" w:rsidRDefault="00CF2AA8" w:rsidP="009B7B4A">
            <w:pPr>
              <w:jc w:val="right"/>
              <w:rPr>
                <w:rFonts w:cs="Arial"/>
                <w:sz w:val="20"/>
                <w:szCs w:val="20"/>
                <w:lang w:val="en-GB"/>
              </w:rPr>
            </w:pPr>
            <w:r>
              <w:rPr>
                <w:rFonts w:cs="Arial"/>
                <w:sz w:val="20"/>
                <w:szCs w:val="20"/>
                <w:lang w:val="en-GB"/>
              </w:rPr>
              <w:t>Non-independent</w:t>
            </w:r>
          </w:p>
        </w:tc>
        <w:tc>
          <w:tcPr>
            <w:tcW w:w="1701" w:type="dxa"/>
            <w:vAlign w:val="center"/>
          </w:tcPr>
          <w:p w14:paraId="5405EABF" w14:textId="6310D51D" w:rsidR="007F182E" w:rsidRPr="00675520" w:rsidRDefault="00CF2AA8" w:rsidP="00CF2AA8">
            <w:pPr>
              <w:jc w:val="center"/>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2A63D4E8" w:rsidR="00C228D3" w:rsidRPr="00CF2AA8" w:rsidRDefault="00CF2AA8" w:rsidP="00C228D3">
      <w:pPr>
        <w:jc w:val="left"/>
        <w:rPr>
          <w:lang w:val="en-GB"/>
        </w:rPr>
      </w:pPr>
      <w:r w:rsidRPr="00CF2AA8">
        <w:rPr>
          <w:u w:val="single"/>
          <w:lang w:val="en-GB"/>
        </w:rPr>
        <w:t>Answer</w:t>
      </w:r>
      <w:r>
        <w:rPr>
          <w:lang w:val="en-GB"/>
        </w:rPr>
        <w:t>: Employees cannot vote on the plan’s approval.</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09787A46" w:rsidR="00C228D3" w:rsidRPr="005917CB" w:rsidRDefault="005917CB" w:rsidP="00C228D3">
      <w:pPr>
        <w:jc w:val="left"/>
        <w:rPr>
          <w:u w:val="single"/>
          <w:lang w:val="en-GB"/>
        </w:rPr>
      </w:pPr>
      <w:r w:rsidRPr="005917CB">
        <w:rPr>
          <w:u w:val="single"/>
          <w:lang w:val="en-GB"/>
        </w:rPr>
        <w:t xml:space="preserve">Answer: </w:t>
      </w:r>
      <w:r w:rsidRPr="005917CB">
        <w:rPr>
          <w:lang w:val="en-GB"/>
        </w:rPr>
        <w:t>The practitioner, Mr Nkosi, must ensure that he has “substantially complied with the provisions in the Act such ass 150(2)(c)(iv).</w:t>
      </w:r>
      <w:r>
        <w:rPr>
          <w:u w:val="single"/>
          <w:lang w:val="en-GB"/>
        </w:rPr>
        <w:t xml:space="preserve"> </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1EECEE41" w:rsidR="00C228D3" w:rsidRPr="005917CB" w:rsidRDefault="005917CB" w:rsidP="00C228D3">
      <w:pPr>
        <w:jc w:val="left"/>
        <w:rPr>
          <w:lang w:val="en-GB"/>
        </w:rPr>
      </w:pPr>
      <w:r w:rsidRPr="005917CB">
        <w:rPr>
          <w:u w:val="single"/>
          <w:lang w:val="en-GB"/>
        </w:rPr>
        <w:lastRenderedPageBreak/>
        <w:t>Answer:</w:t>
      </w:r>
      <w:r>
        <w:rPr>
          <w:lang w:val="en-GB"/>
        </w:rPr>
        <w:t xml:space="preserve"> The section 150(4) of the Act requires Mr Nkosi to include a certificate signed by the practitioner saying that the information provided are compiled in good faith.</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3579525C" w14:textId="6D86C633" w:rsidR="000E1D58" w:rsidRPr="005917CB" w:rsidRDefault="00C377CE" w:rsidP="00444348">
      <w:r w:rsidRPr="00C377CE">
        <w:rPr>
          <w:u w:val="single"/>
          <w:lang w:val="en-GB"/>
        </w:rPr>
        <w:t xml:space="preserve">Answer: </w:t>
      </w:r>
      <w:r>
        <w:rPr>
          <w:lang w:val="en-GB"/>
        </w:rPr>
        <w:t>Section 152(4) of the Act stated that when a business rescue plan is adopted (as is the case above when considering the voting percentages), and it is then binding on all creditors.</w:t>
      </w: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1C314BDF" w14:textId="3875B4C0" w:rsidR="000E1D58" w:rsidRPr="00C377CE" w:rsidRDefault="00C377CE" w:rsidP="00444348">
      <w:r w:rsidRPr="00C377CE">
        <w:rPr>
          <w:u w:val="single"/>
          <w:lang w:val="en-GB"/>
        </w:rPr>
        <w:t>Answer:</w:t>
      </w:r>
      <w:r>
        <w:rPr>
          <w:lang w:val="en-GB"/>
        </w:rPr>
        <w:t xml:space="preserve"> There is no difference between the effect of the plan who voted in favour or against.</w:t>
      </w: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5A40CAF" w:rsidR="009C6019" w:rsidRDefault="009C6019" w:rsidP="008A20AC">
    <w:pPr>
      <w:pStyle w:val="Footer"/>
      <w:ind w:right="360"/>
    </w:pPr>
    <w:r>
      <w:t>StudentID.Paper1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516116555">
    <w:abstractNumId w:val="52"/>
  </w:num>
  <w:num w:numId="2" w16cid:durableId="1383091549">
    <w:abstractNumId w:val="50"/>
  </w:num>
  <w:num w:numId="3" w16cid:durableId="1854563539">
    <w:abstractNumId w:val="1"/>
  </w:num>
  <w:num w:numId="4" w16cid:durableId="1492527949">
    <w:abstractNumId w:val="41"/>
  </w:num>
  <w:num w:numId="5" w16cid:durableId="744961056">
    <w:abstractNumId w:val="2"/>
  </w:num>
  <w:num w:numId="6" w16cid:durableId="217983691">
    <w:abstractNumId w:val="36"/>
  </w:num>
  <w:num w:numId="7" w16cid:durableId="244267834">
    <w:abstractNumId w:val="23"/>
  </w:num>
  <w:num w:numId="8" w16cid:durableId="1846943624">
    <w:abstractNumId w:val="12"/>
  </w:num>
  <w:num w:numId="9" w16cid:durableId="972635460">
    <w:abstractNumId w:val="33"/>
  </w:num>
  <w:num w:numId="10" w16cid:durableId="1057432972">
    <w:abstractNumId w:val="17"/>
  </w:num>
  <w:num w:numId="11" w16cid:durableId="1294407163">
    <w:abstractNumId w:val="51"/>
  </w:num>
  <w:num w:numId="12" w16cid:durableId="465852164">
    <w:abstractNumId w:val="32"/>
  </w:num>
  <w:num w:numId="13" w16cid:durableId="1792899046">
    <w:abstractNumId w:val="21"/>
  </w:num>
  <w:num w:numId="14" w16cid:durableId="1927884861">
    <w:abstractNumId w:val="19"/>
  </w:num>
  <w:num w:numId="15" w16cid:durableId="1631933488">
    <w:abstractNumId w:val="37"/>
  </w:num>
  <w:num w:numId="16" w16cid:durableId="876160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991252">
    <w:abstractNumId w:val="37"/>
    <w:lvlOverride w:ilvl="0">
      <w:startOverride w:val="1"/>
    </w:lvlOverride>
    <w:lvlOverride w:ilvl="1">
      <w:startOverride w:val="1"/>
    </w:lvlOverride>
    <w:lvlOverride w:ilvl="2">
      <w:startOverride w:val="1"/>
    </w:lvlOverride>
  </w:num>
  <w:num w:numId="18" w16cid:durableId="477693902">
    <w:abstractNumId w:val="46"/>
  </w:num>
  <w:num w:numId="19" w16cid:durableId="1677338469">
    <w:abstractNumId w:val="25"/>
  </w:num>
  <w:num w:numId="20" w16cid:durableId="1840382827">
    <w:abstractNumId w:val="4"/>
  </w:num>
  <w:num w:numId="21" w16cid:durableId="749346659">
    <w:abstractNumId w:val="10"/>
  </w:num>
  <w:num w:numId="22" w16cid:durableId="1070613811">
    <w:abstractNumId w:val="42"/>
  </w:num>
  <w:num w:numId="23" w16cid:durableId="993945226">
    <w:abstractNumId w:val="53"/>
  </w:num>
  <w:num w:numId="24" w16cid:durableId="1485195183">
    <w:abstractNumId w:val="15"/>
  </w:num>
  <w:num w:numId="25" w16cid:durableId="39480461">
    <w:abstractNumId w:val="20"/>
  </w:num>
  <w:num w:numId="26" w16cid:durableId="1189829442">
    <w:abstractNumId w:val="29"/>
  </w:num>
  <w:num w:numId="27" w16cid:durableId="933708689">
    <w:abstractNumId w:val="7"/>
  </w:num>
  <w:num w:numId="28" w16cid:durableId="1064525488">
    <w:abstractNumId w:val="43"/>
  </w:num>
  <w:num w:numId="29" w16cid:durableId="271941333">
    <w:abstractNumId w:val="3"/>
  </w:num>
  <w:num w:numId="30" w16cid:durableId="820467181">
    <w:abstractNumId w:val="40"/>
  </w:num>
  <w:num w:numId="31" w16cid:durableId="1211965772">
    <w:abstractNumId w:val="30"/>
  </w:num>
  <w:num w:numId="32" w16cid:durableId="1984851497">
    <w:abstractNumId w:val="13"/>
  </w:num>
  <w:num w:numId="33" w16cid:durableId="280460567">
    <w:abstractNumId w:val="6"/>
  </w:num>
  <w:num w:numId="34" w16cid:durableId="436098692">
    <w:abstractNumId w:val="35"/>
  </w:num>
  <w:num w:numId="35" w16cid:durableId="1691565713">
    <w:abstractNumId w:val="27"/>
  </w:num>
  <w:num w:numId="36" w16cid:durableId="1921937266">
    <w:abstractNumId w:val="22"/>
  </w:num>
  <w:num w:numId="37" w16cid:durableId="45766291">
    <w:abstractNumId w:val="34"/>
  </w:num>
  <w:num w:numId="38" w16cid:durableId="771702619">
    <w:abstractNumId w:val="28"/>
  </w:num>
  <w:num w:numId="39" w16cid:durableId="2025742801">
    <w:abstractNumId w:val="31"/>
  </w:num>
  <w:num w:numId="40" w16cid:durableId="2033804638">
    <w:abstractNumId w:val="44"/>
  </w:num>
  <w:num w:numId="41" w16cid:durableId="54283390">
    <w:abstractNumId w:val="39"/>
  </w:num>
  <w:num w:numId="42" w16cid:durableId="539976548">
    <w:abstractNumId w:val="24"/>
  </w:num>
  <w:num w:numId="43" w16cid:durableId="1117607387">
    <w:abstractNumId w:val="18"/>
  </w:num>
  <w:num w:numId="44" w16cid:durableId="1602297998">
    <w:abstractNumId w:val="9"/>
  </w:num>
  <w:num w:numId="45" w16cid:durableId="1187794276">
    <w:abstractNumId w:val="45"/>
  </w:num>
  <w:num w:numId="46" w16cid:durableId="766657509">
    <w:abstractNumId w:val="11"/>
  </w:num>
  <w:num w:numId="47" w16cid:durableId="276570582">
    <w:abstractNumId w:val="49"/>
  </w:num>
  <w:num w:numId="48" w16cid:durableId="117768980">
    <w:abstractNumId w:val="47"/>
  </w:num>
  <w:num w:numId="49" w16cid:durableId="103307217">
    <w:abstractNumId w:val="5"/>
  </w:num>
  <w:num w:numId="50" w16cid:durableId="1543010732">
    <w:abstractNumId w:val="8"/>
  </w:num>
  <w:num w:numId="51" w16cid:durableId="395665026">
    <w:abstractNumId w:val="16"/>
  </w:num>
  <w:num w:numId="52" w16cid:durableId="1657418768">
    <w:abstractNumId w:val="38"/>
  </w:num>
  <w:num w:numId="53" w16cid:durableId="1063285827">
    <w:abstractNumId w:val="26"/>
  </w:num>
  <w:num w:numId="54" w16cid:durableId="1262907448">
    <w:abstractNumId w:val="14"/>
  </w:num>
  <w:num w:numId="55" w16cid:durableId="299463649">
    <w:abstractNumId w:val="0"/>
  </w:num>
  <w:num w:numId="56" w16cid:durableId="45575458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E0235"/>
    <w:rsid w:val="002E125B"/>
    <w:rsid w:val="002E38E5"/>
    <w:rsid w:val="002E60D1"/>
    <w:rsid w:val="002E7DA4"/>
    <w:rsid w:val="002F2E23"/>
    <w:rsid w:val="002F49CF"/>
    <w:rsid w:val="00300343"/>
    <w:rsid w:val="00300368"/>
    <w:rsid w:val="003005A4"/>
    <w:rsid w:val="00300A1C"/>
    <w:rsid w:val="00303C2F"/>
    <w:rsid w:val="0030457A"/>
    <w:rsid w:val="00310783"/>
    <w:rsid w:val="00316DD4"/>
    <w:rsid w:val="0032119E"/>
    <w:rsid w:val="0033007B"/>
    <w:rsid w:val="00330681"/>
    <w:rsid w:val="003374AC"/>
    <w:rsid w:val="00337E93"/>
    <w:rsid w:val="00342DDB"/>
    <w:rsid w:val="00343065"/>
    <w:rsid w:val="00345A22"/>
    <w:rsid w:val="00347063"/>
    <w:rsid w:val="00347074"/>
    <w:rsid w:val="00352FC4"/>
    <w:rsid w:val="0035649E"/>
    <w:rsid w:val="003566F2"/>
    <w:rsid w:val="00357CA9"/>
    <w:rsid w:val="00361ECF"/>
    <w:rsid w:val="00362356"/>
    <w:rsid w:val="00364438"/>
    <w:rsid w:val="00373930"/>
    <w:rsid w:val="003845E5"/>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846"/>
    <w:rsid w:val="00576BA2"/>
    <w:rsid w:val="00582076"/>
    <w:rsid w:val="005823CF"/>
    <w:rsid w:val="005871B5"/>
    <w:rsid w:val="005917CB"/>
    <w:rsid w:val="00591D1D"/>
    <w:rsid w:val="00592A8D"/>
    <w:rsid w:val="00595D22"/>
    <w:rsid w:val="00596832"/>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797"/>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D7B"/>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664DC"/>
    <w:rsid w:val="00867EF8"/>
    <w:rsid w:val="008735A4"/>
    <w:rsid w:val="008753CD"/>
    <w:rsid w:val="008865F3"/>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4F9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39D4"/>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DED"/>
    <w:rsid w:val="00AA1809"/>
    <w:rsid w:val="00AA70F7"/>
    <w:rsid w:val="00AC16E2"/>
    <w:rsid w:val="00AC37E2"/>
    <w:rsid w:val="00AC39C3"/>
    <w:rsid w:val="00AC3A2B"/>
    <w:rsid w:val="00AC48C3"/>
    <w:rsid w:val="00AC4D36"/>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3DB7"/>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377CE"/>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2AA8"/>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B6C6A"/>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E64"/>
    <w:rsid w:val="00F512FE"/>
    <w:rsid w:val="00F57033"/>
    <w:rsid w:val="00F57481"/>
    <w:rsid w:val="00F6582B"/>
    <w:rsid w:val="00F6622D"/>
    <w:rsid w:val="00F80626"/>
    <w:rsid w:val="00F80872"/>
    <w:rsid w:val="00FA1307"/>
    <w:rsid w:val="00FA4DE0"/>
    <w:rsid w:val="00FA596D"/>
    <w:rsid w:val="00FA602E"/>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7518</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Joh-Mari Marais</cp:lastModifiedBy>
  <cp:revision>2</cp:revision>
  <cp:lastPrinted>2022-09-29T12:20:00Z</cp:lastPrinted>
  <dcterms:created xsi:type="dcterms:W3CDTF">2023-10-27T05:59:00Z</dcterms:created>
  <dcterms:modified xsi:type="dcterms:W3CDTF">2023-10-27T05:59:00Z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