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GB"/>
        </w:rPr>
        <w:drawing>
          <wp:inline distT="0" distB="0" distL="0" distR="0">
            <wp:extent cx="1941195" cy="253682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2"/>
          <w:szCs w:val="22"/>
          <w:lang w:val="en-GB"/>
          <w14:textFill>
            <w14:solidFill>
              <w14:schemeClr w14:val="accent1"/>
            </w14:solidFill>
          </w14:textFill>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14:textFill>
            <w14:solidFill>
              <w14:schemeClr w14:val="tx1"/>
            </w14:solidFill>
          </w14:textFill>
        </w:rPr>
      </w:pPr>
      <w:r>
        <w:rPr>
          <w:rFonts w:ascii="Avenir Next Demi Bold" w:hAnsi="Avenir Next Demi Bold" w:cs="Arial"/>
          <w:b/>
          <w:bCs/>
          <w:color w:val="000000" w:themeColor="text1"/>
          <w:sz w:val="22"/>
          <w:szCs w:val="22"/>
          <w:lang w:val="en-GB"/>
          <w14:textFill>
            <w14:solidFill>
              <w14:schemeClr w14:val="tx1"/>
            </w14:solidFill>
          </w14:textFill>
        </w:rPr>
        <w:t>FORMATIVE ASSESSMENT: MODULE 1</w:t>
      </w: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14:textFill>
            <w14:solidFill>
              <w14:schemeClr w14:val="tx1"/>
            </w14:solidFill>
          </w14:textFill>
        </w:rPr>
      </w:pP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14:textFill>
            <w14:solidFill>
              <w14:schemeClr w14:val="tx1"/>
            </w14:solidFill>
          </w14:textFill>
        </w:rPr>
      </w:pPr>
      <w:r>
        <w:rPr>
          <w:rFonts w:ascii="Avenir Next Demi Bold" w:hAnsi="Avenir Next Demi Bold" w:cs="Arial"/>
          <w:b/>
          <w:bCs/>
          <w:color w:val="000000" w:themeColor="text1"/>
          <w:sz w:val="22"/>
          <w:szCs w:val="22"/>
          <w:lang w:val="en-GB"/>
          <w14:textFill>
            <w14:solidFill>
              <w14:schemeClr w14:val="tx1"/>
            </w14:solidFill>
          </w14:textFill>
        </w:rPr>
        <w:t>INTRODUCTION TO INTERNATIONAL INSOLVENCY LAW</w:t>
      </w:r>
    </w:p>
    <w:p>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2"/>
          <w:szCs w:val="22"/>
          <w:lang w:val="en-GB"/>
          <w14:textFill>
            <w14:solidFill>
              <w14:schemeClr w14:val="accent1"/>
            </w14:solidFill>
          </w14:textFill>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 xml:space="preserve">This is a </w:t>
      </w:r>
      <w:r>
        <w:rPr>
          <w:rFonts w:ascii="Avenir Next Demi Bold" w:hAnsi="Avenir Next Demi Bold" w:cs="Arial"/>
          <w:b/>
          <w:bCs/>
          <w:color w:val="767171" w:themeColor="background2" w:themeShade="80"/>
          <w:sz w:val="22"/>
          <w:szCs w:val="22"/>
          <w:lang w:val="en-GB"/>
        </w:rPr>
        <w:t>formative assessment</w:t>
      </w:r>
      <w:r>
        <w:rPr>
          <w:rFonts w:ascii="Avenir Next" w:hAnsi="Avenir Next" w:cs="Arial"/>
          <w:bCs/>
          <w:color w:val="767171" w:themeColor="background2" w:themeShade="80"/>
          <w:sz w:val="22"/>
          <w:szCs w:val="22"/>
          <w:lang w:val="en-GB"/>
        </w:rPr>
        <w:t xml:space="preserve"> relating to </w:t>
      </w:r>
      <w:r>
        <w:rPr>
          <w:rFonts w:ascii="Avenir Next Demi Bold" w:hAnsi="Avenir Next Demi Bold" w:cs="Arial"/>
          <w:b/>
          <w:bCs/>
          <w:color w:val="767171" w:themeColor="background2" w:themeShade="80"/>
          <w:sz w:val="22"/>
          <w:szCs w:val="22"/>
          <w:lang w:val="en-GB"/>
        </w:rPr>
        <w:t>Module 1</w:t>
      </w:r>
      <w:r>
        <w:rPr>
          <w:rFonts w:ascii="Avenir Next" w:hAnsi="Avenir Next" w:cs="Arial"/>
          <w:bCs/>
          <w:color w:val="767171" w:themeColor="background2" w:themeShade="80"/>
          <w:sz w:val="22"/>
          <w:szCs w:val="22"/>
          <w:lang w:val="en-GB"/>
        </w:rPr>
        <w:t xml:space="preserve"> and is designed to provide candidates on the Foundation Certificate course with some direction and guidance as to the form and content of assessments on the course as a whole. The submission of this assessment is </w:t>
      </w:r>
      <w:r>
        <w:rPr>
          <w:rFonts w:ascii="Avenir Next Demi Bold" w:hAnsi="Avenir Next Demi Bold" w:cs="Arial"/>
          <w:b/>
          <w:bCs/>
          <w:color w:val="767171" w:themeColor="background2" w:themeShade="80"/>
          <w:sz w:val="22"/>
          <w:szCs w:val="22"/>
          <w:lang w:val="en-GB"/>
        </w:rPr>
        <w:t>not compulsory</w:t>
      </w:r>
      <w:r>
        <w:rPr>
          <w:rFonts w:ascii="Avenir Next" w:hAnsi="Avenir Next" w:cs="Arial"/>
          <w:bCs/>
          <w:color w:val="767171" w:themeColor="background2" w:themeShade="80"/>
          <w:sz w:val="22"/>
          <w:szCs w:val="22"/>
          <w:lang w:val="en-GB"/>
        </w:rPr>
        <w:t xml:space="preserve"> and the mark awarded will not count towards the final mark for Module 1 or the course as a whole. However, students are encouraged to submit this assessment as part of their orientation for the submission of the formal (summative) assessments for all the modules on the course.</w:t>
      </w:r>
    </w:p>
    <w:p>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The Marking Guide for this assessment will be made available on the web pages for Module 1 as well as the Course Administration page for this course after the submission date of 15 October 2023.</w:t>
      </w:r>
    </w:p>
    <w:p>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INSTRUCTIONS FOR COMPLETION AND SUBMISSION OF ASSESSMENT</w:t>
      </w:r>
    </w:p>
    <w:p>
      <w:pPr>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pPr>
        <w:jc w:val="both"/>
        <w:rPr>
          <w:rFonts w:ascii="Avenir Next" w:hAnsi="Avenir Next" w:cs="Arial"/>
          <w:b/>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r>
      <w:r>
        <w:rPr>
          <w:rFonts w:ascii="Avenir Next" w:hAnsi="Avenir Next"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r>
      <w:r>
        <w:rPr>
          <w:rFonts w:ascii="Avenir Next" w:hAnsi="Avenir Next" w:cs="Arial"/>
          <w:sz w:val="22"/>
          <w:szCs w:val="22"/>
          <w:lang w:val="en-GB"/>
        </w:rPr>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w:t>
      </w:r>
      <w:r>
        <w:rPr>
          <w:rFonts w:ascii="Avenir Next" w:hAnsi="Avenir Next" w:cs="Arial"/>
          <w:sz w:val="22"/>
          <w:szCs w:val="22"/>
          <w:lang w:val="en-GB"/>
        </w:rPr>
        <w:t xml:space="preserve">. </w:t>
      </w:r>
      <w:r>
        <w:rPr>
          <w:rFonts w:ascii="Avenir Next Demi Bold" w:hAnsi="Avenir Next Demi Bold" w:cs="Arial"/>
          <w:b/>
          <w:bCs/>
          <w:sz w:val="22"/>
          <w:szCs w:val="22"/>
          <w:lang w:val="en-GB"/>
        </w:rPr>
        <w:t>DO NOT</w:t>
      </w:r>
      <w:r>
        <w:rPr>
          <w:rFonts w:ascii="Avenir Next" w:hAnsi="Avenir Next" w:cs="Arial"/>
          <w:sz w:val="22"/>
          <w:szCs w:val="22"/>
          <w:lang w:val="en-GB"/>
        </w:rPr>
        <w:t xml:space="preserve"> submit your assessment in PDF format as it will be returned to you unmarked.</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r>
      <w:r>
        <w:rPr>
          <w:rFonts w:ascii="Avenir Next" w:hAnsi="Avenir Next"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r>
      <w:r>
        <w:rPr>
          <w:rFonts w:ascii="Avenir Next" w:hAnsi="Avenir Next" w:cs="Arial"/>
          <w:sz w:val="22"/>
          <w:szCs w:val="22"/>
          <w:lang w:val="en-GB"/>
        </w:rPr>
        <w:t xml:space="preserve">You must save this document using the following format: </w:t>
      </w:r>
      <w:r>
        <w:rPr>
          <w:rFonts w:ascii="Avenir Next Demi Bold" w:hAnsi="Avenir Next Demi Bold" w:cs="Arial"/>
          <w:b/>
          <w:bCs/>
          <w:sz w:val="22"/>
          <w:szCs w:val="22"/>
          <w:lang w:val="en-GB" w:eastAsia="en-GB"/>
        </w:rPr>
        <w:t>[studentID.assessment1formative]</w:t>
      </w:r>
      <w:r>
        <w:rPr>
          <w:rFonts w:ascii="Avenir Next" w:hAnsi="Avenir Next" w:cs="Arial"/>
          <w:sz w:val="22"/>
          <w:szCs w:val="22"/>
          <w:lang w:val="en-GB" w:eastAsia="en-GB"/>
        </w:rPr>
        <w:t>. An example would be something along the following lines: 202223-336.assessment1formative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“studentID” with the student number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r>
      <w:r>
        <w:rPr>
          <w:rFonts w:ascii="Avenir Next" w:hAnsi="Avenir Next"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Pr>
          <w:rFonts w:ascii="Avenir Next" w:hAnsi="Avenir Next" w:cs="Arial"/>
          <w:b/>
          <w:bCs/>
          <w:sz w:val="22"/>
          <w:szCs w:val="22"/>
          <w:lang w:val="en-GB"/>
        </w:rPr>
        <w:t>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October 2023</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BST (GMT +1) on 15 October 2023</w:t>
      </w:r>
      <w:r>
        <w:rPr>
          <w:rFonts w:ascii="Avenir Next" w:hAnsi="Avenir Next" w:cs="Arial"/>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r>
      <w:r>
        <w:rPr>
          <w:rFonts w:ascii="Avenir Next" w:hAnsi="Avenir Next" w:cs="Arial"/>
          <w:sz w:val="22"/>
          <w:szCs w:val="22"/>
          <w:lang w:val="en-GB"/>
        </w:rPr>
        <w:t xml:space="preserve">Prior to being populated with your answers, this assessment consists of </w:t>
      </w:r>
      <w:r>
        <w:rPr>
          <w:rFonts w:ascii="Avenir Next Demi Bold" w:hAnsi="Avenir Next Demi Bold" w:cs="Arial"/>
          <w:b/>
          <w:bCs/>
          <w:sz w:val="22"/>
          <w:szCs w:val="22"/>
          <w:lang w:val="en-GB"/>
        </w:rPr>
        <w:t>10 pages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t>ANSWER ALL THE QUESTIONS</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pPr>
        <w:autoSpaceDE w:val="0"/>
        <w:autoSpaceDN w:val="0"/>
        <w:adjustRightInd w:val="0"/>
        <w:spacing w:line="276" w:lineRule="auto"/>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1.1</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pPr>
        <w:jc w:val="both"/>
        <w:rPr>
          <w:rFonts w:ascii="Avenir Next" w:hAnsi="Avenir Next" w:cs="Arial"/>
          <w:sz w:val="22"/>
          <w:szCs w:val="22"/>
          <w:lang w:val="en-GB"/>
        </w:rPr>
      </w:pPr>
    </w:p>
    <w:p>
      <w:pPr>
        <w:pStyle w:val="18"/>
        <w:numPr>
          <w:ilvl w:val="0"/>
          <w:numId w:val="1"/>
        </w:numPr>
        <w:ind w:left="426"/>
        <w:jc w:val="both"/>
        <w:rPr>
          <w:rFonts w:ascii="Avenir Next" w:hAnsi="Avenir Next" w:cs="Arial"/>
          <w:sz w:val="22"/>
          <w:szCs w:val="22"/>
          <w:lang w:val="en-GB"/>
        </w:rPr>
      </w:pPr>
      <w:r>
        <w:rPr>
          <w:rFonts w:ascii="Avenir Next" w:hAnsi="Avenir Next" w:cs="Arial"/>
          <w:sz w:val="22"/>
          <w:szCs w:val="22"/>
          <w:lang w:val="en-GB"/>
        </w:rPr>
        <w:t>This statement is true since all countries have implemented the UNCITRAL Model Law on Cross-Border Insolvency.</w:t>
      </w:r>
    </w:p>
    <w:p>
      <w:pPr>
        <w:jc w:val="both"/>
        <w:rPr>
          <w:rFonts w:ascii="Avenir Next" w:hAnsi="Avenir Next" w:cs="Arial"/>
          <w:sz w:val="22"/>
          <w:szCs w:val="22"/>
          <w:lang w:val="en-GB"/>
        </w:rPr>
      </w:pPr>
    </w:p>
    <w:p>
      <w:pPr>
        <w:pStyle w:val="18"/>
        <w:numPr>
          <w:ilvl w:val="0"/>
          <w:numId w:val="1"/>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since there are huge differences in both the approach and insolvency legislation of various jurisdictions.</w:t>
      </w:r>
    </w:p>
    <w:p>
      <w:pPr>
        <w:jc w:val="both"/>
        <w:rPr>
          <w:rFonts w:ascii="Avenir Next" w:hAnsi="Avenir Next" w:cs="Arial"/>
          <w:sz w:val="22"/>
          <w:szCs w:val="22"/>
          <w:lang w:val="en-GB"/>
        </w:rPr>
      </w:pPr>
    </w:p>
    <w:p>
      <w:pPr>
        <w:pStyle w:val="18"/>
        <w:numPr>
          <w:ilvl w:val="0"/>
          <w:numId w:val="1"/>
        </w:numPr>
        <w:ind w:left="426"/>
        <w:jc w:val="both"/>
        <w:rPr>
          <w:rFonts w:ascii="Avenir Next" w:hAnsi="Avenir Next" w:cs="Arial"/>
          <w:sz w:val="22"/>
          <w:szCs w:val="22"/>
          <w:lang w:val="en-GB"/>
        </w:rPr>
      </w:pPr>
      <w:r>
        <w:rPr>
          <w:rFonts w:ascii="Avenir Next" w:hAnsi="Avenir Next" w:cs="Arial"/>
          <w:sz w:val="22"/>
          <w:szCs w:val="22"/>
          <w:lang w:val="en-GB"/>
        </w:rPr>
        <w:t>This statement is true since all systems have at least the same general insolvency concepts.</w:t>
      </w:r>
    </w:p>
    <w:p>
      <w:pPr>
        <w:jc w:val="both"/>
        <w:rPr>
          <w:rFonts w:ascii="Avenir Next" w:hAnsi="Avenir Next" w:cs="Arial"/>
          <w:sz w:val="22"/>
          <w:szCs w:val="22"/>
          <w:lang w:val="en-GB"/>
        </w:rPr>
      </w:pPr>
    </w:p>
    <w:p>
      <w:pPr>
        <w:pStyle w:val="18"/>
        <w:numPr>
          <w:ilvl w:val="0"/>
          <w:numId w:val="1"/>
        </w:numPr>
        <w:ind w:left="426"/>
        <w:jc w:val="both"/>
        <w:rPr>
          <w:rFonts w:ascii="Avenir Next" w:hAnsi="Avenir Next" w:cs="Arial"/>
          <w:sz w:val="22"/>
          <w:szCs w:val="22"/>
          <w:lang w:val="en-GB"/>
        </w:rPr>
      </w:pPr>
      <w:r>
        <w:rPr>
          <w:rFonts w:ascii="Avenir Next" w:hAnsi="Avenir Next" w:cs="Arial"/>
          <w:sz w:val="22"/>
          <w:szCs w:val="22"/>
          <w:lang w:val="en-GB"/>
        </w:rPr>
        <w:t>The statement is true since the historical roots of all insolvency systems are the same.</w:t>
      </w:r>
    </w:p>
    <w:p>
      <w:pPr>
        <w:autoSpaceDE w:val="0"/>
        <w:autoSpaceDN w:val="0"/>
        <w:adjustRightInd w:val="0"/>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1.2</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Statute of Ann, 1705 was a very important piece of legislation for the development of English insolvency law.</w:t>
      </w:r>
    </w:p>
    <w:p>
      <w:pPr>
        <w:ind w:left="426"/>
        <w:jc w:val="both"/>
        <w:rPr>
          <w:rFonts w:ascii="Avenir Next" w:hAnsi="Avenir Next" w:cs="Arial"/>
          <w:sz w:val="22"/>
          <w:szCs w:val="22"/>
          <w:lang w:val="en-GB"/>
        </w:rPr>
      </w:pPr>
    </w:p>
    <w:p>
      <w:pPr>
        <w:pStyle w:val="18"/>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This statement is true since this Act introduced imprisonment of debt.</w:t>
      </w:r>
    </w:p>
    <w:p>
      <w:pPr>
        <w:jc w:val="both"/>
        <w:rPr>
          <w:rFonts w:ascii="Avenir Next" w:hAnsi="Avenir Next" w:cs="Arial"/>
          <w:sz w:val="22"/>
          <w:szCs w:val="22"/>
          <w:lang w:val="en-GB"/>
        </w:rPr>
      </w:pPr>
    </w:p>
    <w:p>
      <w:pPr>
        <w:pStyle w:val="18"/>
        <w:numPr>
          <w:ilvl w:val="0"/>
          <w:numId w:val="2"/>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because it dealt with the distributions of the proceeds derived from the proceeds of selling the assets of the estate.</w:t>
      </w:r>
    </w:p>
    <w:p>
      <w:pPr>
        <w:jc w:val="both"/>
        <w:rPr>
          <w:rFonts w:ascii="Avenir Next" w:hAnsi="Avenir Next" w:cs="Arial"/>
          <w:sz w:val="22"/>
          <w:szCs w:val="22"/>
          <w:lang w:val="en-GB"/>
        </w:rPr>
      </w:pPr>
    </w:p>
    <w:p>
      <w:pPr>
        <w:pStyle w:val="18"/>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This statement is true since it introduced the notion of discharge.</w:t>
      </w:r>
    </w:p>
    <w:p>
      <w:pPr>
        <w:jc w:val="both"/>
        <w:rPr>
          <w:rFonts w:ascii="Avenir Next" w:hAnsi="Avenir Next" w:cs="Arial"/>
          <w:sz w:val="22"/>
          <w:szCs w:val="22"/>
          <w:lang w:val="en-GB"/>
        </w:rPr>
      </w:pPr>
    </w:p>
    <w:p>
      <w:pPr>
        <w:pStyle w:val="18"/>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This statement is true since it introduced fraudulent conveyances into English law.</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1.3</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purpose of the UNCITRAL Legislative Guide (2004) has direct application in all the member States of the UN.</w:t>
      </w:r>
    </w:p>
    <w:p>
      <w:pPr>
        <w:jc w:val="both"/>
        <w:rPr>
          <w:rFonts w:ascii="Avenir Next" w:hAnsi="Avenir Next" w:cs="Arial"/>
          <w:sz w:val="22"/>
          <w:szCs w:val="22"/>
          <w:lang w:val="en-GB"/>
        </w:rPr>
      </w:pPr>
    </w:p>
    <w:p>
      <w:pPr>
        <w:pStyle w:val="18"/>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UNCITRAL’s model legislative guidelines apply automatically to all member States.</w:t>
      </w:r>
    </w:p>
    <w:p>
      <w:pPr>
        <w:jc w:val="both"/>
        <w:rPr>
          <w:rFonts w:ascii="Avenir Next" w:hAnsi="Avenir Next" w:cs="Arial"/>
          <w:sz w:val="22"/>
          <w:szCs w:val="22"/>
          <w:lang w:val="en-GB"/>
        </w:rPr>
      </w:pPr>
    </w:p>
    <w:p>
      <w:pPr>
        <w:pStyle w:val="18"/>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all member States supported its automatic implementation in their respective jurisdictions.</w:t>
      </w:r>
    </w:p>
    <w:p>
      <w:pPr>
        <w:jc w:val="both"/>
        <w:rPr>
          <w:rFonts w:ascii="Avenir Next" w:hAnsi="Avenir Next" w:cs="Arial"/>
          <w:sz w:val="22"/>
          <w:szCs w:val="22"/>
          <w:lang w:val="en-GB"/>
        </w:rPr>
      </w:pPr>
    </w:p>
    <w:p>
      <w:pPr>
        <w:pStyle w:val="18"/>
        <w:numPr>
          <w:ilvl w:val="0"/>
          <w:numId w:val="3"/>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pPr>
        <w:jc w:val="both"/>
        <w:rPr>
          <w:rFonts w:ascii="Avenir Next" w:hAnsi="Avenir Next" w:cs="Arial"/>
          <w:sz w:val="22"/>
          <w:szCs w:val="22"/>
          <w:lang w:val="en-GB"/>
        </w:rPr>
      </w:pPr>
    </w:p>
    <w:p>
      <w:pPr>
        <w:pStyle w:val="18"/>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the Legislative Guide is only available for use by developing countries when reforming their own insolvency laws.</w:t>
      </w:r>
    </w:p>
    <w:p>
      <w:pPr>
        <w:jc w:val="both"/>
        <w:rPr>
          <w:rFonts w:ascii="Avenir Next" w:hAnsi="Avenir Next" w:cs="Arial"/>
          <w:sz w:val="22"/>
          <w:szCs w:val="22"/>
          <w:lang w:val="en-GB"/>
        </w:rPr>
      </w:pPr>
    </w:p>
    <w:p>
      <w:pPr>
        <w:keepNext/>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1.4 </w:t>
      </w:r>
    </w:p>
    <w:p>
      <w:pPr>
        <w:keepNext/>
        <w:jc w:val="both"/>
        <w:rPr>
          <w:rFonts w:ascii="Avenir Next" w:hAnsi="Avenir Next" w:cs="Arial"/>
          <w:sz w:val="22"/>
          <w:szCs w:val="22"/>
          <w:lang w:val="en-GB"/>
        </w:rPr>
      </w:pPr>
    </w:p>
    <w:p>
      <w:pPr>
        <w:keepNext/>
        <w:jc w:val="both"/>
        <w:rPr>
          <w:rFonts w:ascii="Avenir Next" w:hAnsi="Avenir Next" w:cs="Arial"/>
          <w:sz w:val="22"/>
          <w:szCs w:val="22"/>
          <w:lang w:val="en-GB"/>
        </w:rPr>
      </w:pPr>
      <w:r>
        <w:rPr>
          <w:rFonts w:ascii="Avenir Next" w:hAnsi="Avenir Next" w:cs="Arial"/>
          <w:sz w:val="22"/>
          <w:szCs w:val="22"/>
          <w:lang w:val="en-GB"/>
        </w:rPr>
        <w:t>Modern rescue proceedings have replaced liquidation as an insolvency procedure in most systems.</w:t>
      </w:r>
    </w:p>
    <w:p>
      <w:pPr>
        <w:jc w:val="both"/>
        <w:rPr>
          <w:rFonts w:ascii="Avenir Next" w:hAnsi="Avenir Next" w:cs="Arial"/>
          <w:sz w:val="22"/>
          <w:szCs w:val="22"/>
          <w:lang w:val="en-GB"/>
        </w:rPr>
      </w:pPr>
    </w:p>
    <w:p>
      <w:pPr>
        <w:pStyle w:val="18"/>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This statement is true since business rescue is important for socio-economic reasons.</w:t>
      </w:r>
    </w:p>
    <w:p>
      <w:pPr>
        <w:jc w:val="both"/>
        <w:rPr>
          <w:rFonts w:ascii="Avenir Next" w:hAnsi="Avenir Next" w:cs="Arial"/>
          <w:sz w:val="22"/>
          <w:szCs w:val="22"/>
          <w:lang w:val="en-GB"/>
        </w:rPr>
      </w:pPr>
    </w:p>
    <w:p>
      <w:pPr>
        <w:pStyle w:val="18"/>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liquidation is viewed as a medieval and outdated process.</w:t>
      </w:r>
    </w:p>
    <w:p>
      <w:pPr>
        <w:jc w:val="both"/>
        <w:rPr>
          <w:rFonts w:ascii="Avenir Next" w:hAnsi="Avenir Next" w:cs="Arial"/>
          <w:sz w:val="22"/>
          <w:szCs w:val="22"/>
          <w:lang w:val="en-GB"/>
        </w:rPr>
      </w:pPr>
    </w:p>
    <w:p>
      <w:pPr>
        <w:pStyle w:val="18"/>
        <w:numPr>
          <w:ilvl w:val="0"/>
          <w:numId w:val="4"/>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since there is still a need for both liquidation and rescue procedures in insolvency systems.</w:t>
      </w:r>
    </w:p>
    <w:p>
      <w:pPr>
        <w:jc w:val="both"/>
        <w:rPr>
          <w:rFonts w:ascii="Avenir Next" w:hAnsi="Avenir Next" w:cs="Arial"/>
          <w:sz w:val="22"/>
          <w:szCs w:val="22"/>
          <w:lang w:val="en-GB"/>
        </w:rPr>
      </w:pPr>
    </w:p>
    <w:p>
      <w:pPr>
        <w:pStyle w:val="18"/>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some systems have no formal rescue procedure.</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1.5</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pPr>
        <w:jc w:val="both"/>
        <w:rPr>
          <w:rFonts w:ascii="Avenir Next" w:hAnsi="Avenir Next" w:cs="Arial"/>
          <w:sz w:val="22"/>
          <w:szCs w:val="22"/>
          <w:lang w:val="en-GB"/>
        </w:rPr>
      </w:pPr>
    </w:p>
    <w:p>
      <w:pPr>
        <w:pStyle w:val="18"/>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The statement is untrue, the requirements and principles do differ and pose problems in a cross-border case.</w:t>
      </w:r>
    </w:p>
    <w:p>
      <w:pPr>
        <w:jc w:val="both"/>
        <w:rPr>
          <w:rFonts w:ascii="Avenir Next" w:hAnsi="Avenir Next" w:cs="Arial"/>
          <w:sz w:val="22"/>
          <w:szCs w:val="22"/>
          <w:lang w:val="en-GB"/>
        </w:rPr>
      </w:pPr>
    </w:p>
    <w:p>
      <w:pPr>
        <w:pStyle w:val="18"/>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This statement is untrue because the insolvency laws of the State where the original insolvency order is issued will apply to all the other States involved in the matter.</w:t>
      </w:r>
    </w:p>
    <w:p>
      <w:pPr>
        <w:jc w:val="both"/>
        <w:rPr>
          <w:rFonts w:ascii="Avenir Next" w:hAnsi="Avenir Next" w:cs="Arial"/>
          <w:sz w:val="22"/>
          <w:szCs w:val="22"/>
          <w:lang w:val="en-GB"/>
        </w:rPr>
      </w:pPr>
    </w:p>
    <w:p>
      <w:pPr>
        <w:pStyle w:val="18"/>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avoidable dispositions and executory contracts do not pose any problems in a cross-border case.</w:t>
      </w:r>
    </w:p>
    <w:p>
      <w:pPr>
        <w:jc w:val="both"/>
        <w:rPr>
          <w:rFonts w:ascii="Avenir Next" w:hAnsi="Avenir Next" w:cs="Arial"/>
          <w:sz w:val="22"/>
          <w:szCs w:val="22"/>
          <w:lang w:val="en-GB"/>
        </w:rPr>
      </w:pPr>
    </w:p>
    <w:p>
      <w:pPr>
        <w:pStyle w:val="18"/>
        <w:numPr>
          <w:ilvl w:val="0"/>
          <w:numId w:val="5"/>
        </w:numPr>
        <w:autoSpaceDE w:val="0"/>
        <w:autoSpaceDN w:val="0"/>
        <w:adjustRightInd w:val="0"/>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The statement is untrue since avoidable dispositions and executory contracts may be disregarded in a cross-border case. </w:t>
      </w:r>
    </w:p>
    <w:p>
      <w:pPr>
        <w:jc w:val="both"/>
        <w:rPr>
          <w:rFonts w:ascii="Avenir Next" w:hAnsi="Avenir Next" w:cs="Arial"/>
          <w:sz w:val="22"/>
          <w:szCs w:val="22"/>
          <w:lang w:val="en-GB"/>
        </w:rPr>
      </w:pPr>
    </w:p>
    <w:p>
      <w:pPr>
        <w:autoSpaceDE w:val="0"/>
        <w:autoSpaceDN w:val="0"/>
        <w:adjustRightInd w:val="0"/>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1.6</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 neighbouring treaty state. </w:t>
      </w:r>
    </w:p>
    <w:p>
      <w:pPr>
        <w:autoSpaceDE w:val="0"/>
        <w:autoSpaceDN w:val="0"/>
        <w:adjustRightInd w:val="0"/>
        <w:spacing w:line="276" w:lineRule="auto"/>
        <w:jc w:val="both"/>
        <w:rPr>
          <w:rFonts w:ascii="Avenir Next" w:hAnsi="Avenir Next" w:cs="Arial"/>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In a local liquidation commenced under the domestic corporate insolvency statute, to what law can the local court refer in order to resolve an international law issue that has arisen because of concurrent insolvency proceedings in the neighbouring state?</w:t>
      </w:r>
    </w:p>
    <w:p>
      <w:pPr>
        <w:autoSpaceDE w:val="0"/>
        <w:autoSpaceDN w:val="0"/>
        <w:adjustRightInd w:val="0"/>
        <w:spacing w:line="276" w:lineRule="auto"/>
        <w:jc w:val="both"/>
        <w:rPr>
          <w:rFonts w:ascii="Avenir Next" w:hAnsi="Avenir Next" w:cs="Arial"/>
          <w:i/>
          <w:iCs/>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Public International Law.</w:t>
      </w:r>
    </w:p>
    <w:p>
      <w:pPr>
        <w:jc w:val="both"/>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UNCITRAL Legislative Guide on Insolvency Law.</w:t>
      </w:r>
    </w:p>
    <w:p>
      <w:pPr>
        <w:ind w:left="66"/>
        <w:jc w:val="both"/>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World Bank Principles for Effective Insolvency and Creditor Rights Systems.</w:t>
      </w:r>
    </w:p>
    <w:p>
      <w:pPr>
        <w:jc w:val="both"/>
        <w:rPr>
          <w:rFonts w:ascii="Avenir Next" w:hAnsi="Avenir Next" w:cs="Arial" w:eastAsiaTheme="minorHAnsi"/>
          <w:sz w:val="22"/>
          <w:szCs w:val="22"/>
          <w:lang w:val="en-GB"/>
        </w:rPr>
      </w:pPr>
    </w:p>
    <w:p>
      <w:pPr>
        <w:pStyle w:val="18"/>
        <w:numPr>
          <w:ilvl w:val="0"/>
          <w:numId w:val="6"/>
        </w:numPr>
        <w:ind w:left="426"/>
        <w:jc w:val="both"/>
        <w:rPr>
          <w:rFonts w:ascii="Avenir Next" w:hAnsi="Avenir Next" w:cs="Arial" w:eastAsiaTheme="minorHAnsi"/>
          <w:sz w:val="22"/>
          <w:szCs w:val="22"/>
          <w:highlight w:val="yellow"/>
          <w:lang w:val="en-GB"/>
        </w:rPr>
      </w:pPr>
      <w:r>
        <w:rPr>
          <w:rFonts w:ascii="Avenir Next" w:hAnsi="Avenir Next" w:cs="Arial" w:eastAsiaTheme="minorHAnsi"/>
          <w:sz w:val="22"/>
          <w:szCs w:val="22"/>
          <w:highlight w:val="yellow"/>
          <w:lang w:val="en-GB"/>
        </w:rPr>
        <w:t>Private International Law.</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1.7</w:t>
      </w:r>
    </w:p>
    <w:p>
      <w:pPr>
        <w:spacing w:line="276" w:lineRule="auto"/>
        <w:jc w:val="both"/>
        <w:rPr>
          <w:rFonts w:ascii="Avenir Next" w:hAnsi="Avenir Next" w:cs="Arial"/>
          <w:b/>
          <w:bCs/>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Which one of the following documents mandates co-operation or communication between courts in concurrent insolvency proceedings on the same debtor, which are being conducted in different nation states?  </w:t>
      </w:r>
    </w:p>
    <w:p>
      <w:pPr>
        <w:spacing w:line="276" w:lineRule="auto"/>
        <w:jc w:val="both"/>
        <w:rPr>
          <w:rFonts w:ascii="Avenir Next" w:hAnsi="Avenir Next" w:cs="Arial"/>
          <w:sz w:val="22"/>
          <w:szCs w:val="22"/>
          <w:lang w:val="en-GB"/>
        </w:rPr>
      </w:pPr>
    </w:p>
    <w:p>
      <w:pPr>
        <w:pStyle w:val="18"/>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 xml:space="preserve">ALI / III Global Guidelines Applicable to Court-to-Court Communication in Cross-Border Cases (2012). </w:t>
      </w:r>
    </w:p>
    <w:p>
      <w:pPr>
        <w:jc w:val="both"/>
        <w:rPr>
          <w:rFonts w:ascii="Avenir Next" w:hAnsi="Avenir Next" w:cs="Arial"/>
          <w:sz w:val="22"/>
          <w:szCs w:val="22"/>
          <w:lang w:val="en-GB"/>
        </w:rPr>
      </w:pPr>
    </w:p>
    <w:p>
      <w:pPr>
        <w:pStyle w:val="18"/>
        <w:numPr>
          <w:ilvl w:val="0"/>
          <w:numId w:val="7"/>
        </w:numPr>
        <w:ind w:left="426"/>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EU Cross-Border Insolvency Court-to-Court Communications Guidelines (2014).</w:t>
      </w:r>
    </w:p>
    <w:p>
      <w:pPr>
        <w:jc w:val="both"/>
        <w:rPr>
          <w:rFonts w:ascii="Avenir Next" w:hAnsi="Avenir Next" w:cs="Arial"/>
          <w:sz w:val="22"/>
          <w:szCs w:val="22"/>
          <w:shd w:val="clear" w:color="auto" w:fill="FFFFFF"/>
          <w:lang w:val="en-GB"/>
        </w:rPr>
      </w:pPr>
    </w:p>
    <w:p>
      <w:pPr>
        <w:pStyle w:val="18"/>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 xml:space="preserve">UNCITRAL Model Law on Cross-border Insolvency (1997). </w:t>
      </w:r>
    </w:p>
    <w:p>
      <w:pPr>
        <w:jc w:val="both"/>
        <w:rPr>
          <w:rFonts w:ascii="Avenir Next" w:hAnsi="Avenir Next" w:cs="Arial"/>
          <w:sz w:val="22"/>
          <w:szCs w:val="22"/>
          <w:lang w:val="en-GB"/>
        </w:rPr>
      </w:pPr>
    </w:p>
    <w:p>
      <w:pPr>
        <w:pStyle w:val="18"/>
        <w:numPr>
          <w:ilvl w:val="0"/>
          <w:numId w:val="7"/>
        </w:numPr>
        <w:ind w:left="426"/>
        <w:jc w:val="both"/>
        <w:rPr>
          <w:rFonts w:ascii="Avenir Next" w:hAnsi="Avenir Next" w:cs="Arial" w:eastAsiaTheme="minorHAnsi"/>
          <w:sz w:val="22"/>
          <w:szCs w:val="22"/>
          <w:highlight w:val="yellow"/>
          <w:lang w:val="en-GB"/>
        </w:rPr>
      </w:pPr>
      <w:r>
        <w:rPr>
          <w:rFonts w:ascii="Avenir Next" w:hAnsi="Avenir Next" w:cs="Arial" w:eastAsiaTheme="minorHAnsi"/>
          <w:sz w:val="22"/>
          <w:szCs w:val="22"/>
          <w:highlight w:val="yellow"/>
          <w:lang w:val="en-GB"/>
        </w:rPr>
        <w:t>JIN Guidelines for Communication and Cooperation between Courts in Cross-Border Insolvency Matters (2016).</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1.8  </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Which of the following conventions and treaties does </w:t>
      </w:r>
      <w:r>
        <w:rPr>
          <w:rFonts w:ascii="Avenir Next Demi Bold" w:hAnsi="Avenir Next Demi Bold" w:cs="Arial"/>
          <w:b/>
          <w:bCs/>
          <w:sz w:val="22"/>
          <w:szCs w:val="22"/>
          <w:lang w:val="en-GB"/>
        </w:rPr>
        <w:t xml:space="preserve">not </w:t>
      </w:r>
      <w:r>
        <w:rPr>
          <w:rFonts w:ascii="Avenir Next" w:hAnsi="Avenir Next" w:cs="Arial"/>
          <w:sz w:val="22"/>
          <w:szCs w:val="22"/>
          <w:lang w:val="en-GB"/>
        </w:rPr>
        <w:t>provide for judicial co-operation where there are surplus funds remaining in a proceeding in one treaty state and there are concurrent insolvency proceedings over the same debtor in another treaty state?</w:t>
      </w:r>
    </w:p>
    <w:p>
      <w:pPr>
        <w:spacing w:line="276" w:lineRule="auto"/>
        <w:jc w:val="both"/>
        <w:rPr>
          <w:rFonts w:ascii="Avenir Next" w:hAnsi="Avenir Next" w:cs="Arial"/>
          <w:sz w:val="22"/>
          <w:szCs w:val="22"/>
          <w:lang w:val="en-GB"/>
        </w:rPr>
      </w:pPr>
    </w:p>
    <w:p>
      <w:pPr>
        <w:pStyle w:val="18"/>
        <w:numPr>
          <w:ilvl w:val="0"/>
          <w:numId w:val="8"/>
        </w:numPr>
        <w:ind w:left="426"/>
        <w:jc w:val="both"/>
        <w:rPr>
          <w:rFonts w:ascii="Avenir Next" w:hAnsi="Avenir Next" w:cs="Arial"/>
          <w:sz w:val="22"/>
          <w:szCs w:val="22"/>
          <w:highlight w:val="none"/>
          <w:lang w:val="en-GB"/>
        </w:rPr>
      </w:pPr>
      <w:r>
        <w:rPr>
          <w:rFonts w:ascii="Avenir Next" w:hAnsi="Avenir Next" w:cs="Arial"/>
          <w:sz w:val="22"/>
          <w:szCs w:val="22"/>
          <w:highlight w:val="none"/>
          <w:lang w:val="en-GB"/>
        </w:rPr>
        <w:t xml:space="preserve">Montevideo Treaty on International Commercial Law (1889). </w:t>
      </w:r>
    </w:p>
    <w:p>
      <w:pPr>
        <w:jc w:val="both"/>
        <w:rPr>
          <w:rFonts w:ascii="Avenir Next" w:hAnsi="Avenir Next" w:cs="Arial"/>
          <w:sz w:val="22"/>
          <w:szCs w:val="22"/>
          <w:lang w:val="en-GB"/>
        </w:rPr>
      </w:pPr>
    </w:p>
    <w:p>
      <w:pPr>
        <w:pStyle w:val="18"/>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Montevideo Treaty on International Commercial Terrestrial Law (1940). </w:t>
      </w:r>
    </w:p>
    <w:p>
      <w:pPr>
        <w:jc w:val="both"/>
        <w:rPr>
          <w:rFonts w:ascii="Avenir Next" w:hAnsi="Avenir Next" w:cs="Arial"/>
          <w:sz w:val="22"/>
          <w:szCs w:val="22"/>
          <w:lang w:val="en-GB"/>
        </w:rPr>
      </w:pPr>
    </w:p>
    <w:p>
      <w:pPr>
        <w:pStyle w:val="18"/>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Montevideo Treaty on International Procedural Law (1940).</w:t>
      </w:r>
    </w:p>
    <w:p>
      <w:pPr>
        <w:jc w:val="both"/>
        <w:rPr>
          <w:rFonts w:ascii="Avenir Next" w:hAnsi="Avenir Next" w:cs="Arial"/>
          <w:sz w:val="22"/>
          <w:szCs w:val="22"/>
          <w:lang w:val="en-GB"/>
        </w:rPr>
      </w:pPr>
    </w:p>
    <w:p>
      <w:pPr>
        <w:pStyle w:val="18"/>
        <w:numPr>
          <w:ilvl w:val="0"/>
          <w:numId w:val="8"/>
        </w:numPr>
        <w:ind w:left="426"/>
        <w:jc w:val="both"/>
        <w:rPr>
          <w:rFonts w:ascii="Avenir Next" w:hAnsi="Avenir Next" w:cs="Arial" w:eastAsiaTheme="minorHAnsi"/>
          <w:sz w:val="22"/>
          <w:szCs w:val="22"/>
          <w:highlight w:val="yellow"/>
          <w:lang w:val="en-GB"/>
        </w:rPr>
      </w:pPr>
      <w:r>
        <w:rPr>
          <w:rFonts w:ascii="Avenir Next" w:hAnsi="Avenir Next" w:cs="Arial"/>
          <w:sz w:val="22"/>
          <w:szCs w:val="22"/>
          <w:highlight w:val="yellow"/>
          <w:lang w:val="en-GB"/>
        </w:rPr>
        <w:t>Havana Convention on Private International Law (1928)</w:t>
      </w:r>
      <w:r>
        <w:rPr>
          <w:rFonts w:ascii="Avenir Next" w:hAnsi="Avenir Next" w:cs="Arial" w:eastAsiaTheme="minorHAnsi"/>
          <w:sz w:val="22"/>
          <w:szCs w:val="22"/>
          <w:highlight w:val="yellow"/>
          <w:lang w:val="en-GB"/>
        </w:rPr>
        <w:t>.</w:t>
      </w:r>
    </w:p>
    <w:p>
      <w:pPr>
        <w:spacing w:line="276" w:lineRule="auto"/>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1.9</w:t>
      </w:r>
    </w:p>
    <w:p>
      <w:pPr>
        <w:spacing w:line="276" w:lineRule="auto"/>
        <w:jc w:val="both"/>
        <w:rPr>
          <w:rFonts w:ascii="Avenir Next" w:hAnsi="Avenir Next" w:cs="Arial"/>
          <w:b/>
          <w:bCs/>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pPr>
        <w:spacing w:line="276" w:lineRule="auto"/>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Which of the following aspects of international insolvency is </w:t>
      </w:r>
      <w:r>
        <w:rPr>
          <w:rFonts w:ascii="Avenir Next Demi Bold" w:hAnsi="Avenir Next Demi Bold" w:cs="Arial"/>
          <w:b/>
          <w:bCs/>
          <w:sz w:val="22"/>
          <w:szCs w:val="22"/>
          <w:lang w:val="en-GB"/>
        </w:rPr>
        <w:t>not</w:t>
      </w:r>
      <w:r>
        <w:rPr>
          <w:rFonts w:ascii="Avenir Next" w:hAnsi="Avenir Next" w:cs="Arial"/>
          <w:sz w:val="22"/>
          <w:szCs w:val="22"/>
          <w:lang w:val="en-GB"/>
        </w:rPr>
        <w:t xml:space="preserve"> addressed in the EIR Recast?</w:t>
      </w:r>
    </w:p>
    <w:p>
      <w:pPr>
        <w:jc w:val="both"/>
        <w:rPr>
          <w:rFonts w:ascii="Avenir Next" w:hAnsi="Avenir Next" w:cs="Arial"/>
          <w:sz w:val="22"/>
          <w:szCs w:val="22"/>
          <w:lang w:val="en-GB"/>
        </w:rPr>
      </w:pPr>
    </w:p>
    <w:p>
      <w:pPr>
        <w:pStyle w:val="18"/>
        <w:numPr>
          <w:ilvl w:val="0"/>
          <w:numId w:val="9"/>
        </w:numPr>
        <w:ind w:left="426"/>
        <w:jc w:val="both"/>
        <w:rPr>
          <w:rFonts w:ascii="Avenir Next" w:hAnsi="Avenir Next" w:cs="Arial"/>
          <w:color w:val="000000" w:themeColor="text1"/>
          <w:sz w:val="22"/>
          <w:szCs w:val="22"/>
          <w:highlight w:val="yellow"/>
          <w:lang w:val="en-GB"/>
          <w14:textFill>
            <w14:solidFill>
              <w14:schemeClr w14:val="tx1"/>
            </w14:solidFill>
          </w14:textFill>
        </w:rPr>
      </w:pPr>
      <w:r>
        <w:rPr>
          <w:rFonts w:ascii="Avenir Next" w:hAnsi="Avenir Next" w:cs="Arial"/>
          <w:color w:val="000000" w:themeColor="text1"/>
          <w:sz w:val="22"/>
          <w:szCs w:val="22"/>
          <w:highlight w:val="yellow"/>
          <w:lang w:val="en-GB"/>
          <w14:textFill>
            <w14:solidFill>
              <w14:schemeClr w14:val="tx1"/>
            </w14:solidFill>
          </w14:textFill>
        </w:rPr>
        <w:t>Proceedings to restructure a debtor that is facing the likelihood of insolvency.</w:t>
      </w:r>
    </w:p>
    <w:p>
      <w:pPr>
        <w:jc w:val="both"/>
        <w:rPr>
          <w:rFonts w:ascii="Avenir Next" w:hAnsi="Avenir Next" w:cs="Arial"/>
          <w:sz w:val="22"/>
          <w:szCs w:val="22"/>
          <w:lang w:val="en-GB"/>
        </w:rPr>
      </w:pPr>
    </w:p>
    <w:p>
      <w:pPr>
        <w:pStyle w:val="18"/>
        <w:numPr>
          <w:ilvl w:val="0"/>
          <w:numId w:val="9"/>
        </w:numPr>
        <w:ind w:left="426"/>
        <w:jc w:val="both"/>
        <w:rPr>
          <w:rFonts w:ascii="Avenir Next" w:hAnsi="Avenir Next" w:cs="Arial"/>
          <w:color w:val="000000" w:themeColor="text1"/>
          <w:sz w:val="22"/>
          <w:szCs w:val="22"/>
          <w:lang w:val="en-GB"/>
          <w14:textFill>
            <w14:solidFill>
              <w14:schemeClr w14:val="tx1"/>
            </w14:solidFill>
          </w14:textFill>
        </w:rPr>
      </w:pPr>
      <w:r>
        <w:rPr>
          <w:rFonts w:ascii="Avenir Next" w:hAnsi="Avenir Next" w:cs="Arial"/>
          <w:color w:val="000000" w:themeColor="text1"/>
          <w:sz w:val="22"/>
          <w:szCs w:val="22"/>
          <w:lang w:val="en-GB"/>
          <w14:textFill>
            <w14:solidFill>
              <w14:schemeClr w14:val="tx1"/>
            </w14:solidFill>
          </w14:textFill>
        </w:rPr>
        <w:t>Definition of “centre of the debtor’s main interests”.</w:t>
      </w:r>
    </w:p>
    <w:p>
      <w:pPr>
        <w:pStyle w:val="18"/>
        <w:numPr>
          <w:ilvl w:val="0"/>
          <w:numId w:val="9"/>
        </w:numPr>
        <w:ind w:left="426"/>
        <w:jc w:val="both"/>
        <w:rPr>
          <w:rFonts w:ascii="Avenir Next" w:hAnsi="Avenir Next" w:cs="Arial"/>
          <w:color w:val="000000" w:themeColor="text1"/>
          <w:sz w:val="22"/>
          <w:szCs w:val="22"/>
          <w:lang w:val="en-GB"/>
          <w14:textFill>
            <w14:solidFill>
              <w14:schemeClr w14:val="tx1"/>
            </w14:solidFill>
          </w14:textFill>
        </w:rPr>
      </w:pPr>
      <w:r>
        <w:rPr>
          <w:rFonts w:ascii="Avenir Next" w:hAnsi="Avenir Next" w:cs="Arial"/>
          <w:color w:val="000000" w:themeColor="text1"/>
          <w:sz w:val="22"/>
          <w:szCs w:val="22"/>
          <w:lang w:val="en-GB"/>
          <w14:textFill>
            <w14:solidFill>
              <w14:schemeClr w14:val="tx1"/>
            </w14:solidFill>
          </w14:textFill>
        </w:rPr>
        <w:t>A centralised insolvency register of insolvency proceedings opened in member states.</w:t>
      </w:r>
    </w:p>
    <w:p>
      <w:pPr>
        <w:jc w:val="both"/>
        <w:rPr>
          <w:rFonts w:ascii="Avenir Next" w:hAnsi="Avenir Next" w:cs="Arial"/>
          <w:color w:val="000000" w:themeColor="text1"/>
          <w:sz w:val="22"/>
          <w:szCs w:val="22"/>
          <w:lang w:val="en-GB"/>
          <w14:textFill>
            <w14:solidFill>
              <w14:schemeClr w14:val="tx1"/>
            </w14:solidFill>
          </w14:textFill>
        </w:rPr>
      </w:pPr>
    </w:p>
    <w:p>
      <w:pPr>
        <w:pStyle w:val="18"/>
        <w:numPr>
          <w:ilvl w:val="0"/>
          <w:numId w:val="9"/>
        </w:numPr>
        <w:ind w:left="426"/>
        <w:jc w:val="both"/>
        <w:rPr>
          <w:rFonts w:ascii="Avenir Next" w:hAnsi="Avenir Next" w:cs="Arial"/>
          <w:color w:val="000000" w:themeColor="text1"/>
          <w:sz w:val="22"/>
          <w:szCs w:val="22"/>
          <w:lang w:val="en-GB"/>
          <w14:textFill>
            <w14:solidFill>
              <w14:schemeClr w14:val="tx1"/>
            </w14:solidFill>
          </w14:textFill>
        </w:rPr>
      </w:pPr>
      <w:r>
        <w:rPr>
          <w:rFonts w:ascii="Avenir Next" w:hAnsi="Avenir Next" w:cs="Arial"/>
          <w:color w:val="000000" w:themeColor="text1"/>
          <w:sz w:val="22"/>
          <w:szCs w:val="22"/>
          <w:lang w:val="en-GB"/>
          <w14:textFill>
            <w14:solidFill>
              <w14:schemeClr w14:val="tx1"/>
            </w14:solidFill>
          </w14:textFill>
        </w:rPr>
        <w:t xml:space="preserve">Co-operation and co-ordination provisions applicable to corporate groups.  </w:t>
      </w:r>
    </w:p>
    <w:p>
      <w:pPr>
        <w:spacing w:line="276" w:lineRule="auto"/>
        <w:jc w:val="both"/>
        <w:rPr>
          <w:rFonts w:ascii="Avenir Next" w:hAnsi="Avenir Next" w:cs="Arial"/>
          <w:sz w:val="22"/>
          <w:szCs w:val="22"/>
          <w:lang w:val="en-GB"/>
        </w:rPr>
      </w:pPr>
    </w:p>
    <w:p>
      <w:pPr>
        <w:autoSpaceDE w:val="0"/>
        <w:autoSpaceDN w:val="0"/>
        <w:adjustRightInd w:val="0"/>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1.10</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Pr>
          <w:rFonts w:ascii="Avenir Next" w:hAnsi="Avenir Next" w:cs="Arial"/>
          <w:i/>
          <w:iCs/>
          <w:sz w:val="22"/>
          <w:szCs w:val="22"/>
          <w:lang w:val="en-GB"/>
        </w:rPr>
        <w:t xml:space="preserve"> </w:t>
      </w:r>
      <w:r>
        <w:rPr>
          <w:rFonts w:ascii="Avenir Next" w:hAnsi="Avenir Next" w:cs="Arial"/>
          <w:sz w:val="22"/>
          <w:szCs w:val="22"/>
          <w:lang w:val="en-GB"/>
        </w:rPr>
        <w:t>What aspect is an international insolvency issue?</w:t>
      </w:r>
    </w:p>
    <w:p>
      <w:pPr>
        <w:autoSpaceDE w:val="0"/>
        <w:autoSpaceDN w:val="0"/>
        <w:adjustRightInd w:val="0"/>
        <w:spacing w:line="276" w:lineRule="auto"/>
        <w:jc w:val="both"/>
        <w:rPr>
          <w:rFonts w:ascii="Avenir Next" w:hAnsi="Avenir Next" w:cs="Arial"/>
          <w:sz w:val="22"/>
          <w:szCs w:val="22"/>
          <w:lang w:val="en-GB"/>
        </w:rPr>
      </w:pPr>
    </w:p>
    <w:p>
      <w:pPr>
        <w:pStyle w:val="18"/>
        <w:numPr>
          <w:ilvl w:val="0"/>
          <w:numId w:val="10"/>
        </w:numPr>
        <w:ind w:left="426"/>
        <w:jc w:val="both"/>
        <w:rPr>
          <w:rFonts w:ascii="Avenir Next" w:hAnsi="Avenir Next" w:cs="Arial" w:eastAsiaTheme="minorHAnsi"/>
          <w:sz w:val="22"/>
          <w:szCs w:val="22"/>
          <w:highlight w:val="yellow"/>
          <w:lang w:val="en-GB"/>
        </w:rPr>
      </w:pPr>
      <w:r>
        <w:rPr>
          <w:rFonts w:ascii="Avenir Next" w:hAnsi="Avenir Next" w:cs="Arial" w:eastAsiaTheme="minorHAnsi"/>
          <w:sz w:val="22"/>
          <w:szCs w:val="22"/>
          <w:highlight w:val="yellow"/>
          <w:lang w:val="en-GB"/>
        </w:rPr>
        <w:t>The local Court’s jurisdiction over the Debtor.</w:t>
      </w:r>
    </w:p>
    <w:p>
      <w:pPr>
        <w:jc w:val="both"/>
        <w:rPr>
          <w:rFonts w:ascii="Avenir Next" w:hAnsi="Avenir Next" w:cs="Arial" w:eastAsiaTheme="minorHAnsi"/>
          <w:sz w:val="22"/>
          <w:szCs w:val="22"/>
          <w:lang w:val="en-GB"/>
        </w:rPr>
      </w:pPr>
    </w:p>
    <w:p>
      <w:pPr>
        <w:pStyle w:val="18"/>
        <w:numPr>
          <w:ilvl w:val="0"/>
          <w:numId w:val="10"/>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standing of the foreign Creditor to sue for its debt in the local Court.</w:t>
      </w:r>
    </w:p>
    <w:p>
      <w:pPr>
        <w:jc w:val="both"/>
        <w:rPr>
          <w:rFonts w:ascii="Avenir Next" w:hAnsi="Avenir Next" w:cs="Arial" w:eastAsiaTheme="minorHAnsi"/>
          <w:sz w:val="22"/>
          <w:szCs w:val="22"/>
          <w:lang w:val="en-GB"/>
        </w:rPr>
      </w:pPr>
    </w:p>
    <w:p>
      <w:pPr>
        <w:pStyle w:val="18"/>
        <w:numPr>
          <w:ilvl w:val="0"/>
          <w:numId w:val="10"/>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foreign liquidator’s standing to request a stay of the local proceedings.</w:t>
      </w:r>
    </w:p>
    <w:p>
      <w:pPr>
        <w:jc w:val="both"/>
        <w:rPr>
          <w:rFonts w:ascii="Avenir Next" w:hAnsi="Avenir Next" w:cs="Arial" w:eastAsiaTheme="minorHAnsi"/>
          <w:sz w:val="22"/>
          <w:szCs w:val="22"/>
          <w:lang w:val="en-GB"/>
        </w:rPr>
      </w:pPr>
    </w:p>
    <w:p>
      <w:pPr>
        <w:pStyle w:val="18"/>
        <w:numPr>
          <w:ilvl w:val="0"/>
          <w:numId w:val="10"/>
        </w:numPr>
        <w:ind w:left="426"/>
        <w:jc w:val="both"/>
        <w:rPr>
          <w:rFonts w:ascii="Avenir Next" w:hAnsi="Avenir Next" w:cs="Arial" w:eastAsiaTheme="minorHAnsi"/>
          <w:sz w:val="22"/>
          <w:szCs w:val="22"/>
          <w:lang w:val="en-GB"/>
        </w:rPr>
      </w:pPr>
      <w:r>
        <w:rPr>
          <w:rFonts w:ascii="Avenir Next" w:hAnsi="Avenir Next" w:cs="Arial" w:eastAsiaTheme="minorHAnsi"/>
          <w:sz w:val="22"/>
          <w:szCs w:val="22"/>
          <w:lang w:val="en-GB"/>
        </w:rPr>
        <w:t>The fact that the debt owed to the Creditor is in a foreign currency.</w:t>
      </w:r>
    </w:p>
    <w:p>
      <w:pPr>
        <w:spacing w:line="276" w:lineRule="auto"/>
        <w:jc w:val="both"/>
        <w:rPr>
          <w:rFonts w:ascii="Avenir Next" w:hAnsi="Avenir Next" w:cs="Arial"/>
          <w:b/>
          <w:sz w:val="22"/>
          <w:szCs w:val="22"/>
          <w:lang w:val="en-GB"/>
        </w:rPr>
      </w:pPr>
    </w:p>
    <w:p>
      <w:pPr>
        <w:spacing w:line="276" w:lineRule="auto"/>
        <w:jc w:val="both"/>
        <w:rPr>
          <w:rFonts w:ascii="Avenir Next" w:hAnsi="Avenir Next" w:cs="Arial"/>
          <w:b/>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pPr>
        <w:ind w:left="720" w:hanging="720"/>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2 marks]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Explain what the term “international insolvency law” means.</w:t>
      </w:r>
    </w:p>
    <w:p>
      <w:pPr>
        <w:ind w:left="720" w:hanging="720"/>
        <w:jc w:val="both"/>
        <w:rPr>
          <w:rFonts w:ascii="Avenir Next" w:hAnsi="Avenir Next" w:cs="Arial"/>
          <w:sz w:val="22"/>
          <w:szCs w:val="22"/>
          <w:lang w:val="en-GB"/>
        </w:rPr>
      </w:pP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I</w:t>
      </w:r>
      <w:r>
        <w:rPr>
          <w:rFonts w:ascii="Avenir Next" w:hAnsi="Avenir Next" w:cs="Arial"/>
          <w:sz w:val="22"/>
          <w:szCs w:val="22"/>
          <w:highlight w:val="yellow"/>
          <w:lang w:val="en-GB"/>
        </w:rPr>
        <w:t>nternational insolvency law</w:t>
      </w:r>
      <w:r>
        <w:rPr>
          <w:rFonts w:hint="default" w:ascii="Avenir Next" w:hAnsi="Avenir Next" w:cs="Arial"/>
          <w:sz w:val="22"/>
          <w:szCs w:val="22"/>
          <w:highlight w:val="yellow"/>
          <w:lang w:val="en-US"/>
        </w:rPr>
        <w:t xml:space="preserve"> it is set of legal principles and standards that regulate international bankruptcy issues, the recognition and approval of international bankruptcy processes and other  issues of international cooperation.</w:t>
      </w:r>
    </w:p>
    <w:p>
      <w:pPr>
        <w:jc w:val="both"/>
        <w:rPr>
          <w:rFonts w:hint="default" w:ascii="Avenir Next" w:hAnsi="Avenir Next" w:cs="Arial"/>
          <w:sz w:val="22"/>
          <w:szCs w:val="22"/>
          <w:lang w:val="en-US"/>
        </w:rPr>
      </w:pPr>
      <w:bookmarkStart w:id="1" w:name="_GoBack"/>
      <w:bookmarkEnd w:id="1"/>
    </w:p>
    <w:p>
      <w:pPr>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5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Differentiate between the concepts of universality and territoriality in cross-border insolvency.</w:t>
      </w:r>
    </w:p>
    <w:p>
      <w:pPr>
        <w:ind w:left="720" w:hanging="720"/>
        <w:jc w:val="both"/>
        <w:rPr>
          <w:rFonts w:ascii="Avenir Next" w:hAnsi="Avenir Next" w:cs="Arial"/>
          <w:sz w:val="22"/>
          <w:szCs w:val="22"/>
          <w:lang w:val="en-GB"/>
        </w:rPr>
      </w:pPr>
    </w:p>
    <w:p>
      <w:pPr>
        <w:jc w:val="both"/>
        <w:rPr>
          <w:rFonts w:hint="default" w:ascii="Avenir Next" w:hAnsi="Avenir Next" w:cs="Avenir Next"/>
          <w:sz w:val="22"/>
          <w:szCs w:val="22"/>
          <w:highlight w:val="yellow"/>
          <w:lang w:val="en-US"/>
        </w:rPr>
      </w:pPr>
      <w:r>
        <w:rPr>
          <w:rFonts w:hint="default" w:ascii="Avenir Next" w:hAnsi="Avenir Next" w:cs="Arial"/>
          <w:sz w:val="22"/>
          <w:szCs w:val="22"/>
          <w:highlight w:val="yellow"/>
          <w:lang w:val="en-US"/>
        </w:rPr>
        <w:t>The notion of universality in matters of cross-border insolvency concerns that in the event that there are debts owed are debts owed by the debtor, the insolvency process must cover all of the debtor</w:t>
      </w:r>
      <w:r>
        <w:rPr>
          <w:rFonts w:hint="default" w:ascii="Segoe UI" w:hAnsi="Segoe UI" w:cs="Segoe UI"/>
          <w:sz w:val="22"/>
          <w:szCs w:val="22"/>
          <w:highlight w:val="yellow"/>
          <w:lang w:val="en-US"/>
        </w:rPr>
        <w:t>'</w:t>
      </w:r>
      <w:r>
        <w:rPr>
          <w:rFonts w:hint="default" w:ascii="Avenir Next" w:hAnsi="Avenir Next" w:cs="Avenir Next"/>
          <w:sz w:val="22"/>
          <w:szCs w:val="22"/>
          <w:highlight w:val="yellow"/>
          <w:lang w:val="en-US"/>
        </w:rPr>
        <w:t>s assets that are located throughout the world. While, the notion of territoriality in matters of cross-border  insolvency concerns the limitations and restrictions on assets located in the state where the process is opened.</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2.3</w:t>
      </w:r>
      <w:r>
        <w:rPr>
          <w:rFonts w:ascii="Avenir Next Demi Bold" w:hAnsi="Avenir Next Demi Bold" w:cs="Arial"/>
          <w:b/>
          <w:bCs/>
          <w:sz w:val="22"/>
          <w:szCs w:val="22"/>
          <w:lang w:val="en-GB"/>
        </w:rPr>
        <w:tab/>
      </w:r>
      <w:r>
        <w:rPr>
          <w:rFonts w:ascii="Avenir Next Demi Bold" w:hAnsi="Avenir Next Demi Bold" w:cs="Arial"/>
          <w:b/>
          <w:bCs/>
          <w:sz w:val="22"/>
          <w:szCs w:val="22"/>
          <w:lang w:val="en-GB"/>
        </w:rPr>
        <w:t xml:space="preserve">[maximum 3 marks] </w:t>
      </w:r>
    </w:p>
    <w:p>
      <w:pPr>
        <w:ind w:left="720" w:hanging="720"/>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Describe </w:t>
      </w:r>
      <w:r>
        <w:rPr>
          <w:rFonts w:ascii="Avenir Next Demi Bold" w:hAnsi="Avenir Next Demi Bold" w:cs="Arial"/>
          <w:b/>
          <w:bCs/>
          <w:sz w:val="22"/>
          <w:szCs w:val="22"/>
          <w:lang w:val="en-GB"/>
        </w:rPr>
        <w:t>three</w:t>
      </w:r>
      <w:r>
        <w:rPr>
          <w:rFonts w:ascii="Avenir Next" w:hAnsi="Avenir Next" w:cs="Arial"/>
          <w:sz w:val="22"/>
          <w:szCs w:val="22"/>
          <w:lang w:val="en-GB"/>
        </w:rPr>
        <w:t xml:space="preserve"> recent examples of developments in the Middle East region to reform domestic insolvency laws or to address international insolvency Issues. </w:t>
      </w:r>
    </w:p>
    <w:p>
      <w:pPr>
        <w:jc w:val="both"/>
        <w:rPr>
          <w:rFonts w:ascii="Avenir Next" w:hAnsi="Avenir Next" w:cs="Arial"/>
          <w:sz w:val="22"/>
          <w:szCs w:val="22"/>
          <w:lang w:val="en-GB"/>
        </w:rPr>
      </w:pPr>
    </w:p>
    <w:p>
      <w:pPr>
        <w:jc w:val="both"/>
        <w:rPr>
          <w:rFonts w:hint="default" w:ascii="Avenir Next" w:hAnsi="Avenir Next" w:cs="Arial"/>
          <w:sz w:val="22"/>
          <w:szCs w:val="22"/>
          <w:lang w:val="en-US"/>
        </w:rPr>
      </w:pPr>
      <w:r>
        <w:rPr>
          <w:rFonts w:hint="default" w:ascii="Avenir Next" w:hAnsi="Avenir Next" w:cs="Arial"/>
          <w:sz w:val="22"/>
          <w:szCs w:val="22"/>
          <w:lang w:val="en-US"/>
        </w:rPr>
        <w:t>In recent years a number of Middle East States have reformed their domestic insolvency laws, such as the UAE in 2016 and 2019, Saudi Arabia in 2018 and Dubai in 2019. On international insolvency specifically, Bahrain adopted the Model Law on Cross-Border Insolvency in 2018 as did the Dubai International Financial Centre in 2019.</w:t>
      </w:r>
    </w:p>
    <w:p>
      <w:pPr>
        <w:jc w:val="both"/>
        <w:rPr>
          <w:rFonts w:ascii="Avenir Next" w:hAnsi="Avenir Next" w:cs="Arial"/>
          <w:sz w:val="22"/>
          <w:szCs w:val="22"/>
          <w:lang w:val="en-GB"/>
        </w:rPr>
      </w:pPr>
    </w:p>
    <w:p>
      <w:pPr>
        <w:jc w:val="both"/>
        <w:rPr>
          <w:rFonts w:ascii="Avenir Next" w:hAnsi="Avenir Next" w:cs="Arial"/>
          <w:sz w:val="22"/>
          <w:szCs w:val="22"/>
          <w:lang w:val="en-GB"/>
        </w:rPr>
      </w:pPr>
    </w:p>
    <w:p>
      <w:pPr>
        <w:rPr>
          <w:rFonts w:ascii="Avenir Next" w:hAnsi="Avenir Next" w:cs="Arial"/>
          <w:b/>
          <w:sz w:val="22"/>
          <w:szCs w:val="22"/>
          <w:lang w:val="en-GB"/>
        </w:rPr>
      </w:pPr>
      <w:r>
        <w:rPr>
          <w:rFonts w:ascii="Avenir Next Demi Bold" w:hAnsi="Avenir Next Demi Bold" w:cs="Arial"/>
          <w:b/>
          <w:bCs/>
          <w:sz w:val="22"/>
          <w:szCs w:val="22"/>
          <w:lang w:val="en-GB"/>
        </w:rPr>
        <w:t xml:space="preserve">QUESTION 3 (essay-type questions) [15 marks in total] </w:t>
      </w:r>
    </w:p>
    <w:p>
      <w:pPr>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5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Write a brief note on the differences regarding the objectives of insolvency for individuals and corporations. </w:t>
      </w:r>
    </w:p>
    <w:p>
      <w:pPr>
        <w:jc w:val="both"/>
        <w:rPr>
          <w:rFonts w:ascii="Avenir Next" w:hAnsi="Avenir Next" w:cs="Arial"/>
          <w:sz w:val="22"/>
          <w:szCs w:val="22"/>
          <w:lang w:val="en-GB"/>
        </w:rPr>
      </w:pP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For a natural person to be considered insolvent, there must be a Court ruling declaring them as such. With the judgment and the request for exemption from remaining liabilities, all of the insolvent person</w:t>
      </w:r>
      <w:r>
        <w:rPr>
          <w:rFonts w:hint="default" w:ascii="Segoe UI" w:hAnsi="Segoe UI" w:cs="Segoe UI"/>
          <w:sz w:val="22"/>
          <w:szCs w:val="22"/>
          <w:highlight w:val="yellow"/>
          <w:lang w:val="en-US"/>
        </w:rPr>
        <w:t>'</w:t>
      </w:r>
      <w:r>
        <w:rPr>
          <w:rFonts w:hint="default" w:ascii="Avenir Next" w:hAnsi="Avenir Next" w:cs="Arial"/>
          <w:sz w:val="22"/>
          <w:szCs w:val="22"/>
          <w:highlight w:val="yellow"/>
          <w:lang w:val="en-US"/>
        </w:rPr>
        <w:t>s assets are seized and sold with the aim of repaying debts contracted with creditors of legal entities, it consists of the impossibility of fulfilling overdue obligations in the manifest superiority of liabilities over assets.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pPr>
        <w:jc w:val="both"/>
        <w:rPr>
          <w:rFonts w:ascii="Avenir Next" w:hAnsi="Avenir Next" w:cs="Arial"/>
          <w:sz w:val="22"/>
          <w:szCs w:val="22"/>
          <w:lang w:val="en-GB"/>
        </w:rPr>
      </w:pP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Insolvency acts as a deterrent to cross-borber expansion or investment. Most of the time, uncertainty regarding insolvency rules or risks of insolvency proceedings that have been lengthy or complex in the other country are reported as the main reason for not establishing economic relations abroad.</w:t>
      </w: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There is inefficiency and divergence in insolvency matters that make investors find it more difficult to assess credit risk.</w:t>
      </w:r>
    </w:p>
    <w:p>
      <w:pPr>
        <w:jc w:val="both"/>
        <w:rPr>
          <w:rFonts w:ascii="Avenir Next" w:hAnsi="Avenir Next" w:cs="Arial"/>
          <w:sz w:val="22"/>
          <w:szCs w:val="22"/>
          <w:shd w:val="clear" w:color="auto" w:fill="FFFFFF"/>
          <w:lang w:val="en-GB"/>
        </w:rPr>
      </w:pPr>
    </w:p>
    <w:p>
      <w:pPr>
        <w:jc w:val="both"/>
        <w:rPr>
          <w:rFonts w:ascii="Avenir Next" w:hAnsi="Avenir Next" w:cs="Arial"/>
          <w:sz w:val="22"/>
          <w:szCs w:val="22"/>
          <w:shd w:val="clear" w:color="auto" w:fill="FFFFFF"/>
          <w:lang w:val="en-GB"/>
        </w:rPr>
      </w:pPr>
    </w:p>
    <w:p>
      <w:pPr>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5 marks]</w:t>
      </w:r>
    </w:p>
    <w:p>
      <w:pPr>
        <w:ind w:left="720" w:hanging="720"/>
        <w:jc w:val="both"/>
        <w:rPr>
          <w:rFonts w:ascii="Avenir Next" w:hAnsi="Avenir Next" w:cs="Arial"/>
          <w:sz w:val="22"/>
          <w:szCs w:val="22"/>
          <w:shd w:val="clear" w:color="auto" w:fill="FFFFFF"/>
          <w:lang w:val="en-GB"/>
        </w:rPr>
      </w:pPr>
    </w:p>
    <w:p>
      <w:pPr>
        <w:jc w:val="both"/>
        <w:rPr>
          <w:rFonts w:ascii="Avenir Next" w:hAnsi="Avenir Next" w:cs="Arial"/>
          <w:sz w:val="22"/>
          <w:szCs w:val="22"/>
          <w:lang w:val="en-GB"/>
        </w:rPr>
      </w:pPr>
      <w:r>
        <w:rPr>
          <w:rFonts w:ascii="Avenir Next" w:hAnsi="Avenir Next" w:cs="Arial"/>
          <w:sz w:val="22"/>
          <w:szCs w:val="22"/>
          <w:shd w:val="clear" w:color="auto" w:fill="FFFFFF"/>
          <w:lang w:val="en-GB"/>
        </w:rPr>
        <w:t>What multilateral steps have been taken in the 21</w:t>
      </w:r>
      <w:r>
        <w:rPr>
          <w:rFonts w:ascii="Avenir Next" w:hAnsi="Avenir Next" w:cs="Arial"/>
          <w:sz w:val="22"/>
          <w:szCs w:val="22"/>
          <w:shd w:val="clear" w:color="auto" w:fill="FFFFFF"/>
          <w:vertAlign w:val="superscript"/>
          <w:lang w:val="en-GB"/>
        </w:rPr>
        <w:t>st</w:t>
      </w:r>
      <w:r>
        <w:rPr>
          <w:rFonts w:ascii="Avenir Next" w:hAnsi="Avenir Next" w:cs="Arial"/>
          <w:sz w:val="22"/>
          <w:szCs w:val="22"/>
          <w:shd w:val="clear" w:color="auto" w:fill="FFFFFF"/>
          <w:lang w:val="en-GB"/>
        </w:rPr>
        <w:t xml:space="preserve"> century to promote </w:t>
      </w:r>
      <w:r>
        <w:rPr>
          <w:rFonts w:ascii="Avenir Next" w:hAnsi="Avenir Next" w:cs="Arial"/>
          <w:sz w:val="22"/>
          <w:szCs w:val="22"/>
          <w:shd w:val="clear" w:color="auto" w:fill="FFFFFF"/>
          <w:lang w:val="en-US"/>
        </w:rPr>
        <w:t>harmonization</w:t>
      </w:r>
      <w:r>
        <w:rPr>
          <w:rFonts w:ascii="Avenir Next" w:hAnsi="Avenir Next" w:cs="Arial"/>
          <w:sz w:val="22"/>
          <w:szCs w:val="22"/>
          <w:lang w:val="en-GB"/>
        </w:rPr>
        <w:t xml:space="preserve"> of domestic insolvency laws?  In your opinion, how much impact are these likely to have in addressing international insolvency issues?  Include reasons for your opinion.</w:t>
      </w:r>
    </w:p>
    <w:p>
      <w:pPr>
        <w:jc w:val="both"/>
        <w:rPr>
          <w:rFonts w:ascii="Avenir Next" w:hAnsi="Avenir Next" w:cs="Arial"/>
          <w:sz w:val="22"/>
          <w:szCs w:val="22"/>
          <w:lang w:val="en-GB"/>
        </w:rPr>
      </w:pP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 xml:space="preserve">To resolve existing problems regarding cross-border insolvency, two principles were adopted universality and territoriality. </w:t>
      </w: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With the two principles of universality, which is called the debtor</w:t>
      </w:r>
      <w:r>
        <w:rPr>
          <w:rFonts w:hint="default" w:ascii="Segoe UI" w:hAnsi="Segoe UI" w:cs="Segoe UI"/>
          <w:sz w:val="22"/>
          <w:szCs w:val="22"/>
          <w:highlight w:val="yellow"/>
          <w:lang w:val="en-US"/>
        </w:rPr>
        <w:t>'</w:t>
      </w:r>
      <w:r>
        <w:rPr>
          <w:rFonts w:hint="default" w:ascii="Avenir Next" w:hAnsi="Avenir Next" w:cs="Arial"/>
          <w:sz w:val="22"/>
          <w:szCs w:val="22"/>
          <w:highlight w:val="yellow"/>
          <w:lang w:val="en-US"/>
        </w:rPr>
        <w:t>s assents that are located in different States other than the State where the insolvency process was initiated.</w:t>
      </w: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Although these two principles aspects related to this matter. Which, for example, is difficult to control acts confiscation of the debtor</w:t>
      </w:r>
      <w:r>
        <w:rPr>
          <w:rFonts w:hint="default" w:ascii="Segoe UI" w:hAnsi="Segoe UI" w:cs="Segoe UI"/>
          <w:sz w:val="22"/>
          <w:szCs w:val="22"/>
          <w:highlight w:val="yellow"/>
          <w:lang w:val="en-US"/>
        </w:rPr>
        <w:t>'</w:t>
      </w:r>
      <w:r>
        <w:rPr>
          <w:rFonts w:hint="default" w:ascii="Avenir Next" w:hAnsi="Avenir Next" w:cs="Arial"/>
          <w:sz w:val="22"/>
          <w:szCs w:val="22"/>
          <w:highlight w:val="yellow"/>
          <w:lang w:val="en-US"/>
        </w:rPr>
        <w:t>s assets.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keepNext/>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pPr>
        <w:keepNext/>
        <w:ind w:left="720" w:hanging="720"/>
        <w:jc w:val="both"/>
        <w:rPr>
          <w:rFonts w:ascii="Avenir Next" w:hAnsi="Avenir Next" w:cs="Arial"/>
          <w:sz w:val="22"/>
          <w:szCs w:val="22"/>
          <w:lang w:val="en-GB"/>
        </w:rPr>
      </w:pPr>
    </w:p>
    <w:p>
      <w:pPr>
        <w:keepNext/>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pPr>
        <w:autoSpaceDE w:val="0"/>
        <w:autoSpaceDN w:val="0"/>
        <w:adjustRightInd w:val="0"/>
        <w:jc w:val="both"/>
        <w:rPr>
          <w:rFonts w:ascii="Avenir Next" w:hAnsi="Avenir Next" w:cs="Arial"/>
          <w:sz w:val="22"/>
          <w:szCs w:val="22"/>
          <w:lang w:val="en-GB"/>
        </w:rPr>
      </w:pPr>
    </w:p>
    <w:p>
      <w:pPr>
        <w:autoSpaceDE w:val="0"/>
        <w:autoSpaceDN w:val="0"/>
        <w:adjustRightInd w:val="0"/>
        <w:jc w:val="both"/>
        <w:rPr>
          <w:rFonts w:ascii="Avenir Next" w:hAnsi="Avenir Next" w:cs="Arial"/>
          <w:sz w:val="22"/>
          <w:szCs w:val="22"/>
          <w:highlight w:val="yellow"/>
          <w:lang w:val="en-GB"/>
        </w:rPr>
      </w:pPr>
      <w:r>
        <w:rPr>
          <w:rFonts w:ascii="Avenir Next" w:hAnsi="Avenir Next" w:cs="Arial"/>
          <w:sz w:val="22"/>
          <w:szCs w:val="22"/>
          <w:highlight w:val="yellow"/>
          <w:lang w:val="en-GB"/>
        </w:rPr>
        <w:t>Mean</w:t>
      </w:r>
      <w:r>
        <w:rPr>
          <w:rFonts w:hint="default" w:ascii="Avenir Next" w:hAnsi="Avenir Next" w:cs="Arial"/>
          <w:sz w:val="22"/>
          <w:szCs w:val="22"/>
          <w:highlight w:val="yellow"/>
          <w:lang w:val="en-US"/>
        </w:rPr>
        <w:t xml:space="preserve"> </w:t>
      </w:r>
      <w:r>
        <w:rPr>
          <w:rFonts w:ascii="Avenir Next" w:hAnsi="Avenir Next" w:cs="Arial"/>
          <w:sz w:val="22"/>
          <w:szCs w:val="22"/>
          <w:highlight w:val="yellow"/>
          <w:lang w:val="en-GB"/>
        </w:rPr>
        <w:t xml:space="preserve">while, Nadir also owes monies to creditors in Erewhon.  One Erewhon creditor obtains a court winding-up order against Nadir in Erewhon and a liquidator is also appointed by that court.  </w:t>
      </w:r>
    </w:p>
    <w:p>
      <w:pPr>
        <w:autoSpaceDE w:val="0"/>
        <w:autoSpaceDN w:val="0"/>
        <w:adjustRightInd w:val="0"/>
        <w:jc w:val="both"/>
        <w:rPr>
          <w:rFonts w:ascii="Avenir Next" w:hAnsi="Avenir Next" w:cs="Arial"/>
          <w:sz w:val="22"/>
          <w:szCs w:val="22"/>
          <w:lang w:val="en-GB"/>
        </w:rPr>
      </w:pPr>
      <w:r>
        <w:rPr>
          <w:rFonts w:ascii="Avenir Next" w:hAnsi="Avenir Next" w:cs="Arial"/>
          <w:sz w:val="22"/>
          <w:szCs w:val="22"/>
          <w:highlight w:val="yellow"/>
          <w:lang w:val="en-GB"/>
        </w:rPr>
        <w:t xml:space="preserve">If you require additional information to answer the questions that follow, briefly state what information it is you require and why it is relevant. </w:t>
      </w:r>
    </w:p>
    <w:p>
      <w:pPr>
        <w:autoSpaceDE w:val="0"/>
        <w:autoSpaceDN w:val="0"/>
        <w:adjustRightInd w:val="0"/>
        <w:jc w:val="both"/>
        <w:rPr>
          <w:rFonts w:ascii="Avenir Next" w:hAnsi="Avenir Next" w:cs="Arial"/>
          <w:sz w:val="22"/>
          <w:szCs w:val="22"/>
          <w:lang w:val="en-GB"/>
        </w:rPr>
      </w:pPr>
    </w:p>
    <w:p>
      <w:pPr>
        <w:autoSpaceDE w:val="0"/>
        <w:autoSpaceDN w:val="0"/>
        <w:adjustRightInd w:val="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bookmarkStart w:id="0" w:name="_Hlk17745211"/>
      <w:r>
        <w:rPr>
          <w:rFonts w:ascii="Avenir Next Demi Bold" w:hAnsi="Avenir Next Demi Bold" w:cs="Arial"/>
          <w:b/>
          <w:bCs/>
          <w:sz w:val="22"/>
          <w:szCs w:val="22"/>
          <w:lang w:val="en-GB"/>
        </w:rPr>
        <w:t xml:space="preserve">Question 4.1 [maximum 5 marks] </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pPr>
        <w:jc w:val="both"/>
        <w:rPr>
          <w:rFonts w:ascii="Avenir Next" w:hAnsi="Avenir Next" w:cs="Arial"/>
          <w:sz w:val="22"/>
          <w:szCs w:val="22"/>
          <w:lang w:val="en-GB"/>
        </w:rPr>
      </w:pPr>
    </w:p>
    <w:p>
      <w:pPr>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The Erewhon liquidator cannot prevent Apex from taking action in Utopia, under penalty of violating the principle of universalism.</w:t>
      </w:r>
    </w:p>
    <w:p>
      <w:pPr>
        <w:jc w:val="both"/>
        <w:rPr>
          <w:rFonts w:ascii="Avenir Next" w:hAnsi="Avenir Next" w:cs="Arial"/>
          <w:sz w:val="22"/>
          <w:szCs w:val="22"/>
          <w:lang w:val="en-GB"/>
        </w:rPr>
      </w:pPr>
    </w:p>
    <w:p>
      <w:pPr>
        <w:jc w:val="both"/>
        <w:rPr>
          <w:rFonts w:ascii="Avenir Next" w:hAnsi="Avenir Next" w:cs="Arial"/>
          <w:sz w:val="22"/>
          <w:szCs w:val="22"/>
          <w:lang w:val="en-GB"/>
        </w:rPr>
      </w:pPr>
    </w:p>
    <w:p>
      <w:pPr>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2 marks] </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Would it make any difference to your answer in question 4.1 in the following two alternative scenarios to Apex suing for its debt?</w:t>
      </w:r>
    </w:p>
    <w:p>
      <w:pPr>
        <w:jc w:val="both"/>
        <w:rPr>
          <w:rFonts w:ascii="Avenir Next" w:hAnsi="Avenir Next" w:cs="Arial"/>
          <w:sz w:val="22"/>
          <w:szCs w:val="22"/>
          <w:lang w:val="en-GB"/>
        </w:rPr>
      </w:pPr>
    </w:p>
    <w:p>
      <w:pPr>
        <w:pStyle w:val="18"/>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Apex had filed proceedings to wind-up Nadir, but the matter had not yet been heard.</w:t>
      </w:r>
    </w:p>
    <w:p>
      <w:pPr>
        <w:ind w:left="426"/>
        <w:jc w:val="both"/>
        <w:rPr>
          <w:rFonts w:ascii="Avenir Next" w:hAnsi="Avenir Next" w:cs="Arial"/>
          <w:sz w:val="22"/>
          <w:szCs w:val="22"/>
          <w:lang w:val="en-GB"/>
        </w:rPr>
      </w:pPr>
    </w:p>
    <w:p>
      <w:pPr>
        <w:pStyle w:val="18"/>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 xml:space="preserve">Apex had obtained a court order to wind-up Nadir in Utopia prior to the Erewhon winding-up order. </w:t>
      </w:r>
    </w:p>
    <w:p>
      <w:pPr>
        <w:autoSpaceDE w:val="0"/>
        <w:autoSpaceDN w:val="0"/>
        <w:adjustRightInd w:val="0"/>
        <w:spacing w:line="276" w:lineRule="auto"/>
        <w:jc w:val="both"/>
        <w:rPr>
          <w:rFonts w:hint="default" w:ascii="Avenir Next" w:hAnsi="Avenir Next" w:cs="Arial"/>
          <w:sz w:val="22"/>
          <w:szCs w:val="22"/>
          <w:highlight w:val="yellow"/>
          <w:lang w:val="en-US"/>
        </w:rPr>
      </w:pPr>
      <w:r>
        <w:rPr>
          <w:rFonts w:hint="default" w:ascii="Avenir Next" w:hAnsi="Avenir Next" w:cs="Arial"/>
          <w:sz w:val="22"/>
          <w:szCs w:val="22"/>
          <w:highlight w:val="yellow"/>
          <w:lang w:val="en-US"/>
        </w:rPr>
        <w:t>Apex action as stipulated by the principle of universality, which all of Nadir</w:t>
      </w:r>
      <w:r>
        <w:rPr>
          <w:rFonts w:hint="default" w:ascii="Segoe UI" w:hAnsi="Segoe UI" w:cs="Segoe UI"/>
          <w:sz w:val="22"/>
          <w:szCs w:val="22"/>
          <w:highlight w:val="yellow"/>
          <w:lang w:val="en-US"/>
        </w:rPr>
        <w:t>'</w:t>
      </w:r>
      <w:r>
        <w:rPr>
          <w:rFonts w:hint="default" w:ascii="Avenir Next" w:hAnsi="Avenir Next" w:cs="Arial"/>
          <w:sz w:val="22"/>
          <w:szCs w:val="22"/>
          <w:highlight w:val="yellow"/>
          <w:lang w:val="en-US"/>
        </w:rPr>
        <w:t>s assets are called, and also by the principle of territoriality, which Nadir</w:t>
      </w:r>
      <w:r>
        <w:rPr>
          <w:rFonts w:hint="default" w:ascii="Segoe UI" w:hAnsi="Segoe UI" w:cs="Segoe UI"/>
          <w:sz w:val="22"/>
          <w:szCs w:val="22"/>
          <w:highlight w:val="yellow"/>
          <w:lang w:val="en-US"/>
        </w:rPr>
        <w:t>'</w:t>
      </w:r>
      <w:r>
        <w:rPr>
          <w:rFonts w:hint="default" w:ascii="Avenir Next" w:hAnsi="Avenir Next" w:cs="Arial"/>
          <w:sz w:val="22"/>
          <w:szCs w:val="22"/>
          <w:highlight w:val="yellow"/>
          <w:lang w:val="en-US"/>
        </w:rPr>
        <w:t>s is currently based on.</w:t>
      </w:r>
    </w:p>
    <w:p>
      <w:pPr>
        <w:autoSpaceDE w:val="0"/>
        <w:autoSpaceDN w:val="0"/>
        <w:adjustRightInd w:val="0"/>
        <w:spacing w:line="276" w:lineRule="auto"/>
        <w:jc w:val="both"/>
        <w:rPr>
          <w:rFonts w:ascii="Avenir Next" w:hAnsi="Avenir Next" w:cs="Arial"/>
          <w:sz w:val="22"/>
          <w:szCs w:val="22"/>
          <w:highlight w:val="yellow"/>
          <w:lang w:val="en-GB"/>
        </w:rPr>
      </w:pPr>
    </w:p>
    <w:p>
      <w:pPr>
        <w:autoSpaceDE w:val="0"/>
        <w:autoSpaceDN w:val="0"/>
        <w:adjustRightInd w:val="0"/>
        <w:spacing w:line="276" w:lineRule="auto"/>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8 marks] </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 xml:space="preserve">NB: This question is not related to Questions 4.1 and 4.2 </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A court has ordered the commencement of an insolvency proceeding against a corporate debtor in the State of its incorporation and head office.  The company has operated business in a number of States and has assets (real property or interest in land, other tangible assets and intangible assets); creditors (including taxation / revenue authorities) and directors in several States.</w:t>
      </w:r>
    </w:p>
    <w:p>
      <w:pPr>
        <w:jc w:val="both"/>
        <w:rPr>
          <w:rFonts w:ascii="Avenir Next" w:hAnsi="Avenir Next" w:cs="Arial"/>
          <w:sz w:val="22"/>
          <w:szCs w:val="22"/>
          <w:lang w:val="en-GB"/>
        </w:rPr>
      </w:pPr>
      <w:r>
        <w:rPr>
          <w:rFonts w:ascii="Avenir Next" w:hAnsi="Avenir Next" w:cs="Arial"/>
          <w:sz w:val="22"/>
          <w:szCs w:val="22"/>
          <w:lang w:val="en-GB"/>
        </w:rPr>
        <w:t xml:space="preserve">  </w:t>
      </w:r>
    </w:p>
    <w:p>
      <w:pPr>
        <w:jc w:val="both"/>
        <w:rPr>
          <w:rFonts w:ascii="Avenir Next" w:hAnsi="Avenir Next" w:cs="Arial"/>
          <w:sz w:val="22"/>
          <w:szCs w:val="22"/>
          <w:lang w:val="en-GB"/>
        </w:rPr>
      </w:pPr>
      <w:r>
        <w:rPr>
          <w:rFonts w:ascii="Avenir Next" w:hAnsi="Avenir Next" w:cs="Arial"/>
          <w:sz w:val="22"/>
          <w:szCs w:val="22"/>
          <w:lang w:val="en-GB"/>
        </w:rPr>
        <w:t>Select a country for the company’s incorporation and, based on the insolvency laws of the country you select and the brief facts provided, describe four key international insolvency issues facing the insolvency representative in this scenario.  For each issue, what domestic laws or international instruments apply to assist the insolvency representative address these four issues</w:t>
      </w:r>
      <w:bookmarkEnd w:id="0"/>
      <w:r>
        <w:rPr>
          <w:rFonts w:ascii="Avenir Next" w:hAnsi="Avenir Next" w:cs="Arial"/>
          <w:sz w:val="22"/>
          <w:szCs w:val="22"/>
          <w:lang w:val="en-GB"/>
        </w:rPr>
        <w:t>?</w:t>
      </w:r>
    </w:p>
    <w:p>
      <w:pPr>
        <w:jc w:val="both"/>
        <w:rPr>
          <w:rFonts w:ascii="Avenir Next" w:hAnsi="Avenir Next" w:cs="Arial"/>
          <w:sz w:val="22"/>
          <w:szCs w:val="22"/>
          <w:lang w:val="en-GB"/>
        </w:rPr>
      </w:pPr>
    </w:p>
    <w:p>
      <w:pPr>
        <w:jc w:val="both"/>
        <w:rPr>
          <w:rFonts w:hint="default" w:ascii="Avenir Next" w:hAnsi="Avenir Next" w:cs="Arial"/>
          <w:color w:val="000000" w:themeColor="text1"/>
          <w:sz w:val="22"/>
          <w:szCs w:val="22"/>
          <w:highlight w:val="yellow"/>
          <w:lang w:val="en-US"/>
          <w14:textFill>
            <w14:solidFill>
              <w14:schemeClr w14:val="tx1"/>
            </w14:solidFill>
          </w14:textFill>
        </w:rPr>
      </w:pPr>
      <w:r>
        <w:rPr>
          <w:rFonts w:hint="default" w:ascii="Avenir Next" w:hAnsi="Avenir Next" w:cs="Arial"/>
          <w:color w:val="000000" w:themeColor="text1"/>
          <w:sz w:val="22"/>
          <w:szCs w:val="22"/>
          <w:highlight w:val="yellow"/>
          <w:lang w:val="en-US"/>
          <w14:textFill>
            <w14:solidFill>
              <w14:schemeClr w14:val="tx1"/>
            </w14:solidFill>
          </w14:textFill>
        </w:rPr>
        <w:t>Tela lda, a company based in Mozambique, carried out various commercial activities in South Africa, Namibia, Angola and the Democratic Republic of Congo.</w:t>
      </w:r>
    </w:p>
    <w:p>
      <w:pPr>
        <w:jc w:val="both"/>
        <w:rPr>
          <w:rFonts w:hint="default" w:ascii="Avenir Next" w:hAnsi="Avenir Next" w:cs="Arial"/>
          <w:color w:val="000000" w:themeColor="text1"/>
          <w:sz w:val="22"/>
          <w:szCs w:val="22"/>
          <w:highlight w:val="yellow"/>
          <w:lang w:val="en-US"/>
          <w14:textFill>
            <w14:solidFill>
              <w14:schemeClr w14:val="tx1"/>
            </w14:solidFill>
          </w14:textFill>
        </w:rPr>
      </w:pPr>
      <w:r>
        <w:rPr>
          <w:rFonts w:hint="default" w:ascii="Avenir Next" w:hAnsi="Avenir Next" w:cs="Arial"/>
          <w:color w:val="000000" w:themeColor="text1"/>
          <w:sz w:val="22"/>
          <w:szCs w:val="22"/>
          <w:highlight w:val="yellow"/>
          <w:lang w:val="en-US"/>
          <w14:textFill>
            <w14:solidFill>
              <w14:schemeClr w14:val="tx1"/>
            </w14:solidFill>
          </w14:textFill>
        </w:rPr>
        <w:t>Tela Lda, has several assets in the countries mentioned above and also has several creditors,</w:t>
      </w:r>
    </w:p>
    <w:p>
      <w:pPr>
        <w:jc w:val="both"/>
        <w:rPr>
          <w:rFonts w:hint="default" w:ascii="Avenir Next" w:hAnsi="Avenir Next" w:cs="Arial"/>
          <w:color w:val="000000" w:themeColor="text1"/>
          <w:sz w:val="22"/>
          <w:szCs w:val="22"/>
          <w:lang w:val="en-US"/>
          <w14:textFill>
            <w14:solidFill>
              <w14:schemeClr w14:val="tx1"/>
            </w14:solidFill>
          </w14:textFill>
        </w:rPr>
      </w:pPr>
      <w:r>
        <w:rPr>
          <w:rFonts w:hint="default" w:ascii="Avenir Next" w:hAnsi="Avenir Next" w:cs="Arial"/>
          <w:color w:val="000000" w:themeColor="text1"/>
          <w:sz w:val="22"/>
          <w:szCs w:val="22"/>
          <w:highlight w:val="yellow"/>
          <w:lang w:val="en-US"/>
          <w14:textFill>
            <w14:solidFill>
              <w14:schemeClr w14:val="tx1"/>
            </w14:solidFill>
          </w14:textFill>
        </w:rPr>
        <w:t>Creditors from the countries in question can initiate an insolvency process involving several creditors in Mozambique simultaneously, taking into account the principle of universality and the law on Cross-Border Insolvency.</w:t>
      </w:r>
      <w:r>
        <w:rPr>
          <w:rFonts w:hint="default" w:ascii="Avenir Next" w:hAnsi="Avenir Next" w:cs="Arial"/>
          <w:color w:val="000000" w:themeColor="text1"/>
          <w:sz w:val="22"/>
          <w:szCs w:val="22"/>
          <w:lang w:val="en-US"/>
          <w14:textFill>
            <w14:solidFill>
              <w14:schemeClr w14:val="tx1"/>
            </w14:solidFill>
          </w14:textFill>
        </w:rPr>
        <w:t xml:space="preserve"> </w:t>
      </w:r>
    </w:p>
    <w:p>
      <w:pPr>
        <w:jc w:val="both"/>
        <w:rPr>
          <w:rFonts w:ascii="Avenir Next" w:hAnsi="Avenir Next" w:cs="Arial"/>
          <w:color w:val="000000" w:themeColor="text1"/>
          <w:sz w:val="22"/>
          <w:szCs w:val="22"/>
          <w:lang w:val="en-GB"/>
          <w14:textFill>
            <w14:solidFill>
              <w14:schemeClr w14:val="tx1"/>
            </w14:solidFill>
          </w14:textFill>
        </w:rPr>
      </w:pPr>
    </w:p>
    <w:p>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sectPr>
      <w:footerReference r:id="rId3" w:type="default"/>
      <w:footerReference r:id="rId4"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DengXian">
    <w:altName w:val="Segoe Print"/>
    <w:panose1 w:val="00000000000000000000"/>
    <w:charset w:val="00"/>
    <w:family w:val="auto"/>
    <w:pitch w:val="default"/>
    <w:sig w:usb0="00000000" w:usb1="00000000" w:usb2="00000000" w:usb3="00000000" w:csb0="00000000" w:csb1="00000000"/>
  </w:font>
  <w:font w:name="Avenir Next Demi Bold">
    <w:altName w:val="Calibri"/>
    <w:panose1 w:val="00000000000000000000"/>
    <w:charset w:val="00"/>
    <w:family w:val="swiss"/>
    <w:pitch w:val="default"/>
    <w:sig w:usb0="00000000" w:usb1="00000000" w:usb2="00000000" w:usb3="00000000" w:csb0="0000009B" w:csb1="00000000"/>
  </w:font>
  <w:font w:name="Avenir Next">
    <w:altName w:val="Calibri"/>
    <w:panose1 w:val="00000000000000000000"/>
    <w:charset w:val="00"/>
    <w:family w:val="swiss"/>
    <w:pitch w:val="default"/>
    <w:sig w:usb0="00000000" w:usb1="00000000" w:usb2="00000000" w:usb3="00000000" w:csb0="0000009B" w:csb1="0000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Fonts w:ascii="Avenir Next" w:hAnsi="Avenir Next" w:cs="Arial"/>
        <w:sz w:val="22"/>
        <w:szCs w:val="22"/>
      </w:rPr>
      <w:id w:val="850997806"/>
      <w:docPartObj>
        <w:docPartGallery w:val="AutoText"/>
      </w:docPartObj>
    </w:sdtPr>
    <w:sdtEndPr>
      <w:rPr>
        <w:rStyle w:val="15"/>
        <w:rFonts w:ascii="Avenir Next" w:hAnsi="Avenir Next" w:cstheme="minorBidi"/>
        <w:sz w:val="22"/>
        <w:szCs w:val="22"/>
      </w:rPr>
    </w:sdtEndPr>
    <w:sdtContent>
      <w:p>
        <w:pPr>
          <w:pStyle w:val="9"/>
          <w:framePr w:wrap="auto" w:vAnchor="text" w:hAnchor="margin" w:xAlign="right" w:y="1"/>
          <w:rPr>
            <w:rStyle w:val="15"/>
            <w:rFonts w:ascii="Avenir Next" w:hAnsi="Avenir Next"/>
            <w:sz w:val="22"/>
            <w:szCs w:val="22"/>
          </w:rPr>
        </w:pPr>
        <w:r>
          <w:rPr>
            <w:rStyle w:val="15"/>
            <w:rFonts w:ascii="Avenir Next" w:hAnsi="Avenir Next" w:cs="Arial"/>
            <w:sz w:val="22"/>
            <w:szCs w:val="22"/>
          </w:rPr>
          <w:t xml:space="preserve">Page </w:t>
        </w:r>
        <w:r>
          <w:rPr>
            <w:rStyle w:val="15"/>
            <w:rFonts w:ascii="Avenir Next" w:hAnsi="Avenir Next" w:cs="Arial"/>
            <w:sz w:val="22"/>
            <w:szCs w:val="22"/>
          </w:rPr>
          <w:fldChar w:fldCharType="begin"/>
        </w:r>
        <w:r>
          <w:rPr>
            <w:rStyle w:val="15"/>
            <w:rFonts w:ascii="Avenir Next" w:hAnsi="Avenir Next" w:cs="Arial"/>
            <w:sz w:val="22"/>
            <w:szCs w:val="22"/>
          </w:rPr>
          <w:instrText xml:space="preserve"> PAGE </w:instrText>
        </w:r>
        <w:r>
          <w:rPr>
            <w:rStyle w:val="15"/>
            <w:rFonts w:ascii="Avenir Next" w:hAnsi="Avenir Next" w:cs="Arial"/>
            <w:sz w:val="22"/>
            <w:szCs w:val="22"/>
          </w:rPr>
          <w:fldChar w:fldCharType="separate"/>
        </w:r>
        <w:r>
          <w:rPr>
            <w:rStyle w:val="15"/>
            <w:rFonts w:ascii="Avenir Next" w:hAnsi="Avenir Next" w:cs="Arial"/>
            <w:sz w:val="22"/>
            <w:szCs w:val="22"/>
          </w:rPr>
          <w:t>1</w:t>
        </w:r>
        <w:r>
          <w:rPr>
            <w:rStyle w:val="15"/>
            <w:rFonts w:ascii="Avenir Next" w:hAnsi="Avenir Next" w:cs="Arial"/>
            <w:sz w:val="22"/>
            <w:szCs w:val="22"/>
          </w:rPr>
          <w:fldChar w:fldCharType="end"/>
        </w:r>
      </w:p>
    </w:sdtContent>
  </w:sdt>
  <w:p>
    <w:pPr>
      <w:pStyle w:val="9"/>
      <w:ind w:right="360"/>
      <w:rPr>
        <w:rFonts w:ascii="Avenir Next" w:hAnsi="Avenir Next" w:cs="Arial"/>
        <w:sz w:val="22"/>
        <w:szCs w:val="22"/>
      </w:rPr>
    </w:pPr>
    <w:r>
      <w:rPr>
        <w:rFonts w:ascii="Avenir Next" w:hAnsi="Avenir Next" w:cs="Arial"/>
        <w:sz w:val="22"/>
        <w:szCs w:val="22"/>
      </w:rPr>
      <w:t>studentID.assessment1formative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Fonts w:ascii="Arial" w:hAnsi="Arial" w:cs="Arial"/>
        <w:b/>
      </w:rPr>
      <w:id w:val="-758512077"/>
      <w:docPartObj>
        <w:docPartGallery w:val="AutoText"/>
      </w:docPartObj>
    </w:sdtPr>
    <w:sdtEndPr>
      <w:rPr>
        <w:rStyle w:val="15"/>
        <w:rFonts w:ascii="Arial" w:hAnsi="Arial" w:cs="Arial"/>
        <w:b w:val="0"/>
        <w:sz w:val="22"/>
        <w:szCs w:val="22"/>
      </w:rPr>
    </w:sdtEndPr>
    <w:sdtContent>
      <w:p>
        <w:pPr>
          <w:pStyle w:val="9"/>
          <w:framePr w:wrap="auto" w:vAnchor="text" w:hAnchor="margin" w:xAlign="right" w:y="1"/>
          <w:rPr>
            <w:rStyle w:val="15"/>
            <w:rFonts w:ascii="Arial" w:hAnsi="Arial" w:cs="Arial"/>
            <w:sz w:val="22"/>
            <w:szCs w:val="22"/>
          </w:rPr>
        </w:pPr>
        <w:r>
          <w:rPr>
            <w:rStyle w:val="15"/>
            <w:rFonts w:ascii="Arial" w:hAnsi="Arial" w:cs="Arial"/>
            <w:b/>
          </w:rPr>
          <w:t xml:space="preserve">Page </w:t>
        </w:r>
        <w:r>
          <w:rPr>
            <w:rStyle w:val="15"/>
            <w:rFonts w:ascii="Arial" w:hAnsi="Arial" w:cs="Arial"/>
            <w:b/>
            <w:sz w:val="22"/>
            <w:szCs w:val="22"/>
          </w:rPr>
          <w:fldChar w:fldCharType="begin"/>
        </w:r>
        <w:r>
          <w:rPr>
            <w:rStyle w:val="15"/>
            <w:rFonts w:ascii="Arial" w:hAnsi="Arial" w:cs="Arial"/>
            <w:b/>
            <w:sz w:val="22"/>
            <w:szCs w:val="22"/>
          </w:rPr>
          <w:instrText xml:space="preserve"> PAGE </w:instrText>
        </w:r>
        <w:r>
          <w:rPr>
            <w:rStyle w:val="15"/>
            <w:rFonts w:ascii="Arial" w:hAnsi="Arial" w:cs="Arial"/>
            <w:b/>
            <w:sz w:val="22"/>
            <w:szCs w:val="22"/>
          </w:rPr>
          <w:fldChar w:fldCharType="separate"/>
        </w:r>
        <w:r>
          <w:rPr>
            <w:rStyle w:val="15"/>
            <w:rFonts w:ascii="Arial" w:hAnsi="Arial" w:cs="Arial"/>
            <w:b/>
            <w:sz w:val="22"/>
            <w:szCs w:val="22"/>
          </w:rPr>
          <w:t>10</w:t>
        </w:r>
        <w:r>
          <w:rPr>
            <w:rStyle w:val="15"/>
            <w:rFonts w:ascii="Arial" w:hAnsi="Arial" w:cs="Arial"/>
            <w:b/>
            <w:sz w:val="22"/>
            <w:szCs w:val="22"/>
          </w:rPr>
          <w:fldChar w:fldCharType="end"/>
        </w:r>
      </w:p>
    </w:sdtContent>
  </w:sdt>
  <w:p>
    <w:pPr>
      <w:pStyle w:val="9"/>
      <w:ind w:right="360"/>
      <w:rPr>
        <w:rFonts w:ascii="Arial" w:hAnsi="Arial" w:cs="Arial"/>
        <w:sz w:val="22"/>
        <w:szCs w:val="22"/>
      </w:rPr>
    </w:pPr>
    <w:r>
      <w:t>student number.assessment1formative.docx</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D2C19"/>
    <w:multiLevelType w:val="multilevel"/>
    <w:tmpl w:val="031D2C19"/>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183D241B"/>
    <w:multiLevelType w:val="multilevel"/>
    <w:tmpl w:val="183D241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
    <w:nsid w:val="23BA3E0B"/>
    <w:multiLevelType w:val="multilevel"/>
    <w:tmpl w:val="23BA3E0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479E2BF2"/>
    <w:multiLevelType w:val="multilevel"/>
    <w:tmpl w:val="479E2BF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9C13A75"/>
    <w:multiLevelType w:val="multilevel"/>
    <w:tmpl w:val="49C13A75"/>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52BD598A"/>
    <w:multiLevelType w:val="multilevel"/>
    <w:tmpl w:val="52BD598A"/>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6">
    <w:nsid w:val="55770FBF"/>
    <w:multiLevelType w:val="multilevel"/>
    <w:tmpl w:val="55770FBF"/>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5BAF7F63"/>
    <w:multiLevelType w:val="multilevel"/>
    <w:tmpl w:val="5BAF7F63"/>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62F06896"/>
    <w:multiLevelType w:val="multilevel"/>
    <w:tmpl w:val="62F06896"/>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66FC1573"/>
    <w:multiLevelType w:val="multilevel"/>
    <w:tmpl w:val="66FC1573"/>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7EE44469"/>
    <w:multiLevelType w:val="multilevel"/>
    <w:tmpl w:val="7EE4446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9"/>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defaultTabStop w:val="720"/>
  <w:drawingGridHorizontalSpacing w:val="100"/>
  <w:displayHorizontalDrawingGridEvery w:val="0"/>
  <w:displayVerticalDrawingGridEvery w:val="2"/>
  <w:doNotShadeFormData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36B31"/>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37CC6"/>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 w:val="03C52CBC"/>
    <w:rsid w:val="04F23198"/>
    <w:rsid w:val="05914531"/>
    <w:rsid w:val="07ED7F1F"/>
    <w:rsid w:val="0C5651C9"/>
    <w:rsid w:val="0EB208AB"/>
    <w:rsid w:val="117B32BD"/>
    <w:rsid w:val="11822C48"/>
    <w:rsid w:val="11EA5AEF"/>
    <w:rsid w:val="15840859"/>
    <w:rsid w:val="177C6796"/>
    <w:rsid w:val="19565811"/>
    <w:rsid w:val="1B0D536D"/>
    <w:rsid w:val="1FE223DD"/>
    <w:rsid w:val="21775CF7"/>
    <w:rsid w:val="27D150E1"/>
    <w:rsid w:val="28660E58"/>
    <w:rsid w:val="290B5D62"/>
    <w:rsid w:val="295916E5"/>
    <w:rsid w:val="2B6C58CD"/>
    <w:rsid w:val="2C94532F"/>
    <w:rsid w:val="2DDE7894"/>
    <w:rsid w:val="35FD3123"/>
    <w:rsid w:val="365D4441"/>
    <w:rsid w:val="37F222D9"/>
    <w:rsid w:val="39D26F6B"/>
    <w:rsid w:val="3A2E6000"/>
    <w:rsid w:val="3C8F00E9"/>
    <w:rsid w:val="3DC50166"/>
    <w:rsid w:val="3E453F37"/>
    <w:rsid w:val="3EBB2C7C"/>
    <w:rsid w:val="3FC76631"/>
    <w:rsid w:val="3FE24C5D"/>
    <w:rsid w:val="40225A46"/>
    <w:rsid w:val="43775ABD"/>
    <w:rsid w:val="445C7035"/>
    <w:rsid w:val="45DE3CAE"/>
    <w:rsid w:val="46884147"/>
    <w:rsid w:val="47BA7D3C"/>
    <w:rsid w:val="47DC3773"/>
    <w:rsid w:val="49EB6D57"/>
    <w:rsid w:val="4C9A533B"/>
    <w:rsid w:val="4D137AF0"/>
    <w:rsid w:val="4D967526"/>
    <w:rsid w:val="539E4BBE"/>
    <w:rsid w:val="53E52DB4"/>
    <w:rsid w:val="56956E1A"/>
    <w:rsid w:val="58175C92"/>
    <w:rsid w:val="5BB00D7C"/>
    <w:rsid w:val="5BEB11C4"/>
    <w:rsid w:val="5CE0146E"/>
    <w:rsid w:val="5EA558D6"/>
    <w:rsid w:val="639E5FFE"/>
    <w:rsid w:val="63DA03E2"/>
    <w:rsid w:val="642A5BE2"/>
    <w:rsid w:val="65A01E38"/>
    <w:rsid w:val="65B14764"/>
    <w:rsid w:val="68BC0EE4"/>
    <w:rsid w:val="69621672"/>
    <w:rsid w:val="6ABC642B"/>
    <w:rsid w:val="6B3B477B"/>
    <w:rsid w:val="702C5898"/>
    <w:rsid w:val="72456F5C"/>
    <w:rsid w:val="73985535"/>
    <w:rsid w:val="74CE7B30"/>
    <w:rsid w:val="76645648"/>
    <w:rsid w:val="7DB54FCA"/>
    <w:rsid w:val="7EF3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MS Mincho"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 w:val="20"/>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21"/>
    <w:semiHidden/>
    <w:unhideWhenUsed/>
    <w:uiPriority w:val="99"/>
    <w:rPr>
      <w:szCs w:val="20"/>
    </w:rPr>
  </w:style>
  <w:style w:type="paragraph" w:styleId="7">
    <w:name w:val="annotation subject"/>
    <w:basedOn w:val="6"/>
    <w:next w:val="6"/>
    <w:link w:val="22"/>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24"/>
    <w:unhideWhenUsed/>
    <w:qFormat/>
    <w:uiPriority w:val="99"/>
    <w:pPr>
      <w:tabs>
        <w:tab w:val="center" w:pos="4513"/>
        <w:tab w:val="right" w:pos="9026"/>
      </w:tabs>
    </w:pPr>
  </w:style>
  <w:style w:type="character" w:styleId="10">
    <w:name w:val="footnote reference"/>
    <w:basedOn w:val="2"/>
    <w:unhideWhenUsed/>
    <w:qFormat/>
    <w:uiPriority w:val="0"/>
    <w:rPr>
      <w:vertAlign w:val="superscript"/>
    </w:rPr>
  </w:style>
  <w:style w:type="paragraph" w:styleId="11">
    <w:name w:val="footnote text"/>
    <w:basedOn w:val="1"/>
    <w:link w:val="19"/>
    <w:unhideWhenUsed/>
    <w:qFormat/>
    <w:uiPriority w:val="0"/>
    <w:rPr>
      <w:szCs w:val="20"/>
    </w:rPr>
  </w:style>
  <w:style w:type="paragraph" w:styleId="12">
    <w:name w:val="header"/>
    <w:basedOn w:val="1"/>
    <w:link w:val="25"/>
    <w:unhideWhenUsed/>
    <w:uiPriority w:val="99"/>
    <w:pPr>
      <w:tabs>
        <w:tab w:val="center" w:pos="4513"/>
        <w:tab w:val="right" w:pos="9026"/>
      </w:tabs>
    </w:pPr>
  </w:style>
  <w:style w:type="character" w:styleId="13">
    <w:name w:val="Hyperlink"/>
    <w:basedOn w:val="2"/>
    <w:unhideWhenUsed/>
    <w:qFormat/>
    <w:uiPriority w:val="99"/>
    <w:rPr>
      <w:color w:val="0563C1" w:themeColor="hyperlink"/>
      <w:u w:val="single"/>
      <w14:textFill>
        <w14:solidFill>
          <w14:schemeClr w14:val="hlink"/>
        </w14:solidFill>
      </w14:textFill>
    </w:rPr>
  </w:style>
  <w:style w:type="paragraph" w:styleId="14">
    <w:name w:val="Normal (Web)"/>
    <w:basedOn w:val="1"/>
    <w:unhideWhenUsed/>
    <w:uiPriority w:val="99"/>
    <w:pPr>
      <w:spacing w:before="100" w:beforeAutospacing="1" w:after="100" w:afterAutospacing="1"/>
    </w:pPr>
    <w:rPr>
      <w:rFonts w:ascii="Times New Roman" w:hAnsi="Times New Roman" w:cs="Times New Roman"/>
      <w:sz w:val="24"/>
    </w:rPr>
  </w:style>
  <w:style w:type="character" w:styleId="15">
    <w:name w:val="page number"/>
    <w:basedOn w:val="2"/>
    <w:semiHidden/>
    <w:unhideWhenUsed/>
    <w:uiPriority w:val="99"/>
  </w:style>
  <w:style w:type="character" w:styleId="16">
    <w:name w:val="Strong"/>
    <w:basedOn w:val="2"/>
    <w:qFormat/>
    <w:uiPriority w:val="22"/>
    <w:rPr>
      <w:b/>
      <w:bCs/>
    </w:rPr>
  </w:style>
  <w:style w:type="character" w:customStyle="1" w:styleId="17">
    <w:name w:val="apple-converted-space"/>
    <w:basedOn w:val="2"/>
    <w:uiPriority w:val="0"/>
  </w:style>
  <w:style w:type="paragraph" w:styleId="18">
    <w:name w:val="List Paragraph"/>
    <w:basedOn w:val="1"/>
    <w:qFormat/>
    <w:uiPriority w:val="34"/>
    <w:pPr>
      <w:ind w:left="720"/>
      <w:contextualSpacing/>
    </w:pPr>
  </w:style>
  <w:style w:type="character" w:customStyle="1" w:styleId="19">
    <w:name w:val="Footnote Text Char"/>
    <w:basedOn w:val="2"/>
    <w:link w:val="11"/>
    <w:qFormat/>
    <w:uiPriority w:val="0"/>
    <w:rPr>
      <w:sz w:val="20"/>
      <w:szCs w:val="20"/>
    </w:rPr>
  </w:style>
  <w:style w:type="character" w:customStyle="1" w:styleId="20">
    <w:name w:val="Unresolved Mention1"/>
    <w:basedOn w:val="2"/>
    <w:uiPriority w:val="99"/>
    <w:rPr>
      <w:color w:val="605E5C"/>
      <w:shd w:val="clear" w:color="auto" w:fill="E1DFDD"/>
    </w:rPr>
  </w:style>
  <w:style w:type="character" w:customStyle="1" w:styleId="21">
    <w:name w:val="Comment Text Char"/>
    <w:basedOn w:val="2"/>
    <w:link w:val="6"/>
    <w:semiHidden/>
    <w:uiPriority w:val="99"/>
    <w:rPr>
      <w:rFonts w:eastAsia="Times New Roman"/>
      <w:sz w:val="20"/>
      <w:szCs w:val="20"/>
    </w:rPr>
  </w:style>
  <w:style w:type="character" w:customStyle="1" w:styleId="22">
    <w:name w:val="Comment Subject Char"/>
    <w:basedOn w:val="21"/>
    <w:link w:val="7"/>
    <w:semiHidden/>
    <w:uiPriority w:val="99"/>
    <w:rPr>
      <w:rFonts w:eastAsia="Times New Roman"/>
      <w:b/>
      <w:bCs/>
      <w:sz w:val="20"/>
      <w:szCs w:val="20"/>
    </w:rPr>
  </w:style>
  <w:style w:type="character" w:customStyle="1" w:styleId="23">
    <w:name w:val="Balloon Text Char"/>
    <w:basedOn w:val="2"/>
    <w:link w:val="4"/>
    <w:semiHidden/>
    <w:uiPriority w:val="99"/>
    <w:rPr>
      <w:rFonts w:ascii="Tahoma" w:hAnsi="Tahoma" w:eastAsia="Times New Roman" w:cs="Tahoma"/>
      <w:sz w:val="16"/>
      <w:szCs w:val="16"/>
    </w:rPr>
  </w:style>
  <w:style w:type="character" w:customStyle="1" w:styleId="24">
    <w:name w:val="Footer Char"/>
    <w:basedOn w:val="2"/>
    <w:link w:val="9"/>
    <w:qFormat/>
    <w:uiPriority w:val="99"/>
    <w:rPr>
      <w:rFonts w:eastAsia="Times New Roman"/>
      <w:sz w:val="20"/>
    </w:rPr>
  </w:style>
  <w:style w:type="character" w:customStyle="1" w:styleId="25">
    <w:name w:val="Header Char"/>
    <w:basedOn w:val="2"/>
    <w:link w:val="12"/>
    <w:uiPriority w:val="99"/>
    <w:rPr>
      <w:rFonts w:eastAsia="Times New Roman"/>
      <w:sz w:val="20"/>
    </w:rPr>
  </w:style>
  <w:style w:type="character" w:customStyle="1" w:styleId="26">
    <w:name w:val="Unresolved Mention2"/>
    <w:basedOn w:val="2"/>
    <w:semiHidden/>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CAA9-CD24-46F8-AFA5-A2EDF186CE4F}">
  <ds:schemaRefs/>
</ds:datastoreItem>
</file>

<file path=docProps/app.xml><?xml version="1.0" encoding="utf-8"?>
<Properties xmlns="http://schemas.openxmlformats.org/officeDocument/2006/extended-properties" xmlns:vt="http://schemas.openxmlformats.org/officeDocument/2006/docPropsVTypes">
  <Template>Normal</Template>
  <Pages>8</Pages>
  <Words>2277</Words>
  <Characters>12981</Characters>
  <Lines>108</Lines>
  <Paragraphs>30</Paragraphs>
  <TotalTime>88</TotalTime>
  <ScaleCrop>false</ScaleCrop>
  <LinksUpToDate>false</LinksUpToDate>
  <CharactersWithSpaces>15228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2023-09-01T11:34:00Z</dcterms:created>
  <dc:creator>Microsoft Office User</dc:creator>
  <cp:lastModifiedBy>NHAMITAMBO</cp:lastModifiedBy>
  <cp:lastPrinted>2019-09-04T15:45:00Z</cp:lastPrinted>
  <dcterms:modified xsi:type="dcterms:W3CDTF">2023-10-15T19:41:02Z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673B458A34C24C05B368EC3477ED18AA_12</vt:lpwstr>
  </property>
</Properties>
</file>