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7B526E8D" w:rsidR="00DC0391" w:rsidRDefault="00DC0391" w:rsidP="00A458BE">
      <w:pPr>
        <w:ind w:left="720" w:hanging="720"/>
        <w:jc w:val="both"/>
        <w:rPr>
          <w:rFonts w:ascii="Avenir Next" w:hAnsi="Avenir Next" w:cs="Arial"/>
          <w:sz w:val="22"/>
          <w:szCs w:val="22"/>
          <w:lang w:val="en-GB"/>
        </w:rPr>
      </w:pPr>
    </w:p>
    <w:p w14:paraId="24680CCA" w14:textId="46BF54B5" w:rsidR="00EC46DE" w:rsidRDefault="00EC46DE" w:rsidP="00A458BE">
      <w:pPr>
        <w:ind w:left="720" w:hanging="720"/>
        <w:jc w:val="both"/>
        <w:rPr>
          <w:rFonts w:ascii="Avenir Next" w:hAnsi="Avenir Next" w:cs="Arial"/>
          <w:sz w:val="22"/>
          <w:szCs w:val="22"/>
          <w:lang w:val="en-GB"/>
        </w:rPr>
      </w:pPr>
    </w:p>
    <w:p w14:paraId="35218DDA" w14:textId="634BC5D3" w:rsidR="00EC46DE" w:rsidRDefault="00EC46DE" w:rsidP="00A458BE">
      <w:pPr>
        <w:ind w:left="720" w:hanging="720"/>
        <w:jc w:val="both"/>
        <w:rPr>
          <w:rFonts w:ascii="Avenir Next" w:hAnsi="Avenir Next" w:cs="Arial"/>
          <w:sz w:val="22"/>
          <w:szCs w:val="22"/>
          <w:lang w:val="en-GB"/>
        </w:rPr>
      </w:pPr>
    </w:p>
    <w:p w14:paraId="6CF1237D" w14:textId="79EB6B91" w:rsidR="00EC46DE" w:rsidRDefault="00EC46DE" w:rsidP="00A458BE">
      <w:pPr>
        <w:ind w:left="720" w:hanging="720"/>
        <w:jc w:val="both"/>
        <w:rPr>
          <w:rFonts w:ascii="Avenir Next" w:hAnsi="Avenir Next" w:cs="Arial"/>
          <w:sz w:val="22"/>
          <w:szCs w:val="22"/>
          <w:lang w:val="en-GB"/>
        </w:rPr>
      </w:pPr>
    </w:p>
    <w:p w14:paraId="578A8EF0" w14:textId="799A715D" w:rsidR="00EC46DE" w:rsidRDefault="00EC46DE" w:rsidP="00A458BE">
      <w:pPr>
        <w:ind w:left="720" w:hanging="720"/>
        <w:jc w:val="both"/>
        <w:rPr>
          <w:rFonts w:ascii="Avenir Next" w:hAnsi="Avenir Next" w:cs="Arial"/>
          <w:sz w:val="22"/>
          <w:szCs w:val="22"/>
          <w:lang w:val="en-GB"/>
        </w:rPr>
      </w:pPr>
    </w:p>
    <w:p w14:paraId="34FBF75E" w14:textId="414DB148" w:rsidR="00EC46DE" w:rsidRDefault="00EC46DE" w:rsidP="00A458BE">
      <w:pPr>
        <w:ind w:left="720" w:hanging="720"/>
        <w:jc w:val="both"/>
        <w:rPr>
          <w:rFonts w:ascii="Avenir Next" w:hAnsi="Avenir Next" w:cs="Arial"/>
          <w:sz w:val="22"/>
          <w:szCs w:val="22"/>
          <w:lang w:val="en-GB"/>
        </w:rPr>
      </w:pPr>
    </w:p>
    <w:p w14:paraId="5C96F2B8" w14:textId="25EA5556" w:rsidR="00EC46DE" w:rsidRDefault="00EC46DE" w:rsidP="00A458BE">
      <w:pPr>
        <w:ind w:left="720" w:hanging="720"/>
        <w:jc w:val="both"/>
        <w:rPr>
          <w:rFonts w:ascii="Avenir Next" w:hAnsi="Avenir Next" w:cs="Arial"/>
          <w:sz w:val="22"/>
          <w:szCs w:val="22"/>
          <w:lang w:val="en-GB"/>
        </w:rPr>
      </w:pPr>
    </w:p>
    <w:p w14:paraId="29D88B93" w14:textId="736F5D3E" w:rsidR="00EC46DE" w:rsidRDefault="00EC46DE" w:rsidP="00A458BE">
      <w:pPr>
        <w:ind w:left="720" w:hanging="720"/>
        <w:jc w:val="both"/>
        <w:rPr>
          <w:rFonts w:ascii="Avenir Next" w:hAnsi="Avenir Next" w:cs="Arial"/>
          <w:sz w:val="22"/>
          <w:szCs w:val="22"/>
          <w:lang w:val="en-GB"/>
        </w:rPr>
      </w:pPr>
    </w:p>
    <w:p w14:paraId="1259015F" w14:textId="7B965813" w:rsidR="00EC46DE" w:rsidRDefault="00EC46DE" w:rsidP="00A458BE">
      <w:pPr>
        <w:ind w:left="720" w:hanging="720"/>
        <w:jc w:val="both"/>
        <w:rPr>
          <w:rFonts w:ascii="Avenir Next" w:hAnsi="Avenir Next" w:cs="Arial"/>
          <w:sz w:val="22"/>
          <w:szCs w:val="22"/>
          <w:lang w:val="en-GB"/>
        </w:rPr>
      </w:pPr>
    </w:p>
    <w:p w14:paraId="51BDC471" w14:textId="7826007C" w:rsidR="00EC46DE" w:rsidRDefault="00EC46DE" w:rsidP="00A458BE">
      <w:pPr>
        <w:ind w:left="720" w:hanging="720"/>
        <w:jc w:val="both"/>
        <w:rPr>
          <w:rFonts w:ascii="Avenir Next" w:hAnsi="Avenir Next" w:cs="Arial"/>
          <w:sz w:val="22"/>
          <w:szCs w:val="22"/>
          <w:lang w:val="en-GB"/>
        </w:rPr>
      </w:pPr>
    </w:p>
    <w:p w14:paraId="64ED824A" w14:textId="06AC4ACC" w:rsidR="00EC46DE" w:rsidRDefault="00EC46DE" w:rsidP="00A458BE">
      <w:pPr>
        <w:ind w:left="720" w:hanging="720"/>
        <w:jc w:val="both"/>
        <w:rPr>
          <w:rFonts w:ascii="Avenir Next" w:hAnsi="Avenir Next" w:cs="Arial"/>
          <w:sz w:val="22"/>
          <w:szCs w:val="22"/>
          <w:lang w:val="en-GB"/>
        </w:rPr>
      </w:pPr>
    </w:p>
    <w:p w14:paraId="1ABE1588" w14:textId="094CB656" w:rsidR="00EC46DE" w:rsidRDefault="00EC46DE" w:rsidP="00A458BE">
      <w:pPr>
        <w:ind w:left="720" w:hanging="720"/>
        <w:jc w:val="both"/>
        <w:rPr>
          <w:rFonts w:ascii="Avenir Next" w:hAnsi="Avenir Next" w:cs="Arial"/>
          <w:sz w:val="22"/>
          <w:szCs w:val="22"/>
          <w:lang w:val="en-GB"/>
        </w:rPr>
      </w:pPr>
    </w:p>
    <w:p w14:paraId="5EFBAFFF" w14:textId="77777777" w:rsidR="00EC46DE" w:rsidRPr="000E329C" w:rsidRDefault="00EC46DE"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050B9">
        <w:rPr>
          <w:rFonts w:ascii="Avenir Next" w:hAnsi="Avenir Next" w:cs="Arial"/>
          <w:sz w:val="22"/>
          <w:szCs w:val="22"/>
          <w:lang w:val="en-GB"/>
        </w:rPr>
        <w:t>mark your selection on the answer sheet</w:t>
      </w:r>
      <w:r w:rsidR="00397D3A" w:rsidRPr="007050B9">
        <w:rPr>
          <w:rFonts w:ascii="Avenir Next" w:hAnsi="Avenir Next" w:cs="Arial"/>
          <w:sz w:val="22"/>
          <w:szCs w:val="22"/>
          <w:lang w:val="en-GB"/>
        </w:rPr>
        <w:t xml:space="preserve"> by highlighting the </w:t>
      </w:r>
      <w:r w:rsidR="0036565C" w:rsidRPr="007050B9">
        <w:rPr>
          <w:rFonts w:ascii="Avenir Next" w:hAnsi="Avenir Next" w:cs="Arial"/>
          <w:sz w:val="22"/>
          <w:szCs w:val="22"/>
          <w:lang w:val="en-GB"/>
        </w:rPr>
        <w:t xml:space="preserve">relevant paragraph </w:t>
      </w:r>
      <w:r w:rsidR="0036565C" w:rsidRPr="007050B9">
        <w:rPr>
          <w:rFonts w:ascii="Avenir Next Demi Bold" w:hAnsi="Avenir Next Demi Bold" w:cs="Arial"/>
          <w:b/>
          <w:bCs/>
          <w:sz w:val="22"/>
          <w:szCs w:val="22"/>
          <w:lang w:val="en-GB"/>
        </w:rPr>
        <w:t>in yellow</w:t>
      </w:r>
      <w:r w:rsidRPr="007050B9">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050B9" w:rsidRDefault="00B736DF" w:rsidP="009E1027">
      <w:pPr>
        <w:pStyle w:val="ListParagraph"/>
        <w:numPr>
          <w:ilvl w:val="0"/>
          <w:numId w:val="12"/>
        </w:numPr>
        <w:ind w:left="426"/>
        <w:jc w:val="both"/>
        <w:rPr>
          <w:rFonts w:ascii="Avenir Next" w:hAnsi="Avenir Next" w:cs="Arial"/>
          <w:sz w:val="22"/>
          <w:szCs w:val="22"/>
          <w:lang w:val="en-GB"/>
        </w:rPr>
      </w:pPr>
      <w:r w:rsidRPr="007050B9">
        <w:rPr>
          <w:rFonts w:ascii="Avenir Next" w:hAnsi="Avenir Next" w:cs="Arial"/>
          <w:sz w:val="22"/>
          <w:szCs w:val="22"/>
          <w:highlight w:val="yellow"/>
          <w:lang w:val="en-GB"/>
        </w:rPr>
        <w:t>This statement is untrue since there are huge differences in both the approach and insolvency</w:t>
      </w:r>
      <w:r w:rsidRPr="007050B9">
        <w:rPr>
          <w:rFonts w:ascii="Avenir Next" w:hAnsi="Avenir Next" w:cs="Arial"/>
          <w:sz w:val="22"/>
          <w:szCs w:val="22"/>
          <w:lang w:val="en-GB"/>
        </w:rPr>
        <w:t xml:space="preserve"> </w:t>
      </w:r>
      <w:r w:rsidRPr="007050B9">
        <w:rPr>
          <w:rFonts w:ascii="Avenir Next" w:hAnsi="Avenir Next" w:cs="Arial"/>
          <w:sz w:val="22"/>
          <w:szCs w:val="22"/>
          <w:highlight w:val="yellow"/>
          <w:lang w:val="en-GB"/>
        </w:rPr>
        <w:t>legislation of various jurisdictions</w:t>
      </w:r>
      <w:r w:rsidRPr="007050B9">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9F149F" w:rsidRDefault="00161F1B" w:rsidP="009E1027">
      <w:pPr>
        <w:pStyle w:val="ListParagraph"/>
        <w:numPr>
          <w:ilvl w:val="0"/>
          <w:numId w:val="13"/>
        </w:numPr>
        <w:ind w:left="426"/>
        <w:jc w:val="both"/>
        <w:rPr>
          <w:rFonts w:ascii="Avenir Next" w:hAnsi="Avenir Next" w:cs="Arial"/>
          <w:sz w:val="22"/>
          <w:szCs w:val="22"/>
          <w:highlight w:val="yellow"/>
          <w:lang w:val="en-GB"/>
        </w:rPr>
      </w:pPr>
      <w:r w:rsidRPr="009F149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F149F" w:rsidRDefault="009E2E27" w:rsidP="008031A7">
      <w:pPr>
        <w:pStyle w:val="ListParagraph"/>
        <w:numPr>
          <w:ilvl w:val="0"/>
          <w:numId w:val="14"/>
        </w:numPr>
        <w:ind w:left="426"/>
        <w:jc w:val="both"/>
        <w:rPr>
          <w:rFonts w:ascii="Avenir Next" w:hAnsi="Avenir Next" w:cs="Arial"/>
          <w:sz w:val="22"/>
          <w:szCs w:val="22"/>
          <w:highlight w:val="yellow"/>
          <w:lang w:val="en-GB"/>
        </w:rPr>
      </w:pPr>
      <w:r w:rsidRPr="009F149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A85887" w:rsidRDefault="009E2E27" w:rsidP="008031A7">
      <w:pPr>
        <w:pStyle w:val="ListParagraph"/>
        <w:numPr>
          <w:ilvl w:val="0"/>
          <w:numId w:val="15"/>
        </w:numPr>
        <w:ind w:left="426"/>
        <w:jc w:val="both"/>
        <w:rPr>
          <w:rFonts w:ascii="Avenir Next" w:hAnsi="Avenir Next" w:cs="Arial"/>
          <w:sz w:val="22"/>
          <w:szCs w:val="22"/>
          <w:highlight w:val="yellow"/>
          <w:lang w:val="en-GB"/>
        </w:rPr>
      </w:pPr>
      <w:r w:rsidRPr="00A85887">
        <w:rPr>
          <w:rFonts w:ascii="Avenir Next" w:hAnsi="Avenir Next" w:cs="Arial"/>
          <w:sz w:val="22"/>
          <w:szCs w:val="22"/>
          <w:highlight w:val="yellow"/>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A85887" w:rsidRDefault="009E2E27" w:rsidP="008031A7">
      <w:pPr>
        <w:pStyle w:val="ListParagraph"/>
        <w:numPr>
          <w:ilvl w:val="0"/>
          <w:numId w:val="15"/>
        </w:numPr>
        <w:ind w:left="426"/>
        <w:jc w:val="both"/>
        <w:rPr>
          <w:rFonts w:ascii="Avenir Next" w:hAnsi="Avenir Next" w:cs="Arial"/>
          <w:sz w:val="22"/>
          <w:szCs w:val="22"/>
          <w:lang w:val="en-GB"/>
        </w:rPr>
      </w:pPr>
      <w:r w:rsidRPr="00A85887">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94191F" w:rsidRDefault="00A235B7" w:rsidP="006D01C2">
      <w:pPr>
        <w:pStyle w:val="ListParagraph"/>
        <w:numPr>
          <w:ilvl w:val="0"/>
          <w:numId w:val="16"/>
        </w:numPr>
        <w:ind w:left="426"/>
        <w:jc w:val="both"/>
        <w:rPr>
          <w:rFonts w:ascii="Avenir Next" w:hAnsi="Avenir Next" w:cs="Arial"/>
          <w:sz w:val="22"/>
          <w:szCs w:val="22"/>
          <w:highlight w:val="yellow"/>
          <w:lang w:val="en-GB"/>
        </w:rPr>
      </w:pPr>
      <w:r w:rsidRPr="0094191F">
        <w:rPr>
          <w:rFonts w:ascii="Avenir Next" w:hAnsi="Avenir Next" w:cs="Arial"/>
          <w:sz w:val="22"/>
          <w:szCs w:val="22"/>
          <w:highlight w:val="yellow"/>
          <w:lang w:val="en-GB"/>
        </w:rPr>
        <w:t>The statement</w:t>
      </w:r>
      <w:r w:rsidR="0037465A" w:rsidRPr="0094191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A85887"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A85887">
        <w:rPr>
          <w:rFonts w:ascii="Avenir Next" w:eastAsiaTheme="minorHAnsi" w:hAnsi="Avenir Next" w:cs="Arial"/>
          <w:sz w:val="22"/>
          <w:szCs w:val="22"/>
          <w:lang w:val="en-GB"/>
        </w:rPr>
        <w:t>UNCITRAL Legislative Guide on Insolvency Law</w:t>
      </w:r>
      <w:r w:rsidR="00991428" w:rsidRPr="00A85887">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A85887"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A85887">
        <w:rPr>
          <w:rFonts w:ascii="Avenir Next" w:eastAsiaTheme="minorHAnsi" w:hAnsi="Avenir Next" w:cs="Arial"/>
          <w:sz w:val="22"/>
          <w:szCs w:val="22"/>
          <w:highlight w:val="yellow"/>
          <w:lang w:val="en-GB"/>
        </w:rPr>
        <w:t>Private International Law</w:t>
      </w:r>
      <w:r w:rsidR="00991428" w:rsidRPr="00A85887">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D119B1"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D119B1">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D119B1">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518C2"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518C2">
        <w:rPr>
          <w:rFonts w:ascii="Avenir Next" w:hAnsi="Avenir Next" w:cs="Arial"/>
          <w:sz w:val="22"/>
          <w:szCs w:val="22"/>
          <w:highlight w:val="yellow"/>
          <w:lang w:val="en-GB"/>
        </w:rPr>
        <w:t>Havana Convention on Private International Law (1928)</w:t>
      </w:r>
      <w:r w:rsidRPr="008518C2">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81BE2" w:rsidRDefault="0082483F" w:rsidP="006D01C2">
      <w:pPr>
        <w:pStyle w:val="ListParagraph"/>
        <w:numPr>
          <w:ilvl w:val="0"/>
          <w:numId w:val="20"/>
        </w:numPr>
        <w:ind w:left="426"/>
        <w:jc w:val="both"/>
        <w:rPr>
          <w:rFonts w:ascii="Avenir Next" w:hAnsi="Avenir Next" w:cs="Arial"/>
          <w:sz w:val="22"/>
          <w:szCs w:val="22"/>
          <w:highlight w:val="yellow"/>
          <w:lang w:val="en-GB"/>
        </w:rPr>
      </w:pPr>
      <w:r w:rsidRPr="00E81BE2">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94191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94191F">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bookmarkStart w:id="0" w:name="_Hlk148081342"/>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118894FA" w14:textId="54A6B998" w:rsidR="002A489D" w:rsidRPr="00C37476" w:rsidRDefault="001F11F1" w:rsidP="00B174C6">
      <w:pPr>
        <w:jc w:val="both"/>
        <w:rPr>
          <w:rFonts w:ascii="Arial" w:hAnsi="Arial" w:cs="Arial"/>
          <w:color w:val="767171" w:themeColor="background2" w:themeShade="80"/>
          <w:sz w:val="22"/>
          <w:szCs w:val="22"/>
        </w:rPr>
      </w:pPr>
      <w:r w:rsidRPr="00C37476">
        <w:rPr>
          <w:rFonts w:ascii="Arial" w:hAnsi="Arial" w:cs="Arial"/>
          <w:color w:val="767171" w:themeColor="background2" w:themeShade="80"/>
          <w:sz w:val="22"/>
          <w:szCs w:val="22"/>
        </w:rPr>
        <w:t xml:space="preserve">Insolvency law, often referred to as bankruptcy law, encompasses the body of rules and principles that regulate proceedings concerning individuals or entities </w:t>
      </w:r>
      <w:r w:rsidR="00611F99" w:rsidRPr="00C37476">
        <w:rPr>
          <w:rFonts w:ascii="Arial" w:hAnsi="Arial" w:cs="Arial"/>
          <w:color w:val="767171" w:themeColor="background2" w:themeShade="80"/>
          <w:sz w:val="22"/>
          <w:szCs w:val="22"/>
        </w:rPr>
        <w:t>in</w:t>
      </w:r>
      <w:r w:rsidRPr="00C37476">
        <w:rPr>
          <w:rFonts w:ascii="Arial" w:hAnsi="Arial" w:cs="Arial"/>
          <w:color w:val="767171" w:themeColor="background2" w:themeShade="80"/>
          <w:sz w:val="22"/>
          <w:szCs w:val="22"/>
        </w:rPr>
        <w:t xml:space="preserve"> a financial state </w:t>
      </w:r>
      <w:bookmarkStart w:id="1" w:name="_Hlk148256011"/>
      <w:r w:rsidR="002A489D" w:rsidRPr="00C37476">
        <w:rPr>
          <w:rFonts w:ascii="Arial" w:hAnsi="Arial" w:cs="Arial"/>
          <w:color w:val="767171" w:themeColor="background2" w:themeShade="80"/>
          <w:sz w:val="22"/>
          <w:szCs w:val="22"/>
        </w:rPr>
        <w:t>whe</w:t>
      </w:r>
      <w:r w:rsidR="00611F99" w:rsidRPr="00C37476">
        <w:rPr>
          <w:rFonts w:ascii="Arial" w:hAnsi="Arial" w:cs="Arial"/>
          <w:color w:val="767171" w:themeColor="background2" w:themeShade="80"/>
          <w:sz w:val="22"/>
          <w:szCs w:val="22"/>
        </w:rPr>
        <w:t>re</w:t>
      </w:r>
      <w:r w:rsidRPr="00C37476">
        <w:rPr>
          <w:rFonts w:ascii="Arial" w:hAnsi="Arial" w:cs="Arial"/>
          <w:color w:val="767171" w:themeColor="background2" w:themeShade="80"/>
          <w:sz w:val="22"/>
          <w:szCs w:val="22"/>
        </w:rPr>
        <w:t xml:space="preserve"> their assets are insufficient to cover their liabilities</w:t>
      </w:r>
      <w:r w:rsidR="002A489D" w:rsidRPr="00C37476">
        <w:rPr>
          <w:rFonts w:ascii="Arial" w:hAnsi="Arial" w:cs="Arial"/>
          <w:color w:val="767171" w:themeColor="background2" w:themeShade="80"/>
          <w:sz w:val="22"/>
          <w:szCs w:val="22"/>
        </w:rPr>
        <w:t xml:space="preserve"> or whe</w:t>
      </w:r>
      <w:r w:rsidR="00611F99" w:rsidRPr="00C37476">
        <w:rPr>
          <w:rFonts w:ascii="Arial" w:hAnsi="Arial" w:cs="Arial"/>
          <w:color w:val="767171" w:themeColor="background2" w:themeShade="80"/>
          <w:sz w:val="22"/>
          <w:szCs w:val="22"/>
        </w:rPr>
        <w:t>re</w:t>
      </w:r>
      <w:r w:rsidR="002A489D" w:rsidRPr="00C37476">
        <w:rPr>
          <w:rFonts w:ascii="Arial" w:hAnsi="Arial" w:cs="Arial"/>
          <w:color w:val="767171" w:themeColor="background2" w:themeShade="80"/>
          <w:sz w:val="22"/>
          <w:szCs w:val="22"/>
        </w:rPr>
        <w:t xml:space="preserve"> the debtor cannot repay his debts due to cash flow problems.</w:t>
      </w:r>
    </w:p>
    <w:p w14:paraId="5C239C24" w14:textId="3FC7F557" w:rsidR="001F11F1" w:rsidRPr="00C37476" w:rsidRDefault="001F11F1" w:rsidP="001F11F1">
      <w:pPr>
        <w:jc w:val="both"/>
        <w:rPr>
          <w:rFonts w:ascii="Arial" w:eastAsia="Microsoft Sans Serif" w:hAnsi="Arial" w:cs="Arial"/>
          <w:color w:val="767171" w:themeColor="background2" w:themeShade="80"/>
          <w:sz w:val="22"/>
          <w:szCs w:val="22"/>
        </w:rPr>
      </w:pPr>
    </w:p>
    <w:bookmarkEnd w:id="1"/>
    <w:p w14:paraId="59040043" w14:textId="04081846" w:rsidR="00891887" w:rsidRPr="00C37476" w:rsidRDefault="001F11F1" w:rsidP="001F11F1">
      <w:pPr>
        <w:jc w:val="both"/>
        <w:rPr>
          <w:rFonts w:ascii="Arial" w:hAnsi="Arial" w:cs="Arial"/>
          <w:color w:val="767171" w:themeColor="background2" w:themeShade="80"/>
          <w:sz w:val="22"/>
          <w:szCs w:val="22"/>
        </w:rPr>
      </w:pPr>
      <w:r w:rsidRPr="00C37476">
        <w:rPr>
          <w:rFonts w:ascii="Arial" w:hAnsi="Arial" w:cs="Arial"/>
          <w:color w:val="767171" w:themeColor="background2" w:themeShade="80"/>
          <w:sz w:val="22"/>
          <w:szCs w:val="22"/>
        </w:rPr>
        <w:lastRenderedPageBreak/>
        <w:t>When we consider the international dimension, reflecting the globalization process, where individuals</w:t>
      </w:r>
      <w:r w:rsidR="00611F99" w:rsidRPr="00C37476">
        <w:rPr>
          <w:rFonts w:ascii="Arial" w:hAnsi="Arial" w:cs="Arial"/>
          <w:color w:val="767171" w:themeColor="background2" w:themeShade="80"/>
          <w:sz w:val="22"/>
          <w:szCs w:val="22"/>
        </w:rPr>
        <w:t xml:space="preserve"> or entities</w:t>
      </w:r>
      <w:r w:rsidRPr="00C37476">
        <w:rPr>
          <w:rFonts w:ascii="Arial" w:hAnsi="Arial" w:cs="Arial"/>
          <w:color w:val="767171" w:themeColor="background2" w:themeShade="80"/>
          <w:sz w:val="22"/>
          <w:szCs w:val="22"/>
        </w:rPr>
        <w:t xml:space="preserve"> </w:t>
      </w:r>
      <w:r w:rsidR="00611F99" w:rsidRPr="00C37476">
        <w:rPr>
          <w:rFonts w:ascii="Arial" w:hAnsi="Arial" w:cs="Arial"/>
          <w:color w:val="767171" w:themeColor="background2" w:themeShade="80"/>
          <w:sz w:val="22"/>
          <w:szCs w:val="22"/>
        </w:rPr>
        <w:t>have</w:t>
      </w:r>
      <w:r w:rsidRPr="00C37476">
        <w:rPr>
          <w:rFonts w:ascii="Arial" w:hAnsi="Arial" w:cs="Arial"/>
          <w:color w:val="767171" w:themeColor="background2" w:themeShade="80"/>
          <w:sz w:val="22"/>
          <w:szCs w:val="22"/>
        </w:rPr>
        <w:t xml:space="preserve"> assets in various states or companies engage in cross-border activities, we encounter what is known as international insolvency law. </w:t>
      </w:r>
    </w:p>
    <w:p w14:paraId="5D29F747" w14:textId="21E508AF" w:rsidR="001F11F1" w:rsidRPr="00C37476" w:rsidRDefault="001F11F1" w:rsidP="001F11F1">
      <w:pPr>
        <w:jc w:val="both"/>
        <w:rPr>
          <w:rFonts w:ascii="Arial" w:hAnsi="Arial" w:cs="Arial"/>
          <w:color w:val="767171" w:themeColor="background2" w:themeShade="80"/>
          <w:sz w:val="22"/>
          <w:szCs w:val="22"/>
        </w:rPr>
      </w:pPr>
      <w:r w:rsidRPr="00C37476">
        <w:rPr>
          <w:rFonts w:ascii="Arial" w:hAnsi="Arial" w:cs="Arial"/>
          <w:color w:val="767171" w:themeColor="background2" w:themeShade="80"/>
          <w:sz w:val="22"/>
          <w:szCs w:val="22"/>
        </w:rPr>
        <w:t>This specialized legal framework governs the resolution of insolvency for individuals or entities (such as corporations or organizations) with operations or interests that span multiple jurisdictions. It establishes the rights and responsibilities of creditors, debtors, and other stakeholders involved in cases where an insolvent entity operates or holds assets and liabilities across different countries.</w:t>
      </w:r>
    </w:p>
    <w:p w14:paraId="22C610C9" w14:textId="6A3A0EE8" w:rsidR="00DE03AF" w:rsidRPr="00C37476" w:rsidRDefault="00DE03AF" w:rsidP="00C053F7">
      <w:pPr>
        <w:jc w:val="both"/>
        <w:rPr>
          <w:rFonts w:ascii="Avenir Next" w:hAnsi="Avenir Next" w:cs="Arial"/>
          <w:color w:val="767171" w:themeColor="background2" w:themeShade="80"/>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440AE9" w:rsidRDefault="009B07AD" w:rsidP="00C053F7">
      <w:pPr>
        <w:ind w:left="720" w:hanging="720"/>
        <w:jc w:val="both"/>
        <w:rPr>
          <w:rFonts w:ascii="Avenir Next" w:hAnsi="Avenir Next" w:cs="Arial"/>
          <w:color w:val="FF0000"/>
          <w:sz w:val="22"/>
          <w:szCs w:val="22"/>
          <w:lang w:val="en-GB"/>
        </w:rPr>
      </w:pPr>
    </w:p>
    <w:p w14:paraId="6554B6C1" w14:textId="45C66237" w:rsidR="00B174C6" w:rsidRPr="00C37476" w:rsidRDefault="00440AE9" w:rsidP="00B174C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In the </w:t>
      </w:r>
      <w:r w:rsidR="00B174C6" w:rsidRPr="00C37476">
        <w:rPr>
          <w:rFonts w:ascii="Arial" w:hAnsi="Arial" w:cs="Arial"/>
          <w:color w:val="767171" w:themeColor="background2" w:themeShade="80"/>
          <w:sz w:val="22"/>
          <w:szCs w:val="28"/>
        </w:rPr>
        <w:t>field of cross-border insolvency</w:t>
      </w:r>
      <w:r w:rsidRPr="00C37476">
        <w:rPr>
          <w:rFonts w:ascii="Arial" w:hAnsi="Arial" w:cs="Arial"/>
          <w:color w:val="767171" w:themeColor="background2" w:themeShade="80"/>
          <w:sz w:val="22"/>
          <w:szCs w:val="28"/>
        </w:rPr>
        <w:t>,</w:t>
      </w:r>
      <w:r w:rsidR="00B174C6" w:rsidRPr="00C37476">
        <w:rPr>
          <w:rFonts w:ascii="Arial" w:hAnsi="Arial" w:cs="Arial"/>
          <w:color w:val="767171" w:themeColor="background2" w:themeShade="80"/>
          <w:sz w:val="22"/>
          <w:szCs w:val="28"/>
        </w:rPr>
        <w:t xml:space="preserve"> there are two main theories: universalism and territorialism.</w:t>
      </w:r>
    </w:p>
    <w:p w14:paraId="6BECEB1D" w14:textId="77777777" w:rsidR="00440AE9" w:rsidRPr="00C37476" w:rsidRDefault="00440AE9" w:rsidP="00440AE9">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Universalism advocates for a single insolvency proceeding encompassing all of the debtor's global assets and debts. The chosen State typically aligns with the debtor's primary center. All creditors worldwide are included, and their claims are treated equally. This approach is cost-effective and better suited to the demands of globalization, especially for large multinational corporations operating in international markets. However, it necessitates a high level of trust in foreign legal systems and their insolvency proceedings due to the extraterritorial effects of decisions.</w:t>
      </w:r>
    </w:p>
    <w:p w14:paraId="350762AA" w14:textId="77777777" w:rsidR="00C37476" w:rsidRPr="00C37476" w:rsidRDefault="00440AE9" w:rsidP="00440AE9">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On the other hand, the territorial approach permits multiple concurrent insolvency proceedings in States where the debtor possesses assets. However, these proceedings are limited to the respective assets in each State. </w:t>
      </w:r>
    </w:p>
    <w:p w14:paraId="7B04B45D" w14:textId="2F28385F" w:rsidR="00440AE9" w:rsidRPr="00C37476" w:rsidRDefault="00440AE9" w:rsidP="00440AE9">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This system prioritizes safeguarding national interests and local creditors, focusing on the unique circumstances and concerns of each jurisdiction.</w:t>
      </w:r>
    </w:p>
    <w:p w14:paraId="2F57801B" w14:textId="3C65A426" w:rsidR="009B07AD" w:rsidRPr="00C37476" w:rsidRDefault="00440AE9" w:rsidP="00440AE9">
      <w:pPr>
        <w:jc w:val="both"/>
        <w:rPr>
          <w:rFonts w:ascii="Avenir Next" w:hAnsi="Avenir Next" w:cs="Arial"/>
          <w:color w:val="767171" w:themeColor="background2" w:themeShade="80"/>
          <w:sz w:val="24"/>
          <w:lang w:val="en-GB"/>
        </w:rPr>
      </w:pPr>
      <w:r w:rsidRPr="00C37476">
        <w:rPr>
          <w:rFonts w:ascii="Arial" w:hAnsi="Arial" w:cs="Arial"/>
          <w:color w:val="767171" w:themeColor="background2" w:themeShade="80"/>
          <w:sz w:val="22"/>
          <w:szCs w:val="28"/>
        </w:rPr>
        <w:t>In cross-border insolvency cases, both universal and territorial systems present challenges due to potential lack of cooperation and coordination among State authorities. Solutions seek to promote the coexistence of both systems, striving for enhanced cooperation and efficiency.</w:t>
      </w:r>
    </w:p>
    <w:p w14:paraId="039E27B5" w14:textId="43F06D19" w:rsidR="00C82D87" w:rsidRPr="007536E2" w:rsidRDefault="00C82D87" w:rsidP="00C053F7">
      <w:pPr>
        <w:ind w:left="720" w:hanging="720"/>
        <w:jc w:val="both"/>
        <w:rPr>
          <w:rFonts w:ascii="Avenir Next" w:hAnsi="Avenir Next" w:cs="Arial"/>
          <w:sz w:val="24"/>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2811D9C" w14:textId="424B51D1" w:rsidR="00A37AF5" w:rsidRPr="00C37476" w:rsidRDefault="00A37AF5" w:rsidP="00A37AF5">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In efforts to </w:t>
      </w:r>
      <w:r w:rsidR="00A66469" w:rsidRPr="00C37476">
        <w:rPr>
          <w:rFonts w:ascii="Arial" w:hAnsi="Arial" w:cs="Arial"/>
          <w:color w:val="767171" w:themeColor="background2" w:themeShade="80"/>
          <w:sz w:val="22"/>
          <w:szCs w:val="28"/>
        </w:rPr>
        <w:t>face</w:t>
      </w:r>
      <w:r w:rsidRPr="00C37476">
        <w:rPr>
          <w:rFonts w:ascii="Arial" w:hAnsi="Arial" w:cs="Arial"/>
          <w:color w:val="767171" w:themeColor="background2" w:themeShade="80"/>
          <w:sz w:val="22"/>
          <w:szCs w:val="28"/>
        </w:rPr>
        <w:t xml:space="preserve"> </w:t>
      </w:r>
      <w:r w:rsidRPr="00C37476">
        <w:rPr>
          <w:rFonts w:ascii="Arial" w:hAnsi="Arial" w:cs="Arial"/>
          <w:color w:val="767171" w:themeColor="background2" w:themeShade="80"/>
          <w:sz w:val="22"/>
          <w:szCs w:val="28"/>
          <w:u w:val="single"/>
        </w:rPr>
        <w:t>international insolvency challenges</w:t>
      </w:r>
      <w:r w:rsidRPr="00C37476">
        <w:rPr>
          <w:rFonts w:ascii="Arial" w:hAnsi="Arial" w:cs="Arial"/>
          <w:color w:val="767171" w:themeColor="background2" w:themeShade="80"/>
          <w:sz w:val="22"/>
          <w:szCs w:val="28"/>
        </w:rPr>
        <w:t xml:space="preserve">, the Gulf Cooperation Council nations comprising Bahrain, Kuwait, Oman, Qatar, Saudi Arabia, and the United Arab Emirates have maintained a close collaboration with the World Bank for around four decades. Notably, they facilitated the inception of the first regional and comparative examination of insolvency frameworks in the Middle East and North Africa (MENA) region in 2009. This significant endeavor was a collaborative initiative involving the </w:t>
      </w:r>
      <w:proofErr w:type="spellStart"/>
      <w:r w:rsidRPr="00C37476">
        <w:rPr>
          <w:rFonts w:ascii="Arial" w:hAnsi="Arial" w:cs="Arial"/>
          <w:color w:val="767171" w:themeColor="background2" w:themeShade="80"/>
          <w:sz w:val="22"/>
          <w:szCs w:val="28"/>
        </w:rPr>
        <w:t>Hawkamah</w:t>
      </w:r>
      <w:proofErr w:type="spellEnd"/>
      <w:r w:rsidRPr="00C37476">
        <w:rPr>
          <w:rFonts w:ascii="Arial" w:hAnsi="Arial" w:cs="Arial"/>
          <w:color w:val="767171" w:themeColor="background2" w:themeShade="80"/>
          <w:sz w:val="22"/>
          <w:szCs w:val="28"/>
        </w:rPr>
        <w:t xml:space="preserve"> Institute for Corporate Governance, the World Bank, the OECD, and INSOL International. The assessment was primarily guided by the World Bank's Principles for Effective Insolvency and Creditor Rights Systems (2005), serving as a benchmark for best practices.</w:t>
      </w:r>
    </w:p>
    <w:p w14:paraId="572227E7" w14:textId="48937CA0" w:rsidR="0045683E" w:rsidRPr="00C37476" w:rsidRDefault="00A37AF5" w:rsidP="00A37AF5">
      <w:pPr>
        <w:jc w:val="both"/>
        <w:rPr>
          <w:rFonts w:ascii="Avenir Next" w:hAnsi="Avenir Next" w:cs="Arial"/>
          <w:color w:val="767171" w:themeColor="background2" w:themeShade="80"/>
          <w:sz w:val="24"/>
          <w:lang w:val="en-GB"/>
        </w:rPr>
      </w:pPr>
      <w:r w:rsidRPr="00C37476">
        <w:rPr>
          <w:rFonts w:ascii="Arial" w:hAnsi="Arial" w:cs="Arial"/>
          <w:color w:val="767171" w:themeColor="background2" w:themeShade="80"/>
          <w:sz w:val="22"/>
          <w:szCs w:val="28"/>
        </w:rPr>
        <w:t xml:space="preserve">Several instances of enhanced </w:t>
      </w:r>
      <w:r w:rsidRPr="00C37476">
        <w:rPr>
          <w:rFonts w:ascii="Arial" w:hAnsi="Arial" w:cs="Arial"/>
          <w:color w:val="767171" w:themeColor="background2" w:themeShade="80"/>
          <w:sz w:val="22"/>
          <w:szCs w:val="28"/>
          <w:u w:val="single"/>
        </w:rPr>
        <w:t>national insolvency legislation</w:t>
      </w:r>
      <w:r w:rsidRPr="00C37476">
        <w:rPr>
          <w:rFonts w:ascii="Arial" w:hAnsi="Arial" w:cs="Arial"/>
          <w:color w:val="767171" w:themeColor="background2" w:themeShade="80"/>
          <w:sz w:val="22"/>
          <w:szCs w:val="28"/>
        </w:rPr>
        <w:t xml:space="preserve"> can be cited as follows: the UAE in 2016 and 2019, Saudi Arabia in 2018, and Dubai in 2019. Furthermore, it is worth noting that Bahrain adopted the Model Law on Cross-Border Insolvency in 2018, a stride mirrored by the Dubai International Financial Centre in 2019.</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4DEE154" w14:textId="5E8E9B89" w:rsidR="007536E2" w:rsidRPr="00C37476" w:rsidRDefault="007536E2" w:rsidP="007536E2">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Insolvency for individuals centers on securing debt relief and a fresh start to rebuild their financial lives. The primary objective is to reorganize finances, reduce the burden of debt, and create a sustainable budget to regain financial stability. Individuals strive to preserve essential personal assets like homes, cars, and necessary possessions to maintain a reasonable standard of living for themselves and their families during and after the insolvency process. They aim to propose a repayment plan to creditors or opt for debt discharge while minimizing the adverse impact on their credit scores to facilitate future financial transactions and opportunities, such as obtaining loans or mortgages. </w:t>
      </w:r>
    </w:p>
    <w:p w14:paraId="4BA024DD" w14:textId="18FC80B9" w:rsidR="007536E2" w:rsidRPr="00C37476" w:rsidRDefault="007536E2" w:rsidP="007536E2">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For corporations facing insolvency, the primary objective is to maximize the value of assets for distribution among creditors. This involves asset realization, and strategic decisions to ensure creditors receive the highest possible repayment. Additionally, corporations aim to continue operations and sustain business viability through restructuring or reorganization, negotiating debt terms, selling non-core assets, or altering business strategies to restore profitability. Avoiding liquidation is a key goal, as it helps preserve the business as an ongoing concern, sustaining jobs, client relationships, and contracts, thereby contributing to overall economic stability.</w:t>
      </w:r>
    </w:p>
    <w:p w14:paraId="4024A332" w14:textId="59B30DC5" w:rsidR="00544127" w:rsidRPr="00827D56" w:rsidRDefault="00544127" w:rsidP="00C053F7">
      <w:pPr>
        <w:jc w:val="both"/>
        <w:rPr>
          <w:rFonts w:ascii="Avenir Next" w:hAnsi="Avenir Next" w:cs="Arial"/>
          <w:sz w:val="22"/>
          <w:szCs w:val="22"/>
          <w:lang w:val="en-GB"/>
        </w:rPr>
      </w:pP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C362DB3" w14:textId="68B5F1E8"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Dealing with insolvency law in a cross-border context presents a complex landscape due to differences in legal systems. These disparities are mostly encompassed by the variations in </w:t>
      </w:r>
      <w:r w:rsidR="00A66469" w:rsidRPr="00C37476">
        <w:rPr>
          <w:rFonts w:ascii="Arial" w:hAnsi="Arial" w:cs="Arial"/>
          <w:color w:val="767171" w:themeColor="background2" w:themeShade="80"/>
          <w:sz w:val="22"/>
          <w:szCs w:val="28"/>
        </w:rPr>
        <w:t>the following aspects:</w:t>
      </w:r>
    </w:p>
    <w:p w14:paraId="6583E75E" w14:textId="270E39F5" w:rsidR="00E61C9F" w:rsidRPr="00C37476" w:rsidRDefault="00E61C9F" w:rsidP="00C37476">
      <w:pPr>
        <w:jc w:val="both"/>
        <w:rPr>
          <w:rFonts w:ascii="Arial" w:hAnsi="Arial" w:cs="Arial"/>
          <w:color w:val="767171" w:themeColor="background2" w:themeShade="80"/>
          <w:sz w:val="22"/>
          <w:szCs w:val="28"/>
          <w:u w:val="single"/>
        </w:rPr>
      </w:pPr>
      <w:r w:rsidRPr="00C37476">
        <w:rPr>
          <w:rFonts w:ascii="Arial" w:hAnsi="Arial" w:cs="Arial"/>
          <w:color w:val="767171" w:themeColor="background2" w:themeShade="80"/>
          <w:sz w:val="22"/>
          <w:szCs w:val="28"/>
          <w:u w:val="single"/>
        </w:rPr>
        <w:t>1. Pro-Debtor vs. Pro-Creditor Systems</w:t>
      </w:r>
    </w:p>
    <w:p w14:paraId="104FFBF6" w14:textId="67D23C53"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In a pro-debtor system, the legal framework is more lenient towards debtors, aiming to provide them with a chance for rehabilitation and a fresh start. This could mean offering debt restructuring options, prioritizing debt forgiveness, or implementing laws that protect essential assets of the debtor.</w:t>
      </w:r>
    </w:p>
    <w:p w14:paraId="6781B4AD"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On the other hand, pro-creditor systems prioritize the rights and interests of creditors. The legal mechanisms in these systems often emphasize debt recovery and repayment, potentially leading to a more aggressive approach towards liquidation of assets to satisfy creditors' claims.</w:t>
      </w:r>
    </w:p>
    <w:p w14:paraId="75FD4668"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The challenge arises in a cross-border scenario when an insolvent entity operates in multiple jurisdictions with varying legal orientations. Determining which legal approach takes precedence can be intricate, impacting the outcome of insolvency proceedings and the rights of both debtors and creditors involved.</w:t>
      </w:r>
    </w:p>
    <w:p w14:paraId="108303C3" w14:textId="77777777" w:rsidR="00E61C9F" w:rsidRPr="00C37476" w:rsidRDefault="00E61C9F" w:rsidP="00C37476">
      <w:pPr>
        <w:jc w:val="both"/>
        <w:rPr>
          <w:rFonts w:ascii="Arial" w:hAnsi="Arial" w:cs="Arial"/>
          <w:color w:val="767171" w:themeColor="background2" w:themeShade="80"/>
          <w:sz w:val="22"/>
          <w:szCs w:val="28"/>
          <w:u w:val="single"/>
        </w:rPr>
      </w:pPr>
      <w:r w:rsidRPr="00C37476">
        <w:rPr>
          <w:rFonts w:ascii="Arial" w:hAnsi="Arial" w:cs="Arial"/>
          <w:color w:val="767171" w:themeColor="background2" w:themeShade="80"/>
          <w:sz w:val="22"/>
          <w:szCs w:val="28"/>
          <w:u w:val="single"/>
        </w:rPr>
        <w:t>2. Handling Security Titles:</w:t>
      </w:r>
    </w:p>
    <w:p w14:paraId="0D340C9C"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Different legal systems have distinct approaches to handling security titles, such as mortgages, liens, or pledges, which secure loans or debts. The variation lies in the recognition, enforcement, and priority of these security interests in insolvency proceedings.</w:t>
      </w:r>
    </w:p>
    <w:p w14:paraId="20D47C10"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Some jurisdictions may have a centralized and standardized approach to registering security interests, providing clarity on the priority of claims. In contrast, others might follow a more decentralized or informal system, leading to potential conflicts when addressing cross-border insolvency cases.</w:t>
      </w:r>
    </w:p>
    <w:p w14:paraId="12A83EEB"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lastRenderedPageBreak/>
        <w:t>Harmonizing the treatment of security titles becomes vital when dealing with insolvency across borders. Conflicting rules regarding the priority and validity of these titles can result in disputes among creditors and complexities in asset distribution, potentially delaying the resolution process.</w:t>
      </w:r>
    </w:p>
    <w:p w14:paraId="5B826D53" w14:textId="77777777" w:rsidR="00E61C9F" w:rsidRPr="00C37476" w:rsidRDefault="00E61C9F" w:rsidP="00C37476">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Navigating these differences and ensuring a fair and efficient resolution in cross-border insolvency cases necessitates enhanced international cooperation, harmonization of laws, and mechanisms to address conflicts and inconsistencies. Initiatives and conventions, like the UNCITRAL Model Law on Cross-Border Insolvency, aim to provide a framework for handling such challenges and promoting a more consistent approach in cross-border insolvency matters.</w:t>
      </w:r>
    </w:p>
    <w:p w14:paraId="3DAA6780" w14:textId="657CEFE1" w:rsidR="00962045" w:rsidRPr="00E61C9F" w:rsidRDefault="00962045" w:rsidP="00C053F7">
      <w:pPr>
        <w:jc w:val="both"/>
        <w:rPr>
          <w:rFonts w:ascii="Avenir Next" w:hAnsi="Avenir Next" w:cs="Arial"/>
          <w:color w:val="FF0000"/>
          <w:sz w:val="24"/>
          <w:shd w:val="clear" w:color="auto" w:fill="FFFFFF"/>
        </w:rPr>
      </w:pPr>
    </w:p>
    <w:p w14:paraId="050B7D02" w14:textId="77777777" w:rsidR="00D17FDC" w:rsidRPr="00E61C9F" w:rsidRDefault="00D17FDC" w:rsidP="00C053F7">
      <w:pPr>
        <w:jc w:val="both"/>
        <w:rPr>
          <w:rFonts w:ascii="Avenir Next" w:hAnsi="Avenir Next" w:cs="Arial"/>
          <w:color w:val="FF0000"/>
          <w:sz w:val="24"/>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07DA424" w14:textId="7293FB15"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Listed below are some of the steps taken in the 21st Century to facilitate alignment of national insolvency regulations can be seen as measures aimed at standardizing domestic insolvency laws:</w:t>
      </w:r>
    </w:p>
    <w:p w14:paraId="4F0ED996" w14:textId="77777777" w:rsidR="005109FB" w:rsidRPr="00C37476" w:rsidRDefault="005109FB" w:rsidP="005109FB">
      <w:pPr>
        <w:pStyle w:val="ListParagraph"/>
        <w:widowControl w:val="0"/>
        <w:numPr>
          <w:ilvl w:val="0"/>
          <w:numId w:val="23"/>
        </w:numPr>
        <w:autoSpaceDE w:val="0"/>
        <w:autoSpaceDN w:val="0"/>
        <w:contextualSpacing w:val="0"/>
        <w:jc w:val="both"/>
        <w:rPr>
          <w:rFonts w:ascii="Arial" w:hAnsi="Arial" w:cs="Arial"/>
          <w:color w:val="767171" w:themeColor="background2" w:themeShade="80"/>
          <w:sz w:val="22"/>
          <w:szCs w:val="28"/>
        </w:rPr>
      </w:pPr>
      <w:r w:rsidRPr="00C37476">
        <w:rPr>
          <w:rFonts w:ascii="Arial" w:hAnsi="Arial" w:cs="Arial"/>
          <w:b/>
          <w:bCs/>
          <w:color w:val="767171" w:themeColor="background2" w:themeShade="80"/>
          <w:sz w:val="22"/>
          <w:szCs w:val="28"/>
        </w:rPr>
        <w:t>Legislative Guide on Insolvency Law</w:t>
      </w:r>
      <w:r w:rsidRPr="00C37476">
        <w:rPr>
          <w:rFonts w:ascii="Arial" w:hAnsi="Arial" w:cs="Arial"/>
          <w:color w:val="767171" w:themeColor="background2" w:themeShade="80"/>
          <w:sz w:val="22"/>
          <w:szCs w:val="28"/>
        </w:rPr>
        <w:t>, 2004, the United Nations Commission on International Trade Law (UNCITRAL): intended for use as a reference by national authorities and legislative bodies when formulating new laws or reviewing existing ones. It covers various aspects of insolvency law and has been expanded over subsequent years. Notably, it addresses cross-border insolvency, emphasizing the need for a modern, harmonized, and equitable framework to effectively manage cross-border insolvency cases, recommending the enactment of the UNCITRAL Model Law on Cross-Border Insolvency.</w:t>
      </w:r>
    </w:p>
    <w:p w14:paraId="07BE2789" w14:textId="77777777" w:rsidR="005109FB" w:rsidRPr="00C37476" w:rsidRDefault="005109FB" w:rsidP="005109FB">
      <w:pPr>
        <w:pStyle w:val="ListParagraph"/>
        <w:widowControl w:val="0"/>
        <w:numPr>
          <w:ilvl w:val="0"/>
          <w:numId w:val="23"/>
        </w:numPr>
        <w:autoSpaceDE w:val="0"/>
        <w:autoSpaceDN w:val="0"/>
        <w:contextualSpacing w:val="0"/>
        <w:jc w:val="both"/>
        <w:rPr>
          <w:rFonts w:ascii="Arial" w:hAnsi="Arial" w:cs="Arial"/>
          <w:color w:val="767171" w:themeColor="background2" w:themeShade="80"/>
          <w:sz w:val="22"/>
          <w:szCs w:val="28"/>
        </w:rPr>
      </w:pPr>
      <w:r w:rsidRPr="00C37476">
        <w:rPr>
          <w:rFonts w:ascii="Arial" w:hAnsi="Arial" w:cs="Arial"/>
          <w:b/>
          <w:bCs/>
          <w:color w:val="767171" w:themeColor="background2" w:themeShade="80"/>
          <w:sz w:val="22"/>
          <w:szCs w:val="28"/>
        </w:rPr>
        <w:t xml:space="preserve">Principles for Effective Insolvency and Creditor/Debtor Regimes, </w:t>
      </w:r>
      <w:r w:rsidRPr="00C37476">
        <w:rPr>
          <w:rFonts w:ascii="Arial" w:hAnsi="Arial" w:cs="Arial"/>
          <w:color w:val="767171" w:themeColor="background2" w:themeShade="80"/>
          <w:sz w:val="22"/>
          <w:szCs w:val="28"/>
        </w:rPr>
        <w:t>2005,</w:t>
      </w:r>
      <w:r w:rsidRPr="00C37476">
        <w:rPr>
          <w:rFonts w:ascii="Arial" w:hAnsi="Arial" w:cs="Arial"/>
          <w:b/>
          <w:bCs/>
          <w:color w:val="767171" w:themeColor="background2" w:themeShade="80"/>
          <w:sz w:val="22"/>
          <w:szCs w:val="28"/>
        </w:rPr>
        <w:t xml:space="preserve"> </w:t>
      </w:r>
      <w:r w:rsidRPr="00C37476">
        <w:rPr>
          <w:rFonts w:ascii="Arial" w:hAnsi="Arial" w:cs="Arial"/>
          <w:color w:val="767171" w:themeColor="background2" w:themeShade="80"/>
          <w:sz w:val="22"/>
          <w:szCs w:val="28"/>
        </w:rPr>
        <w:t xml:space="preserve">The World Bank: guidelines provided on insolvency regulation. Undergone revisions in 2011, 2015, and in April 2021. Hold importance as the International Monetary Fund (IMF) and the World Bank at times stipulate bankruptcy reform as a prerequisite for loan support to developing countries. These organizations may refer to the Legislative Guide and Principles, promoting the convergence of insolvency laws. </w:t>
      </w:r>
    </w:p>
    <w:p w14:paraId="24FF76A8" w14:textId="77777777" w:rsidR="005109FB" w:rsidRPr="00C37476" w:rsidRDefault="005109FB" w:rsidP="005109FB">
      <w:pPr>
        <w:jc w:val="both"/>
        <w:rPr>
          <w:rFonts w:ascii="Arial" w:hAnsi="Arial" w:cs="Arial"/>
          <w:color w:val="767171" w:themeColor="background2" w:themeShade="80"/>
          <w:sz w:val="22"/>
          <w:szCs w:val="28"/>
        </w:rPr>
      </w:pPr>
    </w:p>
    <w:p w14:paraId="7777D43C" w14:textId="77777777"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 xml:space="preserve">The UNCITRAL Legislative Guide and the World Bank Principles jointly constitute the international best practice standard for insolvency regimes, known as the </w:t>
      </w:r>
      <w:r w:rsidRPr="00C37476">
        <w:rPr>
          <w:rFonts w:ascii="Arial" w:hAnsi="Arial" w:cs="Arial"/>
          <w:b/>
          <w:bCs/>
          <w:color w:val="767171" w:themeColor="background2" w:themeShade="80"/>
          <w:sz w:val="22"/>
          <w:szCs w:val="28"/>
        </w:rPr>
        <w:t>Insolvency Standard</w:t>
      </w:r>
      <w:r w:rsidRPr="00C37476">
        <w:rPr>
          <w:rFonts w:ascii="Arial" w:hAnsi="Arial" w:cs="Arial"/>
          <w:color w:val="767171" w:themeColor="background2" w:themeShade="80"/>
          <w:sz w:val="22"/>
          <w:szCs w:val="28"/>
        </w:rPr>
        <w:t>.</w:t>
      </w:r>
    </w:p>
    <w:p w14:paraId="4B15ED65" w14:textId="77777777" w:rsidR="005109FB" w:rsidRPr="00C37476" w:rsidRDefault="005109FB" w:rsidP="005109FB">
      <w:pPr>
        <w:pStyle w:val="ListParagraph"/>
        <w:widowControl w:val="0"/>
        <w:numPr>
          <w:ilvl w:val="0"/>
          <w:numId w:val="24"/>
        </w:numPr>
        <w:autoSpaceDE w:val="0"/>
        <w:autoSpaceDN w:val="0"/>
        <w:contextualSpacing w:val="0"/>
        <w:jc w:val="both"/>
        <w:rPr>
          <w:rFonts w:ascii="Arial" w:hAnsi="Arial" w:cs="Arial"/>
          <w:color w:val="767171" w:themeColor="background2" w:themeShade="80"/>
          <w:sz w:val="22"/>
          <w:szCs w:val="28"/>
        </w:rPr>
      </w:pPr>
      <w:r w:rsidRPr="00C37476">
        <w:rPr>
          <w:rFonts w:ascii="Arial" w:hAnsi="Arial" w:cs="Arial"/>
          <w:b/>
          <w:bCs/>
          <w:color w:val="767171" w:themeColor="background2" w:themeShade="80"/>
          <w:sz w:val="22"/>
          <w:szCs w:val="28"/>
        </w:rPr>
        <w:t>Report on Harmonization of Insolvency Law</w:t>
      </w:r>
      <w:r w:rsidRPr="00C37476">
        <w:rPr>
          <w:rFonts w:ascii="Arial" w:hAnsi="Arial" w:cs="Arial"/>
          <w:color w:val="767171" w:themeColor="background2" w:themeShade="80"/>
          <w:sz w:val="22"/>
          <w:szCs w:val="28"/>
        </w:rPr>
        <w:t xml:space="preserve">, 2010, the European Parliament: highlighting disparities in domestic insolvency laws within the EU and </w:t>
      </w:r>
      <w:proofErr w:type="spellStart"/>
      <w:r w:rsidRPr="00C37476">
        <w:rPr>
          <w:rFonts w:ascii="Arial" w:hAnsi="Arial" w:cs="Arial"/>
          <w:color w:val="767171" w:themeColor="background2" w:themeShade="80"/>
          <w:sz w:val="22"/>
          <w:szCs w:val="28"/>
        </w:rPr>
        <w:t>identifing</w:t>
      </w:r>
      <w:proofErr w:type="spellEnd"/>
      <w:r w:rsidRPr="00C37476">
        <w:rPr>
          <w:rFonts w:ascii="Arial" w:hAnsi="Arial" w:cs="Arial"/>
          <w:color w:val="767171" w:themeColor="background2" w:themeShade="80"/>
          <w:sz w:val="22"/>
          <w:szCs w:val="28"/>
        </w:rPr>
        <w:t xml:space="preserve"> several areas of insolvency law where harmonization at the EU level would be beneficial and feasible.</w:t>
      </w:r>
    </w:p>
    <w:p w14:paraId="23410F3D" w14:textId="77777777" w:rsidR="005109FB" w:rsidRPr="00C37476" w:rsidRDefault="005109FB" w:rsidP="005109FB">
      <w:pPr>
        <w:pStyle w:val="ListParagraph"/>
        <w:widowControl w:val="0"/>
        <w:numPr>
          <w:ilvl w:val="0"/>
          <w:numId w:val="24"/>
        </w:numPr>
        <w:autoSpaceDE w:val="0"/>
        <w:autoSpaceDN w:val="0"/>
        <w:contextualSpacing w:val="0"/>
        <w:jc w:val="both"/>
        <w:rPr>
          <w:rFonts w:ascii="Arial" w:hAnsi="Arial" w:cs="Arial"/>
          <w:color w:val="767171" w:themeColor="background2" w:themeShade="80"/>
          <w:sz w:val="22"/>
          <w:szCs w:val="28"/>
        </w:rPr>
      </w:pPr>
      <w:r w:rsidRPr="00C37476">
        <w:rPr>
          <w:rFonts w:ascii="Arial" w:hAnsi="Arial" w:cs="Arial"/>
          <w:b/>
          <w:bCs/>
          <w:color w:val="767171" w:themeColor="background2" w:themeShade="80"/>
          <w:sz w:val="22"/>
          <w:szCs w:val="28"/>
        </w:rPr>
        <w:t>Action Plan on Building a Capital Markets Union (CMU)</w:t>
      </w:r>
      <w:r w:rsidRPr="00C37476">
        <w:rPr>
          <w:rFonts w:ascii="Arial" w:hAnsi="Arial" w:cs="Arial"/>
          <w:color w:val="767171" w:themeColor="background2" w:themeShade="80"/>
          <w:sz w:val="22"/>
          <w:szCs w:val="28"/>
        </w:rPr>
        <w:t>, 2015, the European Commission: emphasized the importance of converging insolvency and restructuring procedures, enhancing legal certainty for cross-border investors and promoting timely restructuring of financially viable companies in distress. It has since been reviewed, and the High-Level Forum (HLF) released its Final Report on the CMU.</w:t>
      </w:r>
    </w:p>
    <w:p w14:paraId="11F25EF2" w14:textId="77777777" w:rsidR="005109FB" w:rsidRPr="00C37476" w:rsidRDefault="005109FB" w:rsidP="005109FB">
      <w:pPr>
        <w:pStyle w:val="ListParagraph"/>
        <w:jc w:val="both"/>
        <w:rPr>
          <w:rFonts w:ascii="Arial" w:hAnsi="Arial" w:cs="Arial"/>
          <w:color w:val="767171" w:themeColor="background2" w:themeShade="80"/>
          <w:sz w:val="22"/>
          <w:szCs w:val="28"/>
        </w:rPr>
      </w:pPr>
    </w:p>
    <w:p w14:paraId="1A311DD8" w14:textId="3895B113"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The steps taken in the 21st century to promote the harmonization of domestic insolvency laws are likely to have a significant impact in addressing international insolvency issues</w:t>
      </w:r>
      <w:r w:rsidR="00BB224C" w:rsidRPr="00C37476">
        <w:rPr>
          <w:rFonts w:ascii="Arial" w:hAnsi="Arial" w:cs="Arial"/>
          <w:color w:val="767171" w:themeColor="background2" w:themeShade="80"/>
          <w:sz w:val="22"/>
          <w:szCs w:val="28"/>
        </w:rPr>
        <w:t>, by the following reasons:</w:t>
      </w:r>
    </w:p>
    <w:p w14:paraId="69529639" w14:textId="3DD5339C"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u w:val="single"/>
        </w:rPr>
        <w:t xml:space="preserve">Reducing the </w:t>
      </w:r>
      <w:r w:rsidR="00DF5FC3" w:rsidRPr="00C37476">
        <w:rPr>
          <w:rFonts w:ascii="Arial" w:hAnsi="Arial" w:cs="Arial"/>
          <w:color w:val="767171" w:themeColor="background2" w:themeShade="80"/>
          <w:sz w:val="22"/>
          <w:szCs w:val="28"/>
          <w:u w:val="single"/>
        </w:rPr>
        <w:t>s</w:t>
      </w:r>
      <w:r w:rsidRPr="00C37476">
        <w:rPr>
          <w:rFonts w:ascii="Arial" w:hAnsi="Arial" w:cs="Arial"/>
          <w:color w:val="767171" w:themeColor="background2" w:themeShade="80"/>
          <w:sz w:val="22"/>
          <w:szCs w:val="28"/>
          <w:u w:val="single"/>
        </w:rPr>
        <w:t>ignificance of Cross-Border Insolvency</w:t>
      </w:r>
      <w:r w:rsidRPr="00C37476">
        <w:rPr>
          <w:rFonts w:ascii="Arial" w:hAnsi="Arial" w:cs="Arial"/>
          <w:color w:val="767171" w:themeColor="background2" w:themeShade="80"/>
          <w:sz w:val="22"/>
          <w:szCs w:val="28"/>
        </w:rPr>
        <w:t xml:space="preserve">: </w:t>
      </w:r>
      <w:r w:rsidR="00DF5FC3" w:rsidRPr="00C37476">
        <w:rPr>
          <w:rFonts w:ascii="Arial" w:hAnsi="Arial" w:cs="Arial"/>
          <w:color w:val="767171" w:themeColor="background2" w:themeShade="80"/>
          <w:sz w:val="22"/>
          <w:szCs w:val="28"/>
        </w:rPr>
        <w:t xml:space="preserve">Alignment of </w:t>
      </w:r>
      <w:r w:rsidRPr="00C37476">
        <w:rPr>
          <w:rFonts w:ascii="Arial" w:hAnsi="Arial" w:cs="Arial"/>
          <w:color w:val="767171" w:themeColor="background2" w:themeShade="80"/>
          <w:sz w:val="22"/>
          <w:szCs w:val="28"/>
        </w:rPr>
        <w:t xml:space="preserve">domestic insolvency laws, helps in streamlining the resolution process, making it more efficient and predictable across </w:t>
      </w:r>
      <w:r w:rsidRPr="00C37476">
        <w:rPr>
          <w:rFonts w:ascii="Arial" w:hAnsi="Arial" w:cs="Arial"/>
          <w:color w:val="767171" w:themeColor="background2" w:themeShade="80"/>
          <w:sz w:val="22"/>
          <w:szCs w:val="28"/>
        </w:rPr>
        <w:lastRenderedPageBreak/>
        <w:t>jurisdictions. This reduces the complexity and challenges associated with international insolvency cases.</w:t>
      </w:r>
    </w:p>
    <w:p w14:paraId="2059EFBC" w14:textId="77777777"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u w:val="single"/>
        </w:rPr>
        <w:t>Effective Cross-Border Insolvency Frameworks</w:t>
      </w:r>
      <w:r w:rsidRPr="00C37476">
        <w:rPr>
          <w:rFonts w:ascii="Arial" w:hAnsi="Arial" w:cs="Arial"/>
          <w:color w:val="767171" w:themeColor="background2" w:themeShade="80"/>
          <w:sz w:val="22"/>
          <w:szCs w:val="28"/>
        </w:rPr>
        <w:t xml:space="preserve">: Recommendations such as known as </w:t>
      </w:r>
      <w:r w:rsidRPr="00C37476">
        <w:rPr>
          <w:rFonts w:ascii="Arial" w:hAnsi="Arial" w:cs="Arial"/>
          <w:b/>
          <w:bCs/>
          <w:color w:val="767171" w:themeColor="background2" w:themeShade="80"/>
          <w:sz w:val="22"/>
          <w:szCs w:val="28"/>
        </w:rPr>
        <w:t>Insolvency Standards</w:t>
      </w:r>
      <w:r w:rsidRPr="00C37476">
        <w:rPr>
          <w:rFonts w:ascii="Arial" w:hAnsi="Arial" w:cs="Arial"/>
          <w:color w:val="767171" w:themeColor="background2" w:themeShade="80"/>
          <w:sz w:val="22"/>
          <w:szCs w:val="28"/>
        </w:rPr>
        <w:t xml:space="preserve"> encourage countries to adopt modern and harmonized frameworks for dealing with cross-border insolvency. This ensures that insolvency cases involving multiple jurisdictions can be handled more effectively and fairly, providing a structured approach to address the complexities of international insolvency.</w:t>
      </w:r>
    </w:p>
    <w:p w14:paraId="354ECFC5" w14:textId="77777777"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u w:val="single"/>
        </w:rPr>
        <w:t>International Best Practices and Standards</w:t>
      </w:r>
      <w:r w:rsidRPr="00C37476">
        <w:rPr>
          <w:rFonts w:ascii="Arial" w:hAnsi="Arial" w:cs="Arial"/>
          <w:color w:val="767171" w:themeColor="background2" w:themeShade="80"/>
          <w:sz w:val="22"/>
          <w:szCs w:val="28"/>
        </w:rPr>
        <w:t xml:space="preserve">: The </w:t>
      </w:r>
      <w:r w:rsidRPr="00C37476">
        <w:rPr>
          <w:rFonts w:ascii="Arial" w:hAnsi="Arial" w:cs="Arial"/>
          <w:b/>
          <w:bCs/>
          <w:color w:val="767171" w:themeColor="background2" w:themeShade="80"/>
          <w:sz w:val="22"/>
          <w:szCs w:val="28"/>
        </w:rPr>
        <w:t>Insolvency Standards</w:t>
      </w:r>
      <w:r w:rsidRPr="00C37476">
        <w:rPr>
          <w:rFonts w:ascii="Arial" w:hAnsi="Arial" w:cs="Arial"/>
          <w:color w:val="767171" w:themeColor="background2" w:themeShade="80"/>
          <w:sz w:val="22"/>
          <w:szCs w:val="28"/>
        </w:rPr>
        <w:t xml:space="preserve"> serve as international best practice standards for insolvency regimes. When countries adopt these guidelines, they are likely to have more effective insolvency frameworks in place. These standards provide a benchmark for nations, promoting consistency and raising the bar for insolvency practices globally.</w:t>
      </w:r>
    </w:p>
    <w:p w14:paraId="2B85958E" w14:textId="77777777"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u w:val="single"/>
        </w:rPr>
        <w:t>Influence on Developing Countries</w:t>
      </w:r>
      <w:r w:rsidRPr="00C37476">
        <w:rPr>
          <w:rFonts w:ascii="Arial" w:hAnsi="Arial" w:cs="Arial"/>
          <w:color w:val="767171" w:themeColor="background2" w:themeShade="80"/>
          <w:sz w:val="22"/>
          <w:szCs w:val="28"/>
        </w:rPr>
        <w:t xml:space="preserve">: The </w:t>
      </w:r>
      <w:r w:rsidRPr="00C37476">
        <w:rPr>
          <w:rFonts w:ascii="Arial" w:hAnsi="Arial" w:cs="Arial"/>
          <w:b/>
          <w:bCs/>
          <w:color w:val="767171" w:themeColor="background2" w:themeShade="80"/>
          <w:sz w:val="22"/>
          <w:szCs w:val="28"/>
        </w:rPr>
        <w:t>Insolvency Standards</w:t>
      </w:r>
      <w:r w:rsidRPr="00C37476">
        <w:rPr>
          <w:rFonts w:ascii="Arial" w:hAnsi="Arial" w:cs="Arial"/>
          <w:color w:val="767171" w:themeColor="background2" w:themeShade="80"/>
          <w:sz w:val="22"/>
          <w:szCs w:val="28"/>
        </w:rPr>
        <w:t xml:space="preserve"> are often referenced by international financial institutions like the IMF and the World Bank. They may use these standards as a condition for providing financial support to developing countries. This influence encourages countries to adopt reforms that align with these standards, promoting a convergence of insolvency laws at an international level.</w:t>
      </w:r>
    </w:p>
    <w:p w14:paraId="3EC72C06" w14:textId="77777777"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u w:val="single"/>
        </w:rPr>
        <w:t>EU Harmonization Efforts</w:t>
      </w:r>
      <w:r w:rsidRPr="00C37476">
        <w:rPr>
          <w:rFonts w:ascii="Arial" w:hAnsi="Arial" w:cs="Arial"/>
          <w:color w:val="767171" w:themeColor="background2" w:themeShade="80"/>
          <w:sz w:val="22"/>
          <w:szCs w:val="28"/>
        </w:rPr>
        <w:t>: The European Parliament's initiative to harmonize insolvency laws at the EU level indicates a regional commitment to standardize insolvency practices. This endeavor can serve as a model for other regions or groups of countries looking to harmonize their insolvency laws, enhancing cooperation and reducing cross-border insolvency complexities within those regions.</w:t>
      </w:r>
    </w:p>
    <w:p w14:paraId="79F0A7EF" w14:textId="5353264F" w:rsidR="005109FB" w:rsidRPr="00C37476" w:rsidRDefault="005109FB" w:rsidP="005109FB">
      <w:pPr>
        <w:jc w:val="both"/>
        <w:rPr>
          <w:rFonts w:ascii="Arial" w:hAnsi="Arial" w:cs="Arial"/>
          <w:color w:val="767171" w:themeColor="background2" w:themeShade="80"/>
          <w:sz w:val="22"/>
          <w:szCs w:val="28"/>
        </w:rPr>
      </w:pPr>
      <w:r w:rsidRPr="00C37476">
        <w:rPr>
          <w:rFonts w:ascii="Arial" w:hAnsi="Arial" w:cs="Arial"/>
          <w:color w:val="767171" w:themeColor="background2" w:themeShade="80"/>
          <w:sz w:val="22"/>
          <w:szCs w:val="28"/>
        </w:rPr>
        <w:t>In summary, these efforts to harmonize and standardize domestic insolvency laws are likely to significantly impact the resolution of international insolvency issues by creating a more predictable, efficient, and equitable framework for cross-border insolvency cases. The adoption of international best practices and collaboration at regional and global levels contribute to a more cohesive approach</w:t>
      </w:r>
      <w:r w:rsidR="00DF5FC3" w:rsidRPr="00C37476">
        <w:rPr>
          <w:rFonts w:ascii="Arial" w:hAnsi="Arial" w:cs="Arial"/>
          <w:color w:val="767171" w:themeColor="background2" w:themeShade="80"/>
          <w:sz w:val="22"/>
          <w:szCs w:val="28"/>
        </w:rPr>
        <w:t xml:space="preserve"> related to</w:t>
      </w:r>
      <w:r w:rsidRPr="00C37476">
        <w:rPr>
          <w:rFonts w:ascii="Arial" w:hAnsi="Arial" w:cs="Arial"/>
          <w:color w:val="767171" w:themeColor="background2" w:themeShade="80"/>
          <w:sz w:val="22"/>
          <w:szCs w:val="28"/>
        </w:rPr>
        <w:t xml:space="preserve"> challenges that transcend national boundaries.</w:t>
      </w:r>
    </w:p>
    <w:p w14:paraId="4AE7EA78" w14:textId="20678026" w:rsidR="007D7C92" w:rsidRPr="00C37476" w:rsidRDefault="007D7C92" w:rsidP="005109FB">
      <w:pPr>
        <w:jc w:val="both"/>
        <w:rPr>
          <w:rFonts w:ascii="Avenir Next" w:hAnsi="Avenir Next" w:cs="Arial"/>
          <w:color w:val="767171" w:themeColor="background2" w:themeShade="80"/>
          <w:sz w:val="22"/>
          <w:szCs w:val="22"/>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bookmarkStart w:id="2" w:name="_Hlk148262303"/>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3"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w:t>
      </w:r>
      <w:r w:rsidRPr="00827D56">
        <w:rPr>
          <w:rFonts w:ascii="Avenir Next" w:hAnsi="Avenir Next" w:cs="Arial"/>
          <w:sz w:val="22"/>
          <w:szCs w:val="22"/>
          <w:lang w:val="en-GB"/>
        </w:rPr>
        <w:lastRenderedPageBreak/>
        <w:t>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7D8E349" w14:textId="1344F231" w:rsidR="004974DC" w:rsidRPr="00513D22" w:rsidRDefault="004974DC" w:rsidP="004974DC">
      <w:pPr>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In this described scenario, Nadir Pty Ltd (Nadir) is registered in Utopia after initially being incorporated in Erewhon. Apex Pty Ltd (Apex), on the other hand, is based in Erewhon.</w:t>
      </w:r>
      <w:r w:rsidR="00AD6481" w:rsidRPr="00513D22">
        <w:rPr>
          <w:rFonts w:ascii="Avenir Next" w:hAnsi="Avenir Next" w:cs="Arial"/>
          <w:color w:val="767171" w:themeColor="background2" w:themeShade="80"/>
          <w:sz w:val="22"/>
          <w:szCs w:val="22"/>
          <w:lang w:val="en-GB"/>
        </w:rPr>
        <w:t xml:space="preserve"> </w:t>
      </w:r>
      <w:r w:rsidR="00AD6481" w:rsidRPr="00513D22">
        <w:rPr>
          <w:rFonts w:ascii="Arial" w:hAnsi="Arial" w:cs="Arial"/>
          <w:color w:val="767171" w:themeColor="background2" w:themeShade="80"/>
          <w:sz w:val="22"/>
          <w:szCs w:val="28"/>
        </w:rPr>
        <w:t>One creditor obtain</w:t>
      </w:r>
      <w:r w:rsidR="00513D22" w:rsidRPr="00513D22">
        <w:rPr>
          <w:rFonts w:ascii="Arial" w:hAnsi="Arial" w:cs="Arial"/>
          <w:color w:val="767171" w:themeColor="background2" w:themeShade="80"/>
          <w:sz w:val="22"/>
          <w:szCs w:val="28"/>
        </w:rPr>
        <w:t>s</w:t>
      </w:r>
      <w:r w:rsidR="00AD6481" w:rsidRPr="00513D22">
        <w:rPr>
          <w:rFonts w:ascii="Arial" w:hAnsi="Arial" w:cs="Arial"/>
          <w:color w:val="767171" w:themeColor="background2" w:themeShade="80"/>
          <w:sz w:val="22"/>
          <w:szCs w:val="28"/>
        </w:rPr>
        <w:t xml:space="preserve"> a court winding-up order</w:t>
      </w:r>
      <w:r w:rsidR="00E5215F" w:rsidRPr="00513D22">
        <w:rPr>
          <w:rFonts w:ascii="Arial" w:hAnsi="Arial" w:cs="Arial"/>
          <w:color w:val="767171" w:themeColor="background2" w:themeShade="80"/>
          <w:sz w:val="22"/>
          <w:szCs w:val="28"/>
        </w:rPr>
        <w:t xml:space="preserve"> in</w:t>
      </w:r>
      <w:r w:rsidR="00AD6481" w:rsidRPr="00513D22">
        <w:rPr>
          <w:rFonts w:ascii="Arial" w:hAnsi="Arial" w:cs="Arial"/>
          <w:color w:val="767171" w:themeColor="background2" w:themeShade="80"/>
          <w:sz w:val="22"/>
          <w:szCs w:val="28"/>
        </w:rPr>
        <w:t xml:space="preserve"> </w:t>
      </w:r>
      <w:r w:rsidR="00E5215F" w:rsidRPr="00513D22">
        <w:rPr>
          <w:rFonts w:ascii="Arial" w:hAnsi="Arial" w:cs="Arial"/>
          <w:color w:val="767171" w:themeColor="background2" w:themeShade="80"/>
          <w:sz w:val="22"/>
          <w:szCs w:val="28"/>
        </w:rPr>
        <w:t xml:space="preserve">Erewhon </w:t>
      </w:r>
      <w:r w:rsidR="00AD6481" w:rsidRPr="00513D22">
        <w:rPr>
          <w:rFonts w:ascii="Arial" w:hAnsi="Arial" w:cs="Arial"/>
          <w:color w:val="767171" w:themeColor="background2" w:themeShade="80"/>
          <w:sz w:val="22"/>
          <w:szCs w:val="28"/>
        </w:rPr>
        <w:t xml:space="preserve">against Nadir </w:t>
      </w:r>
      <w:r w:rsidR="00513D22" w:rsidRPr="00513D22">
        <w:rPr>
          <w:rFonts w:ascii="Arial" w:hAnsi="Arial" w:cs="Arial"/>
          <w:color w:val="767171" w:themeColor="background2" w:themeShade="80"/>
          <w:sz w:val="22"/>
          <w:szCs w:val="28"/>
        </w:rPr>
        <w:t>and</w:t>
      </w:r>
      <w:r w:rsidR="00E5215F" w:rsidRPr="00513D22">
        <w:rPr>
          <w:rFonts w:ascii="Arial" w:hAnsi="Arial" w:cs="Arial"/>
          <w:color w:val="767171" w:themeColor="background2" w:themeShade="80"/>
          <w:sz w:val="22"/>
          <w:szCs w:val="28"/>
        </w:rPr>
        <w:t xml:space="preserve"> an appointment of a </w:t>
      </w:r>
      <w:r w:rsidR="00AD6481" w:rsidRPr="00513D22">
        <w:rPr>
          <w:rFonts w:ascii="Arial" w:hAnsi="Arial" w:cs="Arial"/>
          <w:color w:val="767171" w:themeColor="background2" w:themeShade="80"/>
          <w:sz w:val="22"/>
          <w:szCs w:val="28"/>
        </w:rPr>
        <w:t>liquidator</w:t>
      </w:r>
      <w:r w:rsidR="00513D22" w:rsidRPr="00513D22">
        <w:rPr>
          <w:rFonts w:ascii="Arial" w:hAnsi="Arial" w:cs="Arial"/>
          <w:color w:val="767171" w:themeColor="background2" w:themeShade="80"/>
          <w:sz w:val="22"/>
          <w:szCs w:val="28"/>
        </w:rPr>
        <w:t xml:space="preserve"> is appointed by the court</w:t>
      </w:r>
      <w:r w:rsidR="00AD6481" w:rsidRPr="00513D22">
        <w:rPr>
          <w:rFonts w:ascii="Arial" w:hAnsi="Arial" w:cs="Arial"/>
          <w:color w:val="767171" w:themeColor="background2" w:themeShade="80"/>
          <w:sz w:val="22"/>
          <w:szCs w:val="28"/>
        </w:rPr>
        <w:t>.</w:t>
      </w:r>
      <w:r w:rsidRPr="00513D22">
        <w:rPr>
          <w:rFonts w:ascii="Arial" w:hAnsi="Arial" w:cs="Arial"/>
          <w:color w:val="767171" w:themeColor="background2" w:themeShade="80"/>
          <w:sz w:val="22"/>
          <w:szCs w:val="28"/>
        </w:rPr>
        <w:t xml:space="preserve"> The potential implications of the UNCITRAL Model Law on Cross-border Insolvency, as adopted by Utopia, can be assessed concerning the Erewhon liquidator's attempt to halt Apex's legal action against Nadir in Utopia.</w:t>
      </w:r>
    </w:p>
    <w:p w14:paraId="7B09E7BE" w14:textId="77777777" w:rsidR="00413342" w:rsidRPr="00513D22" w:rsidRDefault="004974DC" w:rsidP="004974DC">
      <w:pPr>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 xml:space="preserve">Given that Utopia has </w:t>
      </w:r>
      <w:r w:rsidR="00DF5FC3" w:rsidRPr="00513D22">
        <w:rPr>
          <w:rFonts w:ascii="Arial" w:hAnsi="Arial" w:cs="Arial"/>
          <w:color w:val="767171" w:themeColor="background2" w:themeShade="80"/>
          <w:sz w:val="22"/>
          <w:szCs w:val="28"/>
        </w:rPr>
        <w:t>adopted</w:t>
      </w:r>
      <w:r w:rsidRPr="00513D22">
        <w:rPr>
          <w:rFonts w:ascii="Arial" w:hAnsi="Arial" w:cs="Arial"/>
          <w:color w:val="767171" w:themeColor="background2" w:themeShade="80"/>
          <w:sz w:val="22"/>
          <w:szCs w:val="28"/>
        </w:rPr>
        <w:t xml:space="preserve"> the UNCITRAL Model Law on Cross-border Insolvency, the Erewhon liquidator could po</w:t>
      </w:r>
      <w:r w:rsidR="00ED5099" w:rsidRPr="00513D22">
        <w:rPr>
          <w:rFonts w:ascii="Arial" w:hAnsi="Arial" w:cs="Arial"/>
          <w:color w:val="767171" w:themeColor="background2" w:themeShade="80"/>
          <w:sz w:val="22"/>
          <w:szCs w:val="28"/>
        </w:rPr>
        <w:t>ssibly</w:t>
      </w:r>
      <w:r w:rsidRPr="00513D22">
        <w:rPr>
          <w:rFonts w:ascii="Arial" w:hAnsi="Arial" w:cs="Arial"/>
          <w:color w:val="767171" w:themeColor="background2" w:themeShade="80"/>
          <w:sz w:val="22"/>
          <w:szCs w:val="28"/>
        </w:rPr>
        <w:t xml:space="preserve"> utilize the provisions of this law to seek recognition and support from the Utopian court. </w:t>
      </w:r>
    </w:p>
    <w:p w14:paraId="569464A6" w14:textId="36872E59" w:rsidR="004974DC" w:rsidRPr="00513D22" w:rsidRDefault="004974DC" w:rsidP="004974DC">
      <w:pPr>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Below are key aspects to take into account:</w:t>
      </w:r>
    </w:p>
    <w:p w14:paraId="15E61B55" w14:textId="21B2B515" w:rsidR="004974DC" w:rsidRPr="00513D22" w:rsidRDefault="004974DC" w:rsidP="004974DC">
      <w:pPr>
        <w:pStyle w:val="ListParagraph"/>
        <w:widowControl w:val="0"/>
        <w:numPr>
          <w:ilvl w:val="0"/>
          <w:numId w:val="25"/>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Recognition of Foreign Insolvency Proceedings</w:t>
      </w:r>
      <w:r w:rsidRPr="00513D22">
        <w:rPr>
          <w:rFonts w:ascii="Arial" w:hAnsi="Arial" w:cs="Arial"/>
          <w:color w:val="767171" w:themeColor="background2" w:themeShade="80"/>
          <w:sz w:val="22"/>
          <w:szCs w:val="28"/>
        </w:rPr>
        <w:t>: The Erewhon liquidator, designated through a court-issued order, may pursue recognition of their appointment and the ongoing insolvency proceedings in Erewhon by the Utopian court. Such acknowledgment would affirm the Erewhon liquidator's legitimacy and standing in Utopia.</w:t>
      </w:r>
    </w:p>
    <w:p w14:paraId="37B35C5A" w14:textId="507F383A" w:rsidR="004974DC" w:rsidRPr="00513D22" w:rsidRDefault="004974DC" w:rsidP="004974DC">
      <w:pPr>
        <w:pStyle w:val="ListParagraph"/>
        <w:widowControl w:val="0"/>
        <w:numPr>
          <w:ilvl w:val="0"/>
          <w:numId w:val="25"/>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Suspension of Apex's Court Action</w:t>
      </w:r>
      <w:r w:rsidRPr="00513D22">
        <w:rPr>
          <w:rFonts w:ascii="Arial" w:hAnsi="Arial" w:cs="Arial"/>
          <w:color w:val="767171" w:themeColor="background2" w:themeShade="80"/>
          <w:sz w:val="22"/>
          <w:szCs w:val="28"/>
        </w:rPr>
        <w:t xml:space="preserve">: Once the foreign insolvency proceedings are acknowledged, the Utopian court might grant </w:t>
      </w:r>
      <w:r w:rsidR="00E767DD" w:rsidRPr="00513D22">
        <w:rPr>
          <w:rFonts w:ascii="Arial" w:hAnsi="Arial" w:cs="Arial"/>
          <w:color w:val="767171" w:themeColor="background2" w:themeShade="80"/>
          <w:sz w:val="22"/>
          <w:szCs w:val="28"/>
        </w:rPr>
        <w:t>a</w:t>
      </w:r>
      <w:r w:rsidRPr="00513D22">
        <w:rPr>
          <w:rFonts w:ascii="Arial" w:hAnsi="Arial" w:cs="Arial"/>
          <w:color w:val="767171" w:themeColor="background2" w:themeShade="80"/>
          <w:sz w:val="22"/>
          <w:szCs w:val="28"/>
        </w:rPr>
        <w:t xml:space="preserve"> suspension of Apex's legal action against Nadir in Utopia. This is essential for ensuring a synchronized and just resolution of Nadir's insolvency across different jurisdictions. </w:t>
      </w:r>
    </w:p>
    <w:p w14:paraId="76EAC5AE" w14:textId="56C08F79" w:rsidR="004974DC" w:rsidRPr="00513D22" w:rsidRDefault="004974DC" w:rsidP="004974DC">
      <w:pPr>
        <w:pStyle w:val="ListParagraph"/>
        <w:widowControl w:val="0"/>
        <w:numPr>
          <w:ilvl w:val="0"/>
          <w:numId w:val="25"/>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Cooperation and Communication</w:t>
      </w:r>
      <w:r w:rsidRPr="00513D22">
        <w:rPr>
          <w:rFonts w:ascii="Arial" w:hAnsi="Arial" w:cs="Arial"/>
          <w:color w:val="767171" w:themeColor="background2" w:themeShade="80"/>
          <w:sz w:val="22"/>
          <w:szCs w:val="28"/>
        </w:rPr>
        <w:t xml:space="preserve">: The Utopian court could facilitate communication and collaboration between the Erewhon </w:t>
      </w:r>
      <w:r w:rsidR="00413342" w:rsidRPr="00513D22">
        <w:rPr>
          <w:rFonts w:ascii="Arial" w:hAnsi="Arial" w:cs="Arial"/>
          <w:color w:val="767171" w:themeColor="background2" w:themeShade="80"/>
          <w:sz w:val="22"/>
          <w:szCs w:val="28"/>
        </w:rPr>
        <w:t>liquidator,</w:t>
      </w:r>
      <w:r w:rsidRPr="00513D22">
        <w:rPr>
          <w:rFonts w:ascii="Arial" w:hAnsi="Arial" w:cs="Arial"/>
          <w:color w:val="767171" w:themeColor="background2" w:themeShade="80"/>
          <w:sz w:val="22"/>
          <w:szCs w:val="28"/>
        </w:rPr>
        <w:t xml:space="preserve"> and any insolvency expert involved in Nadir's proceedings </w:t>
      </w:r>
      <w:r w:rsidR="00E767DD" w:rsidRPr="00513D22">
        <w:rPr>
          <w:rFonts w:ascii="Arial" w:hAnsi="Arial" w:cs="Arial"/>
          <w:color w:val="767171" w:themeColor="background2" w:themeShade="80"/>
          <w:sz w:val="22"/>
          <w:szCs w:val="28"/>
        </w:rPr>
        <w:t>in</w:t>
      </w:r>
      <w:r w:rsidRPr="00513D22">
        <w:rPr>
          <w:rFonts w:ascii="Arial" w:hAnsi="Arial" w:cs="Arial"/>
          <w:color w:val="767171" w:themeColor="background2" w:themeShade="80"/>
          <w:sz w:val="22"/>
          <w:szCs w:val="28"/>
        </w:rPr>
        <w:t xml:space="preserve"> Utopia. This collaboration aims to streamline the insolvency process and safeguard the interests of all relevant stakeholders.</w:t>
      </w:r>
    </w:p>
    <w:p w14:paraId="6E8ACED8" w14:textId="03F6FA28" w:rsidR="004974DC" w:rsidRPr="00513D22" w:rsidRDefault="004974DC" w:rsidP="00E5215F">
      <w:pPr>
        <w:pStyle w:val="ListParagraph"/>
        <w:widowControl w:val="0"/>
        <w:numPr>
          <w:ilvl w:val="0"/>
          <w:numId w:val="25"/>
        </w:numPr>
        <w:autoSpaceDE w:val="0"/>
        <w:autoSpaceDN w:val="0"/>
        <w:contextualSpacing w:val="0"/>
        <w:jc w:val="both"/>
        <w:rPr>
          <w:rFonts w:ascii="Arial" w:hAnsi="Arial" w:cs="Arial"/>
          <w:color w:val="767171" w:themeColor="background2" w:themeShade="80"/>
          <w:sz w:val="22"/>
          <w:szCs w:val="28"/>
          <w:u w:val="single"/>
        </w:rPr>
      </w:pPr>
      <w:r w:rsidRPr="00513D22">
        <w:rPr>
          <w:rFonts w:ascii="Arial" w:hAnsi="Arial" w:cs="Arial"/>
          <w:color w:val="767171" w:themeColor="background2" w:themeShade="80"/>
          <w:sz w:val="22"/>
          <w:szCs w:val="28"/>
          <w:u w:val="single"/>
        </w:rPr>
        <w:t>Protection of Nadir's Assets and Interests</w:t>
      </w:r>
      <w:r w:rsidRPr="00513D22">
        <w:rPr>
          <w:rFonts w:ascii="Arial" w:hAnsi="Arial" w:cs="Arial"/>
          <w:color w:val="767171" w:themeColor="background2" w:themeShade="80"/>
          <w:sz w:val="22"/>
          <w:szCs w:val="28"/>
        </w:rPr>
        <w:t>: Recognizing the foreign insolvency proceedings and subsequently halting the legal action can aid in safeguarding Nadir's assets and interests. The ultimate objective is to coordinate and facilitate a just and effective resolution of Nadir's insolvency, taking into consideration the concerns of creditors and stakeholders in both Erewhon and Utopia.</w:t>
      </w:r>
    </w:p>
    <w:p w14:paraId="3BD501D0" w14:textId="77777777" w:rsidR="00827D56" w:rsidRPr="00513D22" w:rsidRDefault="00827D56" w:rsidP="00C053F7">
      <w:pPr>
        <w:jc w:val="both"/>
        <w:rPr>
          <w:rFonts w:ascii="Avenir Next" w:hAnsi="Avenir Next" w:cs="Arial"/>
          <w:color w:val="767171" w:themeColor="background2" w:themeShade="80"/>
          <w:sz w:val="22"/>
          <w:szCs w:val="22"/>
        </w:rPr>
      </w:pPr>
    </w:p>
    <w:p w14:paraId="7DC19BDD" w14:textId="77777777" w:rsidR="00827D56" w:rsidRPr="00513D22" w:rsidRDefault="00827D56" w:rsidP="00C053F7">
      <w:pPr>
        <w:jc w:val="both"/>
        <w:rPr>
          <w:rFonts w:ascii="Avenir Next" w:hAnsi="Avenir Next" w:cs="Arial"/>
          <w:color w:val="767171" w:themeColor="background2" w:themeShade="80"/>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04E7BA09" w14:textId="5068872C" w:rsidR="003463E8" w:rsidRPr="00513D22" w:rsidRDefault="003463E8" w:rsidP="003463E8">
      <w:pPr>
        <w:pStyle w:val="ListParagraph"/>
        <w:widowControl w:val="0"/>
        <w:numPr>
          <w:ilvl w:val="0"/>
          <w:numId w:val="26"/>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The scenario described in letter A is already taken under consideration in the context of answer 4.1. The objective is to obtain recognition of the Erewhon insolvency proceedings, leading to a stay of the court action initiated by Apex in Utopia. This approach helps in fostering cooperation and coordination between the two jurisdictions to achieve a fair and efficient resolution of Nadir's insolvency, considering the interests of all parties involved.</w:t>
      </w:r>
    </w:p>
    <w:p w14:paraId="55167674" w14:textId="77777777" w:rsidR="00F11B34" w:rsidRPr="00513D22" w:rsidRDefault="00F11B34" w:rsidP="00F11B34">
      <w:pPr>
        <w:pStyle w:val="ListParagraph"/>
        <w:widowControl w:val="0"/>
        <w:autoSpaceDE w:val="0"/>
        <w:autoSpaceDN w:val="0"/>
        <w:contextualSpacing w:val="0"/>
        <w:jc w:val="both"/>
        <w:rPr>
          <w:rFonts w:ascii="Arial" w:hAnsi="Arial" w:cs="Arial"/>
          <w:color w:val="767171" w:themeColor="background2" w:themeShade="80"/>
          <w:sz w:val="22"/>
          <w:szCs w:val="28"/>
        </w:rPr>
      </w:pPr>
    </w:p>
    <w:p w14:paraId="48D8B141" w14:textId="36396F2E" w:rsidR="003463E8" w:rsidRPr="00513D22" w:rsidRDefault="003463E8" w:rsidP="00B4373D">
      <w:pPr>
        <w:pStyle w:val="ListParagraph"/>
        <w:widowControl w:val="0"/>
        <w:numPr>
          <w:ilvl w:val="0"/>
          <w:numId w:val="26"/>
        </w:numPr>
        <w:autoSpaceDE w:val="0"/>
        <w:autoSpaceDN w:val="0"/>
        <w:ind w:left="36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Scenario B presents us with a wind-up order</w:t>
      </w:r>
      <w:r w:rsidR="009424F6" w:rsidRPr="00513D22">
        <w:rPr>
          <w:rFonts w:ascii="Arial" w:hAnsi="Arial" w:cs="Arial"/>
          <w:color w:val="767171" w:themeColor="background2" w:themeShade="80"/>
          <w:sz w:val="22"/>
          <w:szCs w:val="28"/>
        </w:rPr>
        <w:t xml:space="preserve"> of Nadir in Utopia</w:t>
      </w:r>
      <w:r w:rsidRPr="00513D22">
        <w:rPr>
          <w:rFonts w:ascii="Arial" w:hAnsi="Arial" w:cs="Arial"/>
          <w:color w:val="767171" w:themeColor="background2" w:themeShade="80"/>
          <w:sz w:val="22"/>
          <w:szCs w:val="28"/>
        </w:rPr>
        <w:t xml:space="preserve"> </w:t>
      </w:r>
      <w:r w:rsidR="00F11B34" w:rsidRPr="00513D22">
        <w:rPr>
          <w:rFonts w:ascii="Arial" w:hAnsi="Arial" w:cs="Arial"/>
          <w:color w:val="767171" w:themeColor="background2" w:themeShade="80"/>
          <w:sz w:val="22"/>
          <w:szCs w:val="28"/>
        </w:rPr>
        <w:t xml:space="preserve">prior to the one granted </w:t>
      </w:r>
      <w:r w:rsidR="009424F6" w:rsidRPr="00513D22">
        <w:rPr>
          <w:rFonts w:ascii="Arial" w:hAnsi="Arial" w:cs="Arial"/>
          <w:color w:val="767171" w:themeColor="background2" w:themeShade="80"/>
          <w:sz w:val="22"/>
          <w:szCs w:val="28"/>
        </w:rPr>
        <w:t>by Erewhon. T</w:t>
      </w:r>
      <w:r w:rsidRPr="00513D22">
        <w:rPr>
          <w:rFonts w:ascii="Arial" w:hAnsi="Arial" w:cs="Arial"/>
          <w:color w:val="767171" w:themeColor="background2" w:themeShade="80"/>
          <w:sz w:val="22"/>
          <w:szCs w:val="28"/>
        </w:rPr>
        <w:t xml:space="preserve">aking this information into consideration, the Erewhon liquidator </w:t>
      </w:r>
      <w:r w:rsidR="00ED5099" w:rsidRPr="00513D22">
        <w:rPr>
          <w:rFonts w:ascii="Arial" w:hAnsi="Arial" w:cs="Arial"/>
          <w:color w:val="767171" w:themeColor="background2" w:themeShade="80"/>
          <w:sz w:val="22"/>
          <w:szCs w:val="28"/>
        </w:rPr>
        <w:t xml:space="preserve">and the Utopia liquidator </w:t>
      </w:r>
      <w:r w:rsidRPr="00513D22">
        <w:rPr>
          <w:rFonts w:ascii="Arial" w:hAnsi="Arial" w:cs="Arial"/>
          <w:color w:val="767171" w:themeColor="background2" w:themeShade="80"/>
          <w:sz w:val="22"/>
          <w:szCs w:val="28"/>
        </w:rPr>
        <w:t>should</w:t>
      </w:r>
      <w:r w:rsidR="00ED5099" w:rsidRPr="00513D22">
        <w:rPr>
          <w:rFonts w:ascii="Arial" w:hAnsi="Arial" w:cs="Arial"/>
          <w:color w:val="767171" w:themeColor="background2" w:themeShade="80"/>
          <w:sz w:val="22"/>
          <w:szCs w:val="28"/>
        </w:rPr>
        <w:t xml:space="preserve"> both</w:t>
      </w:r>
      <w:r w:rsidRPr="00513D22">
        <w:rPr>
          <w:rFonts w:ascii="Arial" w:hAnsi="Arial" w:cs="Arial"/>
          <w:color w:val="767171" w:themeColor="background2" w:themeShade="80"/>
          <w:sz w:val="22"/>
          <w:szCs w:val="28"/>
        </w:rPr>
        <w:t xml:space="preserve"> engage legal </w:t>
      </w:r>
      <w:r w:rsidR="00ED5099" w:rsidRPr="00513D22">
        <w:rPr>
          <w:rFonts w:ascii="Arial" w:hAnsi="Arial" w:cs="Arial"/>
          <w:color w:val="767171" w:themeColor="background2" w:themeShade="80"/>
          <w:sz w:val="22"/>
          <w:szCs w:val="28"/>
        </w:rPr>
        <w:t>protocols</w:t>
      </w:r>
      <w:r w:rsidRPr="00513D22">
        <w:rPr>
          <w:rFonts w:ascii="Arial" w:hAnsi="Arial" w:cs="Arial"/>
          <w:color w:val="767171" w:themeColor="background2" w:themeShade="80"/>
          <w:sz w:val="22"/>
          <w:szCs w:val="28"/>
        </w:rPr>
        <w:t xml:space="preserve"> to formally </w:t>
      </w:r>
      <w:r w:rsidR="00ED5099" w:rsidRPr="00513D22">
        <w:rPr>
          <w:rFonts w:ascii="Arial" w:hAnsi="Arial" w:cs="Arial"/>
          <w:color w:val="767171" w:themeColor="background2" w:themeShade="80"/>
          <w:sz w:val="22"/>
          <w:szCs w:val="28"/>
        </w:rPr>
        <w:t>adequate</w:t>
      </w:r>
      <w:r w:rsidRPr="00513D22">
        <w:rPr>
          <w:rFonts w:ascii="Arial" w:hAnsi="Arial" w:cs="Arial"/>
          <w:color w:val="767171" w:themeColor="background2" w:themeShade="80"/>
          <w:sz w:val="22"/>
          <w:szCs w:val="28"/>
        </w:rPr>
        <w:t xml:space="preserve"> the UNCITRAL Model Law on Cross-border Insolvency, based on the recognition of the Erewhon winding-up </w:t>
      </w:r>
      <w:r w:rsidRPr="00513D22">
        <w:rPr>
          <w:rFonts w:ascii="Arial" w:hAnsi="Arial" w:cs="Arial"/>
          <w:color w:val="767171" w:themeColor="background2" w:themeShade="80"/>
          <w:sz w:val="22"/>
          <w:szCs w:val="28"/>
        </w:rPr>
        <w:lastRenderedPageBreak/>
        <w:t>order in Utopia</w:t>
      </w:r>
      <w:r w:rsidR="00ED5099" w:rsidRPr="00513D22">
        <w:rPr>
          <w:rFonts w:ascii="Arial" w:hAnsi="Arial" w:cs="Arial"/>
          <w:color w:val="767171" w:themeColor="background2" w:themeShade="80"/>
          <w:sz w:val="22"/>
          <w:szCs w:val="28"/>
        </w:rPr>
        <w:t xml:space="preserve"> or vice-versa</w:t>
      </w:r>
      <w:r w:rsidRPr="00513D22">
        <w:rPr>
          <w:rFonts w:ascii="Arial" w:hAnsi="Arial" w:cs="Arial"/>
          <w:color w:val="767171" w:themeColor="background2" w:themeShade="80"/>
          <w:sz w:val="22"/>
          <w:szCs w:val="28"/>
        </w:rPr>
        <w:t xml:space="preserve">. This would lead to the imposition of a stay on </w:t>
      </w:r>
      <w:r w:rsidR="00ED5099" w:rsidRPr="00513D22">
        <w:rPr>
          <w:rFonts w:ascii="Arial" w:hAnsi="Arial" w:cs="Arial"/>
          <w:color w:val="767171" w:themeColor="background2" w:themeShade="80"/>
          <w:sz w:val="22"/>
          <w:szCs w:val="28"/>
        </w:rPr>
        <w:t xml:space="preserve">the other order in an attempt to avoid conflicting decisions. </w:t>
      </w:r>
      <w:r w:rsidRPr="00513D22">
        <w:rPr>
          <w:rFonts w:ascii="Arial" w:hAnsi="Arial" w:cs="Arial"/>
          <w:color w:val="767171" w:themeColor="background2" w:themeShade="80"/>
          <w:sz w:val="22"/>
          <w:szCs w:val="28"/>
        </w:rPr>
        <w:t xml:space="preserve">The Erewhon liquidator can petition the Utopian court for recognition of the winding-up order obtained in Erewhon against Nadir, even though it had been posterior. Under the UNCITRAL Model Law, this recognition would acknowledge the Erewhon winding-up order and the appointment of a liquidator in Utopia. These two measures would ensure that there is no parallel legal action proceeding against Nadir in Utopia. </w:t>
      </w:r>
    </w:p>
    <w:p w14:paraId="1B5E2F08" w14:textId="43AA2127" w:rsidR="002D3473" w:rsidRPr="003463E8" w:rsidRDefault="002D3473" w:rsidP="00C053F7">
      <w:pPr>
        <w:autoSpaceDE w:val="0"/>
        <w:autoSpaceDN w:val="0"/>
        <w:adjustRightInd w:val="0"/>
        <w:spacing w:line="276" w:lineRule="auto"/>
        <w:jc w:val="both"/>
        <w:rPr>
          <w:rFonts w:ascii="Avenir Next" w:hAnsi="Avenir Next" w:cs="Arial"/>
          <w:color w:val="FF0000"/>
          <w:sz w:val="24"/>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3"/>
      <w:r w:rsidR="00610388" w:rsidRPr="00827D56">
        <w:rPr>
          <w:rFonts w:ascii="Avenir Next" w:hAnsi="Avenir Next" w:cs="Arial"/>
          <w:sz w:val="22"/>
          <w:szCs w:val="22"/>
          <w:lang w:val="en-GB"/>
        </w:rPr>
        <w:t>?</w:t>
      </w:r>
    </w:p>
    <w:bookmarkEnd w:id="0"/>
    <w:p w14:paraId="44D8DC8E" w14:textId="77777777" w:rsidR="002D0021" w:rsidRPr="00827D56" w:rsidRDefault="002D0021" w:rsidP="00C053F7">
      <w:pPr>
        <w:jc w:val="both"/>
        <w:rPr>
          <w:rFonts w:ascii="Avenir Next" w:hAnsi="Avenir Next" w:cs="Arial"/>
          <w:sz w:val="22"/>
          <w:szCs w:val="22"/>
          <w:lang w:val="en-GB"/>
        </w:rPr>
      </w:pPr>
    </w:p>
    <w:p w14:paraId="37BD9592" w14:textId="6CFFDD42" w:rsidR="0094191F" w:rsidRPr="00513D22" w:rsidRDefault="0094191F" w:rsidP="00413342">
      <w:pPr>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 xml:space="preserve">In the scenario where a court has ordered the commencement of an insolvency proceeding against a corporate debtor in the State of its incorporation and head office, </w:t>
      </w:r>
      <w:r w:rsidR="008024DA" w:rsidRPr="00513D22">
        <w:rPr>
          <w:rFonts w:ascii="Arial" w:hAnsi="Arial" w:cs="Arial"/>
          <w:color w:val="767171" w:themeColor="background2" w:themeShade="80"/>
          <w:sz w:val="22"/>
          <w:szCs w:val="28"/>
        </w:rPr>
        <w:t xml:space="preserve">that has </w:t>
      </w:r>
      <w:r w:rsidR="008024DA" w:rsidRPr="00513D22">
        <w:rPr>
          <w:rFonts w:ascii="Arial" w:hAnsi="Arial" w:cs="Arial"/>
          <w:color w:val="767171" w:themeColor="background2" w:themeShade="80"/>
          <w:sz w:val="22"/>
          <w:szCs w:val="22"/>
          <w:lang w:val="en-GB"/>
        </w:rPr>
        <w:t>operation</w:t>
      </w:r>
      <w:r w:rsidR="008024DA" w:rsidRPr="00513D22">
        <w:rPr>
          <w:rFonts w:ascii="Arial" w:hAnsi="Arial" w:cs="Arial"/>
          <w:color w:val="767171" w:themeColor="background2" w:themeShade="80"/>
          <w:sz w:val="22"/>
          <w:szCs w:val="22"/>
          <w:lang w:val="en-GB"/>
        </w:rPr>
        <w:t xml:space="preserve"> business</w:t>
      </w:r>
      <w:r w:rsidR="008024DA" w:rsidRPr="00513D22">
        <w:rPr>
          <w:rFonts w:ascii="Arial" w:hAnsi="Arial" w:cs="Arial"/>
          <w:color w:val="767171" w:themeColor="background2" w:themeShade="80"/>
          <w:sz w:val="22"/>
          <w:szCs w:val="22"/>
          <w:lang w:val="en-GB"/>
        </w:rPr>
        <w:t xml:space="preserve">, </w:t>
      </w:r>
      <w:r w:rsidR="008024DA" w:rsidRPr="00513D22">
        <w:rPr>
          <w:rFonts w:ascii="Arial" w:hAnsi="Arial" w:cs="Arial"/>
          <w:color w:val="767171" w:themeColor="background2" w:themeShade="80"/>
          <w:sz w:val="22"/>
          <w:szCs w:val="22"/>
          <w:lang w:val="en-GB"/>
        </w:rPr>
        <w:t>assets</w:t>
      </w:r>
      <w:r w:rsidR="008024DA" w:rsidRPr="00513D22">
        <w:rPr>
          <w:rFonts w:ascii="Arial" w:hAnsi="Arial" w:cs="Arial"/>
          <w:color w:val="767171" w:themeColor="background2" w:themeShade="80"/>
          <w:sz w:val="22"/>
          <w:szCs w:val="22"/>
          <w:lang w:val="en-GB"/>
        </w:rPr>
        <w:t>,</w:t>
      </w:r>
      <w:r w:rsidR="008024DA" w:rsidRPr="00513D22">
        <w:rPr>
          <w:rFonts w:ascii="Arial" w:hAnsi="Arial" w:cs="Arial"/>
          <w:color w:val="767171" w:themeColor="background2" w:themeShade="80"/>
          <w:sz w:val="22"/>
          <w:szCs w:val="22"/>
          <w:lang w:val="en-GB"/>
        </w:rPr>
        <w:t xml:space="preserve"> creditors and directors in </w:t>
      </w:r>
      <w:r w:rsidR="008024DA" w:rsidRPr="00513D22">
        <w:rPr>
          <w:rFonts w:ascii="Arial" w:hAnsi="Arial" w:cs="Arial"/>
          <w:color w:val="767171" w:themeColor="background2" w:themeShade="80"/>
          <w:sz w:val="22"/>
          <w:szCs w:val="22"/>
          <w:lang w:val="en-GB"/>
        </w:rPr>
        <w:t>several</w:t>
      </w:r>
      <w:r w:rsidR="008024DA" w:rsidRPr="00513D22">
        <w:rPr>
          <w:rFonts w:ascii="Arial" w:hAnsi="Arial" w:cs="Arial"/>
          <w:color w:val="767171" w:themeColor="background2" w:themeShade="80"/>
          <w:sz w:val="22"/>
          <w:szCs w:val="22"/>
          <w:lang w:val="en-GB"/>
        </w:rPr>
        <w:t xml:space="preserve"> States</w:t>
      </w:r>
      <w:r w:rsidR="008024DA" w:rsidRPr="00513D22">
        <w:rPr>
          <w:rFonts w:ascii="Arial" w:hAnsi="Arial" w:cs="Arial"/>
          <w:color w:val="767171" w:themeColor="background2" w:themeShade="80"/>
          <w:sz w:val="22"/>
          <w:szCs w:val="22"/>
          <w:lang w:val="en-GB"/>
        </w:rPr>
        <w:t xml:space="preserve">, </w:t>
      </w:r>
      <w:r w:rsidRPr="00513D22">
        <w:rPr>
          <w:rFonts w:ascii="Arial" w:hAnsi="Arial" w:cs="Arial"/>
          <w:color w:val="767171" w:themeColor="background2" w:themeShade="80"/>
          <w:sz w:val="22"/>
          <w:szCs w:val="28"/>
        </w:rPr>
        <w:t xml:space="preserve">there are </w:t>
      </w:r>
      <w:r w:rsidR="008024DA" w:rsidRPr="00513D22">
        <w:rPr>
          <w:rFonts w:ascii="Arial" w:hAnsi="Arial" w:cs="Arial"/>
          <w:color w:val="767171" w:themeColor="background2" w:themeShade="80"/>
          <w:sz w:val="22"/>
          <w:szCs w:val="28"/>
        </w:rPr>
        <w:t>some</w:t>
      </w:r>
      <w:r w:rsidRPr="00513D22">
        <w:rPr>
          <w:rFonts w:ascii="Arial" w:hAnsi="Arial" w:cs="Arial"/>
          <w:color w:val="767171" w:themeColor="background2" w:themeShade="80"/>
          <w:sz w:val="22"/>
          <w:szCs w:val="28"/>
        </w:rPr>
        <w:t xml:space="preserve"> key international insolvency issues that the insolvency representative is likely to face. Here are four key issues along with the relevant domestic laws or international instruments that can assist the insolvency representative in addressing them:</w:t>
      </w:r>
    </w:p>
    <w:p w14:paraId="7F1FD5BB" w14:textId="77777777" w:rsidR="0094191F" w:rsidRPr="00513D22" w:rsidRDefault="0094191F" w:rsidP="00E767DD">
      <w:pPr>
        <w:pStyle w:val="ListParagraph"/>
        <w:widowControl w:val="0"/>
        <w:numPr>
          <w:ilvl w:val="0"/>
          <w:numId w:val="27"/>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Recognition and Coordination of Proceedings Across Multiple Jurisdictions</w:t>
      </w:r>
      <w:r w:rsidRPr="00513D22">
        <w:rPr>
          <w:rFonts w:ascii="Arial" w:hAnsi="Arial" w:cs="Arial"/>
          <w:color w:val="767171" w:themeColor="background2" w:themeShade="80"/>
          <w:sz w:val="22"/>
          <w:szCs w:val="28"/>
        </w:rPr>
        <w:t xml:space="preserve">: Dealing with the complexity of insolvency proceedings in multiple jurisdictions, including recognition and coordination of these proceedings. Legal sources: </w:t>
      </w:r>
    </w:p>
    <w:p w14:paraId="03576305" w14:textId="77777777" w:rsidR="0094191F" w:rsidRPr="00513D22" w:rsidRDefault="0094191F" w:rsidP="00E767DD">
      <w:pPr>
        <w:pStyle w:val="ListParagraph"/>
        <w:widowControl w:val="0"/>
        <w:numPr>
          <w:ilvl w:val="0"/>
          <w:numId w:val="28"/>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UNCITRAL Model Law on Cross-Border Insolvency: provides a legal framework for dealing with cross-border insolvency cases, aiding in the recognition and coordination of proceedings in different jurisdictions.</w:t>
      </w:r>
    </w:p>
    <w:p w14:paraId="4A7E6280" w14:textId="77777777" w:rsidR="0094191F" w:rsidRPr="00513D22" w:rsidRDefault="0094191F" w:rsidP="00E767DD">
      <w:pPr>
        <w:pStyle w:val="ListParagraph"/>
        <w:widowControl w:val="0"/>
        <w:numPr>
          <w:ilvl w:val="0"/>
          <w:numId w:val="28"/>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Local Insolvency Laws in Each Jurisdiction: The domestic laws of each jurisdiction involved would guide the insolvency representative in understanding the specific rules and procedures governing insolvency in that jurisdiction.</w:t>
      </w:r>
    </w:p>
    <w:p w14:paraId="6D959E5E" w14:textId="77777777" w:rsidR="0094191F" w:rsidRPr="00513D22" w:rsidRDefault="0094191F" w:rsidP="00E767DD">
      <w:pPr>
        <w:pStyle w:val="ListParagraph"/>
        <w:jc w:val="both"/>
        <w:rPr>
          <w:rFonts w:ascii="Arial" w:hAnsi="Arial" w:cs="Arial"/>
          <w:color w:val="767171" w:themeColor="background2" w:themeShade="80"/>
          <w:sz w:val="22"/>
          <w:szCs w:val="28"/>
        </w:rPr>
      </w:pPr>
    </w:p>
    <w:p w14:paraId="1FE95C22" w14:textId="77777777" w:rsidR="0094191F" w:rsidRPr="00513D22" w:rsidRDefault="0094191F" w:rsidP="008024DA">
      <w:pPr>
        <w:pStyle w:val="ListParagraph"/>
        <w:widowControl w:val="0"/>
        <w:numPr>
          <w:ilvl w:val="0"/>
          <w:numId w:val="27"/>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Protection and Realization of Multinational Assets</w:t>
      </w:r>
      <w:r w:rsidRPr="00513D22">
        <w:rPr>
          <w:rFonts w:ascii="Arial" w:hAnsi="Arial" w:cs="Arial"/>
          <w:color w:val="767171" w:themeColor="background2" w:themeShade="80"/>
          <w:sz w:val="22"/>
          <w:szCs w:val="28"/>
        </w:rPr>
        <w:t>: Addressing the diverse range of assets (tangible and intangible) held by the corporate debtor across various jurisdictions and ensuring their protection and efficient realization. Legal sources:</w:t>
      </w:r>
    </w:p>
    <w:p w14:paraId="5680520D" w14:textId="77777777" w:rsidR="0094191F" w:rsidRPr="00513D22" w:rsidRDefault="0094191F" w:rsidP="008024DA">
      <w:pPr>
        <w:pStyle w:val="ListParagraph"/>
        <w:widowControl w:val="0"/>
        <w:numPr>
          <w:ilvl w:val="0"/>
          <w:numId w:val="29"/>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UNCITRAL Model Law on Cross-Border Insolvency: assists in facilitating the protection and realization of assets across multiple jurisdictions by providing a framework for cooperation and coordination.</w:t>
      </w:r>
    </w:p>
    <w:p w14:paraId="13D8A46D" w14:textId="77777777" w:rsidR="0094191F" w:rsidRPr="00513D22" w:rsidRDefault="0094191F" w:rsidP="008024DA">
      <w:pPr>
        <w:pStyle w:val="ListParagraph"/>
        <w:widowControl w:val="0"/>
        <w:numPr>
          <w:ilvl w:val="0"/>
          <w:numId w:val="29"/>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Local Property Laws in Each Jurisdiction: Understanding the local laws related to property rights and asset realization in each jurisdiction is crucial to effectively deal with the debtor's assets.</w:t>
      </w:r>
    </w:p>
    <w:p w14:paraId="7928AC0E" w14:textId="77777777" w:rsidR="0094191F" w:rsidRPr="00513D22" w:rsidRDefault="0094191F" w:rsidP="008024DA">
      <w:pPr>
        <w:pStyle w:val="ListParagraph"/>
        <w:jc w:val="both"/>
        <w:rPr>
          <w:rFonts w:ascii="Arial" w:hAnsi="Arial" w:cs="Arial"/>
          <w:color w:val="767171" w:themeColor="background2" w:themeShade="80"/>
          <w:sz w:val="22"/>
          <w:szCs w:val="28"/>
        </w:rPr>
      </w:pPr>
    </w:p>
    <w:p w14:paraId="285D99B6" w14:textId="77777777" w:rsidR="0094191F" w:rsidRPr="00513D22" w:rsidRDefault="0094191F" w:rsidP="008024DA">
      <w:pPr>
        <w:pStyle w:val="ListParagraph"/>
        <w:widowControl w:val="0"/>
        <w:numPr>
          <w:ilvl w:val="0"/>
          <w:numId w:val="27"/>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Fair Treatment of Creditors with Cross-Border Interests</w:t>
      </w:r>
      <w:r w:rsidRPr="00513D22">
        <w:rPr>
          <w:rFonts w:ascii="Arial" w:hAnsi="Arial" w:cs="Arial"/>
          <w:color w:val="767171" w:themeColor="background2" w:themeShade="80"/>
          <w:sz w:val="22"/>
          <w:szCs w:val="28"/>
        </w:rPr>
        <w:t>: Ensuring fair treatment of creditors located in different jurisdictions, considering their varied interests and legal protections. Legal sources:</w:t>
      </w:r>
    </w:p>
    <w:p w14:paraId="29DEA213" w14:textId="77777777" w:rsidR="0094191F" w:rsidRPr="00513D22" w:rsidRDefault="0094191F" w:rsidP="008024DA">
      <w:pPr>
        <w:pStyle w:val="ListParagraph"/>
        <w:widowControl w:val="0"/>
        <w:numPr>
          <w:ilvl w:val="0"/>
          <w:numId w:val="30"/>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 xml:space="preserve">UNCITRAL Model Law on Cross-Border Insolvency: includes provisions for fair </w:t>
      </w:r>
      <w:r w:rsidRPr="00513D22">
        <w:rPr>
          <w:rFonts w:ascii="Arial" w:hAnsi="Arial" w:cs="Arial"/>
          <w:color w:val="767171" w:themeColor="background2" w:themeShade="80"/>
          <w:sz w:val="22"/>
          <w:szCs w:val="28"/>
        </w:rPr>
        <w:lastRenderedPageBreak/>
        <w:t>treatment of creditors in cross-border insolvency cases and provides a platform for coordination and cooperation.</w:t>
      </w:r>
    </w:p>
    <w:p w14:paraId="5CFC8D44" w14:textId="77777777" w:rsidR="0094191F" w:rsidRPr="00513D22" w:rsidRDefault="0094191F" w:rsidP="008024DA">
      <w:pPr>
        <w:pStyle w:val="ListParagraph"/>
        <w:widowControl w:val="0"/>
        <w:numPr>
          <w:ilvl w:val="0"/>
          <w:numId w:val="30"/>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Local Insolvency Laws and Contract Laws: laws related to creditor rights, contract enforcement, and priority of claims in each jurisdiction is essential to ensure fair treatment.</w:t>
      </w:r>
    </w:p>
    <w:p w14:paraId="5FC445CA" w14:textId="77777777" w:rsidR="0094191F" w:rsidRPr="00513D22" w:rsidRDefault="0094191F" w:rsidP="008024DA">
      <w:pPr>
        <w:pStyle w:val="ListParagraph"/>
        <w:jc w:val="both"/>
        <w:rPr>
          <w:rFonts w:ascii="Arial" w:hAnsi="Arial" w:cs="Arial"/>
          <w:color w:val="767171" w:themeColor="background2" w:themeShade="80"/>
          <w:sz w:val="22"/>
          <w:szCs w:val="28"/>
        </w:rPr>
      </w:pPr>
    </w:p>
    <w:p w14:paraId="07B6394B" w14:textId="77777777" w:rsidR="0094191F" w:rsidRPr="00513D22" w:rsidRDefault="0094191F" w:rsidP="008024DA">
      <w:pPr>
        <w:pStyle w:val="ListParagraph"/>
        <w:widowControl w:val="0"/>
        <w:numPr>
          <w:ilvl w:val="0"/>
          <w:numId w:val="27"/>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u w:val="single"/>
        </w:rPr>
        <w:t>Handling Taxation and Revenue Authorities' Claims Across Borders</w:t>
      </w:r>
      <w:r w:rsidRPr="00513D22">
        <w:rPr>
          <w:rFonts w:ascii="Arial" w:hAnsi="Arial" w:cs="Arial"/>
          <w:color w:val="767171" w:themeColor="background2" w:themeShade="80"/>
          <w:sz w:val="22"/>
          <w:szCs w:val="28"/>
        </w:rPr>
        <w:t>: Addressing tax claims from revenue authorities in multiple jurisdictions and ensuring compliance with tax laws. Legal sources:</w:t>
      </w:r>
    </w:p>
    <w:p w14:paraId="74C09CBA" w14:textId="77777777" w:rsidR="0094191F" w:rsidRPr="00513D22" w:rsidRDefault="0094191F" w:rsidP="008024DA">
      <w:pPr>
        <w:pStyle w:val="ListParagraph"/>
        <w:widowControl w:val="0"/>
        <w:numPr>
          <w:ilvl w:val="0"/>
          <w:numId w:val="31"/>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Relevant Bilateral Tax Treaties and Agreements: Bilateral tax treaties between the debtor's home country and other relevant jurisdictions can provide guidance on the treatment of taxation claims and avoid double taxation.</w:t>
      </w:r>
    </w:p>
    <w:p w14:paraId="1C498B67" w14:textId="77777777" w:rsidR="0094191F" w:rsidRPr="00513D22" w:rsidRDefault="0094191F" w:rsidP="008024DA">
      <w:pPr>
        <w:pStyle w:val="ListParagraph"/>
        <w:widowControl w:val="0"/>
        <w:numPr>
          <w:ilvl w:val="0"/>
          <w:numId w:val="31"/>
        </w:numPr>
        <w:autoSpaceDE w:val="0"/>
        <w:autoSpaceDN w:val="0"/>
        <w:contextualSpacing w:val="0"/>
        <w:jc w:val="both"/>
        <w:rPr>
          <w:rFonts w:ascii="Arial" w:hAnsi="Arial" w:cs="Arial"/>
          <w:color w:val="767171" w:themeColor="background2" w:themeShade="80"/>
          <w:sz w:val="22"/>
          <w:szCs w:val="28"/>
        </w:rPr>
      </w:pPr>
      <w:r w:rsidRPr="00513D22">
        <w:rPr>
          <w:rFonts w:ascii="Arial" w:hAnsi="Arial" w:cs="Arial"/>
          <w:color w:val="767171" w:themeColor="background2" w:themeShade="80"/>
          <w:sz w:val="22"/>
          <w:szCs w:val="28"/>
        </w:rPr>
        <w:t>Local Tax Laws and Treaties: Understanding the tax laws and treaties of each jurisdiction involved is crucial to appropriately address and negotiate tax claims with the respective revenue authorities.</w:t>
      </w:r>
    </w:p>
    <w:p w14:paraId="4C759D66" w14:textId="77777777" w:rsidR="0094191F" w:rsidRPr="00513D22" w:rsidRDefault="0094191F" w:rsidP="0094191F">
      <w:pPr>
        <w:rPr>
          <w:rFonts w:ascii="Arial" w:hAnsi="Arial" w:cs="Arial"/>
          <w:color w:val="767171" w:themeColor="background2" w:themeShade="80"/>
          <w:sz w:val="22"/>
          <w:szCs w:val="28"/>
        </w:rPr>
      </w:pPr>
    </w:p>
    <w:p w14:paraId="5724279F" w14:textId="77777777" w:rsidR="0094191F" w:rsidRPr="00513D22" w:rsidRDefault="0094191F" w:rsidP="008024DA">
      <w:pPr>
        <w:jc w:val="both"/>
        <w:rPr>
          <w:rFonts w:ascii="Arial" w:hAnsi="Arial" w:cs="Arial"/>
          <w:color w:val="767171" w:themeColor="background2" w:themeShade="80"/>
          <w:sz w:val="22"/>
          <w:szCs w:val="28"/>
          <w:lang w:eastAsia="pt-BR"/>
        </w:rPr>
      </w:pPr>
      <w:r w:rsidRPr="00513D22">
        <w:rPr>
          <w:rFonts w:ascii="Arial" w:hAnsi="Arial" w:cs="Arial"/>
          <w:color w:val="767171" w:themeColor="background2" w:themeShade="80"/>
          <w:sz w:val="22"/>
          <w:szCs w:val="28"/>
        </w:rPr>
        <w:t>Addressing these international insolvency issues requires a deep understanding of both domestic laws in each relevant jurisdiction and the application of international instruments, particularly the UNCITRAL Model Law on Cross-Border Insolvency, to ensure effective coordination and protection of rights and interests across borders</w:t>
      </w:r>
      <w:r w:rsidRPr="00513D22">
        <w:rPr>
          <w:rFonts w:ascii="Arial" w:hAnsi="Arial" w:cs="Arial"/>
          <w:color w:val="767171" w:themeColor="background2" w:themeShade="80"/>
          <w:sz w:val="22"/>
          <w:szCs w:val="28"/>
          <w:lang w:eastAsia="pt-BR"/>
        </w:rPr>
        <w:t>.</w:t>
      </w:r>
    </w:p>
    <w:bookmarkEnd w:id="2"/>
    <w:p w14:paraId="2110E93D" w14:textId="77777777" w:rsidR="0094191F" w:rsidRPr="00513D22" w:rsidRDefault="0094191F" w:rsidP="0094191F">
      <w:pPr>
        <w:rPr>
          <w:color w:val="767171" w:themeColor="background2" w:themeShade="80"/>
        </w:rPr>
      </w:pPr>
    </w:p>
    <w:p w14:paraId="35D8F287" w14:textId="77777777" w:rsidR="0077498C" w:rsidRPr="0094191F" w:rsidRDefault="0077498C" w:rsidP="00C053F7">
      <w:pPr>
        <w:jc w:val="both"/>
        <w:rPr>
          <w:rFonts w:ascii="Avenir Next" w:hAnsi="Avenir Next" w:cs="Arial"/>
          <w:color w:val="000000" w:themeColor="text1"/>
          <w:sz w:val="22"/>
          <w:szCs w:val="22"/>
        </w:rPr>
      </w:pPr>
    </w:p>
    <w:p w14:paraId="722C1D98" w14:textId="213FAB2F"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6815" w14:textId="77777777" w:rsidR="0045248B" w:rsidRDefault="0045248B" w:rsidP="00241B44">
      <w:r>
        <w:separator/>
      </w:r>
    </w:p>
  </w:endnote>
  <w:endnote w:type="continuationSeparator" w:id="0">
    <w:p w14:paraId="0E3D8F4E" w14:textId="77777777" w:rsidR="0045248B" w:rsidRDefault="004524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A70A6EE" w:rsidR="00AD6A7D" w:rsidRPr="009634F4" w:rsidRDefault="0005724B" w:rsidP="00AD6A7D">
    <w:pPr>
      <w:pStyle w:val="Footer"/>
      <w:ind w:right="360"/>
      <w:rPr>
        <w:rFonts w:ascii="Avenir Next" w:hAnsi="Avenir Next" w:cs="Arial"/>
        <w:sz w:val="22"/>
        <w:szCs w:val="22"/>
      </w:rPr>
    </w:pPr>
    <w:r>
      <w:rPr>
        <w:rFonts w:ascii="Avenir Next" w:hAnsi="Avenir Next" w:cs="Arial"/>
        <w:sz w:val="22"/>
        <w:szCs w:val="22"/>
      </w:rPr>
      <w:t>202324-1439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B460" w14:textId="77777777" w:rsidR="0045248B" w:rsidRDefault="0045248B" w:rsidP="00241B44">
      <w:r>
        <w:separator/>
      </w:r>
    </w:p>
  </w:footnote>
  <w:footnote w:type="continuationSeparator" w:id="0">
    <w:p w14:paraId="108B3ACF" w14:textId="77777777" w:rsidR="0045248B" w:rsidRDefault="0045248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6D2195"/>
    <w:multiLevelType w:val="hybridMultilevel"/>
    <w:tmpl w:val="069CF0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96E47"/>
    <w:multiLevelType w:val="hybridMultilevel"/>
    <w:tmpl w:val="29284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B52D9"/>
    <w:multiLevelType w:val="hybridMultilevel"/>
    <w:tmpl w:val="80CA45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00165"/>
    <w:multiLevelType w:val="hybridMultilevel"/>
    <w:tmpl w:val="7BA4CE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D3433FB"/>
    <w:multiLevelType w:val="hybridMultilevel"/>
    <w:tmpl w:val="3F283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717070"/>
    <w:multiLevelType w:val="hybridMultilevel"/>
    <w:tmpl w:val="B4EAF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062275F"/>
    <w:multiLevelType w:val="hybridMultilevel"/>
    <w:tmpl w:val="95C2E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115689"/>
    <w:multiLevelType w:val="hybridMultilevel"/>
    <w:tmpl w:val="B5FC0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3748E5"/>
    <w:multiLevelType w:val="hybridMultilevel"/>
    <w:tmpl w:val="7390F4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0649241">
    <w:abstractNumId w:val="23"/>
  </w:num>
  <w:num w:numId="2" w16cid:durableId="504784691">
    <w:abstractNumId w:val="27"/>
  </w:num>
  <w:num w:numId="3" w16cid:durableId="846797243">
    <w:abstractNumId w:val="8"/>
  </w:num>
  <w:num w:numId="4" w16cid:durableId="1090347173">
    <w:abstractNumId w:val="3"/>
  </w:num>
  <w:num w:numId="5" w16cid:durableId="1380206061">
    <w:abstractNumId w:val="11"/>
  </w:num>
  <w:num w:numId="6" w16cid:durableId="1325665274">
    <w:abstractNumId w:val="20"/>
  </w:num>
  <w:num w:numId="7" w16cid:durableId="2060083799">
    <w:abstractNumId w:val="29"/>
  </w:num>
  <w:num w:numId="8" w16cid:durableId="680746058">
    <w:abstractNumId w:val="19"/>
  </w:num>
  <w:num w:numId="9" w16cid:durableId="640503755">
    <w:abstractNumId w:val="6"/>
  </w:num>
  <w:num w:numId="10" w16cid:durableId="1536043351">
    <w:abstractNumId w:val="10"/>
  </w:num>
  <w:num w:numId="11" w16cid:durableId="1312251774">
    <w:abstractNumId w:val="9"/>
  </w:num>
  <w:num w:numId="12" w16cid:durableId="196553961">
    <w:abstractNumId w:val="5"/>
  </w:num>
  <w:num w:numId="13" w16cid:durableId="6249195">
    <w:abstractNumId w:val="17"/>
  </w:num>
  <w:num w:numId="14" w16cid:durableId="1206869815">
    <w:abstractNumId w:val="0"/>
  </w:num>
  <w:num w:numId="15" w16cid:durableId="174421710">
    <w:abstractNumId w:val="2"/>
  </w:num>
  <w:num w:numId="16" w16cid:durableId="1806239755">
    <w:abstractNumId w:val="18"/>
  </w:num>
  <w:num w:numId="17" w16cid:durableId="160857301">
    <w:abstractNumId w:val="16"/>
  </w:num>
  <w:num w:numId="18" w16cid:durableId="1846900865">
    <w:abstractNumId w:val="24"/>
  </w:num>
  <w:num w:numId="19" w16cid:durableId="1116102243">
    <w:abstractNumId w:val="21"/>
  </w:num>
  <w:num w:numId="20" w16cid:durableId="451481804">
    <w:abstractNumId w:val="30"/>
  </w:num>
  <w:num w:numId="21" w16cid:durableId="179319935">
    <w:abstractNumId w:val="22"/>
  </w:num>
  <w:num w:numId="22" w16cid:durableId="771898764">
    <w:abstractNumId w:val="15"/>
  </w:num>
  <w:num w:numId="23" w16cid:durableId="123667223">
    <w:abstractNumId w:val="25"/>
  </w:num>
  <w:num w:numId="24" w16cid:durableId="931816617">
    <w:abstractNumId w:val="12"/>
  </w:num>
  <w:num w:numId="25" w16cid:durableId="933973768">
    <w:abstractNumId w:val="28"/>
  </w:num>
  <w:num w:numId="26" w16cid:durableId="927083767">
    <w:abstractNumId w:val="7"/>
  </w:num>
  <w:num w:numId="27" w16cid:durableId="1806196112">
    <w:abstractNumId w:val="1"/>
  </w:num>
  <w:num w:numId="28" w16cid:durableId="1412503197">
    <w:abstractNumId w:val="26"/>
  </w:num>
  <w:num w:numId="29" w16cid:durableId="481167304">
    <w:abstractNumId w:val="13"/>
  </w:num>
  <w:num w:numId="30" w16cid:durableId="1519928224">
    <w:abstractNumId w:val="4"/>
  </w:num>
  <w:num w:numId="31" w16cid:durableId="179948908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5724B"/>
    <w:rsid w:val="00065166"/>
    <w:rsid w:val="00082609"/>
    <w:rsid w:val="000851CC"/>
    <w:rsid w:val="00093BE8"/>
    <w:rsid w:val="0009574F"/>
    <w:rsid w:val="000A68ED"/>
    <w:rsid w:val="000A7AC6"/>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65D85"/>
    <w:rsid w:val="001801F4"/>
    <w:rsid w:val="00180548"/>
    <w:rsid w:val="00180CCE"/>
    <w:rsid w:val="0018267A"/>
    <w:rsid w:val="00182779"/>
    <w:rsid w:val="001830DF"/>
    <w:rsid w:val="001966D9"/>
    <w:rsid w:val="001A7E9A"/>
    <w:rsid w:val="001B5016"/>
    <w:rsid w:val="001C45FC"/>
    <w:rsid w:val="001D4862"/>
    <w:rsid w:val="001E25B9"/>
    <w:rsid w:val="001E49E0"/>
    <w:rsid w:val="001E7B5A"/>
    <w:rsid w:val="001F11F1"/>
    <w:rsid w:val="001F7412"/>
    <w:rsid w:val="0020725B"/>
    <w:rsid w:val="00212E74"/>
    <w:rsid w:val="00241B44"/>
    <w:rsid w:val="00245EFB"/>
    <w:rsid w:val="0026515D"/>
    <w:rsid w:val="002668D3"/>
    <w:rsid w:val="0027299F"/>
    <w:rsid w:val="00284EBE"/>
    <w:rsid w:val="00286AE6"/>
    <w:rsid w:val="0029433F"/>
    <w:rsid w:val="00294829"/>
    <w:rsid w:val="0029690F"/>
    <w:rsid w:val="002A2A60"/>
    <w:rsid w:val="002A489D"/>
    <w:rsid w:val="002A5453"/>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463E8"/>
    <w:rsid w:val="00361A0A"/>
    <w:rsid w:val="0036565C"/>
    <w:rsid w:val="0036625E"/>
    <w:rsid w:val="0037465A"/>
    <w:rsid w:val="00374696"/>
    <w:rsid w:val="00382C98"/>
    <w:rsid w:val="0038533C"/>
    <w:rsid w:val="00386464"/>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3342"/>
    <w:rsid w:val="00415F1F"/>
    <w:rsid w:val="0042108F"/>
    <w:rsid w:val="00430FED"/>
    <w:rsid w:val="0043427C"/>
    <w:rsid w:val="00434A8C"/>
    <w:rsid w:val="00440AE9"/>
    <w:rsid w:val="00444284"/>
    <w:rsid w:val="00445CE6"/>
    <w:rsid w:val="0045248B"/>
    <w:rsid w:val="004534C2"/>
    <w:rsid w:val="0045683E"/>
    <w:rsid w:val="004601F6"/>
    <w:rsid w:val="00491675"/>
    <w:rsid w:val="00493855"/>
    <w:rsid w:val="004974DC"/>
    <w:rsid w:val="004A16A3"/>
    <w:rsid w:val="004A57DD"/>
    <w:rsid w:val="004A7B51"/>
    <w:rsid w:val="004A7D71"/>
    <w:rsid w:val="004A7EF3"/>
    <w:rsid w:val="004B11FD"/>
    <w:rsid w:val="004B23A2"/>
    <w:rsid w:val="004C1306"/>
    <w:rsid w:val="004D1A5A"/>
    <w:rsid w:val="004D3721"/>
    <w:rsid w:val="004D64F9"/>
    <w:rsid w:val="004E14A8"/>
    <w:rsid w:val="004F5FDF"/>
    <w:rsid w:val="005109FB"/>
    <w:rsid w:val="00513D22"/>
    <w:rsid w:val="005177FE"/>
    <w:rsid w:val="0052263B"/>
    <w:rsid w:val="00524728"/>
    <w:rsid w:val="005331CA"/>
    <w:rsid w:val="0053482F"/>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1436"/>
    <w:rsid w:val="005D43E0"/>
    <w:rsid w:val="005D58A3"/>
    <w:rsid w:val="005E1B79"/>
    <w:rsid w:val="005F026D"/>
    <w:rsid w:val="005F2D0B"/>
    <w:rsid w:val="005F4B31"/>
    <w:rsid w:val="005F6250"/>
    <w:rsid w:val="00610388"/>
    <w:rsid w:val="00611F99"/>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50B9"/>
    <w:rsid w:val="007074E9"/>
    <w:rsid w:val="00713DA4"/>
    <w:rsid w:val="00714BF1"/>
    <w:rsid w:val="00721383"/>
    <w:rsid w:val="007333CC"/>
    <w:rsid w:val="0073399A"/>
    <w:rsid w:val="0073459E"/>
    <w:rsid w:val="007536E2"/>
    <w:rsid w:val="007603F5"/>
    <w:rsid w:val="00764DB0"/>
    <w:rsid w:val="0076764D"/>
    <w:rsid w:val="0077498C"/>
    <w:rsid w:val="00784128"/>
    <w:rsid w:val="00786046"/>
    <w:rsid w:val="00793173"/>
    <w:rsid w:val="007C1459"/>
    <w:rsid w:val="007C1FCC"/>
    <w:rsid w:val="007C6201"/>
    <w:rsid w:val="007D7C92"/>
    <w:rsid w:val="007E1154"/>
    <w:rsid w:val="007F41F8"/>
    <w:rsid w:val="007F45F1"/>
    <w:rsid w:val="008024DA"/>
    <w:rsid w:val="008031A7"/>
    <w:rsid w:val="0080454E"/>
    <w:rsid w:val="00804C32"/>
    <w:rsid w:val="00806302"/>
    <w:rsid w:val="00807119"/>
    <w:rsid w:val="0082483F"/>
    <w:rsid w:val="008279C0"/>
    <w:rsid w:val="00827D56"/>
    <w:rsid w:val="008518C2"/>
    <w:rsid w:val="008723F3"/>
    <w:rsid w:val="00875FCA"/>
    <w:rsid w:val="00881DE6"/>
    <w:rsid w:val="008837A6"/>
    <w:rsid w:val="0089145D"/>
    <w:rsid w:val="00891887"/>
    <w:rsid w:val="008A6CFE"/>
    <w:rsid w:val="008B5333"/>
    <w:rsid w:val="008B6223"/>
    <w:rsid w:val="008C66E0"/>
    <w:rsid w:val="008E3339"/>
    <w:rsid w:val="008F20FC"/>
    <w:rsid w:val="008F6301"/>
    <w:rsid w:val="00905A43"/>
    <w:rsid w:val="00912C79"/>
    <w:rsid w:val="0094191F"/>
    <w:rsid w:val="00942123"/>
    <w:rsid w:val="009424F6"/>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F149F"/>
    <w:rsid w:val="00A005FC"/>
    <w:rsid w:val="00A047EE"/>
    <w:rsid w:val="00A2274A"/>
    <w:rsid w:val="00A235B7"/>
    <w:rsid w:val="00A37AF5"/>
    <w:rsid w:val="00A407EF"/>
    <w:rsid w:val="00A458BE"/>
    <w:rsid w:val="00A46B4C"/>
    <w:rsid w:val="00A5117B"/>
    <w:rsid w:val="00A51352"/>
    <w:rsid w:val="00A54909"/>
    <w:rsid w:val="00A60074"/>
    <w:rsid w:val="00A6627C"/>
    <w:rsid w:val="00A66469"/>
    <w:rsid w:val="00A71019"/>
    <w:rsid w:val="00A73B6D"/>
    <w:rsid w:val="00A81029"/>
    <w:rsid w:val="00A83A2F"/>
    <w:rsid w:val="00A85887"/>
    <w:rsid w:val="00A96489"/>
    <w:rsid w:val="00A97725"/>
    <w:rsid w:val="00AB685C"/>
    <w:rsid w:val="00AB6C2D"/>
    <w:rsid w:val="00AC3839"/>
    <w:rsid w:val="00AC7082"/>
    <w:rsid w:val="00AD6481"/>
    <w:rsid w:val="00AD6A7D"/>
    <w:rsid w:val="00AF228E"/>
    <w:rsid w:val="00B14819"/>
    <w:rsid w:val="00B174C6"/>
    <w:rsid w:val="00B17AA9"/>
    <w:rsid w:val="00B62B8A"/>
    <w:rsid w:val="00B72AE1"/>
    <w:rsid w:val="00B736DF"/>
    <w:rsid w:val="00B74FBD"/>
    <w:rsid w:val="00B82586"/>
    <w:rsid w:val="00B86DB1"/>
    <w:rsid w:val="00B87869"/>
    <w:rsid w:val="00BB0F2B"/>
    <w:rsid w:val="00BB224C"/>
    <w:rsid w:val="00BF1C6F"/>
    <w:rsid w:val="00BF50F7"/>
    <w:rsid w:val="00C02F29"/>
    <w:rsid w:val="00C053F7"/>
    <w:rsid w:val="00C22A25"/>
    <w:rsid w:val="00C33C6C"/>
    <w:rsid w:val="00C35671"/>
    <w:rsid w:val="00C35B77"/>
    <w:rsid w:val="00C37476"/>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19B1"/>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5FC3"/>
    <w:rsid w:val="00DF75F8"/>
    <w:rsid w:val="00DF7A3A"/>
    <w:rsid w:val="00E00C00"/>
    <w:rsid w:val="00E07C5A"/>
    <w:rsid w:val="00E150D9"/>
    <w:rsid w:val="00E15BA9"/>
    <w:rsid w:val="00E26E19"/>
    <w:rsid w:val="00E450A4"/>
    <w:rsid w:val="00E506BE"/>
    <w:rsid w:val="00E5215F"/>
    <w:rsid w:val="00E55547"/>
    <w:rsid w:val="00E61C9F"/>
    <w:rsid w:val="00E6302B"/>
    <w:rsid w:val="00E6452F"/>
    <w:rsid w:val="00E64F45"/>
    <w:rsid w:val="00E6742D"/>
    <w:rsid w:val="00E71CB0"/>
    <w:rsid w:val="00E767DD"/>
    <w:rsid w:val="00E77C3D"/>
    <w:rsid w:val="00E81BE2"/>
    <w:rsid w:val="00E909F0"/>
    <w:rsid w:val="00E93993"/>
    <w:rsid w:val="00EA0913"/>
    <w:rsid w:val="00EB45AC"/>
    <w:rsid w:val="00EC46DE"/>
    <w:rsid w:val="00ED0BC4"/>
    <w:rsid w:val="00ED5099"/>
    <w:rsid w:val="00EE4971"/>
    <w:rsid w:val="00EE744D"/>
    <w:rsid w:val="00EF090E"/>
    <w:rsid w:val="00F033DA"/>
    <w:rsid w:val="00F11B34"/>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2A489D"/>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2A489D"/>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5280</Words>
  <Characters>28518</Characters>
  <Application>Microsoft Office Word</Application>
  <DocSecurity>0</DocSecurity>
  <Lines>237</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Anglizey Oliveira</cp:lastModifiedBy>
  <cp:revision>6</cp:revision>
  <cp:lastPrinted>2023-10-13T12:46:00Z</cp:lastPrinted>
  <dcterms:created xsi:type="dcterms:W3CDTF">2023-10-15T13:43:00Z</dcterms:created>
  <dcterms:modified xsi:type="dcterms:W3CDTF">2023-10-15T19:03:00Z</dcterms:modified>
</cp:coreProperties>
</file>