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F51558" w:rsidRDefault="00B736DF" w:rsidP="009E1027">
      <w:pPr>
        <w:pStyle w:val="ListParagraph"/>
        <w:numPr>
          <w:ilvl w:val="0"/>
          <w:numId w:val="12"/>
        </w:numPr>
        <w:ind w:left="426"/>
        <w:jc w:val="both"/>
        <w:rPr>
          <w:rFonts w:ascii="Avenir Next" w:hAnsi="Avenir Next" w:cs="Arial"/>
          <w:sz w:val="22"/>
          <w:szCs w:val="22"/>
          <w:highlight w:val="yellow"/>
          <w:lang w:val="en-GB"/>
        </w:rPr>
      </w:pPr>
      <w:r w:rsidRPr="00F51558">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F51558" w:rsidRDefault="00161F1B" w:rsidP="009E1027">
      <w:pPr>
        <w:pStyle w:val="ListParagraph"/>
        <w:numPr>
          <w:ilvl w:val="0"/>
          <w:numId w:val="13"/>
        </w:numPr>
        <w:ind w:left="426"/>
        <w:jc w:val="both"/>
        <w:rPr>
          <w:rFonts w:ascii="Avenir Next" w:hAnsi="Avenir Next" w:cs="Arial"/>
          <w:sz w:val="22"/>
          <w:szCs w:val="22"/>
          <w:highlight w:val="yellow"/>
          <w:lang w:val="en-GB"/>
        </w:rPr>
      </w:pPr>
      <w:r w:rsidRPr="00F51558">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F51558" w:rsidRDefault="009E2E27" w:rsidP="008031A7">
      <w:pPr>
        <w:pStyle w:val="ListParagraph"/>
        <w:numPr>
          <w:ilvl w:val="0"/>
          <w:numId w:val="14"/>
        </w:numPr>
        <w:ind w:left="426"/>
        <w:jc w:val="both"/>
        <w:rPr>
          <w:rFonts w:ascii="Avenir Next" w:hAnsi="Avenir Next" w:cs="Arial"/>
          <w:sz w:val="22"/>
          <w:szCs w:val="22"/>
          <w:highlight w:val="yellow"/>
          <w:lang w:val="en-GB"/>
        </w:rPr>
      </w:pPr>
      <w:r w:rsidRPr="00F51558">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F51558" w:rsidRDefault="009E2E27" w:rsidP="008031A7">
      <w:pPr>
        <w:pStyle w:val="ListParagraph"/>
        <w:numPr>
          <w:ilvl w:val="0"/>
          <w:numId w:val="15"/>
        </w:numPr>
        <w:ind w:left="426"/>
        <w:jc w:val="both"/>
        <w:rPr>
          <w:rFonts w:ascii="Avenir Next" w:hAnsi="Avenir Next" w:cs="Arial"/>
          <w:sz w:val="22"/>
          <w:szCs w:val="22"/>
          <w:highlight w:val="yellow"/>
          <w:lang w:val="en-GB"/>
        </w:rPr>
      </w:pPr>
      <w:r w:rsidRPr="00F51558">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F51558" w:rsidRDefault="00A235B7" w:rsidP="006D01C2">
      <w:pPr>
        <w:pStyle w:val="ListParagraph"/>
        <w:numPr>
          <w:ilvl w:val="0"/>
          <w:numId w:val="16"/>
        </w:numPr>
        <w:ind w:left="426"/>
        <w:jc w:val="both"/>
        <w:rPr>
          <w:rFonts w:ascii="Avenir Next" w:hAnsi="Avenir Next" w:cs="Arial"/>
          <w:sz w:val="22"/>
          <w:szCs w:val="22"/>
          <w:highlight w:val="yellow"/>
          <w:lang w:val="en-GB"/>
        </w:rPr>
      </w:pPr>
      <w:r w:rsidRPr="00F51558">
        <w:rPr>
          <w:rFonts w:ascii="Avenir Next" w:hAnsi="Avenir Next" w:cs="Arial"/>
          <w:sz w:val="22"/>
          <w:szCs w:val="22"/>
          <w:highlight w:val="yellow"/>
          <w:lang w:val="en-GB"/>
        </w:rPr>
        <w:t>The statement</w:t>
      </w:r>
      <w:r w:rsidR="0037465A" w:rsidRPr="00F51558">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F51558"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F51558">
        <w:rPr>
          <w:rFonts w:ascii="Avenir Next" w:eastAsiaTheme="minorHAnsi" w:hAnsi="Avenir Next" w:cs="Arial"/>
          <w:sz w:val="22"/>
          <w:szCs w:val="22"/>
          <w:highlight w:val="yellow"/>
          <w:lang w:val="en-GB"/>
        </w:rPr>
        <w:t>Private International Law</w:t>
      </w:r>
      <w:r w:rsidR="00991428" w:rsidRPr="00F51558">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C42BF4" w:rsidRDefault="005A0CCA" w:rsidP="006D01C2">
      <w:pPr>
        <w:pStyle w:val="ListParagraph"/>
        <w:numPr>
          <w:ilvl w:val="0"/>
          <w:numId w:val="18"/>
        </w:numPr>
        <w:ind w:left="426"/>
        <w:jc w:val="both"/>
        <w:rPr>
          <w:rFonts w:ascii="Avenir Next" w:hAnsi="Avenir Next" w:cs="Arial"/>
          <w:sz w:val="22"/>
          <w:szCs w:val="22"/>
          <w:highlight w:val="yellow"/>
          <w:shd w:val="clear" w:color="auto" w:fill="FFFFFF"/>
          <w:lang w:val="en-GB"/>
        </w:rPr>
      </w:pPr>
      <w:r w:rsidRPr="00C42BF4">
        <w:rPr>
          <w:rFonts w:ascii="Avenir Next" w:hAnsi="Avenir Next" w:cs="Arial"/>
          <w:sz w:val="22"/>
          <w:szCs w:val="22"/>
          <w:highlight w:val="yellow"/>
          <w:shd w:val="clear" w:color="auto" w:fill="FFFFFF"/>
          <w:lang w:val="en-GB"/>
        </w:rPr>
        <w:t>EU Cross-Border Insolvency Court-to-Court Communications Guidelines (201</w:t>
      </w:r>
      <w:r w:rsidR="00FE2A86" w:rsidRPr="00C42BF4">
        <w:rPr>
          <w:rFonts w:ascii="Avenir Next" w:hAnsi="Avenir Next" w:cs="Arial"/>
          <w:sz w:val="22"/>
          <w:szCs w:val="22"/>
          <w:highlight w:val="yellow"/>
          <w:shd w:val="clear" w:color="auto" w:fill="FFFFFF"/>
          <w:lang w:val="en-GB"/>
        </w:rPr>
        <w:t>4</w:t>
      </w:r>
      <w:r w:rsidRPr="00C42BF4">
        <w:rPr>
          <w:rFonts w:ascii="Avenir Next" w:hAnsi="Avenir Next" w:cs="Arial"/>
          <w:sz w:val="22"/>
          <w:szCs w:val="22"/>
          <w:highlight w:val="yellow"/>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1E0DFD" w:rsidRDefault="001A7E9A" w:rsidP="006D01C2">
      <w:pPr>
        <w:pStyle w:val="ListParagraph"/>
        <w:numPr>
          <w:ilvl w:val="0"/>
          <w:numId w:val="19"/>
        </w:numPr>
        <w:ind w:left="426"/>
        <w:jc w:val="both"/>
        <w:rPr>
          <w:rFonts w:ascii="Avenir Next" w:hAnsi="Avenir Next" w:cs="Arial"/>
          <w:sz w:val="22"/>
          <w:szCs w:val="22"/>
          <w:highlight w:val="yellow"/>
          <w:lang w:val="en-GB"/>
        </w:rPr>
      </w:pPr>
      <w:r w:rsidRPr="001E0DFD">
        <w:rPr>
          <w:rFonts w:ascii="Avenir Next" w:hAnsi="Avenir Next" w:cs="Arial"/>
          <w:sz w:val="22"/>
          <w:szCs w:val="22"/>
          <w:highlight w:val="yellow"/>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C42BF4" w:rsidRDefault="0082483F" w:rsidP="006D01C2">
      <w:pPr>
        <w:pStyle w:val="ListParagraph"/>
        <w:numPr>
          <w:ilvl w:val="0"/>
          <w:numId w:val="20"/>
        </w:numPr>
        <w:ind w:left="426"/>
        <w:jc w:val="both"/>
        <w:rPr>
          <w:rFonts w:ascii="Avenir Next" w:hAnsi="Avenir Next" w:cs="Arial"/>
          <w:sz w:val="22"/>
          <w:szCs w:val="22"/>
          <w:highlight w:val="yellow"/>
          <w:lang w:val="en-GB"/>
        </w:rPr>
      </w:pPr>
      <w:r w:rsidRPr="00C42BF4">
        <w:rPr>
          <w:rFonts w:ascii="Avenir Next" w:hAnsi="Avenir Next" w:cs="Arial"/>
          <w:sz w:val="22"/>
          <w:szCs w:val="22"/>
          <w:highlight w:val="yellow"/>
          <w:lang w:val="en-GB"/>
        </w:rPr>
        <w:t xml:space="preserve">A centralised insolvency </w:t>
      </w:r>
      <w:proofErr w:type="gramStart"/>
      <w:r w:rsidRPr="00C42BF4">
        <w:rPr>
          <w:rFonts w:ascii="Avenir Next" w:hAnsi="Avenir Next" w:cs="Arial"/>
          <w:sz w:val="22"/>
          <w:szCs w:val="22"/>
          <w:highlight w:val="yellow"/>
          <w:lang w:val="en-GB"/>
        </w:rPr>
        <w:t>register</w:t>
      </w:r>
      <w:proofErr w:type="gramEnd"/>
      <w:r w:rsidRPr="00C42BF4">
        <w:rPr>
          <w:rFonts w:ascii="Avenir Next" w:hAnsi="Avenir Next" w:cs="Arial"/>
          <w:sz w:val="22"/>
          <w:szCs w:val="22"/>
          <w:highlight w:val="yellow"/>
          <w:lang w:val="en-GB"/>
        </w:rPr>
        <w:t xml:space="preserve"> of insolvency proceedings opened in member states</w:t>
      </w:r>
      <w:r w:rsidR="003A2F8D" w:rsidRPr="00C42BF4">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1E0DFD"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1E0DFD">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54431C0" w:rsidR="009B07AD" w:rsidRPr="00A9151C" w:rsidRDefault="009208D1" w:rsidP="00A9151C">
      <w:pPr>
        <w:rPr>
          <w:rFonts w:ascii="Avenir Next" w:hAnsi="Avenir Next" w:cs="Arial"/>
          <w:sz w:val="22"/>
          <w:szCs w:val="22"/>
          <w:lang w:val="en-GB"/>
        </w:rPr>
      </w:pPr>
      <w:r w:rsidRPr="00A9151C">
        <w:rPr>
          <w:rFonts w:ascii="Avenir Next" w:hAnsi="Avenir Next" w:cs="Arial"/>
          <w:color w:val="7B7B7B" w:themeColor="accent3" w:themeShade="BF"/>
          <w:sz w:val="22"/>
          <w:szCs w:val="22"/>
          <w:lang w:val="en-GB"/>
        </w:rPr>
        <w:t xml:space="preserve">International Insolvency Law refers to laws/principles of law formulated to facilitate resolution of insolvency matters which have a foreign element to them (i.e., extend beyond a single state in the form of says debtors and creditors in foreign states), with a view to regulating the choice, and implementation, of the laws that will govern these insolvency proceedings. International Insolvency Law </w:t>
      </w:r>
      <w:r w:rsidR="00A9151C" w:rsidRPr="00A9151C">
        <w:rPr>
          <w:rFonts w:ascii="Avenir Next" w:hAnsi="Avenir Next" w:cs="Arial"/>
          <w:color w:val="7B7B7B" w:themeColor="accent3" w:themeShade="BF"/>
          <w:sz w:val="22"/>
          <w:szCs w:val="22"/>
          <w:lang w:val="en-GB"/>
        </w:rPr>
        <w:t xml:space="preserve">governs the interplay </w:t>
      </w:r>
      <w:r w:rsidR="00A9151C">
        <w:rPr>
          <w:rFonts w:ascii="Avenir Next" w:hAnsi="Avenir Next" w:cs="Arial"/>
          <w:color w:val="7B7B7B" w:themeColor="accent3" w:themeShade="BF"/>
          <w:sz w:val="22"/>
          <w:szCs w:val="22"/>
          <w:lang w:val="en-GB"/>
        </w:rPr>
        <w:t xml:space="preserve">between </w:t>
      </w:r>
      <w:r w:rsidR="00A9151C" w:rsidRPr="00A9151C">
        <w:rPr>
          <w:rFonts w:ascii="Avenir Next" w:hAnsi="Avenir Next" w:cs="Arial"/>
          <w:color w:val="7B7B7B" w:themeColor="accent3" w:themeShade="BF"/>
          <w:sz w:val="22"/>
          <w:szCs w:val="22"/>
          <w:lang w:val="en-GB"/>
        </w:rPr>
        <w:t>two or more (potentially) competing sets of insolvency laws emanating from the respective states involved in the matter.</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1914A888" w14:textId="6C4E1371" w:rsidR="00A9151C" w:rsidRDefault="00A9151C" w:rsidP="00A9151C">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Universality is a principle of International Insolvency Law that is based on the view that all aspects of a debtor’s insolvency, both local and foreign, should be governed by a single substantive legislation and under a single main proceeding under which the debtor’s</w:t>
      </w:r>
      <w:r w:rsidR="00DE648D">
        <w:rPr>
          <w:rFonts w:ascii="Avenir Next" w:hAnsi="Avenir Next" w:cs="Arial"/>
          <w:color w:val="7B7B7B" w:themeColor="accent3" w:themeShade="BF"/>
          <w:sz w:val="22"/>
          <w:szCs w:val="22"/>
          <w:lang w:val="en-GB"/>
        </w:rPr>
        <w:t xml:space="preserve"> affairs are overseen by a single trustee and in which</w:t>
      </w:r>
      <w:r>
        <w:rPr>
          <w:rFonts w:ascii="Avenir Next" w:hAnsi="Avenir Next" w:cs="Arial"/>
          <w:color w:val="7B7B7B" w:themeColor="accent3" w:themeShade="BF"/>
          <w:sz w:val="22"/>
          <w:szCs w:val="22"/>
          <w:lang w:val="en-GB"/>
        </w:rPr>
        <w:t xml:space="preserve"> assets and liabilities are pooled across </w:t>
      </w:r>
      <w:r w:rsidR="00DE648D">
        <w:rPr>
          <w:rFonts w:ascii="Avenir Next" w:hAnsi="Avenir Next" w:cs="Arial"/>
          <w:color w:val="7B7B7B" w:themeColor="accent3" w:themeShade="BF"/>
          <w:sz w:val="22"/>
          <w:szCs w:val="22"/>
          <w:lang w:val="en-GB"/>
        </w:rPr>
        <w:t>various states involved.</w:t>
      </w:r>
    </w:p>
    <w:p w14:paraId="28F1F5B2" w14:textId="77777777" w:rsidR="00A9151C" w:rsidRDefault="00A9151C" w:rsidP="00A9151C">
      <w:pPr>
        <w:rPr>
          <w:rFonts w:ascii="Avenir Next" w:hAnsi="Avenir Next" w:cs="Arial"/>
          <w:color w:val="7B7B7B" w:themeColor="accent3" w:themeShade="BF"/>
          <w:sz w:val="22"/>
          <w:szCs w:val="22"/>
          <w:lang w:val="en-GB"/>
        </w:rPr>
      </w:pPr>
    </w:p>
    <w:p w14:paraId="2F57801B" w14:textId="569FD6C2" w:rsidR="009B07AD" w:rsidRPr="00A9151C" w:rsidRDefault="00A9151C" w:rsidP="00A9151C">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Territoriality is a principle of International Insolvency Law that is based on the view that application of any state’s insolvency laws ought to be restricted to the borders of that state and that, similarly, </w:t>
      </w:r>
      <w:r>
        <w:rPr>
          <w:rFonts w:ascii="Avenir Next" w:hAnsi="Avenir Next" w:cs="Arial"/>
          <w:color w:val="7B7B7B" w:themeColor="accent3" w:themeShade="BF"/>
          <w:sz w:val="22"/>
          <w:szCs w:val="22"/>
          <w:lang w:val="en-GB"/>
        </w:rPr>
        <w:lastRenderedPageBreak/>
        <w:t>the effect of insolvency proceedings should be restricted to the state of origin and should only involve debtors, creditors, and assets in that state of origin.</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16527FAD" w:rsidR="00C72848" w:rsidRPr="00DE648D" w:rsidRDefault="003E045C" w:rsidP="003D550B">
      <w:pPr>
        <w:pStyle w:val="ListParagraph"/>
        <w:numPr>
          <w:ilvl w:val="0"/>
          <w:numId w:val="24"/>
        </w:numPr>
        <w:spacing w:before="120" w:after="120"/>
        <w:contextualSpacing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2019, </w:t>
      </w:r>
      <w:r w:rsidR="00A32FD6">
        <w:rPr>
          <w:rFonts w:ascii="Avenir Next" w:hAnsi="Avenir Next" w:cs="Arial"/>
          <w:color w:val="7B7B7B" w:themeColor="accent3" w:themeShade="BF"/>
          <w:sz w:val="22"/>
          <w:szCs w:val="22"/>
          <w:lang w:val="en-GB"/>
        </w:rPr>
        <w:t>UAE</w:t>
      </w:r>
      <w:r w:rsidR="00DE648D" w:rsidRPr="00DE648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enacted a</w:t>
      </w:r>
      <w:r w:rsidR="00A32FD6">
        <w:rPr>
          <w:rFonts w:ascii="Avenir Next" w:hAnsi="Avenir Next" w:cs="Arial"/>
          <w:color w:val="7B7B7B" w:themeColor="accent3" w:themeShade="BF"/>
          <w:sz w:val="22"/>
          <w:szCs w:val="22"/>
          <w:lang w:val="en-GB"/>
        </w:rPr>
        <w:t xml:space="preserve"> new federal law to govern personal bankruptcy. Amongst other provisions, </w:t>
      </w:r>
      <w:proofErr w:type="gramStart"/>
      <w:r w:rsidR="00A32FD6">
        <w:rPr>
          <w:rFonts w:ascii="Avenir Next" w:hAnsi="Avenir Next" w:cs="Arial"/>
          <w:color w:val="7B7B7B" w:themeColor="accent3" w:themeShade="BF"/>
          <w:sz w:val="22"/>
          <w:szCs w:val="22"/>
          <w:lang w:val="en-GB"/>
        </w:rPr>
        <w:t>this laws</w:t>
      </w:r>
      <w:proofErr w:type="gramEnd"/>
      <w:r w:rsidR="00A32FD6">
        <w:rPr>
          <w:rFonts w:ascii="Avenir Next" w:hAnsi="Avenir Next" w:cs="Arial"/>
          <w:color w:val="7B7B7B" w:themeColor="accent3" w:themeShade="BF"/>
          <w:sz w:val="22"/>
          <w:szCs w:val="22"/>
          <w:lang w:val="en-GB"/>
        </w:rPr>
        <w:t xml:space="preserve"> introduced protection from legal prosecution. (</w:t>
      </w:r>
      <w:hyperlink r:id="rId9" w:history="1">
        <w:r w:rsidR="00A32FD6" w:rsidRPr="007D1F2A">
          <w:rPr>
            <w:rStyle w:val="Hyperlink"/>
            <w:rFonts w:ascii="Avenir Next" w:hAnsi="Avenir Next" w:cs="Arial"/>
            <w:sz w:val="22"/>
            <w:szCs w:val="22"/>
            <w:lang w:val="en-GB"/>
          </w:rPr>
          <w:t>https://u.ae/en/information-and-services/business/protection-of-insolvent-natural-persons</w:t>
        </w:r>
      </w:hyperlink>
      <w:r w:rsidR="00A32FD6">
        <w:rPr>
          <w:rFonts w:ascii="Avenir Next" w:hAnsi="Avenir Next" w:cs="Arial"/>
          <w:color w:val="7B7B7B" w:themeColor="accent3" w:themeShade="BF"/>
          <w:sz w:val="22"/>
          <w:szCs w:val="22"/>
          <w:lang w:val="en-GB"/>
        </w:rPr>
        <w:t>, 14 October 2023, 14:10HRS)</w:t>
      </w:r>
      <w:r>
        <w:rPr>
          <w:rFonts w:ascii="Avenir Next" w:hAnsi="Avenir Next" w:cs="Arial"/>
          <w:color w:val="7B7B7B" w:themeColor="accent3" w:themeShade="BF"/>
          <w:sz w:val="22"/>
          <w:szCs w:val="22"/>
          <w:lang w:val="en-GB"/>
        </w:rPr>
        <w:t xml:space="preserve"> .</w:t>
      </w:r>
    </w:p>
    <w:p w14:paraId="5379041C" w14:textId="21433738" w:rsidR="00DE648D" w:rsidRPr="003D550B" w:rsidRDefault="00A32FD6" w:rsidP="003D550B">
      <w:pPr>
        <w:pStyle w:val="ListParagraph"/>
        <w:numPr>
          <w:ilvl w:val="0"/>
          <w:numId w:val="24"/>
        </w:numPr>
        <w:spacing w:before="120" w:after="120"/>
        <w:contextualSpacing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2019, the </w:t>
      </w:r>
      <w:r w:rsidR="004F6E33" w:rsidRPr="004F6E33">
        <w:rPr>
          <w:rFonts w:ascii="Avenir Next" w:hAnsi="Avenir Next" w:cs="Arial"/>
          <w:color w:val="7B7B7B" w:themeColor="accent3" w:themeShade="BF"/>
          <w:sz w:val="22"/>
          <w:szCs w:val="22"/>
          <w:lang w:val="en-GB"/>
        </w:rPr>
        <w:t>Dubai International Financial Centre</w:t>
      </w:r>
      <w:r w:rsidR="004F6E33">
        <w:rPr>
          <w:rFonts w:ascii="Avenir Next" w:hAnsi="Avenir Next" w:cs="Arial"/>
          <w:color w:val="7B7B7B" w:themeColor="accent3" w:themeShade="BF"/>
          <w:sz w:val="22"/>
          <w:szCs w:val="22"/>
          <w:lang w:val="en-GB"/>
        </w:rPr>
        <w:t xml:space="preserve"> adopted</w:t>
      </w:r>
      <w:r>
        <w:rPr>
          <w:rFonts w:ascii="Avenir Next" w:hAnsi="Avenir Next" w:cs="Arial"/>
          <w:color w:val="7B7B7B" w:themeColor="accent3" w:themeShade="BF"/>
          <w:sz w:val="22"/>
          <w:szCs w:val="22"/>
          <w:lang w:val="en-GB"/>
        </w:rPr>
        <w:t xml:space="preserve"> changes to its insolvency law which introduced provisions such as a “Debtor-in-Possession” style Rehabilitation Plan and also adopted the</w:t>
      </w:r>
      <w:r w:rsidR="004F6E33">
        <w:rPr>
          <w:rFonts w:ascii="Avenir Next" w:hAnsi="Avenir Next" w:cs="Arial"/>
          <w:color w:val="7B7B7B" w:themeColor="accent3" w:themeShade="BF"/>
          <w:sz w:val="22"/>
          <w:szCs w:val="22"/>
          <w:lang w:val="en-GB"/>
        </w:rPr>
        <w:t xml:space="preserve"> Model Law on Cross-Border Insolvency </w:t>
      </w:r>
      <w:r>
        <w:rPr>
          <w:rFonts w:ascii="Avenir Next" w:hAnsi="Avenir Next" w:cs="Arial"/>
          <w:color w:val="7B7B7B" w:themeColor="accent3" w:themeShade="BF"/>
          <w:sz w:val="22"/>
          <w:szCs w:val="22"/>
          <w:lang w:val="en-GB"/>
        </w:rPr>
        <w:t>(</w:t>
      </w:r>
      <w:hyperlink r:id="rId10" w:history="1">
        <w:r w:rsidR="003D550B" w:rsidRPr="007D1F2A">
          <w:rPr>
            <w:rStyle w:val="Hyperlink"/>
            <w:rFonts w:ascii="Avenir Next" w:hAnsi="Avenir Next" w:cs="Arial"/>
            <w:sz w:val="22"/>
            <w:szCs w:val="22"/>
            <w:lang w:val="en-GB"/>
          </w:rPr>
          <w:t>https://bsabh.com/knowledge-hub/news/the-difc-insolvency-law-a-first-of-its-kind-procedure-for-insolvency-in-accordance-with-international-best-practice</w:t>
        </w:r>
      </w:hyperlink>
      <w:r w:rsidR="003D550B">
        <w:rPr>
          <w:rFonts w:ascii="Avenir Next" w:hAnsi="Avenir Next" w:cs="Arial"/>
          <w:color w:val="7B7B7B" w:themeColor="accent3" w:themeShade="BF"/>
          <w:sz w:val="22"/>
          <w:szCs w:val="22"/>
          <w:lang w:val="en-GB"/>
        </w:rPr>
        <w:t>, 14 October 2023, 14:18HRS)</w:t>
      </w:r>
    </w:p>
    <w:p w14:paraId="2AAA1871" w14:textId="03D07C42" w:rsidR="003D550B" w:rsidRPr="003D550B" w:rsidRDefault="003D550B" w:rsidP="003D550B">
      <w:pPr>
        <w:pStyle w:val="ListParagraph"/>
        <w:numPr>
          <w:ilvl w:val="0"/>
          <w:numId w:val="24"/>
        </w:numPr>
        <w:spacing w:before="120" w:after="120"/>
        <w:contextualSpacing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2018, Bahrain adopted a new Reorganization and Bankruptcy Law. Some key feature was the introduction of reorganization procedures for distressed businesses and mechanisms for cooperation between courts in foreign jurisdictions in cross-border insolvency matters (</w:t>
      </w:r>
      <w:hyperlink r:id="rId11" w:history="1">
        <w:r w:rsidRPr="007D1F2A">
          <w:rPr>
            <w:rStyle w:val="Hyperlink"/>
            <w:rFonts w:ascii="Avenir Next" w:hAnsi="Avenir Next" w:cs="Arial"/>
            <w:sz w:val="22"/>
            <w:szCs w:val="22"/>
            <w:lang w:val="en-GB"/>
          </w:rPr>
          <w:t>https://www.tamimi.com/law-update-articles/bahrain-introduces-new-insolvency-regime</w:t>
        </w:r>
      </w:hyperlink>
      <w:r>
        <w:rPr>
          <w:rFonts w:ascii="Avenir Next" w:hAnsi="Avenir Next" w:cs="Arial"/>
          <w:color w:val="7B7B7B" w:themeColor="accent3" w:themeShade="BF"/>
          <w:sz w:val="22"/>
          <w:szCs w:val="22"/>
          <w:lang w:val="en-GB"/>
        </w:rPr>
        <w:t xml:space="preserve">, 14 October 2023, 14:24HRS)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35AADA1B" w:rsidR="00544127" w:rsidRPr="00827D56" w:rsidRDefault="00D35D98"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primary objective of insolvency for individuals is to protect the debtors from harassment by their creditors and to accord them a fresh start. On the other hand, corporate insolvency has the primary objectives of preserving viable businesses or, in the alternative, realizing assets to facilitate repayment of debts owed to creditors, while also providing an avenue for attribution of personal liability where necessary (e.g., in the case of wrongful/fraudulent trading).</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0ACDBA06" w14:textId="77777777" w:rsidR="007623FB" w:rsidRDefault="007623FB" w:rsidP="00C053F7">
      <w:pPr>
        <w:jc w:val="both"/>
        <w:rPr>
          <w:rFonts w:ascii="Avenir Next" w:hAnsi="Avenir Next" w:cs="Arial"/>
          <w:color w:val="7B7B7B" w:themeColor="accent3" w:themeShade="BF"/>
          <w:sz w:val="22"/>
          <w:szCs w:val="22"/>
          <w:lang w:val="en-GB"/>
        </w:rPr>
      </w:pPr>
    </w:p>
    <w:p w14:paraId="7940D274" w14:textId="402A7441" w:rsidR="00DF75F8" w:rsidRDefault="007623F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Some of the difficulties that may in the context of cross-border insolvency due to differenced in the systems of the involved states include:</w:t>
      </w:r>
    </w:p>
    <w:p w14:paraId="37BAB47C" w14:textId="10AACED8" w:rsidR="007623FB" w:rsidRDefault="007623FB" w:rsidP="00C053F7">
      <w:pPr>
        <w:jc w:val="both"/>
        <w:rPr>
          <w:rFonts w:ascii="Avenir Next" w:hAnsi="Avenir Next" w:cs="Arial"/>
          <w:color w:val="7B7B7B" w:themeColor="accent3" w:themeShade="BF"/>
          <w:sz w:val="22"/>
          <w:szCs w:val="22"/>
          <w:lang w:val="en-GB"/>
        </w:rPr>
      </w:pPr>
    </w:p>
    <w:p w14:paraId="03CDE720" w14:textId="1FE032F8" w:rsidR="007623FB" w:rsidRDefault="007623FB" w:rsidP="003D0B39">
      <w:pPr>
        <w:pStyle w:val="ListParagraph"/>
        <w:numPr>
          <w:ilvl w:val="0"/>
          <w:numId w:val="25"/>
        </w:numPr>
        <w:spacing w:before="120"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Differences in the overarching/underlying policies for the respective states. While some states take a pro-creditor approach to insolvency, other states take a pro-debtor approach. This </w:t>
      </w:r>
      <w:r>
        <w:rPr>
          <w:rFonts w:ascii="Avenir Next" w:hAnsi="Avenir Next" w:cs="Arial"/>
          <w:color w:val="7B7B7B" w:themeColor="accent3" w:themeShade="BF"/>
          <w:sz w:val="22"/>
          <w:szCs w:val="22"/>
          <w:lang w:val="en-GB"/>
        </w:rPr>
        <w:lastRenderedPageBreak/>
        <w:t>conflict can result in counterproductive proceeding being pursued in different jurisdictions e.g., a pro-debtor system maybe trying to implement a reorganization which is undermined by a concurrent  liquidation in the pro-creditor system.</w:t>
      </w:r>
    </w:p>
    <w:p w14:paraId="27BE4090" w14:textId="77777777" w:rsidR="003D0B39" w:rsidRDefault="007623FB" w:rsidP="003D0B39">
      <w:pPr>
        <w:pStyle w:val="ListParagraph"/>
        <w:numPr>
          <w:ilvl w:val="0"/>
          <w:numId w:val="25"/>
        </w:numPr>
        <w:spacing w:before="120"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Differences in other Substantive Laws over and above the Insolvency-specific Laws</w:t>
      </w:r>
      <w:r w:rsidR="003D0B39">
        <w:rPr>
          <w:rFonts w:ascii="Avenir Next" w:hAnsi="Avenir Next" w:cs="Arial"/>
          <w:color w:val="7B7B7B" w:themeColor="accent3" w:themeShade="BF"/>
          <w:sz w:val="22"/>
          <w:szCs w:val="22"/>
          <w:lang w:val="en-GB"/>
        </w:rPr>
        <w:t xml:space="preserve"> pose an inherent challenge to cross-border insolvencies since these laws can have a great influence on insolvency laws and implementation thereof. For example, aspects such as Taking of Securities and means of Conveying Title, which are anchored in other Substantive Laws and which may vary across different states, are critical in the conduct of insolvency proceedings. Material differences in Substantive Laws may frustrate cross-border insolvencies due to inability to reconcile the two systems.</w:t>
      </w:r>
    </w:p>
    <w:p w14:paraId="65CE0F6D" w14:textId="33D45AC9" w:rsidR="003D0B39" w:rsidRPr="003D0B39" w:rsidRDefault="003D0B39" w:rsidP="003D0B39">
      <w:pPr>
        <w:pStyle w:val="ListParagraph"/>
        <w:numPr>
          <w:ilvl w:val="0"/>
          <w:numId w:val="25"/>
        </w:numPr>
        <w:spacing w:before="120"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Differences in other fiscal and socio-political policy considerations may also create difficulties in the context of cross-border insolvencies. For example, a government may choose to protect local creditors at the expense of foreign creditors/stakeholders for political capital. This is also true for differences in other socio-economic policies e.g., protectionist approach to labour rights etc.</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120471DF" w:rsidR="00DF75F8" w:rsidRDefault="009B090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Some of the steps taken in the 21</w:t>
      </w:r>
      <w:r w:rsidRPr="009B0903">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to promote harmonization of domestic insolvency laws include:</w:t>
      </w:r>
      <w:r>
        <w:rPr>
          <w:rFonts w:ascii="Avenir Next" w:hAnsi="Avenir Next" w:cs="Arial"/>
          <w:color w:val="7B7B7B" w:themeColor="accent3" w:themeShade="BF"/>
          <w:sz w:val="22"/>
          <w:szCs w:val="22"/>
          <w:lang w:val="en-GB"/>
        </w:rPr>
        <w:br/>
      </w:r>
    </w:p>
    <w:p w14:paraId="4F912019" w14:textId="6C359030" w:rsidR="009B0903" w:rsidRPr="00AC1E0E" w:rsidRDefault="00AC1E0E" w:rsidP="00AC1E0E">
      <w:pPr>
        <w:pStyle w:val="ListParagraph"/>
        <w:numPr>
          <w:ilvl w:val="0"/>
          <w:numId w:val="27"/>
        </w:numPr>
        <w:spacing w:before="120" w:after="120"/>
        <w:contextualSpacing w:val="0"/>
        <w:jc w:val="both"/>
        <w:rPr>
          <w:rFonts w:ascii="Avenir Next" w:hAnsi="Avenir Next" w:cs="Arial"/>
          <w:color w:val="7B7B7B" w:themeColor="accent3" w:themeShade="BF"/>
          <w:sz w:val="22"/>
          <w:szCs w:val="22"/>
          <w:lang w:val="en-GB"/>
        </w:rPr>
      </w:pPr>
      <w:r w:rsidRPr="00AC1E0E">
        <w:rPr>
          <w:rFonts w:ascii="Avenir Next" w:hAnsi="Avenir Next" w:cs="Arial"/>
          <w:color w:val="7B7B7B" w:themeColor="accent3" w:themeShade="BF"/>
          <w:sz w:val="22"/>
          <w:szCs w:val="22"/>
          <w:lang w:val="en-GB"/>
        </w:rPr>
        <w:t xml:space="preserve">The World Bank’s Principles for Effective Insolvency and Creditor / Debtor Regimes </w:t>
      </w:r>
      <w:r>
        <w:rPr>
          <w:rFonts w:ascii="Avenir Next" w:hAnsi="Avenir Next" w:cs="Arial"/>
          <w:color w:val="7B7B7B" w:themeColor="accent3" w:themeShade="BF"/>
          <w:sz w:val="22"/>
          <w:szCs w:val="22"/>
          <w:lang w:val="en-GB"/>
        </w:rPr>
        <w:t xml:space="preserve">– This sets out international best practice on development of creditor/debtor systems </w:t>
      </w:r>
      <w:hyperlink r:id="rId12" w:history="1">
        <w:r w:rsidRPr="007D1F2A">
          <w:rPr>
            <w:rStyle w:val="Hyperlink"/>
            <w:rFonts w:ascii="Avenir Next" w:hAnsi="Avenir Next" w:cs="Arial"/>
            <w:sz w:val="22"/>
            <w:szCs w:val="22"/>
            <w:lang w:val="en-GB"/>
          </w:rPr>
          <w:t>https://www.worldbank.org/en/topic/financialsector/brief/the-world-bank-principles-for-effective-insolvency-and-creditor-rights</w:t>
        </w:r>
      </w:hyperlink>
      <w:r>
        <w:rPr>
          <w:rFonts w:ascii="Avenir Next" w:hAnsi="Avenir Next" w:cs="Arial"/>
          <w:color w:val="7B7B7B" w:themeColor="accent3" w:themeShade="BF"/>
          <w:sz w:val="22"/>
          <w:szCs w:val="22"/>
          <w:lang w:val="en-GB"/>
        </w:rPr>
        <w:t>, 14 October 2023, 16:42HRS).</w:t>
      </w:r>
    </w:p>
    <w:p w14:paraId="171AB992" w14:textId="0F50946D" w:rsidR="009B0903" w:rsidRPr="00AC1E0E" w:rsidRDefault="00AC1E0E" w:rsidP="00AC1E0E">
      <w:pPr>
        <w:pStyle w:val="ListParagraph"/>
        <w:numPr>
          <w:ilvl w:val="0"/>
          <w:numId w:val="27"/>
        </w:numPr>
        <w:spacing w:before="120" w:after="120"/>
        <w:contextualSpacing w:val="0"/>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AC1E0E">
        <w:rPr>
          <w:rFonts w:ascii="Avenir Next" w:hAnsi="Avenir Next" w:cs="Arial"/>
          <w:color w:val="7B7B7B" w:themeColor="accent3" w:themeShade="BF"/>
          <w:sz w:val="22"/>
          <w:szCs w:val="22"/>
          <w:lang w:val="en-GB"/>
        </w:rPr>
        <w:t>he UNCITRAL Legislative Guide on Insolvency</w:t>
      </w:r>
      <w:r>
        <w:rPr>
          <w:rFonts w:ascii="Avenir Next" w:hAnsi="Avenir Next" w:cs="Arial"/>
          <w:color w:val="7B7B7B" w:themeColor="accent3" w:themeShade="BF"/>
          <w:sz w:val="22"/>
          <w:szCs w:val="22"/>
          <w:lang w:val="en-GB"/>
        </w:rPr>
        <w:t xml:space="preserve"> – This sets out the key objectives and principles that should be reflected in a state’s insolvency laws (</w:t>
      </w:r>
      <w:hyperlink r:id="rId13" w:history="1">
        <w:r w:rsidRPr="007D1F2A">
          <w:rPr>
            <w:rStyle w:val="Hyperlink"/>
            <w:rFonts w:ascii="Avenir Next" w:hAnsi="Avenir Next" w:cs="Arial"/>
            <w:sz w:val="22"/>
            <w:szCs w:val="22"/>
            <w:lang w:val="en-GB"/>
          </w:rPr>
          <w:t>https://uncitral.un.org/en/texts/insolvency/legislativeguides/insolvency_law</w:t>
        </w:r>
      </w:hyperlink>
      <w:r>
        <w:rPr>
          <w:rFonts w:ascii="Avenir Next" w:hAnsi="Avenir Next" w:cs="Arial"/>
          <w:color w:val="7B7B7B" w:themeColor="accent3" w:themeShade="BF"/>
          <w:sz w:val="22"/>
          <w:szCs w:val="22"/>
          <w:lang w:val="en-GB"/>
        </w:rPr>
        <w:t>, 14 October 2023, 16:39HRS) .</w:t>
      </w:r>
    </w:p>
    <w:p w14:paraId="1B76EE96" w14:textId="5917634C" w:rsidR="00AC1E0E" w:rsidRPr="005B3B6D" w:rsidRDefault="00AC1E0E" w:rsidP="005B3B6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my view, these steps will have a significant positive impact in addressing international insolvency issues because</w:t>
      </w:r>
      <w:r w:rsidR="005B3B6D">
        <w:rPr>
          <w:rFonts w:ascii="Avenir Next" w:hAnsi="Avenir Next" w:cs="Arial"/>
          <w:color w:val="7B7B7B" w:themeColor="accent3" w:themeShade="BF"/>
          <w:sz w:val="22"/>
          <w:szCs w:val="22"/>
          <w:lang w:val="en-GB"/>
        </w:rPr>
        <w:t xml:space="preserve"> s</w:t>
      </w:r>
      <w:r w:rsidRPr="005B3B6D">
        <w:rPr>
          <w:rFonts w:ascii="Avenir Next" w:hAnsi="Avenir Next" w:cs="Arial"/>
          <w:color w:val="7B7B7B" w:themeColor="accent3" w:themeShade="BF"/>
          <w:sz w:val="22"/>
          <w:szCs w:val="22"/>
          <w:lang w:val="en-GB"/>
        </w:rPr>
        <w:t xml:space="preserve">tates are able to leverage these principles during the reform of </w:t>
      </w:r>
      <w:r w:rsidR="005B3B6D" w:rsidRPr="005B3B6D">
        <w:rPr>
          <w:rFonts w:ascii="Avenir Next" w:hAnsi="Avenir Next" w:cs="Arial"/>
          <w:color w:val="7B7B7B" w:themeColor="accent3" w:themeShade="BF"/>
          <w:sz w:val="22"/>
          <w:szCs w:val="22"/>
          <w:lang w:val="en-GB"/>
        </w:rPr>
        <w:t xml:space="preserve">their respective insolvency regimes which, in general, will result in more robust/comprehensive insolvency laws </w:t>
      </w:r>
      <w:r w:rsidR="005B3B6D">
        <w:rPr>
          <w:rFonts w:ascii="Avenir Next" w:hAnsi="Avenir Next" w:cs="Arial"/>
          <w:color w:val="7B7B7B" w:themeColor="accent3" w:themeShade="BF"/>
          <w:sz w:val="22"/>
          <w:szCs w:val="22"/>
          <w:lang w:val="en-GB"/>
        </w:rPr>
        <w:t xml:space="preserve">across the world </w:t>
      </w:r>
      <w:r w:rsidR="005B3B6D" w:rsidRPr="005B3B6D">
        <w:rPr>
          <w:rFonts w:ascii="Avenir Next" w:hAnsi="Avenir Next" w:cs="Arial"/>
          <w:color w:val="7B7B7B" w:themeColor="accent3" w:themeShade="BF"/>
          <w:sz w:val="22"/>
          <w:szCs w:val="22"/>
          <w:lang w:val="en-GB"/>
        </w:rPr>
        <w:t>which better reflect the realities of modern economies and trade, including cross-border insolvency</w:t>
      </w:r>
      <w:r w:rsidR="005B3B6D">
        <w:rPr>
          <w:rFonts w:ascii="Avenir Next" w:hAnsi="Avenir Next" w:cs="Arial"/>
          <w:color w:val="7B7B7B" w:themeColor="accent3" w:themeShade="BF"/>
          <w:sz w:val="22"/>
          <w:szCs w:val="22"/>
          <w:lang w:val="en-GB"/>
        </w:rPr>
        <w:t xml:space="preserve">. These principles in themselves try to balance the various competing interests in the context of insolvency proceedings and laws that are based off these principles are themselves likely to be more balanced. This will, potentially, reduce the divergence that arises due to state-specific policy </w:t>
      </w:r>
      <w:proofErr w:type="gramStart"/>
      <w:r w:rsidR="005B3B6D">
        <w:rPr>
          <w:rFonts w:ascii="Avenir Next" w:hAnsi="Avenir Next" w:cs="Arial"/>
          <w:color w:val="7B7B7B" w:themeColor="accent3" w:themeShade="BF"/>
          <w:sz w:val="22"/>
          <w:szCs w:val="22"/>
          <w:lang w:val="en-GB"/>
        </w:rPr>
        <w:t>priorities</w:t>
      </w:r>
      <w:proofErr w:type="gramEnd"/>
      <w:r w:rsidR="005B3B6D">
        <w:rPr>
          <w:rFonts w:ascii="Avenir Next" w:hAnsi="Avenir Next" w:cs="Arial"/>
          <w:color w:val="7B7B7B" w:themeColor="accent3" w:themeShade="BF"/>
          <w:sz w:val="22"/>
          <w:szCs w:val="22"/>
          <w:lang w:val="en-GB"/>
        </w:rPr>
        <w:t xml:space="preserve"> and which can pose difficulties in the context of cross-border insolvency matters. </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w:t>
      </w:r>
      <w:r w:rsidRPr="00827D56">
        <w:rPr>
          <w:rFonts w:ascii="Avenir Next" w:hAnsi="Avenir Next" w:cs="Arial"/>
          <w:sz w:val="22"/>
          <w:szCs w:val="22"/>
          <w:lang w:val="en-GB"/>
        </w:rPr>
        <w:lastRenderedPageBreak/>
        <w:t xml:space="preserve">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00599B3F"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w:t>
      </w:r>
      <w:r w:rsidR="00844774" w:rsidRPr="00844774">
        <w:rPr>
          <w:rFonts w:ascii="Avenir Next" w:hAnsi="Avenir Next" w:cs="Arial"/>
          <w:sz w:val="22"/>
          <w:szCs w:val="22"/>
          <w:lang w:val="en-GB"/>
        </w:rPr>
        <w:t xml:space="preserve">the </w:t>
      </w:r>
      <w:bookmarkStart w:id="1" w:name="_Hlk148289596"/>
      <w:r w:rsidR="00844774" w:rsidRPr="00844774">
        <w:rPr>
          <w:rFonts w:ascii="Avenir Next" w:hAnsi="Avenir Next" w:cs="Arial"/>
          <w:sz w:val="22"/>
          <w:szCs w:val="22"/>
          <w:lang w:val="en-GB"/>
        </w:rPr>
        <w:t>UNCITRAL Model Law on Cross-border Insolvency</w:t>
      </w:r>
      <w:r w:rsidR="00844774">
        <w:rPr>
          <w:rFonts w:ascii="Avenir Next" w:hAnsi="Avenir Next" w:cs="Arial"/>
          <w:sz w:val="22"/>
          <w:szCs w:val="22"/>
          <w:lang w:val="en-GB"/>
        </w:rPr>
        <w:t xml:space="preserve"> </w:t>
      </w:r>
      <w:r w:rsidRPr="00827D56">
        <w:rPr>
          <w:rFonts w:ascii="Avenir Next" w:hAnsi="Avenir Next" w:cs="Arial"/>
          <w:sz w:val="22"/>
          <w:szCs w:val="22"/>
          <w:lang w:val="en-GB"/>
        </w:rPr>
        <w:t xml:space="preserve"> </w:t>
      </w:r>
      <w:bookmarkEnd w:id="1"/>
      <w:r w:rsidRPr="00827D56">
        <w:rPr>
          <w:rFonts w:ascii="Avenir Next" w:hAnsi="Avenir Next" w:cs="Arial"/>
          <w:sz w:val="22"/>
          <w:szCs w:val="22"/>
          <w:lang w:val="en-GB"/>
        </w:rPr>
        <w:t>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3BD501D0" w14:textId="2A38B1A6" w:rsidR="00827D56" w:rsidRDefault="0084477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Cross-Border Insolvency Act of Utopia is based on the </w:t>
      </w:r>
      <w:r w:rsidRPr="00844774">
        <w:rPr>
          <w:rFonts w:ascii="Avenir Next" w:hAnsi="Avenir Next" w:cs="Arial"/>
          <w:color w:val="7B7B7B" w:themeColor="accent3" w:themeShade="BF"/>
          <w:sz w:val="22"/>
          <w:szCs w:val="22"/>
          <w:lang w:val="en-GB"/>
        </w:rPr>
        <w:t>UNCITRAL Model Law on Cross-border Insolvency</w:t>
      </w:r>
      <w:r>
        <w:rPr>
          <w:rFonts w:ascii="Avenir Next" w:hAnsi="Avenir Next" w:cs="Arial"/>
          <w:color w:val="7B7B7B" w:themeColor="accent3" w:themeShade="BF"/>
          <w:sz w:val="22"/>
          <w:szCs w:val="22"/>
          <w:lang w:val="en-GB"/>
        </w:rPr>
        <w:t xml:space="preserve">. The </w:t>
      </w:r>
      <w:r>
        <w:rPr>
          <w:rFonts w:ascii="Avenir Next" w:hAnsi="Avenir Next" w:cs="Arial"/>
          <w:color w:val="7B7B7B" w:themeColor="accent3" w:themeShade="BF"/>
          <w:sz w:val="22"/>
          <w:szCs w:val="22"/>
          <w:lang w:val="en-GB"/>
        </w:rPr>
        <w:t>Cross-Border Insolvency Act of Utopia</w:t>
      </w:r>
      <w:r>
        <w:rPr>
          <w:rFonts w:ascii="Avenir Next" w:hAnsi="Avenir Next" w:cs="Arial"/>
          <w:color w:val="7B7B7B" w:themeColor="accent3" w:themeShade="BF"/>
          <w:sz w:val="22"/>
          <w:szCs w:val="22"/>
          <w:lang w:val="en-GB"/>
        </w:rPr>
        <w:t xml:space="preserve"> will, therefore, provide for recognition of foreign proceedings  (the Erewhon liquidation) following application by the foreign representative (Erewhon liquidator). </w:t>
      </w:r>
      <w:r w:rsidR="00F96353">
        <w:rPr>
          <w:rFonts w:ascii="Avenir Next" w:hAnsi="Avenir Next" w:cs="Arial"/>
          <w:color w:val="7B7B7B" w:themeColor="accent3" w:themeShade="BF"/>
          <w:sz w:val="22"/>
          <w:szCs w:val="22"/>
          <w:lang w:val="en-GB"/>
        </w:rPr>
        <w:t>I would advise the</w:t>
      </w:r>
      <w:r>
        <w:rPr>
          <w:rFonts w:ascii="Avenir Next" w:hAnsi="Avenir Next" w:cs="Arial"/>
          <w:color w:val="7B7B7B" w:themeColor="accent3" w:themeShade="BF"/>
          <w:sz w:val="22"/>
          <w:szCs w:val="22"/>
          <w:lang w:val="en-GB"/>
        </w:rPr>
        <w:t xml:space="preserve"> Erewhon liquidator </w:t>
      </w:r>
      <w:r w:rsidR="00F96353">
        <w:rPr>
          <w:rFonts w:ascii="Avenir Next" w:hAnsi="Avenir Next" w:cs="Arial"/>
          <w:color w:val="7B7B7B" w:themeColor="accent3" w:themeShade="BF"/>
          <w:sz w:val="22"/>
          <w:szCs w:val="22"/>
          <w:lang w:val="en-GB"/>
        </w:rPr>
        <w:t>to</w:t>
      </w:r>
      <w:r>
        <w:rPr>
          <w:rFonts w:ascii="Avenir Next" w:hAnsi="Avenir Next" w:cs="Arial"/>
          <w:color w:val="7B7B7B" w:themeColor="accent3" w:themeShade="BF"/>
          <w:sz w:val="22"/>
          <w:szCs w:val="22"/>
          <w:lang w:val="en-GB"/>
        </w:rPr>
        <w:t xml:space="preserve"> apply for recognition of the Erewhon liquidation in Utopia.</w:t>
      </w:r>
      <w:r w:rsidR="00F96353">
        <w:rPr>
          <w:rFonts w:ascii="Avenir Next" w:hAnsi="Avenir Next" w:cs="Arial"/>
          <w:color w:val="7B7B7B" w:themeColor="accent3" w:themeShade="BF"/>
          <w:sz w:val="22"/>
          <w:szCs w:val="22"/>
          <w:lang w:val="en-GB"/>
        </w:rPr>
        <w:t xml:space="preserve"> Once recognition is obtained, the foreign representative can engage Apex to participate as a creditor in the Erewhon liquidation.</w:t>
      </w:r>
    </w:p>
    <w:p w14:paraId="1591ABCA" w14:textId="10781B15" w:rsidR="00F96353" w:rsidRDefault="00F96353" w:rsidP="00C053F7">
      <w:pPr>
        <w:jc w:val="both"/>
        <w:rPr>
          <w:rFonts w:ascii="Avenir Next" w:hAnsi="Avenir Next" w:cs="Arial"/>
          <w:color w:val="7B7B7B" w:themeColor="accent3" w:themeShade="BF"/>
          <w:sz w:val="22"/>
          <w:szCs w:val="22"/>
          <w:lang w:val="en-GB"/>
        </w:rPr>
      </w:pPr>
    </w:p>
    <w:p w14:paraId="49DD170A" w14:textId="77777777" w:rsidR="009C6446" w:rsidRDefault="00F9635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Additional information that would be useful is whether</w:t>
      </w:r>
      <w:r w:rsidR="009C6446">
        <w:rPr>
          <w:rFonts w:ascii="Avenir Next" w:hAnsi="Avenir Next" w:cs="Arial"/>
          <w:color w:val="7B7B7B" w:themeColor="accent3" w:themeShade="BF"/>
          <w:sz w:val="22"/>
          <w:szCs w:val="22"/>
          <w:lang w:val="en-GB"/>
        </w:rPr>
        <w:t>:</w:t>
      </w:r>
    </w:p>
    <w:p w14:paraId="738D4713" w14:textId="77777777" w:rsidR="009C6446" w:rsidRDefault="009C6446" w:rsidP="00C053F7">
      <w:pPr>
        <w:jc w:val="both"/>
        <w:rPr>
          <w:rFonts w:ascii="Avenir Next" w:hAnsi="Avenir Next" w:cs="Arial"/>
          <w:color w:val="7B7B7B" w:themeColor="accent3" w:themeShade="BF"/>
          <w:sz w:val="22"/>
          <w:szCs w:val="22"/>
          <w:lang w:val="en-GB"/>
        </w:rPr>
      </w:pPr>
    </w:p>
    <w:p w14:paraId="6AB3BF08" w14:textId="72B0D761" w:rsidR="00F96353" w:rsidRPr="009C6446" w:rsidRDefault="00F96353" w:rsidP="009C6446">
      <w:pPr>
        <w:pStyle w:val="ListParagraph"/>
        <w:numPr>
          <w:ilvl w:val="0"/>
          <w:numId w:val="30"/>
        </w:numPr>
        <w:jc w:val="both"/>
        <w:rPr>
          <w:rFonts w:ascii="Avenir Next" w:hAnsi="Avenir Next" w:cs="Arial"/>
          <w:sz w:val="22"/>
          <w:szCs w:val="22"/>
          <w:lang w:val="en-GB"/>
        </w:rPr>
      </w:pPr>
      <w:r w:rsidRPr="009C6446">
        <w:rPr>
          <w:rFonts w:ascii="Avenir Next" w:hAnsi="Avenir Next" w:cs="Arial"/>
          <w:color w:val="7B7B7B" w:themeColor="accent3" w:themeShade="BF"/>
          <w:sz w:val="22"/>
          <w:szCs w:val="22"/>
          <w:lang w:val="en-GB"/>
        </w:rPr>
        <w:t>the suit filed by Apex is an application for commencement of insolvency proceedings or simply an application for recovery of debt.</w:t>
      </w:r>
    </w:p>
    <w:p w14:paraId="05439E9A" w14:textId="3E82E3F7" w:rsidR="009C6446" w:rsidRPr="009C6446" w:rsidRDefault="009C6446" w:rsidP="009C6446">
      <w:pPr>
        <w:pStyle w:val="ListParagraph"/>
        <w:numPr>
          <w:ilvl w:val="0"/>
          <w:numId w:val="30"/>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Utopia and Erewhon are signatories to any multilateral treaties</w:t>
      </w:r>
      <w:r>
        <w:rPr>
          <w:rFonts w:ascii="Avenir Next" w:hAnsi="Avenir Next" w:cs="Arial"/>
          <w:color w:val="7B7B7B" w:themeColor="accent3" w:themeShade="BF"/>
          <w:sz w:val="22"/>
          <w:szCs w:val="22"/>
          <w:lang w:val="en-GB"/>
        </w:rPr>
        <w:t xml:space="preserve"> governing cross-border </w:t>
      </w:r>
      <w:proofErr w:type="gramStart"/>
      <w:r>
        <w:rPr>
          <w:rFonts w:ascii="Avenir Next" w:hAnsi="Avenir Next" w:cs="Arial"/>
          <w:color w:val="7B7B7B" w:themeColor="accent3" w:themeShade="BF"/>
          <w:sz w:val="22"/>
          <w:szCs w:val="22"/>
          <w:lang w:val="en-GB"/>
        </w:rPr>
        <w:t>insolvency</w:t>
      </w:r>
      <w:proofErr w:type="gramEnd"/>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22EFDA03"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668B78EF" w14:textId="29BDC122" w:rsidR="00F96353" w:rsidRDefault="00F96353" w:rsidP="00F96353">
      <w:pPr>
        <w:jc w:val="both"/>
        <w:rPr>
          <w:rFonts w:ascii="Avenir Next" w:hAnsi="Avenir Next" w:cs="Arial"/>
          <w:sz w:val="22"/>
          <w:szCs w:val="22"/>
          <w:lang w:val="en-GB"/>
        </w:rPr>
      </w:pPr>
    </w:p>
    <w:p w14:paraId="721FDC08" w14:textId="5704A249" w:rsidR="009C6446" w:rsidRPr="00F96353" w:rsidRDefault="008718A9" w:rsidP="008718A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 my </w:t>
      </w:r>
      <w:r w:rsidR="009C6446">
        <w:rPr>
          <w:rFonts w:ascii="Avenir Next" w:hAnsi="Avenir Next" w:cs="Arial"/>
          <w:color w:val="7B7B7B" w:themeColor="accent3" w:themeShade="BF"/>
          <w:sz w:val="22"/>
          <w:szCs w:val="22"/>
          <w:lang w:val="en-GB"/>
        </w:rPr>
        <w:t>advice</w:t>
      </w:r>
      <w:r>
        <w:rPr>
          <w:rFonts w:ascii="Avenir Next" w:hAnsi="Avenir Next" w:cs="Arial"/>
          <w:color w:val="7B7B7B" w:themeColor="accent3" w:themeShade="BF"/>
          <w:sz w:val="22"/>
          <w:szCs w:val="22"/>
          <w:lang w:val="en-GB"/>
        </w:rPr>
        <w:t xml:space="preserve"> would not change materially. </w:t>
      </w:r>
      <w:r w:rsidR="00F96353" w:rsidRPr="00F96353">
        <w:rPr>
          <w:rFonts w:ascii="Avenir Next" w:hAnsi="Avenir Next" w:cs="Arial"/>
          <w:color w:val="7B7B7B" w:themeColor="accent3" w:themeShade="BF"/>
          <w:sz w:val="22"/>
          <w:szCs w:val="22"/>
          <w:lang w:val="en-GB"/>
        </w:rPr>
        <w:t>I would</w:t>
      </w:r>
      <w:r>
        <w:rPr>
          <w:rFonts w:ascii="Avenir Next" w:hAnsi="Avenir Next" w:cs="Arial"/>
          <w:color w:val="7B7B7B" w:themeColor="accent3" w:themeShade="BF"/>
          <w:sz w:val="22"/>
          <w:szCs w:val="22"/>
          <w:lang w:val="en-GB"/>
        </w:rPr>
        <w:t>, in addition,</w:t>
      </w:r>
      <w:r w:rsidR="00F96353" w:rsidRPr="00F96353">
        <w:rPr>
          <w:rFonts w:ascii="Avenir Next" w:hAnsi="Avenir Next" w:cs="Arial"/>
          <w:color w:val="7B7B7B" w:themeColor="accent3" w:themeShade="BF"/>
          <w:sz w:val="22"/>
          <w:szCs w:val="22"/>
          <w:lang w:val="en-GB"/>
        </w:rPr>
        <w:t xml:space="preserve"> advise </w:t>
      </w:r>
      <w:r w:rsidR="00F96353">
        <w:rPr>
          <w:rFonts w:ascii="Avenir Next" w:hAnsi="Avenir Next" w:cs="Arial"/>
          <w:color w:val="7B7B7B" w:themeColor="accent3" w:themeShade="BF"/>
          <w:sz w:val="22"/>
          <w:szCs w:val="22"/>
          <w:lang w:val="en-GB"/>
        </w:rPr>
        <w:t xml:space="preserve">the Erewhon liquidator to include, in their application for recognition, an application that </w:t>
      </w:r>
      <w:r w:rsidR="00F96353" w:rsidRPr="00F96353">
        <w:rPr>
          <w:rFonts w:ascii="Avenir Next" w:hAnsi="Avenir Next" w:cs="Arial"/>
          <w:color w:val="7B7B7B" w:themeColor="accent3" w:themeShade="BF"/>
          <w:sz w:val="22"/>
          <w:szCs w:val="22"/>
          <w:lang w:val="en-GB"/>
        </w:rPr>
        <w:t>the Utopia winding-up proceedings be suspended considering there already a liquidation in place in respect of Nadir</w:t>
      </w:r>
      <w:r>
        <w:rPr>
          <w:rFonts w:ascii="Avenir Next" w:hAnsi="Avenir Next" w:cs="Arial"/>
          <w:color w:val="7B7B7B" w:themeColor="accent3" w:themeShade="BF"/>
          <w:sz w:val="22"/>
          <w:szCs w:val="22"/>
          <w:lang w:val="en-GB"/>
        </w:rPr>
        <w:t>.</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46C850A" w14:textId="72FC7E27" w:rsidR="00844774" w:rsidRPr="00827D56" w:rsidRDefault="008718A9" w:rsidP="00844774">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this case, I would advise the Erewhon liquidator to include, in their application for liquidation, an application that </w:t>
      </w:r>
      <w:r w:rsidRPr="00F96353">
        <w:rPr>
          <w:rFonts w:ascii="Avenir Next" w:hAnsi="Avenir Next" w:cs="Arial"/>
          <w:color w:val="7B7B7B" w:themeColor="accent3" w:themeShade="BF"/>
          <w:sz w:val="22"/>
          <w:szCs w:val="22"/>
          <w:lang w:val="en-GB"/>
        </w:rPr>
        <w:t xml:space="preserve">the Erewhon liquidation </w:t>
      </w:r>
      <w:r>
        <w:rPr>
          <w:rFonts w:ascii="Avenir Next" w:hAnsi="Avenir Next" w:cs="Arial"/>
          <w:color w:val="7B7B7B" w:themeColor="accent3" w:themeShade="BF"/>
          <w:sz w:val="22"/>
          <w:szCs w:val="22"/>
          <w:lang w:val="en-GB"/>
        </w:rPr>
        <w:t xml:space="preserve">be recognized </w:t>
      </w:r>
      <w:r w:rsidRPr="00F96353">
        <w:rPr>
          <w:rFonts w:ascii="Avenir Next" w:hAnsi="Avenir Next" w:cs="Arial"/>
          <w:color w:val="7B7B7B" w:themeColor="accent3" w:themeShade="BF"/>
          <w:sz w:val="22"/>
          <w:szCs w:val="22"/>
          <w:lang w:val="en-GB"/>
        </w:rPr>
        <w:t>as the Main Proceedings in respect of Nadir</w:t>
      </w:r>
      <w:r>
        <w:rPr>
          <w:rFonts w:ascii="Avenir Next" w:hAnsi="Avenir Next" w:cs="Arial"/>
          <w:color w:val="7B7B7B" w:themeColor="accent3" w:themeShade="BF"/>
          <w:sz w:val="22"/>
          <w:szCs w:val="22"/>
          <w:lang w:val="en-GB"/>
        </w:rPr>
        <w:t xml:space="preserve"> and that the Utopia winding up proceedings be</w:t>
      </w:r>
      <w:r w:rsidR="009C6446">
        <w:rPr>
          <w:rFonts w:ascii="Avenir Next" w:hAnsi="Avenir Next" w:cs="Arial"/>
          <w:color w:val="7B7B7B" w:themeColor="accent3" w:themeShade="BF"/>
          <w:sz w:val="22"/>
          <w:szCs w:val="22"/>
          <w:lang w:val="en-GB"/>
        </w:rPr>
        <w:t>come</w:t>
      </w:r>
      <w:r>
        <w:rPr>
          <w:rFonts w:ascii="Avenir Next" w:hAnsi="Avenir Next" w:cs="Arial"/>
          <w:color w:val="7B7B7B" w:themeColor="accent3" w:themeShade="BF"/>
          <w:sz w:val="22"/>
          <w:szCs w:val="22"/>
          <w:lang w:val="en-GB"/>
        </w:rPr>
        <w:t xml:space="preserve"> non-main proceedings. This application would </w:t>
      </w:r>
      <w:r>
        <w:rPr>
          <w:rFonts w:ascii="Avenir Next" w:hAnsi="Avenir Next" w:cs="Arial"/>
          <w:color w:val="7B7B7B" w:themeColor="accent3" w:themeShade="BF"/>
          <w:sz w:val="22"/>
          <w:szCs w:val="22"/>
          <w:lang w:val="en-GB"/>
        </w:rPr>
        <w:lastRenderedPageBreak/>
        <w:t>be on the basis that the majority of Nadir’s affairs and creditors are still in Erewhon considering the shift in headquarters is only a recent change.</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 xml:space="preserve">has assets (real property or interest in land, other tangible </w:t>
      </w:r>
      <w:proofErr w:type="gramStart"/>
      <w:r w:rsidRPr="00827D56">
        <w:rPr>
          <w:rFonts w:ascii="Avenir Next" w:hAnsi="Avenir Next" w:cs="Arial"/>
          <w:sz w:val="22"/>
          <w:szCs w:val="22"/>
          <w:lang w:val="en-GB"/>
        </w:rPr>
        <w:t>assets</w:t>
      </w:r>
      <w:proofErr w:type="gramEnd"/>
      <w:r w:rsidRPr="00827D56">
        <w:rPr>
          <w:rFonts w:ascii="Avenir Next" w:hAnsi="Avenir Next" w:cs="Arial"/>
          <w:sz w:val="22"/>
          <w:szCs w:val="22"/>
          <w:lang w:val="en-GB"/>
        </w:rPr>
        <w:t xml:space="preserve">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2550A764" w:rsidR="0077498C" w:rsidRDefault="009C644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select the United Kingdom as the </w:t>
      </w:r>
      <w:r w:rsidR="0025771B">
        <w:rPr>
          <w:rFonts w:ascii="Avenir Next" w:hAnsi="Avenir Next" w:cs="Arial"/>
          <w:color w:val="7B7B7B" w:themeColor="accent3" w:themeShade="BF"/>
          <w:sz w:val="22"/>
          <w:szCs w:val="22"/>
          <w:lang w:val="en-GB"/>
        </w:rPr>
        <w:t>country of the Company’s incorporation.</w:t>
      </w:r>
    </w:p>
    <w:p w14:paraId="2504E130" w14:textId="473FBDDD" w:rsidR="0025771B" w:rsidRDefault="0025771B" w:rsidP="00C053F7">
      <w:pPr>
        <w:jc w:val="both"/>
        <w:rPr>
          <w:rFonts w:ascii="Avenir Next" w:hAnsi="Avenir Next" w:cs="Arial"/>
          <w:color w:val="7B7B7B" w:themeColor="accent3" w:themeShade="BF"/>
          <w:sz w:val="22"/>
          <w:szCs w:val="22"/>
          <w:lang w:val="en-GB"/>
        </w:rPr>
      </w:pPr>
    </w:p>
    <w:p w14:paraId="73638F70" w14:textId="3BDFE177" w:rsidR="0025771B" w:rsidRPr="00B4626E" w:rsidRDefault="0025771B" w:rsidP="00B4626E">
      <w:pPr>
        <w:spacing w:before="120" w:after="120"/>
        <w:jc w:val="both"/>
        <w:rPr>
          <w:rFonts w:ascii="Avenir Next" w:hAnsi="Avenir Next" w:cs="Arial"/>
          <w:color w:val="7B7B7B" w:themeColor="accent3" w:themeShade="BF"/>
          <w:sz w:val="22"/>
          <w:szCs w:val="22"/>
          <w:lang w:val="en-GB"/>
        </w:rPr>
      </w:pPr>
      <w:r w:rsidRPr="00B4626E">
        <w:rPr>
          <w:rFonts w:ascii="Avenir Next" w:hAnsi="Avenir Next" w:cs="Arial"/>
          <w:color w:val="7B7B7B" w:themeColor="accent3" w:themeShade="BF"/>
          <w:sz w:val="22"/>
          <w:szCs w:val="22"/>
          <w:lang w:val="en-GB"/>
        </w:rPr>
        <w:t>Four key issues that will face the Insolvency Practitioner in this case are:</w:t>
      </w:r>
    </w:p>
    <w:p w14:paraId="7D971D2E" w14:textId="065483DA" w:rsidR="0025771B" w:rsidRPr="00B4626E" w:rsidRDefault="0025771B" w:rsidP="0000522D">
      <w:pPr>
        <w:pStyle w:val="ListParagraph"/>
        <w:numPr>
          <w:ilvl w:val="0"/>
          <w:numId w:val="31"/>
        </w:numPr>
        <w:spacing w:before="120" w:after="120"/>
        <w:contextualSpacing w:val="0"/>
        <w:jc w:val="both"/>
        <w:rPr>
          <w:rFonts w:ascii="Avenir Next" w:hAnsi="Avenir Next" w:cs="Arial"/>
          <w:color w:val="7B7B7B" w:themeColor="accent3" w:themeShade="BF"/>
          <w:sz w:val="22"/>
          <w:szCs w:val="22"/>
          <w:lang w:val="en-GB"/>
        </w:rPr>
      </w:pPr>
      <w:r w:rsidRPr="0025771B">
        <w:rPr>
          <w:rFonts w:ascii="Avenir Next" w:hAnsi="Avenir Next" w:cs="Arial"/>
          <w:color w:val="7B7B7B" w:themeColor="accent3" w:themeShade="BF"/>
          <w:sz w:val="22"/>
          <w:szCs w:val="22"/>
          <w:lang w:val="en-GB"/>
        </w:rPr>
        <w:t xml:space="preserve">Recognition of the insolvency proceedings in the other states where the debtor has assets </w:t>
      </w:r>
      <w:r>
        <w:rPr>
          <w:rFonts w:ascii="Avenir Next" w:hAnsi="Avenir Next" w:cs="Arial"/>
          <w:color w:val="7B7B7B" w:themeColor="accent3" w:themeShade="BF"/>
          <w:sz w:val="22"/>
          <w:szCs w:val="22"/>
          <w:lang w:val="en-GB"/>
        </w:rPr>
        <w:t>–</w:t>
      </w:r>
      <w:r w:rsidRPr="0025771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 Insolvency Practitioner can apply for recognition of the UK Insolvency Proceedings as the Main Proceedings in respect of the debtor</w:t>
      </w:r>
      <w:r w:rsidR="0000522D">
        <w:rPr>
          <w:rFonts w:ascii="Avenir Next" w:hAnsi="Avenir Next" w:cs="Arial"/>
          <w:color w:val="7B7B7B" w:themeColor="accent3" w:themeShade="BF"/>
          <w:sz w:val="22"/>
          <w:szCs w:val="22"/>
          <w:lang w:val="en-GB"/>
        </w:rPr>
        <w:t xml:space="preserve"> and for all the assets and liabilities of the debtor to be subjected to the Main Proceedings</w:t>
      </w:r>
      <w:r>
        <w:rPr>
          <w:rFonts w:ascii="Avenir Next" w:hAnsi="Avenir Next" w:cs="Arial"/>
          <w:color w:val="7B7B7B" w:themeColor="accent3" w:themeShade="BF"/>
          <w:sz w:val="22"/>
          <w:szCs w:val="22"/>
          <w:lang w:val="en-GB"/>
        </w:rPr>
        <w:t>. This will</w:t>
      </w:r>
      <w:r w:rsidR="0000522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be facilitated by the</w:t>
      </w:r>
      <w:r w:rsidR="0000522D">
        <w:rPr>
          <w:rFonts w:ascii="Avenir Next" w:hAnsi="Avenir Next" w:cs="Arial"/>
          <w:color w:val="7B7B7B" w:themeColor="accent3" w:themeShade="BF"/>
          <w:sz w:val="22"/>
          <w:szCs w:val="22"/>
          <w:lang w:val="en-GB"/>
        </w:rPr>
        <w:t xml:space="preserve"> other</w:t>
      </w:r>
      <w:r w:rsidR="0000522D">
        <w:rPr>
          <w:rFonts w:ascii="Avenir Next" w:hAnsi="Avenir Next" w:cs="Arial"/>
          <w:color w:val="7B7B7B" w:themeColor="accent3" w:themeShade="BF"/>
          <w:sz w:val="22"/>
          <w:szCs w:val="22"/>
          <w:lang w:val="en-GB"/>
        </w:rPr>
        <w:t xml:space="preserve"> </w:t>
      </w:r>
      <w:r w:rsidR="0000522D" w:rsidRPr="00844774">
        <w:rPr>
          <w:rFonts w:ascii="Avenir Next" w:hAnsi="Avenir Next" w:cs="Arial"/>
          <w:color w:val="7B7B7B" w:themeColor="accent3" w:themeShade="BF"/>
          <w:sz w:val="22"/>
          <w:szCs w:val="22"/>
          <w:lang w:val="en-GB"/>
        </w:rPr>
        <w:t>UNCITRAL Model Law on Cross-border Insolvency</w:t>
      </w:r>
      <w:r w:rsidR="0000522D">
        <w:rPr>
          <w:rFonts w:ascii="Avenir Next" w:hAnsi="Avenir Next" w:cs="Arial"/>
          <w:color w:val="7B7B7B" w:themeColor="accent3" w:themeShade="BF"/>
          <w:sz w:val="22"/>
          <w:szCs w:val="22"/>
          <w:lang w:val="en-GB"/>
        </w:rPr>
        <w:t xml:space="preserve"> where it has been adopted in the states where the debtor has assets.</w:t>
      </w:r>
    </w:p>
    <w:p w14:paraId="7A1160E0" w14:textId="282A2E61" w:rsidR="00B4626E" w:rsidRDefault="00B4626E" w:rsidP="00B4626E">
      <w:pPr>
        <w:pStyle w:val="ListParagraph"/>
        <w:numPr>
          <w:ilvl w:val="0"/>
          <w:numId w:val="31"/>
        </w:numPr>
        <w:spacing w:before="120"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Differences in the policy position (i.e., underlying objectives) of insolvency proceedings in the respective jurisdictions where the debtor has assets</w:t>
      </w:r>
      <w:r w:rsidR="00B51C40">
        <w:rPr>
          <w:rFonts w:ascii="Avenir Next" w:hAnsi="Avenir Next" w:cs="Arial"/>
          <w:color w:val="7B7B7B" w:themeColor="accent3" w:themeShade="BF"/>
          <w:sz w:val="22"/>
          <w:szCs w:val="22"/>
          <w:lang w:val="en-GB"/>
        </w:rPr>
        <w:t xml:space="preserve"> (i.e., pro-creditor vs pro-debtor, rehabilitation vs liquidation) </w:t>
      </w:r>
      <w:r>
        <w:rPr>
          <w:rFonts w:ascii="Avenir Next" w:hAnsi="Avenir Next" w:cs="Arial"/>
          <w:color w:val="7B7B7B" w:themeColor="accent3" w:themeShade="BF"/>
          <w:sz w:val="22"/>
          <w:szCs w:val="22"/>
          <w:lang w:val="en-GB"/>
        </w:rPr>
        <w:t xml:space="preserve"> – The UK Insolvency Act contains provisions that prioritize both business rescue (administrations) and liquidation (liquidation proceedings) depending on the choice of proceedings. This can be used to give comfort that t</w:t>
      </w:r>
      <w:r w:rsidR="006F706B">
        <w:rPr>
          <w:rFonts w:ascii="Avenir Next" w:hAnsi="Avenir Next" w:cs="Arial"/>
          <w:color w:val="7B7B7B" w:themeColor="accent3" w:themeShade="BF"/>
          <w:sz w:val="22"/>
          <w:szCs w:val="22"/>
          <w:lang w:val="en-GB"/>
        </w:rPr>
        <w:t>o courts/competent authorities in other states that the proceedings initiated are the most suitable in the context of the debtor, and considered the full breadth of options available (from reorganization to liquidation)</w:t>
      </w:r>
    </w:p>
    <w:p w14:paraId="29AF4CDC" w14:textId="3DCCE09A" w:rsidR="006F706B" w:rsidRPr="006F706B" w:rsidRDefault="006F706B" w:rsidP="006F706B">
      <w:pPr>
        <w:pStyle w:val="ListParagraph"/>
        <w:numPr>
          <w:ilvl w:val="0"/>
          <w:numId w:val="31"/>
        </w:numPr>
        <w:spacing w:before="120" w:after="120"/>
        <w:contextualSpacing w:val="0"/>
        <w:jc w:val="both"/>
        <w:rPr>
          <w:rFonts w:ascii="Avenir Next" w:hAnsi="Avenir Next" w:cs="Arial"/>
          <w:color w:val="7B7B7B" w:themeColor="accent3" w:themeShade="BF"/>
          <w:sz w:val="22"/>
          <w:szCs w:val="22"/>
          <w:lang w:val="en-GB"/>
        </w:rPr>
      </w:pPr>
      <w:r w:rsidRPr="00B4626E">
        <w:rPr>
          <w:rFonts w:ascii="Avenir Next" w:hAnsi="Avenir Next" w:cs="Arial"/>
          <w:color w:val="7B7B7B" w:themeColor="accent3" w:themeShade="BF"/>
          <w:sz w:val="22"/>
          <w:szCs w:val="22"/>
          <w:lang w:val="en-GB"/>
        </w:rPr>
        <w:t xml:space="preserve">Differences in policies/approaches to critical elements of insolvency proceedings such as labour laws – </w:t>
      </w:r>
      <w:r>
        <w:rPr>
          <w:rFonts w:ascii="Avenir Next" w:hAnsi="Avenir Next" w:cs="Arial"/>
          <w:color w:val="7B7B7B" w:themeColor="accent3" w:themeShade="BF"/>
          <w:sz w:val="22"/>
          <w:szCs w:val="22"/>
          <w:lang w:val="en-GB"/>
        </w:rPr>
        <w:t>The Insolvency Act of the UK provides for a portion of employee claims in redundancy to be paid in priority. The government also guarantees a portion of the balance employee claims out of the National Insurance Fund. This ca</w:t>
      </w:r>
      <w:r>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 be used to give comfort to other governments that employee welfare is well considered under the UK law which is proposed to be the applicable law in the insolvency proceedings.</w:t>
      </w:r>
    </w:p>
    <w:p w14:paraId="35D8F287" w14:textId="5BC1B1E1" w:rsidR="0077498C" w:rsidRPr="00B51C40" w:rsidRDefault="006F706B" w:rsidP="0000522D">
      <w:pPr>
        <w:pStyle w:val="ListParagraph"/>
        <w:numPr>
          <w:ilvl w:val="0"/>
          <w:numId w:val="31"/>
        </w:numPr>
        <w:spacing w:before="120" w:after="120"/>
        <w:contextualSpacing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Differences in ranking of claims, particularly, in relation to Crown taxes that are given priority over other concurrent/floating charge creditors </w:t>
      </w:r>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 Insolvency Practitioner can, where necessary, pursue</w:t>
      </w:r>
      <w:r w:rsidR="000C24C8">
        <w:rPr>
          <w:rFonts w:ascii="Avenir Next" w:hAnsi="Avenir Next" w:cs="Arial"/>
          <w:color w:val="7B7B7B" w:themeColor="accent3" w:themeShade="BF"/>
          <w:sz w:val="22"/>
          <w:szCs w:val="22"/>
          <w:lang w:val="en-GB"/>
        </w:rPr>
        <w:t xml:space="preserve"> court-sanctioned</w:t>
      </w:r>
      <w:r>
        <w:rPr>
          <w:rFonts w:ascii="Avenir Next" w:hAnsi="Avenir Next" w:cs="Arial"/>
          <w:color w:val="7B7B7B" w:themeColor="accent3" w:themeShade="BF"/>
          <w:sz w:val="22"/>
          <w:szCs w:val="22"/>
          <w:lang w:val="en-GB"/>
        </w:rPr>
        <w:t xml:space="preserve"> protocols with counterparts in the other states where the debtor has assets/liabilities</w:t>
      </w:r>
      <w:r w:rsidR="000C24C8">
        <w:rPr>
          <w:rFonts w:ascii="Avenir Next" w:hAnsi="Avenir Next" w:cs="Arial"/>
          <w:color w:val="7B7B7B" w:themeColor="accent3" w:themeShade="BF"/>
          <w:sz w:val="22"/>
          <w:szCs w:val="22"/>
          <w:lang w:val="en-GB"/>
        </w:rPr>
        <w:t xml:space="preserve"> to address any concerns about conflicting ranking of claims. A precedent was set for this under the Maxwell and Lehman Brother Protocols.</w:t>
      </w: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14"/>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EF39" w14:textId="77777777" w:rsidR="00FF6B01" w:rsidRDefault="00FF6B01" w:rsidP="00241B44">
      <w:r>
        <w:separator/>
      </w:r>
    </w:p>
  </w:endnote>
  <w:endnote w:type="continuationSeparator" w:id="0">
    <w:p w14:paraId="00EBE79C" w14:textId="77777777" w:rsidR="00FF6B01" w:rsidRDefault="00FF6B0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20A583FD" w:rsidR="00AD6A7D" w:rsidRPr="009634F4" w:rsidRDefault="0079263B" w:rsidP="00AD6A7D">
    <w:pPr>
      <w:pStyle w:val="Footer"/>
      <w:ind w:right="360"/>
      <w:rPr>
        <w:rFonts w:ascii="Avenir Next" w:hAnsi="Avenir Next" w:cs="Arial"/>
        <w:sz w:val="22"/>
        <w:szCs w:val="22"/>
      </w:rPr>
    </w:pPr>
    <w:r w:rsidRPr="0079263B">
      <w:rPr>
        <w:rFonts w:ascii="Avenir Next" w:hAnsi="Avenir Next" w:cs="Arial"/>
        <w:sz w:val="22"/>
        <w:szCs w:val="22"/>
      </w:rPr>
      <w:t>202223-986</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3728" w14:textId="77777777" w:rsidR="00FF6B01" w:rsidRDefault="00FF6B01" w:rsidP="00241B44">
      <w:r>
        <w:separator/>
      </w:r>
    </w:p>
  </w:footnote>
  <w:footnote w:type="continuationSeparator" w:id="0">
    <w:p w14:paraId="089B241E" w14:textId="77777777" w:rsidR="00FF6B01" w:rsidRDefault="00FF6B0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FA0128B"/>
    <w:multiLevelType w:val="hybridMultilevel"/>
    <w:tmpl w:val="36721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D1AA0"/>
    <w:multiLevelType w:val="hybridMultilevel"/>
    <w:tmpl w:val="BBAE8574"/>
    <w:lvl w:ilvl="0" w:tplc="A844A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AD22247"/>
    <w:multiLevelType w:val="hybridMultilevel"/>
    <w:tmpl w:val="6646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715EA"/>
    <w:multiLevelType w:val="hybridMultilevel"/>
    <w:tmpl w:val="ADC2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9221C"/>
    <w:multiLevelType w:val="hybridMultilevel"/>
    <w:tmpl w:val="66E8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0D482F"/>
    <w:multiLevelType w:val="hybridMultilevel"/>
    <w:tmpl w:val="D4F0A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18509D8"/>
    <w:multiLevelType w:val="hybridMultilevel"/>
    <w:tmpl w:val="AB7ADFD2"/>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5F5FF9"/>
    <w:multiLevelType w:val="hybridMultilevel"/>
    <w:tmpl w:val="2D4E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F437369"/>
    <w:multiLevelType w:val="hybridMultilevel"/>
    <w:tmpl w:val="C902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5556574">
    <w:abstractNumId w:val="24"/>
  </w:num>
  <w:num w:numId="2" w16cid:durableId="2060397842">
    <w:abstractNumId w:val="26"/>
  </w:num>
  <w:num w:numId="3" w16cid:durableId="2114008986">
    <w:abstractNumId w:val="9"/>
  </w:num>
  <w:num w:numId="4" w16cid:durableId="743720607">
    <w:abstractNumId w:val="6"/>
  </w:num>
  <w:num w:numId="5" w16cid:durableId="464741948">
    <w:abstractNumId w:val="13"/>
  </w:num>
  <w:num w:numId="6" w16cid:durableId="554897999">
    <w:abstractNumId w:val="20"/>
  </w:num>
  <w:num w:numId="7" w16cid:durableId="1913469301">
    <w:abstractNumId w:val="28"/>
  </w:num>
  <w:num w:numId="8" w16cid:durableId="307983066">
    <w:abstractNumId w:val="19"/>
  </w:num>
  <w:num w:numId="9" w16cid:durableId="1128815150">
    <w:abstractNumId w:val="8"/>
  </w:num>
  <w:num w:numId="10" w16cid:durableId="485247179">
    <w:abstractNumId w:val="12"/>
  </w:num>
  <w:num w:numId="11" w16cid:durableId="632292612">
    <w:abstractNumId w:val="10"/>
  </w:num>
  <w:num w:numId="12" w16cid:durableId="1634409974">
    <w:abstractNumId w:val="7"/>
  </w:num>
  <w:num w:numId="13" w16cid:durableId="1176384513">
    <w:abstractNumId w:val="17"/>
  </w:num>
  <w:num w:numId="14" w16cid:durableId="742527874">
    <w:abstractNumId w:val="0"/>
  </w:num>
  <w:num w:numId="15" w16cid:durableId="1934196058">
    <w:abstractNumId w:val="3"/>
  </w:num>
  <w:num w:numId="16" w16cid:durableId="844056133">
    <w:abstractNumId w:val="18"/>
  </w:num>
  <w:num w:numId="17" w16cid:durableId="433281220">
    <w:abstractNumId w:val="16"/>
  </w:num>
  <w:num w:numId="18" w16cid:durableId="943150957">
    <w:abstractNumId w:val="25"/>
  </w:num>
  <w:num w:numId="19" w16cid:durableId="603925579">
    <w:abstractNumId w:val="21"/>
  </w:num>
  <w:num w:numId="20" w16cid:durableId="1098330611">
    <w:abstractNumId w:val="29"/>
  </w:num>
  <w:num w:numId="21" w16cid:durableId="1865051921">
    <w:abstractNumId w:val="23"/>
  </w:num>
  <w:num w:numId="22" w16cid:durableId="539172368">
    <w:abstractNumId w:val="15"/>
  </w:num>
  <w:num w:numId="23" w16cid:durableId="1685086592">
    <w:abstractNumId w:val="11"/>
  </w:num>
  <w:num w:numId="24" w16cid:durableId="13771878">
    <w:abstractNumId w:val="4"/>
  </w:num>
  <w:num w:numId="25" w16cid:durableId="68235726">
    <w:abstractNumId w:val="27"/>
  </w:num>
  <w:num w:numId="26" w16cid:durableId="1488790193">
    <w:abstractNumId w:val="5"/>
  </w:num>
  <w:num w:numId="27" w16cid:durableId="1399085982">
    <w:abstractNumId w:val="30"/>
  </w:num>
  <w:num w:numId="28" w16cid:durableId="389884263">
    <w:abstractNumId w:val="1"/>
  </w:num>
  <w:num w:numId="29" w16cid:durableId="1224373301">
    <w:abstractNumId w:val="2"/>
  </w:num>
  <w:num w:numId="30" w16cid:durableId="42994043">
    <w:abstractNumId w:val="22"/>
  </w:num>
  <w:num w:numId="31" w16cid:durableId="97224881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22D"/>
    <w:rsid w:val="00010BA0"/>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C24C8"/>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0DFD"/>
    <w:rsid w:val="001E25B9"/>
    <w:rsid w:val="001E49E0"/>
    <w:rsid w:val="001E7B5A"/>
    <w:rsid w:val="001F7412"/>
    <w:rsid w:val="0020725B"/>
    <w:rsid w:val="00241B44"/>
    <w:rsid w:val="00245EFB"/>
    <w:rsid w:val="0025771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0B39"/>
    <w:rsid w:val="003D2DA8"/>
    <w:rsid w:val="003D550B"/>
    <w:rsid w:val="003E045C"/>
    <w:rsid w:val="003E0B16"/>
    <w:rsid w:val="003E67D1"/>
    <w:rsid w:val="003F5758"/>
    <w:rsid w:val="00405DC1"/>
    <w:rsid w:val="00411B48"/>
    <w:rsid w:val="00415F1F"/>
    <w:rsid w:val="0042108F"/>
    <w:rsid w:val="00421EBD"/>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4F6E33"/>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3B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06B"/>
    <w:rsid w:val="006F734A"/>
    <w:rsid w:val="00700D83"/>
    <w:rsid w:val="007074E9"/>
    <w:rsid w:val="00713DA4"/>
    <w:rsid w:val="00714BF1"/>
    <w:rsid w:val="00721383"/>
    <w:rsid w:val="007333CC"/>
    <w:rsid w:val="0073399A"/>
    <w:rsid w:val="0073459E"/>
    <w:rsid w:val="007603F5"/>
    <w:rsid w:val="007623FB"/>
    <w:rsid w:val="00764DB0"/>
    <w:rsid w:val="0076764D"/>
    <w:rsid w:val="0077498C"/>
    <w:rsid w:val="00784128"/>
    <w:rsid w:val="0079263B"/>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44774"/>
    <w:rsid w:val="008718A9"/>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208D1"/>
    <w:rsid w:val="00942123"/>
    <w:rsid w:val="0095207B"/>
    <w:rsid w:val="00955AF1"/>
    <w:rsid w:val="00962045"/>
    <w:rsid w:val="009634F4"/>
    <w:rsid w:val="00991428"/>
    <w:rsid w:val="00992676"/>
    <w:rsid w:val="009B0723"/>
    <w:rsid w:val="009B07AD"/>
    <w:rsid w:val="009B0883"/>
    <w:rsid w:val="009B0903"/>
    <w:rsid w:val="009B15E2"/>
    <w:rsid w:val="009C0B8E"/>
    <w:rsid w:val="009C1BC8"/>
    <w:rsid w:val="009C2442"/>
    <w:rsid w:val="009C6446"/>
    <w:rsid w:val="009D0811"/>
    <w:rsid w:val="009D0EE1"/>
    <w:rsid w:val="009E1027"/>
    <w:rsid w:val="009E2AEB"/>
    <w:rsid w:val="009E2E27"/>
    <w:rsid w:val="009E4DE3"/>
    <w:rsid w:val="00A005FC"/>
    <w:rsid w:val="00A047EE"/>
    <w:rsid w:val="00A2274A"/>
    <w:rsid w:val="00A235B7"/>
    <w:rsid w:val="00A32FD6"/>
    <w:rsid w:val="00A407EF"/>
    <w:rsid w:val="00A458BE"/>
    <w:rsid w:val="00A46B4C"/>
    <w:rsid w:val="00A5117B"/>
    <w:rsid w:val="00A51352"/>
    <w:rsid w:val="00A54909"/>
    <w:rsid w:val="00A60074"/>
    <w:rsid w:val="00A6627C"/>
    <w:rsid w:val="00A71019"/>
    <w:rsid w:val="00A81029"/>
    <w:rsid w:val="00A83A2F"/>
    <w:rsid w:val="00A9151C"/>
    <w:rsid w:val="00A96489"/>
    <w:rsid w:val="00A97725"/>
    <w:rsid w:val="00AB685C"/>
    <w:rsid w:val="00AB6C2D"/>
    <w:rsid w:val="00AC1E0E"/>
    <w:rsid w:val="00AC3839"/>
    <w:rsid w:val="00AC7082"/>
    <w:rsid w:val="00AD6A7D"/>
    <w:rsid w:val="00AF228E"/>
    <w:rsid w:val="00B14819"/>
    <w:rsid w:val="00B17AA9"/>
    <w:rsid w:val="00B4626E"/>
    <w:rsid w:val="00B51C40"/>
    <w:rsid w:val="00B62B8A"/>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2BF4"/>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35D98"/>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48D"/>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1558"/>
    <w:rsid w:val="00F5524B"/>
    <w:rsid w:val="00F61DD2"/>
    <w:rsid w:val="00F66A26"/>
    <w:rsid w:val="00F66AFF"/>
    <w:rsid w:val="00F71433"/>
    <w:rsid w:val="00F82D90"/>
    <w:rsid w:val="00F9635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6B0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A32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citral.un.org/en/texts/insolvency/legislativeguides/insolvency_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bank.org/en/topic/financialsector/brief/the-world-bank-principles-for-effective-insolvency-and-creditor-righ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mimi.com/law-update-articles/bahrain-introduces-new-insolvency-regi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sabh.com/knowledge-hub/news/the-difc-insolvency-law-a-first-of-its-kind-procedure-for-insolvency-in-accordance-with-international-best-practice" TargetMode="External"/><Relationship Id="rId4" Type="http://schemas.openxmlformats.org/officeDocument/2006/relationships/settings" Target="settings.xml"/><Relationship Id="rId9" Type="http://schemas.openxmlformats.org/officeDocument/2006/relationships/hyperlink" Target="https://u.ae/en/information-and-services/business/protection-of-insolvent-natural-pers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10</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cp:lastModifiedBy>
  <cp:revision>10</cp:revision>
  <cp:lastPrinted>2019-09-04T15:45:00Z</cp:lastPrinted>
  <dcterms:created xsi:type="dcterms:W3CDTF">2023-10-14T09:28:00Z</dcterms:created>
  <dcterms:modified xsi:type="dcterms:W3CDTF">2023-10-15T18:10:00Z</dcterms:modified>
</cp:coreProperties>
</file>