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BF1871">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3778AE" w:rsidRDefault="00B736DF" w:rsidP="009E1027">
      <w:pPr>
        <w:pStyle w:val="ListParagraph"/>
        <w:numPr>
          <w:ilvl w:val="0"/>
          <w:numId w:val="12"/>
        </w:numPr>
        <w:ind w:left="426"/>
        <w:jc w:val="both"/>
        <w:rPr>
          <w:rFonts w:ascii="Avenir Next" w:hAnsi="Avenir Next" w:cs="Arial"/>
          <w:sz w:val="22"/>
          <w:szCs w:val="22"/>
          <w:highlight w:val="yellow"/>
          <w:lang w:val="en-GB"/>
        </w:rPr>
      </w:pPr>
      <w:r w:rsidRPr="003778AE">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BF1871">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3778AE" w:rsidRDefault="00161F1B" w:rsidP="009E1027">
      <w:pPr>
        <w:pStyle w:val="ListParagraph"/>
        <w:numPr>
          <w:ilvl w:val="0"/>
          <w:numId w:val="13"/>
        </w:numPr>
        <w:ind w:left="426"/>
        <w:jc w:val="both"/>
        <w:rPr>
          <w:rFonts w:ascii="Avenir Next" w:hAnsi="Avenir Next" w:cs="Arial"/>
          <w:sz w:val="22"/>
          <w:szCs w:val="22"/>
          <w:highlight w:val="yellow"/>
          <w:lang w:val="en-GB"/>
        </w:rPr>
      </w:pPr>
      <w:r w:rsidRPr="003778AE">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BF1871">
        <w:rPr>
          <w:rFonts w:ascii="Avenir Next Demi Bold" w:hAnsi="Avenir Next Demi Bold" w:cs="Arial"/>
          <w:b/>
          <w:bCs/>
          <w:sz w:val="22"/>
          <w:szCs w:val="22"/>
          <w:lang w:val="en-GB"/>
        </w:rPr>
        <w:t>Question 1.</w:t>
      </w:r>
      <w:r w:rsidR="00ED0BC4" w:rsidRPr="00BF1871">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CB5F74" w:rsidRDefault="009E2E27" w:rsidP="008031A7">
      <w:pPr>
        <w:pStyle w:val="ListParagraph"/>
        <w:numPr>
          <w:ilvl w:val="0"/>
          <w:numId w:val="14"/>
        </w:numPr>
        <w:ind w:left="426"/>
        <w:jc w:val="both"/>
        <w:rPr>
          <w:rFonts w:ascii="Avenir Next" w:hAnsi="Avenir Next" w:cs="Arial"/>
          <w:sz w:val="22"/>
          <w:szCs w:val="22"/>
          <w:highlight w:val="yellow"/>
          <w:lang w:val="en-GB"/>
        </w:rPr>
      </w:pPr>
      <w:r w:rsidRPr="00CB5F74">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BF1871">
        <w:rPr>
          <w:rFonts w:ascii="Avenir Next Demi Bold" w:hAnsi="Avenir Next Demi Bold" w:cs="Arial"/>
          <w:b/>
          <w:bCs/>
          <w:sz w:val="22"/>
          <w:szCs w:val="22"/>
          <w:lang w:val="en-GB"/>
        </w:rPr>
        <w:t>Question 1.</w:t>
      </w:r>
      <w:r w:rsidR="00ED0BC4" w:rsidRPr="00BF1871">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61537B" w:rsidRDefault="009E2E27" w:rsidP="008031A7">
      <w:pPr>
        <w:pStyle w:val="ListParagraph"/>
        <w:numPr>
          <w:ilvl w:val="0"/>
          <w:numId w:val="15"/>
        </w:numPr>
        <w:ind w:left="426"/>
        <w:jc w:val="both"/>
        <w:rPr>
          <w:rFonts w:ascii="Avenir Next" w:hAnsi="Avenir Next" w:cs="Arial"/>
          <w:sz w:val="22"/>
          <w:szCs w:val="22"/>
          <w:highlight w:val="yellow"/>
          <w:lang w:val="en-GB"/>
        </w:rPr>
      </w:pPr>
      <w:r w:rsidRPr="0061537B">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BF1871">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BF1871" w:rsidRDefault="00A235B7" w:rsidP="006D01C2">
      <w:pPr>
        <w:pStyle w:val="ListParagraph"/>
        <w:numPr>
          <w:ilvl w:val="0"/>
          <w:numId w:val="16"/>
        </w:numPr>
        <w:ind w:left="426"/>
        <w:jc w:val="both"/>
        <w:rPr>
          <w:rFonts w:ascii="Avenir Next" w:hAnsi="Avenir Next" w:cs="Arial"/>
          <w:sz w:val="22"/>
          <w:szCs w:val="22"/>
          <w:highlight w:val="yellow"/>
          <w:lang w:val="en-GB"/>
        </w:rPr>
      </w:pPr>
      <w:r w:rsidRPr="00BF1871">
        <w:rPr>
          <w:rFonts w:ascii="Avenir Next" w:hAnsi="Avenir Next" w:cs="Arial"/>
          <w:sz w:val="22"/>
          <w:szCs w:val="22"/>
          <w:highlight w:val="yellow"/>
          <w:lang w:val="en-GB"/>
        </w:rPr>
        <w:t>The statement</w:t>
      </w:r>
      <w:r w:rsidR="0037465A" w:rsidRPr="00BF1871">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BF1871"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BF1871">
        <w:rPr>
          <w:rFonts w:ascii="Avenir Next" w:hAnsi="Avenir Next" w:cs="Arial"/>
          <w:sz w:val="22"/>
          <w:szCs w:val="22"/>
          <w:lang w:val="en-GB"/>
        </w:rPr>
        <w:t>The statement is untrue since avoidable dispositions and executory contracts may be disregarded in a cross-border case</w:t>
      </w:r>
      <w:r w:rsidR="0037465A" w:rsidRPr="00BF1871">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BF1871">
        <w:rPr>
          <w:rFonts w:ascii="Avenir Next Demi Bold" w:hAnsi="Avenir Next Demi Bold" w:cs="Arial"/>
          <w:b/>
          <w:bCs/>
          <w:sz w:val="22"/>
          <w:szCs w:val="22"/>
          <w:lang w:val="en-GB"/>
        </w:rPr>
        <w:t>Question 1.</w:t>
      </w:r>
      <w:r w:rsidR="007074E9" w:rsidRPr="00BF1871">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BF1871"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BF1871">
        <w:rPr>
          <w:rFonts w:ascii="Avenir Next" w:eastAsiaTheme="minorHAnsi" w:hAnsi="Avenir Next" w:cs="Arial"/>
          <w:sz w:val="22"/>
          <w:szCs w:val="22"/>
          <w:highlight w:val="yellow"/>
          <w:lang w:val="en-GB"/>
        </w:rPr>
        <w:t>Public International Law</w:t>
      </w:r>
      <w:r w:rsidR="00991428" w:rsidRPr="00BF1871">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BF1871"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BF1871">
        <w:rPr>
          <w:rFonts w:ascii="Avenir Next" w:eastAsiaTheme="minorHAnsi" w:hAnsi="Avenir Next" w:cs="Arial"/>
          <w:sz w:val="22"/>
          <w:szCs w:val="22"/>
          <w:lang w:val="en-GB"/>
        </w:rPr>
        <w:t>UNCITRAL Legislative Guide on Insolvency Law</w:t>
      </w:r>
      <w:r w:rsidR="00991428" w:rsidRPr="00BF1871">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BF1871">
        <w:rPr>
          <w:rFonts w:ascii="Avenir Next Demi Bold" w:hAnsi="Avenir Next Demi Bold" w:cs="Arial"/>
          <w:b/>
          <w:bCs/>
          <w:sz w:val="22"/>
          <w:szCs w:val="22"/>
          <w:lang w:val="en-GB"/>
        </w:rPr>
        <w:t>Question 1.</w:t>
      </w:r>
      <w:r w:rsidR="007074E9" w:rsidRPr="00BF1871">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DE0825" w:rsidRDefault="004D1A5A" w:rsidP="006D01C2">
      <w:pPr>
        <w:pStyle w:val="ListParagraph"/>
        <w:numPr>
          <w:ilvl w:val="0"/>
          <w:numId w:val="18"/>
        </w:numPr>
        <w:ind w:left="426"/>
        <w:jc w:val="both"/>
        <w:rPr>
          <w:rFonts w:ascii="Avenir Next" w:hAnsi="Avenir Next" w:cs="Arial"/>
          <w:sz w:val="22"/>
          <w:szCs w:val="22"/>
          <w:highlight w:val="yellow"/>
          <w:lang w:val="en-GB"/>
        </w:rPr>
      </w:pPr>
      <w:r w:rsidRPr="00DE0825">
        <w:rPr>
          <w:rFonts w:ascii="Avenir Next" w:hAnsi="Avenir Next" w:cs="Arial"/>
          <w:sz w:val="22"/>
          <w:szCs w:val="22"/>
          <w:highlight w:val="yellow"/>
          <w:lang w:val="en-GB"/>
        </w:rPr>
        <w:t>UNCITRAL Model Law on Cross-border Insolvency (1997)</w:t>
      </w:r>
      <w:r w:rsidR="00912C79" w:rsidRPr="00DE0825">
        <w:rPr>
          <w:rFonts w:ascii="Avenir Next" w:hAnsi="Avenir Next" w:cs="Arial"/>
          <w:sz w:val="22"/>
          <w:szCs w:val="22"/>
          <w:highlight w:val="yellow"/>
          <w:lang w:val="en-GB"/>
        </w:rPr>
        <w:t>.</w:t>
      </w:r>
      <w:r w:rsidRPr="00DE0825">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C95144">
        <w:rPr>
          <w:rFonts w:ascii="Avenir Next Demi Bold" w:hAnsi="Avenir Next Demi Bold" w:cs="Arial"/>
          <w:b/>
          <w:bCs/>
          <w:sz w:val="22"/>
          <w:szCs w:val="22"/>
          <w:lang w:val="en-GB"/>
        </w:rPr>
        <w:t>Question 1.</w:t>
      </w:r>
      <w:r w:rsidR="007074E9" w:rsidRPr="00C95144">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461197" w:rsidRDefault="001A7E9A" w:rsidP="006D01C2">
      <w:pPr>
        <w:pStyle w:val="ListParagraph"/>
        <w:numPr>
          <w:ilvl w:val="0"/>
          <w:numId w:val="19"/>
        </w:numPr>
        <w:ind w:left="426"/>
        <w:jc w:val="both"/>
        <w:rPr>
          <w:rFonts w:ascii="Avenir Next" w:eastAsiaTheme="minorHAnsi" w:hAnsi="Avenir Next" w:cs="Arial"/>
          <w:color w:val="000000" w:themeColor="text1"/>
          <w:sz w:val="22"/>
          <w:szCs w:val="22"/>
          <w:highlight w:val="yellow"/>
          <w:lang w:val="en-GB"/>
        </w:rPr>
      </w:pPr>
      <w:r w:rsidRPr="00461197">
        <w:rPr>
          <w:rFonts w:ascii="Avenir Next" w:hAnsi="Avenir Next" w:cs="Arial"/>
          <w:color w:val="000000" w:themeColor="text1"/>
          <w:sz w:val="22"/>
          <w:szCs w:val="22"/>
          <w:highlight w:val="yellow"/>
          <w:lang w:val="en-GB"/>
        </w:rPr>
        <w:t>Havana Convention on Private International Law (1928)</w:t>
      </w:r>
      <w:r w:rsidRPr="00461197">
        <w:rPr>
          <w:rFonts w:ascii="Avenir Next" w:eastAsiaTheme="minorHAnsi" w:hAnsi="Avenir Next" w:cs="Arial"/>
          <w:color w:val="000000" w:themeColor="text1"/>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C95144">
        <w:rPr>
          <w:rFonts w:ascii="Avenir Next Demi Bold" w:hAnsi="Avenir Next Demi Bold" w:cs="Arial"/>
          <w:b/>
          <w:bCs/>
          <w:sz w:val="22"/>
          <w:szCs w:val="22"/>
          <w:lang w:val="en-GB"/>
        </w:rPr>
        <w:t>Question 1.</w:t>
      </w:r>
      <w:r w:rsidR="007074E9" w:rsidRPr="00C95144">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D91BA7">
        <w:rPr>
          <w:rFonts w:ascii="Avenir Next" w:hAnsi="Avenir Next" w:cs="Arial"/>
          <w:sz w:val="22"/>
          <w:szCs w:val="22"/>
          <w:lang w:val="en-GB"/>
        </w:rPr>
        <w:t>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w:t>
      </w:r>
      <w:r w:rsidRPr="00827D56">
        <w:rPr>
          <w:rFonts w:ascii="Avenir Next" w:hAnsi="Avenir Next" w:cs="Arial"/>
          <w:sz w:val="22"/>
          <w:szCs w:val="22"/>
          <w:lang w:val="en-GB"/>
        </w:rPr>
        <w:t xml:space="preserve">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B44543" w:rsidRDefault="0082483F" w:rsidP="006D01C2">
      <w:pPr>
        <w:pStyle w:val="ListParagraph"/>
        <w:numPr>
          <w:ilvl w:val="0"/>
          <w:numId w:val="20"/>
        </w:numPr>
        <w:ind w:left="426"/>
        <w:jc w:val="both"/>
        <w:rPr>
          <w:rFonts w:ascii="Avenir Next" w:hAnsi="Avenir Next" w:cs="Arial"/>
          <w:sz w:val="22"/>
          <w:szCs w:val="22"/>
          <w:lang w:val="en-GB"/>
        </w:rPr>
      </w:pPr>
      <w:r w:rsidRPr="00B44543">
        <w:rPr>
          <w:rFonts w:ascii="Avenir Next" w:hAnsi="Avenir Next" w:cs="Arial"/>
          <w:sz w:val="22"/>
          <w:szCs w:val="22"/>
          <w:lang w:val="en-GB"/>
        </w:rPr>
        <w:t xml:space="preserve">Definition of </w:t>
      </w:r>
      <w:r w:rsidR="006D01C2" w:rsidRPr="00B44543">
        <w:rPr>
          <w:rFonts w:ascii="Avenir Next" w:hAnsi="Avenir Next" w:cs="Arial"/>
          <w:sz w:val="22"/>
          <w:szCs w:val="22"/>
          <w:lang w:val="en-GB"/>
        </w:rPr>
        <w:t>“</w:t>
      </w:r>
      <w:r w:rsidRPr="00B44543">
        <w:rPr>
          <w:rFonts w:ascii="Avenir Next" w:hAnsi="Avenir Next" w:cs="Arial"/>
          <w:sz w:val="22"/>
          <w:szCs w:val="22"/>
          <w:lang w:val="en-GB"/>
        </w:rPr>
        <w:t>centre of the debtor’s main interests</w:t>
      </w:r>
      <w:r w:rsidR="006D01C2" w:rsidRPr="00B44543">
        <w:rPr>
          <w:rFonts w:ascii="Avenir Next" w:hAnsi="Avenir Next" w:cs="Arial"/>
          <w:sz w:val="22"/>
          <w:szCs w:val="22"/>
          <w:lang w:val="en-GB"/>
        </w:rPr>
        <w:t>”</w:t>
      </w:r>
      <w:r w:rsidRPr="00B44543">
        <w:rPr>
          <w:rFonts w:ascii="Avenir Next" w:hAnsi="Avenir Next" w:cs="Arial"/>
          <w:sz w:val="22"/>
          <w:szCs w:val="22"/>
          <w:lang w:val="en-GB"/>
        </w:rPr>
        <w:t>.</w:t>
      </w:r>
    </w:p>
    <w:p w14:paraId="67B60932" w14:textId="695E08E3" w:rsidR="0082483F" w:rsidRPr="00B44543" w:rsidRDefault="0082483F" w:rsidP="006D01C2">
      <w:pPr>
        <w:pStyle w:val="ListParagraph"/>
        <w:numPr>
          <w:ilvl w:val="0"/>
          <w:numId w:val="20"/>
        </w:numPr>
        <w:ind w:left="426"/>
        <w:jc w:val="both"/>
        <w:rPr>
          <w:rFonts w:ascii="Avenir Next" w:hAnsi="Avenir Next" w:cs="Arial"/>
          <w:sz w:val="22"/>
          <w:szCs w:val="22"/>
          <w:highlight w:val="yellow"/>
          <w:lang w:val="en-GB"/>
        </w:rPr>
      </w:pPr>
      <w:r w:rsidRPr="00B44543">
        <w:rPr>
          <w:rFonts w:ascii="Avenir Next" w:hAnsi="Avenir Next" w:cs="Arial"/>
          <w:sz w:val="22"/>
          <w:szCs w:val="22"/>
          <w:highlight w:val="yellow"/>
          <w:lang w:val="en-GB"/>
        </w:rPr>
        <w:t>A centralised insolvency register of insolvency proceedings opened in member states</w:t>
      </w:r>
      <w:r w:rsidR="003A2F8D" w:rsidRPr="00B44543">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9945C5">
        <w:rPr>
          <w:rFonts w:ascii="Avenir Next Demi Bold" w:hAnsi="Avenir Next Demi Bold" w:cs="Arial"/>
          <w:b/>
          <w:bCs/>
          <w:sz w:val="22"/>
          <w:szCs w:val="22"/>
          <w:lang w:val="en-GB"/>
        </w:rPr>
        <w:t>Question 1.1</w:t>
      </w:r>
      <w:r w:rsidR="007074E9" w:rsidRPr="009945C5">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1775EF"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1775EF">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9C7831">
        <w:rPr>
          <w:rFonts w:ascii="Avenir Next Demi Bold" w:hAnsi="Avenir Next Demi Bold" w:cs="Arial"/>
          <w:b/>
          <w:bCs/>
          <w:sz w:val="22"/>
          <w:szCs w:val="22"/>
          <w:lang w:val="en-GB"/>
        </w:rPr>
        <w:t xml:space="preserve">Question </w:t>
      </w:r>
      <w:r w:rsidR="00962045" w:rsidRPr="009C7831">
        <w:rPr>
          <w:rFonts w:ascii="Avenir Next Demi Bold" w:hAnsi="Avenir Next Demi Bold" w:cs="Arial"/>
          <w:b/>
          <w:bCs/>
          <w:sz w:val="22"/>
          <w:szCs w:val="22"/>
          <w:lang w:val="en-GB"/>
        </w:rPr>
        <w:t>2.1</w:t>
      </w:r>
      <w:r w:rsidR="00962045" w:rsidRPr="009C7831">
        <w:rPr>
          <w:rFonts w:ascii="Avenir Next Demi Bold" w:hAnsi="Avenir Next Demi Bold" w:cs="Arial"/>
          <w:b/>
          <w:bCs/>
          <w:sz w:val="22"/>
          <w:szCs w:val="22"/>
          <w:lang w:val="en-GB"/>
        </w:rPr>
        <w:tab/>
      </w:r>
      <w:r w:rsidR="00DE03AF" w:rsidRPr="009C7831">
        <w:rPr>
          <w:rFonts w:ascii="Avenir Next Demi Bold" w:hAnsi="Avenir Next Demi Bold" w:cs="Arial"/>
          <w:b/>
          <w:bCs/>
          <w:sz w:val="22"/>
          <w:szCs w:val="22"/>
          <w:lang w:val="en-GB"/>
        </w:rPr>
        <w:t>[</w:t>
      </w:r>
      <w:r w:rsidR="00D17FDC" w:rsidRPr="009C7831">
        <w:rPr>
          <w:rFonts w:ascii="Avenir Next Demi Bold" w:hAnsi="Avenir Next Demi Bold" w:cs="Arial"/>
          <w:b/>
          <w:bCs/>
          <w:sz w:val="22"/>
          <w:szCs w:val="22"/>
          <w:lang w:val="en-GB"/>
        </w:rPr>
        <w:t>m</w:t>
      </w:r>
      <w:r w:rsidR="00DE03AF" w:rsidRPr="009C7831">
        <w:rPr>
          <w:rFonts w:ascii="Avenir Next Demi Bold" w:hAnsi="Avenir Next Demi Bold" w:cs="Arial"/>
          <w:b/>
          <w:bCs/>
          <w:sz w:val="22"/>
          <w:szCs w:val="22"/>
          <w:lang w:val="en-GB"/>
        </w:rPr>
        <w:t>aximum 2 marks]</w:t>
      </w:r>
      <w:r w:rsidR="00DE03AF" w:rsidRPr="00827D56">
        <w:rPr>
          <w:rFonts w:ascii="Avenir Next Demi Bold" w:hAnsi="Avenir Next Demi Bold" w:cs="Arial"/>
          <w:b/>
          <w:bCs/>
          <w:sz w:val="22"/>
          <w:szCs w:val="22"/>
          <w:lang w:val="en-GB"/>
        </w:rPr>
        <w:t xml:space="preserve">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D4431C" w:rsidRDefault="009B07AD" w:rsidP="00884474">
      <w:pPr>
        <w:ind w:left="720" w:hanging="720"/>
        <w:rPr>
          <w:rFonts w:ascii="Arial" w:hAnsi="Arial" w:cs="Arial"/>
          <w:sz w:val="22"/>
          <w:szCs w:val="22"/>
          <w:lang w:val="en-GB"/>
        </w:rPr>
      </w:pPr>
    </w:p>
    <w:p w14:paraId="67C9AB6A" w14:textId="6CC925BA" w:rsidR="00D4431C" w:rsidRPr="00884474" w:rsidRDefault="00A42783" w:rsidP="00884474">
      <w:pPr>
        <w:rPr>
          <w:rFonts w:ascii="Arial" w:hAnsi="Arial" w:cs="Arial"/>
          <w:color w:val="808080" w:themeColor="background1" w:themeShade="80"/>
          <w:sz w:val="22"/>
          <w:szCs w:val="22"/>
        </w:rPr>
      </w:pPr>
      <w:r w:rsidRPr="00884474">
        <w:rPr>
          <w:rFonts w:ascii="Arial" w:hAnsi="Arial" w:cs="Arial"/>
          <w:color w:val="808080" w:themeColor="background1" w:themeShade="80"/>
          <w:sz w:val="22"/>
          <w:szCs w:val="22"/>
        </w:rPr>
        <w:t>International Insolvency Law is an instrument which regulates</w:t>
      </w:r>
      <w:r w:rsidR="00884474" w:rsidRPr="00884474">
        <w:rPr>
          <w:rFonts w:ascii="Arial" w:hAnsi="Arial" w:cs="Arial"/>
          <w:color w:val="808080" w:themeColor="background1" w:themeShade="80"/>
          <w:sz w:val="22"/>
          <w:szCs w:val="22"/>
        </w:rPr>
        <w:t xml:space="preserve"> the treatment of financially distressed</w:t>
      </w:r>
      <w:r w:rsidRPr="00884474">
        <w:rPr>
          <w:rFonts w:ascii="Arial" w:hAnsi="Arial" w:cs="Arial"/>
          <w:color w:val="808080" w:themeColor="background1" w:themeShade="80"/>
          <w:sz w:val="22"/>
          <w:szCs w:val="22"/>
        </w:rPr>
        <w:t xml:space="preserve"> debtors where such debtors have assets and creditors in more </w:t>
      </w:r>
      <w:r w:rsidR="00884474" w:rsidRPr="00884474">
        <w:rPr>
          <w:rFonts w:ascii="Arial" w:hAnsi="Arial" w:cs="Arial"/>
          <w:color w:val="808080" w:themeColor="background1" w:themeShade="80"/>
          <w:sz w:val="22"/>
          <w:szCs w:val="22"/>
        </w:rPr>
        <w:t>than one country</w:t>
      </w:r>
      <w:r w:rsidR="00884474">
        <w:rPr>
          <w:rFonts w:ascii="Arial" w:hAnsi="Arial" w:cs="Arial"/>
          <w:color w:val="808080" w:themeColor="background1" w:themeShade="80"/>
          <w:sz w:val="22"/>
          <w:szCs w:val="22"/>
        </w:rPr>
        <w:t xml:space="preserve">. </w:t>
      </w:r>
      <w:r w:rsidRPr="00884474">
        <w:rPr>
          <w:rFonts w:ascii="Arial" w:hAnsi="Arial" w:cs="Arial"/>
          <w:color w:val="808080" w:themeColor="background1" w:themeShade="80"/>
          <w:sz w:val="22"/>
          <w:szCs w:val="22"/>
        </w:rPr>
        <w:t xml:space="preserve">Professor Dr. Bob </w:t>
      </w:r>
      <w:r w:rsidR="00A3106B" w:rsidRPr="00884474">
        <w:rPr>
          <w:rFonts w:ascii="Arial" w:hAnsi="Arial" w:cs="Arial"/>
          <w:color w:val="808080" w:themeColor="background1" w:themeShade="80"/>
          <w:sz w:val="22"/>
          <w:szCs w:val="22"/>
        </w:rPr>
        <w:t xml:space="preserve">Wessels </w:t>
      </w:r>
      <w:r w:rsidRPr="00884474">
        <w:rPr>
          <w:rFonts w:ascii="Arial" w:hAnsi="Arial" w:cs="Arial"/>
          <w:color w:val="808080" w:themeColor="background1" w:themeShade="80"/>
          <w:sz w:val="22"/>
          <w:szCs w:val="22"/>
        </w:rPr>
        <w:t xml:space="preserve">in his publication of “International Insolvency Law” </w:t>
      </w:r>
      <w:r w:rsidR="00884474" w:rsidRPr="00884474">
        <w:rPr>
          <w:rFonts w:ascii="Arial" w:hAnsi="Arial" w:cs="Arial"/>
          <w:color w:val="808080" w:themeColor="background1" w:themeShade="80"/>
          <w:sz w:val="22"/>
          <w:szCs w:val="22"/>
        </w:rPr>
        <w:t xml:space="preserve">2006, </w:t>
      </w:r>
      <w:r w:rsidR="00884474">
        <w:rPr>
          <w:rFonts w:ascii="Arial" w:hAnsi="Arial" w:cs="Arial"/>
          <w:color w:val="808080" w:themeColor="background1" w:themeShade="80"/>
          <w:sz w:val="22"/>
          <w:szCs w:val="22"/>
        </w:rPr>
        <w:t xml:space="preserve">defines </w:t>
      </w:r>
      <w:r w:rsidR="00884474" w:rsidRPr="00884474">
        <w:rPr>
          <w:rFonts w:ascii="Arial" w:hAnsi="Arial" w:cs="Arial"/>
          <w:color w:val="808080" w:themeColor="background1" w:themeShade="80"/>
          <w:sz w:val="22"/>
          <w:szCs w:val="22"/>
        </w:rPr>
        <w:t xml:space="preserve">international insolvency law </w:t>
      </w:r>
      <w:r w:rsidR="00884474">
        <w:rPr>
          <w:rFonts w:ascii="Arial" w:hAnsi="Arial" w:cs="Arial"/>
          <w:color w:val="808080" w:themeColor="background1" w:themeShade="80"/>
          <w:sz w:val="22"/>
          <w:szCs w:val="22"/>
        </w:rPr>
        <w:t>as “</w:t>
      </w:r>
      <w:r w:rsidR="00D4431C" w:rsidRPr="00884474">
        <w:rPr>
          <w:rFonts w:ascii="Arial" w:hAnsi="Arial" w:cs="Arial"/>
          <w:color w:val="808080" w:themeColor="background1" w:themeShade="80"/>
          <w:sz w:val="22"/>
          <w:szCs w:val="22"/>
        </w:rPr>
        <w:t>a body of rules concerning certain insolvency proceedings or measures, which cannot be fully enforced, because the applicable law cannot be executed immediately and exclusively without consideration being given to the international aspect of a given case.”</w:t>
      </w:r>
      <w:r w:rsidR="007F2E1B">
        <w:rPr>
          <w:rFonts w:ascii="Arial" w:hAnsi="Arial" w:cs="Arial"/>
          <w:color w:val="808080" w:themeColor="background1" w:themeShade="80"/>
          <w:sz w:val="22"/>
          <w:szCs w:val="22"/>
        </w:rPr>
        <w:t>.</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9C7831">
        <w:rPr>
          <w:rFonts w:ascii="Avenir Next Demi Bold" w:hAnsi="Avenir Next Demi Bold" w:cs="Arial"/>
          <w:b/>
          <w:bCs/>
          <w:sz w:val="22"/>
          <w:szCs w:val="22"/>
          <w:lang w:val="en-GB"/>
        </w:rPr>
        <w:t xml:space="preserve">Question </w:t>
      </w:r>
      <w:r w:rsidR="00DE03AF" w:rsidRPr="009C7831">
        <w:rPr>
          <w:rFonts w:ascii="Avenir Next Demi Bold" w:hAnsi="Avenir Next Demi Bold" w:cs="Arial"/>
          <w:b/>
          <w:bCs/>
          <w:sz w:val="22"/>
          <w:szCs w:val="22"/>
          <w:lang w:val="en-GB"/>
        </w:rPr>
        <w:t>2.2</w:t>
      </w:r>
      <w:r w:rsidR="00DE03AF" w:rsidRPr="009C7831">
        <w:rPr>
          <w:rFonts w:ascii="Avenir Next Demi Bold" w:hAnsi="Avenir Next Demi Bold" w:cs="Arial"/>
          <w:b/>
          <w:bCs/>
          <w:sz w:val="22"/>
          <w:szCs w:val="22"/>
          <w:lang w:val="en-GB"/>
        </w:rPr>
        <w:tab/>
        <w:t>[</w:t>
      </w:r>
      <w:r w:rsidR="00D17FDC" w:rsidRPr="009C7831">
        <w:rPr>
          <w:rFonts w:ascii="Avenir Next Demi Bold" w:hAnsi="Avenir Next Demi Bold" w:cs="Arial"/>
          <w:b/>
          <w:bCs/>
          <w:sz w:val="22"/>
          <w:szCs w:val="22"/>
          <w:lang w:val="en-GB"/>
        </w:rPr>
        <w:t>m</w:t>
      </w:r>
      <w:r w:rsidR="00DE03AF" w:rsidRPr="009C7831">
        <w:rPr>
          <w:rFonts w:ascii="Avenir Next Demi Bold" w:hAnsi="Avenir Next Demi Bold" w:cs="Arial"/>
          <w:b/>
          <w:bCs/>
          <w:sz w:val="22"/>
          <w:szCs w:val="22"/>
          <w:lang w:val="en-GB"/>
        </w:rPr>
        <w:t>aximum 5 marks]</w:t>
      </w:r>
      <w:r w:rsidR="00DE03AF" w:rsidRPr="00827D56">
        <w:rPr>
          <w:rFonts w:ascii="Avenir Next Demi Bold" w:hAnsi="Avenir Next Demi Bold" w:cs="Arial"/>
          <w:b/>
          <w:bCs/>
          <w:sz w:val="22"/>
          <w:szCs w:val="22"/>
          <w:lang w:val="en-GB"/>
        </w:rPr>
        <w:t xml:space="preserve">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13B5515F" w:rsidR="009B07AD" w:rsidRDefault="009B07AD" w:rsidP="00C053F7">
      <w:pPr>
        <w:ind w:left="720" w:hanging="720"/>
        <w:jc w:val="both"/>
        <w:rPr>
          <w:rFonts w:ascii="Avenir Next" w:hAnsi="Avenir Next" w:cs="Arial"/>
          <w:sz w:val="22"/>
          <w:szCs w:val="22"/>
          <w:lang w:val="en-GB"/>
        </w:rPr>
      </w:pPr>
    </w:p>
    <w:p w14:paraId="1E202CD7" w14:textId="3942F651" w:rsidR="00F31C44" w:rsidRPr="00884474" w:rsidRDefault="00155BA3" w:rsidP="00884474">
      <w:pPr>
        <w:rPr>
          <w:rFonts w:ascii="Arial" w:hAnsi="Arial" w:cs="Arial"/>
          <w:color w:val="808080" w:themeColor="background1" w:themeShade="80"/>
          <w:sz w:val="22"/>
          <w:szCs w:val="22"/>
        </w:rPr>
      </w:pPr>
      <w:r w:rsidRPr="00884474">
        <w:rPr>
          <w:rFonts w:ascii="Arial" w:hAnsi="Arial" w:cs="Arial"/>
          <w:color w:val="808080" w:themeColor="background1" w:themeShade="80"/>
          <w:sz w:val="22"/>
          <w:szCs w:val="22"/>
        </w:rPr>
        <w:t>The theory of universality</w:t>
      </w:r>
      <w:r w:rsidR="00C95144">
        <w:rPr>
          <w:rFonts w:ascii="Arial" w:hAnsi="Arial" w:cs="Arial"/>
          <w:color w:val="808080" w:themeColor="background1" w:themeShade="80"/>
          <w:sz w:val="22"/>
          <w:szCs w:val="22"/>
        </w:rPr>
        <w:t xml:space="preserve"> is </w:t>
      </w:r>
      <w:r w:rsidRPr="00884474">
        <w:rPr>
          <w:rFonts w:ascii="Arial" w:hAnsi="Arial" w:cs="Arial"/>
          <w:color w:val="808080" w:themeColor="background1" w:themeShade="80"/>
          <w:sz w:val="22"/>
          <w:szCs w:val="22"/>
        </w:rPr>
        <w:t xml:space="preserve">one of the main approaches when it comes to dealing with problems associated with cross-border insolvency. </w:t>
      </w:r>
      <w:r w:rsidR="004F2CD6" w:rsidRPr="00884474">
        <w:rPr>
          <w:rFonts w:ascii="Arial" w:hAnsi="Arial" w:cs="Arial"/>
          <w:color w:val="808080" w:themeColor="background1" w:themeShade="80"/>
          <w:sz w:val="22"/>
          <w:szCs w:val="22"/>
        </w:rPr>
        <w:t xml:space="preserve">A basic definition is the principle that there should be only one insolvency proceeding covering all of the debtor’s assets and debts worldwide. This approach is seen to be more favourable by international observers and commentators. This location of primary insolvency proceedings in this instance is usually decided by where the debtor has its Centre of Main interest (“COMI”). </w:t>
      </w:r>
      <w:r w:rsidR="00F31C44" w:rsidRPr="00884474">
        <w:rPr>
          <w:rFonts w:ascii="Arial" w:hAnsi="Arial" w:cs="Arial"/>
          <w:color w:val="808080" w:themeColor="background1" w:themeShade="80"/>
          <w:sz w:val="22"/>
          <w:szCs w:val="22"/>
        </w:rPr>
        <w:t>A practical example of t</w:t>
      </w:r>
      <w:r w:rsidR="004F2CD6" w:rsidRPr="00884474">
        <w:rPr>
          <w:rFonts w:ascii="Arial" w:hAnsi="Arial" w:cs="Arial"/>
          <w:color w:val="808080" w:themeColor="background1" w:themeShade="80"/>
          <w:sz w:val="22"/>
          <w:szCs w:val="22"/>
        </w:rPr>
        <w:t xml:space="preserve">he presence of </w:t>
      </w:r>
      <w:r w:rsidR="00F31C44" w:rsidRPr="00884474">
        <w:rPr>
          <w:rFonts w:ascii="Arial" w:hAnsi="Arial" w:cs="Arial"/>
          <w:color w:val="808080" w:themeColor="background1" w:themeShade="80"/>
          <w:sz w:val="22"/>
          <w:szCs w:val="22"/>
        </w:rPr>
        <w:t xml:space="preserve">aspects of </w:t>
      </w:r>
      <w:r w:rsidR="004F2CD6" w:rsidRPr="00884474">
        <w:rPr>
          <w:rFonts w:ascii="Arial" w:hAnsi="Arial" w:cs="Arial"/>
          <w:color w:val="808080" w:themeColor="background1" w:themeShade="80"/>
          <w:sz w:val="22"/>
          <w:szCs w:val="22"/>
        </w:rPr>
        <w:t>universality being adopted is usually evident in Anglo-American</w:t>
      </w:r>
      <w:r w:rsidR="00F31C44" w:rsidRPr="00884474">
        <w:rPr>
          <w:rFonts w:ascii="Arial" w:hAnsi="Arial" w:cs="Arial"/>
          <w:color w:val="808080" w:themeColor="background1" w:themeShade="80"/>
          <w:sz w:val="22"/>
          <w:szCs w:val="22"/>
        </w:rPr>
        <w:t xml:space="preserve"> driven by</w:t>
      </w:r>
      <w:r w:rsidR="004F2CD6" w:rsidRPr="00884474">
        <w:rPr>
          <w:rFonts w:ascii="Arial" w:hAnsi="Arial" w:cs="Arial"/>
          <w:color w:val="808080" w:themeColor="background1" w:themeShade="80"/>
          <w:sz w:val="22"/>
          <w:szCs w:val="22"/>
        </w:rPr>
        <w:t xml:space="preserve"> (</w:t>
      </w:r>
      <w:r w:rsidR="004F2CD6" w:rsidRPr="00884474">
        <w:rPr>
          <w:rFonts w:ascii="Arial" w:hAnsi="Arial" w:cs="Arial"/>
          <w:i/>
          <w:color w:val="808080" w:themeColor="background1" w:themeShade="80"/>
          <w:sz w:val="22"/>
          <w:szCs w:val="22"/>
        </w:rPr>
        <w:t>common law</w:t>
      </w:r>
      <w:r w:rsidR="004F2CD6" w:rsidRPr="00884474">
        <w:rPr>
          <w:rFonts w:ascii="Arial" w:hAnsi="Arial" w:cs="Arial"/>
          <w:color w:val="808080" w:themeColor="background1" w:themeShade="80"/>
          <w:sz w:val="22"/>
          <w:szCs w:val="22"/>
        </w:rPr>
        <w:t xml:space="preserve">) </w:t>
      </w:r>
      <w:r w:rsidR="00F31C44" w:rsidRPr="00884474">
        <w:rPr>
          <w:rFonts w:ascii="Arial" w:hAnsi="Arial" w:cs="Arial"/>
          <w:color w:val="808080" w:themeColor="background1" w:themeShade="80"/>
          <w:sz w:val="22"/>
          <w:szCs w:val="22"/>
        </w:rPr>
        <w:t>insolvency s</w:t>
      </w:r>
      <w:r w:rsidR="004F2CD6" w:rsidRPr="00884474">
        <w:rPr>
          <w:rFonts w:ascii="Arial" w:hAnsi="Arial" w:cs="Arial"/>
          <w:color w:val="808080" w:themeColor="background1" w:themeShade="80"/>
          <w:sz w:val="22"/>
          <w:szCs w:val="22"/>
        </w:rPr>
        <w:t>ystems</w:t>
      </w:r>
      <w:r w:rsidR="00F31C44" w:rsidRPr="00884474">
        <w:rPr>
          <w:rFonts w:ascii="Arial" w:hAnsi="Arial" w:cs="Arial"/>
          <w:color w:val="808080" w:themeColor="background1" w:themeShade="80"/>
          <w:sz w:val="22"/>
          <w:szCs w:val="22"/>
        </w:rPr>
        <w:t xml:space="preserve"> such </w:t>
      </w:r>
      <w:r w:rsidR="007D4707" w:rsidRPr="00C95144">
        <w:rPr>
          <w:rFonts w:ascii="Arial" w:hAnsi="Arial" w:cs="Arial"/>
          <w:color w:val="808080" w:themeColor="background1" w:themeShade="80"/>
          <w:sz w:val="22"/>
          <w:szCs w:val="22"/>
        </w:rPr>
        <w:t>as:</w:t>
      </w:r>
      <w:r w:rsidR="00F31C44" w:rsidRPr="00C95144">
        <w:rPr>
          <w:rFonts w:ascii="Arial" w:hAnsi="Arial" w:cs="Arial"/>
          <w:color w:val="808080" w:themeColor="background1" w:themeShade="80"/>
          <w:sz w:val="22"/>
          <w:szCs w:val="22"/>
        </w:rPr>
        <w:t xml:space="preserve"> </w:t>
      </w:r>
      <w:r w:rsidR="00F31C44" w:rsidRPr="00884474">
        <w:rPr>
          <w:rFonts w:ascii="Arial" w:hAnsi="Arial" w:cs="Arial"/>
          <w:color w:val="808080" w:themeColor="background1" w:themeShade="80"/>
          <w:sz w:val="22"/>
          <w:szCs w:val="22"/>
        </w:rPr>
        <w:t>the UK, USA and Australia.</w:t>
      </w:r>
    </w:p>
    <w:p w14:paraId="4CD9B0C5" w14:textId="3AAB57F9" w:rsidR="00F31C44" w:rsidRPr="00884474" w:rsidRDefault="00F31C44" w:rsidP="00884474">
      <w:pPr>
        <w:rPr>
          <w:rFonts w:ascii="Arial" w:hAnsi="Arial" w:cs="Arial"/>
          <w:color w:val="808080" w:themeColor="background1" w:themeShade="80"/>
          <w:sz w:val="22"/>
          <w:szCs w:val="22"/>
        </w:rPr>
      </w:pPr>
    </w:p>
    <w:p w14:paraId="5A5AC751" w14:textId="02D6E040" w:rsidR="00F31C44" w:rsidRPr="00884474" w:rsidRDefault="00F31C44" w:rsidP="00884474">
      <w:pPr>
        <w:rPr>
          <w:rFonts w:ascii="Arial" w:hAnsi="Arial" w:cs="Arial"/>
          <w:color w:val="808080" w:themeColor="background1" w:themeShade="80"/>
          <w:sz w:val="22"/>
          <w:szCs w:val="22"/>
        </w:rPr>
      </w:pPr>
      <w:r w:rsidRPr="00884474">
        <w:rPr>
          <w:rFonts w:ascii="Arial" w:hAnsi="Arial" w:cs="Arial"/>
          <w:color w:val="808080" w:themeColor="background1" w:themeShade="80"/>
          <w:sz w:val="22"/>
          <w:szCs w:val="22"/>
        </w:rPr>
        <w:t>On the other hand, the concept of territorialism is based on the premise that insolvency proceedings may be commenced in every state / jurisdiction where the debtor holds assets</w:t>
      </w:r>
      <w:r w:rsidR="00846492" w:rsidRPr="00884474">
        <w:rPr>
          <w:rFonts w:ascii="Arial" w:hAnsi="Arial" w:cs="Arial"/>
          <w:color w:val="808080" w:themeColor="background1" w:themeShade="80"/>
          <w:sz w:val="22"/>
          <w:szCs w:val="22"/>
        </w:rPr>
        <w:t xml:space="preserve"> (</w:t>
      </w:r>
      <w:r w:rsidRPr="00884474">
        <w:rPr>
          <w:rFonts w:ascii="Arial" w:hAnsi="Arial" w:cs="Arial"/>
          <w:color w:val="808080" w:themeColor="background1" w:themeShade="80"/>
          <w:sz w:val="22"/>
          <w:szCs w:val="22"/>
        </w:rPr>
        <w:t xml:space="preserve">also </w:t>
      </w:r>
      <w:r w:rsidRPr="00C95144">
        <w:rPr>
          <w:rFonts w:ascii="Arial" w:hAnsi="Arial" w:cs="Arial"/>
          <w:color w:val="808080" w:themeColor="background1" w:themeShade="80"/>
          <w:sz w:val="22"/>
          <w:szCs w:val="22"/>
        </w:rPr>
        <w:t>seen</w:t>
      </w:r>
      <w:r w:rsidR="00846492" w:rsidRPr="00C95144">
        <w:rPr>
          <w:rFonts w:ascii="Arial" w:hAnsi="Arial" w:cs="Arial"/>
          <w:color w:val="808080" w:themeColor="background1" w:themeShade="80"/>
          <w:sz w:val="22"/>
          <w:szCs w:val="22"/>
        </w:rPr>
        <w:t xml:space="preserve"> </w:t>
      </w:r>
      <w:r w:rsidR="00C95144" w:rsidRPr="00C95144">
        <w:rPr>
          <w:rFonts w:ascii="Arial" w:hAnsi="Arial" w:cs="Arial"/>
          <w:color w:val="808080" w:themeColor="background1" w:themeShade="80"/>
          <w:sz w:val="22"/>
          <w:szCs w:val="22"/>
        </w:rPr>
        <w:t xml:space="preserve">as </w:t>
      </w:r>
      <w:r w:rsidR="00846492" w:rsidRPr="00C95144">
        <w:rPr>
          <w:rFonts w:ascii="Arial" w:hAnsi="Arial" w:cs="Arial"/>
          <w:color w:val="808080" w:themeColor="background1" w:themeShade="80"/>
          <w:sz w:val="22"/>
          <w:szCs w:val="22"/>
        </w:rPr>
        <w:t xml:space="preserve">the </w:t>
      </w:r>
      <w:r w:rsidR="00846492" w:rsidRPr="00884474">
        <w:rPr>
          <w:rFonts w:ascii="Arial" w:hAnsi="Arial" w:cs="Arial"/>
          <w:color w:val="808080" w:themeColor="background1" w:themeShade="80"/>
          <w:sz w:val="22"/>
          <w:szCs w:val="22"/>
        </w:rPr>
        <w:t>notion of plurality),</w:t>
      </w:r>
      <w:r w:rsidRPr="00884474">
        <w:rPr>
          <w:rFonts w:ascii="Arial" w:hAnsi="Arial" w:cs="Arial"/>
          <w:color w:val="808080" w:themeColor="background1" w:themeShade="80"/>
          <w:sz w:val="22"/>
          <w:szCs w:val="22"/>
        </w:rPr>
        <w:t xml:space="preserve"> these assets should be territorially limited and restricted to the property within the states where the proceedings are opened. </w:t>
      </w:r>
      <w:r w:rsidR="00846492" w:rsidRPr="00884474">
        <w:rPr>
          <w:rFonts w:ascii="Arial" w:hAnsi="Arial" w:cs="Arial"/>
          <w:color w:val="808080" w:themeColor="background1" w:themeShade="80"/>
          <w:sz w:val="22"/>
          <w:szCs w:val="22"/>
        </w:rPr>
        <w:t>Evident in contently European (</w:t>
      </w:r>
      <w:r w:rsidR="00846492" w:rsidRPr="00884474">
        <w:rPr>
          <w:rFonts w:ascii="Arial" w:hAnsi="Arial" w:cs="Arial"/>
          <w:i/>
          <w:color w:val="808080" w:themeColor="background1" w:themeShade="80"/>
          <w:sz w:val="22"/>
          <w:szCs w:val="22"/>
        </w:rPr>
        <w:t>civil law</w:t>
      </w:r>
      <w:r w:rsidR="00846492" w:rsidRPr="00884474">
        <w:rPr>
          <w:rFonts w:ascii="Arial" w:hAnsi="Arial" w:cs="Arial"/>
          <w:color w:val="808080" w:themeColor="background1" w:themeShade="80"/>
          <w:sz w:val="22"/>
          <w:szCs w:val="22"/>
        </w:rPr>
        <w:t xml:space="preserve">) insolvency systems, </w:t>
      </w:r>
      <w:r w:rsidR="00846492" w:rsidRPr="00C95144">
        <w:rPr>
          <w:rFonts w:ascii="Arial" w:hAnsi="Arial" w:cs="Arial"/>
          <w:color w:val="808080" w:themeColor="background1" w:themeShade="80"/>
          <w:sz w:val="22"/>
          <w:szCs w:val="22"/>
        </w:rPr>
        <w:t xml:space="preserve">this </w:t>
      </w:r>
      <w:r w:rsidR="007D4707" w:rsidRPr="00C95144">
        <w:rPr>
          <w:rFonts w:ascii="Arial" w:hAnsi="Arial" w:cs="Arial"/>
          <w:color w:val="808080" w:themeColor="background1" w:themeShade="80"/>
          <w:sz w:val="22"/>
          <w:szCs w:val="22"/>
        </w:rPr>
        <w:t>concept</w:t>
      </w:r>
      <w:r w:rsidR="00846492" w:rsidRPr="00C95144">
        <w:rPr>
          <w:rFonts w:ascii="Arial" w:hAnsi="Arial" w:cs="Arial"/>
          <w:color w:val="808080" w:themeColor="background1" w:themeShade="80"/>
          <w:sz w:val="22"/>
          <w:szCs w:val="22"/>
        </w:rPr>
        <w:t xml:space="preserve"> is </w:t>
      </w:r>
      <w:r w:rsidR="007D4707" w:rsidRPr="00C95144">
        <w:rPr>
          <w:rFonts w:ascii="Arial" w:hAnsi="Arial" w:cs="Arial"/>
          <w:color w:val="808080" w:themeColor="background1" w:themeShade="80"/>
          <w:sz w:val="22"/>
          <w:szCs w:val="22"/>
        </w:rPr>
        <w:t xml:space="preserve">considered </w:t>
      </w:r>
      <w:r w:rsidR="00846492" w:rsidRPr="00C95144">
        <w:rPr>
          <w:rFonts w:ascii="Arial" w:hAnsi="Arial" w:cs="Arial"/>
          <w:color w:val="808080" w:themeColor="background1" w:themeShade="80"/>
          <w:sz w:val="22"/>
          <w:szCs w:val="22"/>
        </w:rPr>
        <w:t xml:space="preserve">less </w:t>
      </w:r>
      <w:r w:rsidR="00C95144" w:rsidRPr="00C95144">
        <w:rPr>
          <w:rFonts w:ascii="Arial" w:hAnsi="Arial" w:cs="Arial"/>
          <w:color w:val="808080" w:themeColor="background1" w:themeShade="80"/>
          <w:sz w:val="22"/>
          <w:szCs w:val="22"/>
        </w:rPr>
        <w:t>favorable</w:t>
      </w:r>
      <w:r w:rsidR="00846492" w:rsidRPr="00C95144">
        <w:rPr>
          <w:rFonts w:ascii="Arial" w:hAnsi="Arial" w:cs="Arial"/>
          <w:color w:val="808080" w:themeColor="background1" w:themeShade="80"/>
          <w:sz w:val="22"/>
          <w:szCs w:val="22"/>
        </w:rPr>
        <w:t xml:space="preserve"> </w:t>
      </w:r>
      <w:r w:rsidR="007D4707" w:rsidRPr="00C95144">
        <w:rPr>
          <w:rFonts w:ascii="Arial" w:hAnsi="Arial" w:cs="Arial"/>
          <w:color w:val="808080" w:themeColor="background1" w:themeShade="80"/>
          <w:sz w:val="22"/>
          <w:szCs w:val="22"/>
        </w:rPr>
        <w:t xml:space="preserve">by </w:t>
      </w:r>
      <w:r w:rsidR="00846492" w:rsidRPr="00884474">
        <w:rPr>
          <w:rFonts w:ascii="Arial" w:hAnsi="Arial" w:cs="Arial"/>
          <w:color w:val="808080" w:themeColor="background1" w:themeShade="80"/>
          <w:sz w:val="22"/>
          <w:szCs w:val="22"/>
        </w:rPr>
        <w:t>the international insolvency community.</w:t>
      </w:r>
    </w:p>
    <w:p w14:paraId="45820C63" w14:textId="352CA067" w:rsidR="00846492" w:rsidRPr="00884474" w:rsidRDefault="00846492" w:rsidP="00884474">
      <w:pPr>
        <w:rPr>
          <w:rFonts w:ascii="Arial" w:hAnsi="Arial" w:cs="Arial"/>
          <w:color w:val="808080" w:themeColor="background1" w:themeShade="80"/>
          <w:sz w:val="22"/>
          <w:szCs w:val="22"/>
        </w:rPr>
      </w:pPr>
    </w:p>
    <w:p w14:paraId="578A09BA" w14:textId="5486314A" w:rsidR="00656806" w:rsidRPr="00884474" w:rsidRDefault="00846492" w:rsidP="00884474">
      <w:pPr>
        <w:rPr>
          <w:rFonts w:ascii="Arial" w:hAnsi="Arial" w:cs="Arial"/>
          <w:color w:val="808080" w:themeColor="background1" w:themeShade="80"/>
          <w:sz w:val="22"/>
          <w:szCs w:val="22"/>
        </w:rPr>
      </w:pPr>
      <w:r w:rsidRPr="00884474">
        <w:rPr>
          <w:rFonts w:ascii="Arial" w:hAnsi="Arial" w:cs="Arial"/>
          <w:color w:val="808080" w:themeColor="background1" w:themeShade="80"/>
          <w:sz w:val="22"/>
          <w:szCs w:val="22"/>
        </w:rPr>
        <w:t xml:space="preserve">While both approaches look to issues </w:t>
      </w:r>
      <w:r w:rsidRPr="00C95144">
        <w:rPr>
          <w:rFonts w:ascii="Arial" w:hAnsi="Arial" w:cs="Arial"/>
          <w:color w:val="808080" w:themeColor="background1" w:themeShade="80"/>
          <w:sz w:val="22"/>
          <w:szCs w:val="22"/>
        </w:rPr>
        <w:t xml:space="preserve">which arise </w:t>
      </w:r>
      <w:r w:rsidR="007D4707" w:rsidRPr="00C95144">
        <w:rPr>
          <w:rFonts w:ascii="Arial" w:hAnsi="Arial" w:cs="Arial"/>
          <w:color w:val="808080" w:themeColor="background1" w:themeShade="80"/>
          <w:sz w:val="22"/>
          <w:szCs w:val="22"/>
        </w:rPr>
        <w:t xml:space="preserve">from </w:t>
      </w:r>
      <w:r w:rsidRPr="00C95144">
        <w:rPr>
          <w:rFonts w:ascii="Arial" w:hAnsi="Arial" w:cs="Arial"/>
          <w:color w:val="808080" w:themeColor="background1" w:themeShade="80"/>
          <w:sz w:val="22"/>
          <w:szCs w:val="22"/>
        </w:rPr>
        <w:t>cross</w:t>
      </w:r>
      <w:r w:rsidRPr="00884474">
        <w:rPr>
          <w:rFonts w:ascii="Arial" w:hAnsi="Arial" w:cs="Arial"/>
          <w:color w:val="808080" w:themeColor="background1" w:themeShade="80"/>
          <w:sz w:val="22"/>
          <w:szCs w:val="22"/>
        </w:rPr>
        <w:t xml:space="preserve">-border insolvency, neither are adopted in their entirety. </w:t>
      </w:r>
      <w:r w:rsidR="00656806" w:rsidRPr="00884474">
        <w:rPr>
          <w:rFonts w:ascii="Arial" w:hAnsi="Arial" w:cs="Arial"/>
          <w:color w:val="808080" w:themeColor="background1" w:themeShade="80"/>
          <w:sz w:val="22"/>
          <w:szCs w:val="22"/>
        </w:rPr>
        <w:t>U</w:t>
      </w:r>
      <w:r w:rsidRPr="00884474">
        <w:rPr>
          <w:rFonts w:ascii="Arial" w:hAnsi="Arial" w:cs="Arial"/>
          <w:color w:val="808080" w:themeColor="background1" w:themeShade="80"/>
          <w:sz w:val="22"/>
          <w:szCs w:val="22"/>
        </w:rPr>
        <w:t xml:space="preserve">niversalism </w:t>
      </w:r>
      <w:r w:rsidR="00656806" w:rsidRPr="00884474">
        <w:rPr>
          <w:rFonts w:ascii="Arial" w:hAnsi="Arial" w:cs="Arial"/>
          <w:color w:val="808080" w:themeColor="background1" w:themeShade="80"/>
          <w:sz w:val="22"/>
          <w:szCs w:val="22"/>
        </w:rPr>
        <w:t>encounters the issue</w:t>
      </w:r>
      <w:r w:rsidRPr="00884474">
        <w:rPr>
          <w:rFonts w:ascii="Arial" w:hAnsi="Arial" w:cs="Arial"/>
          <w:color w:val="808080" w:themeColor="background1" w:themeShade="80"/>
          <w:sz w:val="22"/>
          <w:szCs w:val="22"/>
        </w:rPr>
        <w:t xml:space="preserve"> of the establishment of the “home state”, meaning where the insolvency proceedings will be exclusively opened</w:t>
      </w:r>
      <w:r w:rsidR="00656806" w:rsidRPr="00884474">
        <w:rPr>
          <w:rFonts w:ascii="Arial" w:hAnsi="Arial" w:cs="Arial"/>
          <w:color w:val="808080" w:themeColor="background1" w:themeShade="80"/>
          <w:sz w:val="22"/>
          <w:szCs w:val="22"/>
        </w:rPr>
        <w:t>. In its unaltered form this concept is often politically and practically difficult to achieve. Similarly, the issues with territorialism in its purest form</w:t>
      </w:r>
      <w:r w:rsidR="00B44543" w:rsidRPr="00884474">
        <w:rPr>
          <w:rFonts w:ascii="Arial" w:hAnsi="Arial" w:cs="Arial"/>
          <w:color w:val="808080" w:themeColor="background1" w:themeShade="80"/>
          <w:sz w:val="22"/>
          <w:szCs w:val="22"/>
        </w:rPr>
        <w:t>,</w:t>
      </w:r>
      <w:r w:rsidR="00656806" w:rsidRPr="00884474">
        <w:rPr>
          <w:rFonts w:ascii="Arial" w:hAnsi="Arial" w:cs="Arial"/>
          <w:color w:val="808080" w:themeColor="background1" w:themeShade="80"/>
          <w:sz w:val="22"/>
          <w:szCs w:val="22"/>
        </w:rPr>
        <w:t xml:space="preserve"> can be the determination of solvency for a debtor in different states. For example</w:t>
      </w:r>
      <w:r w:rsidR="00B44543" w:rsidRPr="00884474">
        <w:rPr>
          <w:rFonts w:ascii="Arial" w:hAnsi="Arial" w:cs="Arial"/>
          <w:color w:val="808080" w:themeColor="background1" w:themeShade="80"/>
          <w:sz w:val="22"/>
          <w:szCs w:val="22"/>
        </w:rPr>
        <w:t>,</w:t>
      </w:r>
      <w:r w:rsidR="00656806" w:rsidRPr="00884474">
        <w:rPr>
          <w:rFonts w:ascii="Arial" w:hAnsi="Arial" w:cs="Arial"/>
          <w:color w:val="808080" w:themeColor="background1" w:themeShade="80"/>
          <w:sz w:val="22"/>
          <w:szCs w:val="22"/>
        </w:rPr>
        <w:t xml:space="preserve"> if the debtors h</w:t>
      </w:r>
      <w:r w:rsidR="00B44543" w:rsidRPr="00884474">
        <w:rPr>
          <w:rFonts w:ascii="Arial" w:hAnsi="Arial" w:cs="Arial"/>
          <w:color w:val="808080" w:themeColor="background1" w:themeShade="80"/>
          <w:sz w:val="22"/>
          <w:szCs w:val="22"/>
        </w:rPr>
        <w:t>olds all the debts in one state</w:t>
      </w:r>
      <w:r w:rsidR="00656806" w:rsidRPr="00884474">
        <w:rPr>
          <w:rFonts w:ascii="Arial" w:hAnsi="Arial" w:cs="Arial"/>
          <w:color w:val="808080" w:themeColor="background1" w:themeShade="80"/>
          <w:sz w:val="22"/>
          <w:szCs w:val="22"/>
        </w:rPr>
        <w:t xml:space="preserve"> they could be considered inso</w:t>
      </w:r>
      <w:r w:rsidR="00B44543" w:rsidRPr="00884474">
        <w:rPr>
          <w:rFonts w:ascii="Arial" w:hAnsi="Arial" w:cs="Arial"/>
          <w:color w:val="808080" w:themeColor="background1" w:themeShade="80"/>
          <w:sz w:val="22"/>
          <w:szCs w:val="22"/>
        </w:rPr>
        <w:t>lvent whereas the state where they hold</w:t>
      </w:r>
      <w:r w:rsidR="00656806" w:rsidRPr="00884474">
        <w:rPr>
          <w:rFonts w:ascii="Arial" w:hAnsi="Arial" w:cs="Arial"/>
          <w:color w:val="808080" w:themeColor="background1" w:themeShade="80"/>
          <w:sz w:val="22"/>
          <w:szCs w:val="22"/>
        </w:rPr>
        <w:t xml:space="preserve"> all the assets they could be considered solvent. In addition the pursuit of this approach can be very costly due to the opening of the various insolvency proceedings. </w:t>
      </w:r>
    </w:p>
    <w:p w14:paraId="555928D6" w14:textId="77777777" w:rsidR="008347CC" w:rsidRPr="00884474" w:rsidRDefault="008347CC" w:rsidP="00884474">
      <w:pPr>
        <w:rPr>
          <w:rFonts w:ascii="Arial" w:hAnsi="Arial" w:cs="Arial"/>
          <w:color w:val="808080" w:themeColor="background1" w:themeShade="80"/>
          <w:sz w:val="22"/>
          <w:szCs w:val="22"/>
        </w:rPr>
      </w:pPr>
    </w:p>
    <w:p w14:paraId="0C1269DC" w14:textId="7513A12E" w:rsidR="00846492" w:rsidRPr="00C95144" w:rsidRDefault="007D4707" w:rsidP="00884474">
      <w:pPr>
        <w:rPr>
          <w:rFonts w:ascii="Arial" w:hAnsi="Arial" w:cs="Arial"/>
          <w:color w:val="808080" w:themeColor="background1" w:themeShade="80"/>
          <w:sz w:val="22"/>
          <w:szCs w:val="22"/>
        </w:rPr>
      </w:pPr>
      <w:r w:rsidRPr="00C95144">
        <w:rPr>
          <w:rFonts w:ascii="Arial" w:hAnsi="Arial" w:cs="Arial"/>
          <w:color w:val="808080" w:themeColor="background1" w:themeShade="80"/>
          <w:sz w:val="22"/>
          <w:szCs w:val="22"/>
        </w:rPr>
        <w:t xml:space="preserve">Keeping this </w:t>
      </w:r>
      <w:r w:rsidR="00656806" w:rsidRPr="00C95144">
        <w:rPr>
          <w:rFonts w:ascii="Arial" w:hAnsi="Arial" w:cs="Arial"/>
          <w:color w:val="808080" w:themeColor="background1" w:themeShade="80"/>
          <w:sz w:val="22"/>
          <w:szCs w:val="22"/>
        </w:rPr>
        <w:t>in mind, in recent years the approaches have been adapted to form modern universalism</w:t>
      </w:r>
      <w:r w:rsidRPr="00C95144">
        <w:rPr>
          <w:rFonts w:ascii="Arial" w:hAnsi="Arial" w:cs="Arial"/>
          <w:color w:val="808080" w:themeColor="background1" w:themeShade="80"/>
          <w:sz w:val="22"/>
          <w:szCs w:val="22"/>
        </w:rPr>
        <w:t>:</w:t>
      </w:r>
      <w:r w:rsidR="00656806" w:rsidRPr="00C95144">
        <w:rPr>
          <w:rFonts w:ascii="Arial" w:hAnsi="Arial" w:cs="Arial"/>
          <w:color w:val="808080" w:themeColor="background1" w:themeShade="80"/>
          <w:sz w:val="22"/>
          <w:szCs w:val="22"/>
        </w:rPr>
        <w:t xml:space="preserve"> the main (primary) proceedings being in one sta</w:t>
      </w:r>
      <w:r w:rsidR="00B44543" w:rsidRPr="00C95144">
        <w:rPr>
          <w:rFonts w:ascii="Arial" w:hAnsi="Arial" w:cs="Arial"/>
          <w:color w:val="808080" w:themeColor="background1" w:themeShade="80"/>
          <w:sz w:val="22"/>
          <w:szCs w:val="22"/>
        </w:rPr>
        <w:t>te and supported by secondary or</w:t>
      </w:r>
      <w:r w:rsidR="00656806" w:rsidRPr="00C95144">
        <w:rPr>
          <w:rFonts w:ascii="Arial" w:hAnsi="Arial" w:cs="Arial"/>
          <w:color w:val="808080" w:themeColor="background1" w:themeShade="80"/>
          <w:sz w:val="22"/>
          <w:szCs w:val="22"/>
        </w:rPr>
        <w:t xml:space="preserve"> ancillary proceedings in another state. And modern </w:t>
      </w:r>
      <w:r w:rsidR="008347CC" w:rsidRPr="00C95144">
        <w:rPr>
          <w:rFonts w:ascii="Arial" w:hAnsi="Arial" w:cs="Arial"/>
          <w:color w:val="808080" w:themeColor="background1" w:themeShade="80"/>
          <w:sz w:val="22"/>
          <w:szCs w:val="22"/>
        </w:rPr>
        <w:t>territorialism</w:t>
      </w:r>
      <w:r w:rsidRPr="00C95144">
        <w:rPr>
          <w:rFonts w:ascii="Arial" w:hAnsi="Arial" w:cs="Arial"/>
          <w:color w:val="808080" w:themeColor="background1" w:themeShade="80"/>
          <w:sz w:val="22"/>
          <w:szCs w:val="22"/>
        </w:rPr>
        <w:t xml:space="preserve">: </w:t>
      </w:r>
      <w:r w:rsidR="008347CC" w:rsidRPr="00C95144">
        <w:rPr>
          <w:rFonts w:ascii="Arial" w:hAnsi="Arial" w:cs="Arial"/>
          <w:color w:val="808080" w:themeColor="background1" w:themeShade="80"/>
          <w:sz w:val="22"/>
          <w:szCs w:val="22"/>
        </w:rPr>
        <w:t xml:space="preserve">every state will have </w:t>
      </w:r>
      <w:r w:rsidRPr="00C95144">
        <w:rPr>
          <w:rFonts w:ascii="Arial" w:hAnsi="Arial" w:cs="Arial"/>
          <w:color w:val="808080" w:themeColor="background1" w:themeShade="80"/>
          <w:sz w:val="22"/>
          <w:szCs w:val="22"/>
        </w:rPr>
        <w:t xml:space="preserve">authority </w:t>
      </w:r>
      <w:r w:rsidR="008347CC" w:rsidRPr="00C95144">
        <w:rPr>
          <w:rFonts w:ascii="Arial" w:hAnsi="Arial" w:cs="Arial"/>
          <w:color w:val="808080" w:themeColor="background1" w:themeShade="80"/>
          <w:sz w:val="22"/>
          <w:szCs w:val="22"/>
        </w:rPr>
        <w:t xml:space="preserve">over tangible or intangible assets in its jurisdiction. For assets in different </w:t>
      </w:r>
      <w:r w:rsidRPr="00C95144">
        <w:rPr>
          <w:rFonts w:ascii="Arial" w:hAnsi="Arial" w:cs="Arial"/>
          <w:color w:val="808080" w:themeColor="background1" w:themeShade="80"/>
          <w:sz w:val="22"/>
          <w:szCs w:val="22"/>
        </w:rPr>
        <w:t>states</w:t>
      </w:r>
      <w:r w:rsidR="008347CC" w:rsidRPr="00C95144">
        <w:rPr>
          <w:rFonts w:ascii="Arial" w:hAnsi="Arial" w:cs="Arial"/>
          <w:color w:val="808080" w:themeColor="background1" w:themeShade="80"/>
          <w:sz w:val="22"/>
          <w:szCs w:val="22"/>
        </w:rPr>
        <w:t xml:space="preserve"> the courts will be required to communicate and collaborate for the over</w:t>
      </w:r>
      <w:r w:rsidR="00B44543" w:rsidRPr="00C95144">
        <w:rPr>
          <w:rFonts w:ascii="Arial" w:hAnsi="Arial" w:cs="Arial"/>
          <w:color w:val="808080" w:themeColor="background1" w:themeShade="80"/>
          <w:sz w:val="22"/>
          <w:szCs w:val="22"/>
        </w:rPr>
        <w:t>all</w:t>
      </w:r>
      <w:r w:rsidR="008347CC" w:rsidRPr="00C95144">
        <w:rPr>
          <w:rFonts w:ascii="Arial" w:hAnsi="Arial" w:cs="Arial"/>
          <w:color w:val="808080" w:themeColor="background1" w:themeShade="80"/>
          <w:sz w:val="22"/>
          <w:szCs w:val="22"/>
        </w:rPr>
        <w:t xml:space="preserve"> benefit of the creditors internationally.  </w:t>
      </w:r>
    </w:p>
    <w:p w14:paraId="039E27B5" w14:textId="70C3BB6A" w:rsidR="00C82D87" w:rsidRPr="00D91BA7" w:rsidRDefault="00C82D87" w:rsidP="00D91BA7">
      <w:pPr>
        <w:jc w:val="both"/>
        <w:rPr>
          <w:rFonts w:ascii="Avenir Next" w:hAnsi="Avenir Next" w:cs="Arial"/>
          <w:color w:val="808080" w:themeColor="background1" w:themeShade="80"/>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9C7831">
        <w:rPr>
          <w:rFonts w:ascii="Avenir Next Demi Bold" w:hAnsi="Avenir Next Demi Bold" w:cs="Arial"/>
          <w:b/>
          <w:bCs/>
          <w:sz w:val="22"/>
          <w:szCs w:val="22"/>
          <w:lang w:val="en-GB"/>
        </w:rPr>
        <w:t xml:space="preserve">Question </w:t>
      </w:r>
      <w:r w:rsidR="00E6452F" w:rsidRPr="009C7831">
        <w:rPr>
          <w:rFonts w:ascii="Avenir Next Demi Bold" w:hAnsi="Avenir Next Demi Bold" w:cs="Arial"/>
          <w:b/>
          <w:bCs/>
          <w:sz w:val="22"/>
          <w:szCs w:val="22"/>
          <w:lang w:val="en-GB"/>
        </w:rPr>
        <w:t>2.3</w:t>
      </w:r>
      <w:r w:rsidR="00E6452F" w:rsidRPr="009C7831">
        <w:rPr>
          <w:rFonts w:ascii="Avenir Next Demi Bold" w:hAnsi="Avenir Next Demi Bold" w:cs="Arial"/>
          <w:b/>
          <w:bCs/>
          <w:sz w:val="22"/>
          <w:szCs w:val="22"/>
          <w:lang w:val="en-GB"/>
        </w:rPr>
        <w:tab/>
        <w:t>[</w:t>
      </w:r>
      <w:r w:rsidR="00D17FDC" w:rsidRPr="009C7831">
        <w:rPr>
          <w:rFonts w:ascii="Avenir Next Demi Bold" w:hAnsi="Avenir Next Demi Bold" w:cs="Arial"/>
          <w:b/>
          <w:bCs/>
          <w:sz w:val="22"/>
          <w:szCs w:val="22"/>
          <w:lang w:val="en-GB"/>
        </w:rPr>
        <w:t>m</w:t>
      </w:r>
      <w:r w:rsidR="00E6452F" w:rsidRPr="009C7831">
        <w:rPr>
          <w:rFonts w:ascii="Avenir Next Demi Bold" w:hAnsi="Avenir Next Demi Bold" w:cs="Arial"/>
          <w:b/>
          <w:bCs/>
          <w:sz w:val="22"/>
          <w:szCs w:val="22"/>
          <w:lang w:val="en-GB"/>
        </w:rPr>
        <w:t>aximum 3 marks]</w:t>
      </w:r>
      <w:r w:rsidR="00E6452F" w:rsidRPr="00827D56">
        <w:rPr>
          <w:rFonts w:ascii="Avenir Next Demi Bold" w:hAnsi="Avenir Next Demi Bold" w:cs="Arial"/>
          <w:b/>
          <w:bCs/>
          <w:sz w:val="22"/>
          <w:szCs w:val="22"/>
          <w:lang w:val="en-GB"/>
        </w:rPr>
        <w:t xml:space="preserve">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65A6364B" w:rsidR="00C82D87"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347DBFBA" w14:textId="77777777" w:rsidR="00D05F5F" w:rsidRPr="00827D56" w:rsidRDefault="00D05F5F" w:rsidP="00C053F7">
      <w:pPr>
        <w:jc w:val="both"/>
        <w:rPr>
          <w:rFonts w:ascii="Avenir Next" w:hAnsi="Avenir Next" w:cs="Arial"/>
          <w:sz w:val="22"/>
          <w:szCs w:val="22"/>
          <w:lang w:val="en-GB"/>
        </w:rPr>
      </w:pPr>
    </w:p>
    <w:p w14:paraId="2EDA92E5" w14:textId="5EFA9DB1" w:rsidR="00D05F5F" w:rsidRPr="001C6352" w:rsidRDefault="00D05F5F" w:rsidP="00D05F5F">
      <w:pPr>
        <w:pStyle w:val="ListParagraph"/>
        <w:numPr>
          <w:ilvl w:val="0"/>
          <w:numId w:val="25"/>
        </w:numPr>
        <w:jc w:val="both"/>
        <w:rPr>
          <w:rFonts w:ascii="Arial" w:hAnsi="Arial" w:cs="Arial"/>
          <w:color w:val="808080" w:themeColor="background1" w:themeShade="80"/>
          <w:sz w:val="22"/>
          <w:szCs w:val="22"/>
          <w:lang w:val="en-GB"/>
        </w:rPr>
      </w:pPr>
      <w:r w:rsidRPr="001C6352">
        <w:rPr>
          <w:rFonts w:ascii="Arial" w:hAnsi="Arial" w:cs="Arial"/>
          <w:color w:val="808080" w:themeColor="background1" w:themeShade="80"/>
          <w:sz w:val="22"/>
          <w:szCs w:val="22"/>
          <w:lang w:val="en-GB"/>
        </w:rPr>
        <w:t xml:space="preserve">Bahrain adopted the </w:t>
      </w:r>
      <w:r w:rsidR="001C6352" w:rsidRPr="001C6352">
        <w:rPr>
          <w:rFonts w:ascii="Arial" w:hAnsi="Arial" w:cs="Arial"/>
          <w:color w:val="808080" w:themeColor="background1" w:themeShade="80"/>
          <w:sz w:val="22"/>
          <w:szCs w:val="22"/>
          <w:shd w:val="clear" w:color="auto" w:fill="FFFFFF"/>
        </w:rPr>
        <w:t>UNCITRAL Model Law on Cross-Broder Insolvency</w:t>
      </w:r>
      <w:r w:rsidR="001C6352" w:rsidRPr="001C6352">
        <w:rPr>
          <w:rFonts w:ascii="Arial" w:hAnsi="Arial" w:cs="Arial"/>
          <w:color w:val="808080" w:themeColor="background1" w:themeShade="80"/>
          <w:sz w:val="22"/>
          <w:szCs w:val="22"/>
          <w:lang w:val="en-GB"/>
        </w:rPr>
        <w:t xml:space="preserve"> (“Model Law”)</w:t>
      </w:r>
      <w:r w:rsidRPr="001C6352">
        <w:rPr>
          <w:rFonts w:ascii="Arial" w:hAnsi="Arial" w:cs="Arial"/>
          <w:color w:val="808080" w:themeColor="background1" w:themeShade="80"/>
          <w:sz w:val="22"/>
          <w:szCs w:val="22"/>
          <w:lang w:val="en-GB"/>
        </w:rPr>
        <w:t xml:space="preserve"> in 2018.</w:t>
      </w:r>
      <w:r w:rsidR="00B44543" w:rsidRPr="001C6352">
        <w:rPr>
          <w:rFonts w:ascii="Arial" w:hAnsi="Arial" w:cs="Arial"/>
          <w:color w:val="808080" w:themeColor="background1" w:themeShade="80"/>
          <w:sz w:val="22"/>
          <w:szCs w:val="22"/>
          <w:lang w:val="en-GB"/>
        </w:rPr>
        <w:t xml:space="preserve"> This was in an attempt to encourage transparency and efficiency in the current insolvency framework and attract businesses to Bahrain. </w:t>
      </w:r>
    </w:p>
    <w:p w14:paraId="761958C8" w14:textId="1E73D9C6" w:rsidR="00D05F5F" w:rsidRPr="001C6352" w:rsidRDefault="00D05F5F" w:rsidP="00D05F5F">
      <w:pPr>
        <w:pStyle w:val="ListParagraph"/>
        <w:numPr>
          <w:ilvl w:val="0"/>
          <w:numId w:val="25"/>
        </w:numPr>
        <w:jc w:val="both"/>
        <w:rPr>
          <w:rFonts w:ascii="Arial" w:hAnsi="Arial" w:cs="Arial"/>
          <w:color w:val="808080" w:themeColor="background1" w:themeShade="80"/>
          <w:sz w:val="22"/>
          <w:szCs w:val="22"/>
          <w:lang w:val="en-GB"/>
        </w:rPr>
      </w:pPr>
      <w:r w:rsidRPr="001C6352">
        <w:rPr>
          <w:rFonts w:ascii="Arial" w:hAnsi="Arial" w:cs="Arial"/>
          <w:color w:val="808080" w:themeColor="background1" w:themeShade="80"/>
          <w:sz w:val="22"/>
          <w:szCs w:val="22"/>
          <w:lang w:val="en-GB"/>
        </w:rPr>
        <w:t>The Dubai International Finance Centre</w:t>
      </w:r>
      <w:r w:rsidR="001C6352" w:rsidRPr="001C6352">
        <w:rPr>
          <w:rFonts w:ascii="Arial" w:hAnsi="Arial" w:cs="Arial"/>
          <w:color w:val="808080" w:themeColor="background1" w:themeShade="80"/>
          <w:sz w:val="22"/>
          <w:szCs w:val="22"/>
          <w:lang w:val="en-GB"/>
        </w:rPr>
        <w:t xml:space="preserve"> (“DIFC”) and </w:t>
      </w:r>
      <w:r w:rsidR="001C6352" w:rsidRPr="001C6352">
        <w:rPr>
          <w:rFonts w:ascii="Arial" w:hAnsi="Arial" w:cs="Arial"/>
          <w:color w:val="808080" w:themeColor="background1" w:themeShade="80"/>
          <w:sz w:val="22"/>
          <w:szCs w:val="22"/>
          <w:shd w:val="clear" w:color="auto" w:fill="FFFFFF"/>
        </w:rPr>
        <w:t>Abu Dhabi Global Markets</w:t>
      </w:r>
      <w:r w:rsidRPr="001C6352">
        <w:rPr>
          <w:rFonts w:ascii="Arial" w:hAnsi="Arial" w:cs="Arial"/>
          <w:color w:val="808080" w:themeColor="background1" w:themeShade="80"/>
          <w:sz w:val="22"/>
          <w:szCs w:val="22"/>
          <w:lang w:val="en-GB"/>
        </w:rPr>
        <w:t xml:space="preserve"> </w:t>
      </w:r>
      <w:r w:rsidR="001C6352">
        <w:rPr>
          <w:rFonts w:ascii="Arial" w:hAnsi="Arial" w:cs="Arial"/>
          <w:color w:val="808080" w:themeColor="background1" w:themeShade="80"/>
          <w:sz w:val="22"/>
          <w:szCs w:val="22"/>
          <w:lang w:val="en-GB"/>
        </w:rPr>
        <w:t>(“ADGM</w:t>
      </w:r>
      <w:r w:rsidR="001C6352" w:rsidRPr="00C95144">
        <w:rPr>
          <w:rFonts w:ascii="Arial" w:hAnsi="Arial" w:cs="Arial"/>
          <w:color w:val="808080" w:themeColor="background1" w:themeShade="80"/>
          <w:sz w:val="22"/>
          <w:szCs w:val="22"/>
          <w:lang w:val="en-GB"/>
        </w:rPr>
        <w:t>”)</w:t>
      </w:r>
      <w:r w:rsidRPr="00C95144">
        <w:rPr>
          <w:rFonts w:ascii="Arial" w:hAnsi="Arial" w:cs="Arial"/>
          <w:color w:val="808080" w:themeColor="background1" w:themeShade="80"/>
          <w:sz w:val="22"/>
          <w:szCs w:val="22"/>
          <w:lang w:val="en-GB"/>
        </w:rPr>
        <w:t xml:space="preserve"> </w:t>
      </w:r>
      <w:r w:rsidR="007D4707" w:rsidRPr="00C95144">
        <w:rPr>
          <w:rFonts w:ascii="Arial" w:hAnsi="Arial" w:cs="Arial"/>
          <w:color w:val="808080" w:themeColor="background1" w:themeShade="80"/>
          <w:sz w:val="22"/>
          <w:szCs w:val="22"/>
          <w:lang w:val="en-GB"/>
        </w:rPr>
        <w:t>adopted</w:t>
      </w:r>
      <w:r w:rsidRPr="00C95144">
        <w:rPr>
          <w:rFonts w:ascii="Arial" w:hAnsi="Arial" w:cs="Arial"/>
          <w:color w:val="808080" w:themeColor="background1" w:themeShade="80"/>
          <w:sz w:val="22"/>
          <w:szCs w:val="22"/>
          <w:lang w:val="en-GB"/>
        </w:rPr>
        <w:t xml:space="preserve"> the </w:t>
      </w:r>
      <w:r w:rsidRPr="001C6352">
        <w:rPr>
          <w:rFonts w:ascii="Arial" w:hAnsi="Arial" w:cs="Arial"/>
          <w:color w:val="808080" w:themeColor="background1" w:themeShade="80"/>
          <w:sz w:val="22"/>
          <w:szCs w:val="22"/>
          <w:lang w:val="en-GB"/>
        </w:rPr>
        <w:t xml:space="preserve">Model Law </w:t>
      </w:r>
      <w:r w:rsidR="001C6352">
        <w:rPr>
          <w:rFonts w:ascii="Arial" w:hAnsi="Arial" w:cs="Arial"/>
          <w:color w:val="808080" w:themeColor="background1" w:themeShade="80"/>
          <w:sz w:val="22"/>
          <w:szCs w:val="22"/>
          <w:lang w:val="en-GB"/>
        </w:rPr>
        <w:t>in 2019. The DIFC and</w:t>
      </w:r>
      <w:r w:rsidR="009C7831">
        <w:rPr>
          <w:rFonts w:ascii="Arial" w:hAnsi="Arial" w:cs="Arial"/>
          <w:color w:val="808080" w:themeColor="background1" w:themeShade="80"/>
          <w:sz w:val="22"/>
          <w:szCs w:val="22"/>
          <w:lang w:val="en-GB"/>
        </w:rPr>
        <w:t xml:space="preserve"> ADGM</w:t>
      </w:r>
      <w:r w:rsidR="001C6352">
        <w:rPr>
          <w:rFonts w:ascii="Arial" w:hAnsi="Arial" w:cs="Arial"/>
          <w:color w:val="808080" w:themeColor="background1" w:themeShade="80"/>
          <w:sz w:val="22"/>
          <w:szCs w:val="22"/>
          <w:lang w:val="en-GB"/>
        </w:rPr>
        <w:t xml:space="preserve"> recognised that as a result of </w:t>
      </w:r>
      <w:r w:rsidR="001C6352" w:rsidRPr="001C6352">
        <w:rPr>
          <w:rFonts w:ascii="Arial" w:hAnsi="Arial" w:cs="Arial"/>
          <w:color w:val="808080" w:themeColor="background1" w:themeShade="80"/>
          <w:sz w:val="22"/>
          <w:szCs w:val="22"/>
          <w:lang w:val="en-GB"/>
        </w:rPr>
        <w:t>increased globalisations</w:t>
      </w:r>
      <w:r w:rsidR="009C7831">
        <w:rPr>
          <w:rFonts w:ascii="Arial" w:hAnsi="Arial" w:cs="Arial"/>
          <w:color w:val="808080" w:themeColor="background1" w:themeShade="80"/>
          <w:sz w:val="22"/>
          <w:szCs w:val="22"/>
          <w:lang w:val="en-GB"/>
        </w:rPr>
        <w:t>,</w:t>
      </w:r>
      <w:r w:rsidR="001C6352" w:rsidRPr="001C6352">
        <w:rPr>
          <w:rFonts w:ascii="Arial" w:hAnsi="Arial" w:cs="Arial"/>
          <w:color w:val="808080" w:themeColor="background1" w:themeShade="80"/>
          <w:sz w:val="22"/>
          <w:szCs w:val="22"/>
          <w:lang w:val="en-GB"/>
        </w:rPr>
        <w:t xml:space="preserve"> </w:t>
      </w:r>
      <w:r w:rsidR="009C7831">
        <w:rPr>
          <w:rFonts w:ascii="Arial" w:hAnsi="Arial" w:cs="Arial"/>
          <w:color w:val="808080" w:themeColor="background1" w:themeShade="80"/>
          <w:sz w:val="22"/>
          <w:szCs w:val="22"/>
          <w:lang w:val="en-GB"/>
        </w:rPr>
        <w:t>corporations</w:t>
      </w:r>
      <w:r w:rsidR="001C6352" w:rsidRPr="001C6352">
        <w:rPr>
          <w:rFonts w:ascii="Arial" w:hAnsi="Arial" w:cs="Arial"/>
          <w:color w:val="808080" w:themeColor="background1" w:themeShade="80"/>
          <w:sz w:val="22"/>
          <w:szCs w:val="22"/>
          <w:lang w:val="en-GB"/>
        </w:rPr>
        <w:t xml:space="preserve"> held assets and conducted </w:t>
      </w:r>
      <w:r w:rsidR="009C7831">
        <w:rPr>
          <w:rFonts w:ascii="Arial" w:hAnsi="Arial" w:cs="Arial"/>
          <w:color w:val="808080" w:themeColor="background1" w:themeShade="80"/>
          <w:sz w:val="22"/>
          <w:szCs w:val="22"/>
          <w:lang w:val="en-GB"/>
        </w:rPr>
        <w:t xml:space="preserve">business </w:t>
      </w:r>
      <w:r w:rsidR="001C6352" w:rsidRPr="001C6352">
        <w:rPr>
          <w:rFonts w:ascii="Arial" w:hAnsi="Arial" w:cs="Arial"/>
          <w:color w:val="808080" w:themeColor="background1" w:themeShade="80"/>
          <w:sz w:val="22"/>
          <w:szCs w:val="22"/>
          <w:lang w:val="en-GB"/>
        </w:rPr>
        <w:t xml:space="preserve">activities in multiple jurisdictions around the world, giving rise to the need for a comprehensive and effective way </w:t>
      </w:r>
      <w:r w:rsidR="009C7831">
        <w:rPr>
          <w:rFonts w:ascii="Arial" w:hAnsi="Arial" w:cs="Arial"/>
          <w:color w:val="808080" w:themeColor="background1" w:themeShade="80"/>
          <w:sz w:val="22"/>
          <w:szCs w:val="22"/>
          <w:lang w:val="en-GB"/>
        </w:rPr>
        <w:t xml:space="preserve">to address </w:t>
      </w:r>
      <w:r w:rsidR="001C6352" w:rsidRPr="001C6352">
        <w:rPr>
          <w:rFonts w:ascii="Arial" w:hAnsi="Arial" w:cs="Arial"/>
          <w:color w:val="808080" w:themeColor="background1" w:themeShade="80"/>
          <w:sz w:val="22"/>
          <w:szCs w:val="22"/>
          <w:shd w:val="clear" w:color="auto" w:fill="FFFFFF"/>
        </w:rPr>
        <w:t>multi-jurisdictiona</w:t>
      </w:r>
      <w:r w:rsidR="009C7831">
        <w:rPr>
          <w:rFonts w:ascii="Arial" w:hAnsi="Arial" w:cs="Arial"/>
          <w:color w:val="808080" w:themeColor="background1" w:themeShade="80"/>
          <w:sz w:val="22"/>
          <w:szCs w:val="22"/>
          <w:shd w:val="clear" w:color="auto" w:fill="FFFFFF"/>
        </w:rPr>
        <w:t>l restructurings and insolvency proceedings.</w:t>
      </w:r>
    </w:p>
    <w:p w14:paraId="2C83C18A" w14:textId="3FC4C06A" w:rsidR="00D05F5F" w:rsidRPr="001C6352" w:rsidRDefault="00D05F5F" w:rsidP="00D05F5F">
      <w:pPr>
        <w:pStyle w:val="ListParagraph"/>
        <w:numPr>
          <w:ilvl w:val="0"/>
          <w:numId w:val="25"/>
        </w:numPr>
        <w:jc w:val="both"/>
        <w:rPr>
          <w:rFonts w:ascii="Arial" w:hAnsi="Arial" w:cs="Arial"/>
          <w:color w:val="808080" w:themeColor="background1" w:themeShade="80"/>
          <w:sz w:val="22"/>
          <w:szCs w:val="22"/>
          <w:lang w:val="en-GB"/>
        </w:rPr>
      </w:pPr>
      <w:r w:rsidRPr="001C6352">
        <w:rPr>
          <w:rFonts w:ascii="Arial" w:hAnsi="Arial" w:cs="Arial"/>
          <w:color w:val="808080" w:themeColor="background1" w:themeShade="80"/>
          <w:sz w:val="22"/>
          <w:szCs w:val="22"/>
          <w:lang w:val="en-GB"/>
        </w:rPr>
        <w:t>Middle East member states have reformed their domestic insolvency laws such as the UAE in 2016 and 2019, Saudi Arabia in 2018 and Dubai in 2019.</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9C7831">
        <w:rPr>
          <w:rFonts w:ascii="Avenir Next Demi Bold" w:hAnsi="Avenir Next Demi Bold" w:cs="Arial"/>
          <w:b/>
          <w:bCs/>
          <w:sz w:val="22"/>
          <w:szCs w:val="22"/>
          <w:lang w:val="en-GB"/>
        </w:rPr>
        <w:t xml:space="preserve">Question </w:t>
      </w:r>
      <w:r w:rsidR="00807119" w:rsidRPr="009C7831">
        <w:rPr>
          <w:rFonts w:ascii="Avenir Next Demi Bold" w:hAnsi="Avenir Next Demi Bold" w:cs="Arial"/>
          <w:b/>
          <w:bCs/>
          <w:sz w:val="22"/>
          <w:szCs w:val="22"/>
          <w:lang w:val="en-GB"/>
        </w:rPr>
        <w:t>3.1</w:t>
      </w:r>
      <w:r w:rsidRPr="009C7831">
        <w:rPr>
          <w:rFonts w:ascii="Avenir Next Demi Bold" w:hAnsi="Avenir Next Demi Bold" w:cs="Arial"/>
          <w:b/>
          <w:bCs/>
          <w:sz w:val="22"/>
          <w:szCs w:val="22"/>
          <w:lang w:val="en-GB"/>
        </w:rPr>
        <w:t xml:space="preserve"> [</w:t>
      </w:r>
      <w:r w:rsidR="006A2646" w:rsidRPr="009C7831">
        <w:rPr>
          <w:rFonts w:ascii="Avenir Next Demi Bold" w:hAnsi="Avenir Next Demi Bold" w:cs="Arial"/>
          <w:b/>
          <w:bCs/>
          <w:sz w:val="22"/>
          <w:szCs w:val="22"/>
          <w:lang w:val="en-GB"/>
        </w:rPr>
        <w:t>m</w:t>
      </w:r>
      <w:r w:rsidRPr="009C7831">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0350B498" w14:textId="1BD48A1D" w:rsidR="006024D0" w:rsidRPr="007C4D58" w:rsidRDefault="006024D0" w:rsidP="008E4586">
      <w:pPr>
        <w:rPr>
          <w:rFonts w:ascii="Arial" w:hAnsi="Arial" w:cs="Arial"/>
          <w:color w:val="7B7B7B" w:themeColor="accent3" w:themeShade="BF"/>
          <w:sz w:val="22"/>
          <w:szCs w:val="22"/>
          <w:lang w:val="en-GB"/>
        </w:rPr>
      </w:pPr>
      <w:r w:rsidRPr="007C4D58">
        <w:rPr>
          <w:rFonts w:ascii="Arial" w:hAnsi="Arial" w:cs="Arial"/>
          <w:color w:val="7B7B7B" w:themeColor="accent3" w:themeShade="BF"/>
          <w:sz w:val="22"/>
          <w:szCs w:val="22"/>
          <w:lang w:val="en-GB"/>
        </w:rPr>
        <w:t>To understand the difference</w:t>
      </w:r>
      <w:r w:rsidR="008E4586" w:rsidRPr="007C4D58">
        <w:rPr>
          <w:rFonts w:ascii="Arial" w:hAnsi="Arial" w:cs="Arial"/>
          <w:color w:val="7B7B7B" w:themeColor="accent3" w:themeShade="BF"/>
          <w:sz w:val="22"/>
          <w:szCs w:val="22"/>
          <w:lang w:val="en-GB"/>
        </w:rPr>
        <w:t>s</w:t>
      </w:r>
      <w:r w:rsidRPr="007C4D58">
        <w:rPr>
          <w:rFonts w:ascii="Arial" w:hAnsi="Arial" w:cs="Arial"/>
          <w:color w:val="7B7B7B" w:themeColor="accent3" w:themeShade="BF"/>
          <w:sz w:val="22"/>
          <w:szCs w:val="22"/>
          <w:lang w:val="en-GB"/>
        </w:rPr>
        <w:t xml:space="preserve"> regarding the objectives of </w:t>
      </w:r>
      <w:r w:rsidRPr="00C95144">
        <w:rPr>
          <w:rFonts w:ascii="Arial" w:hAnsi="Arial" w:cs="Arial"/>
          <w:color w:val="808080" w:themeColor="background1" w:themeShade="80"/>
          <w:sz w:val="22"/>
          <w:szCs w:val="22"/>
          <w:lang w:val="en-GB"/>
        </w:rPr>
        <w:t>insolvency for individual</w:t>
      </w:r>
      <w:r w:rsidR="001C1922" w:rsidRPr="00C95144">
        <w:rPr>
          <w:rFonts w:ascii="Arial" w:hAnsi="Arial" w:cs="Arial"/>
          <w:color w:val="808080" w:themeColor="background1" w:themeShade="80"/>
          <w:sz w:val="22"/>
          <w:szCs w:val="22"/>
          <w:lang w:val="en-GB"/>
        </w:rPr>
        <w:t>s</w:t>
      </w:r>
      <w:r w:rsidRPr="00C95144">
        <w:rPr>
          <w:rFonts w:ascii="Arial" w:hAnsi="Arial" w:cs="Arial"/>
          <w:color w:val="808080" w:themeColor="background1" w:themeShade="80"/>
          <w:sz w:val="22"/>
          <w:szCs w:val="22"/>
          <w:lang w:val="en-GB"/>
        </w:rPr>
        <w:t xml:space="preserve"> and corporations, the difference in terminology and meaning of insolvency </w:t>
      </w:r>
      <w:r w:rsidR="007D4707" w:rsidRPr="00C95144">
        <w:rPr>
          <w:rFonts w:ascii="Arial" w:hAnsi="Arial" w:cs="Arial"/>
          <w:color w:val="808080" w:themeColor="background1" w:themeShade="80"/>
          <w:sz w:val="22"/>
          <w:szCs w:val="22"/>
          <w:lang w:val="en-GB"/>
        </w:rPr>
        <w:t xml:space="preserve">must be highlighted </w:t>
      </w:r>
      <w:r w:rsidRPr="00C95144">
        <w:rPr>
          <w:rFonts w:ascii="Arial" w:hAnsi="Arial" w:cs="Arial"/>
          <w:color w:val="808080" w:themeColor="background1" w:themeShade="80"/>
          <w:sz w:val="22"/>
          <w:szCs w:val="22"/>
          <w:lang w:val="en-GB"/>
        </w:rPr>
        <w:t xml:space="preserve">in </w:t>
      </w:r>
      <w:r w:rsidR="008E4586" w:rsidRPr="007C4D58">
        <w:rPr>
          <w:rFonts w:ascii="Arial" w:hAnsi="Arial" w:cs="Arial"/>
          <w:color w:val="7B7B7B" w:themeColor="accent3" w:themeShade="BF"/>
          <w:sz w:val="22"/>
          <w:szCs w:val="22"/>
          <w:lang w:val="en-GB"/>
        </w:rPr>
        <w:t>the first instance</w:t>
      </w:r>
      <w:r w:rsidRPr="007C4D58">
        <w:rPr>
          <w:rFonts w:ascii="Arial" w:hAnsi="Arial" w:cs="Arial"/>
          <w:color w:val="7B7B7B" w:themeColor="accent3" w:themeShade="BF"/>
          <w:sz w:val="22"/>
          <w:szCs w:val="22"/>
          <w:lang w:val="en-GB"/>
        </w:rPr>
        <w:t xml:space="preserve">. The </w:t>
      </w:r>
      <w:r w:rsidR="008E4586" w:rsidRPr="007C4D58">
        <w:rPr>
          <w:rFonts w:ascii="Arial" w:hAnsi="Arial" w:cs="Arial"/>
          <w:color w:val="7B7B7B" w:themeColor="accent3" w:themeShade="BF"/>
          <w:sz w:val="22"/>
          <w:szCs w:val="22"/>
          <w:lang w:val="en-GB"/>
        </w:rPr>
        <w:t>definition of</w:t>
      </w:r>
      <w:r w:rsidRPr="007C4D58">
        <w:rPr>
          <w:rFonts w:ascii="Arial" w:hAnsi="Arial" w:cs="Arial"/>
          <w:color w:val="7B7B7B" w:themeColor="accent3" w:themeShade="BF"/>
          <w:sz w:val="22"/>
          <w:szCs w:val="22"/>
          <w:lang w:val="en-GB"/>
        </w:rPr>
        <w:t xml:space="preserve"> insolvency in its basic form </w:t>
      </w:r>
      <w:r w:rsidRPr="007C4D58">
        <w:rPr>
          <w:rFonts w:ascii="Arial" w:hAnsi="Arial" w:cs="Arial"/>
          <w:color w:val="808080" w:themeColor="background1" w:themeShade="80"/>
          <w:sz w:val="22"/>
          <w:szCs w:val="22"/>
          <w:lang w:val="en-GB"/>
        </w:rPr>
        <w:t xml:space="preserve">is </w:t>
      </w:r>
      <w:r w:rsidR="008E4586" w:rsidRPr="007C4D58">
        <w:rPr>
          <w:rFonts w:ascii="Arial" w:hAnsi="Arial" w:cs="Arial"/>
          <w:color w:val="808080" w:themeColor="background1" w:themeShade="80"/>
          <w:sz w:val="22"/>
          <w:szCs w:val="22"/>
        </w:rPr>
        <w:t>when a debtor is generally</w:t>
      </w:r>
      <w:r w:rsidR="008E4586" w:rsidRPr="007C4D58">
        <w:rPr>
          <w:rFonts w:ascii="Arial" w:hAnsi="Arial" w:cs="Arial"/>
          <w:color w:val="808080" w:themeColor="background1" w:themeShade="80"/>
        </w:rPr>
        <w:t xml:space="preserve"> </w:t>
      </w:r>
      <w:r w:rsidR="008E4586" w:rsidRPr="007C4D58">
        <w:rPr>
          <w:rFonts w:ascii="Arial" w:hAnsi="Arial" w:cs="Arial"/>
          <w:color w:val="808080" w:themeColor="background1" w:themeShade="80"/>
          <w:sz w:val="22"/>
          <w:szCs w:val="22"/>
        </w:rPr>
        <w:t xml:space="preserve">unable to pay his debts as they mature (commercial insolvency / cash flow insolvency) or when </w:t>
      </w:r>
      <w:r w:rsidR="008E4586" w:rsidRPr="00C95144">
        <w:rPr>
          <w:rFonts w:ascii="Arial" w:hAnsi="Arial" w:cs="Arial"/>
          <w:color w:val="808080" w:themeColor="background1" w:themeShade="80"/>
          <w:sz w:val="22"/>
          <w:szCs w:val="22"/>
        </w:rPr>
        <w:t>a debtors</w:t>
      </w:r>
      <w:r w:rsidR="007D4707" w:rsidRPr="00C95144">
        <w:rPr>
          <w:rFonts w:ascii="Arial" w:hAnsi="Arial" w:cs="Arial"/>
          <w:color w:val="808080" w:themeColor="background1" w:themeShade="80"/>
          <w:sz w:val="22"/>
          <w:szCs w:val="22"/>
        </w:rPr>
        <w:t>’</w:t>
      </w:r>
      <w:r w:rsidR="008E4586" w:rsidRPr="00C95144">
        <w:rPr>
          <w:rFonts w:ascii="Arial" w:hAnsi="Arial" w:cs="Arial"/>
          <w:color w:val="808080" w:themeColor="background1" w:themeShade="80"/>
          <w:sz w:val="22"/>
          <w:szCs w:val="22"/>
        </w:rPr>
        <w:t xml:space="preserve"> liabilities exceed the value of their assets (balance sheet insolvency). As individual insolvency and </w:t>
      </w:r>
      <w:r w:rsidR="008E4586" w:rsidRPr="007C4D58">
        <w:rPr>
          <w:rFonts w:ascii="Arial" w:hAnsi="Arial" w:cs="Arial"/>
          <w:color w:val="808080" w:themeColor="background1" w:themeShade="80"/>
          <w:sz w:val="22"/>
          <w:szCs w:val="22"/>
        </w:rPr>
        <w:t xml:space="preserve">corporate insolvency differ </w:t>
      </w:r>
      <w:r w:rsidR="009C7831">
        <w:rPr>
          <w:rFonts w:ascii="Arial" w:hAnsi="Arial" w:cs="Arial"/>
          <w:color w:val="808080" w:themeColor="background1" w:themeShade="80"/>
          <w:sz w:val="22"/>
          <w:szCs w:val="22"/>
        </w:rPr>
        <w:t xml:space="preserve">which </w:t>
      </w:r>
      <w:r w:rsidR="007D4707">
        <w:rPr>
          <w:rFonts w:ascii="Arial" w:hAnsi="Arial" w:cs="Arial"/>
          <w:color w:val="808080" w:themeColor="background1" w:themeShade="80"/>
          <w:sz w:val="22"/>
          <w:szCs w:val="22"/>
        </w:rPr>
        <w:t xml:space="preserve">is </w:t>
      </w:r>
      <w:r w:rsidR="007D4707" w:rsidRPr="00C95144">
        <w:rPr>
          <w:rFonts w:ascii="Arial" w:hAnsi="Arial" w:cs="Arial"/>
          <w:color w:val="808080" w:themeColor="background1" w:themeShade="80"/>
          <w:sz w:val="22"/>
          <w:szCs w:val="22"/>
        </w:rPr>
        <w:t>explored</w:t>
      </w:r>
      <w:r w:rsidR="001C1922" w:rsidRPr="00C95144">
        <w:rPr>
          <w:rFonts w:ascii="Arial" w:hAnsi="Arial" w:cs="Arial"/>
          <w:color w:val="808080" w:themeColor="background1" w:themeShade="80"/>
          <w:sz w:val="22"/>
          <w:szCs w:val="22"/>
        </w:rPr>
        <w:t xml:space="preserve"> below, </w:t>
      </w:r>
      <w:r w:rsidR="008E4586" w:rsidRPr="00C95144">
        <w:rPr>
          <w:rFonts w:ascii="Arial" w:hAnsi="Arial" w:cs="Arial"/>
          <w:color w:val="808080" w:themeColor="background1" w:themeShade="80"/>
          <w:sz w:val="22"/>
          <w:szCs w:val="22"/>
        </w:rPr>
        <w:t>we see the emergence of these differences around the world.</w:t>
      </w:r>
      <w:r w:rsidR="008E4586" w:rsidRPr="00C95144">
        <w:rPr>
          <w:rFonts w:ascii="Arial" w:hAnsi="Arial" w:cs="Arial"/>
          <w:color w:val="808080" w:themeColor="background1" w:themeShade="80"/>
          <w:sz w:val="22"/>
          <w:szCs w:val="22"/>
          <w:lang w:val="en-GB"/>
        </w:rPr>
        <w:t xml:space="preserve"> For</w:t>
      </w:r>
      <w:r w:rsidRPr="00C95144">
        <w:rPr>
          <w:rFonts w:ascii="Arial" w:hAnsi="Arial" w:cs="Arial"/>
          <w:color w:val="808080" w:themeColor="background1" w:themeShade="80"/>
          <w:sz w:val="22"/>
          <w:szCs w:val="22"/>
          <w:lang w:val="en-GB"/>
        </w:rPr>
        <w:t xml:space="preserve"> example, in Australia the term “insolvency” is usually used to refer to the insolvency </w:t>
      </w:r>
      <w:r w:rsidR="007D4707" w:rsidRPr="00C95144">
        <w:rPr>
          <w:rFonts w:ascii="Arial" w:hAnsi="Arial" w:cs="Arial"/>
          <w:color w:val="808080" w:themeColor="background1" w:themeShade="80"/>
          <w:sz w:val="22"/>
          <w:szCs w:val="22"/>
          <w:lang w:val="en-GB"/>
        </w:rPr>
        <w:t>of</w:t>
      </w:r>
      <w:r w:rsidRPr="00C95144">
        <w:rPr>
          <w:rFonts w:ascii="Arial" w:hAnsi="Arial" w:cs="Arial"/>
          <w:color w:val="808080" w:themeColor="background1" w:themeShade="80"/>
          <w:sz w:val="22"/>
          <w:szCs w:val="22"/>
          <w:lang w:val="en-GB"/>
        </w:rPr>
        <w:t xml:space="preserve"> a </w:t>
      </w:r>
      <w:r w:rsidR="007D4707" w:rsidRPr="00C95144">
        <w:rPr>
          <w:rFonts w:ascii="Arial" w:hAnsi="Arial" w:cs="Arial"/>
          <w:color w:val="808080" w:themeColor="background1" w:themeShade="80"/>
          <w:sz w:val="22"/>
          <w:szCs w:val="22"/>
          <w:lang w:val="en-GB"/>
        </w:rPr>
        <w:t xml:space="preserve">corporation, whereas </w:t>
      </w:r>
      <w:r w:rsidRPr="007C4D58">
        <w:rPr>
          <w:rFonts w:ascii="Arial" w:hAnsi="Arial" w:cs="Arial"/>
          <w:color w:val="808080" w:themeColor="background1" w:themeShade="80"/>
          <w:sz w:val="22"/>
          <w:szCs w:val="22"/>
          <w:lang w:val="en-GB"/>
        </w:rPr>
        <w:t xml:space="preserve">the term </w:t>
      </w:r>
      <w:r w:rsidRPr="007C4D58">
        <w:rPr>
          <w:rFonts w:ascii="Arial" w:hAnsi="Arial" w:cs="Arial"/>
          <w:color w:val="7B7B7B" w:themeColor="accent3" w:themeShade="BF"/>
          <w:sz w:val="22"/>
          <w:szCs w:val="22"/>
          <w:lang w:val="en-GB"/>
        </w:rPr>
        <w:t xml:space="preserve">“Bankruptcy is often associated with the insolvency of an </w:t>
      </w:r>
      <w:r w:rsidRPr="00C95144">
        <w:rPr>
          <w:rFonts w:ascii="Arial" w:hAnsi="Arial" w:cs="Arial"/>
          <w:color w:val="808080" w:themeColor="background1" w:themeShade="80"/>
          <w:sz w:val="22"/>
          <w:szCs w:val="22"/>
          <w:lang w:val="en-GB"/>
        </w:rPr>
        <w:t xml:space="preserve">individual natural </w:t>
      </w:r>
      <w:r w:rsidRPr="007C4D58">
        <w:rPr>
          <w:rFonts w:ascii="Arial" w:hAnsi="Arial" w:cs="Arial"/>
          <w:color w:val="7B7B7B" w:themeColor="accent3" w:themeShade="BF"/>
          <w:sz w:val="22"/>
          <w:szCs w:val="22"/>
          <w:lang w:val="en-GB"/>
        </w:rPr>
        <w:t>person.</w:t>
      </w:r>
    </w:p>
    <w:p w14:paraId="397C10B9" w14:textId="6AC89339" w:rsidR="008E4586" w:rsidRDefault="008E4586" w:rsidP="008E4586">
      <w:pPr>
        <w:rPr>
          <w:rFonts w:ascii="Arial" w:hAnsi="Arial" w:cs="Arial"/>
          <w:color w:val="7B7B7B" w:themeColor="accent3" w:themeShade="BF"/>
          <w:sz w:val="22"/>
          <w:szCs w:val="22"/>
          <w:lang w:val="en-GB"/>
        </w:rPr>
      </w:pPr>
    </w:p>
    <w:p w14:paraId="1820A9C5" w14:textId="3660AD3B" w:rsidR="009306CB" w:rsidRPr="007F2E1B" w:rsidRDefault="009B2C9C" w:rsidP="007F2E1B">
      <w:pPr>
        <w:rPr>
          <w:rFonts w:ascii="Arial" w:hAnsi="Arial" w:cs="Arial"/>
          <w:color w:val="7B7B7B" w:themeColor="accent3" w:themeShade="BF"/>
          <w:sz w:val="22"/>
          <w:szCs w:val="22"/>
          <w:lang w:val="en-GB"/>
        </w:rPr>
      </w:pPr>
      <w:r w:rsidRPr="007C4D58">
        <w:rPr>
          <w:rFonts w:ascii="Arial" w:hAnsi="Arial" w:cs="Arial"/>
          <w:color w:val="7B7B7B" w:themeColor="accent3" w:themeShade="BF"/>
          <w:sz w:val="22"/>
          <w:szCs w:val="22"/>
          <w:lang w:val="en-GB"/>
        </w:rPr>
        <w:t xml:space="preserve">Sealy and Hooley distinguish between the objectives of insolvency </w:t>
      </w:r>
      <w:r w:rsidR="007F2E1B">
        <w:rPr>
          <w:rFonts w:ascii="Arial" w:hAnsi="Arial" w:cs="Arial"/>
          <w:color w:val="7B7B7B" w:themeColor="accent3" w:themeShade="BF"/>
          <w:sz w:val="22"/>
          <w:szCs w:val="22"/>
          <w:lang w:val="en-GB"/>
        </w:rPr>
        <w:t>for individuals and corporations in that for individuals</w:t>
      </w:r>
      <w:r w:rsidR="002C1621">
        <w:rPr>
          <w:rFonts w:ascii="Arial" w:hAnsi="Arial" w:cs="Arial"/>
          <w:color w:val="7B7B7B" w:themeColor="accent3" w:themeShade="BF"/>
          <w:sz w:val="22"/>
          <w:szCs w:val="22"/>
          <w:lang w:val="en-GB"/>
        </w:rPr>
        <w:t>,</w:t>
      </w:r>
      <w:r w:rsidRPr="007F2E1B">
        <w:rPr>
          <w:rFonts w:ascii="Arial" w:hAnsi="Arial" w:cs="Arial"/>
          <w:color w:val="7B7B7B" w:themeColor="accent3" w:themeShade="BF"/>
          <w:sz w:val="22"/>
          <w:szCs w:val="22"/>
          <w:lang w:val="en-GB"/>
        </w:rPr>
        <w:t xml:space="preserve"> </w:t>
      </w:r>
      <w:r w:rsidR="007F2E1B">
        <w:rPr>
          <w:rFonts w:ascii="Arial" w:hAnsi="Arial" w:cs="Arial"/>
          <w:color w:val="7B7B7B" w:themeColor="accent3" w:themeShade="BF"/>
          <w:sz w:val="22"/>
          <w:szCs w:val="22"/>
          <w:lang w:val="en-GB"/>
        </w:rPr>
        <w:t xml:space="preserve">the main aim is </w:t>
      </w:r>
      <w:r w:rsidRPr="007F2E1B">
        <w:rPr>
          <w:rFonts w:ascii="Arial" w:hAnsi="Arial" w:cs="Arial"/>
          <w:color w:val="7B7B7B" w:themeColor="accent3" w:themeShade="BF"/>
          <w:sz w:val="22"/>
          <w:szCs w:val="22"/>
          <w:lang w:val="en-GB"/>
        </w:rPr>
        <w:t xml:space="preserve">to </w:t>
      </w:r>
      <w:r w:rsidR="007F2E1B" w:rsidRPr="007F2E1B">
        <w:rPr>
          <w:rFonts w:ascii="Arial" w:hAnsi="Arial" w:cs="Arial"/>
          <w:color w:val="7B7B7B" w:themeColor="accent3" w:themeShade="BF"/>
          <w:sz w:val="22"/>
          <w:szCs w:val="22"/>
          <w:lang w:val="en-GB"/>
        </w:rPr>
        <w:t>safeguard</w:t>
      </w:r>
      <w:r w:rsidRPr="007F2E1B">
        <w:rPr>
          <w:rFonts w:ascii="Arial" w:hAnsi="Arial" w:cs="Arial"/>
          <w:color w:val="7B7B7B" w:themeColor="accent3" w:themeShade="BF"/>
          <w:sz w:val="22"/>
          <w:szCs w:val="22"/>
          <w:lang w:val="en-GB"/>
        </w:rPr>
        <w:t xml:space="preserve"> the debtor from </w:t>
      </w:r>
      <w:r w:rsidR="007F2E1B">
        <w:rPr>
          <w:rFonts w:ascii="Arial" w:hAnsi="Arial" w:cs="Arial"/>
          <w:color w:val="7B7B7B" w:themeColor="accent3" w:themeShade="BF"/>
          <w:sz w:val="22"/>
          <w:szCs w:val="22"/>
          <w:lang w:val="en-GB"/>
        </w:rPr>
        <w:t>persistent</w:t>
      </w:r>
      <w:r w:rsidRPr="007F2E1B">
        <w:rPr>
          <w:rFonts w:ascii="Arial" w:hAnsi="Arial" w:cs="Arial"/>
          <w:color w:val="7B7B7B" w:themeColor="accent3" w:themeShade="BF"/>
          <w:sz w:val="22"/>
          <w:szCs w:val="22"/>
          <w:lang w:val="en-GB"/>
        </w:rPr>
        <w:t xml:space="preserve"> </w:t>
      </w:r>
      <w:r w:rsidR="007F2E1B">
        <w:rPr>
          <w:rFonts w:ascii="Arial" w:hAnsi="Arial" w:cs="Arial"/>
          <w:color w:val="7B7B7B" w:themeColor="accent3" w:themeShade="BF"/>
          <w:sz w:val="22"/>
          <w:szCs w:val="22"/>
          <w:lang w:val="en-GB"/>
        </w:rPr>
        <w:t>harassment by their creditors</w:t>
      </w:r>
      <w:r w:rsidR="002C1621">
        <w:rPr>
          <w:rFonts w:ascii="Arial" w:hAnsi="Arial" w:cs="Arial"/>
          <w:color w:val="7B7B7B" w:themeColor="accent3" w:themeShade="BF"/>
          <w:sz w:val="22"/>
          <w:szCs w:val="22"/>
          <w:lang w:val="en-GB"/>
        </w:rPr>
        <w:t xml:space="preserve"> to </w:t>
      </w:r>
      <w:r w:rsidR="007F2E1B">
        <w:rPr>
          <w:rFonts w:ascii="Arial" w:hAnsi="Arial" w:cs="Arial"/>
          <w:color w:val="7B7B7B" w:themeColor="accent3" w:themeShade="BF"/>
          <w:sz w:val="22"/>
          <w:szCs w:val="22"/>
          <w:lang w:val="en-GB"/>
        </w:rPr>
        <w:t xml:space="preserve">encourage the possibility of a fresh start, specifically in situations where insolvency proceeding have been opened against the debtor but which have not been the a direct result </w:t>
      </w:r>
      <w:r w:rsidR="002C1621">
        <w:rPr>
          <w:rFonts w:ascii="Arial" w:hAnsi="Arial" w:cs="Arial"/>
          <w:color w:val="7B7B7B" w:themeColor="accent3" w:themeShade="BF"/>
          <w:sz w:val="22"/>
          <w:szCs w:val="22"/>
          <w:lang w:val="en-GB"/>
        </w:rPr>
        <w:t xml:space="preserve">of the actions of the debtor. The objective would also be </w:t>
      </w:r>
      <w:r w:rsidRPr="007F2E1B">
        <w:rPr>
          <w:rFonts w:ascii="Arial" w:hAnsi="Arial" w:cs="Arial"/>
          <w:color w:val="7B7B7B" w:themeColor="accent3" w:themeShade="BF"/>
          <w:sz w:val="22"/>
          <w:szCs w:val="22"/>
          <w:lang w:val="en-GB"/>
        </w:rPr>
        <w:t xml:space="preserve">to reduce indebtedness by making </w:t>
      </w:r>
      <w:r w:rsidR="002C1621">
        <w:rPr>
          <w:rFonts w:ascii="Arial" w:hAnsi="Arial" w:cs="Arial"/>
          <w:color w:val="7B7B7B" w:themeColor="accent3" w:themeShade="BF"/>
          <w:sz w:val="22"/>
          <w:szCs w:val="22"/>
          <w:lang w:val="en-GB"/>
        </w:rPr>
        <w:t>payments from current</w:t>
      </w:r>
      <w:r w:rsidRPr="007F2E1B">
        <w:rPr>
          <w:rFonts w:ascii="Arial" w:hAnsi="Arial" w:cs="Arial"/>
          <w:color w:val="7B7B7B" w:themeColor="accent3" w:themeShade="BF"/>
          <w:sz w:val="22"/>
          <w:szCs w:val="22"/>
          <w:lang w:val="en-GB"/>
        </w:rPr>
        <w:t xml:space="preserve"> and future income to the estate</w:t>
      </w:r>
      <w:r w:rsidR="002C1621">
        <w:rPr>
          <w:rFonts w:ascii="Arial" w:hAnsi="Arial" w:cs="Arial"/>
          <w:color w:val="7B7B7B" w:themeColor="accent3" w:themeShade="BF"/>
          <w:sz w:val="22"/>
          <w:szCs w:val="22"/>
          <w:lang w:val="en-GB"/>
        </w:rPr>
        <w:t>, while at the same time taking into account the personal situation of the debtor.</w:t>
      </w:r>
      <w:r w:rsidRPr="007F2E1B">
        <w:rPr>
          <w:rFonts w:ascii="Arial" w:hAnsi="Arial" w:cs="Arial"/>
          <w:color w:val="7B7B7B" w:themeColor="accent3" w:themeShade="BF"/>
          <w:sz w:val="22"/>
          <w:szCs w:val="22"/>
          <w:lang w:val="en-GB"/>
        </w:rPr>
        <w:t xml:space="preserve"> </w:t>
      </w:r>
    </w:p>
    <w:p w14:paraId="4DE8236B" w14:textId="77777777" w:rsidR="009306CB" w:rsidRPr="00C95144" w:rsidRDefault="009306CB" w:rsidP="009306CB">
      <w:pPr>
        <w:rPr>
          <w:rFonts w:ascii="Arial" w:hAnsi="Arial" w:cs="Arial"/>
          <w:color w:val="808080" w:themeColor="background1" w:themeShade="80"/>
          <w:sz w:val="22"/>
          <w:szCs w:val="22"/>
          <w:lang w:val="en-GB"/>
        </w:rPr>
      </w:pPr>
    </w:p>
    <w:p w14:paraId="2FF4EB02" w14:textId="16B13A43" w:rsidR="009306CB" w:rsidRPr="002C1621" w:rsidRDefault="002C1621" w:rsidP="002C1621">
      <w:pPr>
        <w:rPr>
          <w:rFonts w:ascii="Arial" w:hAnsi="Arial" w:cs="Arial"/>
          <w:color w:val="7B7B7B" w:themeColor="accent3" w:themeShade="BF"/>
          <w:sz w:val="22"/>
          <w:szCs w:val="22"/>
          <w:lang w:val="en-GB"/>
        </w:rPr>
      </w:pPr>
      <w:r w:rsidRPr="00C95144">
        <w:rPr>
          <w:rFonts w:ascii="Arial" w:hAnsi="Arial" w:cs="Arial"/>
          <w:color w:val="808080" w:themeColor="background1" w:themeShade="80"/>
          <w:sz w:val="22"/>
          <w:szCs w:val="22"/>
          <w:lang w:val="en-GB"/>
        </w:rPr>
        <w:t xml:space="preserve">For Corporations, the main aim is to </w:t>
      </w:r>
      <w:r w:rsidR="00C95144" w:rsidRPr="00C95144">
        <w:rPr>
          <w:rFonts w:ascii="Arial" w:hAnsi="Arial" w:cs="Arial"/>
          <w:color w:val="808080" w:themeColor="background1" w:themeShade="80"/>
          <w:sz w:val="22"/>
          <w:szCs w:val="22"/>
          <w:lang w:val="en-GB"/>
        </w:rPr>
        <w:t xml:space="preserve">preserve and </w:t>
      </w:r>
      <w:r w:rsidRPr="00C95144">
        <w:rPr>
          <w:rFonts w:ascii="Arial" w:hAnsi="Arial" w:cs="Arial"/>
          <w:color w:val="808080" w:themeColor="background1" w:themeShade="80"/>
          <w:sz w:val="22"/>
          <w:szCs w:val="22"/>
          <w:lang w:val="en-GB"/>
        </w:rPr>
        <w:t xml:space="preserve">keep the essential parts of the business but </w:t>
      </w:r>
      <w:r w:rsidR="009306CB" w:rsidRPr="00C95144">
        <w:rPr>
          <w:rFonts w:ascii="Arial" w:hAnsi="Arial" w:cs="Arial"/>
          <w:color w:val="808080" w:themeColor="background1" w:themeShade="80"/>
          <w:sz w:val="22"/>
          <w:szCs w:val="22"/>
          <w:lang w:val="en-GB"/>
        </w:rPr>
        <w:t xml:space="preserve">not necessarily </w:t>
      </w:r>
      <w:r w:rsidR="00C95144" w:rsidRPr="00C95144">
        <w:rPr>
          <w:rFonts w:ascii="Arial" w:hAnsi="Arial" w:cs="Arial"/>
          <w:color w:val="808080" w:themeColor="background1" w:themeShade="80"/>
          <w:sz w:val="22"/>
          <w:szCs w:val="22"/>
          <w:lang w:val="en-GB"/>
        </w:rPr>
        <w:t>in its current status</w:t>
      </w:r>
      <w:r w:rsidRPr="00C95144">
        <w:rPr>
          <w:rFonts w:ascii="Arial" w:hAnsi="Arial" w:cs="Arial"/>
          <w:color w:val="808080" w:themeColor="background1" w:themeShade="80"/>
          <w:sz w:val="22"/>
          <w:szCs w:val="22"/>
          <w:lang w:val="en-GB"/>
        </w:rPr>
        <w:t xml:space="preserve">. </w:t>
      </w:r>
      <w:r w:rsidR="00C95144">
        <w:rPr>
          <w:rFonts w:ascii="Arial" w:hAnsi="Arial" w:cs="Arial"/>
          <w:color w:val="808080" w:themeColor="background1" w:themeShade="80"/>
          <w:sz w:val="22"/>
          <w:szCs w:val="22"/>
          <w:lang w:val="en-GB"/>
        </w:rPr>
        <w:t>A</w:t>
      </w:r>
      <w:r w:rsidRPr="00C95144">
        <w:rPr>
          <w:rFonts w:ascii="Arial" w:hAnsi="Arial" w:cs="Arial"/>
          <w:color w:val="808080" w:themeColor="background1" w:themeShade="80"/>
          <w:sz w:val="22"/>
          <w:szCs w:val="22"/>
          <w:lang w:val="en-GB"/>
        </w:rPr>
        <w:t>dditionally</w:t>
      </w:r>
      <w:r>
        <w:rPr>
          <w:rFonts w:ascii="Arial" w:hAnsi="Arial" w:cs="Arial"/>
          <w:color w:val="7B7B7B" w:themeColor="accent3" w:themeShade="BF"/>
          <w:sz w:val="22"/>
          <w:szCs w:val="22"/>
          <w:lang w:val="en-GB"/>
        </w:rPr>
        <w:t>,</w:t>
      </w:r>
      <w:r w:rsidR="009306CB" w:rsidRPr="002C1621">
        <w:rPr>
          <w:rFonts w:ascii="Arial" w:hAnsi="Arial" w:cs="Arial"/>
          <w:color w:val="7B7B7B" w:themeColor="accent3" w:themeShade="BF"/>
          <w:sz w:val="22"/>
          <w:szCs w:val="22"/>
          <w:lang w:val="en-GB"/>
        </w:rPr>
        <w:t xml:space="preserve"> where personal liability has been abused, to impose personal liability on responsible persons.</w:t>
      </w:r>
    </w:p>
    <w:p w14:paraId="7C40B89D" w14:textId="77777777" w:rsidR="009306CB" w:rsidRPr="007C4D58" w:rsidRDefault="009306CB" w:rsidP="009306CB">
      <w:pPr>
        <w:pStyle w:val="ListParagraph"/>
        <w:rPr>
          <w:rFonts w:ascii="Arial" w:hAnsi="Arial" w:cs="Arial"/>
          <w:color w:val="7B7B7B" w:themeColor="accent3" w:themeShade="BF"/>
          <w:sz w:val="22"/>
          <w:szCs w:val="22"/>
          <w:lang w:val="en-GB"/>
        </w:rPr>
      </w:pPr>
    </w:p>
    <w:p w14:paraId="579AD4EA" w14:textId="5D9B28C2" w:rsidR="009306CB" w:rsidRPr="002C1621" w:rsidRDefault="002C1621" w:rsidP="002C162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similarities in both situations </w:t>
      </w:r>
      <w:r w:rsidR="00D02CE9">
        <w:rPr>
          <w:rFonts w:ascii="Arial" w:hAnsi="Arial" w:cs="Arial"/>
          <w:color w:val="7B7B7B" w:themeColor="accent3" w:themeShade="BF"/>
          <w:sz w:val="22"/>
          <w:szCs w:val="22"/>
          <w:lang w:val="en-GB"/>
        </w:rPr>
        <w:t>are</w:t>
      </w:r>
      <w:r w:rsidR="009306CB" w:rsidRPr="002C1621">
        <w:rPr>
          <w:rFonts w:ascii="Arial" w:hAnsi="Arial" w:cs="Arial"/>
          <w:color w:val="7B7B7B" w:themeColor="accent3" w:themeShade="BF"/>
          <w:sz w:val="22"/>
          <w:szCs w:val="22"/>
          <w:lang w:val="en-GB"/>
        </w:rPr>
        <w:t xml:space="preserve"> to ensure </w:t>
      </w:r>
      <w:proofErr w:type="spellStart"/>
      <w:r w:rsidR="009306CB" w:rsidRPr="002C1621">
        <w:rPr>
          <w:rFonts w:ascii="Arial" w:hAnsi="Arial" w:cs="Arial"/>
          <w:color w:val="7B7B7B" w:themeColor="accent3" w:themeShade="BF"/>
          <w:sz w:val="22"/>
          <w:szCs w:val="22"/>
          <w:lang w:val="en-GB"/>
        </w:rPr>
        <w:t>pari</w:t>
      </w:r>
      <w:proofErr w:type="spellEnd"/>
      <w:r w:rsidR="009306CB" w:rsidRPr="002C1621">
        <w:rPr>
          <w:rFonts w:ascii="Arial" w:hAnsi="Arial" w:cs="Arial"/>
          <w:color w:val="7B7B7B" w:themeColor="accent3" w:themeShade="BF"/>
          <w:sz w:val="22"/>
          <w:szCs w:val="22"/>
          <w:lang w:val="en-GB"/>
        </w:rPr>
        <w:t xml:space="preserve"> </w:t>
      </w:r>
      <w:proofErr w:type="spellStart"/>
      <w:r w:rsidR="009306CB" w:rsidRPr="002C1621">
        <w:rPr>
          <w:rFonts w:ascii="Arial" w:hAnsi="Arial" w:cs="Arial"/>
          <w:color w:val="7B7B7B" w:themeColor="accent3" w:themeShade="BF"/>
          <w:sz w:val="22"/>
          <w:szCs w:val="22"/>
          <w:lang w:val="en-GB"/>
        </w:rPr>
        <w:t>passu</w:t>
      </w:r>
      <w:proofErr w:type="spellEnd"/>
      <w:r w:rsidR="009306CB" w:rsidRPr="002C1621">
        <w:rPr>
          <w:rFonts w:ascii="Arial" w:hAnsi="Arial" w:cs="Arial"/>
          <w:color w:val="7B7B7B" w:themeColor="accent3" w:themeShade="BF"/>
          <w:sz w:val="22"/>
          <w:szCs w:val="22"/>
          <w:lang w:val="en-GB"/>
        </w:rPr>
        <w:t xml:space="preserve"> d</w:t>
      </w:r>
      <w:r>
        <w:rPr>
          <w:rFonts w:ascii="Arial" w:hAnsi="Arial" w:cs="Arial"/>
          <w:color w:val="7B7B7B" w:themeColor="accent3" w:themeShade="BF"/>
          <w:sz w:val="22"/>
          <w:szCs w:val="22"/>
          <w:lang w:val="en-GB"/>
        </w:rPr>
        <w:t xml:space="preserve">istribution as far as possible: </w:t>
      </w:r>
      <w:r w:rsidR="007D4707" w:rsidRPr="00C95144">
        <w:rPr>
          <w:rFonts w:ascii="Arial" w:hAnsi="Arial" w:cs="Arial"/>
          <w:color w:val="808080" w:themeColor="background1" w:themeShade="80"/>
          <w:sz w:val="22"/>
          <w:szCs w:val="22"/>
          <w:lang w:val="en-GB"/>
        </w:rPr>
        <w:t>ensuring</w:t>
      </w:r>
      <w:r w:rsidR="009306CB" w:rsidRPr="00C95144">
        <w:rPr>
          <w:rFonts w:ascii="Arial" w:hAnsi="Arial" w:cs="Arial"/>
          <w:color w:val="808080" w:themeColor="background1" w:themeShade="80"/>
          <w:sz w:val="22"/>
          <w:szCs w:val="22"/>
          <w:lang w:val="en-GB"/>
        </w:rPr>
        <w:t xml:space="preserve"> that secured </w:t>
      </w:r>
      <w:r w:rsidR="009306CB" w:rsidRPr="002C1621">
        <w:rPr>
          <w:rFonts w:ascii="Arial" w:hAnsi="Arial" w:cs="Arial"/>
          <w:color w:val="7B7B7B" w:themeColor="accent3" w:themeShade="BF"/>
          <w:sz w:val="22"/>
          <w:szCs w:val="22"/>
          <w:lang w:val="en-GB"/>
        </w:rPr>
        <w:t xml:space="preserve">creditors deal fairly towards the debtor and the other </w:t>
      </w:r>
      <w:r w:rsidR="009306CB" w:rsidRPr="00C95144">
        <w:rPr>
          <w:rFonts w:ascii="Arial" w:hAnsi="Arial" w:cs="Arial"/>
          <w:color w:val="808080" w:themeColor="background1" w:themeShade="80"/>
          <w:sz w:val="22"/>
          <w:szCs w:val="22"/>
          <w:lang w:val="en-GB"/>
        </w:rPr>
        <w:t>creditors</w:t>
      </w:r>
      <w:r w:rsidR="007D4707" w:rsidRPr="00C95144">
        <w:rPr>
          <w:rFonts w:ascii="Arial" w:hAnsi="Arial" w:cs="Arial"/>
          <w:color w:val="808080" w:themeColor="background1" w:themeShade="80"/>
          <w:sz w:val="22"/>
          <w:szCs w:val="22"/>
          <w:lang w:val="en-GB"/>
        </w:rPr>
        <w:t>, and</w:t>
      </w:r>
      <w:r w:rsidR="009306CB" w:rsidRPr="00C95144">
        <w:rPr>
          <w:rFonts w:ascii="Arial" w:hAnsi="Arial" w:cs="Arial"/>
          <w:color w:val="808080" w:themeColor="background1" w:themeShade="80"/>
          <w:sz w:val="22"/>
          <w:szCs w:val="22"/>
          <w:lang w:val="en-GB"/>
        </w:rPr>
        <w:t xml:space="preserve"> to </w:t>
      </w:r>
      <w:r w:rsidR="00D02CE9" w:rsidRPr="002C1621">
        <w:rPr>
          <w:rFonts w:ascii="Arial" w:hAnsi="Arial" w:cs="Arial"/>
          <w:color w:val="7B7B7B" w:themeColor="accent3" w:themeShade="BF"/>
          <w:sz w:val="22"/>
          <w:szCs w:val="22"/>
          <w:lang w:val="en-GB"/>
        </w:rPr>
        <w:t>inspect</w:t>
      </w:r>
      <w:r w:rsidR="00D02CE9">
        <w:rPr>
          <w:rFonts w:ascii="Arial" w:hAnsi="Arial" w:cs="Arial"/>
          <w:color w:val="7B7B7B" w:themeColor="accent3" w:themeShade="BF"/>
          <w:sz w:val="22"/>
          <w:szCs w:val="22"/>
          <w:lang w:val="en-GB"/>
        </w:rPr>
        <w:t xml:space="preserve"> reasons for why the ventures were not successful and </w:t>
      </w:r>
      <w:r w:rsidR="009306CB" w:rsidRPr="002C1621">
        <w:rPr>
          <w:rFonts w:ascii="Arial" w:hAnsi="Arial" w:cs="Arial"/>
          <w:color w:val="7B7B7B" w:themeColor="accent3" w:themeShade="BF"/>
          <w:sz w:val="22"/>
          <w:szCs w:val="22"/>
          <w:lang w:val="en-GB"/>
        </w:rPr>
        <w:t>to reclaim voidable dispositions where the insolvent debtor dealt improperly with assets</w:t>
      </w:r>
      <w:r w:rsidR="00C95144">
        <w:rPr>
          <w:rFonts w:ascii="Arial" w:hAnsi="Arial" w:cs="Arial"/>
          <w:color w:val="7B7B7B" w:themeColor="accent3" w:themeShade="BF"/>
          <w:sz w:val="22"/>
          <w:szCs w:val="22"/>
          <w:lang w:val="en-GB"/>
        </w:rPr>
        <w:t>.</w:t>
      </w:r>
    </w:p>
    <w:p w14:paraId="3EB6AA37" w14:textId="77777777" w:rsidR="009306CB" w:rsidRPr="00C95144" w:rsidRDefault="009306CB" w:rsidP="009306CB">
      <w:pPr>
        <w:pStyle w:val="ListParagraph"/>
        <w:rPr>
          <w:rFonts w:ascii="Arial" w:hAnsi="Arial" w:cs="Arial"/>
          <w:color w:val="808080" w:themeColor="background1" w:themeShade="80"/>
          <w:sz w:val="22"/>
          <w:szCs w:val="22"/>
          <w:lang w:val="en-GB"/>
        </w:rPr>
      </w:pPr>
    </w:p>
    <w:p w14:paraId="6D54DAEC" w14:textId="7D1B6ED6" w:rsidR="009306CB" w:rsidRPr="007C4D58" w:rsidRDefault="009306CB" w:rsidP="009306CB">
      <w:pPr>
        <w:rPr>
          <w:rFonts w:ascii="Arial" w:hAnsi="Arial" w:cs="Arial"/>
          <w:color w:val="7B7B7B" w:themeColor="accent3" w:themeShade="BF"/>
          <w:sz w:val="22"/>
          <w:szCs w:val="22"/>
          <w:lang w:val="en-GB"/>
        </w:rPr>
      </w:pPr>
      <w:r w:rsidRPr="00C95144">
        <w:rPr>
          <w:rFonts w:ascii="Arial" w:hAnsi="Arial" w:cs="Arial"/>
          <w:color w:val="808080" w:themeColor="background1" w:themeShade="80"/>
          <w:sz w:val="22"/>
          <w:szCs w:val="22"/>
          <w:lang w:val="en-GB"/>
        </w:rPr>
        <w:t>In addition to the above</w:t>
      </w:r>
      <w:r w:rsidR="001C1922" w:rsidRPr="00C95144">
        <w:rPr>
          <w:rFonts w:ascii="Arial" w:hAnsi="Arial" w:cs="Arial"/>
          <w:color w:val="808080" w:themeColor="background1" w:themeShade="80"/>
          <w:sz w:val="22"/>
          <w:szCs w:val="22"/>
          <w:lang w:val="en-GB"/>
        </w:rPr>
        <w:t>,</w:t>
      </w:r>
      <w:r w:rsidRPr="00C95144">
        <w:rPr>
          <w:rFonts w:ascii="Arial" w:hAnsi="Arial" w:cs="Arial"/>
          <w:color w:val="808080" w:themeColor="background1" w:themeShade="80"/>
          <w:sz w:val="22"/>
          <w:szCs w:val="22"/>
          <w:lang w:val="en-GB"/>
        </w:rPr>
        <w:t xml:space="preserve"> while similarities can be draw</w:t>
      </w:r>
      <w:r w:rsidR="007D4707" w:rsidRPr="00C95144">
        <w:rPr>
          <w:rFonts w:ascii="Arial" w:hAnsi="Arial" w:cs="Arial"/>
          <w:color w:val="808080" w:themeColor="background1" w:themeShade="80"/>
          <w:sz w:val="22"/>
          <w:szCs w:val="22"/>
          <w:lang w:val="en-GB"/>
        </w:rPr>
        <w:t>n</w:t>
      </w:r>
      <w:r w:rsidRPr="00C95144">
        <w:rPr>
          <w:rFonts w:ascii="Arial" w:hAnsi="Arial" w:cs="Arial"/>
          <w:color w:val="808080" w:themeColor="background1" w:themeShade="80"/>
          <w:sz w:val="22"/>
          <w:szCs w:val="22"/>
          <w:lang w:val="en-GB"/>
        </w:rPr>
        <w:t xml:space="preserve"> </w:t>
      </w:r>
      <w:r w:rsidR="00C61BB0" w:rsidRPr="00C95144">
        <w:rPr>
          <w:rFonts w:ascii="Arial" w:hAnsi="Arial" w:cs="Arial"/>
          <w:color w:val="808080" w:themeColor="background1" w:themeShade="80"/>
          <w:sz w:val="22"/>
          <w:szCs w:val="22"/>
          <w:lang w:val="en-GB"/>
        </w:rPr>
        <w:t xml:space="preserve">from the principles of </w:t>
      </w:r>
      <w:r w:rsidR="00C81508" w:rsidRPr="00C95144">
        <w:rPr>
          <w:rFonts w:ascii="Arial" w:hAnsi="Arial" w:cs="Arial"/>
          <w:color w:val="808080" w:themeColor="background1" w:themeShade="80"/>
          <w:sz w:val="22"/>
          <w:szCs w:val="22"/>
          <w:lang w:val="en-GB"/>
        </w:rPr>
        <w:t>insolvency in</w:t>
      </w:r>
      <w:r w:rsidR="001C1922" w:rsidRPr="00C95144">
        <w:rPr>
          <w:rFonts w:ascii="Arial" w:hAnsi="Arial" w:cs="Arial"/>
          <w:color w:val="808080" w:themeColor="background1" w:themeShade="80"/>
          <w:sz w:val="22"/>
          <w:szCs w:val="22"/>
          <w:lang w:val="en-GB"/>
        </w:rPr>
        <w:t xml:space="preserve"> this context</w:t>
      </w:r>
      <w:r w:rsidRPr="00C95144">
        <w:rPr>
          <w:rFonts w:ascii="Arial" w:hAnsi="Arial" w:cs="Arial"/>
          <w:color w:val="808080" w:themeColor="background1" w:themeShade="80"/>
          <w:sz w:val="22"/>
          <w:szCs w:val="22"/>
          <w:lang w:val="en-GB"/>
        </w:rPr>
        <w:t xml:space="preserve">, one point to note is that unlike corporate insolvency, it is </w:t>
      </w:r>
      <w:r w:rsidRPr="007C4D58">
        <w:rPr>
          <w:rFonts w:ascii="Arial" w:hAnsi="Arial" w:cs="Arial"/>
          <w:color w:val="7B7B7B" w:themeColor="accent3" w:themeShade="BF"/>
          <w:sz w:val="22"/>
          <w:szCs w:val="22"/>
          <w:lang w:val="en-GB"/>
        </w:rPr>
        <w:t xml:space="preserve">only in relation to individuals that the notion of exempt </w:t>
      </w:r>
      <w:r w:rsidR="001C1922" w:rsidRPr="007C4D58">
        <w:rPr>
          <w:rFonts w:ascii="Arial" w:hAnsi="Arial" w:cs="Arial"/>
          <w:color w:val="7B7B7B" w:themeColor="accent3" w:themeShade="BF"/>
          <w:sz w:val="22"/>
          <w:szCs w:val="22"/>
          <w:lang w:val="en-GB"/>
        </w:rPr>
        <w:t xml:space="preserve">or excluded assets will apply. Furthermore, after the subsequent dissolution </w:t>
      </w:r>
      <w:r w:rsidR="00E37790" w:rsidRPr="007C4D58">
        <w:rPr>
          <w:rFonts w:ascii="Arial" w:hAnsi="Arial" w:cs="Arial"/>
          <w:color w:val="7B7B7B" w:themeColor="accent3" w:themeShade="BF"/>
          <w:sz w:val="22"/>
          <w:szCs w:val="22"/>
          <w:lang w:val="en-GB"/>
        </w:rPr>
        <w:t>of a company once all affairs have been wound up, individuals are not “dissolved” after insolvency proceedings.</w:t>
      </w:r>
    </w:p>
    <w:p w14:paraId="6A0E4D96" w14:textId="1857E838" w:rsidR="001C1922" w:rsidRPr="007C4D58" w:rsidRDefault="001C1922" w:rsidP="009306CB">
      <w:pPr>
        <w:rPr>
          <w:rFonts w:ascii="Arial" w:hAnsi="Arial" w:cs="Arial"/>
          <w:color w:val="7B7B7B" w:themeColor="accent3" w:themeShade="BF"/>
          <w:sz w:val="22"/>
          <w:szCs w:val="22"/>
          <w:lang w:val="en-GB"/>
        </w:rPr>
      </w:pPr>
    </w:p>
    <w:p w14:paraId="4024A332" w14:textId="389D0456" w:rsidR="00544127" w:rsidRPr="007C4D58" w:rsidRDefault="00E37790" w:rsidP="00FD2039">
      <w:pPr>
        <w:rPr>
          <w:rFonts w:ascii="Arial" w:hAnsi="Arial" w:cs="Arial"/>
          <w:color w:val="7B7B7B" w:themeColor="accent3" w:themeShade="BF"/>
          <w:sz w:val="22"/>
          <w:szCs w:val="22"/>
          <w:lang w:val="en-GB"/>
        </w:rPr>
      </w:pPr>
      <w:r w:rsidRPr="007C4D58">
        <w:rPr>
          <w:rFonts w:ascii="Arial" w:hAnsi="Arial" w:cs="Arial"/>
          <w:color w:val="7B7B7B" w:themeColor="accent3" w:themeShade="BF"/>
          <w:sz w:val="22"/>
          <w:szCs w:val="22"/>
          <w:lang w:val="en-GB"/>
        </w:rPr>
        <w:t>Moreover,</w:t>
      </w:r>
      <w:r w:rsidR="001C1922" w:rsidRPr="007C4D58">
        <w:rPr>
          <w:rFonts w:ascii="Arial" w:hAnsi="Arial" w:cs="Arial"/>
          <w:color w:val="7B7B7B" w:themeColor="accent3" w:themeShade="BF"/>
          <w:sz w:val="22"/>
          <w:szCs w:val="22"/>
          <w:lang w:val="en-GB"/>
        </w:rPr>
        <w:t xml:space="preserve"> it is important to draw </w:t>
      </w:r>
      <w:r w:rsidR="001C1922" w:rsidRPr="00C95144">
        <w:rPr>
          <w:rFonts w:ascii="Arial" w:hAnsi="Arial" w:cs="Arial"/>
          <w:color w:val="808080" w:themeColor="background1" w:themeShade="80"/>
          <w:sz w:val="22"/>
          <w:szCs w:val="22"/>
          <w:lang w:val="en-GB"/>
        </w:rPr>
        <w:t xml:space="preserve">attention to </w:t>
      </w:r>
      <w:r w:rsidR="007D4707" w:rsidRPr="00C95144">
        <w:rPr>
          <w:rFonts w:ascii="Arial" w:hAnsi="Arial" w:cs="Arial"/>
          <w:color w:val="808080" w:themeColor="background1" w:themeShade="80"/>
          <w:sz w:val="22"/>
          <w:szCs w:val="22"/>
          <w:lang w:val="en-GB"/>
        </w:rPr>
        <w:t xml:space="preserve">how </w:t>
      </w:r>
      <w:r w:rsidR="009306CB" w:rsidRPr="00C95144">
        <w:rPr>
          <w:rFonts w:ascii="Arial" w:hAnsi="Arial" w:cs="Arial"/>
          <w:color w:val="808080" w:themeColor="background1" w:themeShade="80"/>
          <w:sz w:val="22"/>
          <w:szCs w:val="22"/>
          <w:lang w:val="en-GB"/>
        </w:rPr>
        <w:t xml:space="preserve">different </w:t>
      </w:r>
      <w:r w:rsidR="009306CB" w:rsidRPr="007C4D58">
        <w:rPr>
          <w:rFonts w:ascii="Arial" w:hAnsi="Arial" w:cs="Arial"/>
          <w:color w:val="7B7B7B" w:themeColor="accent3" w:themeShade="BF"/>
          <w:sz w:val="22"/>
          <w:szCs w:val="22"/>
          <w:lang w:val="en-GB"/>
        </w:rPr>
        <w:t>sources of insolvency law</w:t>
      </w:r>
      <w:r w:rsidRPr="007C4D58">
        <w:rPr>
          <w:rFonts w:ascii="Arial" w:hAnsi="Arial" w:cs="Arial"/>
          <w:color w:val="7B7B7B" w:themeColor="accent3" w:themeShade="BF"/>
          <w:sz w:val="22"/>
          <w:szCs w:val="22"/>
          <w:lang w:val="en-GB"/>
        </w:rPr>
        <w:t>s</w:t>
      </w:r>
      <w:r w:rsidR="001C1922" w:rsidRPr="007C4D58">
        <w:rPr>
          <w:rFonts w:ascii="Arial" w:hAnsi="Arial" w:cs="Arial"/>
          <w:color w:val="7B7B7B" w:themeColor="accent3" w:themeShade="BF"/>
          <w:sz w:val="22"/>
          <w:szCs w:val="22"/>
          <w:lang w:val="en-GB"/>
        </w:rPr>
        <w:t xml:space="preserve"> are </w:t>
      </w:r>
      <w:r w:rsidRPr="007C4D58">
        <w:rPr>
          <w:rFonts w:ascii="Arial" w:hAnsi="Arial" w:cs="Arial"/>
          <w:color w:val="7B7B7B" w:themeColor="accent3" w:themeShade="BF"/>
          <w:sz w:val="22"/>
          <w:szCs w:val="22"/>
          <w:lang w:val="en-GB"/>
        </w:rPr>
        <w:t>employed</w:t>
      </w:r>
      <w:r w:rsidR="001C1922" w:rsidRPr="007C4D58">
        <w:rPr>
          <w:rFonts w:ascii="Arial" w:hAnsi="Arial" w:cs="Arial"/>
          <w:color w:val="7B7B7B" w:themeColor="accent3" w:themeShade="BF"/>
          <w:sz w:val="22"/>
          <w:szCs w:val="22"/>
          <w:lang w:val="en-GB"/>
        </w:rPr>
        <w:t xml:space="preserve"> to direct </w:t>
      </w:r>
      <w:r w:rsidRPr="007C4D58">
        <w:rPr>
          <w:rFonts w:ascii="Arial" w:hAnsi="Arial" w:cs="Arial"/>
          <w:color w:val="7B7B7B" w:themeColor="accent3" w:themeShade="BF"/>
          <w:sz w:val="22"/>
          <w:szCs w:val="22"/>
          <w:lang w:val="en-GB"/>
        </w:rPr>
        <w:t>individual and consumer insolvency</w:t>
      </w:r>
      <w:r w:rsidR="00FD2039" w:rsidRPr="007C4D58">
        <w:rPr>
          <w:rFonts w:ascii="Arial" w:hAnsi="Arial" w:cs="Arial"/>
          <w:color w:val="7B7B7B" w:themeColor="accent3" w:themeShade="BF"/>
          <w:sz w:val="22"/>
          <w:szCs w:val="22"/>
          <w:lang w:val="en-GB"/>
        </w:rPr>
        <w:t xml:space="preserve"> proceedings</w:t>
      </w:r>
      <w:r w:rsidR="001C1922" w:rsidRPr="007C4D58">
        <w:rPr>
          <w:rFonts w:ascii="Arial" w:hAnsi="Arial" w:cs="Arial"/>
          <w:color w:val="7B7B7B" w:themeColor="accent3" w:themeShade="BF"/>
          <w:sz w:val="22"/>
          <w:szCs w:val="22"/>
          <w:lang w:val="en-GB"/>
        </w:rPr>
        <w:t>.</w:t>
      </w:r>
      <w:r w:rsidRPr="007C4D58">
        <w:rPr>
          <w:rFonts w:ascii="Arial" w:hAnsi="Arial" w:cs="Arial"/>
          <w:color w:val="7B7B7B" w:themeColor="accent3" w:themeShade="BF"/>
          <w:sz w:val="22"/>
          <w:szCs w:val="22"/>
          <w:lang w:val="en-GB"/>
        </w:rPr>
        <w:t xml:space="preserve"> </w:t>
      </w:r>
      <w:r w:rsidR="00C61BB0" w:rsidRPr="007C4D58">
        <w:rPr>
          <w:rFonts w:ascii="Arial" w:hAnsi="Arial" w:cs="Arial"/>
          <w:color w:val="7B7B7B" w:themeColor="accent3" w:themeShade="BF"/>
          <w:sz w:val="22"/>
          <w:szCs w:val="22"/>
          <w:lang w:val="en-GB"/>
        </w:rPr>
        <w:t>Some states will have a uniformed piece of legislation such as England and Wales</w:t>
      </w:r>
      <w:r w:rsidRPr="007C4D58">
        <w:rPr>
          <w:rFonts w:ascii="Arial" w:hAnsi="Arial" w:cs="Arial"/>
          <w:color w:val="7B7B7B" w:themeColor="accent3" w:themeShade="BF"/>
          <w:sz w:val="22"/>
          <w:szCs w:val="22"/>
          <w:lang w:val="en-GB"/>
        </w:rPr>
        <w:t xml:space="preserve"> </w:t>
      </w:r>
      <w:r w:rsidR="00C61BB0" w:rsidRPr="007C4D58">
        <w:rPr>
          <w:rFonts w:ascii="Arial" w:hAnsi="Arial" w:cs="Arial"/>
          <w:color w:val="7B7B7B" w:themeColor="accent3" w:themeShade="BF"/>
          <w:sz w:val="22"/>
          <w:szCs w:val="22"/>
          <w:lang w:val="en-GB"/>
        </w:rPr>
        <w:t>who look to the Insolvency Act 1986 to deal with consumer</w:t>
      </w:r>
      <w:r w:rsidR="00FD2039" w:rsidRPr="007C4D58">
        <w:rPr>
          <w:rFonts w:ascii="Arial" w:hAnsi="Arial" w:cs="Arial"/>
          <w:color w:val="7B7B7B" w:themeColor="accent3" w:themeShade="BF"/>
          <w:sz w:val="22"/>
          <w:szCs w:val="22"/>
          <w:lang w:val="en-GB"/>
        </w:rPr>
        <w:t xml:space="preserve"> (individual)</w:t>
      </w:r>
      <w:r w:rsidR="00C61BB0" w:rsidRPr="007C4D58">
        <w:rPr>
          <w:rFonts w:ascii="Arial" w:hAnsi="Arial" w:cs="Arial"/>
          <w:color w:val="7B7B7B" w:themeColor="accent3" w:themeShade="BF"/>
          <w:sz w:val="22"/>
          <w:szCs w:val="22"/>
          <w:lang w:val="en-GB"/>
        </w:rPr>
        <w:t xml:space="preserve"> and corporate </w:t>
      </w:r>
      <w:r w:rsidR="00C61BB0" w:rsidRPr="00C95144">
        <w:rPr>
          <w:rFonts w:ascii="Arial" w:hAnsi="Arial" w:cs="Arial"/>
          <w:color w:val="808080" w:themeColor="background1" w:themeShade="80"/>
          <w:sz w:val="22"/>
          <w:szCs w:val="22"/>
          <w:lang w:val="en-GB"/>
        </w:rPr>
        <w:t>insolvency</w:t>
      </w:r>
      <w:r w:rsidR="007D4707" w:rsidRPr="00C95144">
        <w:rPr>
          <w:rFonts w:ascii="Arial" w:hAnsi="Arial" w:cs="Arial"/>
          <w:color w:val="808080" w:themeColor="background1" w:themeShade="80"/>
          <w:sz w:val="22"/>
          <w:szCs w:val="22"/>
          <w:lang w:val="en-GB"/>
        </w:rPr>
        <w:t>,</w:t>
      </w:r>
      <w:r w:rsidR="00C61BB0" w:rsidRPr="00C95144">
        <w:rPr>
          <w:rFonts w:ascii="Arial" w:hAnsi="Arial" w:cs="Arial"/>
          <w:color w:val="808080" w:themeColor="background1" w:themeShade="80"/>
          <w:sz w:val="22"/>
          <w:szCs w:val="22"/>
          <w:lang w:val="en-GB"/>
        </w:rPr>
        <w:t xml:space="preserve"> while other </w:t>
      </w:r>
      <w:r w:rsidR="00C95144">
        <w:rPr>
          <w:rFonts w:ascii="Arial" w:hAnsi="Arial" w:cs="Arial"/>
          <w:color w:val="7B7B7B" w:themeColor="accent3" w:themeShade="BF"/>
          <w:sz w:val="22"/>
          <w:szCs w:val="22"/>
          <w:lang w:val="en-GB"/>
        </w:rPr>
        <w:t xml:space="preserve">states such as Australia, </w:t>
      </w:r>
      <w:r w:rsidR="00C61BB0" w:rsidRPr="007C4D58">
        <w:rPr>
          <w:rFonts w:ascii="Arial" w:hAnsi="Arial" w:cs="Arial"/>
          <w:color w:val="7B7B7B" w:themeColor="accent3" w:themeShade="BF"/>
          <w:sz w:val="22"/>
          <w:szCs w:val="22"/>
          <w:lang w:val="en-GB"/>
        </w:rPr>
        <w:t xml:space="preserve">use the Corporations Act 2001 </w:t>
      </w:r>
      <w:r w:rsidR="00FD2039" w:rsidRPr="007C4D58">
        <w:rPr>
          <w:rFonts w:ascii="Arial" w:hAnsi="Arial" w:cs="Arial"/>
          <w:color w:val="7B7B7B" w:themeColor="accent3" w:themeShade="BF"/>
          <w:sz w:val="22"/>
          <w:szCs w:val="22"/>
          <w:lang w:val="en-GB"/>
        </w:rPr>
        <w:t>to regulate</w:t>
      </w:r>
      <w:r w:rsidR="00C61BB0" w:rsidRPr="007C4D58">
        <w:rPr>
          <w:rFonts w:ascii="Arial" w:hAnsi="Arial" w:cs="Arial"/>
          <w:color w:val="7B7B7B" w:themeColor="accent3" w:themeShade="BF"/>
          <w:sz w:val="22"/>
          <w:szCs w:val="22"/>
          <w:lang w:val="en-GB"/>
        </w:rPr>
        <w:t xml:space="preserve"> corporate insolvency and the Bankruptcy Act 1966 </w:t>
      </w:r>
      <w:r w:rsidR="00FD2039" w:rsidRPr="007C4D58">
        <w:rPr>
          <w:rFonts w:ascii="Arial" w:hAnsi="Arial" w:cs="Arial"/>
          <w:color w:val="7B7B7B" w:themeColor="accent3" w:themeShade="BF"/>
          <w:sz w:val="22"/>
          <w:szCs w:val="22"/>
          <w:lang w:val="en-GB"/>
        </w:rPr>
        <w:t xml:space="preserve">to </w:t>
      </w:r>
      <w:r w:rsidR="00C61BB0" w:rsidRPr="007C4D58">
        <w:rPr>
          <w:rFonts w:ascii="Arial" w:hAnsi="Arial" w:cs="Arial"/>
          <w:color w:val="7B7B7B" w:themeColor="accent3" w:themeShade="BF"/>
          <w:sz w:val="22"/>
          <w:szCs w:val="22"/>
          <w:lang w:val="en-GB"/>
        </w:rPr>
        <w:t>deal with the insolvency of individuals or natural persons.</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9C7831">
        <w:rPr>
          <w:rFonts w:ascii="Avenir Next Demi Bold" w:hAnsi="Avenir Next Demi Bold" w:cs="Arial"/>
          <w:b/>
          <w:bCs/>
          <w:sz w:val="22"/>
          <w:szCs w:val="22"/>
          <w:lang w:val="en-GB"/>
        </w:rPr>
        <w:t xml:space="preserve">Question </w:t>
      </w:r>
      <w:r w:rsidR="00544127" w:rsidRPr="009C7831">
        <w:rPr>
          <w:rFonts w:ascii="Avenir Next Demi Bold" w:hAnsi="Avenir Next Demi Bold" w:cs="Arial"/>
          <w:b/>
          <w:bCs/>
          <w:sz w:val="22"/>
          <w:szCs w:val="22"/>
          <w:lang w:val="en-GB"/>
        </w:rPr>
        <w:t>3.2</w:t>
      </w:r>
      <w:r w:rsidRPr="009C7831">
        <w:rPr>
          <w:rFonts w:ascii="Avenir Next Demi Bold" w:hAnsi="Avenir Next Demi Bold" w:cs="Arial"/>
          <w:b/>
          <w:bCs/>
          <w:sz w:val="22"/>
          <w:szCs w:val="22"/>
          <w:lang w:val="en-GB"/>
        </w:rPr>
        <w:t xml:space="preserve"> [</w:t>
      </w:r>
      <w:r w:rsidR="006A2646" w:rsidRPr="009C7831">
        <w:rPr>
          <w:rFonts w:ascii="Avenir Next Demi Bold" w:hAnsi="Avenir Next Demi Bold" w:cs="Arial"/>
          <w:b/>
          <w:bCs/>
          <w:sz w:val="22"/>
          <w:szCs w:val="22"/>
          <w:lang w:val="en-GB"/>
        </w:rPr>
        <w:t>m</w:t>
      </w:r>
      <w:r w:rsidRPr="009C7831">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374EEE18" w:rsidR="00DF75F8" w:rsidRPr="00D02CE9" w:rsidRDefault="00F1767B" w:rsidP="00C053F7">
      <w:pPr>
        <w:jc w:val="both"/>
        <w:rPr>
          <w:rFonts w:ascii="Arial" w:hAnsi="Arial" w:cs="Arial"/>
          <w:color w:val="7B7B7B" w:themeColor="accent3" w:themeShade="BF"/>
          <w:sz w:val="22"/>
          <w:szCs w:val="22"/>
          <w:lang w:val="en-GB"/>
        </w:rPr>
      </w:pPr>
      <w:r w:rsidRPr="00D02CE9">
        <w:rPr>
          <w:rFonts w:ascii="Arial" w:hAnsi="Arial" w:cs="Arial"/>
          <w:color w:val="7B7B7B" w:themeColor="accent3" w:themeShade="BF"/>
          <w:sz w:val="22"/>
          <w:szCs w:val="22"/>
          <w:lang w:val="en-GB"/>
        </w:rPr>
        <w:t>In the first instan</w:t>
      </w:r>
      <w:r w:rsidR="00C95144">
        <w:rPr>
          <w:rFonts w:ascii="Arial" w:hAnsi="Arial" w:cs="Arial"/>
          <w:color w:val="7B7B7B" w:themeColor="accent3" w:themeShade="BF"/>
          <w:sz w:val="22"/>
          <w:szCs w:val="22"/>
          <w:lang w:val="en-GB"/>
        </w:rPr>
        <w:t>ce, dealing with insolvency law</w:t>
      </w:r>
      <w:r w:rsidRPr="00D02CE9">
        <w:rPr>
          <w:rFonts w:ascii="Arial" w:hAnsi="Arial" w:cs="Arial"/>
          <w:color w:val="7B7B7B" w:themeColor="accent3" w:themeShade="BF"/>
          <w:sz w:val="22"/>
          <w:szCs w:val="22"/>
          <w:lang w:val="en-GB"/>
        </w:rPr>
        <w:t xml:space="preserve"> in a cross-border context is difficult as there is not a single set of insolvency rules </w:t>
      </w:r>
      <w:r w:rsidRPr="00C95144">
        <w:rPr>
          <w:rFonts w:ascii="Arial" w:hAnsi="Arial" w:cs="Arial"/>
          <w:color w:val="808080" w:themeColor="background1" w:themeShade="80"/>
          <w:sz w:val="22"/>
          <w:szCs w:val="22"/>
          <w:lang w:val="en-GB"/>
        </w:rPr>
        <w:t xml:space="preserve">that </w:t>
      </w:r>
      <w:r w:rsidR="007D4707" w:rsidRPr="00C95144">
        <w:rPr>
          <w:rFonts w:ascii="Arial" w:hAnsi="Arial" w:cs="Arial"/>
          <w:color w:val="808080" w:themeColor="background1" w:themeShade="80"/>
          <w:sz w:val="22"/>
          <w:szCs w:val="22"/>
          <w:lang w:val="en-GB"/>
        </w:rPr>
        <w:t>apply</w:t>
      </w:r>
      <w:r w:rsidRPr="00C95144">
        <w:rPr>
          <w:rFonts w:ascii="Arial" w:hAnsi="Arial" w:cs="Arial"/>
          <w:color w:val="808080" w:themeColor="background1" w:themeShade="80"/>
          <w:sz w:val="22"/>
          <w:szCs w:val="22"/>
          <w:lang w:val="en-GB"/>
        </w:rPr>
        <w:t xml:space="preserve"> globally</w:t>
      </w:r>
      <w:r w:rsidRPr="00D02CE9">
        <w:rPr>
          <w:rFonts w:ascii="Arial" w:hAnsi="Arial" w:cs="Arial"/>
          <w:color w:val="7B7B7B" w:themeColor="accent3" w:themeShade="BF"/>
          <w:sz w:val="22"/>
          <w:szCs w:val="22"/>
          <w:lang w:val="en-GB"/>
        </w:rPr>
        <w:t>.</w:t>
      </w:r>
      <w:r w:rsidR="004973A4" w:rsidRPr="00D02CE9">
        <w:rPr>
          <w:rFonts w:ascii="Arial" w:hAnsi="Arial" w:cs="Arial"/>
          <w:color w:val="7B7B7B" w:themeColor="accent3" w:themeShade="BF"/>
          <w:sz w:val="22"/>
          <w:szCs w:val="22"/>
          <w:lang w:val="en-GB"/>
        </w:rPr>
        <w:t xml:space="preserve"> Different states have different laws and a</w:t>
      </w:r>
      <w:r w:rsidRPr="00D02CE9">
        <w:rPr>
          <w:rFonts w:ascii="Arial" w:hAnsi="Arial" w:cs="Arial"/>
          <w:color w:val="7B7B7B" w:themeColor="accent3" w:themeShade="BF"/>
          <w:sz w:val="22"/>
          <w:szCs w:val="22"/>
          <w:lang w:val="en-GB"/>
        </w:rPr>
        <w:t xml:space="preserve">s such </w:t>
      </w:r>
      <w:bookmarkStart w:id="0" w:name="_GoBack"/>
      <w:bookmarkEnd w:id="0"/>
      <w:r w:rsidR="00ED0679" w:rsidRPr="00D02CE9">
        <w:rPr>
          <w:rFonts w:ascii="Arial" w:hAnsi="Arial" w:cs="Arial"/>
          <w:color w:val="7B7B7B" w:themeColor="accent3" w:themeShade="BF"/>
          <w:sz w:val="22"/>
          <w:szCs w:val="22"/>
          <w:lang w:val="en-GB"/>
        </w:rPr>
        <w:t xml:space="preserve">problems arise due to the difference in approaches and policies as well as </w:t>
      </w:r>
      <w:r w:rsidR="004973A4" w:rsidRPr="00D02CE9">
        <w:rPr>
          <w:rFonts w:ascii="Arial" w:hAnsi="Arial" w:cs="Arial"/>
          <w:color w:val="7B7B7B" w:themeColor="accent3" w:themeShade="BF"/>
          <w:sz w:val="22"/>
          <w:szCs w:val="22"/>
          <w:lang w:val="en-GB"/>
        </w:rPr>
        <w:t>variances</w:t>
      </w:r>
      <w:r w:rsidR="00ED0679" w:rsidRPr="00D02CE9">
        <w:rPr>
          <w:rFonts w:ascii="Arial" w:hAnsi="Arial" w:cs="Arial"/>
          <w:color w:val="7B7B7B" w:themeColor="accent3" w:themeShade="BF"/>
          <w:sz w:val="22"/>
          <w:szCs w:val="22"/>
          <w:lang w:val="en-GB"/>
        </w:rPr>
        <w:t xml:space="preserve"> in substantive and </w:t>
      </w:r>
      <w:r w:rsidR="00ED0679" w:rsidRPr="00C95144">
        <w:rPr>
          <w:rFonts w:ascii="Arial" w:hAnsi="Arial" w:cs="Arial"/>
          <w:color w:val="808080" w:themeColor="background1" w:themeShade="80"/>
          <w:sz w:val="22"/>
          <w:szCs w:val="22"/>
          <w:lang w:val="en-GB"/>
        </w:rPr>
        <w:t xml:space="preserve">procedural </w:t>
      </w:r>
      <w:r w:rsidR="007D4707" w:rsidRPr="00C95144">
        <w:rPr>
          <w:rFonts w:ascii="Arial" w:hAnsi="Arial" w:cs="Arial"/>
          <w:color w:val="808080" w:themeColor="background1" w:themeShade="80"/>
          <w:sz w:val="22"/>
          <w:szCs w:val="22"/>
          <w:lang w:val="en-GB"/>
        </w:rPr>
        <w:t>rulings</w:t>
      </w:r>
      <w:r w:rsidR="00ED0679" w:rsidRPr="00C95144">
        <w:rPr>
          <w:rFonts w:ascii="Arial" w:hAnsi="Arial" w:cs="Arial"/>
          <w:color w:val="808080" w:themeColor="background1" w:themeShade="80"/>
          <w:sz w:val="22"/>
          <w:szCs w:val="22"/>
          <w:lang w:val="en-GB"/>
        </w:rPr>
        <w:t xml:space="preserve">. </w:t>
      </w:r>
    </w:p>
    <w:p w14:paraId="138D85CE" w14:textId="1C2157A9" w:rsidR="00C83792" w:rsidRPr="00D02CE9" w:rsidRDefault="00C83792" w:rsidP="00C053F7">
      <w:pPr>
        <w:jc w:val="both"/>
        <w:rPr>
          <w:rFonts w:ascii="Arial" w:hAnsi="Arial" w:cs="Arial"/>
          <w:color w:val="7B7B7B" w:themeColor="accent3" w:themeShade="BF"/>
          <w:sz w:val="22"/>
          <w:szCs w:val="22"/>
          <w:lang w:val="en-GB"/>
        </w:rPr>
      </w:pPr>
    </w:p>
    <w:p w14:paraId="462CAE75" w14:textId="60B2AE02" w:rsidR="00C83792" w:rsidRPr="00D02CE9" w:rsidRDefault="00C83792" w:rsidP="00C83792">
      <w:pPr>
        <w:jc w:val="both"/>
        <w:rPr>
          <w:rFonts w:ascii="Arial" w:hAnsi="Arial" w:cs="Arial"/>
          <w:color w:val="7B7B7B" w:themeColor="accent3" w:themeShade="BF"/>
          <w:sz w:val="22"/>
          <w:szCs w:val="22"/>
          <w:lang w:val="en-GB"/>
        </w:rPr>
      </w:pPr>
      <w:r w:rsidRPr="00D02CE9">
        <w:rPr>
          <w:rFonts w:ascii="Arial" w:hAnsi="Arial" w:cs="Arial"/>
          <w:color w:val="7B7B7B" w:themeColor="accent3" w:themeShade="BF"/>
          <w:sz w:val="22"/>
          <w:szCs w:val="22"/>
          <w:lang w:val="en-GB"/>
        </w:rPr>
        <w:t>Furthermore, Westbrook has identified nine k</w:t>
      </w:r>
      <w:r w:rsidR="00D02CE9" w:rsidRPr="00D02CE9">
        <w:rPr>
          <w:rFonts w:ascii="Arial" w:hAnsi="Arial" w:cs="Arial"/>
          <w:color w:val="7B7B7B" w:themeColor="accent3" w:themeShade="BF"/>
          <w:sz w:val="22"/>
          <w:szCs w:val="22"/>
          <w:lang w:val="en-GB"/>
        </w:rPr>
        <w:t xml:space="preserve">ey issues in cross-border cases: </w:t>
      </w:r>
      <w:r w:rsidRPr="00D02CE9">
        <w:rPr>
          <w:rFonts w:ascii="Arial" w:hAnsi="Arial" w:cs="Arial"/>
          <w:color w:val="7B7B7B" w:themeColor="accent3" w:themeShade="BF"/>
          <w:sz w:val="22"/>
          <w:szCs w:val="22"/>
          <w:lang w:val="en-GB"/>
        </w:rPr>
        <w:t>standing for (recognition</w:t>
      </w:r>
      <w:r w:rsidR="00D02CE9" w:rsidRPr="00D02CE9">
        <w:rPr>
          <w:rFonts w:ascii="Arial" w:hAnsi="Arial" w:cs="Arial"/>
          <w:color w:val="7B7B7B" w:themeColor="accent3" w:themeShade="BF"/>
          <w:sz w:val="22"/>
          <w:szCs w:val="22"/>
          <w:lang w:val="en-GB"/>
        </w:rPr>
        <w:t xml:space="preserve"> of) the foreign representative; </w:t>
      </w:r>
      <w:r w:rsidRPr="00D02CE9">
        <w:rPr>
          <w:rFonts w:ascii="Arial" w:hAnsi="Arial" w:cs="Arial"/>
          <w:color w:val="7B7B7B" w:themeColor="accent3" w:themeShade="BF"/>
          <w:sz w:val="22"/>
          <w:szCs w:val="22"/>
          <w:lang w:val="en-GB"/>
        </w:rPr>
        <w:t>moratorium on creditor actions;</w:t>
      </w:r>
      <w:r w:rsidR="00D02CE9" w:rsidRPr="00D02CE9">
        <w:rPr>
          <w:rFonts w:ascii="Arial" w:hAnsi="Arial" w:cs="Arial"/>
          <w:color w:val="7B7B7B" w:themeColor="accent3" w:themeShade="BF"/>
          <w:sz w:val="22"/>
          <w:szCs w:val="22"/>
          <w:lang w:val="en-GB"/>
        </w:rPr>
        <w:t xml:space="preserve"> </w:t>
      </w:r>
      <w:r w:rsidRPr="00D02CE9">
        <w:rPr>
          <w:rFonts w:ascii="Arial" w:hAnsi="Arial" w:cs="Arial"/>
          <w:color w:val="7B7B7B" w:themeColor="accent3" w:themeShade="BF"/>
          <w:sz w:val="22"/>
          <w:szCs w:val="22"/>
          <w:lang w:val="en-GB"/>
        </w:rPr>
        <w:t>creditor participation;</w:t>
      </w:r>
      <w:r w:rsidR="00D02CE9" w:rsidRPr="00D02CE9">
        <w:rPr>
          <w:rFonts w:ascii="Arial" w:hAnsi="Arial" w:cs="Arial"/>
          <w:color w:val="7B7B7B" w:themeColor="accent3" w:themeShade="BF"/>
          <w:sz w:val="22"/>
          <w:szCs w:val="22"/>
          <w:lang w:val="en-GB"/>
        </w:rPr>
        <w:t xml:space="preserve"> </w:t>
      </w:r>
      <w:r w:rsidRPr="00D02CE9">
        <w:rPr>
          <w:rFonts w:ascii="Arial" w:hAnsi="Arial" w:cs="Arial"/>
          <w:color w:val="7B7B7B" w:themeColor="accent3" w:themeShade="BF"/>
          <w:sz w:val="22"/>
          <w:szCs w:val="22"/>
          <w:lang w:val="en-GB"/>
        </w:rPr>
        <w:t>executory contracts;</w:t>
      </w:r>
      <w:r w:rsidR="00D02CE9" w:rsidRPr="00D02CE9">
        <w:rPr>
          <w:rFonts w:ascii="Arial" w:hAnsi="Arial" w:cs="Arial"/>
          <w:color w:val="7B7B7B" w:themeColor="accent3" w:themeShade="BF"/>
          <w:sz w:val="22"/>
          <w:szCs w:val="22"/>
          <w:lang w:val="en-GB"/>
        </w:rPr>
        <w:t xml:space="preserve"> </w:t>
      </w:r>
      <w:r w:rsidRPr="00D02CE9">
        <w:rPr>
          <w:rFonts w:ascii="Arial" w:hAnsi="Arial" w:cs="Arial"/>
          <w:color w:val="7B7B7B" w:themeColor="accent3" w:themeShade="BF"/>
          <w:sz w:val="22"/>
          <w:szCs w:val="22"/>
          <w:lang w:val="en-GB"/>
        </w:rPr>
        <w:t>co-ordinated claims procedures;</w:t>
      </w:r>
      <w:r w:rsidR="00D02CE9" w:rsidRPr="00D02CE9">
        <w:rPr>
          <w:rFonts w:ascii="Arial" w:hAnsi="Arial" w:cs="Arial"/>
          <w:color w:val="7B7B7B" w:themeColor="accent3" w:themeShade="BF"/>
          <w:sz w:val="22"/>
          <w:szCs w:val="22"/>
          <w:lang w:val="en-GB"/>
        </w:rPr>
        <w:t xml:space="preserve"> </w:t>
      </w:r>
      <w:r w:rsidRPr="00D02CE9">
        <w:rPr>
          <w:rFonts w:ascii="Arial" w:hAnsi="Arial" w:cs="Arial"/>
          <w:color w:val="7B7B7B" w:themeColor="accent3" w:themeShade="BF"/>
          <w:sz w:val="22"/>
          <w:szCs w:val="22"/>
          <w:lang w:val="en-GB"/>
        </w:rPr>
        <w:t>priorities and preferences;</w:t>
      </w:r>
      <w:r w:rsidR="00D02CE9" w:rsidRPr="00D02CE9">
        <w:rPr>
          <w:rFonts w:ascii="Arial" w:hAnsi="Arial" w:cs="Arial"/>
          <w:color w:val="7B7B7B" w:themeColor="accent3" w:themeShade="BF"/>
          <w:sz w:val="22"/>
          <w:szCs w:val="22"/>
          <w:lang w:val="en-GB"/>
        </w:rPr>
        <w:t xml:space="preserve"> </w:t>
      </w:r>
      <w:r w:rsidRPr="00D02CE9">
        <w:rPr>
          <w:rFonts w:ascii="Arial" w:hAnsi="Arial" w:cs="Arial"/>
          <w:color w:val="7B7B7B" w:themeColor="accent3" w:themeShade="BF"/>
          <w:sz w:val="22"/>
          <w:szCs w:val="22"/>
          <w:lang w:val="en-GB"/>
        </w:rPr>
        <w:t>avoidance provision powers;</w:t>
      </w:r>
      <w:r w:rsidR="00D02CE9" w:rsidRPr="00D02CE9">
        <w:rPr>
          <w:rFonts w:ascii="Arial" w:hAnsi="Arial" w:cs="Arial"/>
          <w:color w:val="7B7B7B" w:themeColor="accent3" w:themeShade="BF"/>
          <w:sz w:val="22"/>
          <w:szCs w:val="22"/>
          <w:lang w:val="en-GB"/>
        </w:rPr>
        <w:t xml:space="preserve"> discharges </w:t>
      </w:r>
      <w:r w:rsidRPr="00D02CE9">
        <w:rPr>
          <w:rFonts w:ascii="Arial" w:hAnsi="Arial" w:cs="Arial"/>
          <w:color w:val="7B7B7B" w:themeColor="accent3" w:themeShade="BF"/>
          <w:sz w:val="22"/>
          <w:szCs w:val="22"/>
          <w:lang w:val="en-GB"/>
        </w:rPr>
        <w:t>and</w:t>
      </w:r>
      <w:r w:rsidR="00D02CE9" w:rsidRPr="00D02CE9">
        <w:rPr>
          <w:rFonts w:ascii="Arial" w:hAnsi="Arial" w:cs="Arial"/>
          <w:color w:val="7B7B7B" w:themeColor="accent3" w:themeShade="BF"/>
          <w:sz w:val="22"/>
          <w:szCs w:val="22"/>
          <w:lang w:val="en-GB"/>
        </w:rPr>
        <w:t xml:space="preserve"> </w:t>
      </w:r>
      <w:r w:rsidRPr="00D02CE9">
        <w:rPr>
          <w:rFonts w:ascii="Arial" w:hAnsi="Arial" w:cs="Arial"/>
          <w:color w:val="7B7B7B" w:themeColor="accent3" w:themeShade="BF"/>
          <w:sz w:val="22"/>
          <w:szCs w:val="22"/>
          <w:lang w:val="en-GB"/>
        </w:rPr>
        <w:t>conflict-of-law issues.</w:t>
      </w:r>
    </w:p>
    <w:p w14:paraId="707B37B2" w14:textId="0236D34C" w:rsidR="004973A4" w:rsidRPr="00D02CE9" w:rsidRDefault="004973A4" w:rsidP="00C053F7">
      <w:pPr>
        <w:jc w:val="both"/>
        <w:rPr>
          <w:rFonts w:ascii="Arial" w:hAnsi="Arial" w:cs="Arial"/>
          <w:color w:val="7B7B7B" w:themeColor="accent3" w:themeShade="BF"/>
          <w:sz w:val="22"/>
          <w:szCs w:val="22"/>
          <w:lang w:val="en-GB"/>
        </w:rPr>
      </w:pPr>
    </w:p>
    <w:p w14:paraId="54D44779" w14:textId="19D8802D" w:rsidR="007E02E1" w:rsidRPr="00D02CE9" w:rsidRDefault="007E02E1" w:rsidP="00C053F7">
      <w:pPr>
        <w:jc w:val="both"/>
        <w:rPr>
          <w:rFonts w:ascii="Arial" w:hAnsi="Arial" w:cs="Arial"/>
          <w:color w:val="7B7B7B" w:themeColor="accent3" w:themeShade="BF"/>
          <w:sz w:val="22"/>
          <w:szCs w:val="22"/>
          <w:lang w:val="en-GB"/>
        </w:rPr>
      </w:pPr>
      <w:r w:rsidRPr="00D02CE9">
        <w:rPr>
          <w:rFonts w:ascii="Arial" w:hAnsi="Arial" w:cs="Arial"/>
          <w:color w:val="7B7B7B" w:themeColor="accent3" w:themeShade="BF"/>
          <w:sz w:val="22"/>
          <w:szCs w:val="22"/>
          <w:lang w:val="en-GB"/>
        </w:rPr>
        <w:t xml:space="preserve">Additionally, most domestic systems are ill-equipped when dealing with cross-border insolvency </w:t>
      </w:r>
      <w:r w:rsidR="00AE1EEB" w:rsidRPr="00D02CE9">
        <w:rPr>
          <w:rFonts w:ascii="Arial" w:hAnsi="Arial" w:cs="Arial"/>
          <w:color w:val="7B7B7B" w:themeColor="accent3" w:themeShade="BF"/>
          <w:sz w:val="22"/>
          <w:szCs w:val="22"/>
          <w:lang w:val="en-GB"/>
        </w:rPr>
        <w:t>matters and therefore a</w:t>
      </w:r>
      <w:r w:rsidRPr="00D02CE9">
        <w:rPr>
          <w:rFonts w:ascii="Arial" w:hAnsi="Arial" w:cs="Arial"/>
          <w:color w:val="7B7B7B" w:themeColor="accent3" w:themeShade="BF"/>
          <w:sz w:val="22"/>
          <w:szCs w:val="22"/>
          <w:lang w:val="en-GB"/>
        </w:rPr>
        <w:t xml:space="preserve"> </w:t>
      </w:r>
      <w:r w:rsidR="00C83792" w:rsidRPr="00D02CE9">
        <w:rPr>
          <w:rFonts w:ascii="Arial" w:hAnsi="Arial" w:cs="Arial"/>
          <w:color w:val="7B7B7B" w:themeColor="accent3" w:themeShade="BF"/>
          <w:sz w:val="22"/>
          <w:szCs w:val="22"/>
          <w:lang w:val="en-GB"/>
        </w:rPr>
        <w:t>state’s</w:t>
      </w:r>
      <w:r w:rsidRPr="00D02CE9">
        <w:rPr>
          <w:rFonts w:ascii="Arial" w:hAnsi="Arial" w:cs="Arial"/>
          <w:color w:val="7B7B7B" w:themeColor="accent3" w:themeShade="BF"/>
          <w:sz w:val="22"/>
          <w:szCs w:val="22"/>
          <w:lang w:val="en-GB"/>
        </w:rPr>
        <w:t xml:space="preserve"> enforcement of its jurisdiction usually ends with its national borders. This </w:t>
      </w:r>
      <w:r w:rsidR="009C7831" w:rsidRPr="00D02CE9">
        <w:rPr>
          <w:rFonts w:ascii="Arial" w:hAnsi="Arial" w:cs="Arial"/>
          <w:color w:val="7B7B7B" w:themeColor="accent3" w:themeShade="BF"/>
          <w:sz w:val="22"/>
          <w:szCs w:val="22"/>
          <w:lang w:val="en-GB"/>
        </w:rPr>
        <w:t>develops</w:t>
      </w:r>
      <w:r w:rsidRPr="00D02CE9">
        <w:rPr>
          <w:rFonts w:ascii="Arial" w:hAnsi="Arial" w:cs="Arial"/>
          <w:color w:val="7B7B7B" w:themeColor="accent3" w:themeShade="BF"/>
          <w:sz w:val="22"/>
          <w:szCs w:val="22"/>
          <w:lang w:val="en-GB"/>
        </w:rPr>
        <w:t xml:space="preserve"> the need for co-ordination and co-operation between courts of different states to promote effective and efficient international insolvency which is not always achieved. For example, concurrent proceedings involving the winding up or liquidation of a debtor versus corporate rescue / restructuring. The incompatible nature of the</w:t>
      </w:r>
      <w:r w:rsidR="00AE1EEB" w:rsidRPr="00D02CE9">
        <w:rPr>
          <w:rFonts w:ascii="Arial" w:hAnsi="Arial" w:cs="Arial"/>
          <w:color w:val="7B7B7B" w:themeColor="accent3" w:themeShade="BF"/>
          <w:sz w:val="22"/>
          <w:szCs w:val="22"/>
          <w:lang w:val="en-GB"/>
        </w:rPr>
        <w:t>se</w:t>
      </w:r>
      <w:r w:rsidRPr="00D02CE9">
        <w:rPr>
          <w:rFonts w:ascii="Arial" w:hAnsi="Arial" w:cs="Arial"/>
          <w:color w:val="7B7B7B" w:themeColor="accent3" w:themeShade="BF"/>
          <w:sz w:val="22"/>
          <w:szCs w:val="22"/>
          <w:lang w:val="en-GB"/>
        </w:rPr>
        <w:t xml:space="preserve"> two proceedings may lead to </w:t>
      </w:r>
      <w:r w:rsidR="00AE1EEB" w:rsidRPr="00D02CE9">
        <w:rPr>
          <w:rFonts w:ascii="Arial" w:hAnsi="Arial" w:cs="Arial"/>
          <w:color w:val="7B7B7B" w:themeColor="accent3" w:themeShade="BF"/>
          <w:sz w:val="22"/>
          <w:szCs w:val="22"/>
          <w:lang w:val="en-GB"/>
        </w:rPr>
        <w:t>unnecessary</w:t>
      </w:r>
      <w:r w:rsidRPr="00D02CE9">
        <w:rPr>
          <w:rFonts w:ascii="Arial" w:hAnsi="Arial" w:cs="Arial"/>
          <w:color w:val="7B7B7B" w:themeColor="accent3" w:themeShade="BF"/>
          <w:sz w:val="22"/>
          <w:szCs w:val="22"/>
          <w:lang w:val="en-GB"/>
        </w:rPr>
        <w:t xml:space="preserve"> capital losses for </w:t>
      </w:r>
      <w:r w:rsidR="00AE1EEB" w:rsidRPr="00D02CE9">
        <w:rPr>
          <w:rFonts w:ascii="Arial" w:hAnsi="Arial" w:cs="Arial"/>
          <w:color w:val="7B7B7B" w:themeColor="accent3" w:themeShade="BF"/>
          <w:sz w:val="22"/>
          <w:szCs w:val="22"/>
          <w:lang w:val="en-GB"/>
        </w:rPr>
        <w:t xml:space="preserve">creditors as resources are wasted attempting to resolve financial distress under a rescue or restructuring scheme. </w:t>
      </w:r>
    </w:p>
    <w:p w14:paraId="71A6CD69" w14:textId="42F9816A" w:rsidR="007F4DE3" w:rsidRDefault="007F4DE3" w:rsidP="00C053F7">
      <w:pPr>
        <w:jc w:val="both"/>
        <w:rPr>
          <w:rFonts w:ascii="Avenir Next" w:hAnsi="Avenir Next" w:cs="Arial"/>
          <w:color w:val="7B7B7B" w:themeColor="accent3" w:themeShade="BF"/>
          <w:sz w:val="22"/>
          <w:szCs w:val="22"/>
          <w:lang w:val="en-GB"/>
        </w:rPr>
      </w:pP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7F2E1B">
        <w:rPr>
          <w:rFonts w:ascii="Avenir Next Demi Bold" w:hAnsi="Avenir Next Demi Bold" w:cs="Arial"/>
          <w:b/>
          <w:bCs/>
          <w:sz w:val="22"/>
          <w:szCs w:val="22"/>
          <w:shd w:val="clear" w:color="auto" w:fill="FFFFFF"/>
          <w:lang w:val="en-GB"/>
        </w:rPr>
        <w:t xml:space="preserve">Question </w:t>
      </w:r>
      <w:r w:rsidR="00962045" w:rsidRPr="007F2E1B">
        <w:rPr>
          <w:rFonts w:ascii="Avenir Next Demi Bold" w:hAnsi="Avenir Next Demi Bold" w:cs="Arial"/>
          <w:b/>
          <w:bCs/>
          <w:sz w:val="22"/>
          <w:szCs w:val="22"/>
          <w:shd w:val="clear" w:color="auto" w:fill="FFFFFF"/>
          <w:lang w:val="en-GB"/>
        </w:rPr>
        <w:t>3.</w:t>
      </w:r>
      <w:r w:rsidR="00807119" w:rsidRPr="007F2E1B">
        <w:rPr>
          <w:rFonts w:ascii="Avenir Next Demi Bold" w:hAnsi="Avenir Next Demi Bold" w:cs="Arial"/>
          <w:b/>
          <w:bCs/>
          <w:sz w:val="22"/>
          <w:szCs w:val="22"/>
          <w:shd w:val="clear" w:color="auto" w:fill="FFFFFF"/>
          <w:lang w:val="en-GB"/>
        </w:rPr>
        <w:t>3</w:t>
      </w:r>
      <w:r w:rsidRPr="007F2E1B">
        <w:rPr>
          <w:rFonts w:ascii="Avenir Next Demi Bold" w:hAnsi="Avenir Next Demi Bold" w:cs="Arial"/>
          <w:b/>
          <w:bCs/>
          <w:sz w:val="22"/>
          <w:szCs w:val="22"/>
          <w:shd w:val="clear" w:color="auto" w:fill="FFFFFF"/>
          <w:lang w:val="en-GB"/>
        </w:rPr>
        <w:t xml:space="preserve"> </w:t>
      </w:r>
      <w:r w:rsidRPr="007F2E1B">
        <w:rPr>
          <w:rFonts w:ascii="Avenir Next Demi Bold" w:hAnsi="Avenir Next Demi Bold" w:cs="Arial"/>
          <w:b/>
          <w:bCs/>
          <w:sz w:val="22"/>
          <w:szCs w:val="22"/>
          <w:lang w:val="en-GB"/>
        </w:rPr>
        <w:t>[</w:t>
      </w:r>
      <w:r w:rsidR="006A2646" w:rsidRPr="007F2E1B">
        <w:rPr>
          <w:rFonts w:ascii="Avenir Next Demi Bold" w:hAnsi="Avenir Next Demi Bold" w:cs="Arial"/>
          <w:b/>
          <w:bCs/>
          <w:sz w:val="22"/>
          <w:szCs w:val="22"/>
          <w:lang w:val="en-GB"/>
        </w:rPr>
        <w:t>m</w:t>
      </w:r>
      <w:r w:rsidRPr="007F2E1B">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15AD7906" w14:textId="5147D00D" w:rsidR="009D31A1" w:rsidRDefault="00CD0D2D" w:rsidP="009D31A1">
      <w:pPr>
        <w:autoSpaceDE w:val="0"/>
        <w:autoSpaceDN w:val="0"/>
        <w:adjustRightInd w:val="0"/>
        <w:rPr>
          <w:rFonts w:ascii="Arial" w:eastAsia="MS Mincho" w:hAnsi="Arial" w:cs="Arial"/>
          <w:color w:val="808080" w:themeColor="background1" w:themeShade="80"/>
          <w:sz w:val="22"/>
          <w:szCs w:val="22"/>
        </w:rPr>
      </w:pPr>
      <w:r w:rsidRPr="009D31A1">
        <w:rPr>
          <w:rFonts w:ascii="Arial" w:hAnsi="Arial" w:cs="Arial"/>
          <w:color w:val="808080" w:themeColor="background1" w:themeShade="80"/>
          <w:sz w:val="22"/>
          <w:szCs w:val="22"/>
          <w:lang w:val="en-GB"/>
        </w:rPr>
        <w:t>There have been various efforts to</w:t>
      </w:r>
      <w:r w:rsidR="00A06305" w:rsidRPr="009D31A1">
        <w:rPr>
          <w:rFonts w:ascii="Arial" w:hAnsi="Arial" w:cs="Arial"/>
          <w:color w:val="808080" w:themeColor="background1" w:themeShade="80"/>
          <w:sz w:val="22"/>
          <w:szCs w:val="22"/>
          <w:lang w:val="en-GB"/>
        </w:rPr>
        <w:t xml:space="preserve"> </w:t>
      </w:r>
      <w:r w:rsidRPr="009D31A1">
        <w:rPr>
          <w:rFonts w:ascii="Arial" w:hAnsi="Arial" w:cs="Arial"/>
          <w:color w:val="808080" w:themeColor="background1" w:themeShade="80"/>
          <w:sz w:val="22"/>
          <w:szCs w:val="22"/>
          <w:lang w:val="en-GB"/>
        </w:rPr>
        <w:t xml:space="preserve">promote the </w:t>
      </w:r>
      <w:r w:rsidRPr="00C95144">
        <w:rPr>
          <w:rFonts w:ascii="Arial" w:hAnsi="Arial" w:cs="Arial"/>
          <w:color w:val="808080" w:themeColor="background1" w:themeShade="80"/>
          <w:sz w:val="22"/>
          <w:szCs w:val="22"/>
          <w:lang w:val="en-GB"/>
        </w:rPr>
        <w:t>harmonisation of domestic insolvency laws in the 21</w:t>
      </w:r>
      <w:r w:rsidRPr="00C95144">
        <w:rPr>
          <w:rFonts w:ascii="Arial" w:hAnsi="Arial" w:cs="Arial"/>
          <w:color w:val="808080" w:themeColor="background1" w:themeShade="80"/>
          <w:sz w:val="22"/>
          <w:szCs w:val="22"/>
          <w:vertAlign w:val="superscript"/>
          <w:lang w:val="en-GB"/>
        </w:rPr>
        <w:t>st</w:t>
      </w:r>
      <w:r w:rsidRPr="00C95144">
        <w:rPr>
          <w:rFonts w:ascii="Arial" w:hAnsi="Arial" w:cs="Arial"/>
          <w:color w:val="808080" w:themeColor="background1" w:themeShade="80"/>
          <w:sz w:val="22"/>
          <w:szCs w:val="22"/>
          <w:lang w:val="en-GB"/>
        </w:rPr>
        <w:t xml:space="preserve"> century, </w:t>
      </w:r>
      <w:r w:rsidR="00A06305" w:rsidRPr="00C95144">
        <w:rPr>
          <w:rFonts w:ascii="Arial" w:hAnsi="Arial" w:cs="Arial"/>
          <w:color w:val="808080" w:themeColor="background1" w:themeShade="80"/>
          <w:sz w:val="22"/>
          <w:szCs w:val="22"/>
          <w:lang w:val="en-GB"/>
        </w:rPr>
        <w:t xml:space="preserve">mainly through ‘soft law’ </w:t>
      </w:r>
      <w:r w:rsidR="009D31A1" w:rsidRPr="00C95144">
        <w:rPr>
          <w:rFonts w:ascii="Arial" w:hAnsi="Arial" w:cs="Arial"/>
          <w:color w:val="808080" w:themeColor="background1" w:themeShade="80"/>
          <w:sz w:val="22"/>
          <w:szCs w:val="22"/>
          <w:lang w:val="en-GB"/>
        </w:rPr>
        <w:t xml:space="preserve">options. The two </w:t>
      </w:r>
      <w:r w:rsidR="00020FCE" w:rsidRPr="00C95144">
        <w:rPr>
          <w:rFonts w:ascii="Arial" w:hAnsi="Arial" w:cs="Arial"/>
          <w:color w:val="808080" w:themeColor="background1" w:themeShade="80"/>
          <w:sz w:val="22"/>
          <w:szCs w:val="22"/>
          <w:lang w:val="en-GB"/>
        </w:rPr>
        <w:t xml:space="preserve">most </w:t>
      </w:r>
      <w:r w:rsidR="00E77B2C" w:rsidRPr="00C95144">
        <w:rPr>
          <w:rFonts w:ascii="Arial" w:hAnsi="Arial" w:cs="Arial"/>
          <w:color w:val="808080" w:themeColor="background1" w:themeShade="80"/>
          <w:sz w:val="22"/>
          <w:szCs w:val="22"/>
          <w:lang w:val="en-GB"/>
        </w:rPr>
        <w:t xml:space="preserve">globally recognised </w:t>
      </w:r>
      <w:r w:rsidR="00020FCE" w:rsidRPr="00C95144">
        <w:rPr>
          <w:rFonts w:ascii="Arial" w:hAnsi="Arial" w:cs="Arial"/>
          <w:color w:val="808080" w:themeColor="background1" w:themeShade="80"/>
          <w:sz w:val="22"/>
          <w:szCs w:val="22"/>
          <w:lang w:val="en-GB"/>
        </w:rPr>
        <w:t>systems</w:t>
      </w:r>
      <w:r w:rsidR="009D31A1" w:rsidRPr="00C95144">
        <w:rPr>
          <w:rFonts w:ascii="Arial" w:hAnsi="Arial" w:cs="Arial"/>
          <w:color w:val="808080" w:themeColor="background1" w:themeShade="80"/>
          <w:sz w:val="22"/>
          <w:szCs w:val="22"/>
          <w:lang w:val="en-GB"/>
        </w:rPr>
        <w:t xml:space="preserve"> </w:t>
      </w:r>
      <w:r w:rsidR="00E77B2C" w:rsidRPr="00C95144">
        <w:rPr>
          <w:rFonts w:ascii="Arial" w:hAnsi="Arial" w:cs="Arial"/>
          <w:color w:val="808080" w:themeColor="background1" w:themeShade="80"/>
          <w:sz w:val="22"/>
          <w:szCs w:val="22"/>
          <w:lang w:val="en-GB"/>
        </w:rPr>
        <w:t>are</w:t>
      </w:r>
      <w:r w:rsidR="009D31A1" w:rsidRPr="00C95144">
        <w:rPr>
          <w:rFonts w:ascii="Arial" w:hAnsi="Arial" w:cs="Arial"/>
          <w:color w:val="808080" w:themeColor="background1" w:themeShade="80"/>
          <w:sz w:val="22"/>
          <w:szCs w:val="22"/>
          <w:lang w:val="en-GB"/>
        </w:rPr>
        <w:t xml:space="preserve"> the </w:t>
      </w:r>
      <w:r w:rsidR="009D31A1" w:rsidRPr="00C95144">
        <w:rPr>
          <w:rFonts w:ascii="Arial" w:eastAsia="MS Mincho" w:hAnsi="Arial" w:cs="Arial"/>
          <w:color w:val="808080" w:themeColor="background1" w:themeShade="80"/>
          <w:sz w:val="22"/>
          <w:szCs w:val="22"/>
        </w:rPr>
        <w:t>UNCITRAL Legislative Guide on Insolvency law (2004)</w:t>
      </w:r>
      <w:r w:rsidR="00020FCE" w:rsidRPr="00C95144">
        <w:rPr>
          <w:rFonts w:ascii="Arial" w:eastAsia="MS Mincho" w:hAnsi="Arial" w:cs="Arial"/>
          <w:color w:val="808080" w:themeColor="background1" w:themeShade="80"/>
          <w:sz w:val="22"/>
          <w:szCs w:val="22"/>
        </w:rPr>
        <w:t xml:space="preserve"> (“UNCITRAL Legislative Guide”)</w:t>
      </w:r>
      <w:r w:rsidR="009D31A1" w:rsidRPr="00C95144">
        <w:rPr>
          <w:rFonts w:ascii="Arial" w:eastAsia="MS Mincho" w:hAnsi="Arial" w:cs="Arial"/>
          <w:color w:val="808080" w:themeColor="background1" w:themeShade="80"/>
          <w:sz w:val="22"/>
          <w:szCs w:val="22"/>
        </w:rPr>
        <w:t xml:space="preserve"> and the World Bank Principles for Effective Insolvency and Creditor / Debtor Regimes</w:t>
      </w:r>
      <w:r w:rsidR="00020FCE" w:rsidRPr="00C95144">
        <w:rPr>
          <w:rFonts w:ascii="Arial" w:eastAsia="MS Mincho" w:hAnsi="Arial" w:cs="Arial"/>
          <w:color w:val="808080" w:themeColor="background1" w:themeShade="80"/>
          <w:sz w:val="22"/>
          <w:szCs w:val="22"/>
        </w:rPr>
        <w:t xml:space="preserve"> (“World Bank Principles”)</w:t>
      </w:r>
      <w:r w:rsidR="009D31A1" w:rsidRPr="00C95144">
        <w:rPr>
          <w:rFonts w:ascii="Arial" w:eastAsia="MS Mincho" w:hAnsi="Arial" w:cs="Arial"/>
          <w:color w:val="808080" w:themeColor="background1" w:themeShade="80"/>
          <w:sz w:val="22"/>
          <w:szCs w:val="22"/>
        </w:rPr>
        <w:t xml:space="preserve">. </w:t>
      </w:r>
    </w:p>
    <w:p w14:paraId="0F991E0D" w14:textId="2C425836" w:rsidR="00020FCE" w:rsidRDefault="00020FCE" w:rsidP="009D31A1">
      <w:pPr>
        <w:autoSpaceDE w:val="0"/>
        <w:autoSpaceDN w:val="0"/>
        <w:adjustRightInd w:val="0"/>
        <w:rPr>
          <w:rFonts w:ascii="Arial" w:eastAsia="MS Mincho" w:hAnsi="Arial" w:cs="Arial"/>
          <w:color w:val="808080" w:themeColor="background1" w:themeShade="80"/>
          <w:sz w:val="22"/>
          <w:szCs w:val="22"/>
        </w:rPr>
      </w:pPr>
    </w:p>
    <w:p w14:paraId="083EDD19" w14:textId="53E79D57" w:rsidR="00020FCE" w:rsidRDefault="00020FCE" w:rsidP="009D31A1">
      <w:pPr>
        <w:autoSpaceDE w:val="0"/>
        <w:autoSpaceDN w:val="0"/>
        <w:adjustRightInd w:val="0"/>
        <w:rPr>
          <w:rFonts w:ascii="Arial" w:eastAsia="MS Mincho" w:hAnsi="Arial" w:cs="Arial"/>
          <w:color w:val="808080" w:themeColor="background1" w:themeShade="80"/>
          <w:sz w:val="22"/>
          <w:szCs w:val="22"/>
        </w:rPr>
      </w:pPr>
      <w:r>
        <w:rPr>
          <w:rFonts w:ascii="Arial" w:eastAsia="MS Mincho" w:hAnsi="Arial" w:cs="Arial"/>
          <w:color w:val="808080" w:themeColor="background1" w:themeShade="80"/>
          <w:sz w:val="22"/>
          <w:szCs w:val="22"/>
        </w:rPr>
        <w:t xml:space="preserve">The UNCITRAL Legislative </w:t>
      </w:r>
      <w:r w:rsidRPr="00C95144">
        <w:rPr>
          <w:rFonts w:ascii="Arial" w:eastAsia="MS Mincho" w:hAnsi="Arial" w:cs="Arial"/>
          <w:color w:val="808080" w:themeColor="background1" w:themeShade="80"/>
          <w:sz w:val="22"/>
          <w:szCs w:val="22"/>
        </w:rPr>
        <w:t xml:space="preserve">Guide </w:t>
      </w:r>
      <w:r w:rsidR="00E77B2C" w:rsidRPr="00C95144">
        <w:rPr>
          <w:rFonts w:ascii="Arial" w:eastAsia="MS Mincho" w:hAnsi="Arial" w:cs="Arial"/>
          <w:color w:val="808080" w:themeColor="background1" w:themeShade="80"/>
          <w:sz w:val="22"/>
          <w:szCs w:val="22"/>
        </w:rPr>
        <w:t xml:space="preserve">is intended as a resource for </w:t>
      </w:r>
      <w:r w:rsidRPr="00C95144">
        <w:rPr>
          <w:rFonts w:ascii="Arial" w:eastAsia="MS Mincho" w:hAnsi="Arial" w:cs="Arial"/>
          <w:color w:val="808080" w:themeColor="background1" w:themeShade="80"/>
          <w:sz w:val="22"/>
          <w:szCs w:val="22"/>
        </w:rPr>
        <w:t xml:space="preserve">national </w:t>
      </w:r>
      <w:r>
        <w:rPr>
          <w:rFonts w:ascii="Arial" w:eastAsia="MS Mincho" w:hAnsi="Arial" w:cs="Arial"/>
          <w:color w:val="808080" w:themeColor="background1" w:themeShade="80"/>
          <w:sz w:val="22"/>
          <w:szCs w:val="22"/>
        </w:rPr>
        <w:t xml:space="preserve">authorities and legislative bodies in the drafting of new laws and </w:t>
      </w:r>
      <w:r w:rsidRPr="00C95144">
        <w:rPr>
          <w:rFonts w:ascii="Arial" w:eastAsia="MS Mincho" w:hAnsi="Arial" w:cs="Arial"/>
          <w:color w:val="808080" w:themeColor="background1" w:themeShade="80"/>
          <w:sz w:val="22"/>
          <w:szCs w:val="22"/>
        </w:rPr>
        <w:t xml:space="preserve">regulations or </w:t>
      </w:r>
      <w:r w:rsidR="00E77B2C" w:rsidRPr="00C95144">
        <w:rPr>
          <w:rFonts w:ascii="Arial" w:eastAsia="MS Mincho" w:hAnsi="Arial" w:cs="Arial"/>
          <w:color w:val="808080" w:themeColor="background1" w:themeShade="80"/>
          <w:sz w:val="22"/>
          <w:szCs w:val="22"/>
        </w:rPr>
        <w:t xml:space="preserve">in examining </w:t>
      </w:r>
      <w:r>
        <w:rPr>
          <w:rFonts w:ascii="Arial" w:eastAsia="MS Mincho" w:hAnsi="Arial" w:cs="Arial"/>
          <w:color w:val="808080" w:themeColor="background1" w:themeShade="80"/>
          <w:sz w:val="22"/>
          <w:szCs w:val="22"/>
        </w:rPr>
        <w:t>the effectiveness and applicability of existing laws and regulation.</w:t>
      </w:r>
      <w:r w:rsidR="00D646E8">
        <w:rPr>
          <w:rFonts w:ascii="Arial" w:eastAsia="MS Mincho" w:hAnsi="Arial" w:cs="Arial"/>
          <w:color w:val="808080" w:themeColor="background1" w:themeShade="80"/>
          <w:sz w:val="22"/>
          <w:szCs w:val="22"/>
        </w:rPr>
        <w:t xml:space="preserve"> The system </w:t>
      </w:r>
      <w:r w:rsidR="009C7831" w:rsidRPr="00C95144">
        <w:rPr>
          <w:rFonts w:ascii="Arial" w:eastAsia="MS Mincho" w:hAnsi="Arial" w:cs="Arial"/>
          <w:color w:val="808080" w:themeColor="background1" w:themeShade="80"/>
          <w:sz w:val="22"/>
          <w:szCs w:val="22"/>
        </w:rPr>
        <w:t>addresse</w:t>
      </w:r>
      <w:r w:rsidR="00E77B2C" w:rsidRPr="00C95144">
        <w:rPr>
          <w:rFonts w:ascii="Arial" w:eastAsia="MS Mincho" w:hAnsi="Arial" w:cs="Arial"/>
          <w:color w:val="808080" w:themeColor="background1" w:themeShade="80"/>
          <w:sz w:val="22"/>
          <w:szCs w:val="22"/>
        </w:rPr>
        <w:t>s</w:t>
      </w:r>
      <w:r w:rsidR="00D646E8" w:rsidRPr="00C95144">
        <w:rPr>
          <w:rFonts w:ascii="Arial" w:eastAsia="MS Mincho" w:hAnsi="Arial" w:cs="Arial"/>
          <w:color w:val="808080" w:themeColor="background1" w:themeShade="80"/>
          <w:sz w:val="22"/>
          <w:szCs w:val="22"/>
        </w:rPr>
        <w:t xml:space="preserve"> a </w:t>
      </w:r>
      <w:r w:rsidR="00D646E8">
        <w:rPr>
          <w:rFonts w:ascii="Arial" w:eastAsia="MS Mincho" w:hAnsi="Arial" w:cs="Arial"/>
          <w:color w:val="808080" w:themeColor="background1" w:themeShade="80"/>
          <w:sz w:val="22"/>
          <w:szCs w:val="22"/>
        </w:rPr>
        <w:t>wide range of insolvency law</w:t>
      </w:r>
      <w:r w:rsidR="00C95144">
        <w:rPr>
          <w:rFonts w:ascii="Arial" w:eastAsia="MS Mincho" w:hAnsi="Arial" w:cs="Arial"/>
          <w:color w:val="808080" w:themeColor="background1" w:themeShade="80"/>
          <w:sz w:val="22"/>
          <w:szCs w:val="22"/>
        </w:rPr>
        <w:t xml:space="preserve"> </w:t>
      </w:r>
      <w:r>
        <w:rPr>
          <w:rFonts w:ascii="Arial" w:eastAsia="MS Mincho" w:hAnsi="Arial" w:cs="Arial"/>
          <w:color w:val="808080" w:themeColor="background1" w:themeShade="80"/>
          <w:sz w:val="22"/>
          <w:szCs w:val="22"/>
        </w:rPr>
        <w:t xml:space="preserve">in an effort to promote </w:t>
      </w:r>
      <w:r w:rsidR="00D646E8">
        <w:rPr>
          <w:rFonts w:ascii="Arial" w:eastAsia="MS Mincho" w:hAnsi="Arial" w:cs="Arial"/>
          <w:color w:val="808080" w:themeColor="background1" w:themeShade="80"/>
          <w:sz w:val="22"/>
          <w:szCs w:val="22"/>
        </w:rPr>
        <w:t xml:space="preserve">the </w:t>
      </w:r>
      <w:r>
        <w:rPr>
          <w:rFonts w:ascii="Arial" w:eastAsia="MS Mincho" w:hAnsi="Arial" w:cs="Arial"/>
          <w:color w:val="808080" w:themeColor="background1" w:themeShade="80"/>
          <w:sz w:val="22"/>
          <w:szCs w:val="22"/>
        </w:rPr>
        <w:t xml:space="preserve">harmonization of </w:t>
      </w:r>
      <w:r w:rsidR="00D646E8">
        <w:rPr>
          <w:rFonts w:ascii="Arial" w:eastAsia="MS Mincho" w:hAnsi="Arial" w:cs="Arial"/>
          <w:color w:val="808080" w:themeColor="background1" w:themeShade="80"/>
          <w:sz w:val="22"/>
          <w:szCs w:val="22"/>
        </w:rPr>
        <w:t>legislation</w:t>
      </w:r>
      <w:r>
        <w:rPr>
          <w:rFonts w:ascii="Arial" w:eastAsia="MS Mincho" w:hAnsi="Arial" w:cs="Arial"/>
          <w:color w:val="808080" w:themeColor="background1" w:themeShade="80"/>
          <w:sz w:val="22"/>
          <w:szCs w:val="22"/>
        </w:rPr>
        <w:t xml:space="preserve"> </w:t>
      </w:r>
      <w:r w:rsidR="00D646E8">
        <w:rPr>
          <w:rFonts w:ascii="Arial" w:eastAsia="MS Mincho" w:hAnsi="Arial" w:cs="Arial"/>
          <w:color w:val="808080" w:themeColor="background1" w:themeShade="80"/>
          <w:sz w:val="22"/>
          <w:szCs w:val="22"/>
        </w:rPr>
        <w:t>by providing a modern framework to deal with matters in relation to cross-</w:t>
      </w:r>
      <w:r w:rsidR="00D646E8" w:rsidRPr="00C95144">
        <w:rPr>
          <w:rFonts w:ascii="Arial" w:eastAsia="MS Mincho" w:hAnsi="Arial" w:cs="Arial"/>
          <w:color w:val="808080" w:themeColor="background1" w:themeShade="80"/>
          <w:sz w:val="22"/>
          <w:szCs w:val="22"/>
        </w:rPr>
        <w:t xml:space="preserve">border insolvency. The UNCITRAL Legislative Guide has been expanded in recent years to </w:t>
      </w:r>
      <w:r w:rsidR="00E77B2C" w:rsidRPr="00C95144">
        <w:rPr>
          <w:rFonts w:ascii="Arial" w:eastAsia="MS Mincho" w:hAnsi="Arial" w:cs="Arial"/>
          <w:color w:val="808080" w:themeColor="background1" w:themeShade="80"/>
          <w:sz w:val="22"/>
          <w:szCs w:val="22"/>
        </w:rPr>
        <w:t>cover</w:t>
      </w:r>
      <w:r w:rsidR="00D646E8" w:rsidRPr="00C95144">
        <w:rPr>
          <w:rFonts w:ascii="Arial" w:eastAsia="MS Mincho" w:hAnsi="Arial" w:cs="Arial"/>
          <w:color w:val="808080" w:themeColor="background1" w:themeShade="80"/>
          <w:sz w:val="22"/>
          <w:szCs w:val="22"/>
        </w:rPr>
        <w:t xml:space="preserve"> insolvency </w:t>
      </w:r>
      <w:r w:rsidR="00D646E8">
        <w:rPr>
          <w:rFonts w:ascii="Arial" w:eastAsia="MS Mincho" w:hAnsi="Arial" w:cs="Arial"/>
          <w:color w:val="808080" w:themeColor="background1" w:themeShade="80"/>
          <w:sz w:val="22"/>
          <w:szCs w:val="22"/>
        </w:rPr>
        <w:t>of enterprise groups and directors’ obligations in the period approaching insolvency, including the directors of enterprise group companies.</w:t>
      </w:r>
    </w:p>
    <w:p w14:paraId="3C2C82C3" w14:textId="15E0362E" w:rsidR="00D646E8" w:rsidRDefault="00D646E8" w:rsidP="009D31A1">
      <w:pPr>
        <w:autoSpaceDE w:val="0"/>
        <w:autoSpaceDN w:val="0"/>
        <w:adjustRightInd w:val="0"/>
        <w:rPr>
          <w:rFonts w:ascii="Arial" w:eastAsia="MS Mincho" w:hAnsi="Arial" w:cs="Arial"/>
          <w:color w:val="808080" w:themeColor="background1" w:themeShade="80"/>
          <w:sz w:val="22"/>
          <w:szCs w:val="22"/>
        </w:rPr>
      </w:pPr>
    </w:p>
    <w:p w14:paraId="558B37E9" w14:textId="53E2201F" w:rsidR="00D646E8" w:rsidRDefault="009D5858" w:rsidP="009D31A1">
      <w:pPr>
        <w:autoSpaceDE w:val="0"/>
        <w:autoSpaceDN w:val="0"/>
        <w:adjustRightInd w:val="0"/>
        <w:rPr>
          <w:rFonts w:ascii="Arial" w:eastAsia="MS Mincho" w:hAnsi="Arial" w:cs="Arial"/>
          <w:color w:val="808080" w:themeColor="background1" w:themeShade="80"/>
          <w:sz w:val="22"/>
          <w:szCs w:val="22"/>
        </w:rPr>
      </w:pPr>
      <w:r>
        <w:rPr>
          <w:rFonts w:ascii="Arial" w:eastAsia="MS Mincho" w:hAnsi="Arial" w:cs="Arial"/>
          <w:color w:val="808080" w:themeColor="background1" w:themeShade="80"/>
          <w:sz w:val="22"/>
          <w:szCs w:val="22"/>
        </w:rPr>
        <w:t xml:space="preserve">The World Bank Principles, </w:t>
      </w:r>
      <w:r w:rsidRPr="00C95144">
        <w:rPr>
          <w:rFonts w:ascii="Arial" w:eastAsia="MS Mincho" w:hAnsi="Arial" w:cs="Arial"/>
          <w:color w:val="808080" w:themeColor="background1" w:themeShade="80"/>
          <w:sz w:val="22"/>
          <w:szCs w:val="22"/>
        </w:rPr>
        <w:t xml:space="preserve">developed </w:t>
      </w:r>
      <w:r w:rsidR="009C7831" w:rsidRPr="00C95144">
        <w:rPr>
          <w:rFonts w:ascii="Arial" w:eastAsia="MS Mincho" w:hAnsi="Arial" w:cs="Arial"/>
          <w:color w:val="808080" w:themeColor="background1" w:themeShade="80"/>
          <w:sz w:val="22"/>
          <w:szCs w:val="22"/>
        </w:rPr>
        <w:t xml:space="preserve">in </w:t>
      </w:r>
      <w:r w:rsidRPr="00C95144">
        <w:rPr>
          <w:rFonts w:ascii="Arial" w:eastAsia="MS Mincho" w:hAnsi="Arial" w:cs="Arial"/>
          <w:color w:val="808080" w:themeColor="background1" w:themeShade="80"/>
          <w:sz w:val="22"/>
          <w:szCs w:val="22"/>
        </w:rPr>
        <w:t>20</w:t>
      </w:r>
      <w:r w:rsidR="006142E8" w:rsidRPr="00C95144">
        <w:rPr>
          <w:rFonts w:ascii="Arial" w:eastAsia="MS Mincho" w:hAnsi="Arial" w:cs="Arial"/>
          <w:color w:val="808080" w:themeColor="background1" w:themeShade="80"/>
          <w:sz w:val="22"/>
          <w:szCs w:val="22"/>
        </w:rPr>
        <w:t>0</w:t>
      </w:r>
      <w:r w:rsidRPr="00C95144">
        <w:rPr>
          <w:rFonts w:ascii="Arial" w:eastAsia="MS Mincho" w:hAnsi="Arial" w:cs="Arial"/>
          <w:color w:val="808080" w:themeColor="background1" w:themeShade="80"/>
          <w:sz w:val="22"/>
          <w:szCs w:val="22"/>
        </w:rPr>
        <w:t>1</w:t>
      </w:r>
      <w:r w:rsidR="00E77B2C" w:rsidRPr="00C95144">
        <w:rPr>
          <w:rFonts w:ascii="Arial" w:eastAsia="MS Mincho" w:hAnsi="Arial" w:cs="Arial"/>
          <w:color w:val="808080" w:themeColor="background1" w:themeShade="80"/>
          <w:sz w:val="22"/>
          <w:szCs w:val="22"/>
        </w:rPr>
        <w:t>,</w:t>
      </w:r>
      <w:r w:rsidRPr="00C95144">
        <w:rPr>
          <w:rFonts w:ascii="Arial" w:eastAsia="MS Mincho" w:hAnsi="Arial" w:cs="Arial"/>
          <w:color w:val="808080" w:themeColor="background1" w:themeShade="80"/>
          <w:sz w:val="22"/>
          <w:szCs w:val="22"/>
        </w:rPr>
        <w:t xml:space="preserve"> received revisions in 2005, 2011, 2015 and in April 2021. These principles promote a synchronization </w:t>
      </w:r>
      <w:r>
        <w:rPr>
          <w:rFonts w:ascii="Arial" w:eastAsia="MS Mincho" w:hAnsi="Arial" w:cs="Arial"/>
          <w:color w:val="808080" w:themeColor="background1" w:themeShade="80"/>
          <w:sz w:val="22"/>
          <w:szCs w:val="22"/>
        </w:rPr>
        <w:t xml:space="preserve">of insolvency law through </w:t>
      </w:r>
      <w:r w:rsidR="006142E8">
        <w:rPr>
          <w:rFonts w:ascii="Arial" w:eastAsia="MS Mincho" w:hAnsi="Arial" w:cs="Arial"/>
          <w:color w:val="808080" w:themeColor="background1" w:themeShade="80"/>
          <w:sz w:val="22"/>
          <w:szCs w:val="22"/>
        </w:rPr>
        <w:t>recognizing</w:t>
      </w:r>
      <w:r>
        <w:rPr>
          <w:rFonts w:ascii="Arial" w:eastAsia="MS Mincho" w:hAnsi="Arial" w:cs="Arial"/>
          <w:color w:val="808080" w:themeColor="background1" w:themeShade="80"/>
          <w:sz w:val="22"/>
          <w:szCs w:val="22"/>
        </w:rPr>
        <w:t xml:space="preserve"> the importance of insolvency systems </w:t>
      </w:r>
      <w:r w:rsidR="006142E8">
        <w:rPr>
          <w:rFonts w:ascii="Arial" w:eastAsia="MS Mincho" w:hAnsi="Arial" w:cs="Arial"/>
          <w:color w:val="808080" w:themeColor="background1" w:themeShade="80"/>
          <w:sz w:val="22"/>
          <w:szCs w:val="22"/>
        </w:rPr>
        <w:t xml:space="preserve">when creating stability </w:t>
      </w:r>
      <w:r w:rsidR="006142E8" w:rsidRPr="00C95144">
        <w:rPr>
          <w:rFonts w:ascii="Arial" w:eastAsia="MS Mincho" w:hAnsi="Arial" w:cs="Arial"/>
          <w:color w:val="808080" w:themeColor="background1" w:themeShade="80"/>
          <w:sz w:val="22"/>
          <w:szCs w:val="22"/>
        </w:rPr>
        <w:t xml:space="preserve">for a </w:t>
      </w:r>
      <w:r w:rsidR="00E77B2C" w:rsidRPr="00C95144">
        <w:rPr>
          <w:rFonts w:ascii="Arial" w:eastAsia="MS Mincho" w:hAnsi="Arial" w:cs="Arial"/>
          <w:color w:val="808080" w:themeColor="background1" w:themeShade="80"/>
          <w:sz w:val="22"/>
          <w:szCs w:val="22"/>
        </w:rPr>
        <w:t xml:space="preserve">country’s </w:t>
      </w:r>
      <w:r w:rsidR="006142E8">
        <w:rPr>
          <w:rFonts w:ascii="Arial" w:eastAsia="MS Mincho" w:hAnsi="Arial" w:cs="Arial"/>
          <w:color w:val="808080" w:themeColor="background1" w:themeShade="80"/>
          <w:sz w:val="22"/>
          <w:szCs w:val="22"/>
        </w:rPr>
        <w:t>financial systems.</w:t>
      </w:r>
    </w:p>
    <w:p w14:paraId="00E57861" w14:textId="033955B3" w:rsidR="009D31A1" w:rsidRDefault="009D31A1" w:rsidP="009D31A1">
      <w:pPr>
        <w:autoSpaceDE w:val="0"/>
        <w:autoSpaceDN w:val="0"/>
        <w:adjustRightInd w:val="0"/>
        <w:rPr>
          <w:rFonts w:ascii="Arial" w:eastAsia="MS Mincho" w:hAnsi="Arial" w:cs="Arial"/>
          <w:color w:val="808080" w:themeColor="background1" w:themeShade="80"/>
          <w:sz w:val="22"/>
          <w:szCs w:val="22"/>
        </w:rPr>
      </w:pPr>
    </w:p>
    <w:p w14:paraId="1D973748" w14:textId="63142624" w:rsidR="009D5858" w:rsidRDefault="009D31A1" w:rsidP="009D31A1">
      <w:pPr>
        <w:autoSpaceDE w:val="0"/>
        <w:autoSpaceDN w:val="0"/>
        <w:adjustRightInd w:val="0"/>
        <w:rPr>
          <w:rFonts w:ascii="Arial" w:eastAsia="MS Mincho" w:hAnsi="Arial" w:cs="Arial"/>
          <w:color w:val="808080" w:themeColor="background1" w:themeShade="80"/>
          <w:sz w:val="22"/>
          <w:szCs w:val="22"/>
        </w:rPr>
      </w:pPr>
      <w:r>
        <w:rPr>
          <w:rFonts w:ascii="Arial" w:eastAsia="MS Mincho" w:hAnsi="Arial" w:cs="Arial"/>
          <w:color w:val="808080" w:themeColor="background1" w:themeShade="80"/>
          <w:sz w:val="22"/>
          <w:szCs w:val="22"/>
        </w:rPr>
        <w:t>In my opinio</w:t>
      </w:r>
      <w:r w:rsidR="00F47D34">
        <w:rPr>
          <w:rFonts w:ascii="Arial" w:eastAsia="MS Mincho" w:hAnsi="Arial" w:cs="Arial"/>
          <w:color w:val="808080" w:themeColor="background1" w:themeShade="80"/>
          <w:sz w:val="22"/>
          <w:szCs w:val="22"/>
        </w:rPr>
        <w:t xml:space="preserve">n, the notion of a harmonization of domestic insolvency laws would be difficult to achieve by adhering to just </w:t>
      </w:r>
      <w:r w:rsidR="00F47D34" w:rsidRPr="00C95144">
        <w:rPr>
          <w:rFonts w:ascii="Arial" w:eastAsia="MS Mincho" w:hAnsi="Arial" w:cs="Arial"/>
          <w:color w:val="808080" w:themeColor="background1" w:themeShade="80"/>
          <w:sz w:val="22"/>
          <w:szCs w:val="22"/>
        </w:rPr>
        <w:t>these approaches</w:t>
      </w:r>
      <w:r w:rsidR="00E77B2C" w:rsidRPr="00C95144">
        <w:rPr>
          <w:rFonts w:ascii="Arial" w:eastAsia="MS Mincho" w:hAnsi="Arial" w:cs="Arial"/>
          <w:color w:val="808080" w:themeColor="background1" w:themeShade="80"/>
          <w:sz w:val="22"/>
          <w:szCs w:val="22"/>
        </w:rPr>
        <w:t>.</w:t>
      </w:r>
      <w:r w:rsidR="00F47D34" w:rsidRPr="00C95144">
        <w:rPr>
          <w:rFonts w:ascii="Arial" w:eastAsia="MS Mincho" w:hAnsi="Arial" w:cs="Arial"/>
          <w:color w:val="808080" w:themeColor="background1" w:themeShade="80"/>
          <w:sz w:val="22"/>
          <w:szCs w:val="22"/>
        </w:rPr>
        <w:t xml:space="preserve"> </w:t>
      </w:r>
      <w:r w:rsidR="00E77B2C" w:rsidRPr="00C95144">
        <w:rPr>
          <w:rFonts w:ascii="Arial" w:eastAsia="MS Mincho" w:hAnsi="Arial" w:cs="Arial"/>
          <w:color w:val="808080" w:themeColor="background1" w:themeShade="80"/>
          <w:sz w:val="22"/>
          <w:szCs w:val="22"/>
        </w:rPr>
        <w:t>More</w:t>
      </w:r>
      <w:r w:rsidR="00F47D34" w:rsidRPr="00C95144">
        <w:rPr>
          <w:rFonts w:ascii="Arial" w:eastAsia="MS Mincho" w:hAnsi="Arial" w:cs="Arial"/>
          <w:color w:val="808080" w:themeColor="background1" w:themeShade="80"/>
          <w:sz w:val="22"/>
          <w:szCs w:val="22"/>
        </w:rPr>
        <w:t xml:space="preserve"> often than not</w:t>
      </w:r>
      <w:r w:rsidR="00E77B2C" w:rsidRPr="00C95144">
        <w:rPr>
          <w:rFonts w:ascii="Arial" w:eastAsia="MS Mincho" w:hAnsi="Arial" w:cs="Arial"/>
          <w:color w:val="808080" w:themeColor="background1" w:themeShade="80"/>
          <w:sz w:val="22"/>
          <w:szCs w:val="22"/>
        </w:rPr>
        <w:t>,</w:t>
      </w:r>
      <w:r w:rsidR="00F47D34" w:rsidRPr="00C95144">
        <w:rPr>
          <w:rFonts w:ascii="Arial" w:eastAsia="MS Mincho" w:hAnsi="Arial" w:cs="Arial"/>
          <w:color w:val="808080" w:themeColor="background1" w:themeShade="80"/>
          <w:sz w:val="22"/>
          <w:szCs w:val="22"/>
        </w:rPr>
        <w:t xml:space="preserve"> insolvency laws interact with other areas of law</w:t>
      </w:r>
      <w:r w:rsidR="00E77B2C" w:rsidRPr="00C95144">
        <w:rPr>
          <w:rFonts w:ascii="Arial" w:eastAsia="MS Mincho" w:hAnsi="Arial" w:cs="Arial"/>
          <w:color w:val="808080" w:themeColor="background1" w:themeShade="80"/>
          <w:sz w:val="22"/>
          <w:szCs w:val="22"/>
        </w:rPr>
        <w:t>,</w:t>
      </w:r>
      <w:r w:rsidR="00F47D34" w:rsidRPr="00C95144">
        <w:rPr>
          <w:rFonts w:ascii="Arial" w:eastAsia="MS Mincho" w:hAnsi="Arial" w:cs="Arial"/>
          <w:color w:val="808080" w:themeColor="background1" w:themeShade="80"/>
          <w:sz w:val="22"/>
          <w:szCs w:val="22"/>
        </w:rPr>
        <w:t xml:space="preserve"> such as property law or secured transactions law</w:t>
      </w:r>
      <w:r w:rsidR="00E77B2C" w:rsidRPr="00C95144">
        <w:rPr>
          <w:rFonts w:ascii="Arial" w:eastAsia="MS Mincho" w:hAnsi="Arial" w:cs="Arial"/>
          <w:color w:val="808080" w:themeColor="background1" w:themeShade="80"/>
          <w:sz w:val="22"/>
          <w:szCs w:val="22"/>
        </w:rPr>
        <w:t>,</w:t>
      </w:r>
      <w:r w:rsidR="00F47D34" w:rsidRPr="00C95144">
        <w:rPr>
          <w:rFonts w:ascii="Arial" w:eastAsia="MS Mincho" w:hAnsi="Arial" w:cs="Arial"/>
          <w:color w:val="808080" w:themeColor="background1" w:themeShade="80"/>
          <w:sz w:val="22"/>
          <w:szCs w:val="22"/>
        </w:rPr>
        <w:t xml:space="preserve"> which would result in issues</w:t>
      </w:r>
      <w:r w:rsidR="00E77B2C" w:rsidRPr="00C95144">
        <w:rPr>
          <w:rFonts w:ascii="Arial" w:eastAsia="MS Mincho" w:hAnsi="Arial" w:cs="Arial"/>
          <w:color w:val="808080" w:themeColor="background1" w:themeShade="80"/>
          <w:sz w:val="22"/>
          <w:szCs w:val="22"/>
        </w:rPr>
        <w:t>,</w:t>
      </w:r>
      <w:r w:rsidR="00F47D34" w:rsidRPr="00C95144">
        <w:rPr>
          <w:rFonts w:ascii="Arial" w:eastAsia="MS Mincho" w:hAnsi="Arial" w:cs="Arial"/>
          <w:color w:val="808080" w:themeColor="background1" w:themeShade="80"/>
          <w:sz w:val="22"/>
          <w:szCs w:val="22"/>
        </w:rPr>
        <w:t xml:space="preserve"> </w:t>
      </w:r>
      <w:r w:rsidR="00C95144" w:rsidRPr="00C95144">
        <w:rPr>
          <w:rFonts w:ascii="Arial" w:eastAsia="MS Mincho" w:hAnsi="Arial" w:cs="Arial"/>
          <w:color w:val="808080" w:themeColor="background1" w:themeShade="80"/>
          <w:sz w:val="22"/>
          <w:szCs w:val="22"/>
        </w:rPr>
        <w:t>even</w:t>
      </w:r>
      <w:r w:rsidR="00E77B2C" w:rsidRPr="00C95144">
        <w:rPr>
          <w:rFonts w:ascii="Arial" w:eastAsia="MS Mincho" w:hAnsi="Arial" w:cs="Arial"/>
          <w:color w:val="808080" w:themeColor="background1" w:themeShade="80"/>
          <w:sz w:val="22"/>
          <w:szCs w:val="22"/>
        </w:rPr>
        <w:t xml:space="preserve"> if</w:t>
      </w:r>
      <w:r w:rsidR="00F47D34" w:rsidRPr="00C95144">
        <w:rPr>
          <w:rFonts w:ascii="Arial" w:eastAsia="MS Mincho" w:hAnsi="Arial" w:cs="Arial"/>
          <w:color w:val="808080" w:themeColor="background1" w:themeShade="80"/>
          <w:sz w:val="22"/>
          <w:szCs w:val="22"/>
        </w:rPr>
        <w:t xml:space="preserve"> the same legislation was being followed across all states.</w:t>
      </w:r>
      <w:r w:rsidR="00020FCE" w:rsidRPr="00C95144">
        <w:rPr>
          <w:rFonts w:ascii="Arial" w:eastAsia="MS Mincho" w:hAnsi="Arial" w:cs="Arial"/>
          <w:color w:val="808080" w:themeColor="background1" w:themeShade="80"/>
          <w:sz w:val="22"/>
          <w:szCs w:val="22"/>
        </w:rPr>
        <w:t xml:space="preserve"> </w:t>
      </w:r>
      <w:r w:rsidR="00F47D34" w:rsidRPr="00C95144">
        <w:rPr>
          <w:rFonts w:ascii="Arial" w:eastAsia="MS Mincho" w:hAnsi="Arial" w:cs="Arial"/>
          <w:color w:val="808080" w:themeColor="background1" w:themeShade="80"/>
          <w:sz w:val="22"/>
          <w:szCs w:val="22"/>
        </w:rPr>
        <w:t xml:space="preserve">With that said the </w:t>
      </w:r>
      <w:r w:rsidR="00020FCE" w:rsidRPr="00C95144">
        <w:rPr>
          <w:rFonts w:ascii="Arial" w:eastAsia="MS Mincho" w:hAnsi="Arial" w:cs="Arial"/>
          <w:color w:val="808080" w:themeColor="background1" w:themeShade="80"/>
          <w:sz w:val="22"/>
          <w:szCs w:val="22"/>
        </w:rPr>
        <w:t xml:space="preserve">UNCITRAL Legislative Guide and the World Bank Principles are recognized </w:t>
      </w:r>
      <w:r w:rsidR="00020FCE">
        <w:rPr>
          <w:rFonts w:ascii="Arial" w:eastAsia="MS Mincho" w:hAnsi="Arial" w:cs="Arial"/>
          <w:color w:val="808080" w:themeColor="background1" w:themeShade="80"/>
          <w:sz w:val="22"/>
          <w:szCs w:val="22"/>
        </w:rPr>
        <w:t>as the international best practice standard for insolvency regimes.</w:t>
      </w:r>
      <w:r w:rsidR="0090404D">
        <w:rPr>
          <w:rFonts w:ascii="Arial" w:eastAsia="MS Mincho" w:hAnsi="Arial" w:cs="Arial"/>
          <w:color w:val="808080" w:themeColor="background1" w:themeShade="80"/>
          <w:sz w:val="22"/>
          <w:szCs w:val="22"/>
        </w:rPr>
        <w:t xml:space="preserve"> It is worth noting that the impact o</w:t>
      </w:r>
      <w:r w:rsidR="009D5858">
        <w:rPr>
          <w:rFonts w:ascii="Arial" w:eastAsia="MS Mincho" w:hAnsi="Arial" w:cs="Arial"/>
          <w:color w:val="808080" w:themeColor="background1" w:themeShade="80"/>
          <w:sz w:val="22"/>
          <w:szCs w:val="22"/>
        </w:rPr>
        <w:t>f these systems on addressing international insolvency issues will also be determined by a country or states willingness to adopt a uniformed approach of cross-border insolvency.</w:t>
      </w:r>
    </w:p>
    <w:p w14:paraId="079C39E4" w14:textId="5E59296E" w:rsidR="00F47D34" w:rsidRDefault="009D5858" w:rsidP="009D31A1">
      <w:pPr>
        <w:autoSpaceDE w:val="0"/>
        <w:autoSpaceDN w:val="0"/>
        <w:adjustRightInd w:val="0"/>
        <w:rPr>
          <w:rFonts w:ascii="Arial" w:eastAsia="MS Mincho" w:hAnsi="Arial" w:cs="Arial"/>
          <w:color w:val="808080" w:themeColor="background1" w:themeShade="80"/>
          <w:sz w:val="22"/>
          <w:szCs w:val="22"/>
        </w:rPr>
      </w:pPr>
      <w:r>
        <w:rPr>
          <w:rFonts w:ascii="Arial" w:eastAsia="MS Mincho" w:hAnsi="Arial" w:cs="Arial"/>
          <w:color w:val="808080" w:themeColor="background1" w:themeShade="80"/>
          <w:sz w:val="22"/>
          <w:szCs w:val="22"/>
        </w:rPr>
        <w:t xml:space="preserve"> </w:t>
      </w:r>
    </w:p>
    <w:p w14:paraId="111EA170" w14:textId="5A610A83" w:rsidR="00D17FDC" w:rsidRPr="00827D56" w:rsidRDefault="00D17FDC" w:rsidP="00B30DC8">
      <w:pPr>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9945C5">
        <w:rPr>
          <w:rFonts w:ascii="Avenir Next Demi Bold" w:hAnsi="Avenir Next Demi Bold" w:cs="Arial"/>
          <w:b/>
          <w:bCs/>
          <w:sz w:val="22"/>
          <w:szCs w:val="22"/>
          <w:lang w:val="en-GB"/>
        </w:rPr>
        <w:t>Question 4.1 [</w:t>
      </w:r>
      <w:r w:rsidR="00D17FDC" w:rsidRPr="009945C5">
        <w:rPr>
          <w:rFonts w:ascii="Avenir Next Demi Bold" w:hAnsi="Avenir Next Demi Bold" w:cs="Arial"/>
          <w:b/>
          <w:bCs/>
          <w:sz w:val="22"/>
          <w:szCs w:val="22"/>
          <w:lang w:val="en-GB"/>
        </w:rPr>
        <w:t>m</w:t>
      </w:r>
      <w:r w:rsidRPr="009945C5">
        <w:rPr>
          <w:rFonts w:ascii="Avenir Next Demi Bold" w:hAnsi="Avenir Next Demi Bold" w:cs="Arial"/>
          <w:b/>
          <w:bCs/>
          <w:sz w:val="22"/>
          <w:szCs w:val="22"/>
          <w:lang w:val="en-GB"/>
        </w:rPr>
        <w:t>aximum 5 marks]</w:t>
      </w:r>
      <w:r w:rsidRPr="00827D56">
        <w:rPr>
          <w:rFonts w:ascii="Avenir Next Demi Bold" w:hAnsi="Avenir Next Demi Bold" w:cs="Arial"/>
          <w:b/>
          <w:bCs/>
          <w:sz w:val="22"/>
          <w:szCs w:val="22"/>
          <w:lang w:val="en-GB"/>
        </w:rPr>
        <w:t xml:space="preserve">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78C565BA" w:rsidR="002F75A3" w:rsidRDefault="00A34D7E" w:rsidP="00C053F7">
      <w:pPr>
        <w:jc w:val="both"/>
        <w:rPr>
          <w:rFonts w:ascii="Arial" w:hAnsi="Arial" w:cs="Arial"/>
          <w:color w:val="808080" w:themeColor="background1" w:themeShade="80"/>
          <w:sz w:val="22"/>
          <w:szCs w:val="22"/>
          <w:lang w:val="en-GB"/>
        </w:rPr>
      </w:pPr>
      <w:r w:rsidRPr="00774F8E">
        <w:rPr>
          <w:rFonts w:ascii="Arial" w:hAnsi="Arial" w:cs="Arial"/>
          <w:color w:val="7B7B7B" w:themeColor="accent3" w:themeShade="BF"/>
          <w:sz w:val="22"/>
          <w:szCs w:val="22"/>
          <w:lang w:val="en-GB"/>
        </w:rPr>
        <w:t xml:space="preserve">The main question in this instance is the establishment of the location of the main proceedings, noting that Nadir was originally incorporated in </w:t>
      </w:r>
      <w:proofErr w:type="spellStart"/>
      <w:r w:rsidRPr="00774F8E">
        <w:rPr>
          <w:rFonts w:ascii="Arial" w:hAnsi="Arial" w:cs="Arial"/>
          <w:color w:val="7B7B7B" w:themeColor="accent3" w:themeShade="BF"/>
          <w:sz w:val="22"/>
          <w:szCs w:val="22"/>
          <w:lang w:val="en-GB"/>
        </w:rPr>
        <w:t>Erewhon</w:t>
      </w:r>
      <w:proofErr w:type="spellEnd"/>
      <w:r w:rsidRPr="00774F8E">
        <w:rPr>
          <w:rFonts w:ascii="Arial" w:hAnsi="Arial" w:cs="Arial"/>
          <w:color w:val="7B7B7B" w:themeColor="accent3" w:themeShade="BF"/>
          <w:sz w:val="22"/>
          <w:szCs w:val="22"/>
          <w:lang w:val="en-GB"/>
        </w:rPr>
        <w:t xml:space="preserve"> but has subsequently now registered in Utopia. The Centre </w:t>
      </w:r>
      <w:r w:rsidRPr="00F37082">
        <w:rPr>
          <w:rFonts w:ascii="Arial" w:hAnsi="Arial" w:cs="Arial"/>
          <w:color w:val="7B7B7B" w:themeColor="accent3" w:themeShade="BF"/>
          <w:sz w:val="22"/>
          <w:szCs w:val="22"/>
          <w:lang w:val="en-GB"/>
        </w:rPr>
        <w:t xml:space="preserve">of Main Interest (‘COMI”) would be Utopia and the winding-up </w:t>
      </w:r>
      <w:r w:rsidRPr="00F37082">
        <w:rPr>
          <w:rFonts w:ascii="Arial" w:hAnsi="Arial" w:cs="Arial"/>
          <w:color w:val="808080" w:themeColor="background1" w:themeShade="80"/>
          <w:sz w:val="22"/>
          <w:szCs w:val="22"/>
          <w:lang w:val="en-GB"/>
        </w:rPr>
        <w:t xml:space="preserve">order in </w:t>
      </w:r>
      <w:proofErr w:type="spellStart"/>
      <w:r w:rsidRPr="00F37082">
        <w:rPr>
          <w:rFonts w:ascii="Arial" w:hAnsi="Arial" w:cs="Arial"/>
          <w:color w:val="808080" w:themeColor="background1" w:themeShade="80"/>
          <w:sz w:val="22"/>
          <w:szCs w:val="22"/>
          <w:lang w:val="en-GB"/>
        </w:rPr>
        <w:t>Erewhon</w:t>
      </w:r>
      <w:proofErr w:type="spellEnd"/>
      <w:r w:rsidRPr="00F37082">
        <w:rPr>
          <w:rFonts w:ascii="Arial" w:hAnsi="Arial" w:cs="Arial"/>
          <w:color w:val="808080" w:themeColor="background1" w:themeShade="80"/>
          <w:sz w:val="22"/>
          <w:szCs w:val="22"/>
          <w:lang w:val="en-GB"/>
        </w:rPr>
        <w:t xml:space="preserve"> would be viewed as secondary (Ancillary) proceedings. In this instance, </w:t>
      </w:r>
      <w:r w:rsidR="00F37082" w:rsidRPr="00F37082">
        <w:rPr>
          <w:rFonts w:ascii="Arial" w:hAnsi="Arial" w:cs="Arial"/>
          <w:color w:val="808080" w:themeColor="background1" w:themeShade="80"/>
          <w:sz w:val="22"/>
          <w:szCs w:val="22"/>
          <w:lang w:val="en-GB"/>
        </w:rPr>
        <w:t xml:space="preserve">the </w:t>
      </w:r>
      <w:proofErr w:type="spellStart"/>
      <w:r w:rsidR="00F37082" w:rsidRPr="00F37082">
        <w:rPr>
          <w:rFonts w:ascii="Arial" w:hAnsi="Arial" w:cs="Arial"/>
          <w:color w:val="808080" w:themeColor="background1" w:themeShade="80"/>
          <w:sz w:val="22"/>
          <w:szCs w:val="22"/>
          <w:lang w:val="en-GB"/>
        </w:rPr>
        <w:t>Erwhon</w:t>
      </w:r>
      <w:proofErr w:type="spellEnd"/>
      <w:r w:rsidR="00F37082" w:rsidRPr="00F37082">
        <w:rPr>
          <w:rFonts w:ascii="Arial" w:hAnsi="Arial" w:cs="Arial"/>
          <w:color w:val="808080" w:themeColor="background1" w:themeShade="80"/>
          <w:sz w:val="22"/>
          <w:szCs w:val="22"/>
          <w:lang w:val="en-GB"/>
        </w:rPr>
        <w:t xml:space="preserve"> liquidator will have to investigate the Cross-border Insolvency Act of Utopia</w:t>
      </w:r>
      <w:r w:rsidR="00F37082">
        <w:rPr>
          <w:rFonts w:ascii="Arial" w:hAnsi="Arial" w:cs="Arial"/>
          <w:color w:val="808080" w:themeColor="background1" w:themeShade="80"/>
          <w:sz w:val="22"/>
          <w:szCs w:val="22"/>
          <w:lang w:val="en-GB"/>
        </w:rPr>
        <w:t xml:space="preserve"> along with the relevant articles and provisions prescribed by the </w:t>
      </w:r>
      <w:r w:rsidRPr="00F37082">
        <w:rPr>
          <w:rFonts w:ascii="Arial" w:hAnsi="Arial" w:cs="Arial"/>
          <w:color w:val="808080" w:themeColor="background1" w:themeShade="80"/>
          <w:sz w:val="22"/>
          <w:szCs w:val="22"/>
          <w:lang w:val="en-GB"/>
        </w:rPr>
        <w:t>UNCITRAL Model Law on Cross-border Insolvency (“MLCBI”)</w:t>
      </w:r>
      <w:r w:rsidR="002F00D8">
        <w:rPr>
          <w:rFonts w:ascii="Arial" w:hAnsi="Arial" w:cs="Arial"/>
          <w:color w:val="808080" w:themeColor="background1" w:themeShade="80"/>
          <w:sz w:val="22"/>
          <w:szCs w:val="22"/>
          <w:lang w:val="en-GB"/>
        </w:rPr>
        <w:t xml:space="preserve"> which have been adopted by Utopia.</w:t>
      </w:r>
    </w:p>
    <w:p w14:paraId="00E4B519" w14:textId="0A548FD3" w:rsidR="002F00D8" w:rsidRDefault="002F00D8" w:rsidP="00C053F7">
      <w:pPr>
        <w:jc w:val="both"/>
        <w:rPr>
          <w:rFonts w:ascii="Arial" w:hAnsi="Arial" w:cs="Arial"/>
          <w:color w:val="808080" w:themeColor="background1" w:themeShade="80"/>
          <w:sz w:val="22"/>
          <w:szCs w:val="22"/>
          <w:lang w:val="en-GB"/>
        </w:rPr>
      </w:pPr>
    </w:p>
    <w:p w14:paraId="691E420E" w14:textId="7C9886F6" w:rsidR="002F00D8" w:rsidRDefault="000432FA" w:rsidP="00C053F7">
      <w:pPr>
        <w:jc w:val="both"/>
        <w:rPr>
          <w:rFonts w:ascii="Arial" w:hAnsi="Arial" w:cs="Arial"/>
          <w:color w:val="808080" w:themeColor="background1" w:themeShade="80"/>
          <w:sz w:val="22"/>
          <w:szCs w:val="22"/>
          <w:lang w:val="en-GB"/>
        </w:rPr>
      </w:pPr>
      <w:r w:rsidRPr="00C95144">
        <w:rPr>
          <w:rFonts w:ascii="Arial" w:hAnsi="Arial" w:cs="Arial"/>
          <w:color w:val="808080" w:themeColor="background1" w:themeShade="80"/>
          <w:sz w:val="22"/>
          <w:szCs w:val="22"/>
          <w:lang w:val="en-GB"/>
        </w:rPr>
        <w:t>If</w:t>
      </w:r>
      <w:r w:rsidR="002F00D8" w:rsidRPr="00C95144">
        <w:rPr>
          <w:rFonts w:ascii="Arial" w:hAnsi="Arial" w:cs="Arial"/>
          <w:color w:val="808080" w:themeColor="background1" w:themeShade="80"/>
          <w:sz w:val="22"/>
          <w:szCs w:val="22"/>
          <w:lang w:val="en-GB"/>
        </w:rPr>
        <w:t xml:space="preserve"> the </w:t>
      </w:r>
      <w:r w:rsidR="002F00D8">
        <w:rPr>
          <w:rFonts w:ascii="Arial" w:hAnsi="Arial" w:cs="Arial"/>
          <w:color w:val="808080" w:themeColor="background1" w:themeShade="80"/>
          <w:sz w:val="22"/>
          <w:szCs w:val="22"/>
          <w:lang w:val="en-GB"/>
        </w:rPr>
        <w:t>liquidator would like to stop A</w:t>
      </w:r>
      <w:r w:rsidR="006652F4">
        <w:rPr>
          <w:rFonts w:ascii="Arial" w:hAnsi="Arial" w:cs="Arial"/>
          <w:color w:val="808080" w:themeColor="background1" w:themeShade="80"/>
          <w:sz w:val="22"/>
          <w:szCs w:val="22"/>
          <w:lang w:val="en-GB"/>
        </w:rPr>
        <w:t>pex</w:t>
      </w:r>
      <w:r w:rsidR="002F00D8">
        <w:rPr>
          <w:rFonts w:ascii="Arial" w:hAnsi="Arial" w:cs="Arial"/>
          <w:color w:val="808080" w:themeColor="background1" w:themeShade="80"/>
          <w:sz w:val="22"/>
          <w:szCs w:val="22"/>
          <w:lang w:val="en-GB"/>
        </w:rPr>
        <w:t xml:space="preserve"> court proceedings against Nadir in Utopia, I would advise them to </w:t>
      </w:r>
      <w:r w:rsidR="006652F4">
        <w:rPr>
          <w:rFonts w:ascii="Arial" w:hAnsi="Arial" w:cs="Arial"/>
          <w:color w:val="808080" w:themeColor="background1" w:themeShade="80"/>
          <w:sz w:val="22"/>
          <w:szCs w:val="22"/>
          <w:lang w:val="en-GB"/>
        </w:rPr>
        <w:t>consult</w:t>
      </w:r>
      <w:r w:rsidR="002F00D8">
        <w:rPr>
          <w:rFonts w:ascii="Arial" w:hAnsi="Arial" w:cs="Arial"/>
          <w:color w:val="808080" w:themeColor="background1" w:themeShade="80"/>
          <w:sz w:val="22"/>
          <w:szCs w:val="22"/>
          <w:lang w:val="en-GB"/>
        </w:rPr>
        <w:t xml:space="preserve"> </w:t>
      </w:r>
      <w:r w:rsidR="006652F4">
        <w:rPr>
          <w:rFonts w:ascii="Arial" w:hAnsi="Arial" w:cs="Arial"/>
          <w:color w:val="808080" w:themeColor="background1" w:themeShade="80"/>
          <w:sz w:val="22"/>
          <w:szCs w:val="22"/>
          <w:lang w:val="en-GB"/>
        </w:rPr>
        <w:t xml:space="preserve">Chapter IV of the MLCBI which discusses the co-operation and direct communication between a local court </w:t>
      </w:r>
      <w:r w:rsidR="006652F4" w:rsidRPr="00C95144">
        <w:rPr>
          <w:rFonts w:ascii="Arial" w:hAnsi="Arial" w:cs="Arial"/>
          <w:color w:val="808080" w:themeColor="background1" w:themeShade="80"/>
          <w:sz w:val="22"/>
          <w:szCs w:val="22"/>
          <w:lang w:val="en-GB"/>
        </w:rPr>
        <w:t>and forging courts</w:t>
      </w:r>
      <w:r w:rsidRPr="00C95144">
        <w:rPr>
          <w:rFonts w:ascii="Arial" w:hAnsi="Arial" w:cs="Arial"/>
          <w:color w:val="808080" w:themeColor="background1" w:themeShade="80"/>
          <w:sz w:val="22"/>
          <w:szCs w:val="22"/>
          <w:lang w:val="en-GB"/>
        </w:rPr>
        <w:t>,</w:t>
      </w:r>
      <w:r w:rsidR="006652F4" w:rsidRPr="00C95144">
        <w:rPr>
          <w:rFonts w:ascii="Arial" w:hAnsi="Arial" w:cs="Arial"/>
          <w:color w:val="808080" w:themeColor="background1" w:themeShade="80"/>
          <w:sz w:val="22"/>
          <w:szCs w:val="22"/>
          <w:lang w:val="en-GB"/>
        </w:rPr>
        <w:t xml:space="preserve"> </w:t>
      </w:r>
      <w:r w:rsidR="006652F4">
        <w:rPr>
          <w:rFonts w:ascii="Arial" w:hAnsi="Arial" w:cs="Arial"/>
          <w:color w:val="808080" w:themeColor="background1" w:themeShade="80"/>
          <w:sz w:val="22"/>
          <w:szCs w:val="22"/>
          <w:lang w:val="en-GB"/>
        </w:rPr>
        <w:t xml:space="preserve">or foreign representatives. In this case, the </w:t>
      </w:r>
      <w:r w:rsidR="009945C5">
        <w:rPr>
          <w:rFonts w:ascii="Arial" w:hAnsi="Arial" w:cs="Arial"/>
          <w:color w:val="808080" w:themeColor="background1" w:themeShade="80"/>
          <w:sz w:val="22"/>
          <w:szCs w:val="22"/>
          <w:lang w:val="en-GB"/>
        </w:rPr>
        <w:t>liquidator</w:t>
      </w:r>
      <w:r w:rsidR="006652F4">
        <w:rPr>
          <w:rFonts w:ascii="Arial" w:hAnsi="Arial" w:cs="Arial"/>
          <w:color w:val="808080" w:themeColor="background1" w:themeShade="80"/>
          <w:sz w:val="22"/>
          <w:szCs w:val="22"/>
          <w:lang w:val="en-GB"/>
        </w:rPr>
        <w:t xml:space="preserve"> would need to apply for the relevant recognition order from the Eutopia court to enact a stay of proceedings in an effort to safeguard the assets of the Nadir for the future distributions to Nadirs creditors. </w:t>
      </w:r>
    </w:p>
    <w:p w14:paraId="3BD501D0" w14:textId="09FEB29A"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07124FE1" w:rsidR="002F75A3" w:rsidRPr="00827D56" w:rsidRDefault="009945C5" w:rsidP="00C053F7">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softHyphen/>
      </w:r>
      <w:r>
        <w:rPr>
          <w:rFonts w:ascii="Avenir Next Demi Bold" w:hAnsi="Avenir Next Demi Bold" w:cs="Arial"/>
          <w:b/>
          <w:bCs/>
          <w:sz w:val="22"/>
          <w:szCs w:val="22"/>
          <w:lang w:val="en-GB"/>
        </w:rPr>
        <w:softHyphen/>
      </w:r>
      <w:r>
        <w:rPr>
          <w:rFonts w:ascii="Avenir Next Demi Bold" w:hAnsi="Avenir Next Demi Bold" w:cs="Arial"/>
          <w:b/>
          <w:bCs/>
          <w:sz w:val="22"/>
          <w:szCs w:val="22"/>
          <w:lang w:val="en-GB"/>
        </w:rPr>
        <w:softHyphen/>
      </w:r>
      <w:r w:rsidR="009B0723" w:rsidRPr="009945C5">
        <w:rPr>
          <w:rFonts w:ascii="Avenir Next Demi Bold" w:hAnsi="Avenir Next Demi Bold" w:cs="Arial"/>
          <w:b/>
          <w:bCs/>
          <w:sz w:val="22"/>
          <w:szCs w:val="22"/>
          <w:lang w:val="en-GB"/>
        </w:rPr>
        <w:t>Question 4.2 [</w:t>
      </w:r>
      <w:r w:rsidR="00126A4D" w:rsidRPr="009945C5">
        <w:rPr>
          <w:rFonts w:ascii="Avenir Next Demi Bold" w:hAnsi="Avenir Next Demi Bold" w:cs="Arial"/>
          <w:b/>
          <w:bCs/>
          <w:sz w:val="22"/>
          <w:szCs w:val="22"/>
          <w:lang w:val="en-GB"/>
        </w:rPr>
        <w:t>m</w:t>
      </w:r>
      <w:r w:rsidR="009B0723" w:rsidRPr="009945C5">
        <w:rPr>
          <w:rFonts w:ascii="Avenir Next Demi Bold" w:hAnsi="Avenir Next Demi Bold" w:cs="Arial"/>
          <w:b/>
          <w:bCs/>
          <w:sz w:val="22"/>
          <w:szCs w:val="22"/>
          <w:lang w:val="en-GB"/>
        </w:rPr>
        <w:t>aximum 2 marks]</w:t>
      </w:r>
      <w:r w:rsidR="009B0723" w:rsidRPr="00827D56">
        <w:rPr>
          <w:rFonts w:ascii="Avenir Next Demi Bold" w:hAnsi="Avenir Next Demi Bold" w:cs="Arial"/>
          <w:b/>
          <w:bCs/>
          <w:sz w:val="22"/>
          <w:szCs w:val="22"/>
          <w:lang w:val="en-GB"/>
        </w:rPr>
        <w:t xml:space="preserve">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712458DA"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44EE7AF6" w14:textId="77777777" w:rsidR="00E73A30" w:rsidRPr="008502EB" w:rsidRDefault="00E73A30" w:rsidP="00E73A30">
      <w:pPr>
        <w:ind w:left="66"/>
        <w:jc w:val="both"/>
        <w:rPr>
          <w:rFonts w:ascii="Arial" w:hAnsi="Arial" w:cs="Arial"/>
          <w:color w:val="7B7B7B" w:themeColor="accent3" w:themeShade="BF"/>
          <w:sz w:val="22"/>
          <w:szCs w:val="22"/>
          <w:lang w:val="en-GB"/>
        </w:rPr>
      </w:pPr>
      <w:r w:rsidRPr="008502EB">
        <w:rPr>
          <w:rFonts w:ascii="Arial" w:hAnsi="Arial" w:cs="Arial"/>
          <w:color w:val="7B7B7B" w:themeColor="accent3" w:themeShade="BF"/>
          <w:sz w:val="22"/>
          <w:szCs w:val="22"/>
          <w:lang w:val="en-GB"/>
        </w:rPr>
        <w:t>Answer (a) – No as those proceedings have not been heard, there is no change to the current situation.</w:t>
      </w:r>
    </w:p>
    <w:p w14:paraId="2C0310B5" w14:textId="5FAAEA6F" w:rsidR="00E73A30" w:rsidRPr="008502EB" w:rsidRDefault="00E73A30" w:rsidP="00E73A30">
      <w:pPr>
        <w:ind w:left="66"/>
        <w:jc w:val="both"/>
        <w:rPr>
          <w:rFonts w:ascii="Arial" w:hAnsi="Arial" w:cs="Arial"/>
          <w:color w:val="808080" w:themeColor="background1" w:themeShade="80"/>
          <w:sz w:val="22"/>
          <w:szCs w:val="22"/>
          <w:lang w:val="en-GB"/>
        </w:rPr>
      </w:pPr>
    </w:p>
    <w:p w14:paraId="3AF09039" w14:textId="7882EBD9" w:rsidR="00E73A30" w:rsidRPr="008502EB" w:rsidRDefault="00E73A30" w:rsidP="00E73A30">
      <w:pPr>
        <w:ind w:left="66"/>
        <w:jc w:val="both"/>
        <w:rPr>
          <w:rFonts w:ascii="Arial" w:hAnsi="Arial" w:cs="Arial"/>
          <w:color w:val="808080" w:themeColor="background1" w:themeShade="80"/>
          <w:sz w:val="22"/>
          <w:szCs w:val="22"/>
          <w:lang w:val="en-GB"/>
        </w:rPr>
      </w:pPr>
      <w:r w:rsidRPr="008502EB">
        <w:rPr>
          <w:rFonts w:ascii="Arial" w:hAnsi="Arial" w:cs="Arial"/>
          <w:color w:val="808080" w:themeColor="background1" w:themeShade="80"/>
          <w:sz w:val="22"/>
          <w:szCs w:val="22"/>
          <w:lang w:val="en-GB"/>
        </w:rPr>
        <w:t xml:space="preserve">Answer (b) – </w:t>
      </w:r>
      <w:r w:rsidR="008502EB" w:rsidRPr="008502EB">
        <w:rPr>
          <w:rFonts w:ascii="Arial" w:hAnsi="Arial" w:cs="Arial"/>
          <w:color w:val="808080" w:themeColor="background1" w:themeShade="80"/>
          <w:sz w:val="22"/>
          <w:szCs w:val="22"/>
          <w:lang w:val="en-GB"/>
        </w:rPr>
        <w:t xml:space="preserve">No as the </w:t>
      </w:r>
      <w:proofErr w:type="spellStart"/>
      <w:r w:rsidR="008502EB">
        <w:rPr>
          <w:rFonts w:ascii="Arial" w:hAnsi="Arial" w:cs="Arial"/>
          <w:color w:val="808080" w:themeColor="background1" w:themeShade="80"/>
          <w:sz w:val="22"/>
          <w:szCs w:val="22"/>
          <w:lang w:val="en-GB"/>
        </w:rPr>
        <w:t>Erewhon</w:t>
      </w:r>
      <w:proofErr w:type="spellEnd"/>
      <w:r w:rsidR="008502EB">
        <w:rPr>
          <w:rFonts w:ascii="Arial" w:hAnsi="Arial" w:cs="Arial"/>
          <w:color w:val="808080" w:themeColor="background1" w:themeShade="80"/>
          <w:sz w:val="22"/>
          <w:szCs w:val="22"/>
          <w:lang w:val="en-GB"/>
        </w:rPr>
        <w:t xml:space="preserve"> would still be seen as secondary (ancillary) proceedings.</w:t>
      </w:r>
    </w:p>
    <w:p w14:paraId="626FA5C6" w14:textId="33024CDF"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9945C5">
        <w:rPr>
          <w:rFonts w:ascii="Avenir Next Demi Bold" w:hAnsi="Avenir Next Demi Bold" w:cs="Arial"/>
          <w:b/>
          <w:bCs/>
          <w:sz w:val="22"/>
          <w:szCs w:val="22"/>
          <w:lang w:val="en-GB"/>
        </w:rPr>
        <w:t>Question 4.3 [</w:t>
      </w:r>
      <w:r w:rsidR="00126A4D" w:rsidRPr="009945C5">
        <w:rPr>
          <w:rFonts w:ascii="Avenir Next Demi Bold" w:hAnsi="Avenir Next Demi Bold" w:cs="Arial"/>
          <w:b/>
          <w:bCs/>
          <w:sz w:val="22"/>
          <w:szCs w:val="22"/>
          <w:lang w:val="en-GB"/>
        </w:rPr>
        <w:t>m</w:t>
      </w:r>
      <w:r w:rsidRPr="009945C5">
        <w:rPr>
          <w:rFonts w:ascii="Avenir Next Demi Bold" w:hAnsi="Avenir Next Demi Bold" w:cs="Arial"/>
          <w:b/>
          <w:bCs/>
          <w:sz w:val="22"/>
          <w:szCs w:val="22"/>
          <w:lang w:val="en-GB"/>
        </w:rPr>
        <w:t>aximum 8 marks]</w:t>
      </w:r>
      <w:r w:rsidRPr="00827D56">
        <w:rPr>
          <w:rFonts w:ascii="Avenir Next Demi Bold" w:hAnsi="Avenir Next Demi Bold" w:cs="Arial"/>
          <w:b/>
          <w:bCs/>
          <w:sz w:val="22"/>
          <w:szCs w:val="22"/>
          <w:lang w:val="en-GB"/>
        </w:rPr>
        <w:t xml:space="preserve">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1BE62E0F" w:rsidR="0077498C" w:rsidRPr="00A112FC" w:rsidRDefault="008E3623" w:rsidP="00C053F7">
      <w:pPr>
        <w:jc w:val="both"/>
        <w:rPr>
          <w:rFonts w:ascii="Arial" w:hAnsi="Arial" w:cs="Arial"/>
          <w:color w:val="808080" w:themeColor="background1" w:themeShade="80"/>
          <w:sz w:val="22"/>
          <w:szCs w:val="22"/>
          <w:lang w:val="en-GB"/>
        </w:rPr>
      </w:pPr>
      <w:r w:rsidRPr="00A112FC">
        <w:rPr>
          <w:rFonts w:ascii="Arial" w:hAnsi="Arial" w:cs="Arial"/>
          <w:color w:val="808080" w:themeColor="background1" w:themeShade="80"/>
          <w:sz w:val="22"/>
          <w:szCs w:val="22"/>
          <w:lang w:val="en-GB"/>
        </w:rPr>
        <w:t xml:space="preserve">I have chosen the incorporation of the company to be the Cayman Islands. Insolvency in the Cayman Islands is governed by the </w:t>
      </w:r>
      <w:r w:rsidR="00D63D7B">
        <w:rPr>
          <w:rFonts w:ascii="Arial" w:hAnsi="Arial" w:cs="Arial"/>
          <w:color w:val="808080" w:themeColor="background1" w:themeShade="80"/>
          <w:sz w:val="22"/>
          <w:szCs w:val="22"/>
          <w:lang w:val="en-GB"/>
        </w:rPr>
        <w:t xml:space="preserve">Cayman Companies Act (2022) &amp; the </w:t>
      </w:r>
      <w:r w:rsidRPr="00A112FC">
        <w:rPr>
          <w:rFonts w:ascii="Arial" w:hAnsi="Arial" w:cs="Arial"/>
          <w:color w:val="808080" w:themeColor="background1" w:themeShade="80"/>
          <w:sz w:val="22"/>
          <w:szCs w:val="22"/>
          <w:lang w:val="en-GB"/>
        </w:rPr>
        <w:t xml:space="preserve">Companies Winding </w:t>
      </w:r>
      <w:r w:rsidR="00D63D7B">
        <w:rPr>
          <w:rFonts w:ascii="Arial" w:hAnsi="Arial" w:cs="Arial"/>
          <w:color w:val="808080" w:themeColor="background1" w:themeShade="80"/>
          <w:sz w:val="22"/>
          <w:szCs w:val="22"/>
          <w:lang w:val="en-GB"/>
        </w:rPr>
        <w:t>U</w:t>
      </w:r>
      <w:r w:rsidR="00D63D7B" w:rsidRPr="00A112FC">
        <w:rPr>
          <w:rFonts w:ascii="Arial" w:hAnsi="Arial" w:cs="Arial"/>
          <w:color w:val="808080" w:themeColor="background1" w:themeShade="80"/>
          <w:sz w:val="22"/>
          <w:szCs w:val="22"/>
          <w:lang w:val="en-GB"/>
        </w:rPr>
        <w:t>p</w:t>
      </w:r>
      <w:r w:rsidRPr="00A112FC">
        <w:rPr>
          <w:rFonts w:ascii="Arial" w:hAnsi="Arial" w:cs="Arial"/>
          <w:color w:val="808080" w:themeColor="background1" w:themeShade="80"/>
          <w:sz w:val="22"/>
          <w:szCs w:val="22"/>
          <w:lang w:val="en-GB"/>
        </w:rPr>
        <w:t xml:space="preserve"> Rules (2023 Consolidation</w:t>
      </w:r>
      <w:r w:rsidR="00D63D7B">
        <w:rPr>
          <w:rFonts w:ascii="Arial" w:hAnsi="Arial" w:cs="Arial"/>
          <w:color w:val="808080" w:themeColor="background1" w:themeShade="80"/>
          <w:sz w:val="22"/>
          <w:szCs w:val="22"/>
          <w:lang w:val="en-GB"/>
        </w:rPr>
        <w:t>).</w:t>
      </w:r>
      <w:r w:rsidRPr="00A112FC">
        <w:rPr>
          <w:rFonts w:ascii="Arial" w:hAnsi="Arial" w:cs="Arial"/>
          <w:color w:val="808080" w:themeColor="background1" w:themeShade="80"/>
          <w:sz w:val="22"/>
          <w:szCs w:val="22"/>
          <w:lang w:val="en-GB"/>
        </w:rPr>
        <w:t xml:space="preserve"> </w:t>
      </w:r>
    </w:p>
    <w:p w14:paraId="2690E896" w14:textId="7D76F4EB" w:rsidR="008E3623" w:rsidRPr="00A112FC" w:rsidRDefault="008E3623" w:rsidP="00C053F7">
      <w:pPr>
        <w:jc w:val="both"/>
        <w:rPr>
          <w:rFonts w:ascii="Arial" w:hAnsi="Arial" w:cs="Arial"/>
          <w:color w:val="808080" w:themeColor="background1" w:themeShade="80"/>
          <w:sz w:val="22"/>
          <w:szCs w:val="22"/>
          <w:lang w:val="en-GB"/>
        </w:rPr>
      </w:pPr>
    </w:p>
    <w:p w14:paraId="579ECE4F" w14:textId="06D1E456" w:rsidR="008E3623" w:rsidRPr="00A112FC" w:rsidRDefault="008E3623" w:rsidP="00C053F7">
      <w:pPr>
        <w:jc w:val="both"/>
        <w:rPr>
          <w:rFonts w:ascii="Arial" w:hAnsi="Arial" w:cs="Arial"/>
          <w:color w:val="808080" w:themeColor="background1" w:themeShade="80"/>
          <w:sz w:val="22"/>
          <w:szCs w:val="22"/>
          <w:lang w:val="en-GB"/>
        </w:rPr>
      </w:pPr>
      <w:r w:rsidRPr="00A112FC">
        <w:rPr>
          <w:rFonts w:ascii="Arial" w:hAnsi="Arial" w:cs="Arial"/>
          <w:color w:val="808080" w:themeColor="background1" w:themeShade="80"/>
          <w:sz w:val="22"/>
          <w:szCs w:val="22"/>
          <w:lang w:val="en-GB"/>
        </w:rPr>
        <w:t xml:space="preserve">The main issues facing insolvency representatives, also </w:t>
      </w:r>
      <w:r w:rsidR="00B4349F" w:rsidRPr="00A112FC">
        <w:rPr>
          <w:rFonts w:ascii="Arial" w:hAnsi="Arial" w:cs="Arial"/>
          <w:color w:val="808080" w:themeColor="background1" w:themeShade="80"/>
          <w:sz w:val="22"/>
          <w:szCs w:val="22"/>
          <w:lang w:val="en-GB"/>
        </w:rPr>
        <w:t>known</w:t>
      </w:r>
      <w:r w:rsidRPr="00A112FC">
        <w:rPr>
          <w:rFonts w:ascii="Arial" w:hAnsi="Arial" w:cs="Arial"/>
          <w:color w:val="808080" w:themeColor="background1" w:themeShade="80"/>
          <w:sz w:val="22"/>
          <w:szCs w:val="22"/>
          <w:lang w:val="en-GB"/>
        </w:rPr>
        <w:t xml:space="preserve"> as </w:t>
      </w:r>
      <w:r w:rsidR="00B4349F">
        <w:rPr>
          <w:rFonts w:ascii="Arial" w:hAnsi="Arial" w:cs="Arial"/>
          <w:color w:val="808080" w:themeColor="background1" w:themeShade="80"/>
          <w:sz w:val="22"/>
          <w:szCs w:val="22"/>
          <w:lang w:val="en-GB"/>
        </w:rPr>
        <w:t>‘l</w:t>
      </w:r>
      <w:r w:rsidR="00D67C03">
        <w:rPr>
          <w:rFonts w:ascii="Arial" w:hAnsi="Arial" w:cs="Arial"/>
          <w:color w:val="808080" w:themeColor="background1" w:themeShade="80"/>
          <w:sz w:val="22"/>
          <w:szCs w:val="22"/>
          <w:lang w:val="en-GB"/>
        </w:rPr>
        <w:t>iquidator</w:t>
      </w:r>
      <w:r w:rsidRPr="00A112FC">
        <w:rPr>
          <w:rFonts w:ascii="Arial" w:hAnsi="Arial" w:cs="Arial"/>
          <w:color w:val="808080" w:themeColor="background1" w:themeShade="80"/>
          <w:sz w:val="22"/>
          <w:szCs w:val="22"/>
          <w:lang w:val="en-GB"/>
        </w:rPr>
        <w:t>s</w:t>
      </w:r>
      <w:r w:rsidR="00B4349F">
        <w:rPr>
          <w:rFonts w:ascii="Arial" w:hAnsi="Arial" w:cs="Arial"/>
          <w:color w:val="808080" w:themeColor="background1" w:themeShade="80"/>
          <w:sz w:val="22"/>
          <w:szCs w:val="22"/>
          <w:lang w:val="en-GB"/>
        </w:rPr>
        <w:t>’ or ‘restructuring officers’</w:t>
      </w:r>
      <w:r w:rsidR="00B4349F" w:rsidRPr="00C95144">
        <w:rPr>
          <w:rFonts w:ascii="Arial" w:hAnsi="Arial" w:cs="Arial"/>
          <w:color w:val="808080" w:themeColor="background1" w:themeShade="80"/>
          <w:sz w:val="22"/>
          <w:szCs w:val="22"/>
          <w:lang w:val="en-GB"/>
        </w:rPr>
        <w:t>,</w:t>
      </w:r>
      <w:r w:rsidRPr="00C95144">
        <w:rPr>
          <w:rFonts w:ascii="Arial" w:hAnsi="Arial" w:cs="Arial"/>
          <w:color w:val="808080" w:themeColor="background1" w:themeShade="80"/>
          <w:sz w:val="22"/>
          <w:szCs w:val="22"/>
          <w:lang w:val="en-GB"/>
        </w:rPr>
        <w:t xml:space="preserve"> </w:t>
      </w:r>
      <w:r w:rsidR="000432FA" w:rsidRPr="00C95144">
        <w:rPr>
          <w:rFonts w:ascii="Arial" w:hAnsi="Arial" w:cs="Arial"/>
          <w:color w:val="808080" w:themeColor="background1" w:themeShade="80"/>
          <w:sz w:val="22"/>
          <w:szCs w:val="22"/>
          <w:lang w:val="en-GB"/>
        </w:rPr>
        <w:t>i</w:t>
      </w:r>
      <w:r w:rsidRPr="00C95144">
        <w:rPr>
          <w:rFonts w:ascii="Arial" w:hAnsi="Arial" w:cs="Arial"/>
          <w:color w:val="808080" w:themeColor="background1" w:themeShade="80"/>
          <w:sz w:val="22"/>
          <w:szCs w:val="22"/>
          <w:lang w:val="en-GB"/>
        </w:rPr>
        <w:t>n this jurisdiction, would be</w:t>
      </w:r>
      <w:r w:rsidR="000432FA" w:rsidRPr="00C95144">
        <w:rPr>
          <w:rFonts w:ascii="Arial" w:hAnsi="Arial" w:cs="Arial"/>
          <w:color w:val="808080" w:themeColor="background1" w:themeShade="80"/>
          <w:sz w:val="22"/>
          <w:szCs w:val="22"/>
          <w:lang w:val="en-GB"/>
        </w:rPr>
        <w:t>:</w:t>
      </w:r>
      <w:r w:rsidRPr="00C95144">
        <w:rPr>
          <w:rFonts w:ascii="Arial" w:hAnsi="Arial" w:cs="Arial"/>
          <w:color w:val="808080" w:themeColor="background1" w:themeShade="80"/>
          <w:sz w:val="22"/>
          <w:szCs w:val="22"/>
          <w:lang w:val="en-GB"/>
        </w:rPr>
        <w:t xml:space="preserve"> </w:t>
      </w:r>
      <w:r w:rsidR="00D67C03" w:rsidRPr="00C95144">
        <w:rPr>
          <w:rFonts w:ascii="Arial" w:hAnsi="Arial" w:cs="Arial"/>
          <w:color w:val="808080" w:themeColor="background1" w:themeShade="80"/>
          <w:sz w:val="22"/>
          <w:szCs w:val="22"/>
          <w:lang w:val="en-GB"/>
        </w:rPr>
        <w:t>foreign regulators</w:t>
      </w:r>
      <w:r w:rsidRPr="00C95144">
        <w:rPr>
          <w:rFonts w:ascii="Arial" w:hAnsi="Arial" w:cs="Arial"/>
          <w:color w:val="808080" w:themeColor="background1" w:themeShade="80"/>
          <w:sz w:val="22"/>
          <w:szCs w:val="22"/>
          <w:lang w:val="en-GB"/>
        </w:rPr>
        <w:t xml:space="preserve"> and ancillary proceedings</w:t>
      </w:r>
      <w:r w:rsidR="00D67C03" w:rsidRPr="00C95144">
        <w:rPr>
          <w:rFonts w:ascii="Arial" w:hAnsi="Arial" w:cs="Arial"/>
          <w:color w:val="808080" w:themeColor="background1" w:themeShade="80"/>
          <w:sz w:val="22"/>
          <w:szCs w:val="22"/>
          <w:lang w:val="en-GB"/>
        </w:rPr>
        <w:t xml:space="preserve"> - where protection is required both onshore and offshore or in multiple jurisdictions,</w:t>
      </w:r>
      <w:r w:rsidR="001C5B58" w:rsidRPr="00C95144">
        <w:rPr>
          <w:rFonts w:ascii="Arial" w:hAnsi="Arial" w:cs="Arial"/>
          <w:color w:val="808080" w:themeColor="background1" w:themeShade="80"/>
          <w:sz w:val="22"/>
          <w:szCs w:val="22"/>
          <w:lang w:val="en-GB"/>
        </w:rPr>
        <w:t xml:space="preserve"> </w:t>
      </w:r>
      <w:r w:rsidR="00B627EA" w:rsidRPr="00C95144">
        <w:rPr>
          <w:rFonts w:ascii="Arial" w:hAnsi="Arial" w:cs="Arial"/>
          <w:color w:val="808080" w:themeColor="background1" w:themeShade="80"/>
          <w:sz w:val="22"/>
          <w:szCs w:val="22"/>
          <w:lang w:val="en-GB"/>
        </w:rPr>
        <w:t xml:space="preserve">access </w:t>
      </w:r>
      <w:r w:rsidR="000432FA" w:rsidRPr="00C95144">
        <w:rPr>
          <w:rFonts w:ascii="Arial" w:hAnsi="Arial" w:cs="Arial"/>
          <w:color w:val="808080" w:themeColor="background1" w:themeShade="80"/>
          <w:sz w:val="22"/>
          <w:szCs w:val="22"/>
          <w:lang w:val="en-GB"/>
        </w:rPr>
        <w:t>to</w:t>
      </w:r>
      <w:r w:rsidR="00B627EA" w:rsidRPr="00C95144">
        <w:rPr>
          <w:rFonts w:ascii="Arial" w:hAnsi="Arial" w:cs="Arial"/>
          <w:color w:val="808080" w:themeColor="background1" w:themeShade="80"/>
          <w:sz w:val="22"/>
          <w:szCs w:val="22"/>
          <w:lang w:val="en-GB"/>
        </w:rPr>
        <w:t xml:space="preserve"> books and records</w:t>
      </w:r>
      <w:r w:rsidR="000432FA" w:rsidRPr="00C95144">
        <w:rPr>
          <w:rFonts w:ascii="Arial" w:hAnsi="Arial" w:cs="Arial"/>
          <w:color w:val="808080" w:themeColor="background1" w:themeShade="80"/>
          <w:sz w:val="22"/>
          <w:szCs w:val="22"/>
          <w:lang w:val="en-GB"/>
        </w:rPr>
        <w:t>,</w:t>
      </w:r>
      <w:r w:rsidR="00B627EA" w:rsidRPr="00C95144">
        <w:rPr>
          <w:rFonts w:ascii="Arial" w:hAnsi="Arial" w:cs="Arial"/>
          <w:color w:val="808080" w:themeColor="background1" w:themeShade="80"/>
          <w:sz w:val="22"/>
          <w:szCs w:val="22"/>
          <w:lang w:val="en-GB"/>
        </w:rPr>
        <w:t xml:space="preserve"> and</w:t>
      </w:r>
      <w:r w:rsidRPr="00C95144">
        <w:rPr>
          <w:rFonts w:ascii="Arial" w:hAnsi="Arial" w:cs="Arial"/>
          <w:color w:val="808080" w:themeColor="background1" w:themeShade="80"/>
          <w:sz w:val="22"/>
          <w:szCs w:val="22"/>
          <w:lang w:val="en-GB"/>
        </w:rPr>
        <w:t xml:space="preserve"> </w:t>
      </w:r>
      <w:r w:rsidR="001C5B58" w:rsidRPr="00C95144">
        <w:rPr>
          <w:rFonts w:ascii="Arial" w:hAnsi="Arial" w:cs="Arial"/>
          <w:color w:val="808080" w:themeColor="background1" w:themeShade="80"/>
          <w:sz w:val="22"/>
          <w:szCs w:val="22"/>
          <w:lang w:val="en-GB"/>
        </w:rPr>
        <w:t xml:space="preserve">terminology and nature of term </w:t>
      </w:r>
      <w:r w:rsidR="000432FA" w:rsidRPr="00C95144">
        <w:rPr>
          <w:rFonts w:ascii="Arial" w:hAnsi="Arial" w:cs="Arial"/>
          <w:color w:val="808080" w:themeColor="background1" w:themeShade="80"/>
          <w:sz w:val="22"/>
          <w:szCs w:val="22"/>
          <w:lang w:val="en-GB"/>
        </w:rPr>
        <w:t>‘p</w:t>
      </w:r>
      <w:r w:rsidR="001C5B58" w:rsidRPr="00C95144">
        <w:rPr>
          <w:rFonts w:ascii="Arial" w:hAnsi="Arial" w:cs="Arial"/>
          <w:color w:val="808080" w:themeColor="background1" w:themeShade="80"/>
          <w:sz w:val="22"/>
          <w:szCs w:val="22"/>
          <w:lang w:val="en-GB"/>
        </w:rPr>
        <w:t xml:space="preserve">rovisional Liquidation’ </w:t>
      </w:r>
      <w:r w:rsidR="00D67C03" w:rsidRPr="00C95144">
        <w:rPr>
          <w:rFonts w:ascii="Arial" w:hAnsi="Arial" w:cs="Arial"/>
          <w:color w:val="808080" w:themeColor="background1" w:themeShade="80"/>
          <w:sz w:val="22"/>
          <w:szCs w:val="22"/>
          <w:lang w:val="en-GB"/>
        </w:rPr>
        <w:t>and</w:t>
      </w:r>
      <w:r w:rsidR="00DB5E8D" w:rsidRPr="00C95144">
        <w:rPr>
          <w:rFonts w:ascii="Arial" w:hAnsi="Arial" w:cs="Arial"/>
          <w:color w:val="808080" w:themeColor="background1" w:themeShade="80"/>
          <w:sz w:val="22"/>
          <w:szCs w:val="22"/>
          <w:lang w:val="en-GB"/>
        </w:rPr>
        <w:t xml:space="preserve"> recognition </w:t>
      </w:r>
      <w:r w:rsidR="00DB5E8D" w:rsidRPr="00B627EA">
        <w:rPr>
          <w:rFonts w:ascii="Arial" w:hAnsi="Arial" w:cs="Arial"/>
          <w:color w:val="808080" w:themeColor="background1" w:themeShade="80"/>
          <w:sz w:val="22"/>
          <w:szCs w:val="22"/>
          <w:lang w:val="en-GB"/>
        </w:rPr>
        <w:t>by foreign courts.</w:t>
      </w:r>
      <w:r w:rsidR="00DB5E8D">
        <w:rPr>
          <w:rFonts w:ascii="Arial" w:hAnsi="Arial" w:cs="Arial"/>
          <w:color w:val="808080" w:themeColor="background1" w:themeShade="80"/>
          <w:sz w:val="22"/>
          <w:szCs w:val="22"/>
          <w:lang w:val="en-GB"/>
        </w:rPr>
        <w:t xml:space="preserve">  </w:t>
      </w:r>
    </w:p>
    <w:p w14:paraId="2D3492E8" w14:textId="3550931E" w:rsidR="001C5B58" w:rsidRDefault="001C5B58" w:rsidP="00C053F7">
      <w:pPr>
        <w:jc w:val="both"/>
        <w:rPr>
          <w:rFonts w:ascii="Arial" w:hAnsi="Arial" w:cs="Arial"/>
          <w:color w:val="808080" w:themeColor="background1" w:themeShade="80"/>
          <w:sz w:val="22"/>
          <w:szCs w:val="22"/>
          <w:lang w:val="en-GB"/>
        </w:rPr>
      </w:pPr>
    </w:p>
    <w:p w14:paraId="6F28B82B" w14:textId="1E1AD5B6" w:rsidR="00D67C03" w:rsidRPr="00D63D7B" w:rsidRDefault="00D67C03" w:rsidP="00C053F7">
      <w:pPr>
        <w:jc w:val="both"/>
        <w:rPr>
          <w:rFonts w:ascii="Arial" w:hAnsi="Arial" w:cs="Arial"/>
          <w:color w:val="808080" w:themeColor="background1" w:themeShade="80"/>
          <w:sz w:val="22"/>
          <w:szCs w:val="22"/>
          <w:lang w:val="en-GB"/>
        </w:rPr>
      </w:pPr>
      <w:r w:rsidRPr="00FC542D">
        <w:rPr>
          <w:rFonts w:ascii="Arial" w:hAnsi="Arial" w:cs="Arial"/>
          <w:color w:val="808080" w:themeColor="background1" w:themeShade="80"/>
          <w:sz w:val="22"/>
          <w:szCs w:val="22"/>
          <w:lang w:val="en-GB"/>
        </w:rPr>
        <w:t xml:space="preserve">In </w:t>
      </w:r>
      <w:r w:rsidR="000432FA" w:rsidRPr="00FC542D">
        <w:rPr>
          <w:rFonts w:ascii="Arial" w:hAnsi="Arial" w:cs="Arial"/>
          <w:color w:val="808080" w:themeColor="background1" w:themeShade="80"/>
          <w:sz w:val="22"/>
          <w:szCs w:val="22"/>
          <w:lang w:val="en-GB"/>
        </w:rPr>
        <w:t>regard</w:t>
      </w:r>
      <w:r w:rsidRPr="00FC542D">
        <w:rPr>
          <w:rFonts w:ascii="Arial" w:hAnsi="Arial" w:cs="Arial"/>
          <w:color w:val="808080" w:themeColor="background1" w:themeShade="80"/>
          <w:sz w:val="22"/>
          <w:szCs w:val="22"/>
          <w:lang w:val="en-GB"/>
        </w:rPr>
        <w:t xml:space="preserve"> to foreign regulators and ancillary proceedings, a common issue encountered in the Cayman </w:t>
      </w:r>
      <w:r w:rsidR="00B4349F" w:rsidRPr="00FC542D">
        <w:rPr>
          <w:rFonts w:ascii="Arial" w:hAnsi="Arial" w:cs="Arial"/>
          <w:color w:val="808080" w:themeColor="background1" w:themeShade="80"/>
          <w:sz w:val="22"/>
          <w:szCs w:val="22"/>
          <w:lang w:val="en-GB"/>
        </w:rPr>
        <w:t>Islands</w:t>
      </w:r>
      <w:r w:rsidR="00C95144" w:rsidRPr="00FC542D">
        <w:rPr>
          <w:rFonts w:ascii="Arial" w:hAnsi="Arial" w:cs="Arial"/>
          <w:color w:val="808080" w:themeColor="background1" w:themeShade="80"/>
          <w:sz w:val="22"/>
          <w:szCs w:val="22"/>
          <w:lang w:val="en-GB"/>
        </w:rPr>
        <w:t xml:space="preserve"> is</w:t>
      </w:r>
      <w:r w:rsidR="00B4349F" w:rsidRPr="00FC542D">
        <w:rPr>
          <w:rFonts w:ascii="Arial" w:hAnsi="Arial" w:cs="Arial"/>
          <w:color w:val="808080" w:themeColor="background1" w:themeShade="80"/>
          <w:sz w:val="22"/>
          <w:szCs w:val="22"/>
          <w:lang w:val="en-GB"/>
        </w:rPr>
        <w:t xml:space="preserve"> </w:t>
      </w:r>
      <w:r w:rsidR="009945C5" w:rsidRPr="00FC542D">
        <w:rPr>
          <w:rFonts w:ascii="Arial" w:hAnsi="Arial" w:cs="Arial"/>
          <w:color w:val="808080" w:themeColor="background1" w:themeShade="80"/>
          <w:sz w:val="22"/>
          <w:szCs w:val="22"/>
          <w:lang w:val="en-GB"/>
        </w:rPr>
        <w:t xml:space="preserve">in relation to </w:t>
      </w:r>
      <w:r w:rsidR="00B4349F" w:rsidRPr="00FC542D">
        <w:rPr>
          <w:rFonts w:ascii="Arial" w:hAnsi="Arial" w:cs="Arial"/>
          <w:color w:val="808080" w:themeColor="background1" w:themeShade="80"/>
          <w:sz w:val="22"/>
          <w:szCs w:val="22"/>
          <w:lang w:val="en-GB"/>
        </w:rPr>
        <w:t>office holders. F</w:t>
      </w:r>
      <w:r w:rsidRPr="00FC542D">
        <w:rPr>
          <w:rFonts w:ascii="Arial" w:hAnsi="Arial" w:cs="Arial"/>
          <w:color w:val="808080" w:themeColor="background1" w:themeShade="80"/>
          <w:sz w:val="22"/>
          <w:szCs w:val="22"/>
          <w:lang w:val="en-GB"/>
        </w:rPr>
        <w:t>or example</w:t>
      </w:r>
      <w:r w:rsidR="00B4349F" w:rsidRPr="00FC542D">
        <w:rPr>
          <w:rFonts w:ascii="Arial" w:hAnsi="Arial" w:cs="Arial"/>
          <w:color w:val="808080" w:themeColor="background1" w:themeShade="80"/>
          <w:sz w:val="22"/>
          <w:szCs w:val="22"/>
          <w:lang w:val="en-GB"/>
        </w:rPr>
        <w:t>,</w:t>
      </w:r>
      <w:r w:rsidRPr="00FC542D">
        <w:rPr>
          <w:rFonts w:ascii="Arial" w:hAnsi="Arial" w:cs="Arial"/>
          <w:color w:val="808080" w:themeColor="background1" w:themeShade="80"/>
          <w:sz w:val="22"/>
          <w:szCs w:val="22"/>
          <w:lang w:val="en-GB"/>
        </w:rPr>
        <w:t xml:space="preserve"> </w:t>
      </w:r>
      <w:r w:rsidR="00B627EA" w:rsidRPr="00FC542D">
        <w:rPr>
          <w:rFonts w:ascii="Arial" w:hAnsi="Arial" w:cs="Arial"/>
          <w:color w:val="808080" w:themeColor="background1" w:themeShade="80"/>
          <w:sz w:val="22"/>
          <w:szCs w:val="22"/>
          <w:lang w:val="en-GB"/>
        </w:rPr>
        <w:t xml:space="preserve">if </w:t>
      </w:r>
      <w:r w:rsidR="00B4349F" w:rsidRPr="00FC542D">
        <w:rPr>
          <w:rFonts w:ascii="Arial" w:hAnsi="Arial" w:cs="Arial"/>
          <w:color w:val="808080" w:themeColor="background1" w:themeShade="80"/>
          <w:sz w:val="22"/>
          <w:szCs w:val="22"/>
          <w:lang w:val="en-GB"/>
        </w:rPr>
        <w:t xml:space="preserve">an entity </w:t>
      </w:r>
      <w:r w:rsidRPr="00FC542D">
        <w:rPr>
          <w:rFonts w:ascii="Arial" w:hAnsi="Arial" w:cs="Arial"/>
          <w:color w:val="808080" w:themeColor="background1" w:themeShade="80"/>
          <w:sz w:val="22"/>
          <w:szCs w:val="22"/>
          <w:lang w:val="en-GB"/>
        </w:rPr>
        <w:t>has assets in the USA</w:t>
      </w:r>
      <w:r w:rsidR="000432FA" w:rsidRPr="00FC542D">
        <w:rPr>
          <w:rFonts w:ascii="Arial" w:hAnsi="Arial" w:cs="Arial"/>
          <w:color w:val="808080" w:themeColor="background1" w:themeShade="80"/>
          <w:sz w:val="22"/>
          <w:szCs w:val="22"/>
          <w:lang w:val="en-GB"/>
        </w:rPr>
        <w:t xml:space="preserve">, </w:t>
      </w:r>
      <w:r w:rsidR="00C95144" w:rsidRPr="00FC542D">
        <w:rPr>
          <w:rFonts w:ascii="Arial" w:hAnsi="Arial" w:cs="Arial"/>
          <w:color w:val="808080" w:themeColor="background1" w:themeShade="80"/>
          <w:sz w:val="22"/>
          <w:szCs w:val="22"/>
          <w:lang w:val="en-GB"/>
        </w:rPr>
        <w:t xml:space="preserve">and </w:t>
      </w:r>
      <w:r w:rsidRPr="00FC542D">
        <w:rPr>
          <w:rFonts w:ascii="Arial" w:hAnsi="Arial" w:cs="Arial"/>
          <w:color w:val="808080" w:themeColor="background1" w:themeShade="80"/>
          <w:sz w:val="22"/>
          <w:szCs w:val="22"/>
          <w:lang w:val="en-GB"/>
        </w:rPr>
        <w:t xml:space="preserve">the </w:t>
      </w:r>
      <w:r w:rsidR="00B627EA" w:rsidRPr="00FC542D">
        <w:rPr>
          <w:rFonts w:ascii="Arial" w:hAnsi="Arial" w:cs="Arial"/>
          <w:color w:val="808080" w:themeColor="background1" w:themeShade="80"/>
          <w:sz w:val="22"/>
          <w:szCs w:val="22"/>
          <w:lang w:val="en-GB"/>
        </w:rPr>
        <w:t>Securities Exchange C</w:t>
      </w:r>
      <w:r w:rsidRPr="00FC542D">
        <w:rPr>
          <w:rFonts w:ascii="Arial" w:hAnsi="Arial" w:cs="Arial"/>
          <w:color w:val="808080" w:themeColor="background1" w:themeShade="80"/>
          <w:sz w:val="22"/>
          <w:szCs w:val="22"/>
          <w:lang w:val="en-GB"/>
        </w:rPr>
        <w:t xml:space="preserve">ommission, </w:t>
      </w:r>
      <w:r w:rsidR="000432FA" w:rsidRPr="00FC542D">
        <w:rPr>
          <w:rFonts w:ascii="Arial" w:hAnsi="Arial" w:cs="Arial"/>
          <w:color w:val="808080" w:themeColor="background1" w:themeShade="80"/>
          <w:sz w:val="22"/>
          <w:szCs w:val="22"/>
          <w:lang w:val="en-GB"/>
        </w:rPr>
        <w:t xml:space="preserve">which is </w:t>
      </w:r>
      <w:r w:rsidRPr="00FC542D">
        <w:rPr>
          <w:rFonts w:ascii="Arial" w:hAnsi="Arial" w:cs="Arial"/>
          <w:color w:val="808080" w:themeColor="background1" w:themeShade="80"/>
          <w:sz w:val="22"/>
          <w:szCs w:val="22"/>
          <w:lang w:val="en-GB"/>
        </w:rPr>
        <w:t>the USA regulator</w:t>
      </w:r>
      <w:r w:rsidR="000432FA" w:rsidRPr="00FC542D">
        <w:rPr>
          <w:rFonts w:ascii="Arial" w:hAnsi="Arial" w:cs="Arial"/>
          <w:color w:val="808080" w:themeColor="background1" w:themeShade="80"/>
          <w:sz w:val="22"/>
          <w:szCs w:val="22"/>
          <w:lang w:val="en-GB"/>
        </w:rPr>
        <w:t xml:space="preserve">, </w:t>
      </w:r>
      <w:r w:rsidRPr="00FC542D">
        <w:rPr>
          <w:rFonts w:ascii="Arial" w:hAnsi="Arial" w:cs="Arial"/>
          <w:color w:val="808080" w:themeColor="background1" w:themeShade="80"/>
          <w:sz w:val="22"/>
          <w:szCs w:val="22"/>
          <w:lang w:val="en-GB"/>
        </w:rPr>
        <w:t>mak</w:t>
      </w:r>
      <w:r w:rsidR="00B4349F" w:rsidRPr="00FC542D">
        <w:rPr>
          <w:rFonts w:ascii="Arial" w:hAnsi="Arial" w:cs="Arial"/>
          <w:color w:val="808080" w:themeColor="background1" w:themeShade="80"/>
          <w:sz w:val="22"/>
          <w:szCs w:val="22"/>
          <w:lang w:val="en-GB"/>
        </w:rPr>
        <w:t>e</w:t>
      </w:r>
      <w:r w:rsidR="00DB5E8D" w:rsidRPr="00FC542D">
        <w:rPr>
          <w:rFonts w:ascii="Arial" w:hAnsi="Arial" w:cs="Arial"/>
          <w:color w:val="808080" w:themeColor="background1" w:themeShade="80"/>
          <w:sz w:val="22"/>
          <w:szCs w:val="22"/>
          <w:lang w:val="en-GB"/>
        </w:rPr>
        <w:t xml:space="preserve">s an appointment of a receiver, </w:t>
      </w:r>
      <w:r w:rsidR="00C95144" w:rsidRPr="00FC542D">
        <w:rPr>
          <w:rFonts w:ascii="Arial" w:hAnsi="Arial" w:cs="Arial"/>
          <w:color w:val="808080" w:themeColor="background1" w:themeShade="80"/>
          <w:sz w:val="22"/>
          <w:szCs w:val="22"/>
          <w:lang w:val="en-GB"/>
        </w:rPr>
        <w:t>this</w:t>
      </w:r>
      <w:r w:rsidR="00B627EA" w:rsidRPr="00FC542D">
        <w:rPr>
          <w:rFonts w:ascii="Arial" w:hAnsi="Arial" w:cs="Arial"/>
          <w:color w:val="808080" w:themeColor="background1" w:themeShade="80"/>
          <w:sz w:val="22"/>
          <w:szCs w:val="22"/>
          <w:lang w:val="en-GB"/>
        </w:rPr>
        <w:t xml:space="preserve"> can create issues for the concurrent insolvency </w:t>
      </w:r>
      <w:r w:rsidR="00B627EA">
        <w:rPr>
          <w:rFonts w:ascii="Arial" w:hAnsi="Arial" w:cs="Arial"/>
          <w:color w:val="808080" w:themeColor="background1" w:themeShade="80"/>
          <w:sz w:val="22"/>
          <w:szCs w:val="22"/>
          <w:lang w:val="en-GB"/>
        </w:rPr>
        <w:t xml:space="preserve">proceedings overseen by the </w:t>
      </w:r>
      <w:r w:rsidR="00DB5E8D">
        <w:rPr>
          <w:rFonts w:ascii="Arial" w:hAnsi="Arial" w:cs="Arial"/>
          <w:color w:val="808080" w:themeColor="background1" w:themeShade="80"/>
          <w:sz w:val="22"/>
          <w:szCs w:val="22"/>
          <w:lang w:val="en-GB"/>
        </w:rPr>
        <w:t>Grand Court of the Cayman</w:t>
      </w:r>
      <w:r w:rsidR="00B627EA">
        <w:rPr>
          <w:rFonts w:ascii="Arial" w:hAnsi="Arial" w:cs="Arial"/>
          <w:color w:val="808080" w:themeColor="background1" w:themeShade="80"/>
          <w:sz w:val="22"/>
          <w:szCs w:val="22"/>
          <w:lang w:val="en-GB"/>
        </w:rPr>
        <w:t xml:space="preserve"> Islands</w:t>
      </w:r>
      <w:r w:rsidR="00D63D7B">
        <w:rPr>
          <w:rFonts w:ascii="Arial" w:hAnsi="Arial" w:cs="Arial"/>
          <w:color w:val="808080" w:themeColor="background1" w:themeShade="80"/>
          <w:sz w:val="22"/>
          <w:szCs w:val="22"/>
          <w:lang w:val="en-GB"/>
        </w:rPr>
        <w:t xml:space="preserve"> (“Grand Court”)</w:t>
      </w:r>
      <w:r w:rsidR="00B627EA">
        <w:rPr>
          <w:rFonts w:ascii="Arial" w:hAnsi="Arial" w:cs="Arial"/>
          <w:color w:val="808080" w:themeColor="background1" w:themeShade="80"/>
          <w:sz w:val="22"/>
          <w:szCs w:val="22"/>
          <w:lang w:val="en-GB"/>
        </w:rPr>
        <w:t xml:space="preserve"> who have appointed a liquidator</w:t>
      </w:r>
      <w:r w:rsidR="00DB5E8D">
        <w:rPr>
          <w:rFonts w:ascii="Arial" w:hAnsi="Arial" w:cs="Arial"/>
          <w:color w:val="808080" w:themeColor="background1" w:themeShade="80"/>
          <w:sz w:val="22"/>
          <w:szCs w:val="22"/>
          <w:lang w:val="en-GB"/>
        </w:rPr>
        <w:t>.</w:t>
      </w:r>
      <w:r w:rsidR="00C95144">
        <w:rPr>
          <w:rFonts w:ascii="Arial" w:hAnsi="Arial" w:cs="Arial"/>
          <w:color w:val="808080" w:themeColor="background1" w:themeShade="80"/>
          <w:sz w:val="22"/>
          <w:szCs w:val="22"/>
          <w:lang w:val="en-GB"/>
        </w:rPr>
        <w:t xml:space="preserve"> Specifically if a protocol has not been agreed upon</w:t>
      </w:r>
      <w:r w:rsidR="00FC542D">
        <w:rPr>
          <w:rFonts w:ascii="Arial" w:hAnsi="Arial" w:cs="Arial"/>
          <w:color w:val="808080" w:themeColor="background1" w:themeShade="80"/>
          <w:sz w:val="22"/>
          <w:szCs w:val="22"/>
          <w:lang w:val="en-GB"/>
        </w:rPr>
        <w:t>,</w:t>
      </w:r>
      <w:r w:rsidR="000432FA">
        <w:rPr>
          <w:rFonts w:ascii="Arial" w:hAnsi="Arial" w:cs="Arial"/>
          <w:color w:val="808080" w:themeColor="background1" w:themeShade="80"/>
          <w:sz w:val="22"/>
          <w:szCs w:val="22"/>
          <w:lang w:val="en-GB"/>
        </w:rPr>
        <w:t xml:space="preserve"> </w:t>
      </w:r>
      <w:r w:rsidR="00DB5E8D">
        <w:rPr>
          <w:rFonts w:ascii="Arial" w:hAnsi="Arial" w:cs="Arial"/>
          <w:color w:val="808080" w:themeColor="background1" w:themeShade="80"/>
          <w:sz w:val="22"/>
          <w:szCs w:val="22"/>
          <w:lang w:val="en-GB"/>
        </w:rPr>
        <w:t xml:space="preserve">In </w:t>
      </w:r>
      <w:r w:rsidR="00DB5E8D" w:rsidRPr="00FC542D">
        <w:rPr>
          <w:rFonts w:ascii="Arial" w:hAnsi="Arial" w:cs="Arial"/>
          <w:color w:val="808080" w:themeColor="background1" w:themeShade="80"/>
          <w:sz w:val="22"/>
          <w:szCs w:val="22"/>
          <w:lang w:val="en-GB"/>
        </w:rPr>
        <w:t xml:space="preserve">this case the </w:t>
      </w:r>
      <w:r w:rsidR="00DB5E8D">
        <w:rPr>
          <w:rFonts w:ascii="Arial" w:hAnsi="Arial" w:cs="Arial"/>
          <w:color w:val="808080" w:themeColor="background1" w:themeShade="80"/>
          <w:sz w:val="22"/>
          <w:szCs w:val="22"/>
          <w:lang w:val="en-GB"/>
        </w:rPr>
        <w:t>issues w</w:t>
      </w:r>
      <w:r w:rsidR="00B627EA">
        <w:rPr>
          <w:rFonts w:ascii="Arial" w:hAnsi="Arial" w:cs="Arial"/>
          <w:color w:val="808080" w:themeColor="background1" w:themeShade="80"/>
          <w:sz w:val="22"/>
          <w:szCs w:val="22"/>
          <w:lang w:val="en-GB"/>
        </w:rPr>
        <w:t xml:space="preserve">ill </w:t>
      </w:r>
      <w:r w:rsidR="00B627EA" w:rsidRPr="00D63D7B">
        <w:rPr>
          <w:rFonts w:ascii="Arial" w:hAnsi="Arial" w:cs="Arial"/>
          <w:color w:val="808080" w:themeColor="background1" w:themeShade="80"/>
          <w:sz w:val="22"/>
          <w:szCs w:val="22"/>
          <w:lang w:val="en-GB"/>
        </w:rPr>
        <w:t>be</w:t>
      </w:r>
      <w:r w:rsidR="00DB5E8D" w:rsidRPr="00D63D7B">
        <w:rPr>
          <w:rFonts w:ascii="Arial" w:hAnsi="Arial" w:cs="Arial"/>
          <w:color w:val="808080" w:themeColor="background1" w:themeShade="80"/>
          <w:sz w:val="22"/>
          <w:szCs w:val="22"/>
          <w:lang w:val="en-GB"/>
        </w:rPr>
        <w:t xml:space="preserve"> overcome through </w:t>
      </w:r>
      <w:r w:rsidR="00DB5E8D" w:rsidRPr="00FC542D">
        <w:rPr>
          <w:rFonts w:ascii="Arial" w:hAnsi="Arial" w:cs="Arial"/>
          <w:color w:val="808080" w:themeColor="background1" w:themeShade="80"/>
          <w:sz w:val="22"/>
          <w:szCs w:val="22"/>
          <w:lang w:val="en-GB"/>
        </w:rPr>
        <w:t>establishment of control in different parts of the process and applying the relevant law in those instances</w:t>
      </w:r>
      <w:r w:rsidR="000432FA" w:rsidRPr="00FC542D">
        <w:rPr>
          <w:rFonts w:ascii="Arial" w:hAnsi="Arial" w:cs="Arial"/>
          <w:color w:val="808080" w:themeColor="background1" w:themeShade="80"/>
          <w:sz w:val="22"/>
          <w:szCs w:val="22"/>
          <w:lang w:val="en-GB"/>
        </w:rPr>
        <w:t>.</w:t>
      </w:r>
      <w:r w:rsidR="00DB5E8D" w:rsidRPr="00FC542D">
        <w:rPr>
          <w:rFonts w:ascii="Arial" w:hAnsi="Arial" w:cs="Arial"/>
          <w:color w:val="808080" w:themeColor="background1" w:themeShade="80"/>
          <w:sz w:val="22"/>
          <w:szCs w:val="22"/>
          <w:lang w:val="en-GB"/>
        </w:rPr>
        <w:t xml:space="preserve"> </w:t>
      </w:r>
      <w:r w:rsidR="000432FA" w:rsidRPr="00FC542D">
        <w:rPr>
          <w:rFonts w:ascii="Arial" w:hAnsi="Arial" w:cs="Arial"/>
          <w:color w:val="808080" w:themeColor="background1" w:themeShade="80"/>
          <w:sz w:val="22"/>
          <w:szCs w:val="22"/>
          <w:lang w:val="en-GB"/>
        </w:rPr>
        <w:t>T</w:t>
      </w:r>
      <w:r w:rsidR="00DB5E8D" w:rsidRPr="00FC542D">
        <w:rPr>
          <w:rFonts w:ascii="Arial" w:hAnsi="Arial" w:cs="Arial"/>
          <w:color w:val="808080" w:themeColor="background1" w:themeShade="80"/>
          <w:sz w:val="22"/>
          <w:szCs w:val="22"/>
          <w:lang w:val="en-GB"/>
        </w:rPr>
        <w:t>h</w:t>
      </w:r>
      <w:r w:rsidR="000432FA" w:rsidRPr="00FC542D">
        <w:rPr>
          <w:rFonts w:ascii="Arial" w:hAnsi="Arial" w:cs="Arial"/>
          <w:color w:val="808080" w:themeColor="background1" w:themeShade="80"/>
          <w:sz w:val="22"/>
          <w:szCs w:val="22"/>
          <w:lang w:val="en-GB"/>
        </w:rPr>
        <w:t>ese</w:t>
      </w:r>
      <w:r w:rsidR="00DB5E8D" w:rsidRPr="00FC542D">
        <w:rPr>
          <w:rFonts w:ascii="Arial" w:hAnsi="Arial" w:cs="Arial"/>
          <w:color w:val="808080" w:themeColor="background1" w:themeShade="80"/>
          <w:sz w:val="22"/>
          <w:szCs w:val="22"/>
          <w:lang w:val="en-GB"/>
        </w:rPr>
        <w:t xml:space="preserve"> issues also </w:t>
      </w:r>
      <w:r w:rsidR="000432FA" w:rsidRPr="00FC542D">
        <w:rPr>
          <w:rFonts w:ascii="Arial" w:hAnsi="Arial" w:cs="Arial"/>
          <w:color w:val="808080" w:themeColor="background1" w:themeShade="80"/>
          <w:sz w:val="22"/>
          <w:szCs w:val="22"/>
          <w:lang w:val="en-GB"/>
        </w:rPr>
        <w:t>require</w:t>
      </w:r>
      <w:r w:rsidR="00DB5E8D" w:rsidRPr="00FC542D">
        <w:rPr>
          <w:rFonts w:ascii="Arial" w:hAnsi="Arial" w:cs="Arial"/>
          <w:color w:val="808080" w:themeColor="background1" w:themeShade="80"/>
          <w:sz w:val="22"/>
          <w:szCs w:val="22"/>
          <w:lang w:val="en-GB"/>
        </w:rPr>
        <w:t xml:space="preserve"> communication and coordi</w:t>
      </w:r>
      <w:r w:rsidR="00B627EA" w:rsidRPr="00FC542D">
        <w:rPr>
          <w:rFonts w:ascii="Arial" w:hAnsi="Arial" w:cs="Arial"/>
          <w:color w:val="808080" w:themeColor="background1" w:themeShade="80"/>
          <w:sz w:val="22"/>
          <w:szCs w:val="22"/>
          <w:lang w:val="en-GB"/>
        </w:rPr>
        <w:t>nation by the respective courts.</w:t>
      </w:r>
    </w:p>
    <w:p w14:paraId="6B18632F" w14:textId="174C9C4D" w:rsidR="00B627EA" w:rsidRPr="00D63D7B" w:rsidRDefault="00B627EA" w:rsidP="00C053F7">
      <w:pPr>
        <w:jc w:val="both"/>
        <w:rPr>
          <w:rFonts w:ascii="Arial" w:hAnsi="Arial" w:cs="Arial"/>
          <w:color w:val="808080" w:themeColor="background1" w:themeShade="80"/>
          <w:sz w:val="22"/>
          <w:szCs w:val="22"/>
          <w:lang w:val="en-GB"/>
        </w:rPr>
      </w:pPr>
    </w:p>
    <w:p w14:paraId="12350FDF" w14:textId="48F79B63" w:rsidR="001C5B58" w:rsidRDefault="00C32646" w:rsidP="00C32646">
      <w:pPr>
        <w:autoSpaceDE w:val="0"/>
        <w:autoSpaceDN w:val="0"/>
        <w:adjustRightInd w:val="0"/>
        <w:rPr>
          <w:rFonts w:ascii="ArialMT" w:eastAsia="MS Mincho" w:hAnsi="ArialMT" w:cs="ArialMT"/>
          <w:color w:val="808080" w:themeColor="background1" w:themeShade="80"/>
          <w:sz w:val="22"/>
          <w:szCs w:val="22"/>
        </w:rPr>
      </w:pPr>
      <w:r w:rsidRPr="00D63D7B">
        <w:rPr>
          <w:rFonts w:ascii="ArialMT" w:eastAsia="MS Mincho" w:hAnsi="ArialMT" w:cs="ArialMT"/>
          <w:color w:val="808080" w:themeColor="background1" w:themeShade="80"/>
          <w:sz w:val="22"/>
          <w:szCs w:val="22"/>
        </w:rPr>
        <w:t xml:space="preserve">The recovery of books and records from subsidiaries with registered offices in foreign states will be determined by the location of those offices and the laws </w:t>
      </w:r>
      <w:r w:rsidR="009945C5">
        <w:rPr>
          <w:rFonts w:ascii="ArialMT" w:eastAsia="MS Mincho" w:hAnsi="ArialMT" w:cs="ArialMT"/>
          <w:color w:val="808080" w:themeColor="background1" w:themeShade="80"/>
          <w:sz w:val="22"/>
          <w:szCs w:val="22"/>
        </w:rPr>
        <w:t>enacted</w:t>
      </w:r>
      <w:r w:rsidRPr="00D63D7B">
        <w:rPr>
          <w:rFonts w:ascii="ArialMT" w:eastAsia="MS Mincho" w:hAnsi="ArialMT" w:cs="ArialMT"/>
          <w:color w:val="808080" w:themeColor="background1" w:themeShade="80"/>
          <w:sz w:val="22"/>
          <w:szCs w:val="22"/>
        </w:rPr>
        <w:t xml:space="preserve"> in their respective states. For </w:t>
      </w:r>
      <w:r w:rsidRPr="00FC542D">
        <w:rPr>
          <w:rFonts w:ascii="ArialMT" w:eastAsia="MS Mincho" w:hAnsi="ArialMT" w:cs="ArialMT"/>
          <w:color w:val="808080" w:themeColor="background1" w:themeShade="80"/>
          <w:sz w:val="22"/>
          <w:szCs w:val="22"/>
        </w:rPr>
        <w:t xml:space="preserve">example, if the country has modern insolvency laws </w:t>
      </w:r>
      <w:r w:rsidR="000432FA" w:rsidRPr="00FC542D">
        <w:rPr>
          <w:rFonts w:ascii="ArialMT" w:eastAsia="MS Mincho" w:hAnsi="ArialMT" w:cs="ArialMT"/>
          <w:color w:val="808080" w:themeColor="background1" w:themeShade="80"/>
          <w:sz w:val="22"/>
          <w:szCs w:val="22"/>
        </w:rPr>
        <w:t>related</w:t>
      </w:r>
      <w:r w:rsidRPr="00FC542D">
        <w:rPr>
          <w:rFonts w:ascii="ArialMT" w:eastAsia="MS Mincho" w:hAnsi="ArialMT" w:cs="ArialMT"/>
          <w:color w:val="808080" w:themeColor="background1" w:themeShade="80"/>
          <w:sz w:val="22"/>
          <w:szCs w:val="22"/>
        </w:rPr>
        <w:t xml:space="preserve"> to the cooperation and coordination </w:t>
      </w:r>
      <w:r w:rsidR="000432FA" w:rsidRPr="00FC542D">
        <w:rPr>
          <w:rFonts w:ascii="ArialMT" w:eastAsia="MS Mincho" w:hAnsi="ArialMT" w:cs="ArialMT"/>
          <w:color w:val="808080" w:themeColor="background1" w:themeShade="80"/>
          <w:sz w:val="22"/>
          <w:szCs w:val="22"/>
        </w:rPr>
        <w:t>of</w:t>
      </w:r>
      <w:r w:rsidRPr="00FC542D">
        <w:rPr>
          <w:rFonts w:ascii="ArialMT" w:eastAsia="MS Mincho" w:hAnsi="ArialMT" w:cs="ArialMT"/>
          <w:color w:val="808080" w:themeColor="background1" w:themeShade="80"/>
          <w:sz w:val="22"/>
          <w:szCs w:val="22"/>
        </w:rPr>
        <w:t xml:space="preserve"> </w:t>
      </w:r>
      <w:r w:rsidR="009945C5" w:rsidRPr="00FC542D">
        <w:rPr>
          <w:rFonts w:ascii="ArialMT" w:eastAsia="MS Mincho" w:hAnsi="ArialMT" w:cs="ArialMT"/>
          <w:color w:val="808080" w:themeColor="background1" w:themeShade="80"/>
          <w:sz w:val="22"/>
          <w:szCs w:val="22"/>
        </w:rPr>
        <w:t>foreign</w:t>
      </w:r>
      <w:r w:rsidRPr="00FC542D">
        <w:rPr>
          <w:rFonts w:ascii="ArialMT" w:eastAsia="MS Mincho" w:hAnsi="ArialMT" w:cs="ArialMT"/>
          <w:color w:val="808080" w:themeColor="background1" w:themeShade="80"/>
          <w:sz w:val="22"/>
          <w:szCs w:val="22"/>
        </w:rPr>
        <w:t xml:space="preserve"> office holders, this process will be more achievable </w:t>
      </w:r>
      <w:r w:rsidRPr="00D63D7B">
        <w:rPr>
          <w:rFonts w:ascii="ArialMT" w:eastAsia="MS Mincho" w:hAnsi="ArialMT" w:cs="ArialMT"/>
          <w:color w:val="808080" w:themeColor="background1" w:themeShade="80"/>
          <w:sz w:val="22"/>
          <w:szCs w:val="22"/>
        </w:rPr>
        <w:t>than if the state does not operate on a reciprocity basis.</w:t>
      </w:r>
    </w:p>
    <w:p w14:paraId="5679486B" w14:textId="77777777" w:rsidR="00976D77" w:rsidRDefault="00976D77" w:rsidP="00C32646">
      <w:pPr>
        <w:autoSpaceDE w:val="0"/>
        <w:autoSpaceDN w:val="0"/>
        <w:adjustRightInd w:val="0"/>
        <w:rPr>
          <w:rFonts w:ascii="ArialMT" w:eastAsia="MS Mincho" w:hAnsi="ArialMT" w:cs="ArialMT"/>
          <w:color w:val="808080" w:themeColor="background1" w:themeShade="80"/>
          <w:sz w:val="22"/>
          <w:szCs w:val="22"/>
        </w:rPr>
      </w:pPr>
    </w:p>
    <w:p w14:paraId="3A460079" w14:textId="1EE006C2" w:rsidR="00976D77" w:rsidRDefault="00976D77" w:rsidP="00976D77">
      <w:pPr>
        <w:jc w:val="both"/>
        <w:rPr>
          <w:rFonts w:ascii="Arial" w:hAnsi="Arial" w:cs="Arial"/>
          <w:color w:val="808080" w:themeColor="background1" w:themeShade="80"/>
          <w:sz w:val="22"/>
          <w:szCs w:val="22"/>
          <w:lang w:val="en-GB"/>
        </w:rPr>
      </w:pPr>
      <w:r w:rsidRPr="00A112FC">
        <w:rPr>
          <w:rFonts w:ascii="Arial" w:hAnsi="Arial" w:cs="Arial"/>
          <w:color w:val="808080" w:themeColor="background1" w:themeShade="80"/>
          <w:sz w:val="22"/>
          <w:szCs w:val="22"/>
          <w:lang w:val="en-GB"/>
        </w:rPr>
        <w:t>In relation to the different mechanisms in place in the Cayman Islands for insolvency procedures, a typical issue encountered is if a holding company,</w:t>
      </w:r>
      <w:r w:rsidR="009945C5">
        <w:rPr>
          <w:rFonts w:ascii="Arial" w:hAnsi="Arial" w:cs="Arial"/>
          <w:color w:val="808080" w:themeColor="background1" w:themeShade="80"/>
          <w:sz w:val="22"/>
          <w:szCs w:val="22"/>
          <w:lang w:val="en-GB"/>
        </w:rPr>
        <w:t xml:space="preserve"> which operates in Asia or</w:t>
      </w:r>
      <w:r w:rsidRPr="00A112FC">
        <w:rPr>
          <w:rFonts w:ascii="Arial" w:hAnsi="Arial" w:cs="Arial"/>
          <w:color w:val="808080" w:themeColor="background1" w:themeShade="80"/>
          <w:sz w:val="22"/>
          <w:szCs w:val="22"/>
          <w:lang w:val="en-GB"/>
        </w:rPr>
        <w:t xml:space="preserve"> other jurisdictions, is a Cayman Islands registered entity and a restructuring process is promoted by way of a scheme with a provisional liquidation process. Insolvency practitioners have seen </w:t>
      </w:r>
      <w:r w:rsidRPr="00FC542D">
        <w:rPr>
          <w:rFonts w:ascii="Arial" w:hAnsi="Arial" w:cs="Arial"/>
          <w:color w:val="808080" w:themeColor="background1" w:themeShade="80"/>
          <w:sz w:val="22"/>
          <w:szCs w:val="22"/>
          <w:lang w:val="en-GB"/>
        </w:rPr>
        <w:t xml:space="preserve">a level of discomfort around the issuance of a winding-up petition and the use of the term ‘liquidation’ which is more associated with the term bankruptcy rather than restructuring. A way this has been addressed by Cayman </w:t>
      </w:r>
      <w:r w:rsidR="000432FA" w:rsidRPr="00FC542D">
        <w:rPr>
          <w:rFonts w:ascii="Arial" w:hAnsi="Arial" w:cs="Arial"/>
          <w:color w:val="808080" w:themeColor="background1" w:themeShade="80"/>
          <w:sz w:val="22"/>
          <w:szCs w:val="22"/>
          <w:lang w:val="en-GB"/>
        </w:rPr>
        <w:t xml:space="preserve">Islands </w:t>
      </w:r>
      <w:r w:rsidRPr="00FC542D">
        <w:rPr>
          <w:rFonts w:ascii="Arial" w:hAnsi="Arial" w:cs="Arial"/>
          <w:color w:val="808080" w:themeColor="background1" w:themeShade="80"/>
          <w:sz w:val="22"/>
          <w:szCs w:val="22"/>
          <w:lang w:val="en-GB"/>
        </w:rPr>
        <w:t>legislation is</w:t>
      </w:r>
      <w:r w:rsidR="000432FA" w:rsidRPr="00FC542D">
        <w:rPr>
          <w:rFonts w:ascii="Arial" w:hAnsi="Arial" w:cs="Arial"/>
          <w:color w:val="808080" w:themeColor="background1" w:themeShade="80"/>
          <w:sz w:val="22"/>
          <w:szCs w:val="22"/>
          <w:lang w:val="en-GB"/>
        </w:rPr>
        <w:t xml:space="preserve"> with the restructuring officer regime, which came into effect on 31 August 20</w:t>
      </w:r>
      <w:r w:rsidR="000A4D71" w:rsidRPr="00FC542D">
        <w:rPr>
          <w:rFonts w:ascii="Arial" w:hAnsi="Arial" w:cs="Arial"/>
          <w:color w:val="808080" w:themeColor="background1" w:themeShade="80"/>
          <w:sz w:val="22"/>
          <w:szCs w:val="22"/>
          <w:lang w:val="en-GB"/>
        </w:rPr>
        <w:t>2</w:t>
      </w:r>
      <w:r w:rsidR="000432FA" w:rsidRPr="00FC542D">
        <w:rPr>
          <w:rFonts w:ascii="Arial" w:hAnsi="Arial" w:cs="Arial"/>
          <w:color w:val="808080" w:themeColor="background1" w:themeShade="80"/>
          <w:sz w:val="22"/>
          <w:szCs w:val="22"/>
          <w:lang w:val="en-GB"/>
        </w:rPr>
        <w:t xml:space="preserve">2 and </w:t>
      </w:r>
      <w:r w:rsidR="000A4D71" w:rsidRPr="00FC542D">
        <w:rPr>
          <w:rFonts w:ascii="Arial" w:hAnsi="Arial" w:cs="Arial"/>
          <w:color w:val="808080" w:themeColor="background1" w:themeShade="80"/>
          <w:sz w:val="22"/>
          <w:szCs w:val="22"/>
          <w:lang w:val="en-GB"/>
        </w:rPr>
        <w:t xml:space="preserve">effectively replaces the term provisional liquidator </w:t>
      </w:r>
      <w:r w:rsidRPr="00FC542D">
        <w:rPr>
          <w:rFonts w:ascii="Arial" w:hAnsi="Arial" w:cs="Arial"/>
          <w:color w:val="808080" w:themeColor="background1" w:themeShade="80"/>
          <w:sz w:val="22"/>
          <w:szCs w:val="22"/>
          <w:lang w:val="en-GB"/>
        </w:rPr>
        <w:t xml:space="preserve">and also does not require a winding-up petition. </w:t>
      </w:r>
    </w:p>
    <w:p w14:paraId="4C8DDC00" w14:textId="2A447680" w:rsidR="00C32646" w:rsidRPr="00D63D7B" w:rsidRDefault="00C32646" w:rsidP="00C32646">
      <w:pPr>
        <w:autoSpaceDE w:val="0"/>
        <w:autoSpaceDN w:val="0"/>
        <w:adjustRightInd w:val="0"/>
        <w:rPr>
          <w:rFonts w:ascii="ArialMT" w:eastAsia="MS Mincho" w:hAnsi="ArialMT" w:cs="ArialMT"/>
          <w:color w:val="808080" w:themeColor="background1" w:themeShade="80"/>
          <w:sz w:val="22"/>
          <w:szCs w:val="22"/>
        </w:rPr>
      </w:pPr>
    </w:p>
    <w:p w14:paraId="3E3F5CD5" w14:textId="5776E68D" w:rsidR="00C32646" w:rsidRPr="00976D77" w:rsidRDefault="00C32646" w:rsidP="00C32646">
      <w:pPr>
        <w:autoSpaceDE w:val="0"/>
        <w:autoSpaceDN w:val="0"/>
        <w:adjustRightInd w:val="0"/>
        <w:rPr>
          <w:rFonts w:ascii="Arial" w:hAnsi="Arial" w:cs="Arial"/>
          <w:color w:val="808080" w:themeColor="background1" w:themeShade="80"/>
          <w:sz w:val="22"/>
          <w:szCs w:val="22"/>
          <w:lang w:val="en-GB"/>
        </w:rPr>
      </w:pPr>
      <w:r w:rsidRPr="00D63D7B">
        <w:rPr>
          <w:rFonts w:ascii="ArialMT" w:eastAsia="MS Mincho" w:hAnsi="ArialMT" w:cs="ArialMT"/>
          <w:color w:val="808080" w:themeColor="background1" w:themeShade="80"/>
          <w:sz w:val="22"/>
          <w:szCs w:val="22"/>
        </w:rPr>
        <w:t>Lastly</w:t>
      </w:r>
      <w:r w:rsidRPr="00FC542D">
        <w:rPr>
          <w:rFonts w:ascii="ArialMT" w:eastAsia="MS Mincho" w:hAnsi="ArialMT" w:cs="ArialMT"/>
          <w:color w:val="808080" w:themeColor="background1" w:themeShade="80"/>
          <w:sz w:val="22"/>
          <w:szCs w:val="22"/>
        </w:rPr>
        <w:t xml:space="preserve">, </w:t>
      </w:r>
      <w:r w:rsidR="000A4D71" w:rsidRPr="00FC542D">
        <w:rPr>
          <w:rFonts w:ascii="ArialMT" w:eastAsia="MS Mincho" w:hAnsi="ArialMT" w:cs="ArialMT"/>
          <w:color w:val="808080" w:themeColor="background1" w:themeShade="80"/>
          <w:sz w:val="22"/>
          <w:szCs w:val="22"/>
        </w:rPr>
        <w:t xml:space="preserve">is the issue of </w:t>
      </w:r>
      <w:r w:rsidRPr="00FC542D">
        <w:rPr>
          <w:rFonts w:ascii="ArialMT" w:eastAsia="MS Mincho" w:hAnsi="ArialMT" w:cs="ArialMT"/>
          <w:color w:val="808080" w:themeColor="background1" w:themeShade="80"/>
          <w:sz w:val="22"/>
          <w:szCs w:val="22"/>
        </w:rPr>
        <w:t xml:space="preserve">recognition by foreign courts </w:t>
      </w:r>
      <w:r w:rsidRPr="00FC542D">
        <w:rPr>
          <w:rFonts w:ascii="Arial" w:eastAsia="MS Mincho" w:hAnsi="Arial" w:cs="Arial"/>
          <w:color w:val="808080" w:themeColor="background1" w:themeShade="80"/>
          <w:sz w:val="22"/>
          <w:szCs w:val="22"/>
        </w:rPr>
        <w:t xml:space="preserve">for the approval of </w:t>
      </w:r>
      <w:r w:rsidR="000A4D71" w:rsidRPr="00FC542D">
        <w:rPr>
          <w:rFonts w:ascii="Arial" w:eastAsia="MS Mincho" w:hAnsi="Arial" w:cs="Arial"/>
          <w:color w:val="808080" w:themeColor="background1" w:themeShade="80"/>
          <w:sz w:val="22"/>
          <w:szCs w:val="22"/>
        </w:rPr>
        <w:t>liquidators’</w:t>
      </w:r>
      <w:r w:rsidR="00976D77" w:rsidRPr="00FC542D">
        <w:rPr>
          <w:rFonts w:ascii="Arial" w:eastAsia="MS Mincho" w:hAnsi="Arial" w:cs="Arial"/>
          <w:color w:val="808080" w:themeColor="background1" w:themeShade="80"/>
          <w:sz w:val="22"/>
          <w:szCs w:val="22"/>
        </w:rPr>
        <w:t xml:space="preserve"> fees to be paid out </w:t>
      </w:r>
      <w:r w:rsidR="009945C5" w:rsidRPr="00FC542D">
        <w:rPr>
          <w:rFonts w:ascii="Arial" w:eastAsia="MS Mincho" w:hAnsi="Arial" w:cs="Arial"/>
          <w:color w:val="808080" w:themeColor="background1" w:themeShade="80"/>
          <w:sz w:val="22"/>
          <w:szCs w:val="22"/>
        </w:rPr>
        <w:t xml:space="preserve">of assets </w:t>
      </w:r>
      <w:r w:rsidR="00976D77" w:rsidRPr="00FC542D">
        <w:rPr>
          <w:rFonts w:ascii="Arial" w:eastAsia="MS Mincho" w:hAnsi="Arial" w:cs="Arial"/>
          <w:color w:val="808080" w:themeColor="background1" w:themeShade="80"/>
          <w:sz w:val="22"/>
          <w:szCs w:val="22"/>
        </w:rPr>
        <w:t>liquidation due to</w:t>
      </w:r>
      <w:r w:rsidR="00FC542D">
        <w:rPr>
          <w:rFonts w:ascii="Arial" w:eastAsia="MS Mincho" w:hAnsi="Arial" w:cs="Arial"/>
          <w:color w:val="808080" w:themeColor="background1" w:themeShade="80"/>
          <w:sz w:val="22"/>
          <w:szCs w:val="22"/>
        </w:rPr>
        <w:t xml:space="preserve"> conflicting </w:t>
      </w:r>
      <w:proofErr w:type="gramStart"/>
      <w:r w:rsidR="00FC542D">
        <w:rPr>
          <w:rFonts w:ascii="Arial" w:eastAsia="MS Mincho" w:hAnsi="Arial" w:cs="Arial"/>
          <w:color w:val="808080" w:themeColor="background1" w:themeShade="80"/>
          <w:sz w:val="22"/>
          <w:szCs w:val="22"/>
        </w:rPr>
        <w:t>law.</w:t>
      </w:r>
      <w:proofErr w:type="gramEnd"/>
      <w:r w:rsidR="00FC542D">
        <w:rPr>
          <w:rFonts w:ascii="Arial" w:eastAsia="MS Mincho" w:hAnsi="Arial" w:cs="Arial"/>
          <w:color w:val="808080" w:themeColor="background1" w:themeShade="80"/>
          <w:sz w:val="22"/>
          <w:szCs w:val="22"/>
        </w:rPr>
        <w:t xml:space="preserve"> </w:t>
      </w:r>
      <w:r w:rsidR="009945C5" w:rsidRPr="00FC542D">
        <w:rPr>
          <w:rFonts w:ascii="Arial" w:eastAsia="MS Mincho" w:hAnsi="Arial" w:cs="Arial"/>
          <w:color w:val="808080" w:themeColor="background1" w:themeShade="80"/>
          <w:sz w:val="22"/>
          <w:szCs w:val="22"/>
        </w:rPr>
        <w:t>The question</w:t>
      </w:r>
      <w:r w:rsidR="000A4D71" w:rsidRPr="00FC542D">
        <w:rPr>
          <w:rFonts w:ascii="Arial" w:eastAsia="MS Mincho" w:hAnsi="Arial" w:cs="Arial"/>
          <w:color w:val="808080" w:themeColor="background1" w:themeShade="80"/>
          <w:sz w:val="22"/>
          <w:szCs w:val="22"/>
        </w:rPr>
        <w:t xml:space="preserve"> </w:t>
      </w:r>
      <w:r w:rsidR="009945C5" w:rsidRPr="00FC542D">
        <w:rPr>
          <w:rFonts w:ascii="Arial" w:eastAsia="MS Mincho" w:hAnsi="Arial" w:cs="Arial"/>
          <w:color w:val="808080" w:themeColor="background1" w:themeShade="80"/>
          <w:sz w:val="22"/>
          <w:szCs w:val="22"/>
        </w:rPr>
        <w:t xml:space="preserve">of which </w:t>
      </w:r>
      <w:r w:rsidR="000A4D71" w:rsidRPr="00FC542D">
        <w:rPr>
          <w:rFonts w:ascii="Arial" w:eastAsia="MS Mincho" w:hAnsi="Arial" w:cs="Arial"/>
          <w:color w:val="808080" w:themeColor="background1" w:themeShade="80"/>
          <w:sz w:val="22"/>
          <w:szCs w:val="22"/>
        </w:rPr>
        <w:t xml:space="preserve">court </w:t>
      </w:r>
      <w:r w:rsidR="009945C5" w:rsidRPr="00FC542D">
        <w:rPr>
          <w:rFonts w:ascii="Arial" w:eastAsia="MS Mincho" w:hAnsi="Arial" w:cs="Arial"/>
          <w:color w:val="808080" w:themeColor="background1" w:themeShade="80"/>
          <w:sz w:val="22"/>
          <w:szCs w:val="22"/>
        </w:rPr>
        <w:t xml:space="preserve">order to follow </w:t>
      </w:r>
      <w:r w:rsidR="000A4D71" w:rsidRPr="00FC542D">
        <w:rPr>
          <w:rFonts w:ascii="Arial" w:eastAsia="MS Mincho" w:hAnsi="Arial" w:cs="Arial"/>
          <w:color w:val="808080" w:themeColor="background1" w:themeShade="80"/>
          <w:sz w:val="22"/>
          <w:szCs w:val="22"/>
        </w:rPr>
        <w:t xml:space="preserve">in the concurrent proceedings </w:t>
      </w:r>
      <w:r w:rsidR="009945C5" w:rsidRPr="00FC542D">
        <w:rPr>
          <w:rFonts w:ascii="Arial" w:eastAsia="MS Mincho" w:hAnsi="Arial" w:cs="Arial"/>
          <w:color w:val="808080" w:themeColor="background1" w:themeShade="80"/>
          <w:sz w:val="22"/>
          <w:szCs w:val="22"/>
        </w:rPr>
        <w:t>comes into play and communication and coordination by the courts is required. This usually results in a form of validation order being filed.</w:t>
      </w:r>
    </w:p>
    <w:p w14:paraId="659C4E0D" w14:textId="77777777" w:rsidR="00B627EA" w:rsidRPr="00A112FC" w:rsidRDefault="00B627EA" w:rsidP="00C053F7">
      <w:pPr>
        <w:jc w:val="both"/>
        <w:rPr>
          <w:rFonts w:ascii="Arial" w:hAnsi="Arial" w:cs="Arial"/>
          <w:color w:val="808080" w:themeColor="background1" w:themeShade="80"/>
          <w:sz w:val="22"/>
          <w:szCs w:val="22"/>
          <w:lang w:val="en-GB"/>
        </w:rPr>
      </w:pPr>
    </w:p>
    <w:p w14:paraId="4F32E78E" w14:textId="77777777" w:rsidR="00B627EA" w:rsidRPr="00A112FC" w:rsidRDefault="00B627EA" w:rsidP="00C053F7">
      <w:pPr>
        <w:jc w:val="both"/>
        <w:rPr>
          <w:rFonts w:ascii="Arial" w:hAnsi="Arial" w:cs="Arial"/>
          <w:color w:val="808080" w:themeColor="background1" w:themeShade="80"/>
          <w:sz w:val="22"/>
          <w:szCs w:val="22"/>
          <w:lang w:val="en-GB"/>
        </w:rPr>
      </w:pPr>
    </w:p>
    <w:p w14:paraId="600F8A27" w14:textId="77777777" w:rsidR="00A94552" w:rsidRDefault="00A94552" w:rsidP="00C053F7">
      <w:pPr>
        <w:jc w:val="both"/>
        <w:rPr>
          <w:rFonts w:ascii="Avenir Next" w:hAnsi="Avenir Next" w:cs="Arial"/>
          <w:color w:val="000000" w:themeColor="text1"/>
          <w:sz w:val="22"/>
          <w:szCs w:val="22"/>
          <w:lang w:val="en-GB"/>
        </w:rPr>
      </w:pPr>
    </w:p>
    <w:p w14:paraId="725F0B1E" w14:textId="77777777" w:rsidR="00A94552" w:rsidRDefault="00A94552"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D67C03" w:rsidRDefault="00D67C03" w:rsidP="00241B44">
      <w:r>
        <w:separator/>
      </w:r>
    </w:p>
  </w:endnote>
  <w:endnote w:type="continuationSeparator" w:id="0">
    <w:p w14:paraId="5D0C0338" w14:textId="77777777" w:rsidR="00D67C03" w:rsidRDefault="00D67C0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AF" w:usb1="5000204A" w:usb2="00000000" w:usb3="00000000" w:csb0="0000009B"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67C03" w:rsidRPr="00FC7B47" w:rsidRDefault="00D67C03"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D67C03" w:rsidRPr="00FC7B47" w:rsidRDefault="00D67C03"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6813EA89" w:rsidR="00D67C03" w:rsidRPr="009634F4" w:rsidRDefault="00D67C03" w:rsidP="00D67C03">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FC542D">
          <w:rPr>
            <w:rStyle w:val="PageNumber"/>
            <w:rFonts w:ascii="Avenir Next" w:hAnsi="Avenir Next" w:cs="Arial"/>
            <w:noProof/>
            <w:sz w:val="22"/>
            <w:szCs w:val="22"/>
          </w:rPr>
          <w:t>12</w:t>
        </w:r>
        <w:r w:rsidRPr="009634F4">
          <w:rPr>
            <w:rStyle w:val="PageNumber"/>
            <w:rFonts w:ascii="Avenir Next" w:hAnsi="Avenir Next" w:cs="Arial"/>
            <w:sz w:val="22"/>
            <w:szCs w:val="22"/>
          </w:rPr>
          <w:fldChar w:fldCharType="end"/>
        </w:r>
      </w:p>
    </w:sdtContent>
  </w:sdt>
  <w:p w14:paraId="120BA9A5" w14:textId="25537F8B" w:rsidR="00D67C03" w:rsidRPr="009634F4" w:rsidRDefault="00D67C03" w:rsidP="00AD6A7D">
    <w:pPr>
      <w:pStyle w:val="Footer"/>
      <w:ind w:right="360"/>
      <w:rPr>
        <w:rFonts w:ascii="Avenir Next" w:hAnsi="Avenir Next" w:cs="Arial"/>
        <w:sz w:val="22"/>
        <w:szCs w:val="22"/>
      </w:rPr>
    </w:pPr>
    <w:r>
      <w:rPr>
        <w:rFonts w:ascii="Avenir Next" w:hAnsi="Avenir Next" w:cs="Arial"/>
        <w:sz w:val="22"/>
        <w:szCs w:val="22"/>
      </w:rPr>
      <w:t>202324-1411</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D67C03" w:rsidRDefault="00D67C03" w:rsidP="00241B44">
      <w:r>
        <w:separator/>
      </w:r>
    </w:p>
  </w:footnote>
  <w:footnote w:type="continuationSeparator" w:id="0">
    <w:p w14:paraId="40E82217" w14:textId="77777777" w:rsidR="00D67C03" w:rsidRDefault="00D67C0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E37743C"/>
    <w:multiLevelType w:val="hybridMultilevel"/>
    <w:tmpl w:val="5090F9DE"/>
    <w:lvl w:ilvl="0" w:tplc="D0E46D08">
      <w:start w:val="9"/>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8AA6942"/>
    <w:multiLevelType w:val="hybridMultilevel"/>
    <w:tmpl w:val="EDF0CA80"/>
    <w:lvl w:ilvl="0" w:tplc="E6A04BA2">
      <w:numFmt w:val="bullet"/>
      <w:lvlText w:val="-"/>
      <w:lvlJc w:val="left"/>
      <w:pPr>
        <w:ind w:left="720" w:hanging="360"/>
      </w:pPr>
      <w:rPr>
        <w:rFonts w:ascii="Avenir Next" w:eastAsia="Times New Roman" w:hAnsi="Avenir Next"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1237B"/>
    <w:multiLevelType w:val="hybridMultilevel"/>
    <w:tmpl w:val="EEDC1324"/>
    <w:lvl w:ilvl="0" w:tplc="8A0C8DBC">
      <w:start w:val="9"/>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2"/>
  </w:num>
  <w:num w:numId="3">
    <w:abstractNumId w:val="7"/>
  </w:num>
  <w:num w:numId="4">
    <w:abstractNumId w:val="4"/>
  </w:num>
  <w:num w:numId="5">
    <w:abstractNumId w:val="11"/>
  </w:num>
  <w:num w:numId="6">
    <w:abstractNumId w:val="17"/>
  </w:num>
  <w:num w:numId="7">
    <w:abstractNumId w:val="23"/>
  </w:num>
  <w:num w:numId="8">
    <w:abstractNumId w:val="16"/>
  </w:num>
  <w:num w:numId="9">
    <w:abstractNumId w:val="6"/>
  </w:num>
  <w:num w:numId="10">
    <w:abstractNumId w:val="10"/>
  </w:num>
  <w:num w:numId="11">
    <w:abstractNumId w:val="8"/>
  </w:num>
  <w:num w:numId="12">
    <w:abstractNumId w:val="5"/>
  </w:num>
  <w:num w:numId="13">
    <w:abstractNumId w:val="14"/>
  </w:num>
  <w:num w:numId="14">
    <w:abstractNumId w:val="0"/>
  </w:num>
  <w:num w:numId="15">
    <w:abstractNumId w:val="2"/>
  </w:num>
  <w:num w:numId="16">
    <w:abstractNumId w:val="15"/>
  </w:num>
  <w:num w:numId="17">
    <w:abstractNumId w:val="13"/>
  </w:num>
  <w:num w:numId="18">
    <w:abstractNumId w:val="21"/>
  </w:num>
  <w:num w:numId="19">
    <w:abstractNumId w:val="18"/>
  </w:num>
  <w:num w:numId="20">
    <w:abstractNumId w:val="24"/>
  </w:num>
  <w:num w:numId="21">
    <w:abstractNumId w:val="19"/>
  </w:num>
  <w:num w:numId="22">
    <w:abstractNumId w:val="12"/>
  </w:num>
  <w:num w:numId="23">
    <w:abstractNumId w:val="1"/>
  </w:num>
  <w:num w:numId="24">
    <w:abstractNumId w:val="9"/>
  </w:num>
  <w:num w:numId="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FCE"/>
    <w:rsid w:val="000250C7"/>
    <w:rsid w:val="00037621"/>
    <w:rsid w:val="000432FA"/>
    <w:rsid w:val="00044D46"/>
    <w:rsid w:val="00045088"/>
    <w:rsid w:val="00045904"/>
    <w:rsid w:val="00055893"/>
    <w:rsid w:val="00065166"/>
    <w:rsid w:val="00082609"/>
    <w:rsid w:val="000851CC"/>
    <w:rsid w:val="00093BE8"/>
    <w:rsid w:val="000A4D71"/>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55BA3"/>
    <w:rsid w:val="00161F1B"/>
    <w:rsid w:val="00162829"/>
    <w:rsid w:val="001775EF"/>
    <w:rsid w:val="00180548"/>
    <w:rsid w:val="00180CCE"/>
    <w:rsid w:val="0018267A"/>
    <w:rsid w:val="00182779"/>
    <w:rsid w:val="001830DF"/>
    <w:rsid w:val="001966D9"/>
    <w:rsid w:val="001A7E9A"/>
    <w:rsid w:val="001B5016"/>
    <w:rsid w:val="001C1922"/>
    <w:rsid w:val="001C45FC"/>
    <w:rsid w:val="001C5B58"/>
    <w:rsid w:val="001C6352"/>
    <w:rsid w:val="001D4862"/>
    <w:rsid w:val="001E25B9"/>
    <w:rsid w:val="001E49E0"/>
    <w:rsid w:val="001E7B5A"/>
    <w:rsid w:val="001F7412"/>
    <w:rsid w:val="0020725B"/>
    <w:rsid w:val="002230D9"/>
    <w:rsid w:val="002273B4"/>
    <w:rsid w:val="00241B44"/>
    <w:rsid w:val="00245EFB"/>
    <w:rsid w:val="0026515D"/>
    <w:rsid w:val="002668D3"/>
    <w:rsid w:val="0027299F"/>
    <w:rsid w:val="00284EBE"/>
    <w:rsid w:val="00286AE6"/>
    <w:rsid w:val="0029433F"/>
    <w:rsid w:val="00294829"/>
    <w:rsid w:val="0029690F"/>
    <w:rsid w:val="002A2A60"/>
    <w:rsid w:val="002B1C45"/>
    <w:rsid w:val="002C06AD"/>
    <w:rsid w:val="002C13C8"/>
    <w:rsid w:val="002C1621"/>
    <w:rsid w:val="002C1671"/>
    <w:rsid w:val="002C3547"/>
    <w:rsid w:val="002C686D"/>
    <w:rsid w:val="002D0021"/>
    <w:rsid w:val="002D31CD"/>
    <w:rsid w:val="002D3473"/>
    <w:rsid w:val="002F00D8"/>
    <w:rsid w:val="002F1956"/>
    <w:rsid w:val="002F3440"/>
    <w:rsid w:val="002F75A3"/>
    <w:rsid w:val="00303C2F"/>
    <w:rsid w:val="003144EF"/>
    <w:rsid w:val="00315984"/>
    <w:rsid w:val="00320CEF"/>
    <w:rsid w:val="00330937"/>
    <w:rsid w:val="00330F31"/>
    <w:rsid w:val="00334648"/>
    <w:rsid w:val="0033768C"/>
    <w:rsid w:val="00337938"/>
    <w:rsid w:val="00340769"/>
    <w:rsid w:val="00341AA6"/>
    <w:rsid w:val="00361A0A"/>
    <w:rsid w:val="0036565C"/>
    <w:rsid w:val="0036625E"/>
    <w:rsid w:val="0037465A"/>
    <w:rsid w:val="00374696"/>
    <w:rsid w:val="003778AE"/>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61197"/>
    <w:rsid w:val="00491675"/>
    <w:rsid w:val="00493855"/>
    <w:rsid w:val="004973A4"/>
    <w:rsid w:val="004A16A3"/>
    <w:rsid w:val="004A57DD"/>
    <w:rsid w:val="004A7B51"/>
    <w:rsid w:val="004A7D71"/>
    <w:rsid w:val="004A7EF3"/>
    <w:rsid w:val="004B11FD"/>
    <w:rsid w:val="004B23A2"/>
    <w:rsid w:val="004B5C2D"/>
    <w:rsid w:val="004C1306"/>
    <w:rsid w:val="004D1A5A"/>
    <w:rsid w:val="004D3721"/>
    <w:rsid w:val="004D64F9"/>
    <w:rsid w:val="004E14A8"/>
    <w:rsid w:val="004F2CD6"/>
    <w:rsid w:val="004F5FDF"/>
    <w:rsid w:val="005177FE"/>
    <w:rsid w:val="0052263B"/>
    <w:rsid w:val="00524728"/>
    <w:rsid w:val="005331CA"/>
    <w:rsid w:val="00537970"/>
    <w:rsid w:val="00544127"/>
    <w:rsid w:val="00553EB2"/>
    <w:rsid w:val="00560534"/>
    <w:rsid w:val="0056391B"/>
    <w:rsid w:val="005650E2"/>
    <w:rsid w:val="00567075"/>
    <w:rsid w:val="00575B2D"/>
    <w:rsid w:val="00577E49"/>
    <w:rsid w:val="005833D0"/>
    <w:rsid w:val="005846F3"/>
    <w:rsid w:val="0058622F"/>
    <w:rsid w:val="00592F82"/>
    <w:rsid w:val="005A0CCA"/>
    <w:rsid w:val="005A1757"/>
    <w:rsid w:val="005A726D"/>
    <w:rsid w:val="005B67AC"/>
    <w:rsid w:val="005D30A9"/>
    <w:rsid w:val="005D43E0"/>
    <w:rsid w:val="005D58A3"/>
    <w:rsid w:val="005E1B79"/>
    <w:rsid w:val="005F026D"/>
    <w:rsid w:val="005F2D0B"/>
    <w:rsid w:val="005F4B31"/>
    <w:rsid w:val="005F6250"/>
    <w:rsid w:val="006024D0"/>
    <w:rsid w:val="00610388"/>
    <w:rsid w:val="00612CA5"/>
    <w:rsid w:val="006142E8"/>
    <w:rsid w:val="0061537B"/>
    <w:rsid w:val="006153EC"/>
    <w:rsid w:val="00621A17"/>
    <w:rsid w:val="00627CC9"/>
    <w:rsid w:val="00627E7B"/>
    <w:rsid w:val="00630542"/>
    <w:rsid w:val="00632E44"/>
    <w:rsid w:val="00634622"/>
    <w:rsid w:val="00636110"/>
    <w:rsid w:val="00636808"/>
    <w:rsid w:val="00641515"/>
    <w:rsid w:val="00654C2F"/>
    <w:rsid w:val="00656806"/>
    <w:rsid w:val="00657087"/>
    <w:rsid w:val="006652F4"/>
    <w:rsid w:val="00677AEB"/>
    <w:rsid w:val="00687A1D"/>
    <w:rsid w:val="00697EA1"/>
    <w:rsid w:val="006A2646"/>
    <w:rsid w:val="006A6530"/>
    <w:rsid w:val="006B1CA2"/>
    <w:rsid w:val="006B435A"/>
    <w:rsid w:val="006B4C64"/>
    <w:rsid w:val="006D01C2"/>
    <w:rsid w:val="006E13FB"/>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74F8E"/>
    <w:rsid w:val="00784128"/>
    <w:rsid w:val="00793173"/>
    <w:rsid w:val="007A5392"/>
    <w:rsid w:val="007C1459"/>
    <w:rsid w:val="007C1FCC"/>
    <w:rsid w:val="007C4D58"/>
    <w:rsid w:val="007C6201"/>
    <w:rsid w:val="007D4707"/>
    <w:rsid w:val="007D7C92"/>
    <w:rsid w:val="007E02E1"/>
    <w:rsid w:val="007E1154"/>
    <w:rsid w:val="007F2E1B"/>
    <w:rsid w:val="007F41F8"/>
    <w:rsid w:val="007F45F1"/>
    <w:rsid w:val="007F4DE3"/>
    <w:rsid w:val="008031A7"/>
    <w:rsid w:val="0080454E"/>
    <w:rsid w:val="00804C32"/>
    <w:rsid w:val="00806302"/>
    <w:rsid w:val="00807119"/>
    <w:rsid w:val="0082483F"/>
    <w:rsid w:val="008279C0"/>
    <w:rsid w:val="00827D56"/>
    <w:rsid w:val="008347CC"/>
    <w:rsid w:val="00846492"/>
    <w:rsid w:val="008502EB"/>
    <w:rsid w:val="008723F3"/>
    <w:rsid w:val="00875FCA"/>
    <w:rsid w:val="00881DE6"/>
    <w:rsid w:val="008837A6"/>
    <w:rsid w:val="00884474"/>
    <w:rsid w:val="0089145D"/>
    <w:rsid w:val="008A6CFE"/>
    <w:rsid w:val="008B5333"/>
    <w:rsid w:val="008B6223"/>
    <w:rsid w:val="008C66E0"/>
    <w:rsid w:val="008E3339"/>
    <w:rsid w:val="008E3623"/>
    <w:rsid w:val="008E4586"/>
    <w:rsid w:val="008F20FC"/>
    <w:rsid w:val="008F6301"/>
    <w:rsid w:val="0090404D"/>
    <w:rsid w:val="00905A43"/>
    <w:rsid w:val="00912C79"/>
    <w:rsid w:val="009165A4"/>
    <w:rsid w:val="009306CB"/>
    <w:rsid w:val="00942123"/>
    <w:rsid w:val="0095207B"/>
    <w:rsid w:val="00955AF1"/>
    <w:rsid w:val="00962045"/>
    <w:rsid w:val="009634F4"/>
    <w:rsid w:val="00976D77"/>
    <w:rsid w:val="00991428"/>
    <w:rsid w:val="00992676"/>
    <w:rsid w:val="009945C5"/>
    <w:rsid w:val="009B0723"/>
    <w:rsid w:val="009B07AD"/>
    <w:rsid w:val="009B0883"/>
    <w:rsid w:val="009B15E2"/>
    <w:rsid w:val="009B2C9C"/>
    <w:rsid w:val="009C0B8E"/>
    <w:rsid w:val="009C1BC8"/>
    <w:rsid w:val="009C2442"/>
    <w:rsid w:val="009C7831"/>
    <w:rsid w:val="009D0811"/>
    <w:rsid w:val="009D0EE1"/>
    <w:rsid w:val="009D31A1"/>
    <w:rsid w:val="009D5858"/>
    <w:rsid w:val="009E1027"/>
    <w:rsid w:val="009E2AEB"/>
    <w:rsid w:val="009E2E27"/>
    <w:rsid w:val="009E4DE3"/>
    <w:rsid w:val="00A005FC"/>
    <w:rsid w:val="00A047EE"/>
    <w:rsid w:val="00A06305"/>
    <w:rsid w:val="00A112FC"/>
    <w:rsid w:val="00A2274A"/>
    <w:rsid w:val="00A235B7"/>
    <w:rsid w:val="00A3106B"/>
    <w:rsid w:val="00A34D7E"/>
    <w:rsid w:val="00A407EF"/>
    <w:rsid w:val="00A42783"/>
    <w:rsid w:val="00A458BE"/>
    <w:rsid w:val="00A46B4C"/>
    <w:rsid w:val="00A5117B"/>
    <w:rsid w:val="00A51352"/>
    <w:rsid w:val="00A54909"/>
    <w:rsid w:val="00A60074"/>
    <w:rsid w:val="00A6627C"/>
    <w:rsid w:val="00A71019"/>
    <w:rsid w:val="00A81029"/>
    <w:rsid w:val="00A83A2F"/>
    <w:rsid w:val="00A90B12"/>
    <w:rsid w:val="00A94552"/>
    <w:rsid w:val="00A96489"/>
    <w:rsid w:val="00A97725"/>
    <w:rsid w:val="00AB685C"/>
    <w:rsid w:val="00AB6C2D"/>
    <w:rsid w:val="00AC3839"/>
    <w:rsid w:val="00AC7082"/>
    <w:rsid w:val="00AD6A7D"/>
    <w:rsid w:val="00AE1EEB"/>
    <w:rsid w:val="00AF228E"/>
    <w:rsid w:val="00B14819"/>
    <w:rsid w:val="00B17AA9"/>
    <w:rsid w:val="00B30DC8"/>
    <w:rsid w:val="00B4349F"/>
    <w:rsid w:val="00B44543"/>
    <w:rsid w:val="00B627EA"/>
    <w:rsid w:val="00B62B8A"/>
    <w:rsid w:val="00B72AE1"/>
    <w:rsid w:val="00B736DF"/>
    <w:rsid w:val="00B74FBD"/>
    <w:rsid w:val="00B82586"/>
    <w:rsid w:val="00B85D63"/>
    <w:rsid w:val="00B86DB1"/>
    <w:rsid w:val="00B87869"/>
    <w:rsid w:val="00B91E48"/>
    <w:rsid w:val="00BA23C8"/>
    <w:rsid w:val="00BB0F2B"/>
    <w:rsid w:val="00BC36D1"/>
    <w:rsid w:val="00BF1871"/>
    <w:rsid w:val="00BF1C6F"/>
    <w:rsid w:val="00BF50F7"/>
    <w:rsid w:val="00C02F29"/>
    <w:rsid w:val="00C053F7"/>
    <w:rsid w:val="00C22A25"/>
    <w:rsid w:val="00C32646"/>
    <w:rsid w:val="00C33C6C"/>
    <w:rsid w:val="00C35671"/>
    <w:rsid w:val="00C35B77"/>
    <w:rsid w:val="00C376EB"/>
    <w:rsid w:val="00C46EC1"/>
    <w:rsid w:val="00C53E2C"/>
    <w:rsid w:val="00C550C8"/>
    <w:rsid w:val="00C606C3"/>
    <w:rsid w:val="00C61BB0"/>
    <w:rsid w:val="00C72848"/>
    <w:rsid w:val="00C7736C"/>
    <w:rsid w:val="00C81508"/>
    <w:rsid w:val="00C82D87"/>
    <w:rsid w:val="00C83792"/>
    <w:rsid w:val="00C85272"/>
    <w:rsid w:val="00C85E9F"/>
    <w:rsid w:val="00C8712A"/>
    <w:rsid w:val="00C95144"/>
    <w:rsid w:val="00C963D3"/>
    <w:rsid w:val="00CB2CBB"/>
    <w:rsid w:val="00CB3E1F"/>
    <w:rsid w:val="00CB5F74"/>
    <w:rsid w:val="00CB7CAC"/>
    <w:rsid w:val="00CC25D2"/>
    <w:rsid w:val="00CC5335"/>
    <w:rsid w:val="00CC5BA4"/>
    <w:rsid w:val="00CD0D2D"/>
    <w:rsid w:val="00CD4998"/>
    <w:rsid w:val="00CE1035"/>
    <w:rsid w:val="00CF2819"/>
    <w:rsid w:val="00CF4F9D"/>
    <w:rsid w:val="00CF70DC"/>
    <w:rsid w:val="00D02CE9"/>
    <w:rsid w:val="00D05F5F"/>
    <w:rsid w:val="00D104E4"/>
    <w:rsid w:val="00D148DC"/>
    <w:rsid w:val="00D17FDC"/>
    <w:rsid w:val="00D4431C"/>
    <w:rsid w:val="00D63D7B"/>
    <w:rsid w:val="00D63EFD"/>
    <w:rsid w:val="00D646E8"/>
    <w:rsid w:val="00D67C03"/>
    <w:rsid w:val="00D806D3"/>
    <w:rsid w:val="00D84752"/>
    <w:rsid w:val="00D86B3B"/>
    <w:rsid w:val="00D8748A"/>
    <w:rsid w:val="00D91BA7"/>
    <w:rsid w:val="00D93196"/>
    <w:rsid w:val="00DB243C"/>
    <w:rsid w:val="00DB482A"/>
    <w:rsid w:val="00DB56F2"/>
    <w:rsid w:val="00DB5E8D"/>
    <w:rsid w:val="00DB6EF5"/>
    <w:rsid w:val="00DC0391"/>
    <w:rsid w:val="00DC3089"/>
    <w:rsid w:val="00DC4420"/>
    <w:rsid w:val="00DD0802"/>
    <w:rsid w:val="00DD2E11"/>
    <w:rsid w:val="00DE03AF"/>
    <w:rsid w:val="00DE0825"/>
    <w:rsid w:val="00DE121C"/>
    <w:rsid w:val="00DE6633"/>
    <w:rsid w:val="00DF75F8"/>
    <w:rsid w:val="00DF7A3A"/>
    <w:rsid w:val="00E00C00"/>
    <w:rsid w:val="00E07C5A"/>
    <w:rsid w:val="00E15BA9"/>
    <w:rsid w:val="00E26E19"/>
    <w:rsid w:val="00E37790"/>
    <w:rsid w:val="00E450A4"/>
    <w:rsid w:val="00E506BE"/>
    <w:rsid w:val="00E55547"/>
    <w:rsid w:val="00E6302B"/>
    <w:rsid w:val="00E6452F"/>
    <w:rsid w:val="00E64F45"/>
    <w:rsid w:val="00E6742D"/>
    <w:rsid w:val="00E71CB0"/>
    <w:rsid w:val="00E73A30"/>
    <w:rsid w:val="00E77B2C"/>
    <w:rsid w:val="00E77C3D"/>
    <w:rsid w:val="00E909F0"/>
    <w:rsid w:val="00E93993"/>
    <w:rsid w:val="00EA0913"/>
    <w:rsid w:val="00EB45AC"/>
    <w:rsid w:val="00ED0679"/>
    <w:rsid w:val="00ED0BC4"/>
    <w:rsid w:val="00EE4971"/>
    <w:rsid w:val="00EE744D"/>
    <w:rsid w:val="00EF090E"/>
    <w:rsid w:val="00F033DA"/>
    <w:rsid w:val="00F1767B"/>
    <w:rsid w:val="00F27CD8"/>
    <w:rsid w:val="00F30351"/>
    <w:rsid w:val="00F31C44"/>
    <w:rsid w:val="00F3323E"/>
    <w:rsid w:val="00F341F4"/>
    <w:rsid w:val="00F35CCE"/>
    <w:rsid w:val="00F37082"/>
    <w:rsid w:val="00F44220"/>
    <w:rsid w:val="00F47D34"/>
    <w:rsid w:val="00F5524B"/>
    <w:rsid w:val="00F61DD2"/>
    <w:rsid w:val="00F66AFF"/>
    <w:rsid w:val="00F71433"/>
    <w:rsid w:val="00F82D90"/>
    <w:rsid w:val="00F97C5B"/>
    <w:rsid w:val="00FA3D50"/>
    <w:rsid w:val="00FA3D5F"/>
    <w:rsid w:val="00FC374A"/>
    <w:rsid w:val="00FC542D"/>
    <w:rsid w:val="00FC7B47"/>
    <w:rsid w:val="00FD035C"/>
    <w:rsid w:val="00FD1A35"/>
    <w:rsid w:val="00FD2039"/>
    <w:rsid w:val="00FD36C5"/>
    <w:rsid w:val="00FD6310"/>
    <w:rsid w:val="00FD7C7B"/>
    <w:rsid w:val="00FE1D12"/>
    <w:rsid w:val="00FE2122"/>
    <w:rsid w:val="00FE258A"/>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53D0-8B26-448E-A5BC-15EEF1DF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4415</Words>
  <Characters>25171</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Peck</cp:lastModifiedBy>
  <cp:revision>2</cp:revision>
  <cp:lastPrinted>2019-09-04T15:45:00Z</cp:lastPrinted>
  <dcterms:created xsi:type="dcterms:W3CDTF">2023-10-15T17:55:00Z</dcterms:created>
  <dcterms:modified xsi:type="dcterms:W3CDTF">2023-10-15T17:55:00Z</dcterms:modified>
</cp:coreProperties>
</file>