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373097" w:rsidRDefault="00B736DF" w:rsidP="009E1027">
      <w:pPr>
        <w:pStyle w:val="ListParagraph"/>
        <w:numPr>
          <w:ilvl w:val="0"/>
          <w:numId w:val="12"/>
        </w:numPr>
        <w:ind w:left="426"/>
        <w:jc w:val="both"/>
        <w:rPr>
          <w:rFonts w:ascii="Avenir Next" w:hAnsi="Avenir Next" w:cs="Arial"/>
          <w:sz w:val="22"/>
          <w:szCs w:val="22"/>
          <w:highlight w:val="yellow"/>
          <w:lang w:val="en-GB"/>
        </w:rPr>
      </w:pPr>
      <w:r w:rsidRPr="00373097">
        <w:rPr>
          <w:rFonts w:ascii="Avenir Next" w:hAnsi="Avenir Next" w:cs="Arial"/>
          <w:sz w:val="22"/>
          <w:szCs w:val="22"/>
          <w:highlight w:val="yellow"/>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35E0F" w:rsidRDefault="00161F1B" w:rsidP="009E1027">
      <w:pPr>
        <w:pStyle w:val="ListParagraph"/>
        <w:numPr>
          <w:ilvl w:val="0"/>
          <w:numId w:val="13"/>
        </w:numPr>
        <w:ind w:left="426"/>
        <w:jc w:val="both"/>
        <w:rPr>
          <w:rFonts w:ascii="Avenir Next" w:hAnsi="Avenir Next" w:cs="Arial"/>
          <w:sz w:val="22"/>
          <w:szCs w:val="22"/>
          <w:highlight w:val="yellow"/>
          <w:lang w:val="en-GB"/>
        </w:rPr>
      </w:pPr>
      <w:r w:rsidRPr="00E35E0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6E00C7" w:rsidRDefault="009E2E27" w:rsidP="008031A7">
      <w:pPr>
        <w:pStyle w:val="ListParagraph"/>
        <w:numPr>
          <w:ilvl w:val="0"/>
          <w:numId w:val="14"/>
        </w:numPr>
        <w:ind w:left="426"/>
        <w:jc w:val="both"/>
        <w:rPr>
          <w:rFonts w:ascii="Avenir Next" w:hAnsi="Avenir Next" w:cs="Arial"/>
          <w:sz w:val="22"/>
          <w:szCs w:val="22"/>
          <w:highlight w:val="yellow"/>
          <w:lang w:val="en-GB"/>
        </w:rPr>
      </w:pPr>
      <w:r w:rsidRPr="006E00C7">
        <w:rPr>
          <w:rFonts w:ascii="Avenir Next" w:hAnsi="Avenir Next" w:cs="Arial"/>
          <w:sz w:val="22"/>
          <w:szCs w:val="22"/>
          <w:highlight w:val="yellow"/>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373097" w:rsidRDefault="009E2E27" w:rsidP="008031A7">
      <w:pPr>
        <w:pStyle w:val="ListParagraph"/>
        <w:numPr>
          <w:ilvl w:val="0"/>
          <w:numId w:val="15"/>
        </w:numPr>
        <w:ind w:left="426"/>
        <w:jc w:val="both"/>
        <w:rPr>
          <w:rFonts w:ascii="Avenir Next" w:hAnsi="Avenir Next" w:cs="Arial"/>
          <w:sz w:val="22"/>
          <w:szCs w:val="22"/>
          <w:highlight w:val="yellow"/>
          <w:lang w:val="en-GB"/>
        </w:rPr>
      </w:pPr>
      <w:r w:rsidRPr="0037309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373097">
        <w:rPr>
          <w:rFonts w:ascii="Avenir Next" w:eastAsiaTheme="minorHAnsi" w:hAnsi="Avenir Next" w:cs="Arial"/>
          <w:sz w:val="22"/>
          <w:szCs w:val="22"/>
          <w:highlight w:val="yellow"/>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84F98" w:rsidRDefault="004D1A5A" w:rsidP="006D01C2">
      <w:pPr>
        <w:pStyle w:val="ListParagraph"/>
        <w:numPr>
          <w:ilvl w:val="0"/>
          <w:numId w:val="18"/>
        </w:numPr>
        <w:ind w:left="426"/>
        <w:jc w:val="both"/>
        <w:rPr>
          <w:rFonts w:ascii="Avenir Next" w:hAnsi="Avenir Next" w:cs="Arial"/>
          <w:sz w:val="22"/>
          <w:szCs w:val="22"/>
          <w:highlight w:val="yellow"/>
          <w:lang w:val="en-GB"/>
        </w:rPr>
      </w:pPr>
      <w:r w:rsidRPr="00884F98">
        <w:rPr>
          <w:rFonts w:ascii="Avenir Next" w:hAnsi="Avenir Next" w:cs="Arial"/>
          <w:sz w:val="22"/>
          <w:szCs w:val="22"/>
          <w:highlight w:val="yellow"/>
          <w:lang w:val="en-GB"/>
        </w:rPr>
        <w:t>UNCITRAL Model Law on Cross-border Insolvency (1997)</w:t>
      </w:r>
      <w:r w:rsidR="00912C79" w:rsidRPr="00884F98">
        <w:rPr>
          <w:rFonts w:ascii="Avenir Next" w:hAnsi="Avenir Next" w:cs="Arial"/>
          <w:sz w:val="22"/>
          <w:szCs w:val="22"/>
          <w:highlight w:val="yellow"/>
          <w:lang w:val="en-GB"/>
        </w:rPr>
        <w:t>.</w:t>
      </w:r>
      <w:r w:rsidRPr="00884F9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D974F3"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D974F3">
        <w:rPr>
          <w:rFonts w:ascii="Avenir Next" w:hAnsi="Avenir Next" w:cs="Arial"/>
          <w:sz w:val="22"/>
          <w:szCs w:val="22"/>
          <w:highlight w:val="yellow"/>
          <w:lang w:val="en-GB"/>
        </w:rPr>
        <w:t>Havana Convention on Private International Law (1928)</w:t>
      </w:r>
      <w:r w:rsidRPr="00D974F3">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D974F3" w:rsidRDefault="0082483F" w:rsidP="006D01C2">
      <w:pPr>
        <w:pStyle w:val="ListParagraph"/>
        <w:numPr>
          <w:ilvl w:val="0"/>
          <w:numId w:val="20"/>
        </w:numPr>
        <w:ind w:left="426"/>
        <w:jc w:val="both"/>
        <w:rPr>
          <w:rFonts w:ascii="Avenir Next" w:hAnsi="Avenir Next" w:cs="Arial"/>
          <w:sz w:val="22"/>
          <w:szCs w:val="22"/>
          <w:highlight w:val="yellow"/>
          <w:lang w:val="en-GB"/>
        </w:rPr>
      </w:pPr>
      <w:r w:rsidRPr="00D974F3">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BA1E2A"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A1E2A">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8B89677" w:rsidR="009B07AD" w:rsidRPr="00827D56" w:rsidRDefault="00216B43"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refers to a set of rules/guidelines which were developed </w:t>
      </w:r>
      <w:proofErr w:type="gramStart"/>
      <w:r>
        <w:rPr>
          <w:rFonts w:ascii="Avenir Next" w:hAnsi="Avenir Next" w:cs="Arial"/>
          <w:color w:val="7B7B7B" w:themeColor="accent3" w:themeShade="BF"/>
          <w:sz w:val="22"/>
          <w:szCs w:val="22"/>
          <w:lang w:val="en-GB"/>
        </w:rPr>
        <w:t>in  order</w:t>
      </w:r>
      <w:proofErr w:type="gramEnd"/>
      <w:r>
        <w:rPr>
          <w:rFonts w:ascii="Avenir Next" w:hAnsi="Avenir Next" w:cs="Arial"/>
          <w:color w:val="7B7B7B" w:themeColor="accent3" w:themeShade="BF"/>
          <w:sz w:val="22"/>
          <w:szCs w:val="22"/>
          <w:lang w:val="en-GB"/>
        </w:rPr>
        <w:t xml:space="preserve"> to set the precedence </w:t>
      </w:r>
      <w:r w:rsidR="00E94E01">
        <w:rPr>
          <w:rFonts w:ascii="Avenir Next" w:hAnsi="Avenir Next" w:cs="Arial"/>
          <w:color w:val="7B7B7B" w:themeColor="accent3" w:themeShade="BF"/>
          <w:sz w:val="22"/>
          <w:szCs w:val="22"/>
          <w:lang w:val="en-GB"/>
        </w:rPr>
        <w:t>of insolvency as there are currently isn’t a globally applies set of rules.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11027845" w14:textId="5D91DDA7" w:rsidR="00723C11" w:rsidRDefault="00371D44" w:rsidP="006E00C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in cross-border insolvency would involve there being only one insolvency proceeding used to cover all debts and debtor’s assets worldwide. </w:t>
      </w:r>
      <w:r w:rsidR="000B2A5B">
        <w:rPr>
          <w:rFonts w:ascii="Avenir Next" w:hAnsi="Avenir Next" w:cs="Arial"/>
          <w:color w:val="7B7B7B" w:themeColor="accent3" w:themeShade="BF"/>
          <w:sz w:val="22"/>
          <w:szCs w:val="22"/>
          <w:lang w:val="en-GB"/>
        </w:rPr>
        <w:t xml:space="preserve">Territoriality </w:t>
      </w:r>
      <w:r w:rsidR="00723C11">
        <w:rPr>
          <w:rFonts w:ascii="Avenir Next" w:hAnsi="Avenir Next" w:cs="Arial"/>
          <w:color w:val="7B7B7B" w:themeColor="accent3" w:themeShade="BF"/>
          <w:sz w:val="22"/>
          <w:szCs w:val="22"/>
          <w:lang w:val="en-GB"/>
        </w:rPr>
        <w:t>is the opposite where it would allow for insolvency proceedings to be commenced every jurisdiction in which the debtor holds assets. In addition to being territorially limited, there are restrictions to property with the State with opened proceedings.</w:t>
      </w:r>
      <w:r w:rsidR="006E00C7">
        <w:rPr>
          <w:rFonts w:ascii="Avenir Next" w:hAnsi="Avenir Next" w:cs="Arial"/>
          <w:color w:val="7B7B7B" w:themeColor="accent3" w:themeShade="BF"/>
          <w:sz w:val="22"/>
          <w:szCs w:val="22"/>
          <w:lang w:val="en-GB"/>
        </w:rPr>
        <w:t xml:space="preserve"> Universality also allows for worldwide creditors the opportunity to participate in the proceedings as all claims are treated equally, whereas, with territoriality there may be restrictions on which creditors can file claims. </w:t>
      </w:r>
    </w:p>
    <w:p w14:paraId="2F57801B" w14:textId="798BE3C9" w:rsidR="009B07AD" w:rsidRPr="00827D56" w:rsidRDefault="00723C11"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21A9212A" w:rsidR="00C72848" w:rsidRPr="00827D56" w:rsidRDefault="002714E8"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2019 Bahrain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8614519" w:rsidR="00544127" w:rsidRPr="00827D56" w:rsidRDefault="005C2E79"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objective of insolvency for individuals is to separate the individual from the insolvency, thereby protecting them from creditors and allowing them to start over after the matter is settled. For a corporation, their objectives </w:t>
      </w:r>
      <w:proofErr w:type="gramStart"/>
      <w:r>
        <w:rPr>
          <w:rFonts w:ascii="Avenir Next" w:hAnsi="Avenir Next" w:cs="Arial"/>
          <w:color w:val="7B7B7B" w:themeColor="accent3" w:themeShade="BF"/>
          <w:sz w:val="22"/>
          <w:szCs w:val="22"/>
          <w:lang w:val="en-GB"/>
        </w:rPr>
        <w:t>differs</w:t>
      </w:r>
      <w:proofErr w:type="gramEnd"/>
      <w:r>
        <w:rPr>
          <w:rFonts w:ascii="Avenir Next" w:hAnsi="Avenir Next" w:cs="Arial"/>
          <w:color w:val="7B7B7B" w:themeColor="accent3" w:themeShade="BF"/>
          <w:sz w:val="22"/>
          <w:szCs w:val="22"/>
          <w:lang w:val="en-GB"/>
        </w:rPr>
        <w:t xml:space="preserve"> as </w:t>
      </w:r>
      <w:r w:rsidR="00BA7263">
        <w:rPr>
          <w:rFonts w:ascii="Avenir Next" w:hAnsi="Avenir Next" w:cs="Arial"/>
          <w:color w:val="7B7B7B" w:themeColor="accent3" w:themeShade="BF"/>
          <w:sz w:val="22"/>
          <w:szCs w:val="22"/>
          <w:lang w:val="en-GB"/>
        </w:rPr>
        <w:t>in instances where an individual is the reason for insolvency and has abused their liability, they will be personally liable in order to preserve the business of the company.</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15AABC2" w:rsidR="00DF75F8" w:rsidRPr="00827D56" w:rsidRDefault="00E94E0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There are a few difficulties when dealing with insolvency law in cross-border context as insolvency law standards are relatively low in many countries. </w:t>
      </w:r>
      <w:r w:rsidR="005E214C">
        <w:rPr>
          <w:rFonts w:ascii="Avenir Next" w:hAnsi="Avenir Next" w:cs="Arial"/>
          <w:color w:val="7B7B7B" w:themeColor="accent3" w:themeShade="BF"/>
          <w:sz w:val="22"/>
          <w:szCs w:val="22"/>
          <w:lang w:val="en-GB"/>
        </w:rPr>
        <w:t>W</w:t>
      </w:r>
      <w:r>
        <w:rPr>
          <w:rFonts w:ascii="Avenir Next" w:hAnsi="Avenir Next" w:cs="Arial"/>
          <w:color w:val="7B7B7B" w:themeColor="accent3" w:themeShade="BF"/>
          <w:sz w:val="22"/>
          <w:szCs w:val="22"/>
          <w:lang w:val="en-GB"/>
        </w:rPr>
        <w:t xml:space="preserve">hilst many systems have some similarities, </w:t>
      </w:r>
      <w:r w:rsidR="005E214C">
        <w:rPr>
          <w:rFonts w:ascii="Avenir Next" w:hAnsi="Avenir Next" w:cs="Arial"/>
          <w:color w:val="7B7B7B" w:themeColor="accent3" w:themeShade="BF"/>
          <w:sz w:val="22"/>
          <w:szCs w:val="22"/>
          <w:lang w:val="en-GB"/>
        </w:rPr>
        <w:t xml:space="preserve">man laws are outdated and not suited for modern day investment and trade. Another difficulty is that on a national level, there are various approaches each jurisdiction </w:t>
      </w:r>
      <w:proofErr w:type="gramStart"/>
      <w:r w:rsidR="005E214C">
        <w:rPr>
          <w:rFonts w:ascii="Avenir Next" w:hAnsi="Avenir Next" w:cs="Arial"/>
          <w:color w:val="7B7B7B" w:themeColor="accent3" w:themeShade="BF"/>
          <w:sz w:val="22"/>
          <w:szCs w:val="22"/>
          <w:lang w:val="en-GB"/>
        </w:rPr>
        <w:t>take</w:t>
      </w:r>
      <w:proofErr w:type="gramEnd"/>
      <w:r w:rsidR="005E214C">
        <w:rPr>
          <w:rFonts w:ascii="Avenir Next" w:hAnsi="Avenir Next" w:cs="Arial"/>
          <w:color w:val="7B7B7B" w:themeColor="accent3" w:themeShade="BF"/>
          <w:sz w:val="22"/>
          <w:szCs w:val="22"/>
          <w:lang w:val="en-GB"/>
        </w:rPr>
        <w:t xml:space="preserve"> in insolvency.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0525093" w14:textId="2C36F252" w:rsidR="00886BA2" w:rsidRPr="00886BA2" w:rsidRDefault="005E214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multilateral steps taken include starting by promoting a Legislative Guide on Insolvency Law for national authorities and legislative authorities to use when creating new laws and regulations.</w:t>
      </w:r>
      <w:r w:rsidR="00886BA2">
        <w:rPr>
          <w:rFonts w:ascii="Avenir Next" w:hAnsi="Avenir Next" w:cs="Arial"/>
          <w:color w:val="7B7B7B" w:themeColor="accent3" w:themeShade="BF"/>
          <w:sz w:val="22"/>
          <w:szCs w:val="22"/>
          <w:lang w:val="en-GB"/>
        </w:rPr>
        <w:t xml:space="preserve"> Further guidelines were also made, with revisions made periodically. The steps for dealing with cross-border matters according to World Bank’s Principles include having a clear, speedy process when obtaining recognition of foreign insolvency proceedings. Next, relief should also be granted upon recognition of foreign insolvency proceedings and foreign insolvency representatives to have access to courts and other relevant authorities. Finally, courts and insolvency representatives should have access to courts and other relevant authorities and there should be non-discrimination between foreign and domestic creditors.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77777777" w:rsidR="00827D56" w:rsidRDefault="00827D56" w:rsidP="00C053F7">
      <w:pPr>
        <w:jc w:val="both"/>
        <w:rPr>
          <w:rFonts w:ascii="Avenir Next" w:hAnsi="Avenir Next" w:cs="Arial"/>
          <w:color w:val="7B7B7B" w:themeColor="accent3" w:themeShade="BF"/>
          <w:sz w:val="22"/>
          <w:szCs w:val="22"/>
          <w:lang w:val="en-GB"/>
        </w:rPr>
      </w:pPr>
    </w:p>
    <w:p w14:paraId="19D81029" w14:textId="38BE8A8D" w:rsidR="00FA758C" w:rsidRPr="00FA758C" w:rsidRDefault="00FA758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FA758C">
        <w:rPr>
          <w:rFonts w:ascii="Avenir Next" w:hAnsi="Avenir Next" w:cs="Arial"/>
          <w:color w:val="7B7B7B" w:themeColor="accent3" w:themeShade="BF"/>
          <w:sz w:val="22"/>
          <w:szCs w:val="22"/>
          <w:lang w:val="en-GB"/>
        </w:rPr>
        <w:t>UNCITRAL Model Law on Cross-border Insolvency</w:t>
      </w:r>
      <w:r>
        <w:rPr>
          <w:rFonts w:ascii="Avenir Next" w:hAnsi="Avenir Next" w:cs="Arial"/>
          <w:color w:val="7B7B7B" w:themeColor="accent3" w:themeShade="BF"/>
          <w:sz w:val="22"/>
          <w:szCs w:val="22"/>
          <w:lang w:val="en-GB"/>
        </w:rPr>
        <w:t xml:space="preserve"> provides relevance as this case has aspects in different states and therefore there may need to be more than one proceeding which would be in the different states. This law also promotes co-operation and co-ordination so it may be easier to settle these matters with the recognition and enforcement provisions. This is relevant to </w:t>
      </w:r>
      <w:r w:rsidR="005E44E8">
        <w:rPr>
          <w:rFonts w:ascii="Avenir Next" w:hAnsi="Avenir Next" w:cs="Arial"/>
          <w:color w:val="7B7B7B" w:themeColor="accent3" w:themeShade="BF"/>
          <w:sz w:val="22"/>
          <w:szCs w:val="22"/>
          <w:lang w:val="en-GB"/>
        </w:rPr>
        <w:t>liquidators</w:t>
      </w:r>
      <w:r>
        <w:rPr>
          <w:rFonts w:ascii="Avenir Next" w:hAnsi="Avenir Next" w:cs="Arial"/>
          <w:color w:val="7B7B7B" w:themeColor="accent3" w:themeShade="BF"/>
          <w:sz w:val="22"/>
          <w:szCs w:val="22"/>
          <w:lang w:val="en-GB"/>
        </w:rPr>
        <w:t xml:space="preserve"> as it would mean that </w:t>
      </w:r>
      <w:r w:rsidR="005E44E8">
        <w:rPr>
          <w:rFonts w:ascii="Avenir Next" w:hAnsi="Avenir Next" w:cs="Arial"/>
          <w:color w:val="7B7B7B" w:themeColor="accent3" w:themeShade="BF"/>
          <w:sz w:val="22"/>
          <w:szCs w:val="22"/>
          <w:lang w:val="en-GB"/>
        </w:rPr>
        <w:t xml:space="preserve">they will be that they </w:t>
      </w:r>
      <w:proofErr w:type="gramStart"/>
      <w:r w:rsidR="005E44E8">
        <w:rPr>
          <w:rFonts w:ascii="Avenir Next" w:hAnsi="Avenir Next" w:cs="Arial"/>
          <w:color w:val="7B7B7B" w:themeColor="accent3" w:themeShade="BF"/>
          <w:sz w:val="22"/>
          <w:szCs w:val="22"/>
          <w:lang w:val="en-GB"/>
        </w:rPr>
        <w:t>lawyers</w:t>
      </w:r>
      <w:proofErr w:type="gramEnd"/>
      <w:r w:rsidR="005E44E8">
        <w:rPr>
          <w:rFonts w:ascii="Avenir Next" w:hAnsi="Avenir Next" w:cs="Arial"/>
          <w:color w:val="7B7B7B" w:themeColor="accent3" w:themeShade="BF"/>
          <w:sz w:val="22"/>
          <w:szCs w:val="22"/>
          <w:lang w:val="en-GB"/>
        </w:rPr>
        <w:t xml:space="preserve"> for the court action will be encouraged to cooperate with the liquidators.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E4626F1" w:rsidR="002D3473" w:rsidRPr="00827D56" w:rsidRDefault="005E44E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No as a court order has already been obtained in Utopia. Since the other one hasn’t been heard yet, it cannot take precedence over the current winding up order.</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99254B0" w:rsidR="0077498C" w:rsidRPr="00827D56" w:rsidRDefault="005E44E8"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A Cayman Islands incorporated company going through this matter would mean that they would have to take control over the assets in the other states. Before they can do this, </w:t>
      </w:r>
      <w:proofErr w:type="gramStart"/>
      <w:r>
        <w:rPr>
          <w:rFonts w:ascii="Avenir Next" w:hAnsi="Avenir Next" w:cs="Arial"/>
          <w:color w:val="7B7B7B" w:themeColor="accent3" w:themeShade="BF"/>
          <w:sz w:val="22"/>
          <w:szCs w:val="22"/>
          <w:lang w:val="en-GB"/>
        </w:rPr>
        <w:t>the</w:t>
      </w:r>
      <w:proofErr w:type="gramEnd"/>
      <w:r>
        <w:rPr>
          <w:rFonts w:ascii="Avenir Next" w:hAnsi="Avenir Next" w:cs="Arial"/>
          <w:color w:val="7B7B7B" w:themeColor="accent3" w:themeShade="BF"/>
          <w:sz w:val="22"/>
          <w:szCs w:val="22"/>
          <w:lang w:val="en-GB"/>
        </w:rPr>
        <w:t xml:space="preserve"> will have to ensure </w:t>
      </w:r>
      <w:r w:rsidR="00BA1E2A">
        <w:rPr>
          <w:rFonts w:ascii="Avenir Next" w:hAnsi="Avenir Next" w:cs="Arial"/>
          <w:color w:val="7B7B7B" w:themeColor="accent3" w:themeShade="BF"/>
          <w:sz w:val="22"/>
          <w:szCs w:val="22"/>
          <w:lang w:val="en-GB"/>
        </w:rPr>
        <w:t>that if they have become the new register office that they become authorised signatories. In most cases, the assets will attempt to be sold and monies consolidated into a final account for distribution. In tax jurisdictions, they must ensure that they are following the local laws of insolvency when selling assets and even ensuring that the obtain/maintain the relevant licences.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4D68" w14:textId="77777777" w:rsidR="007C4A7E" w:rsidRDefault="007C4A7E" w:rsidP="00241B44">
      <w:r>
        <w:separator/>
      </w:r>
    </w:p>
  </w:endnote>
  <w:endnote w:type="continuationSeparator" w:id="0">
    <w:p w14:paraId="1B2DA34B" w14:textId="77777777" w:rsidR="007C4A7E" w:rsidRDefault="007C4A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D889A90" w:rsidR="00AD6A7D" w:rsidRPr="009634F4" w:rsidRDefault="00BA1E2A" w:rsidP="00AD6A7D">
    <w:pPr>
      <w:pStyle w:val="Footer"/>
      <w:ind w:right="360"/>
      <w:rPr>
        <w:rFonts w:ascii="Avenir Next" w:hAnsi="Avenir Next" w:cs="Arial"/>
        <w:sz w:val="22"/>
        <w:szCs w:val="22"/>
      </w:rPr>
    </w:pPr>
    <w:r>
      <w:rPr>
        <w:rFonts w:ascii="Avenir Next" w:hAnsi="Avenir Next" w:cs="Arial"/>
        <w:sz w:val="22"/>
        <w:szCs w:val="22"/>
      </w:rPr>
      <w:t>202324-1301</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3CB" w14:textId="77777777" w:rsidR="00BA1E2A" w:rsidRDefault="00BA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ED7A" w14:textId="77777777" w:rsidR="007C4A7E" w:rsidRDefault="007C4A7E" w:rsidP="00241B44">
      <w:r>
        <w:separator/>
      </w:r>
    </w:p>
  </w:footnote>
  <w:footnote w:type="continuationSeparator" w:id="0">
    <w:p w14:paraId="6F50C1F2" w14:textId="77777777" w:rsidR="007C4A7E" w:rsidRDefault="007C4A7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B80D" w14:textId="77777777" w:rsidR="00BA1E2A" w:rsidRDefault="00BA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9CA4" w14:textId="77777777" w:rsidR="00BA1E2A" w:rsidRDefault="00BA1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BBD0" w14:textId="77777777" w:rsidR="00BA1E2A" w:rsidRDefault="00BA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A5B"/>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6B43"/>
    <w:rsid w:val="00241B44"/>
    <w:rsid w:val="00245EFB"/>
    <w:rsid w:val="0026515D"/>
    <w:rsid w:val="002668D3"/>
    <w:rsid w:val="002714E8"/>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1D44"/>
    <w:rsid w:val="00373097"/>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2E79"/>
    <w:rsid w:val="005D43E0"/>
    <w:rsid w:val="005D58A3"/>
    <w:rsid w:val="005E1B79"/>
    <w:rsid w:val="005E214C"/>
    <w:rsid w:val="005E44E8"/>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00C7"/>
    <w:rsid w:val="006E481A"/>
    <w:rsid w:val="006E5298"/>
    <w:rsid w:val="006F734A"/>
    <w:rsid w:val="00700D83"/>
    <w:rsid w:val="007074E9"/>
    <w:rsid w:val="00713DA4"/>
    <w:rsid w:val="00714BF1"/>
    <w:rsid w:val="00721383"/>
    <w:rsid w:val="00723C11"/>
    <w:rsid w:val="007333CC"/>
    <w:rsid w:val="0073399A"/>
    <w:rsid w:val="0073459E"/>
    <w:rsid w:val="007603F5"/>
    <w:rsid w:val="00764DB0"/>
    <w:rsid w:val="0076764D"/>
    <w:rsid w:val="0077498C"/>
    <w:rsid w:val="00784128"/>
    <w:rsid w:val="00793173"/>
    <w:rsid w:val="007C1459"/>
    <w:rsid w:val="007C1FCC"/>
    <w:rsid w:val="007C4A7E"/>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4F98"/>
    <w:rsid w:val="00886BA2"/>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A1E2A"/>
    <w:rsid w:val="00BA7263"/>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974F3"/>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5E0F"/>
    <w:rsid w:val="00E450A4"/>
    <w:rsid w:val="00E506BE"/>
    <w:rsid w:val="00E55547"/>
    <w:rsid w:val="00E6302B"/>
    <w:rsid w:val="00E6452F"/>
    <w:rsid w:val="00E64F45"/>
    <w:rsid w:val="00E6742D"/>
    <w:rsid w:val="00E71CB0"/>
    <w:rsid w:val="00E77C3D"/>
    <w:rsid w:val="00E909F0"/>
    <w:rsid w:val="00E93993"/>
    <w:rsid w:val="00E94E01"/>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A758C"/>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Leana Kassidi Smith</cp:lastModifiedBy>
  <cp:revision>2</cp:revision>
  <cp:lastPrinted>2019-09-04T15:45:00Z</cp:lastPrinted>
  <dcterms:created xsi:type="dcterms:W3CDTF">2023-10-15T15:31:00Z</dcterms:created>
  <dcterms:modified xsi:type="dcterms:W3CDTF">2023-10-15T15:31:00Z</dcterms:modified>
</cp:coreProperties>
</file>