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2B6C4A" w:rsidRDefault="00B736DF" w:rsidP="009E1027">
      <w:pPr>
        <w:pStyle w:val="ListParagraph"/>
        <w:numPr>
          <w:ilvl w:val="0"/>
          <w:numId w:val="12"/>
        </w:numPr>
        <w:ind w:left="426"/>
        <w:jc w:val="both"/>
        <w:rPr>
          <w:rFonts w:ascii="Avenir Next" w:hAnsi="Avenir Next" w:cs="Arial"/>
          <w:sz w:val="22"/>
          <w:szCs w:val="22"/>
          <w:highlight w:val="yellow"/>
          <w:lang w:val="en-GB"/>
        </w:rPr>
      </w:pPr>
      <w:r w:rsidRPr="002B6C4A">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2B6C4A" w:rsidRDefault="00161F1B" w:rsidP="009E1027">
      <w:pPr>
        <w:pStyle w:val="ListParagraph"/>
        <w:numPr>
          <w:ilvl w:val="0"/>
          <w:numId w:val="13"/>
        </w:numPr>
        <w:ind w:left="426"/>
        <w:jc w:val="both"/>
        <w:rPr>
          <w:rFonts w:ascii="Avenir Next" w:hAnsi="Avenir Next" w:cs="Arial"/>
          <w:sz w:val="22"/>
          <w:szCs w:val="22"/>
          <w:highlight w:val="yellow"/>
          <w:lang w:val="en-GB"/>
        </w:rPr>
      </w:pPr>
      <w:r w:rsidRPr="002B6C4A">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17087D" w:rsidRDefault="009E2E27" w:rsidP="008031A7">
      <w:pPr>
        <w:pStyle w:val="ListParagraph"/>
        <w:numPr>
          <w:ilvl w:val="0"/>
          <w:numId w:val="14"/>
        </w:numPr>
        <w:ind w:left="426"/>
        <w:jc w:val="both"/>
        <w:rPr>
          <w:rFonts w:ascii="Avenir Next" w:hAnsi="Avenir Next" w:cs="Arial"/>
          <w:sz w:val="22"/>
          <w:szCs w:val="22"/>
          <w:highlight w:val="yellow"/>
          <w:lang w:val="en-GB"/>
        </w:rPr>
      </w:pPr>
      <w:r w:rsidRPr="0017087D">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327A3B" w:rsidRDefault="009E2E27" w:rsidP="008031A7">
      <w:pPr>
        <w:pStyle w:val="ListParagraph"/>
        <w:numPr>
          <w:ilvl w:val="0"/>
          <w:numId w:val="15"/>
        </w:numPr>
        <w:ind w:left="426"/>
        <w:jc w:val="both"/>
        <w:rPr>
          <w:rFonts w:ascii="Avenir Next" w:hAnsi="Avenir Next" w:cs="Arial"/>
          <w:sz w:val="22"/>
          <w:szCs w:val="22"/>
          <w:highlight w:val="yellow"/>
          <w:lang w:val="en-GB"/>
        </w:rPr>
      </w:pPr>
      <w:r w:rsidRPr="00327A3B">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E469CA" w:rsidRDefault="00A235B7" w:rsidP="006D01C2">
      <w:pPr>
        <w:pStyle w:val="ListParagraph"/>
        <w:numPr>
          <w:ilvl w:val="0"/>
          <w:numId w:val="16"/>
        </w:numPr>
        <w:ind w:left="426"/>
        <w:jc w:val="both"/>
        <w:rPr>
          <w:rFonts w:ascii="Avenir Next" w:hAnsi="Avenir Next" w:cs="Arial"/>
          <w:sz w:val="22"/>
          <w:szCs w:val="22"/>
          <w:highlight w:val="yellow"/>
          <w:lang w:val="en-GB"/>
        </w:rPr>
      </w:pPr>
      <w:r w:rsidRPr="00E469CA">
        <w:rPr>
          <w:rFonts w:ascii="Avenir Next" w:hAnsi="Avenir Next" w:cs="Arial"/>
          <w:sz w:val="22"/>
          <w:szCs w:val="22"/>
          <w:highlight w:val="yellow"/>
          <w:lang w:val="en-GB"/>
        </w:rPr>
        <w:t>The statement</w:t>
      </w:r>
      <w:r w:rsidR="0037465A" w:rsidRPr="00E469CA">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564D80"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564D80">
        <w:rPr>
          <w:rFonts w:ascii="Avenir Next" w:eastAsiaTheme="minorHAnsi" w:hAnsi="Avenir Next" w:cs="Arial"/>
          <w:sz w:val="22"/>
          <w:szCs w:val="22"/>
          <w:highlight w:val="yellow"/>
          <w:lang w:val="en-GB"/>
        </w:rPr>
        <w:t>Public International Law</w:t>
      </w:r>
      <w:r w:rsidR="00991428" w:rsidRPr="00564D80">
        <w:rPr>
          <w:rFonts w:ascii="Avenir Next" w:eastAsiaTheme="minorHAnsi" w:hAnsi="Avenir Next" w:cs="Arial"/>
          <w:sz w:val="22"/>
          <w:szCs w:val="22"/>
          <w:highlight w:val="yellow"/>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564D80"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564D80">
        <w:rPr>
          <w:rFonts w:ascii="Avenir Next" w:eastAsiaTheme="minorHAnsi" w:hAnsi="Avenir Next" w:cs="Arial"/>
          <w:sz w:val="22"/>
          <w:szCs w:val="22"/>
          <w:lang w:val="en-GB"/>
        </w:rPr>
        <w:t>Private International Law</w:t>
      </w:r>
      <w:r w:rsidR="00991428" w:rsidRPr="00564D80">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521225" w:rsidRDefault="004D1A5A" w:rsidP="006D01C2">
      <w:pPr>
        <w:pStyle w:val="ListParagraph"/>
        <w:numPr>
          <w:ilvl w:val="0"/>
          <w:numId w:val="18"/>
        </w:numPr>
        <w:ind w:left="426"/>
        <w:jc w:val="both"/>
        <w:rPr>
          <w:rFonts w:ascii="Avenir Next" w:hAnsi="Avenir Next" w:cs="Arial"/>
          <w:sz w:val="22"/>
          <w:szCs w:val="22"/>
          <w:highlight w:val="yellow"/>
          <w:lang w:val="en-GB"/>
        </w:rPr>
      </w:pPr>
      <w:r w:rsidRPr="00521225">
        <w:rPr>
          <w:rFonts w:ascii="Avenir Next" w:hAnsi="Avenir Next" w:cs="Arial"/>
          <w:sz w:val="22"/>
          <w:szCs w:val="22"/>
          <w:highlight w:val="yellow"/>
          <w:lang w:val="en-GB"/>
        </w:rPr>
        <w:t>UNCITRAL Model Law on Cross-border Insolvency (1997)</w:t>
      </w:r>
      <w:r w:rsidR="00912C79" w:rsidRPr="00521225">
        <w:rPr>
          <w:rFonts w:ascii="Avenir Next" w:hAnsi="Avenir Next" w:cs="Arial"/>
          <w:sz w:val="22"/>
          <w:szCs w:val="22"/>
          <w:highlight w:val="yellow"/>
          <w:lang w:val="en-GB"/>
        </w:rPr>
        <w:t>.</w:t>
      </w:r>
      <w:r w:rsidRPr="00521225">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1D5EF9" w:rsidRDefault="001A7E9A" w:rsidP="006D01C2">
      <w:pPr>
        <w:pStyle w:val="ListParagraph"/>
        <w:numPr>
          <w:ilvl w:val="0"/>
          <w:numId w:val="19"/>
        </w:numPr>
        <w:ind w:left="426"/>
        <w:jc w:val="both"/>
        <w:rPr>
          <w:rFonts w:ascii="Avenir Next" w:hAnsi="Avenir Next" w:cs="Arial"/>
          <w:sz w:val="22"/>
          <w:szCs w:val="22"/>
          <w:lang w:val="en-GB"/>
        </w:rPr>
      </w:pPr>
      <w:r w:rsidRPr="001D5EF9">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1D5EF9"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1D5EF9">
        <w:rPr>
          <w:rFonts w:ascii="Avenir Next" w:hAnsi="Avenir Next" w:cs="Arial"/>
          <w:sz w:val="22"/>
          <w:szCs w:val="22"/>
          <w:highlight w:val="yellow"/>
          <w:lang w:val="en-GB"/>
        </w:rPr>
        <w:t>Havana Convention on Private International Law (1928)</w:t>
      </w:r>
      <w:r w:rsidRPr="001D5EF9">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0D7CFB">
        <w:rPr>
          <w:rFonts w:ascii="Avenir Next" w:hAnsi="Avenir Next" w:cs="Arial"/>
          <w:sz w:val="22"/>
          <w:szCs w:val="22"/>
          <w:highlight w:val="yellow"/>
          <w:lang w:val="en-GB"/>
        </w:rPr>
        <w:t>Proceedings to restructure a debtor that is facing the likelihood of insolvency</w:t>
      </w:r>
      <w:r w:rsidRPr="00827D56">
        <w:rPr>
          <w:rFonts w:ascii="Avenir Next" w:hAnsi="Avenir Next" w:cs="Arial"/>
          <w:sz w:val="22"/>
          <w:szCs w:val="22"/>
          <w:lang w:val="en-GB"/>
        </w:rPr>
        <w:t>.</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0D7CFB" w:rsidRDefault="0082483F" w:rsidP="006D01C2">
      <w:pPr>
        <w:pStyle w:val="ListParagraph"/>
        <w:numPr>
          <w:ilvl w:val="0"/>
          <w:numId w:val="20"/>
        </w:numPr>
        <w:ind w:left="426"/>
        <w:jc w:val="both"/>
        <w:rPr>
          <w:rFonts w:ascii="Avenir Next" w:hAnsi="Avenir Next" w:cs="Arial"/>
          <w:sz w:val="22"/>
          <w:szCs w:val="22"/>
          <w:lang w:val="en-GB"/>
        </w:rPr>
      </w:pPr>
      <w:r w:rsidRPr="000D7CFB">
        <w:rPr>
          <w:rFonts w:ascii="Avenir Next" w:hAnsi="Avenir Next" w:cs="Arial"/>
          <w:sz w:val="22"/>
          <w:szCs w:val="22"/>
          <w:lang w:val="en-GB"/>
        </w:rPr>
        <w:t>A centralised insolvency register of insolvency proceedings opened in member states</w:t>
      </w:r>
      <w:r w:rsidR="003A2F8D" w:rsidRPr="000D7CFB">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0D7CFB"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0D7CFB">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3B9637E4" w:rsidR="009B07AD" w:rsidRDefault="00916BC5"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International Insolvency Law is defined by Wessels as “a body of rules concerning certain insolvency proceedings or measures, which cannot be fully enforced, because the applicable law cannot be executed immediately and exclusively without consideration being given to the international aspect of a given case”. </w:t>
      </w:r>
      <w:r w:rsidR="003E61E3">
        <w:rPr>
          <w:rStyle w:val="FootnoteReference"/>
          <w:rFonts w:ascii="Avenir Next" w:hAnsi="Avenir Next" w:cs="Arial"/>
          <w:color w:val="7B7B7B" w:themeColor="accent3" w:themeShade="BF"/>
          <w:sz w:val="22"/>
          <w:szCs w:val="22"/>
          <w:lang w:val="en-GB"/>
        </w:rPr>
        <w:footnoteReference w:id="1"/>
      </w:r>
    </w:p>
    <w:p w14:paraId="54DD0DE5" w14:textId="3F6AF7A9" w:rsidR="00916BC5" w:rsidRDefault="00916BC5" w:rsidP="00C053F7">
      <w:pPr>
        <w:ind w:left="720" w:hanging="720"/>
        <w:jc w:val="both"/>
        <w:rPr>
          <w:rFonts w:ascii="Avenir Next" w:hAnsi="Avenir Next" w:cs="Arial"/>
          <w:color w:val="7B7B7B" w:themeColor="accent3" w:themeShade="BF"/>
          <w:sz w:val="22"/>
          <w:szCs w:val="22"/>
          <w:lang w:val="en-GB"/>
        </w:rPr>
      </w:pPr>
    </w:p>
    <w:p w14:paraId="22C610C9" w14:textId="39A8729C" w:rsidR="00DE03AF" w:rsidRDefault="00170338"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Fletcher on the other hand, defines it as “a situation.. in which an insolvency occurs in circumstances which in some way transcend the confines of a single legal system, so that a single set of domestic insolvency law provisions cannot be immediately and exclusively applied without regard to the issues raised by the foreign elements of the case”</w:t>
      </w:r>
      <w:r w:rsidR="003E61E3">
        <w:rPr>
          <w:rStyle w:val="FootnoteReference"/>
          <w:rFonts w:ascii="Avenir Next" w:hAnsi="Avenir Next" w:cs="Arial"/>
          <w:color w:val="7B7B7B" w:themeColor="accent3" w:themeShade="BF"/>
          <w:sz w:val="22"/>
          <w:szCs w:val="22"/>
          <w:lang w:val="en-GB"/>
        </w:rPr>
        <w:footnoteReference w:id="2"/>
      </w:r>
      <w:r>
        <w:rPr>
          <w:rFonts w:ascii="Avenir Next" w:hAnsi="Avenir Next" w:cs="Arial"/>
          <w:color w:val="7B7B7B" w:themeColor="accent3" w:themeShade="BF"/>
          <w:sz w:val="22"/>
          <w:szCs w:val="22"/>
          <w:lang w:val="en-GB"/>
        </w:rPr>
        <w:t xml:space="preserve">. </w:t>
      </w:r>
    </w:p>
    <w:p w14:paraId="738569C4" w14:textId="60377BB6" w:rsidR="00170338" w:rsidRDefault="00170338" w:rsidP="00C053F7">
      <w:pPr>
        <w:jc w:val="both"/>
        <w:rPr>
          <w:rFonts w:ascii="Avenir Next" w:hAnsi="Avenir Next" w:cs="Arial"/>
          <w:color w:val="7B7B7B" w:themeColor="accent3" w:themeShade="BF"/>
          <w:sz w:val="22"/>
          <w:szCs w:val="22"/>
          <w:lang w:val="en-GB"/>
        </w:rPr>
      </w:pPr>
    </w:p>
    <w:p w14:paraId="4B91EA88" w14:textId="00C0DBD8" w:rsidR="00170338" w:rsidRPr="00827D56" w:rsidRDefault="00170338"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Wessels recognises in his writing that these definitions are both limited, as they refer to the existence of a national legal framework of insolvency law, which isn’t </w:t>
      </w:r>
      <w:r w:rsidR="00AC7206">
        <w:rPr>
          <w:rFonts w:ascii="Avenir Next" w:hAnsi="Avenir Next" w:cs="Arial"/>
          <w:color w:val="7B7B7B" w:themeColor="accent3" w:themeShade="BF"/>
          <w:sz w:val="22"/>
          <w:szCs w:val="22"/>
          <w:lang w:val="en-GB"/>
        </w:rPr>
        <w:t>applicable in all States.</w:t>
      </w: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039E27B5" w14:textId="643E16D6" w:rsidR="00C82D87" w:rsidRDefault="00055A9C"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Salafia suggests that territorialism is a system based off the belief that a court’s power is limited to its own country’s jurisdiction and insolvency law. </w:t>
      </w:r>
      <w:r w:rsidR="003E61E3">
        <w:rPr>
          <w:rStyle w:val="FootnoteReference"/>
          <w:rFonts w:ascii="Avenir Next" w:hAnsi="Avenir Next" w:cs="Arial"/>
          <w:color w:val="7B7B7B" w:themeColor="accent3" w:themeShade="BF"/>
          <w:sz w:val="22"/>
          <w:szCs w:val="22"/>
          <w:lang w:val="en-GB"/>
        </w:rPr>
        <w:footnoteReference w:id="3"/>
      </w:r>
      <w:r>
        <w:rPr>
          <w:rFonts w:ascii="Avenir Next" w:hAnsi="Avenir Next" w:cs="Arial"/>
          <w:color w:val="7B7B7B" w:themeColor="accent3" w:themeShade="BF"/>
          <w:sz w:val="22"/>
          <w:szCs w:val="22"/>
          <w:lang w:val="en-GB"/>
        </w:rPr>
        <w:t>This means that should an entity have operations</w:t>
      </w:r>
      <w:r w:rsidR="00896021">
        <w:rPr>
          <w:rFonts w:ascii="Avenir Next" w:hAnsi="Avenir Next" w:cs="Arial"/>
          <w:color w:val="7B7B7B" w:themeColor="accent3" w:themeShade="BF"/>
          <w:sz w:val="22"/>
          <w:szCs w:val="22"/>
          <w:lang w:val="en-GB"/>
        </w:rPr>
        <w:t xml:space="preserve"> or assets</w:t>
      </w:r>
      <w:r>
        <w:rPr>
          <w:rFonts w:ascii="Avenir Next" w:hAnsi="Avenir Next" w:cs="Arial"/>
          <w:color w:val="7B7B7B" w:themeColor="accent3" w:themeShade="BF"/>
          <w:sz w:val="22"/>
          <w:szCs w:val="22"/>
          <w:lang w:val="en-GB"/>
        </w:rPr>
        <w:t xml:space="preserve"> in multiple jurisdictions, it may be necessary to open multiple insolvency proceedings in each jurisdiction.</w:t>
      </w:r>
    </w:p>
    <w:p w14:paraId="30F8F0D1" w14:textId="593B4523" w:rsidR="00055A9C" w:rsidRDefault="00055A9C" w:rsidP="00C053F7">
      <w:pPr>
        <w:ind w:left="720" w:hanging="720"/>
        <w:jc w:val="both"/>
        <w:rPr>
          <w:rFonts w:ascii="Avenir Next" w:hAnsi="Avenir Next" w:cs="Arial"/>
          <w:color w:val="7B7B7B" w:themeColor="accent3" w:themeShade="BF"/>
          <w:sz w:val="22"/>
          <w:szCs w:val="22"/>
          <w:lang w:val="en-GB"/>
        </w:rPr>
      </w:pPr>
    </w:p>
    <w:p w14:paraId="41C0FB55" w14:textId="6C6C7A11" w:rsidR="00896021" w:rsidRDefault="00055A9C" w:rsidP="00896021">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 the other hand, universalism takes the opposite approach, that the debtor’s estate is administered through the cooperation among all countries affected</w:t>
      </w:r>
      <w:r w:rsidR="001F6C87">
        <w:rPr>
          <w:rStyle w:val="FootnoteReference"/>
          <w:rFonts w:ascii="Avenir Next" w:hAnsi="Avenir Next" w:cs="Arial"/>
          <w:color w:val="7B7B7B" w:themeColor="accent3" w:themeShade="BF"/>
          <w:sz w:val="22"/>
          <w:szCs w:val="22"/>
          <w:lang w:val="en-GB"/>
        </w:rPr>
        <w:footnoteReference w:id="4"/>
      </w:r>
      <w:r w:rsidR="00896021">
        <w:rPr>
          <w:rFonts w:ascii="Avenir Next" w:hAnsi="Avenir Next" w:cs="Arial"/>
          <w:color w:val="7B7B7B" w:themeColor="accent3" w:themeShade="BF"/>
          <w:sz w:val="22"/>
          <w:szCs w:val="22"/>
          <w:lang w:val="en-GB"/>
        </w:rPr>
        <w:t xml:space="preserve">. This means that an entity facing insolvency with operations or assets in multiple jurisdictions can be dealt with under the provisions of one insolvency law. This may be the territory in which the entity has its ‘centre of main interests’. </w:t>
      </w:r>
    </w:p>
    <w:p w14:paraId="48907F35" w14:textId="6A6CF116" w:rsidR="00896021" w:rsidRDefault="00896021" w:rsidP="00896021">
      <w:pPr>
        <w:ind w:left="720" w:hanging="720"/>
        <w:jc w:val="both"/>
        <w:rPr>
          <w:rFonts w:ascii="Avenir Next" w:hAnsi="Avenir Next" w:cs="Arial"/>
          <w:color w:val="7B7B7B" w:themeColor="accent3" w:themeShade="BF"/>
          <w:sz w:val="22"/>
          <w:szCs w:val="22"/>
          <w:lang w:val="en-GB"/>
        </w:rPr>
      </w:pPr>
    </w:p>
    <w:p w14:paraId="7069DB37" w14:textId="0C9AF314" w:rsidR="00896021" w:rsidRDefault="00896021" w:rsidP="00896021">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absolute universalism is an unrealistic concept, modified universalism as a hybrid </w:t>
      </w:r>
      <w:r w:rsidR="00AC7206">
        <w:rPr>
          <w:rFonts w:ascii="Avenir Next" w:hAnsi="Avenir Next" w:cs="Arial"/>
          <w:color w:val="7B7B7B" w:themeColor="accent3" w:themeShade="BF"/>
          <w:sz w:val="22"/>
          <w:szCs w:val="22"/>
          <w:lang w:val="en-GB"/>
        </w:rPr>
        <w:t>approach</w:t>
      </w:r>
      <w:r>
        <w:rPr>
          <w:rFonts w:ascii="Avenir Next" w:hAnsi="Avenir Next" w:cs="Arial"/>
          <w:color w:val="7B7B7B" w:themeColor="accent3" w:themeShade="BF"/>
          <w:sz w:val="22"/>
          <w:szCs w:val="22"/>
          <w:lang w:val="en-GB"/>
        </w:rPr>
        <w:t xml:space="preserve"> has been created and is adopted by a number of States. In this approach, a ‘main proceeding’ is commenced in the entity’s ‘centre of main interests’, at the same time as </w:t>
      </w:r>
      <w:r w:rsidR="00AC7206">
        <w:rPr>
          <w:rFonts w:ascii="Avenir Next" w:hAnsi="Avenir Next" w:cs="Arial"/>
          <w:color w:val="7B7B7B" w:themeColor="accent3" w:themeShade="BF"/>
          <w:sz w:val="22"/>
          <w:szCs w:val="22"/>
          <w:lang w:val="en-GB"/>
        </w:rPr>
        <w:t>proceedings in other relevant States, and there is a level of co-operation between the States.</w:t>
      </w:r>
    </w:p>
    <w:p w14:paraId="2190E44C" w14:textId="77777777" w:rsidR="00896021" w:rsidRPr="00896021" w:rsidRDefault="00896021" w:rsidP="00896021">
      <w:pPr>
        <w:ind w:left="720" w:hanging="720"/>
        <w:jc w:val="both"/>
        <w:rPr>
          <w:rFonts w:ascii="Avenir Next" w:hAnsi="Avenir Next" w:cs="Arial"/>
          <w:color w:val="7B7B7B" w:themeColor="accent3" w:themeShade="BF"/>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0348922B" w14:textId="52C0D96A" w:rsidR="00535ED3" w:rsidRDefault="00F8385C" w:rsidP="00E14A7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middle east, a growing number of states have now adopted the UNCITRAL Model Law on cross-border insolvency. For example in UAE, both </w:t>
      </w:r>
      <w:r w:rsidR="00535ED3">
        <w:rPr>
          <w:rFonts w:ascii="Avenir Next" w:hAnsi="Avenir Next" w:cs="Arial"/>
          <w:color w:val="7B7B7B" w:themeColor="accent3" w:themeShade="BF"/>
          <w:sz w:val="22"/>
          <w:szCs w:val="22"/>
          <w:lang w:val="en-GB"/>
        </w:rPr>
        <w:t xml:space="preserve">Dubai International Financial Centre and Abu Dhabi Global Market </w:t>
      </w:r>
      <w:r>
        <w:rPr>
          <w:rFonts w:ascii="Avenir Next" w:hAnsi="Avenir Next" w:cs="Arial"/>
          <w:color w:val="7B7B7B" w:themeColor="accent3" w:themeShade="BF"/>
          <w:sz w:val="22"/>
          <w:szCs w:val="22"/>
          <w:lang w:val="en-GB"/>
        </w:rPr>
        <w:t>have adopted the UNCITRAL Model Law on cross-border insolvency in 2019 and 2015 respectively, and i</w:t>
      </w:r>
      <w:r w:rsidR="00535ED3">
        <w:rPr>
          <w:rFonts w:ascii="Avenir Next" w:hAnsi="Avenir Next" w:cs="Arial"/>
          <w:color w:val="7B7B7B" w:themeColor="accent3" w:themeShade="BF"/>
          <w:sz w:val="22"/>
          <w:szCs w:val="22"/>
          <w:lang w:val="en-GB"/>
        </w:rPr>
        <w:t>n 2018, Bahrain adopted the UNCITRAL Model Law</w:t>
      </w:r>
      <w:r>
        <w:rPr>
          <w:rFonts w:ascii="Avenir Next" w:hAnsi="Avenir Next" w:cs="Arial"/>
          <w:color w:val="7B7B7B" w:themeColor="accent3" w:themeShade="BF"/>
          <w:sz w:val="22"/>
          <w:szCs w:val="22"/>
          <w:lang w:val="en-GB"/>
        </w:rPr>
        <w:t>.</w:t>
      </w:r>
      <w:r w:rsidR="001F6C87">
        <w:rPr>
          <w:rStyle w:val="FootnoteReference"/>
          <w:rFonts w:ascii="Avenir Next" w:hAnsi="Avenir Next" w:cs="Arial"/>
          <w:color w:val="7B7B7B" w:themeColor="accent3" w:themeShade="BF"/>
          <w:sz w:val="22"/>
          <w:szCs w:val="22"/>
          <w:lang w:val="en-GB"/>
        </w:rPr>
        <w:footnoteReference w:id="5"/>
      </w:r>
    </w:p>
    <w:p w14:paraId="64A0E368" w14:textId="0B4105B8" w:rsidR="00F8385C" w:rsidRDefault="00F8385C" w:rsidP="00E14A71">
      <w:pPr>
        <w:jc w:val="both"/>
        <w:rPr>
          <w:rFonts w:ascii="Avenir Next" w:hAnsi="Avenir Next" w:cs="Arial"/>
          <w:color w:val="7B7B7B" w:themeColor="accent3" w:themeShade="BF"/>
          <w:sz w:val="22"/>
          <w:szCs w:val="22"/>
          <w:lang w:val="en-GB"/>
        </w:rPr>
      </w:pPr>
    </w:p>
    <w:p w14:paraId="58851DC3" w14:textId="3266745F" w:rsidR="00F8385C" w:rsidRDefault="00F8385C" w:rsidP="00E14A7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Whilst onshore UAE has not adopted the UNCITRAL Law, precedent has been set for onshore UAE courts recognising foreign judgements, and in addition to this, a recent </w:t>
      </w:r>
      <w:r w:rsidR="00B3266D">
        <w:rPr>
          <w:rFonts w:ascii="Avenir Next" w:hAnsi="Avenir Next" w:cs="Arial"/>
          <w:color w:val="7B7B7B" w:themeColor="accent3" w:themeShade="BF"/>
          <w:sz w:val="22"/>
          <w:szCs w:val="22"/>
          <w:lang w:val="en-GB"/>
        </w:rPr>
        <w:t>UAE ministerial notice discussed “</w:t>
      </w:r>
      <w:r w:rsidR="00B3266D" w:rsidRPr="00B3266D">
        <w:rPr>
          <w:rFonts w:ascii="Avenir Next" w:hAnsi="Avenir Next" w:cs="Arial"/>
          <w:color w:val="7B7B7B" w:themeColor="accent3" w:themeShade="BF"/>
          <w:sz w:val="22"/>
          <w:szCs w:val="22"/>
          <w:lang w:val="en-GB"/>
        </w:rPr>
        <w:t>The desire to strengthen fruitful cooperation in the legal and judicial field</w:t>
      </w:r>
      <w:r w:rsidR="00B3266D">
        <w:rPr>
          <w:rFonts w:ascii="Avenir Next" w:hAnsi="Avenir Next" w:cs="Arial"/>
          <w:color w:val="7B7B7B" w:themeColor="accent3" w:themeShade="BF"/>
          <w:sz w:val="22"/>
          <w:szCs w:val="22"/>
          <w:lang w:val="en-GB"/>
        </w:rPr>
        <w:t>”</w:t>
      </w:r>
      <w:r w:rsidR="001F6C87">
        <w:rPr>
          <w:rStyle w:val="FootnoteReference"/>
          <w:rFonts w:ascii="Avenir Next" w:hAnsi="Avenir Next" w:cs="Arial"/>
          <w:color w:val="7B7B7B" w:themeColor="accent3" w:themeShade="BF"/>
          <w:sz w:val="22"/>
          <w:szCs w:val="22"/>
          <w:lang w:val="en-GB"/>
        </w:rPr>
        <w:footnoteReference w:id="6"/>
      </w:r>
      <w:r w:rsidR="00B3266D">
        <w:rPr>
          <w:rFonts w:ascii="Avenir Next" w:hAnsi="Avenir Next" w:cs="Arial"/>
          <w:color w:val="7B7B7B" w:themeColor="accent3" w:themeShade="BF"/>
          <w:sz w:val="22"/>
          <w:szCs w:val="22"/>
          <w:lang w:val="en-GB"/>
        </w:rPr>
        <w:t xml:space="preserve"> in respect of its relationship with Great Britain and Ireland. It goes on to confirm that UAE may enforce English judgements</w:t>
      </w:r>
      <w:r w:rsidR="00212FBD">
        <w:rPr>
          <w:rFonts w:ascii="Avenir Next" w:hAnsi="Avenir Next" w:cs="Arial"/>
          <w:color w:val="7B7B7B" w:themeColor="accent3" w:themeShade="BF"/>
          <w:sz w:val="22"/>
          <w:szCs w:val="22"/>
          <w:lang w:val="en-GB"/>
        </w:rPr>
        <w:t>, encouraging further collaboration with other jurisdictions in insolvency issues.</w:t>
      </w:r>
    </w:p>
    <w:p w14:paraId="5DDD488A" w14:textId="77777777" w:rsidR="00535ED3" w:rsidRDefault="00535ED3" w:rsidP="00E14A71">
      <w:pPr>
        <w:jc w:val="both"/>
        <w:rPr>
          <w:rFonts w:ascii="Avenir Next" w:hAnsi="Avenir Next" w:cs="Arial"/>
          <w:color w:val="7B7B7B" w:themeColor="accent3" w:themeShade="BF"/>
          <w:sz w:val="22"/>
          <w:szCs w:val="22"/>
          <w:lang w:val="en-GB"/>
        </w:rPr>
      </w:pPr>
    </w:p>
    <w:p w14:paraId="78DB9FD8" w14:textId="025EFC38" w:rsidR="00C72848" w:rsidRDefault="00564D80" w:rsidP="00E14A7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Most recently, in December 2022, Saudi Arabia has implemented international insolvency laws based on the UNCITRAL Model Law on cross-border insolvency. Recognition can now be sought from Saudi courts by foreign officeholders, and the Saudi courts have the ability to provide </w:t>
      </w:r>
      <w:r w:rsidR="00535ED3">
        <w:rPr>
          <w:rFonts w:ascii="Avenir Next" w:hAnsi="Avenir Next" w:cs="Arial"/>
          <w:color w:val="7B7B7B" w:themeColor="accent3" w:themeShade="BF"/>
          <w:sz w:val="22"/>
          <w:szCs w:val="22"/>
          <w:lang w:val="en-GB"/>
        </w:rPr>
        <w:t>various forms of judicial support, including the enforcement of foreign judgement, applying a stay of proceedings against debtors, and granting powers to the officeholder over the debtor’s assets located in Saudi Arabia.</w:t>
      </w:r>
      <w:r w:rsidR="001F6C87">
        <w:rPr>
          <w:rStyle w:val="FootnoteReference"/>
          <w:rFonts w:ascii="Avenir Next" w:hAnsi="Avenir Next" w:cs="Arial"/>
          <w:color w:val="7B7B7B" w:themeColor="accent3" w:themeShade="BF"/>
          <w:sz w:val="22"/>
          <w:szCs w:val="22"/>
          <w:lang w:val="en-GB"/>
        </w:rPr>
        <w:footnoteReference w:id="7"/>
      </w:r>
    </w:p>
    <w:p w14:paraId="1BA08382" w14:textId="77E1CCE4" w:rsidR="007475E9" w:rsidRDefault="007475E9" w:rsidP="00E14A71">
      <w:pPr>
        <w:jc w:val="both"/>
        <w:rPr>
          <w:rFonts w:ascii="Avenir Next" w:hAnsi="Avenir Next" w:cs="Arial"/>
          <w:color w:val="7B7B7B" w:themeColor="accent3" w:themeShade="BF"/>
          <w:sz w:val="22"/>
          <w:szCs w:val="22"/>
          <w:lang w:val="en-GB"/>
        </w:rPr>
      </w:pPr>
    </w:p>
    <w:p w14:paraId="42E8C813" w14:textId="6B9F3607" w:rsidR="009A776B" w:rsidRDefault="007475E9" w:rsidP="00E14A71">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Elsewhere, </w:t>
      </w:r>
      <w:r w:rsidR="009A776B">
        <w:rPr>
          <w:rFonts w:ascii="Avenir Next" w:hAnsi="Avenir Next" w:cs="Arial"/>
          <w:color w:val="7B7B7B" w:themeColor="accent3" w:themeShade="BF"/>
          <w:sz w:val="22"/>
          <w:szCs w:val="22"/>
          <w:lang w:val="en-GB"/>
        </w:rPr>
        <w:t xml:space="preserve">in Morocco, recent reforms in insolvency law have updated the countries practices to align with those in jurisdictions with collaborative cross-border insolvency practices. Whereby </w:t>
      </w:r>
      <w:r w:rsidR="009A776B">
        <w:rPr>
          <w:rFonts w:ascii="Avenir Next" w:hAnsi="Avenir Next" w:cs="Arial"/>
          <w:color w:val="7B7B7B" w:themeColor="accent3" w:themeShade="BF"/>
          <w:sz w:val="22"/>
          <w:szCs w:val="22"/>
          <w:lang w:val="en-GB"/>
        </w:rPr>
        <w:lastRenderedPageBreak/>
        <w:t>previously in the Commercial Laws of Morocco, creditors were not able to substantially participate in bankruptcy processes, in accordance with the new reformed laws a ‘creditor association’ is formed at the beginning of each judicial insolvency procedure and powers are given to this association to supervise the debtor.</w:t>
      </w:r>
      <w:r w:rsidR="001F6C87">
        <w:rPr>
          <w:rStyle w:val="FootnoteReference"/>
          <w:rFonts w:ascii="Avenir Next" w:hAnsi="Avenir Next" w:cs="Arial"/>
          <w:color w:val="7B7B7B" w:themeColor="accent3" w:themeShade="BF"/>
          <w:sz w:val="22"/>
          <w:szCs w:val="22"/>
          <w:lang w:val="en-GB"/>
        </w:rPr>
        <w:footnoteReference w:id="8"/>
      </w: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581234F2" w:rsidR="00544127" w:rsidRDefault="009465B5"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Whilst personal and corporate insolvency do share some common themes, for example the staying of proceedings against the entity or individual and the pooling of assets, the objectives and reasoning for entering the insolvency process generally differ.</w:t>
      </w:r>
    </w:p>
    <w:p w14:paraId="4D8619BB" w14:textId="2C95F167" w:rsidR="009465B5" w:rsidRDefault="009465B5" w:rsidP="00C053F7">
      <w:pPr>
        <w:jc w:val="both"/>
        <w:rPr>
          <w:rFonts w:ascii="Avenir Next" w:hAnsi="Avenir Next" w:cs="Arial"/>
          <w:color w:val="7B7B7B" w:themeColor="accent3" w:themeShade="BF"/>
          <w:sz w:val="22"/>
          <w:szCs w:val="22"/>
          <w:lang w:val="en-GB"/>
        </w:rPr>
      </w:pPr>
    </w:p>
    <w:p w14:paraId="7B0FEBCC" w14:textId="73EEBA30" w:rsidR="00766427" w:rsidRDefault="0076642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Hooley and Sealey </w:t>
      </w:r>
      <w:r w:rsidR="00333E8D">
        <w:rPr>
          <w:rFonts w:ascii="Avenir Next" w:hAnsi="Avenir Next" w:cs="Arial"/>
          <w:color w:val="7B7B7B" w:themeColor="accent3" w:themeShade="BF"/>
          <w:sz w:val="22"/>
          <w:szCs w:val="22"/>
          <w:lang w:val="en-GB"/>
        </w:rPr>
        <w:t xml:space="preserve">suggested that individuals’ goals when entering an insolvency process would include protecting themselves from aggrieved creditors - the officeholder or liquidators would deal with any subsequent communications with creditors, enabling the debtor to make a fresh start. </w:t>
      </w:r>
      <w:r w:rsidR="00F42CD6">
        <w:rPr>
          <w:rStyle w:val="FootnoteReference"/>
          <w:rFonts w:ascii="Avenir Next" w:hAnsi="Avenir Next" w:cs="Arial"/>
          <w:color w:val="7B7B7B" w:themeColor="accent3" w:themeShade="BF"/>
          <w:sz w:val="22"/>
          <w:szCs w:val="22"/>
          <w:lang w:val="en-GB"/>
        </w:rPr>
        <w:footnoteReference w:id="9"/>
      </w:r>
    </w:p>
    <w:p w14:paraId="3516F46A" w14:textId="4CAB6451" w:rsidR="00F0344D" w:rsidRDefault="00F0344D" w:rsidP="00C053F7">
      <w:pPr>
        <w:jc w:val="both"/>
        <w:rPr>
          <w:rFonts w:ascii="Avenir Next" w:hAnsi="Avenir Next" w:cs="Arial"/>
          <w:color w:val="7B7B7B" w:themeColor="accent3" w:themeShade="BF"/>
          <w:sz w:val="22"/>
          <w:szCs w:val="22"/>
          <w:lang w:val="en-GB"/>
        </w:rPr>
      </w:pPr>
    </w:p>
    <w:p w14:paraId="106C58A5" w14:textId="6AA9368E" w:rsidR="0032631C" w:rsidRDefault="00F0344D"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White gives another interesting objective of personal bankruptcy: “</w:t>
      </w:r>
      <w:r w:rsidRPr="00F0344D">
        <w:rPr>
          <w:rFonts w:ascii="Avenir Next" w:hAnsi="Avenir Next" w:cs="Arial"/>
          <w:color w:val="7B7B7B" w:themeColor="accent3" w:themeShade="BF"/>
          <w:sz w:val="22"/>
          <w:szCs w:val="22"/>
          <w:lang w:val="en-GB"/>
        </w:rPr>
        <w:t>Because individuals in bankruptcy never liquidate, there is no issue of filtering failure in personal bankruptcy. Also, an important objective of personal bankruptcy law that does not exist in corporate bankruptcy is to provide partial consumption insurance to bankrupts</w:t>
      </w:r>
      <w:r>
        <w:rPr>
          <w:rFonts w:ascii="Avenir Next" w:hAnsi="Avenir Next" w:cs="Arial"/>
          <w:color w:val="7B7B7B" w:themeColor="accent3" w:themeShade="BF"/>
          <w:sz w:val="22"/>
          <w:szCs w:val="22"/>
          <w:lang w:val="en-GB"/>
        </w:rPr>
        <w:t>”.</w:t>
      </w:r>
      <w:r w:rsidR="00F42CD6">
        <w:rPr>
          <w:rStyle w:val="FootnoteReference"/>
          <w:rFonts w:ascii="Avenir Next" w:hAnsi="Avenir Next" w:cs="Arial"/>
          <w:color w:val="7B7B7B" w:themeColor="accent3" w:themeShade="BF"/>
          <w:sz w:val="22"/>
          <w:szCs w:val="22"/>
          <w:lang w:val="en-GB"/>
        </w:rPr>
        <w:footnoteReference w:id="10"/>
      </w:r>
      <w:r>
        <w:rPr>
          <w:rFonts w:ascii="Avenir Next" w:hAnsi="Avenir Next" w:cs="Arial"/>
          <w:color w:val="7B7B7B" w:themeColor="accent3" w:themeShade="BF"/>
          <w:sz w:val="22"/>
          <w:szCs w:val="22"/>
          <w:lang w:val="en-GB"/>
        </w:rPr>
        <w:t xml:space="preserve"> </w:t>
      </w:r>
      <w:r w:rsidR="0032631C">
        <w:rPr>
          <w:rFonts w:ascii="Avenir Next" w:hAnsi="Avenir Next" w:cs="Arial"/>
          <w:color w:val="7B7B7B" w:themeColor="accent3" w:themeShade="BF"/>
          <w:sz w:val="22"/>
          <w:szCs w:val="22"/>
          <w:lang w:val="en-GB"/>
        </w:rPr>
        <w:t xml:space="preserve">In this context, filtering failure refers to when companies continue to operate when they should be liquidated or vice versa. Partial consumption insurance is in reference to the system whereby the debtor will pay more when their ability-to-repay is high and pay less when ability-to-pay is low, therefore taking the debtors means to pay and personal circumstances into consideration. These allowances do not apply to corporations entering insolvency. </w:t>
      </w:r>
    </w:p>
    <w:p w14:paraId="0EEF96ED" w14:textId="77777777" w:rsidR="0032631C" w:rsidRDefault="0032631C" w:rsidP="00C053F7">
      <w:pPr>
        <w:jc w:val="both"/>
        <w:rPr>
          <w:rFonts w:ascii="Avenir Next" w:hAnsi="Avenir Next" w:cs="Arial"/>
          <w:color w:val="7B7B7B" w:themeColor="accent3" w:themeShade="BF"/>
          <w:sz w:val="22"/>
          <w:szCs w:val="22"/>
          <w:lang w:val="en-GB"/>
        </w:rPr>
      </w:pPr>
    </w:p>
    <w:p w14:paraId="66C5A098" w14:textId="59AD1D10" w:rsidR="00C93EDC" w:rsidRDefault="0032631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 the other hand, Sealey and Hooley</w:t>
      </w:r>
      <w:r w:rsidR="00F42CD6">
        <w:rPr>
          <w:rStyle w:val="FootnoteReference"/>
          <w:rFonts w:ascii="Avenir Next" w:hAnsi="Avenir Next" w:cs="Arial"/>
          <w:color w:val="7B7B7B" w:themeColor="accent3" w:themeShade="BF"/>
          <w:sz w:val="22"/>
          <w:szCs w:val="22"/>
          <w:lang w:val="en-GB"/>
        </w:rPr>
        <w:footnoteReference w:id="11"/>
      </w:r>
      <w:r w:rsidR="00F42CD6">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explain that the objectives of corporations entering an insolvency process include the preservation of the business, its assets or operations that are still viable, for example in a pre-pack or administration. </w:t>
      </w:r>
    </w:p>
    <w:p w14:paraId="3AA11D91" w14:textId="77777777" w:rsidR="00C93EDC" w:rsidRDefault="00C93EDC" w:rsidP="00C053F7">
      <w:pPr>
        <w:jc w:val="both"/>
        <w:rPr>
          <w:rFonts w:ascii="Avenir Next" w:hAnsi="Avenir Next" w:cs="Arial"/>
          <w:color w:val="7B7B7B" w:themeColor="accent3" w:themeShade="BF"/>
          <w:sz w:val="22"/>
          <w:szCs w:val="22"/>
          <w:lang w:val="en-GB"/>
        </w:rPr>
      </w:pPr>
    </w:p>
    <w:p w14:paraId="66346126" w14:textId="46AECAA6" w:rsidR="00F0344D" w:rsidRDefault="0032631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Another key component of insolvency in corporations is the </w:t>
      </w:r>
      <w:r w:rsidR="007475E9">
        <w:rPr>
          <w:rFonts w:ascii="Avenir Next" w:hAnsi="Avenir Next" w:cs="Arial"/>
          <w:color w:val="7B7B7B" w:themeColor="accent3" w:themeShade="BF"/>
          <w:sz w:val="22"/>
          <w:szCs w:val="22"/>
          <w:lang w:val="en-GB"/>
        </w:rPr>
        <w:t xml:space="preserve">ability to </w:t>
      </w:r>
      <w:r w:rsidR="009A776B">
        <w:rPr>
          <w:rFonts w:ascii="Avenir Next" w:hAnsi="Avenir Next" w:cs="Arial"/>
          <w:color w:val="7B7B7B" w:themeColor="accent3" w:themeShade="BF"/>
          <w:sz w:val="22"/>
          <w:szCs w:val="22"/>
          <w:lang w:val="en-GB"/>
        </w:rPr>
        <w:t xml:space="preserve">take action against individuals that have abused personal liability. An example of this would be a claim against the director of an entity whereby the director has participated in fraudulent trading. </w:t>
      </w:r>
    </w:p>
    <w:p w14:paraId="3387DFFB" w14:textId="7EA86317" w:rsidR="00F0344D" w:rsidRDefault="00F0344D" w:rsidP="00C053F7">
      <w:pPr>
        <w:jc w:val="both"/>
        <w:rPr>
          <w:rFonts w:ascii="Avenir Next" w:hAnsi="Avenir Next" w:cs="Arial"/>
          <w:color w:val="7B7B7B" w:themeColor="accent3" w:themeShade="BF"/>
          <w:sz w:val="22"/>
          <w:szCs w:val="22"/>
          <w:lang w:val="en-GB"/>
        </w:rPr>
      </w:pP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3DAA6780" w14:textId="6C89C3D4" w:rsidR="00962045" w:rsidRDefault="00C93ED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are a number of key components of an insolvency system that may differ between jurisdictions, thereby creating difficulties. </w:t>
      </w:r>
      <w:r w:rsidR="00A26811">
        <w:rPr>
          <w:rFonts w:ascii="Avenir Next" w:hAnsi="Avenir Next" w:cs="Arial"/>
          <w:color w:val="7B7B7B" w:themeColor="accent3" w:themeShade="BF"/>
          <w:sz w:val="22"/>
          <w:szCs w:val="22"/>
          <w:lang w:val="en-GB"/>
        </w:rPr>
        <w:t>Insolvency laws in different States</w:t>
      </w:r>
      <w:r>
        <w:rPr>
          <w:rFonts w:ascii="Avenir Next" w:hAnsi="Avenir Next" w:cs="Arial"/>
          <w:color w:val="7B7B7B" w:themeColor="accent3" w:themeShade="BF"/>
          <w:sz w:val="22"/>
          <w:szCs w:val="22"/>
          <w:lang w:val="en-GB"/>
        </w:rPr>
        <w:t xml:space="preserve"> can often be impacted by local legal </w:t>
      </w:r>
      <w:r>
        <w:rPr>
          <w:rFonts w:ascii="Avenir Next" w:hAnsi="Avenir Next" w:cs="Arial"/>
          <w:color w:val="7B7B7B" w:themeColor="accent3" w:themeShade="BF"/>
          <w:sz w:val="22"/>
          <w:szCs w:val="22"/>
          <w:lang w:val="en-GB"/>
        </w:rPr>
        <w:lastRenderedPageBreak/>
        <w:t xml:space="preserve">culture, labour issues and basic rights, all of which feed into the insolvency system. </w:t>
      </w:r>
      <w:r w:rsidR="00A57ABA">
        <w:rPr>
          <w:rFonts w:ascii="Avenir Next" w:hAnsi="Avenir Next" w:cs="Arial"/>
          <w:color w:val="7B7B7B" w:themeColor="accent3" w:themeShade="BF"/>
          <w:sz w:val="22"/>
          <w:szCs w:val="22"/>
          <w:lang w:val="en-GB"/>
        </w:rPr>
        <w:t>Key components of an insolvency system that may vary include the following:</w:t>
      </w:r>
    </w:p>
    <w:p w14:paraId="14C35190" w14:textId="241CC0B4" w:rsidR="00A26811" w:rsidRDefault="00A26811" w:rsidP="00C053F7">
      <w:pPr>
        <w:jc w:val="both"/>
        <w:rPr>
          <w:rFonts w:ascii="Avenir Next" w:hAnsi="Avenir Next" w:cs="Arial"/>
          <w:color w:val="7B7B7B" w:themeColor="accent3" w:themeShade="BF"/>
          <w:sz w:val="22"/>
          <w:szCs w:val="22"/>
          <w:lang w:val="en-GB"/>
        </w:rPr>
      </w:pPr>
    </w:p>
    <w:p w14:paraId="7E19867D" w14:textId="0F940034" w:rsidR="00A26811" w:rsidRPr="00A57ABA" w:rsidRDefault="008B3B02" w:rsidP="00C053F7">
      <w:pPr>
        <w:jc w:val="both"/>
        <w:rPr>
          <w:rFonts w:ascii="Avenir Next" w:hAnsi="Avenir Next" w:cs="Arial"/>
          <w:color w:val="7B7B7B" w:themeColor="accent3" w:themeShade="BF"/>
          <w:sz w:val="22"/>
          <w:szCs w:val="22"/>
          <w:u w:val="single"/>
          <w:lang w:val="en-GB"/>
        </w:rPr>
      </w:pPr>
      <w:r w:rsidRPr="00A57ABA">
        <w:rPr>
          <w:rFonts w:ascii="Avenir Next" w:hAnsi="Avenir Next" w:cs="Arial"/>
          <w:color w:val="7B7B7B" w:themeColor="accent3" w:themeShade="BF"/>
          <w:sz w:val="22"/>
          <w:szCs w:val="22"/>
          <w:u w:val="single"/>
          <w:lang w:val="en-GB"/>
        </w:rPr>
        <w:t>Distributions</w:t>
      </w:r>
    </w:p>
    <w:p w14:paraId="47D42328" w14:textId="1DA730A3" w:rsidR="00A47C34" w:rsidRDefault="00A57ABA" w:rsidP="006D5D4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most insolvency systems, there is a ranking system for the priority of creditors. This may include fixed and floating creditors, preferential creditors (usually employees of the entity), unsecured creditors, crown creditors and the shareholders. The priority of these groups differs between states which can cause difficulties in a cross-border context. As observed by Jose M. Garrido</w:t>
      </w:r>
      <w:r w:rsidR="00F42CD6">
        <w:rPr>
          <w:rStyle w:val="FootnoteReference"/>
          <w:rFonts w:ascii="Avenir Next" w:hAnsi="Avenir Next" w:cs="Arial"/>
          <w:color w:val="7B7B7B" w:themeColor="accent3" w:themeShade="BF"/>
          <w:sz w:val="22"/>
          <w:szCs w:val="22"/>
          <w:lang w:val="en-GB"/>
        </w:rPr>
        <w:footnoteReference w:id="12"/>
      </w:r>
      <w:r w:rsidR="00F42CD6">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 when it comes to distributing to creditors </w:t>
      </w:r>
      <w:r w:rsidR="006D5D41">
        <w:rPr>
          <w:rFonts w:ascii="Avenir Next" w:hAnsi="Avenir Next" w:cs="Arial"/>
          <w:color w:val="7B7B7B" w:themeColor="accent3" w:themeShade="BF"/>
          <w:sz w:val="22"/>
          <w:szCs w:val="22"/>
          <w:lang w:val="en-GB"/>
        </w:rPr>
        <w:t xml:space="preserve">in cross-border cases, the tendency is to revert to territorialist solutions due to the differences in priority schemes in the different countries. </w:t>
      </w:r>
    </w:p>
    <w:p w14:paraId="7B6FE20C" w14:textId="77777777" w:rsidR="008B3B02" w:rsidRDefault="008B3B02" w:rsidP="00C053F7">
      <w:pPr>
        <w:jc w:val="both"/>
        <w:rPr>
          <w:rFonts w:ascii="Avenir Next" w:hAnsi="Avenir Next" w:cs="Arial"/>
          <w:color w:val="7B7B7B" w:themeColor="accent3" w:themeShade="BF"/>
          <w:sz w:val="22"/>
          <w:szCs w:val="22"/>
          <w:lang w:val="en-GB"/>
        </w:rPr>
      </w:pPr>
    </w:p>
    <w:p w14:paraId="2FFDF27C" w14:textId="0E3FF1F4" w:rsidR="00A26811" w:rsidRPr="00E567A9" w:rsidRDefault="00A26811" w:rsidP="00C053F7">
      <w:pPr>
        <w:jc w:val="both"/>
        <w:rPr>
          <w:rFonts w:ascii="Avenir Next" w:hAnsi="Avenir Next" w:cs="Arial"/>
          <w:color w:val="7B7B7B" w:themeColor="accent3" w:themeShade="BF"/>
          <w:sz w:val="22"/>
          <w:szCs w:val="22"/>
          <w:u w:val="single"/>
          <w:lang w:val="en-GB"/>
        </w:rPr>
      </w:pPr>
      <w:r w:rsidRPr="00E567A9">
        <w:rPr>
          <w:rFonts w:ascii="Avenir Next" w:hAnsi="Avenir Next" w:cs="Arial"/>
          <w:color w:val="7B7B7B" w:themeColor="accent3" w:themeShade="BF"/>
          <w:sz w:val="22"/>
          <w:szCs w:val="22"/>
          <w:u w:val="single"/>
          <w:lang w:val="en-GB"/>
        </w:rPr>
        <w:t>Voidable transactions</w:t>
      </w:r>
    </w:p>
    <w:p w14:paraId="4631E067" w14:textId="0D21DABB" w:rsidR="008B3B02" w:rsidRDefault="0005003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Transaction avoidance</w:t>
      </w:r>
      <w:r w:rsidR="0010596A">
        <w:rPr>
          <w:rFonts w:ascii="Avenir Next" w:hAnsi="Avenir Next" w:cs="Arial"/>
          <w:color w:val="7B7B7B" w:themeColor="accent3" w:themeShade="BF"/>
          <w:sz w:val="22"/>
          <w:szCs w:val="22"/>
          <w:lang w:val="en-GB"/>
        </w:rPr>
        <w:t xml:space="preserve"> provisions vary worldwide</w:t>
      </w:r>
      <w:r w:rsidR="00E26B70">
        <w:rPr>
          <w:rFonts w:ascii="Avenir Next" w:hAnsi="Avenir Next" w:cs="Arial"/>
          <w:color w:val="7B7B7B" w:themeColor="accent3" w:themeShade="BF"/>
          <w:sz w:val="22"/>
          <w:szCs w:val="22"/>
          <w:lang w:val="en-GB"/>
        </w:rPr>
        <w:t>. T</w:t>
      </w:r>
      <w:r w:rsidR="0010596A">
        <w:rPr>
          <w:rFonts w:ascii="Avenir Next" w:hAnsi="Avenir Next" w:cs="Arial"/>
          <w:color w:val="7B7B7B" w:themeColor="accent3" w:themeShade="BF"/>
          <w:sz w:val="22"/>
          <w:szCs w:val="22"/>
          <w:lang w:val="en-GB"/>
        </w:rPr>
        <w:t xml:space="preserve">hese </w:t>
      </w:r>
      <w:r w:rsidR="00E26B70">
        <w:rPr>
          <w:rFonts w:ascii="Avenir Next" w:hAnsi="Avenir Next" w:cs="Arial"/>
          <w:color w:val="7B7B7B" w:themeColor="accent3" w:themeShade="BF"/>
          <w:sz w:val="22"/>
          <w:szCs w:val="22"/>
          <w:lang w:val="en-GB"/>
        </w:rPr>
        <w:t>variances</w:t>
      </w:r>
      <w:r w:rsidR="0010596A">
        <w:rPr>
          <w:rFonts w:ascii="Avenir Next" w:hAnsi="Avenir Next" w:cs="Arial"/>
          <w:color w:val="7B7B7B" w:themeColor="accent3" w:themeShade="BF"/>
          <w:sz w:val="22"/>
          <w:szCs w:val="22"/>
          <w:lang w:val="en-GB"/>
        </w:rPr>
        <w:t xml:space="preserve"> have the potential to cause difficulties in insolvencies where an entity is being wound up in more than one country</w:t>
      </w:r>
      <w:r w:rsidR="00E26B70">
        <w:rPr>
          <w:rFonts w:ascii="Avenir Next" w:hAnsi="Avenir Next" w:cs="Arial"/>
          <w:color w:val="7B7B7B" w:themeColor="accent3" w:themeShade="BF"/>
          <w:sz w:val="22"/>
          <w:szCs w:val="22"/>
          <w:lang w:val="en-GB"/>
        </w:rPr>
        <w:t xml:space="preserve"> when the insolvency laws of multiple jurisdictions are being invoked</w:t>
      </w:r>
      <w:r w:rsidR="0010596A">
        <w:rPr>
          <w:rFonts w:ascii="Avenir Next" w:hAnsi="Avenir Next" w:cs="Arial"/>
          <w:color w:val="7B7B7B" w:themeColor="accent3" w:themeShade="BF"/>
          <w:sz w:val="22"/>
          <w:szCs w:val="22"/>
          <w:lang w:val="en-GB"/>
        </w:rPr>
        <w:t xml:space="preserve">. </w:t>
      </w:r>
      <w:r w:rsidR="00E26B70">
        <w:rPr>
          <w:rFonts w:ascii="Avenir Next" w:hAnsi="Avenir Next" w:cs="Arial"/>
          <w:color w:val="7B7B7B" w:themeColor="accent3" w:themeShade="BF"/>
          <w:sz w:val="22"/>
          <w:szCs w:val="22"/>
          <w:lang w:val="en-GB"/>
        </w:rPr>
        <w:t>As well as this</w:t>
      </w:r>
      <w:r w:rsidR="0010596A">
        <w:rPr>
          <w:rFonts w:ascii="Avenir Next" w:hAnsi="Avenir Next" w:cs="Arial"/>
          <w:color w:val="7B7B7B" w:themeColor="accent3" w:themeShade="BF"/>
          <w:sz w:val="22"/>
          <w:szCs w:val="22"/>
          <w:lang w:val="en-GB"/>
        </w:rPr>
        <w:t>, if an entity were to</w:t>
      </w:r>
      <w:r w:rsidR="00E26B70">
        <w:rPr>
          <w:rFonts w:ascii="Avenir Next" w:hAnsi="Avenir Next" w:cs="Arial"/>
          <w:color w:val="7B7B7B" w:themeColor="accent3" w:themeShade="BF"/>
          <w:sz w:val="22"/>
          <w:szCs w:val="22"/>
          <w:lang w:val="en-GB"/>
        </w:rPr>
        <w:t xml:space="preserve"> enter two concurrent insolvency proceedings in different countries, litigation against the debtor may occur in both countries</w:t>
      </w:r>
      <w:r w:rsidR="00F42CD6">
        <w:rPr>
          <w:rStyle w:val="FootnoteReference"/>
          <w:rFonts w:ascii="Avenir Next" w:hAnsi="Avenir Next" w:cs="Arial"/>
          <w:color w:val="7B7B7B" w:themeColor="accent3" w:themeShade="BF"/>
          <w:sz w:val="22"/>
          <w:szCs w:val="22"/>
          <w:lang w:val="en-GB"/>
        </w:rPr>
        <w:footnoteReference w:id="13"/>
      </w:r>
      <w:r w:rsidR="00E26B70">
        <w:rPr>
          <w:rFonts w:ascii="Avenir Next" w:hAnsi="Avenir Next" w:cs="Arial"/>
          <w:color w:val="7B7B7B" w:themeColor="accent3" w:themeShade="BF"/>
          <w:sz w:val="22"/>
          <w:szCs w:val="22"/>
          <w:lang w:val="en-GB"/>
        </w:rPr>
        <w:t xml:space="preserve">. </w:t>
      </w:r>
    </w:p>
    <w:p w14:paraId="35D34520" w14:textId="77777777" w:rsidR="008B3B02" w:rsidRDefault="008B3B02" w:rsidP="00C053F7">
      <w:pPr>
        <w:jc w:val="both"/>
        <w:rPr>
          <w:rFonts w:ascii="Avenir Next" w:hAnsi="Avenir Next" w:cs="Arial"/>
          <w:color w:val="7B7B7B" w:themeColor="accent3" w:themeShade="BF"/>
          <w:sz w:val="22"/>
          <w:szCs w:val="22"/>
          <w:lang w:val="en-GB"/>
        </w:rPr>
      </w:pPr>
    </w:p>
    <w:p w14:paraId="759A3096" w14:textId="050FAA8F" w:rsidR="00A26811" w:rsidRPr="00E26B70" w:rsidRDefault="00A26811" w:rsidP="00C053F7">
      <w:pPr>
        <w:jc w:val="both"/>
        <w:rPr>
          <w:rFonts w:ascii="Avenir Next" w:hAnsi="Avenir Next" w:cs="Arial"/>
          <w:color w:val="7B7B7B" w:themeColor="accent3" w:themeShade="BF"/>
          <w:sz w:val="22"/>
          <w:szCs w:val="22"/>
          <w:u w:val="single"/>
          <w:lang w:val="en-GB"/>
        </w:rPr>
      </w:pPr>
      <w:r w:rsidRPr="00E26B70">
        <w:rPr>
          <w:rFonts w:ascii="Avenir Next" w:hAnsi="Avenir Next" w:cs="Arial"/>
          <w:color w:val="7B7B7B" w:themeColor="accent3" w:themeShade="BF"/>
          <w:sz w:val="22"/>
          <w:szCs w:val="22"/>
          <w:u w:val="single"/>
          <w:lang w:val="en-GB"/>
        </w:rPr>
        <w:t>Set-off</w:t>
      </w:r>
    </w:p>
    <w:p w14:paraId="450ED078" w14:textId="2AA6123F" w:rsidR="008B3B02" w:rsidRDefault="008F2A4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Funds owed to creditors in insolvency proceedings may be subject to set-off, and this may apply either before or after the commencement of the proceedings. There are differences from state to state as to how pre and post-commencement set off is dealt with, especially in the case of post-commencement set-off. For example, in the liquidation of Bank of Credit and Commerce International, issues arose due to the different treatment of set-off in Luxembourg and the UK, and led to creditors not being treated pari passu.</w:t>
      </w:r>
      <w:r w:rsidR="00F42CD6">
        <w:rPr>
          <w:rStyle w:val="FootnoteReference"/>
          <w:rFonts w:ascii="Avenir Next" w:hAnsi="Avenir Next" w:cs="Arial"/>
          <w:color w:val="7B7B7B" w:themeColor="accent3" w:themeShade="BF"/>
          <w:sz w:val="22"/>
          <w:szCs w:val="22"/>
          <w:lang w:val="en-GB"/>
        </w:rPr>
        <w:footnoteReference w:id="14"/>
      </w:r>
      <w:r>
        <w:rPr>
          <w:rFonts w:ascii="Avenir Next" w:hAnsi="Avenir Next" w:cs="Arial"/>
          <w:color w:val="7B7B7B" w:themeColor="accent3" w:themeShade="BF"/>
          <w:sz w:val="22"/>
          <w:szCs w:val="22"/>
          <w:lang w:val="en-GB"/>
        </w:rPr>
        <w:t xml:space="preserve"> </w:t>
      </w:r>
    </w:p>
    <w:p w14:paraId="6028F01E" w14:textId="77777777" w:rsidR="008B3B02" w:rsidRDefault="008B3B02" w:rsidP="00C053F7">
      <w:pPr>
        <w:jc w:val="both"/>
        <w:rPr>
          <w:rFonts w:ascii="Avenir Next" w:hAnsi="Avenir Next" w:cs="Arial"/>
          <w:color w:val="7B7B7B" w:themeColor="accent3" w:themeShade="BF"/>
          <w:sz w:val="22"/>
          <w:szCs w:val="22"/>
          <w:lang w:val="en-GB"/>
        </w:rPr>
      </w:pPr>
    </w:p>
    <w:p w14:paraId="29669F83" w14:textId="1D90916E" w:rsidR="00A26811" w:rsidRPr="008F2A47" w:rsidRDefault="00A26811" w:rsidP="00C053F7">
      <w:pPr>
        <w:jc w:val="both"/>
        <w:rPr>
          <w:rFonts w:ascii="Avenir Next" w:hAnsi="Avenir Next" w:cs="Arial"/>
          <w:color w:val="7B7B7B" w:themeColor="accent3" w:themeShade="BF"/>
          <w:sz w:val="22"/>
          <w:szCs w:val="22"/>
          <w:u w:val="single"/>
          <w:lang w:val="en-GB"/>
        </w:rPr>
      </w:pPr>
      <w:r w:rsidRPr="008F2A47">
        <w:rPr>
          <w:rFonts w:ascii="Avenir Next" w:hAnsi="Avenir Next" w:cs="Arial"/>
          <w:color w:val="7B7B7B" w:themeColor="accent3" w:themeShade="BF"/>
          <w:sz w:val="22"/>
          <w:szCs w:val="22"/>
          <w:u w:val="single"/>
          <w:lang w:val="en-GB"/>
        </w:rPr>
        <w:t>Executory contracts</w:t>
      </w:r>
    </w:p>
    <w:p w14:paraId="4039510E" w14:textId="3E4874C0" w:rsidR="00A26811" w:rsidRPr="00727FE7" w:rsidRDefault="008F2A4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Most (but not all) jurisdictions allow the officeholder the discretion to uphold contracts entered into by the </w:t>
      </w:r>
      <w:r w:rsidR="00727FE7">
        <w:rPr>
          <w:rFonts w:ascii="Avenir Next" w:hAnsi="Avenir Next" w:cs="Arial"/>
          <w:color w:val="7B7B7B" w:themeColor="accent3" w:themeShade="BF"/>
          <w:sz w:val="22"/>
          <w:szCs w:val="22"/>
          <w:lang w:val="en-GB"/>
        </w:rPr>
        <w:t xml:space="preserve">entity prior to the commencement of the insolvency proceedings, usually if the completion of continuance of the contract would benefit the creditors. Another aspect of this would include employment contracts, which in some jurisdictions are terminated upon commencement, whereas in others the employees may be kept on until the officeholder dismisses them.  </w:t>
      </w: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67E8D7F3" w14:textId="1366AAB1" w:rsidR="008B6AAB" w:rsidRDefault="008B6AAB" w:rsidP="002630E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2004 UNCITRAL Legislative Guide on Insolvency Law</w:t>
      </w:r>
      <w:r w:rsidR="00F42CD6">
        <w:rPr>
          <w:rStyle w:val="FootnoteReference"/>
          <w:rFonts w:ascii="Avenir Next" w:hAnsi="Avenir Next" w:cs="Arial"/>
          <w:color w:val="7B7B7B" w:themeColor="accent3" w:themeShade="BF"/>
          <w:sz w:val="22"/>
          <w:szCs w:val="22"/>
          <w:lang w:val="en-GB"/>
        </w:rPr>
        <w:footnoteReference w:id="15"/>
      </w:r>
      <w:r w:rsidR="00545A06">
        <w:rPr>
          <w:rFonts w:ascii="Avenir Next" w:hAnsi="Avenir Next" w:cs="Arial"/>
          <w:color w:val="7B7B7B" w:themeColor="accent3" w:themeShade="BF"/>
          <w:sz w:val="22"/>
          <w:szCs w:val="22"/>
          <w:lang w:val="en-GB"/>
        </w:rPr>
        <w:t xml:space="preserve"> (the “Legislative Guide”)</w:t>
      </w:r>
      <w:r>
        <w:rPr>
          <w:rFonts w:ascii="Avenir Next" w:hAnsi="Avenir Next" w:cs="Arial"/>
          <w:color w:val="7B7B7B" w:themeColor="accent3" w:themeShade="BF"/>
          <w:sz w:val="22"/>
          <w:szCs w:val="22"/>
          <w:lang w:val="en-GB"/>
        </w:rPr>
        <w:t xml:space="preserve"> was published in 2004 and sought to provide a tool for legislative reform in States across the globe, encouraging the balancing of stakeholders objectives as well as taking into consideration public policy. Key provisions of this guide include mechanisms available for resolving debtor’s financial difficulties, the various </w:t>
      </w:r>
      <w:r>
        <w:rPr>
          <w:rFonts w:ascii="Avenir Next" w:hAnsi="Avenir Next" w:cs="Arial"/>
          <w:color w:val="7B7B7B" w:themeColor="accent3" w:themeShade="BF"/>
          <w:sz w:val="22"/>
          <w:szCs w:val="22"/>
          <w:lang w:val="en-GB"/>
        </w:rPr>
        <w:lastRenderedPageBreak/>
        <w:t>stages of an insolvency process, treatment of enterprise groups and obligations o</w:t>
      </w:r>
      <w:r w:rsidR="00212D93">
        <w:rPr>
          <w:rFonts w:ascii="Avenir Next" w:hAnsi="Avenir Next" w:cs="Arial"/>
          <w:color w:val="7B7B7B" w:themeColor="accent3" w:themeShade="BF"/>
          <w:sz w:val="22"/>
          <w:szCs w:val="22"/>
          <w:lang w:val="en-GB"/>
        </w:rPr>
        <w:t xml:space="preserve">f the directors or management that make decisions in the entity when insolvency becomes imminent. </w:t>
      </w:r>
    </w:p>
    <w:p w14:paraId="2B695D8E" w14:textId="0436D67F" w:rsidR="00370438" w:rsidRDefault="00370438" w:rsidP="002630E7">
      <w:pPr>
        <w:jc w:val="both"/>
        <w:rPr>
          <w:rFonts w:ascii="Avenir Next" w:hAnsi="Avenir Next" w:cs="Arial"/>
          <w:color w:val="7B7B7B" w:themeColor="accent3" w:themeShade="BF"/>
          <w:sz w:val="22"/>
          <w:szCs w:val="22"/>
          <w:lang w:val="en-GB"/>
        </w:rPr>
      </w:pPr>
    </w:p>
    <w:p w14:paraId="46CF8BAC" w14:textId="57AB2BCD" w:rsidR="00370438" w:rsidRDefault="00370438" w:rsidP="002630E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Meanwhile, the World Bank </w:t>
      </w:r>
      <w:r w:rsidR="000E1A39">
        <w:rPr>
          <w:rFonts w:ascii="Avenir Next" w:hAnsi="Avenir Next" w:cs="Arial"/>
          <w:color w:val="7B7B7B" w:themeColor="accent3" w:themeShade="BF"/>
          <w:sz w:val="22"/>
          <w:szCs w:val="22"/>
          <w:lang w:val="en-GB"/>
        </w:rPr>
        <w:t>published the Principles for Effective Insolvency and Creditor/Debtor Regimes</w:t>
      </w:r>
      <w:r w:rsidR="00545A06">
        <w:rPr>
          <w:rFonts w:ascii="Avenir Next" w:hAnsi="Avenir Next" w:cs="Arial"/>
          <w:color w:val="7B7B7B" w:themeColor="accent3" w:themeShade="BF"/>
          <w:sz w:val="22"/>
          <w:szCs w:val="22"/>
          <w:lang w:val="en-GB"/>
        </w:rPr>
        <w:t xml:space="preserve"> (the “World Bank Principles”)</w:t>
      </w:r>
      <w:r w:rsidR="000E1A39">
        <w:rPr>
          <w:rFonts w:ascii="Avenir Next" w:hAnsi="Avenir Next" w:cs="Arial"/>
          <w:color w:val="7B7B7B" w:themeColor="accent3" w:themeShade="BF"/>
          <w:sz w:val="22"/>
          <w:szCs w:val="22"/>
          <w:lang w:val="en-GB"/>
        </w:rPr>
        <w:t>. This was initially published in 1999 following the aftermath of the Asian financial crisis but was revised a number of times, most recently in 2021, following the COVID pandemic.</w:t>
      </w:r>
      <w:r w:rsidR="005D2E1A">
        <w:rPr>
          <w:rStyle w:val="FootnoteReference"/>
          <w:rFonts w:ascii="Avenir Next" w:hAnsi="Avenir Next" w:cs="Arial"/>
          <w:color w:val="7B7B7B" w:themeColor="accent3" w:themeShade="BF"/>
          <w:sz w:val="22"/>
          <w:szCs w:val="22"/>
          <w:lang w:val="en-GB"/>
        </w:rPr>
        <w:footnoteReference w:id="16"/>
      </w:r>
      <w:r w:rsidR="000E1A39">
        <w:rPr>
          <w:rFonts w:ascii="Avenir Next" w:hAnsi="Avenir Next" w:cs="Arial"/>
          <w:color w:val="7B7B7B" w:themeColor="accent3" w:themeShade="BF"/>
          <w:sz w:val="22"/>
          <w:szCs w:val="22"/>
          <w:lang w:val="en-GB"/>
        </w:rPr>
        <w:t xml:space="preserve"> These principles encourage rules making in respect of insolvency proceedings with international aspects</w:t>
      </w:r>
      <w:r w:rsidR="003A0740">
        <w:rPr>
          <w:rFonts w:ascii="Avenir Next" w:hAnsi="Avenir Next" w:cs="Arial"/>
          <w:color w:val="7B7B7B" w:themeColor="accent3" w:themeShade="BF"/>
          <w:sz w:val="22"/>
          <w:szCs w:val="22"/>
          <w:lang w:val="en-GB"/>
        </w:rPr>
        <w:t>, including those promoting the speed and clearness of the process for obtaining recognition of foreign insolvency proceedings.</w:t>
      </w:r>
    </w:p>
    <w:p w14:paraId="742A9668" w14:textId="20D901C7" w:rsidR="00545A06" w:rsidRDefault="00545A06" w:rsidP="002630E7">
      <w:pPr>
        <w:jc w:val="both"/>
        <w:rPr>
          <w:rFonts w:ascii="Avenir Next" w:hAnsi="Avenir Next" w:cs="Arial"/>
          <w:color w:val="7B7B7B" w:themeColor="accent3" w:themeShade="BF"/>
          <w:sz w:val="22"/>
          <w:szCs w:val="22"/>
          <w:lang w:val="en-GB"/>
        </w:rPr>
      </w:pPr>
    </w:p>
    <w:p w14:paraId="4025FBA5" w14:textId="6A6A0EEF" w:rsidR="00545A06" w:rsidRDefault="00545A06" w:rsidP="002630E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Whilst the Legislative Guide is, as it suggests, a guide</w:t>
      </w:r>
      <w:r>
        <w:rPr>
          <w:rFonts w:ascii="Avenir Next" w:hAnsi="Avenir Next" w:cs="Arial"/>
          <w:color w:val="7B7B7B" w:themeColor="accent3" w:themeShade="BF"/>
          <w:sz w:val="22"/>
          <w:szCs w:val="22"/>
          <w:lang w:val="en-GB"/>
        </w:rPr>
        <w:t xml:space="preserve"> and countries may choose not to follow these guidelines, the World Bank may require the reforming of domestic insolvency laws in line with the Legislative Guide as a pre-requisite to the provision of loan support. This is usually in the case of developing countries which do not have modernised </w:t>
      </w:r>
      <w:r w:rsidR="003C2208">
        <w:rPr>
          <w:rFonts w:ascii="Avenir Next" w:hAnsi="Avenir Next" w:cs="Arial"/>
          <w:color w:val="7B7B7B" w:themeColor="accent3" w:themeShade="BF"/>
          <w:sz w:val="22"/>
          <w:szCs w:val="22"/>
          <w:lang w:val="en-GB"/>
        </w:rPr>
        <w:t>insolvency</w:t>
      </w:r>
      <w:r>
        <w:rPr>
          <w:rFonts w:ascii="Avenir Next" w:hAnsi="Avenir Next" w:cs="Arial"/>
          <w:color w:val="7B7B7B" w:themeColor="accent3" w:themeShade="BF"/>
          <w:sz w:val="22"/>
          <w:szCs w:val="22"/>
          <w:lang w:val="en-GB"/>
        </w:rPr>
        <w:t xml:space="preserve"> laws and who would be most in need to financial support, and therefore the effectiveness of these </w:t>
      </w:r>
      <w:r w:rsidR="003C2208">
        <w:rPr>
          <w:rFonts w:ascii="Avenir Next" w:hAnsi="Avenir Next" w:cs="Arial"/>
          <w:color w:val="7B7B7B" w:themeColor="accent3" w:themeShade="BF"/>
          <w:sz w:val="22"/>
          <w:szCs w:val="22"/>
          <w:lang w:val="en-GB"/>
        </w:rPr>
        <w:t>guidelines from a global perspective are great.</w:t>
      </w:r>
    </w:p>
    <w:p w14:paraId="4C55F80A" w14:textId="191967F5" w:rsidR="003A0740" w:rsidRDefault="003A0740" w:rsidP="002630E7">
      <w:pPr>
        <w:jc w:val="both"/>
        <w:rPr>
          <w:rFonts w:ascii="Avenir Next" w:hAnsi="Avenir Next" w:cs="Arial"/>
          <w:color w:val="7B7B7B" w:themeColor="accent3" w:themeShade="BF"/>
          <w:sz w:val="22"/>
          <w:szCs w:val="22"/>
          <w:lang w:val="en-GB"/>
        </w:rPr>
      </w:pPr>
    </w:p>
    <w:p w14:paraId="378ECC7B" w14:textId="31A0469C" w:rsidR="00212D93" w:rsidRDefault="00B4309B" w:rsidP="002630E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well as the global guidelines promoting harmonisation of domestic insolvency laws, a number of networks, including the Judicial Insolvency Network </w:t>
      </w:r>
      <w:r w:rsidR="00545A06">
        <w:rPr>
          <w:rFonts w:ascii="Avenir Next" w:hAnsi="Avenir Next" w:cs="Arial"/>
          <w:color w:val="7B7B7B" w:themeColor="accent3" w:themeShade="BF"/>
          <w:sz w:val="22"/>
          <w:szCs w:val="22"/>
          <w:lang w:val="en-GB"/>
        </w:rPr>
        <w:t xml:space="preserve">in 2016, </w:t>
      </w:r>
      <w:r>
        <w:rPr>
          <w:rFonts w:ascii="Avenir Next" w:hAnsi="Avenir Next" w:cs="Arial"/>
          <w:color w:val="7B7B7B" w:themeColor="accent3" w:themeShade="BF"/>
          <w:sz w:val="22"/>
          <w:szCs w:val="22"/>
          <w:lang w:val="en-GB"/>
        </w:rPr>
        <w:t>have been formed. This particular network aims to provide judicial thought leadership, develop best practices and facilitate communication and cooperation amongst national courts in cross-border insolvency and restructuring matters</w:t>
      </w:r>
      <w:r w:rsidR="005D2E1A">
        <w:rPr>
          <w:rStyle w:val="FootnoteReference"/>
          <w:rFonts w:ascii="Avenir Next" w:hAnsi="Avenir Next" w:cs="Arial"/>
          <w:color w:val="7B7B7B" w:themeColor="accent3" w:themeShade="BF"/>
          <w:sz w:val="22"/>
          <w:szCs w:val="22"/>
          <w:lang w:val="en-GB"/>
        </w:rPr>
        <w:footnoteReference w:id="17"/>
      </w:r>
      <w:r>
        <w:rPr>
          <w:rFonts w:ascii="Avenir Next" w:hAnsi="Avenir Next" w:cs="Arial"/>
          <w:color w:val="7B7B7B" w:themeColor="accent3" w:themeShade="BF"/>
          <w:sz w:val="22"/>
          <w:szCs w:val="22"/>
          <w:lang w:val="en-GB"/>
        </w:rPr>
        <w:t xml:space="preserve">. </w:t>
      </w:r>
    </w:p>
    <w:p w14:paraId="030C7004" w14:textId="73A6729A" w:rsidR="003C2208" w:rsidRDefault="003C2208" w:rsidP="002630E7">
      <w:pPr>
        <w:jc w:val="both"/>
        <w:rPr>
          <w:rFonts w:ascii="Avenir Next" w:hAnsi="Avenir Next" w:cs="Arial"/>
          <w:color w:val="7B7B7B" w:themeColor="accent3" w:themeShade="BF"/>
          <w:sz w:val="22"/>
          <w:szCs w:val="22"/>
          <w:lang w:val="en-GB"/>
        </w:rPr>
      </w:pPr>
    </w:p>
    <w:p w14:paraId="6A51CF8F" w14:textId="412CF77A" w:rsidR="00B4309B" w:rsidRDefault="003C2208" w:rsidP="002630E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effectiveness of these types of networks clearly is hinged off the participation of those attending and contributing to the overall objectives of the network. In the case of the JIN network, which is formed of judges who may choose to be either observers or members, a set of guidelines were produced for Cooperation in Cross-Border Insolvency Matters. </w:t>
      </w:r>
      <w:r w:rsidR="00F266DC">
        <w:rPr>
          <w:rFonts w:ascii="Avenir Next" w:hAnsi="Avenir Next" w:cs="Arial"/>
          <w:color w:val="7B7B7B" w:themeColor="accent3" w:themeShade="BF"/>
          <w:sz w:val="22"/>
          <w:szCs w:val="22"/>
          <w:lang w:val="en-GB"/>
        </w:rPr>
        <w:t xml:space="preserve">The guidelines provide a framework for the enhancement of communication between courts, insolvency representatives and other stakeholders in cross-border processes. However, these are still only a guideline and may be impacted by local rules, regulations and legislative norms, and at present, only 17 courts have adopted these guidelines.  </w:t>
      </w:r>
    </w:p>
    <w:p w14:paraId="111EA170" w14:textId="77777777" w:rsidR="00D17FDC" w:rsidRPr="00827D56" w:rsidRDefault="00D17FDC" w:rsidP="003C2208">
      <w:pPr>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3A6634B2" w:rsidR="002F75A3" w:rsidRDefault="002F75A3" w:rsidP="00C053F7">
      <w:pPr>
        <w:jc w:val="both"/>
        <w:rPr>
          <w:rFonts w:ascii="Avenir Next" w:hAnsi="Avenir Next" w:cs="Arial"/>
          <w:sz w:val="22"/>
          <w:szCs w:val="22"/>
          <w:lang w:val="en-GB"/>
        </w:rPr>
      </w:pPr>
    </w:p>
    <w:p w14:paraId="4BC90592" w14:textId="261ED6E0" w:rsidR="00511B4A" w:rsidRDefault="00511B4A" w:rsidP="00511B4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Fletcher (as above) provides key questions to ask when a matter has an international element which include the following:</w:t>
      </w:r>
    </w:p>
    <w:p w14:paraId="79E79A09" w14:textId="77777777" w:rsidR="00511B4A" w:rsidRPr="00511B4A" w:rsidRDefault="00511B4A" w:rsidP="00511B4A">
      <w:pPr>
        <w:pStyle w:val="ListParagraph"/>
        <w:numPr>
          <w:ilvl w:val="0"/>
          <w:numId w:val="23"/>
        </w:numPr>
        <w:jc w:val="both"/>
        <w:rPr>
          <w:rFonts w:ascii="Avenir Next" w:hAnsi="Avenir Next" w:cs="Arial"/>
          <w:color w:val="808080" w:themeColor="background1" w:themeShade="80"/>
          <w:sz w:val="22"/>
          <w:szCs w:val="22"/>
          <w:lang w:val="en-GB"/>
        </w:rPr>
      </w:pPr>
      <w:r w:rsidRPr="00511B4A">
        <w:rPr>
          <w:rFonts w:ascii="Avenir Next" w:hAnsi="Avenir Next" w:cs="Arial"/>
          <w:color w:val="808080" w:themeColor="background1" w:themeShade="80"/>
          <w:sz w:val="22"/>
          <w:szCs w:val="22"/>
          <w:lang w:val="en-GB"/>
        </w:rPr>
        <w:t>The choice of forum to exercise jurisdiction in a matter</w:t>
      </w:r>
    </w:p>
    <w:p w14:paraId="450D4FF8" w14:textId="77777777" w:rsidR="00511B4A" w:rsidRPr="00511B4A" w:rsidRDefault="00511B4A" w:rsidP="00511B4A">
      <w:pPr>
        <w:pStyle w:val="ListParagraph"/>
        <w:numPr>
          <w:ilvl w:val="0"/>
          <w:numId w:val="23"/>
        </w:numPr>
        <w:jc w:val="both"/>
        <w:rPr>
          <w:rFonts w:ascii="Avenir Next" w:hAnsi="Avenir Next" w:cs="Arial"/>
          <w:color w:val="808080" w:themeColor="background1" w:themeShade="80"/>
          <w:sz w:val="22"/>
          <w:szCs w:val="22"/>
          <w:lang w:val="en-GB"/>
        </w:rPr>
      </w:pPr>
      <w:r w:rsidRPr="00511B4A">
        <w:rPr>
          <w:rFonts w:ascii="Avenir Next" w:hAnsi="Avenir Next" w:cs="Arial"/>
          <w:color w:val="808080" w:themeColor="background1" w:themeShade="80"/>
          <w:sz w:val="22"/>
          <w:szCs w:val="22"/>
          <w:lang w:val="en-GB"/>
        </w:rPr>
        <w:t>The recognition and effect accorded foreign proceedings in the same matter</w:t>
      </w:r>
    </w:p>
    <w:p w14:paraId="50090901" w14:textId="11EE35C8" w:rsidR="00511B4A" w:rsidRPr="00511B4A" w:rsidRDefault="00511B4A" w:rsidP="00511B4A">
      <w:pPr>
        <w:pStyle w:val="ListParagraph"/>
        <w:numPr>
          <w:ilvl w:val="0"/>
          <w:numId w:val="23"/>
        </w:numPr>
        <w:jc w:val="both"/>
        <w:rPr>
          <w:rFonts w:ascii="Avenir Next" w:hAnsi="Avenir Next" w:cs="Arial"/>
          <w:color w:val="808080" w:themeColor="background1" w:themeShade="80"/>
          <w:sz w:val="22"/>
          <w:szCs w:val="22"/>
          <w:lang w:val="en-GB"/>
        </w:rPr>
      </w:pPr>
      <w:r w:rsidRPr="00511B4A">
        <w:rPr>
          <w:rFonts w:ascii="Avenir Next" w:hAnsi="Avenir Next" w:cs="Arial"/>
          <w:color w:val="808080" w:themeColor="background1" w:themeShade="80"/>
          <w:sz w:val="22"/>
          <w:szCs w:val="22"/>
          <w:lang w:val="en-GB"/>
        </w:rPr>
        <w:t>The choice of law to apply in the matter.</w:t>
      </w:r>
    </w:p>
    <w:p w14:paraId="1503BF27" w14:textId="77777777" w:rsidR="00511B4A" w:rsidRDefault="00511B4A" w:rsidP="00C053F7">
      <w:pPr>
        <w:jc w:val="both"/>
        <w:rPr>
          <w:rFonts w:ascii="Avenir Next" w:hAnsi="Avenir Next" w:cs="Arial"/>
          <w:color w:val="808080" w:themeColor="background1" w:themeShade="80"/>
          <w:sz w:val="22"/>
          <w:szCs w:val="22"/>
          <w:lang w:val="en-GB"/>
        </w:rPr>
      </w:pPr>
    </w:p>
    <w:p w14:paraId="5F720D01" w14:textId="388E8F1E" w:rsidR="00ED21FC" w:rsidRDefault="005D2E1A" w:rsidP="00C053F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DA6F67" w:rsidRPr="0001245F">
        <w:rPr>
          <w:rFonts w:ascii="Avenir Next" w:hAnsi="Avenir Next" w:cs="Arial"/>
          <w:color w:val="808080" w:themeColor="background1" w:themeShade="80"/>
          <w:sz w:val="22"/>
          <w:szCs w:val="22"/>
          <w:lang w:val="en-GB"/>
        </w:rPr>
        <w:t>Centre of main interests</w:t>
      </w:r>
      <w:r w:rsidR="0001245F">
        <w:rPr>
          <w:rFonts w:ascii="Avenir Next" w:hAnsi="Avenir Next" w:cs="Arial"/>
          <w:color w:val="808080" w:themeColor="background1" w:themeShade="80"/>
          <w:sz w:val="22"/>
          <w:szCs w:val="22"/>
          <w:lang w:val="en-GB"/>
        </w:rPr>
        <w:t xml:space="preserve"> can be defined as</w:t>
      </w:r>
      <w:r w:rsidR="00DA6F67" w:rsidRPr="0001245F">
        <w:rPr>
          <w:rFonts w:ascii="Avenir Next" w:hAnsi="Avenir Next" w:cs="Arial"/>
          <w:color w:val="808080" w:themeColor="background1" w:themeShade="80"/>
          <w:sz w:val="22"/>
          <w:szCs w:val="22"/>
          <w:lang w:val="en-GB"/>
        </w:rPr>
        <w:t xml:space="preserve"> the place where the debtor conducts the administration of its interests on a regular basis and that is therefore ascertainable by third parties</w:t>
      </w:r>
      <w:r>
        <w:rPr>
          <w:rStyle w:val="FootnoteReference"/>
          <w:rFonts w:ascii="Avenir Next" w:hAnsi="Avenir Next" w:cs="Arial"/>
          <w:color w:val="808080" w:themeColor="background1" w:themeShade="80"/>
          <w:sz w:val="22"/>
          <w:szCs w:val="22"/>
          <w:lang w:val="en-GB"/>
        </w:rPr>
        <w:footnoteReference w:id="18"/>
      </w:r>
      <w:r w:rsidR="00DA6F67" w:rsidRPr="0001245F">
        <w:rPr>
          <w:rFonts w:ascii="Avenir Next" w:hAnsi="Avenir Next" w:cs="Arial"/>
          <w:color w:val="808080" w:themeColor="background1" w:themeShade="80"/>
          <w:sz w:val="22"/>
          <w:szCs w:val="22"/>
          <w:lang w:val="en-GB"/>
        </w:rPr>
        <w:t xml:space="preserve">. The entity has only recently moved its head office and registration to Utopia and based on </w:t>
      </w:r>
      <w:r w:rsidR="00ED21FC">
        <w:rPr>
          <w:rFonts w:ascii="Avenir Next" w:hAnsi="Avenir Next" w:cs="Arial"/>
          <w:color w:val="808080" w:themeColor="background1" w:themeShade="80"/>
          <w:sz w:val="22"/>
          <w:szCs w:val="22"/>
          <w:lang w:val="en-GB"/>
        </w:rPr>
        <w:t>the company’s original incorporation and location of head offices, as well as its</w:t>
      </w:r>
      <w:r w:rsidR="00DA6F67" w:rsidRPr="0001245F">
        <w:rPr>
          <w:rFonts w:ascii="Avenir Next" w:hAnsi="Avenir Next" w:cs="Arial"/>
          <w:color w:val="808080" w:themeColor="background1" w:themeShade="80"/>
          <w:sz w:val="22"/>
          <w:szCs w:val="22"/>
          <w:lang w:val="en-GB"/>
        </w:rPr>
        <w:t xml:space="preserve"> creditors in Erewhon, </w:t>
      </w:r>
      <w:r w:rsidR="00ED21FC" w:rsidRPr="0001245F">
        <w:rPr>
          <w:rFonts w:ascii="Avenir Next" w:hAnsi="Avenir Next" w:cs="Arial"/>
          <w:color w:val="808080" w:themeColor="background1" w:themeShade="80"/>
          <w:sz w:val="22"/>
          <w:szCs w:val="22"/>
          <w:lang w:val="en-GB"/>
        </w:rPr>
        <w:t>the</w:t>
      </w:r>
      <w:r w:rsidR="00DA6F67" w:rsidRPr="0001245F">
        <w:rPr>
          <w:rFonts w:ascii="Avenir Next" w:hAnsi="Avenir Next" w:cs="Arial"/>
          <w:color w:val="808080" w:themeColor="background1" w:themeShade="80"/>
          <w:sz w:val="22"/>
          <w:szCs w:val="22"/>
          <w:lang w:val="en-GB"/>
        </w:rPr>
        <w:t xml:space="preserve"> debtors centre of main interests </w:t>
      </w:r>
      <w:r w:rsidR="00ED21FC">
        <w:rPr>
          <w:rFonts w:ascii="Avenir Next" w:hAnsi="Avenir Next" w:cs="Arial"/>
          <w:color w:val="808080" w:themeColor="background1" w:themeShade="80"/>
          <w:sz w:val="22"/>
          <w:szCs w:val="22"/>
          <w:lang w:val="en-GB"/>
        </w:rPr>
        <w:t>was previously</w:t>
      </w:r>
      <w:r w:rsidR="00DA6F67" w:rsidRPr="0001245F">
        <w:rPr>
          <w:rFonts w:ascii="Avenir Next" w:hAnsi="Avenir Next" w:cs="Arial"/>
          <w:color w:val="808080" w:themeColor="background1" w:themeShade="80"/>
          <w:sz w:val="22"/>
          <w:szCs w:val="22"/>
          <w:lang w:val="en-GB"/>
        </w:rPr>
        <w:t xml:space="preserve"> Erewhon</w:t>
      </w:r>
      <w:r w:rsidR="0001245F">
        <w:rPr>
          <w:rFonts w:ascii="Avenir Next" w:hAnsi="Avenir Next" w:cs="Arial"/>
          <w:color w:val="808080" w:themeColor="background1" w:themeShade="80"/>
          <w:sz w:val="22"/>
          <w:szCs w:val="22"/>
          <w:lang w:val="en-GB"/>
        </w:rPr>
        <w:t xml:space="preserve"> rather than Utopia. </w:t>
      </w:r>
      <w:r w:rsidR="00ED21FC">
        <w:rPr>
          <w:rFonts w:ascii="Avenir Next" w:hAnsi="Avenir Next" w:cs="Arial"/>
          <w:color w:val="808080" w:themeColor="background1" w:themeShade="80"/>
          <w:sz w:val="22"/>
          <w:szCs w:val="22"/>
          <w:lang w:val="en-GB"/>
        </w:rPr>
        <w:t>Following the move to Utopia, this would now be considered its current centre of main interests.</w:t>
      </w:r>
    </w:p>
    <w:p w14:paraId="38FA97A0" w14:textId="77777777" w:rsidR="00ED21FC" w:rsidRDefault="00ED21FC" w:rsidP="00C053F7">
      <w:pPr>
        <w:jc w:val="both"/>
        <w:rPr>
          <w:rFonts w:ascii="Avenir Next" w:hAnsi="Avenir Next" w:cs="Arial"/>
          <w:color w:val="808080" w:themeColor="background1" w:themeShade="80"/>
          <w:sz w:val="22"/>
          <w:szCs w:val="22"/>
          <w:lang w:val="en-GB"/>
        </w:rPr>
      </w:pPr>
    </w:p>
    <w:p w14:paraId="7E006242" w14:textId="2FAA4EB1" w:rsidR="00DA6F67" w:rsidRDefault="00356AD3" w:rsidP="00C053F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supporting guide to the enactment and interpretation of the Model law</w:t>
      </w:r>
      <w:r w:rsidR="005D2E1A">
        <w:rPr>
          <w:rStyle w:val="FootnoteReference"/>
          <w:rFonts w:ascii="Avenir Next" w:hAnsi="Avenir Next" w:cs="Arial"/>
          <w:color w:val="808080" w:themeColor="background1" w:themeShade="80"/>
          <w:sz w:val="22"/>
          <w:szCs w:val="22"/>
          <w:lang w:val="en-GB"/>
        </w:rPr>
        <w:footnoteReference w:id="19"/>
      </w:r>
      <w:r>
        <w:rPr>
          <w:rFonts w:ascii="Avenir Next" w:hAnsi="Avenir Next" w:cs="Arial"/>
          <w:color w:val="808080" w:themeColor="background1" w:themeShade="80"/>
          <w:sz w:val="22"/>
          <w:szCs w:val="22"/>
          <w:lang w:val="en-GB"/>
        </w:rPr>
        <w:t xml:space="preserve"> states that “the </w:t>
      </w:r>
      <w:r w:rsidR="0001245F">
        <w:rPr>
          <w:rFonts w:ascii="Avenir Next" w:hAnsi="Avenir Next" w:cs="Arial"/>
          <w:color w:val="808080" w:themeColor="background1" w:themeShade="80"/>
          <w:sz w:val="22"/>
          <w:szCs w:val="22"/>
          <w:lang w:val="en-GB"/>
        </w:rPr>
        <w:t>debtor’s centre of main interests is expected to have principal responsibility for managing the insolvency of the debtor</w:t>
      </w:r>
      <w:r>
        <w:rPr>
          <w:rFonts w:ascii="Avenir Next" w:hAnsi="Avenir Next" w:cs="Arial"/>
          <w:color w:val="808080" w:themeColor="background1" w:themeShade="80"/>
          <w:sz w:val="22"/>
          <w:szCs w:val="22"/>
          <w:lang w:val="en-GB"/>
        </w:rPr>
        <w:t>”</w:t>
      </w:r>
      <w:r w:rsidR="0001245F">
        <w:rPr>
          <w:rFonts w:ascii="Avenir Next" w:hAnsi="Avenir Next" w:cs="Arial"/>
          <w:color w:val="808080" w:themeColor="background1" w:themeShade="80"/>
          <w:sz w:val="22"/>
          <w:szCs w:val="22"/>
          <w:lang w:val="en-GB"/>
        </w:rPr>
        <w:t>.</w:t>
      </w:r>
      <w:r w:rsidR="00511B4A">
        <w:rPr>
          <w:rFonts w:ascii="Avenir Next" w:hAnsi="Avenir Next" w:cs="Arial"/>
          <w:color w:val="808080" w:themeColor="background1" w:themeShade="80"/>
          <w:sz w:val="22"/>
          <w:szCs w:val="22"/>
          <w:lang w:val="en-GB"/>
        </w:rPr>
        <w:t xml:space="preserve"> A main proceeding is one taking place where the debtor had its centre of main interests at the date of commencement of the foreign proceeding. It would be therefore important to note here at what time the insolvency proceeding in Erewhon commenced.</w:t>
      </w:r>
      <w:r w:rsidR="00ED21FC">
        <w:rPr>
          <w:rFonts w:ascii="Avenir Next" w:hAnsi="Avenir Next" w:cs="Arial"/>
          <w:color w:val="808080" w:themeColor="background1" w:themeShade="80"/>
          <w:sz w:val="22"/>
          <w:szCs w:val="22"/>
          <w:lang w:val="en-GB"/>
        </w:rPr>
        <w:t xml:space="preserve"> If the liquidator in Erewhon was appointed prior to the company’s move to Utopia, then this considered the main proceeding. </w:t>
      </w:r>
    </w:p>
    <w:p w14:paraId="2A1B9FF1" w14:textId="00D3B66C" w:rsidR="00ED21FC" w:rsidRDefault="00ED21FC" w:rsidP="00C053F7">
      <w:pPr>
        <w:jc w:val="both"/>
        <w:rPr>
          <w:rFonts w:ascii="Avenir Next" w:hAnsi="Avenir Next" w:cs="Arial"/>
          <w:color w:val="808080" w:themeColor="background1" w:themeShade="80"/>
          <w:sz w:val="22"/>
          <w:szCs w:val="22"/>
          <w:lang w:val="en-GB"/>
        </w:rPr>
      </w:pPr>
    </w:p>
    <w:p w14:paraId="0776A020" w14:textId="4464DFBA" w:rsidR="00356AD3" w:rsidRDefault="00ED21FC" w:rsidP="00E5006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accordance with the Section </w:t>
      </w:r>
      <w:r w:rsidR="00356AD3">
        <w:rPr>
          <w:rFonts w:ascii="Avenir Next" w:hAnsi="Avenir Next" w:cs="Arial"/>
          <w:color w:val="808080" w:themeColor="background1" w:themeShade="80"/>
          <w:sz w:val="22"/>
          <w:szCs w:val="22"/>
          <w:lang w:val="en-GB"/>
        </w:rPr>
        <w:t>20</w:t>
      </w:r>
      <w:r w:rsidR="005D2E1A">
        <w:rPr>
          <w:rStyle w:val="FootnoteReference"/>
          <w:rFonts w:ascii="Avenir Next" w:hAnsi="Avenir Next" w:cs="Arial"/>
          <w:color w:val="808080" w:themeColor="background1" w:themeShade="80"/>
          <w:sz w:val="22"/>
          <w:szCs w:val="22"/>
          <w:lang w:val="en-GB"/>
        </w:rPr>
        <w:footnoteReference w:id="20"/>
      </w:r>
      <w:r>
        <w:rPr>
          <w:rFonts w:ascii="Avenir Next" w:hAnsi="Avenir Next" w:cs="Arial"/>
          <w:color w:val="808080" w:themeColor="background1" w:themeShade="80"/>
          <w:sz w:val="22"/>
          <w:szCs w:val="22"/>
          <w:lang w:val="en-GB"/>
        </w:rPr>
        <w:t xml:space="preserve"> of the Model Law, </w:t>
      </w:r>
      <w:r w:rsidR="00356AD3">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key element of the relief accorded upon recognition of a foreign “main” proceeding include</w:t>
      </w:r>
      <w:r w:rsidR="00356AD3">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a stay of actions of individual creditors against the debtor or a stay of enforcement proceedings concerning the assets of the debtor. Therefore, </w:t>
      </w:r>
      <w:r w:rsidR="006816E2">
        <w:rPr>
          <w:rFonts w:ascii="Avenir Next" w:hAnsi="Avenir Next" w:cs="Arial"/>
          <w:color w:val="808080" w:themeColor="background1" w:themeShade="80"/>
          <w:sz w:val="22"/>
          <w:szCs w:val="22"/>
          <w:lang w:val="en-GB"/>
        </w:rPr>
        <w:t xml:space="preserve">if the proceedings in Erewhon are considered as the foreign main proceeding (i.e. the proceedings commenced at a time when the centre of main interests was in Erewhon), and the liquidator in Erewhon wishes to benefit from this relief, they should seek recognition in Utopia. </w:t>
      </w:r>
      <w:r w:rsidR="00E50067">
        <w:rPr>
          <w:rFonts w:ascii="Avenir Next" w:hAnsi="Avenir Next" w:cs="Arial"/>
          <w:color w:val="808080" w:themeColor="background1" w:themeShade="80"/>
          <w:sz w:val="22"/>
          <w:szCs w:val="22"/>
          <w:lang w:val="en-GB"/>
        </w:rPr>
        <w:t>This includes proceedings that a prospective but also proceedings that have already commenced, such as the action taken by Apex. It is notable in relation to this article that this doesn’t prevent the commencement of local proceedings in the enacting state, and if the foreign proceeding in Erewhon isn’t recognised as the main proceeding, then article 20 won’t apply.</w:t>
      </w:r>
    </w:p>
    <w:p w14:paraId="3BD501D0" w14:textId="733C2A46"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2254B9BD" w14:textId="094D5EAC" w:rsidR="00E50067" w:rsidRPr="00E87A43" w:rsidRDefault="00E50067" w:rsidP="00F3277E">
      <w:pPr>
        <w:pStyle w:val="ListParagraph"/>
        <w:numPr>
          <w:ilvl w:val="0"/>
          <w:numId w:val="24"/>
        </w:numPr>
        <w:autoSpaceDE w:val="0"/>
        <w:autoSpaceDN w:val="0"/>
        <w:adjustRightInd w:val="0"/>
        <w:spacing w:line="276" w:lineRule="auto"/>
        <w:jc w:val="both"/>
        <w:rPr>
          <w:rFonts w:ascii="Avenir Next" w:hAnsi="Avenir Next" w:cs="Arial"/>
          <w:color w:val="7B7B7B" w:themeColor="accent3" w:themeShade="BF"/>
          <w:sz w:val="22"/>
          <w:szCs w:val="22"/>
          <w:lang w:val="en-GB"/>
        </w:rPr>
      </w:pPr>
      <w:r w:rsidRPr="00E87A43">
        <w:rPr>
          <w:rFonts w:ascii="Avenir Next" w:hAnsi="Avenir Next" w:cs="Arial"/>
          <w:color w:val="7B7B7B" w:themeColor="accent3" w:themeShade="BF"/>
          <w:sz w:val="22"/>
          <w:szCs w:val="22"/>
          <w:lang w:val="en-GB"/>
        </w:rPr>
        <w:t xml:space="preserve">If Apex </w:t>
      </w:r>
      <w:r w:rsidR="00E87A43" w:rsidRPr="00E87A43">
        <w:rPr>
          <w:rFonts w:ascii="Avenir Next" w:hAnsi="Avenir Next" w:cs="Arial"/>
          <w:color w:val="7B7B7B" w:themeColor="accent3" w:themeShade="BF"/>
          <w:sz w:val="22"/>
          <w:szCs w:val="22"/>
          <w:lang w:val="en-GB"/>
        </w:rPr>
        <w:t xml:space="preserve">is filing a petition to wind-up Nadir in Erewhon, this would obviously have no impact as a liquidator has already appointed in Erewhon. There is an automatic stay of proceedings upon commencement of the liquidation. If they filed the proceedings in Utopia, </w:t>
      </w:r>
      <w:r w:rsidR="00E87A43">
        <w:rPr>
          <w:rFonts w:ascii="Avenir Next" w:hAnsi="Avenir Next" w:cs="Arial"/>
          <w:color w:val="7B7B7B" w:themeColor="accent3" w:themeShade="BF"/>
          <w:sz w:val="22"/>
          <w:szCs w:val="22"/>
          <w:lang w:val="en-GB"/>
        </w:rPr>
        <w:t>once recognition is sought by the liquidator in Erewhon, the winding up order would be stayed.</w:t>
      </w:r>
    </w:p>
    <w:p w14:paraId="57788903" w14:textId="0739606A" w:rsidR="00E87A43" w:rsidRPr="00E87A43" w:rsidRDefault="00E87A43" w:rsidP="00ED0EE1">
      <w:pPr>
        <w:pStyle w:val="ListParagraph"/>
        <w:numPr>
          <w:ilvl w:val="0"/>
          <w:numId w:val="24"/>
        </w:num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Concurrent proceedings may </w:t>
      </w:r>
      <w:r w:rsidR="00814777">
        <w:rPr>
          <w:rFonts w:ascii="Avenir Next" w:hAnsi="Avenir Next" w:cs="Arial"/>
          <w:color w:val="7B7B7B" w:themeColor="accent3" w:themeShade="BF"/>
          <w:sz w:val="22"/>
          <w:szCs w:val="22"/>
          <w:lang w:val="en-GB"/>
        </w:rPr>
        <w:t>exist in this situation, and any relief granted to the liquidator in Erewhon must be consistent with the relief proceeding in Utopia, in accordance with Article 29(a)(i).</w:t>
      </w:r>
      <w:r w:rsidR="005D2E1A">
        <w:rPr>
          <w:rStyle w:val="FootnoteReference"/>
          <w:rFonts w:ascii="Avenir Next" w:hAnsi="Avenir Next" w:cs="Arial"/>
          <w:color w:val="7B7B7B" w:themeColor="accent3" w:themeShade="BF"/>
          <w:sz w:val="22"/>
          <w:szCs w:val="22"/>
          <w:lang w:val="en-GB"/>
        </w:rPr>
        <w:footnoteReference w:id="21"/>
      </w:r>
    </w:p>
    <w:p w14:paraId="3CD34BB4" w14:textId="77777777" w:rsidR="00E87A43" w:rsidRDefault="00E87A43"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p>
    <w:p w14:paraId="1B5E2F08" w14:textId="039DBFE2" w:rsidR="002D3473" w:rsidRDefault="002D3473"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p>
    <w:p w14:paraId="55D6EBBC" w14:textId="311E72B3" w:rsidR="00814777" w:rsidRDefault="00814777"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p>
    <w:p w14:paraId="782309FA" w14:textId="7342AA90" w:rsidR="00814777" w:rsidRDefault="00814777"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p>
    <w:p w14:paraId="5F964222" w14:textId="77777777" w:rsidR="00814777" w:rsidRPr="00827D56" w:rsidRDefault="00814777"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40B76CEA" w14:textId="4D25AB60" w:rsidR="00814777"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6892EE2F" w14:textId="77777777" w:rsidR="00814777" w:rsidRPr="00827D56" w:rsidRDefault="00814777" w:rsidP="00C053F7">
      <w:pPr>
        <w:jc w:val="both"/>
        <w:rPr>
          <w:rFonts w:ascii="Avenir Next" w:hAnsi="Avenir Next" w:cs="Arial"/>
          <w:sz w:val="22"/>
          <w:szCs w:val="22"/>
          <w:lang w:val="en-GB"/>
        </w:rPr>
      </w:pPr>
    </w:p>
    <w:p w14:paraId="005B548F" w14:textId="60D4AA26" w:rsidR="005D38C2" w:rsidRDefault="005D38C2" w:rsidP="00C053F7">
      <w:pPr>
        <w:jc w:val="both"/>
        <w:rPr>
          <w:rFonts w:ascii="Avenir Next" w:hAnsi="Avenir Next" w:cs="Arial"/>
          <w:color w:val="7B7B7B" w:themeColor="accent3" w:themeShade="BF"/>
          <w:sz w:val="22"/>
          <w:szCs w:val="22"/>
          <w:lang w:val="en-GB"/>
        </w:rPr>
      </w:pPr>
    </w:p>
    <w:p w14:paraId="59906B50" w14:textId="77777777" w:rsidR="006B5739" w:rsidRPr="00827D56" w:rsidRDefault="006B5739"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FC818" w14:textId="77777777" w:rsidR="0066718E" w:rsidRDefault="0066718E" w:rsidP="00241B44">
      <w:r>
        <w:separator/>
      </w:r>
    </w:p>
  </w:endnote>
  <w:endnote w:type="continuationSeparator" w:id="0">
    <w:p w14:paraId="73730BA1" w14:textId="77777777" w:rsidR="0066718E" w:rsidRDefault="0066718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17C1F63E" w:rsidR="00AD6A7D" w:rsidRPr="009634F4" w:rsidRDefault="006B5739" w:rsidP="00AD6A7D">
    <w:pPr>
      <w:pStyle w:val="Footer"/>
      <w:ind w:right="360"/>
      <w:rPr>
        <w:rFonts w:ascii="Avenir Next" w:hAnsi="Avenir Next" w:cs="Arial"/>
        <w:sz w:val="22"/>
        <w:szCs w:val="22"/>
      </w:rPr>
    </w:pPr>
    <w:r w:rsidRPr="006B5739">
      <w:rPr>
        <w:rFonts w:ascii="Avenir Next" w:hAnsi="Avenir Next" w:cs="Arial"/>
        <w:sz w:val="22"/>
        <w:szCs w:val="22"/>
      </w:rPr>
      <w:t>FC202324-1282</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761CD" w14:textId="77777777" w:rsidR="0066718E" w:rsidRDefault="0066718E" w:rsidP="00241B44">
      <w:r>
        <w:separator/>
      </w:r>
    </w:p>
  </w:footnote>
  <w:footnote w:type="continuationSeparator" w:id="0">
    <w:p w14:paraId="4A14AA9A" w14:textId="77777777" w:rsidR="0066718E" w:rsidRDefault="0066718E" w:rsidP="00241B44">
      <w:r>
        <w:continuationSeparator/>
      </w:r>
    </w:p>
  </w:footnote>
  <w:footnote w:id="1">
    <w:p w14:paraId="435D12EE" w14:textId="4C3664EB" w:rsidR="003E61E3" w:rsidRDefault="003E61E3">
      <w:pPr>
        <w:pStyle w:val="FootnoteText"/>
      </w:pPr>
      <w:r>
        <w:rPr>
          <w:rStyle w:val="FootnoteReference"/>
        </w:rPr>
        <w:footnoteRef/>
      </w:r>
      <w:r>
        <w:t xml:space="preserve"> B Wessels, International Insolvency Law, (Kluwer Law International, 2006)</w:t>
      </w:r>
    </w:p>
  </w:footnote>
  <w:footnote w:id="2">
    <w:p w14:paraId="0E4191B5" w14:textId="60ED4F74" w:rsidR="003E61E3" w:rsidRDefault="003E61E3">
      <w:pPr>
        <w:pStyle w:val="FootnoteText"/>
      </w:pPr>
      <w:r>
        <w:rPr>
          <w:rStyle w:val="FootnoteReference"/>
        </w:rPr>
        <w:footnoteRef/>
      </w:r>
      <w:r>
        <w:t xml:space="preserve"> I Fletcher, Insolvency in Private International Law (Oxford University Press, 2</w:t>
      </w:r>
      <w:r w:rsidRPr="003E61E3">
        <w:rPr>
          <w:vertAlign w:val="superscript"/>
        </w:rPr>
        <w:t>nd</w:t>
      </w:r>
      <w:r>
        <w:t xml:space="preserve"> ed, 2005)</w:t>
      </w:r>
    </w:p>
  </w:footnote>
  <w:footnote w:id="3">
    <w:p w14:paraId="4656C425" w14:textId="2653F793" w:rsidR="003E61E3" w:rsidRDefault="003E61E3">
      <w:pPr>
        <w:pStyle w:val="FootnoteText"/>
      </w:pPr>
      <w:r>
        <w:rPr>
          <w:rStyle w:val="FootnoteReference"/>
        </w:rPr>
        <w:footnoteRef/>
      </w:r>
      <w:r>
        <w:t xml:space="preserve"> Salafia, </w:t>
      </w:r>
      <w:r w:rsidRPr="003E61E3">
        <w:t xml:space="preserve">Cross-Border Insolvency Law in the United States &amp; Its Application to Multinational Corporate Groups, </w:t>
      </w:r>
      <w:r w:rsidR="001F6C87">
        <w:t xml:space="preserve">(Connecticut Journal of Int’l Law, </w:t>
      </w:r>
      <w:r w:rsidRPr="003E61E3">
        <w:t>2006</w:t>
      </w:r>
      <w:r w:rsidR="001F6C87">
        <w:t>)</w:t>
      </w:r>
    </w:p>
  </w:footnote>
  <w:footnote w:id="4">
    <w:p w14:paraId="7D3FC3F1" w14:textId="357E8BAA" w:rsidR="001F6C87" w:rsidRDefault="001F6C87">
      <w:pPr>
        <w:pStyle w:val="FootnoteText"/>
      </w:pPr>
      <w:r>
        <w:rPr>
          <w:rStyle w:val="FootnoteReference"/>
        </w:rPr>
        <w:footnoteRef/>
      </w:r>
      <w:r>
        <w:t xml:space="preserve"> EH Biery, </w:t>
      </w:r>
      <w:r w:rsidRPr="001F6C87">
        <w:t xml:space="preserve">A Look at Transnational Insolvencies &amp; Chapter 15 of the Bankruptcy Abuse Prevention and Consumer Prot. Act of 2005, </w:t>
      </w:r>
      <w:r>
        <w:t xml:space="preserve">(Boston College Law Review, </w:t>
      </w:r>
      <w:r w:rsidRPr="001F6C87">
        <w:t>2005</w:t>
      </w:r>
      <w:r>
        <w:t>)</w:t>
      </w:r>
    </w:p>
  </w:footnote>
  <w:footnote w:id="5">
    <w:p w14:paraId="4B619D7C" w14:textId="34BC2F11" w:rsidR="001F6C87" w:rsidRDefault="001F6C87">
      <w:pPr>
        <w:pStyle w:val="FootnoteText"/>
      </w:pPr>
      <w:r>
        <w:rPr>
          <w:rStyle w:val="FootnoteReference"/>
        </w:rPr>
        <w:footnoteRef/>
      </w:r>
      <w:r>
        <w:t xml:space="preserve"> </w:t>
      </w:r>
      <w:hyperlink r:id="rId1" w:history="1">
        <w:r w:rsidRPr="0007772B">
          <w:rPr>
            <w:rStyle w:val="Hyperlink"/>
          </w:rPr>
          <w:t>https://uncitral.un.org/en/texts/insolvency/modellaw/cross-border_insolvency/status</w:t>
        </w:r>
      </w:hyperlink>
      <w:r>
        <w:t xml:space="preserve"> Accessed 7 October 2023</w:t>
      </w:r>
    </w:p>
  </w:footnote>
  <w:footnote w:id="6">
    <w:p w14:paraId="1F8B2825" w14:textId="39B0337A" w:rsidR="001F6C87" w:rsidRDefault="001F6C87">
      <w:pPr>
        <w:pStyle w:val="FootnoteText"/>
      </w:pPr>
      <w:r>
        <w:rPr>
          <w:rStyle w:val="FootnoteReference"/>
        </w:rPr>
        <w:footnoteRef/>
      </w:r>
      <w:r>
        <w:t xml:space="preserve"> </w:t>
      </w:r>
      <w:hyperlink r:id="rId2" w:history="1">
        <w:r w:rsidRPr="0007772B">
          <w:rPr>
            <w:rStyle w:val="Hyperlink"/>
          </w:rPr>
          <w:t>https://adglegal.com/wp-content/uploads/Acrobat-Document.pdf</w:t>
        </w:r>
      </w:hyperlink>
      <w:r>
        <w:t xml:space="preserve"> Accessed 7 October 2023 (translated)</w:t>
      </w:r>
    </w:p>
  </w:footnote>
  <w:footnote w:id="7">
    <w:p w14:paraId="10FE919D" w14:textId="5D0388AD" w:rsidR="001F6C87" w:rsidRDefault="001F6C87">
      <w:pPr>
        <w:pStyle w:val="FootnoteText"/>
      </w:pPr>
      <w:r>
        <w:rPr>
          <w:rStyle w:val="FootnoteReference"/>
        </w:rPr>
        <w:footnoteRef/>
      </w:r>
      <w:r>
        <w:t xml:space="preserve"> </w:t>
      </w:r>
      <w:hyperlink r:id="rId3" w:history="1">
        <w:r w:rsidRPr="0007772B">
          <w:rPr>
            <w:rStyle w:val="Hyperlink"/>
          </w:rPr>
          <w:t>https://kobrekim.com/insights/client-alert/more-routes-recovery-global-creditors-middle-east</w:t>
        </w:r>
      </w:hyperlink>
      <w:r>
        <w:t xml:space="preserve"> Accessed 8 October 2023</w:t>
      </w:r>
    </w:p>
  </w:footnote>
  <w:footnote w:id="8">
    <w:p w14:paraId="55E89AEF" w14:textId="1E44BD69" w:rsidR="001F6C87" w:rsidRDefault="001F6C87">
      <w:pPr>
        <w:pStyle w:val="FootnoteText"/>
      </w:pPr>
      <w:r>
        <w:rPr>
          <w:rStyle w:val="FootnoteReference"/>
        </w:rPr>
        <w:footnoteRef/>
      </w:r>
      <w:r>
        <w:t xml:space="preserve"> </w:t>
      </w:r>
      <w:r w:rsidRPr="001F6C87">
        <w:t xml:space="preserve"> Moroccan Bankruptcy Law, art 606</w:t>
      </w:r>
    </w:p>
  </w:footnote>
  <w:footnote w:id="9">
    <w:p w14:paraId="68E46DA7" w14:textId="6FE06816" w:rsidR="00F42CD6" w:rsidRDefault="00F42CD6">
      <w:pPr>
        <w:pStyle w:val="FootnoteText"/>
      </w:pPr>
      <w:r>
        <w:rPr>
          <w:rStyle w:val="FootnoteReference"/>
        </w:rPr>
        <w:footnoteRef/>
      </w:r>
      <w:r>
        <w:t xml:space="preserve"> M A Clarke et al, Commercial Law (Oxford University Press, 2017)</w:t>
      </w:r>
    </w:p>
  </w:footnote>
  <w:footnote w:id="10">
    <w:p w14:paraId="7C525E98" w14:textId="7A21D870" w:rsidR="00F42CD6" w:rsidRDefault="00F42CD6">
      <w:pPr>
        <w:pStyle w:val="FootnoteText"/>
      </w:pPr>
      <w:r>
        <w:rPr>
          <w:rStyle w:val="FootnoteReference"/>
        </w:rPr>
        <w:footnoteRef/>
      </w:r>
      <w:r>
        <w:t xml:space="preserve"> </w:t>
      </w:r>
      <w:r w:rsidRPr="00F42CD6">
        <w:t xml:space="preserve">White, Corporate and Personal Bankruptcy Law, </w:t>
      </w:r>
      <w:r>
        <w:t>(</w:t>
      </w:r>
      <w:r w:rsidRPr="00F42CD6">
        <w:t>National Bureau of Economic Research</w:t>
      </w:r>
      <w:r>
        <w:t>,</w:t>
      </w:r>
      <w:r w:rsidRPr="00F42CD6">
        <w:t xml:space="preserve"> 2011</w:t>
      </w:r>
      <w:r>
        <w:t>)</w:t>
      </w:r>
    </w:p>
  </w:footnote>
  <w:footnote w:id="11">
    <w:p w14:paraId="6140E5DF" w14:textId="521DF90B" w:rsidR="00F42CD6" w:rsidRDefault="00F42CD6">
      <w:pPr>
        <w:pStyle w:val="FootnoteText"/>
      </w:pPr>
      <w:r>
        <w:rPr>
          <w:rStyle w:val="FootnoteReference"/>
        </w:rPr>
        <w:footnoteRef/>
      </w:r>
      <w:r>
        <w:t xml:space="preserve"> Idem note 9</w:t>
      </w:r>
    </w:p>
  </w:footnote>
  <w:footnote w:id="12">
    <w:p w14:paraId="192AF696" w14:textId="3750749E" w:rsidR="00F42CD6" w:rsidRDefault="00F42CD6" w:rsidP="00F42CD6">
      <w:pPr>
        <w:pStyle w:val="FootnoteText"/>
      </w:pPr>
      <w:r>
        <w:rPr>
          <w:rStyle w:val="FootnoteReference"/>
        </w:rPr>
        <w:footnoteRef/>
      </w:r>
      <w:r>
        <w:t xml:space="preserve"> Jose M. Garrido, No Two Snowflakes the same</w:t>
      </w:r>
      <w:r>
        <w:t>: The Distributional Question in International</w:t>
      </w:r>
    </w:p>
    <w:p w14:paraId="790FD73F" w14:textId="2042A213" w:rsidR="00F42CD6" w:rsidRDefault="00F42CD6" w:rsidP="00F42CD6">
      <w:pPr>
        <w:pStyle w:val="FootnoteText"/>
      </w:pPr>
      <w:r>
        <w:t>Bankruptcies, 46 TEX. INT’L L.J. 459, 473 (2011).</w:t>
      </w:r>
    </w:p>
  </w:footnote>
  <w:footnote w:id="13">
    <w:p w14:paraId="3F2C2343" w14:textId="52E41303" w:rsidR="00F42CD6" w:rsidRDefault="00F42CD6">
      <w:pPr>
        <w:pStyle w:val="FootnoteText"/>
      </w:pPr>
      <w:r>
        <w:rPr>
          <w:rStyle w:val="FootnoteReference"/>
        </w:rPr>
        <w:footnoteRef/>
      </w:r>
      <w:r>
        <w:t xml:space="preserve"> Parry et al, Transaction Avoidance in Insolvencies (Oxford Academic Books, 2018)</w:t>
      </w:r>
    </w:p>
  </w:footnote>
  <w:footnote w:id="14">
    <w:p w14:paraId="77EC8C6D" w14:textId="20C85401" w:rsidR="00F42CD6" w:rsidRDefault="00F42CD6">
      <w:pPr>
        <w:pStyle w:val="FootnoteText"/>
      </w:pPr>
      <w:r>
        <w:rPr>
          <w:rStyle w:val="FootnoteReference"/>
        </w:rPr>
        <w:footnoteRef/>
      </w:r>
      <w:r>
        <w:t xml:space="preserve"> Campbell, Issues in Cross-Border Bank Insolvency: </w:t>
      </w:r>
      <w:r>
        <w:t>The European Community Directive on the Reorganization and Winding-Up of Credit Institutions</w:t>
      </w:r>
      <w:r>
        <w:t xml:space="preserve"> (2002) </w:t>
      </w:r>
      <w:hyperlink r:id="rId4" w:history="1">
        <w:r w:rsidRPr="0007772B">
          <w:rPr>
            <w:rStyle w:val="Hyperlink"/>
          </w:rPr>
          <w:t>https://www.imf.org/external/np/leg/sem/2002/cdmfl/eng/campb.pdf</w:t>
        </w:r>
      </w:hyperlink>
      <w:r>
        <w:t xml:space="preserve"> accessed 7 October 2023</w:t>
      </w:r>
    </w:p>
  </w:footnote>
  <w:footnote w:id="15">
    <w:p w14:paraId="2892194D" w14:textId="2AD39E25" w:rsidR="00F42CD6" w:rsidRDefault="00F42CD6">
      <w:pPr>
        <w:pStyle w:val="FootnoteText"/>
      </w:pPr>
      <w:r>
        <w:rPr>
          <w:rStyle w:val="FootnoteReference"/>
        </w:rPr>
        <w:footnoteRef/>
      </w:r>
      <w:r>
        <w:t xml:space="preserve"> </w:t>
      </w:r>
      <w:hyperlink r:id="rId5" w:history="1">
        <w:r w:rsidR="005D2E1A" w:rsidRPr="0007772B">
          <w:rPr>
            <w:rStyle w:val="Hyperlink"/>
          </w:rPr>
          <w:t>https://uncitral.un.org/sites/uncitral.un.org/files/media-documents/uncitral/en/05-80722_ebook.pdf</w:t>
        </w:r>
      </w:hyperlink>
      <w:r w:rsidR="005D2E1A">
        <w:t xml:space="preserve"> accessed 7 October 2023</w:t>
      </w:r>
    </w:p>
  </w:footnote>
  <w:footnote w:id="16">
    <w:p w14:paraId="5CBC46F7" w14:textId="410D57A9" w:rsidR="005D2E1A" w:rsidRDefault="005D2E1A">
      <w:pPr>
        <w:pStyle w:val="FootnoteText"/>
      </w:pPr>
      <w:r>
        <w:rPr>
          <w:rStyle w:val="FootnoteReference"/>
        </w:rPr>
        <w:footnoteRef/>
      </w:r>
      <w:r>
        <w:t xml:space="preserve"> </w:t>
      </w:r>
      <w:hyperlink r:id="rId6" w:history="1">
        <w:r w:rsidRPr="0007772B">
          <w:rPr>
            <w:rStyle w:val="Hyperlink"/>
          </w:rPr>
          <w:t>https://openknowledge.worldbank.org/server/api/core/bitstreams/3824fe8e-edb3-5f9b-aa28-f5afc759e562/content</w:t>
        </w:r>
      </w:hyperlink>
      <w:r>
        <w:t xml:space="preserve"> accessed 8 October 2023 </w:t>
      </w:r>
    </w:p>
  </w:footnote>
  <w:footnote w:id="17">
    <w:p w14:paraId="5971ED13" w14:textId="50E6643D" w:rsidR="005D2E1A" w:rsidRDefault="005D2E1A">
      <w:pPr>
        <w:pStyle w:val="FootnoteText"/>
      </w:pPr>
      <w:r>
        <w:rPr>
          <w:rStyle w:val="FootnoteReference"/>
        </w:rPr>
        <w:footnoteRef/>
      </w:r>
      <w:r>
        <w:t xml:space="preserve"> </w:t>
      </w:r>
      <w:hyperlink r:id="rId7" w:history="1">
        <w:r w:rsidRPr="0007772B">
          <w:rPr>
            <w:rStyle w:val="Hyperlink"/>
          </w:rPr>
          <w:t>https://openknowledge.worldbank.org/server/api/core/bitstreams/3824fe8e-edb3-5f9b-aa28-f5afc759e562/content</w:t>
        </w:r>
      </w:hyperlink>
      <w:r>
        <w:t xml:space="preserve"> accessed 9 October 2023</w:t>
      </w:r>
    </w:p>
  </w:footnote>
  <w:footnote w:id="18">
    <w:p w14:paraId="5015430C" w14:textId="5FF40680" w:rsidR="005D2E1A" w:rsidRDefault="005D2E1A">
      <w:pPr>
        <w:pStyle w:val="FootnoteText"/>
      </w:pPr>
      <w:r>
        <w:rPr>
          <w:rStyle w:val="FootnoteReference"/>
        </w:rPr>
        <w:footnoteRef/>
      </w:r>
      <w:r>
        <w:t xml:space="preserve"> EIR Recast, Art 3(1)</w:t>
      </w:r>
    </w:p>
  </w:footnote>
  <w:footnote w:id="19">
    <w:p w14:paraId="3399AF3F" w14:textId="65D2005D" w:rsidR="005D2E1A" w:rsidRDefault="005D2E1A">
      <w:pPr>
        <w:pStyle w:val="FootnoteText"/>
      </w:pPr>
      <w:r>
        <w:rPr>
          <w:rStyle w:val="FootnoteReference"/>
        </w:rPr>
        <w:footnoteRef/>
      </w:r>
      <w:r>
        <w:t xml:space="preserve"> </w:t>
      </w:r>
      <w:hyperlink r:id="rId8" w:history="1">
        <w:r w:rsidRPr="0007772B">
          <w:rPr>
            <w:rStyle w:val="Hyperlink"/>
          </w:rPr>
          <w:t>https://uncitral.un.org/sites/uncitral.un.org/files/media-documents/uncitral/en/1997-model-law-insol-2013-guide-enactment-e.pdf</w:t>
        </w:r>
      </w:hyperlink>
      <w:r>
        <w:t xml:space="preserve"> Accessed 14 October 2023</w:t>
      </w:r>
    </w:p>
  </w:footnote>
  <w:footnote w:id="20">
    <w:p w14:paraId="6CE7CAA5" w14:textId="7F7D5BD8" w:rsidR="005D2E1A" w:rsidRDefault="005D2E1A">
      <w:pPr>
        <w:pStyle w:val="FootnoteText"/>
      </w:pPr>
      <w:r>
        <w:rPr>
          <w:rStyle w:val="FootnoteReference"/>
        </w:rPr>
        <w:footnoteRef/>
      </w:r>
      <w:r>
        <w:t xml:space="preserve"> Ibid</w:t>
      </w:r>
    </w:p>
  </w:footnote>
  <w:footnote w:id="21">
    <w:p w14:paraId="3F346832" w14:textId="51EE452B" w:rsidR="005D2E1A" w:rsidRDefault="005D2E1A">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F6C5B4C"/>
    <w:multiLevelType w:val="hybridMultilevel"/>
    <w:tmpl w:val="0BD65C0A"/>
    <w:lvl w:ilvl="0" w:tplc="3D58D3C0">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9E5340C"/>
    <w:multiLevelType w:val="hybridMultilevel"/>
    <w:tmpl w:val="6584D656"/>
    <w:lvl w:ilvl="0" w:tplc="E9CCCF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18"/>
  </w:num>
  <w:num w:numId="2" w16cid:durableId="2060397842">
    <w:abstractNumId w:val="21"/>
  </w:num>
  <w:num w:numId="3" w16cid:durableId="2114008986">
    <w:abstractNumId w:val="6"/>
  </w:num>
  <w:num w:numId="4" w16cid:durableId="743720607">
    <w:abstractNumId w:val="3"/>
  </w:num>
  <w:num w:numId="5" w16cid:durableId="464741948">
    <w:abstractNumId w:val="9"/>
  </w:num>
  <w:num w:numId="6" w16cid:durableId="554897999">
    <w:abstractNumId w:val="15"/>
  </w:num>
  <w:num w:numId="7" w16cid:durableId="1913469301">
    <w:abstractNumId w:val="22"/>
  </w:num>
  <w:num w:numId="8" w16cid:durableId="307983066">
    <w:abstractNumId w:val="14"/>
  </w:num>
  <w:num w:numId="9" w16cid:durableId="1128815150">
    <w:abstractNumId w:val="5"/>
  </w:num>
  <w:num w:numId="10" w16cid:durableId="485247179">
    <w:abstractNumId w:val="8"/>
  </w:num>
  <w:num w:numId="11" w16cid:durableId="632292612">
    <w:abstractNumId w:val="7"/>
  </w:num>
  <w:num w:numId="12" w16cid:durableId="1634409974">
    <w:abstractNumId w:val="4"/>
  </w:num>
  <w:num w:numId="13" w16cid:durableId="1176384513">
    <w:abstractNumId w:val="12"/>
  </w:num>
  <w:num w:numId="14" w16cid:durableId="742527874">
    <w:abstractNumId w:val="0"/>
  </w:num>
  <w:num w:numId="15" w16cid:durableId="1934196058">
    <w:abstractNumId w:val="2"/>
  </w:num>
  <w:num w:numId="16" w16cid:durableId="844056133">
    <w:abstractNumId w:val="13"/>
  </w:num>
  <w:num w:numId="17" w16cid:durableId="433281220">
    <w:abstractNumId w:val="11"/>
  </w:num>
  <w:num w:numId="18" w16cid:durableId="943150957">
    <w:abstractNumId w:val="19"/>
  </w:num>
  <w:num w:numId="19" w16cid:durableId="603925579">
    <w:abstractNumId w:val="16"/>
  </w:num>
  <w:num w:numId="20" w16cid:durableId="1098330611">
    <w:abstractNumId w:val="23"/>
  </w:num>
  <w:num w:numId="21" w16cid:durableId="1865051921">
    <w:abstractNumId w:val="17"/>
  </w:num>
  <w:num w:numId="22" w16cid:durableId="539172368">
    <w:abstractNumId w:val="10"/>
  </w:num>
  <w:num w:numId="23" w16cid:durableId="211700587">
    <w:abstractNumId w:val="1"/>
  </w:num>
  <w:num w:numId="24" w16cid:durableId="54082370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245F"/>
    <w:rsid w:val="000250C7"/>
    <w:rsid w:val="00037621"/>
    <w:rsid w:val="00041305"/>
    <w:rsid w:val="00044D46"/>
    <w:rsid w:val="00045088"/>
    <w:rsid w:val="00045904"/>
    <w:rsid w:val="00050031"/>
    <w:rsid w:val="00055893"/>
    <w:rsid w:val="00055A9C"/>
    <w:rsid w:val="00065166"/>
    <w:rsid w:val="00082609"/>
    <w:rsid w:val="000851CC"/>
    <w:rsid w:val="00093BE8"/>
    <w:rsid w:val="000A68ED"/>
    <w:rsid w:val="000B2D15"/>
    <w:rsid w:val="000B5FF1"/>
    <w:rsid w:val="000B609F"/>
    <w:rsid w:val="000D55A8"/>
    <w:rsid w:val="000D7CFB"/>
    <w:rsid w:val="000E1A39"/>
    <w:rsid w:val="000E329C"/>
    <w:rsid w:val="000E4841"/>
    <w:rsid w:val="000F1677"/>
    <w:rsid w:val="000F3D6C"/>
    <w:rsid w:val="00101707"/>
    <w:rsid w:val="0010596A"/>
    <w:rsid w:val="00110DA3"/>
    <w:rsid w:val="0011473D"/>
    <w:rsid w:val="00115C85"/>
    <w:rsid w:val="00123661"/>
    <w:rsid w:val="00123855"/>
    <w:rsid w:val="00126A4D"/>
    <w:rsid w:val="0014622C"/>
    <w:rsid w:val="00152348"/>
    <w:rsid w:val="0015456D"/>
    <w:rsid w:val="00161F1B"/>
    <w:rsid w:val="00162829"/>
    <w:rsid w:val="00170338"/>
    <w:rsid w:val="0017087D"/>
    <w:rsid w:val="00180548"/>
    <w:rsid w:val="00180CCE"/>
    <w:rsid w:val="0018267A"/>
    <w:rsid w:val="00182779"/>
    <w:rsid w:val="001830DF"/>
    <w:rsid w:val="001966D9"/>
    <w:rsid w:val="001A7E9A"/>
    <w:rsid w:val="001B5016"/>
    <w:rsid w:val="001C45FC"/>
    <w:rsid w:val="001D4862"/>
    <w:rsid w:val="001D5EF9"/>
    <w:rsid w:val="001E25B9"/>
    <w:rsid w:val="001E49E0"/>
    <w:rsid w:val="001E7B5A"/>
    <w:rsid w:val="001F6C87"/>
    <w:rsid w:val="001F7412"/>
    <w:rsid w:val="0020725B"/>
    <w:rsid w:val="00212D93"/>
    <w:rsid w:val="00212FBD"/>
    <w:rsid w:val="00241B44"/>
    <w:rsid w:val="00245EFB"/>
    <w:rsid w:val="002630E7"/>
    <w:rsid w:val="00263589"/>
    <w:rsid w:val="0026515D"/>
    <w:rsid w:val="002668D3"/>
    <w:rsid w:val="0027299F"/>
    <w:rsid w:val="00284EBE"/>
    <w:rsid w:val="00286AE6"/>
    <w:rsid w:val="0029433F"/>
    <w:rsid w:val="00294829"/>
    <w:rsid w:val="0029690F"/>
    <w:rsid w:val="002A2A60"/>
    <w:rsid w:val="002B1C45"/>
    <w:rsid w:val="002B6C4A"/>
    <w:rsid w:val="002C13C8"/>
    <w:rsid w:val="002C1671"/>
    <w:rsid w:val="002C3547"/>
    <w:rsid w:val="002C686D"/>
    <w:rsid w:val="002D0021"/>
    <w:rsid w:val="002D31CD"/>
    <w:rsid w:val="002D3473"/>
    <w:rsid w:val="002F1956"/>
    <w:rsid w:val="002F3440"/>
    <w:rsid w:val="002F75A3"/>
    <w:rsid w:val="00303C2F"/>
    <w:rsid w:val="003144EF"/>
    <w:rsid w:val="00320CEF"/>
    <w:rsid w:val="0032631C"/>
    <w:rsid w:val="00327A3B"/>
    <w:rsid w:val="00330937"/>
    <w:rsid w:val="00330F31"/>
    <w:rsid w:val="00333E8D"/>
    <w:rsid w:val="00334648"/>
    <w:rsid w:val="0033768C"/>
    <w:rsid w:val="00337938"/>
    <w:rsid w:val="00340769"/>
    <w:rsid w:val="00341AA6"/>
    <w:rsid w:val="00356AD3"/>
    <w:rsid w:val="00361A0A"/>
    <w:rsid w:val="0036565C"/>
    <w:rsid w:val="0036625E"/>
    <w:rsid w:val="00370438"/>
    <w:rsid w:val="0037465A"/>
    <w:rsid w:val="00374696"/>
    <w:rsid w:val="00382A54"/>
    <w:rsid w:val="00382C98"/>
    <w:rsid w:val="0038533C"/>
    <w:rsid w:val="003948D5"/>
    <w:rsid w:val="00395B2F"/>
    <w:rsid w:val="00396821"/>
    <w:rsid w:val="00397D3A"/>
    <w:rsid w:val="003A051E"/>
    <w:rsid w:val="003A0740"/>
    <w:rsid w:val="003A2F8D"/>
    <w:rsid w:val="003B170F"/>
    <w:rsid w:val="003C2208"/>
    <w:rsid w:val="003C4471"/>
    <w:rsid w:val="003D071E"/>
    <w:rsid w:val="003D0A6D"/>
    <w:rsid w:val="003D2DA8"/>
    <w:rsid w:val="003E0B16"/>
    <w:rsid w:val="003E61E3"/>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C7CFF"/>
    <w:rsid w:val="004D1A5A"/>
    <w:rsid w:val="004D22CE"/>
    <w:rsid w:val="004D3721"/>
    <w:rsid w:val="004D64F9"/>
    <w:rsid w:val="004E14A8"/>
    <w:rsid w:val="004F5FDF"/>
    <w:rsid w:val="00504FFA"/>
    <w:rsid w:val="00511B4A"/>
    <w:rsid w:val="005177FE"/>
    <w:rsid w:val="00521225"/>
    <w:rsid w:val="0052263B"/>
    <w:rsid w:val="00524728"/>
    <w:rsid w:val="005331CA"/>
    <w:rsid w:val="00535ED3"/>
    <w:rsid w:val="00537970"/>
    <w:rsid w:val="00544127"/>
    <w:rsid w:val="00545A06"/>
    <w:rsid w:val="00553EB2"/>
    <w:rsid w:val="00556282"/>
    <w:rsid w:val="00560534"/>
    <w:rsid w:val="0056391B"/>
    <w:rsid w:val="00564D80"/>
    <w:rsid w:val="005650E2"/>
    <w:rsid w:val="00567075"/>
    <w:rsid w:val="00575B2D"/>
    <w:rsid w:val="005833D0"/>
    <w:rsid w:val="005846F3"/>
    <w:rsid w:val="0058622F"/>
    <w:rsid w:val="00592F82"/>
    <w:rsid w:val="005A0CCA"/>
    <w:rsid w:val="005A726D"/>
    <w:rsid w:val="005B67AC"/>
    <w:rsid w:val="005C6C4F"/>
    <w:rsid w:val="005D2E1A"/>
    <w:rsid w:val="005D38C2"/>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6718E"/>
    <w:rsid w:val="00677AEB"/>
    <w:rsid w:val="006816E2"/>
    <w:rsid w:val="00687A1D"/>
    <w:rsid w:val="00697EA1"/>
    <w:rsid w:val="006A2646"/>
    <w:rsid w:val="006A6530"/>
    <w:rsid w:val="006B1CA2"/>
    <w:rsid w:val="006B435A"/>
    <w:rsid w:val="006B4C64"/>
    <w:rsid w:val="006B5739"/>
    <w:rsid w:val="006D01C2"/>
    <w:rsid w:val="006D5D41"/>
    <w:rsid w:val="006E481A"/>
    <w:rsid w:val="006E5298"/>
    <w:rsid w:val="006F734A"/>
    <w:rsid w:val="00700D83"/>
    <w:rsid w:val="007074E9"/>
    <w:rsid w:val="00713DA4"/>
    <w:rsid w:val="00714BF1"/>
    <w:rsid w:val="00721383"/>
    <w:rsid w:val="00727FE7"/>
    <w:rsid w:val="007333CC"/>
    <w:rsid w:val="0073399A"/>
    <w:rsid w:val="0073459E"/>
    <w:rsid w:val="00735A77"/>
    <w:rsid w:val="007475E9"/>
    <w:rsid w:val="007603F5"/>
    <w:rsid w:val="00764DB0"/>
    <w:rsid w:val="00766427"/>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14777"/>
    <w:rsid w:val="0082483F"/>
    <w:rsid w:val="008279C0"/>
    <w:rsid w:val="00827D56"/>
    <w:rsid w:val="008723F3"/>
    <w:rsid w:val="00875FCA"/>
    <w:rsid w:val="00881DE6"/>
    <w:rsid w:val="008837A6"/>
    <w:rsid w:val="0089145D"/>
    <w:rsid w:val="00896021"/>
    <w:rsid w:val="008A6CFE"/>
    <w:rsid w:val="008B3B02"/>
    <w:rsid w:val="008B5333"/>
    <w:rsid w:val="008B6223"/>
    <w:rsid w:val="008B6AAB"/>
    <w:rsid w:val="008C66E0"/>
    <w:rsid w:val="008E3339"/>
    <w:rsid w:val="008F20FC"/>
    <w:rsid w:val="008F2A47"/>
    <w:rsid w:val="008F6301"/>
    <w:rsid w:val="00905A43"/>
    <w:rsid w:val="00912C79"/>
    <w:rsid w:val="00916BC5"/>
    <w:rsid w:val="00942123"/>
    <w:rsid w:val="009465B5"/>
    <w:rsid w:val="0095207B"/>
    <w:rsid w:val="00955AF1"/>
    <w:rsid w:val="00962045"/>
    <w:rsid w:val="009634F4"/>
    <w:rsid w:val="009814B7"/>
    <w:rsid w:val="00991428"/>
    <w:rsid w:val="00992676"/>
    <w:rsid w:val="009A776B"/>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26811"/>
    <w:rsid w:val="00A407EF"/>
    <w:rsid w:val="00A458BE"/>
    <w:rsid w:val="00A46B4C"/>
    <w:rsid w:val="00A47C34"/>
    <w:rsid w:val="00A5117B"/>
    <w:rsid w:val="00A51352"/>
    <w:rsid w:val="00A54909"/>
    <w:rsid w:val="00A57ABA"/>
    <w:rsid w:val="00A60074"/>
    <w:rsid w:val="00A6627C"/>
    <w:rsid w:val="00A71019"/>
    <w:rsid w:val="00A81029"/>
    <w:rsid w:val="00A83A2F"/>
    <w:rsid w:val="00A96489"/>
    <w:rsid w:val="00A97725"/>
    <w:rsid w:val="00AB58E4"/>
    <w:rsid w:val="00AB685C"/>
    <w:rsid w:val="00AB6C2D"/>
    <w:rsid w:val="00AC3839"/>
    <w:rsid w:val="00AC7082"/>
    <w:rsid w:val="00AC7206"/>
    <w:rsid w:val="00AD6A7D"/>
    <w:rsid w:val="00AE3CBD"/>
    <w:rsid w:val="00AF228E"/>
    <w:rsid w:val="00B14819"/>
    <w:rsid w:val="00B17AA9"/>
    <w:rsid w:val="00B3266D"/>
    <w:rsid w:val="00B4309B"/>
    <w:rsid w:val="00B62B8A"/>
    <w:rsid w:val="00B72AE1"/>
    <w:rsid w:val="00B736DF"/>
    <w:rsid w:val="00B74FBD"/>
    <w:rsid w:val="00B82586"/>
    <w:rsid w:val="00B86DB1"/>
    <w:rsid w:val="00B87869"/>
    <w:rsid w:val="00BB0F2B"/>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3EDC"/>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20643"/>
    <w:rsid w:val="00D63EFD"/>
    <w:rsid w:val="00D84752"/>
    <w:rsid w:val="00D86B3B"/>
    <w:rsid w:val="00D8748A"/>
    <w:rsid w:val="00D93196"/>
    <w:rsid w:val="00DA6F67"/>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4A71"/>
    <w:rsid w:val="00E15BA9"/>
    <w:rsid w:val="00E26B70"/>
    <w:rsid w:val="00E26E19"/>
    <w:rsid w:val="00E450A4"/>
    <w:rsid w:val="00E469CA"/>
    <w:rsid w:val="00E50067"/>
    <w:rsid w:val="00E506BE"/>
    <w:rsid w:val="00E55547"/>
    <w:rsid w:val="00E567A9"/>
    <w:rsid w:val="00E6302B"/>
    <w:rsid w:val="00E6452F"/>
    <w:rsid w:val="00E64F45"/>
    <w:rsid w:val="00E6742D"/>
    <w:rsid w:val="00E71CB0"/>
    <w:rsid w:val="00E77C3D"/>
    <w:rsid w:val="00E87A43"/>
    <w:rsid w:val="00E909F0"/>
    <w:rsid w:val="00E93993"/>
    <w:rsid w:val="00EA0913"/>
    <w:rsid w:val="00EB45AC"/>
    <w:rsid w:val="00ED0BC4"/>
    <w:rsid w:val="00ED21FC"/>
    <w:rsid w:val="00EE4971"/>
    <w:rsid w:val="00EE744D"/>
    <w:rsid w:val="00EF090E"/>
    <w:rsid w:val="00F033DA"/>
    <w:rsid w:val="00F0344D"/>
    <w:rsid w:val="00F266DC"/>
    <w:rsid w:val="00F27CD8"/>
    <w:rsid w:val="00F30351"/>
    <w:rsid w:val="00F3323E"/>
    <w:rsid w:val="00F341F4"/>
    <w:rsid w:val="00F35CCE"/>
    <w:rsid w:val="00F42CD6"/>
    <w:rsid w:val="00F44220"/>
    <w:rsid w:val="00F5524B"/>
    <w:rsid w:val="00F61DD2"/>
    <w:rsid w:val="00F61EA8"/>
    <w:rsid w:val="00F66AFF"/>
    <w:rsid w:val="00F71433"/>
    <w:rsid w:val="00F82D90"/>
    <w:rsid w:val="00F8385C"/>
    <w:rsid w:val="00F97C5B"/>
    <w:rsid w:val="00FA2EF9"/>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382A54"/>
    <w:rPr>
      <w:color w:val="605E5C"/>
      <w:shd w:val="clear" w:color="auto" w:fill="E1DFDD"/>
    </w:rPr>
  </w:style>
  <w:style w:type="paragraph" w:styleId="EndnoteText">
    <w:name w:val="endnote text"/>
    <w:basedOn w:val="Normal"/>
    <w:link w:val="EndnoteTextChar"/>
    <w:uiPriority w:val="99"/>
    <w:semiHidden/>
    <w:unhideWhenUsed/>
    <w:rsid w:val="003E61E3"/>
    <w:rPr>
      <w:szCs w:val="20"/>
    </w:rPr>
  </w:style>
  <w:style w:type="character" w:customStyle="1" w:styleId="EndnoteTextChar">
    <w:name w:val="Endnote Text Char"/>
    <w:basedOn w:val="DefaultParagraphFont"/>
    <w:link w:val="EndnoteText"/>
    <w:uiPriority w:val="99"/>
    <w:semiHidden/>
    <w:rsid w:val="003E61E3"/>
    <w:rPr>
      <w:rFonts w:eastAsia="Times New Roman"/>
      <w:sz w:val="20"/>
      <w:szCs w:val="20"/>
    </w:rPr>
  </w:style>
  <w:style w:type="character" w:styleId="EndnoteReference">
    <w:name w:val="endnote reference"/>
    <w:basedOn w:val="DefaultParagraphFont"/>
    <w:uiPriority w:val="99"/>
    <w:semiHidden/>
    <w:unhideWhenUsed/>
    <w:rsid w:val="003E61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uncitral.un.org/sites/uncitral.un.org/files/media-documents/uncitral/en/1997-model-law-insol-2013-guide-enactment-e.pdf" TargetMode="External"/><Relationship Id="rId3" Type="http://schemas.openxmlformats.org/officeDocument/2006/relationships/hyperlink" Target="https://kobrekim.com/insights/client-alert/more-routes-recovery-global-creditors-middle-east" TargetMode="External"/><Relationship Id="rId7" Type="http://schemas.openxmlformats.org/officeDocument/2006/relationships/hyperlink" Target="https://openknowledge.worldbank.org/server/api/core/bitstreams/3824fe8e-edb3-5f9b-aa28-f5afc759e562/content" TargetMode="External"/><Relationship Id="rId2" Type="http://schemas.openxmlformats.org/officeDocument/2006/relationships/hyperlink" Target="https://adglegal.com/wp-content/uploads/Acrobat-Document.pdf" TargetMode="External"/><Relationship Id="rId1" Type="http://schemas.openxmlformats.org/officeDocument/2006/relationships/hyperlink" Target="https://uncitral.un.org/en/texts/insolvency/modellaw/cross-border_insolvency/status" TargetMode="External"/><Relationship Id="rId6" Type="http://schemas.openxmlformats.org/officeDocument/2006/relationships/hyperlink" Target="https://openknowledge.worldbank.org/server/api/core/bitstreams/3824fe8e-edb3-5f9b-aa28-f5afc759e562/content" TargetMode="External"/><Relationship Id="rId5" Type="http://schemas.openxmlformats.org/officeDocument/2006/relationships/hyperlink" Target="https://uncitral.un.org/sites/uncitral.un.org/files/media-documents/uncitral/en/05-80722_ebook.pdf" TargetMode="External"/><Relationship Id="rId4" Type="http://schemas.openxmlformats.org/officeDocument/2006/relationships/hyperlink" Target="https://www.imf.org/external/np/leg/sem/2002/cdmfl/eng/camp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4301</Words>
  <Characters>24516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Pippa Thompson (VG)</cp:lastModifiedBy>
  <cp:revision>3</cp:revision>
  <cp:lastPrinted>2019-09-04T15:45:00Z</cp:lastPrinted>
  <dcterms:created xsi:type="dcterms:W3CDTF">2023-10-14T20:07:00Z</dcterms:created>
  <dcterms:modified xsi:type="dcterms:W3CDTF">2023-10-14T20:09:00Z</dcterms:modified>
</cp:coreProperties>
</file>