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r>
      <w:r w:rsidRPr="001D2AA6">
        <w:rPr>
          <w:rFonts w:ascii="Avenir Next" w:hAnsi="Avenir Next" w:cs="Arial"/>
          <w:sz w:val="22"/>
          <w:szCs w:val="22"/>
          <w:lang w:val="en-GB"/>
        </w:rPr>
        <w:t xml:space="preserve">You must save this document using the following format: </w:t>
      </w:r>
      <w:r w:rsidRPr="001D2AA6">
        <w:rPr>
          <w:rFonts w:ascii="Avenir Next Demi Bold" w:hAnsi="Avenir Next Demi Bold" w:cs="Arial"/>
          <w:b/>
          <w:bCs/>
          <w:sz w:val="22"/>
          <w:szCs w:val="22"/>
          <w:lang w:val="en-GB" w:eastAsia="en-GB"/>
        </w:rPr>
        <w:t>[student</w:t>
      </w:r>
      <w:r w:rsidR="00A97725" w:rsidRPr="001D2AA6">
        <w:rPr>
          <w:rFonts w:ascii="Avenir Next Demi Bold" w:hAnsi="Avenir Next Demi Bold" w:cs="Arial"/>
          <w:b/>
          <w:bCs/>
          <w:sz w:val="22"/>
          <w:szCs w:val="22"/>
          <w:lang w:val="en-GB" w:eastAsia="en-GB"/>
        </w:rPr>
        <w:t>ID</w:t>
      </w:r>
      <w:r w:rsidRPr="001D2AA6">
        <w:rPr>
          <w:rFonts w:ascii="Avenir Next Demi Bold" w:hAnsi="Avenir Next Demi Bold" w:cs="Arial"/>
          <w:b/>
          <w:bCs/>
          <w:sz w:val="22"/>
          <w:szCs w:val="22"/>
          <w:lang w:val="en-GB" w:eastAsia="en-GB"/>
        </w:rPr>
        <w:t>.assessment1formative]</w:t>
      </w:r>
      <w:r w:rsidRPr="001D2AA6">
        <w:rPr>
          <w:rFonts w:ascii="Avenir Next" w:hAnsi="Avenir Next" w:cs="Arial"/>
          <w:sz w:val="22"/>
          <w:szCs w:val="22"/>
          <w:lang w:val="en-GB" w:eastAsia="en-GB"/>
        </w:rPr>
        <w:t>. An example would be something along the following lines: 202</w:t>
      </w:r>
      <w:r w:rsidR="000E329C" w:rsidRPr="001D2AA6">
        <w:rPr>
          <w:rFonts w:ascii="Avenir Next" w:hAnsi="Avenir Next" w:cs="Arial"/>
          <w:sz w:val="22"/>
          <w:szCs w:val="22"/>
          <w:lang w:val="en-GB" w:eastAsia="en-GB"/>
        </w:rPr>
        <w:t>2</w:t>
      </w:r>
      <w:r w:rsidRPr="001D2AA6">
        <w:rPr>
          <w:rFonts w:ascii="Avenir Next" w:hAnsi="Avenir Next" w:cs="Arial"/>
          <w:sz w:val="22"/>
          <w:szCs w:val="22"/>
          <w:lang w:val="en-GB" w:eastAsia="en-GB"/>
        </w:rPr>
        <w:t>2</w:t>
      </w:r>
      <w:r w:rsidR="00827D56" w:rsidRPr="001D2AA6">
        <w:rPr>
          <w:rFonts w:ascii="Avenir Next" w:hAnsi="Avenir Next" w:cs="Arial"/>
          <w:sz w:val="22"/>
          <w:szCs w:val="22"/>
          <w:lang w:val="en-GB" w:eastAsia="en-GB"/>
        </w:rPr>
        <w:t>3</w:t>
      </w:r>
      <w:r w:rsidRPr="001D2AA6">
        <w:rPr>
          <w:rFonts w:ascii="Avenir Next" w:hAnsi="Avenir Next" w:cs="Arial"/>
          <w:sz w:val="22"/>
          <w:szCs w:val="22"/>
          <w:lang w:val="en-GB" w:eastAsia="en-GB"/>
        </w:rPr>
        <w:t>-</w:t>
      </w:r>
      <w:r w:rsidR="00827D56" w:rsidRPr="001D2AA6">
        <w:rPr>
          <w:rFonts w:ascii="Avenir Next" w:hAnsi="Avenir Next" w:cs="Arial"/>
          <w:sz w:val="22"/>
          <w:szCs w:val="22"/>
          <w:lang w:val="en-GB" w:eastAsia="en-GB"/>
        </w:rPr>
        <w:t>336</w:t>
      </w:r>
      <w:r w:rsidRPr="001D2AA6">
        <w:rPr>
          <w:rFonts w:ascii="Avenir Next" w:hAnsi="Avenir Next" w:cs="Arial"/>
          <w:sz w:val="22"/>
          <w:szCs w:val="22"/>
          <w:lang w:val="en-GB" w:eastAsia="en-GB"/>
        </w:rPr>
        <w:t>.assessment1formative</w:t>
      </w:r>
      <w:r w:rsidRPr="001D2AA6">
        <w:rPr>
          <w:rFonts w:ascii="Avenir Next" w:hAnsi="Avenir Next" w:cs="Arial"/>
          <w:sz w:val="22"/>
          <w:szCs w:val="22"/>
          <w:lang w:val="en-GB"/>
        </w:rPr>
        <w:t xml:space="preserve">. </w:t>
      </w:r>
      <w:r w:rsidRPr="001D2AA6">
        <w:rPr>
          <w:rFonts w:ascii="Avenir Next Demi Bold" w:hAnsi="Avenir Next Demi Bold" w:cs="Arial"/>
          <w:b/>
          <w:bCs/>
          <w:sz w:val="22"/>
          <w:szCs w:val="22"/>
          <w:lang w:val="en-GB"/>
        </w:rPr>
        <w:t>Please also include the filename as a footer to each page of the assessment</w:t>
      </w:r>
      <w:r w:rsidRPr="001D2AA6">
        <w:rPr>
          <w:rFonts w:ascii="Avenir Next" w:hAnsi="Avenir Next" w:cs="Arial"/>
          <w:bCs/>
          <w:sz w:val="22"/>
          <w:szCs w:val="22"/>
          <w:lang w:val="en-GB"/>
        </w:rPr>
        <w:t xml:space="preserve"> (this has been pre-populated for you, merely replace the words “student</w:t>
      </w:r>
      <w:r w:rsidR="002C1671" w:rsidRPr="001D2AA6">
        <w:rPr>
          <w:rFonts w:ascii="Avenir Next" w:hAnsi="Avenir Next" w:cs="Arial"/>
          <w:bCs/>
          <w:sz w:val="22"/>
          <w:szCs w:val="22"/>
          <w:lang w:val="en-GB"/>
        </w:rPr>
        <w:t>ID</w:t>
      </w:r>
      <w:r w:rsidRPr="001D2AA6">
        <w:rPr>
          <w:rFonts w:ascii="Avenir Next" w:hAnsi="Avenir Next" w:cs="Arial"/>
          <w:bCs/>
          <w:sz w:val="22"/>
          <w:szCs w:val="22"/>
          <w:lang w:val="en-GB"/>
        </w:rPr>
        <w:t>” with the student number allocated to you)</w:t>
      </w:r>
      <w:r w:rsidRPr="001D2AA6">
        <w:rPr>
          <w:rFonts w:ascii="Avenir Next" w:hAnsi="Avenir Next" w:cs="Arial"/>
          <w:sz w:val="22"/>
          <w:szCs w:val="22"/>
          <w:lang w:val="en-GB"/>
        </w:rPr>
        <w:t xml:space="preserve">. Do not include your name or any other identifying words in your file name. </w:t>
      </w:r>
      <w:r w:rsidRPr="001D2AA6">
        <w:rPr>
          <w:rFonts w:ascii="Avenir Next Demi Bold" w:hAnsi="Avenir Next Demi Bold" w:cs="Arial"/>
          <w:b/>
          <w:bCs/>
          <w:sz w:val="22"/>
          <w:szCs w:val="22"/>
          <w:lang w:val="en-GB"/>
        </w:rPr>
        <w:t>Assessments that do not comply with this instruction will be returned to candidates unmarked</w:t>
      </w:r>
      <w:r w:rsidRPr="001D2AA6">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0D22EF" w:rsidRDefault="00B736DF" w:rsidP="009E1027">
      <w:pPr>
        <w:pStyle w:val="ListParagraph"/>
        <w:numPr>
          <w:ilvl w:val="0"/>
          <w:numId w:val="12"/>
        </w:numPr>
        <w:ind w:left="426"/>
        <w:jc w:val="both"/>
        <w:rPr>
          <w:rFonts w:ascii="Avenir Next" w:hAnsi="Avenir Next" w:cs="Arial"/>
          <w:sz w:val="22"/>
          <w:szCs w:val="22"/>
          <w:highlight w:val="yellow"/>
          <w:lang w:val="en-GB"/>
        </w:rPr>
      </w:pPr>
      <w:r w:rsidRPr="000D22E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C4A71" w:rsidRDefault="00161F1B" w:rsidP="009E1027">
      <w:pPr>
        <w:pStyle w:val="ListParagraph"/>
        <w:numPr>
          <w:ilvl w:val="0"/>
          <w:numId w:val="13"/>
        </w:numPr>
        <w:ind w:left="426"/>
        <w:jc w:val="both"/>
        <w:rPr>
          <w:rFonts w:ascii="Avenir Next" w:hAnsi="Avenir Next" w:cs="Arial"/>
          <w:sz w:val="22"/>
          <w:szCs w:val="22"/>
          <w:highlight w:val="yellow"/>
          <w:lang w:val="en-GB"/>
        </w:rPr>
      </w:pPr>
      <w:r w:rsidRPr="002C4A7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96489" w:rsidRDefault="009E2E27" w:rsidP="008031A7">
      <w:pPr>
        <w:pStyle w:val="ListParagraph"/>
        <w:numPr>
          <w:ilvl w:val="0"/>
          <w:numId w:val="14"/>
        </w:numPr>
        <w:ind w:left="426"/>
        <w:jc w:val="both"/>
        <w:rPr>
          <w:rFonts w:ascii="Avenir Next" w:hAnsi="Avenir Next" w:cs="Arial"/>
          <w:sz w:val="22"/>
          <w:szCs w:val="22"/>
          <w:highlight w:val="yellow"/>
          <w:lang w:val="en-GB"/>
        </w:rPr>
      </w:pPr>
      <w:r w:rsidRPr="00896489">
        <w:rPr>
          <w:rFonts w:ascii="Avenir Next" w:hAnsi="Avenir Next" w:cs="Arial"/>
          <w:sz w:val="22"/>
          <w:szCs w:val="22"/>
          <w:highlight w:val="yellow"/>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97CD7" w:rsidRDefault="009E2E27" w:rsidP="008031A7">
      <w:pPr>
        <w:pStyle w:val="ListParagraph"/>
        <w:numPr>
          <w:ilvl w:val="0"/>
          <w:numId w:val="15"/>
        </w:numPr>
        <w:ind w:left="426"/>
        <w:jc w:val="both"/>
        <w:rPr>
          <w:rFonts w:ascii="Avenir Next" w:hAnsi="Avenir Next" w:cs="Arial"/>
          <w:sz w:val="22"/>
          <w:szCs w:val="22"/>
          <w:highlight w:val="yellow"/>
          <w:lang w:val="en-GB"/>
        </w:rPr>
      </w:pPr>
      <w:r w:rsidRPr="00497CD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1536B" w:rsidRDefault="00A235B7" w:rsidP="006D01C2">
      <w:pPr>
        <w:pStyle w:val="ListParagraph"/>
        <w:numPr>
          <w:ilvl w:val="0"/>
          <w:numId w:val="16"/>
        </w:numPr>
        <w:ind w:left="426"/>
        <w:jc w:val="both"/>
        <w:rPr>
          <w:rFonts w:ascii="Avenir Next" w:hAnsi="Avenir Next" w:cs="Arial"/>
          <w:sz w:val="22"/>
          <w:szCs w:val="22"/>
          <w:highlight w:val="yellow"/>
          <w:lang w:val="en-GB"/>
        </w:rPr>
      </w:pPr>
      <w:r w:rsidRPr="0041536B">
        <w:rPr>
          <w:rFonts w:ascii="Avenir Next" w:hAnsi="Avenir Next" w:cs="Arial"/>
          <w:sz w:val="22"/>
          <w:szCs w:val="22"/>
          <w:highlight w:val="yellow"/>
          <w:lang w:val="en-GB"/>
        </w:rPr>
        <w:t>The statement</w:t>
      </w:r>
      <w:r w:rsidR="0037465A" w:rsidRPr="0041536B">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33156"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833156">
        <w:rPr>
          <w:rFonts w:ascii="Avenir Next" w:eastAsiaTheme="minorHAnsi" w:hAnsi="Avenir Next" w:cs="Arial"/>
          <w:sz w:val="22"/>
          <w:szCs w:val="22"/>
          <w:highlight w:val="yellow"/>
          <w:lang w:val="en-GB"/>
        </w:rPr>
        <w:t>Private International Law</w:t>
      </w:r>
      <w:r w:rsidR="00991428" w:rsidRPr="00833156">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1536B" w:rsidRDefault="004D1A5A" w:rsidP="006D01C2">
      <w:pPr>
        <w:pStyle w:val="ListParagraph"/>
        <w:numPr>
          <w:ilvl w:val="0"/>
          <w:numId w:val="18"/>
        </w:numPr>
        <w:ind w:left="426"/>
        <w:jc w:val="both"/>
        <w:rPr>
          <w:rFonts w:ascii="Avenir Next" w:hAnsi="Avenir Next" w:cs="Arial"/>
          <w:sz w:val="22"/>
          <w:szCs w:val="22"/>
          <w:highlight w:val="yellow"/>
          <w:lang w:val="en-GB"/>
        </w:rPr>
      </w:pPr>
      <w:r w:rsidRPr="0041536B">
        <w:rPr>
          <w:rFonts w:ascii="Avenir Next" w:hAnsi="Avenir Next" w:cs="Arial"/>
          <w:sz w:val="22"/>
          <w:szCs w:val="22"/>
          <w:highlight w:val="yellow"/>
          <w:lang w:val="en-GB"/>
        </w:rPr>
        <w:t>UNCITRAL Model Law on Cross-border Insolvency (1997)</w:t>
      </w:r>
      <w:r w:rsidR="00912C79" w:rsidRPr="0041536B">
        <w:rPr>
          <w:rFonts w:ascii="Avenir Next" w:hAnsi="Avenir Next" w:cs="Arial"/>
          <w:sz w:val="22"/>
          <w:szCs w:val="22"/>
          <w:highlight w:val="yellow"/>
          <w:lang w:val="en-GB"/>
        </w:rPr>
        <w:t>.</w:t>
      </w:r>
      <w:r w:rsidRPr="0041536B">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4514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A45146">
        <w:rPr>
          <w:rFonts w:ascii="Avenir Next" w:hAnsi="Avenir Next" w:cs="Arial"/>
          <w:sz w:val="22"/>
          <w:szCs w:val="22"/>
          <w:highlight w:val="yellow"/>
          <w:lang w:val="en-GB"/>
        </w:rPr>
        <w:t>Havana Convention on Private International Law (1928)</w:t>
      </w:r>
      <w:r w:rsidRPr="00A4514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A45146" w:rsidRDefault="0082483F" w:rsidP="006D01C2">
      <w:pPr>
        <w:pStyle w:val="ListParagraph"/>
        <w:numPr>
          <w:ilvl w:val="0"/>
          <w:numId w:val="20"/>
        </w:numPr>
        <w:ind w:left="426"/>
        <w:jc w:val="both"/>
        <w:rPr>
          <w:rFonts w:ascii="Avenir Next" w:hAnsi="Avenir Next" w:cs="Arial"/>
          <w:sz w:val="22"/>
          <w:szCs w:val="22"/>
          <w:highlight w:val="yellow"/>
          <w:lang w:val="en-GB"/>
        </w:rPr>
      </w:pPr>
      <w:r w:rsidRPr="00A45146">
        <w:rPr>
          <w:rFonts w:ascii="Avenir Next" w:hAnsi="Avenir Next" w:cs="Arial"/>
          <w:sz w:val="22"/>
          <w:szCs w:val="22"/>
          <w:highlight w:val="yellow"/>
          <w:lang w:val="en-GB"/>
        </w:rPr>
        <w:t>Proceedings to restructure a debtor that is facing the likelihood of insolvency.</w:t>
      </w:r>
    </w:p>
    <w:p w14:paraId="67C265BB" w14:textId="77777777" w:rsidR="006D01C2" w:rsidRPr="00A45146" w:rsidRDefault="006D01C2" w:rsidP="006D01C2">
      <w:pPr>
        <w:jc w:val="both"/>
        <w:rPr>
          <w:rFonts w:ascii="Avenir Next" w:hAnsi="Avenir Next" w:cs="Arial"/>
          <w:sz w:val="22"/>
          <w:szCs w:val="22"/>
          <w:highlight w:val="yellow"/>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A45146">
        <w:rPr>
          <w:rFonts w:ascii="Avenir Next" w:hAnsi="Avenir Next" w:cs="Arial"/>
          <w:sz w:val="22"/>
          <w:szCs w:val="22"/>
          <w:lang w:val="en-GB"/>
        </w:rPr>
        <w:lastRenderedPageBreak/>
        <w:t xml:space="preserve">Definition of </w:t>
      </w:r>
      <w:r w:rsidR="006D01C2" w:rsidRPr="00A45146">
        <w:rPr>
          <w:rFonts w:ascii="Avenir Next" w:hAnsi="Avenir Next" w:cs="Arial"/>
          <w:sz w:val="22"/>
          <w:szCs w:val="22"/>
          <w:lang w:val="en-GB"/>
        </w:rPr>
        <w:t>“</w:t>
      </w:r>
      <w:r w:rsidRPr="00A45146">
        <w:rPr>
          <w:rFonts w:ascii="Avenir Next" w:hAnsi="Avenir Next" w:cs="Arial"/>
          <w:sz w:val="22"/>
          <w:szCs w:val="22"/>
          <w:lang w:val="en-GB"/>
        </w:rPr>
        <w:t>centre of the debtor’s main interests</w:t>
      </w:r>
      <w:r w:rsidR="006D01C2" w:rsidRPr="00A45146">
        <w:rPr>
          <w:rFonts w:ascii="Avenir Next" w:hAnsi="Avenir Next" w:cs="Arial"/>
          <w:sz w:val="22"/>
          <w:szCs w:val="22"/>
          <w:lang w:val="en-GB"/>
        </w:rPr>
        <w:t>”</w:t>
      </w:r>
      <w:r w:rsidRPr="00A45146">
        <w:rPr>
          <w:rFonts w:ascii="Avenir Next" w:hAnsi="Avenir Next" w:cs="Arial"/>
          <w:sz w:val="22"/>
          <w:szCs w:val="22"/>
          <w:lang w:val="en-GB"/>
        </w:rPr>
        <w:t>.</w:t>
      </w:r>
    </w:p>
    <w:p w14:paraId="5DCFFF19" w14:textId="77777777" w:rsidR="001D2AA6" w:rsidRPr="001D2AA6" w:rsidRDefault="001D2AA6" w:rsidP="001D2AA6">
      <w:pPr>
        <w:jc w:val="both"/>
        <w:rPr>
          <w:rFonts w:ascii="Avenir Next" w:hAnsi="Avenir Next" w:cs="Arial"/>
          <w:sz w:val="22"/>
          <w:szCs w:val="22"/>
          <w:lang w:val="en-GB"/>
        </w:rPr>
      </w:pPr>
    </w:p>
    <w:p w14:paraId="67B60932" w14:textId="66550C6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r w:rsidR="00A45146">
        <w:rPr>
          <w:rFonts w:ascii="Avenir Next" w:hAnsi="Avenir Next" w:cs="Arial"/>
          <w:sz w:val="22"/>
          <w:szCs w:val="22"/>
          <w:lang w:val="en-GB"/>
        </w:rPr>
        <w:t xml:space="preserve"> </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455A4B"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455A4B">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55A4B"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55A4B">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5B5CACF0" w:rsidR="00DE03AF" w:rsidRDefault="00E30308" w:rsidP="00C053F7">
      <w:pPr>
        <w:jc w:val="both"/>
        <w:rPr>
          <w:rFonts w:ascii="Avenir Next" w:hAnsi="Avenir Next" w:cs="Arial"/>
          <w:sz w:val="22"/>
          <w:szCs w:val="22"/>
          <w:lang w:val="en-GB"/>
        </w:rPr>
      </w:pPr>
      <w:r>
        <w:rPr>
          <w:rFonts w:ascii="Avenir Next" w:hAnsi="Avenir Next" w:cs="Arial"/>
          <w:sz w:val="22"/>
          <w:szCs w:val="22"/>
          <w:lang w:val="en-GB"/>
        </w:rPr>
        <w:t>Wessels defines international insolvency law as that part of the law that:</w:t>
      </w:r>
    </w:p>
    <w:p w14:paraId="36A88A8B" w14:textId="77777777" w:rsidR="00E30308" w:rsidRDefault="00E30308" w:rsidP="00C053F7">
      <w:pPr>
        <w:jc w:val="both"/>
        <w:rPr>
          <w:rFonts w:ascii="Avenir Next" w:hAnsi="Avenir Next" w:cs="Arial"/>
          <w:sz w:val="22"/>
          <w:szCs w:val="22"/>
          <w:lang w:val="en-GB"/>
        </w:rPr>
      </w:pPr>
    </w:p>
    <w:p w14:paraId="4146E89C" w14:textId="574840C0" w:rsidR="00E30308" w:rsidRDefault="00E30308" w:rsidP="00C053F7">
      <w:pPr>
        <w:jc w:val="both"/>
        <w:rPr>
          <w:rFonts w:ascii="Avenir Next" w:hAnsi="Avenir Next" w:cs="Arial"/>
          <w:i/>
          <w:iCs/>
          <w:sz w:val="22"/>
          <w:szCs w:val="22"/>
          <w:lang w:val="en-GB"/>
        </w:rPr>
      </w:pPr>
      <w:r w:rsidRPr="00E30308">
        <w:rPr>
          <w:rFonts w:ascii="Avenir Next" w:hAnsi="Avenir Next" w:cs="Arial"/>
          <w:i/>
          <w:iCs/>
          <w:sz w:val="22"/>
          <w:szCs w:val="22"/>
          <w:lang w:val="en-GB"/>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888567D" w14:textId="77777777" w:rsidR="00E30308" w:rsidRDefault="00E30308" w:rsidP="00C053F7">
      <w:pPr>
        <w:jc w:val="both"/>
        <w:rPr>
          <w:rFonts w:ascii="Avenir Next" w:hAnsi="Avenir Next" w:cs="Arial"/>
          <w:i/>
          <w:iCs/>
          <w:sz w:val="22"/>
          <w:szCs w:val="22"/>
          <w:lang w:val="en-GB"/>
        </w:rPr>
      </w:pPr>
    </w:p>
    <w:p w14:paraId="6B67C236" w14:textId="5440F01A" w:rsidR="00E30308" w:rsidRPr="00E30308" w:rsidRDefault="00E30308" w:rsidP="00C053F7">
      <w:pPr>
        <w:jc w:val="both"/>
        <w:rPr>
          <w:rFonts w:ascii="Avenir Next" w:hAnsi="Avenir Next" w:cs="Arial"/>
          <w:sz w:val="22"/>
          <w:szCs w:val="22"/>
          <w:lang w:val="en-GB"/>
        </w:rPr>
      </w:pPr>
      <w:r>
        <w:rPr>
          <w:rFonts w:ascii="Avenir Next" w:hAnsi="Avenir Next" w:cs="Arial"/>
          <w:sz w:val="22"/>
          <w:szCs w:val="22"/>
          <w:lang w:val="en-GB"/>
        </w:rPr>
        <w:t xml:space="preserve">However, Wessels also concedes that this definition is limited since it is connected to the existence of a national legal framework of insolvency law.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1390B3D9" w14:textId="02B0E208" w:rsidR="00AA1643" w:rsidRDefault="00E30308" w:rsidP="00E30308">
      <w:pPr>
        <w:jc w:val="both"/>
        <w:rPr>
          <w:rFonts w:ascii="Avenir Next" w:hAnsi="Avenir Next" w:cs="Arial"/>
          <w:sz w:val="22"/>
          <w:szCs w:val="22"/>
          <w:lang w:val="en-GB"/>
        </w:rPr>
      </w:pPr>
      <w:r>
        <w:rPr>
          <w:rFonts w:ascii="Avenir Next" w:hAnsi="Avenir Next" w:cs="Arial"/>
          <w:sz w:val="22"/>
          <w:szCs w:val="22"/>
          <w:lang w:val="en-GB"/>
        </w:rPr>
        <w:t>A simplified explanation of universalism or universality is that there should only be one insolvency proceeding covering all of the debtor's assets and debts worldwide. In other words, the concept of universality envisages that once proceedings are opened in o</w:t>
      </w:r>
      <w:r w:rsidR="00AA1643">
        <w:rPr>
          <w:rFonts w:ascii="Avenir Next" w:hAnsi="Avenir Next" w:cs="Arial"/>
          <w:sz w:val="22"/>
          <w:szCs w:val="22"/>
          <w:lang w:val="en-GB"/>
        </w:rPr>
        <w:t>ne</w:t>
      </w:r>
      <w:r>
        <w:rPr>
          <w:rFonts w:ascii="Avenir Next" w:hAnsi="Avenir Next" w:cs="Arial"/>
          <w:sz w:val="22"/>
          <w:szCs w:val="22"/>
          <w:lang w:val="en-GB"/>
        </w:rPr>
        <w:t xml:space="preserve"> </w:t>
      </w:r>
      <w:r w:rsidR="00AA1643">
        <w:rPr>
          <w:rFonts w:ascii="Avenir Next" w:hAnsi="Avenir Next" w:cs="Arial"/>
          <w:sz w:val="22"/>
          <w:szCs w:val="22"/>
          <w:lang w:val="en-GB"/>
        </w:rPr>
        <w:t>forum (i.e., in one state)</w:t>
      </w:r>
      <w:r>
        <w:rPr>
          <w:rFonts w:ascii="Avenir Next" w:hAnsi="Avenir Next" w:cs="Arial"/>
          <w:sz w:val="22"/>
          <w:szCs w:val="22"/>
          <w:lang w:val="en-GB"/>
        </w:rPr>
        <w:t>, no other insolvency proceedings ought to be possible nor any other forms of execution of the debtor's assets. Proponents for universality argue that, ideally, only one forum should have jurisdiction</w:t>
      </w:r>
      <w:r w:rsidR="00AA1643">
        <w:rPr>
          <w:rFonts w:ascii="Avenir Next" w:hAnsi="Avenir Next" w:cs="Arial"/>
          <w:sz w:val="22"/>
          <w:szCs w:val="22"/>
          <w:lang w:val="en-GB"/>
        </w:rPr>
        <w:t xml:space="preserve">. The chosen state could, for example, be where the centre of the debtor's interests is located. </w:t>
      </w:r>
      <w:r w:rsidR="007440E1">
        <w:rPr>
          <w:rFonts w:ascii="Avenir Next" w:hAnsi="Avenir Next" w:cs="Arial"/>
          <w:sz w:val="22"/>
          <w:szCs w:val="22"/>
          <w:lang w:val="en-GB"/>
        </w:rPr>
        <w:t xml:space="preserve">This would mean </w:t>
      </w:r>
      <w:r w:rsidR="007440E1">
        <w:rPr>
          <w:rFonts w:ascii="Avenir Next" w:hAnsi="Avenir Next" w:cs="Arial"/>
          <w:sz w:val="22"/>
          <w:szCs w:val="22"/>
          <w:lang w:val="en-GB"/>
        </w:rPr>
        <w:lastRenderedPageBreak/>
        <w:t xml:space="preserve">that the law of the "main proceeding" would have worldwide effect, even outside the territorial jurisdiction of the state where the so-called main proceeding has opened.  It calls for "unity of proceedings", allowing the law of the state where the "main proceeding" is opened to regulate the matter. </w:t>
      </w:r>
    </w:p>
    <w:p w14:paraId="500A8CA8" w14:textId="77777777" w:rsidR="007440E1" w:rsidRDefault="007440E1" w:rsidP="00E30308">
      <w:pPr>
        <w:jc w:val="both"/>
        <w:rPr>
          <w:rFonts w:ascii="Avenir Next" w:hAnsi="Avenir Next" w:cs="Arial"/>
          <w:sz w:val="22"/>
          <w:szCs w:val="22"/>
          <w:lang w:val="en-GB"/>
        </w:rPr>
      </w:pPr>
    </w:p>
    <w:p w14:paraId="2F57801B" w14:textId="3C59C0D5" w:rsidR="009B07AD" w:rsidRPr="00E30308" w:rsidRDefault="00AA1643" w:rsidP="00E30308">
      <w:pPr>
        <w:jc w:val="both"/>
        <w:rPr>
          <w:rFonts w:ascii="Avenir Next" w:hAnsi="Avenir Next" w:cs="Arial"/>
          <w:sz w:val="22"/>
          <w:szCs w:val="22"/>
          <w:lang w:val="en-GB"/>
        </w:rPr>
      </w:pPr>
      <w:r>
        <w:rPr>
          <w:rFonts w:ascii="Avenir Next" w:hAnsi="Avenir Next" w:cs="Arial"/>
          <w:sz w:val="22"/>
          <w:szCs w:val="22"/>
          <w:lang w:val="en-GB"/>
        </w:rPr>
        <w:t xml:space="preserve">By comparison, the principle of territorialism is diametrically opposed to the principle of universalism and is based on the premise that insolvency proceedings may be commenced in every state / jurisdiction where the debtor holds assets, but that they should be territorially limited and restricted to property within the state where the proceedings are opened. Thus, proponents of territorialism argue that it should be possible to have multiple insolvency proceedings running concurrently in regard to the same debtor. Under the principle of territorialism, the national interest should be protected (i.e., the interests of local creditors) before any assets are transmitted abroad. </w:t>
      </w:r>
      <w:r w:rsidR="00E30308">
        <w:rPr>
          <w:rFonts w:ascii="Avenir Next" w:hAnsi="Avenir Next" w:cs="Arial"/>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ED9358C" w:rsidR="00C72848" w:rsidRDefault="0016663F" w:rsidP="00C053F7">
      <w:pPr>
        <w:ind w:left="720" w:hanging="720"/>
        <w:jc w:val="both"/>
        <w:rPr>
          <w:rFonts w:ascii="Avenir Next" w:hAnsi="Avenir Next" w:cs="Arial"/>
          <w:sz w:val="22"/>
          <w:szCs w:val="22"/>
          <w:lang w:val="en-GB"/>
        </w:rPr>
      </w:pPr>
      <w:r w:rsidRPr="0016663F">
        <w:rPr>
          <w:rFonts w:ascii="Avenir Next" w:hAnsi="Avenir Next" w:cs="Arial"/>
          <w:sz w:val="22"/>
          <w:szCs w:val="22"/>
          <w:lang w:val="en-GB"/>
        </w:rPr>
        <w:t>The three re</w:t>
      </w:r>
      <w:r>
        <w:rPr>
          <w:rFonts w:ascii="Avenir Next" w:hAnsi="Avenir Next" w:cs="Arial"/>
          <w:sz w:val="22"/>
          <w:szCs w:val="22"/>
          <w:lang w:val="en-GB"/>
        </w:rPr>
        <w:t>cent developments are as follows:</w:t>
      </w:r>
    </w:p>
    <w:p w14:paraId="5DDFAB51" w14:textId="77777777" w:rsidR="0016663F" w:rsidRDefault="0016663F" w:rsidP="00C053F7">
      <w:pPr>
        <w:ind w:left="720" w:hanging="720"/>
        <w:jc w:val="both"/>
        <w:rPr>
          <w:rFonts w:ascii="Avenir Next" w:hAnsi="Avenir Next" w:cs="Arial"/>
          <w:sz w:val="22"/>
          <w:szCs w:val="22"/>
          <w:lang w:val="en-GB"/>
        </w:rPr>
      </w:pPr>
    </w:p>
    <w:p w14:paraId="4D249606" w14:textId="1616BD63" w:rsidR="00E52CBB" w:rsidRDefault="00E52CBB" w:rsidP="0016663F">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Gulf Cooperation Council of countries (i.e., Bahrain, Kuwait, Oman, Qatar , Saudi Arabia and UAE) have worked closely with the World Bank for c. 40 years. </w:t>
      </w:r>
    </w:p>
    <w:p w14:paraId="3244A348" w14:textId="77777777" w:rsidR="00E52CBB" w:rsidRDefault="00E52CBB" w:rsidP="00E52CBB">
      <w:pPr>
        <w:pStyle w:val="ListParagraph"/>
        <w:jc w:val="both"/>
        <w:rPr>
          <w:rFonts w:ascii="Avenir Next" w:hAnsi="Avenir Next" w:cs="Arial"/>
          <w:sz w:val="22"/>
          <w:szCs w:val="22"/>
          <w:lang w:val="en-GB"/>
        </w:rPr>
      </w:pPr>
    </w:p>
    <w:p w14:paraId="14026977" w14:textId="4B3BB892" w:rsidR="0016663F" w:rsidRDefault="0016663F" w:rsidP="0016663F">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In 2009, the first regional, comparative survey of insolvency systems in the Middle East and Nort</w:t>
      </w:r>
      <w:r w:rsidR="00E52CBB">
        <w:rPr>
          <w:rFonts w:ascii="Avenir Next" w:hAnsi="Avenir Next" w:cs="Arial"/>
          <w:sz w:val="22"/>
          <w:szCs w:val="22"/>
          <w:lang w:val="en-GB"/>
        </w:rPr>
        <w:t>h</w:t>
      </w:r>
      <w:r>
        <w:rPr>
          <w:rFonts w:ascii="Avenir Next" w:hAnsi="Avenir Next" w:cs="Arial"/>
          <w:sz w:val="22"/>
          <w:szCs w:val="22"/>
          <w:lang w:val="en-GB"/>
        </w:rPr>
        <w:t xml:space="preserve"> Africa region was launched as a joint initiative of the </w:t>
      </w:r>
      <w:proofErr w:type="spellStart"/>
      <w:r>
        <w:rPr>
          <w:rFonts w:ascii="Avenir Next" w:hAnsi="Avenir Next" w:cs="Arial"/>
          <w:sz w:val="22"/>
          <w:szCs w:val="22"/>
          <w:lang w:val="en-GB"/>
        </w:rPr>
        <w:t>Hawkamah</w:t>
      </w:r>
      <w:proofErr w:type="spellEnd"/>
      <w:r>
        <w:rPr>
          <w:rFonts w:ascii="Avenir Next" w:hAnsi="Avenir Next" w:cs="Arial"/>
          <w:sz w:val="22"/>
          <w:szCs w:val="22"/>
          <w:lang w:val="en-GB"/>
        </w:rPr>
        <w:t xml:space="preserve"> Institute for Corporate Governance, the World Bank, the OECD and INSOL International. It was based on the World Bank's Principles for Effective Insolvency and Creditor Rights Systems (2005) as an indicator of best practice. </w:t>
      </w:r>
    </w:p>
    <w:p w14:paraId="023B912C" w14:textId="77777777" w:rsidR="0016663F" w:rsidRDefault="0016663F" w:rsidP="0016663F">
      <w:pPr>
        <w:pStyle w:val="ListParagraph"/>
        <w:jc w:val="both"/>
        <w:rPr>
          <w:rFonts w:ascii="Avenir Next" w:hAnsi="Avenir Next" w:cs="Arial"/>
          <w:sz w:val="22"/>
          <w:szCs w:val="22"/>
          <w:lang w:val="en-GB"/>
        </w:rPr>
      </w:pPr>
    </w:p>
    <w:p w14:paraId="572227E7" w14:textId="63A35904" w:rsidR="0045683E" w:rsidRPr="00E52CBB" w:rsidRDefault="00E52CBB" w:rsidP="00110CAF">
      <w:pPr>
        <w:pStyle w:val="ListParagraph"/>
        <w:numPr>
          <w:ilvl w:val="0"/>
          <w:numId w:val="23"/>
        </w:numPr>
        <w:jc w:val="both"/>
        <w:rPr>
          <w:rFonts w:ascii="Avenir Next" w:hAnsi="Avenir Next" w:cs="Arial"/>
          <w:sz w:val="22"/>
          <w:szCs w:val="22"/>
          <w:lang w:val="en-GB"/>
        </w:rPr>
      </w:pPr>
      <w:r w:rsidRPr="00E52CBB">
        <w:rPr>
          <w:rFonts w:ascii="Avenir Next" w:hAnsi="Avenir Next" w:cs="Arial"/>
          <w:sz w:val="22"/>
          <w:szCs w:val="22"/>
          <w:lang w:val="en-GB"/>
        </w:rPr>
        <w:t>In recent years, a number of Middle East States have reformed their domestic insolvency laws. Such as the UAE in 2016 and 2019, Saudi Arabia in 2018 and Dubai in 2019. On international insolvency specifically, Bahrain adopted the Model Law on Cross-Border Insolvency in 2018 as did the DIFC in 2019.</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2A7A2986" w:rsidR="00544127" w:rsidRDefault="00E52CBB" w:rsidP="00C053F7">
      <w:pPr>
        <w:ind w:left="720" w:hanging="720"/>
        <w:jc w:val="both"/>
        <w:rPr>
          <w:rFonts w:ascii="Avenir Next" w:hAnsi="Avenir Next" w:cs="Arial"/>
          <w:sz w:val="22"/>
          <w:szCs w:val="22"/>
          <w:lang w:val="en-GB"/>
        </w:rPr>
      </w:pPr>
      <w:r>
        <w:rPr>
          <w:rFonts w:ascii="Avenir Next" w:hAnsi="Avenir Next" w:cs="Arial"/>
          <w:sz w:val="22"/>
          <w:szCs w:val="22"/>
          <w:lang w:val="en-GB"/>
        </w:rPr>
        <w:t>Sealy and Hooley distinguish the objectives of insolvency for individuals and corporations as follows:</w:t>
      </w:r>
    </w:p>
    <w:p w14:paraId="78728B51" w14:textId="77777777" w:rsidR="00E52CBB" w:rsidRDefault="00E52CBB" w:rsidP="00C053F7">
      <w:pPr>
        <w:ind w:left="720" w:hanging="720"/>
        <w:jc w:val="both"/>
        <w:rPr>
          <w:rFonts w:ascii="Avenir Next" w:hAnsi="Avenir Next" w:cs="Arial"/>
          <w:sz w:val="22"/>
          <w:szCs w:val="22"/>
          <w:lang w:val="en-GB"/>
        </w:rPr>
      </w:pPr>
    </w:p>
    <w:p w14:paraId="05FF9C9A" w14:textId="43D74641" w:rsidR="00E52CBB" w:rsidRDefault="00E52CBB" w:rsidP="00E52CBB">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For individuals: to protect the debtor from harassment by his creditors and to enable the debtor to make a fresh start. This is particularly the case in less blameworthy cases where, for instance, the insolvency has not been brought about by the actions or the conduct of the debtor. To reduce indebtedness by making contributions from present and future income while at the same time taking the individual debtor's personal circumstances into consideration. </w:t>
      </w:r>
    </w:p>
    <w:p w14:paraId="54C98E1B" w14:textId="23440295" w:rsidR="009320B4" w:rsidRPr="00E52CBB" w:rsidRDefault="009320B4" w:rsidP="00E52CBB">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lastRenderedPageBreak/>
        <w:t>For corporations: to, where possible, preserve the business or the viable part(s) of the business (but not, necessarily, the company). Where personal liability has been abuse to impose personal liability on responsible persons (i.e., directors who have made avoidable dispositions).</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7E71B9F5" w:rsidR="00962045" w:rsidRDefault="009320B4" w:rsidP="00C053F7">
      <w:pPr>
        <w:jc w:val="both"/>
        <w:rPr>
          <w:rFonts w:ascii="Avenir Next" w:hAnsi="Avenir Next" w:cs="Arial"/>
          <w:sz w:val="22"/>
          <w:szCs w:val="22"/>
          <w:lang w:val="en-GB"/>
        </w:rPr>
      </w:pPr>
      <w:r>
        <w:rPr>
          <w:rFonts w:ascii="Avenir Next" w:hAnsi="Avenir Next" w:cs="Arial"/>
          <w:sz w:val="22"/>
          <w:szCs w:val="22"/>
          <w:lang w:val="en-GB"/>
        </w:rPr>
        <w:t>There are various fundamental difficulties in insolvency law in a cross-border context and they arise due to the non-existence of a global insolvency law system and a global court to deal with cross-border insolvency matters.  One such difficulty is, as Friman mentions, is addressing "cross-border insolvency" cases when it is problematic to find a common insolvency language. For example, the definition of "insolvency", in the sense of the test to be applied to determine when an individual or corporation is "insolvent" is not universal and differs between States. The effect of this is obvious – whilst an individual or corporation may be "insolvent" as judged against the definition of one State, it may not be as judged against the definition of another State. That lack of uniformity causes difficulties in the context of cross-border insolvencies. Friman also mentions that cross-border insolvency cases usually deal with insolvency (or collective proceedings) and that these must also be sufficiently defined or ascertained, since systems all over the world apply a variety of procedures to deal with non-payment of debt.</w:t>
      </w:r>
    </w:p>
    <w:p w14:paraId="21582C69" w14:textId="77777777" w:rsidR="00915F5C" w:rsidRDefault="00915F5C" w:rsidP="00C053F7">
      <w:pPr>
        <w:jc w:val="both"/>
        <w:rPr>
          <w:rFonts w:ascii="Avenir Next" w:hAnsi="Avenir Next" w:cs="Arial"/>
          <w:sz w:val="22"/>
          <w:szCs w:val="22"/>
          <w:lang w:val="en-GB"/>
        </w:rPr>
      </w:pPr>
    </w:p>
    <w:p w14:paraId="4B191CDC" w14:textId="71DE7CD8" w:rsidR="00915F5C" w:rsidRPr="00827D56" w:rsidRDefault="00915F5C" w:rsidP="00C053F7">
      <w:pPr>
        <w:jc w:val="both"/>
        <w:rPr>
          <w:rFonts w:ascii="Avenir Next" w:hAnsi="Avenir Next" w:cs="Arial"/>
          <w:sz w:val="22"/>
          <w:szCs w:val="22"/>
          <w:shd w:val="clear" w:color="auto" w:fill="FFFFFF"/>
          <w:lang w:val="en-GB"/>
        </w:rPr>
      </w:pPr>
      <w:r>
        <w:rPr>
          <w:rFonts w:ascii="Avenir Next" w:hAnsi="Avenir Next" w:cs="Arial"/>
          <w:sz w:val="22"/>
          <w:szCs w:val="22"/>
          <w:lang w:val="en-GB"/>
        </w:rPr>
        <w:t xml:space="preserve">Omar states that: </w:t>
      </w:r>
      <w:r w:rsidRPr="00915F5C">
        <w:rPr>
          <w:rFonts w:ascii="Avenir Next" w:hAnsi="Avenir Next" w:cs="Arial"/>
          <w:i/>
          <w:iCs/>
          <w:sz w:val="22"/>
          <w:szCs w:val="22"/>
          <w:lang w:val="en-GB"/>
        </w:rPr>
        <w:t>"[a]part from the general situation in conflict of laws, differences in domestic norms have a particular impact on the position of creditors and the priorities they assert in insolvency. Where the debtor faces creditors pressing their claims in more than on State, this will inevitably raise issue of conflict of laws. The conflict may itself be made more complex by the presence of qualifications, including the presence of security, set-off and netting arrangements, retention of title clauses and other means of protecting title available to creditors in national laws."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6AAF99EF" w:rsidR="00DF75F8" w:rsidRDefault="00AD7EA4" w:rsidP="00C053F7">
      <w:pPr>
        <w:jc w:val="both"/>
        <w:rPr>
          <w:rFonts w:ascii="Avenir Next" w:hAnsi="Avenir Next" w:cs="Arial"/>
          <w:sz w:val="22"/>
          <w:szCs w:val="22"/>
          <w:lang w:val="en-GB"/>
        </w:rPr>
      </w:pPr>
      <w:r>
        <w:rPr>
          <w:rFonts w:ascii="Avenir Next" w:hAnsi="Avenir Next" w:cs="Arial"/>
          <w:sz w:val="22"/>
          <w:szCs w:val="22"/>
          <w:lang w:val="en-GB"/>
        </w:rPr>
        <w:t>There have been a number of multilateral steps taken in the 21</w:t>
      </w:r>
      <w:r w:rsidRPr="00AD7EA4">
        <w:rPr>
          <w:rFonts w:ascii="Avenir Next" w:hAnsi="Avenir Next" w:cs="Arial"/>
          <w:sz w:val="22"/>
          <w:szCs w:val="22"/>
          <w:vertAlign w:val="superscript"/>
          <w:lang w:val="en-GB"/>
        </w:rPr>
        <w:t>st</w:t>
      </w:r>
      <w:r>
        <w:rPr>
          <w:rFonts w:ascii="Avenir Next" w:hAnsi="Avenir Next" w:cs="Arial"/>
          <w:sz w:val="22"/>
          <w:szCs w:val="22"/>
          <w:lang w:val="en-GB"/>
        </w:rPr>
        <w:t xml:space="preserve"> century to promote harmonisation of domestic laws, such as:</w:t>
      </w:r>
    </w:p>
    <w:p w14:paraId="449F0606" w14:textId="77777777" w:rsidR="00AD7EA4" w:rsidRDefault="00AD7EA4" w:rsidP="00C053F7">
      <w:pPr>
        <w:jc w:val="both"/>
        <w:rPr>
          <w:rFonts w:ascii="Avenir Next" w:hAnsi="Avenir Next" w:cs="Arial"/>
          <w:sz w:val="22"/>
          <w:szCs w:val="22"/>
          <w:lang w:val="en-GB"/>
        </w:rPr>
      </w:pPr>
    </w:p>
    <w:p w14:paraId="3BE186F9" w14:textId="4FB7A2B1" w:rsidR="00AD7EA4" w:rsidRDefault="00AD7EA4" w:rsidP="00AD7EA4">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draft EC Convention on Bankruptcy and Related Matters in 1970; </w:t>
      </w:r>
    </w:p>
    <w:p w14:paraId="573D5633" w14:textId="0FC19013" w:rsidR="00AD7EA4" w:rsidRDefault="00AD7EA4" w:rsidP="00AD7EA4">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IBA's attempt to introduce a Model Bankruptcy Code in 1997 which, whilst it did not proceed, the IBA contributed to UNCITRAL's project which later became the Legislative Guide; </w:t>
      </w:r>
    </w:p>
    <w:p w14:paraId="7887DC3B" w14:textId="486409BC" w:rsidR="00AD7EA4" w:rsidRDefault="00AD7EA4" w:rsidP="00AD7EA4">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as noted above, the UNCITRAL Legislative Guide in 2004; </w:t>
      </w:r>
    </w:p>
    <w:p w14:paraId="793841EF" w14:textId="7E5F5256" w:rsidR="00AD7EA4" w:rsidRDefault="00AD7EA4" w:rsidP="00AD7EA4">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the World Bank's guidelines on the </w:t>
      </w:r>
      <w:r w:rsidR="00C92EB9">
        <w:rPr>
          <w:rFonts w:ascii="Avenir Next" w:hAnsi="Avenir Next" w:cs="Arial"/>
          <w:sz w:val="22"/>
          <w:szCs w:val="22"/>
          <w:lang w:val="en-GB"/>
        </w:rPr>
        <w:t>regulation of insolvency, entitled "</w:t>
      </w:r>
      <w:r w:rsidR="00C92EB9" w:rsidRPr="001D2AA6">
        <w:rPr>
          <w:rFonts w:ascii="Avenir Next" w:hAnsi="Avenir Next" w:cs="Arial"/>
          <w:i/>
          <w:iCs/>
          <w:sz w:val="22"/>
          <w:szCs w:val="22"/>
          <w:lang w:val="en-GB"/>
        </w:rPr>
        <w:t>Principles of Effective Insolvency and Creditor/Debtor Regimes</w:t>
      </w:r>
      <w:r w:rsidR="00C92EB9">
        <w:rPr>
          <w:rFonts w:ascii="Avenir Next" w:hAnsi="Avenir Next" w:cs="Arial"/>
          <w:sz w:val="22"/>
          <w:szCs w:val="22"/>
          <w:lang w:val="en-GB"/>
        </w:rPr>
        <w:t xml:space="preserve">" which have been revised in 2005, 2011, 2015 and April 2021. </w:t>
      </w:r>
    </w:p>
    <w:p w14:paraId="110EC65F" w14:textId="77777777" w:rsidR="00C92EB9" w:rsidRDefault="00C92EB9" w:rsidP="00C92EB9">
      <w:pPr>
        <w:jc w:val="both"/>
        <w:rPr>
          <w:rFonts w:ascii="Avenir Next" w:hAnsi="Avenir Next" w:cs="Arial"/>
          <w:sz w:val="22"/>
          <w:szCs w:val="22"/>
          <w:lang w:val="en-GB"/>
        </w:rPr>
      </w:pPr>
    </w:p>
    <w:p w14:paraId="4C1C3F9E" w14:textId="6A042A14" w:rsidR="00C92EB9" w:rsidRPr="00C92EB9" w:rsidRDefault="00C92EB9" w:rsidP="00C92EB9">
      <w:pPr>
        <w:jc w:val="both"/>
        <w:rPr>
          <w:rFonts w:ascii="Avenir Next" w:hAnsi="Avenir Next" w:cs="Arial"/>
          <w:sz w:val="22"/>
          <w:szCs w:val="22"/>
          <w:lang w:val="en-GB"/>
        </w:rPr>
      </w:pPr>
      <w:r>
        <w:rPr>
          <w:rFonts w:ascii="Avenir Next" w:hAnsi="Avenir Next" w:cs="Arial"/>
          <w:sz w:val="22"/>
          <w:szCs w:val="22"/>
          <w:lang w:val="en-GB"/>
        </w:rPr>
        <w:t xml:space="preserve">Whilst these steps are positive for the promotion of harmonisation, in my opinion, they will only be of reasonably limited influence in addressing international insolvency issues.  I take this view because, in an increasingly global market where businesses can trade with each other globally, quickly and in complex transactions (i.e., crypto is a good example of this) and in transactions which involve multiple </w:t>
      </w:r>
      <w:r>
        <w:rPr>
          <w:rFonts w:ascii="Avenir Next" w:hAnsi="Avenir Next" w:cs="Arial"/>
          <w:sz w:val="22"/>
          <w:szCs w:val="22"/>
          <w:lang w:val="en-GB"/>
        </w:rPr>
        <w:lastRenderedPageBreak/>
        <w:t xml:space="preserve">corporations and individuals, absent a concerted effort by the legislature in States to promote a uniform law and procedures for cross-border insolvency which is binding on the said States, it is difficult to see how international insolvency issues will be fundamentally addressed. </w:t>
      </w:r>
      <w:r w:rsidR="003A1511">
        <w:rPr>
          <w:rFonts w:ascii="Avenir Next" w:hAnsi="Avenir Next" w:cs="Arial"/>
          <w:sz w:val="22"/>
          <w:szCs w:val="22"/>
          <w:lang w:val="en-GB"/>
        </w:rPr>
        <w:t xml:space="preserve"> To really effect change, what is needed is for more States to adopt the UNCITRAL Model Law on Cross-Border Insolvency to achieve more uniform recognition laws across States.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7ECD3D24" w14:textId="77777777" w:rsidR="0042315F" w:rsidRDefault="0042315F" w:rsidP="00C053F7">
      <w:pPr>
        <w:jc w:val="both"/>
        <w:rPr>
          <w:rFonts w:ascii="Avenir Next" w:hAnsi="Avenir Next" w:cs="Arial"/>
          <w:sz w:val="22"/>
          <w:szCs w:val="22"/>
          <w:lang w:val="en-GB"/>
        </w:rPr>
      </w:pPr>
    </w:p>
    <w:p w14:paraId="43D7A871" w14:textId="77777777" w:rsidR="009A399C" w:rsidRDefault="0042315F" w:rsidP="00C053F7">
      <w:pPr>
        <w:jc w:val="both"/>
        <w:rPr>
          <w:rFonts w:ascii="Avenir Next" w:hAnsi="Avenir Next" w:cs="Arial"/>
          <w:sz w:val="22"/>
          <w:szCs w:val="22"/>
          <w:lang w:val="en-GB"/>
        </w:rPr>
      </w:pPr>
      <w:r>
        <w:rPr>
          <w:rFonts w:ascii="Avenir Next" w:hAnsi="Avenir Next" w:cs="Arial"/>
          <w:sz w:val="22"/>
          <w:szCs w:val="22"/>
          <w:lang w:val="en-GB"/>
        </w:rPr>
        <w:t>The Model Law, as incorporated into Utopia's Cross-Border Insolvency Act (the "</w:t>
      </w:r>
      <w:r w:rsidRPr="0042315F">
        <w:rPr>
          <w:rFonts w:ascii="Avenir Next" w:hAnsi="Avenir Next" w:cs="Arial"/>
          <w:b/>
          <w:bCs/>
          <w:sz w:val="22"/>
          <w:szCs w:val="22"/>
          <w:lang w:val="en-GB"/>
        </w:rPr>
        <w:t>Utopia Act</w:t>
      </w:r>
      <w:r>
        <w:rPr>
          <w:rFonts w:ascii="Avenir Next" w:hAnsi="Avenir Next" w:cs="Arial"/>
          <w:sz w:val="22"/>
          <w:szCs w:val="22"/>
          <w:lang w:val="en-GB"/>
        </w:rPr>
        <w:t>"), does not dictate where insolvency proceedings should or should not be stated.  However, since a winding up order</w:t>
      </w:r>
      <w:r w:rsidR="009A399C">
        <w:rPr>
          <w:rFonts w:ascii="Avenir Next" w:hAnsi="Avenir Next" w:cs="Arial"/>
          <w:sz w:val="22"/>
          <w:szCs w:val="22"/>
          <w:lang w:val="en-GB"/>
        </w:rPr>
        <w:t xml:space="preserve"> (the "</w:t>
      </w:r>
      <w:r w:rsidR="009A399C" w:rsidRPr="009A399C">
        <w:rPr>
          <w:rFonts w:ascii="Avenir Next" w:hAnsi="Avenir Next" w:cs="Arial"/>
          <w:b/>
          <w:bCs/>
          <w:sz w:val="22"/>
          <w:szCs w:val="22"/>
          <w:lang w:val="en-GB"/>
        </w:rPr>
        <w:t>Order</w:t>
      </w:r>
      <w:r w:rsidR="009A399C">
        <w:rPr>
          <w:rFonts w:ascii="Avenir Next" w:hAnsi="Avenir Next" w:cs="Arial"/>
          <w:sz w:val="22"/>
          <w:szCs w:val="22"/>
          <w:lang w:val="en-GB"/>
        </w:rPr>
        <w:t>")</w:t>
      </w:r>
      <w:r>
        <w:rPr>
          <w:rFonts w:ascii="Avenir Next" w:hAnsi="Avenir Next" w:cs="Arial"/>
          <w:sz w:val="22"/>
          <w:szCs w:val="22"/>
          <w:lang w:val="en-GB"/>
        </w:rPr>
        <w:t xml:space="preserve"> has been obtained in Erewhon, the Utopia Act </w:t>
      </w:r>
      <w:r w:rsidR="009A399C">
        <w:rPr>
          <w:rFonts w:ascii="Avenir Next" w:hAnsi="Avenir Next" w:cs="Arial"/>
          <w:sz w:val="22"/>
          <w:szCs w:val="22"/>
          <w:lang w:val="en-GB"/>
        </w:rPr>
        <w:t xml:space="preserve">provides that the effect of the Erewhon wind up proceedings will be limited to Utopia's assets in Erewhon. </w:t>
      </w:r>
    </w:p>
    <w:p w14:paraId="366CF115" w14:textId="77777777" w:rsidR="009A399C" w:rsidRDefault="009A399C" w:rsidP="00C053F7">
      <w:pPr>
        <w:jc w:val="both"/>
        <w:rPr>
          <w:rFonts w:ascii="Avenir Next" w:hAnsi="Avenir Next" w:cs="Arial"/>
          <w:sz w:val="22"/>
          <w:szCs w:val="22"/>
          <w:lang w:val="en-GB"/>
        </w:rPr>
      </w:pPr>
    </w:p>
    <w:p w14:paraId="0C6994B7" w14:textId="232153AB" w:rsidR="009A399C" w:rsidRDefault="009A399C" w:rsidP="009A399C">
      <w:pPr>
        <w:jc w:val="both"/>
        <w:rPr>
          <w:rFonts w:ascii="Avenir Next" w:hAnsi="Avenir Next" w:cs="Arial"/>
          <w:sz w:val="22"/>
          <w:szCs w:val="22"/>
          <w:lang w:val="en-GB"/>
        </w:rPr>
      </w:pPr>
      <w:r>
        <w:rPr>
          <w:rFonts w:ascii="Avenir Next" w:hAnsi="Avenir Next" w:cs="Arial"/>
          <w:sz w:val="22"/>
          <w:szCs w:val="22"/>
          <w:lang w:val="en-GB"/>
        </w:rPr>
        <w:t>Since Nadir is, currently, registered in Utopia and operates its head office from Utopia, it can be said that Utopia is its centre of main interests (COMI), therefore, it seems from the information available that the Erewhon proceedings would be categorised by the Utopia Act as a foreign non-main proceeding.</w:t>
      </w:r>
      <w:r>
        <w:rPr>
          <w:rFonts w:ascii="Avenir Next" w:hAnsi="Avenir Next" w:cs="Arial"/>
          <w:sz w:val="22"/>
          <w:szCs w:val="22"/>
          <w:lang w:val="en-GB"/>
        </w:rPr>
        <w:t xml:space="preserve">  If it is correct to categorise those proceedings as a foreign non-main proceeding then the liquidator would not be entitled to obtain an "automatic" or prescribed stay on the proceedings in Utopia. However, the liquidator would be able to do so if the Utopia Act recognised the Erewhon proceedings as a foreign main proceeding. It would be helpful, therefore, to have further information as to where Nadir's COMI is and whether a cogent argument could be made that Erewhon is its COMI.</w:t>
      </w:r>
    </w:p>
    <w:p w14:paraId="44BC124A" w14:textId="77777777" w:rsidR="009A399C" w:rsidRDefault="009A399C" w:rsidP="009A399C">
      <w:pPr>
        <w:jc w:val="both"/>
        <w:rPr>
          <w:rFonts w:ascii="Avenir Next" w:hAnsi="Avenir Next" w:cs="Arial"/>
          <w:sz w:val="22"/>
          <w:szCs w:val="22"/>
          <w:lang w:val="en-GB"/>
        </w:rPr>
      </w:pPr>
    </w:p>
    <w:p w14:paraId="437F3713" w14:textId="572C4495" w:rsidR="0042315F" w:rsidRDefault="009A399C" w:rsidP="00C053F7">
      <w:pPr>
        <w:jc w:val="both"/>
        <w:rPr>
          <w:rFonts w:ascii="Avenir Next" w:hAnsi="Avenir Next" w:cs="Arial"/>
          <w:sz w:val="22"/>
          <w:szCs w:val="22"/>
          <w:lang w:val="en-GB"/>
        </w:rPr>
      </w:pPr>
      <w:r>
        <w:rPr>
          <w:rFonts w:ascii="Avenir Next" w:hAnsi="Avenir Next" w:cs="Arial"/>
          <w:sz w:val="22"/>
          <w:szCs w:val="22"/>
          <w:lang w:val="en-GB"/>
        </w:rPr>
        <w:t xml:space="preserve">In short, based on the information presently available, the liquidator could not obtain an "automatic" or prescribed stay on the proceedings against Apex's court action against Nadir in Utopia.  However, the liquidator could apply to the Utopia court for a stay of Apex's court action against Nadir since the Utopian courts have the discretion to impose a stay or other "appropriate relief" in domestic proceedings on account of insolvency proceedings commenced by way of a foreign non-main proceeding. </w:t>
      </w:r>
    </w:p>
    <w:p w14:paraId="0661EB45" w14:textId="77777777" w:rsidR="0042315F" w:rsidRPr="00827D56" w:rsidRDefault="0042315F"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4B686471" w14:textId="597C19A6" w:rsidR="00820CA0" w:rsidRPr="00827D56" w:rsidRDefault="00820CA0" w:rsidP="00C053F7">
      <w:pPr>
        <w:autoSpaceDE w:val="0"/>
        <w:autoSpaceDN w:val="0"/>
        <w:adjustRightInd w:val="0"/>
        <w:spacing w:line="276" w:lineRule="auto"/>
        <w:jc w:val="both"/>
        <w:rPr>
          <w:rFonts w:ascii="Avenir Next" w:hAnsi="Avenir Next" w:cs="Arial"/>
          <w:sz w:val="22"/>
          <w:szCs w:val="22"/>
          <w:lang w:val="en-GB"/>
        </w:rPr>
      </w:pPr>
      <w:r w:rsidRPr="00820CA0">
        <w:rPr>
          <w:rFonts w:ascii="Avenir Next" w:hAnsi="Avenir Next" w:cs="Arial"/>
          <w:sz w:val="22"/>
          <w:szCs w:val="22"/>
          <w:lang w:val="en-GB"/>
        </w:rPr>
        <w:t>Yes because in both scenarios, a moratorium would apply on other insolvency proceedings.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lastRenderedPageBreak/>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773F0F3" w:rsidR="0077498C" w:rsidRDefault="00CB254C" w:rsidP="00C053F7">
      <w:pPr>
        <w:jc w:val="both"/>
        <w:rPr>
          <w:rFonts w:ascii="Avenir Next" w:hAnsi="Avenir Next" w:cs="Arial"/>
          <w:sz w:val="22"/>
          <w:szCs w:val="22"/>
          <w:lang w:val="en-GB"/>
        </w:rPr>
      </w:pPr>
      <w:r w:rsidRPr="00CB254C">
        <w:rPr>
          <w:rFonts w:ascii="Avenir Next" w:hAnsi="Avenir Next" w:cs="Arial"/>
          <w:sz w:val="22"/>
          <w:szCs w:val="22"/>
          <w:lang w:val="en-GB"/>
        </w:rPr>
        <w:t>For the p</w:t>
      </w:r>
      <w:r>
        <w:rPr>
          <w:rFonts w:ascii="Avenir Next" w:hAnsi="Avenir Next" w:cs="Arial"/>
          <w:sz w:val="22"/>
          <w:szCs w:val="22"/>
          <w:lang w:val="en-GB"/>
        </w:rPr>
        <w:t xml:space="preserve">urposes of this answer, I shall assume that the </w:t>
      </w:r>
      <w:r w:rsidR="002434D0">
        <w:rPr>
          <w:rFonts w:ascii="Avenir Next" w:hAnsi="Avenir Next" w:cs="Arial"/>
          <w:sz w:val="22"/>
          <w:szCs w:val="22"/>
          <w:lang w:val="en-GB"/>
        </w:rPr>
        <w:t>corporate debtor ("</w:t>
      </w:r>
      <w:r w:rsidR="002434D0" w:rsidRPr="002434D0">
        <w:rPr>
          <w:rFonts w:ascii="Avenir Next" w:hAnsi="Avenir Next" w:cs="Arial"/>
          <w:b/>
          <w:bCs/>
          <w:sz w:val="22"/>
          <w:szCs w:val="22"/>
          <w:lang w:val="en-GB"/>
        </w:rPr>
        <w:t>D</w:t>
      </w:r>
      <w:r w:rsidR="002434D0">
        <w:rPr>
          <w:rFonts w:ascii="Avenir Next" w:hAnsi="Avenir Next" w:cs="Arial"/>
          <w:sz w:val="22"/>
          <w:szCs w:val="22"/>
          <w:lang w:val="en-GB"/>
        </w:rPr>
        <w:t>")</w:t>
      </w:r>
      <w:r>
        <w:rPr>
          <w:rFonts w:ascii="Avenir Next" w:hAnsi="Avenir Next" w:cs="Arial"/>
          <w:sz w:val="22"/>
          <w:szCs w:val="22"/>
          <w:lang w:val="en-GB"/>
        </w:rPr>
        <w:t xml:space="preserve"> is incorporated in England &amp; Wales.</w:t>
      </w:r>
    </w:p>
    <w:p w14:paraId="6C6E2EDB" w14:textId="77777777" w:rsidR="002434D0" w:rsidRDefault="002434D0" w:rsidP="00C053F7">
      <w:pPr>
        <w:jc w:val="both"/>
        <w:rPr>
          <w:rFonts w:ascii="Avenir Next" w:hAnsi="Avenir Next" w:cs="Arial"/>
          <w:sz w:val="22"/>
          <w:szCs w:val="22"/>
          <w:lang w:val="en-GB"/>
        </w:rPr>
      </w:pPr>
    </w:p>
    <w:p w14:paraId="141957EB" w14:textId="37ABB54F" w:rsidR="002434D0" w:rsidRDefault="002434D0" w:rsidP="00C053F7">
      <w:pPr>
        <w:jc w:val="both"/>
        <w:rPr>
          <w:rFonts w:ascii="Avenir Next" w:hAnsi="Avenir Next" w:cs="Arial"/>
          <w:sz w:val="22"/>
          <w:szCs w:val="22"/>
          <w:lang w:val="en-GB"/>
        </w:rPr>
      </w:pPr>
      <w:r>
        <w:rPr>
          <w:rFonts w:ascii="Avenir Next" w:hAnsi="Avenir Next" w:cs="Arial"/>
          <w:sz w:val="22"/>
          <w:szCs w:val="22"/>
          <w:lang w:val="en-GB"/>
        </w:rPr>
        <w:t>Since we are told that D has operated a business in "</w:t>
      </w:r>
      <w:r w:rsidRPr="002434D0">
        <w:rPr>
          <w:rFonts w:ascii="Avenir Next" w:hAnsi="Avenir Next" w:cs="Arial"/>
          <w:i/>
          <w:iCs/>
          <w:sz w:val="22"/>
          <w:szCs w:val="22"/>
          <w:lang w:val="en-GB"/>
        </w:rPr>
        <w:t>a number of States</w:t>
      </w:r>
      <w:r>
        <w:rPr>
          <w:rFonts w:ascii="Avenir Next" w:hAnsi="Avenir Next" w:cs="Arial"/>
          <w:sz w:val="22"/>
          <w:szCs w:val="22"/>
          <w:lang w:val="en-GB"/>
        </w:rPr>
        <w:t>" and "</w:t>
      </w:r>
      <w:r w:rsidRPr="002434D0">
        <w:rPr>
          <w:rFonts w:ascii="Avenir Next" w:hAnsi="Avenir Next" w:cs="Arial"/>
          <w:i/>
          <w:iCs/>
          <w:sz w:val="22"/>
          <w:szCs w:val="22"/>
          <w:lang w:val="en-GB"/>
        </w:rPr>
        <w:t>has assets (real property or interest in land, other tangible assets and intangible assets)</w:t>
      </w:r>
      <w:r>
        <w:rPr>
          <w:rFonts w:ascii="Avenir Next" w:hAnsi="Avenir Next" w:cs="Arial"/>
          <w:sz w:val="22"/>
          <w:szCs w:val="22"/>
          <w:lang w:val="en-GB"/>
        </w:rPr>
        <w:t>" and "</w:t>
      </w:r>
      <w:r w:rsidRPr="002434D0">
        <w:rPr>
          <w:rFonts w:ascii="Avenir Next" w:hAnsi="Avenir Next" w:cs="Arial"/>
          <w:i/>
          <w:iCs/>
          <w:sz w:val="22"/>
          <w:szCs w:val="22"/>
          <w:lang w:val="en-GB"/>
        </w:rPr>
        <w:t>creditors (including taxation / revenue authorities) and directors in several States</w:t>
      </w:r>
      <w:r>
        <w:rPr>
          <w:rFonts w:ascii="Avenir Next" w:hAnsi="Avenir Next" w:cs="Arial"/>
          <w:sz w:val="22"/>
          <w:szCs w:val="22"/>
          <w:lang w:val="en-GB"/>
        </w:rPr>
        <w:t>", the four key international issues will be:</w:t>
      </w:r>
    </w:p>
    <w:p w14:paraId="221053CA" w14:textId="77777777" w:rsidR="002434D0" w:rsidRDefault="002434D0" w:rsidP="00C053F7">
      <w:pPr>
        <w:jc w:val="both"/>
        <w:rPr>
          <w:rFonts w:ascii="Avenir Next" w:hAnsi="Avenir Next" w:cs="Arial"/>
          <w:sz w:val="22"/>
          <w:szCs w:val="22"/>
          <w:lang w:val="en-GB"/>
        </w:rPr>
      </w:pPr>
    </w:p>
    <w:p w14:paraId="183B5859" w14:textId="005D5452" w:rsidR="002434D0" w:rsidRDefault="002434D0" w:rsidP="002434D0">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Standing for (and recognition of) any foreign insolvency representative in the domestic proceeding in England &amp; Wales.  This would be a domestic law issue and, since D is incorporated in England &amp; Wales, it will be an issue for determination by reference to the English Insolvency Act 1986.</w:t>
      </w:r>
    </w:p>
    <w:p w14:paraId="214240AB" w14:textId="77777777" w:rsidR="002434D0" w:rsidRDefault="002434D0" w:rsidP="002434D0">
      <w:pPr>
        <w:pStyle w:val="ListParagraph"/>
        <w:jc w:val="both"/>
        <w:rPr>
          <w:rFonts w:ascii="Avenir Next" w:hAnsi="Avenir Next" w:cs="Arial"/>
          <w:color w:val="000000" w:themeColor="text1"/>
          <w:sz w:val="22"/>
          <w:szCs w:val="22"/>
          <w:lang w:val="en-GB"/>
        </w:rPr>
      </w:pPr>
    </w:p>
    <w:p w14:paraId="38707F34" w14:textId="27567200" w:rsidR="002434D0" w:rsidRDefault="002434D0" w:rsidP="002434D0">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Whether there would be a moratorium on creditor actions. Since England &amp; Wales adopted the UNICTRAL Model Law and incorporated it into its domestic legislation, that would be question to be determined by reference to the English Insolvency Act 1986.</w:t>
      </w:r>
    </w:p>
    <w:p w14:paraId="57131F81" w14:textId="77777777" w:rsidR="002434D0" w:rsidRPr="002434D0" w:rsidRDefault="002434D0" w:rsidP="002434D0">
      <w:pPr>
        <w:pStyle w:val="ListParagraph"/>
        <w:rPr>
          <w:rFonts w:ascii="Avenir Next" w:hAnsi="Avenir Next" w:cs="Arial"/>
          <w:color w:val="000000" w:themeColor="text1"/>
          <w:sz w:val="22"/>
          <w:szCs w:val="22"/>
          <w:lang w:val="en-GB"/>
        </w:rPr>
      </w:pPr>
    </w:p>
    <w:p w14:paraId="1842D5DC" w14:textId="3B2A6253" w:rsidR="002434D0" w:rsidRDefault="002434D0" w:rsidP="002434D0">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Realisation of D's assets across the various States. This would be an issue for domestic and foreign law.</w:t>
      </w:r>
    </w:p>
    <w:p w14:paraId="26BB4509" w14:textId="77777777" w:rsidR="002434D0" w:rsidRPr="002434D0" w:rsidRDefault="002434D0" w:rsidP="002434D0">
      <w:pPr>
        <w:pStyle w:val="ListParagraph"/>
        <w:rPr>
          <w:rFonts w:ascii="Avenir Next" w:hAnsi="Avenir Next" w:cs="Arial"/>
          <w:color w:val="000000" w:themeColor="text1"/>
          <w:sz w:val="22"/>
          <w:szCs w:val="22"/>
          <w:lang w:val="en-GB"/>
        </w:rPr>
      </w:pPr>
    </w:p>
    <w:p w14:paraId="0FD98475" w14:textId="2C0A7943" w:rsidR="002434D0" w:rsidRPr="002434D0" w:rsidRDefault="002434D0" w:rsidP="002434D0">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prosecution of any claims against directors based in other States in respect to, for example, any avoidable dispositions entered into.  This would be an issue to be determined by reference to the English Insovency Act 1986 but foreign law issues would arise on the enforcement of any order obtained domestically against individuals in foreign States.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594069" w:rsidR="00AD6A7D" w:rsidRPr="009634F4" w:rsidRDefault="00F87A9C" w:rsidP="00F87A9C">
    <w:pPr>
      <w:pStyle w:val="Footer"/>
      <w:ind w:right="360"/>
      <w:rPr>
        <w:rFonts w:ascii="Avenir Next" w:hAnsi="Avenir Next" w:cs="Arial"/>
        <w:sz w:val="22"/>
        <w:szCs w:val="22"/>
      </w:rPr>
    </w:pPr>
    <w:r>
      <w:rPr>
        <w:color w:val="979797"/>
        <w:sz w:val="24"/>
      </w:rPr>
      <w:t>FC202324-1429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0531D3"/>
    <w:multiLevelType w:val="hybridMultilevel"/>
    <w:tmpl w:val="257EA966"/>
    <w:lvl w:ilvl="0" w:tplc="4F08513E">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6"/>
  </w:num>
  <w:num w:numId="4" w16cid:durableId="743720607">
    <w:abstractNumId w:val="3"/>
  </w:num>
  <w:num w:numId="5" w16cid:durableId="464741948">
    <w:abstractNumId w:val="9"/>
  </w:num>
  <w:num w:numId="6" w16cid:durableId="554897999">
    <w:abstractNumId w:val="15"/>
  </w:num>
  <w:num w:numId="7" w16cid:durableId="1913469301">
    <w:abstractNumId w:val="21"/>
  </w:num>
  <w:num w:numId="8" w16cid:durableId="307983066">
    <w:abstractNumId w:val="14"/>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2"/>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51548698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22E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6663F"/>
    <w:rsid w:val="00180548"/>
    <w:rsid w:val="00180CCE"/>
    <w:rsid w:val="0018267A"/>
    <w:rsid w:val="00182779"/>
    <w:rsid w:val="001830DF"/>
    <w:rsid w:val="001966D9"/>
    <w:rsid w:val="001A7E9A"/>
    <w:rsid w:val="001B5016"/>
    <w:rsid w:val="001C45FC"/>
    <w:rsid w:val="001D2AA6"/>
    <w:rsid w:val="001D4862"/>
    <w:rsid w:val="001E25B9"/>
    <w:rsid w:val="001E49E0"/>
    <w:rsid w:val="001E7B5A"/>
    <w:rsid w:val="001F7412"/>
    <w:rsid w:val="0020725B"/>
    <w:rsid w:val="00241B44"/>
    <w:rsid w:val="002434D0"/>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4A71"/>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1511"/>
    <w:rsid w:val="003A2F8D"/>
    <w:rsid w:val="003B170F"/>
    <w:rsid w:val="003C4471"/>
    <w:rsid w:val="003D0A6D"/>
    <w:rsid w:val="003D2DA8"/>
    <w:rsid w:val="003E0B16"/>
    <w:rsid w:val="003E67D1"/>
    <w:rsid w:val="003F5758"/>
    <w:rsid w:val="00405DC1"/>
    <w:rsid w:val="00411B48"/>
    <w:rsid w:val="0041536B"/>
    <w:rsid w:val="00415F1F"/>
    <w:rsid w:val="0042108F"/>
    <w:rsid w:val="0042315F"/>
    <w:rsid w:val="00430FED"/>
    <w:rsid w:val="0043427C"/>
    <w:rsid w:val="00434A8C"/>
    <w:rsid w:val="00444284"/>
    <w:rsid w:val="00445CE6"/>
    <w:rsid w:val="004534C2"/>
    <w:rsid w:val="00455A4B"/>
    <w:rsid w:val="0045683E"/>
    <w:rsid w:val="00491675"/>
    <w:rsid w:val="00493855"/>
    <w:rsid w:val="00497CD7"/>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440E1"/>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0CA0"/>
    <w:rsid w:val="0082483F"/>
    <w:rsid w:val="008279C0"/>
    <w:rsid w:val="00827D56"/>
    <w:rsid w:val="00833156"/>
    <w:rsid w:val="008723F3"/>
    <w:rsid w:val="00875FCA"/>
    <w:rsid w:val="00881DE6"/>
    <w:rsid w:val="008837A6"/>
    <w:rsid w:val="0089145D"/>
    <w:rsid w:val="00896489"/>
    <w:rsid w:val="008A6CFE"/>
    <w:rsid w:val="008B5333"/>
    <w:rsid w:val="008B6223"/>
    <w:rsid w:val="008C66E0"/>
    <w:rsid w:val="008E3339"/>
    <w:rsid w:val="008F20FC"/>
    <w:rsid w:val="008F6301"/>
    <w:rsid w:val="00905A43"/>
    <w:rsid w:val="00912C79"/>
    <w:rsid w:val="00915F5C"/>
    <w:rsid w:val="009320B4"/>
    <w:rsid w:val="00942123"/>
    <w:rsid w:val="0095207B"/>
    <w:rsid w:val="00955AF1"/>
    <w:rsid w:val="00962045"/>
    <w:rsid w:val="009634F4"/>
    <w:rsid w:val="00991428"/>
    <w:rsid w:val="00992676"/>
    <w:rsid w:val="009A399C"/>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146"/>
    <w:rsid w:val="00A458BE"/>
    <w:rsid w:val="00A46B4C"/>
    <w:rsid w:val="00A5117B"/>
    <w:rsid w:val="00A51352"/>
    <w:rsid w:val="00A54909"/>
    <w:rsid w:val="00A60074"/>
    <w:rsid w:val="00A6627C"/>
    <w:rsid w:val="00A71019"/>
    <w:rsid w:val="00A81029"/>
    <w:rsid w:val="00A83A2F"/>
    <w:rsid w:val="00A96489"/>
    <w:rsid w:val="00A97725"/>
    <w:rsid w:val="00AA1643"/>
    <w:rsid w:val="00AB685C"/>
    <w:rsid w:val="00AB6C2D"/>
    <w:rsid w:val="00AC3839"/>
    <w:rsid w:val="00AC7082"/>
    <w:rsid w:val="00AD6A7D"/>
    <w:rsid w:val="00AD7EA4"/>
    <w:rsid w:val="00AF228E"/>
    <w:rsid w:val="00B014BC"/>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2EB9"/>
    <w:rsid w:val="00C963D3"/>
    <w:rsid w:val="00CB254C"/>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0308"/>
    <w:rsid w:val="00E450A4"/>
    <w:rsid w:val="00E506BE"/>
    <w:rsid w:val="00E52CBB"/>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87A9C"/>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Stroud</cp:lastModifiedBy>
  <cp:revision>6</cp:revision>
  <cp:lastPrinted>2023-10-14T18:53:00Z</cp:lastPrinted>
  <dcterms:created xsi:type="dcterms:W3CDTF">2023-10-01T16:16:00Z</dcterms:created>
  <dcterms:modified xsi:type="dcterms:W3CDTF">2023-10-14T19:54:00Z</dcterms:modified>
</cp:coreProperties>
</file>