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 xml:space="preserve">on the </w:t>
      </w:r>
      <w:proofErr w:type="gramStart"/>
      <w:r w:rsidR="007F41F8" w:rsidRPr="00875FCA">
        <w:rPr>
          <w:rFonts w:ascii="Avenir Next" w:hAnsi="Avenir Next" w:cs="Arial"/>
          <w:bCs/>
          <w:color w:val="767171" w:themeColor="background2" w:themeShade="80"/>
          <w:sz w:val="22"/>
          <w:szCs w:val="22"/>
          <w:lang w:val="en-GB"/>
        </w:rPr>
        <w:t>course as a whole</w:t>
      </w:r>
      <w:proofErr w:type="gramEnd"/>
      <w:r w:rsidR="007F41F8" w:rsidRPr="00875FCA">
        <w:rPr>
          <w:rFonts w:ascii="Avenir Next" w:hAnsi="Avenir Next" w:cs="Arial"/>
          <w:bCs/>
          <w:color w:val="767171" w:themeColor="background2" w:themeShade="80"/>
          <w:sz w:val="22"/>
          <w:szCs w:val="22"/>
          <w:lang w:val="en-GB"/>
        </w:rPr>
        <w:t>.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 xml:space="preserve">not </w:t>
      </w:r>
      <w:proofErr w:type="gramStart"/>
      <w:r w:rsidR="007F41F8" w:rsidRPr="00875FCA">
        <w:rPr>
          <w:rFonts w:ascii="Avenir Next Demi Bold" w:hAnsi="Avenir Next Demi Bold" w:cs="Arial"/>
          <w:b/>
          <w:bCs/>
          <w:color w:val="767171" w:themeColor="background2" w:themeShade="80"/>
          <w:sz w:val="22"/>
          <w:szCs w:val="22"/>
          <w:lang w:val="en-GB"/>
        </w:rPr>
        <w:t>compulsory</w:t>
      </w:r>
      <w:proofErr w:type="gramEnd"/>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52A573B2"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B62B8A">
        <w:rPr>
          <w:rFonts w:ascii="Avenir Next" w:hAnsi="Avenir Next" w:cs="Arial"/>
          <w:bCs/>
          <w:color w:val="767171" w:themeColor="background2" w:themeShade="80"/>
          <w:sz w:val="22"/>
          <w:szCs w:val="22"/>
          <w:lang w:val="en-GB"/>
        </w:rPr>
        <w:t>3</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0E329C">
        <w:rPr>
          <w:rFonts w:ascii="Avenir Next" w:hAnsi="Avenir Next" w:cs="Arial"/>
          <w:sz w:val="22"/>
          <w:szCs w:val="22"/>
          <w:lang w:val="en-GB"/>
        </w:rPr>
        <w:t>More often than not</w:t>
      </w:r>
      <w:proofErr w:type="gramEnd"/>
      <w:r w:rsidRPr="000E329C">
        <w:rPr>
          <w:rFonts w:ascii="Avenir Next" w:hAnsi="Avenir Next" w:cs="Arial"/>
          <w:sz w:val="22"/>
          <w:szCs w:val="22"/>
          <w:lang w:val="en-GB"/>
        </w:rPr>
        <w: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302CC984"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BDE662F"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w:t>
      </w:r>
      <w:r w:rsidR="00F82D90">
        <w:rPr>
          <w:rFonts w:ascii="Avenir Next Demi Bold" w:hAnsi="Avenir Next Demi Bold" w:cs="Arial"/>
          <w:b/>
          <w:bCs/>
          <w:sz w:val="22"/>
          <w:szCs w:val="22"/>
          <w:lang w:val="en-GB"/>
        </w:rPr>
        <w:t>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It should be relatively easy to develop a single system to deal with cross-border insolvency since all jurisdictions have </w:t>
      </w:r>
      <w:proofErr w:type="gramStart"/>
      <w:r w:rsidRPr="00827D56">
        <w:rPr>
          <w:rFonts w:ascii="Avenir Next" w:hAnsi="Avenir Next" w:cs="Arial"/>
          <w:sz w:val="22"/>
          <w:szCs w:val="22"/>
          <w:lang w:val="en-GB"/>
        </w:rPr>
        <w:t>more or less the</w:t>
      </w:r>
      <w:proofErr w:type="gramEnd"/>
      <w:r w:rsidRPr="00827D56">
        <w:rPr>
          <w:rFonts w:ascii="Avenir Next" w:hAnsi="Avenir Next" w:cs="Arial"/>
          <w:sz w:val="22"/>
          <w:szCs w:val="22"/>
          <w:lang w:val="en-GB"/>
        </w:rPr>
        <w:t xml:space="preserv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102162" w:rsidRDefault="00B736DF" w:rsidP="009E1027">
      <w:pPr>
        <w:pStyle w:val="ListParagraph"/>
        <w:numPr>
          <w:ilvl w:val="0"/>
          <w:numId w:val="12"/>
        </w:numPr>
        <w:ind w:left="426"/>
        <w:jc w:val="both"/>
        <w:rPr>
          <w:rFonts w:ascii="Avenir Next" w:hAnsi="Avenir Next" w:cs="Arial"/>
          <w:sz w:val="22"/>
          <w:szCs w:val="22"/>
          <w:highlight w:val="yellow"/>
          <w:lang w:val="en-GB"/>
        </w:rPr>
      </w:pPr>
      <w:r w:rsidRPr="00102162">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D13A4">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A5460E" w:rsidRDefault="009E2E27" w:rsidP="008031A7">
      <w:pPr>
        <w:pStyle w:val="ListParagraph"/>
        <w:numPr>
          <w:ilvl w:val="0"/>
          <w:numId w:val="14"/>
        </w:numPr>
        <w:ind w:left="426"/>
        <w:jc w:val="both"/>
        <w:rPr>
          <w:rFonts w:ascii="Avenir Next" w:hAnsi="Avenir Next" w:cs="Arial"/>
          <w:sz w:val="22"/>
          <w:szCs w:val="22"/>
          <w:highlight w:val="yellow"/>
          <w:lang w:val="en-GB"/>
        </w:rPr>
      </w:pPr>
      <w:r w:rsidRPr="00A5460E">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0B4F45" w:rsidRDefault="009E2E27" w:rsidP="008031A7">
      <w:pPr>
        <w:pStyle w:val="ListParagraph"/>
        <w:numPr>
          <w:ilvl w:val="0"/>
          <w:numId w:val="15"/>
        </w:numPr>
        <w:ind w:left="426"/>
        <w:jc w:val="both"/>
        <w:rPr>
          <w:rFonts w:ascii="Avenir Next" w:hAnsi="Avenir Next" w:cs="Arial"/>
          <w:sz w:val="22"/>
          <w:szCs w:val="22"/>
          <w:highlight w:val="yellow"/>
          <w:lang w:val="en-GB"/>
        </w:rPr>
      </w:pPr>
      <w:r w:rsidRPr="000B4F45">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E043A7" w:rsidRDefault="00A235B7" w:rsidP="006D01C2">
      <w:pPr>
        <w:pStyle w:val="ListParagraph"/>
        <w:numPr>
          <w:ilvl w:val="0"/>
          <w:numId w:val="16"/>
        </w:numPr>
        <w:ind w:left="426"/>
        <w:jc w:val="both"/>
        <w:rPr>
          <w:rFonts w:ascii="Avenir Next" w:hAnsi="Avenir Next" w:cs="Arial"/>
          <w:sz w:val="22"/>
          <w:szCs w:val="22"/>
          <w:highlight w:val="yellow"/>
          <w:lang w:val="en-GB"/>
        </w:rPr>
      </w:pPr>
      <w:r w:rsidRPr="00E043A7">
        <w:rPr>
          <w:rFonts w:ascii="Avenir Next" w:hAnsi="Avenir Next" w:cs="Arial"/>
          <w:sz w:val="22"/>
          <w:szCs w:val="22"/>
          <w:highlight w:val="yellow"/>
          <w:lang w:val="en-GB"/>
        </w:rPr>
        <w:t>The statement</w:t>
      </w:r>
      <w:r w:rsidR="0037465A" w:rsidRPr="00E043A7">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xml:space="preserve">, to what law can the local court refer </w:t>
      </w:r>
      <w:proofErr w:type="gramStart"/>
      <w:r w:rsidRPr="00827D56">
        <w:rPr>
          <w:rFonts w:ascii="Avenir Next" w:hAnsi="Avenir Next" w:cs="Arial"/>
          <w:sz w:val="22"/>
          <w:szCs w:val="22"/>
          <w:lang w:val="en-GB"/>
        </w:rPr>
        <w:t>in order to</w:t>
      </w:r>
      <w:proofErr w:type="gramEnd"/>
      <w:r w:rsidRPr="00827D56">
        <w:rPr>
          <w:rFonts w:ascii="Avenir Next" w:hAnsi="Avenir Next" w:cs="Arial"/>
          <w:sz w:val="22"/>
          <w:szCs w:val="22"/>
          <w:lang w:val="en-GB"/>
        </w:rPr>
        <w:t xml:space="preserve">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A102E4">
        <w:rPr>
          <w:rFonts w:ascii="Avenir Next" w:eastAsiaTheme="minorHAnsi" w:hAnsi="Avenir Next" w:cs="Arial"/>
          <w:sz w:val="22"/>
          <w:szCs w:val="22"/>
          <w:highlight w:val="yellow"/>
          <w:lang w:val="en-GB"/>
        </w:rPr>
        <w:t>Private International Law</w:t>
      </w:r>
      <w:r w:rsidR="00991428" w:rsidRPr="00A102E4">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736D9B" w:rsidRDefault="004D1A5A" w:rsidP="006D01C2">
      <w:pPr>
        <w:pStyle w:val="ListParagraph"/>
        <w:numPr>
          <w:ilvl w:val="0"/>
          <w:numId w:val="18"/>
        </w:numPr>
        <w:ind w:left="426"/>
        <w:jc w:val="both"/>
        <w:rPr>
          <w:rFonts w:ascii="Avenir Next" w:hAnsi="Avenir Next" w:cs="Arial"/>
          <w:sz w:val="22"/>
          <w:szCs w:val="22"/>
          <w:highlight w:val="yellow"/>
          <w:lang w:val="en-GB"/>
        </w:rPr>
      </w:pPr>
      <w:r w:rsidRPr="00736D9B">
        <w:rPr>
          <w:rFonts w:ascii="Avenir Next" w:hAnsi="Avenir Next" w:cs="Arial"/>
          <w:sz w:val="22"/>
          <w:szCs w:val="22"/>
          <w:highlight w:val="yellow"/>
          <w:lang w:val="en-GB"/>
        </w:rPr>
        <w:t>UNCITRAL Model Law on Cross-border Insolvency (1997)</w:t>
      </w:r>
      <w:r w:rsidR="00912C79" w:rsidRPr="00736D9B">
        <w:rPr>
          <w:rFonts w:ascii="Avenir Next" w:hAnsi="Avenir Next" w:cs="Arial"/>
          <w:sz w:val="22"/>
          <w:szCs w:val="22"/>
          <w:highlight w:val="yellow"/>
          <w:lang w:val="en-GB"/>
        </w:rPr>
        <w:t>.</w:t>
      </w:r>
      <w:r w:rsidRPr="00736D9B">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E05C4E"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E05C4E">
        <w:rPr>
          <w:rFonts w:ascii="Avenir Next" w:hAnsi="Avenir Next" w:cs="Arial"/>
          <w:sz w:val="22"/>
          <w:szCs w:val="22"/>
          <w:highlight w:val="yellow"/>
          <w:lang w:val="en-GB"/>
        </w:rPr>
        <w:t>Havana Convention on Private International Law (1928)</w:t>
      </w:r>
      <w:r w:rsidRPr="00E05C4E">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526336">
        <w:rPr>
          <w:rFonts w:ascii="Avenir Next" w:hAnsi="Avenir Next" w:cs="Arial"/>
          <w:sz w:val="22"/>
          <w:szCs w:val="22"/>
          <w:highlight w:val="yellow"/>
          <w:lang w:val="en-GB"/>
        </w:rPr>
        <w:t>Proceedings to restructure a debtor that is facing the likelihood of insolvency</w:t>
      </w:r>
      <w:r w:rsidRPr="00827D56">
        <w:rPr>
          <w:rFonts w:ascii="Avenir Next" w:hAnsi="Avenir Next" w:cs="Arial"/>
          <w:sz w:val="22"/>
          <w:szCs w:val="22"/>
          <w:lang w:val="en-GB"/>
        </w:rPr>
        <w:t>.</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 centralised insolvency </w:t>
      </w:r>
      <w:proofErr w:type="gramStart"/>
      <w:r w:rsidRPr="00827D56">
        <w:rPr>
          <w:rFonts w:ascii="Avenir Next" w:hAnsi="Avenir Next" w:cs="Arial"/>
          <w:sz w:val="22"/>
          <w:szCs w:val="22"/>
          <w:lang w:val="en-GB"/>
        </w:rPr>
        <w:t>register</w:t>
      </w:r>
      <w:proofErr w:type="gramEnd"/>
      <w:r w:rsidRPr="00827D56">
        <w:rPr>
          <w:rFonts w:ascii="Avenir Next" w:hAnsi="Avenir Next" w:cs="Arial"/>
          <w:sz w:val="22"/>
          <w:szCs w:val="22"/>
          <w:lang w:val="en-GB"/>
        </w:rPr>
        <w:t xml:space="preserve">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F641B2"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F641B2">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22C610C9" w14:textId="1580B591" w:rsidR="00DE03AF" w:rsidRPr="00F8241B" w:rsidRDefault="007C60BA" w:rsidP="004D6ED3">
      <w:pPr>
        <w:ind w:left="720" w:hanging="720"/>
        <w:jc w:val="both"/>
        <w:rPr>
          <w:rFonts w:ascii="Avenir Next" w:hAnsi="Avenir Next" w:cs="Arial"/>
          <w:sz w:val="22"/>
          <w:szCs w:val="22"/>
          <w:lang w:val="en-GB"/>
        </w:rPr>
      </w:pPr>
      <w:r w:rsidRPr="00F8241B">
        <w:rPr>
          <w:rFonts w:ascii="Avenir Next" w:hAnsi="Avenir Next" w:cs="Arial"/>
          <w:sz w:val="22"/>
          <w:szCs w:val="22"/>
          <w:highlight w:val="yellow"/>
          <w:lang w:val="en-GB"/>
        </w:rPr>
        <w:t xml:space="preserve">International insolvency law may be referred as a branch of law </w:t>
      </w:r>
      <w:r w:rsidR="000968DD" w:rsidRPr="00F8241B">
        <w:rPr>
          <w:rFonts w:ascii="Avenir Next" w:hAnsi="Avenir Next" w:cs="Arial"/>
          <w:sz w:val="22"/>
          <w:szCs w:val="22"/>
          <w:highlight w:val="yellow"/>
          <w:lang w:val="en-GB"/>
        </w:rPr>
        <w:t xml:space="preserve">that deals with the resolution of insolvency issues typically involving entities/businesses with assets, </w:t>
      </w:r>
      <w:proofErr w:type="gramStart"/>
      <w:r w:rsidR="000968DD" w:rsidRPr="00F8241B">
        <w:rPr>
          <w:rFonts w:ascii="Avenir Next" w:hAnsi="Avenir Next" w:cs="Arial"/>
          <w:sz w:val="22"/>
          <w:szCs w:val="22"/>
          <w:highlight w:val="yellow"/>
          <w:lang w:val="en-GB"/>
        </w:rPr>
        <w:t>loans</w:t>
      </w:r>
      <w:proofErr w:type="gramEnd"/>
      <w:r w:rsidR="000968DD" w:rsidRPr="00F8241B">
        <w:rPr>
          <w:rFonts w:ascii="Avenir Next" w:hAnsi="Avenir Next" w:cs="Arial"/>
          <w:sz w:val="22"/>
          <w:szCs w:val="22"/>
          <w:highlight w:val="yellow"/>
          <w:lang w:val="en-GB"/>
        </w:rPr>
        <w:t xml:space="preserve"> or interest across foreign jurisdictions. </w:t>
      </w:r>
      <w:r w:rsidR="001B2031" w:rsidRPr="00F8241B">
        <w:rPr>
          <w:rFonts w:ascii="Avenir Next" w:hAnsi="Avenir Next" w:cs="Arial"/>
          <w:sz w:val="22"/>
          <w:szCs w:val="22"/>
          <w:highlight w:val="yellow"/>
          <w:lang w:val="en-GB"/>
        </w:rPr>
        <w:t>This plays a crucial role especially whe</w:t>
      </w:r>
      <w:r w:rsidR="008A690E" w:rsidRPr="00F8241B">
        <w:rPr>
          <w:rFonts w:ascii="Avenir Next" w:hAnsi="Avenir Next" w:cs="Arial"/>
          <w:sz w:val="22"/>
          <w:szCs w:val="22"/>
          <w:highlight w:val="yellow"/>
          <w:lang w:val="en-GB"/>
        </w:rPr>
        <w:t xml:space="preserve">n the </w:t>
      </w:r>
      <w:r w:rsidR="000713FB" w:rsidRPr="00F8241B">
        <w:rPr>
          <w:rFonts w:ascii="Avenir Next" w:hAnsi="Avenir Next" w:cs="Arial"/>
          <w:sz w:val="22"/>
          <w:szCs w:val="22"/>
          <w:highlight w:val="yellow"/>
          <w:lang w:val="en-GB"/>
        </w:rPr>
        <w:t>local laws do not</w:t>
      </w:r>
      <w:r w:rsidR="004D6ED3" w:rsidRPr="00F8241B">
        <w:rPr>
          <w:rFonts w:ascii="Avenir Next" w:hAnsi="Avenir Next" w:cs="Arial"/>
          <w:sz w:val="22"/>
          <w:szCs w:val="22"/>
          <w:highlight w:val="yellow"/>
          <w:lang w:val="en-GB"/>
        </w:rPr>
        <w:t xml:space="preserve"> provide for the international elements</w:t>
      </w:r>
      <w:r w:rsidR="00743C0A" w:rsidRPr="00F8241B">
        <w:rPr>
          <w:rFonts w:ascii="Avenir Next" w:hAnsi="Avenir Next" w:cs="Arial"/>
          <w:sz w:val="22"/>
          <w:szCs w:val="22"/>
          <w:highlight w:val="yellow"/>
          <w:lang w:val="en-GB"/>
        </w:rPr>
        <w:t xml:space="preserve"> and encourages </w:t>
      </w:r>
      <w:r w:rsidR="00665023" w:rsidRPr="00F8241B">
        <w:rPr>
          <w:rFonts w:ascii="Avenir Next" w:hAnsi="Avenir Next" w:cs="Arial"/>
          <w:sz w:val="22"/>
          <w:szCs w:val="22"/>
          <w:highlight w:val="yellow"/>
          <w:lang w:val="en-GB"/>
        </w:rPr>
        <w:t>cooperation and coordination among the different jurisdictions.</w:t>
      </w: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2F57801B" w14:textId="3C0CD886" w:rsidR="009B07AD" w:rsidRPr="00F8241B" w:rsidRDefault="001E1BE4" w:rsidP="00C053F7">
      <w:pPr>
        <w:ind w:left="720" w:hanging="720"/>
        <w:jc w:val="both"/>
        <w:rPr>
          <w:rFonts w:ascii="Avenir Next" w:hAnsi="Avenir Next" w:cs="Arial"/>
          <w:sz w:val="22"/>
          <w:szCs w:val="22"/>
          <w:highlight w:val="yellow"/>
          <w:lang w:val="en-GB"/>
        </w:rPr>
      </w:pPr>
      <w:r w:rsidRPr="00F8241B">
        <w:rPr>
          <w:rFonts w:ascii="Avenir Next" w:hAnsi="Avenir Next" w:cs="Arial"/>
          <w:sz w:val="22"/>
          <w:szCs w:val="22"/>
          <w:highlight w:val="yellow"/>
          <w:lang w:val="en-GB"/>
        </w:rPr>
        <w:t xml:space="preserve">Universality emphasizes on a centralised approach to cross-border insolvency cases by </w:t>
      </w:r>
      <w:r w:rsidR="007A5660" w:rsidRPr="00F8241B">
        <w:rPr>
          <w:rFonts w:ascii="Avenir Next" w:hAnsi="Avenir Next" w:cs="Arial"/>
          <w:sz w:val="22"/>
          <w:szCs w:val="22"/>
          <w:highlight w:val="yellow"/>
          <w:lang w:val="en-GB"/>
        </w:rPr>
        <w:t xml:space="preserve">having a single main insolvency proceeding in the home </w:t>
      </w:r>
      <w:r w:rsidR="00614BE1" w:rsidRPr="00F8241B">
        <w:rPr>
          <w:rFonts w:ascii="Avenir Next" w:hAnsi="Avenir Next" w:cs="Arial"/>
          <w:sz w:val="22"/>
          <w:szCs w:val="22"/>
          <w:highlight w:val="yellow"/>
          <w:lang w:val="en-GB"/>
        </w:rPr>
        <w:t xml:space="preserve">jurisdiction where the debtor’s main </w:t>
      </w:r>
      <w:r w:rsidR="008305C7" w:rsidRPr="00F8241B">
        <w:rPr>
          <w:rFonts w:ascii="Avenir Next" w:hAnsi="Avenir Next" w:cs="Arial"/>
          <w:sz w:val="22"/>
          <w:szCs w:val="22"/>
          <w:highlight w:val="yellow"/>
          <w:lang w:val="en-GB"/>
        </w:rPr>
        <w:t>assets/interests are in</w:t>
      </w:r>
      <w:r w:rsidR="00CC5ED6" w:rsidRPr="00F8241B">
        <w:rPr>
          <w:rFonts w:ascii="Avenir Next" w:hAnsi="Avenir Next" w:cs="Arial"/>
          <w:sz w:val="22"/>
          <w:szCs w:val="22"/>
          <w:highlight w:val="yellow"/>
          <w:lang w:val="en-GB"/>
        </w:rPr>
        <w:t xml:space="preserve"> and </w:t>
      </w:r>
      <w:r w:rsidR="008305C7" w:rsidRPr="00F8241B">
        <w:rPr>
          <w:rFonts w:ascii="Avenir Next" w:hAnsi="Avenir Next" w:cs="Arial"/>
          <w:sz w:val="22"/>
          <w:szCs w:val="22"/>
          <w:highlight w:val="yellow"/>
          <w:lang w:val="en-GB"/>
        </w:rPr>
        <w:t xml:space="preserve">be used </w:t>
      </w:r>
      <w:r w:rsidR="00CC5ED6" w:rsidRPr="00F8241B">
        <w:rPr>
          <w:rFonts w:ascii="Avenir Next" w:hAnsi="Avenir Next" w:cs="Arial"/>
          <w:sz w:val="22"/>
          <w:szCs w:val="22"/>
          <w:highlight w:val="yellow"/>
          <w:lang w:val="en-GB"/>
        </w:rPr>
        <w:t>to</w:t>
      </w:r>
      <w:r w:rsidR="00A2353F" w:rsidRPr="00F8241B">
        <w:rPr>
          <w:rFonts w:ascii="Avenir Next" w:hAnsi="Avenir Next" w:cs="Arial"/>
          <w:sz w:val="22"/>
          <w:szCs w:val="22"/>
          <w:highlight w:val="yellow"/>
          <w:lang w:val="en-GB"/>
        </w:rPr>
        <w:t xml:space="preserve"> direct the administration of debtor’s assets</w:t>
      </w:r>
      <w:r w:rsidR="007A2103" w:rsidRPr="00F8241B">
        <w:rPr>
          <w:rFonts w:ascii="Avenir Next" w:hAnsi="Avenir Next" w:cs="Arial"/>
          <w:sz w:val="22"/>
          <w:szCs w:val="22"/>
          <w:highlight w:val="yellow"/>
          <w:lang w:val="en-GB"/>
        </w:rPr>
        <w:t>. The creditors, both local and foreign, would collectively have the same opportunity to be part of the proceedings for claims.</w:t>
      </w:r>
      <w:r w:rsidR="00F90B11" w:rsidRPr="00F8241B">
        <w:rPr>
          <w:rFonts w:ascii="Avenir Next" w:hAnsi="Avenir Next" w:cs="Arial"/>
          <w:sz w:val="22"/>
          <w:szCs w:val="22"/>
          <w:highlight w:val="yellow"/>
          <w:lang w:val="en-GB"/>
        </w:rPr>
        <w:t xml:space="preserve"> </w:t>
      </w:r>
      <w:r w:rsidR="00A00119" w:rsidRPr="00F8241B">
        <w:rPr>
          <w:rFonts w:ascii="Avenir Next" w:hAnsi="Avenir Next" w:cs="Arial"/>
          <w:sz w:val="22"/>
          <w:szCs w:val="22"/>
          <w:highlight w:val="yellow"/>
          <w:lang w:val="en-GB"/>
        </w:rPr>
        <w:t xml:space="preserve">The aim is to </w:t>
      </w:r>
      <w:r w:rsidR="00FD58B2" w:rsidRPr="00F8241B">
        <w:rPr>
          <w:rFonts w:ascii="Avenir Next" w:hAnsi="Avenir Next" w:cs="Arial"/>
          <w:sz w:val="22"/>
          <w:szCs w:val="22"/>
          <w:highlight w:val="yellow"/>
          <w:lang w:val="en-GB"/>
        </w:rPr>
        <w:t xml:space="preserve">reduce the likelihood of fragmentation and various conflicting insolvency proceedings across </w:t>
      </w:r>
      <w:r w:rsidR="00790C8A" w:rsidRPr="00F8241B">
        <w:rPr>
          <w:rFonts w:ascii="Avenir Next" w:hAnsi="Avenir Next" w:cs="Arial"/>
          <w:sz w:val="22"/>
          <w:szCs w:val="22"/>
          <w:highlight w:val="yellow"/>
          <w:lang w:val="en-GB"/>
        </w:rPr>
        <w:t>the borders.</w:t>
      </w:r>
    </w:p>
    <w:p w14:paraId="0B0BD9E4" w14:textId="77777777" w:rsidR="00E944FB" w:rsidRPr="00F8241B" w:rsidRDefault="00E944FB" w:rsidP="00C053F7">
      <w:pPr>
        <w:ind w:left="720" w:hanging="720"/>
        <w:jc w:val="both"/>
        <w:rPr>
          <w:rFonts w:ascii="Avenir Next" w:hAnsi="Avenir Next" w:cs="Arial"/>
          <w:sz w:val="22"/>
          <w:szCs w:val="22"/>
          <w:highlight w:val="yellow"/>
          <w:lang w:val="en-GB"/>
        </w:rPr>
      </w:pPr>
    </w:p>
    <w:p w14:paraId="42114EF5" w14:textId="53E96E5D" w:rsidR="00E944FB" w:rsidRPr="00F8241B" w:rsidRDefault="00E944FB" w:rsidP="00C053F7">
      <w:pPr>
        <w:ind w:left="720" w:hanging="720"/>
        <w:jc w:val="both"/>
        <w:rPr>
          <w:rFonts w:ascii="Avenir Next" w:hAnsi="Avenir Next" w:cs="Arial"/>
          <w:sz w:val="22"/>
          <w:szCs w:val="22"/>
          <w:lang w:val="en-GB"/>
        </w:rPr>
      </w:pPr>
      <w:r w:rsidRPr="00F8241B">
        <w:rPr>
          <w:rFonts w:ascii="Avenir Next" w:hAnsi="Avenir Next" w:cs="Arial"/>
          <w:sz w:val="22"/>
          <w:szCs w:val="22"/>
          <w:highlight w:val="yellow"/>
          <w:lang w:val="en-GB"/>
        </w:rPr>
        <w:t>Terri</w:t>
      </w:r>
      <w:r w:rsidR="00F90B11" w:rsidRPr="00F8241B">
        <w:rPr>
          <w:rFonts w:ascii="Avenir Next" w:hAnsi="Avenir Next" w:cs="Arial"/>
          <w:sz w:val="22"/>
          <w:szCs w:val="22"/>
          <w:highlight w:val="yellow"/>
          <w:lang w:val="en-GB"/>
        </w:rPr>
        <w:t xml:space="preserve">toriality </w:t>
      </w:r>
      <w:r w:rsidR="00D32DFF" w:rsidRPr="00F8241B">
        <w:rPr>
          <w:rFonts w:ascii="Avenir Next" w:hAnsi="Avenir Next" w:cs="Arial"/>
          <w:sz w:val="22"/>
          <w:szCs w:val="22"/>
          <w:highlight w:val="yellow"/>
          <w:lang w:val="en-GB"/>
        </w:rPr>
        <w:t xml:space="preserve">is about </w:t>
      </w:r>
      <w:r w:rsidR="0091741A" w:rsidRPr="00F8241B">
        <w:rPr>
          <w:rFonts w:ascii="Avenir Next" w:hAnsi="Avenir Next" w:cs="Arial"/>
          <w:sz w:val="22"/>
          <w:szCs w:val="22"/>
          <w:highlight w:val="yellow"/>
          <w:lang w:val="en-GB"/>
        </w:rPr>
        <w:t xml:space="preserve">insolvency proceedings </w:t>
      </w:r>
      <w:r w:rsidR="00AA2DBF" w:rsidRPr="00F8241B">
        <w:rPr>
          <w:rFonts w:ascii="Avenir Next" w:hAnsi="Avenir Next" w:cs="Arial"/>
          <w:sz w:val="22"/>
          <w:szCs w:val="22"/>
          <w:highlight w:val="yellow"/>
          <w:lang w:val="en-GB"/>
        </w:rPr>
        <w:t>being</w:t>
      </w:r>
      <w:r w:rsidR="0091741A" w:rsidRPr="00F8241B">
        <w:rPr>
          <w:rFonts w:ascii="Avenir Next" w:hAnsi="Avenir Next" w:cs="Arial"/>
          <w:sz w:val="22"/>
          <w:szCs w:val="22"/>
          <w:highlight w:val="yellow"/>
          <w:lang w:val="en-GB"/>
        </w:rPr>
        <w:t xml:space="preserve"> commenced in </w:t>
      </w:r>
      <w:r w:rsidR="00A85189" w:rsidRPr="00F8241B">
        <w:rPr>
          <w:rFonts w:ascii="Avenir Next" w:hAnsi="Avenir Next" w:cs="Arial"/>
          <w:sz w:val="22"/>
          <w:szCs w:val="22"/>
          <w:highlight w:val="yellow"/>
          <w:lang w:val="en-GB"/>
        </w:rPr>
        <w:t>the</w:t>
      </w:r>
      <w:r w:rsidR="0091741A" w:rsidRPr="00F8241B">
        <w:rPr>
          <w:rFonts w:ascii="Avenir Next" w:hAnsi="Avenir Next" w:cs="Arial"/>
          <w:sz w:val="22"/>
          <w:szCs w:val="22"/>
          <w:highlight w:val="yellow"/>
          <w:lang w:val="en-GB"/>
        </w:rPr>
        <w:t xml:space="preserve"> </w:t>
      </w:r>
      <w:r w:rsidR="00AA2DBF" w:rsidRPr="00F8241B">
        <w:rPr>
          <w:rFonts w:ascii="Avenir Next" w:hAnsi="Avenir Next" w:cs="Arial"/>
          <w:sz w:val="22"/>
          <w:szCs w:val="22"/>
          <w:highlight w:val="yellow"/>
          <w:lang w:val="en-GB"/>
        </w:rPr>
        <w:t xml:space="preserve">local </w:t>
      </w:r>
      <w:r w:rsidR="0091741A" w:rsidRPr="00F8241B">
        <w:rPr>
          <w:rFonts w:ascii="Avenir Next" w:hAnsi="Avenir Next" w:cs="Arial"/>
          <w:sz w:val="22"/>
          <w:szCs w:val="22"/>
          <w:highlight w:val="yellow"/>
          <w:lang w:val="en-GB"/>
        </w:rPr>
        <w:t xml:space="preserve">jurisdictions </w:t>
      </w:r>
      <w:r w:rsidR="00AA2DBF" w:rsidRPr="00F8241B">
        <w:rPr>
          <w:rFonts w:ascii="Avenir Next" w:hAnsi="Avenir Next" w:cs="Arial"/>
          <w:sz w:val="22"/>
          <w:szCs w:val="22"/>
          <w:highlight w:val="yellow"/>
          <w:lang w:val="en-GB"/>
        </w:rPr>
        <w:t>where the</w:t>
      </w:r>
      <w:r w:rsidR="00A85189" w:rsidRPr="00F8241B">
        <w:rPr>
          <w:rFonts w:ascii="Avenir Next" w:hAnsi="Avenir Next" w:cs="Arial"/>
          <w:sz w:val="22"/>
          <w:szCs w:val="22"/>
          <w:highlight w:val="yellow"/>
          <w:lang w:val="en-GB"/>
        </w:rPr>
        <w:t xml:space="preserve"> assets/interests of the de</w:t>
      </w:r>
      <w:r w:rsidR="008578FA" w:rsidRPr="00F8241B">
        <w:rPr>
          <w:rFonts w:ascii="Avenir Next" w:hAnsi="Avenir Next" w:cs="Arial"/>
          <w:sz w:val="22"/>
          <w:szCs w:val="22"/>
          <w:highlight w:val="yellow"/>
          <w:lang w:val="en-GB"/>
        </w:rPr>
        <w:t xml:space="preserve">btor </w:t>
      </w:r>
      <w:r w:rsidR="00AA2DBF" w:rsidRPr="00F8241B">
        <w:rPr>
          <w:rFonts w:ascii="Avenir Next" w:hAnsi="Avenir Next" w:cs="Arial"/>
          <w:sz w:val="22"/>
          <w:szCs w:val="22"/>
          <w:highlight w:val="yellow"/>
          <w:lang w:val="en-GB"/>
        </w:rPr>
        <w:t>are in.</w:t>
      </w:r>
      <w:r w:rsidR="008578FA" w:rsidRPr="00F8241B">
        <w:rPr>
          <w:rFonts w:ascii="Avenir Next" w:hAnsi="Avenir Next" w:cs="Arial"/>
          <w:sz w:val="22"/>
          <w:szCs w:val="22"/>
          <w:highlight w:val="yellow"/>
          <w:lang w:val="en-GB"/>
        </w:rPr>
        <w:t xml:space="preserve"> </w:t>
      </w:r>
      <w:r w:rsidR="00FC46D4" w:rsidRPr="00F8241B">
        <w:rPr>
          <w:rFonts w:ascii="Avenir Next" w:hAnsi="Avenir Next" w:cs="Arial"/>
          <w:sz w:val="22"/>
          <w:szCs w:val="22"/>
          <w:highlight w:val="yellow"/>
          <w:lang w:val="en-GB"/>
        </w:rPr>
        <w:t xml:space="preserve">Potential </w:t>
      </w:r>
      <w:r w:rsidR="00431874" w:rsidRPr="00F8241B">
        <w:rPr>
          <w:rFonts w:ascii="Avenir Next" w:hAnsi="Avenir Next" w:cs="Arial"/>
          <w:sz w:val="22"/>
          <w:szCs w:val="22"/>
          <w:highlight w:val="yellow"/>
          <w:lang w:val="en-GB"/>
        </w:rPr>
        <w:t xml:space="preserve">conflicts of interest and social considerations </w:t>
      </w:r>
      <w:r w:rsidR="00431874" w:rsidRPr="00F8241B">
        <w:rPr>
          <w:rFonts w:ascii="Avenir Next" w:hAnsi="Avenir Next" w:cs="Arial"/>
          <w:sz w:val="22"/>
          <w:szCs w:val="22"/>
          <w:highlight w:val="yellow"/>
          <w:lang w:val="en-GB"/>
        </w:rPr>
        <w:lastRenderedPageBreak/>
        <w:t>among the stakeholders may arise adding on</w:t>
      </w:r>
      <w:r w:rsidR="005D1D57" w:rsidRPr="00F8241B">
        <w:rPr>
          <w:rFonts w:ascii="Avenir Next" w:hAnsi="Avenir Next" w:cs="Arial"/>
          <w:sz w:val="22"/>
          <w:szCs w:val="22"/>
          <w:highlight w:val="yellow"/>
          <w:lang w:val="en-GB"/>
        </w:rPr>
        <w:t xml:space="preserve"> to the challenges from different legal systems</w:t>
      </w:r>
      <w:r w:rsidR="00645884" w:rsidRPr="00F8241B">
        <w:rPr>
          <w:rFonts w:ascii="Avenir Next" w:hAnsi="Avenir Next" w:cs="Arial"/>
          <w:sz w:val="22"/>
          <w:szCs w:val="22"/>
          <w:highlight w:val="yellow"/>
          <w:lang w:val="en-GB"/>
        </w:rPr>
        <w:t xml:space="preserve"> and can be costly in terms of the resources and time for resolutions.</w:t>
      </w:r>
    </w:p>
    <w:p w14:paraId="769DC37B" w14:textId="77777777" w:rsidR="007A2103" w:rsidRPr="00827D56" w:rsidRDefault="007A2103" w:rsidP="00C053F7">
      <w:pPr>
        <w:ind w:left="720" w:hanging="720"/>
        <w:jc w:val="both"/>
        <w:rPr>
          <w:rFonts w:ascii="Avenir Next" w:hAnsi="Avenir Next" w:cs="Arial"/>
          <w:sz w:val="22"/>
          <w:szCs w:val="22"/>
          <w:lang w:val="en-GB"/>
        </w:rPr>
      </w:pP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78DB9FD8" w14:textId="2CE9DD5F" w:rsidR="00C72848" w:rsidRPr="00F8241B" w:rsidRDefault="00800860" w:rsidP="00BC6A96">
      <w:pPr>
        <w:pStyle w:val="ListParagraph"/>
        <w:numPr>
          <w:ilvl w:val="0"/>
          <w:numId w:val="23"/>
        </w:numPr>
        <w:tabs>
          <w:tab w:val="left" w:pos="2674"/>
        </w:tabs>
        <w:jc w:val="both"/>
        <w:rPr>
          <w:rFonts w:ascii="Avenir Next" w:hAnsi="Avenir Next" w:cs="Arial"/>
          <w:sz w:val="22"/>
          <w:szCs w:val="22"/>
          <w:highlight w:val="yellow"/>
          <w:lang w:val="en-GB"/>
        </w:rPr>
      </w:pPr>
      <w:r w:rsidRPr="00F8241B">
        <w:rPr>
          <w:rFonts w:ascii="Avenir Next" w:hAnsi="Avenir Next" w:cs="Arial"/>
          <w:sz w:val="22"/>
          <w:szCs w:val="22"/>
          <w:highlight w:val="yellow"/>
          <w:lang w:val="en-GB"/>
        </w:rPr>
        <w:t>UAE introduced a new bankruptcy law being in effective in 20</w:t>
      </w:r>
      <w:r w:rsidR="00E82365" w:rsidRPr="00F8241B">
        <w:rPr>
          <w:rFonts w:ascii="Avenir Next" w:hAnsi="Avenir Next" w:cs="Arial"/>
          <w:sz w:val="22"/>
          <w:szCs w:val="22"/>
          <w:highlight w:val="yellow"/>
          <w:lang w:val="en-GB"/>
        </w:rPr>
        <w:t>19</w:t>
      </w:r>
      <w:r w:rsidRPr="00F8241B">
        <w:rPr>
          <w:rFonts w:ascii="Avenir Next" w:hAnsi="Avenir Next" w:cs="Arial"/>
          <w:sz w:val="22"/>
          <w:szCs w:val="22"/>
          <w:highlight w:val="yellow"/>
          <w:lang w:val="en-GB"/>
        </w:rPr>
        <w:t xml:space="preserve"> to enhance the UAE’s insolvency framework </w:t>
      </w:r>
      <w:r w:rsidR="00C20A67" w:rsidRPr="00F8241B">
        <w:rPr>
          <w:rFonts w:ascii="Avenir Next" w:hAnsi="Avenir Next" w:cs="Arial"/>
          <w:sz w:val="22"/>
          <w:szCs w:val="22"/>
          <w:highlight w:val="yellow"/>
          <w:lang w:val="en-GB"/>
        </w:rPr>
        <w:t xml:space="preserve">that allow debtors to better address financial distress and restructuring. </w:t>
      </w:r>
    </w:p>
    <w:p w14:paraId="7A254F6C" w14:textId="131EC34A" w:rsidR="00C20A67" w:rsidRPr="00F8241B" w:rsidRDefault="00C20A67" w:rsidP="00BC6A96">
      <w:pPr>
        <w:pStyle w:val="ListParagraph"/>
        <w:numPr>
          <w:ilvl w:val="0"/>
          <w:numId w:val="23"/>
        </w:numPr>
        <w:tabs>
          <w:tab w:val="left" w:pos="2674"/>
        </w:tabs>
        <w:jc w:val="both"/>
        <w:rPr>
          <w:rFonts w:ascii="Avenir Next" w:hAnsi="Avenir Next" w:cs="Arial"/>
          <w:sz w:val="22"/>
          <w:szCs w:val="22"/>
          <w:highlight w:val="yellow"/>
          <w:lang w:val="en-GB"/>
        </w:rPr>
      </w:pPr>
      <w:r w:rsidRPr="00F8241B">
        <w:rPr>
          <w:rFonts w:ascii="Avenir Next" w:hAnsi="Avenir Next" w:cs="Arial"/>
          <w:sz w:val="22"/>
          <w:szCs w:val="22"/>
          <w:highlight w:val="yellow"/>
          <w:lang w:val="en-GB"/>
        </w:rPr>
        <w:t>Saudi Arabia introduced bankruptcy law</w:t>
      </w:r>
      <w:r w:rsidR="00D8586C" w:rsidRPr="00F8241B">
        <w:rPr>
          <w:rFonts w:ascii="Avenir Next" w:hAnsi="Avenir Next" w:cs="Arial"/>
          <w:sz w:val="22"/>
          <w:szCs w:val="22"/>
          <w:highlight w:val="yellow"/>
          <w:lang w:val="en-GB"/>
        </w:rPr>
        <w:t xml:space="preserve"> in 2018</w:t>
      </w:r>
      <w:r w:rsidRPr="00F8241B">
        <w:rPr>
          <w:rFonts w:ascii="Avenir Next" w:hAnsi="Avenir Next" w:cs="Arial"/>
          <w:sz w:val="22"/>
          <w:szCs w:val="22"/>
          <w:highlight w:val="yellow"/>
          <w:lang w:val="en-GB"/>
        </w:rPr>
        <w:t xml:space="preserve"> aiming on local insolvency matters which is known as Saudi Bankruptcy Law. This provides mechanisms for financially distressed companies to restructure the debts and attempt to continue viable operations.</w:t>
      </w:r>
    </w:p>
    <w:p w14:paraId="1AA27192" w14:textId="26305265" w:rsidR="00C20A67" w:rsidRPr="00F8241B" w:rsidRDefault="00DC5F97" w:rsidP="00BC6A96">
      <w:pPr>
        <w:pStyle w:val="ListParagraph"/>
        <w:numPr>
          <w:ilvl w:val="0"/>
          <w:numId w:val="23"/>
        </w:numPr>
        <w:tabs>
          <w:tab w:val="left" w:pos="2674"/>
        </w:tabs>
        <w:jc w:val="both"/>
        <w:rPr>
          <w:rFonts w:ascii="Avenir Next" w:hAnsi="Avenir Next" w:cs="Arial"/>
          <w:sz w:val="22"/>
          <w:szCs w:val="22"/>
          <w:highlight w:val="yellow"/>
          <w:lang w:val="en-GB"/>
        </w:rPr>
      </w:pPr>
      <w:r w:rsidRPr="00F8241B">
        <w:rPr>
          <w:rFonts w:ascii="Avenir Next" w:hAnsi="Avenir Next" w:cs="Arial"/>
          <w:sz w:val="22"/>
          <w:szCs w:val="22"/>
          <w:highlight w:val="yellow"/>
          <w:lang w:val="en-GB"/>
        </w:rPr>
        <w:t xml:space="preserve">There is Guld Cooperation Council Insolvency Reforms which was initiated by the GCC member states. The reforms target to </w:t>
      </w:r>
      <w:r w:rsidR="00D15D05" w:rsidRPr="00F8241B">
        <w:rPr>
          <w:rFonts w:ascii="Avenir Next" w:hAnsi="Avenir Next" w:cs="Arial"/>
          <w:sz w:val="22"/>
          <w:szCs w:val="22"/>
          <w:highlight w:val="yellow"/>
          <w:lang w:val="en-GB"/>
        </w:rPr>
        <w:t>harmonize insolvency laws across region, facilitating cross border insolvency proceedings and promote consistent approach.</w:t>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170A9E71" w14:textId="2109AD25" w:rsidR="00962045" w:rsidRPr="00B62B8A" w:rsidRDefault="00DF75F8" w:rsidP="00B62B8A">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5EF2B11F" w14:textId="77777777" w:rsidR="00B13098" w:rsidRPr="00827D56" w:rsidRDefault="00B13098" w:rsidP="00C053F7">
      <w:pPr>
        <w:jc w:val="both"/>
        <w:rPr>
          <w:rFonts w:ascii="Avenir Next" w:hAnsi="Avenir Next" w:cs="Arial"/>
          <w:sz w:val="22"/>
          <w:szCs w:val="22"/>
          <w:lang w:val="en-GB"/>
        </w:rPr>
      </w:pPr>
    </w:p>
    <w:tbl>
      <w:tblPr>
        <w:tblStyle w:val="TableGrid"/>
        <w:tblW w:w="0" w:type="auto"/>
        <w:tblInd w:w="720" w:type="dxa"/>
        <w:tblLook w:val="04A0" w:firstRow="1" w:lastRow="0" w:firstColumn="1" w:lastColumn="0" w:noHBand="0" w:noVBand="1"/>
      </w:tblPr>
      <w:tblGrid>
        <w:gridCol w:w="2740"/>
        <w:gridCol w:w="2741"/>
        <w:gridCol w:w="2815"/>
      </w:tblGrid>
      <w:tr w:rsidR="00CD152A" w14:paraId="6731E64A" w14:textId="77777777" w:rsidTr="00272251">
        <w:tc>
          <w:tcPr>
            <w:tcW w:w="2740" w:type="dxa"/>
          </w:tcPr>
          <w:p w14:paraId="53978DC4" w14:textId="77777777" w:rsidR="00B13098" w:rsidRPr="00F8241B" w:rsidRDefault="00B13098" w:rsidP="00C053F7">
            <w:pPr>
              <w:jc w:val="both"/>
              <w:rPr>
                <w:rFonts w:ascii="Avenir Next" w:hAnsi="Avenir Next" w:cs="Arial"/>
                <w:sz w:val="22"/>
                <w:szCs w:val="22"/>
                <w:highlight w:val="yellow"/>
                <w:lang w:val="en-GB"/>
              </w:rPr>
            </w:pPr>
          </w:p>
        </w:tc>
        <w:tc>
          <w:tcPr>
            <w:tcW w:w="2741" w:type="dxa"/>
          </w:tcPr>
          <w:p w14:paraId="7826739D" w14:textId="295A58E7" w:rsidR="00B13098" w:rsidRPr="00F8241B" w:rsidRDefault="00B13098" w:rsidP="00C053F7">
            <w:pPr>
              <w:jc w:val="both"/>
              <w:rPr>
                <w:rFonts w:ascii="Avenir Next" w:hAnsi="Avenir Next" w:cs="Arial"/>
                <w:sz w:val="22"/>
                <w:szCs w:val="22"/>
                <w:highlight w:val="yellow"/>
                <w:lang w:val="en-GB"/>
              </w:rPr>
            </w:pPr>
            <w:r w:rsidRPr="00F8241B">
              <w:rPr>
                <w:rFonts w:ascii="Avenir Next" w:hAnsi="Avenir Next" w:cs="Arial"/>
                <w:sz w:val="22"/>
                <w:szCs w:val="22"/>
                <w:highlight w:val="yellow"/>
                <w:lang w:val="en-GB"/>
              </w:rPr>
              <w:t>Personal Insolvency</w:t>
            </w:r>
          </w:p>
        </w:tc>
        <w:tc>
          <w:tcPr>
            <w:tcW w:w="2815" w:type="dxa"/>
          </w:tcPr>
          <w:p w14:paraId="762E3EF3" w14:textId="67D5E2C0" w:rsidR="00B13098" w:rsidRPr="00F8241B" w:rsidRDefault="00B13098" w:rsidP="00C053F7">
            <w:pPr>
              <w:jc w:val="both"/>
              <w:rPr>
                <w:rFonts w:ascii="Avenir Next" w:hAnsi="Avenir Next" w:cs="Arial"/>
                <w:sz w:val="22"/>
                <w:szCs w:val="22"/>
                <w:highlight w:val="yellow"/>
                <w:lang w:val="en-GB"/>
              </w:rPr>
            </w:pPr>
            <w:r w:rsidRPr="00F8241B">
              <w:rPr>
                <w:rFonts w:ascii="Avenir Next" w:hAnsi="Avenir Next" w:cs="Arial"/>
                <w:sz w:val="22"/>
                <w:szCs w:val="22"/>
                <w:highlight w:val="yellow"/>
                <w:lang w:val="en-GB"/>
              </w:rPr>
              <w:t>Corporate Insolvency</w:t>
            </w:r>
          </w:p>
        </w:tc>
      </w:tr>
      <w:tr w:rsidR="00CD152A" w14:paraId="4A951499" w14:textId="77777777" w:rsidTr="00272251">
        <w:tc>
          <w:tcPr>
            <w:tcW w:w="2740" w:type="dxa"/>
          </w:tcPr>
          <w:p w14:paraId="005C8206" w14:textId="6B572FF8" w:rsidR="00B13098" w:rsidRPr="00F8241B" w:rsidRDefault="00B13098" w:rsidP="00C053F7">
            <w:pPr>
              <w:jc w:val="both"/>
              <w:rPr>
                <w:rFonts w:ascii="Avenir Next" w:hAnsi="Avenir Next" w:cs="Arial"/>
                <w:sz w:val="22"/>
                <w:szCs w:val="22"/>
                <w:highlight w:val="yellow"/>
                <w:lang w:val="en-GB"/>
              </w:rPr>
            </w:pPr>
            <w:r w:rsidRPr="00F8241B">
              <w:rPr>
                <w:rFonts w:ascii="Avenir Next" w:hAnsi="Avenir Next" w:cs="Arial"/>
                <w:sz w:val="22"/>
                <w:szCs w:val="22"/>
                <w:highlight w:val="yellow"/>
                <w:lang w:val="en-GB"/>
              </w:rPr>
              <w:t>Type</w:t>
            </w:r>
          </w:p>
        </w:tc>
        <w:tc>
          <w:tcPr>
            <w:tcW w:w="2741" w:type="dxa"/>
          </w:tcPr>
          <w:p w14:paraId="77F4CB2F" w14:textId="295CCDEF" w:rsidR="00B13098" w:rsidRPr="00F8241B" w:rsidRDefault="005C5796" w:rsidP="00C053F7">
            <w:pPr>
              <w:jc w:val="both"/>
              <w:rPr>
                <w:rFonts w:ascii="Avenir Next" w:hAnsi="Avenir Next" w:cs="Arial"/>
                <w:sz w:val="22"/>
                <w:szCs w:val="22"/>
                <w:highlight w:val="yellow"/>
                <w:lang w:val="en-GB"/>
              </w:rPr>
            </w:pPr>
            <w:r w:rsidRPr="00F8241B">
              <w:rPr>
                <w:rFonts w:ascii="Avenir Next" w:hAnsi="Avenir Next" w:cs="Arial"/>
                <w:sz w:val="22"/>
                <w:szCs w:val="22"/>
                <w:highlight w:val="yellow"/>
                <w:lang w:val="en-GB"/>
              </w:rPr>
              <w:t>For n</w:t>
            </w:r>
            <w:r w:rsidR="00B13098" w:rsidRPr="00F8241B">
              <w:rPr>
                <w:rFonts w:ascii="Avenir Next" w:hAnsi="Avenir Next" w:cs="Arial"/>
                <w:sz w:val="22"/>
                <w:szCs w:val="22"/>
                <w:highlight w:val="yellow"/>
                <w:lang w:val="en-GB"/>
              </w:rPr>
              <w:t>atural person</w:t>
            </w:r>
          </w:p>
        </w:tc>
        <w:tc>
          <w:tcPr>
            <w:tcW w:w="2815" w:type="dxa"/>
          </w:tcPr>
          <w:p w14:paraId="0523D453" w14:textId="6740CD9E" w:rsidR="00B13098" w:rsidRPr="00F8241B" w:rsidRDefault="005C5796" w:rsidP="00C053F7">
            <w:pPr>
              <w:jc w:val="both"/>
              <w:rPr>
                <w:rFonts w:ascii="Avenir Next" w:hAnsi="Avenir Next" w:cs="Arial"/>
                <w:sz w:val="22"/>
                <w:szCs w:val="22"/>
                <w:highlight w:val="yellow"/>
                <w:lang w:val="en-GB"/>
              </w:rPr>
            </w:pPr>
            <w:r w:rsidRPr="00F8241B">
              <w:rPr>
                <w:rFonts w:ascii="Avenir Next" w:hAnsi="Avenir Next" w:cs="Arial"/>
                <w:sz w:val="22"/>
                <w:szCs w:val="22"/>
                <w:highlight w:val="yellow"/>
                <w:lang w:val="en-GB"/>
              </w:rPr>
              <w:t>For c</w:t>
            </w:r>
            <w:r w:rsidR="00B13098" w:rsidRPr="00F8241B">
              <w:rPr>
                <w:rFonts w:ascii="Avenir Next" w:hAnsi="Avenir Next" w:cs="Arial"/>
                <w:sz w:val="22"/>
                <w:szCs w:val="22"/>
                <w:highlight w:val="yellow"/>
                <w:lang w:val="en-GB"/>
              </w:rPr>
              <w:t>orporate entity</w:t>
            </w:r>
          </w:p>
        </w:tc>
      </w:tr>
      <w:tr w:rsidR="00CD152A" w14:paraId="5015C06A" w14:textId="77777777" w:rsidTr="00272251">
        <w:tc>
          <w:tcPr>
            <w:tcW w:w="2740" w:type="dxa"/>
          </w:tcPr>
          <w:p w14:paraId="5443FE02" w14:textId="4402A7FC" w:rsidR="00B13098" w:rsidRPr="00F8241B" w:rsidRDefault="00114274" w:rsidP="00C053F7">
            <w:pPr>
              <w:jc w:val="both"/>
              <w:rPr>
                <w:rFonts w:ascii="Avenir Next" w:hAnsi="Avenir Next" w:cs="Arial"/>
                <w:sz w:val="22"/>
                <w:szCs w:val="22"/>
                <w:highlight w:val="yellow"/>
                <w:lang w:val="en-GB"/>
              </w:rPr>
            </w:pPr>
            <w:r w:rsidRPr="00F8241B">
              <w:rPr>
                <w:rFonts w:ascii="Avenir Next" w:hAnsi="Avenir Next" w:cs="Arial"/>
                <w:sz w:val="22"/>
                <w:szCs w:val="22"/>
                <w:highlight w:val="yellow"/>
                <w:lang w:val="en-GB"/>
              </w:rPr>
              <w:t>Liabilities and implications</w:t>
            </w:r>
          </w:p>
        </w:tc>
        <w:tc>
          <w:tcPr>
            <w:tcW w:w="2741" w:type="dxa"/>
          </w:tcPr>
          <w:p w14:paraId="4F74770E" w14:textId="5DCFCBCB" w:rsidR="00B13098" w:rsidRPr="00F8241B" w:rsidRDefault="00114274" w:rsidP="00C053F7">
            <w:pPr>
              <w:jc w:val="both"/>
              <w:rPr>
                <w:rFonts w:ascii="Avenir Next" w:hAnsi="Avenir Next" w:cs="Arial"/>
                <w:sz w:val="22"/>
                <w:szCs w:val="22"/>
                <w:highlight w:val="yellow"/>
                <w:lang w:val="en-GB"/>
              </w:rPr>
            </w:pPr>
            <w:r w:rsidRPr="00F8241B">
              <w:rPr>
                <w:rFonts w:ascii="Avenir Next" w:hAnsi="Avenir Next" w:cs="Arial"/>
                <w:sz w:val="22"/>
                <w:szCs w:val="22"/>
                <w:highlight w:val="yellow"/>
                <w:lang w:val="en-GB"/>
              </w:rPr>
              <w:t>The matter concerns with the personal rights and obligations of an individual debtor</w:t>
            </w:r>
          </w:p>
        </w:tc>
        <w:tc>
          <w:tcPr>
            <w:tcW w:w="2815" w:type="dxa"/>
          </w:tcPr>
          <w:p w14:paraId="4208363E" w14:textId="5EC4FC86" w:rsidR="00B13098" w:rsidRPr="00F8241B" w:rsidRDefault="00114274" w:rsidP="00C053F7">
            <w:pPr>
              <w:jc w:val="both"/>
              <w:rPr>
                <w:rFonts w:ascii="Avenir Next" w:hAnsi="Avenir Next" w:cs="Arial"/>
                <w:sz w:val="22"/>
                <w:szCs w:val="22"/>
                <w:highlight w:val="yellow"/>
                <w:lang w:val="en-GB"/>
              </w:rPr>
            </w:pPr>
            <w:r w:rsidRPr="00F8241B">
              <w:rPr>
                <w:rFonts w:ascii="Avenir Next" w:hAnsi="Avenir Next" w:cs="Arial"/>
                <w:sz w:val="22"/>
                <w:szCs w:val="22"/>
                <w:highlight w:val="yellow"/>
                <w:lang w:val="en-GB"/>
              </w:rPr>
              <w:t xml:space="preserve">The matter concerns with the fiduciary duties and </w:t>
            </w:r>
            <w:r w:rsidR="00160C95" w:rsidRPr="00F8241B">
              <w:rPr>
                <w:rFonts w:ascii="Avenir Next" w:hAnsi="Avenir Next" w:cs="Arial"/>
                <w:sz w:val="22"/>
                <w:szCs w:val="22"/>
                <w:highlight w:val="yellow"/>
                <w:lang w:val="en-GB"/>
              </w:rPr>
              <w:t>liabilities of the management (</w:t>
            </w:r>
            <w:proofErr w:type="gramStart"/>
            <w:r w:rsidR="00160C95" w:rsidRPr="00F8241B">
              <w:rPr>
                <w:rFonts w:ascii="Avenir Next" w:hAnsi="Avenir Next" w:cs="Arial"/>
                <w:sz w:val="22"/>
                <w:szCs w:val="22"/>
                <w:highlight w:val="yellow"/>
                <w:lang w:val="en-GB"/>
              </w:rPr>
              <w:t>i.e.</w:t>
            </w:r>
            <w:proofErr w:type="gramEnd"/>
            <w:r w:rsidR="00160C95" w:rsidRPr="00F8241B">
              <w:rPr>
                <w:rFonts w:ascii="Avenir Next" w:hAnsi="Avenir Next" w:cs="Arial"/>
                <w:sz w:val="22"/>
                <w:szCs w:val="22"/>
                <w:highlight w:val="yellow"/>
                <w:lang w:val="en-GB"/>
              </w:rPr>
              <w:t xml:space="preserve"> board of directors)</w:t>
            </w:r>
          </w:p>
        </w:tc>
      </w:tr>
      <w:tr w:rsidR="00CD152A" w14:paraId="491867E6" w14:textId="77777777" w:rsidTr="00272251">
        <w:tc>
          <w:tcPr>
            <w:tcW w:w="2740" w:type="dxa"/>
          </w:tcPr>
          <w:p w14:paraId="6D837ED1" w14:textId="4E487152" w:rsidR="00B13098" w:rsidRPr="00F8241B" w:rsidRDefault="00DE5C01" w:rsidP="00C053F7">
            <w:pPr>
              <w:jc w:val="both"/>
              <w:rPr>
                <w:rFonts w:ascii="Avenir Next" w:hAnsi="Avenir Next" w:cs="Arial"/>
                <w:sz w:val="22"/>
                <w:szCs w:val="22"/>
                <w:highlight w:val="yellow"/>
                <w:lang w:val="en-GB"/>
              </w:rPr>
            </w:pPr>
            <w:r w:rsidRPr="00F8241B">
              <w:rPr>
                <w:rFonts w:ascii="Avenir Next" w:hAnsi="Avenir Next" w:cs="Arial"/>
                <w:sz w:val="22"/>
                <w:szCs w:val="22"/>
                <w:highlight w:val="yellow"/>
                <w:lang w:val="en-GB"/>
              </w:rPr>
              <w:t>Complexity of considerations</w:t>
            </w:r>
          </w:p>
        </w:tc>
        <w:tc>
          <w:tcPr>
            <w:tcW w:w="2741" w:type="dxa"/>
          </w:tcPr>
          <w:p w14:paraId="68A50FBC" w14:textId="62D031C2" w:rsidR="00B13098" w:rsidRPr="00F8241B" w:rsidRDefault="00D649EE" w:rsidP="00C053F7">
            <w:pPr>
              <w:jc w:val="both"/>
              <w:rPr>
                <w:rFonts w:ascii="Avenir Next" w:hAnsi="Avenir Next" w:cs="Arial"/>
                <w:sz w:val="22"/>
                <w:szCs w:val="22"/>
                <w:highlight w:val="yellow"/>
                <w:lang w:val="en-GB"/>
              </w:rPr>
            </w:pPr>
            <w:r w:rsidRPr="00F8241B">
              <w:rPr>
                <w:rFonts w:ascii="Avenir Next" w:hAnsi="Avenir Next" w:cs="Arial"/>
                <w:sz w:val="22"/>
                <w:szCs w:val="22"/>
                <w:highlight w:val="yellow"/>
                <w:lang w:val="en-GB"/>
              </w:rPr>
              <w:t>The consideratio</w:t>
            </w:r>
            <w:r w:rsidR="00CD152A" w:rsidRPr="00F8241B">
              <w:rPr>
                <w:rFonts w:ascii="Avenir Next" w:hAnsi="Avenir Next" w:cs="Arial"/>
                <w:sz w:val="22"/>
                <w:szCs w:val="22"/>
                <w:highlight w:val="yellow"/>
                <w:lang w:val="en-GB"/>
              </w:rPr>
              <w:t>ns are more likely to be simpler in comparison to a corporate insolvency.</w:t>
            </w:r>
          </w:p>
        </w:tc>
        <w:tc>
          <w:tcPr>
            <w:tcW w:w="2815" w:type="dxa"/>
          </w:tcPr>
          <w:p w14:paraId="1F598A39" w14:textId="2127E735" w:rsidR="00B13098" w:rsidRPr="00F8241B" w:rsidRDefault="00DE5C01" w:rsidP="00C053F7">
            <w:pPr>
              <w:jc w:val="both"/>
              <w:rPr>
                <w:rFonts w:ascii="Avenir Next" w:hAnsi="Avenir Next" w:cs="Arial"/>
                <w:sz w:val="22"/>
                <w:szCs w:val="22"/>
                <w:highlight w:val="yellow"/>
                <w:lang w:val="en-GB"/>
              </w:rPr>
            </w:pPr>
            <w:r w:rsidRPr="00F8241B">
              <w:rPr>
                <w:rFonts w:ascii="Avenir Next" w:hAnsi="Avenir Next" w:cs="Arial"/>
                <w:sz w:val="22"/>
                <w:szCs w:val="22"/>
                <w:highlight w:val="yellow"/>
                <w:lang w:val="en-GB"/>
              </w:rPr>
              <w:t>Corporate matters tend to involve social considerations such as the labour law</w:t>
            </w:r>
            <w:r w:rsidR="001D4A00" w:rsidRPr="00F8241B">
              <w:rPr>
                <w:rFonts w:ascii="Avenir Next" w:hAnsi="Avenir Next" w:cs="Arial"/>
                <w:sz w:val="22"/>
                <w:szCs w:val="22"/>
                <w:highlight w:val="yellow"/>
                <w:lang w:val="en-GB"/>
              </w:rPr>
              <w:t xml:space="preserve">, employment contracts and the </w:t>
            </w:r>
            <w:proofErr w:type="spellStart"/>
            <w:r w:rsidR="001D4A00" w:rsidRPr="00F8241B">
              <w:rPr>
                <w:rFonts w:ascii="Avenir Next" w:hAnsi="Avenir Next" w:cs="Arial"/>
                <w:sz w:val="22"/>
                <w:szCs w:val="22"/>
                <w:highlight w:val="yellow"/>
                <w:lang w:val="en-GB"/>
              </w:rPr>
              <w:t>economical</w:t>
            </w:r>
            <w:proofErr w:type="spellEnd"/>
            <w:r w:rsidR="001D4A00" w:rsidRPr="00F8241B">
              <w:rPr>
                <w:rFonts w:ascii="Avenir Next" w:hAnsi="Avenir Next" w:cs="Arial"/>
                <w:sz w:val="22"/>
                <w:szCs w:val="22"/>
                <w:highlight w:val="yellow"/>
                <w:lang w:val="en-GB"/>
              </w:rPr>
              <w:t xml:space="preserve"> dependence</w:t>
            </w:r>
          </w:p>
        </w:tc>
      </w:tr>
      <w:tr w:rsidR="00CD152A" w14:paraId="4C046513" w14:textId="77777777" w:rsidTr="00272251">
        <w:tc>
          <w:tcPr>
            <w:tcW w:w="2740" w:type="dxa"/>
          </w:tcPr>
          <w:p w14:paraId="4856CF6D" w14:textId="7093DD8F" w:rsidR="00B13098" w:rsidRPr="00F8241B" w:rsidRDefault="00A23161" w:rsidP="00C053F7">
            <w:pPr>
              <w:jc w:val="both"/>
              <w:rPr>
                <w:rFonts w:ascii="Avenir Next" w:hAnsi="Avenir Next" w:cs="Arial"/>
                <w:sz w:val="22"/>
                <w:szCs w:val="22"/>
                <w:highlight w:val="yellow"/>
                <w:lang w:val="en-GB"/>
              </w:rPr>
            </w:pPr>
            <w:r w:rsidRPr="00F8241B">
              <w:rPr>
                <w:rFonts w:ascii="Avenir Next" w:hAnsi="Avenir Next" w:cs="Arial"/>
                <w:sz w:val="22"/>
                <w:szCs w:val="22"/>
                <w:highlight w:val="yellow"/>
                <w:lang w:val="en-GB"/>
              </w:rPr>
              <w:t>Exit Option</w:t>
            </w:r>
          </w:p>
        </w:tc>
        <w:tc>
          <w:tcPr>
            <w:tcW w:w="2741" w:type="dxa"/>
          </w:tcPr>
          <w:p w14:paraId="45605F84" w14:textId="500E0C61" w:rsidR="00B13098" w:rsidRPr="00F8241B" w:rsidRDefault="00A23161" w:rsidP="00C053F7">
            <w:pPr>
              <w:jc w:val="both"/>
              <w:rPr>
                <w:rFonts w:ascii="Avenir Next" w:hAnsi="Avenir Next" w:cs="Arial"/>
                <w:sz w:val="22"/>
                <w:szCs w:val="22"/>
                <w:highlight w:val="yellow"/>
                <w:lang w:val="en-GB"/>
              </w:rPr>
            </w:pPr>
            <w:r w:rsidRPr="00F8241B">
              <w:rPr>
                <w:rFonts w:ascii="Avenir Next" w:hAnsi="Avenir Next" w:cs="Arial"/>
                <w:sz w:val="22"/>
                <w:szCs w:val="22"/>
                <w:highlight w:val="yellow"/>
                <w:lang w:val="en-GB"/>
              </w:rPr>
              <w:t>The end target for the individual debtor is to eventually obtain personal discharge.</w:t>
            </w:r>
          </w:p>
        </w:tc>
        <w:tc>
          <w:tcPr>
            <w:tcW w:w="2815" w:type="dxa"/>
          </w:tcPr>
          <w:p w14:paraId="1D3D1968" w14:textId="6C252651" w:rsidR="00B13098" w:rsidRPr="00F8241B" w:rsidRDefault="00A23161" w:rsidP="00C053F7">
            <w:pPr>
              <w:jc w:val="both"/>
              <w:rPr>
                <w:rFonts w:ascii="Avenir Next" w:hAnsi="Avenir Next" w:cs="Arial"/>
                <w:sz w:val="22"/>
                <w:szCs w:val="22"/>
                <w:highlight w:val="yellow"/>
                <w:lang w:val="en-GB"/>
              </w:rPr>
            </w:pPr>
            <w:r w:rsidRPr="00F8241B">
              <w:rPr>
                <w:rFonts w:ascii="Avenir Next" w:hAnsi="Avenir Next" w:cs="Arial"/>
                <w:sz w:val="22"/>
                <w:szCs w:val="22"/>
                <w:highlight w:val="yellow"/>
                <w:lang w:val="en-GB"/>
              </w:rPr>
              <w:t xml:space="preserve">If the business is viable, the main objective </w:t>
            </w:r>
            <w:proofErr w:type="gramStart"/>
            <w:r w:rsidRPr="00F8241B">
              <w:rPr>
                <w:rFonts w:ascii="Avenir Next" w:hAnsi="Avenir Next" w:cs="Arial"/>
                <w:sz w:val="22"/>
                <w:szCs w:val="22"/>
                <w:highlight w:val="yellow"/>
                <w:lang w:val="en-GB"/>
              </w:rPr>
              <w:t>tend</w:t>
            </w:r>
            <w:proofErr w:type="gramEnd"/>
            <w:r w:rsidRPr="00F8241B">
              <w:rPr>
                <w:rFonts w:ascii="Avenir Next" w:hAnsi="Avenir Next" w:cs="Arial"/>
                <w:sz w:val="22"/>
                <w:szCs w:val="22"/>
                <w:highlight w:val="yellow"/>
                <w:lang w:val="en-GB"/>
              </w:rPr>
              <w:t xml:space="preserve"> to be corporate rescue mechanism to revive/rehabilitate. </w:t>
            </w:r>
            <w:proofErr w:type="gramStart"/>
            <w:r w:rsidRPr="00F8241B">
              <w:rPr>
                <w:rFonts w:ascii="Avenir Next" w:hAnsi="Avenir Next" w:cs="Arial"/>
                <w:sz w:val="22"/>
                <w:szCs w:val="22"/>
                <w:highlight w:val="yellow"/>
                <w:lang w:val="en-GB"/>
              </w:rPr>
              <w:t>Otherwise</w:t>
            </w:r>
            <w:proofErr w:type="gramEnd"/>
            <w:r w:rsidRPr="00F8241B">
              <w:rPr>
                <w:rFonts w:ascii="Avenir Next" w:hAnsi="Avenir Next" w:cs="Arial"/>
                <w:sz w:val="22"/>
                <w:szCs w:val="22"/>
                <w:highlight w:val="yellow"/>
                <w:lang w:val="en-GB"/>
              </w:rPr>
              <w:t xml:space="preserve"> the other option would be to wind up</w:t>
            </w:r>
            <w:r w:rsidR="00D634B2" w:rsidRPr="00F8241B">
              <w:rPr>
                <w:rFonts w:ascii="Avenir Next" w:hAnsi="Avenir Next" w:cs="Arial"/>
                <w:sz w:val="22"/>
                <w:szCs w:val="22"/>
                <w:highlight w:val="yellow"/>
                <w:lang w:val="en-GB"/>
              </w:rPr>
              <w:t xml:space="preserve"> to prioritize on disposing the assets and repaying to the creditors</w:t>
            </w:r>
            <w:r w:rsidRPr="00F8241B">
              <w:rPr>
                <w:rFonts w:ascii="Avenir Next" w:hAnsi="Avenir Next" w:cs="Arial"/>
                <w:sz w:val="22"/>
                <w:szCs w:val="22"/>
                <w:highlight w:val="yellow"/>
                <w:lang w:val="en-GB"/>
              </w:rPr>
              <w:t>.</w:t>
            </w:r>
          </w:p>
        </w:tc>
      </w:tr>
      <w:tr w:rsidR="00272251" w14:paraId="16B94809" w14:textId="77777777" w:rsidTr="00272251">
        <w:tc>
          <w:tcPr>
            <w:tcW w:w="2740" w:type="dxa"/>
          </w:tcPr>
          <w:p w14:paraId="61CF4C11" w14:textId="2A9E3797" w:rsidR="00272251" w:rsidRPr="00F8241B" w:rsidRDefault="00E42061" w:rsidP="00C053F7">
            <w:pPr>
              <w:jc w:val="both"/>
              <w:rPr>
                <w:rFonts w:ascii="Avenir Next" w:hAnsi="Avenir Next" w:cs="Arial"/>
                <w:sz w:val="22"/>
                <w:szCs w:val="22"/>
                <w:highlight w:val="yellow"/>
                <w:lang w:val="en-GB"/>
              </w:rPr>
            </w:pPr>
            <w:r w:rsidRPr="00F8241B">
              <w:rPr>
                <w:rFonts w:ascii="Avenir Next" w:hAnsi="Avenir Next" w:cs="Arial"/>
                <w:sz w:val="22"/>
                <w:szCs w:val="22"/>
                <w:highlight w:val="yellow"/>
                <w:lang w:val="en-GB"/>
              </w:rPr>
              <w:t>Creditor workouts</w:t>
            </w:r>
          </w:p>
        </w:tc>
        <w:tc>
          <w:tcPr>
            <w:tcW w:w="2741" w:type="dxa"/>
          </w:tcPr>
          <w:p w14:paraId="68A6077B" w14:textId="3DCB7049" w:rsidR="00272251" w:rsidRPr="00F8241B" w:rsidRDefault="00E42061" w:rsidP="00C053F7">
            <w:pPr>
              <w:jc w:val="both"/>
              <w:rPr>
                <w:rFonts w:ascii="Avenir Next" w:hAnsi="Avenir Next" w:cs="Arial"/>
                <w:sz w:val="22"/>
                <w:szCs w:val="22"/>
                <w:highlight w:val="yellow"/>
                <w:lang w:val="en-GB"/>
              </w:rPr>
            </w:pPr>
            <w:r w:rsidRPr="00F8241B">
              <w:rPr>
                <w:rFonts w:ascii="Avenir Next" w:hAnsi="Avenir Next" w:cs="Arial"/>
                <w:sz w:val="22"/>
                <w:szCs w:val="22"/>
                <w:highlight w:val="yellow"/>
                <w:lang w:val="en-GB"/>
              </w:rPr>
              <w:t xml:space="preserve">Certain jurisdictions have setup a centre to help the </w:t>
            </w:r>
            <w:r w:rsidRPr="00F8241B">
              <w:rPr>
                <w:rFonts w:ascii="Avenir Next" w:hAnsi="Avenir Next" w:cs="Arial"/>
                <w:sz w:val="22"/>
                <w:szCs w:val="22"/>
                <w:highlight w:val="yellow"/>
                <w:lang w:val="en-GB"/>
              </w:rPr>
              <w:lastRenderedPageBreak/>
              <w:t>individuals with formal repayment plans.</w:t>
            </w:r>
          </w:p>
        </w:tc>
        <w:tc>
          <w:tcPr>
            <w:tcW w:w="2815" w:type="dxa"/>
          </w:tcPr>
          <w:p w14:paraId="4479FBAF" w14:textId="5ABB8A96" w:rsidR="00272251" w:rsidRPr="00F8241B" w:rsidRDefault="00E42061" w:rsidP="00C053F7">
            <w:pPr>
              <w:jc w:val="both"/>
              <w:rPr>
                <w:rFonts w:ascii="Avenir Next" w:hAnsi="Avenir Next" w:cs="Arial"/>
                <w:sz w:val="22"/>
                <w:szCs w:val="22"/>
                <w:highlight w:val="yellow"/>
                <w:lang w:val="en-GB"/>
              </w:rPr>
            </w:pPr>
            <w:r w:rsidRPr="00F8241B">
              <w:rPr>
                <w:rFonts w:ascii="Avenir Next" w:hAnsi="Avenir Next" w:cs="Arial"/>
                <w:sz w:val="22"/>
                <w:szCs w:val="22"/>
                <w:highlight w:val="yellow"/>
                <w:lang w:val="en-GB"/>
              </w:rPr>
              <w:lastRenderedPageBreak/>
              <w:t xml:space="preserve">A practitioner tends to be involved with the debtor or the affected creditors on a </w:t>
            </w:r>
            <w:r w:rsidR="009D7208" w:rsidRPr="00F8241B">
              <w:rPr>
                <w:rFonts w:ascii="Avenir Next" w:hAnsi="Avenir Next" w:cs="Arial"/>
                <w:sz w:val="22"/>
                <w:szCs w:val="22"/>
                <w:highlight w:val="yellow"/>
                <w:lang w:val="en-GB"/>
              </w:rPr>
              <w:lastRenderedPageBreak/>
              <w:t>solution according to the formal insolvency procedures.</w:t>
            </w:r>
          </w:p>
        </w:tc>
      </w:tr>
    </w:tbl>
    <w:p w14:paraId="4A637290" w14:textId="27F09C3C"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7940D274" w14:textId="14FF9E78" w:rsidR="00DF75F8" w:rsidRPr="00F8241B" w:rsidRDefault="009B6372" w:rsidP="00C053F7">
      <w:pPr>
        <w:jc w:val="both"/>
        <w:rPr>
          <w:rFonts w:ascii="Avenir Next" w:hAnsi="Avenir Next" w:cs="Arial"/>
          <w:sz w:val="22"/>
          <w:szCs w:val="22"/>
          <w:highlight w:val="yellow"/>
          <w:lang w:val="en-GB"/>
        </w:rPr>
      </w:pPr>
      <w:r w:rsidRPr="00F8241B">
        <w:rPr>
          <w:rFonts w:ascii="Avenir Next" w:hAnsi="Avenir Next" w:cs="Arial"/>
          <w:sz w:val="22"/>
          <w:szCs w:val="22"/>
          <w:highlight w:val="yellow"/>
          <w:lang w:val="en-GB"/>
        </w:rPr>
        <w:t xml:space="preserve">The legal systems, rules, </w:t>
      </w:r>
      <w:proofErr w:type="gramStart"/>
      <w:r w:rsidRPr="00F8241B">
        <w:rPr>
          <w:rFonts w:ascii="Avenir Next" w:hAnsi="Avenir Next" w:cs="Arial"/>
          <w:sz w:val="22"/>
          <w:szCs w:val="22"/>
          <w:highlight w:val="yellow"/>
          <w:lang w:val="en-GB"/>
        </w:rPr>
        <w:t>procedures</w:t>
      </w:r>
      <w:proofErr w:type="gramEnd"/>
      <w:r w:rsidRPr="00F8241B">
        <w:rPr>
          <w:rFonts w:ascii="Avenir Next" w:hAnsi="Avenir Next" w:cs="Arial"/>
          <w:sz w:val="22"/>
          <w:szCs w:val="22"/>
          <w:highlight w:val="yellow"/>
          <w:lang w:val="en-GB"/>
        </w:rPr>
        <w:t xml:space="preserve"> and principles regarding the insolvency are unique for every country</w:t>
      </w:r>
      <w:r w:rsidR="00D634B2" w:rsidRPr="00F8241B">
        <w:rPr>
          <w:rFonts w:ascii="Avenir Next" w:hAnsi="Avenir Next" w:cs="Arial"/>
          <w:sz w:val="22"/>
          <w:szCs w:val="22"/>
          <w:highlight w:val="yellow"/>
          <w:lang w:val="en-GB"/>
        </w:rPr>
        <w:t>. The differences may lead to confusion and uncertainty.</w:t>
      </w:r>
    </w:p>
    <w:p w14:paraId="1D289B71" w14:textId="77777777" w:rsidR="00D634B2" w:rsidRPr="00F8241B" w:rsidRDefault="00D634B2" w:rsidP="00C053F7">
      <w:pPr>
        <w:jc w:val="both"/>
        <w:rPr>
          <w:rFonts w:ascii="Avenir Next" w:hAnsi="Avenir Next" w:cs="Arial"/>
          <w:sz w:val="22"/>
          <w:szCs w:val="22"/>
          <w:highlight w:val="yellow"/>
          <w:lang w:val="en-GB"/>
        </w:rPr>
      </w:pPr>
    </w:p>
    <w:p w14:paraId="60EDE672" w14:textId="6013CC63" w:rsidR="00D634B2" w:rsidRPr="00F8241B" w:rsidRDefault="00D634B2" w:rsidP="00C053F7">
      <w:pPr>
        <w:jc w:val="both"/>
        <w:rPr>
          <w:rFonts w:ascii="Avenir Next" w:hAnsi="Avenir Next" w:cs="Arial"/>
          <w:sz w:val="22"/>
          <w:szCs w:val="22"/>
          <w:highlight w:val="yellow"/>
          <w:lang w:val="en-GB"/>
        </w:rPr>
      </w:pPr>
      <w:r w:rsidRPr="00F8241B">
        <w:rPr>
          <w:rFonts w:ascii="Avenir Next" w:hAnsi="Avenir Next" w:cs="Arial"/>
          <w:sz w:val="22"/>
          <w:szCs w:val="22"/>
          <w:highlight w:val="yellow"/>
          <w:lang w:val="en-GB"/>
        </w:rPr>
        <w:t xml:space="preserve">Complexity in determining which country’s legal system holds jurisdiction over cross-border insolvency matter. Claims from different countries may compete and result in legal hearings on deciding where the proceedings should be held. These tend to be time-consuming and adding to legal </w:t>
      </w:r>
      <w:proofErr w:type="gramStart"/>
      <w:r w:rsidRPr="00F8241B">
        <w:rPr>
          <w:rFonts w:ascii="Avenir Next" w:hAnsi="Avenir Next" w:cs="Arial"/>
          <w:sz w:val="22"/>
          <w:szCs w:val="22"/>
          <w:highlight w:val="yellow"/>
          <w:lang w:val="en-GB"/>
        </w:rPr>
        <w:t>costs</w:t>
      </w:r>
      <w:proofErr w:type="gramEnd"/>
    </w:p>
    <w:p w14:paraId="51868D91" w14:textId="77777777" w:rsidR="00D634B2" w:rsidRPr="00F8241B" w:rsidRDefault="00D634B2" w:rsidP="00C053F7">
      <w:pPr>
        <w:jc w:val="both"/>
        <w:rPr>
          <w:rFonts w:ascii="Avenir Next" w:hAnsi="Avenir Next" w:cs="Arial"/>
          <w:sz w:val="22"/>
          <w:szCs w:val="22"/>
          <w:highlight w:val="yellow"/>
          <w:lang w:val="en-GB"/>
        </w:rPr>
      </w:pPr>
    </w:p>
    <w:p w14:paraId="29842A16" w14:textId="3FFA95BD" w:rsidR="00D634B2" w:rsidRPr="00F8241B" w:rsidRDefault="00D634B2" w:rsidP="00C053F7">
      <w:pPr>
        <w:jc w:val="both"/>
        <w:rPr>
          <w:rFonts w:ascii="Avenir Next" w:hAnsi="Avenir Next" w:cs="Arial"/>
          <w:sz w:val="22"/>
          <w:szCs w:val="22"/>
          <w:highlight w:val="yellow"/>
          <w:lang w:val="en-GB"/>
        </w:rPr>
      </w:pPr>
      <w:r w:rsidRPr="00F8241B">
        <w:rPr>
          <w:rFonts w:ascii="Avenir Next" w:hAnsi="Avenir Next" w:cs="Arial"/>
          <w:sz w:val="22"/>
          <w:szCs w:val="22"/>
          <w:highlight w:val="yellow"/>
          <w:lang w:val="en-GB"/>
        </w:rPr>
        <w:t>There is also the recognition concern. An insolvency order issued by a court in one country may not be recognised in another jurisdiction. The consistent framework for recognition and enforcement would help this and making the process more efficient.</w:t>
      </w:r>
    </w:p>
    <w:p w14:paraId="79A83856" w14:textId="77777777" w:rsidR="00D634B2" w:rsidRPr="00F8241B" w:rsidRDefault="00D634B2" w:rsidP="00C053F7">
      <w:pPr>
        <w:jc w:val="both"/>
        <w:rPr>
          <w:rFonts w:ascii="Avenir Next" w:hAnsi="Avenir Next" w:cs="Arial"/>
          <w:sz w:val="22"/>
          <w:szCs w:val="22"/>
          <w:highlight w:val="yellow"/>
          <w:lang w:val="en-GB"/>
        </w:rPr>
      </w:pPr>
    </w:p>
    <w:p w14:paraId="48EE3E3C" w14:textId="74868748" w:rsidR="00D634B2" w:rsidRPr="00F8241B" w:rsidRDefault="00EA40FF" w:rsidP="00C053F7">
      <w:pPr>
        <w:jc w:val="both"/>
        <w:rPr>
          <w:rFonts w:ascii="Avenir Next" w:hAnsi="Avenir Next" w:cs="Arial"/>
          <w:sz w:val="22"/>
          <w:szCs w:val="22"/>
          <w:highlight w:val="yellow"/>
          <w:lang w:val="en-GB"/>
        </w:rPr>
      </w:pPr>
      <w:r w:rsidRPr="00F8241B">
        <w:rPr>
          <w:rFonts w:ascii="Avenir Next" w:hAnsi="Avenir Next" w:cs="Arial"/>
          <w:sz w:val="22"/>
          <w:szCs w:val="22"/>
          <w:highlight w:val="yellow"/>
          <w:lang w:val="en-GB"/>
        </w:rPr>
        <w:t>The qualifications and responsibilities of insolvency practitioners may differ from each other in every jurisdiction. This may result in disagreements on the appointment and duties of practitioners in cross-border proceedings.</w:t>
      </w:r>
    </w:p>
    <w:p w14:paraId="006DF9F9" w14:textId="77777777" w:rsidR="00EA40FF" w:rsidRPr="00F8241B" w:rsidRDefault="00EA40FF" w:rsidP="00C053F7">
      <w:pPr>
        <w:jc w:val="both"/>
        <w:rPr>
          <w:rFonts w:ascii="Avenir Next" w:hAnsi="Avenir Next" w:cs="Arial"/>
          <w:sz w:val="22"/>
          <w:szCs w:val="22"/>
          <w:highlight w:val="yellow"/>
          <w:lang w:val="en-GB"/>
        </w:rPr>
      </w:pPr>
    </w:p>
    <w:p w14:paraId="35D8E78F" w14:textId="73DB1120" w:rsidR="00EA40FF" w:rsidRPr="00F8241B" w:rsidRDefault="0068358E" w:rsidP="00C053F7">
      <w:pPr>
        <w:jc w:val="both"/>
        <w:rPr>
          <w:rFonts w:ascii="Avenir Next" w:hAnsi="Avenir Next" w:cs="Arial"/>
          <w:sz w:val="22"/>
          <w:szCs w:val="22"/>
          <w:lang w:val="en-GB"/>
        </w:rPr>
      </w:pPr>
      <w:r w:rsidRPr="00F8241B">
        <w:rPr>
          <w:rFonts w:ascii="Avenir Next" w:hAnsi="Avenir Next" w:cs="Arial"/>
          <w:sz w:val="22"/>
          <w:szCs w:val="22"/>
          <w:highlight w:val="yellow"/>
          <w:lang w:val="en-GB"/>
        </w:rPr>
        <w:t>Regulatory reporting obligations and requirements may differ among the countries. This complicates the sharing of information and increase compliance cost.</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15E27AB7" w14:textId="218E7696" w:rsidR="00120C4B" w:rsidRPr="002575F8" w:rsidRDefault="002642E9" w:rsidP="00C053F7">
      <w:pPr>
        <w:jc w:val="both"/>
        <w:rPr>
          <w:rFonts w:ascii="Avenir Next" w:hAnsi="Avenir Next" w:cs="Arial"/>
          <w:sz w:val="22"/>
          <w:szCs w:val="22"/>
          <w:highlight w:val="yellow"/>
          <w:lang w:val="en-GB"/>
        </w:rPr>
      </w:pPr>
      <w:r w:rsidRPr="002575F8">
        <w:rPr>
          <w:rFonts w:ascii="Avenir Next" w:hAnsi="Avenir Next" w:cs="Arial"/>
          <w:sz w:val="22"/>
          <w:szCs w:val="22"/>
          <w:highlight w:val="yellow"/>
          <w:lang w:val="en-GB"/>
        </w:rPr>
        <w:t xml:space="preserve">One of the apparent ones was </w:t>
      </w:r>
      <w:r w:rsidR="00394E29" w:rsidRPr="002575F8">
        <w:rPr>
          <w:rFonts w:ascii="Avenir Next" w:hAnsi="Avenir Next" w:cs="Arial"/>
          <w:sz w:val="22"/>
          <w:szCs w:val="22"/>
          <w:highlight w:val="yellow"/>
          <w:lang w:val="en-GB"/>
        </w:rPr>
        <w:t xml:space="preserve">UNCITRAL </w:t>
      </w:r>
      <w:r w:rsidRPr="002575F8">
        <w:rPr>
          <w:rFonts w:ascii="Avenir Next" w:hAnsi="Avenir Next" w:cs="Arial"/>
          <w:sz w:val="22"/>
          <w:szCs w:val="22"/>
          <w:highlight w:val="yellow"/>
          <w:lang w:val="en-GB"/>
        </w:rPr>
        <w:t xml:space="preserve">which </w:t>
      </w:r>
      <w:r w:rsidR="00394E29" w:rsidRPr="002575F8">
        <w:rPr>
          <w:rFonts w:ascii="Avenir Next" w:hAnsi="Avenir Next" w:cs="Arial"/>
          <w:sz w:val="22"/>
          <w:szCs w:val="22"/>
          <w:highlight w:val="yellow"/>
          <w:lang w:val="en-GB"/>
        </w:rPr>
        <w:t xml:space="preserve">has </w:t>
      </w:r>
      <w:proofErr w:type="spellStart"/>
      <w:r w:rsidR="00394E29" w:rsidRPr="002575F8">
        <w:rPr>
          <w:rFonts w:ascii="Avenir Next" w:hAnsi="Avenir Next" w:cs="Arial"/>
          <w:sz w:val="22"/>
          <w:szCs w:val="22"/>
          <w:highlight w:val="yellow"/>
          <w:lang w:val="en-GB"/>
        </w:rPr>
        <w:t>came</w:t>
      </w:r>
      <w:proofErr w:type="spellEnd"/>
      <w:r w:rsidR="00394E29" w:rsidRPr="002575F8">
        <w:rPr>
          <w:rFonts w:ascii="Avenir Next" w:hAnsi="Avenir Next" w:cs="Arial"/>
          <w:sz w:val="22"/>
          <w:szCs w:val="22"/>
          <w:highlight w:val="yellow"/>
          <w:lang w:val="en-GB"/>
        </w:rPr>
        <w:t xml:space="preserve"> up with various framework, </w:t>
      </w:r>
      <w:proofErr w:type="gramStart"/>
      <w:r w:rsidR="00394E29" w:rsidRPr="002575F8">
        <w:rPr>
          <w:rFonts w:ascii="Avenir Next" w:hAnsi="Avenir Next" w:cs="Arial"/>
          <w:sz w:val="22"/>
          <w:szCs w:val="22"/>
          <w:highlight w:val="yellow"/>
          <w:lang w:val="en-GB"/>
        </w:rPr>
        <w:t>guidance</w:t>
      </w:r>
      <w:proofErr w:type="gramEnd"/>
      <w:r w:rsidR="00394E29" w:rsidRPr="002575F8">
        <w:rPr>
          <w:rFonts w:ascii="Avenir Next" w:hAnsi="Avenir Next" w:cs="Arial"/>
          <w:sz w:val="22"/>
          <w:szCs w:val="22"/>
          <w:highlight w:val="yellow"/>
          <w:lang w:val="en-GB"/>
        </w:rPr>
        <w:t xml:space="preserve"> and recommendations </w:t>
      </w:r>
      <w:r w:rsidR="00120C4B" w:rsidRPr="002575F8">
        <w:rPr>
          <w:rFonts w:ascii="Avenir Next" w:hAnsi="Avenir Next" w:cs="Arial"/>
          <w:sz w:val="22"/>
          <w:szCs w:val="22"/>
          <w:highlight w:val="yellow"/>
          <w:lang w:val="en-GB"/>
        </w:rPr>
        <w:t>such as:</w:t>
      </w:r>
    </w:p>
    <w:p w14:paraId="69B4E45C" w14:textId="0F4D16BF" w:rsidR="00120C4B" w:rsidRPr="002575F8" w:rsidRDefault="00394E29" w:rsidP="00120C4B">
      <w:pPr>
        <w:pStyle w:val="ListParagraph"/>
        <w:numPr>
          <w:ilvl w:val="0"/>
          <w:numId w:val="24"/>
        </w:numPr>
        <w:jc w:val="both"/>
        <w:rPr>
          <w:rFonts w:ascii="Avenir Next" w:hAnsi="Avenir Next" w:cs="Arial"/>
          <w:sz w:val="22"/>
          <w:szCs w:val="22"/>
          <w:highlight w:val="yellow"/>
          <w:lang w:val="en-GB"/>
        </w:rPr>
      </w:pPr>
      <w:r w:rsidRPr="002575F8">
        <w:rPr>
          <w:rFonts w:ascii="Avenir Next" w:hAnsi="Avenir Next" w:cs="Arial"/>
          <w:sz w:val="22"/>
          <w:szCs w:val="22"/>
          <w:highlight w:val="yellow"/>
          <w:lang w:val="en-GB"/>
        </w:rPr>
        <w:t>UNCITRAL Model Law on Cross-Border Insolvency in 1997</w:t>
      </w:r>
      <w:r w:rsidR="00EB1896" w:rsidRPr="002575F8">
        <w:rPr>
          <w:rFonts w:ascii="Avenir Next" w:hAnsi="Avenir Next" w:cs="Arial"/>
          <w:sz w:val="22"/>
          <w:szCs w:val="22"/>
          <w:highlight w:val="yellow"/>
          <w:lang w:val="en-GB"/>
        </w:rPr>
        <w:t xml:space="preserve"> on recognition and enforcement of foreign insolvency </w:t>
      </w:r>
      <w:proofErr w:type="gramStart"/>
      <w:r w:rsidR="00EB1896" w:rsidRPr="002575F8">
        <w:rPr>
          <w:rFonts w:ascii="Avenir Next" w:hAnsi="Avenir Next" w:cs="Arial"/>
          <w:sz w:val="22"/>
          <w:szCs w:val="22"/>
          <w:highlight w:val="yellow"/>
          <w:lang w:val="en-GB"/>
        </w:rPr>
        <w:t>proceedings;</w:t>
      </w:r>
      <w:proofErr w:type="gramEnd"/>
    </w:p>
    <w:p w14:paraId="69DB2F97" w14:textId="04178F77" w:rsidR="00120C4B" w:rsidRPr="002575F8" w:rsidRDefault="00394E29" w:rsidP="00120C4B">
      <w:pPr>
        <w:pStyle w:val="ListParagraph"/>
        <w:numPr>
          <w:ilvl w:val="0"/>
          <w:numId w:val="24"/>
        </w:numPr>
        <w:jc w:val="both"/>
        <w:rPr>
          <w:rFonts w:ascii="Avenir Next" w:hAnsi="Avenir Next" w:cs="Arial"/>
          <w:sz w:val="22"/>
          <w:szCs w:val="22"/>
          <w:highlight w:val="yellow"/>
          <w:lang w:val="en-GB"/>
        </w:rPr>
      </w:pPr>
      <w:r w:rsidRPr="002575F8">
        <w:rPr>
          <w:rFonts w:ascii="Avenir Next" w:hAnsi="Avenir Next" w:cs="Arial"/>
          <w:sz w:val="22"/>
          <w:szCs w:val="22"/>
          <w:highlight w:val="yellow"/>
          <w:lang w:val="en-GB"/>
        </w:rPr>
        <w:t>UNCITRAL Legislative Guide on Insolvency Law in 2005</w:t>
      </w:r>
      <w:r w:rsidR="00EB1896" w:rsidRPr="002575F8">
        <w:rPr>
          <w:rFonts w:ascii="Avenir Next" w:hAnsi="Avenir Next" w:cs="Arial"/>
          <w:sz w:val="22"/>
          <w:szCs w:val="22"/>
          <w:highlight w:val="yellow"/>
          <w:lang w:val="en-GB"/>
        </w:rPr>
        <w:t xml:space="preserve"> on modernizing States’ domestic insolvency laws by promoting best </w:t>
      </w:r>
      <w:proofErr w:type="gramStart"/>
      <w:r w:rsidR="00EB1896" w:rsidRPr="002575F8">
        <w:rPr>
          <w:rFonts w:ascii="Avenir Next" w:hAnsi="Avenir Next" w:cs="Arial"/>
          <w:sz w:val="22"/>
          <w:szCs w:val="22"/>
          <w:highlight w:val="yellow"/>
          <w:lang w:val="en-GB"/>
        </w:rPr>
        <w:t>practices;</w:t>
      </w:r>
      <w:proofErr w:type="gramEnd"/>
    </w:p>
    <w:p w14:paraId="40557943" w14:textId="261E939D" w:rsidR="00120C4B" w:rsidRPr="002575F8" w:rsidRDefault="00394E29" w:rsidP="00120C4B">
      <w:pPr>
        <w:pStyle w:val="ListParagraph"/>
        <w:numPr>
          <w:ilvl w:val="0"/>
          <w:numId w:val="24"/>
        </w:numPr>
        <w:jc w:val="both"/>
        <w:rPr>
          <w:rFonts w:ascii="Avenir Next" w:hAnsi="Avenir Next" w:cs="Arial"/>
          <w:sz w:val="22"/>
          <w:szCs w:val="22"/>
          <w:highlight w:val="yellow"/>
          <w:lang w:val="en-GB"/>
        </w:rPr>
      </w:pPr>
      <w:r w:rsidRPr="002575F8">
        <w:rPr>
          <w:rFonts w:ascii="Avenir Next" w:hAnsi="Avenir Next" w:cs="Arial"/>
          <w:sz w:val="22"/>
          <w:szCs w:val="22"/>
          <w:highlight w:val="yellow"/>
          <w:lang w:val="en-GB"/>
        </w:rPr>
        <w:t>UNCITRAL Work on Enterprise Group Insolvency</w:t>
      </w:r>
      <w:r w:rsidR="00EB1896" w:rsidRPr="002575F8">
        <w:rPr>
          <w:rFonts w:ascii="Avenir Next" w:hAnsi="Avenir Next" w:cs="Arial"/>
          <w:sz w:val="22"/>
          <w:szCs w:val="22"/>
          <w:highlight w:val="yellow"/>
          <w:lang w:val="en-GB"/>
        </w:rPr>
        <w:t xml:space="preserve"> exploring the challenges in a cross-border context.</w:t>
      </w:r>
      <w:r w:rsidR="009B6B29" w:rsidRPr="002575F8">
        <w:rPr>
          <w:rFonts w:ascii="Avenir Next" w:hAnsi="Avenir Next" w:cs="Arial"/>
          <w:sz w:val="22"/>
          <w:szCs w:val="22"/>
          <w:highlight w:val="yellow"/>
          <w:lang w:val="en-GB"/>
        </w:rPr>
        <w:t xml:space="preserve"> </w:t>
      </w:r>
    </w:p>
    <w:p w14:paraId="7AEB26F2" w14:textId="77777777" w:rsidR="002642E9" w:rsidRPr="002575F8" w:rsidRDefault="002642E9" w:rsidP="00120C4B">
      <w:pPr>
        <w:pStyle w:val="ListParagraph"/>
        <w:numPr>
          <w:ilvl w:val="0"/>
          <w:numId w:val="24"/>
        </w:numPr>
        <w:jc w:val="both"/>
        <w:rPr>
          <w:rFonts w:ascii="Avenir Next" w:hAnsi="Avenir Next" w:cs="Arial"/>
          <w:sz w:val="22"/>
          <w:szCs w:val="22"/>
          <w:highlight w:val="yellow"/>
          <w:lang w:val="en-GB"/>
        </w:rPr>
      </w:pPr>
    </w:p>
    <w:p w14:paraId="4E83D7AF" w14:textId="5DC41E46" w:rsidR="00DF75F8" w:rsidRPr="00EB1896" w:rsidRDefault="002642E9" w:rsidP="00EB1896">
      <w:pPr>
        <w:jc w:val="both"/>
        <w:rPr>
          <w:rFonts w:ascii="Avenir Next" w:hAnsi="Avenir Next" w:cs="Arial"/>
          <w:sz w:val="22"/>
          <w:szCs w:val="22"/>
          <w:lang w:val="en-GB"/>
        </w:rPr>
      </w:pPr>
      <w:r w:rsidRPr="002575F8">
        <w:rPr>
          <w:rFonts w:ascii="Avenir Next" w:hAnsi="Avenir Next" w:cs="Arial"/>
          <w:sz w:val="22"/>
          <w:szCs w:val="22"/>
          <w:highlight w:val="yellow"/>
          <w:lang w:val="en-GB"/>
        </w:rPr>
        <w:t xml:space="preserve">The impact shows itself when </w:t>
      </w:r>
      <w:r w:rsidR="00FD7510" w:rsidRPr="002575F8">
        <w:rPr>
          <w:rFonts w:ascii="Avenir Next" w:hAnsi="Avenir Next" w:cs="Arial"/>
          <w:sz w:val="22"/>
          <w:szCs w:val="22"/>
          <w:highlight w:val="yellow"/>
          <w:lang w:val="en-GB"/>
        </w:rPr>
        <w:t xml:space="preserve">UNCITRAL was </w:t>
      </w:r>
      <w:r w:rsidRPr="002575F8">
        <w:rPr>
          <w:rFonts w:ascii="Avenir Next" w:hAnsi="Avenir Next" w:cs="Arial"/>
          <w:sz w:val="22"/>
          <w:szCs w:val="22"/>
          <w:highlight w:val="yellow"/>
          <w:lang w:val="en-GB"/>
        </w:rPr>
        <w:t>originally composed of 29 States and expanded to 70 members in 2022</w:t>
      </w:r>
      <w:r w:rsidR="00FD7510" w:rsidRPr="002575F8">
        <w:rPr>
          <w:rFonts w:ascii="Avenir Next" w:hAnsi="Avenir Next" w:cs="Arial"/>
          <w:sz w:val="22"/>
          <w:szCs w:val="22"/>
          <w:highlight w:val="yellow"/>
          <w:lang w:val="en-GB"/>
        </w:rPr>
        <w:t xml:space="preserve"> from assisting to build the foundation and understanding of the </w:t>
      </w:r>
      <w:r w:rsidR="00F95C70" w:rsidRPr="002575F8">
        <w:rPr>
          <w:rFonts w:ascii="Avenir Next" w:hAnsi="Avenir Next" w:cs="Arial"/>
          <w:sz w:val="22"/>
          <w:szCs w:val="22"/>
          <w:highlight w:val="yellow"/>
          <w:lang w:val="en-GB"/>
        </w:rPr>
        <w:t>subject, challenges and promoting discussions and concessions</w:t>
      </w:r>
      <w:r w:rsidR="002575F8" w:rsidRPr="002575F8">
        <w:rPr>
          <w:rFonts w:ascii="Avenir Next" w:hAnsi="Avenir Next" w:cs="Arial"/>
          <w:sz w:val="22"/>
          <w:szCs w:val="22"/>
          <w:highlight w:val="yellow"/>
          <w:lang w:val="en-GB"/>
        </w:rPr>
        <w:t>. These would help streamline and enforce a more efficient process which in turns reducing the legal cost and time for the affected stakeholders to finally gain assurance and a more fair and reasonable judgements/outcomes.</w:t>
      </w:r>
    </w:p>
    <w:p w14:paraId="4AE7EA78" w14:textId="24C76947" w:rsidR="007D7C92" w:rsidRPr="00827D56" w:rsidRDefault="007D7C92" w:rsidP="00C053F7">
      <w:pPr>
        <w:ind w:left="720"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w:t>
      </w:r>
      <w:proofErr w:type="gramStart"/>
      <w:r w:rsidRPr="00827D56">
        <w:rPr>
          <w:rFonts w:ascii="Avenir Next" w:hAnsi="Avenir Next" w:cs="Arial"/>
          <w:sz w:val="22"/>
          <w:szCs w:val="22"/>
          <w:lang w:val="en-GB"/>
        </w:rPr>
        <w:t>enter into</w:t>
      </w:r>
      <w:proofErr w:type="gramEnd"/>
      <w:r w:rsidRPr="00827D56">
        <w:rPr>
          <w:rFonts w:ascii="Avenir Next" w:hAnsi="Avenir Next" w:cs="Arial"/>
          <w:sz w:val="22"/>
          <w:szCs w:val="22"/>
          <w:lang w:val="en-GB"/>
        </w:rPr>
        <w:t xml:space="preserve">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w:t>
      </w:r>
      <w:proofErr w:type="gramStart"/>
      <w:r w:rsidRPr="00827D56">
        <w:rPr>
          <w:rFonts w:ascii="Avenir Next" w:hAnsi="Avenir Next" w:cs="Arial"/>
          <w:sz w:val="22"/>
          <w:szCs w:val="22"/>
          <w:lang w:val="en-GB"/>
        </w:rPr>
        <w:t>Erewhon</w:t>
      </w:r>
      <w:proofErr w:type="gramEnd"/>
      <w:r w:rsidRPr="00827D56">
        <w:rPr>
          <w:rFonts w:ascii="Avenir Next" w:hAnsi="Avenir Next" w:cs="Arial"/>
          <w:sz w:val="22"/>
          <w:szCs w:val="22"/>
          <w:lang w:val="en-GB"/>
        </w:rPr>
        <w:t xml:space="preserve">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781C90F8" w14:textId="504D6D69"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707CF688" w14:textId="137EE8A0" w:rsidR="002B70F9" w:rsidRPr="007D38E9" w:rsidRDefault="002B70F9" w:rsidP="007D38E9">
      <w:pPr>
        <w:pStyle w:val="ListParagraph"/>
        <w:jc w:val="both"/>
        <w:rPr>
          <w:rFonts w:ascii="Avenir Next" w:hAnsi="Avenir Next" w:cs="Arial"/>
          <w:sz w:val="22"/>
          <w:szCs w:val="22"/>
          <w:highlight w:val="yellow"/>
          <w:lang w:val="en-GB"/>
        </w:rPr>
      </w:pPr>
      <w:r w:rsidRPr="007D38E9">
        <w:rPr>
          <w:rFonts w:ascii="Avenir Next" w:hAnsi="Avenir Next" w:cs="Arial"/>
          <w:sz w:val="22"/>
          <w:szCs w:val="22"/>
          <w:highlight w:val="yellow"/>
          <w:lang w:val="en-GB"/>
        </w:rPr>
        <w:t>As the Act of Utopia adopted the UNCITRAL Model Law, the Utopian court may recognise the Erewhon liquidator’s appointment and actions.</w:t>
      </w:r>
    </w:p>
    <w:p w14:paraId="6370349A" w14:textId="77777777" w:rsidR="007D38E9" w:rsidRDefault="007D38E9" w:rsidP="007D38E9">
      <w:pPr>
        <w:pStyle w:val="ListParagraph"/>
        <w:jc w:val="both"/>
        <w:rPr>
          <w:rFonts w:ascii="Avenir Next" w:hAnsi="Avenir Next" w:cs="Arial"/>
          <w:sz w:val="22"/>
          <w:szCs w:val="22"/>
          <w:highlight w:val="yellow"/>
          <w:lang w:val="en-GB"/>
        </w:rPr>
      </w:pPr>
    </w:p>
    <w:p w14:paraId="325DBFE4" w14:textId="1A30F693" w:rsidR="00906BB9" w:rsidRPr="007D38E9" w:rsidRDefault="00906BB9" w:rsidP="007D38E9">
      <w:pPr>
        <w:pStyle w:val="ListParagraph"/>
        <w:jc w:val="both"/>
        <w:rPr>
          <w:rFonts w:ascii="Avenir Next" w:hAnsi="Avenir Next" w:cs="Arial"/>
          <w:sz w:val="22"/>
          <w:szCs w:val="22"/>
          <w:highlight w:val="yellow"/>
          <w:lang w:val="en-GB"/>
        </w:rPr>
      </w:pPr>
      <w:r w:rsidRPr="007D38E9">
        <w:rPr>
          <w:rFonts w:ascii="Avenir Next" w:hAnsi="Avenir Next" w:cs="Arial"/>
          <w:sz w:val="22"/>
          <w:szCs w:val="22"/>
          <w:highlight w:val="yellow"/>
          <w:lang w:val="en-GB"/>
        </w:rPr>
        <w:t xml:space="preserve">The Act may grant the Utopian court the authority to issue a stay or discontinuation order for local proceedings that may affect the rights or interests of a foreign insolvency representative. </w:t>
      </w:r>
      <w:r w:rsidR="00AE4781" w:rsidRPr="007D38E9">
        <w:rPr>
          <w:rFonts w:ascii="Avenir Next" w:hAnsi="Avenir Next" w:cs="Arial"/>
          <w:sz w:val="22"/>
          <w:szCs w:val="22"/>
          <w:highlight w:val="yellow"/>
          <w:lang w:val="en-GB"/>
        </w:rPr>
        <w:t>Erewhon liquidator may request the Utopian court to issue a stay order to halt Apex’s court action against Nadir in Utopia as it could interfere with the collection and distribution of assets.</w:t>
      </w:r>
    </w:p>
    <w:p w14:paraId="01DA3E15" w14:textId="77777777" w:rsidR="007D38E9" w:rsidRDefault="007D38E9" w:rsidP="007D38E9">
      <w:pPr>
        <w:pStyle w:val="ListParagraph"/>
        <w:jc w:val="both"/>
        <w:rPr>
          <w:rFonts w:ascii="Avenir Next" w:hAnsi="Avenir Next" w:cs="Arial"/>
          <w:sz w:val="22"/>
          <w:szCs w:val="22"/>
          <w:highlight w:val="yellow"/>
          <w:lang w:val="en-GB"/>
        </w:rPr>
      </w:pPr>
    </w:p>
    <w:p w14:paraId="0D37BBBB" w14:textId="629ED18F" w:rsidR="002F75A3" w:rsidRPr="007D38E9" w:rsidRDefault="007B35AA" w:rsidP="007D38E9">
      <w:pPr>
        <w:pStyle w:val="ListParagraph"/>
        <w:jc w:val="both"/>
        <w:rPr>
          <w:rFonts w:ascii="Avenir Next" w:hAnsi="Avenir Next" w:cs="Arial"/>
          <w:sz w:val="22"/>
          <w:szCs w:val="22"/>
          <w:highlight w:val="yellow"/>
          <w:lang w:val="en-GB"/>
        </w:rPr>
      </w:pPr>
      <w:r w:rsidRPr="007D38E9">
        <w:rPr>
          <w:rFonts w:ascii="Avenir Next" w:hAnsi="Avenir Next" w:cs="Arial"/>
          <w:sz w:val="22"/>
          <w:szCs w:val="22"/>
          <w:highlight w:val="yellow"/>
          <w:lang w:val="en-GB"/>
        </w:rPr>
        <w:t xml:space="preserve">The Act encourages cooperation and communication between courts and insolvency representatives in different countries. The </w:t>
      </w:r>
      <w:r w:rsidR="00795AA1" w:rsidRPr="007D38E9">
        <w:rPr>
          <w:rFonts w:ascii="Avenir Next" w:hAnsi="Avenir Next" w:cs="Arial"/>
          <w:sz w:val="22"/>
          <w:szCs w:val="22"/>
          <w:highlight w:val="yellow"/>
          <w:lang w:val="en-GB"/>
        </w:rPr>
        <w:t>Erewhon liquidator can use the framework to engage with the Utopian court and Utopian insolvency representativ</w:t>
      </w:r>
      <w:r w:rsidR="00C2538F" w:rsidRPr="007D38E9">
        <w:rPr>
          <w:rFonts w:ascii="Avenir Next" w:hAnsi="Avenir Next" w:cs="Arial"/>
          <w:sz w:val="22"/>
          <w:szCs w:val="22"/>
          <w:highlight w:val="yellow"/>
          <w:lang w:val="en-GB"/>
        </w:rPr>
        <w:t>e by initiating contact and clearly state the objectives and concerns to the Apex court action. Then request the Utopian court to consider issuing a stay or discontinuation order to temporarily halt the Utopian proceedings and facilitate the coordination of actions between jurisdictions in addition to providing any necessary documentation or evidence to support the request.</w:t>
      </w:r>
    </w:p>
    <w:p w14:paraId="21F26BEC" w14:textId="77777777" w:rsidR="007D38E9" w:rsidRDefault="007D38E9" w:rsidP="007D38E9">
      <w:pPr>
        <w:pStyle w:val="ListParagraph"/>
        <w:jc w:val="both"/>
        <w:rPr>
          <w:rFonts w:ascii="Avenir Next" w:hAnsi="Avenir Next" w:cs="Arial"/>
          <w:sz w:val="22"/>
          <w:szCs w:val="22"/>
          <w:highlight w:val="yellow"/>
          <w:lang w:val="en-GB"/>
        </w:rPr>
      </w:pPr>
    </w:p>
    <w:p w14:paraId="14E0C873" w14:textId="2C8C6B05" w:rsidR="007D38E9" w:rsidRPr="007D38E9" w:rsidRDefault="004B3959" w:rsidP="007D38E9">
      <w:pPr>
        <w:pStyle w:val="ListParagraph"/>
        <w:jc w:val="both"/>
        <w:rPr>
          <w:rFonts w:ascii="Avenir Next" w:hAnsi="Avenir Next" w:cs="Arial"/>
          <w:sz w:val="22"/>
          <w:szCs w:val="22"/>
          <w:highlight w:val="yellow"/>
          <w:lang w:val="en-GB"/>
        </w:rPr>
      </w:pPr>
      <w:r w:rsidRPr="007D38E9">
        <w:rPr>
          <w:rFonts w:ascii="Avenir Next" w:hAnsi="Avenir Next" w:cs="Arial"/>
          <w:sz w:val="22"/>
          <w:szCs w:val="22"/>
          <w:highlight w:val="yellow"/>
          <w:lang w:val="en-GB"/>
        </w:rPr>
        <w:t>Utopian court may also decide the extent to which the cross-border insolvency act of Utopia can be applied to address the Erewhon liquidator’s concerns regarding the Apex court action in Utopia.</w:t>
      </w:r>
    </w:p>
    <w:p w14:paraId="74B36C91" w14:textId="14728C87" w:rsidR="00771E94" w:rsidRPr="001F179E" w:rsidRDefault="00771E94" w:rsidP="001F179E">
      <w:pPr>
        <w:ind w:left="360"/>
        <w:jc w:val="both"/>
        <w:rPr>
          <w:rFonts w:ascii="Avenir Next" w:hAnsi="Avenir Next" w:cs="Arial"/>
          <w:sz w:val="22"/>
          <w:szCs w:val="22"/>
          <w:lang w:val="en-GB"/>
        </w:rPr>
      </w:pP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26FA5C6" w14:textId="1B4CA381" w:rsidR="002D3473" w:rsidRPr="005D446E" w:rsidRDefault="00B906A7" w:rsidP="00B906A7">
      <w:pPr>
        <w:pStyle w:val="ListParagraph"/>
        <w:numPr>
          <w:ilvl w:val="0"/>
          <w:numId w:val="27"/>
        </w:numPr>
        <w:autoSpaceDE w:val="0"/>
        <w:autoSpaceDN w:val="0"/>
        <w:adjustRightInd w:val="0"/>
        <w:spacing w:line="276" w:lineRule="auto"/>
        <w:jc w:val="both"/>
        <w:rPr>
          <w:rFonts w:ascii="Avenir Next" w:hAnsi="Avenir Next" w:cs="Arial"/>
          <w:sz w:val="22"/>
          <w:szCs w:val="22"/>
          <w:highlight w:val="yellow"/>
          <w:lang w:val="en-GB"/>
        </w:rPr>
      </w:pPr>
      <w:r w:rsidRPr="005D446E">
        <w:rPr>
          <w:rFonts w:ascii="Avenir Next" w:hAnsi="Avenir Next" w:cs="Arial"/>
          <w:sz w:val="22"/>
          <w:szCs w:val="22"/>
          <w:highlight w:val="yellow"/>
          <w:lang w:val="en-GB"/>
        </w:rPr>
        <w:t xml:space="preserve">The Erewhon liquidator can consider taking </w:t>
      </w:r>
      <w:r w:rsidR="00EE0C96" w:rsidRPr="005D446E">
        <w:rPr>
          <w:rFonts w:ascii="Avenir Next" w:hAnsi="Avenir Next" w:cs="Arial"/>
          <w:sz w:val="22"/>
          <w:szCs w:val="22"/>
          <w:highlight w:val="yellow"/>
          <w:lang w:val="en-GB"/>
        </w:rPr>
        <w:t>active initiatives</w:t>
      </w:r>
      <w:r w:rsidRPr="005D446E">
        <w:rPr>
          <w:rFonts w:ascii="Avenir Next" w:hAnsi="Avenir Next" w:cs="Arial"/>
          <w:sz w:val="22"/>
          <w:szCs w:val="22"/>
          <w:highlight w:val="yellow"/>
          <w:lang w:val="en-GB"/>
        </w:rPr>
        <w:t xml:space="preserve"> to engage with the Utopian court and the Utopian insolvency representative to address concerns about the </w:t>
      </w:r>
      <w:r w:rsidR="00EE0C96" w:rsidRPr="005D446E">
        <w:rPr>
          <w:rFonts w:ascii="Avenir Next" w:hAnsi="Avenir Next" w:cs="Arial"/>
          <w:sz w:val="22"/>
          <w:szCs w:val="22"/>
          <w:highlight w:val="yellow"/>
          <w:lang w:val="en-GB"/>
        </w:rPr>
        <w:t xml:space="preserve">ongoing </w:t>
      </w:r>
      <w:r w:rsidRPr="005D446E">
        <w:rPr>
          <w:rFonts w:ascii="Avenir Next" w:hAnsi="Avenir Next" w:cs="Arial"/>
          <w:sz w:val="22"/>
          <w:szCs w:val="22"/>
          <w:highlight w:val="yellow"/>
          <w:lang w:val="en-GB"/>
        </w:rPr>
        <w:t xml:space="preserve">parallel winding-up proceedings. </w:t>
      </w:r>
      <w:r w:rsidR="00EE0C96" w:rsidRPr="005D446E">
        <w:rPr>
          <w:rFonts w:ascii="Avenir Next" w:hAnsi="Avenir Next" w:cs="Arial"/>
          <w:sz w:val="22"/>
          <w:szCs w:val="22"/>
          <w:highlight w:val="yellow"/>
          <w:lang w:val="en-GB"/>
        </w:rPr>
        <w:t>T</w:t>
      </w:r>
      <w:r w:rsidRPr="005D446E">
        <w:rPr>
          <w:rFonts w:ascii="Avenir Next" w:hAnsi="Avenir Next" w:cs="Arial"/>
          <w:sz w:val="22"/>
          <w:szCs w:val="22"/>
          <w:highlight w:val="yellow"/>
          <w:lang w:val="en-GB"/>
        </w:rPr>
        <w:t xml:space="preserve">he Erewhon liquidator </w:t>
      </w:r>
      <w:r w:rsidR="00EE0C96" w:rsidRPr="005D446E">
        <w:rPr>
          <w:rFonts w:ascii="Avenir Next" w:hAnsi="Avenir Next" w:cs="Arial"/>
          <w:sz w:val="22"/>
          <w:szCs w:val="22"/>
          <w:highlight w:val="yellow"/>
          <w:lang w:val="en-GB"/>
        </w:rPr>
        <w:t xml:space="preserve">also </w:t>
      </w:r>
      <w:r w:rsidRPr="005D446E">
        <w:rPr>
          <w:rFonts w:ascii="Avenir Next" w:hAnsi="Avenir Next" w:cs="Arial"/>
          <w:sz w:val="22"/>
          <w:szCs w:val="22"/>
          <w:highlight w:val="yellow"/>
          <w:lang w:val="en-GB"/>
        </w:rPr>
        <w:t>can request a stay or discontinuation order to prevent any further progress in the Utopian proceedings until the Utopian court has considered the cross-border insolvency implications.</w:t>
      </w:r>
    </w:p>
    <w:p w14:paraId="6B963EC3" w14:textId="77777777" w:rsidR="005D446E" w:rsidRPr="005D446E" w:rsidRDefault="005D446E" w:rsidP="005D446E">
      <w:pPr>
        <w:pStyle w:val="ListParagraph"/>
        <w:autoSpaceDE w:val="0"/>
        <w:autoSpaceDN w:val="0"/>
        <w:adjustRightInd w:val="0"/>
        <w:spacing w:line="276" w:lineRule="auto"/>
        <w:jc w:val="both"/>
        <w:rPr>
          <w:rFonts w:ascii="Avenir Next" w:hAnsi="Avenir Next" w:cs="Arial"/>
          <w:sz w:val="22"/>
          <w:szCs w:val="22"/>
          <w:highlight w:val="yellow"/>
          <w:lang w:val="en-GB"/>
        </w:rPr>
      </w:pPr>
    </w:p>
    <w:p w14:paraId="5B581145" w14:textId="6D5E7CDB" w:rsidR="00EE0C96" w:rsidRPr="005D446E" w:rsidRDefault="006D63A6" w:rsidP="00B906A7">
      <w:pPr>
        <w:pStyle w:val="ListParagraph"/>
        <w:numPr>
          <w:ilvl w:val="0"/>
          <w:numId w:val="27"/>
        </w:numPr>
        <w:autoSpaceDE w:val="0"/>
        <w:autoSpaceDN w:val="0"/>
        <w:adjustRightInd w:val="0"/>
        <w:spacing w:line="276" w:lineRule="auto"/>
        <w:jc w:val="both"/>
        <w:rPr>
          <w:rFonts w:ascii="Avenir Next" w:hAnsi="Avenir Next" w:cs="Arial"/>
          <w:sz w:val="22"/>
          <w:szCs w:val="22"/>
          <w:highlight w:val="yellow"/>
          <w:lang w:val="en-GB"/>
        </w:rPr>
      </w:pPr>
      <w:r w:rsidRPr="005D446E">
        <w:rPr>
          <w:rFonts w:ascii="Avenir Next" w:hAnsi="Avenir Next" w:cs="Arial"/>
          <w:sz w:val="22"/>
          <w:szCs w:val="22"/>
          <w:highlight w:val="yellow"/>
          <w:lang w:val="en-GB"/>
        </w:rPr>
        <w:t xml:space="preserve">The Erewhon liquidator may face challenges in stopping or reversing the Utopian winding-up order, particularly if the Utopian court has already granted it. However, </w:t>
      </w:r>
      <w:r w:rsidR="005D446E" w:rsidRPr="005D446E">
        <w:rPr>
          <w:rFonts w:ascii="Avenir Next" w:hAnsi="Avenir Next" w:cs="Arial"/>
          <w:sz w:val="22"/>
          <w:szCs w:val="22"/>
          <w:highlight w:val="yellow"/>
          <w:lang w:val="en-GB"/>
        </w:rPr>
        <w:t>t</w:t>
      </w:r>
      <w:r w:rsidRPr="005D446E">
        <w:rPr>
          <w:rFonts w:ascii="Avenir Next" w:hAnsi="Avenir Next" w:cs="Arial"/>
          <w:sz w:val="22"/>
          <w:szCs w:val="22"/>
          <w:highlight w:val="yellow"/>
          <w:lang w:val="en-GB"/>
        </w:rPr>
        <w:t xml:space="preserve">he Erewhon liquidator may </w:t>
      </w:r>
      <w:r w:rsidR="005D446E" w:rsidRPr="005D446E">
        <w:rPr>
          <w:rFonts w:ascii="Avenir Next" w:hAnsi="Avenir Next" w:cs="Arial"/>
          <w:sz w:val="22"/>
          <w:szCs w:val="22"/>
          <w:highlight w:val="yellow"/>
          <w:lang w:val="en-GB"/>
        </w:rPr>
        <w:t xml:space="preserve">also continue to take initiatives </w:t>
      </w:r>
      <w:r w:rsidRPr="005D446E">
        <w:rPr>
          <w:rFonts w:ascii="Avenir Next" w:hAnsi="Avenir Next" w:cs="Arial"/>
          <w:sz w:val="22"/>
          <w:szCs w:val="22"/>
          <w:highlight w:val="yellow"/>
          <w:lang w:val="en-GB"/>
        </w:rPr>
        <w:t xml:space="preserve">on coordinating with the Utopian insolvency representative and the Utopian court to ensure that the interests of Erewhon creditors are </w:t>
      </w:r>
      <w:proofErr w:type="gramStart"/>
      <w:r w:rsidRPr="005D446E">
        <w:rPr>
          <w:rFonts w:ascii="Avenir Next" w:hAnsi="Avenir Next" w:cs="Arial"/>
          <w:sz w:val="22"/>
          <w:szCs w:val="22"/>
          <w:highlight w:val="yellow"/>
          <w:lang w:val="en-GB"/>
        </w:rPr>
        <w:t>taken into account</w:t>
      </w:r>
      <w:proofErr w:type="gramEnd"/>
      <w:r w:rsidRPr="005D446E">
        <w:rPr>
          <w:rFonts w:ascii="Avenir Next" w:hAnsi="Avenir Next" w:cs="Arial"/>
          <w:sz w:val="22"/>
          <w:szCs w:val="22"/>
          <w:highlight w:val="yellow"/>
          <w:lang w:val="en-GB"/>
        </w:rPr>
        <w:t>, especially in the distribution of assets and any subsequent actions.</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w:t>
      </w:r>
      <w:proofErr w:type="gramStart"/>
      <w:r w:rsidR="00444284" w:rsidRPr="00827D56">
        <w:rPr>
          <w:rFonts w:ascii="Avenir Next" w:hAnsi="Avenir Next" w:cs="Arial"/>
          <w:sz w:val="22"/>
          <w:szCs w:val="22"/>
          <w:lang w:val="en-GB"/>
        </w:rPr>
        <w:t>a number of</w:t>
      </w:r>
      <w:proofErr w:type="gramEnd"/>
      <w:r w:rsidR="00444284" w:rsidRPr="00827D56">
        <w:rPr>
          <w:rFonts w:ascii="Avenir Next" w:hAnsi="Avenir Next" w:cs="Arial"/>
          <w:sz w:val="22"/>
          <w:szCs w:val="22"/>
          <w:lang w:val="en-GB"/>
        </w:rPr>
        <w:t xml:space="preserve">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w:t>
      </w:r>
      <w:proofErr w:type="gramStart"/>
      <w:r w:rsidR="00804C32" w:rsidRPr="00827D56">
        <w:rPr>
          <w:rFonts w:ascii="Avenir Next" w:hAnsi="Avenir Next" w:cs="Arial"/>
          <w:sz w:val="22"/>
          <w:szCs w:val="22"/>
          <w:lang w:val="en-GB"/>
        </w:rPr>
        <w:t>select</w:t>
      </w:r>
      <w:proofErr w:type="gramEnd"/>
      <w:r w:rsidR="00804C32" w:rsidRPr="00827D56">
        <w:rPr>
          <w:rFonts w:ascii="Avenir Next" w:hAnsi="Avenir Next" w:cs="Arial"/>
          <w:sz w:val="22"/>
          <w:szCs w:val="22"/>
          <w:lang w:val="en-GB"/>
        </w:rPr>
        <w:t xml:space="preserve">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35D8F287" w14:textId="24EDA711" w:rsidR="0077498C" w:rsidRDefault="006F438E" w:rsidP="00C053F7">
      <w:pPr>
        <w:jc w:val="both"/>
        <w:rPr>
          <w:rFonts w:ascii="Avenir Next" w:hAnsi="Avenir Next" w:cs="Arial"/>
          <w:sz w:val="22"/>
          <w:szCs w:val="22"/>
          <w:lang w:val="en-GB"/>
        </w:rPr>
      </w:pPr>
      <w:r w:rsidRPr="00E70266">
        <w:rPr>
          <w:rFonts w:ascii="Avenir Next" w:hAnsi="Avenir Next" w:cs="Arial"/>
          <w:sz w:val="22"/>
          <w:szCs w:val="22"/>
          <w:highlight w:val="yellow"/>
          <w:lang w:val="en-GB"/>
        </w:rPr>
        <w:t>In the case of Malaysia, the key international insolvency issues are as follow:</w:t>
      </w:r>
    </w:p>
    <w:p w14:paraId="440A7351" w14:textId="77777777" w:rsidR="007E59FC" w:rsidRPr="00BB7914" w:rsidRDefault="00867B4A" w:rsidP="007E59FC">
      <w:pPr>
        <w:pStyle w:val="ListParagraph"/>
        <w:numPr>
          <w:ilvl w:val="0"/>
          <w:numId w:val="25"/>
        </w:numPr>
        <w:jc w:val="both"/>
        <w:rPr>
          <w:rFonts w:ascii="Avenir Next" w:hAnsi="Avenir Next" w:cs="Arial"/>
          <w:sz w:val="22"/>
          <w:szCs w:val="22"/>
          <w:highlight w:val="yellow"/>
          <w:lang w:val="en-GB"/>
        </w:rPr>
      </w:pPr>
      <w:r w:rsidRPr="00BB7914">
        <w:rPr>
          <w:rFonts w:ascii="Avenir Next" w:hAnsi="Avenir Next" w:cs="Arial"/>
          <w:sz w:val="22"/>
          <w:szCs w:val="22"/>
          <w:highlight w:val="yellow"/>
          <w:lang w:val="en-GB"/>
        </w:rPr>
        <w:t>Multiple proceedings with recognition and coordination</w:t>
      </w:r>
    </w:p>
    <w:p w14:paraId="3E1E4120" w14:textId="77777777" w:rsidR="007E59FC" w:rsidRPr="00BB7914" w:rsidRDefault="00867B4A" w:rsidP="007E59FC">
      <w:pPr>
        <w:pStyle w:val="ListParagraph"/>
        <w:jc w:val="both"/>
        <w:rPr>
          <w:rFonts w:ascii="Avenir Next" w:hAnsi="Avenir Next" w:cs="Arial"/>
          <w:sz w:val="22"/>
          <w:szCs w:val="22"/>
          <w:highlight w:val="yellow"/>
          <w:lang w:val="en-GB"/>
        </w:rPr>
      </w:pPr>
      <w:r w:rsidRPr="00BB7914">
        <w:rPr>
          <w:rFonts w:ascii="Avenir Next" w:hAnsi="Avenir Next" w:cs="Arial"/>
          <w:sz w:val="22"/>
          <w:szCs w:val="22"/>
          <w:highlight w:val="yellow"/>
          <w:lang w:val="en-GB"/>
        </w:rPr>
        <w:t>The company operat</w:t>
      </w:r>
      <w:r w:rsidR="00FA7AFA" w:rsidRPr="00BB7914">
        <w:rPr>
          <w:rFonts w:ascii="Avenir Next" w:hAnsi="Avenir Next" w:cs="Arial"/>
          <w:sz w:val="22"/>
          <w:szCs w:val="22"/>
          <w:highlight w:val="yellow"/>
          <w:lang w:val="en-GB"/>
        </w:rPr>
        <w:t>ing in various states would potentially face insolvency proceedings in those jurisdictions. Coordination of these proceedings and recognition of the insolvency proceedings in Malaysia being recognised in other states are crucial.</w:t>
      </w:r>
    </w:p>
    <w:p w14:paraId="2BD1A93D" w14:textId="77777777" w:rsidR="007E59FC" w:rsidRPr="00BB7914" w:rsidRDefault="007E59FC" w:rsidP="007E59FC">
      <w:pPr>
        <w:pStyle w:val="ListParagraph"/>
        <w:jc w:val="both"/>
        <w:rPr>
          <w:rFonts w:ascii="Avenir Next" w:hAnsi="Avenir Next" w:cs="Arial"/>
          <w:sz w:val="22"/>
          <w:szCs w:val="22"/>
          <w:highlight w:val="yellow"/>
          <w:lang w:val="en-GB"/>
        </w:rPr>
      </w:pPr>
    </w:p>
    <w:p w14:paraId="5F8AD860" w14:textId="29B5502D" w:rsidR="00114526" w:rsidRPr="00BB7914" w:rsidRDefault="00114526" w:rsidP="007E59FC">
      <w:pPr>
        <w:pStyle w:val="ListParagraph"/>
        <w:jc w:val="both"/>
        <w:rPr>
          <w:rFonts w:ascii="Avenir Next" w:hAnsi="Avenir Next" w:cs="Arial"/>
          <w:sz w:val="22"/>
          <w:szCs w:val="22"/>
          <w:highlight w:val="yellow"/>
          <w:lang w:val="en-GB"/>
        </w:rPr>
      </w:pPr>
      <w:proofErr w:type="gramStart"/>
      <w:r w:rsidRPr="00BB7914">
        <w:rPr>
          <w:rFonts w:ascii="Avenir Next" w:hAnsi="Avenir Next" w:cs="Arial"/>
          <w:sz w:val="22"/>
          <w:szCs w:val="22"/>
          <w:highlight w:val="yellow"/>
          <w:lang w:val="en-GB"/>
        </w:rPr>
        <w:t>Unfortunately</w:t>
      </w:r>
      <w:proofErr w:type="gramEnd"/>
      <w:r w:rsidRPr="00BB7914">
        <w:rPr>
          <w:rFonts w:ascii="Avenir Next" w:hAnsi="Avenir Next" w:cs="Arial"/>
          <w:sz w:val="22"/>
          <w:szCs w:val="22"/>
          <w:highlight w:val="yellow"/>
          <w:lang w:val="en-GB"/>
        </w:rPr>
        <w:t xml:space="preserve"> Malaysia may not have the specific laws, the practice commonly takes the case references from jurisdictions with similar law development such as Singapore. </w:t>
      </w:r>
      <w:r w:rsidR="006D0DB5" w:rsidRPr="00BB7914">
        <w:rPr>
          <w:rFonts w:ascii="Avenir Next" w:hAnsi="Avenir Next" w:cs="Arial"/>
          <w:sz w:val="22"/>
          <w:szCs w:val="22"/>
          <w:highlight w:val="yellow"/>
          <w:lang w:val="en-GB"/>
        </w:rPr>
        <w:t>International frameworks such as UNCITRAL Model Law on Cross-Border Insolvency may also be considered for cooperation and recognition of foreign insolvency proceedings.</w:t>
      </w:r>
    </w:p>
    <w:p w14:paraId="7A46D507" w14:textId="77777777" w:rsidR="007E59FC" w:rsidRPr="00BB7914" w:rsidRDefault="007E59FC" w:rsidP="007E59FC">
      <w:pPr>
        <w:pStyle w:val="ListParagraph"/>
        <w:jc w:val="both"/>
        <w:rPr>
          <w:rFonts w:ascii="Avenir Next" w:hAnsi="Avenir Next" w:cs="Arial"/>
          <w:sz w:val="22"/>
          <w:szCs w:val="22"/>
          <w:highlight w:val="yellow"/>
          <w:lang w:val="en-GB"/>
        </w:rPr>
      </w:pPr>
    </w:p>
    <w:p w14:paraId="370C0665" w14:textId="17143C0C" w:rsidR="007E59FC" w:rsidRPr="00BB7914" w:rsidRDefault="00554211" w:rsidP="007E59FC">
      <w:pPr>
        <w:pStyle w:val="ListParagraph"/>
        <w:numPr>
          <w:ilvl w:val="0"/>
          <w:numId w:val="25"/>
        </w:numPr>
        <w:jc w:val="both"/>
        <w:rPr>
          <w:rFonts w:ascii="Avenir Next" w:hAnsi="Avenir Next" w:cs="Arial"/>
          <w:sz w:val="22"/>
          <w:szCs w:val="22"/>
          <w:highlight w:val="yellow"/>
          <w:lang w:val="en-GB"/>
        </w:rPr>
      </w:pPr>
      <w:r w:rsidRPr="00BB7914">
        <w:rPr>
          <w:rFonts w:ascii="Avenir Next" w:hAnsi="Avenir Next" w:cs="Arial"/>
          <w:sz w:val="22"/>
          <w:szCs w:val="22"/>
          <w:highlight w:val="yellow"/>
          <w:lang w:val="en-GB"/>
        </w:rPr>
        <w:t xml:space="preserve">Treatment of </w:t>
      </w:r>
      <w:r w:rsidR="00251AF0">
        <w:rPr>
          <w:rFonts w:ascii="Avenir Next" w:hAnsi="Avenir Next" w:cs="Arial"/>
          <w:sz w:val="22"/>
          <w:szCs w:val="22"/>
          <w:highlight w:val="yellow"/>
          <w:lang w:val="en-GB"/>
        </w:rPr>
        <w:t>i</w:t>
      </w:r>
      <w:r w:rsidRPr="00BB7914">
        <w:rPr>
          <w:rFonts w:ascii="Avenir Next" w:hAnsi="Avenir Next" w:cs="Arial"/>
          <w:sz w:val="22"/>
          <w:szCs w:val="22"/>
          <w:highlight w:val="yellow"/>
          <w:lang w:val="en-GB"/>
        </w:rPr>
        <w:t xml:space="preserve">nternational </w:t>
      </w:r>
      <w:r w:rsidR="00251AF0">
        <w:rPr>
          <w:rFonts w:ascii="Avenir Next" w:hAnsi="Avenir Next" w:cs="Arial"/>
          <w:sz w:val="22"/>
          <w:szCs w:val="22"/>
          <w:highlight w:val="yellow"/>
          <w:lang w:val="en-GB"/>
        </w:rPr>
        <w:t>c</w:t>
      </w:r>
      <w:r w:rsidRPr="00BB7914">
        <w:rPr>
          <w:rFonts w:ascii="Avenir Next" w:hAnsi="Avenir Next" w:cs="Arial"/>
          <w:sz w:val="22"/>
          <w:szCs w:val="22"/>
          <w:highlight w:val="yellow"/>
          <w:lang w:val="en-GB"/>
        </w:rPr>
        <w:t xml:space="preserve">reditors including </w:t>
      </w:r>
      <w:r w:rsidR="00251AF0">
        <w:rPr>
          <w:rFonts w:ascii="Avenir Next" w:hAnsi="Avenir Next" w:cs="Arial"/>
          <w:sz w:val="22"/>
          <w:szCs w:val="22"/>
          <w:highlight w:val="yellow"/>
          <w:lang w:val="en-GB"/>
        </w:rPr>
        <w:t>t</w:t>
      </w:r>
      <w:r w:rsidRPr="00BB7914">
        <w:rPr>
          <w:rFonts w:ascii="Avenir Next" w:hAnsi="Avenir Next" w:cs="Arial"/>
          <w:sz w:val="22"/>
          <w:szCs w:val="22"/>
          <w:highlight w:val="yellow"/>
          <w:lang w:val="en-GB"/>
        </w:rPr>
        <w:t>axation/</w:t>
      </w:r>
      <w:r w:rsidR="00251AF0">
        <w:rPr>
          <w:rFonts w:ascii="Avenir Next" w:hAnsi="Avenir Next" w:cs="Arial"/>
          <w:sz w:val="22"/>
          <w:szCs w:val="22"/>
          <w:highlight w:val="yellow"/>
          <w:lang w:val="en-GB"/>
        </w:rPr>
        <w:t>r</w:t>
      </w:r>
      <w:r w:rsidRPr="00BB7914">
        <w:rPr>
          <w:rFonts w:ascii="Avenir Next" w:hAnsi="Avenir Next" w:cs="Arial"/>
          <w:sz w:val="22"/>
          <w:szCs w:val="22"/>
          <w:highlight w:val="yellow"/>
          <w:lang w:val="en-GB"/>
        </w:rPr>
        <w:t>evenue Authorities:</w:t>
      </w:r>
    </w:p>
    <w:p w14:paraId="58CFF76D" w14:textId="77777777" w:rsidR="007E59FC" w:rsidRPr="00BB7914" w:rsidRDefault="00554211" w:rsidP="007E59FC">
      <w:pPr>
        <w:pStyle w:val="ListParagraph"/>
        <w:jc w:val="both"/>
        <w:rPr>
          <w:rFonts w:ascii="Avenir Next" w:hAnsi="Avenir Next" w:cs="Arial"/>
          <w:sz w:val="22"/>
          <w:szCs w:val="22"/>
          <w:highlight w:val="yellow"/>
          <w:lang w:val="en-GB"/>
        </w:rPr>
      </w:pPr>
      <w:r w:rsidRPr="00BB7914">
        <w:rPr>
          <w:rFonts w:ascii="Avenir Next" w:hAnsi="Avenir Next" w:cs="Arial"/>
          <w:sz w:val="22"/>
          <w:szCs w:val="22"/>
          <w:highlight w:val="yellow"/>
          <w:lang w:val="en-GB"/>
        </w:rPr>
        <w:lastRenderedPageBreak/>
        <w:t>Various stakeholders such as above from different countries may have claims against the debtor. Challenge lays in determining the treatment of these creditors and managing complex cross-border tax claims.</w:t>
      </w:r>
    </w:p>
    <w:p w14:paraId="5AE7B33B" w14:textId="77777777" w:rsidR="007E59FC" w:rsidRPr="00BB7914" w:rsidRDefault="007E59FC" w:rsidP="007E59FC">
      <w:pPr>
        <w:pStyle w:val="ListParagraph"/>
        <w:jc w:val="both"/>
        <w:rPr>
          <w:rFonts w:ascii="Avenir Next" w:hAnsi="Avenir Next" w:cs="Arial"/>
          <w:sz w:val="22"/>
          <w:szCs w:val="22"/>
          <w:highlight w:val="yellow"/>
          <w:lang w:val="en-GB"/>
        </w:rPr>
      </w:pPr>
    </w:p>
    <w:p w14:paraId="3BD94038" w14:textId="5B301A03" w:rsidR="00554211" w:rsidRPr="00BB7914" w:rsidRDefault="00A73F97" w:rsidP="007E59FC">
      <w:pPr>
        <w:pStyle w:val="ListParagraph"/>
        <w:jc w:val="both"/>
        <w:rPr>
          <w:rFonts w:ascii="Avenir Next" w:hAnsi="Avenir Next" w:cs="Arial"/>
          <w:sz w:val="22"/>
          <w:szCs w:val="22"/>
          <w:highlight w:val="yellow"/>
          <w:lang w:val="en-GB"/>
        </w:rPr>
      </w:pPr>
      <w:r w:rsidRPr="00BB7914">
        <w:rPr>
          <w:rFonts w:ascii="Avenir Next" w:hAnsi="Avenir Next" w:cs="Arial"/>
          <w:sz w:val="22"/>
          <w:szCs w:val="22"/>
          <w:highlight w:val="yellow"/>
          <w:lang w:val="en-GB"/>
        </w:rPr>
        <w:t xml:space="preserve">Malaysia has Double Taxation Agreements with various </w:t>
      </w:r>
      <w:proofErr w:type="gramStart"/>
      <w:r w:rsidRPr="00BB7914">
        <w:rPr>
          <w:rFonts w:ascii="Avenir Next" w:hAnsi="Avenir Next" w:cs="Arial"/>
          <w:sz w:val="22"/>
          <w:szCs w:val="22"/>
          <w:highlight w:val="yellow"/>
          <w:lang w:val="en-GB"/>
        </w:rPr>
        <w:t>countries</w:t>
      </w:r>
      <w:proofErr w:type="gramEnd"/>
      <w:r w:rsidRPr="00BB7914">
        <w:rPr>
          <w:rFonts w:ascii="Avenir Next" w:hAnsi="Avenir Next" w:cs="Arial"/>
          <w:sz w:val="22"/>
          <w:szCs w:val="22"/>
          <w:highlight w:val="yellow"/>
          <w:lang w:val="en-GB"/>
        </w:rPr>
        <w:t xml:space="preserve"> and these may help address cross-border taxation matters.</w:t>
      </w:r>
      <w:r w:rsidR="00D771BE" w:rsidRPr="00BB7914">
        <w:rPr>
          <w:rFonts w:ascii="Avenir Next" w:hAnsi="Avenir Next" w:cs="Arial"/>
          <w:sz w:val="22"/>
          <w:szCs w:val="22"/>
          <w:highlight w:val="yellow"/>
          <w:lang w:val="en-GB"/>
        </w:rPr>
        <w:t xml:space="preserve"> </w:t>
      </w:r>
      <w:r w:rsidR="007704B4" w:rsidRPr="00BB7914">
        <w:rPr>
          <w:rFonts w:ascii="Avenir Next" w:hAnsi="Avenir Next" w:cs="Arial"/>
          <w:sz w:val="22"/>
          <w:szCs w:val="22"/>
          <w:highlight w:val="yellow"/>
          <w:lang w:val="en-GB"/>
        </w:rPr>
        <w:t xml:space="preserve">As for the treatment of creditors, Companies Act 2016 </w:t>
      </w:r>
      <w:r w:rsidR="00490ADF">
        <w:rPr>
          <w:rFonts w:ascii="Avenir Next" w:hAnsi="Avenir Next" w:cs="Arial"/>
          <w:sz w:val="22"/>
          <w:szCs w:val="22"/>
          <w:highlight w:val="yellow"/>
          <w:lang w:val="en-GB"/>
        </w:rPr>
        <w:t xml:space="preserve">and Winding Up Rules 1972 </w:t>
      </w:r>
      <w:r w:rsidR="002F5592" w:rsidRPr="00BB7914">
        <w:rPr>
          <w:rFonts w:ascii="Avenir Next" w:hAnsi="Avenir Next" w:cs="Arial"/>
          <w:sz w:val="22"/>
          <w:szCs w:val="22"/>
          <w:highlight w:val="yellow"/>
          <w:lang w:val="en-GB"/>
        </w:rPr>
        <w:t>address the matter including preferential payments, floating charges, power to compromise of make arrangement with creditors and proof and ranking of claims etc.</w:t>
      </w:r>
    </w:p>
    <w:p w14:paraId="2B13F045" w14:textId="77777777" w:rsidR="007E59FC" w:rsidRPr="00BB7914" w:rsidRDefault="007E59FC" w:rsidP="007E59FC">
      <w:pPr>
        <w:pStyle w:val="ListParagraph"/>
        <w:jc w:val="both"/>
        <w:rPr>
          <w:rFonts w:ascii="Avenir Next" w:hAnsi="Avenir Next" w:cs="Arial"/>
          <w:sz w:val="22"/>
          <w:szCs w:val="22"/>
          <w:highlight w:val="yellow"/>
          <w:lang w:val="en-GB"/>
        </w:rPr>
      </w:pPr>
    </w:p>
    <w:p w14:paraId="1882F0D2" w14:textId="77777777" w:rsidR="00BE018C" w:rsidRDefault="000A5D17" w:rsidP="00BE018C">
      <w:pPr>
        <w:pStyle w:val="ListParagraph"/>
        <w:numPr>
          <w:ilvl w:val="0"/>
          <w:numId w:val="25"/>
        </w:numPr>
        <w:jc w:val="both"/>
        <w:rPr>
          <w:rFonts w:ascii="Avenir Next" w:hAnsi="Avenir Next" w:cs="Arial"/>
          <w:sz w:val="22"/>
          <w:szCs w:val="22"/>
          <w:highlight w:val="yellow"/>
          <w:lang w:val="en-GB"/>
        </w:rPr>
      </w:pPr>
      <w:r w:rsidRPr="00BB7914">
        <w:rPr>
          <w:rFonts w:ascii="Avenir Next" w:hAnsi="Avenir Next" w:cs="Arial"/>
          <w:sz w:val="22"/>
          <w:szCs w:val="22"/>
          <w:highlight w:val="yellow"/>
          <w:lang w:val="en-GB"/>
        </w:rPr>
        <w:t>Protecting and realizing international assets:</w:t>
      </w:r>
    </w:p>
    <w:p w14:paraId="0BD99A95" w14:textId="282DDB58" w:rsidR="005F0924" w:rsidRDefault="005F0924" w:rsidP="00BE018C">
      <w:pPr>
        <w:pStyle w:val="ListParagraph"/>
        <w:jc w:val="both"/>
        <w:rPr>
          <w:rFonts w:ascii="Avenir Next" w:hAnsi="Avenir Next" w:cs="Arial"/>
          <w:sz w:val="22"/>
          <w:szCs w:val="22"/>
          <w:highlight w:val="yellow"/>
          <w:lang w:val="en-GB"/>
        </w:rPr>
      </w:pPr>
      <w:r w:rsidRPr="00BE018C">
        <w:rPr>
          <w:rFonts w:ascii="Avenir Next" w:hAnsi="Avenir Next" w:cs="Arial"/>
          <w:sz w:val="22"/>
          <w:szCs w:val="22"/>
          <w:highlight w:val="yellow"/>
          <w:lang w:val="en-GB"/>
        </w:rPr>
        <w:t>There is challenge in trying to m</w:t>
      </w:r>
      <w:r w:rsidRPr="00BE018C">
        <w:rPr>
          <w:rFonts w:ascii="Avenir Next" w:hAnsi="Avenir Next" w:cs="Arial"/>
          <w:sz w:val="22"/>
          <w:szCs w:val="22"/>
          <w:highlight w:val="yellow"/>
          <w:lang w:val="en-GB"/>
        </w:rPr>
        <w:t>aximiz</w:t>
      </w:r>
      <w:r w:rsidRPr="00BE018C">
        <w:rPr>
          <w:rFonts w:ascii="Avenir Next" w:hAnsi="Avenir Next" w:cs="Arial"/>
          <w:sz w:val="22"/>
          <w:szCs w:val="22"/>
          <w:highlight w:val="yellow"/>
          <w:lang w:val="en-GB"/>
        </w:rPr>
        <w:t>e</w:t>
      </w:r>
      <w:r w:rsidRPr="00BE018C">
        <w:rPr>
          <w:rFonts w:ascii="Avenir Next" w:hAnsi="Avenir Next" w:cs="Arial"/>
          <w:sz w:val="22"/>
          <w:szCs w:val="22"/>
          <w:highlight w:val="yellow"/>
          <w:lang w:val="en-GB"/>
        </w:rPr>
        <w:t xml:space="preserve"> the realization of assets while complying with local laws and international obligations.</w:t>
      </w:r>
    </w:p>
    <w:p w14:paraId="1CC98D52" w14:textId="77777777" w:rsidR="00BE018C" w:rsidRDefault="00BE018C" w:rsidP="00BE018C">
      <w:pPr>
        <w:pStyle w:val="ListParagraph"/>
        <w:jc w:val="both"/>
        <w:rPr>
          <w:rFonts w:ascii="Avenir Next" w:hAnsi="Avenir Next" w:cs="Arial"/>
          <w:sz w:val="22"/>
          <w:szCs w:val="22"/>
          <w:highlight w:val="yellow"/>
          <w:lang w:val="en-GB"/>
        </w:rPr>
      </w:pPr>
    </w:p>
    <w:p w14:paraId="1033D5AF" w14:textId="2095BCD9" w:rsidR="00BE018C" w:rsidRPr="002C493A" w:rsidRDefault="00F37A5A" w:rsidP="00BE018C">
      <w:pPr>
        <w:pStyle w:val="ListParagraph"/>
        <w:jc w:val="both"/>
        <w:rPr>
          <w:rFonts w:ascii="Avenir Next" w:hAnsi="Avenir Next" w:cs="Arial"/>
          <w:sz w:val="22"/>
          <w:szCs w:val="22"/>
          <w:highlight w:val="yellow"/>
          <w:lang w:val="en-GB"/>
        </w:rPr>
      </w:pPr>
      <w:r w:rsidRPr="002C493A">
        <w:rPr>
          <w:rFonts w:ascii="Avenir Next" w:hAnsi="Avenir Next" w:cs="Arial"/>
          <w:sz w:val="22"/>
          <w:szCs w:val="22"/>
          <w:highlight w:val="yellow"/>
          <w:lang w:val="en-GB"/>
        </w:rPr>
        <w:t>F</w:t>
      </w:r>
      <w:r w:rsidR="00BE018C" w:rsidRPr="002C493A">
        <w:rPr>
          <w:rFonts w:ascii="Avenir Next" w:hAnsi="Avenir Next" w:cs="Arial"/>
          <w:sz w:val="22"/>
          <w:szCs w:val="22"/>
          <w:highlight w:val="yellow"/>
          <w:lang w:val="en-GB"/>
        </w:rPr>
        <w:t>or managing and realizing assets</w:t>
      </w:r>
      <w:r w:rsidRPr="002C493A">
        <w:rPr>
          <w:rFonts w:ascii="Avenir Next" w:hAnsi="Avenir Next" w:cs="Arial"/>
          <w:sz w:val="22"/>
          <w:szCs w:val="22"/>
          <w:highlight w:val="yellow"/>
          <w:lang w:val="en-GB"/>
        </w:rPr>
        <w:t xml:space="preserve">, the Companies Act 2016 </w:t>
      </w:r>
      <w:r w:rsidR="000431BB">
        <w:rPr>
          <w:rFonts w:ascii="Avenir Next" w:hAnsi="Avenir Next" w:cs="Arial"/>
          <w:sz w:val="22"/>
          <w:szCs w:val="22"/>
          <w:highlight w:val="yellow"/>
          <w:lang w:val="en-GB"/>
        </w:rPr>
        <w:t xml:space="preserve">and Winding Up Rules 1972 </w:t>
      </w:r>
      <w:r w:rsidRPr="002C493A">
        <w:rPr>
          <w:rFonts w:ascii="Avenir Next" w:hAnsi="Avenir Next" w:cs="Arial"/>
          <w:sz w:val="22"/>
          <w:szCs w:val="22"/>
          <w:highlight w:val="yellow"/>
          <w:lang w:val="en-GB"/>
        </w:rPr>
        <w:t xml:space="preserve">contains provisions &amp; procedures including </w:t>
      </w:r>
      <w:r w:rsidR="00B74F3B" w:rsidRPr="002C493A">
        <w:rPr>
          <w:rFonts w:ascii="Avenir Next" w:hAnsi="Avenir Next" w:cs="Arial"/>
          <w:sz w:val="22"/>
          <w:szCs w:val="22"/>
          <w:highlight w:val="yellow"/>
          <w:lang w:val="en-GB"/>
        </w:rPr>
        <w:t xml:space="preserve">appointment of liquidators, </w:t>
      </w:r>
      <w:r w:rsidR="002C7E1A" w:rsidRPr="002C493A">
        <w:rPr>
          <w:rFonts w:ascii="Avenir Next" w:hAnsi="Avenir Next" w:cs="Arial"/>
          <w:sz w:val="22"/>
          <w:szCs w:val="22"/>
          <w:highlight w:val="yellow"/>
          <w:lang w:val="en-GB"/>
        </w:rPr>
        <w:t xml:space="preserve">investigation and recovery of assets and </w:t>
      </w:r>
      <w:r w:rsidR="00B74F3B" w:rsidRPr="002C493A">
        <w:rPr>
          <w:rFonts w:ascii="Avenir Next" w:hAnsi="Avenir Next" w:cs="Arial"/>
          <w:sz w:val="22"/>
          <w:szCs w:val="22"/>
          <w:highlight w:val="yellow"/>
          <w:lang w:val="en-GB"/>
        </w:rPr>
        <w:t>liquidation and distribution of assets</w:t>
      </w:r>
      <w:r w:rsidR="002C493A" w:rsidRPr="002C493A">
        <w:rPr>
          <w:rFonts w:ascii="Avenir Next" w:hAnsi="Avenir Next" w:cs="Arial"/>
          <w:sz w:val="22"/>
          <w:szCs w:val="22"/>
          <w:highlight w:val="yellow"/>
          <w:lang w:val="en-GB"/>
        </w:rPr>
        <w:t>. I</w:t>
      </w:r>
      <w:r w:rsidR="00BE018C" w:rsidRPr="002C493A">
        <w:rPr>
          <w:rFonts w:ascii="Avenir Next" w:hAnsi="Avenir Next" w:cs="Arial"/>
          <w:sz w:val="22"/>
          <w:szCs w:val="22"/>
          <w:highlight w:val="yellow"/>
          <w:lang w:val="en-GB"/>
        </w:rPr>
        <w:t>nternational treaties and conventions (such as the Hague Convention on the Recognition and Enforcement of Foreign Judgments in Civil and Commercial Matters) may be relevant for recognizing and enforcing judgments related to international assets.</w:t>
      </w:r>
      <w:r w:rsidR="00BE018C" w:rsidRPr="002C493A">
        <w:rPr>
          <w:rFonts w:ascii="Avenir Next" w:hAnsi="Avenir Next" w:cs="Arial"/>
          <w:sz w:val="22"/>
          <w:szCs w:val="22"/>
          <w:highlight w:val="yellow"/>
          <w:lang w:val="en-GB"/>
        </w:rPr>
        <w:t xml:space="preserve"> </w:t>
      </w:r>
    </w:p>
    <w:p w14:paraId="2A8195CC" w14:textId="77777777" w:rsidR="00BE018C" w:rsidRDefault="00BE018C" w:rsidP="00BE018C">
      <w:pPr>
        <w:pStyle w:val="ListParagraph"/>
        <w:jc w:val="both"/>
        <w:rPr>
          <w:rFonts w:ascii="Avenir Next" w:hAnsi="Avenir Next" w:cs="Arial"/>
          <w:sz w:val="22"/>
          <w:szCs w:val="22"/>
          <w:highlight w:val="yellow"/>
          <w:lang w:val="en-GB"/>
        </w:rPr>
      </w:pPr>
    </w:p>
    <w:p w14:paraId="31857F35" w14:textId="09579318" w:rsidR="00BE018C" w:rsidRDefault="007913AC" w:rsidP="00BE018C">
      <w:pPr>
        <w:pStyle w:val="ListParagraph"/>
        <w:numPr>
          <w:ilvl w:val="0"/>
          <w:numId w:val="25"/>
        </w:numPr>
        <w:jc w:val="both"/>
        <w:rPr>
          <w:rFonts w:ascii="Avenir Next" w:hAnsi="Avenir Next" w:cs="Arial"/>
          <w:sz w:val="22"/>
          <w:szCs w:val="22"/>
          <w:highlight w:val="yellow"/>
          <w:lang w:val="en-GB"/>
        </w:rPr>
      </w:pPr>
      <w:r>
        <w:rPr>
          <w:rFonts w:ascii="Avenir Next" w:hAnsi="Avenir Next" w:cs="Arial"/>
          <w:sz w:val="22"/>
          <w:szCs w:val="22"/>
          <w:highlight w:val="yellow"/>
          <w:lang w:val="en-GB"/>
        </w:rPr>
        <w:t xml:space="preserve">Directors and </w:t>
      </w:r>
      <w:r w:rsidR="00251AF0">
        <w:rPr>
          <w:rFonts w:ascii="Avenir Next" w:hAnsi="Avenir Next" w:cs="Arial"/>
          <w:sz w:val="22"/>
          <w:szCs w:val="22"/>
          <w:highlight w:val="yellow"/>
          <w:lang w:val="en-GB"/>
        </w:rPr>
        <w:t>c</w:t>
      </w:r>
      <w:r>
        <w:rPr>
          <w:rFonts w:ascii="Avenir Next" w:hAnsi="Avenir Next" w:cs="Arial"/>
          <w:sz w:val="22"/>
          <w:szCs w:val="22"/>
          <w:highlight w:val="yellow"/>
          <w:lang w:val="en-GB"/>
        </w:rPr>
        <w:t>reditors across multiple states</w:t>
      </w:r>
      <w:r w:rsidR="00BE018C" w:rsidRPr="00BB7914">
        <w:rPr>
          <w:rFonts w:ascii="Avenir Next" w:hAnsi="Avenir Next" w:cs="Arial"/>
          <w:sz w:val="22"/>
          <w:szCs w:val="22"/>
          <w:highlight w:val="yellow"/>
          <w:lang w:val="en-GB"/>
        </w:rPr>
        <w:t>:</w:t>
      </w:r>
    </w:p>
    <w:p w14:paraId="7D8D1877" w14:textId="2F34E067" w:rsidR="00BE018C" w:rsidRPr="00490ADF" w:rsidRDefault="007913AC" w:rsidP="00BE018C">
      <w:pPr>
        <w:pStyle w:val="ListParagraph"/>
        <w:jc w:val="both"/>
        <w:rPr>
          <w:rFonts w:ascii="Avenir Next" w:hAnsi="Avenir Next" w:cs="Arial"/>
          <w:sz w:val="22"/>
          <w:szCs w:val="22"/>
          <w:highlight w:val="yellow"/>
          <w:lang w:val="en-GB"/>
        </w:rPr>
      </w:pPr>
      <w:r w:rsidRPr="00490ADF">
        <w:rPr>
          <w:rFonts w:ascii="Avenir Next" w:hAnsi="Avenir Next" w:cs="Arial"/>
          <w:sz w:val="22"/>
          <w:szCs w:val="22"/>
          <w:highlight w:val="yellow"/>
          <w:lang w:val="en-GB"/>
        </w:rPr>
        <w:t>Coordinating with and addressing the concerns of these stakeholders across borders can be a complex task.</w:t>
      </w:r>
    </w:p>
    <w:p w14:paraId="2433D8C5" w14:textId="77777777" w:rsidR="001F3C35" w:rsidRPr="00490ADF" w:rsidRDefault="001F3C35" w:rsidP="00BE018C">
      <w:pPr>
        <w:pStyle w:val="ListParagraph"/>
        <w:jc w:val="both"/>
        <w:rPr>
          <w:rFonts w:ascii="Avenir Next" w:hAnsi="Avenir Next" w:cs="Arial"/>
          <w:sz w:val="22"/>
          <w:szCs w:val="22"/>
          <w:highlight w:val="yellow"/>
          <w:lang w:val="en-GB"/>
        </w:rPr>
      </w:pPr>
    </w:p>
    <w:p w14:paraId="1DB38EDF" w14:textId="330CAE1C" w:rsidR="001F3C35" w:rsidRPr="00BE018C" w:rsidRDefault="002C493A" w:rsidP="00BE018C">
      <w:pPr>
        <w:pStyle w:val="ListParagraph"/>
        <w:jc w:val="both"/>
        <w:rPr>
          <w:rFonts w:ascii="Avenir Next" w:hAnsi="Avenir Next" w:cs="Arial"/>
          <w:sz w:val="22"/>
          <w:szCs w:val="22"/>
          <w:lang w:val="en-GB"/>
        </w:rPr>
      </w:pPr>
      <w:r w:rsidRPr="00490ADF">
        <w:rPr>
          <w:rFonts w:ascii="Avenir Next" w:hAnsi="Avenir Next" w:cs="Arial"/>
          <w:sz w:val="22"/>
          <w:szCs w:val="22"/>
          <w:highlight w:val="yellow"/>
          <w:lang w:val="en-GB"/>
        </w:rPr>
        <w:t>The Companies Act 2016</w:t>
      </w:r>
      <w:r w:rsidR="001F3C35" w:rsidRPr="00490ADF">
        <w:rPr>
          <w:rFonts w:ascii="Avenir Next" w:hAnsi="Avenir Next" w:cs="Arial"/>
          <w:sz w:val="22"/>
          <w:szCs w:val="22"/>
          <w:highlight w:val="yellow"/>
          <w:lang w:val="en-GB"/>
        </w:rPr>
        <w:t xml:space="preserve"> </w:t>
      </w:r>
      <w:r w:rsidR="00C85A98" w:rsidRPr="00490ADF">
        <w:rPr>
          <w:rFonts w:ascii="Avenir Next" w:hAnsi="Avenir Next" w:cs="Arial"/>
          <w:sz w:val="22"/>
          <w:szCs w:val="22"/>
          <w:highlight w:val="yellow"/>
          <w:lang w:val="en-GB"/>
        </w:rPr>
        <w:t xml:space="preserve">consists of the </w:t>
      </w:r>
      <w:r w:rsidR="001F3C35" w:rsidRPr="00490ADF">
        <w:rPr>
          <w:rFonts w:ascii="Avenir Next" w:hAnsi="Avenir Next" w:cs="Arial"/>
          <w:sz w:val="22"/>
          <w:szCs w:val="22"/>
          <w:highlight w:val="yellow"/>
          <w:lang w:val="en-GB"/>
        </w:rPr>
        <w:t>duties and liabilities of directors. For coordination with directors and creditors in other states, the UNCITRAL Model Law and principles of comity may guide interactions and proceedings.</w:t>
      </w: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0B2D15">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3C18C" w14:textId="77777777" w:rsidR="006F0DDE" w:rsidRDefault="006F0DDE" w:rsidP="00241B44">
      <w:r>
        <w:separator/>
      </w:r>
    </w:p>
  </w:endnote>
  <w:endnote w:type="continuationSeparator" w:id="0">
    <w:p w14:paraId="393CFBAD" w14:textId="77777777" w:rsidR="006F0DDE" w:rsidRDefault="006F0DD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15EF5291" w:rsidR="00AD6A7D" w:rsidRPr="009634F4" w:rsidRDefault="0021543B" w:rsidP="00AD6A7D">
    <w:pPr>
      <w:pStyle w:val="Footer"/>
      <w:ind w:right="360"/>
      <w:rPr>
        <w:rFonts w:ascii="Avenir Next" w:hAnsi="Avenir Next" w:cs="Arial"/>
        <w:sz w:val="22"/>
        <w:szCs w:val="22"/>
      </w:rPr>
    </w:pPr>
    <w:r w:rsidRPr="0021543B">
      <w:rPr>
        <w:rFonts w:ascii="Avenir Next" w:hAnsi="Avenir Next" w:cs="Arial"/>
        <w:sz w:val="22"/>
        <w:szCs w:val="22"/>
      </w:rPr>
      <w:t>FC202324-1266</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2A2AB" w14:textId="77777777" w:rsidR="006F0DDE" w:rsidRDefault="006F0DDE" w:rsidP="00241B44">
      <w:r>
        <w:separator/>
      </w:r>
    </w:p>
  </w:footnote>
  <w:footnote w:type="continuationSeparator" w:id="0">
    <w:p w14:paraId="637D07B3" w14:textId="77777777" w:rsidR="006F0DDE" w:rsidRDefault="006F0DD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B64A2C"/>
    <w:multiLevelType w:val="hybridMultilevel"/>
    <w:tmpl w:val="3B242E14"/>
    <w:lvl w:ilvl="0" w:tplc="4409000F">
      <w:start w:val="1"/>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DD7B5F"/>
    <w:multiLevelType w:val="hybridMultilevel"/>
    <w:tmpl w:val="FB441C38"/>
    <w:lvl w:ilvl="0" w:tplc="31AC0AB4">
      <w:numFmt w:val="bullet"/>
      <w:lvlText w:val="-"/>
      <w:lvlJc w:val="left"/>
      <w:pPr>
        <w:ind w:left="720" w:hanging="360"/>
      </w:pPr>
      <w:rPr>
        <w:rFonts w:ascii="Avenir Next" w:eastAsia="Times New Roman" w:hAnsi="Avenir Next"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F5E5608"/>
    <w:multiLevelType w:val="hybridMultilevel"/>
    <w:tmpl w:val="BDFABD12"/>
    <w:lvl w:ilvl="0" w:tplc="72CA4CFC">
      <w:start w:val="1"/>
      <w:numFmt w:val="lowerLetter"/>
      <w:lvlText w:val="(%1)"/>
      <w:lvlJc w:val="left"/>
      <w:pPr>
        <w:ind w:left="720" w:hanging="360"/>
      </w:pPr>
      <w:rPr>
        <w:rFonts w:hint="default"/>
        <w:color w:val="7B7B7B" w:themeColor="accent3" w:themeShade="BF"/>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0B36B5"/>
    <w:multiLevelType w:val="hybridMultilevel"/>
    <w:tmpl w:val="F662B5F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DD4A47"/>
    <w:multiLevelType w:val="hybridMultilevel"/>
    <w:tmpl w:val="709C720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05556574">
    <w:abstractNumId w:val="20"/>
  </w:num>
  <w:num w:numId="2" w16cid:durableId="2060397842">
    <w:abstractNumId w:val="22"/>
  </w:num>
  <w:num w:numId="3" w16cid:durableId="2114008986">
    <w:abstractNumId w:val="6"/>
  </w:num>
  <w:num w:numId="4" w16cid:durableId="743720607">
    <w:abstractNumId w:val="2"/>
  </w:num>
  <w:num w:numId="5" w16cid:durableId="464741948">
    <w:abstractNumId w:val="10"/>
  </w:num>
  <w:num w:numId="6" w16cid:durableId="554897999">
    <w:abstractNumId w:val="16"/>
  </w:num>
  <w:num w:numId="7" w16cid:durableId="1913469301">
    <w:abstractNumId w:val="24"/>
  </w:num>
  <w:num w:numId="8" w16cid:durableId="307983066">
    <w:abstractNumId w:val="15"/>
  </w:num>
  <w:num w:numId="9" w16cid:durableId="1128815150">
    <w:abstractNumId w:val="5"/>
  </w:num>
  <w:num w:numId="10" w16cid:durableId="485247179">
    <w:abstractNumId w:val="9"/>
  </w:num>
  <w:num w:numId="11" w16cid:durableId="632292612">
    <w:abstractNumId w:val="8"/>
  </w:num>
  <w:num w:numId="12" w16cid:durableId="1634409974">
    <w:abstractNumId w:val="4"/>
  </w:num>
  <w:num w:numId="13" w16cid:durableId="1176384513">
    <w:abstractNumId w:val="13"/>
  </w:num>
  <w:num w:numId="14" w16cid:durableId="742527874">
    <w:abstractNumId w:val="0"/>
  </w:num>
  <w:num w:numId="15" w16cid:durableId="1934196058">
    <w:abstractNumId w:val="1"/>
  </w:num>
  <w:num w:numId="16" w16cid:durableId="844056133">
    <w:abstractNumId w:val="14"/>
  </w:num>
  <w:num w:numId="17" w16cid:durableId="433281220">
    <w:abstractNumId w:val="12"/>
  </w:num>
  <w:num w:numId="18" w16cid:durableId="943150957">
    <w:abstractNumId w:val="21"/>
  </w:num>
  <w:num w:numId="19" w16cid:durableId="603925579">
    <w:abstractNumId w:val="17"/>
  </w:num>
  <w:num w:numId="20" w16cid:durableId="1098330611">
    <w:abstractNumId w:val="26"/>
  </w:num>
  <w:num w:numId="21" w16cid:durableId="1865051921">
    <w:abstractNumId w:val="19"/>
  </w:num>
  <w:num w:numId="22" w16cid:durableId="539172368">
    <w:abstractNumId w:val="11"/>
  </w:num>
  <w:num w:numId="23" w16cid:durableId="46880895">
    <w:abstractNumId w:val="25"/>
  </w:num>
  <w:num w:numId="24" w16cid:durableId="419834959">
    <w:abstractNumId w:val="7"/>
  </w:num>
  <w:num w:numId="25" w16cid:durableId="2059356812">
    <w:abstractNumId w:val="3"/>
  </w:num>
  <w:num w:numId="26" w16cid:durableId="562176538">
    <w:abstractNumId w:val="23"/>
  </w:num>
  <w:num w:numId="27" w16cid:durableId="1599871732">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31BB"/>
    <w:rsid w:val="00044D46"/>
    <w:rsid w:val="00045088"/>
    <w:rsid w:val="00045904"/>
    <w:rsid w:val="00055893"/>
    <w:rsid w:val="00065166"/>
    <w:rsid w:val="000713FB"/>
    <w:rsid w:val="00082609"/>
    <w:rsid w:val="000851CC"/>
    <w:rsid w:val="00093BE8"/>
    <w:rsid w:val="000968DD"/>
    <w:rsid w:val="000A5D17"/>
    <w:rsid w:val="000A68ED"/>
    <w:rsid w:val="000B2D15"/>
    <w:rsid w:val="000B4F45"/>
    <w:rsid w:val="000B5FF1"/>
    <w:rsid w:val="000B609F"/>
    <w:rsid w:val="000D55A8"/>
    <w:rsid w:val="000E329C"/>
    <w:rsid w:val="000E4841"/>
    <w:rsid w:val="000F1677"/>
    <w:rsid w:val="000F3D6C"/>
    <w:rsid w:val="00101707"/>
    <w:rsid w:val="00102162"/>
    <w:rsid w:val="00110DA3"/>
    <w:rsid w:val="00114274"/>
    <w:rsid w:val="00114526"/>
    <w:rsid w:val="0011473D"/>
    <w:rsid w:val="00115C85"/>
    <w:rsid w:val="00120C4B"/>
    <w:rsid w:val="00123661"/>
    <w:rsid w:val="00123855"/>
    <w:rsid w:val="00126A4D"/>
    <w:rsid w:val="0014622C"/>
    <w:rsid w:val="00152348"/>
    <w:rsid w:val="0015456D"/>
    <w:rsid w:val="00160C95"/>
    <w:rsid w:val="00161F1B"/>
    <w:rsid w:val="00162829"/>
    <w:rsid w:val="00180548"/>
    <w:rsid w:val="00180CCE"/>
    <w:rsid w:val="0018267A"/>
    <w:rsid w:val="00182779"/>
    <w:rsid w:val="001830DF"/>
    <w:rsid w:val="001966D9"/>
    <w:rsid w:val="001A7E9A"/>
    <w:rsid w:val="001B2031"/>
    <w:rsid w:val="001B5016"/>
    <w:rsid w:val="001C45FC"/>
    <w:rsid w:val="001D4862"/>
    <w:rsid w:val="001D4A00"/>
    <w:rsid w:val="001E1BE4"/>
    <w:rsid w:val="001E25B9"/>
    <w:rsid w:val="001E49E0"/>
    <w:rsid w:val="001E7B5A"/>
    <w:rsid w:val="001F179E"/>
    <w:rsid w:val="001F3C35"/>
    <w:rsid w:val="001F7412"/>
    <w:rsid w:val="0020725B"/>
    <w:rsid w:val="0021543B"/>
    <w:rsid w:val="002247B5"/>
    <w:rsid w:val="00241B44"/>
    <w:rsid w:val="00245EFB"/>
    <w:rsid w:val="00251AF0"/>
    <w:rsid w:val="002575F8"/>
    <w:rsid w:val="002642E9"/>
    <w:rsid w:val="0026515D"/>
    <w:rsid w:val="002668D3"/>
    <w:rsid w:val="00272251"/>
    <w:rsid w:val="0027299F"/>
    <w:rsid w:val="00284EBE"/>
    <w:rsid w:val="00286AE6"/>
    <w:rsid w:val="0029433F"/>
    <w:rsid w:val="00294829"/>
    <w:rsid w:val="0029690F"/>
    <w:rsid w:val="002A2A60"/>
    <w:rsid w:val="002A7D77"/>
    <w:rsid w:val="002B1C45"/>
    <w:rsid w:val="002B70F9"/>
    <w:rsid w:val="002C13C8"/>
    <w:rsid w:val="002C1671"/>
    <w:rsid w:val="002C3547"/>
    <w:rsid w:val="002C493A"/>
    <w:rsid w:val="002C686D"/>
    <w:rsid w:val="002C7E1A"/>
    <w:rsid w:val="002D0021"/>
    <w:rsid w:val="002D31CD"/>
    <w:rsid w:val="002D3473"/>
    <w:rsid w:val="002F1956"/>
    <w:rsid w:val="002F3440"/>
    <w:rsid w:val="002F5592"/>
    <w:rsid w:val="002F75A3"/>
    <w:rsid w:val="00303C2F"/>
    <w:rsid w:val="003144EF"/>
    <w:rsid w:val="00320CEF"/>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4E29"/>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2108F"/>
    <w:rsid w:val="00430FED"/>
    <w:rsid w:val="00431874"/>
    <w:rsid w:val="0043427C"/>
    <w:rsid w:val="00434A8C"/>
    <w:rsid w:val="00444284"/>
    <w:rsid w:val="00445CE6"/>
    <w:rsid w:val="004534C2"/>
    <w:rsid w:val="0045683E"/>
    <w:rsid w:val="00490ADF"/>
    <w:rsid w:val="004910D1"/>
    <w:rsid w:val="00491675"/>
    <w:rsid w:val="00493855"/>
    <w:rsid w:val="004A16A3"/>
    <w:rsid w:val="004A57DD"/>
    <w:rsid w:val="004A7ACE"/>
    <w:rsid w:val="004A7B51"/>
    <w:rsid w:val="004A7D71"/>
    <w:rsid w:val="004A7EF3"/>
    <w:rsid w:val="004B11FD"/>
    <w:rsid w:val="004B23A2"/>
    <w:rsid w:val="004B3959"/>
    <w:rsid w:val="004C1306"/>
    <w:rsid w:val="004D1A5A"/>
    <w:rsid w:val="004D3721"/>
    <w:rsid w:val="004D4BA2"/>
    <w:rsid w:val="004D64F9"/>
    <w:rsid w:val="004D6ED3"/>
    <w:rsid w:val="004E14A8"/>
    <w:rsid w:val="004F5FDF"/>
    <w:rsid w:val="005177FE"/>
    <w:rsid w:val="0052263B"/>
    <w:rsid w:val="00524728"/>
    <w:rsid w:val="00526336"/>
    <w:rsid w:val="005267F6"/>
    <w:rsid w:val="005331CA"/>
    <w:rsid w:val="00537970"/>
    <w:rsid w:val="00544127"/>
    <w:rsid w:val="00553EB2"/>
    <w:rsid w:val="00554211"/>
    <w:rsid w:val="00560534"/>
    <w:rsid w:val="0056391B"/>
    <w:rsid w:val="005650E2"/>
    <w:rsid w:val="00567075"/>
    <w:rsid w:val="00575B2D"/>
    <w:rsid w:val="005833D0"/>
    <w:rsid w:val="005846F3"/>
    <w:rsid w:val="0058622F"/>
    <w:rsid w:val="00592F82"/>
    <w:rsid w:val="005956FE"/>
    <w:rsid w:val="005A0CCA"/>
    <w:rsid w:val="005A726D"/>
    <w:rsid w:val="005B4947"/>
    <w:rsid w:val="005B67AC"/>
    <w:rsid w:val="005C5796"/>
    <w:rsid w:val="005D1D57"/>
    <w:rsid w:val="005D43E0"/>
    <w:rsid w:val="005D446E"/>
    <w:rsid w:val="005D58A3"/>
    <w:rsid w:val="005E1B79"/>
    <w:rsid w:val="005F026D"/>
    <w:rsid w:val="005F0924"/>
    <w:rsid w:val="005F2D0B"/>
    <w:rsid w:val="005F3672"/>
    <w:rsid w:val="005F4B31"/>
    <w:rsid w:val="005F6250"/>
    <w:rsid w:val="00610388"/>
    <w:rsid w:val="00612CA5"/>
    <w:rsid w:val="00614BE1"/>
    <w:rsid w:val="006153EC"/>
    <w:rsid w:val="00621A17"/>
    <w:rsid w:val="0062608A"/>
    <w:rsid w:val="00627CC9"/>
    <w:rsid w:val="00627E7B"/>
    <w:rsid w:val="00630542"/>
    <w:rsid w:val="00632E44"/>
    <w:rsid w:val="00634622"/>
    <w:rsid w:val="00636110"/>
    <w:rsid w:val="00636808"/>
    <w:rsid w:val="00641515"/>
    <w:rsid w:val="00645884"/>
    <w:rsid w:val="00654C2F"/>
    <w:rsid w:val="00657087"/>
    <w:rsid w:val="00665023"/>
    <w:rsid w:val="00677AEB"/>
    <w:rsid w:val="0068358E"/>
    <w:rsid w:val="00687A1D"/>
    <w:rsid w:val="00697EA1"/>
    <w:rsid w:val="006A2646"/>
    <w:rsid w:val="006A6530"/>
    <w:rsid w:val="006A719C"/>
    <w:rsid w:val="006B1CA2"/>
    <w:rsid w:val="006B435A"/>
    <w:rsid w:val="006B4C64"/>
    <w:rsid w:val="006D01C2"/>
    <w:rsid w:val="006D0DB5"/>
    <w:rsid w:val="006D1E77"/>
    <w:rsid w:val="006D63A6"/>
    <w:rsid w:val="006E481A"/>
    <w:rsid w:val="006E5298"/>
    <w:rsid w:val="006F0DDE"/>
    <w:rsid w:val="006F438E"/>
    <w:rsid w:val="006F734A"/>
    <w:rsid w:val="00700D83"/>
    <w:rsid w:val="007074E9"/>
    <w:rsid w:val="00713DA4"/>
    <w:rsid w:val="00714BF1"/>
    <w:rsid w:val="00721383"/>
    <w:rsid w:val="007333CC"/>
    <w:rsid w:val="0073399A"/>
    <w:rsid w:val="0073459E"/>
    <w:rsid w:val="00736D9B"/>
    <w:rsid w:val="00743C0A"/>
    <w:rsid w:val="007603F5"/>
    <w:rsid w:val="00764DB0"/>
    <w:rsid w:val="0076764D"/>
    <w:rsid w:val="007704B4"/>
    <w:rsid w:val="00771E94"/>
    <w:rsid w:val="0077498C"/>
    <w:rsid w:val="00784128"/>
    <w:rsid w:val="00790C8A"/>
    <w:rsid w:val="007913AC"/>
    <w:rsid w:val="00793173"/>
    <w:rsid w:val="00795AA1"/>
    <w:rsid w:val="007A2103"/>
    <w:rsid w:val="007A5660"/>
    <w:rsid w:val="007B35AA"/>
    <w:rsid w:val="007C1459"/>
    <w:rsid w:val="007C1FCC"/>
    <w:rsid w:val="007C60BA"/>
    <w:rsid w:val="007C615B"/>
    <w:rsid w:val="007C6201"/>
    <w:rsid w:val="007D38E9"/>
    <w:rsid w:val="007D7C92"/>
    <w:rsid w:val="007E1154"/>
    <w:rsid w:val="007E1845"/>
    <w:rsid w:val="007E59FC"/>
    <w:rsid w:val="007F41F8"/>
    <w:rsid w:val="007F45F1"/>
    <w:rsid w:val="00800860"/>
    <w:rsid w:val="008031A7"/>
    <w:rsid w:val="0080454E"/>
    <w:rsid w:val="00804C32"/>
    <w:rsid w:val="00806302"/>
    <w:rsid w:val="00807119"/>
    <w:rsid w:val="0082483F"/>
    <w:rsid w:val="008279C0"/>
    <w:rsid w:val="00827D56"/>
    <w:rsid w:val="008305C7"/>
    <w:rsid w:val="008578FA"/>
    <w:rsid w:val="00867B4A"/>
    <w:rsid w:val="008723F3"/>
    <w:rsid w:val="00875FCA"/>
    <w:rsid w:val="00881DE6"/>
    <w:rsid w:val="008837A6"/>
    <w:rsid w:val="0089145D"/>
    <w:rsid w:val="008A690E"/>
    <w:rsid w:val="008A6CFE"/>
    <w:rsid w:val="008B5333"/>
    <w:rsid w:val="008B6223"/>
    <w:rsid w:val="008C66E0"/>
    <w:rsid w:val="008D13A4"/>
    <w:rsid w:val="008E3339"/>
    <w:rsid w:val="008F20FC"/>
    <w:rsid w:val="008F6301"/>
    <w:rsid w:val="00905A43"/>
    <w:rsid w:val="00906BB9"/>
    <w:rsid w:val="00912C79"/>
    <w:rsid w:val="0091741A"/>
    <w:rsid w:val="00942123"/>
    <w:rsid w:val="0095207B"/>
    <w:rsid w:val="00955AF1"/>
    <w:rsid w:val="00962045"/>
    <w:rsid w:val="009634F4"/>
    <w:rsid w:val="00991428"/>
    <w:rsid w:val="00992676"/>
    <w:rsid w:val="009B0723"/>
    <w:rsid w:val="009B07AD"/>
    <w:rsid w:val="009B0883"/>
    <w:rsid w:val="009B15E2"/>
    <w:rsid w:val="009B6372"/>
    <w:rsid w:val="009B6B29"/>
    <w:rsid w:val="009C0B8E"/>
    <w:rsid w:val="009C1BC8"/>
    <w:rsid w:val="009C2442"/>
    <w:rsid w:val="009D0811"/>
    <w:rsid w:val="009D0EE1"/>
    <w:rsid w:val="009D315C"/>
    <w:rsid w:val="009D7208"/>
    <w:rsid w:val="009E1027"/>
    <w:rsid w:val="009E2AEB"/>
    <w:rsid w:val="009E2E27"/>
    <w:rsid w:val="009E4DE3"/>
    <w:rsid w:val="00A00119"/>
    <w:rsid w:val="00A005FC"/>
    <w:rsid w:val="00A01F7A"/>
    <w:rsid w:val="00A047EE"/>
    <w:rsid w:val="00A102E4"/>
    <w:rsid w:val="00A2274A"/>
    <w:rsid w:val="00A23161"/>
    <w:rsid w:val="00A2353F"/>
    <w:rsid w:val="00A235B7"/>
    <w:rsid w:val="00A407EF"/>
    <w:rsid w:val="00A458BE"/>
    <w:rsid w:val="00A46B4C"/>
    <w:rsid w:val="00A5117B"/>
    <w:rsid w:val="00A51352"/>
    <w:rsid w:val="00A5460E"/>
    <w:rsid w:val="00A54909"/>
    <w:rsid w:val="00A60074"/>
    <w:rsid w:val="00A65F7D"/>
    <w:rsid w:val="00A6627C"/>
    <w:rsid w:val="00A71019"/>
    <w:rsid w:val="00A73F97"/>
    <w:rsid w:val="00A81029"/>
    <w:rsid w:val="00A83A2F"/>
    <w:rsid w:val="00A85189"/>
    <w:rsid w:val="00A96489"/>
    <w:rsid w:val="00A97725"/>
    <w:rsid w:val="00AA2DBF"/>
    <w:rsid w:val="00AB685C"/>
    <w:rsid w:val="00AB6C2D"/>
    <w:rsid w:val="00AC3839"/>
    <w:rsid w:val="00AC7082"/>
    <w:rsid w:val="00AD6A7D"/>
    <w:rsid w:val="00AE4781"/>
    <w:rsid w:val="00AF228E"/>
    <w:rsid w:val="00B13098"/>
    <w:rsid w:val="00B14819"/>
    <w:rsid w:val="00B17AA9"/>
    <w:rsid w:val="00B62B8A"/>
    <w:rsid w:val="00B72AE1"/>
    <w:rsid w:val="00B736DF"/>
    <w:rsid w:val="00B74F3B"/>
    <w:rsid w:val="00B74FBD"/>
    <w:rsid w:val="00B82586"/>
    <w:rsid w:val="00B86DB1"/>
    <w:rsid w:val="00B87869"/>
    <w:rsid w:val="00B906A7"/>
    <w:rsid w:val="00BB0F2B"/>
    <w:rsid w:val="00BB7914"/>
    <w:rsid w:val="00BC6A96"/>
    <w:rsid w:val="00BE018C"/>
    <w:rsid w:val="00BE5B51"/>
    <w:rsid w:val="00BF1C6F"/>
    <w:rsid w:val="00BF50F7"/>
    <w:rsid w:val="00C02F29"/>
    <w:rsid w:val="00C040BA"/>
    <w:rsid w:val="00C053F7"/>
    <w:rsid w:val="00C20A67"/>
    <w:rsid w:val="00C22A25"/>
    <w:rsid w:val="00C2538F"/>
    <w:rsid w:val="00C33C6C"/>
    <w:rsid w:val="00C35671"/>
    <w:rsid w:val="00C35B77"/>
    <w:rsid w:val="00C376EB"/>
    <w:rsid w:val="00C46EC1"/>
    <w:rsid w:val="00C51472"/>
    <w:rsid w:val="00C53E2C"/>
    <w:rsid w:val="00C550C8"/>
    <w:rsid w:val="00C606C3"/>
    <w:rsid w:val="00C72848"/>
    <w:rsid w:val="00C7736C"/>
    <w:rsid w:val="00C82D87"/>
    <w:rsid w:val="00C85A98"/>
    <w:rsid w:val="00C8712A"/>
    <w:rsid w:val="00C963D3"/>
    <w:rsid w:val="00CB2CBB"/>
    <w:rsid w:val="00CB3E1F"/>
    <w:rsid w:val="00CB54F2"/>
    <w:rsid w:val="00CB7CAC"/>
    <w:rsid w:val="00CC5335"/>
    <w:rsid w:val="00CC5BA4"/>
    <w:rsid w:val="00CC5ED6"/>
    <w:rsid w:val="00CD152A"/>
    <w:rsid w:val="00CD4998"/>
    <w:rsid w:val="00CE1035"/>
    <w:rsid w:val="00CF2819"/>
    <w:rsid w:val="00CF4F9D"/>
    <w:rsid w:val="00CF70DC"/>
    <w:rsid w:val="00D104E4"/>
    <w:rsid w:val="00D148DC"/>
    <w:rsid w:val="00D15D05"/>
    <w:rsid w:val="00D17FDC"/>
    <w:rsid w:val="00D214E5"/>
    <w:rsid w:val="00D32DFF"/>
    <w:rsid w:val="00D634B2"/>
    <w:rsid w:val="00D63EFD"/>
    <w:rsid w:val="00D649EE"/>
    <w:rsid w:val="00D771BE"/>
    <w:rsid w:val="00D84752"/>
    <w:rsid w:val="00D8586C"/>
    <w:rsid w:val="00D86B3B"/>
    <w:rsid w:val="00D8748A"/>
    <w:rsid w:val="00D93196"/>
    <w:rsid w:val="00DB243C"/>
    <w:rsid w:val="00DB482A"/>
    <w:rsid w:val="00DB56F2"/>
    <w:rsid w:val="00DB6EF5"/>
    <w:rsid w:val="00DC0391"/>
    <w:rsid w:val="00DC3089"/>
    <w:rsid w:val="00DC4420"/>
    <w:rsid w:val="00DC5F97"/>
    <w:rsid w:val="00DD0802"/>
    <w:rsid w:val="00DD2E11"/>
    <w:rsid w:val="00DE03AF"/>
    <w:rsid w:val="00DE121C"/>
    <w:rsid w:val="00DE5C01"/>
    <w:rsid w:val="00DE6633"/>
    <w:rsid w:val="00DF75F8"/>
    <w:rsid w:val="00DF7A3A"/>
    <w:rsid w:val="00E00C00"/>
    <w:rsid w:val="00E043A7"/>
    <w:rsid w:val="00E05C4E"/>
    <w:rsid w:val="00E07C5A"/>
    <w:rsid w:val="00E15BA9"/>
    <w:rsid w:val="00E26E19"/>
    <w:rsid w:val="00E42061"/>
    <w:rsid w:val="00E450A4"/>
    <w:rsid w:val="00E506BE"/>
    <w:rsid w:val="00E55547"/>
    <w:rsid w:val="00E6302B"/>
    <w:rsid w:val="00E6452F"/>
    <w:rsid w:val="00E64F45"/>
    <w:rsid w:val="00E6742D"/>
    <w:rsid w:val="00E70266"/>
    <w:rsid w:val="00E71CB0"/>
    <w:rsid w:val="00E77C3D"/>
    <w:rsid w:val="00E82365"/>
    <w:rsid w:val="00E909F0"/>
    <w:rsid w:val="00E93993"/>
    <w:rsid w:val="00E944FB"/>
    <w:rsid w:val="00EA0913"/>
    <w:rsid w:val="00EA40FF"/>
    <w:rsid w:val="00EB1896"/>
    <w:rsid w:val="00EB1F41"/>
    <w:rsid w:val="00EB45AC"/>
    <w:rsid w:val="00ED0BC4"/>
    <w:rsid w:val="00EE0C96"/>
    <w:rsid w:val="00EE4971"/>
    <w:rsid w:val="00EE744D"/>
    <w:rsid w:val="00EF090E"/>
    <w:rsid w:val="00F033DA"/>
    <w:rsid w:val="00F27CD8"/>
    <w:rsid w:val="00F30351"/>
    <w:rsid w:val="00F3323E"/>
    <w:rsid w:val="00F341F4"/>
    <w:rsid w:val="00F35CCE"/>
    <w:rsid w:val="00F37A5A"/>
    <w:rsid w:val="00F44220"/>
    <w:rsid w:val="00F5524B"/>
    <w:rsid w:val="00F61DD2"/>
    <w:rsid w:val="00F641B2"/>
    <w:rsid w:val="00F66AFF"/>
    <w:rsid w:val="00F71433"/>
    <w:rsid w:val="00F8241B"/>
    <w:rsid w:val="00F82D90"/>
    <w:rsid w:val="00F90B11"/>
    <w:rsid w:val="00F95C70"/>
    <w:rsid w:val="00F97C5B"/>
    <w:rsid w:val="00FA0749"/>
    <w:rsid w:val="00FA3D50"/>
    <w:rsid w:val="00FA3D5F"/>
    <w:rsid w:val="00FA7AFA"/>
    <w:rsid w:val="00FC374A"/>
    <w:rsid w:val="00FC46D4"/>
    <w:rsid w:val="00FC7B47"/>
    <w:rsid w:val="00FD035C"/>
    <w:rsid w:val="00FD1A35"/>
    <w:rsid w:val="00FD36C5"/>
    <w:rsid w:val="00FD58B2"/>
    <w:rsid w:val="00FD6310"/>
    <w:rsid w:val="00FD75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B13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11</Pages>
  <Words>3694</Words>
  <Characters>21060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 AL</cp:lastModifiedBy>
  <cp:revision>142</cp:revision>
  <cp:lastPrinted>2019-09-04T15:45:00Z</cp:lastPrinted>
  <dcterms:created xsi:type="dcterms:W3CDTF">2023-02-16T08:50:00Z</dcterms:created>
  <dcterms:modified xsi:type="dcterms:W3CDTF">2023-10-14T18:53:00Z</dcterms:modified>
</cp:coreProperties>
</file>