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lastRenderedPageBreak/>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lastRenderedPageBreak/>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Pargrafoda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88542F" w:rsidRDefault="00B736DF" w:rsidP="009E1027">
      <w:pPr>
        <w:pStyle w:val="PargrafodaLista"/>
        <w:numPr>
          <w:ilvl w:val="0"/>
          <w:numId w:val="12"/>
        </w:numPr>
        <w:ind w:left="426"/>
        <w:jc w:val="both"/>
        <w:rPr>
          <w:rFonts w:ascii="Avenir Next" w:hAnsi="Avenir Next" w:cs="Arial"/>
          <w:sz w:val="22"/>
          <w:szCs w:val="22"/>
          <w:highlight w:val="yellow"/>
          <w:lang w:val="en-GB"/>
        </w:rPr>
      </w:pPr>
      <w:r w:rsidRPr="0088542F">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Pargrafoda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PargrafodaLista"/>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Pargrafoda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4E6058" w:rsidRDefault="00161F1B" w:rsidP="009E1027">
      <w:pPr>
        <w:pStyle w:val="PargrafodaLista"/>
        <w:numPr>
          <w:ilvl w:val="0"/>
          <w:numId w:val="13"/>
        </w:numPr>
        <w:ind w:left="426"/>
        <w:jc w:val="both"/>
        <w:rPr>
          <w:rFonts w:ascii="Avenir Next" w:hAnsi="Avenir Next" w:cs="Arial"/>
          <w:sz w:val="22"/>
          <w:szCs w:val="22"/>
          <w:highlight w:val="yellow"/>
          <w:lang w:val="en-GB"/>
        </w:rPr>
      </w:pPr>
      <w:r w:rsidRPr="004E6058">
        <w:rPr>
          <w:rFonts w:ascii="Avenir Next" w:hAnsi="Avenir Next" w:cs="Arial"/>
          <w:sz w:val="22"/>
          <w:szCs w:val="22"/>
          <w:highlight w:val="yellow"/>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4E6058" w:rsidRDefault="00161F1B" w:rsidP="009E1027">
      <w:pPr>
        <w:pStyle w:val="PargrafodaLista"/>
        <w:numPr>
          <w:ilvl w:val="0"/>
          <w:numId w:val="13"/>
        </w:numPr>
        <w:ind w:left="426"/>
        <w:jc w:val="both"/>
        <w:rPr>
          <w:rFonts w:ascii="Avenir Next" w:hAnsi="Avenir Next" w:cs="Arial"/>
          <w:sz w:val="22"/>
          <w:szCs w:val="22"/>
          <w:lang w:val="en-GB"/>
        </w:rPr>
      </w:pPr>
      <w:r w:rsidRPr="004E6058">
        <w:rPr>
          <w:rFonts w:ascii="Avenir Next" w:hAnsi="Avenir Next" w:cs="Arial"/>
          <w:sz w:val="22"/>
          <w:szCs w:val="22"/>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PargrafodaLista"/>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Pargrafoda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Pargrafoda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EE25E8" w:rsidRDefault="009E2E27" w:rsidP="008031A7">
      <w:pPr>
        <w:pStyle w:val="PargrafodaLista"/>
        <w:numPr>
          <w:ilvl w:val="0"/>
          <w:numId w:val="14"/>
        </w:numPr>
        <w:ind w:left="426"/>
        <w:jc w:val="both"/>
        <w:rPr>
          <w:rFonts w:ascii="Avenir Next" w:hAnsi="Avenir Next" w:cs="Arial"/>
          <w:sz w:val="22"/>
          <w:szCs w:val="22"/>
          <w:highlight w:val="yellow"/>
          <w:lang w:val="en-GB"/>
        </w:rPr>
      </w:pPr>
      <w:r w:rsidRPr="00EE25E8">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PargrafodaLista"/>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B07569" w:rsidRDefault="009E2E27" w:rsidP="008031A7">
      <w:pPr>
        <w:pStyle w:val="PargrafodaLista"/>
        <w:numPr>
          <w:ilvl w:val="0"/>
          <w:numId w:val="15"/>
        </w:numPr>
        <w:ind w:left="426"/>
        <w:jc w:val="both"/>
        <w:rPr>
          <w:rFonts w:ascii="Avenir Next" w:hAnsi="Avenir Next" w:cs="Arial"/>
          <w:sz w:val="22"/>
          <w:szCs w:val="22"/>
          <w:lang w:val="en-GB"/>
        </w:rPr>
      </w:pPr>
      <w:r w:rsidRPr="00B07569">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Pargrafoda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B07569" w:rsidRDefault="009E2E27" w:rsidP="008031A7">
      <w:pPr>
        <w:pStyle w:val="PargrafodaLista"/>
        <w:numPr>
          <w:ilvl w:val="0"/>
          <w:numId w:val="15"/>
        </w:numPr>
        <w:ind w:left="426"/>
        <w:jc w:val="both"/>
        <w:rPr>
          <w:rFonts w:ascii="Avenir Next" w:hAnsi="Avenir Next" w:cs="Arial"/>
          <w:sz w:val="22"/>
          <w:szCs w:val="22"/>
          <w:highlight w:val="yellow"/>
          <w:lang w:val="en-GB"/>
        </w:rPr>
      </w:pPr>
      <w:r w:rsidRPr="00B07569">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PargrafodaLista"/>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6D2786" w:rsidRDefault="00A235B7" w:rsidP="006D01C2">
      <w:pPr>
        <w:pStyle w:val="PargrafodaLista"/>
        <w:numPr>
          <w:ilvl w:val="0"/>
          <w:numId w:val="16"/>
        </w:numPr>
        <w:ind w:left="426"/>
        <w:jc w:val="both"/>
        <w:rPr>
          <w:rFonts w:ascii="Avenir Next" w:hAnsi="Avenir Next" w:cs="Arial"/>
          <w:sz w:val="22"/>
          <w:szCs w:val="22"/>
          <w:highlight w:val="yellow"/>
          <w:lang w:val="en-GB"/>
        </w:rPr>
      </w:pPr>
      <w:r w:rsidRPr="006D2786">
        <w:rPr>
          <w:rFonts w:ascii="Avenir Next" w:hAnsi="Avenir Next" w:cs="Arial"/>
          <w:sz w:val="22"/>
          <w:szCs w:val="22"/>
          <w:highlight w:val="yellow"/>
          <w:lang w:val="en-GB"/>
        </w:rPr>
        <w:t>The statement</w:t>
      </w:r>
      <w:r w:rsidR="0037465A" w:rsidRPr="006D2786">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PargrafodaLista"/>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PargrafodaLista"/>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PargrafodaLista"/>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4E6058" w:rsidRDefault="00CB2CBB" w:rsidP="006D01C2">
      <w:pPr>
        <w:pStyle w:val="PargrafodaLista"/>
        <w:numPr>
          <w:ilvl w:val="0"/>
          <w:numId w:val="17"/>
        </w:numPr>
        <w:ind w:left="426"/>
        <w:jc w:val="both"/>
        <w:rPr>
          <w:rFonts w:ascii="Avenir Next" w:eastAsiaTheme="minorHAnsi" w:hAnsi="Avenir Next" w:cs="Arial"/>
          <w:sz w:val="22"/>
          <w:szCs w:val="22"/>
          <w:lang w:val="en-GB"/>
        </w:rPr>
      </w:pPr>
      <w:r w:rsidRPr="004E6058">
        <w:rPr>
          <w:rFonts w:ascii="Avenir Next" w:eastAsiaTheme="minorHAnsi" w:hAnsi="Avenir Next" w:cs="Arial"/>
          <w:sz w:val="22"/>
          <w:szCs w:val="22"/>
          <w:lang w:val="en-GB"/>
        </w:rPr>
        <w:t>Public International Law</w:t>
      </w:r>
      <w:r w:rsidR="00991428" w:rsidRPr="004E6058">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Pargrafoda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PargrafodaLista"/>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4E6058" w:rsidRDefault="00CB2CBB" w:rsidP="006D01C2">
      <w:pPr>
        <w:pStyle w:val="PargrafodaLista"/>
        <w:numPr>
          <w:ilvl w:val="0"/>
          <w:numId w:val="17"/>
        </w:numPr>
        <w:ind w:left="426"/>
        <w:jc w:val="both"/>
        <w:rPr>
          <w:rFonts w:ascii="Avenir Next" w:eastAsiaTheme="minorHAnsi" w:hAnsi="Avenir Next" w:cs="Arial"/>
          <w:sz w:val="22"/>
          <w:szCs w:val="22"/>
          <w:highlight w:val="yellow"/>
          <w:lang w:val="en-GB"/>
        </w:rPr>
      </w:pPr>
      <w:r w:rsidRPr="004E6058">
        <w:rPr>
          <w:rFonts w:ascii="Avenir Next" w:eastAsiaTheme="minorHAnsi" w:hAnsi="Avenir Next" w:cs="Arial"/>
          <w:sz w:val="22"/>
          <w:szCs w:val="22"/>
          <w:highlight w:val="yellow"/>
          <w:lang w:val="en-GB"/>
        </w:rPr>
        <w:t>Private International Law</w:t>
      </w:r>
      <w:r w:rsidR="00991428" w:rsidRPr="004E6058">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3D2BEB" w:rsidRDefault="005A0CCA" w:rsidP="006D01C2">
      <w:pPr>
        <w:pStyle w:val="PargrafodaLista"/>
        <w:numPr>
          <w:ilvl w:val="0"/>
          <w:numId w:val="18"/>
        </w:numPr>
        <w:ind w:left="426"/>
        <w:jc w:val="both"/>
        <w:rPr>
          <w:rFonts w:ascii="Avenir Next" w:hAnsi="Avenir Next" w:cs="Arial"/>
          <w:sz w:val="22"/>
          <w:szCs w:val="22"/>
          <w:lang w:val="en-GB"/>
        </w:rPr>
      </w:pPr>
      <w:r w:rsidRPr="003D2BEB">
        <w:rPr>
          <w:rFonts w:ascii="Avenir Next" w:hAnsi="Avenir Next" w:cs="Arial"/>
          <w:sz w:val="22"/>
          <w:szCs w:val="22"/>
          <w:lang w:val="en-GB"/>
        </w:rPr>
        <w:t>ALI</w:t>
      </w:r>
      <w:r w:rsidR="003E0B16" w:rsidRPr="003D2BEB">
        <w:rPr>
          <w:rFonts w:ascii="Avenir Next" w:hAnsi="Avenir Next" w:cs="Arial"/>
          <w:sz w:val="22"/>
          <w:szCs w:val="22"/>
          <w:lang w:val="en-GB"/>
        </w:rPr>
        <w:t xml:space="preserve"> </w:t>
      </w:r>
      <w:r w:rsidRPr="003D2BEB">
        <w:rPr>
          <w:rFonts w:ascii="Avenir Next" w:hAnsi="Avenir Next" w:cs="Arial"/>
          <w:sz w:val="22"/>
          <w:szCs w:val="22"/>
          <w:lang w:val="en-GB"/>
        </w:rPr>
        <w:t>/</w:t>
      </w:r>
      <w:r w:rsidR="003E0B16" w:rsidRPr="003D2BEB">
        <w:rPr>
          <w:rFonts w:ascii="Avenir Next" w:hAnsi="Avenir Next" w:cs="Arial"/>
          <w:sz w:val="22"/>
          <w:szCs w:val="22"/>
          <w:lang w:val="en-GB"/>
        </w:rPr>
        <w:t xml:space="preserve"> </w:t>
      </w:r>
      <w:r w:rsidRPr="003D2BEB">
        <w:rPr>
          <w:rFonts w:ascii="Avenir Next" w:hAnsi="Avenir Next" w:cs="Arial"/>
          <w:sz w:val="22"/>
          <w:szCs w:val="22"/>
          <w:lang w:val="en-GB"/>
        </w:rPr>
        <w:t>III Global Guidelines Applicable to Court-to-Court Communication in Cross-Border Cases (2012).</w:t>
      </w:r>
      <w:r w:rsidR="004D1A5A" w:rsidRPr="003D2BEB">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PargrafodaLista"/>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3D2BEB" w:rsidRDefault="006D01C2" w:rsidP="006D01C2">
      <w:pPr>
        <w:jc w:val="both"/>
        <w:rPr>
          <w:rFonts w:ascii="Avenir Next" w:hAnsi="Avenir Next" w:cs="Arial"/>
          <w:sz w:val="22"/>
          <w:szCs w:val="22"/>
          <w:shd w:val="clear" w:color="auto" w:fill="FFFFFF"/>
          <w:lang w:val="en-GB"/>
        </w:rPr>
      </w:pPr>
    </w:p>
    <w:p w14:paraId="37408071" w14:textId="40F76FCB" w:rsidR="0038533C" w:rsidRPr="004E6058" w:rsidRDefault="004D1A5A" w:rsidP="006D01C2">
      <w:pPr>
        <w:pStyle w:val="PargrafodaLista"/>
        <w:numPr>
          <w:ilvl w:val="0"/>
          <w:numId w:val="18"/>
        </w:numPr>
        <w:ind w:left="426"/>
        <w:jc w:val="both"/>
        <w:rPr>
          <w:rFonts w:ascii="Avenir Next" w:hAnsi="Avenir Next" w:cs="Arial"/>
          <w:sz w:val="22"/>
          <w:szCs w:val="22"/>
          <w:lang w:val="en-GB"/>
        </w:rPr>
      </w:pPr>
      <w:r w:rsidRPr="004E6058">
        <w:rPr>
          <w:rFonts w:ascii="Avenir Next" w:hAnsi="Avenir Next" w:cs="Arial"/>
          <w:sz w:val="22"/>
          <w:szCs w:val="22"/>
          <w:lang w:val="en-GB"/>
        </w:rPr>
        <w:t>UNCITRAL Model Law on Cross-border Insolvency (1997)</w:t>
      </w:r>
      <w:r w:rsidR="00912C79" w:rsidRPr="004E6058">
        <w:rPr>
          <w:rFonts w:ascii="Avenir Next" w:hAnsi="Avenir Next" w:cs="Arial"/>
          <w:sz w:val="22"/>
          <w:szCs w:val="22"/>
          <w:lang w:val="en-GB"/>
        </w:rPr>
        <w:t>.</w:t>
      </w:r>
      <w:r w:rsidRPr="004E6058">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4E6058" w:rsidRDefault="005A0CCA" w:rsidP="006D01C2">
      <w:pPr>
        <w:pStyle w:val="PargrafodaLista"/>
        <w:numPr>
          <w:ilvl w:val="0"/>
          <w:numId w:val="18"/>
        </w:numPr>
        <w:ind w:left="426"/>
        <w:jc w:val="both"/>
        <w:rPr>
          <w:rFonts w:ascii="Avenir Next" w:eastAsiaTheme="minorHAnsi" w:hAnsi="Avenir Next" w:cs="Arial"/>
          <w:sz w:val="22"/>
          <w:szCs w:val="22"/>
          <w:highlight w:val="yellow"/>
          <w:lang w:val="en-GB"/>
        </w:rPr>
      </w:pPr>
      <w:r w:rsidRPr="004E6058">
        <w:rPr>
          <w:rFonts w:ascii="Avenir Next" w:eastAsiaTheme="minorHAnsi" w:hAnsi="Avenir Next" w:cs="Arial"/>
          <w:sz w:val="22"/>
          <w:szCs w:val="22"/>
          <w:highlight w:val="yellow"/>
          <w:lang w:val="en-GB"/>
        </w:rPr>
        <w:t>JIN Guidelines for Communication and Cooperation between Courts in Cross-Border Insolvency Matters (2016)</w:t>
      </w:r>
      <w:r w:rsidR="00991428" w:rsidRPr="004E6058">
        <w:rPr>
          <w:rFonts w:ascii="Avenir Next" w:eastAsiaTheme="minorHAnsi" w:hAnsi="Avenir Next" w:cs="Arial"/>
          <w:sz w:val="22"/>
          <w:szCs w:val="22"/>
          <w:highlight w:val="yellow"/>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Pargrafoda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PargrafodaLista"/>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4E6058" w:rsidRDefault="001A7E9A" w:rsidP="006D01C2">
      <w:pPr>
        <w:pStyle w:val="PargrafodaLista"/>
        <w:numPr>
          <w:ilvl w:val="0"/>
          <w:numId w:val="19"/>
        </w:numPr>
        <w:ind w:left="426"/>
        <w:jc w:val="both"/>
        <w:rPr>
          <w:rFonts w:ascii="Avenir Next" w:hAnsi="Avenir Next" w:cs="Arial"/>
          <w:sz w:val="22"/>
          <w:szCs w:val="22"/>
          <w:highlight w:val="yellow"/>
          <w:lang w:val="en-GB"/>
        </w:rPr>
      </w:pPr>
      <w:r w:rsidRPr="004E6058">
        <w:rPr>
          <w:rFonts w:ascii="Avenir Next" w:hAnsi="Avenir Next" w:cs="Arial"/>
          <w:sz w:val="22"/>
          <w:szCs w:val="22"/>
          <w:highlight w:val="yellow"/>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4E6058" w:rsidRDefault="001A7E9A" w:rsidP="006D01C2">
      <w:pPr>
        <w:pStyle w:val="PargrafodaLista"/>
        <w:numPr>
          <w:ilvl w:val="0"/>
          <w:numId w:val="19"/>
        </w:numPr>
        <w:ind w:left="426"/>
        <w:jc w:val="both"/>
        <w:rPr>
          <w:rFonts w:ascii="Avenir Next" w:eastAsiaTheme="minorHAnsi" w:hAnsi="Avenir Next" w:cs="Arial"/>
          <w:sz w:val="22"/>
          <w:szCs w:val="22"/>
          <w:lang w:val="en-GB"/>
        </w:rPr>
      </w:pPr>
      <w:r w:rsidRPr="004E6058">
        <w:rPr>
          <w:rFonts w:ascii="Avenir Next" w:hAnsi="Avenir Next" w:cs="Arial"/>
          <w:sz w:val="22"/>
          <w:szCs w:val="22"/>
          <w:lang w:val="en-GB"/>
        </w:rPr>
        <w:t>Havana Convention on Private International Law (1928)</w:t>
      </w:r>
      <w:r w:rsidRPr="004E6058">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670E27" w:rsidRDefault="0082483F" w:rsidP="006D01C2">
      <w:pPr>
        <w:pStyle w:val="PargrafodaLista"/>
        <w:numPr>
          <w:ilvl w:val="0"/>
          <w:numId w:val="20"/>
        </w:numPr>
        <w:ind w:left="426"/>
        <w:jc w:val="both"/>
        <w:rPr>
          <w:rFonts w:ascii="Avenir Next" w:hAnsi="Avenir Next" w:cs="Arial"/>
          <w:sz w:val="22"/>
          <w:szCs w:val="22"/>
          <w:highlight w:val="yellow"/>
          <w:lang w:val="en-GB"/>
        </w:rPr>
      </w:pPr>
      <w:r w:rsidRPr="00670E27">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Pargrafoda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670E27" w:rsidRDefault="0082483F" w:rsidP="006D01C2">
      <w:pPr>
        <w:pStyle w:val="PargrafodaLista"/>
        <w:numPr>
          <w:ilvl w:val="0"/>
          <w:numId w:val="20"/>
        </w:numPr>
        <w:ind w:left="426"/>
        <w:jc w:val="both"/>
        <w:rPr>
          <w:rFonts w:ascii="Avenir Next" w:hAnsi="Avenir Next" w:cs="Arial"/>
          <w:sz w:val="22"/>
          <w:szCs w:val="22"/>
          <w:lang w:val="en-GB"/>
        </w:rPr>
      </w:pPr>
      <w:r w:rsidRPr="00670E27">
        <w:rPr>
          <w:rFonts w:ascii="Avenir Next" w:hAnsi="Avenir Next" w:cs="Arial"/>
          <w:sz w:val="22"/>
          <w:szCs w:val="22"/>
          <w:lang w:val="en-GB"/>
        </w:rPr>
        <w:t xml:space="preserve">A centralised insolvency </w:t>
      </w:r>
      <w:proofErr w:type="gramStart"/>
      <w:r w:rsidRPr="00670E27">
        <w:rPr>
          <w:rFonts w:ascii="Avenir Next" w:hAnsi="Avenir Next" w:cs="Arial"/>
          <w:sz w:val="22"/>
          <w:szCs w:val="22"/>
          <w:lang w:val="en-GB"/>
        </w:rPr>
        <w:t>register</w:t>
      </w:r>
      <w:proofErr w:type="gramEnd"/>
      <w:r w:rsidRPr="00670E27">
        <w:rPr>
          <w:rFonts w:ascii="Avenir Next" w:hAnsi="Avenir Next" w:cs="Arial"/>
          <w:sz w:val="22"/>
          <w:szCs w:val="22"/>
          <w:lang w:val="en-GB"/>
        </w:rPr>
        <w:t xml:space="preserve"> of insolvency proceedings opened in member states</w:t>
      </w:r>
      <w:r w:rsidR="003A2F8D" w:rsidRPr="00670E27">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PargrafodaLista"/>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w:t>
      </w:r>
      <w:r w:rsidRPr="00827D56">
        <w:rPr>
          <w:rFonts w:ascii="Avenir Next" w:hAnsi="Avenir Next" w:cs="Arial"/>
          <w:sz w:val="22"/>
          <w:szCs w:val="22"/>
          <w:lang w:val="en-GB"/>
        </w:rPr>
        <w:lastRenderedPageBreak/>
        <w:t>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287D53">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PargrafodaLista"/>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4934D065" w:rsidR="009B07AD" w:rsidRPr="00827D56" w:rsidRDefault="009B07AD" w:rsidP="00AA73EB">
      <w:pPr>
        <w:ind w:hanging="11"/>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287D53">
        <w:rPr>
          <w:rFonts w:ascii="Avenir Next" w:hAnsi="Avenir Next" w:cs="Arial"/>
          <w:color w:val="7B7B7B" w:themeColor="accent3" w:themeShade="BF"/>
          <w:sz w:val="22"/>
          <w:szCs w:val="22"/>
          <w:lang w:val="en-GB"/>
        </w:rPr>
        <w:t>International insolvency law means</w:t>
      </w:r>
      <w:r w:rsidR="00292138">
        <w:rPr>
          <w:rFonts w:ascii="Avenir Next" w:hAnsi="Avenir Next" w:cs="Arial"/>
          <w:color w:val="7B7B7B" w:themeColor="accent3" w:themeShade="BF"/>
          <w:sz w:val="22"/>
          <w:szCs w:val="22"/>
          <w:lang w:val="en-GB"/>
        </w:rPr>
        <w:t xml:space="preserve"> a complex of rules regarding insolvency definitions, institutes and proceedings which are meant to be universal </w:t>
      </w:r>
      <w:r w:rsidR="00AA73EB">
        <w:rPr>
          <w:rFonts w:ascii="Avenir Next" w:hAnsi="Avenir Next" w:cs="Arial"/>
          <w:color w:val="7B7B7B" w:themeColor="accent3" w:themeShade="BF"/>
          <w:sz w:val="22"/>
          <w:szCs w:val="22"/>
          <w:lang w:val="en-GB"/>
        </w:rPr>
        <w:t>despite</w:t>
      </w:r>
      <w:r w:rsidR="00292138">
        <w:rPr>
          <w:rFonts w:ascii="Avenir Next" w:hAnsi="Avenir Next" w:cs="Arial"/>
          <w:color w:val="7B7B7B" w:themeColor="accent3" w:themeShade="BF"/>
          <w:sz w:val="22"/>
          <w:szCs w:val="22"/>
          <w:lang w:val="en-GB"/>
        </w:rPr>
        <w:t xml:space="preserve"> the impossibility of being enforced and applicable in all States. As a global package of rules, international insolvency law reports to insolvency issues on cross-border (transnational) basis, providing </w:t>
      </w:r>
      <w:r w:rsidR="004E6058">
        <w:rPr>
          <w:rFonts w:ascii="Avenir Next" w:hAnsi="Avenir Next" w:cs="Arial"/>
          <w:color w:val="7B7B7B" w:themeColor="accent3" w:themeShade="BF"/>
          <w:sz w:val="22"/>
          <w:szCs w:val="22"/>
          <w:lang w:val="en-GB"/>
        </w:rPr>
        <w:t>a</w:t>
      </w:r>
      <w:r w:rsidR="00292138">
        <w:rPr>
          <w:rFonts w:ascii="Avenir Next" w:hAnsi="Avenir Next" w:cs="Arial"/>
          <w:color w:val="7B7B7B" w:themeColor="accent3" w:themeShade="BF"/>
          <w:sz w:val="22"/>
          <w:szCs w:val="22"/>
          <w:lang w:val="en-GB"/>
        </w:rPr>
        <w:t xml:space="preserve"> uniform approach as a form of levelling the different legal systems</w:t>
      </w:r>
      <w:r w:rsidR="00AA73EB">
        <w:rPr>
          <w:rFonts w:ascii="Avenir Next" w:hAnsi="Avenir Next" w:cs="Arial"/>
          <w:color w:val="7B7B7B" w:themeColor="accent3" w:themeShade="BF"/>
          <w:sz w:val="22"/>
          <w:szCs w:val="22"/>
          <w:lang w:val="en-GB"/>
        </w:rPr>
        <w:t xml:space="preserve"> or at least orientating interpretation and the construction or </w:t>
      </w:r>
      <w:r w:rsidR="00455D16">
        <w:rPr>
          <w:rFonts w:ascii="Avenir Next" w:hAnsi="Avenir Next" w:cs="Arial"/>
          <w:color w:val="7B7B7B" w:themeColor="accent3" w:themeShade="BF"/>
          <w:sz w:val="22"/>
          <w:szCs w:val="22"/>
          <w:lang w:val="en-GB"/>
        </w:rPr>
        <w:t xml:space="preserve">restructuring </w:t>
      </w:r>
      <w:r w:rsidR="00AA73EB">
        <w:rPr>
          <w:rFonts w:ascii="Avenir Next" w:hAnsi="Avenir Next" w:cs="Arial"/>
          <w:color w:val="7B7B7B" w:themeColor="accent3" w:themeShade="BF"/>
          <w:sz w:val="22"/>
          <w:szCs w:val="22"/>
          <w:lang w:val="en-GB"/>
        </w:rPr>
        <w:t>of local legal systems</w:t>
      </w:r>
      <w:r w:rsidR="00455D16">
        <w:rPr>
          <w:rFonts w:ascii="Avenir Next" w:hAnsi="Avenir Next" w:cs="Arial"/>
          <w:color w:val="7B7B7B" w:themeColor="accent3" w:themeShade="BF"/>
          <w:sz w:val="22"/>
          <w:szCs w:val="22"/>
          <w:lang w:val="en-GB"/>
        </w:rPr>
        <w:t>.]</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7D997F4F" w:rsidR="009B07AD" w:rsidRPr="00827D56" w:rsidRDefault="009B07AD" w:rsidP="00CF0C89">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455D16">
        <w:rPr>
          <w:rFonts w:ascii="Avenir Next" w:hAnsi="Avenir Next" w:cs="Arial"/>
          <w:color w:val="7B7B7B" w:themeColor="accent3" w:themeShade="BF"/>
          <w:sz w:val="22"/>
          <w:szCs w:val="22"/>
          <w:lang w:val="en-GB"/>
        </w:rPr>
        <w:t xml:space="preserve">Universalism and territorialism are both theories regarding cross-border insolvency problem resolutions. </w:t>
      </w:r>
      <w:proofErr w:type="gramStart"/>
      <w:r w:rsidR="00455D16">
        <w:rPr>
          <w:rFonts w:ascii="Avenir Next" w:hAnsi="Avenir Next" w:cs="Arial"/>
          <w:color w:val="7B7B7B" w:themeColor="accent3" w:themeShade="BF"/>
          <w:sz w:val="22"/>
          <w:szCs w:val="22"/>
          <w:lang w:val="en-GB"/>
        </w:rPr>
        <w:t>Universalism</w:t>
      </w:r>
      <w:proofErr w:type="gramEnd"/>
      <w:r w:rsidR="00455D16">
        <w:rPr>
          <w:rFonts w:ascii="Avenir Next" w:hAnsi="Avenir Next" w:cs="Arial"/>
          <w:color w:val="7B7B7B" w:themeColor="accent3" w:themeShade="BF"/>
          <w:sz w:val="22"/>
          <w:szCs w:val="22"/>
          <w:lang w:val="en-GB"/>
        </w:rPr>
        <w:t xml:space="preserve"> relate to the acknowledgement that only one forum should have jurisdiction on the insolvency proceeding. Territorialism, on the other hand, presuppose that insolvency proceedings may take place in every jurisdiction where </w:t>
      </w:r>
      <w:r w:rsidR="00CF0C89">
        <w:rPr>
          <w:rFonts w:ascii="Avenir Next" w:hAnsi="Avenir Next" w:cs="Arial"/>
          <w:color w:val="7B7B7B" w:themeColor="accent3" w:themeShade="BF"/>
          <w:sz w:val="22"/>
          <w:szCs w:val="22"/>
          <w:lang w:val="en-GB"/>
        </w:rPr>
        <w:t>assets ‘debtors</w:t>
      </w:r>
      <w:r w:rsidR="00455D16">
        <w:rPr>
          <w:rFonts w:ascii="Avenir Next" w:hAnsi="Avenir Next" w:cs="Arial"/>
          <w:color w:val="7B7B7B" w:themeColor="accent3" w:themeShade="BF"/>
          <w:sz w:val="22"/>
          <w:szCs w:val="22"/>
          <w:lang w:val="en-GB"/>
        </w:rPr>
        <w:t xml:space="preserve"> exist.</w:t>
      </w:r>
      <w:r w:rsidRPr="00827D56">
        <w:rPr>
          <w:rFonts w:ascii="Avenir Next" w:hAnsi="Avenir Next" w:cs="Arial"/>
          <w:color w:val="7B7B7B" w:themeColor="accent3" w:themeShade="BF"/>
          <w:sz w:val="22"/>
          <w:szCs w:val="22"/>
          <w:lang w:val="en-GB"/>
        </w:rPr>
        <w:t>]</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719A3803" w:rsidR="00C72848" w:rsidRPr="00827D56" w:rsidRDefault="00C72848" w:rsidP="00CF0C89">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lastRenderedPageBreak/>
        <w:t>[</w:t>
      </w:r>
      <w:r w:rsidR="00455D16">
        <w:rPr>
          <w:rFonts w:ascii="Avenir Next" w:hAnsi="Avenir Next" w:cs="Arial"/>
          <w:color w:val="7B7B7B" w:themeColor="accent3" w:themeShade="BF"/>
          <w:sz w:val="22"/>
          <w:szCs w:val="22"/>
          <w:lang w:val="en-GB"/>
        </w:rPr>
        <w:t>In the last years Saudi Arabia and Dubai have reformed their domestic insolvency laws</w:t>
      </w:r>
      <w:r w:rsidR="00CF0C89">
        <w:rPr>
          <w:rFonts w:ascii="Avenir Next" w:hAnsi="Avenir Next" w:cs="Arial"/>
          <w:color w:val="7B7B7B" w:themeColor="accent3" w:themeShade="BF"/>
          <w:sz w:val="22"/>
          <w:szCs w:val="22"/>
          <w:lang w:val="en-GB"/>
        </w:rPr>
        <w:t xml:space="preserve"> and Bahrain has adopted the Model Law on Cross-Border Insolvency.]</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05C1EE93" w:rsidR="00544127"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351167">
        <w:rPr>
          <w:rFonts w:ascii="Avenir Next" w:hAnsi="Avenir Next" w:cs="Arial"/>
          <w:color w:val="7B7B7B" w:themeColor="accent3" w:themeShade="BF"/>
          <w:sz w:val="22"/>
          <w:szCs w:val="22"/>
          <w:lang w:val="en-GB"/>
        </w:rPr>
        <w:t>Insolvency for corporations, as it might be intuitive on modern basis, is entitled to preserve the business; Insolvency for individuals, in its turn, is supposed to protect the debtor from the abuses perpetrated by his creditors, enabling – when possible – the debtor to make fresh start.</w:t>
      </w:r>
      <w:r w:rsidRPr="00827D56">
        <w:rPr>
          <w:rFonts w:ascii="Avenir Next" w:hAnsi="Avenir Next" w:cs="Arial"/>
          <w:color w:val="7B7B7B" w:themeColor="accent3" w:themeShade="BF"/>
          <w:sz w:val="22"/>
          <w:szCs w:val="22"/>
          <w:lang w:val="en-GB"/>
        </w:rPr>
        <w:t>]</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2B54E982" w:rsidR="00DF75F8"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450533">
        <w:rPr>
          <w:rFonts w:ascii="Avenir Next" w:hAnsi="Avenir Next" w:cs="Arial"/>
          <w:color w:val="7B7B7B" w:themeColor="accent3" w:themeShade="BF"/>
          <w:sz w:val="22"/>
          <w:szCs w:val="22"/>
          <w:lang w:val="en-GB"/>
        </w:rPr>
        <w:t>Dealing with insolvency law in a cross-border context relates to dealing with insolvency proceeding in one state and creditors in another, subsidiaries, assets, operations and creditors in multiple sta</w:t>
      </w:r>
      <w:r w:rsidR="00670E27">
        <w:rPr>
          <w:rFonts w:ascii="Avenir Next" w:hAnsi="Avenir Next" w:cs="Arial"/>
          <w:color w:val="7B7B7B" w:themeColor="accent3" w:themeShade="BF"/>
          <w:sz w:val="22"/>
          <w:szCs w:val="22"/>
          <w:lang w:val="en-GB"/>
        </w:rPr>
        <w:t>t</w:t>
      </w:r>
      <w:r w:rsidR="00450533">
        <w:rPr>
          <w:rFonts w:ascii="Avenir Next" w:hAnsi="Avenir Next" w:cs="Arial"/>
          <w:color w:val="7B7B7B" w:themeColor="accent3" w:themeShade="BF"/>
          <w:sz w:val="22"/>
          <w:szCs w:val="22"/>
          <w:lang w:val="en-GB"/>
        </w:rPr>
        <w:t>es, and many other complex situations</w:t>
      </w:r>
      <w:r w:rsidR="00670E27">
        <w:rPr>
          <w:rFonts w:ascii="Avenir Next" w:hAnsi="Avenir Next" w:cs="Arial"/>
          <w:color w:val="7B7B7B" w:themeColor="accent3" w:themeShade="BF"/>
          <w:sz w:val="22"/>
          <w:szCs w:val="22"/>
          <w:lang w:val="en-GB"/>
        </w:rPr>
        <w:t xml:space="preserve"> regarding the conflict of legislation, forum jurisdiction, enforcement of foreign decisions, etc</w:t>
      </w:r>
      <w:r w:rsidR="002C515C">
        <w:rPr>
          <w:rFonts w:ascii="Avenir Next" w:hAnsi="Avenir Next" w:cs="Arial"/>
          <w:color w:val="7B7B7B" w:themeColor="accent3" w:themeShade="BF"/>
          <w:sz w:val="22"/>
          <w:szCs w:val="22"/>
          <w:lang w:val="en-GB"/>
        </w:rPr>
        <w:t>.</w:t>
      </w:r>
      <w:r w:rsidRPr="00827D56">
        <w:rPr>
          <w:rFonts w:ascii="Avenir Next" w:hAnsi="Avenir Next" w:cs="Arial"/>
          <w:color w:val="7B7B7B" w:themeColor="accent3" w:themeShade="BF"/>
          <w:sz w:val="22"/>
          <w:szCs w:val="22"/>
          <w:lang w:val="en-GB"/>
        </w:rPr>
        <w:t>]</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3C1EF85A" w14:textId="015C2444" w:rsidR="002C515C" w:rsidRPr="00827D56" w:rsidRDefault="00DF75F8" w:rsidP="002C515C">
      <w:pPr>
        <w:ind w:hanging="11"/>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450533">
        <w:rPr>
          <w:rFonts w:ascii="Avenir Next" w:hAnsi="Avenir Next" w:cs="Arial"/>
          <w:color w:val="7B7B7B" w:themeColor="accent3" w:themeShade="BF"/>
          <w:sz w:val="22"/>
          <w:szCs w:val="22"/>
          <w:lang w:val="en-GB"/>
        </w:rPr>
        <w:t>In the 21</w:t>
      </w:r>
      <w:r w:rsidR="00450533" w:rsidRPr="00450533">
        <w:rPr>
          <w:rFonts w:ascii="Avenir Next" w:hAnsi="Avenir Next" w:cs="Arial"/>
          <w:color w:val="7B7B7B" w:themeColor="accent3" w:themeShade="BF"/>
          <w:sz w:val="22"/>
          <w:szCs w:val="22"/>
          <w:vertAlign w:val="superscript"/>
          <w:lang w:val="en-GB"/>
        </w:rPr>
        <w:t>st</w:t>
      </w:r>
      <w:r w:rsidR="00450533">
        <w:rPr>
          <w:rFonts w:ascii="Avenir Next" w:hAnsi="Avenir Next" w:cs="Arial"/>
          <w:color w:val="7B7B7B" w:themeColor="accent3" w:themeShade="BF"/>
          <w:sz w:val="22"/>
          <w:szCs w:val="22"/>
          <w:lang w:val="en-GB"/>
        </w:rPr>
        <w:t xml:space="preserve"> century there have been many attempts to promote harmonisation of domestic insolvency laws</w:t>
      </w:r>
      <w:r w:rsidR="002C515C">
        <w:rPr>
          <w:rFonts w:ascii="Avenir Next" w:hAnsi="Avenir Next" w:cs="Arial"/>
          <w:color w:val="7B7B7B" w:themeColor="accent3" w:themeShade="BF"/>
          <w:sz w:val="22"/>
          <w:szCs w:val="22"/>
          <w:lang w:val="en-GB"/>
        </w:rPr>
        <w:t xml:space="preserve"> which are corporified on multilateral documents, such as i. UNCITRAL Legislative Guide on Insolvency Law, the ii. Principles for Effective Insolvency and Creditor/Debtor Regimes, from World Bank and the iii. Report on the Harmonisation of Insolvency Law at EU Level, published by the European Parliament.] All of them, in my opinion, impact greatly in the addressing of international insolvency issues they all seem to </w:t>
      </w:r>
      <w:r w:rsidR="002C515C">
        <w:rPr>
          <w:rFonts w:ascii="Avenir Next" w:hAnsi="Avenir Next" w:cs="Arial"/>
          <w:color w:val="7B7B7B" w:themeColor="accent3" w:themeShade="BF"/>
          <w:sz w:val="22"/>
          <w:szCs w:val="22"/>
          <w:lang w:val="en-GB"/>
        </w:rPr>
        <w:t>provid</w:t>
      </w:r>
      <w:r w:rsidR="002C515C">
        <w:rPr>
          <w:rFonts w:ascii="Avenir Next" w:hAnsi="Avenir Next" w:cs="Arial"/>
          <w:color w:val="7B7B7B" w:themeColor="accent3" w:themeShade="BF"/>
          <w:sz w:val="22"/>
          <w:szCs w:val="22"/>
          <w:lang w:val="en-GB"/>
        </w:rPr>
        <w:t>e</w:t>
      </w:r>
      <w:r w:rsidR="002C515C">
        <w:rPr>
          <w:rFonts w:ascii="Avenir Next" w:hAnsi="Avenir Next" w:cs="Arial"/>
          <w:color w:val="7B7B7B" w:themeColor="accent3" w:themeShade="BF"/>
          <w:sz w:val="22"/>
          <w:szCs w:val="22"/>
          <w:lang w:val="en-GB"/>
        </w:rPr>
        <w:t xml:space="preserve"> </w:t>
      </w:r>
      <w:r w:rsidR="004E6058">
        <w:rPr>
          <w:rFonts w:ascii="Avenir Next" w:hAnsi="Avenir Next" w:cs="Arial"/>
          <w:color w:val="7B7B7B" w:themeColor="accent3" w:themeShade="BF"/>
          <w:sz w:val="22"/>
          <w:szCs w:val="22"/>
          <w:lang w:val="en-GB"/>
        </w:rPr>
        <w:t>a</w:t>
      </w:r>
      <w:r w:rsidR="002C515C">
        <w:rPr>
          <w:rFonts w:ascii="Avenir Next" w:hAnsi="Avenir Next" w:cs="Arial"/>
          <w:color w:val="7B7B7B" w:themeColor="accent3" w:themeShade="BF"/>
          <w:sz w:val="22"/>
          <w:szCs w:val="22"/>
          <w:lang w:val="en-GB"/>
        </w:rPr>
        <w:t xml:space="preserve"> uniform approach as a form of levelling the different legal systems or at least orientating interpretation and the construction or restructuring of local legal systems.]</w:t>
      </w:r>
    </w:p>
    <w:p w14:paraId="4E83D7AF" w14:textId="0B2A5643" w:rsidR="00DF75F8" w:rsidRPr="00827D56" w:rsidRDefault="00DF75F8" w:rsidP="00C053F7">
      <w:pPr>
        <w:jc w:val="both"/>
        <w:rPr>
          <w:rFonts w:ascii="Avenir Next" w:hAnsi="Avenir Next" w:cs="Arial"/>
          <w:sz w:val="22"/>
          <w:szCs w:val="22"/>
          <w:lang w:val="en-GB"/>
        </w:rPr>
      </w:pP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w:t>
      </w:r>
      <w:proofErr w:type="gramStart"/>
      <w:r w:rsidRPr="00827D56">
        <w:rPr>
          <w:rFonts w:ascii="Avenir Next" w:hAnsi="Avenir Next" w:cs="Arial"/>
          <w:sz w:val="22"/>
          <w:szCs w:val="22"/>
          <w:lang w:val="en-GB"/>
        </w:rPr>
        <w:t>Erewhon</w:t>
      </w:r>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7A8A32F9" w:rsidR="002F75A3" w:rsidRPr="00827D56" w:rsidRDefault="002F75A3"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3E02D1">
        <w:rPr>
          <w:rFonts w:ascii="Avenir Next" w:hAnsi="Avenir Next" w:cs="Arial"/>
          <w:color w:val="7B7B7B" w:themeColor="accent3" w:themeShade="BF"/>
          <w:sz w:val="22"/>
          <w:szCs w:val="22"/>
          <w:lang w:val="en-GB"/>
        </w:rPr>
        <w:t xml:space="preserve">I would advise the </w:t>
      </w:r>
      <w:proofErr w:type="spellStart"/>
      <w:r w:rsidR="003E02D1">
        <w:rPr>
          <w:rFonts w:ascii="Avenir Next" w:hAnsi="Avenir Next" w:cs="Arial"/>
          <w:color w:val="7B7B7B" w:themeColor="accent3" w:themeShade="BF"/>
          <w:sz w:val="22"/>
          <w:szCs w:val="22"/>
          <w:lang w:val="en-GB"/>
        </w:rPr>
        <w:t>Erewhon</w:t>
      </w:r>
      <w:proofErr w:type="spellEnd"/>
      <w:r w:rsidR="003E02D1">
        <w:rPr>
          <w:rFonts w:ascii="Avenir Next" w:hAnsi="Avenir Next" w:cs="Arial"/>
          <w:color w:val="7B7B7B" w:themeColor="accent3" w:themeShade="BF"/>
          <w:sz w:val="22"/>
          <w:szCs w:val="22"/>
          <w:lang w:val="en-GB"/>
        </w:rPr>
        <w:t xml:space="preserve"> liquidator positively in the sense that t</w:t>
      </w:r>
      <w:r w:rsidR="003E02D1" w:rsidRPr="003E02D1">
        <w:rPr>
          <w:rFonts w:ascii="Avenir Next" w:hAnsi="Avenir Next" w:cs="Arial"/>
          <w:color w:val="7B7B7B" w:themeColor="accent3" w:themeShade="BF"/>
          <w:sz w:val="22"/>
          <w:szCs w:val="22"/>
          <w:lang w:val="en-GB"/>
        </w:rPr>
        <w:t xml:space="preserve">he Cross-border Insolvency Act of Utopia may be potentially relevant in this </w:t>
      </w:r>
      <w:r w:rsidR="003E02D1">
        <w:rPr>
          <w:rFonts w:ascii="Avenir Next" w:hAnsi="Avenir Next" w:cs="Arial"/>
          <w:color w:val="7B7B7B" w:themeColor="accent3" w:themeShade="BF"/>
          <w:sz w:val="22"/>
          <w:szCs w:val="22"/>
          <w:lang w:val="en-GB"/>
        </w:rPr>
        <w:t>situation: firstly, the</w:t>
      </w:r>
      <w:r w:rsidR="003E02D1" w:rsidRPr="003E02D1">
        <w:rPr>
          <w:rFonts w:ascii="Avenir Next" w:hAnsi="Avenir Next" w:cs="Arial"/>
          <w:color w:val="7B7B7B" w:themeColor="accent3" w:themeShade="BF"/>
          <w:sz w:val="22"/>
          <w:szCs w:val="22"/>
          <w:lang w:val="en-GB"/>
        </w:rPr>
        <w:t xml:space="preserve"> Cross-border Insolvency Act of Utopia may allow </w:t>
      </w:r>
      <w:r w:rsidR="003E02D1">
        <w:rPr>
          <w:rFonts w:ascii="Avenir Next" w:hAnsi="Avenir Next" w:cs="Arial"/>
          <w:color w:val="7B7B7B" w:themeColor="accent3" w:themeShade="BF"/>
          <w:sz w:val="22"/>
          <w:szCs w:val="22"/>
          <w:lang w:val="en-GB"/>
        </w:rPr>
        <w:t>the</w:t>
      </w:r>
      <w:r w:rsidR="003E02D1" w:rsidRPr="003E02D1">
        <w:rPr>
          <w:rFonts w:ascii="Avenir Next" w:hAnsi="Avenir Next" w:cs="Arial"/>
          <w:color w:val="7B7B7B" w:themeColor="accent3" w:themeShade="BF"/>
          <w:sz w:val="22"/>
          <w:szCs w:val="22"/>
          <w:lang w:val="en-GB"/>
        </w:rPr>
        <w:t xml:space="preserve"> stay of proceedings in Utopia's courts if there is recognition of the </w:t>
      </w:r>
      <w:proofErr w:type="spellStart"/>
      <w:r w:rsidR="003E02D1" w:rsidRPr="003E02D1">
        <w:rPr>
          <w:rFonts w:ascii="Avenir Next" w:hAnsi="Avenir Next" w:cs="Arial"/>
          <w:color w:val="7B7B7B" w:themeColor="accent3" w:themeShade="BF"/>
          <w:sz w:val="22"/>
          <w:szCs w:val="22"/>
          <w:lang w:val="en-GB"/>
        </w:rPr>
        <w:t>Erewhon</w:t>
      </w:r>
      <w:proofErr w:type="spellEnd"/>
      <w:r w:rsidR="003E02D1" w:rsidRPr="003E02D1">
        <w:rPr>
          <w:rFonts w:ascii="Avenir Next" w:hAnsi="Avenir Next" w:cs="Arial"/>
          <w:color w:val="7B7B7B" w:themeColor="accent3" w:themeShade="BF"/>
          <w:sz w:val="22"/>
          <w:szCs w:val="22"/>
          <w:lang w:val="en-GB"/>
        </w:rPr>
        <w:t xml:space="preserve"> winding-up order</w:t>
      </w:r>
      <w:r w:rsidR="003E02D1">
        <w:rPr>
          <w:rFonts w:ascii="Avenir Next" w:hAnsi="Avenir Next" w:cs="Arial"/>
          <w:color w:val="7B7B7B" w:themeColor="accent3" w:themeShade="BF"/>
          <w:sz w:val="22"/>
          <w:szCs w:val="22"/>
          <w:lang w:val="en-GB"/>
        </w:rPr>
        <w:t>; secondly, the</w:t>
      </w:r>
      <w:r w:rsidR="003E02D1" w:rsidRPr="003E02D1">
        <w:rPr>
          <w:rFonts w:ascii="Avenir Next" w:hAnsi="Avenir Next" w:cs="Arial"/>
          <w:color w:val="7B7B7B" w:themeColor="accent3" w:themeShade="BF"/>
          <w:sz w:val="22"/>
          <w:szCs w:val="22"/>
          <w:lang w:val="en-GB"/>
        </w:rPr>
        <w:t xml:space="preserve"> Cross-border Insolvency Act of Utopia </w:t>
      </w:r>
      <w:r w:rsidR="003E02D1">
        <w:rPr>
          <w:rFonts w:ascii="Avenir Next" w:hAnsi="Avenir Next" w:cs="Arial"/>
          <w:color w:val="7B7B7B" w:themeColor="accent3" w:themeShade="BF"/>
          <w:sz w:val="22"/>
          <w:szCs w:val="22"/>
          <w:lang w:val="en-GB"/>
        </w:rPr>
        <w:t>shall</w:t>
      </w:r>
      <w:r w:rsidR="003E02D1" w:rsidRPr="003E02D1">
        <w:rPr>
          <w:rFonts w:ascii="Avenir Next" w:hAnsi="Avenir Next" w:cs="Arial"/>
          <w:color w:val="7B7B7B" w:themeColor="accent3" w:themeShade="BF"/>
          <w:sz w:val="22"/>
          <w:szCs w:val="22"/>
          <w:lang w:val="en-GB"/>
        </w:rPr>
        <w:t xml:space="preserve"> </w:t>
      </w:r>
      <w:r w:rsidR="00480849">
        <w:rPr>
          <w:rFonts w:ascii="Avenir Next" w:hAnsi="Avenir Next" w:cs="Arial"/>
          <w:color w:val="7B7B7B" w:themeColor="accent3" w:themeShade="BF"/>
          <w:sz w:val="22"/>
          <w:szCs w:val="22"/>
          <w:lang w:val="en-GB"/>
        </w:rPr>
        <w:t>provide</w:t>
      </w:r>
      <w:r w:rsidR="003E02D1" w:rsidRPr="003E02D1">
        <w:rPr>
          <w:rFonts w:ascii="Avenir Next" w:hAnsi="Avenir Next" w:cs="Arial"/>
          <w:color w:val="7B7B7B" w:themeColor="accent3" w:themeShade="BF"/>
          <w:sz w:val="22"/>
          <w:szCs w:val="22"/>
          <w:lang w:val="en-GB"/>
        </w:rPr>
        <w:t xml:space="preserve"> for the recognition of the winding-up order obtained against Nadir in </w:t>
      </w:r>
      <w:proofErr w:type="spellStart"/>
      <w:r w:rsidR="003E02D1" w:rsidRPr="003E02D1">
        <w:rPr>
          <w:rFonts w:ascii="Avenir Next" w:hAnsi="Avenir Next" w:cs="Arial"/>
          <w:color w:val="7B7B7B" w:themeColor="accent3" w:themeShade="BF"/>
          <w:sz w:val="22"/>
          <w:szCs w:val="22"/>
          <w:lang w:val="en-GB"/>
        </w:rPr>
        <w:t>Erewhon</w:t>
      </w:r>
      <w:proofErr w:type="spellEnd"/>
      <w:r w:rsidR="003E02D1">
        <w:rPr>
          <w:rFonts w:ascii="Avenir Next" w:hAnsi="Avenir Next" w:cs="Arial"/>
          <w:color w:val="7B7B7B" w:themeColor="accent3" w:themeShade="BF"/>
          <w:sz w:val="22"/>
          <w:szCs w:val="22"/>
          <w:lang w:val="en-GB"/>
        </w:rPr>
        <w:t>.</w:t>
      </w:r>
      <w:r w:rsidR="004E6058">
        <w:rPr>
          <w:rFonts w:ascii="Avenir Next" w:hAnsi="Avenir Next" w:cs="Arial"/>
          <w:color w:val="7B7B7B" w:themeColor="accent3" w:themeShade="BF"/>
          <w:sz w:val="22"/>
          <w:szCs w:val="22"/>
          <w:lang w:val="en-GB"/>
        </w:rPr>
        <w:t>]</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PargrafodaLista"/>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PargrafodaLista"/>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7805B63C"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lastRenderedPageBreak/>
        <w:t>[</w:t>
      </w:r>
      <w:r w:rsidR="003E02D1">
        <w:rPr>
          <w:rFonts w:ascii="Avenir Next" w:hAnsi="Avenir Next" w:cs="Arial"/>
          <w:color w:val="7B7B7B" w:themeColor="accent3" w:themeShade="BF"/>
          <w:sz w:val="22"/>
          <w:szCs w:val="22"/>
          <w:lang w:val="en-GB"/>
        </w:rPr>
        <w:t xml:space="preserve">The relevance of the </w:t>
      </w:r>
      <w:r w:rsidR="003E02D1" w:rsidRPr="003E02D1">
        <w:rPr>
          <w:rFonts w:ascii="Avenir Next" w:hAnsi="Avenir Next" w:cs="Arial"/>
          <w:color w:val="7B7B7B" w:themeColor="accent3" w:themeShade="BF"/>
          <w:sz w:val="22"/>
          <w:szCs w:val="22"/>
          <w:lang w:val="en-GB"/>
        </w:rPr>
        <w:t>Cross-border Insolvency Act of Utopia</w:t>
      </w:r>
      <w:r w:rsidR="003E02D1">
        <w:rPr>
          <w:rFonts w:ascii="Avenir Next" w:hAnsi="Avenir Next" w:cs="Arial"/>
          <w:color w:val="7B7B7B" w:themeColor="accent3" w:themeShade="BF"/>
          <w:sz w:val="22"/>
          <w:szCs w:val="22"/>
          <w:lang w:val="en-GB"/>
        </w:rPr>
        <w:t xml:space="preserve"> subsists. In the first scenario (a), </w:t>
      </w:r>
      <w:r w:rsidR="003E02D1">
        <w:rPr>
          <w:rFonts w:ascii="Avenir Next" w:hAnsi="Avenir Next" w:cs="Arial"/>
          <w:color w:val="7B7B7B" w:themeColor="accent3" w:themeShade="BF"/>
          <w:sz w:val="22"/>
          <w:szCs w:val="22"/>
        </w:rPr>
        <w:t xml:space="preserve">the </w:t>
      </w:r>
      <w:proofErr w:type="spellStart"/>
      <w:r w:rsidR="003E02D1">
        <w:rPr>
          <w:rFonts w:ascii="Avenir Next" w:hAnsi="Avenir Next" w:cs="Arial"/>
          <w:color w:val="7B7B7B" w:themeColor="accent3" w:themeShade="BF"/>
          <w:sz w:val="22"/>
          <w:szCs w:val="22"/>
        </w:rPr>
        <w:t>Erewhon</w:t>
      </w:r>
      <w:proofErr w:type="spellEnd"/>
      <w:r w:rsidR="003E02D1">
        <w:rPr>
          <w:rFonts w:ascii="Avenir Next" w:hAnsi="Avenir Next" w:cs="Arial"/>
          <w:color w:val="7B7B7B" w:themeColor="accent3" w:themeShade="BF"/>
          <w:sz w:val="22"/>
          <w:szCs w:val="22"/>
        </w:rPr>
        <w:t xml:space="preserve"> liquidator</w:t>
      </w:r>
      <w:r w:rsidR="003E02D1" w:rsidRPr="003E02D1">
        <w:rPr>
          <w:rFonts w:ascii="Avenir Next" w:hAnsi="Avenir Next" w:cs="Arial"/>
          <w:color w:val="7B7B7B" w:themeColor="accent3" w:themeShade="BF"/>
          <w:sz w:val="22"/>
          <w:szCs w:val="22"/>
        </w:rPr>
        <w:t xml:space="preserve"> may</w:t>
      </w:r>
      <w:r w:rsidR="003E02D1">
        <w:rPr>
          <w:rFonts w:ascii="Avenir Next" w:hAnsi="Avenir Next" w:cs="Arial"/>
          <w:color w:val="7B7B7B" w:themeColor="accent3" w:themeShade="BF"/>
          <w:sz w:val="22"/>
          <w:szCs w:val="22"/>
        </w:rPr>
        <w:t xml:space="preserve"> control Nadir´s assets by obtaining </w:t>
      </w:r>
      <w:proofErr w:type="gramStart"/>
      <w:r w:rsidR="003E02D1">
        <w:rPr>
          <w:rFonts w:ascii="Avenir Next" w:hAnsi="Avenir Next" w:cs="Arial"/>
          <w:color w:val="7B7B7B" w:themeColor="accent3" w:themeShade="BF"/>
          <w:sz w:val="22"/>
          <w:szCs w:val="22"/>
        </w:rPr>
        <w:t>an</w:t>
      </w:r>
      <w:proofErr w:type="gramEnd"/>
      <w:r w:rsidR="003E02D1" w:rsidRPr="003E02D1">
        <w:rPr>
          <w:rFonts w:ascii="Avenir Next" w:hAnsi="Avenir Next" w:cs="Arial"/>
          <w:color w:val="7B7B7B" w:themeColor="accent3" w:themeShade="BF"/>
          <w:sz w:val="22"/>
          <w:szCs w:val="22"/>
        </w:rPr>
        <w:t xml:space="preserve"> Utopian court</w:t>
      </w:r>
      <w:r w:rsidR="003E02D1">
        <w:rPr>
          <w:rFonts w:ascii="Avenir Next" w:hAnsi="Avenir Next" w:cs="Arial"/>
          <w:color w:val="7B7B7B" w:themeColor="accent3" w:themeShade="BF"/>
          <w:sz w:val="22"/>
          <w:szCs w:val="22"/>
        </w:rPr>
        <w:t xml:space="preserve"> order to</w:t>
      </w:r>
      <w:r w:rsidR="003E02D1" w:rsidRPr="003E02D1">
        <w:rPr>
          <w:rFonts w:ascii="Avenir Next" w:hAnsi="Avenir Next" w:cs="Arial"/>
          <w:color w:val="7B7B7B" w:themeColor="accent3" w:themeShade="BF"/>
          <w:sz w:val="22"/>
          <w:szCs w:val="22"/>
        </w:rPr>
        <w:t xml:space="preserve"> stay </w:t>
      </w:r>
      <w:r w:rsidR="003E02D1">
        <w:rPr>
          <w:rFonts w:ascii="Avenir Next" w:hAnsi="Avenir Next" w:cs="Arial"/>
          <w:color w:val="7B7B7B" w:themeColor="accent3" w:themeShade="BF"/>
          <w:sz w:val="22"/>
          <w:szCs w:val="22"/>
        </w:rPr>
        <w:t>the</w:t>
      </w:r>
      <w:r w:rsidR="003E02D1" w:rsidRPr="003E02D1">
        <w:rPr>
          <w:rFonts w:ascii="Avenir Next" w:hAnsi="Avenir Next" w:cs="Arial"/>
          <w:color w:val="7B7B7B" w:themeColor="accent3" w:themeShade="BF"/>
          <w:sz w:val="22"/>
          <w:szCs w:val="22"/>
        </w:rPr>
        <w:t xml:space="preserve"> winding-up proceedings initiated by Apex</w:t>
      </w:r>
      <w:r w:rsidR="003E02D1">
        <w:rPr>
          <w:rFonts w:ascii="Avenir Next" w:hAnsi="Avenir Next" w:cs="Arial"/>
          <w:color w:val="7B7B7B" w:themeColor="accent3" w:themeShade="BF"/>
          <w:sz w:val="22"/>
          <w:szCs w:val="22"/>
        </w:rPr>
        <w:t>, considering the</w:t>
      </w:r>
      <w:r w:rsidR="003E02D1" w:rsidRPr="003E02D1">
        <w:rPr>
          <w:rFonts w:ascii="Avenir Next" w:hAnsi="Avenir Next" w:cs="Arial"/>
          <w:color w:val="7B7B7B" w:themeColor="accent3" w:themeShade="BF"/>
          <w:sz w:val="22"/>
          <w:szCs w:val="22"/>
        </w:rPr>
        <w:t xml:space="preserve"> recognition of the </w:t>
      </w:r>
      <w:proofErr w:type="spellStart"/>
      <w:r w:rsidR="003E02D1" w:rsidRPr="003E02D1">
        <w:rPr>
          <w:rFonts w:ascii="Avenir Next" w:hAnsi="Avenir Next" w:cs="Arial"/>
          <w:color w:val="7B7B7B" w:themeColor="accent3" w:themeShade="BF"/>
          <w:sz w:val="22"/>
          <w:szCs w:val="22"/>
        </w:rPr>
        <w:t>Erewhon</w:t>
      </w:r>
      <w:proofErr w:type="spellEnd"/>
      <w:r w:rsidR="003E02D1" w:rsidRPr="003E02D1">
        <w:rPr>
          <w:rFonts w:ascii="Avenir Next" w:hAnsi="Avenir Next" w:cs="Arial"/>
          <w:color w:val="7B7B7B" w:themeColor="accent3" w:themeShade="BF"/>
          <w:sz w:val="22"/>
          <w:szCs w:val="22"/>
        </w:rPr>
        <w:t xml:space="preserve"> winding-up orde</w:t>
      </w:r>
      <w:r w:rsidR="003E02D1">
        <w:rPr>
          <w:rFonts w:ascii="Avenir Next" w:hAnsi="Avenir Next" w:cs="Arial"/>
          <w:color w:val="7B7B7B" w:themeColor="accent3" w:themeShade="BF"/>
          <w:sz w:val="22"/>
          <w:szCs w:val="22"/>
        </w:rPr>
        <w:t xml:space="preserve">r. In the second scenario, since Apex had obtained a court order to wind-up Nadir in Utopia prior to the </w:t>
      </w:r>
      <w:proofErr w:type="spellStart"/>
      <w:r w:rsidR="003E02D1">
        <w:rPr>
          <w:rFonts w:ascii="Avenir Next" w:hAnsi="Avenir Next" w:cs="Arial"/>
          <w:color w:val="7B7B7B" w:themeColor="accent3" w:themeShade="BF"/>
          <w:sz w:val="22"/>
          <w:szCs w:val="22"/>
        </w:rPr>
        <w:t>Erewhon</w:t>
      </w:r>
      <w:proofErr w:type="spellEnd"/>
      <w:r w:rsidR="003E02D1">
        <w:rPr>
          <w:rFonts w:ascii="Avenir Next" w:hAnsi="Avenir Next" w:cs="Arial"/>
          <w:color w:val="7B7B7B" w:themeColor="accent3" w:themeShade="BF"/>
          <w:sz w:val="22"/>
          <w:szCs w:val="22"/>
        </w:rPr>
        <w:t xml:space="preserve"> winding-up order, the </w:t>
      </w:r>
      <w:proofErr w:type="spellStart"/>
      <w:r w:rsidR="003E02D1">
        <w:rPr>
          <w:rFonts w:ascii="Avenir Next" w:hAnsi="Avenir Next" w:cs="Arial"/>
          <w:color w:val="7B7B7B" w:themeColor="accent3" w:themeShade="BF"/>
          <w:sz w:val="22"/>
          <w:szCs w:val="22"/>
        </w:rPr>
        <w:t>Erewhon</w:t>
      </w:r>
      <w:proofErr w:type="spellEnd"/>
      <w:r w:rsidR="003E02D1">
        <w:rPr>
          <w:rFonts w:ascii="Avenir Next" w:hAnsi="Avenir Next" w:cs="Arial"/>
          <w:color w:val="7B7B7B" w:themeColor="accent3" w:themeShade="BF"/>
          <w:sz w:val="22"/>
          <w:szCs w:val="22"/>
        </w:rPr>
        <w:t xml:space="preserve"> liquidator will </w:t>
      </w:r>
      <w:r w:rsidR="00480849">
        <w:rPr>
          <w:rFonts w:ascii="Avenir Next" w:hAnsi="Avenir Next" w:cs="Arial"/>
          <w:color w:val="7B7B7B" w:themeColor="accent3" w:themeShade="BF"/>
          <w:sz w:val="22"/>
          <w:szCs w:val="22"/>
        </w:rPr>
        <w:t xml:space="preserve">need to provide recognition and enforcement of the </w:t>
      </w:r>
      <w:proofErr w:type="spellStart"/>
      <w:r w:rsidR="00480849">
        <w:rPr>
          <w:rFonts w:ascii="Avenir Next" w:hAnsi="Avenir Next" w:cs="Arial"/>
          <w:color w:val="7B7B7B" w:themeColor="accent3" w:themeShade="BF"/>
          <w:sz w:val="22"/>
          <w:szCs w:val="22"/>
        </w:rPr>
        <w:t>Erewhon</w:t>
      </w:r>
      <w:proofErr w:type="spellEnd"/>
      <w:r w:rsidR="00480849">
        <w:rPr>
          <w:rFonts w:ascii="Avenir Next" w:hAnsi="Avenir Next" w:cs="Arial"/>
          <w:color w:val="7B7B7B" w:themeColor="accent3" w:themeShade="BF"/>
          <w:sz w:val="22"/>
          <w:szCs w:val="22"/>
        </w:rPr>
        <w:t xml:space="preserve"> winding-up order in Utopia.</w:t>
      </w:r>
      <w:r w:rsidRPr="00827D56">
        <w:rPr>
          <w:rFonts w:ascii="Avenir Next" w:hAnsi="Avenir Next" w:cs="Arial"/>
          <w:color w:val="7B7B7B" w:themeColor="accent3" w:themeShade="BF"/>
          <w:sz w:val="22"/>
          <w:szCs w:val="22"/>
          <w:lang w:val="en-GB"/>
        </w:rPr>
        <w:t>]</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1E1B11D5" w:rsidR="0077498C" w:rsidRPr="00827D56" w:rsidRDefault="0033768C" w:rsidP="00C053F7">
      <w:pPr>
        <w:jc w:val="both"/>
        <w:rPr>
          <w:rFonts w:ascii="Avenir Next" w:hAnsi="Avenir Next" w:cs="Arial"/>
          <w:color w:val="000000" w:themeColor="text1"/>
          <w:sz w:val="22"/>
          <w:szCs w:val="22"/>
          <w:lang w:val="en-GB"/>
        </w:rPr>
      </w:pPr>
      <w:r w:rsidRPr="00827D56">
        <w:rPr>
          <w:rFonts w:ascii="Avenir Next" w:hAnsi="Avenir Next" w:cs="Arial"/>
          <w:color w:val="7B7B7B" w:themeColor="accent3" w:themeShade="BF"/>
          <w:sz w:val="22"/>
          <w:szCs w:val="22"/>
          <w:lang w:val="en-GB"/>
        </w:rPr>
        <w:t>[</w:t>
      </w:r>
      <w:r w:rsidR="00480849">
        <w:rPr>
          <w:rFonts w:ascii="Avenir Next" w:hAnsi="Avenir Next" w:cs="Arial"/>
          <w:color w:val="7B7B7B" w:themeColor="accent3" w:themeShade="BF"/>
          <w:sz w:val="22"/>
          <w:szCs w:val="22"/>
          <w:lang w:val="en-GB"/>
        </w:rPr>
        <w:t xml:space="preserve">Selecting UK as a reference, four international insolvency issues may arise: </w:t>
      </w:r>
      <w:proofErr w:type="spellStart"/>
      <w:r w:rsidR="00480849">
        <w:rPr>
          <w:rFonts w:ascii="Avenir Next" w:hAnsi="Avenir Next" w:cs="Arial"/>
          <w:color w:val="7B7B7B" w:themeColor="accent3" w:themeShade="BF"/>
          <w:sz w:val="22"/>
          <w:szCs w:val="22"/>
          <w:lang w:val="en-GB"/>
        </w:rPr>
        <w:t>i</w:t>
      </w:r>
      <w:proofErr w:type="spellEnd"/>
      <w:r w:rsidR="00480849">
        <w:rPr>
          <w:rFonts w:ascii="Avenir Next" w:hAnsi="Avenir Next" w:cs="Arial"/>
          <w:color w:val="7B7B7B" w:themeColor="accent3" w:themeShade="BF"/>
          <w:sz w:val="22"/>
          <w:szCs w:val="22"/>
          <w:lang w:val="en-GB"/>
        </w:rPr>
        <w:t xml:space="preserve">. jurisdiction and applicable law (The Insolvency Act of 1986 </w:t>
      </w:r>
      <w:r w:rsidR="004E6058">
        <w:rPr>
          <w:rFonts w:ascii="Avenir Next" w:hAnsi="Avenir Next" w:cs="Arial"/>
          <w:color w:val="7B7B7B" w:themeColor="accent3" w:themeShade="BF"/>
          <w:sz w:val="22"/>
          <w:szCs w:val="22"/>
          <w:lang w:val="en-GB"/>
        </w:rPr>
        <w:t xml:space="preserve">of UK and the UNCITRAL Model Law on Cross-border insolvency are applicable), ii. asset realization in multiple states </w:t>
      </w:r>
      <w:r w:rsidR="004E6058">
        <w:rPr>
          <w:rFonts w:ascii="Avenir Next" w:hAnsi="Avenir Next" w:cs="Arial"/>
          <w:color w:val="7B7B7B" w:themeColor="accent3" w:themeShade="BF"/>
          <w:sz w:val="22"/>
          <w:szCs w:val="22"/>
          <w:lang w:val="en-GB"/>
        </w:rPr>
        <w:t>(The Insolvency Act of 1986 of UK and the UNCITRAL Model Law on Cross-border insolvency are applicable</w:t>
      </w:r>
      <w:r w:rsidR="004E6058">
        <w:rPr>
          <w:rFonts w:ascii="Avenir Next" w:hAnsi="Avenir Next" w:cs="Arial"/>
          <w:color w:val="7B7B7B" w:themeColor="accent3" w:themeShade="BF"/>
          <w:sz w:val="22"/>
          <w:szCs w:val="22"/>
          <w:lang w:val="en-GB"/>
        </w:rPr>
        <w:t>); iii. Taxation (The Insolvency Act of 1986 of UK is applicable, as long as bilateral tax treaties, iv. Director´s duties (The companies act of 2006 of the UK and the UNCITRAL Model Law on Cross-border insolvency are applicable).</w:t>
      </w:r>
      <w:r w:rsidRPr="00827D56">
        <w:rPr>
          <w:rFonts w:ascii="Avenir Next" w:hAnsi="Avenir Next" w:cs="Arial"/>
          <w:color w:val="7B7B7B" w:themeColor="accent3" w:themeShade="BF"/>
          <w:sz w:val="22"/>
          <w:szCs w:val="22"/>
          <w:lang w:val="en-GB"/>
        </w:rPr>
        <w:t>]</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2408" w14:textId="77777777" w:rsidR="00B44062" w:rsidRDefault="00B44062" w:rsidP="00241B44">
      <w:r>
        <w:separator/>
      </w:r>
    </w:p>
  </w:endnote>
  <w:endnote w:type="continuationSeparator" w:id="0">
    <w:p w14:paraId="60564E28" w14:textId="77777777" w:rsidR="00B44062" w:rsidRDefault="00B4406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AD6A7D">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06B7A9A3" w:rsidR="00E450A4" w:rsidRPr="00FC7B47" w:rsidRDefault="00445CE6" w:rsidP="00FC7B47">
    <w:pPr>
      <w:pStyle w:val="Rodap"/>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850997806"/>
      <w:docPartObj>
        <w:docPartGallery w:val="Page Numbers (Bottom of Page)"/>
        <w:docPartUnique/>
      </w:docPartObj>
    </w:sdtPr>
    <w:sdtEndPr>
      <w:rPr>
        <w:rStyle w:val="Nmerodepgina"/>
        <w:rFonts w:cstheme="minorBidi"/>
      </w:rPr>
    </w:sdtEndPr>
    <w:sdtContent>
      <w:p w14:paraId="280F1EF8" w14:textId="5FF93316" w:rsidR="00AD6A7D" w:rsidRPr="009634F4" w:rsidRDefault="00AD6A7D" w:rsidP="007B1575">
        <w:pPr>
          <w:pStyle w:val="Rodap"/>
          <w:framePr w:wrap="none" w:vAnchor="text" w:hAnchor="margin" w:xAlign="right" w:y="1"/>
          <w:rPr>
            <w:rStyle w:val="Nmerodepgina"/>
            <w:rFonts w:ascii="Avenir Next" w:hAnsi="Avenir Next"/>
            <w:sz w:val="22"/>
            <w:szCs w:val="22"/>
          </w:rPr>
        </w:pPr>
        <w:r w:rsidRPr="009634F4">
          <w:rPr>
            <w:rStyle w:val="Nmerodepgina"/>
            <w:rFonts w:ascii="Avenir Next" w:hAnsi="Avenir Next" w:cs="Arial"/>
            <w:sz w:val="22"/>
            <w:szCs w:val="22"/>
          </w:rPr>
          <w:t xml:space="preserve">Page </w:t>
        </w:r>
        <w:r w:rsidRPr="009634F4">
          <w:rPr>
            <w:rStyle w:val="Nmerodepgina"/>
            <w:rFonts w:ascii="Avenir Next" w:hAnsi="Avenir Next" w:cs="Arial"/>
            <w:sz w:val="22"/>
            <w:szCs w:val="22"/>
          </w:rPr>
          <w:fldChar w:fldCharType="begin"/>
        </w:r>
        <w:r w:rsidRPr="009634F4">
          <w:rPr>
            <w:rStyle w:val="Nmerodepgina"/>
            <w:rFonts w:ascii="Avenir Next" w:hAnsi="Avenir Next" w:cs="Arial"/>
            <w:sz w:val="22"/>
            <w:szCs w:val="22"/>
          </w:rPr>
          <w:instrText xml:space="preserve"> PAGE </w:instrText>
        </w:r>
        <w:r w:rsidRPr="009634F4">
          <w:rPr>
            <w:rStyle w:val="Nmerodepgina"/>
            <w:rFonts w:ascii="Avenir Next" w:hAnsi="Avenir Next" w:cs="Arial"/>
            <w:sz w:val="22"/>
            <w:szCs w:val="22"/>
          </w:rPr>
          <w:fldChar w:fldCharType="separate"/>
        </w:r>
        <w:r w:rsidRPr="009634F4">
          <w:rPr>
            <w:rStyle w:val="Nmerodepgina"/>
            <w:rFonts w:ascii="Avenir Next" w:hAnsi="Avenir Next" w:cs="Arial"/>
            <w:noProof/>
            <w:sz w:val="22"/>
            <w:szCs w:val="22"/>
          </w:rPr>
          <w:t>1</w:t>
        </w:r>
        <w:r w:rsidRPr="009634F4">
          <w:rPr>
            <w:rStyle w:val="Nmerodepgina"/>
            <w:rFonts w:ascii="Avenir Next" w:hAnsi="Avenir Next" w:cs="Arial"/>
            <w:sz w:val="22"/>
            <w:szCs w:val="22"/>
          </w:rPr>
          <w:fldChar w:fldCharType="end"/>
        </w:r>
      </w:p>
    </w:sdtContent>
  </w:sdt>
  <w:p w14:paraId="120BA9A5" w14:textId="0EAE8052" w:rsidR="00AD6A7D" w:rsidRPr="009634F4" w:rsidRDefault="00EE25E8" w:rsidP="00AD6A7D">
    <w:pPr>
      <w:pStyle w:val="Rodap"/>
      <w:ind w:right="360"/>
      <w:rPr>
        <w:rFonts w:ascii="Avenir Next" w:hAnsi="Avenir Next" w:cs="Arial"/>
        <w:sz w:val="22"/>
        <w:szCs w:val="22"/>
      </w:rPr>
    </w:pPr>
    <w:r w:rsidRPr="00EE25E8">
      <w:rPr>
        <w:rFonts w:ascii="Avenir Next" w:hAnsi="Avenir Next" w:cs="Arial"/>
        <w:sz w:val="22"/>
        <w:szCs w:val="22"/>
      </w:rPr>
      <w:t>FC202324-1453</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570B" w14:textId="77777777" w:rsidR="00B44062" w:rsidRDefault="00B44062" w:rsidP="00241B44">
      <w:r>
        <w:separator/>
      </w:r>
    </w:p>
  </w:footnote>
  <w:footnote w:type="continuationSeparator" w:id="0">
    <w:p w14:paraId="6FF1B2A4" w14:textId="77777777" w:rsidR="00B44062" w:rsidRDefault="00B4406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7"/>
  </w:num>
  <w:num w:numId="2" w16cid:durableId="2060397842">
    <w:abstractNumId w:val="19"/>
  </w:num>
  <w:num w:numId="3" w16cid:durableId="2114008986">
    <w:abstractNumId w:val="5"/>
  </w:num>
  <w:num w:numId="4" w16cid:durableId="743720607">
    <w:abstractNumId w:val="2"/>
  </w:num>
  <w:num w:numId="5" w16cid:durableId="464741948">
    <w:abstractNumId w:val="8"/>
  </w:num>
  <w:num w:numId="6" w16cid:durableId="554897999">
    <w:abstractNumId w:val="14"/>
  </w:num>
  <w:num w:numId="7" w16cid:durableId="1913469301">
    <w:abstractNumId w:val="20"/>
  </w:num>
  <w:num w:numId="8" w16cid:durableId="307983066">
    <w:abstractNumId w:val="13"/>
  </w:num>
  <w:num w:numId="9" w16cid:durableId="1128815150">
    <w:abstractNumId w:val="4"/>
  </w:num>
  <w:num w:numId="10" w16cid:durableId="485247179">
    <w:abstractNumId w:val="7"/>
  </w:num>
  <w:num w:numId="11" w16cid:durableId="632292612">
    <w:abstractNumId w:val="6"/>
  </w:num>
  <w:num w:numId="12" w16cid:durableId="1634409974">
    <w:abstractNumId w:val="3"/>
  </w:num>
  <w:num w:numId="13" w16cid:durableId="1176384513">
    <w:abstractNumId w:val="11"/>
  </w:num>
  <w:num w:numId="14" w16cid:durableId="742527874">
    <w:abstractNumId w:val="0"/>
  </w:num>
  <w:num w:numId="15" w16cid:durableId="1934196058">
    <w:abstractNumId w:val="1"/>
  </w:num>
  <w:num w:numId="16" w16cid:durableId="844056133">
    <w:abstractNumId w:val="12"/>
  </w:num>
  <w:num w:numId="17" w16cid:durableId="433281220">
    <w:abstractNumId w:val="10"/>
  </w:num>
  <w:num w:numId="18" w16cid:durableId="943150957">
    <w:abstractNumId w:val="18"/>
  </w:num>
  <w:num w:numId="19" w16cid:durableId="603925579">
    <w:abstractNumId w:val="15"/>
  </w:num>
  <w:num w:numId="20" w16cid:durableId="1098330611">
    <w:abstractNumId w:val="21"/>
  </w:num>
  <w:num w:numId="21" w16cid:durableId="1865051921">
    <w:abstractNumId w:val="16"/>
  </w:num>
  <w:num w:numId="22" w16cid:durableId="53917236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2D15"/>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87D53"/>
    <w:rsid w:val="00292138"/>
    <w:rsid w:val="0029433F"/>
    <w:rsid w:val="00294829"/>
    <w:rsid w:val="0029690F"/>
    <w:rsid w:val="002A2A60"/>
    <w:rsid w:val="002B1C45"/>
    <w:rsid w:val="002C13C8"/>
    <w:rsid w:val="002C1671"/>
    <w:rsid w:val="002C3547"/>
    <w:rsid w:val="002C515C"/>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51167"/>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BEB"/>
    <w:rsid w:val="003D2DA8"/>
    <w:rsid w:val="003E02D1"/>
    <w:rsid w:val="003E0B16"/>
    <w:rsid w:val="003E67D1"/>
    <w:rsid w:val="003F349F"/>
    <w:rsid w:val="003F5758"/>
    <w:rsid w:val="00405DC1"/>
    <w:rsid w:val="0040703F"/>
    <w:rsid w:val="00411B48"/>
    <w:rsid w:val="00415F1F"/>
    <w:rsid w:val="0042108F"/>
    <w:rsid w:val="00430FED"/>
    <w:rsid w:val="0043427C"/>
    <w:rsid w:val="00434A8C"/>
    <w:rsid w:val="00444284"/>
    <w:rsid w:val="00445CE6"/>
    <w:rsid w:val="00450533"/>
    <w:rsid w:val="004534C2"/>
    <w:rsid w:val="00455D16"/>
    <w:rsid w:val="0045683E"/>
    <w:rsid w:val="00480849"/>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E605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0E27"/>
    <w:rsid w:val="00677AEB"/>
    <w:rsid w:val="00687A1D"/>
    <w:rsid w:val="00697EA1"/>
    <w:rsid w:val="006A2646"/>
    <w:rsid w:val="006A6530"/>
    <w:rsid w:val="006B1CA2"/>
    <w:rsid w:val="006B435A"/>
    <w:rsid w:val="006B4C64"/>
    <w:rsid w:val="006D01C2"/>
    <w:rsid w:val="006D2786"/>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498C"/>
    <w:rsid w:val="00784128"/>
    <w:rsid w:val="00793173"/>
    <w:rsid w:val="007C1459"/>
    <w:rsid w:val="007C1FCC"/>
    <w:rsid w:val="007C6201"/>
    <w:rsid w:val="007C7BC7"/>
    <w:rsid w:val="007C7FF2"/>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8542F"/>
    <w:rsid w:val="0089145D"/>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1352"/>
    <w:rsid w:val="00A54909"/>
    <w:rsid w:val="00A60074"/>
    <w:rsid w:val="00A6627C"/>
    <w:rsid w:val="00A71019"/>
    <w:rsid w:val="00A81029"/>
    <w:rsid w:val="00A83A2F"/>
    <w:rsid w:val="00A96489"/>
    <w:rsid w:val="00A97725"/>
    <w:rsid w:val="00AA73EB"/>
    <w:rsid w:val="00AB685C"/>
    <w:rsid w:val="00AB6C2D"/>
    <w:rsid w:val="00AC3839"/>
    <w:rsid w:val="00AC7082"/>
    <w:rsid w:val="00AD6A7D"/>
    <w:rsid w:val="00AF228E"/>
    <w:rsid w:val="00B07569"/>
    <w:rsid w:val="00B14819"/>
    <w:rsid w:val="00B17AA9"/>
    <w:rsid w:val="00B44062"/>
    <w:rsid w:val="00B62B8A"/>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0C89"/>
    <w:rsid w:val="00CF2819"/>
    <w:rsid w:val="00CF4F9D"/>
    <w:rsid w:val="00CF70DC"/>
    <w:rsid w:val="00D104E4"/>
    <w:rsid w:val="00D148DC"/>
    <w:rsid w:val="00D17FDC"/>
    <w:rsid w:val="00D41D81"/>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25E8"/>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82D90"/>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2972</Words>
  <Characters>16054</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Carolina Silveira Beraldo</cp:lastModifiedBy>
  <cp:revision>2</cp:revision>
  <cp:lastPrinted>2019-09-04T15:45:00Z</cp:lastPrinted>
  <dcterms:created xsi:type="dcterms:W3CDTF">2023-10-14T01:27:00Z</dcterms:created>
  <dcterms:modified xsi:type="dcterms:W3CDTF">2023-10-14T01:27:00Z</dcterms:modified>
</cp:coreProperties>
</file>