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221673" w:rsidRDefault="00B736DF" w:rsidP="009E1027">
      <w:pPr>
        <w:pStyle w:val="ListParagraph"/>
        <w:numPr>
          <w:ilvl w:val="0"/>
          <w:numId w:val="12"/>
        </w:numPr>
        <w:ind w:left="426"/>
        <w:jc w:val="both"/>
        <w:rPr>
          <w:rFonts w:ascii="Avenir Next" w:hAnsi="Avenir Next" w:cs="Arial"/>
          <w:sz w:val="22"/>
          <w:szCs w:val="22"/>
          <w:highlight w:val="yellow"/>
          <w:lang w:val="en-GB"/>
        </w:rPr>
      </w:pPr>
      <w:r w:rsidRPr="00221673">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596E17" w:rsidRDefault="00161F1B" w:rsidP="009E1027">
      <w:pPr>
        <w:pStyle w:val="ListParagraph"/>
        <w:numPr>
          <w:ilvl w:val="0"/>
          <w:numId w:val="13"/>
        </w:numPr>
        <w:ind w:left="426"/>
        <w:jc w:val="both"/>
        <w:rPr>
          <w:rFonts w:ascii="Avenir Next" w:hAnsi="Avenir Next" w:cs="Arial"/>
          <w:sz w:val="22"/>
          <w:szCs w:val="22"/>
          <w:highlight w:val="yellow"/>
          <w:lang w:val="en-GB"/>
        </w:rPr>
      </w:pPr>
      <w:r w:rsidRPr="00596E1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747D15" w:rsidRDefault="009E2E27" w:rsidP="008031A7">
      <w:pPr>
        <w:pStyle w:val="ListParagraph"/>
        <w:numPr>
          <w:ilvl w:val="0"/>
          <w:numId w:val="14"/>
        </w:numPr>
        <w:ind w:left="426"/>
        <w:jc w:val="both"/>
        <w:rPr>
          <w:rFonts w:ascii="Avenir Next" w:hAnsi="Avenir Next" w:cs="Arial"/>
          <w:sz w:val="22"/>
          <w:szCs w:val="22"/>
          <w:highlight w:val="yellow"/>
          <w:lang w:val="en-GB"/>
        </w:rPr>
      </w:pPr>
      <w:r w:rsidRPr="00747D15">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747D15" w:rsidRDefault="009E2E27" w:rsidP="008031A7">
      <w:pPr>
        <w:pStyle w:val="ListParagraph"/>
        <w:numPr>
          <w:ilvl w:val="0"/>
          <w:numId w:val="15"/>
        </w:numPr>
        <w:ind w:left="426"/>
        <w:jc w:val="both"/>
        <w:rPr>
          <w:rFonts w:ascii="Avenir Next" w:hAnsi="Avenir Next" w:cs="Arial"/>
          <w:sz w:val="22"/>
          <w:szCs w:val="22"/>
          <w:highlight w:val="yellow"/>
          <w:lang w:val="en-GB"/>
        </w:rPr>
      </w:pPr>
      <w:r w:rsidRPr="00747D1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47D15" w:rsidRDefault="00A235B7" w:rsidP="006D01C2">
      <w:pPr>
        <w:pStyle w:val="ListParagraph"/>
        <w:numPr>
          <w:ilvl w:val="0"/>
          <w:numId w:val="16"/>
        </w:numPr>
        <w:ind w:left="426"/>
        <w:jc w:val="both"/>
        <w:rPr>
          <w:rFonts w:ascii="Avenir Next" w:hAnsi="Avenir Next" w:cs="Arial"/>
          <w:sz w:val="22"/>
          <w:szCs w:val="22"/>
          <w:highlight w:val="yellow"/>
          <w:lang w:val="en-GB"/>
        </w:rPr>
      </w:pPr>
      <w:r w:rsidRPr="00747D15">
        <w:rPr>
          <w:rFonts w:ascii="Avenir Next" w:hAnsi="Avenir Next" w:cs="Arial"/>
          <w:sz w:val="22"/>
          <w:szCs w:val="22"/>
          <w:highlight w:val="yellow"/>
          <w:lang w:val="en-GB"/>
        </w:rPr>
        <w:t>The statement</w:t>
      </w:r>
      <w:r w:rsidR="0037465A" w:rsidRPr="00747D1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094C05">
        <w:rPr>
          <w:rFonts w:ascii="Avenir Next" w:eastAsiaTheme="minorHAnsi" w:hAnsi="Avenir Next" w:cs="Arial"/>
          <w:sz w:val="22"/>
          <w:szCs w:val="22"/>
          <w:highlight w:val="yellow"/>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D204C9" w:rsidRDefault="005A0CCA" w:rsidP="006D01C2">
      <w:pPr>
        <w:pStyle w:val="ListParagraph"/>
        <w:numPr>
          <w:ilvl w:val="0"/>
          <w:numId w:val="18"/>
        </w:numPr>
        <w:ind w:left="426"/>
        <w:jc w:val="both"/>
        <w:rPr>
          <w:rFonts w:ascii="Avenir Next" w:hAnsi="Avenir Next" w:cs="Arial"/>
          <w:sz w:val="22"/>
          <w:szCs w:val="22"/>
          <w:highlight w:val="yellow"/>
          <w:lang w:val="en-GB"/>
        </w:rPr>
      </w:pPr>
      <w:r w:rsidRPr="00D204C9">
        <w:rPr>
          <w:rFonts w:ascii="Avenir Next" w:hAnsi="Avenir Next" w:cs="Arial"/>
          <w:sz w:val="22"/>
          <w:szCs w:val="22"/>
          <w:highlight w:val="yellow"/>
          <w:lang w:val="en-GB"/>
        </w:rPr>
        <w:t>ALI</w:t>
      </w:r>
      <w:r w:rsidR="003E0B16" w:rsidRPr="00D204C9">
        <w:rPr>
          <w:rFonts w:ascii="Avenir Next" w:hAnsi="Avenir Next" w:cs="Arial"/>
          <w:sz w:val="22"/>
          <w:szCs w:val="22"/>
          <w:highlight w:val="yellow"/>
          <w:lang w:val="en-GB"/>
        </w:rPr>
        <w:t xml:space="preserve"> </w:t>
      </w:r>
      <w:r w:rsidRPr="00D204C9">
        <w:rPr>
          <w:rFonts w:ascii="Avenir Next" w:hAnsi="Avenir Next" w:cs="Arial"/>
          <w:sz w:val="22"/>
          <w:szCs w:val="22"/>
          <w:highlight w:val="yellow"/>
          <w:lang w:val="en-GB"/>
        </w:rPr>
        <w:t>/</w:t>
      </w:r>
      <w:r w:rsidR="003E0B16" w:rsidRPr="00D204C9">
        <w:rPr>
          <w:rFonts w:ascii="Avenir Next" w:hAnsi="Avenir Next" w:cs="Arial"/>
          <w:sz w:val="22"/>
          <w:szCs w:val="22"/>
          <w:highlight w:val="yellow"/>
          <w:lang w:val="en-GB"/>
        </w:rPr>
        <w:t xml:space="preserve"> </w:t>
      </w:r>
      <w:r w:rsidRPr="00D204C9">
        <w:rPr>
          <w:rFonts w:ascii="Avenir Next" w:hAnsi="Avenir Next" w:cs="Arial"/>
          <w:sz w:val="22"/>
          <w:szCs w:val="22"/>
          <w:highlight w:val="yellow"/>
          <w:lang w:val="en-GB"/>
        </w:rPr>
        <w:t>III Global Guidelines Applicable to Court-to-Court Communication in Cross-Border Cases (2012).</w:t>
      </w:r>
      <w:r w:rsidR="004D1A5A" w:rsidRPr="00D204C9">
        <w:rPr>
          <w:rFonts w:ascii="Avenir Next" w:hAnsi="Avenir Next" w:cs="Arial"/>
          <w:sz w:val="22"/>
          <w:szCs w:val="22"/>
          <w:highlight w:val="yellow"/>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55708B">
        <w:rPr>
          <w:rFonts w:ascii="Avenir Next" w:hAnsi="Avenir Next" w:cs="Arial"/>
          <w:sz w:val="22"/>
          <w:szCs w:val="22"/>
          <w:highlight w:val="yellow"/>
          <w:lang w:val="en-GB"/>
        </w:rPr>
        <w:t>Havana Convention on Private International Law (1928)</w:t>
      </w:r>
      <w:r w:rsidRPr="0055708B">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D851D2" w:rsidRDefault="0082483F" w:rsidP="006D01C2">
      <w:pPr>
        <w:pStyle w:val="ListParagraph"/>
        <w:numPr>
          <w:ilvl w:val="0"/>
          <w:numId w:val="20"/>
        </w:numPr>
        <w:ind w:left="426"/>
        <w:jc w:val="both"/>
        <w:rPr>
          <w:rFonts w:ascii="Avenir Next" w:hAnsi="Avenir Next" w:cs="Arial"/>
          <w:sz w:val="22"/>
          <w:szCs w:val="22"/>
          <w:highlight w:val="yellow"/>
          <w:lang w:val="en-GB"/>
        </w:rPr>
      </w:pPr>
      <w:r w:rsidRPr="00D851D2">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D851D2">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694AF888" w:rsidR="00DE03AF" w:rsidRDefault="0009452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Cross border, or international insolvency, in its simplest form is an insolvency proceeding in one county, with creditors and/or assets located in at least one other country.</w:t>
      </w:r>
    </w:p>
    <w:p w14:paraId="3CD1376F" w14:textId="77777777" w:rsidR="0009452F" w:rsidRDefault="0009452F" w:rsidP="00C053F7">
      <w:pPr>
        <w:jc w:val="both"/>
        <w:rPr>
          <w:rFonts w:ascii="Avenir Next" w:hAnsi="Avenir Next" w:cs="Arial"/>
          <w:color w:val="7B7B7B" w:themeColor="accent3" w:themeShade="BF"/>
          <w:sz w:val="22"/>
          <w:szCs w:val="22"/>
          <w:lang w:val="en-GB"/>
        </w:rPr>
      </w:pPr>
    </w:p>
    <w:p w14:paraId="69588938" w14:textId="3F95C792" w:rsidR="000A787A" w:rsidRDefault="000A787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global parliament, single system, enforcement body or international court in place that applies throughout the world, therefore t</w:t>
      </w:r>
      <w:r w:rsidR="0009452F">
        <w:rPr>
          <w:rFonts w:ascii="Avenir Next" w:hAnsi="Avenir Next" w:cs="Arial"/>
          <w:color w:val="7B7B7B" w:themeColor="accent3" w:themeShade="BF"/>
          <w:sz w:val="22"/>
          <w:szCs w:val="22"/>
          <w:lang w:val="en-GB"/>
        </w:rPr>
        <w:t xml:space="preserve">here is no single international insolvency law that applies </w:t>
      </w:r>
      <w:r w:rsidR="00B94F82">
        <w:rPr>
          <w:rFonts w:ascii="Avenir Next" w:hAnsi="Avenir Next" w:cs="Arial"/>
          <w:color w:val="7B7B7B" w:themeColor="accent3" w:themeShade="BF"/>
          <w:sz w:val="22"/>
          <w:szCs w:val="22"/>
          <w:lang w:val="en-GB"/>
        </w:rPr>
        <w:t xml:space="preserve">to an international insolvency </w:t>
      </w:r>
      <w:r w:rsidR="0009452F">
        <w:rPr>
          <w:rFonts w:ascii="Avenir Next" w:hAnsi="Avenir Next" w:cs="Arial"/>
          <w:color w:val="7B7B7B" w:themeColor="accent3" w:themeShade="BF"/>
          <w:sz w:val="22"/>
          <w:szCs w:val="22"/>
          <w:lang w:val="en-GB"/>
        </w:rPr>
        <w:t>throughout the wor</w:t>
      </w:r>
      <w:r w:rsidR="006B03BB">
        <w:rPr>
          <w:rFonts w:ascii="Avenir Next" w:hAnsi="Avenir Next" w:cs="Arial"/>
          <w:color w:val="7B7B7B" w:themeColor="accent3" w:themeShade="BF"/>
          <w:sz w:val="22"/>
          <w:szCs w:val="22"/>
          <w:lang w:val="en-GB"/>
        </w:rPr>
        <w:t>ld</w:t>
      </w:r>
      <w:r>
        <w:rPr>
          <w:rFonts w:ascii="Avenir Next" w:hAnsi="Avenir Next" w:cs="Arial"/>
          <w:color w:val="7B7B7B" w:themeColor="accent3" w:themeShade="BF"/>
          <w:sz w:val="22"/>
          <w:szCs w:val="22"/>
          <w:lang w:val="en-GB"/>
        </w:rPr>
        <w:t>,</w:t>
      </w:r>
      <w:r w:rsidR="0009452F">
        <w:rPr>
          <w:rFonts w:ascii="Avenir Next" w:hAnsi="Avenir Next" w:cs="Arial"/>
          <w:color w:val="7B7B7B" w:themeColor="accent3" w:themeShade="BF"/>
          <w:sz w:val="22"/>
          <w:szCs w:val="22"/>
          <w:lang w:val="en-GB"/>
        </w:rPr>
        <w:t xml:space="preserve"> however </w:t>
      </w:r>
      <w:r>
        <w:rPr>
          <w:rFonts w:ascii="Avenir Next" w:hAnsi="Avenir Next" w:cs="Arial"/>
          <w:color w:val="7B7B7B" w:themeColor="accent3" w:themeShade="BF"/>
          <w:sz w:val="22"/>
          <w:szCs w:val="22"/>
          <w:lang w:val="en-GB"/>
        </w:rPr>
        <w:t>many people refer to</w:t>
      </w:r>
      <w:r w:rsidR="0009452F">
        <w:rPr>
          <w:rFonts w:ascii="Avenir Next" w:hAnsi="Avenir Next" w:cs="Arial"/>
          <w:color w:val="7B7B7B" w:themeColor="accent3" w:themeShade="BF"/>
          <w:sz w:val="22"/>
          <w:szCs w:val="22"/>
          <w:lang w:val="en-GB"/>
        </w:rPr>
        <w:t xml:space="preserve"> “international insolvency </w:t>
      </w:r>
      <w:r w:rsidR="00D851D2">
        <w:rPr>
          <w:rFonts w:ascii="Avenir Next" w:hAnsi="Avenir Next" w:cs="Arial"/>
          <w:color w:val="7B7B7B" w:themeColor="accent3" w:themeShade="BF"/>
          <w:sz w:val="22"/>
          <w:szCs w:val="22"/>
          <w:lang w:val="en-GB"/>
        </w:rPr>
        <w:t>law</w:t>
      </w:r>
      <w:r w:rsidR="00FE4168">
        <w:rPr>
          <w:rFonts w:ascii="Avenir Next" w:hAnsi="Avenir Next" w:cs="Arial"/>
          <w:color w:val="7B7B7B" w:themeColor="accent3" w:themeShade="BF"/>
          <w:sz w:val="22"/>
          <w:szCs w:val="22"/>
          <w:lang w:val="en-GB"/>
        </w:rPr>
        <w:t>/rules</w:t>
      </w:r>
      <w:r w:rsidR="00D851D2">
        <w:rPr>
          <w:rFonts w:ascii="Avenir Next" w:hAnsi="Avenir Next" w:cs="Arial"/>
          <w:color w:val="7B7B7B" w:themeColor="accent3" w:themeShade="BF"/>
          <w:sz w:val="22"/>
          <w:szCs w:val="22"/>
          <w:lang w:val="en-GB"/>
        </w:rPr>
        <w:t>”.</w:t>
      </w:r>
      <w:r w:rsidR="0009452F">
        <w:rPr>
          <w:rFonts w:ascii="Avenir Next" w:hAnsi="Avenir Next" w:cs="Arial"/>
          <w:color w:val="7B7B7B" w:themeColor="accent3" w:themeShade="BF"/>
          <w:sz w:val="22"/>
          <w:szCs w:val="22"/>
          <w:lang w:val="en-GB"/>
        </w:rPr>
        <w:t xml:space="preserve"> When referenced to in this way, it is </w:t>
      </w:r>
      <w:r>
        <w:rPr>
          <w:rFonts w:ascii="Avenir Next" w:hAnsi="Avenir Next" w:cs="Arial"/>
          <w:color w:val="7B7B7B" w:themeColor="accent3" w:themeShade="BF"/>
          <w:sz w:val="22"/>
          <w:szCs w:val="22"/>
          <w:lang w:val="en-GB"/>
        </w:rPr>
        <w:t>acknowledging</w:t>
      </w:r>
      <w:r w:rsidR="0009452F">
        <w:rPr>
          <w:rFonts w:ascii="Avenir Next" w:hAnsi="Avenir Next" w:cs="Arial"/>
          <w:color w:val="7B7B7B" w:themeColor="accent3" w:themeShade="BF"/>
          <w:sz w:val="22"/>
          <w:szCs w:val="22"/>
          <w:lang w:val="en-GB"/>
        </w:rPr>
        <w:t xml:space="preserve"> that </w:t>
      </w:r>
      <w:r>
        <w:rPr>
          <w:rFonts w:ascii="Avenir Next" w:hAnsi="Avenir Next" w:cs="Arial"/>
          <w:color w:val="7B7B7B" w:themeColor="accent3" w:themeShade="BF"/>
          <w:sz w:val="22"/>
          <w:szCs w:val="22"/>
          <w:lang w:val="en-GB"/>
        </w:rPr>
        <w:t xml:space="preserve">there are </w:t>
      </w:r>
      <w:r w:rsidR="0009452F">
        <w:rPr>
          <w:rFonts w:ascii="Avenir Next" w:hAnsi="Avenir Next" w:cs="Arial"/>
          <w:color w:val="7B7B7B" w:themeColor="accent3" w:themeShade="BF"/>
          <w:sz w:val="22"/>
          <w:szCs w:val="22"/>
          <w:lang w:val="en-GB"/>
        </w:rPr>
        <w:t>cross-border insolvency rules</w:t>
      </w:r>
      <w:r>
        <w:rPr>
          <w:rFonts w:ascii="Avenir Next" w:hAnsi="Avenir Next" w:cs="Arial"/>
          <w:color w:val="7B7B7B" w:themeColor="accent3" w:themeShade="BF"/>
          <w:sz w:val="22"/>
          <w:szCs w:val="22"/>
          <w:lang w:val="en-GB"/>
        </w:rPr>
        <w:t>, but they may</w:t>
      </w:r>
      <w:r w:rsidR="0009452F">
        <w:rPr>
          <w:rFonts w:ascii="Avenir Next" w:hAnsi="Avenir Next" w:cs="Arial"/>
          <w:color w:val="7B7B7B" w:themeColor="accent3" w:themeShade="BF"/>
          <w:sz w:val="22"/>
          <w:szCs w:val="22"/>
          <w:lang w:val="en-GB"/>
        </w:rPr>
        <w:t xml:space="preserve"> differ between states</w:t>
      </w:r>
      <w:r>
        <w:rPr>
          <w:rFonts w:ascii="Avenir Next" w:hAnsi="Avenir Next" w:cs="Arial"/>
          <w:color w:val="7B7B7B" w:themeColor="accent3" w:themeShade="BF"/>
          <w:sz w:val="22"/>
          <w:szCs w:val="22"/>
          <w:lang w:val="en-GB"/>
        </w:rPr>
        <w:t xml:space="preserve">. </w:t>
      </w:r>
    </w:p>
    <w:p w14:paraId="64266E0E" w14:textId="77777777" w:rsidR="000A787A" w:rsidRDefault="000A787A" w:rsidP="00C053F7">
      <w:pPr>
        <w:jc w:val="both"/>
        <w:rPr>
          <w:rFonts w:ascii="Avenir Next" w:hAnsi="Avenir Next" w:cs="Arial"/>
          <w:color w:val="7B7B7B" w:themeColor="accent3" w:themeShade="BF"/>
          <w:sz w:val="22"/>
          <w:szCs w:val="22"/>
          <w:lang w:val="en-GB"/>
        </w:rPr>
      </w:pPr>
    </w:p>
    <w:p w14:paraId="116156D7" w14:textId="61B8D8EF" w:rsidR="0009452F" w:rsidRDefault="000A787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Wessels defines international insolvency law as </w:t>
      </w:r>
      <w:r>
        <w:rPr>
          <w:rFonts w:ascii="Avenir Next" w:hAnsi="Avenir Next" w:cs="Arial"/>
          <w:i/>
          <w:iCs/>
          <w:color w:val="7B7B7B" w:themeColor="accent3" w:themeShade="BF"/>
          <w:sz w:val="22"/>
          <w:szCs w:val="22"/>
          <w:lang w:val="en-GB"/>
        </w:rPr>
        <w:t>“a body of rules concerning certain insolvency proceedings or measures, which</w:t>
      </w:r>
      <w:r w:rsidR="0009452F">
        <w:rPr>
          <w:rFonts w:ascii="Avenir Next" w:hAnsi="Avenir Next" w:cs="Arial"/>
          <w:color w:val="7B7B7B" w:themeColor="accent3" w:themeShade="BF"/>
          <w:sz w:val="22"/>
          <w:szCs w:val="22"/>
          <w:lang w:val="en-GB"/>
        </w:rPr>
        <w:t xml:space="preserve"> </w:t>
      </w:r>
      <w:r w:rsidR="0009452F" w:rsidRPr="000A787A">
        <w:rPr>
          <w:rFonts w:ascii="Avenir Next" w:hAnsi="Avenir Next" w:cs="Arial"/>
          <w:i/>
          <w:iCs/>
          <w:color w:val="7B7B7B" w:themeColor="accent3" w:themeShade="BF"/>
          <w:sz w:val="22"/>
          <w:szCs w:val="22"/>
          <w:lang w:val="en-GB"/>
        </w:rPr>
        <w:t>cannot always be fully enforced</w:t>
      </w:r>
      <w:r w:rsidR="006B03BB" w:rsidRPr="000A787A">
        <w:rPr>
          <w:rFonts w:ascii="Avenir Next" w:hAnsi="Avenir Next" w:cs="Arial"/>
          <w:i/>
          <w:iCs/>
          <w:color w:val="7B7B7B" w:themeColor="accent3" w:themeShade="BF"/>
          <w:sz w:val="22"/>
          <w:szCs w:val="22"/>
          <w:lang w:val="en-GB"/>
        </w:rPr>
        <w:t xml:space="preserve"> because the applicable law cannot be executed immediately and exclusively without consideration being given to the international aspect of a case</w:t>
      </w:r>
      <w:r>
        <w:rPr>
          <w:rFonts w:ascii="Avenir Next" w:hAnsi="Avenir Next" w:cs="Arial"/>
          <w:i/>
          <w:iCs/>
          <w:color w:val="7B7B7B" w:themeColor="accent3" w:themeShade="BF"/>
          <w:sz w:val="22"/>
          <w:szCs w:val="22"/>
          <w:lang w:val="en-GB"/>
        </w:rPr>
        <w:t>”</w:t>
      </w:r>
      <w:r w:rsidR="006B03BB" w:rsidRPr="000A787A">
        <w:rPr>
          <w:rStyle w:val="FootnoteReference"/>
          <w:rFonts w:ascii="Avenir Next" w:hAnsi="Avenir Next" w:cs="Arial"/>
          <w:color w:val="7B7B7B" w:themeColor="accent3" w:themeShade="BF"/>
          <w:sz w:val="22"/>
          <w:szCs w:val="22"/>
          <w:lang w:val="en-GB"/>
        </w:rPr>
        <w:footnoteReference w:id="1"/>
      </w:r>
      <w:r w:rsidR="006B03BB" w:rsidRPr="000A787A">
        <w:rPr>
          <w:rFonts w:ascii="Avenir Next" w:hAnsi="Avenir Next" w:cs="Arial"/>
          <w:color w:val="7B7B7B" w:themeColor="accent3" w:themeShade="BF"/>
          <w:sz w:val="22"/>
          <w:szCs w:val="22"/>
          <w:lang w:val="en-GB"/>
        </w:rPr>
        <w:t>.</w:t>
      </w:r>
    </w:p>
    <w:p w14:paraId="454D33E4" w14:textId="77777777" w:rsidR="0009452F" w:rsidRDefault="0009452F" w:rsidP="00C053F7">
      <w:pPr>
        <w:jc w:val="both"/>
        <w:rPr>
          <w:rFonts w:ascii="Avenir Next" w:hAnsi="Avenir Next" w:cs="Arial"/>
          <w:color w:val="7B7B7B" w:themeColor="accent3" w:themeShade="BF"/>
          <w:sz w:val="22"/>
          <w:szCs w:val="22"/>
          <w:lang w:val="en-GB"/>
        </w:rPr>
      </w:pPr>
    </w:p>
    <w:p w14:paraId="236182B4" w14:textId="0A9E1335" w:rsidR="00094D9A" w:rsidRDefault="00094D9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Fletcher proposes that international insolvency should be considered a situation</w:t>
      </w:r>
      <w:r w:rsidR="00C7472E">
        <w:rPr>
          <w:rFonts w:ascii="Avenir Next" w:hAnsi="Avenir Next" w:cs="Arial"/>
          <w:color w:val="7B7B7B" w:themeColor="accent3" w:themeShade="BF"/>
          <w:sz w:val="22"/>
          <w:szCs w:val="22"/>
          <w:lang w:val="en-GB"/>
        </w:rPr>
        <w:t xml:space="preserve"> rather than a law or set of rules</w:t>
      </w:r>
      <w:r>
        <w:rPr>
          <w:rFonts w:ascii="Avenir Next" w:hAnsi="Avenir Next" w:cs="Arial"/>
          <w:color w:val="7B7B7B" w:themeColor="accent3" w:themeShade="BF"/>
          <w:sz w:val="22"/>
          <w:szCs w:val="22"/>
          <w:lang w:val="en-GB"/>
        </w:rPr>
        <w:t xml:space="preserve">, whereby a set of circumstances occur which in some way cause a need to transcend the confines of a </w:t>
      </w:r>
      <w:r w:rsidR="006B03BB">
        <w:rPr>
          <w:rFonts w:ascii="Avenir Next" w:hAnsi="Avenir Next" w:cs="Arial"/>
          <w:color w:val="7B7B7B" w:themeColor="accent3" w:themeShade="BF"/>
          <w:sz w:val="22"/>
          <w:szCs w:val="22"/>
          <w:lang w:val="en-GB"/>
        </w:rPr>
        <w:t>single</w:t>
      </w:r>
      <w:r>
        <w:rPr>
          <w:rFonts w:ascii="Avenir Next" w:hAnsi="Avenir Next" w:cs="Arial"/>
          <w:color w:val="7B7B7B" w:themeColor="accent3" w:themeShade="BF"/>
          <w:sz w:val="22"/>
          <w:szCs w:val="22"/>
          <w:lang w:val="en-GB"/>
        </w:rPr>
        <w:t xml:space="preserve"> legal system</w:t>
      </w:r>
      <w:r>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w:t>
      </w:r>
    </w:p>
    <w:p w14:paraId="3786693B" w14:textId="77777777" w:rsidR="00C7472E" w:rsidRPr="00827D56" w:rsidRDefault="00C7472E"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0A787A">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3021D50B" w:rsidR="009B07AD" w:rsidRDefault="003B227F" w:rsidP="003B227F">
      <w:pPr>
        <w:jc w:val="both"/>
        <w:rPr>
          <w:rFonts w:ascii="Avenir Next" w:hAnsi="Avenir Next" w:cs="Arial"/>
          <w:color w:val="7B7B7B" w:themeColor="accent3" w:themeShade="BF"/>
          <w:sz w:val="22"/>
          <w:szCs w:val="22"/>
          <w:lang w:val="en-GB"/>
        </w:rPr>
      </w:pPr>
      <w:bookmarkStart w:id="0" w:name="_Hlk147421031"/>
      <w:r>
        <w:rPr>
          <w:rFonts w:ascii="Avenir Next" w:hAnsi="Avenir Next" w:cs="Arial"/>
          <w:color w:val="7B7B7B" w:themeColor="accent3" w:themeShade="BF"/>
          <w:sz w:val="22"/>
          <w:szCs w:val="22"/>
          <w:lang w:val="en-GB"/>
        </w:rPr>
        <w:t>There are various</w:t>
      </w:r>
      <w:r w:rsidR="00094D9A">
        <w:rPr>
          <w:rFonts w:ascii="Avenir Next" w:hAnsi="Avenir Next" w:cs="Arial"/>
          <w:color w:val="7B7B7B" w:themeColor="accent3" w:themeShade="BF"/>
          <w:sz w:val="22"/>
          <w:szCs w:val="22"/>
          <w:lang w:val="en-GB"/>
        </w:rPr>
        <w:t xml:space="preserve"> two main</w:t>
      </w:r>
      <w:r>
        <w:rPr>
          <w:rFonts w:ascii="Avenir Next" w:hAnsi="Avenir Next" w:cs="Arial"/>
          <w:color w:val="7B7B7B" w:themeColor="accent3" w:themeShade="BF"/>
          <w:sz w:val="22"/>
          <w:szCs w:val="22"/>
          <w:lang w:val="en-GB"/>
        </w:rPr>
        <w:t xml:space="preserve"> approaches to insolvency proceedings that are followed around the world</w:t>
      </w:r>
      <w:r w:rsidR="00094D9A">
        <w:rPr>
          <w:rFonts w:ascii="Avenir Next" w:hAnsi="Avenir Next" w:cs="Arial"/>
          <w:color w:val="7B7B7B" w:themeColor="accent3" w:themeShade="BF"/>
          <w:sz w:val="22"/>
          <w:szCs w:val="22"/>
          <w:lang w:val="en-GB"/>
        </w:rPr>
        <w:t>, known as</w:t>
      </w:r>
      <w:r w:rsidR="00EF2CB6">
        <w:rPr>
          <w:rFonts w:ascii="Avenir Next" w:hAnsi="Avenir Next" w:cs="Arial"/>
          <w:color w:val="7B7B7B" w:themeColor="accent3" w:themeShade="BF"/>
          <w:sz w:val="22"/>
          <w:szCs w:val="22"/>
          <w:lang w:val="en-GB"/>
        </w:rPr>
        <w:t xml:space="preserve"> universality</w:t>
      </w:r>
      <w:r w:rsidR="00094D9A">
        <w:rPr>
          <w:rFonts w:ascii="Avenir Next" w:hAnsi="Avenir Next" w:cs="Arial"/>
          <w:color w:val="7B7B7B" w:themeColor="accent3" w:themeShade="BF"/>
          <w:sz w:val="22"/>
          <w:szCs w:val="22"/>
          <w:lang w:val="en-GB"/>
        </w:rPr>
        <w:t xml:space="preserve"> (or universalism)</w:t>
      </w:r>
      <w:r w:rsidR="00EF2CB6">
        <w:rPr>
          <w:rFonts w:ascii="Avenir Next" w:hAnsi="Avenir Next" w:cs="Arial"/>
          <w:color w:val="7B7B7B" w:themeColor="accent3" w:themeShade="BF"/>
          <w:sz w:val="22"/>
          <w:szCs w:val="22"/>
          <w:lang w:val="en-GB"/>
        </w:rPr>
        <w:t>, and territoriality</w:t>
      </w:r>
      <w:r w:rsidR="00094D9A">
        <w:rPr>
          <w:rFonts w:ascii="Avenir Next" w:hAnsi="Avenir Next" w:cs="Arial"/>
          <w:color w:val="7B7B7B" w:themeColor="accent3" w:themeShade="BF"/>
          <w:sz w:val="22"/>
          <w:szCs w:val="22"/>
          <w:lang w:val="en-GB"/>
        </w:rPr>
        <w:t xml:space="preserve"> (or ter</w:t>
      </w:r>
      <w:r w:rsidR="004E3326">
        <w:rPr>
          <w:rFonts w:ascii="Avenir Next" w:hAnsi="Avenir Next" w:cs="Arial"/>
          <w:color w:val="7B7B7B" w:themeColor="accent3" w:themeShade="BF"/>
          <w:sz w:val="22"/>
          <w:szCs w:val="22"/>
          <w:lang w:val="en-GB"/>
        </w:rPr>
        <w:t>ri</w:t>
      </w:r>
      <w:r w:rsidR="00094D9A">
        <w:rPr>
          <w:rFonts w:ascii="Avenir Next" w:hAnsi="Avenir Next" w:cs="Arial"/>
          <w:color w:val="7B7B7B" w:themeColor="accent3" w:themeShade="BF"/>
          <w:sz w:val="22"/>
          <w:szCs w:val="22"/>
          <w:lang w:val="en-GB"/>
        </w:rPr>
        <w:t>torialism)</w:t>
      </w:r>
      <w:r w:rsidR="00EF2CB6">
        <w:rPr>
          <w:rFonts w:ascii="Avenir Next" w:hAnsi="Avenir Next" w:cs="Arial"/>
          <w:color w:val="7B7B7B" w:themeColor="accent3" w:themeShade="BF"/>
          <w:sz w:val="22"/>
          <w:szCs w:val="22"/>
          <w:lang w:val="en-GB"/>
        </w:rPr>
        <w:t>.</w:t>
      </w:r>
    </w:p>
    <w:p w14:paraId="74797793" w14:textId="77777777" w:rsidR="003B227F" w:rsidRDefault="003B227F" w:rsidP="00C053F7">
      <w:pPr>
        <w:ind w:left="720" w:hanging="720"/>
        <w:jc w:val="both"/>
        <w:rPr>
          <w:rFonts w:ascii="Avenir Next" w:hAnsi="Avenir Next" w:cs="Arial"/>
          <w:color w:val="7B7B7B" w:themeColor="accent3" w:themeShade="BF"/>
          <w:sz w:val="22"/>
          <w:szCs w:val="22"/>
          <w:lang w:val="en-GB"/>
        </w:rPr>
      </w:pPr>
    </w:p>
    <w:p w14:paraId="0DE80643" w14:textId="62AE13A7" w:rsidR="0071750E" w:rsidRDefault="003B227F" w:rsidP="003B227F">
      <w:pPr>
        <w:jc w:val="both"/>
        <w:rPr>
          <w:rFonts w:ascii="Avenir Next" w:hAnsi="Avenir Next" w:cs="Arial"/>
          <w:color w:val="7B7B7B" w:themeColor="accent3" w:themeShade="BF"/>
          <w:sz w:val="22"/>
          <w:szCs w:val="22"/>
          <w:lang w:val="en-GB"/>
        </w:rPr>
      </w:pPr>
      <w:r w:rsidRPr="003B227F">
        <w:rPr>
          <w:rFonts w:ascii="Avenir Next" w:hAnsi="Avenir Next" w:cs="Arial"/>
          <w:color w:val="7B7B7B" w:themeColor="accent3" w:themeShade="BF"/>
          <w:sz w:val="22"/>
          <w:szCs w:val="22"/>
          <w:lang w:val="en-GB"/>
        </w:rPr>
        <w:t>The first</w:t>
      </w:r>
      <w:r w:rsidR="00A4165B">
        <w:rPr>
          <w:rFonts w:ascii="Avenir Next" w:hAnsi="Avenir Next" w:cs="Arial"/>
          <w:color w:val="7B7B7B" w:themeColor="accent3" w:themeShade="BF"/>
          <w:sz w:val="22"/>
          <w:szCs w:val="22"/>
          <w:lang w:val="en-GB"/>
        </w:rPr>
        <w:t xml:space="preserve">, </w:t>
      </w:r>
      <w:r w:rsidRPr="003B227F">
        <w:rPr>
          <w:rFonts w:ascii="Avenir Next" w:hAnsi="Avenir Next" w:cs="Arial"/>
          <w:color w:val="7B7B7B" w:themeColor="accent3" w:themeShade="BF"/>
          <w:sz w:val="22"/>
          <w:szCs w:val="22"/>
          <w:lang w:val="en-GB"/>
        </w:rPr>
        <w:t>Universali</w:t>
      </w:r>
      <w:r w:rsidR="00A4165B">
        <w:rPr>
          <w:rFonts w:ascii="Avenir Next" w:hAnsi="Avenir Next" w:cs="Arial"/>
          <w:color w:val="7B7B7B" w:themeColor="accent3" w:themeShade="BF"/>
          <w:sz w:val="22"/>
          <w:szCs w:val="22"/>
          <w:lang w:val="en-GB"/>
        </w:rPr>
        <w:t>sm</w:t>
      </w:r>
      <w:r w:rsidRPr="003B227F">
        <w:rPr>
          <w:rFonts w:ascii="Avenir Next" w:hAnsi="Avenir Next" w:cs="Arial"/>
          <w:color w:val="7B7B7B" w:themeColor="accent3" w:themeShade="BF"/>
          <w:sz w:val="22"/>
          <w:szCs w:val="22"/>
          <w:lang w:val="en-GB"/>
        </w:rPr>
        <w:t xml:space="preserve">, prescribes that the law of lex </w:t>
      </w:r>
      <w:proofErr w:type="spellStart"/>
      <w:r w:rsidRPr="003B227F">
        <w:rPr>
          <w:rFonts w:ascii="Avenir Next" w:hAnsi="Avenir Next" w:cs="Arial"/>
          <w:color w:val="7B7B7B" w:themeColor="accent3" w:themeShade="BF"/>
          <w:sz w:val="22"/>
          <w:szCs w:val="22"/>
          <w:lang w:val="en-GB"/>
        </w:rPr>
        <w:t>concurus</w:t>
      </w:r>
      <w:proofErr w:type="spellEnd"/>
      <w:r w:rsidRPr="003B227F">
        <w:rPr>
          <w:rFonts w:ascii="Avenir Next" w:hAnsi="Avenir Next" w:cs="Arial"/>
          <w:color w:val="7B7B7B" w:themeColor="accent3" w:themeShade="BF"/>
          <w:sz w:val="22"/>
          <w:szCs w:val="22"/>
          <w:lang w:val="en-GB"/>
        </w:rPr>
        <w:t xml:space="preserve"> should regulate the matter</w:t>
      </w:r>
      <w:r>
        <w:rPr>
          <w:rFonts w:ascii="Avenir Next" w:hAnsi="Avenir Next" w:cs="Arial"/>
          <w:color w:val="7B7B7B" w:themeColor="accent3" w:themeShade="BF"/>
          <w:sz w:val="22"/>
          <w:szCs w:val="22"/>
          <w:lang w:val="en-GB"/>
        </w:rPr>
        <w:t>, in other words, the rules and regulations where the main procedure has been opened should apply</w:t>
      </w:r>
      <w:r w:rsidR="00094D9A">
        <w:rPr>
          <w:rFonts w:ascii="Avenir Next" w:hAnsi="Avenir Next" w:cs="Arial"/>
          <w:color w:val="7B7B7B" w:themeColor="accent3" w:themeShade="BF"/>
          <w:sz w:val="22"/>
          <w:szCs w:val="22"/>
          <w:lang w:val="en-GB"/>
        </w:rPr>
        <w:t>, and there should only be</w:t>
      </w:r>
      <w:r w:rsidR="004E3326">
        <w:rPr>
          <w:rFonts w:ascii="Avenir Next" w:hAnsi="Avenir Next" w:cs="Arial"/>
          <w:color w:val="7B7B7B" w:themeColor="accent3" w:themeShade="BF"/>
          <w:sz w:val="22"/>
          <w:szCs w:val="22"/>
          <w:lang w:val="en-GB"/>
        </w:rPr>
        <w:t xml:space="preserve"> one set of proceedings</w:t>
      </w:r>
      <w:r w:rsidRPr="003B227F">
        <w:rPr>
          <w:rFonts w:ascii="Avenir Next" w:hAnsi="Avenir Next" w:cs="Arial"/>
          <w:color w:val="7B7B7B" w:themeColor="accent3" w:themeShade="BF"/>
          <w:sz w:val="22"/>
          <w:szCs w:val="22"/>
          <w:lang w:val="en-GB"/>
        </w:rPr>
        <w:t>.</w:t>
      </w:r>
      <w:r w:rsidR="00EF2CB6">
        <w:rPr>
          <w:rFonts w:ascii="Avenir Next" w:hAnsi="Avenir Next" w:cs="Arial"/>
          <w:color w:val="7B7B7B" w:themeColor="accent3" w:themeShade="BF"/>
          <w:sz w:val="22"/>
          <w:szCs w:val="22"/>
          <w:lang w:val="en-GB"/>
        </w:rPr>
        <w:t xml:space="preserve"> Th</w:t>
      </w:r>
      <w:r w:rsidR="00A4165B">
        <w:rPr>
          <w:rFonts w:ascii="Avenir Next" w:hAnsi="Avenir Next" w:cs="Arial"/>
          <w:color w:val="7B7B7B" w:themeColor="accent3" w:themeShade="BF"/>
          <w:sz w:val="22"/>
          <w:szCs w:val="22"/>
          <w:lang w:val="en-GB"/>
        </w:rPr>
        <w:t xml:space="preserve">e location </w:t>
      </w:r>
      <w:r w:rsidR="00EF2CB6">
        <w:rPr>
          <w:rFonts w:ascii="Avenir Next" w:hAnsi="Avenir Next" w:cs="Arial"/>
          <w:color w:val="7B7B7B" w:themeColor="accent3" w:themeShade="BF"/>
          <w:sz w:val="22"/>
          <w:szCs w:val="22"/>
          <w:lang w:val="en-GB"/>
        </w:rPr>
        <w:t xml:space="preserve">is usually the same place as </w:t>
      </w:r>
      <w:r w:rsidRPr="003B227F">
        <w:rPr>
          <w:rFonts w:ascii="Avenir Next" w:hAnsi="Avenir Next" w:cs="Arial"/>
          <w:color w:val="7B7B7B" w:themeColor="accent3" w:themeShade="BF"/>
          <w:sz w:val="22"/>
          <w:szCs w:val="22"/>
          <w:lang w:val="en-GB"/>
        </w:rPr>
        <w:t>the centre of main interest</w:t>
      </w:r>
      <w:r w:rsidR="00C7472E">
        <w:rPr>
          <w:rFonts w:ascii="Avenir Next" w:hAnsi="Avenir Next" w:cs="Arial"/>
          <w:color w:val="7B7B7B" w:themeColor="accent3" w:themeShade="BF"/>
          <w:sz w:val="22"/>
          <w:szCs w:val="22"/>
          <w:lang w:val="en-GB"/>
        </w:rPr>
        <w:t xml:space="preserve"> (COMI)</w:t>
      </w:r>
      <w:r w:rsidR="00A4165B">
        <w:rPr>
          <w:rFonts w:ascii="Avenir Next" w:hAnsi="Avenir Next" w:cs="Arial"/>
          <w:color w:val="7B7B7B" w:themeColor="accent3" w:themeShade="BF"/>
          <w:sz w:val="22"/>
          <w:szCs w:val="22"/>
          <w:lang w:val="en-GB"/>
        </w:rPr>
        <w:t xml:space="preserve"> of the corporation</w:t>
      </w:r>
      <w:r w:rsidRPr="003B227F">
        <w:rPr>
          <w:rFonts w:ascii="Avenir Next" w:hAnsi="Avenir Next" w:cs="Arial"/>
          <w:color w:val="7B7B7B" w:themeColor="accent3" w:themeShade="BF"/>
          <w:sz w:val="22"/>
          <w:szCs w:val="22"/>
          <w:lang w:val="en-GB"/>
        </w:rPr>
        <w:t xml:space="preserve"> (i.e. </w:t>
      </w:r>
      <w:r w:rsidR="00EF2CB6">
        <w:rPr>
          <w:rFonts w:ascii="Avenir Next" w:hAnsi="Avenir Next" w:cs="Arial"/>
          <w:color w:val="7B7B7B" w:themeColor="accent3" w:themeShade="BF"/>
          <w:sz w:val="22"/>
          <w:szCs w:val="22"/>
          <w:lang w:val="en-GB"/>
        </w:rPr>
        <w:t xml:space="preserve">the </w:t>
      </w:r>
      <w:r w:rsidRPr="003B227F">
        <w:rPr>
          <w:rFonts w:ascii="Avenir Next" w:hAnsi="Avenir Next" w:cs="Arial"/>
          <w:color w:val="7B7B7B" w:themeColor="accent3" w:themeShade="BF"/>
          <w:sz w:val="22"/>
          <w:szCs w:val="22"/>
          <w:lang w:val="en-GB"/>
        </w:rPr>
        <w:t xml:space="preserve">headquarters, place of incorporation </w:t>
      </w:r>
      <w:r w:rsidR="00C7472E">
        <w:rPr>
          <w:rFonts w:ascii="Avenir Next" w:hAnsi="Avenir Next" w:cs="Arial"/>
          <w:color w:val="7B7B7B" w:themeColor="accent3" w:themeShade="BF"/>
          <w:sz w:val="22"/>
          <w:szCs w:val="22"/>
          <w:lang w:val="en-GB"/>
        </w:rPr>
        <w:t>etc.</w:t>
      </w:r>
      <w:r w:rsidRPr="003B227F">
        <w:rPr>
          <w:rFonts w:ascii="Avenir Next" w:hAnsi="Avenir Next" w:cs="Arial"/>
          <w:color w:val="7B7B7B" w:themeColor="accent3" w:themeShade="BF"/>
          <w:sz w:val="22"/>
          <w:szCs w:val="22"/>
          <w:lang w:val="en-GB"/>
        </w:rPr>
        <w:t>)</w:t>
      </w:r>
      <w:r w:rsidR="00EF2CB6">
        <w:rPr>
          <w:rFonts w:ascii="Avenir Next" w:hAnsi="Avenir Next" w:cs="Arial"/>
          <w:color w:val="7B7B7B" w:themeColor="accent3" w:themeShade="BF"/>
          <w:sz w:val="22"/>
          <w:szCs w:val="22"/>
          <w:lang w:val="en-GB"/>
        </w:rPr>
        <w:t xml:space="preserve">. The </w:t>
      </w:r>
      <w:r w:rsidR="00A4165B">
        <w:rPr>
          <w:rFonts w:ascii="Avenir Next" w:hAnsi="Avenir Next" w:cs="Arial"/>
          <w:color w:val="7B7B7B" w:themeColor="accent3" w:themeShade="BF"/>
          <w:sz w:val="22"/>
          <w:szCs w:val="22"/>
          <w:lang w:val="en-GB"/>
        </w:rPr>
        <w:t xml:space="preserve">COMI </w:t>
      </w:r>
      <w:r w:rsidR="00EF2CB6">
        <w:rPr>
          <w:rFonts w:ascii="Avenir Next" w:hAnsi="Avenir Next" w:cs="Arial"/>
          <w:color w:val="7B7B7B" w:themeColor="accent3" w:themeShade="BF"/>
          <w:sz w:val="22"/>
          <w:szCs w:val="22"/>
          <w:lang w:val="en-GB"/>
        </w:rPr>
        <w:t>will</w:t>
      </w:r>
      <w:r w:rsidRPr="003B227F">
        <w:rPr>
          <w:rFonts w:ascii="Avenir Next" w:hAnsi="Avenir Next" w:cs="Arial"/>
          <w:color w:val="7B7B7B" w:themeColor="accent3" w:themeShade="BF"/>
          <w:sz w:val="22"/>
          <w:szCs w:val="22"/>
          <w:lang w:val="en-GB"/>
        </w:rPr>
        <w:t xml:space="preserve"> </w:t>
      </w:r>
      <w:r w:rsidR="00EF2CB6">
        <w:rPr>
          <w:rFonts w:ascii="Avenir Next" w:hAnsi="Avenir Next" w:cs="Arial"/>
          <w:color w:val="7B7B7B" w:themeColor="accent3" w:themeShade="BF"/>
          <w:sz w:val="22"/>
          <w:szCs w:val="22"/>
          <w:lang w:val="en-GB"/>
        </w:rPr>
        <w:t xml:space="preserve">issue the insolvency order, and the legal system in that location </w:t>
      </w:r>
      <w:r w:rsidR="0071750E">
        <w:rPr>
          <w:rFonts w:ascii="Avenir Next" w:hAnsi="Avenir Next" w:cs="Arial"/>
          <w:color w:val="7B7B7B" w:themeColor="accent3" w:themeShade="BF"/>
          <w:sz w:val="22"/>
          <w:szCs w:val="22"/>
          <w:lang w:val="en-GB"/>
        </w:rPr>
        <w:t>will</w:t>
      </w:r>
      <w:r w:rsidR="00EF2CB6">
        <w:rPr>
          <w:rFonts w:ascii="Avenir Next" w:hAnsi="Avenir Next" w:cs="Arial"/>
          <w:color w:val="7B7B7B" w:themeColor="accent3" w:themeShade="BF"/>
          <w:sz w:val="22"/>
          <w:szCs w:val="22"/>
          <w:lang w:val="en-GB"/>
        </w:rPr>
        <w:t xml:space="preserve"> regulate the whole insolvency matter, even if the assets are in other jurisdictions. </w:t>
      </w:r>
    </w:p>
    <w:p w14:paraId="6A2264C5" w14:textId="77777777" w:rsidR="004E3326" w:rsidRDefault="004E3326" w:rsidP="003B227F">
      <w:pPr>
        <w:jc w:val="both"/>
        <w:rPr>
          <w:rFonts w:ascii="Avenir Next" w:hAnsi="Avenir Next" w:cs="Arial"/>
          <w:color w:val="7B7B7B" w:themeColor="accent3" w:themeShade="BF"/>
          <w:sz w:val="22"/>
          <w:szCs w:val="22"/>
          <w:lang w:val="en-GB"/>
        </w:rPr>
      </w:pPr>
    </w:p>
    <w:p w14:paraId="1B102D19" w14:textId="1B7D7B19" w:rsidR="004E3326" w:rsidRDefault="00C7472E" w:rsidP="003B227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4E3326">
        <w:rPr>
          <w:rFonts w:ascii="Avenir Next" w:hAnsi="Avenir Next" w:cs="Arial"/>
          <w:color w:val="7B7B7B" w:themeColor="accent3" w:themeShade="BF"/>
          <w:sz w:val="22"/>
          <w:szCs w:val="22"/>
          <w:lang w:val="en-GB"/>
        </w:rPr>
        <w:t xml:space="preserve">erritorialism, which </w:t>
      </w:r>
      <w:r w:rsidR="0071750E">
        <w:rPr>
          <w:rFonts w:ascii="Avenir Next" w:hAnsi="Avenir Next" w:cs="Arial"/>
          <w:color w:val="7B7B7B" w:themeColor="accent3" w:themeShade="BF"/>
          <w:sz w:val="22"/>
          <w:szCs w:val="22"/>
          <w:lang w:val="en-GB"/>
        </w:rPr>
        <w:t>takes the</w:t>
      </w:r>
      <w:r w:rsidR="004E3326">
        <w:rPr>
          <w:rFonts w:ascii="Avenir Next" w:hAnsi="Avenir Next" w:cs="Arial"/>
          <w:color w:val="7B7B7B" w:themeColor="accent3" w:themeShade="BF"/>
          <w:sz w:val="22"/>
          <w:szCs w:val="22"/>
          <w:lang w:val="en-GB"/>
        </w:rPr>
        <w:t xml:space="preserve"> opposite approach to universalism</w:t>
      </w:r>
      <w:r>
        <w:rPr>
          <w:rFonts w:ascii="Avenir Next" w:hAnsi="Avenir Next" w:cs="Arial"/>
          <w:color w:val="7B7B7B" w:themeColor="accent3" w:themeShade="BF"/>
          <w:sz w:val="22"/>
          <w:szCs w:val="22"/>
          <w:lang w:val="en-GB"/>
        </w:rPr>
        <w:t>,</w:t>
      </w:r>
      <w:r w:rsidR="004E3326">
        <w:rPr>
          <w:rFonts w:ascii="Avenir Next" w:hAnsi="Avenir Next" w:cs="Arial"/>
          <w:color w:val="7B7B7B" w:themeColor="accent3" w:themeShade="BF"/>
          <w:sz w:val="22"/>
          <w:szCs w:val="22"/>
          <w:lang w:val="en-GB"/>
        </w:rPr>
        <w:t xml:space="preserve"> prescribes that where a debtor has assets in more than one location, the local laws </w:t>
      </w:r>
      <w:r>
        <w:rPr>
          <w:rFonts w:ascii="Avenir Next" w:hAnsi="Avenir Next" w:cs="Arial"/>
          <w:color w:val="7B7B7B" w:themeColor="accent3" w:themeShade="BF"/>
          <w:sz w:val="22"/>
          <w:szCs w:val="22"/>
          <w:lang w:val="en-GB"/>
        </w:rPr>
        <w:t xml:space="preserve">(and their respective consequences) of each state </w:t>
      </w:r>
      <w:r w:rsidR="004E3326">
        <w:rPr>
          <w:rFonts w:ascii="Avenir Next" w:hAnsi="Avenir Next" w:cs="Arial"/>
          <w:color w:val="7B7B7B" w:themeColor="accent3" w:themeShade="BF"/>
          <w:sz w:val="22"/>
          <w:szCs w:val="22"/>
          <w:lang w:val="en-GB"/>
        </w:rPr>
        <w:t>where the debtor has an interest will apply</w:t>
      </w:r>
      <w:r>
        <w:rPr>
          <w:rFonts w:ascii="Avenir Next" w:hAnsi="Avenir Next" w:cs="Arial"/>
          <w:color w:val="7B7B7B" w:themeColor="accent3" w:themeShade="BF"/>
          <w:sz w:val="22"/>
          <w:szCs w:val="22"/>
          <w:lang w:val="en-GB"/>
        </w:rPr>
        <w:t>. New proceedings should be brought in each location.</w:t>
      </w:r>
    </w:p>
    <w:p w14:paraId="2416A895" w14:textId="77777777" w:rsidR="004E3326" w:rsidRDefault="004E3326" w:rsidP="003B227F">
      <w:pPr>
        <w:jc w:val="both"/>
        <w:rPr>
          <w:rFonts w:ascii="Avenir Next" w:hAnsi="Avenir Next" w:cs="Arial"/>
          <w:color w:val="7B7B7B" w:themeColor="accent3" w:themeShade="BF"/>
          <w:sz w:val="22"/>
          <w:szCs w:val="22"/>
          <w:lang w:val="en-GB"/>
        </w:rPr>
      </w:pPr>
    </w:p>
    <w:p w14:paraId="0AA26196" w14:textId="77777777" w:rsidR="00C7472E" w:rsidRDefault="00EF2CB6" w:rsidP="00C7472E">
      <w:pPr>
        <w:jc w:val="both"/>
        <w:rPr>
          <w:rFonts w:ascii="Avenir Next" w:hAnsi="Avenir Next" w:cs="Arial"/>
          <w:color w:val="7B7B7B" w:themeColor="accent3" w:themeShade="BF"/>
          <w:sz w:val="22"/>
          <w:szCs w:val="22"/>
          <w:lang w:val="en-GB"/>
        </w:rPr>
      </w:pPr>
      <w:r w:rsidRPr="004E3326">
        <w:rPr>
          <w:rFonts w:ascii="Avenir Next" w:hAnsi="Avenir Next" w:cs="Arial"/>
          <w:color w:val="7B7B7B" w:themeColor="accent3" w:themeShade="BF"/>
          <w:sz w:val="22"/>
          <w:szCs w:val="22"/>
          <w:lang w:val="en-GB"/>
        </w:rPr>
        <w:t>The diff</w:t>
      </w:r>
      <w:r>
        <w:rPr>
          <w:rFonts w:ascii="Avenir Next" w:hAnsi="Avenir Next" w:cs="Arial"/>
          <w:color w:val="7B7B7B" w:themeColor="accent3" w:themeShade="BF"/>
          <w:sz w:val="22"/>
          <w:szCs w:val="22"/>
          <w:lang w:val="en-GB"/>
        </w:rPr>
        <w:t>iculties of t</w:t>
      </w:r>
      <w:r w:rsidR="004E3326">
        <w:rPr>
          <w:rFonts w:ascii="Avenir Next" w:hAnsi="Avenir Next" w:cs="Arial"/>
          <w:color w:val="7B7B7B" w:themeColor="accent3" w:themeShade="BF"/>
          <w:sz w:val="22"/>
          <w:szCs w:val="22"/>
          <w:lang w:val="en-GB"/>
        </w:rPr>
        <w:t>erritorialism</w:t>
      </w:r>
      <w:r>
        <w:rPr>
          <w:rFonts w:ascii="Avenir Next" w:hAnsi="Avenir Next" w:cs="Arial"/>
          <w:color w:val="7B7B7B" w:themeColor="accent3" w:themeShade="BF"/>
          <w:sz w:val="22"/>
          <w:szCs w:val="22"/>
          <w:lang w:val="en-GB"/>
        </w:rPr>
        <w:t xml:space="preserve"> are that </w:t>
      </w:r>
      <w:r w:rsidR="00C7472E">
        <w:rPr>
          <w:rFonts w:ascii="Avenir Next" w:hAnsi="Avenir Next" w:cs="Arial"/>
          <w:color w:val="7B7B7B" w:themeColor="accent3" w:themeShade="BF"/>
          <w:sz w:val="22"/>
          <w:szCs w:val="22"/>
          <w:lang w:val="en-GB"/>
        </w:rPr>
        <w:t>any</w:t>
      </w:r>
      <w:r>
        <w:rPr>
          <w:rFonts w:ascii="Avenir Next" w:hAnsi="Avenir Next" w:cs="Arial"/>
          <w:color w:val="7B7B7B" w:themeColor="accent3" w:themeShade="BF"/>
          <w:sz w:val="22"/>
          <w:szCs w:val="22"/>
          <w:lang w:val="en-GB"/>
        </w:rPr>
        <w:t xml:space="preserve"> state where the debtor has an establishment may have jurisdiction to open separate insolvency procedures in relation to assets already subject to procedures elsewhere, which can cause concurrent insolvency proceedings. Concurrent proceedings will rely on the courts of the various states to co-operate and communicate in relation to the assets</w:t>
      </w:r>
      <w:r w:rsidR="004E332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C7472E">
        <w:rPr>
          <w:rFonts w:ascii="Avenir Next" w:hAnsi="Avenir Next" w:cs="Arial"/>
          <w:color w:val="7B7B7B" w:themeColor="accent3" w:themeShade="BF"/>
          <w:sz w:val="22"/>
          <w:szCs w:val="22"/>
          <w:lang w:val="en-GB"/>
        </w:rPr>
        <w:t xml:space="preserve"> Some states may feel that national interest must be protected before any assets can be transferred abroad.</w:t>
      </w:r>
    </w:p>
    <w:p w14:paraId="62BA95D2" w14:textId="12865C6F" w:rsidR="00C7472E" w:rsidRDefault="00C7472E" w:rsidP="003B227F">
      <w:pPr>
        <w:jc w:val="both"/>
        <w:rPr>
          <w:rFonts w:ascii="Avenir Next" w:hAnsi="Avenir Next" w:cs="Arial"/>
          <w:color w:val="7B7B7B" w:themeColor="accent3" w:themeShade="BF"/>
          <w:sz w:val="22"/>
          <w:szCs w:val="22"/>
          <w:lang w:val="en-GB"/>
        </w:rPr>
      </w:pPr>
    </w:p>
    <w:p w14:paraId="7F492704" w14:textId="20207B68" w:rsidR="003B227F" w:rsidRDefault="00C7472E" w:rsidP="003B227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Universalism has not been widely accepted, as many states still determine territorialism to be the preferred approach. A modified universalism approach can be taken, which aims to fall between the two approaches. This is called “</w:t>
      </w:r>
      <w:r w:rsidR="00EF2CB6">
        <w:rPr>
          <w:rFonts w:ascii="Avenir Next" w:hAnsi="Avenir Next" w:cs="Arial"/>
          <w:color w:val="7B7B7B" w:themeColor="accent3" w:themeShade="BF"/>
          <w:sz w:val="22"/>
          <w:szCs w:val="22"/>
          <w:lang w:val="en-GB"/>
        </w:rPr>
        <w:t>modified universality</w:t>
      </w:r>
      <w:r>
        <w:rPr>
          <w:rFonts w:ascii="Avenir Next" w:hAnsi="Avenir Next" w:cs="Arial"/>
          <w:color w:val="7B7B7B" w:themeColor="accent3" w:themeShade="BF"/>
          <w:sz w:val="22"/>
          <w:szCs w:val="22"/>
          <w:lang w:val="en-GB"/>
        </w:rPr>
        <w:t>”</w:t>
      </w:r>
      <w:r w:rsidR="00EF2CB6">
        <w:rPr>
          <w:rFonts w:ascii="Avenir Next" w:hAnsi="Avenir Next" w:cs="Arial"/>
          <w:color w:val="7B7B7B" w:themeColor="accent3" w:themeShade="BF"/>
          <w:sz w:val="22"/>
          <w:szCs w:val="22"/>
          <w:lang w:val="en-GB"/>
        </w:rPr>
        <w:t xml:space="preserve">, whereby the proceedings opened in the state where the </w:t>
      </w:r>
      <w:r w:rsidR="000A787A">
        <w:rPr>
          <w:rFonts w:ascii="Avenir Next" w:hAnsi="Avenir Next" w:cs="Arial"/>
          <w:color w:val="7B7B7B" w:themeColor="accent3" w:themeShade="BF"/>
          <w:sz w:val="22"/>
          <w:szCs w:val="22"/>
          <w:lang w:val="en-GB"/>
        </w:rPr>
        <w:t>COMI</w:t>
      </w:r>
      <w:r w:rsidR="00EF2CB6">
        <w:rPr>
          <w:rFonts w:ascii="Avenir Next" w:hAnsi="Avenir Next" w:cs="Arial"/>
          <w:color w:val="7B7B7B" w:themeColor="accent3" w:themeShade="BF"/>
          <w:sz w:val="22"/>
          <w:szCs w:val="22"/>
          <w:lang w:val="en-GB"/>
        </w:rPr>
        <w:t xml:space="preserve"> is located </w:t>
      </w:r>
      <w:r>
        <w:rPr>
          <w:rFonts w:ascii="Avenir Next" w:hAnsi="Avenir Next" w:cs="Arial"/>
          <w:color w:val="7B7B7B" w:themeColor="accent3" w:themeShade="BF"/>
          <w:sz w:val="22"/>
          <w:szCs w:val="22"/>
          <w:lang w:val="en-GB"/>
        </w:rPr>
        <w:t xml:space="preserve">(main proceedings) </w:t>
      </w:r>
      <w:r w:rsidR="00EF2CB6">
        <w:rPr>
          <w:rFonts w:ascii="Avenir Next" w:hAnsi="Avenir Next" w:cs="Arial"/>
          <w:color w:val="7B7B7B" w:themeColor="accent3" w:themeShade="BF"/>
          <w:sz w:val="22"/>
          <w:szCs w:val="22"/>
          <w:lang w:val="en-GB"/>
        </w:rPr>
        <w:t>may be supported b</w:t>
      </w:r>
      <w:r>
        <w:rPr>
          <w:rFonts w:ascii="Avenir Next" w:hAnsi="Avenir Next" w:cs="Arial"/>
          <w:color w:val="7B7B7B" w:themeColor="accent3" w:themeShade="BF"/>
          <w:sz w:val="22"/>
          <w:szCs w:val="22"/>
          <w:lang w:val="en-GB"/>
        </w:rPr>
        <w:t xml:space="preserve">y </w:t>
      </w:r>
      <w:r w:rsidR="00EF2CB6">
        <w:rPr>
          <w:rFonts w:ascii="Avenir Next" w:hAnsi="Avenir Next" w:cs="Arial"/>
          <w:color w:val="7B7B7B" w:themeColor="accent3" w:themeShade="BF"/>
          <w:sz w:val="22"/>
          <w:szCs w:val="22"/>
          <w:lang w:val="en-GB"/>
        </w:rPr>
        <w:t>proceedings in the alternative location</w:t>
      </w:r>
      <w:r>
        <w:rPr>
          <w:rFonts w:ascii="Avenir Next" w:hAnsi="Avenir Next" w:cs="Arial"/>
          <w:color w:val="7B7B7B" w:themeColor="accent3" w:themeShade="BF"/>
          <w:sz w:val="22"/>
          <w:szCs w:val="22"/>
          <w:lang w:val="en-GB"/>
        </w:rPr>
        <w:t xml:space="preserve"> (secondary proceedings)</w:t>
      </w:r>
      <w:r w:rsidR="00EF2CB6">
        <w:rPr>
          <w:rFonts w:ascii="Avenir Next" w:hAnsi="Avenir Next" w:cs="Arial"/>
          <w:color w:val="7B7B7B" w:themeColor="accent3" w:themeShade="BF"/>
          <w:sz w:val="22"/>
          <w:szCs w:val="22"/>
          <w:lang w:val="en-GB"/>
        </w:rPr>
        <w:t>.</w:t>
      </w:r>
      <w:r w:rsidR="004E332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Again, to be successful, this relies on the courts of the states to co-operate and communicate efficiently and effectively.</w:t>
      </w:r>
    </w:p>
    <w:p w14:paraId="0E1FFF4B" w14:textId="77777777" w:rsidR="0071750E" w:rsidRDefault="0071750E" w:rsidP="003B227F">
      <w:pPr>
        <w:jc w:val="both"/>
        <w:rPr>
          <w:rFonts w:ascii="Avenir Next" w:hAnsi="Avenir Next" w:cs="Arial"/>
          <w:color w:val="7B7B7B" w:themeColor="accent3" w:themeShade="BF"/>
          <w:sz w:val="22"/>
          <w:szCs w:val="22"/>
          <w:lang w:val="en-GB"/>
        </w:rPr>
      </w:pPr>
    </w:p>
    <w:p w14:paraId="79E81A57" w14:textId="316DAB1B" w:rsidR="0071750E" w:rsidRDefault="0071750E" w:rsidP="003B227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modified alternative to territorialism is co-operative territorialism, in which each state has jurisdiction over the assets within its own state. A</w:t>
      </w:r>
      <w:r w:rsidR="00C7472E">
        <w:rPr>
          <w:rFonts w:ascii="Avenir Next" w:hAnsi="Avenir Next" w:cs="Arial"/>
          <w:color w:val="7B7B7B" w:themeColor="accent3" w:themeShade="BF"/>
          <w:sz w:val="22"/>
          <w:szCs w:val="22"/>
          <w:lang w:val="en-GB"/>
        </w:rPr>
        <w:t>s with the other cross border approaches</w:t>
      </w:r>
      <w:r>
        <w:rPr>
          <w:rFonts w:ascii="Avenir Next" w:hAnsi="Avenir Next" w:cs="Arial"/>
          <w:color w:val="7B7B7B" w:themeColor="accent3" w:themeShade="BF"/>
          <w:sz w:val="22"/>
          <w:szCs w:val="22"/>
          <w:lang w:val="en-GB"/>
        </w:rPr>
        <w:t>, this method relies on the co-operation and communication of each state.</w:t>
      </w:r>
    </w:p>
    <w:p w14:paraId="030ADBBC" w14:textId="77777777" w:rsidR="00EF2CB6" w:rsidRDefault="00EF2CB6" w:rsidP="003B227F">
      <w:pPr>
        <w:jc w:val="both"/>
        <w:rPr>
          <w:rFonts w:ascii="Avenir Next" w:hAnsi="Avenir Next" w:cs="Arial"/>
          <w:color w:val="7B7B7B" w:themeColor="accent3" w:themeShade="BF"/>
          <w:sz w:val="22"/>
          <w:szCs w:val="22"/>
          <w:lang w:val="en-GB"/>
        </w:rPr>
      </w:pPr>
    </w:p>
    <w:p w14:paraId="56C56E6E" w14:textId="2829085E" w:rsidR="00EF2CB6" w:rsidRPr="003B227F" w:rsidRDefault="00EF2CB6" w:rsidP="003B227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also important to note that it is not always the case that</w:t>
      </w:r>
      <w:r w:rsidR="001704C0">
        <w:rPr>
          <w:rFonts w:ascii="Avenir Next" w:hAnsi="Avenir Next" w:cs="Arial"/>
          <w:color w:val="7B7B7B" w:themeColor="accent3" w:themeShade="BF"/>
          <w:sz w:val="22"/>
          <w:szCs w:val="22"/>
          <w:lang w:val="en-GB"/>
        </w:rPr>
        <w:t xml:space="preserve"> full proceedings will need to be opened</w:t>
      </w:r>
      <w:r>
        <w:rPr>
          <w:rFonts w:ascii="Avenir Next" w:hAnsi="Avenir Next" w:cs="Arial"/>
          <w:color w:val="7B7B7B" w:themeColor="accent3" w:themeShade="BF"/>
          <w:sz w:val="22"/>
          <w:szCs w:val="22"/>
          <w:lang w:val="en-GB"/>
        </w:rPr>
        <w:t xml:space="preserve"> in every jurisdictio</w:t>
      </w:r>
      <w:r w:rsidR="001704C0">
        <w:rPr>
          <w:rFonts w:ascii="Avenir Next" w:hAnsi="Avenir Next" w:cs="Arial"/>
          <w:color w:val="7B7B7B" w:themeColor="accent3" w:themeShade="BF"/>
          <w:sz w:val="22"/>
          <w:szCs w:val="22"/>
          <w:lang w:val="en-GB"/>
        </w:rPr>
        <w:t>n; s</w:t>
      </w:r>
      <w:r>
        <w:rPr>
          <w:rFonts w:ascii="Avenir Next" w:hAnsi="Avenir Next" w:cs="Arial"/>
          <w:color w:val="7B7B7B" w:themeColor="accent3" w:themeShade="BF"/>
          <w:sz w:val="22"/>
          <w:szCs w:val="22"/>
          <w:lang w:val="en-GB"/>
        </w:rPr>
        <w:t>ome systems will allow recognition orders</w:t>
      </w:r>
      <w:r w:rsidR="001704C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allow</w:t>
      </w:r>
      <w:r w:rsidR="001704C0">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insolvency professionals to deal with assets in foreign jurisdictions without opening full concurrent insolvency proceedings.</w:t>
      </w:r>
      <w:r w:rsidR="000A787A">
        <w:rPr>
          <w:rFonts w:ascii="Avenir Next" w:hAnsi="Avenir Next" w:cs="Arial"/>
          <w:color w:val="7B7B7B" w:themeColor="accent3" w:themeShade="BF"/>
          <w:sz w:val="22"/>
          <w:szCs w:val="22"/>
          <w:lang w:val="en-GB"/>
        </w:rPr>
        <w:t xml:space="preserve"> </w:t>
      </w:r>
    </w:p>
    <w:bookmarkEnd w:id="0"/>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5A126A" w:rsidRDefault="00962045" w:rsidP="00C053F7">
      <w:pPr>
        <w:ind w:left="720" w:hanging="720"/>
        <w:jc w:val="both"/>
        <w:rPr>
          <w:rFonts w:ascii="Avenir Next" w:hAnsi="Avenir Next" w:cs="Arial"/>
          <w:color w:val="7B7B7B" w:themeColor="accent3" w:themeShade="BF"/>
          <w:sz w:val="22"/>
          <w:szCs w:val="22"/>
          <w:lang w:val="en-GB"/>
        </w:rPr>
      </w:pPr>
    </w:p>
    <w:p w14:paraId="7D880F1E" w14:textId="77777777" w:rsidR="00085EA4" w:rsidRDefault="005A126A" w:rsidP="005A126A">
      <w:pPr>
        <w:jc w:val="both"/>
        <w:rPr>
          <w:rFonts w:ascii="Avenir Next" w:hAnsi="Avenir Next" w:cs="Arial"/>
          <w:color w:val="7B7B7B" w:themeColor="accent3" w:themeShade="BF"/>
          <w:sz w:val="22"/>
          <w:szCs w:val="22"/>
          <w:lang w:val="en-GB"/>
        </w:rPr>
      </w:pPr>
      <w:r w:rsidRPr="005A126A">
        <w:rPr>
          <w:rFonts w:ascii="Avenir Next" w:hAnsi="Avenir Next" w:cs="Arial"/>
          <w:color w:val="7B7B7B" w:themeColor="accent3" w:themeShade="BF"/>
          <w:sz w:val="22"/>
          <w:szCs w:val="22"/>
          <w:lang w:val="en-GB"/>
        </w:rPr>
        <w:t>Several Middle East</w:t>
      </w:r>
      <w:r w:rsidR="00F35F73">
        <w:rPr>
          <w:rFonts w:ascii="Avenir Next" w:hAnsi="Avenir Next" w:cs="Arial"/>
          <w:color w:val="7B7B7B" w:themeColor="accent3" w:themeShade="BF"/>
          <w:sz w:val="22"/>
          <w:szCs w:val="22"/>
          <w:lang w:val="en-GB"/>
        </w:rPr>
        <w:t>ern</w:t>
      </w:r>
      <w:r w:rsidRPr="005A126A">
        <w:rPr>
          <w:rFonts w:ascii="Avenir Next" w:hAnsi="Avenir Next" w:cs="Arial"/>
          <w:color w:val="7B7B7B" w:themeColor="accent3" w:themeShade="BF"/>
          <w:sz w:val="22"/>
          <w:szCs w:val="22"/>
          <w:lang w:val="en-GB"/>
        </w:rPr>
        <w:t xml:space="preserve"> States have reformed their domestic insolvency laws over recent years. </w:t>
      </w:r>
    </w:p>
    <w:p w14:paraId="3A1BE493" w14:textId="77777777" w:rsidR="00085EA4" w:rsidRDefault="00085EA4" w:rsidP="005A126A">
      <w:pPr>
        <w:jc w:val="both"/>
        <w:rPr>
          <w:rFonts w:ascii="Avenir Next" w:hAnsi="Avenir Next" w:cs="Arial"/>
          <w:color w:val="7B7B7B" w:themeColor="accent3" w:themeShade="BF"/>
          <w:sz w:val="22"/>
          <w:szCs w:val="22"/>
          <w:lang w:val="en-GB"/>
        </w:rPr>
      </w:pPr>
    </w:p>
    <w:p w14:paraId="50F272CD" w14:textId="79C94665" w:rsidR="00085EA4" w:rsidRDefault="005A126A" w:rsidP="005A126A">
      <w:pPr>
        <w:jc w:val="both"/>
        <w:rPr>
          <w:rFonts w:ascii="Avenir Next" w:hAnsi="Avenir Next" w:cs="Arial"/>
          <w:color w:val="7B7B7B" w:themeColor="accent3" w:themeShade="BF"/>
          <w:sz w:val="22"/>
          <w:szCs w:val="22"/>
          <w:lang w:val="en-GB"/>
        </w:rPr>
      </w:pPr>
      <w:r w:rsidRPr="005A126A">
        <w:rPr>
          <w:rFonts w:ascii="Avenir Next" w:hAnsi="Avenir Next" w:cs="Arial"/>
          <w:color w:val="7B7B7B" w:themeColor="accent3" w:themeShade="BF"/>
          <w:sz w:val="22"/>
          <w:szCs w:val="22"/>
          <w:lang w:val="en-GB"/>
        </w:rPr>
        <w:lastRenderedPageBreak/>
        <w:t xml:space="preserve">The UAE released </w:t>
      </w:r>
      <w:r w:rsidR="000A787A">
        <w:rPr>
          <w:rFonts w:ascii="Avenir Next" w:hAnsi="Avenir Next" w:cs="Arial"/>
          <w:color w:val="7B7B7B" w:themeColor="accent3" w:themeShade="BF"/>
          <w:sz w:val="22"/>
          <w:szCs w:val="22"/>
          <w:lang w:val="en-GB"/>
        </w:rPr>
        <w:t xml:space="preserve">an </w:t>
      </w:r>
      <w:r w:rsidRPr="005A126A">
        <w:rPr>
          <w:rFonts w:ascii="Avenir Next" w:hAnsi="Avenir Next" w:cs="Arial"/>
          <w:color w:val="7B7B7B" w:themeColor="accent3" w:themeShade="BF"/>
          <w:sz w:val="22"/>
          <w:szCs w:val="22"/>
          <w:lang w:val="en-GB"/>
        </w:rPr>
        <w:t>update to its</w:t>
      </w:r>
      <w:r>
        <w:rPr>
          <w:rFonts w:ascii="Avenir Next" w:hAnsi="Avenir Next" w:cs="Arial"/>
          <w:color w:val="7B7B7B" w:themeColor="accent3" w:themeShade="BF"/>
          <w:sz w:val="22"/>
          <w:szCs w:val="22"/>
          <w:lang w:val="en-GB"/>
        </w:rPr>
        <w:t xml:space="preserve"> Bankruptcy </w:t>
      </w:r>
      <w:r w:rsidR="00085EA4">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aw</w:t>
      </w:r>
      <w:r w:rsidRPr="005A126A">
        <w:rPr>
          <w:rFonts w:ascii="Avenir Next" w:hAnsi="Avenir Next" w:cs="Arial"/>
          <w:color w:val="7B7B7B" w:themeColor="accent3" w:themeShade="BF"/>
          <w:sz w:val="22"/>
          <w:szCs w:val="22"/>
          <w:lang w:val="en-GB"/>
        </w:rPr>
        <w:t xml:space="preserve"> in 2016</w:t>
      </w:r>
      <w:r w:rsidR="00474DCA">
        <w:rPr>
          <w:rFonts w:ascii="Avenir Next" w:hAnsi="Avenir Next" w:cs="Arial"/>
          <w:color w:val="7B7B7B" w:themeColor="accent3" w:themeShade="BF"/>
          <w:sz w:val="22"/>
          <w:szCs w:val="22"/>
          <w:lang w:val="en-GB"/>
        </w:rPr>
        <w:t>,</w:t>
      </w:r>
      <w:r w:rsidRPr="005A126A">
        <w:rPr>
          <w:rFonts w:ascii="Avenir Next" w:hAnsi="Avenir Next" w:cs="Arial"/>
          <w:color w:val="7B7B7B" w:themeColor="accent3" w:themeShade="BF"/>
          <w:sz w:val="22"/>
          <w:szCs w:val="22"/>
          <w:lang w:val="en-GB"/>
        </w:rPr>
        <w:t xml:space="preserve"> and </w:t>
      </w:r>
      <w:r w:rsidR="00474DCA">
        <w:rPr>
          <w:rFonts w:ascii="Avenir Next" w:hAnsi="Avenir Next" w:cs="Arial"/>
          <w:color w:val="7B7B7B" w:themeColor="accent3" w:themeShade="BF"/>
          <w:sz w:val="22"/>
          <w:szCs w:val="22"/>
          <w:lang w:val="en-GB"/>
        </w:rPr>
        <w:t xml:space="preserve">its Insolvency Law (DIFC) in </w:t>
      </w:r>
      <w:r w:rsidRPr="005A126A">
        <w:rPr>
          <w:rFonts w:ascii="Avenir Next" w:hAnsi="Avenir Next" w:cs="Arial"/>
          <w:color w:val="7B7B7B" w:themeColor="accent3" w:themeShade="BF"/>
          <w:sz w:val="22"/>
          <w:szCs w:val="22"/>
          <w:lang w:val="en-GB"/>
        </w:rPr>
        <w:t>2019</w:t>
      </w:r>
      <w:r w:rsidRPr="005A126A">
        <w:rPr>
          <w:rFonts w:ascii="Avenir Next" w:hAnsi="Avenir Next" w:cs="Arial"/>
          <w:color w:val="7B7B7B" w:themeColor="accent3" w:themeShade="BF"/>
          <w:sz w:val="22"/>
          <w:szCs w:val="22"/>
          <w:vertAlign w:val="superscript"/>
          <w:lang w:val="en-GB"/>
        </w:rPr>
        <w:footnoteReference w:id="3"/>
      </w:r>
      <w:r w:rsidR="00085EA4">
        <w:rPr>
          <w:rFonts w:ascii="Avenir Next" w:hAnsi="Avenir Next" w:cs="Arial"/>
          <w:color w:val="7B7B7B" w:themeColor="accent3" w:themeShade="BF"/>
          <w:sz w:val="22"/>
          <w:szCs w:val="22"/>
          <w:lang w:val="en-GB"/>
        </w:rPr>
        <w:t xml:space="preserve">, however, following the global Covid-19 pandemic, the UAE made some </w:t>
      </w:r>
      <w:r w:rsidR="00474DCA">
        <w:rPr>
          <w:rFonts w:ascii="Avenir Next" w:hAnsi="Avenir Next" w:cs="Arial"/>
          <w:color w:val="7B7B7B" w:themeColor="accent3" w:themeShade="BF"/>
          <w:sz w:val="22"/>
          <w:szCs w:val="22"/>
          <w:lang w:val="en-GB"/>
        </w:rPr>
        <w:t xml:space="preserve">further </w:t>
      </w:r>
      <w:r w:rsidR="00085EA4">
        <w:rPr>
          <w:rFonts w:ascii="Avenir Next" w:hAnsi="Avenir Next" w:cs="Arial"/>
          <w:color w:val="7B7B7B" w:themeColor="accent3" w:themeShade="BF"/>
          <w:sz w:val="22"/>
          <w:szCs w:val="22"/>
          <w:lang w:val="en-GB"/>
        </w:rPr>
        <w:t xml:space="preserve">radical changes to its approach and laws in relation to insolvency. </w:t>
      </w:r>
      <w:r w:rsidR="00474DCA">
        <w:rPr>
          <w:rFonts w:ascii="Avenir Next" w:hAnsi="Avenir Next" w:cs="Arial"/>
          <w:color w:val="7B7B7B" w:themeColor="accent3" w:themeShade="BF"/>
          <w:sz w:val="22"/>
          <w:szCs w:val="22"/>
          <w:lang w:val="en-GB"/>
        </w:rPr>
        <w:t>Amendments</w:t>
      </w:r>
      <w:r w:rsidR="00085EA4">
        <w:rPr>
          <w:rFonts w:ascii="Avenir Next" w:hAnsi="Avenir Next" w:cs="Arial"/>
          <w:color w:val="7B7B7B" w:themeColor="accent3" w:themeShade="BF"/>
          <w:sz w:val="22"/>
          <w:szCs w:val="22"/>
          <w:lang w:val="en-GB"/>
        </w:rPr>
        <w:t xml:space="preserve"> were made by Federal Law No. 21 o</w:t>
      </w:r>
      <w:r w:rsidR="00474DCA">
        <w:rPr>
          <w:rFonts w:ascii="Avenir Next" w:hAnsi="Avenir Next" w:cs="Arial"/>
          <w:color w:val="7B7B7B" w:themeColor="accent3" w:themeShade="BF"/>
          <w:sz w:val="22"/>
          <w:szCs w:val="22"/>
          <w:lang w:val="en-GB"/>
        </w:rPr>
        <w:t>f</w:t>
      </w:r>
      <w:r w:rsidR="00085EA4">
        <w:rPr>
          <w:rFonts w:ascii="Avenir Next" w:hAnsi="Avenir Next" w:cs="Arial"/>
          <w:color w:val="7B7B7B" w:themeColor="accent3" w:themeShade="BF"/>
          <w:sz w:val="22"/>
          <w:szCs w:val="22"/>
          <w:lang w:val="en-GB"/>
        </w:rPr>
        <w:t xml:space="preserve"> 2020, to modify and supplement the existing 2016 law</w:t>
      </w:r>
      <w:r w:rsidR="00474DCA">
        <w:rPr>
          <w:rFonts w:ascii="Avenir Next" w:hAnsi="Avenir Next" w:cs="Arial"/>
          <w:color w:val="7B7B7B" w:themeColor="accent3" w:themeShade="BF"/>
          <w:sz w:val="22"/>
          <w:szCs w:val="22"/>
          <w:lang w:val="en-GB"/>
        </w:rPr>
        <w:t xml:space="preserve"> to provide for the shift in approach from liquidation being the main aim of such regimes, to a new three-tiered approach with liquidation as a last resort.</w:t>
      </w:r>
      <w:r w:rsidR="00474DCA">
        <w:rPr>
          <w:rStyle w:val="FootnoteReference"/>
          <w:rFonts w:ascii="Avenir Next" w:hAnsi="Avenir Next" w:cs="Arial"/>
          <w:color w:val="7B7B7B" w:themeColor="accent3" w:themeShade="BF"/>
          <w:sz w:val="22"/>
          <w:szCs w:val="22"/>
          <w:lang w:val="en-GB"/>
        </w:rPr>
        <w:footnoteReference w:id="4"/>
      </w:r>
    </w:p>
    <w:p w14:paraId="0E5A6100" w14:textId="77777777" w:rsidR="00085EA4" w:rsidRDefault="00085EA4" w:rsidP="005A126A">
      <w:pPr>
        <w:jc w:val="both"/>
        <w:rPr>
          <w:rFonts w:ascii="Avenir Next" w:hAnsi="Avenir Next" w:cs="Arial"/>
          <w:color w:val="7B7B7B" w:themeColor="accent3" w:themeShade="BF"/>
          <w:sz w:val="22"/>
          <w:szCs w:val="22"/>
          <w:lang w:val="en-GB"/>
        </w:rPr>
      </w:pPr>
    </w:p>
    <w:p w14:paraId="5B98BCAE" w14:textId="002B0B3A" w:rsidR="00F35F73" w:rsidRDefault="00F35F73" w:rsidP="005A12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Saudi Arabia, in a bid to become less reliant on oil and attract foreign investment, introduced its Bankruptcy Law in 2018. Prior to this introduction, Saudi Arabia had no single bankruptcy law setting out procedures for businesses in financial trouble</w:t>
      </w:r>
      <w:r>
        <w:rPr>
          <w:rStyle w:val="FootnoteReference"/>
          <w:rFonts w:ascii="Avenir Next" w:hAnsi="Avenir Next" w:cs="Arial"/>
          <w:color w:val="7B7B7B" w:themeColor="accent3" w:themeShade="BF"/>
          <w:sz w:val="22"/>
          <w:szCs w:val="22"/>
          <w:lang w:val="en-GB"/>
        </w:rPr>
        <w:footnoteReference w:id="5"/>
      </w:r>
      <w:r>
        <w:rPr>
          <w:rFonts w:ascii="Avenir Next" w:hAnsi="Avenir Next" w:cs="Arial"/>
          <w:color w:val="7B7B7B" w:themeColor="accent3" w:themeShade="BF"/>
          <w:sz w:val="22"/>
          <w:szCs w:val="22"/>
          <w:lang w:val="en-GB"/>
        </w:rPr>
        <w:t>.</w:t>
      </w:r>
    </w:p>
    <w:p w14:paraId="3329619A" w14:textId="77777777" w:rsidR="00F35F73" w:rsidRDefault="00F35F73" w:rsidP="005A126A">
      <w:pPr>
        <w:jc w:val="both"/>
        <w:rPr>
          <w:rFonts w:ascii="Avenir Next" w:hAnsi="Avenir Next" w:cs="Arial"/>
          <w:color w:val="7B7B7B" w:themeColor="accent3" w:themeShade="BF"/>
          <w:sz w:val="22"/>
          <w:szCs w:val="22"/>
          <w:lang w:val="en-GB"/>
        </w:rPr>
      </w:pPr>
    </w:p>
    <w:p w14:paraId="78DB9FD8" w14:textId="39E4A4D6" w:rsidR="00C72848" w:rsidRDefault="00F35F73" w:rsidP="005A12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Specifically in relation to insolvency, </w:t>
      </w:r>
      <w:r w:rsidR="005A126A" w:rsidRPr="005A126A">
        <w:rPr>
          <w:rFonts w:ascii="Avenir Next" w:hAnsi="Avenir Next" w:cs="Arial"/>
          <w:color w:val="7B7B7B" w:themeColor="accent3" w:themeShade="BF"/>
          <w:sz w:val="22"/>
          <w:szCs w:val="22"/>
          <w:lang w:val="en-GB"/>
        </w:rPr>
        <w:t>Bahrain</w:t>
      </w:r>
      <w:r>
        <w:rPr>
          <w:rFonts w:ascii="Avenir Next" w:hAnsi="Avenir Next" w:cs="Arial"/>
          <w:color w:val="7B7B7B" w:themeColor="accent3" w:themeShade="BF"/>
          <w:sz w:val="22"/>
          <w:szCs w:val="22"/>
          <w:lang w:val="en-GB"/>
        </w:rPr>
        <w:t xml:space="preserve"> (in 2018)</w:t>
      </w:r>
      <w:r w:rsidR="00474DCA">
        <w:rPr>
          <w:rFonts w:ascii="Avenir Next" w:hAnsi="Avenir Next" w:cs="Arial"/>
          <w:color w:val="7B7B7B" w:themeColor="accent3" w:themeShade="BF"/>
          <w:sz w:val="22"/>
          <w:szCs w:val="22"/>
          <w:lang w:val="en-GB"/>
        </w:rPr>
        <w:t xml:space="preserve">, </w:t>
      </w:r>
      <w:r w:rsidR="00A47A04" w:rsidRPr="005A126A">
        <w:rPr>
          <w:rFonts w:ascii="Avenir Next" w:hAnsi="Avenir Next" w:cs="Arial"/>
          <w:color w:val="7B7B7B" w:themeColor="accent3" w:themeShade="BF"/>
          <w:sz w:val="22"/>
          <w:szCs w:val="22"/>
          <w:lang w:val="en-GB"/>
        </w:rPr>
        <w:t>Dubai</w:t>
      </w:r>
      <w:r>
        <w:rPr>
          <w:rFonts w:ascii="Avenir Next" w:hAnsi="Avenir Next" w:cs="Arial"/>
          <w:color w:val="7B7B7B" w:themeColor="accent3" w:themeShade="BF"/>
          <w:sz w:val="22"/>
          <w:szCs w:val="22"/>
          <w:lang w:val="en-GB"/>
        </w:rPr>
        <w:t xml:space="preserve"> (in 2019)</w:t>
      </w:r>
      <w:r w:rsidR="00A47A04" w:rsidRPr="005A126A">
        <w:rPr>
          <w:rFonts w:ascii="Avenir Next" w:hAnsi="Avenir Next" w:cs="Arial"/>
          <w:color w:val="7B7B7B" w:themeColor="accent3" w:themeShade="BF"/>
          <w:sz w:val="22"/>
          <w:szCs w:val="22"/>
          <w:lang w:val="en-GB"/>
        </w:rPr>
        <w:t xml:space="preserve"> </w:t>
      </w:r>
      <w:r w:rsidR="00474DCA">
        <w:rPr>
          <w:rFonts w:ascii="Avenir Next" w:hAnsi="Avenir Next" w:cs="Arial"/>
          <w:color w:val="7B7B7B" w:themeColor="accent3" w:themeShade="BF"/>
          <w:sz w:val="22"/>
          <w:szCs w:val="22"/>
          <w:lang w:val="en-GB"/>
        </w:rPr>
        <w:t xml:space="preserve">and Saudi Arabia (in 2022) </w:t>
      </w:r>
      <w:r w:rsidR="005A126A" w:rsidRPr="005A126A">
        <w:rPr>
          <w:rFonts w:ascii="Avenir Next" w:hAnsi="Avenir Next" w:cs="Arial"/>
          <w:color w:val="7B7B7B" w:themeColor="accent3" w:themeShade="BF"/>
          <w:sz w:val="22"/>
          <w:szCs w:val="22"/>
          <w:lang w:val="en-GB"/>
        </w:rPr>
        <w:t>adopted the Model Law on Cross-Border Insolvency.</w:t>
      </w:r>
      <w:r w:rsidR="00474DCA">
        <w:rPr>
          <w:rStyle w:val="FootnoteReference"/>
          <w:rFonts w:ascii="Avenir Next" w:hAnsi="Avenir Next" w:cs="Arial"/>
          <w:color w:val="7B7B7B" w:themeColor="accent3" w:themeShade="BF"/>
          <w:sz w:val="22"/>
          <w:szCs w:val="22"/>
          <w:lang w:val="en-GB"/>
        </w:rPr>
        <w:footnoteReference w:id="6"/>
      </w:r>
    </w:p>
    <w:p w14:paraId="0A7F4C17" w14:textId="77777777" w:rsidR="005A126A" w:rsidRDefault="005A126A" w:rsidP="005A126A">
      <w:pPr>
        <w:jc w:val="both"/>
        <w:rPr>
          <w:rFonts w:ascii="Avenir Next" w:hAnsi="Avenir Next" w:cs="Arial"/>
          <w:color w:val="7B7B7B" w:themeColor="accent3" w:themeShade="BF"/>
          <w:sz w:val="22"/>
          <w:szCs w:val="22"/>
          <w:lang w:val="en-GB"/>
        </w:rPr>
      </w:pPr>
    </w:p>
    <w:p w14:paraId="418E65F3" w14:textId="6F198D68" w:rsidR="005A126A" w:rsidRPr="005A126A" w:rsidRDefault="005A126A" w:rsidP="005A12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Many of the Middle Eastern States have always had a close working relationship with the World Bank for several </w:t>
      </w:r>
      <w:r w:rsidR="00085EA4">
        <w:rPr>
          <w:rFonts w:ascii="Avenir Next" w:hAnsi="Avenir Next" w:cs="Arial"/>
          <w:color w:val="7B7B7B" w:themeColor="accent3" w:themeShade="BF"/>
          <w:sz w:val="22"/>
          <w:szCs w:val="22"/>
          <w:lang w:val="en-GB"/>
        </w:rPr>
        <w:t>decades</w:t>
      </w:r>
      <w:r>
        <w:rPr>
          <w:rFonts w:ascii="Avenir Next" w:hAnsi="Avenir Next" w:cs="Arial"/>
          <w:color w:val="7B7B7B" w:themeColor="accent3" w:themeShade="BF"/>
          <w:sz w:val="22"/>
          <w:szCs w:val="22"/>
          <w:lang w:val="en-GB"/>
        </w:rPr>
        <w:t>, however further strides forward were taken in 2009 when the first regional comparative survey of insolvency systems in the Middle East and North Africa region was launched, which was based on the World Bank’s pri</w:t>
      </w:r>
      <w:r w:rsidR="00A47A04">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cipals for Effective Insolvency and Creditor Rights Systems (2005). The survey was a joint initiative with the </w:t>
      </w:r>
      <w:proofErr w:type="spellStart"/>
      <w:r>
        <w:rPr>
          <w:rFonts w:ascii="Avenir Next" w:hAnsi="Avenir Next" w:cs="Arial"/>
          <w:color w:val="7B7B7B" w:themeColor="accent3" w:themeShade="BF"/>
          <w:sz w:val="22"/>
          <w:szCs w:val="22"/>
          <w:lang w:val="en-GB"/>
        </w:rPr>
        <w:t>Hawkamah</w:t>
      </w:r>
      <w:proofErr w:type="spellEnd"/>
      <w:r>
        <w:rPr>
          <w:rFonts w:ascii="Avenir Next" w:hAnsi="Avenir Next" w:cs="Arial"/>
          <w:color w:val="7B7B7B" w:themeColor="accent3" w:themeShade="BF"/>
          <w:sz w:val="22"/>
          <w:szCs w:val="22"/>
          <w:lang w:val="en-GB"/>
        </w:rPr>
        <w:t xml:space="preserve"> Institute for Corporate Governance, the World Bank, the OECD and ISOL International.</w:t>
      </w:r>
    </w:p>
    <w:p w14:paraId="572227E7" w14:textId="10041403" w:rsidR="0045683E" w:rsidRPr="005A126A" w:rsidRDefault="0045683E" w:rsidP="00C053F7">
      <w:pPr>
        <w:jc w:val="both"/>
        <w:rPr>
          <w:rFonts w:ascii="Avenir Next" w:hAnsi="Avenir Next" w:cs="Arial"/>
          <w:sz w:val="22"/>
          <w:szCs w:val="22"/>
          <w:lang w:val="en-GB"/>
        </w:rPr>
      </w:pPr>
    </w:p>
    <w:p w14:paraId="383B5930" w14:textId="77777777" w:rsidR="00C550C8" w:rsidRPr="005A126A" w:rsidRDefault="00C550C8" w:rsidP="00C053F7">
      <w:pPr>
        <w:jc w:val="both"/>
        <w:rPr>
          <w:rFonts w:ascii="Avenir Next" w:hAnsi="Avenir Next" w:cs="Arial"/>
          <w:color w:val="7B7B7B" w:themeColor="accent3" w:themeShade="BF"/>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4D3FA3" w14:textId="18096110" w:rsidR="00221673" w:rsidRDefault="0022167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there are some common characteristics between </w:t>
      </w:r>
      <w:r w:rsidR="003973C6">
        <w:rPr>
          <w:rFonts w:ascii="Avenir Next" w:hAnsi="Avenir Next" w:cs="Arial"/>
          <w:color w:val="7B7B7B" w:themeColor="accent3" w:themeShade="BF"/>
          <w:sz w:val="22"/>
          <w:szCs w:val="22"/>
          <w:lang w:val="en-GB"/>
        </w:rPr>
        <w:t xml:space="preserve">the objectives of </w:t>
      </w:r>
      <w:r>
        <w:rPr>
          <w:rFonts w:ascii="Avenir Next" w:hAnsi="Avenir Next" w:cs="Arial"/>
          <w:color w:val="7B7B7B" w:themeColor="accent3" w:themeShade="BF"/>
          <w:sz w:val="22"/>
          <w:szCs w:val="22"/>
          <w:lang w:val="en-GB"/>
        </w:rPr>
        <w:t>personal and corporate insolvency proceedings, there are also some key differences.</w:t>
      </w:r>
    </w:p>
    <w:p w14:paraId="570B3655" w14:textId="77777777" w:rsidR="00221673" w:rsidRDefault="00221673" w:rsidP="00C053F7">
      <w:pPr>
        <w:jc w:val="both"/>
        <w:rPr>
          <w:rFonts w:ascii="Avenir Next" w:hAnsi="Avenir Next" w:cs="Arial"/>
          <w:color w:val="7B7B7B" w:themeColor="accent3" w:themeShade="BF"/>
          <w:sz w:val="22"/>
          <w:szCs w:val="22"/>
          <w:lang w:val="en-GB"/>
        </w:rPr>
      </w:pPr>
    </w:p>
    <w:p w14:paraId="28DC0316" w14:textId="19DCAB69" w:rsidR="00221673" w:rsidRDefault="0022167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 difference is in relation to assets. While in both personal and corporate proceedings one of the main objectives is to determine what assets form part of the estate, the difference with personal proceedings is that there</w:t>
      </w:r>
      <w:r w:rsidR="00F4563F">
        <w:rPr>
          <w:rFonts w:ascii="Avenir Next" w:hAnsi="Avenir Next" w:cs="Arial"/>
          <w:color w:val="7B7B7B" w:themeColor="accent3" w:themeShade="BF"/>
          <w:sz w:val="22"/>
          <w:szCs w:val="22"/>
          <w:lang w:val="en-GB"/>
        </w:rPr>
        <w:t xml:space="preserve"> are some systems (due to socio-economic reasons) that make provision for</w:t>
      </w:r>
      <w:r>
        <w:rPr>
          <w:rFonts w:ascii="Avenir Next" w:hAnsi="Avenir Next" w:cs="Arial"/>
          <w:color w:val="7B7B7B" w:themeColor="accent3" w:themeShade="BF"/>
          <w:sz w:val="22"/>
          <w:szCs w:val="22"/>
          <w:lang w:val="en-GB"/>
        </w:rPr>
        <w:t xml:space="preserve"> some assets </w:t>
      </w:r>
      <w:r w:rsidR="00F4563F">
        <w:rPr>
          <w:rFonts w:ascii="Avenir Next" w:hAnsi="Avenir Next" w:cs="Arial"/>
          <w:color w:val="7B7B7B" w:themeColor="accent3" w:themeShade="BF"/>
          <w:sz w:val="22"/>
          <w:szCs w:val="22"/>
          <w:lang w:val="en-GB"/>
        </w:rPr>
        <w:t xml:space="preserve">to be </w:t>
      </w:r>
      <w:r>
        <w:rPr>
          <w:rFonts w:ascii="Avenir Next" w:hAnsi="Avenir Next" w:cs="Arial"/>
          <w:color w:val="7B7B7B" w:themeColor="accent3" w:themeShade="BF"/>
          <w:sz w:val="22"/>
          <w:szCs w:val="22"/>
          <w:lang w:val="en-GB"/>
        </w:rPr>
        <w:t xml:space="preserve">exempt or excluded from the </w:t>
      </w:r>
      <w:r w:rsidR="00F4563F">
        <w:rPr>
          <w:rFonts w:ascii="Avenir Next" w:hAnsi="Avenir Next" w:cs="Arial"/>
          <w:color w:val="7B7B7B" w:themeColor="accent3" w:themeShade="BF"/>
          <w:sz w:val="22"/>
          <w:szCs w:val="22"/>
          <w:lang w:val="en-GB"/>
        </w:rPr>
        <w:t xml:space="preserve">estate </w:t>
      </w:r>
      <w:r w:rsidR="000A787A">
        <w:rPr>
          <w:rFonts w:ascii="Avenir Next" w:hAnsi="Avenir Next" w:cs="Arial"/>
          <w:color w:val="7B7B7B" w:themeColor="accent3" w:themeShade="BF"/>
          <w:sz w:val="22"/>
          <w:szCs w:val="22"/>
          <w:lang w:val="en-GB"/>
        </w:rPr>
        <w:t>that</w:t>
      </w:r>
      <w:r w:rsidR="00F4563F">
        <w:rPr>
          <w:rFonts w:ascii="Avenir Next" w:hAnsi="Avenir Next" w:cs="Arial"/>
          <w:color w:val="7B7B7B" w:themeColor="accent3" w:themeShade="BF"/>
          <w:sz w:val="22"/>
          <w:szCs w:val="22"/>
          <w:lang w:val="en-GB"/>
        </w:rPr>
        <w:t xml:space="preserve"> will remain vested in the debtor.</w:t>
      </w:r>
      <w:r w:rsidR="00FE4168">
        <w:rPr>
          <w:rFonts w:ascii="Avenir Next" w:hAnsi="Avenir Next" w:cs="Arial"/>
          <w:color w:val="7B7B7B" w:themeColor="accent3" w:themeShade="BF"/>
          <w:sz w:val="22"/>
          <w:szCs w:val="22"/>
          <w:lang w:val="en-GB"/>
        </w:rPr>
        <w:t xml:space="preserve"> This provision does not exist in corporate proceedings</w:t>
      </w:r>
      <w:r w:rsidR="003973C6">
        <w:rPr>
          <w:rFonts w:ascii="Avenir Next" w:hAnsi="Avenir Next" w:cs="Arial"/>
          <w:color w:val="7B7B7B" w:themeColor="accent3" w:themeShade="BF"/>
          <w:sz w:val="22"/>
          <w:szCs w:val="22"/>
          <w:lang w:val="en-GB"/>
        </w:rPr>
        <w:t>, however it is still important to work out which assets belong to the corporation, and not a related group entity, for example.</w:t>
      </w:r>
    </w:p>
    <w:p w14:paraId="1175CB43" w14:textId="77777777" w:rsidR="00221673" w:rsidRDefault="00221673" w:rsidP="00C053F7">
      <w:pPr>
        <w:jc w:val="both"/>
        <w:rPr>
          <w:rFonts w:ascii="Avenir Next" w:hAnsi="Avenir Next" w:cs="Arial"/>
          <w:color w:val="7B7B7B" w:themeColor="accent3" w:themeShade="BF"/>
          <w:sz w:val="22"/>
          <w:szCs w:val="22"/>
          <w:lang w:val="en-GB"/>
        </w:rPr>
      </w:pPr>
    </w:p>
    <w:p w14:paraId="76B52E9E" w14:textId="61B1323A" w:rsidR="00221673" w:rsidRDefault="0022167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second difference relates to personal consequences and liabilit</w:t>
      </w:r>
      <w:r w:rsidR="00F4563F">
        <w:rPr>
          <w:rFonts w:ascii="Avenir Next" w:hAnsi="Avenir Next" w:cs="Arial"/>
          <w:color w:val="7B7B7B" w:themeColor="accent3" w:themeShade="BF"/>
          <w:sz w:val="22"/>
          <w:szCs w:val="22"/>
          <w:lang w:val="en-GB"/>
        </w:rPr>
        <w:t>ies</w:t>
      </w:r>
      <w:r>
        <w:rPr>
          <w:rFonts w:ascii="Avenir Next" w:hAnsi="Avenir Next" w:cs="Arial"/>
          <w:color w:val="7B7B7B" w:themeColor="accent3" w:themeShade="BF"/>
          <w:sz w:val="22"/>
          <w:szCs w:val="22"/>
          <w:lang w:val="en-GB"/>
        </w:rPr>
        <w:t xml:space="preserve"> flowing from the commencement of formal insolvency. </w:t>
      </w:r>
      <w:r w:rsidR="003973C6">
        <w:rPr>
          <w:rFonts w:ascii="Avenir Next" w:hAnsi="Avenir Next" w:cs="Arial"/>
          <w:color w:val="7B7B7B" w:themeColor="accent3" w:themeShade="BF"/>
          <w:sz w:val="22"/>
          <w:szCs w:val="22"/>
          <w:lang w:val="en-GB"/>
        </w:rPr>
        <w:t>One of the objectives of proceedings is to determin</w:t>
      </w:r>
      <w:r w:rsidR="003C7A5B">
        <w:rPr>
          <w:rFonts w:ascii="Avenir Next" w:hAnsi="Avenir Next" w:cs="Arial"/>
          <w:color w:val="7B7B7B" w:themeColor="accent3" w:themeShade="BF"/>
          <w:sz w:val="22"/>
          <w:szCs w:val="22"/>
          <w:lang w:val="en-GB"/>
        </w:rPr>
        <w:t>e</w:t>
      </w:r>
      <w:r w:rsidR="003973C6">
        <w:rPr>
          <w:rFonts w:ascii="Avenir Next" w:hAnsi="Avenir Next" w:cs="Arial"/>
          <w:color w:val="7B7B7B" w:themeColor="accent3" w:themeShade="BF"/>
          <w:sz w:val="22"/>
          <w:szCs w:val="22"/>
          <w:lang w:val="en-GB"/>
        </w:rPr>
        <w:t xml:space="preserve"> the conduct of the individual or the director and officers of a corporation. The outcome of these investigations will determine the </w:t>
      </w:r>
      <w:r w:rsidR="003C7A5B">
        <w:rPr>
          <w:rFonts w:ascii="Avenir Next" w:hAnsi="Avenir Next" w:cs="Arial"/>
          <w:color w:val="7B7B7B" w:themeColor="accent3" w:themeShade="BF"/>
          <w:sz w:val="22"/>
          <w:szCs w:val="22"/>
          <w:lang w:val="en-GB"/>
        </w:rPr>
        <w:t>restrictions that may be placed upon the individuals involved</w:t>
      </w:r>
      <w:r w:rsidR="003973C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In proceedings concerning individuals, the rights, duties</w:t>
      </w:r>
      <w:r w:rsidR="00F4563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 liabilities pertain to the debtor as an individual.</w:t>
      </w:r>
      <w:r w:rsidR="003973C6">
        <w:rPr>
          <w:rFonts w:ascii="Avenir Next" w:hAnsi="Avenir Next" w:cs="Arial"/>
          <w:color w:val="7B7B7B" w:themeColor="accent3" w:themeShade="BF"/>
          <w:sz w:val="22"/>
          <w:szCs w:val="22"/>
          <w:lang w:val="en-GB"/>
        </w:rPr>
        <w:t xml:space="preserve"> Consequences may include not being able to obtain credit, or to take up certain positions </w:t>
      </w:r>
      <w:r w:rsidR="003973C6">
        <w:rPr>
          <w:rFonts w:ascii="Avenir Next" w:hAnsi="Avenir Next" w:cs="Arial"/>
          <w:color w:val="7B7B7B" w:themeColor="accent3" w:themeShade="BF"/>
          <w:sz w:val="22"/>
          <w:szCs w:val="22"/>
          <w:lang w:val="en-GB"/>
        </w:rPr>
        <w:lastRenderedPageBreak/>
        <w:t>or roles.</w:t>
      </w:r>
      <w:r>
        <w:rPr>
          <w:rFonts w:ascii="Avenir Next" w:hAnsi="Avenir Next" w:cs="Arial"/>
          <w:color w:val="7B7B7B" w:themeColor="accent3" w:themeShade="BF"/>
          <w:sz w:val="22"/>
          <w:szCs w:val="22"/>
          <w:lang w:val="en-GB"/>
        </w:rPr>
        <w:t xml:space="preserve"> For corporations, </w:t>
      </w:r>
      <w:r w:rsidR="00F4563F">
        <w:rPr>
          <w:rFonts w:ascii="Avenir Next" w:hAnsi="Avenir Next" w:cs="Arial"/>
          <w:color w:val="7B7B7B" w:themeColor="accent3" w:themeShade="BF"/>
          <w:sz w:val="22"/>
          <w:szCs w:val="22"/>
          <w:lang w:val="en-GB"/>
        </w:rPr>
        <w:t>the rights, duties, and liabilities pertain to the</w:t>
      </w:r>
      <w:r>
        <w:rPr>
          <w:rFonts w:ascii="Avenir Next" w:hAnsi="Avenir Next" w:cs="Arial"/>
          <w:color w:val="7B7B7B" w:themeColor="accent3" w:themeShade="BF"/>
          <w:sz w:val="22"/>
          <w:szCs w:val="22"/>
          <w:lang w:val="en-GB"/>
        </w:rPr>
        <w:t xml:space="preserve"> directors and officers of the company</w:t>
      </w:r>
      <w:r w:rsidR="00F4563F">
        <w:rPr>
          <w:rFonts w:ascii="Avenir Next" w:hAnsi="Avenir Next" w:cs="Arial"/>
          <w:color w:val="7B7B7B" w:themeColor="accent3" w:themeShade="BF"/>
          <w:sz w:val="22"/>
          <w:szCs w:val="22"/>
          <w:lang w:val="en-GB"/>
        </w:rPr>
        <w:t>, for which they could be held personally liable for the debts of the company, depending on the circumstances.</w:t>
      </w:r>
      <w:r w:rsidR="003973C6">
        <w:rPr>
          <w:rFonts w:ascii="Avenir Next" w:hAnsi="Avenir Next" w:cs="Arial"/>
          <w:color w:val="7B7B7B" w:themeColor="accent3" w:themeShade="BF"/>
          <w:sz w:val="22"/>
          <w:szCs w:val="22"/>
          <w:lang w:val="en-GB"/>
        </w:rPr>
        <w:t xml:space="preserve"> </w:t>
      </w:r>
      <w:r w:rsidR="003C7A5B">
        <w:rPr>
          <w:rFonts w:ascii="Avenir Next" w:hAnsi="Avenir Next" w:cs="Arial"/>
          <w:color w:val="7B7B7B" w:themeColor="accent3" w:themeShade="BF"/>
          <w:sz w:val="22"/>
          <w:szCs w:val="22"/>
          <w:lang w:val="en-GB"/>
        </w:rPr>
        <w:t>They</w:t>
      </w:r>
      <w:r w:rsidR="003973C6">
        <w:rPr>
          <w:rFonts w:ascii="Avenir Next" w:hAnsi="Avenir Next" w:cs="Arial"/>
          <w:color w:val="7B7B7B" w:themeColor="accent3" w:themeShade="BF"/>
          <w:sz w:val="22"/>
          <w:szCs w:val="22"/>
          <w:lang w:val="en-GB"/>
        </w:rPr>
        <w:t xml:space="preserve"> could be subject to disqualification </w:t>
      </w:r>
      <w:r w:rsidR="003C7A5B">
        <w:rPr>
          <w:rFonts w:ascii="Avenir Next" w:hAnsi="Avenir Next" w:cs="Arial"/>
          <w:color w:val="7B7B7B" w:themeColor="accent3" w:themeShade="BF"/>
          <w:sz w:val="22"/>
          <w:szCs w:val="22"/>
          <w:lang w:val="en-GB"/>
        </w:rPr>
        <w:t xml:space="preserve">orders </w:t>
      </w:r>
      <w:r w:rsidR="003973C6">
        <w:rPr>
          <w:rFonts w:ascii="Avenir Next" w:hAnsi="Avenir Next" w:cs="Arial"/>
          <w:color w:val="7B7B7B" w:themeColor="accent3" w:themeShade="BF"/>
          <w:sz w:val="22"/>
          <w:szCs w:val="22"/>
          <w:lang w:val="en-GB"/>
        </w:rPr>
        <w:t>in the case of reckless or fraudulent trading.</w:t>
      </w:r>
    </w:p>
    <w:p w14:paraId="3E937F55" w14:textId="77777777" w:rsidR="005D7571" w:rsidRDefault="005D7571" w:rsidP="00C053F7">
      <w:pPr>
        <w:jc w:val="both"/>
        <w:rPr>
          <w:rFonts w:ascii="Avenir Next" w:hAnsi="Avenir Next" w:cs="Arial"/>
          <w:color w:val="7B7B7B" w:themeColor="accent3" w:themeShade="BF"/>
          <w:sz w:val="22"/>
          <w:szCs w:val="22"/>
          <w:lang w:val="en-GB"/>
        </w:rPr>
      </w:pPr>
    </w:p>
    <w:p w14:paraId="054150ED" w14:textId="1F67E0D7" w:rsidR="005D7571" w:rsidRDefault="005D757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third difference relates to </w:t>
      </w:r>
      <w:r w:rsidR="003C7A5B">
        <w:rPr>
          <w:rFonts w:ascii="Avenir Next" w:hAnsi="Avenir Next" w:cs="Arial"/>
          <w:color w:val="7B7B7B" w:themeColor="accent3" w:themeShade="BF"/>
          <w:sz w:val="22"/>
          <w:szCs w:val="22"/>
          <w:lang w:val="en-GB"/>
        </w:rPr>
        <w:t>the ultimate objective for the outcome of proceedings</w:t>
      </w:r>
      <w:r>
        <w:rPr>
          <w:rFonts w:ascii="Avenir Next" w:hAnsi="Avenir Next" w:cs="Arial"/>
          <w:color w:val="7B7B7B" w:themeColor="accent3" w:themeShade="BF"/>
          <w:sz w:val="22"/>
          <w:szCs w:val="22"/>
          <w:lang w:val="en-GB"/>
        </w:rPr>
        <w:t>.</w:t>
      </w:r>
      <w:r w:rsidR="00294398">
        <w:rPr>
          <w:rFonts w:ascii="Avenir Next" w:hAnsi="Avenir Next" w:cs="Arial"/>
          <w:color w:val="7B7B7B" w:themeColor="accent3" w:themeShade="BF"/>
          <w:sz w:val="22"/>
          <w:szCs w:val="22"/>
          <w:lang w:val="en-GB"/>
        </w:rPr>
        <w:t xml:space="preserve"> For a debtor</w:t>
      </w:r>
      <w:r>
        <w:rPr>
          <w:rFonts w:ascii="Avenir Next" w:hAnsi="Avenir Next" w:cs="Arial"/>
          <w:color w:val="7B7B7B" w:themeColor="accent3" w:themeShade="BF"/>
          <w:sz w:val="22"/>
          <w:szCs w:val="22"/>
          <w:lang w:val="en-GB"/>
        </w:rPr>
        <w:t xml:space="preserve"> </w:t>
      </w:r>
      <w:r w:rsidR="00294398">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n individual insolvency, the discharge of proceedings</w:t>
      </w:r>
      <w:r w:rsidR="00294398">
        <w:rPr>
          <w:rFonts w:ascii="Avenir Next" w:hAnsi="Avenir Next" w:cs="Arial"/>
          <w:color w:val="7B7B7B" w:themeColor="accent3" w:themeShade="BF"/>
          <w:sz w:val="22"/>
          <w:szCs w:val="22"/>
          <w:lang w:val="en-GB"/>
        </w:rPr>
        <w:t xml:space="preserve"> for pre-insolvency debt depends on whether a pro-debtor, or pro-creditor approach is being followed. In a pro-debtor system, it will be easier to obtain a discharge. For either approach, the </w:t>
      </w:r>
      <w:r w:rsidR="00294398" w:rsidRPr="00CE0202">
        <w:rPr>
          <w:rFonts w:ascii="Avenir Next" w:hAnsi="Avenir Next" w:cs="Arial"/>
          <w:color w:val="7B7B7B" w:themeColor="accent3" w:themeShade="BF"/>
          <w:sz w:val="22"/>
          <w:szCs w:val="22"/>
          <w:lang w:val="en-GB"/>
        </w:rPr>
        <w:t>formal process and</w:t>
      </w:r>
      <w:r w:rsidRPr="00CE0202">
        <w:rPr>
          <w:rFonts w:ascii="Avenir Next" w:hAnsi="Avenir Next" w:cs="Arial"/>
          <w:color w:val="7B7B7B" w:themeColor="accent3" w:themeShade="BF"/>
          <w:sz w:val="22"/>
          <w:szCs w:val="22"/>
          <w:lang w:val="en-GB"/>
        </w:rPr>
        <w:t xml:space="preserve"> prescribed time periods </w:t>
      </w:r>
      <w:r w:rsidR="00294398" w:rsidRPr="00CE0202">
        <w:rPr>
          <w:rFonts w:ascii="Avenir Next" w:hAnsi="Avenir Next" w:cs="Arial"/>
          <w:color w:val="7B7B7B" w:themeColor="accent3" w:themeShade="BF"/>
          <w:sz w:val="22"/>
          <w:szCs w:val="22"/>
          <w:lang w:val="en-GB"/>
        </w:rPr>
        <w:t>will d</w:t>
      </w:r>
      <w:r w:rsidRPr="00CE0202">
        <w:rPr>
          <w:rFonts w:ascii="Avenir Next" w:hAnsi="Avenir Next" w:cs="Arial"/>
          <w:color w:val="7B7B7B" w:themeColor="accent3" w:themeShade="BF"/>
          <w:sz w:val="22"/>
          <w:szCs w:val="22"/>
          <w:lang w:val="en-GB"/>
        </w:rPr>
        <w:t>epend on the jurisdiction in which they are being followed</w:t>
      </w:r>
      <w:r w:rsidR="00294398" w:rsidRPr="00CE0202">
        <w:rPr>
          <w:rFonts w:ascii="Avenir Next" w:hAnsi="Avenir Next" w:cs="Arial"/>
          <w:color w:val="7B7B7B" w:themeColor="accent3" w:themeShade="BF"/>
          <w:sz w:val="22"/>
          <w:szCs w:val="22"/>
          <w:lang w:val="en-GB"/>
        </w:rPr>
        <w:t>, however the ultimate end is a discharge of proceedings</w:t>
      </w:r>
      <w:r w:rsidRPr="00CE0202">
        <w:rPr>
          <w:rFonts w:ascii="Avenir Next" w:hAnsi="Avenir Next" w:cs="Arial"/>
          <w:color w:val="7B7B7B" w:themeColor="accent3" w:themeShade="BF"/>
          <w:sz w:val="22"/>
          <w:szCs w:val="22"/>
          <w:lang w:val="en-GB"/>
        </w:rPr>
        <w:t xml:space="preserve">. In corporate insolvency proceedings, </w:t>
      </w:r>
      <w:r w:rsidR="00294398" w:rsidRPr="00CE0202">
        <w:rPr>
          <w:rFonts w:ascii="Avenir Next" w:hAnsi="Avenir Next" w:cs="Arial"/>
          <w:color w:val="7B7B7B" w:themeColor="accent3" w:themeShade="BF"/>
          <w:sz w:val="22"/>
          <w:szCs w:val="22"/>
          <w:lang w:val="en-GB"/>
        </w:rPr>
        <w:t xml:space="preserve">corporate rescue is the most likely </w:t>
      </w:r>
      <w:r w:rsidR="00BB00D3">
        <w:rPr>
          <w:rFonts w:ascii="Avenir Next" w:hAnsi="Avenir Next" w:cs="Arial"/>
          <w:color w:val="7B7B7B" w:themeColor="accent3" w:themeShade="BF"/>
          <w:sz w:val="22"/>
          <w:szCs w:val="22"/>
          <w:lang w:val="en-GB"/>
        </w:rPr>
        <w:t>objective as generally, the preservation of the business benefits society (i.e. jobs retained), and often better value for creditors than a piecemeal sale of assets</w:t>
      </w:r>
      <w:r w:rsidR="00294398" w:rsidRPr="00CE0202">
        <w:rPr>
          <w:rFonts w:ascii="Avenir Next" w:hAnsi="Avenir Next" w:cs="Arial"/>
          <w:color w:val="7B7B7B" w:themeColor="accent3" w:themeShade="BF"/>
          <w:sz w:val="22"/>
          <w:szCs w:val="22"/>
          <w:lang w:val="en-GB"/>
        </w:rPr>
        <w:t xml:space="preserve">. A few questions would need to be posed for corporate </w:t>
      </w:r>
      <w:r w:rsidR="003973C6" w:rsidRPr="00CE0202">
        <w:rPr>
          <w:rFonts w:ascii="Avenir Next" w:hAnsi="Avenir Next" w:cs="Arial"/>
          <w:color w:val="7B7B7B" w:themeColor="accent3" w:themeShade="BF"/>
          <w:sz w:val="22"/>
          <w:szCs w:val="22"/>
          <w:lang w:val="en-GB"/>
        </w:rPr>
        <w:t>rescue</w:t>
      </w:r>
      <w:r w:rsidR="003973C6">
        <w:rPr>
          <w:rFonts w:ascii="Avenir Next" w:hAnsi="Avenir Next" w:cs="Arial"/>
          <w:color w:val="7B7B7B" w:themeColor="accent3" w:themeShade="BF"/>
          <w:sz w:val="22"/>
          <w:szCs w:val="22"/>
          <w:lang w:val="en-GB"/>
        </w:rPr>
        <w:t xml:space="preserve"> that would not be considered in individual proceedings</w:t>
      </w:r>
      <w:r w:rsidR="003973C6" w:rsidRPr="00CE0202">
        <w:rPr>
          <w:rFonts w:ascii="Avenir Next" w:hAnsi="Avenir Next" w:cs="Arial"/>
          <w:color w:val="7B7B7B" w:themeColor="accent3" w:themeShade="BF"/>
          <w:sz w:val="22"/>
          <w:szCs w:val="22"/>
          <w:lang w:val="en-GB"/>
        </w:rPr>
        <w:t>:</w:t>
      </w:r>
      <w:r w:rsidR="00294398" w:rsidRPr="00CE0202">
        <w:rPr>
          <w:rFonts w:ascii="Avenir Next" w:hAnsi="Avenir Next" w:cs="Arial"/>
          <w:color w:val="7B7B7B" w:themeColor="accent3" w:themeShade="BF"/>
          <w:sz w:val="22"/>
          <w:szCs w:val="22"/>
          <w:lang w:val="en-GB"/>
        </w:rPr>
        <w:t xml:space="preserve"> </w:t>
      </w:r>
      <w:r w:rsidR="00FE4168" w:rsidRPr="00CE0202">
        <w:rPr>
          <w:rFonts w:ascii="Avenir Next" w:hAnsi="Avenir Next" w:cs="Arial"/>
          <w:color w:val="7B7B7B" w:themeColor="accent3" w:themeShade="BF"/>
          <w:sz w:val="22"/>
          <w:szCs w:val="22"/>
          <w:lang w:val="en-GB"/>
        </w:rPr>
        <w:t>m</w:t>
      </w:r>
      <w:r w:rsidR="00294398" w:rsidRPr="00CE0202">
        <w:rPr>
          <w:rFonts w:ascii="Avenir Next" w:hAnsi="Avenir Next" w:cs="Arial"/>
          <w:color w:val="7B7B7B" w:themeColor="accent3" w:themeShade="BF"/>
          <w:sz w:val="22"/>
          <w:szCs w:val="22"/>
          <w:lang w:val="en-GB"/>
        </w:rPr>
        <w:t xml:space="preserve">oratorium, debtor in possession or rescue practitioner, post commencement finance, </w:t>
      </w:r>
      <w:r w:rsidR="00CE0202" w:rsidRPr="00CE0202">
        <w:rPr>
          <w:rFonts w:ascii="Avenir Next" w:hAnsi="Avenir Next" w:cs="Arial"/>
          <w:color w:val="7B7B7B" w:themeColor="accent3" w:themeShade="BF"/>
          <w:sz w:val="22"/>
          <w:szCs w:val="22"/>
          <w:lang w:val="en-GB"/>
        </w:rPr>
        <w:t>etc.</w:t>
      </w:r>
    </w:p>
    <w:p w14:paraId="1B9BA99F" w14:textId="77777777" w:rsidR="00294398" w:rsidRDefault="00294398" w:rsidP="00C053F7">
      <w:pPr>
        <w:jc w:val="both"/>
        <w:rPr>
          <w:rFonts w:ascii="Avenir Next" w:hAnsi="Avenir Next" w:cs="Arial"/>
          <w:color w:val="7B7B7B" w:themeColor="accent3" w:themeShade="BF"/>
          <w:sz w:val="22"/>
          <w:szCs w:val="22"/>
          <w:lang w:val="en-GB"/>
        </w:rPr>
      </w:pPr>
    </w:p>
    <w:p w14:paraId="174A04D4" w14:textId="0A0A5B92" w:rsidR="00294398" w:rsidRDefault="0029439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fourth difference relates to the available alternatives to the </w:t>
      </w:r>
      <w:r w:rsidR="00CE0202">
        <w:rPr>
          <w:rFonts w:ascii="Avenir Next" w:hAnsi="Avenir Next" w:cs="Arial"/>
          <w:color w:val="7B7B7B" w:themeColor="accent3" w:themeShade="BF"/>
          <w:sz w:val="22"/>
          <w:szCs w:val="22"/>
          <w:lang w:val="en-GB"/>
        </w:rPr>
        <w:t>main liquidation</w:t>
      </w:r>
      <w:r>
        <w:rPr>
          <w:rFonts w:ascii="Avenir Next" w:hAnsi="Avenir Next" w:cs="Arial"/>
          <w:color w:val="7B7B7B" w:themeColor="accent3" w:themeShade="BF"/>
          <w:sz w:val="22"/>
          <w:szCs w:val="22"/>
          <w:lang w:val="en-GB"/>
        </w:rPr>
        <w:t xml:space="preserve"> procedure. In personal insolvency, there are some systems that offer formal statutory repayment plans as an alternative to the liquidation of assets, or a hybrid of both approaches</w:t>
      </w:r>
      <w:r w:rsidR="003973C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corporate proceedings, there can be a variety of rescue procedures, provision for non-formal workouts, or pre-packs.</w:t>
      </w:r>
    </w:p>
    <w:p w14:paraId="13CDDB74" w14:textId="77777777" w:rsidR="0009452F" w:rsidRDefault="0009452F" w:rsidP="00C053F7">
      <w:pPr>
        <w:jc w:val="both"/>
        <w:rPr>
          <w:rFonts w:ascii="Avenir Next" w:hAnsi="Avenir Next" w:cs="Arial"/>
          <w:color w:val="7B7B7B" w:themeColor="accent3" w:themeShade="BF"/>
          <w:sz w:val="22"/>
          <w:szCs w:val="22"/>
          <w:lang w:val="en-GB"/>
        </w:rPr>
      </w:pPr>
    </w:p>
    <w:p w14:paraId="4A637290" w14:textId="6F2957F1" w:rsidR="00544127" w:rsidRPr="0075362A" w:rsidRDefault="0009452F" w:rsidP="007536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w:t>
      </w:r>
      <w:r w:rsidR="003973C6">
        <w:rPr>
          <w:rFonts w:ascii="Avenir Next" w:hAnsi="Avenir Next" w:cs="Arial"/>
          <w:color w:val="7B7B7B" w:themeColor="accent3" w:themeShade="BF"/>
          <w:sz w:val="22"/>
          <w:szCs w:val="22"/>
          <w:lang w:val="en-GB"/>
        </w:rPr>
        <w:t>fth</w:t>
      </w:r>
      <w:r>
        <w:rPr>
          <w:rFonts w:ascii="Avenir Next" w:hAnsi="Avenir Next" w:cs="Arial"/>
          <w:color w:val="7B7B7B" w:themeColor="accent3" w:themeShade="BF"/>
          <w:sz w:val="22"/>
          <w:szCs w:val="22"/>
          <w:lang w:val="en-GB"/>
        </w:rPr>
        <w:t xml:space="preserve"> difference arises due to the special rules that can be found in some states. In individual insolvency, there are some systems that do not make provision for collective procedures for individuals</w:t>
      </w:r>
      <w:r w:rsidR="00BB00D3">
        <w:rPr>
          <w:rFonts w:ascii="Avenir Next" w:hAnsi="Avenir Next" w:cs="Arial"/>
          <w:color w:val="7B7B7B" w:themeColor="accent3" w:themeShade="BF"/>
          <w:sz w:val="22"/>
          <w:szCs w:val="22"/>
          <w:lang w:val="en-GB"/>
        </w:rPr>
        <w:t>, however m</w:t>
      </w:r>
      <w:r>
        <w:rPr>
          <w:rFonts w:ascii="Avenir Next" w:hAnsi="Avenir Next" w:cs="Arial"/>
          <w:color w:val="7B7B7B" w:themeColor="accent3" w:themeShade="BF"/>
          <w:sz w:val="22"/>
          <w:szCs w:val="22"/>
          <w:lang w:val="en-GB"/>
        </w:rPr>
        <w:t>ost often special rules are restricted to traders in corporate proceedings</w:t>
      </w:r>
      <w:r w:rsidR="00BB00D3">
        <w:rPr>
          <w:rFonts w:ascii="Avenir Next" w:hAnsi="Avenir Next" w:cs="Arial"/>
          <w:color w:val="7B7B7B" w:themeColor="accent3" w:themeShade="BF"/>
          <w:sz w:val="22"/>
          <w:szCs w:val="22"/>
          <w:lang w:val="en-GB"/>
        </w:rPr>
        <w:t>. Examples of this are</w:t>
      </w:r>
      <w:r>
        <w:rPr>
          <w:rFonts w:ascii="Avenir Next" w:hAnsi="Avenir Next" w:cs="Arial"/>
          <w:color w:val="7B7B7B" w:themeColor="accent3" w:themeShade="BF"/>
          <w:sz w:val="22"/>
          <w:szCs w:val="22"/>
          <w:lang w:val="en-GB"/>
        </w:rPr>
        <w:t xml:space="preserve"> banks and financial institutions, groups of companies, state owned enterprises, non-profit associations, municipalities and sovereign debt that may occur if states go bankrupt.</w:t>
      </w:r>
    </w:p>
    <w:p w14:paraId="5D5A1FA5" w14:textId="77777777" w:rsidR="00D17FDC" w:rsidRPr="00827D56" w:rsidRDefault="00D17FDC" w:rsidP="003973C6">
      <w:pPr>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F878234" w14:textId="5D7545A7" w:rsidR="00044263" w:rsidRDefault="0029439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main difficult</w:t>
      </w:r>
      <w:r w:rsidR="00044263">
        <w:rPr>
          <w:rFonts w:ascii="Avenir Next" w:hAnsi="Avenir Next" w:cs="Arial"/>
          <w:color w:val="7B7B7B" w:themeColor="accent3" w:themeShade="BF"/>
          <w:sz w:val="22"/>
          <w:szCs w:val="22"/>
          <w:lang w:val="en-GB"/>
        </w:rPr>
        <w:t>ies</w:t>
      </w:r>
      <w:r>
        <w:rPr>
          <w:rFonts w:ascii="Avenir Next" w:hAnsi="Avenir Next" w:cs="Arial"/>
          <w:color w:val="7B7B7B" w:themeColor="accent3" w:themeShade="BF"/>
          <w:sz w:val="22"/>
          <w:szCs w:val="22"/>
          <w:lang w:val="en-GB"/>
        </w:rPr>
        <w:t xml:space="preserve"> that arise when dealing with </w:t>
      </w:r>
      <w:r w:rsidR="00044263">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law in a cross-border context </w:t>
      </w:r>
      <w:r w:rsidR="00014F34">
        <w:rPr>
          <w:rFonts w:ascii="Avenir Next" w:hAnsi="Avenir Next" w:cs="Arial"/>
          <w:color w:val="7B7B7B" w:themeColor="accent3" w:themeShade="BF"/>
          <w:sz w:val="22"/>
          <w:szCs w:val="22"/>
          <w:lang w:val="en-GB"/>
        </w:rPr>
        <w:t xml:space="preserve">are often </w:t>
      </w:r>
      <w:r>
        <w:rPr>
          <w:rFonts w:ascii="Avenir Next" w:hAnsi="Avenir Next" w:cs="Arial"/>
          <w:color w:val="7B7B7B" w:themeColor="accent3" w:themeShade="BF"/>
          <w:sz w:val="22"/>
          <w:szCs w:val="22"/>
          <w:lang w:val="en-GB"/>
        </w:rPr>
        <w:t xml:space="preserve">due to the differences </w:t>
      </w:r>
      <w:r w:rsidR="0075362A">
        <w:rPr>
          <w:rFonts w:ascii="Avenir Next" w:hAnsi="Avenir Next" w:cs="Arial"/>
          <w:color w:val="7B7B7B" w:themeColor="accent3" w:themeShade="BF"/>
          <w:sz w:val="22"/>
          <w:szCs w:val="22"/>
          <w:lang w:val="en-GB"/>
        </w:rPr>
        <w:t xml:space="preserve">that can be found </w:t>
      </w:r>
      <w:r w:rsidR="00044263">
        <w:rPr>
          <w:rFonts w:ascii="Avenir Next" w:hAnsi="Avenir Next" w:cs="Arial"/>
          <w:color w:val="7B7B7B" w:themeColor="accent3" w:themeShade="BF"/>
          <w:sz w:val="22"/>
          <w:szCs w:val="22"/>
          <w:lang w:val="en-GB"/>
        </w:rPr>
        <w:t>between the various location, such as the following:</w:t>
      </w:r>
    </w:p>
    <w:p w14:paraId="48B9F39A" w14:textId="77777777" w:rsidR="00044263" w:rsidRDefault="00044263" w:rsidP="00C053F7">
      <w:pPr>
        <w:jc w:val="both"/>
        <w:rPr>
          <w:rFonts w:ascii="Avenir Next" w:hAnsi="Avenir Next" w:cs="Arial"/>
          <w:color w:val="7B7B7B" w:themeColor="accent3" w:themeShade="BF"/>
          <w:sz w:val="22"/>
          <w:szCs w:val="22"/>
          <w:lang w:val="en-GB"/>
        </w:rPr>
      </w:pPr>
    </w:p>
    <w:p w14:paraId="4852293C" w14:textId="2ABE4F1A" w:rsidR="00044263" w:rsidRPr="00044263" w:rsidRDefault="00044263" w:rsidP="00044263">
      <w:pPr>
        <w:pStyle w:val="ListParagraph"/>
        <w:numPr>
          <w:ilvl w:val="0"/>
          <w:numId w:val="23"/>
        </w:numPr>
        <w:jc w:val="both"/>
        <w:rPr>
          <w:rFonts w:ascii="Avenir Next" w:hAnsi="Avenir Next" w:cs="Arial"/>
          <w:color w:val="7B7B7B" w:themeColor="accent3" w:themeShade="BF"/>
          <w:sz w:val="22"/>
          <w:szCs w:val="22"/>
          <w:lang w:val="en-GB"/>
        </w:rPr>
      </w:pPr>
      <w:r w:rsidRPr="00044263">
        <w:rPr>
          <w:rFonts w:ascii="Avenir Next" w:hAnsi="Avenir Next" w:cs="Arial"/>
          <w:color w:val="7B7B7B" w:themeColor="accent3" w:themeShade="BF"/>
          <w:sz w:val="22"/>
          <w:szCs w:val="22"/>
          <w:lang w:val="en-GB"/>
        </w:rPr>
        <w:t xml:space="preserve">The </w:t>
      </w:r>
      <w:r w:rsidR="00294398" w:rsidRPr="00044263">
        <w:rPr>
          <w:rFonts w:ascii="Avenir Next" w:hAnsi="Avenir Next" w:cs="Arial"/>
          <w:color w:val="7B7B7B" w:themeColor="accent3" w:themeShade="BF"/>
          <w:sz w:val="22"/>
          <w:szCs w:val="22"/>
          <w:lang w:val="en-GB"/>
        </w:rPr>
        <w:t>terminology</w:t>
      </w:r>
      <w:r w:rsidR="0012559C">
        <w:rPr>
          <w:rFonts w:ascii="Avenir Next" w:hAnsi="Avenir Next" w:cs="Arial"/>
          <w:color w:val="7B7B7B" w:themeColor="accent3" w:themeShade="BF"/>
          <w:sz w:val="22"/>
          <w:szCs w:val="22"/>
          <w:lang w:val="en-GB"/>
        </w:rPr>
        <w:t xml:space="preserve"> – this will not always be the same in various states across the world</w:t>
      </w:r>
      <w:r w:rsidR="00752E41">
        <w:rPr>
          <w:rFonts w:ascii="Avenir Next" w:hAnsi="Avenir Next" w:cs="Arial"/>
          <w:color w:val="7B7B7B" w:themeColor="accent3" w:themeShade="BF"/>
          <w:sz w:val="22"/>
          <w:szCs w:val="22"/>
          <w:lang w:val="en-GB"/>
        </w:rPr>
        <w:t>. T</w:t>
      </w:r>
      <w:r w:rsidR="00423683">
        <w:rPr>
          <w:rFonts w:ascii="Avenir Next" w:hAnsi="Avenir Next" w:cs="Arial"/>
          <w:color w:val="7B7B7B" w:themeColor="accent3" w:themeShade="BF"/>
          <w:sz w:val="22"/>
          <w:szCs w:val="22"/>
          <w:lang w:val="en-GB"/>
        </w:rPr>
        <w:t xml:space="preserve">he same principal may </w:t>
      </w:r>
      <w:r w:rsidR="0075362A">
        <w:rPr>
          <w:rFonts w:ascii="Avenir Next" w:hAnsi="Avenir Next" w:cs="Arial"/>
          <w:color w:val="7B7B7B" w:themeColor="accent3" w:themeShade="BF"/>
          <w:sz w:val="22"/>
          <w:szCs w:val="22"/>
          <w:lang w:val="en-GB"/>
        </w:rPr>
        <w:t>have a different word or set of words to describe it</w:t>
      </w:r>
      <w:r w:rsidR="00423683">
        <w:rPr>
          <w:rFonts w:ascii="Avenir Next" w:hAnsi="Avenir Next" w:cs="Arial"/>
          <w:color w:val="7B7B7B" w:themeColor="accent3" w:themeShade="BF"/>
          <w:sz w:val="22"/>
          <w:szCs w:val="22"/>
          <w:lang w:val="en-GB"/>
        </w:rPr>
        <w:t>.</w:t>
      </w:r>
    </w:p>
    <w:p w14:paraId="3852648D" w14:textId="77777777" w:rsidR="00044263" w:rsidRDefault="00044263" w:rsidP="00C053F7">
      <w:pPr>
        <w:jc w:val="both"/>
        <w:rPr>
          <w:rFonts w:ascii="Avenir Next" w:hAnsi="Avenir Next" w:cs="Arial"/>
          <w:color w:val="7B7B7B" w:themeColor="accent3" w:themeShade="BF"/>
          <w:sz w:val="22"/>
          <w:szCs w:val="22"/>
          <w:lang w:val="en-GB"/>
        </w:rPr>
      </w:pPr>
    </w:p>
    <w:p w14:paraId="433357FF" w14:textId="2BE9F48C" w:rsidR="00044263" w:rsidRPr="00044263" w:rsidRDefault="00044263" w:rsidP="00044263">
      <w:pPr>
        <w:pStyle w:val="ListParagraph"/>
        <w:numPr>
          <w:ilvl w:val="0"/>
          <w:numId w:val="23"/>
        </w:numPr>
        <w:jc w:val="both"/>
        <w:rPr>
          <w:rFonts w:ascii="Avenir Next" w:hAnsi="Avenir Next" w:cs="Arial"/>
          <w:color w:val="7B7B7B" w:themeColor="accent3" w:themeShade="BF"/>
          <w:sz w:val="22"/>
          <w:szCs w:val="22"/>
          <w:lang w:val="en-GB"/>
        </w:rPr>
      </w:pPr>
      <w:r w:rsidRPr="00044263">
        <w:rPr>
          <w:rFonts w:ascii="Avenir Next" w:hAnsi="Avenir Next" w:cs="Arial"/>
          <w:color w:val="7B7B7B" w:themeColor="accent3" w:themeShade="BF"/>
          <w:sz w:val="22"/>
          <w:szCs w:val="22"/>
          <w:lang w:val="en-GB"/>
        </w:rPr>
        <w:t xml:space="preserve">The </w:t>
      </w:r>
      <w:r w:rsidR="00294398" w:rsidRPr="00044263">
        <w:rPr>
          <w:rFonts w:ascii="Avenir Next" w:hAnsi="Avenir Next" w:cs="Arial"/>
          <w:color w:val="7B7B7B" w:themeColor="accent3" w:themeShade="BF"/>
          <w:sz w:val="22"/>
          <w:szCs w:val="22"/>
          <w:lang w:val="en-GB"/>
        </w:rPr>
        <w:t>approach</w:t>
      </w:r>
      <w:r w:rsidR="0012559C">
        <w:rPr>
          <w:rFonts w:ascii="Avenir Next" w:hAnsi="Avenir Next" w:cs="Arial"/>
          <w:color w:val="7B7B7B" w:themeColor="accent3" w:themeShade="BF"/>
          <w:sz w:val="22"/>
          <w:szCs w:val="22"/>
          <w:lang w:val="en-GB"/>
        </w:rPr>
        <w:t>es</w:t>
      </w:r>
      <w:r w:rsidR="00294398" w:rsidRPr="00044263">
        <w:rPr>
          <w:rFonts w:ascii="Avenir Next" w:hAnsi="Avenir Next" w:cs="Arial"/>
          <w:color w:val="7B7B7B" w:themeColor="accent3" w:themeShade="BF"/>
          <w:sz w:val="22"/>
          <w:szCs w:val="22"/>
          <w:lang w:val="en-GB"/>
        </w:rPr>
        <w:t xml:space="preserve"> to insolvenc</w:t>
      </w:r>
      <w:r w:rsidRPr="00044263">
        <w:rPr>
          <w:rFonts w:ascii="Avenir Next" w:hAnsi="Avenir Next" w:cs="Arial"/>
          <w:color w:val="7B7B7B" w:themeColor="accent3" w:themeShade="BF"/>
          <w:sz w:val="22"/>
          <w:szCs w:val="22"/>
          <w:lang w:val="en-GB"/>
        </w:rPr>
        <w:t>y</w:t>
      </w:r>
      <w:r w:rsidR="00294398" w:rsidRPr="00044263">
        <w:rPr>
          <w:rFonts w:ascii="Avenir Next" w:hAnsi="Avenir Next" w:cs="Arial"/>
          <w:color w:val="7B7B7B" w:themeColor="accent3" w:themeShade="BF"/>
          <w:sz w:val="22"/>
          <w:szCs w:val="22"/>
          <w:lang w:val="en-GB"/>
        </w:rPr>
        <w:t xml:space="preserve"> – </w:t>
      </w:r>
      <w:r w:rsidR="00014F34">
        <w:rPr>
          <w:rFonts w:ascii="Avenir Next" w:hAnsi="Avenir Next" w:cs="Arial"/>
          <w:color w:val="7B7B7B" w:themeColor="accent3" w:themeShade="BF"/>
          <w:sz w:val="22"/>
          <w:szCs w:val="22"/>
          <w:lang w:val="en-GB"/>
        </w:rPr>
        <w:t>different systems</w:t>
      </w:r>
      <w:r w:rsidR="00294398" w:rsidRPr="00044263">
        <w:rPr>
          <w:rFonts w:ascii="Avenir Next" w:hAnsi="Avenir Next" w:cs="Arial"/>
          <w:color w:val="7B7B7B" w:themeColor="accent3" w:themeShade="BF"/>
          <w:sz w:val="22"/>
          <w:szCs w:val="22"/>
          <w:lang w:val="en-GB"/>
        </w:rPr>
        <w:t xml:space="preserve"> may not have the same approach to insolvency</w:t>
      </w:r>
      <w:r w:rsidR="005F5AE9">
        <w:rPr>
          <w:rFonts w:ascii="Avenir Next" w:hAnsi="Avenir Next" w:cs="Arial"/>
          <w:color w:val="7B7B7B" w:themeColor="accent3" w:themeShade="BF"/>
          <w:sz w:val="22"/>
          <w:szCs w:val="22"/>
          <w:lang w:val="en-GB"/>
        </w:rPr>
        <w:t>, such as</w:t>
      </w:r>
      <w:r>
        <w:rPr>
          <w:rFonts w:ascii="Avenir Next" w:hAnsi="Avenir Next" w:cs="Arial"/>
          <w:color w:val="7B7B7B" w:themeColor="accent3" w:themeShade="BF"/>
          <w:sz w:val="22"/>
          <w:szCs w:val="22"/>
          <w:lang w:val="en-GB"/>
        </w:rPr>
        <w:t xml:space="preserve"> when granting a discharge</w:t>
      </w:r>
      <w:r w:rsidR="0075362A">
        <w:rPr>
          <w:rFonts w:ascii="Avenir Next" w:hAnsi="Avenir Next" w:cs="Arial"/>
          <w:color w:val="7B7B7B" w:themeColor="accent3" w:themeShade="BF"/>
          <w:sz w:val="22"/>
          <w:szCs w:val="22"/>
          <w:lang w:val="en-GB"/>
        </w:rPr>
        <w:t>; o</w:t>
      </w:r>
      <w:r w:rsidR="00294398" w:rsidRPr="00044263">
        <w:rPr>
          <w:rFonts w:ascii="Avenir Next" w:hAnsi="Avenir Next" w:cs="Arial"/>
          <w:color w:val="7B7B7B" w:themeColor="accent3" w:themeShade="BF"/>
          <w:sz w:val="22"/>
          <w:szCs w:val="22"/>
          <w:lang w:val="en-GB"/>
        </w:rPr>
        <w:t xml:space="preserve">ne </w:t>
      </w:r>
      <w:r w:rsidR="00423683">
        <w:rPr>
          <w:rFonts w:ascii="Avenir Next" w:hAnsi="Avenir Next" w:cs="Arial"/>
          <w:color w:val="7B7B7B" w:themeColor="accent3" w:themeShade="BF"/>
          <w:sz w:val="22"/>
          <w:szCs w:val="22"/>
          <w:lang w:val="en-GB"/>
        </w:rPr>
        <w:t xml:space="preserve">system </w:t>
      </w:r>
      <w:r w:rsidR="005F5AE9">
        <w:rPr>
          <w:rFonts w:ascii="Avenir Next" w:hAnsi="Avenir Next" w:cs="Arial"/>
          <w:color w:val="7B7B7B" w:themeColor="accent3" w:themeShade="BF"/>
          <w:sz w:val="22"/>
          <w:szCs w:val="22"/>
          <w:lang w:val="en-GB"/>
        </w:rPr>
        <w:t xml:space="preserve">may </w:t>
      </w:r>
      <w:r w:rsidR="00294398" w:rsidRPr="00044263">
        <w:rPr>
          <w:rFonts w:ascii="Avenir Next" w:hAnsi="Avenir Next" w:cs="Arial"/>
          <w:color w:val="7B7B7B" w:themeColor="accent3" w:themeShade="BF"/>
          <w:sz w:val="22"/>
          <w:szCs w:val="22"/>
          <w:lang w:val="en-GB"/>
        </w:rPr>
        <w:t xml:space="preserve">be pro-debtor </w:t>
      </w:r>
      <w:r w:rsidR="005F5AE9">
        <w:rPr>
          <w:rFonts w:ascii="Avenir Next" w:hAnsi="Avenir Next" w:cs="Arial"/>
          <w:color w:val="7B7B7B" w:themeColor="accent3" w:themeShade="BF"/>
          <w:sz w:val="22"/>
          <w:szCs w:val="22"/>
          <w:lang w:val="en-GB"/>
        </w:rPr>
        <w:t>and the other</w:t>
      </w:r>
      <w:r w:rsidR="00294398" w:rsidRPr="00044263">
        <w:rPr>
          <w:rFonts w:ascii="Avenir Next" w:hAnsi="Avenir Next" w:cs="Arial"/>
          <w:color w:val="7B7B7B" w:themeColor="accent3" w:themeShade="BF"/>
          <w:sz w:val="22"/>
          <w:szCs w:val="22"/>
          <w:lang w:val="en-GB"/>
        </w:rPr>
        <w:t xml:space="preserve"> pro-cred</w:t>
      </w:r>
      <w:r w:rsidR="00423683">
        <w:rPr>
          <w:rFonts w:ascii="Avenir Next" w:hAnsi="Avenir Next" w:cs="Arial"/>
          <w:color w:val="7B7B7B" w:themeColor="accent3" w:themeShade="BF"/>
          <w:sz w:val="22"/>
          <w:szCs w:val="22"/>
          <w:lang w:val="en-GB"/>
        </w:rPr>
        <w:t>i</w:t>
      </w:r>
      <w:r w:rsidR="00294398" w:rsidRPr="00044263">
        <w:rPr>
          <w:rFonts w:ascii="Avenir Next" w:hAnsi="Avenir Next" w:cs="Arial"/>
          <w:color w:val="7B7B7B" w:themeColor="accent3" w:themeShade="BF"/>
          <w:sz w:val="22"/>
          <w:szCs w:val="22"/>
          <w:lang w:val="en-GB"/>
        </w:rPr>
        <w:t>tor</w:t>
      </w:r>
      <w:r w:rsidR="005F5AE9">
        <w:rPr>
          <w:rFonts w:ascii="Avenir Next" w:hAnsi="Avenir Next" w:cs="Arial"/>
          <w:color w:val="7B7B7B" w:themeColor="accent3" w:themeShade="BF"/>
          <w:sz w:val="22"/>
          <w:szCs w:val="22"/>
          <w:lang w:val="en-GB"/>
        </w:rPr>
        <w:t>, or one may prefer rescue to liquidation.</w:t>
      </w:r>
    </w:p>
    <w:p w14:paraId="220116BD" w14:textId="77777777" w:rsidR="00044263" w:rsidRDefault="00044263" w:rsidP="00C053F7">
      <w:pPr>
        <w:jc w:val="both"/>
        <w:rPr>
          <w:rFonts w:ascii="Avenir Next" w:hAnsi="Avenir Next" w:cs="Arial"/>
          <w:color w:val="7B7B7B" w:themeColor="accent3" w:themeShade="BF"/>
          <w:sz w:val="22"/>
          <w:szCs w:val="22"/>
          <w:lang w:val="en-GB"/>
        </w:rPr>
      </w:pPr>
    </w:p>
    <w:p w14:paraId="455EA16C" w14:textId="441C9F6C" w:rsidR="00044263" w:rsidRDefault="0012559C" w:rsidP="0004426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Differences in domestic laws </w:t>
      </w:r>
      <w:r w:rsidR="00014F34">
        <w:rPr>
          <w:rFonts w:ascii="Avenir Next" w:hAnsi="Avenir Next" w:cs="Arial"/>
          <w:color w:val="7B7B7B" w:themeColor="accent3" w:themeShade="BF"/>
          <w:sz w:val="22"/>
          <w:szCs w:val="22"/>
          <w:lang w:val="en-GB"/>
        </w:rPr>
        <w:t xml:space="preserve">(both general and insolvency) </w:t>
      </w:r>
      <w:r>
        <w:rPr>
          <w:rFonts w:ascii="Avenir Next" w:hAnsi="Avenir Next" w:cs="Arial"/>
          <w:color w:val="7B7B7B" w:themeColor="accent3" w:themeShade="BF"/>
          <w:sz w:val="22"/>
          <w:szCs w:val="22"/>
          <w:lang w:val="en-GB"/>
        </w:rPr>
        <w:t xml:space="preserve">– </w:t>
      </w:r>
      <w:r w:rsidR="00014F34">
        <w:rPr>
          <w:rFonts w:ascii="Avenir Next" w:hAnsi="Avenir Next" w:cs="Arial"/>
          <w:color w:val="7B7B7B" w:themeColor="accent3" w:themeShade="BF"/>
          <w:sz w:val="22"/>
          <w:szCs w:val="22"/>
          <w:lang w:val="en-GB"/>
        </w:rPr>
        <w:t xml:space="preserve">this makes the rules and application of cross-border insolvency law complex in some circumstances, such as </w:t>
      </w:r>
      <w:r>
        <w:rPr>
          <w:rFonts w:ascii="Avenir Next" w:hAnsi="Avenir Next" w:cs="Arial"/>
          <w:color w:val="7B7B7B" w:themeColor="accent3" w:themeShade="BF"/>
          <w:sz w:val="22"/>
          <w:szCs w:val="22"/>
          <w:lang w:val="en-GB"/>
        </w:rPr>
        <w:t xml:space="preserve">the various </w:t>
      </w:r>
      <w:r w:rsidR="00044263" w:rsidRPr="00044263">
        <w:rPr>
          <w:rFonts w:ascii="Avenir Next" w:hAnsi="Avenir Next" w:cs="Arial"/>
          <w:color w:val="7B7B7B" w:themeColor="accent3" w:themeShade="BF"/>
          <w:sz w:val="22"/>
          <w:szCs w:val="22"/>
          <w:lang w:val="en-GB"/>
        </w:rPr>
        <w:t>r</w:t>
      </w:r>
      <w:r w:rsidR="00294398" w:rsidRPr="00044263">
        <w:rPr>
          <w:rFonts w:ascii="Avenir Next" w:hAnsi="Avenir Next" w:cs="Arial"/>
          <w:color w:val="7B7B7B" w:themeColor="accent3" w:themeShade="BF"/>
          <w:sz w:val="22"/>
          <w:szCs w:val="22"/>
          <w:lang w:val="en-GB"/>
        </w:rPr>
        <w:t xml:space="preserve">ights of </w:t>
      </w:r>
      <w:r w:rsidR="00014F34" w:rsidRPr="00044263">
        <w:rPr>
          <w:rFonts w:ascii="Avenir Next" w:hAnsi="Avenir Next" w:cs="Arial"/>
          <w:color w:val="7B7B7B" w:themeColor="accent3" w:themeShade="BF"/>
          <w:sz w:val="22"/>
          <w:szCs w:val="22"/>
          <w:lang w:val="en-GB"/>
        </w:rPr>
        <w:t>securities</w:t>
      </w:r>
      <w:r w:rsidR="005F5AE9">
        <w:rPr>
          <w:rFonts w:ascii="Avenir Next" w:hAnsi="Avenir Next" w:cs="Arial"/>
          <w:color w:val="7B7B7B" w:themeColor="accent3" w:themeShade="BF"/>
          <w:sz w:val="22"/>
          <w:szCs w:val="22"/>
          <w:lang w:val="en-GB"/>
        </w:rPr>
        <w:t xml:space="preserve"> (floating charges or other)</w:t>
      </w:r>
      <w:r w:rsidR="00014F34">
        <w:rPr>
          <w:rFonts w:ascii="Avenir Next" w:hAnsi="Avenir Next" w:cs="Arial"/>
          <w:color w:val="7B7B7B" w:themeColor="accent3" w:themeShade="BF"/>
          <w:sz w:val="22"/>
          <w:szCs w:val="22"/>
          <w:lang w:val="en-GB"/>
        </w:rPr>
        <w:t xml:space="preserve">, </w:t>
      </w:r>
      <w:r w:rsidR="009B0C2E">
        <w:rPr>
          <w:rFonts w:ascii="Avenir Next" w:hAnsi="Avenir Next" w:cs="Arial"/>
          <w:color w:val="7B7B7B" w:themeColor="accent3" w:themeShade="BF"/>
          <w:sz w:val="22"/>
          <w:szCs w:val="22"/>
          <w:lang w:val="en-GB"/>
        </w:rPr>
        <w:t xml:space="preserve">creditor preferences, </w:t>
      </w:r>
      <w:r w:rsidR="00014F34" w:rsidRPr="00044263">
        <w:rPr>
          <w:rFonts w:ascii="Avenir Next" w:hAnsi="Avenir Next" w:cs="Arial"/>
          <w:color w:val="7B7B7B" w:themeColor="accent3" w:themeShade="BF"/>
          <w:sz w:val="22"/>
          <w:szCs w:val="22"/>
          <w:lang w:val="en-GB"/>
        </w:rPr>
        <w:t>or</w:t>
      </w:r>
      <w:r>
        <w:rPr>
          <w:rFonts w:ascii="Avenir Next" w:hAnsi="Avenir Next" w:cs="Arial"/>
          <w:color w:val="7B7B7B" w:themeColor="accent3" w:themeShade="BF"/>
          <w:sz w:val="22"/>
          <w:szCs w:val="22"/>
          <w:lang w:val="en-GB"/>
        </w:rPr>
        <w:t xml:space="preserve"> </w:t>
      </w:r>
      <w:r w:rsidR="005F5AE9">
        <w:rPr>
          <w:rFonts w:ascii="Avenir Next" w:hAnsi="Avenir Next" w:cs="Arial"/>
          <w:color w:val="7B7B7B" w:themeColor="accent3" w:themeShade="BF"/>
          <w:sz w:val="22"/>
          <w:szCs w:val="22"/>
          <w:lang w:val="en-GB"/>
        </w:rPr>
        <w:t xml:space="preserve">executory contracts such as the </w:t>
      </w:r>
      <w:r>
        <w:rPr>
          <w:rFonts w:ascii="Avenir Next" w:hAnsi="Avenir Next" w:cs="Arial"/>
          <w:color w:val="7B7B7B" w:themeColor="accent3" w:themeShade="BF"/>
          <w:sz w:val="22"/>
          <w:szCs w:val="22"/>
          <w:lang w:val="en-GB"/>
        </w:rPr>
        <w:t>rights of employees</w:t>
      </w:r>
      <w:r w:rsidR="005F5AE9">
        <w:rPr>
          <w:rFonts w:ascii="Avenir Next" w:hAnsi="Avenir Next" w:cs="Arial"/>
          <w:color w:val="7B7B7B" w:themeColor="accent3" w:themeShade="BF"/>
          <w:sz w:val="22"/>
          <w:szCs w:val="22"/>
          <w:lang w:val="en-GB"/>
        </w:rPr>
        <w:t xml:space="preserve"> and labour dispensations.</w:t>
      </w:r>
    </w:p>
    <w:p w14:paraId="7E59EE18" w14:textId="77777777" w:rsidR="00044263" w:rsidRPr="0012559C" w:rsidRDefault="00044263" w:rsidP="0012559C">
      <w:pPr>
        <w:rPr>
          <w:rFonts w:ascii="Avenir Next" w:hAnsi="Avenir Next" w:cs="Arial"/>
          <w:color w:val="7B7B7B" w:themeColor="accent3" w:themeShade="BF"/>
          <w:sz w:val="22"/>
          <w:szCs w:val="22"/>
          <w:lang w:val="en-GB"/>
        </w:rPr>
      </w:pPr>
    </w:p>
    <w:p w14:paraId="05E8E74C" w14:textId="732BB710" w:rsidR="005F5AE9" w:rsidRPr="005F5AE9" w:rsidRDefault="00044263" w:rsidP="005F5AE9">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technical meaning of insolvency – whether cashflow or balance sheet insolvency</w:t>
      </w:r>
      <w:r w:rsidR="005F5AE9">
        <w:rPr>
          <w:rFonts w:ascii="Avenir Next" w:hAnsi="Avenir Next" w:cs="Arial"/>
          <w:color w:val="7B7B7B" w:themeColor="accent3" w:themeShade="BF"/>
          <w:sz w:val="22"/>
          <w:szCs w:val="22"/>
          <w:lang w:val="en-GB"/>
        </w:rPr>
        <w:t xml:space="preserve"> </w:t>
      </w:r>
      <w:r w:rsidR="00423683">
        <w:rPr>
          <w:rFonts w:ascii="Avenir Next" w:hAnsi="Avenir Next" w:cs="Arial"/>
          <w:color w:val="7B7B7B" w:themeColor="accent3" w:themeShade="BF"/>
          <w:sz w:val="22"/>
          <w:szCs w:val="22"/>
          <w:lang w:val="en-GB"/>
        </w:rPr>
        <w:t xml:space="preserve">(or both) </w:t>
      </w:r>
      <w:r>
        <w:rPr>
          <w:rFonts w:ascii="Avenir Next" w:hAnsi="Avenir Next" w:cs="Arial"/>
          <w:color w:val="7B7B7B" w:themeColor="accent3" w:themeShade="BF"/>
          <w:sz w:val="22"/>
          <w:szCs w:val="22"/>
          <w:lang w:val="en-GB"/>
        </w:rPr>
        <w:t>prevails</w:t>
      </w:r>
      <w:r w:rsidR="0012559C">
        <w:rPr>
          <w:rFonts w:ascii="Avenir Next" w:hAnsi="Avenir Next" w:cs="Arial"/>
          <w:color w:val="7B7B7B" w:themeColor="accent3" w:themeShade="BF"/>
          <w:sz w:val="22"/>
          <w:szCs w:val="22"/>
          <w:lang w:val="en-GB"/>
        </w:rPr>
        <w:t xml:space="preserve"> can differ by location.</w:t>
      </w:r>
    </w:p>
    <w:p w14:paraId="517A94E0" w14:textId="77777777" w:rsidR="005F5AE9" w:rsidRPr="005F5AE9" w:rsidRDefault="005F5AE9" w:rsidP="005F5AE9">
      <w:pPr>
        <w:pStyle w:val="ListParagraph"/>
        <w:rPr>
          <w:rFonts w:ascii="Avenir Next" w:hAnsi="Avenir Next" w:cs="Arial"/>
          <w:color w:val="7B7B7B" w:themeColor="accent3" w:themeShade="BF"/>
          <w:sz w:val="22"/>
          <w:szCs w:val="22"/>
          <w:lang w:val="en-GB"/>
        </w:rPr>
      </w:pPr>
    </w:p>
    <w:p w14:paraId="77B40D99" w14:textId="11BEAD7C" w:rsidR="005F5AE9" w:rsidRDefault="005F5AE9" w:rsidP="0004426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Dealing of over-indebtedness – different procedures exist to deal with this, such as collective proceedings.</w:t>
      </w:r>
    </w:p>
    <w:p w14:paraId="7F00747F" w14:textId="77777777" w:rsidR="00044263" w:rsidRPr="005F5AE9" w:rsidRDefault="00044263" w:rsidP="005F5AE9">
      <w:pPr>
        <w:rPr>
          <w:rFonts w:ascii="Avenir Next" w:hAnsi="Avenir Next" w:cs="Arial"/>
          <w:color w:val="7B7B7B" w:themeColor="accent3" w:themeShade="BF"/>
          <w:sz w:val="22"/>
          <w:szCs w:val="22"/>
          <w:lang w:val="en-GB"/>
        </w:rPr>
      </w:pPr>
    </w:p>
    <w:p w14:paraId="457033FC" w14:textId="63BDD825" w:rsidR="00044263" w:rsidRDefault="00014F34" w:rsidP="0004426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Absence of global court, parliament, law etc – makes the quest of predictability (the notion of wanting to know what will happen in any given situation) difficult</w:t>
      </w:r>
      <w:r w:rsidR="005F5AE9">
        <w:rPr>
          <w:rFonts w:ascii="Avenir Next" w:hAnsi="Avenir Next" w:cs="Arial"/>
          <w:color w:val="7B7B7B" w:themeColor="accent3" w:themeShade="BF"/>
          <w:sz w:val="22"/>
          <w:szCs w:val="22"/>
          <w:lang w:val="en-GB"/>
        </w:rPr>
        <w:t>.</w:t>
      </w:r>
    </w:p>
    <w:p w14:paraId="29862F8A" w14:textId="77777777" w:rsidR="00014F34" w:rsidRPr="00014F34" w:rsidRDefault="00014F34" w:rsidP="00014F34">
      <w:pPr>
        <w:pStyle w:val="ListParagraph"/>
        <w:rPr>
          <w:rFonts w:ascii="Avenir Next" w:hAnsi="Avenir Next" w:cs="Arial"/>
          <w:color w:val="7B7B7B" w:themeColor="accent3" w:themeShade="BF"/>
          <w:sz w:val="22"/>
          <w:szCs w:val="22"/>
          <w:lang w:val="en-GB"/>
        </w:rPr>
      </w:pPr>
    </w:p>
    <w:p w14:paraId="5FA3C9EB" w14:textId="344F15F3" w:rsidR="00014F34" w:rsidRDefault="00014F34" w:rsidP="0004426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Territoriality – many states are very protective of proceedings within their own jurisdict</w:t>
      </w:r>
      <w:r w:rsidR="0075362A">
        <w:rPr>
          <w:rFonts w:ascii="Avenir Next" w:hAnsi="Avenir Next" w:cs="Arial"/>
          <w:color w:val="7B7B7B" w:themeColor="accent3" w:themeShade="BF"/>
          <w:sz w:val="22"/>
          <w:szCs w:val="22"/>
          <w:lang w:val="en-GB"/>
        </w:rPr>
        <w:t>ion and be against releasing assets to foreign jurisdictions</w:t>
      </w:r>
      <w:r>
        <w:rPr>
          <w:rFonts w:ascii="Avenir Next" w:hAnsi="Avenir Next" w:cs="Arial"/>
          <w:color w:val="7B7B7B" w:themeColor="accent3" w:themeShade="BF"/>
          <w:sz w:val="22"/>
          <w:szCs w:val="22"/>
          <w:lang w:val="en-GB"/>
        </w:rPr>
        <w:t>.</w:t>
      </w:r>
    </w:p>
    <w:p w14:paraId="71D275C4" w14:textId="77777777" w:rsidR="00044263" w:rsidRPr="00014F34" w:rsidRDefault="00044263" w:rsidP="00014F34">
      <w:pPr>
        <w:rPr>
          <w:rFonts w:ascii="Avenir Next" w:hAnsi="Avenir Next" w:cs="Arial"/>
          <w:color w:val="7B7B7B" w:themeColor="accent3" w:themeShade="BF"/>
          <w:sz w:val="22"/>
          <w:szCs w:val="22"/>
          <w:lang w:val="en-GB"/>
        </w:rPr>
      </w:pPr>
    </w:p>
    <w:p w14:paraId="1C86936D" w14:textId="26E71C8A" w:rsidR="00044263" w:rsidRPr="00044263" w:rsidRDefault="00044263" w:rsidP="0004426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standing of foreign insolvency professionals – the ability to obtain recognition orders </w:t>
      </w:r>
      <w:r w:rsidR="00423683">
        <w:rPr>
          <w:rFonts w:ascii="Avenir Next" w:hAnsi="Avenir Next" w:cs="Arial"/>
          <w:color w:val="7B7B7B" w:themeColor="accent3" w:themeShade="BF"/>
          <w:sz w:val="22"/>
          <w:szCs w:val="22"/>
          <w:lang w:val="en-GB"/>
        </w:rPr>
        <w:t xml:space="preserve">in foreign jurisdictions </w:t>
      </w:r>
      <w:r>
        <w:rPr>
          <w:rFonts w:ascii="Avenir Next" w:hAnsi="Avenir Next" w:cs="Arial"/>
          <w:color w:val="7B7B7B" w:themeColor="accent3" w:themeShade="BF"/>
          <w:sz w:val="22"/>
          <w:szCs w:val="22"/>
          <w:lang w:val="en-GB"/>
        </w:rPr>
        <w:t>will vary from state to state</w:t>
      </w:r>
      <w:r w:rsidR="009B0C2E">
        <w:rPr>
          <w:rFonts w:ascii="Avenir Next" w:hAnsi="Avenir Next" w:cs="Arial"/>
          <w:color w:val="7B7B7B" w:themeColor="accent3" w:themeShade="BF"/>
          <w:sz w:val="22"/>
          <w:szCs w:val="22"/>
          <w:lang w:val="en-GB"/>
        </w:rPr>
        <w:t xml:space="preserve"> (as do the requirements for domestic office holders in different locations).</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bookmarkStart w:id="1" w:name="_Hlk148098591"/>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AA2AA95" w14:textId="20DEFDD7" w:rsidR="00752E41" w:rsidRDefault="00752E4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Most of the efforts in promoting harmonisation of domestic insolvency laws in the 21</w:t>
      </w:r>
      <w:r w:rsidRPr="00752E41">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w:t>
      </w:r>
      <w:r w:rsidR="002279D9">
        <w:rPr>
          <w:rFonts w:ascii="Avenir Next" w:hAnsi="Avenir Next" w:cs="Arial"/>
          <w:color w:val="7B7B7B" w:themeColor="accent3" w:themeShade="BF"/>
          <w:sz w:val="22"/>
          <w:szCs w:val="22"/>
          <w:lang w:val="en-GB"/>
        </w:rPr>
        <w:t>century</w:t>
      </w:r>
      <w:r>
        <w:rPr>
          <w:rFonts w:ascii="Avenir Next" w:hAnsi="Avenir Next" w:cs="Arial"/>
          <w:color w:val="7B7B7B" w:themeColor="accent3" w:themeShade="BF"/>
          <w:sz w:val="22"/>
          <w:szCs w:val="22"/>
          <w:lang w:val="en-GB"/>
        </w:rPr>
        <w:t xml:space="preserve"> have been led by private associations and judicial activism</w:t>
      </w:r>
      <w:r w:rsidR="002279D9">
        <w:rPr>
          <w:rFonts w:ascii="Avenir Next" w:hAnsi="Avenir Next" w:cs="Arial"/>
          <w:color w:val="7B7B7B" w:themeColor="accent3" w:themeShade="BF"/>
          <w:sz w:val="22"/>
          <w:szCs w:val="22"/>
          <w:lang w:val="en-GB"/>
        </w:rPr>
        <w:t xml:space="preserve">, </w:t>
      </w:r>
      <w:r w:rsidR="00C33B42">
        <w:rPr>
          <w:rFonts w:ascii="Avenir Next" w:hAnsi="Avenir Next" w:cs="Arial"/>
          <w:color w:val="7B7B7B" w:themeColor="accent3" w:themeShade="BF"/>
          <w:sz w:val="22"/>
          <w:szCs w:val="22"/>
          <w:lang w:val="en-GB"/>
        </w:rPr>
        <w:t>whereas</w:t>
      </w:r>
      <w:r w:rsidR="002279D9">
        <w:rPr>
          <w:rFonts w:ascii="Avenir Next" w:hAnsi="Avenir Next" w:cs="Arial"/>
          <w:color w:val="7B7B7B" w:themeColor="accent3" w:themeShade="BF"/>
          <w:sz w:val="22"/>
          <w:szCs w:val="22"/>
          <w:lang w:val="en-GB"/>
        </w:rPr>
        <w:t xml:space="preserve"> the efforts </w:t>
      </w:r>
      <w:r>
        <w:rPr>
          <w:rFonts w:ascii="Avenir Next" w:hAnsi="Avenir Next" w:cs="Arial"/>
          <w:color w:val="7B7B7B" w:themeColor="accent3" w:themeShade="BF"/>
          <w:sz w:val="22"/>
          <w:szCs w:val="22"/>
          <w:lang w:val="en-GB"/>
        </w:rPr>
        <w:t>that proceeded this in the 20</w:t>
      </w:r>
      <w:r w:rsidRPr="00752E41">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xml:space="preserve"> </w:t>
      </w:r>
      <w:r w:rsidR="002279D9">
        <w:rPr>
          <w:rFonts w:ascii="Avenir Next" w:hAnsi="Avenir Next" w:cs="Arial"/>
          <w:color w:val="7B7B7B" w:themeColor="accent3" w:themeShade="BF"/>
          <w:sz w:val="22"/>
          <w:szCs w:val="22"/>
          <w:lang w:val="en-GB"/>
        </w:rPr>
        <w:t>century</w:t>
      </w:r>
      <w:r>
        <w:rPr>
          <w:rFonts w:ascii="Avenir Next" w:hAnsi="Avenir Next" w:cs="Arial"/>
          <w:color w:val="7B7B7B" w:themeColor="accent3" w:themeShade="BF"/>
          <w:sz w:val="22"/>
          <w:szCs w:val="22"/>
          <w:lang w:val="en-GB"/>
        </w:rPr>
        <w:t xml:space="preserve"> were largely supported by governments, who drafted multilateral and bilateral treaties.</w:t>
      </w:r>
      <w:r>
        <w:rPr>
          <w:rStyle w:val="FootnoteReference"/>
          <w:rFonts w:ascii="Avenir Next" w:hAnsi="Avenir Next" w:cs="Arial"/>
          <w:color w:val="7B7B7B" w:themeColor="accent3" w:themeShade="BF"/>
          <w:sz w:val="22"/>
          <w:szCs w:val="22"/>
          <w:lang w:val="en-GB"/>
        </w:rPr>
        <w:footnoteReference w:id="7"/>
      </w:r>
    </w:p>
    <w:p w14:paraId="5836DF60" w14:textId="77777777" w:rsidR="00752E41" w:rsidRDefault="00752E41" w:rsidP="00C053F7">
      <w:pPr>
        <w:jc w:val="both"/>
        <w:rPr>
          <w:rFonts w:ascii="Avenir Next" w:hAnsi="Avenir Next" w:cs="Arial"/>
          <w:color w:val="7B7B7B" w:themeColor="accent3" w:themeShade="BF"/>
          <w:sz w:val="22"/>
          <w:szCs w:val="22"/>
          <w:lang w:val="en-GB"/>
        </w:rPr>
      </w:pPr>
    </w:p>
    <w:p w14:paraId="634A1773" w14:textId="2B2BA52C" w:rsidR="002279D9" w:rsidRDefault="002279D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goal of a harmonisation initiative is to create an instrument that reconciles differences in the way legal systems define and interpret cross-border commercial contracts. There are several types of instruments that may result from a successful project. Some create binding rules that will apply whether or not expressly incorporated into a contract, such as conventions, uniform acts, regulations, and directives. Others create “soft law” instruments that do not have binding obligations, but do reflect industry norms, such as model laws, standard terms and international trade terms, guides, principals and model clauses or provisions.</w:t>
      </w:r>
      <w:r>
        <w:rPr>
          <w:rStyle w:val="FootnoteReference"/>
          <w:rFonts w:ascii="Avenir Next" w:hAnsi="Avenir Next" w:cs="Arial"/>
          <w:color w:val="7B7B7B" w:themeColor="accent3" w:themeShade="BF"/>
          <w:sz w:val="22"/>
          <w:szCs w:val="22"/>
          <w:lang w:val="en-GB"/>
        </w:rPr>
        <w:footnoteReference w:id="8"/>
      </w:r>
    </w:p>
    <w:p w14:paraId="3F2E99DC" w14:textId="77777777" w:rsidR="002279D9" w:rsidRDefault="002279D9" w:rsidP="00C053F7">
      <w:pPr>
        <w:jc w:val="both"/>
        <w:rPr>
          <w:rFonts w:ascii="Avenir Next" w:hAnsi="Avenir Next" w:cs="Arial"/>
          <w:color w:val="7B7B7B" w:themeColor="accent3" w:themeShade="BF"/>
          <w:sz w:val="22"/>
          <w:szCs w:val="22"/>
          <w:lang w:val="en-GB"/>
        </w:rPr>
      </w:pPr>
    </w:p>
    <w:p w14:paraId="52CB4E93" w14:textId="57F7CC84" w:rsidR="00950014" w:rsidRDefault="0095001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 binding rule, a State will</w:t>
      </w:r>
      <w:r w:rsidR="00A140A5">
        <w:rPr>
          <w:rFonts w:ascii="Avenir Next" w:hAnsi="Avenir Next" w:cs="Arial"/>
          <w:color w:val="7B7B7B" w:themeColor="accent3" w:themeShade="BF"/>
          <w:sz w:val="22"/>
          <w:szCs w:val="22"/>
          <w:lang w:val="en-GB"/>
        </w:rPr>
        <w:t xml:space="preserve"> </w:t>
      </w:r>
      <w:r w:rsidR="00C33B42">
        <w:rPr>
          <w:rFonts w:ascii="Avenir Next" w:hAnsi="Avenir Next" w:cs="Arial"/>
          <w:color w:val="7B7B7B" w:themeColor="accent3" w:themeShade="BF"/>
          <w:sz w:val="22"/>
          <w:szCs w:val="22"/>
          <w:lang w:val="en-GB"/>
        </w:rPr>
        <w:t>amend</w:t>
      </w:r>
      <w:r w:rsidR="00A140A5">
        <w:rPr>
          <w:rFonts w:ascii="Avenir Next" w:hAnsi="Avenir Next" w:cs="Arial"/>
          <w:color w:val="7B7B7B" w:themeColor="accent3" w:themeShade="BF"/>
          <w:sz w:val="22"/>
          <w:szCs w:val="22"/>
          <w:lang w:val="en-GB"/>
        </w:rPr>
        <w:t xml:space="preserve"> their domestic insolvency laws specifically to address international issues. </w:t>
      </w:r>
      <w:r w:rsidR="00AB4E9F">
        <w:rPr>
          <w:rFonts w:ascii="Avenir Next" w:hAnsi="Avenir Next" w:cs="Arial"/>
          <w:color w:val="7B7B7B" w:themeColor="accent3" w:themeShade="BF"/>
          <w:sz w:val="22"/>
          <w:szCs w:val="22"/>
          <w:lang w:val="en-GB"/>
        </w:rPr>
        <w:t xml:space="preserve">One such example of this is to promote co-operation and co-ordination where there are concurrent proceedings, </w:t>
      </w:r>
      <w:r w:rsidR="006275FC">
        <w:rPr>
          <w:rFonts w:ascii="Avenir Next" w:hAnsi="Avenir Next" w:cs="Arial"/>
          <w:color w:val="7B7B7B" w:themeColor="accent3" w:themeShade="BF"/>
          <w:sz w:val="22"/>
          <w:szCs w:val="22"/>
          <w:lang w:val="en-GB"/>
        </w:rPr>
        <w:t xml:space="preserve">as seen in </w:t>
      </w:r>
      <w:r w:rsidR="00AB4E9F">
        <w:rPr>
          <w:rFonts w:ascii="Avenir Next" w:hAnsi="Avenir Next" w:cs="Arial"/>
          <w:color w:val="7B7B7B" w:themeColor="accent3" w:themeShade="BF"/>
          <w:sz w:val="22"/>
          <w:szCs w:val="22"/>
          <w:lang w:val="en-GB"/>
        </w:rPr>
        <w:t>Australia in sections 580-581 of the Corporations Act 2001, which permits co-operation between Australia and foreign courts in external administration matters such as liquidation.</w:t>
      </w:r>
      <w:r>
        <w:rPr>
          <w:rFonts w:ascii="Avenir Next" w:hAnsi="Avenir Next" w:cs="Arial"/>
          <w:color w:val="7B7B7B" w:themeColor="accent3" w:themeShade="BF"/>
          <w:sz w:val="22"/>
          <w:szCs w:val="22"/>
          <w:lang w:val="en-GB"/>
        </w:rPr>
        <w:t xml:space="preserve"> </w:t>
      </w:r>
    </w:p>
    <w:p w14:paraId="70BA130E" w14:textId="77777777" w:rsidR="00950014" w:rsidRDefault="00950014" w:rsidP="00C053F7">
      <w:pPr>
        <w:jc w:val="both"/>
        <w:rPr>
          <w:rFonts w:ascii="Avenir Next" w:hAnsi="Avenir Next" w:cs="Arial"/>
          <w:color w:val="7B7B7B" w:themeColor="accent3" w:themeShade="BF"/>
          <w:sz w:val="22"/>
          <w:szCs w:val="22"/>
          <w:lang w:val="en-GB"/>
        </w:rPr>
      </w:pPr>
    </w:p>
    <w:p w14:paraId="76979A35" w14:textId="067E3642" w:rsidR="00970385" w:rsidRDefault="0095001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extent to which a change in binding rules and laws will have an impact on addressing international issues is dependent upon the number of States who make such changes. A single change in a single state goes little way to resolving the issues, and success</w:t>
      </w:r>
      <w:r w:rsidR="006D685A">
        <w:rPr>
          <w:rFonts w:ascii="Avenir Next" w:hAnsi="Avenir Next" w:cs="Arial"/>
          <w:color w:val="7B7B7B" w:themeColor="accent3" w:themeShade="BF"/>
          <w:sz w:val="22"/>
          <w:szCs w:val="22"/>
          <w:lang w:val="en-GB"/>
        </w:rPr>
        <w:t xml:space="preserve"> can only be maximised</w:t>
      </w:r>
      <w:r>
        <w:rPr>
          <w:rFonts w:ascii="Avenir Next" w:hAnsi="Avenir Next" w:cs="Arial"/>
          <w:color w:val="7B7B7B" w:themeColor="accent3" w:themeShade="BF"/>
          <w:sz w:val="22"/>
          <w:szCs w:val="22"/>
          <w:lang w:val="en-GB"/>
        </w:rPr>
        <w:t xml:space="preserve"> when widely carried out. Even once widely carried out, changes such as that made in Australia noted above</w:t>
      </w:r>
      <w:r w:rsidR="006D685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only go so far as to encourage co-operation and communication between </w:t>
      </w:r>
      <w:r w:rsidR="00C33B42">
        <w:rPr>
          <w:rFonts w:ascii="Avenir Next" w:hAnsi="Avenir Next" w:cs="Arial"/>
          <w:color w:val="7B7B7B" w:themeColor="accent3" w:themeShade="BF"/>
          <w:sz w:val="22"/>
          <w:szCs w:val="22"/>
          <w:lang w:val="en-GB"/>
        </w:rPr>
        <w:t>states and</w:t>
      </w:r>
      <w:r>
        <w:rPr>
          <w:rFonts w:ascii="Avenir Next" w:hAnsi="Avenir Next" w:cs="Arial"/>
          <w:color w:val="7B7B7B" w:themeColor="accent3" w:themeShade="BF"/>
          <w:sz w:val="22"/>
          <w:szCs w:val="22"/>
          <w:lang w:val="en-GB"/>
        </w:rPr>
        <w:t xml:space="preserve"> does not address specific differences in</w:t>
      </w:r>
      <w:r w:rsidR="006D685A">
        <w:rPr>
          <w:rFonts w:ascii="Avenir Next" w:hAnsi="Avenir Next" w:cs="Arial"/>
          <w:color w:val="7B7B7B" w:themeColor="accent3" w:themeShade="BF"/>
          <w:sz w:val="22"/>
          <w:szCs w:val="22"/>
          <w:lang w:val="en-GB"/>
        </w:rPr>
        <w:t xml:space="preserve"> domestic</w:t>
      </w:r>
      <w:r>
        <w:rPr>
          <w:rFonts w:ascii="Avenir Next" w:hAnsi="Avenir Next" w:cs="Arial"/>
          <w:color w:val="7B7B7B" w:themeColor="accent3" w:themeShade="BF"/>
          <w:sz w:val="22"/>
          <w:szCs w:val="22"/>
          <w:lang w:val="en-GB"/>
        </w:rPr>
        <w:t xml:space="preserve"> laws </w:t>
      </w:r>
      <w:r w:rsidR="006D685A">
        <w:rPr>
          <w:rFonts w:ascii="Avenir Next" w:hAnsi="Avenir Next" w:cs="Arial"/>
          <w:color w:val="7B7B7B" w:themeColor="accent3" w:themeShade="BF"/>
          <w:sz w:val="22"/>
          <w:szCs w:val="22"/>
          <w:lang w:val="en-GB"/>
        </w:rPr>
        <w:t>between State</w:t>
      </w:r>
      <w:r>
        <w:rPr>
          <w:rFonts w:ascii="Avenir Next" w:hAnsi="Avenir Next" w:cs="Arial"/>
          <w:color w:val="7B7B7B" w:themeColor="accent3" w:themeShade="BF"/>
          <w:sz w:val="22"/>
          <w:szCs w:val="22"/>
          <w:lang w:val="en-GB"/>
        </w:rPr>
        <w:t>s.</w:t>
      </w:r>
    </w:p>
    <w:p w14:paraId="1EE34EDF" w14:textId="77777777" w:rsidR="00AB4E9F" w:rsidRDefault="00AB4E9F" w:rsidP="00C053F7">
      <w:pPr>
        <w:jc w:val="both"/>
        <w:rPr>
          <w:rFonts w:ascii="Avenir Next" w:hAnsi="Avenir Next" w:cs="Arial"/>
          <w:color w:val="7B7B7B" w:themeColor="accent3" w:themeShade="BF"/>
          <w:sz w:val="22"/>
          <w:szCs w:val="22"/>
          <w:lang w:val="en-GB"/>
        </w:rPr>
      </w:pPr>
    </w:p>
    <w:p w14:paraId="6AE5F648" w14:textId="7C5D2295" w:rsidR="00AB4E9F" w:rsidRDefault="0095001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mentioned above, i</w:t>
      </w:r>
      <w:r w:rsidR="00AB4E9F">
        <w:rPr>
          <w:rFonts w:ascii="Avenir Next" w:hAnsi="Avenir Next" w:cs="Arial"/>
          <w:color w:val="7B7B7B" w:themeColor="accent3" w:themeShade="BF"/>
          <w:sz w:val="22"/>
          <w:szCs w:val="22"/>
          <w:lang w:val="en-GB"/>
        </w:rPr>
        <w:t xml:space="preserve">n the absence of domestic laws being changed, </w:t>
      </w:r>
      <w:r w:rsidR="002279D9">
        <w:rPr>
          <w:rFonts w:ascii="Avenir Next" w:hAnsi="Avenir Next" w:cs="Arial"/>
          <w:color w:val="7B7B7B" w:themeColor="accent3" w:themeShade="BF"/>
          <w:sz w:val="22"/>
          <w:szCs w:val="22"/>
          <w:lang w:val="en-GB"/>
        </w:rPr>
        <w:t>several</w:t>
      </w:r>
      <w:r w:rsidR="00AB4E9F">
        <w:rPr>
          <w:rFonts w:ascii="Avenir Next" w:hAnsi="Avenir Next" w:cs="Arial"/>
          <w:color w:val="7B7B7B" w:themeColor="accent3" w:themeShade="BF"/>
          <w:sz w:val="22"/>
          <w:szCs w:val="22"/>
          <w:lang w:val="en-GB"/>
        </w:rPr>
        <w:t xml:space="preserve"> bodies attempted to draft guidelines </w:t>
      </w:r>
      <w:r>
        <w:rPr>
          <w:rFonts w:ascii="Avenir Next" w:hAnsi="Avenir Next" w:cs="Arial"/>
          <w:color w:val="7B7B7B" w:themeColor="accent3" w:themeShade="BF"/>
          <w:sz w:val="22"/>
          <w:szCs w:val="22"/>
          <w:lang w:val="en-GB"/>
        </w:rPr>
        <w:t>to</w:t>
      </w:r>
      <w:r w:rsidR="00AB4E9F">
        <w:rPr>
          <w:rFonts w:ascii="Avenir Next" w:hAnsi="Avenir Next" w:cs="Arial"/>
          <w:color w:val="7B7B7B" w:themeColor="accent3" w:themeShade="BF"/>
          <w:sz w:val="22"/>
          <w:szCs w:val="22"/>
          <w:lang w:val="en-GB"/>
        </w:rPr>
        <w:t xml:space="preserve"> promote harmonisation. </w:t>
      </w:r>
    </w:p>
    <w:p w14:paraId="1E5ABA21" w14:textId="77777777" w:rsidR="00AB4E9F" w:rsidRDefault="00AB4E9F" w:rsidP="00C053F7">
      <w:pPr>
        <w:jc w:val="both"/>
        <w:rPr>
          <w:rFonts w:ascii="Avenir Next" w:hAnsi="Avenir Next" w:cs="Arial"/>
          <w:color w:val="7B7B7B" w:themeColor="accent3" w:themeShade="BF"/>
          <w:sz w:val="22"/>
          <w:szCs w:val="22"/>
          <w:lang w:val="en-GB"/>
        </w:rPr>
      </w:pPr>
    </w:p>
    <w:p w14:paraId="18BE55ED" w14:textId="32F42498" w:rsidR="00AB4E9F" w:rsidRDefault="00AB4E9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early 2000’s the World Bank produced its “Effective Insolvency and Creditor / Debtor Regimes” guidelines on the regulation of insolvency. These principals have been revise</w:t>
      </w:r>
      <w:r w:rsidR="006275FC">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several times, most </w:t>
      </w:r>
      <w:r>
        <w:rPr>
          <w:rFonts w:ascii="Avenir Next" w:hAnsi="Avenir Next" w:cs="Arial"/>
          <w:color w:val="7B7B7B" w:themeColor="accent3" w:themeShade="BF"/>
          <w:sz w:val="22"/>
          <w:szCs w:val="22"/>
          <w:lang w:val="en-GB"/>
        </w:rPr>
        <w:lastRenderedPageBreak/>
        <w:t xml:space="preserve">recently in 2021. </w:t>
      </w:r>
      <w:r w:rsidR="008903DE">
        <w:rPr>
          <w:rFonts w:ascii="Avenir Next" w:hAnsi="Avenir Next" w:cs="Arial"/>
          <w:color w:val="7B7B7B" w:themeColor="accent3" w:themeShade="BF"/>
          <w:sz w:val="22"/>
          <w:szCs w:val="22"/>
          <w:lang w:val="en-GB"/>
        </w:rPr>
        <w:t>The principals have been designed as a broad-spectrum assessment tool to assist countries in their efforts to evaluate and improve core aspects of their law systems to promote economic growth, while giving efficient and transparent creditor and debtor regimes and insolvency systems to aid in investor confidence.</w:t>
      </w:r>
      <w:r>
        <w:rPr>
          <w:rStyle w:val="FootnoteReference"/>
          <w:rFonts w:ascii="Avenir Next" w:hAnsi="Avenir Next" w:cs="Arial"/>
          <w:color w:val="7B7B7B" w:themeColor="accent3" w:themeShade="BF"/>
          <w:sz w:val="22"/>
          <w:szCs w:val="22"/>
          <w:lang w:val="en-GB"/>
        </w:rPr>
        <w:footnoteReference w:id="9"/>
      </w:r>
      <w:r w:rsidR="006D685A">
        <w:rPr>
          <w:rFonts w:ascii="Avenir Next" w:hAnsi="Avenir Next" w:cs="Arial"/>
          <w:color w:val="7B7B7B" w:themeColor="accent3" w:themeShade="BF"/>
          <w:sz w:val="22"/>
          <w:szCs w:val="22"/>
          <w:lang w:val="en-GB"/>
        </w:rPr>
        <w:t xml:space="preserve"> To aid in the encouragement of adopting these guidelines, the IMF and Wor</w:t>
      </w:r>
      <w:r w:rsidR="00C33B42">
        <w:rPr>
          <w:rFonts w:ascii="Avenir Next" w:hAnsi="Avenir Next" w:cs="Arial"/>
          <w:color w:val="7B7B7B" w:themeColor="accent3" w:themeShade="BF"/>
          <w:sz w:val="22"/>
          <w:szCs w:val="22"/>
          <w:lang w:val="en-GB"/>
        </w:rPr>
        <w:t>l</w:t>
      </w:r>
      <w:r w:rsidR="006D685A">
        <w:rPr>
          <w:rFonts w:ascii="Avenir Next" w:hAnsi="Avenir Next" w:cs="Arial"/>
          <w:color w:val="7B7B7B" w:themeColor="accent3" w:themeShade="BF"/>
          <w:sz w:val="22"/>
          <w:szCs w:val="22"/>
          <w:lang w:val="en-GB"/>
        </w:rPr>
        <w:t>d bank often require insolvency law reform as a prerequisite to an offer of loan support, which helps increase its adoption across several States and goes some way to addressing the issues raised above as to the extent of their impact.</w:t>
      </w:r>
    </w:p>
    <w:p w14:paraId="40879CB7" w14:textId="77777777" w:rsidR="008903DE" w:rsidRDefault="008903DE" w:rsidP="00C053F7">
      <w:pPr>
        <w:jc w:val="both"/>
        <w:rPr>
          <w:rFonts w:ascii="Avenir Next" w:hAnsi="Avenir Next" w:cs="Arial"/>
          <w:color w:val="7B7B7B" w:themeColor="accent3" w:themeShade="BF"/>
          <w:sz w:val="22"/>
          <w:szCs w:val="22"/>
          <w:lang w:val="en-GB"/>
        </w:rPr>
      </w:pPr>
    </w:p>
    <w:p w14:paraId="2037004A" w14:textId="249E21B8" w:rsidR="008903DE" w:rsidRDefault="007D6FC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United National Commission on International Trade Law (UNCITRAL) was established in 1996, and its mission is to promote and further the modernisation and harmonisation of laws relating to international business. </w:t>
      </w:r>
      <w:r w:rsidR="008903DE">
        <w:rPr>
          <w:rFonts w:ascii="Avenir Next" w:hAnsi="Avenir Next" w:cs="Arial"/>
          <w:color w:val="7B7B7B" w:themeColor="accent3" w:themeShade="BF"/>
          <w:sz w:val="22"/>
          <w:szCs w:val="22"/>
          <w:lang w:val="en-GB"/>
        </w:rPr>
        <w:t xml:space="preserve">In 2004, UNCITRAL released </w:t>
      </w:r>
      <w:r>
        <w:rPr>
          <w:rFonts w:ascii="Avenir Next" w:hAnsi="Avenir Next" w:cs="Arial"/>
          <w:color w:val="7B7B7B" w:themeColor="accent3" w:themeShade="BF"/>
          <w:sz w:val="22"/>
          <w:szCs w:val="22"/>
          <w:lang w:val="en-GB"/>
        </w:rPr>
        <w:t>the</w:t>
      </w:r>
      <w:r w:rsidR="008903D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first two parts of its </w:t>
      </w:r>
      <w:r w:rsidR="008903DE">
        <w:rPr>
          <w:rFonts w:ascii="Avenir Next" w:hAnsi="Avenir Next" w:cs="Arial"/>
          <w:color w:val="7B7B7B" w:themeColor="accent3" w:themeShade="BF"/>
          <w:sz w:val="22"/>
          <w:szCs w:val="22"/>
          <w:lang w:val="en-GB"/>
        </w:rPr>
        <w:t>“Legislative Guide on Insolvency Law” as a guide</w:t>
      </w:r>
      <w:r w:rsidR="00B317A3">
        <w:rPr>
          <w:rFonts w:ascii="Avenir Next" w:hAnsi="Avenir Next" w:cs="Arial"/>
          <w:color w:val="7B7B7B" w:themeColor="accent3" w:themeShade="BF"/>
          <w:sz w:val="22"/>
          <w:szCs w:val="22"/>
          <w:lang w:val="en-GB"/>
        </w:rPr>
        <w:t xml:space="preserve"> for national authorities and legislative bodies</w:t>
      </w:r>
      <w:r w:rsidR="008903DE">
        <w:rPr>
          <w:rFonts w:ascii="Avenir Next" w:hAnsi="Avenir Next" w:cs="Arial"/>
          <w:color w:val="7B7B7B" w:themeColor="accent3" w:themeShade="BF"/>
          <w:sz w:val="22"/>
          <w:szCs w:val="22"/>
          <w:lang w:val="en-GB"/>
        </w:rPr>
        <w:t xml:space="preserve"> when preparing new laws and </w:t>
      </w:r>
      <w:r>
        <w:rPr>
          <w:rFonts w:ascii="Avenir Next" w:hAnsi="Avenir Next" w:cs="Arial"/>
          <w:color w:val="7B7B7B" w:themeColor="accent3" w:themeShade="BF"/>
          <w:sz w:val="22"/>
          <w:szCs w:val="22"/>
          <w:lang w:val="en-GB"/>
        </w:rPr>
        <w:t>regulations or</w:t>
      </w:r>
      <w:r w:rsidR="008903DE">
        <w:rPr>
          <w:rFonts w:ascii="Avenir Next" w:hAnsi="Avenir Next" w:cs="Arial"/>
          <w:color w:val="7B7B7B" w:themeColor="accent3" w:themeShade="BF"/>
          <w:sz w:val="22"/>
          <w:szCs w:val="22"/>
          <w:lang w:val="en-GB"/>
        </w:rPr>
        <w:t xml:space="preserve"> reviewing the adequacy of existing laws and regulations.</w:t>
      </w:r>
      <w:r w:rsidR="00B317A3">
        <w:rPr>
          <w:rFonts w:ascii="Avenir Next" w:hAnsi="Avenir Next" w:cs="Arial"/>
          <w:color w:val="7B7B7B" w:themeColor="accent3" w:themeShade="BF"/>
          <w:sz w:val="22"/>
          <w:szCs w:val="22"/>
          <w:lang w:val="en-GB"/>
        </w:rPr>
        <w:t xml:space="preserve"> Since 2004, it has been extended to include </w:t>
      </w:r>
      <w:r>
        <w:rPr>
          <w:rFonts w:ascii="Avenir Next" w:hAnsi="Avenir Next" w:cs="Arial"/>
          <w:color w:val="7B7B7B" w:themeColor="accent3" w:themeShade="BF"/>
          <w:sz w:val="22"/>
          <w:szCs w:val="22"/>
          <w:lang w:val="en-GB"/>
        </w:rPr>
        <w:t>p</w:t>
      </w:r>
      <w:r w:rsidR="00B317A3">
        <w:rPr>
          <w:rFonts w:ascii="Avenir Next" w:hAnsi="Avenir Next" w:cs="Arial"/>
          <w:color w:val="7B7B7B" w:themeColor="accent3" w:themeShade="BF"/>
          <w:sz w:val="22"/>
          <w:szCs w:val="22"/>
          <w:lang w:val="en-GB"/>
        </w:rPr>
        <w:t xml:space="preserve">art </w:t>
      </w:r>
      <w:r>
        <w:rPr>
          <w:rFonts w:ascii="Avenir Next" w:hAnsi="Avenir Next" w:cs="Arial"/>
          <w:color w:val="7B7B7B" w:themeColor="accent3" w:themeShade="BF"/>
          <w:sz w:val="22"/>
          <w:szCs w:val="22"/>
          <w:lang w:val="en-GB"/>
        </w:rPr>
        <w:t>t</w:t>
      </w:r>
      <w:r w:rsidR="00B317A3">
        <w:rPr>
          <w:rFonts w:ascii="Avenir Next" w:hAnsi="Avenir Next" w:cs="Arial"/>
          <w:color w:val="7B7B7B" w:themeColor="accent3" w:themeShade="BF"/>
          <w:sz w:val="22"/>
          <w:szCs w:val="22"/>
          <w:lang w:val="en-GB"/>
        </w:rPr>
        <w:t>hree – insolvency of enterprise groups</w:t>
      </w:r>
      <w:r>
        <w:rPr>
          <w:rFonts w:ascii="Avenir Next" w:hAnsi="Avenir Next" w:cs="Arial"/>
          <w:color w:val="7B7B7B" w:themeColor="accent3" w:themeShade="BF"/>
          <w:sz w:val="22"/>
          <w:szCs w:val="22"/>
          <w:lang w:val="en-GB"/>
        </w:rPr>
        <w:t xml:space="preserve"> (released in 2010)</w:t>
      </w:r>
      <w:r w:rsidR="00B317A3">
        <w:rPr>
          <w:rFonts w:ascii="Avenir Next" w:hAnsi="Avenir Next" w:cs="Arial"/>
          <w:color w:val="7B7B7B" w:themeColor="accent3" w:themeShade="BF"/>
          <w:sz w:val="22"/>
          <w:szCs w:val="22"/>
          <w:lang w:val="en-GB"/>
        </w:rPr>
        <w:t>, Part 4 – directors’ obligations in the period approaching insolvency</w:t>
      </w:r>
      <w:r>
        <w:rPr>
          <w:rFonts w:ascii="Avenir Next" w:hAnsi="Avenir Next" w:cs="Arial"/>
          <w:color w:val="7B7B7B" w:themeColor="accent3" w:themeShade="BF"/>
          <w:sz w:val="22"/>
          <w:szCs w:val="22"/>
          <w:lang w:val="en-GB"/>
        </w:rPr>
        <w:t xml:space="preserve"> (released in 2013, then revised in 2019), and part five - micro and small enterprises (released in 2021)</w:t>
      </w:r>
      <w:r w:rsidR="00B317A3">
        <w:rPr>
          <w:rFonts w:ascii="Avenir Next" w:hAnsi="Avenir Next" w:cs="Arial"/>
          <w:color w:val="7B7B7B" w:themeColor="accent3" w:themeShade="BF"/>
          <w:sz w:val="22"/>
          <w:szCs w:val="22"/>
          <w:lang w:val="en-GB"/>
        </w:rPr>
        <w:t>. It specifically recommends that “The insolvency law should include a modern, harmoni</w:t>
      </w:r>
      <w:r>
        <w:rPr>
          <w:rFonts w:ascii="Avenir Next" w:hAnsi="Avenir Next" w:cs="Arial"/>
          <w:color w:val="7B7B7B" w:themeColor="accent3" w:themeShade="BF"/>
          <w:sz w:val="22"/>
          <w:szCs w:val="22"/>
          <w:lang w:val="en-GB"/>
        </w:rPr>
        <w:t>s</w:t>
      </w:r>
      <w:r w:rsidR="00B317A3">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w:t>
      </w:r>
      <w:r w:rsidR="00B317A3">
        <w:rPr>
          <w:rFonts w:ascii="Avenir Next" w:hAnsi="Avenir Next" w:cs="Arial"/>
          <w:color w:val="7B7B7B" w:themeColor="accent3" w:themeShade="BF"/>
          <w:sz w:val="22"/>
          <w:szCs w:val="22"/>
          <w:lang w:val="en-GB"/>
        </w:rPr>
        <w:t xml:space="preserve"> and fair framework to address effectively instances of cross-border insolvency.</w:t>
      </w:r>
      <w:r w:rsidR="00B317A3">
        <w:rPr>
          <w:rStyle w:val="FootnoteReference"/>
          <w:rFonts w:ascii="Avenir Next" w:hAnsi="Avenir Next" w:cs="Arial"/>
          <w:color w:val="7B7B7B" w:themeColor="accent3" w:themeShade="BF"/>
          <w:sz w:val="22"/>
          <w:szCs w:val="22"/>
          <w:lang w:val="en-GB"/>
        </w:rPr>
        <w:footnoteReference w:id="10"/>
      </w:r>
      <w:r w:rsidR="00950014">
        <w:rPr>
          <w:rFonts w:ascii="Avenir Next" w:hAnsi="Avenir Next" w:cs="Arial"/>
          <w:color w:val="7B7B7B" w:themeColor="accent3" w:themeShade="BF"/>
          <w:sz w:val="22"/>
          <w:szCs w:val="22"/>
          <w:lang w:val="en-GB"/>
        </w:rPr>
        <w:t xml:space="preserve"> </w:t>
      </w:r>
    </w:p>
    <w:p w14:paraId="1471E69F" w14:textId="77777777" w:rsidR="006D685A" w:rsidRDefault="006D685A" w:rsidP="00C053F7">
      <w:pPr>
        <w:jc w:val="both"/>
        <w:rPr>
          <w:rFonts w:ascii="Avenir Next" w:hAnsi="Avenir Next" w:cs="Arial"/>
          <w:color w:val="7B7B7B" w:themeColor="accent3" w:themeShade="BF"/>
          <w:sz w:val="22"/>
          <w:szCs w:val="22"/>
          <w:lang w:val="en-GB"/>
        </w:rPr>
      </w:pPr>
    </w:p>
    <w:p w14:paraId="4AE7EA78" w14:textId="373E693F" w:rsidR="007D7C92" w:rsidRDefault="006D685A" w:rsidP="00C33B4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Similar regional</w:t>
      </w:r>
      <w:r w:rsidR="00C33B42">
        <w:rPr>
          <w:rFonts w:ascii="Avenir Next" w:hAnsi="Avenir Next" w:cs="Arial"/>
          <w:color w:val="7B7B7B" w:themeColor="accent3" w:themeShade="BF"/>
          <w:sz w:val="22"/>
          <w:szCs w:val="22"/>
          <w:lang w:val="en-GB"/>
        </w:rPr>
        <w:t xml:space="preserve"> laws or</w:t>
      </w:r>
      <w:r>
        <w:rPr>
          <w:rFonts w:ascii="Avenir Next" w:hAnsi="Avenir Next" w:cs="Arial"/>
          <w:color w:val="7B7B7B" w:themeColor="accent3" w:themeShade="BF"/>
          <w:sz w:val="22"/>
          <w:szCs w:val="22"/>
          <w:lang w:val="en-GB"/>
        </w:rPr>
        <w:t xml:space="preserve"> guidelines have been published in </w:t>
      </w:r>
      <w:r w:rsidR="00C33B42">
        <w:rPr>
          <w:rFonts w:ascii="Avenir Next" w:hAnsi="Avenir Next" w:cs="Arial"/>
          <w:color w:val="7B7B7B" w:themeColor="accent3" w:themeShade="BF"/>
          <w:sz w:val="22"/>
          <w:szCs w:val="22"/>
          <w:lang w:val="en-GB"/>
        </w:rPr>
        <w:t>several</w:t>
      </w:r>
      <w:r>
        <w:rPr>
          <w:rFonts w:ascii="Avenir Next" w:hAnsi="Avenir Next" w:cs="Arial"/>
          <w:color w:val="7B7B7B" w:themeColor="accent3" w:themeShade="BF"/>
          <w:sz w:val="22"/>
          <w:szCs w:val="22"/>
          <w:lang w:val="en-GB"/>
        </w:rPr>
        <w:t xml:space="preserve"> </w:t>
      </w:r>
      <w:r w:rsidR="00C33B42">
        <w:rPr>
          <w:rFonts w:ascii="Avenir Next" w:hAnsi="Avenir Next" w:cs="Arial"/>
          <w:color w:val="7B7B7B" w:themeColor="accent3" w:themeShade="BF"/>
          <w:sz w:val="22"/>
          <w:szCs w:val="22"/>
          <w:lang w:val="en-GB"/>
        </w:rPr>
        <w:t>places</w:t>
      </w:r>
      <w:r>
        <w:rPr>
          <w:rFonts w:ascii="Avenir Next" w:hAnsi="Avenir Next" w:cs="Arial"/>
          <w:color w:val="7B7B7B" w:themeColor="accent3" w:themeShade="BF"/>
          <w:sz w:val="22"/>
          <w:szCs w:val="22"/>
          <w:lang w:val="en-GB"/>
        </w:rPr>
        <w:t>, such as T</w:t>
      </w:r>
      <w:r w:rsidR="00950014">
        <w:rPr>
          <w:rFonts w:ascii="Avenir Next" w:hAnsi="Avenir Next" w:cs="Arial"/>
          <w:color w:val="7B7B7B" w:themeColor="accent3" w:themeShade="BF"/>
          <w:sz w:val="22"/>
          <w:szCs w:val="22"/>
          <w:lang w:val="en-GB"/>
        </w:rPr>
        <w:t xml:space="preserve">he Organisation for the Harmonisation of Business Laws in Africa (OHADA), </w:t>
      </w:r>
      <w:r>
        <w:rPr>
          <w:rFonts w:ascii="Avenir Next" w:hAnsi="Avenir Next" w:cs="Arial"/>
          <w:color w:val="7B7B7B" w:themeColor="accent3" w:themeShade="BF"/>
          <w:sz w:val="22"/>
          <w:szCs w:val="22"/>
          <w:lang w:val="en-GB"/>
        </w:rPr>
        <w:t xml:space="preserve">the EIR Recast in the European Union, the Nordic Convention of Bankruptcy </w:t>
      </w:r>
      <w:r w:rsidR="00C33B42">
        <w:rPr>
          <w:rFonts w:ascii="Avenir Next" w:hAnsi="Avenir Next" w:cs="Arial"/>
          <w:color w:val="7B7B7B" w:themeColor="accent3" w:themeShade="BF"/>
          <w:sz w:val="22"/>
          <w:szCs w:val="22"/>
          <w:lang w:val="en-GB"/>
        </w:rPr>
        <w:t>in Scandinavia. All of these have a positive impact on the regions in which they apply to, however also serve to create more regional differences as all have a slightly different approach. Cross-border issues then become cross-region issues.</w:t>
      </w:r>
    </w:p>
    <w:bookmarkEnd w:id="1"/>
    <w:p w14:paraId="7C55B0F7" w14:textId="641E886D" w:rsidR="00950014" w:rsidRPr="00827D56" w:rsidRDefault="00950014"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2"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w:t>
      </w:r>
      <w:r w:rsidRPr="00827D56">
        <w:rPr>
          <w:rFonts w:ascii="Avenir Next" w:hAnsi="Avenir Next" w:cs="Arial"/>
          <w:sz w:val="22"/>
          <w:szCs w:val="22"/>
          <w:lang w:val="en-GB"/>
        </w:rPr>
        <w:lastRenderedPageBreak/>
        <w:t>Apex court action against Nadir in Utopia.  Advise the Erewhon liquidator on the potential relevance of the Cross-border Insolvency Act of Utopia.</w:t>
      </w:r>
    </w:p>
    <w:p w14:paraId="0B6D5DE2" w14:textId="77777777" w:rsidR="00952926" w:rsidRDefault="00952926" w:rsidP="00C053F7">
      <w:pPr>
        <w:jc w:val="both"/>
        <w:rPr>
          <w:rFonts w:ascii="Avenir Next" w:hAnsi="Avenir Next" w:cs="Arial"/>
          <w:color w:val="7B7B7B" w:themeColor="accent3" w:themeShade="BF"/>
          <w:sz w:val="22"/>
          <w:szCs w:val="22"/>
          <w:lang w:val="en-GB"/>
        </w:rPr>
      </w:pPr>
    </w:p>
    <w:p w14:paraId="014DEC95" w14:textId="00668B51" w:rsidR="00952926" w:rsidRDefault="0095292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Utopia have adopted the UNICTRAL Model Law on Cross-border Insolvency</w:t>
      </w:r>
      <w:r w:rsidR="0056110D">
        <w:rPr>
          <w:rFonts w:ascii="Avenir Next" w:hAnsi="Avenir Next" w:cs="Arial"/>
          <w:color w:val="7B7B7B" w:themeColor="accent3" w:themeShade="BF"/>
          <w:sz w:val="22"/>
          <w:szCs w:val="22"/>
          <w:lang w:val="en-GB"/>
        </w:rPr>
        <w:t xml:space="preserve"> (Model Law)</w:t>
      </w:r>
      <w:r>
        <w:rPr>
          <w:rFonts w:ascii="Avenir Next" w:hAnsi="Avenir Next" w:cs="Arial"/>
          <w:color w:val="7B7B7B" w:themeColor="accent3" w:themeShade="BF"/>
          <w:sz w:val="22"/>
          <w:szCs w:val="22"/>
          <w:lang w:val="en-GB"/>
        </w:rPr>
        <w:t xml:space="preserve"> without </w:t>
      </w:r>
      <w:r w:rsidR="00BD7D8C">
        <w:rPr>
          <w:rFonts w:ascii="Avenir Next" w:hAnsi="Avenir Next" w:cs="Arial"/>
          <w:color w:val="7B7B7B" w:themeColor="accent3" w:themeShade="BF"/>
          <w:sz w:val="22"/>
          <w:szCs w:val="22"/>
          <w:lang w:val="en-GB"/>
        </w:rPr>
        <w:t>modification</w:t>
      </w:r>
      <w:r>
        <w:rPr>
          <w:rFonts w:ascii="Avenir Next" w:hAnsi="Avenir Next" w:cs="Arial"/>
          <w:color w:val="7B7B7B" w:themeColor="accent3" w:themeShade="BF"/>
          <w:sz w:val="22"/>
          <w:szCs w:val="22"/>
          <w:lang w:val="en-GB"/>
        </w:rPr>
        <w:t>, save as required to domesticate it, the liquidator (or other insolvency representative) and any local court based in Utopia are mandated (per chapter IV</w:t>
      </w:r>
      <w:r w:rsidR="00BF2938">
        <w:rPr>
          <w:rFonts w:ascii="Avenir Next" w:hAnsi="Avenir Next" w:cs="Arial"/>
          <w:color w:val="7B7B7B" w:themeColor="accent3" w:themeShade="BF"/>
          <w:sz w:val="22"/>
          <w:szCs w:val="22"/>
          <w:lang w:val="en-GB"/>
        </w:rPr>
        <w:t xml:space="preserve"> of the Model Law</w:t>
      </w:r>
      <w:r>
        <w:rPr>
          <w:rFonts w:ascii="Avenir Next" w:hAnsi="Avenir Next" w:cs="Arial"/>
          <w:color w:val="7B7B7B" w:themeColor="accent3" w:themeShade="BF"/>
          <w:sz w:val="22"/>
          <w:szCs w:val="22"/>
          <w:lang w:val="en-GB"/>
        </w:rPr>
        <w:t>) to co-operate with foreign courts or foreign representatives (such as the liquidator in Erewhon), either directly or through representatives.</w:t>
      </w:r>
    </w:p>
    <w:p w14:paraId="7D1F71ED" w14:textId="77777777" w:rsidR="00BD7D8C" w:rsidRPr="00827D56" w:rsidRDefault="00BD7D8C" w:rsidP="00BD7D8C">
      <w:pPr>
        <w:jc w:val="both"/>
        <w:rPr>
          <w:rFonts w:ascii="Avenir Next" w:hAnsi="Avenir Next" w:cs="Arial"/>
          <w:sz w:val="22"/>
          <w:szCs w:val="22"/>
          <w:lang w:val="en-GB"/>
        </w:rPr>
      </w:pPr>
    </w:p>
    <w:p w14:paraId="3A629772" w14:textId="5A890E35" w:rsidR="00BD7D8C" w:rsidRDefault="00BD7D8C" w:rsidP="00BD7D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not known from the information provided whether Erewhon has adopted the Model Law, which is relevant as it will determine whether the liquidator of Nadir in Erewhon is mandated to co-operate and communicate with any foreign proceedings that may be occurring in Utopia.</w:t>
      </w:r>
    </w:p>
    <w:p w14:paraId="038E9857" w14:textId="77777777" w:rsidR="00BD7D8C" w:rsidRDefault="00BD7D8C" w:rsidP="00BD7D8C">
      <w:pPr>
        <w:jc w:val="both"/>
        <w:rPr>
          <w:rFonts w:ascii="Avenir Next" w:hAnsi="Avenir Next" w:cs="Arial"/>
          <w:color w:val="7B7B7B" w:themeColor="accent3" w:themeShade="BF"/>
          <w:sz w:val="22"/>
          <w:szCs w:val="22"/>
          <w:lang w:val="en-GB"/>
        </w:rPr>
      </w:pPr>
    </w:p>
    <w:p w14:paraId="7B131BB1" w14:textId="787434DC" w:rsidR="00220FF3" w:rsidRDefault="00BD7D8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above points aside, it </w:t>
      </w:r>
      <w:r w:rsidR="00952926">
        <w:rPr>
          <w:rFonts w:ascii="Avenir Next" w:hAnsi="Avenir Next" w:cs="Arial"/>
          <w:color w:val="7B7B7B" w:themeColor="accent3" w:themeShade="BF"/>
          <w:sz w:val="22"/>
          <w:szCs w:val="22"/>
          <w:lang w:val="en-GB"/>
        </w:rPr>
        <w:t xml:space="preserve">is important for the liquidator </w:t>
      </w:r>
      <w:r>
        <w:rPr>
          <w:rFonts w:ascii="Avenir Next" w:hAnsi="Avenir Next" w:cs="Arial"/>
          <w:color w:val="7B7B7B" w:themeColor="accent3" w:themeShade="BF"/>
          <w:sz w:val="22"/>
          <w:szCs w:val="22"/>
          <w:lang w:val="en-GB"/>
        </w:rPr>
        <w:t xml:space="preserve">of Nadir </w:t>
      </w:r>
      <w:r w:rsidR="00952926">
        <w:rPr>
          <w:rFonts w:ascii="Avenir Next" w:hAnsi="Avenir Next" w:cs="Arial"/>
          <w:color w:val="7B7B7B" w:themeColor="accent3" w:themeShade="BF"/>
          <w:sz w:val="22"/>
          <w:szCs w:val="22"/>
          <w:lang w:val="en-GB"/>
        </w:rPr>
        <w:t xml:space="preserve">in Erewhon to determine where the centre of main interest </w:t>
      </w:r>
      <w:r w:rsidR="00B94095">
        <w:rPr>
          <w:rFonts w:ascii="Avenir Next" w:hAnsi="Avenir Next" w:cs="Arial"/>
          <w:color w:val="7B7B7B" w:themeColor="accent3" w:themeShade="BF"/>
          <w:sz w:val="22"/>
          <w:szCs w:val="22"/>
          <w:lang w:val="en-GB"/>
        </w:rPr>
        <w:t xml:space="preserve">(COMI) </w:t>
      </w:r>
      <w:r w:rsidR="00952926">
        <w:rPr>
          <w:rFonts w:ascii="Avenir Next" w:hAnsi="Avenir Next" w:cs="Arial"/>
          <w:color w:val="7B7B7B" w:themeColor="accent3" w:themeShade="BF"/>
          <w:sz w:val="22"/>
          <w:szCs w:val="22"/>
          <w:lang w:val="en-GB"/>
        </w:rPr>
        <w:t>of Nadir is located</w:t>
      </w:r>
      <w:r w:rsidR="00B94095">
        <w:rPr>
          <w:rFonts w:ascii="Avenir Next" w:hAnsi="Avenir Next" w:cs="Arial"/>
          <w:color w:val="7B7B7B" w:themeColor="accent3" w:themeShade="BF"/>
          <w:sz w:val="22"/>
          <w:szCs w:val="22"/>
          <w:lang w:val="en-GB"/>
        </w:rPr>
        <w:t>. This is relevant because it will determine whether the proceedings in Erewhon are foreign main proceedings, or foreign non-main proceedings</w:t>
      </w:r>
      <w:r w:rsidR="00BA70A3">
        <w:rPr>
          <w:rFonts w:ascii="Avenir Next" w:hAnsi="Avenir Next" w:cs="Arial"/>
          <w:color w:val="7B7B7B" w:themeColor="accent3" w:themeShade="BF"/>
          <w:sz w:val="22"/>
          <w:szCs w:val="22"/>
          <w:lang w:val="en-GB"/>
        </w:rPr>
        <w:t xml:space="preserve"> per the definitions in Article 2 (b) and (c)</w:t>
      </w:r>
      <w:r>
        <w:rPr>
          <w:rStyle w:val="FootnoteReference"/>
          <w:rFonts w:ascii="Avenir Next" w:hAnsi="Avenir Next" w:cs="Arial"/>
          <w:color w:val="7B7B7B" w:themeColor="accent3" w:themeShade="BF"/>
          <w:sz w:val="22"/>
          <w:szCs w:val="22"/>
          <w:lang w:val="en-GB"/>
        </w:rPr>
        <w:footnoteReference w:id="11"/>
      </w:r>
      <w:r>
        <w:rPr>
          <w:rFonts w:ascii="Avenir Next" w:hAnsi="Avenir Next" w:cs="Arial"/>
          <w:color w:val="7B7B7B" w:themeColor="accent3" w:themeShade="BF"/>
          <w:sz w:val="22"/>
          <w:szCs w:val="22"/>
          <w:lang w:val="en-GB"/>
        </w:rPr>
        <w:t>. The COMI should correspond to the place where the debtor conducts the administration of his interests on a regular basis. The registered office is presumed to be the COMI in the absence of proof to the contrary.</w:t>
      </w:r>
      <w:r>
        <w:rPr>
          <w:rStyle w:val="FootnoteReference"/>
          <w:rFonts w:ascii="Avenir Next" w:hAnsi="Avenir Next" w:cs="Arial"/>
          <w:color w:val="7B7B7B" w:themeColor="accent3" w:themeShade="BF"/>
          <w:sz w:val="22"/>
          <w:szCs w:val="22"/>
          <w:lang w:val="en-GB"/>
        </w:rPr>
        <w:footnoteReference w:id="12"/>
      </w:r>
      <w:r>
        <w:rPr>
          <w:rFonts w:ascii="Avenir Next" w:hAnsi="Avenir Next" w:cs="Arial"/>
          <w:color w:val="7B7B7B" w:themeColor="accent3" w:themeShade="BF"/>
          <w:sz w:val="22"/>
          <w:szCs w:val="22"/>
          <w:lang w:val="en-GB"/>
        </w:rPr>
        <w:t xml:space="preserve"> Given that </w:t>
      </w:r>
      <w:r w:rsidR="00BF2938">
        <w:rPr>
          <w:rFonts w:ascii="Avenir Next" w:hAnsi="Avenir Next" w:cs="Arial"/>
          <w:color w:val="7B7B7B" w:themeColor="accent3" w:themeShade="BF"/>
          <w:sz w:val="22"/>
          <w:szCs w:val="22"/>
          <w:lang w:val="en-GB"/>
        </w:rPr>
        <w:t xml:space="preserve">Erewhon recently moved </w:t>
      </w:r>
      <w:r w:rsidR="00BA70A3">
        <w:rPr>
          <w:rFonts w:ascii="Avenir Next" w:hAnsi="Avenir Next" w:cs="Arial"/>
          <w:color w:val="7B7B7B" w:themeColor="accent3" w:themeShade="BF"/>
          <w:sz w:val="22"/>
          <w:szCs w:val="22"/>
          <w:lang w:val="en-GB"/>
        </w:rPr>
        <w:t xml:space="preserve">its </w:t>
      </w:r>
      <w:r w:rsidR="00BF2938">
        <w:rPr>
          <w:rFonts w:ascii="Avenir Next" w:hAnsi="Avenir Next" w:cs="Arial"/>
          <w:color w:val="7B7B7B" w:themeColor="accent3" w:themeShade="BF"/>
          <w:sz w:val="22"/>
          <w:szCs w:val="22"/>
          <w:lang w:val="en-GB"/>
        </w:rPr>
        <w:t xml:space="preserve">place of registration </w:t>
      </w:r>
      <w:r w:rsidR="00BA70A3">
        <w:rPr>
          <w:rFonts w:ascii="Avenir Next" w:hAnsi="Avenir Next" w:cs="Arial"/>
          <w:color w:val="7B7B7B" w:themeColor="accent3" w:themeShade="BF"/>
          <w:sz w:val="22"/>
          <w:szCs w:val="22"/>
          <w:lang w:val="en-GB"/>
        </w:rPr>
        <w:t xml:space="preserve">and head office </w:t>
      </w:r>
      <w:r w:rsidR="00BF2938">
        <w:rPr>
          <w:rFonts w:ascii="Avenir Next" w:hAnsi="Avenir Next" w:cs="Arial"/>
          <w:color w:val="7B7B7B" w:themeColor="accent3" w:themeShade="BF"/>
          <w:sz w:val="22"/>
          <w:szCs w:val="22"/>
          <w:lang w:val="en-GB"/>
        </w:rPr>
        <w:t>from Utopia to Erewhon, further clarification is needed as to which is the COMI.</w:t>
      </w:r>
    </w:p>
    <w:p w14:paraId="77E2EFF7" w14:textId="77777777" w:rsidR="009351E5" w:rsidRDefault="009351E5" w:rsidP="00C053F7">
      <w:pPr>
        <w:jc w:val="both"/>
        <w:rPr>
          <w:rFonts w:ascii="Avenir Next" w:hAnsi="Avenir Next" w:cs="Arial"/>
          <w:color w:val="7B7B7B" w:themeColor="accent3" w:themeShade="BF"/>
          <w:sz w:val="22"/>
          <w:szCs w:val="22"/>
          <w:lang w:val="en-GB"/>
        </w:rPr>
      </w:pPr>
    </w:p>
    <w:p w14:paraId="6E253E0A" w14:textId="77777777" w:rsidR="009351E5" w:rsidRDefault="009351E5" w:rsidP="009351E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in Erewhon (as a Foreign Representative</w:t>
      </w:r>
      <w:r>
        <w:rPr>
          <w:rStyle w:val="FootnoteReference"/>
          <w:rFonts w:ascii="Avenir Next" w:hAnsi="Avenir Next" w:cs="Arial"/>
          <w:color w:val="7B7B7B" w:themeColor="accent3" w:themeShade="BF"/>
          <w:sz w:val="22"/>
          <w:szCs w:val="22"/>
          <w:lang w:val="en-GB"/>
        </w:rPr>
        <w:footnoteReference w:id="13"/>
      </w:r>
      <w:r>
        <w:rPr>
          <w:rFonts w:ascii="Avenir Next" w:hAnsi="Avenir Next" w:cs="Arial"/>
          <w:color w:val="7B7B7B" w:themeColor="accent3" w:themeShade="BF"/>
          <w:sz w:val="22"/>
          <w:szCs w:val="22"/>
          <w:lang w:val="en-GB"/>
        </w:rPr>
        <w:t>) can apply to the court in Utopia for recognition of the foreign proceedings in which they have been appointed.</w:t>
      </w:r>
      <w:r>
        <w:rPr>
          <w:rStyle w:val="FootnoteReference"/>
          <w:rFonts w:ascii="Avenir Next" w:hAnsi="Avenir Next" w:cs="Arial"/>
          <w:color w:val="7B7B7B" w:themeColor="accent3" w:themeShade="BF"/>
          <w:sz w:val="22"/>
          <w:szCs w:val="22"/>
          <w:lang w:val="en-GB"/>
        </w:rPr>
        <w:footnoteReference w:id="14"/>
      </w:r>
      <w:r>
        <w:rPr>
          <w:rFonts w:ascii="Avenir Next" w:hAnsi="Avenir Next" w:cs="Arial"/>
          <w:color w:val="7B7B7B" w:themeColor="accent3" w:themeShade="BF"/>
          <w:sz w:val="22"/>
          <w:szCs w:val="22"/>
          <w:lang w:val="en-GB"/>
        </w:rPr>
        <w:t xml:space="preserve"> From the time of filing an application for recognition, until the application is decided upon, the court may, at the request of the liquidator of Nadir in Erewhon as the foreign representative, stay an execution against the assets of Nadir</w:t>
      </w:r>
      <w:r>
        <w:rPr>
          <w:rStyle w:val="FootnoteReference"/>
          <w:rFonts w:ascii="Avenir Next" w:hAnsi="Avenir Next" w:cs="Arial"/>
          <w:color w:val="7B7B7B" w:themeColor="accent3" w:themeShade="BF"/>
          <w:sz w:val="22"/>
          <w:szCs w:val="22"/>
          <w:lang w:val="en-GB"/>
        </w:rPr>
        <w:footnoteReference w:id="15"/>
      </w:r>
      <w:r>
        <w:rPr>
          <w:rFonts w:ascii="Avenir Next" w:hAnsi="Avenir Next" w:cs="Arial"/>
          <w:color w:val="7B7B7B" w:themeColor="accent3" w:themeShade="BF"/>
          <w:sz w:val="22"/>
          <w:szCs w:val="22"/>
          <w:lang w:val="en-GB"/>
        </w:rPr>
        <w:t>, if relief is urgently needed to protect the assets of Nadir or the interests of the creditor.</w:t>
      </w:r>
    </w:p>
    <w:p w14:paraId="0506A1DB" w14:textId="77777777" w:rsidR="00BF2938" w:rsidRDefault="00BF2938" w:rsidP="00C053F7">
      <w:pPr>
        <w:jc w:val="both"/>
        <w:rPr>
          <w:rFonts w:ascii="Avenir Next" w:hAnsi="Avenir Next" w:cs="Arial"/>
          <w:color w:val="7B7B7B" w:themeColor="accent3" w:themeShade="BF"/>
          <w:sz w:val="22"/>
          <w:szCs w:val="22"/>
          <w:lang w:val="en-GB"/>
        </w:rPr>
      </w:pPr>
    </w:p>
    <w:p w14:paraId="6C9E2A55" w14:textId="77777777" w:rsidR="00AB06CF" w:rsidRDefault="00BF2938" w:rsidP="00BF293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it is determined that Erewhon is the COMI, then the proceedings in Erewhon will be classified as foreign main proceedings, which means a foreign proceeding taking place in a state where the debtor has its COMI.</w:t>
      </w:r>
      <w:r>
        <w:rPr>
          <w:rStyle w:val="FootnoteReference"/>
          <w:rFonts w:ascii="Avenir Next" w:hAnsi="Avenir Next" w:cs="Arial"/>
          <w:color w:val="7B7B7B" w:themeColor="accent3" w:themeShade="BF"/>
          <w:sz w:val="22"/>
          <w:szCs w:val="22"/>
          <w:lang w:val="en-GB"/>
        </w:rPr>
        <w:footnoteReference w:id="16"/>
      </w:r>
      <w:r w:rsidR="009351E5">
        <w:rPr>
          <w:rFonts w:ascii="Avenir Next" w:hAnsi="Avenir Next" w:cs="Arial"/>
          <w:color w:val="7B7B7B" w:themeColor="accent3" w:themeShade="BF"/>
          <w:sz w:val="22"/>
          <w:szCs w:val="22"/>
          <w:lang w:val="en-GB"/>
        </w:rPr>
        <w:t xml:space="preserve"> Upon recognition of a foreign main proceeding</w:t>
      </w:r>
      <w:r w:rsidR="00AB06CF">
        <w:rPr>
          <w:rFonts w:ascii="Avenir Next" w:hAnsi="Avenir Next" w:cs="Arial"/>
          <w:color w:val="7B7B7B" w:themeColor="accent3" w:themeShade="BF"/>
          <w:sz w:val="22"/>
          <w:szCs w:val="22"/>
          <w:lang w:val="en-GB"/>
        </w:rPr>
        <w:t>:</w:t>
      </w:r>
    </w:p>
    <w:p w14:paraId="4B5CF372" w14:textId="5B8F2786" w:rsidR="00AB06CF" w:rsidRDefault="009351E5" w:rsidP="00AB06CF">
      <w:pPr>
        <w:pStyle w:val="ListParagraph"/>
        <w:numPr>
          <w:ilvl w:val="0"/>
          <w:numId w:val="24"/>
        </w:numPr>
        <w:jc w:val="both"/>
        <w:rPr>
          <w:rFonts w:ascii="Avenir Next" w:hAnsi="Avenir Next" w:cs="Arial"/>
          <w:color w:val="7B7B7B" w:themeColor="accent3" w:themeShade="BF"/>
          <w:sz w:val="22"/>
          <w:szCs w:val="22"/>
          <w:lang w:val="en-GB"/>
        </w:rPr>
      </w:pPr>
      <w:r w:rsidRPr="00AB06CF">
        <w:rPr>
          <w:rFonts w:ascii="Avenir Next" w:hAnsi="Avenir Next" w:cs="Arial"/>
          <w:color w:val="7B7B7B" w:themeColor="accent3" w:themeShade="BF"/>
          <w:sz w:val="22"/>
          <w:szCs w:val="22"/>
          <w:lang w:val="en-GB"/>
        </w:rPr>
        <w:t>commencement or continuation of individuals actions or proceedings concerning the debtor’s assets, rights, obligations, liabilities is stayed</w:t>
      </w:r>
      <w:r w:rsidR="001A0AFE">
        <w:rPr>
          <w:rFonts w:ascii="Avenir Next" w:hAnsi="Avenir Next" w:cs="Arial"/>
          <w:color w:val="7B7B7B" w:themeColor="accent3" w:themeShade="BF"/>
          <w:sz w:val="22"/>
          <w:szCs w:val="22"/>
          <w:lang w:val="en-GB"/>
        </w:rPr>
        <w:t>;</w:t>
      </w:r>
    </w:p>
    <w:p w14:paraId="7E313486" w14:textId="31486C26" w:rsidR="00AB06CF" w:rsidRDefault="009351E5" w:rsidP="00AB06CF">
      <w:pPr>
        <w:pStyle w:val="ListParagraph"/>
        <w:numPr>
          <w:ilvl w:val="0"/>
          <w:numId w:val="24"/>
        </w:numPr>
        <w:jc w:val="both"/>
        <w:rPr>
          <w:rFonts w:ascii="Avenir Next" w:hAnsi="Avenir Next" w:cs="Arial"/>
          <w:color w:val="7B7B7B" w:themeColor="accent3" w:themeShade="BF"/>
          <w:sz w:val="22"/>
          <w:szCs w:val="22"/>
          <w:lang w:val="en-GB"/>
        </w:rPr>
      </w:pPr>
      <w:r w:rsidRPr="00AB06CF">
        <w:rPr>
          <w:rFonts w:ascii="Avenir Next" w:hAnsi="Avenir Next" w:cs="Arial"/>
          <w:color w:val="7B7B7B" w:themeColor="accent3" w:themeShade="BF"/>
          <w:sz w:val="22"/>
          <w:szCs w:val="22"/>
          <w:lang w:val="en-GB"/>
        </w:rPr>
        <w:t>execution against the debtors assets is stayed</w:t>
      </w:r>
      <w:r w:rsidR="00AB06CF" w:rsidRPr="00AB06CF">
        <w:rPr>
          <w:rFonts w:ascii="Avenir Next" w:hAnsi="Avenir Next" w:cs="Arial"/>
          <w:color w:val="7B7B7B" w:themeColor="accent3" w:themeShade="BF"/>
          <w:sz w:val="22"/>
          <w:szCs w:val="22"/>
          <w:lang w:val="en-GB"/>
        </w:rPr>
        <w:t>, and</w:t>
      </w:r>
      <w:r w:rsidR="00AB06CF">
        <w:rPr>
          <w:rFonts w:ascii="Avenir Next" w:hAnsi="Avenir Next" w:cs="Arial"/>
          <w:color w:val="7B7B7B" w:themeColor="accent3" w:themeShade="BF"/>
          <w:sz w:val="22"/>
          <w:szCs w:val="22"/>
          <w:lang w:val="en-GB"/>
        </w:rPr>
        <w:t>;</w:t>
      </w:r>
    </w:p>
    <w:p w14:paraId="5A0D4033" w14:textId="4C4053CC" w:rsidR="00BF2938" w:rsidRPr="00AB06CF" w:rsidRDefault="00AB06CF" w:rsidP="00AB06CF">
      <w:pPr>
        <w:pStyle w:val="ListParagraph"/>
        <w:numPr>
          <w:ilvl w:val="0"/>
          <w:numId w:val="24"/>
        </w:numPr>
        <w:jc w:val="both"/>
        <w:rPr>
          <w:rFonts w:ascii="Avenir Next" w:hAnsi="Avenir Next" w:cs="Arial"/>
          <w:color w:val="7B7B7B" w:themeColor="accent3" w:themeShade="BF"/>
          <w:sz w:val="22"/>
          <w:szCs w:val="22"/>
          <w:lang w:val="en-GB"/>
        </w:rPr>
      </w:pPr>
      <w:r w:rsidRPr="00AB06CF">
        <w:rPr>
          <w:rFonts w:ascii="Avenir Next" w:hAnsi="Avenir Next" w:cs="Arial"/>
          <w:color w:val="7B7B7B" w:themeColor="accent3" w:themeShade="BF"/>
          <w:sz w:val="22"/>
          <w:szCs w:val="22"/>
          <w:lang w:val="en-GB"/>
        </w:rPr>
        <w:t>the right to transfer, encumber or otherwise dispose of any assets of the debtor is suspended</w:t>
      </w:r>
      <w:r w:rsidR="00820818">
        <w:rPr>
          <w:rStyle w:val="FootnoteReference"/>
          <w:rFonts w:ascii="Avenir Next" w:hAnsi="Avenir Next" w:cs="Arial"/>
          <w:color w:val="7B7B7B" w:themeColor="accent3" w:themeShade="BF"/>
          <w:sz w:val="22"/>
          <w:szCs w:val="22"/>
          <w:lang w:val="en-GB"/>
        </w:rPr>
        <w:footnoteReference w:id="17"/>
      </w:r>
      <w:r w:rsidRPr="00AB06CF">
        <w:rPr>
          <w:rFonts w:ascii="Avenir Next" w:hAnsi="Avenir Next" w:cs="Arial"/>
          <w:color w:val="7B7B7B" w:themeColor="accent3" w:themeShade="BF"/>
          <w:sz w:val="22"/>
          <w:szCs w:val="22"/>
          <w:lang w:val="en-GB"/>
        </w:rPr>
        <w:t>.</w:t>
      </w:r>
    </w:p>
    <w:p w14:paraId="2B4929A9" w14:textId="6D3100A0" w:rsidR="009351E5" w:rsidRDefault="001A0AFE" w:rsidP="009351E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other words, the action Apex has brought against Nadir for monies owing for goods is stayed</w:t>
      </w:r>
      <w:r w:rsidR="0056110D">
        <w:rPr>
          <w:rFonts w:ascii="Avenir Next" w:hAnsi="Avenir Next" w:cs="Arial"/>
          <w:color w:val="7B7B7B" w:themeColor="accent3" w:themeShade="BF"/>
          <w:sz w:val="22"/>
          <w:szCs w:val="22"/>
          <w:lang w:val="en-GB"/>
        </w:rPr>
        <w:t>, which is the objective of the liquidator in Erewhon.</w:t>
      </w:r>
    </w:p>
    <w:p w14:paraId="05009BFA" w14:textId="77777777" w:rsidR="001A0AFE" w:rsidRDefault="001A0AFE" w:rsidP="009351E5">
      <w:pPr>
        <w:jc w:val="both"/>
        <w:rPr>
          <w:rFonts w:ascii="Avenir Next" w:hAnsi="Avenir Next" w:cs="Arial"/>
          <w:color w:val="7B7B7B" w:themeColor="accent3" w:themeShade="BF"/>
          <w:sz w:val="22"/>
          <w:szCs w:val="22"/>
          <w:lang w:val="en-GB"/>
        </w:rPr>
      </w:pPr>
    </w:p>
    <w:p w14:paraId="50DB7112" w14:textId="56F2DFBE" w:rsidR="00952926" w:rsidRPr="00827D56" w:rsidRDefault="00AB06C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If it is determined that Utopia is the COMI, then the proceedings in Erewhon will be classified as foreign non-main proceedings, which means a foreign proceeding taking place in a state where the debtor has an establishment</w:t>
      </w:r>
      <w:r>
        <w:rPr>
          <w:rStyle w:val="FootnoteReference"/>
          <w:rFonts w:ascii="Avenir Next" w:hAnsi="Avenir Next" w:cs="Arial"/>
          <w:color w:val="7B7B7B" w:themeColor="accent3" w:themeShade="BF"/>
          <w:sz w:val="22"/>
          <w:szCs w:val="22"/>
          <w:lang w:val="en-GB"/>
        </w:rPr>
        <w:footnoteReference w:id="18"/>
      </w:r>
      <w:r>
        <w:rPr>
          <w:rFonts w:ascii="Avenir Next" w:hAnsi="Avenir Next" w:cs="Arial"/>
          <w:color w:val="7B7B7B" w:themeColor="accent3" w:themeShade="BF"/>
          <w:sz w:val="22"/>
          <w:szCs w:val="22"/>
          <w:lang w:val="en-GB"/>
        </w:rPr>
        <w:t>, but not a COMI.</w:t>
      </w:r>
      <w:r w:rsidR="000E52F1">
        <w:rPr>
          <w:rFonts w:ascii="Avenir Next" w:hAnsi="Avenir Next" w:cs="Arial"/>
          <w:color w:val="7B7B7B" w:themeColor="accent3" w:themeShade="BF"/>
          <w:sz w:val="22"/>
          <w:szCs w:val="22"/>
          <w:lang w:val="en-GB"/>
        </w:rPr>
        <w:t xml:space="preserve"> The proceedings will then be regarded as concurrent, and</w:t>
      </w:r>
      <w:r w:rsidR="008937C0">
        <w:rPr>
          <w:rFonts w:ascii="Avenir Next" w:hAnsi="Avenir Next" w:cs="Arial"/>
          <w:color w:val="7B7B7B" w:themeColor="accent3" w:themeShade="BF"/>
          <w:sz w:val="22"/>
          <w:szCs w:val="22"/>
          <w:lang w:val="en-GB"/>
        </w:rPr>
        <w:t>,</w:t>
      </w:r>
      <w:r w:rsidR="000E52F1">
        <w:rPr>
          <w:rFonts w:ascii="Avenir Next" w:hAnsi="Avenir Next" w:cs="Arial"/>
          <w:color w:val="7B7B7B" w:themeColor="accent3" w:themeShade="BF"/>
          <w:sz w:val="22"/>
          <w:szCs w:val="22"/>
          <w:lang w:val="en-GB"/>
        </w:rPr>
        <w:t xml:space="preserve"> as Utopia have adopted the Model Law, the court</w:t>
      </w:r>
      <w:r w:rsidR="008937C0">
        <w:rPr>
          <w:rFonts w:ascii="Avenir Next" w:hAnsi="Avenir Next" w:cs="Arial"/>
          <w:color w:val="7B7B7B" w:themeColor="accent3" w:themeShade="BF"/>
          <w:sz w:val="22"/>
          <w:szCs w:val="22"/>
          <w:lang w:val="en-GB"/>
        </w:rPr>
        <w:t xml:space="preserve"> in Utopia</w:t>
      </w:r>
      <w:r w:rsidR="000E52F1">
        <w:rPr>
          <w:rFonts w:ascii="Avenir Next" w:hAnsi="Avenir Next" w:cs="Arial"/>
          <w:color w:val="7B7B7B" w:themeColor="accent3" w:themeShade="BF"/>
          <w:sz w:val="22"/>
          <w:szCs w:val="22"/>
          <w:lang w:val="en-GB"/>
        </w:rPr>
        <w:t xml:space="preserve"> shall</w:t>
      </w:r>
      <w:r w:rsidR="00D163C7">
        <w:rPr>
          <w:rFonts w:ascii="Avenir Next" w:hAnsi="Avenir Next" w:cs="Arial"/>
          <w:color w:val="7B7B7B" w:themeColor="accent3" w:themeShade="BF"/>
          <w:sz w:val="22"/>
          <w:szCs w:val="22"/>
          <w:lang w:val="en-GB"/>
        </w:rPr>
        <w:t xml:space="preserve"> seek</w:t>
      </w:r>
      <w:r w:rsidR="000E52F1">
        <w:rPr>
          <w:rFonts w:ascii="Avenir Next" w:hAnsi="Avenir Next" w:cs="Arial"/>
          <w:color w:val="7B7B7B" w:themeColor="accent3" w:themeShade="BF"/>
          <w:sz w:val="22"/>
          <w:szCs w:val="22"/>
          <w:lang w:val="en-GB"/>
        </w:rPr>
        <w:t xml:space="preserve"> cooperat</w:t>
      </w:r>
      <w:r w:rsidR="00D163C7">
        <w:rPr>
          <w:rFonts w:ascii="Avenir Next" w:hAnsi="Avenir Next" w:cs="Arial"/>
          <w:color w:val="7B7B7B" w:themeColor="accent3" w:themeShade="BF"/>
          <w:sz w:val="22"/>
          <w:szCs w:val="22"/>
          <w:lang w:val="en-GB"/>
        </w:rPr>
        <w:t>ion</w:t>
      </w:r>
      <w:r w:rsidR="000E52F1">
        <w:rPr>
          <w:rFonts w:ascii="Avenir Next" w:hAnsi="Avenir Next" w:cs="Arial"/>
          <w:color w:val="7B7B7B" w:themeColor="accent3" w:themeShade="BF"/>
          <w:sz w:val="22"/>
          <w:szCs w:val="22"/>
          <w:lang w:val="en-GB"/>
        </w:rPr>
        <w:t xml:space="preserve"> and coordination with </w:t>
      </w:r>
      <w:r w:rsidR="000E52F1">
        <w:rPr>
          <w:rFonts w:ascii="Avenir Next" w:hAnsi="Avenir Next" w:cs="Arial"/>
          <w:color w:val="7B7B7B" w:themeColor="accent3" w:themeShade="BF"/>
          <w:sz w:val="22"/>
          <w:szCs w:val="22"/>
          <w:lang w:val="en-GB"/>
        </w:rPr>
        <w:lastRenderedPageBreak/>
        <w:t>the court in Erewhon to the maximum extent possible.</w:t>
      </w:r>
      <w:r w:rsidR="000E52F1">
        <w:rPr>
          <w:rStyle w:val="FootnoteReference"/>
          <w:rFonts w:ascii="Avenir Next" w:hAnsi="Avenir Next" w:cs="Arial"/>
          <w:color w:val="7B7B7B" w:themeColor="accent3" w:themeShade="BF"/>
          <w:sz w:val="22"/>
          <w:szCs w:val="22"/>
          <w:lang w:val="en-GB"/>
        </w:rPr>
        <w:footnoteReference w:id="19"/>
      </w:r>
      <w:r w:rsidR="0056110D">
        <w:rPr>
          <w:rFonts w:ascii="Avenir Next" w:hAnsi="Avenir Next" w:cs="Arial"/>
          <w:color w:val="7B7B7B" w:themeColor="accent3" w:themeShade="BF"/>
          <w:sz w:val="22"/>
          <w:szCs w:val="22"/>
          <w:lang w:val="en-GB"/>
        </w:rPr>
        <w:t xml:space="preserve"> The liquidator in Erewhon will not be able to stop the proceedings.</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75CEBC82" w14:textId="56FEB5DE" w:rsidR="00CE039F" w:rsidRDefault="00AB06CF" w:rsidP="00CD03E5">
      <w:pPr>
        <w:pStyle w:val="ListParagraph"/>
        <w:numPr>
          <w:ilvl w:val="0"/>
          <w:numId w:val="25"/>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CE039F">
        <w:rPr>
          <w:rFonts w:ascii="Avenir Next" w:hAnsi="Avenir Next" w:cs="Arial"/>
          <w:color w:val="7B7B7B" w:themeColor="accent3" w:themeShade="BF"/>
          <w:sz w:val="22"/>
          <w:szCs w:val="22"/>
          <w:lang w:val="en-GB"/>
        </w:rPr>
        <w:t>If Apex had</w:t>
      </w:r>
      <w:r w:rsidR="000E52F1" w:rsidRPr="00CE039F">
        <w:rPr>
          <w:rFonts w:ascii="Avenir Next" w:hAnsi="Avenir Next" w:cs="Arial"/>
          <w:color w:val="7B7B7B" w:themeColor="accent3" w:themeShade="BF"/>
          <w:sz w:val="22"/>
          <w:szCs w:val="22"/>
          <w:lang w:val="en-GB"/>
        </w:rPr>
        <w:t xml:space="preserve"> </w:t>
      </w:r>
      <w:r w:rsidRPr="00CE039F">
        <w:rPr>
          <w:rFonts w:ascii="Avenir Next" w:hAnsi="Avenir Next" w:cs="Arial"/>
          <w:color w:val="7B7B7B" w:themeColor="accent3" w:themeShade="BF"/>
          <w:sz w:val="22"/>
          <w:szCs w:val="22"/>
          <w:lang w:val="en-GB"/>
        </w:rPr>
        <w:t xml:space="preserve">filed proceedings to wind-up Nadir, </w:t>
      </w:r>
      <w:r w:rsidR="00D163C7">
        <w:rPr>
          <w:rFonts w:ascii="Avenir Next" w:hAnsi="Avenir Next" w:cs="Arial"/>
          <w:color w:val="7B7B7B" w:themeColor="accent3" w:themeShade="BF"/>
          <w:sz w:val="22"/>
          <w:szCs w:val="22"/>
          <w:lang w:val="en-GB"/>
        </w:rPr>
        <w:t xml:space="preserve">but the </w:t>
      </w:r>
      <w:r w:rsidRPr="00CE039F">
        <w:rPr>
          <w:rFonts w:ascii="Avenir Next" w:hAnsi="Avenir Next" w:cs="Arial"/>
          <w:color w:val="7B7B7B" w:themeColor="accent3" w:themeShade="BF"/>
          <w:sz w:val="22"/>
          <w:szCs w:val="22"/>
          <w:lang w:val="en-GB"/>
        </w:rPr>
        <w:t xml:space="preserve">matter had </w:t>
      </w:r>
      <w:r w:rsidR="00D163C7">
        <w:rPr>
          <w:rFonts w:ascii="Avenir Next" w:hAnsi="Avenir Next" w:cs="Arial"/>
          <w:color w:val="7B7B7B" w:themeColor="accent3" w:themeShade="BF"/>
          <w:sz w:val="22"/>
          <w:szCs w:val="22"/>
          <w:lang w:val="en-GB"/>
        </w:rPr>
        <w:t xml:space="preserve">not </w:t>
      </w:r>
      <w:r w:rsidRPr="00CE039F">
        <w:rPr>
          <w:rFonts w:ascii="Avenir Next" w:hAnsi="Avenir Next" w:cs="Arial"/>
          <w:color w:val="7B7B7B" w:themeColor="accent3" w:themeShade="BF"/>
          <w:sz w:val="22"/>
          <w:szCs w:val="22"/>
          <w:lang w:val="en-GB"/>
        </w:rPr>
        <w:t>yet been heard,</w:t>
      </w:r>
      <w:r w:rsidR="00D163C7">
        <w:rPr>
          <w:rFonts w:ascii="Avenir Next" w:hAnsi="Avenir Next" w:cs="Arial"/>
          <w:color w:val="7B7B7B" w:themeColor="accent3" w:themeShade="BF"/>
          <w:sz w:val="22"/>
          <w:szCs w:val="22"/>
          <w:lang w:val="en-GB"/>
        </w:rPr>
        <w:t xml:space="preserve"> the proceedings are not deemed to have commenced and</w:t>
      </w:r>
      <w:r w:rsidR="001A0AFE" w:rsidRPr="00CE039F">
        <w:rPr>
          <w:rFonts w:ascii="Avenir Next" w:hAnsi="Avenir Next" w:cs="Arial"/>
          <w:color w:val="7B7B7B" w:themeColor="accent3" w:themeShade="BF"/>
          <w:sz w:val="22"/>
          <w:szCs w:val="22"/>
          <w:lang w:val="en-GB"/>
        </w:rPr>
        <w:t xml:space="preserve"> </w:t>
      </w:r>
      <w:r w:rsidR="00CE039F" w:rsidRPr="00CE039F">
        <w:rPr>
          <w:rFonts w:ascii="Avenir Next" w:hAnsi="Avenir Next" w:cs="Arial"/>
          <w:color w:val="7B7B7B" w:themeColor="accent3" w:themeShade="BF"/>
          <w:sz w:val="22"/>
          <w:szCs w:val="22"/>
          <w:lang w:val="en-GB"/>
        </w:rPr>
        <w:t>the answer</w:t>
      </w:r>
      <w:r w:rsidR="00D163C7">
        <w:rPr>
          <w:rFonts w:ascii="Avenir Next" w:hAnsi="Avenir Next" w:cs="Arial"/>
          <w:color w:val="7B7B7B" w:themeColor="accent3" w:themeShade="BF"/>
          <w:sz w:val="22"/>
          <w:szCs w:val="22"/>
          <w:lang w:val="en-GB"/>
        </w:rPr>
        <w:t xml:space="preserve"> in 4.1</w:t>
      </w:r>
      <w:r w:rsidR="00CE039F" w:rsidRPr="00CE039F">
        <w:rPr>
          <w:rFonts w:ascii="Avenir Next" w:hAnsi="Avenir Next" w:cs="Arial"/>
          <w:color w:val="7B7B7B" w:themeColor="accent3" w:themeShade="BF"/>
          <w:sz w:val="22"/>
          <w:szCs w:val="22"/>
          <w:lang w:val="en-GB"/>
        </w:rPr>
        <w:t xml:space="preserve"> would not change as obtaining recognition as a foreign representative will (in the interim before being granted) stay the proceedings that have already commenced</w:t>
      </w:r>
      <w:r w:rsidR="00CE039F">
        <w:rPr>
          <w:rStyle w:val="FootnoteReference"/>
          <w:rFonts w:ascii="Avenir Next" w:hAnsi="Avenir Next" w:cs="Arial"/>
          <w:color w:val="7B7B7B" w:themeColor="accent3" w:themeShade="BF"/>
          <w:sz w:val="22"/>
          <w:szCs w:val="22"/>
          <w:lang w:val="en-GB"/>
        </w:rPr>
        <w:footnoteReference w:id="20"/>
      </w:r>
      <w:r w:rsidR="00CE039F" w:rsidRPr="00CE039F">
        <w:rPr>
          <w:rFonts w:ascii="Avenir Next" w:hAnsi="Avenir Next" w:cs="Arial"/>
          <w:color w:val="7B7B7B" w:themeColor="accent3" w:themeShade="BF"/>
          <w:sz w:val="22"/>
          <w:szCs w:val="22"/>
          <w:lang w:val="en-GB"/>
        </w:rPr>
        <w:t>, and if/once determined as</w:t>
      </w:r>
      <w:r w:rsidR="00CE039F">
        <w:rPr>
          <w:rFonts w:ascii="Avenir Next" w:hAnsi="Avenir Next" w:cs="Arial"/>
          <w:color w:val="7B7B7B" w:themeColor="accent3" w:themeShade="BF"/>
          <w:sz w:val="22"/>
          <w:szCs w:val="22"/>
          <w:lang w:val="en-GB"/>
        </w:rPr>
        <w:t xml:space="preserve"> t</w:t>
      </w:r>
      <w:r w:rsidRPr="00CE039F">
        <w:rPr>
          <w:rFonts w:ascii="Avenir Next" w:hAnsi="Avenir Next" w:cs="Arial"/>
          <w:color w:val="7B7B7B" w:themeColor="accent3" w:themeShade="BF"/>
          <w:sz w:val="22"/>
          <w:szCs w:val="22"/>
          <w:lang w:val="en-GB"/>
        </w:rPr>
        <w:t xml:space="preserve">he foreign main proceedings, </w:t>
      </w:r>
      <w:r w:rsidR="00CE039F">
        <w:rPr>
          <w:rFonts w:ascii="Avenir Next" w:hAnsi="Avenir Next" w:cs="Arial"/>
          <w:color w:val="7B7B7B" w:themeColor="accent3" w:themeShade="BF"/>
          <w:sz w:val="22"/>
          <w:szCs w:val="22"/>
          <w:lang w:val="en-GB"/>
        </w:rPr>
        <w:t>then the commenced action will be stayed</w:t>
      </w:r>
      <w:r w:rsidR="00CE039F">
        <w:rPr>
          <w:rStyle w:val="FootnoteReference"/>
          <w:rFonts w:ascii="Avenir Next" w:hAnsi="Avenir Next" w:cs="Arial"/>
          <w:color w:val="7B7B7B" w:themeColor="accent3" w:themeShade="BF"/>
          <w:sz w:val="22"/>
          <w:szCs w:val="22"/>
          <w:lang w:val="en-GB"/>
        </w:rPr>
        <w:footnoteReference w:id="21"/>
      </w:r>
      <w:r w:rsidR="00CE039F">
        <w:rPr>
          <w:rFonts w:ascii="Avenir Next" w:hAnsi="Avenir Next" w:cs="Arial"/>
          <w:color w:val="7B7B7B" w:themeColor="accent3" w:themeShade="BF"/>
          <w:sz w:val="22"/>
          <w:szCs w:val="22"/>
          <w:lang w:val="en-GB"/>
        </w:rPr>
        <w:t>.</w:t>
      </w:r>
    </w:p>
    <w:p w14:paraId="00FA3D01" w14:textId="77777777" w:rsidR="00CE039F" w:rsidRPr="00D163C7" w:rsidRDefault="00CE039F" w:rsidP="00D163C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53CDFF78" w14:textId="40F7DEB4" w:rsidR="000514EF" w:rsidRPr="008937C0" w:rsidRDefault="000E52F1" w:rsidP="00B66AC0">
      <w:pPr>
        <w:pStyle w:val="ListParagraph"/>
        <w:numPr>
          <w:ilvl w:val="0"/>
          <w:numId w:val="25"/>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937C0">
        <w:rPr>
          <w:rFonts w:ascii="Avenir Next" w:hAnsi="Avenir Next" w:cs="Arial"/>
          <w:color w:val="7B7B7B" w:themeColor="accent3" w:themeShade="BF"/>
          <w:sz w:val="22"/>
          <w:szCs w:val="22"/>
          <w:lang w:val="en-GB"/>
        </w:rPr>
        <w:t>If Apex had</w:t>
      </w:r>
      <w:r w:rsidR="00820818" w:rsidRPr="008937C0">
        <w:rPr>
          <w:rFonts w:ascii="Avenir Next" w:hAnsi="Avenir Next" w:cs="Arial"/>
          <w:color w:val="7B7B7B" w:themeColor="accent3" w:themeShade="BF"/>
          <w:sz w:val="22"/>
          <w:szCs w:val="22"/>
          <w:lang w:val="en-GB"/>
        </w:rPr>
        <w:t xml:space="preserve"> already</w:t>
      </w:r>
      <w:r w:rsidRPr="008937C0">
        <w:rPr>
          <w:rFonts w:ascii="Avenir Next" w:hAnsi="Avenir Next" w:cs="Arial"/>
          <w:color w:val="7B7B7B" w:themeColor="accent3" w:themeShade="BF"/>
          <w:sz w:val="22"/>
          <w:szCs w:val="22"/>
          <w:lang w:val="en-GB"/>
        </w:rPr>
        <w:t xml:space="preserve"> obtained a court order to wind up Nadir</w:t>
      </w:r>
      <w:r w:rsidR="00CE039F" w:rsidRPr="008937C0">
        <w:rPr>
          <w:rFonts w:ascii="Avenir Next" w:hAnsi="Avenir Next" w:cs="Arial"/>
          <w:color w:val="7B7B7B" w:themeColor="accent3" w:themeShade="BF"/>
          <w:sz w:val="22"/>
          <w:szCs w:val="22"/>
          <w:lang w:val="en-GB"/>
        </w:rPr>
        <w:t xml:space="preserve"> in Utopia prior to the Erewhon winding-up order, </w:t>
      </w:r>
      <w:r w:rsidR="00D163C7" w:rsidRPr="008937C0">
        <w:rPr>
          <w:rFonts w:ascii="Avenir Next" w:hAnsi="Avenir Next" w:cs="Arial"/>
          <w:color w:val="7B7B7B" w:themeColor="accent3" w:themeShade="BF"/>
          <w:sz w:val="22"/>
          <w:szCs w:val="22"/>
          <w:lang w:val="en-GB"/>
        </w:rPr>
        <w:t>then proceedings</w:t>
      </w:r>
      <w:r w:rsidR="00820818" w:rsidRPr="008937C0">
        <w:rPr>
          <w:rFonts w:ascii="Avenir Next" w:hAnsi="Avenir Next" w:cs="Arial"/>
          <w:color w:val="7B7B7B" w:themeColor="accent3" w:themeShade="BF"/>
          <w:sz w:val="22"/>
          <w:szCs w:val="22"/>
          <w:lang w:val="en-GB"/>
        </w:rPr>
        <w:t xml:space="preserve"> in Utopia</w:t>
      </w:r>
      <w:r w:rsidR="00D163C7" w:rsidRPr="008937C0">
        <w:rPr>
          <w:rFonts w:ascii="Avenir Next" w:hAnsi="Avenir Next" w:cs="Arial"/>
          <w:color w:val="7B7B7B" w:themeColor="accent3" w:themeShade="BF"/>
          <w:sz w:val="22"/>
          <w:szCs w:val="22"/>
          <w:lang w:val="en-GB"/>
        </w:rPr>
        <w:t xml:space="preserve"> are deemed to have commenced</w:t>
      </w:r>
      <w:r w:rsidR="00820818" w:rsidRPr="008937C0">
        <w:rPr>
          <w:rFonts w:ascii="Avenir Next" w:hAnsi="Avenir Next" w:cs="Arial"/>
          <w:color w:val="7B7B7B" w:themeColor="accent3" w:themeShade="BF"/>
          <w:sz w:val="22"/>
          <w:szCs w:val="22"/>
          <w:lang w:val="en-GB"/>
        </w:rPr>
        <w:t xml:space="preserve">. In this situation, any relief </w:t>
      </w:r>
      <w:r w:rsidR="000514EF" w:rsidRPr="008937C0">
        <w:rPr>
          <w:rFonts w:ascii="Avenir Next" w:hAnsi="Avenir Next" w:cs="Arial"/>
          <w:color w:val="7B7B7B" w:themeColor="accent3" w:themeShade="BF"/>
          <w:sz w:val="22"/>
          <w:szCs w:val="22"/>
          <w:lang w:val="en-GB"/>
        </w:rPr>
        <w:t xml:space="preserve">that could be </w:t>
      </w:r>
      <w:r w:rsidR="00820818" w:rsidRPr="008937C0">
        <w:rPr>
          <w:rFonts w:ascii="Avenir Next" w:hAnsi="Avenir Next" w:cs="Arial"/>
          <w:color w:val="7B7B7B" w:themeColor="accent3" w:themeShade="BF"/>
          <w:sz w:val="22"/>
          <w:szCs w:val="22"/>
          <w:lang w:val="en-GB"/>
        </w:rPr>
        <w:t>granted</w:t>
      </w:r>
      <w:r w:rsidR="00D163C7" w:rsidRPr="008937C0">
        <w:rPr>
          <w:rFonts w:ascii="Avenir Next" w:hAnsi="Avenir Next" w:cs="Arial"/>
          <w:color w:val="7B7B7B" w:themeColor="accent3" w:themeShade="BF"/>
          <w:sz w:val="22"/>
          <w:szCs w:val="22"/>
          <w:lang w:val="en-GB"/>
        </w:rPr>
        <w:t xml:space="preserve"> </w:t>
      </w:r>
      <w:r w:rsidR="000514EF" w:rsidRPr="008937C0">
        <w:rPr>
          <w:rFonts w:ascii="Avenir Next" w:hAnsi="Avenir Next" w:cs="Arial"/>
          <w:color w:val="7B7B7B" w:themeColor="accent3" w:themeShade="BF"/>
          <w:sz w:val="22"/>
          <w:szCs w:val="22"/>
          <w:lang w:val="en-GB"/>
        </w:rPr>
        <w:t>(such as from the time of filing the application for recognition of the foreign proceedings</w:t>
      </w:r>
      <w:r w:rsidR="000514EF">
        <w:rPr>
          <w:rStyle w:val="FootnoteReference"/>
          <w:rFonts w:ascii="Avenir Next" w:hAnsi="Avenir Next" w:cs="Arial"/>
          <w:color w:val="7B7B7B" w:themeColor="accent3" w:themeShade="BF"/>
          <w:sz w:val="22"/>
          <w:szCs w:val="22"/>
          <w:lang w:val="en-GB"/>
        </w:rPr>
        <w:footnoteReference w:id="22"/>
      </w:r>
      <w:r w:rsidR="000514EF" w:rsidRPr="008937C0">
        <w:rPr>
          <w:rFonts w:ascii="Avenir Next" w:hAnsi="Avenir Next" w:cs="Arial"/>
          <w:color w:val="7B7B7B" w:themeColor="accent3" w:themeShade="BF"/>
          <w:sz w:val="22"/>
          <w:szCs w:val="22"/>
          <w:lang w:val="en-GB"/>
        </w:rPr>
        <w:t>, and if/once Erewhon proceedings are determined as the foreign main proceedings</w:t>
      </w:r>
      <w:r w:rsidR="000514EF">
        <w:rPr>
          <w:rStyle w:val="FootnoteReference"/>
          <w:rFonts w:ascii="Avenir Next" w:hAnsi="Avenir Next" w:cs="Arial"/>
          <w:color w:val="7B7B7B" w:themeColor="accent3" w:themeShade="BF"/>
          <w:sz w:val="22"/>
          <w:szCs w:val="22"/>
          <w:lang w:val="en-GB"/>
        </w:rPr>
        <w:footnoteReference w:id="23"/>
      </w:r>
      <w:r w:rsidR="000514EF" w:rsidRPr="008937C0">
        <w:rPr>
          <w:rFonts w:ascii="Avenir Next" w:hAnsi="Avenir Next" w:cs="Arial"/>
          <w:color w:val="7B7B7B" w:themeColor="accent3" w:themeShade="BF"/>
          <w:sz w:val="22"/>
          <w:szCs w:val="22"/>
          <w:lang w:val="en-GB"/>
        </w:rPr>
        <w:t>) must be consistent with the proceedings in Utopia.</w:t>
      </w:r>
      <w:r w:rsidR="000514EF">
        <w:rPr>
          <w:rStyle w:val="FootnoteReference"/>
          <w:rFonts w:ascii="Avenir Next" w:hAnsi="Avenir Next" w:cs="Arial"/>
          <w:color w:val="7B7B7B" w:themeColor="accent3" w:themeShade="BF"/>
          <w:sz w:val="22"/>
          <w:szCs w:val="22"/>
          <w:lang w:val="en-GB"/>
        </w:rPr>
        <w:footnoteReference w:id="24"/>
      </w:r>
    </w:p>
    <w:p w14:paraId="294F7A4A" w14:textId="77777777" w:rsidR="009312DA" w:rsidRPr="00827D56" w:rsidRDefault="008937C0" w:rsidP="009312DA">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If, after foreign recognition application,</w:t>
      </w:r>
      <w:r w:rsidR="000514EF">
        <w:rPr>
          <w:rFonts w:ascii="Avenir Next" w:hAnsi="Avenir Next" w:cs="Arial"/>
          <w:color w:val="7B7B7B" w:themeColor="accent3" w:themeShade="BF"/>
          <w:sz w:val="22"/>
          <w:szCs w:val="22"/>
          <w:lang w:val="en-GB"/>
        </w:rPr>
        <w:t xml:space="preserve"> the proceedings in Erewhon are recognised as being the </w:t>
      </w:r>
      <w:r>
        <w:rPr>
          <w:rFonts w:ascii="Avenir Next" w:hAnsi="Avenir Next" w:cs="Arial"/>
          <w:color w:val="7B7B7B" w:themeColor="accent3" w:themeShade="BF"/>
          <w:sz w:val="22"/>
          <w:szCs w:val="22"/>
          <w:lang w:val="en-GB"/>
        </w:rPr>
        <w:t xml:space="preserve">foreign </w:t>
      </w:r>
      <w:r w:rsidR="000514EF">
        <w:rPr>
          <w:rFonts w:ascii="Avenir Next" w:hAnsi="Avenir Next" w:cs="Arial"/>
          <w:color w:val="7B7B7B" w:themeColor="accent3" w:themeShade="BF"/>
          <w:sz w:val="22"/>
          <w:szCs w:val="22"/>
          <w:lang w:val="en-GB"/>
        </w:rPr>
        <w:t xml:space="preserve">main proceeding, </w:t>
      </w:r>
      <w:r>
        <w:rPr>
          <w:rFonts w:ascii="Avenir Next" w:hAnsi="Avenir Next" w:cs="Arial"/>
          <w:color w:val="7B7B7B" w:themeColor="accent3" w:themeShade="BF"/>
          <w:sz w:val="22"/>
          <w:szCs w:val="22"/>
          <w:lang w:val="en-GB"/>
        </w:rPr>
        <w:t xml:space="preserve">the </w:t>
      </w:r>
      <w:r w:rsidR="000514EF">
        <w:rPr>
          <w:rFonts w:ascii="Avenir Next" w:hAnsi="Avenir Next" w:cs="Arial"/>
          <w:color w:val="7B7B7B" w:themeColor="accent3" w:themeShade="BF"/>
          <w:sz w:val="22"/>
          <w:szCs w:val="22"/>
          <w:lang w:val="en-GB"/>
        </w:rPr>
        <w:t>effects of recognition of a foreign main proceeding under Article 20</w:t>
      </w:r>
      <w:r w:rsidR="0056110D">
        <w:rPr>
          <w:rFonts w:ascii="Avenir Next" w:hAnsi="Avenir Next" w:cs="Arial"/>
          <w:color w:val="7B7B7B" w:themeColor="accent3" w:themeShade="BF"/>
          <w:sz w:val="22"/>
          <w:szCs w:val="22"/>
          <w:lang w:val="en-GB"/>
        </w:rPr>
        <w:t xml:space="preserve"> (mentioned above)</w:t>
      </w:r>
      <w:r w:rsidR="000514EF">
        <w:rPr>
          <w:rFonts w:ascii="Avenir Next" w:hAnsi="Avenir Next" w:cs="Arial"/>
          <w:color w:val="7B7B7B" w:themeColor="accent3" w:themeShade="BF"/>
          <w:sz w:val="22"/>
          <w:szCs w:val="22"/>
          <w:lang w:val="en-GB"/>
        </w:rPr>
        <w:t xml:space="preserve"> do not apply</w:t>
      </w:r>
      <w:r>
        <w:rPr>
          <w:rFonts w:ascii="Avenir Next" w:hAnsi="Avenir Next" w:cs="Arial"/>
          <w:color w:val="7B7B7B" w:themeColor="accent3" w:themeShade="BF"/>
          <w:sz w:val="22"/>
          <w:szCs w:val="22"/>
          <w:lang w:val="en-GB"/>
        </w:rPr>
        <w:t xml:space="preserve"> where proceedings have already commenced in Utopia</w:t>
      </w:r>
      <w:r w:rsidR="0056110D">
        <w:rPr>
          <w:rFonts w:ascii="Avenir Next" w:hAnsi="Avenir Next" w:cs="Arial"/>
          <w:color w:val="7B7B7B" w:themeColor="accent3" w:themeShade="BF"/>
          <w:sz w:val="22"/>
          <w:szCs w:val="22"/>
          <w:lang w:val="en-GB"/>
        </w:rPr>
        <w:t>. Both</w:t>
      </w:r>
      <w:r w:rsidR="000514EF">
        <w:rPr>
          <w:rFonts w:ascii="Avenir Next" w:hAnsi="Avenir Next" w:cs="Arial"/>
          <w:color w:val="7B7B7B" w:themeColor="accent3" w:themeShade="BF"/>
          <w:sz w:val="22"/>
          <w:szCs w:val="22"/>
          <w:lang w:val="en-GB"/>
        </w:rPr>
        <w:t xml:space="preserve"> proceedings would be deemed to be concurrent</w:t>
      </w:r>
      <w:r w:rsidR="0056110D">
        <w:rPr>
          <w:rFonts w:ascii="Avenir Next" w:hAnsi="Avenir Next" w:cs="Arial"/>
          <w:color w:val="7B7B7B" w:themeColor="accent3" w:themeShade="BF"/>
          <w:sz w:val="22"/>
          <w:szCs w:val="22"/>
          <w:lang w:val="en-GB"/>
        </w:rPr>
        <w:t xml:space="preserve">, and </w:t>
      </w:r>
      <w:r w:rsidR="009312DA">
        <w:rPr>
          <w:rFonts w:ascii="Avenir Next" w:hAnsi="Avenir Next" w:cs="Arial"/>
          <w:color w:val="7B7B7B" w:themeColor="accent3" w:themeShade="BF"/>
          <w:sz w:val="22"/>
          <w:szCs w:val="22"/>
          <w:lang w:val="en-GB"/>
        </w:rPr>
        <w:t>the liquidator in Erewhon will not be able to stop the proceedings.</w:t>
      </w:r>
    </w:p>
    <w:p w14:paraId="178AE6DF" w14:textId="77777777" w:rsidR="00D163C7" w:rsidRDefault="00D163C7" w:rsidP="000514EF">
      <w:pPr>
        <w:rPr>
          <w:rFonts w:ascii="Avenir Next" w:hAnsi="Avenir Next" w:cs="Arial"/>
          <w:color w:val="7B7B7B" w:themeColor="accent3" w:themeShade="BF"/>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w:t>
      </w:r>
      <w:r w:rsidR="009B0883" w:rsidRPr="00827D56">
        <w:rPr>
          <w:rFonts w:ascii="Avenir Next" w:hAnsi="Avenir Next" w:cs="Arial"/>
          <w:sz w:val="22"/>
          <w:szCs w:val="22"/>
          <w:lang w:val="en-GB"/>
        </w:rPr>
        <w:lastRenderedPageBreak/>
        <w:t xml:space="preserve">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2"/>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0E348772" w14:textId="7768556F" w:rsidR="009312DA" w:rsidRDefault="009312D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question has been answered assuming the Company </w:t>
      </w:r>
      <w:r w:rsidR="0038261C">
        <w:rPr>
          <w:rFonts w:ascii="Avenir Next" w:hAnsi="Avenir Next" w:cs="Arial"/>
          <w:color w:val="7B7B7B" w:themeColor="accent3" w:themeShade="BF"/>
          <w:sz w:val="22"/>
          <w:szCs w:val="22"/>
          <w:lang w:val="en-GB"/>
        </w:rPr>
        <w:t xml:space="preserve">was </w:t>
      </w:r>
      <w:r>
        <w:rPr>
          <w:rFonts w:ascii="Avenir Next" w:hAnsi="Avenir Next" w:cs="Arial"/>
          <w:color w:val="7B7B7B" w:themeColor="accent3" w:themeShade="BF"/>
          <w:sz w:val="22"/>
          <w:szCs w:val="22"/>
          <w:lang w:val="en-GB"/>
        </w:rPr>
        <w:t>incorporated in the British Virgin Islands (BVI)</w:t>
      </w:r>
      <w:r w:rsidR="0038261C">
        <w:rPr>
          <w:rFonts w:ascii="Avenir Next" w:hAnsi="Avenir Next" w:cs="Arial"/>
          <w:color w:val="7B7B7B" w:themeColor="accent3" w:themeShade="BF"/>
          <w:sz w:val="22"/>
          <w:szCs w:val="22"/>
          <w:lang w:val="en-GB"/>
        </w:rPr>
        <w:t>.</w:t>
      </w:r>
    </w:p>
    <w:p w14:paraId="5D7C9F97" w14:textId="77777777" w:rsidR="0038261C" w:rsidRDefault="0038261C" w:rsidP="00C053F7">
      <w:pPr>
        <w:jc w:val="both"/>
        <w:rPr>
          <w:rFonts w:ascii="Avenir Next" w:hAnsi="Avenir Next" w:cs="Arial"/>
          <w:color w:val="7B7B7B" w:themeColor="accent3" w:themeShade="BF"/>
          <w:sz w:val="22"/>
          <w:szCs w:val="22"/>
          <w:u w:val="single"/>
          <w:lang w:val="en-GB"/>
        </w:rPr>
      </w:pPr>
    </w:p>
    <w:p w14:paraId="443A6926" w14:textId="6C032933" w:rsidR="0038261C" w:rsidRDefault="0038261C" w:rsidP="00C053F7">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Issue One – Domestic Law</w:t>
      </w:r>
    </w:p>
    <w:p w14:paraId="3A5C584D" w14:textId="77777777" w:rsidR="0038261C" w:rsidRDefault="0038261C" w:rsidP="00C053F7">
      <w:pPr>
        <w:jc w:val="both"/>
        <w:rPr>
          <w:rFonts w:ascii="Avenir Next" w:hAnsi="Avenir Next" w:cs="Arial"/>
          <w:color w:val="7B7B7B" w:themeColor="accent3" w:themeShade="BF"/>
          <w:sz w:val="22"/>
          <w:szCs w:val="22"/>
          <w:u w:val="single"/>
          <w:lang w:val="en-GB"/>
        </w:rPr>
      </w:pPr>
    </w:p>
    <w:p w14:paraId="3A891CD8" w14:textId="05D97814" w:rsidR="0038261C" w:rsidRDefault="0038261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issue facing insolvency </w:t>
      </w:r>
      <w:r w:rsidR="00296C4D">
        <w:rPr>
          <w:rFonts w:ascii="Avenir Next" w:hAnsi="Avenir Next" w:cs="Arial"/>
          <w:color w:val="7B7B7B" w:themeColor="accent3" w:themeShade="BF"/>
          <w:sz w:val="22"/>
          <w:szCs w:val="22"/>
          <w:lang w:val="en-GB"/>
        </w:rPr>
        <w:t>professional</w:t>
      </w:r>
      <w:r>
        <w:rPr>
          <w:rFonts w:ascii="Avenir Next" w:hAnsi="Avenir Next" w:cs="Arial"/>
          <w:color w:val="7B7B7B" w:themeColor="accent3" w:themeShade="BF"/>
          <w:sz w:val="22"/>
          <w:szCs w:val="22"/>
          <w:lang w:val="en-GB"/>
        </w:rPr>
        <w:t>s</w:t>
      </w:r>
      <w:r w:rsidR="00296C4D">
        <w:rPr>
          <w:rFonts w:ascii="Avenir Next" w:hAnsi="Avenir Next" w:cs="Arial"/>
          <w:color w:val="7B7B7B" w:themeColor="accent3" w:themeShade="BF"/>
          <w:sz w:val="22"/>
          <w:szCs w:val="22"/>
          <w:lang w:val="en-GB"/>
        </w:rPr>
        <w:t xml:space="preserve"> (IP)</w:t>
      </w:r>
      <w:r>
        <w:rPr>
          <w:rFonts w:ascii="Avenir Next" w:hAnsi="Avenir Next" w:cs="Arial"/>
          <w:color w:val="7B7B7B" w:themeColor="accent3" w:themeShade="BF"/>
          <w:sz w:val="22"/>
          <w:szCs w:val="22"/>
          <w:lang w:val="en-GB"/>
        </w:rPr>
        <w:t xml:space="preserve"> in the BVI, is that there is no domestic law to deal with cross border issues</w:t>
      </w:r>
      <w:r w:rsidR="00E02AF1">
        <w:rPr>
          <w:rFonts w:ascii="Avenir Next" w:hAnsi="Avenir Next" w:cs="Arial"/>
          <w:color w:val="7B7B7B" w:themeColor="accent3" w:themeShade="BF"/>
          <w:sz w:val="22"/>
          <w:szCs w:val="22"/>
          <w:lang w:val="en-GB"/>
        </w:rPr>
        <w:t>, where assets are located in foreign jurisdictions.</w:t>
      </w:r>
    </w:p>
    <w:p w14:paraId="4ED1DB66" w14:textId="6F5F27E4" w:rsidR="0038261C" w:rsidRDefault="0038261C" w:rsidP="0038261C">
      <w:pPr>
        <w:shd w:val="clear" w:color="auto" w:fill="FFFFFF"/>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law in the BVI is codified in the </w:t>
      </w:r>
      <w:r w:rsidR="00895565">
        <w:rPr>
          <w:rFonts w:ascii="Avenir Next" w:hAnsi="Avenir Next" w:cs="Arial"/>
          <w:color w:val="7B7B7B" w:themeColor="accent3" w:themeShade="BF"/>
          <w:sz w:val="22"/>
          <w:szCs w:val="22"/>
          <w:lang w:val="en-GB"/>
        </w:rPr>
        <w:t xml:space="preserve">BVI </w:t>
      </w:r>
      <w:r>
        <w:rPr>
          <w:rFonts w:ascii="Avenir Next" w:hAnsi="Avenir Next" w:cs="Arial"/>
          <w:color w:val="7B7B7B" w:themeColor="accent3" w:themeShade="BF"/>
          <w:sz w:val="22"/>
          <w:szCs w:val="22"/>
          <w:lang w:val="en-GB"/>
        </w:rPr>
        <w:t>Insolvency Act 2003 (IA)</w:t>
      </w:r>
      <w:r w:rsidR="00895565">
        <w:rPr>
          <w:rFonts w:ascii="Avenir Next" w:hAnsi="Avenir Next" w:cs="Arial"/>
          <w:color w:val="7B7B7B" w:themeColor="accent3" w:themeShade="BF"/>
          <w:sz w:val="22"/>
          <w:szCs w:val="22"/>
          <w:lang w:val="en-GB"/>
        </w:rPr>
        <w:t>, supplemented by the BVI Insolvency Rules 2005</w:t>
      </w:r>
      <w:r>
        <w:rPr>
          <w:rFonts w:ascii="Avenir Next" w:hAnsi="Avenir Next" w:cs="Arial"/>
          <w:color w:val="7B7B7B" w:themeColor="accent3" w:themeShade="BF"/>
          <w:sz w:val="22"/>
          <w:szCs w:val="22"/>
          <w:lang w:val="en-GB"/>
        </w:rPr>
        <w:t>. The IA has two parts dealing with cross border issues. The first part, XVIII, sets out the UNCITRAL Model Law on Cross-Border Insolvency, however the first stumbling block for a BVI insolvency representative is that this has not been brought into force and there is no current intention to do so.</w:t>
      </w:r>
    </w:p>
    <w:p w14:paraId="2DD1934D" w14:textId="173B92C2" w:rsidR="00F9321D" w:rsidRDefault="007D27F8" w:rsidP="0038261C">
      <w:pPr>
        <w:shd w:val="clear" w:color="auto" w:fill="FFFFFF"/>
        <w:spacing w:before="100" w:beforeAutospacing="1" w:after="100" w:afterAutospacing="1"/>
        <w:jc w:val="both"/>
        <w:rPr>
          <w:rFonts w:ascii="Avenir Next" w:hAnsi="Avenir Next" w:cs="Arial"/>
          <w:color w:val="7B7B7B" w:themeColor="accent3" w:themeShade="BF"/>
          <w:sz w:val="22"/>
          <w:szCs w:val="22"/>
          <w:u w:val="single"/>
          <w:lang w:val="en-GB"/>
        </w:rPr>
      </w:pPr>
      <w:r w:rsidRPr="007D27F8">
        <w:rPr>
          <w:rFonts w:ascii="Avenir Next" w:hAnsi="Avenir Next" w:cs="Arial"/>
          <w:color w:val="7B7B7B" w:themeColor="accent3" w:themeShade="BF"/>
          <w:sz w:val="22"/>
          <w:szCs w:val="22"/>
          <w:u w:val="single"/>
          <w:lang w:val="en-GB"/>
        </w:rPr>
        <w:t xml:space="preserve">Issue </w:t>
      </w:r>
      <w:r w:rsidR="0038261C">
        <w:rPr>
          <w:rFonts w:ascii="Avenir Next" w:hAnsi="Avenir Next" w:cs="Arial"/>
          <w:color w:val="7B7B7B" w:themeColor="accent3" w:themeShade="BF"/>
          <w:sz w:val="22"/>
          <w:szCs w:val="22"/>
          <w:u w:val="single"/>
          <w:lang w:val="en-GB"/>
        </w:rPr>
        <w:t>Two</w:t>
      </w:r>
      <w:r w:rsidRPr="007D27F8">
        <w:rPr>
          <w:rFonts w:ascii="Avenir Next" w:hAnsi="Avenir Next" w:cs="Arial"/>
          <w:color w:val="7B7B7B" w:themeColor="accent3" w:themeShade="BF"/>
          <w:sz w:val="22"/>
          <w:szCs w:val="22"/>
          <w:u w:val="single"/>
          <w:lang w:val="en-GB"/>
        </w:rPr>
        <w:t xml:space="preserve"> – Re</w:t>
      </w:r>
      <w:r w:rsidR="002E7BD3">
        <w:rPr>
          <w:rFonts w:ascii="Avenir Next" w:hAnsi="Avenir Next" w:cs="Arial"/>
          <w:color w:val="7B7B7B" w:themeColor="accent3" w:themeShade="BF"/>
          <w:sz w:val="22"/>
          <w:szCs w:val="22"/>
          <w:u w:val="single"/>
          <w:lang w:val="en-GB"/>
        </w:rPr>
        <w:t>quests for Assistance</w:t>
      </w:r>
    </w:p>
    <w:p w14:paraId="4FE3C906" w14:textId="02E03EFB" w:rsidR="002E7BD3" w:rsidRDefault="002E7BD3" w:rsidP="0038261C">
      <w:pPr>
        <w:shd w:val="clear" w:color="auto" w:fill="FFFFFF"/>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E02AF1">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w:t>
      </w:r>
      <w:r w:rsidR="00296C4D">
        <w:rPr>
          <w:rFonts w:ascii="Avenir Next" w:hAnsi="Avenir Next" w:cs="Arial"/>
          <w:color w:val="7B7B7B" w:themeColor="accent3" w:themeShade="BF"/>
          <w:sz w:val="22"/>
          <w:szCs w:val="22"/>
          <w:lang w:val="en-GB"/>
        </w:rPr>
        <w:t>IP in the</w:t>
      </w:r>
      <w:r>
        <w:rPr>
          <w:rFonts w:ascii="Avenir Next" w:hAnsi="Avenir Next" w:cs="Arial"/>
          <w:color w:val="7B7B7B" w:themeColor="accent3" w:themeShade="BF"/>
          <w:sz w:val="22"/>
          <w:szCs w:val="22"/>
          <w:lang w:val="en-GB"/>
        </w:rPr>
        <w:t xml:space="preserve"> BVI has powers under the IA</w:t>
      </w:r>
      <w:r>
        <w:rPr>
          <w:rStyle w:val="FootnoteReference"/>
          <w:rFonts w:ascii="Avenir Next" w:hAnsi="Avenir Next" w:cs="Arial"/>
          <w:color w:val="7B7B7B" w:themeColor="accent3" w:themeShade="BF"/>
          <w:sz w:val="22"/>
          <w:szCs w:val="22"/>
          <w:lang w:val="en-GB"/>
        </w:rPr>
        <w:footnoteReference w:id="25"/>
      </w:r>
      <w:r>
        <w:rPr>
          <w:rFonts w:ascii="Avenir Next" w:hAnsi="Avenir Next" w:cs="Arial"/>
          <w:color w:val="7B7B7B" w:themeColor="accent3" w:themeShade="BF"/>
          <w:sz w:val="22"/>
          <w:szCs w:val="22"/>
          <w:lang w:val="en-GB"/>
        </w:rPr>
        <w:t xml:space="preserve"> to obtain information from a range of parties concerning the affairs of the company, including the formation, accounts, assets, and liabilities. They can request books and records from persons involved in the company, as well as the registered agent, accountants, and auditors (amongst others). These powers will assist a liquidator seeking information for relevant persons located within the BVI, however assistance will be required from parties in other jurisdictions</w:t>
      </w:r>
      <w:r w:rsidR="00296C4D">
        <w:rPr>
          <w:rFonts w:ascii="Avenir Next" w:hAnsi="Avenir Next" w:cs="Arial"/>
          <w:color w:val="7B7B7B" w:themeColor="accent3" w:themeShade="BF"/>
          <w:sz w:val="22"/>
          <w:szCs w:val="22"/>
          <w:lang w:val="en-GB"/>
        </w:rPr>
        <w:t xml:space="preserve"> where other assets of the company may be located</w:t>
      </w:r>
      <w:r>
        <w:rPr>
          <w:rFonts w:ascii="Avenir Next" w:hAnsi="Avenir Next" w:cs="Arial"/>
          <w:color w:val="7B7B7B" w:themeColor="accent3" w:themeShade="BF"/>
          <w:sz w:val="22"/>
          <w:szCs w:val="22"/>
          <w:lang w:val="en-GB"/>
        </w:rPr>
        <w:t xml:space="preserve">. </w:t>
      </w:r>
    </w:p>
    <w:p w14:paraId="460A1573" w14:textId="493B4DA8" w:rsidR="002E7BD3" w:rsidRPr="009140D2" w:rsidRDefault="002E7BD3" w:rsidP="0038261C">
      <w:pPr>
        <w:shd w:val="clear" w:color="auto" w:fill="FFFFFF"/>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can often cause an issue for </w:t>
      </w:r>
      <w:r w:rsidR="00296C4D">
        <w:rPr>
          <w:rFonts w:ascii="Avenir Next" w:hAnsi="Avenir Next" w:cs="Arial"/>
          <w:color w:val="7B7B7B" w:themeColor="accent3" w:themeShade="BF"/>
          <w:sz w:val="22"/>
          <w:szCs w:val="22"/>
          <w:lang w:val="en-GB"/>
        </w:rPr>
        <w:t>IPs</w:t>
      </w:r>
      <w:r>
        <w:rPr>
          <w:rFonts w:ascii="Avenir Next" w:hAnsi="Avenir Next" w:cs="Arial"/>
          <w:color w:val="7B7B7B" w:themeColor="accent3" w:themeShade="BF"/>
          <w:sz w:val="22"/>
          <w:szCs w:val="22"/>
          <w:lang w:val="en-GB"/>
        </w:rPr>
        <w:t xml:space="preserve"> within the </w:t>
      </w:r>
      <w:r w:rsidR="0097491F">
        <w:rPr>
          <w:rFonts w:ascii="Avenir Next" w:hAnsi="Avenir Next" w:cs="Arial"/>
          <w:color w:val="7B7B7B" w:themeColor="accent3" w:themeShade="BF"/>
          <w:sz w:val="22"/>
          <w:szCs w:val="22"/>
          <w:lang w:val="en-GB"/>
        </w:rPr>
        <w:t>BVI;</w:t>
      </w:r>
      <w:r>
        <w:rPr>
          <w:rFonts w:ascii="Avenir Next" w:hAnsi="Avenir Next" w:cs="Arial"/>
          <w:color w:val="7B7B7B" w:themeColor="accent3" w:themeShade="BF"/>
          <w:sz w:val="22"/>
          <w:szCs w:val="22"/>
          <w:lang w:val="en-GB"/>
        </w:rPr>
        <w:t xml:space="preserve"> </w:t>
      </w:r>
      <w:r w:rsidR="00AC6C31">
        <w:rPr>
          <w:rFonts w:ascii="Avenir Next" w:hAnsi="Avenir Next" w:cs="Arial"/>
          <w:color w:val="7B7B7B" w:themeColor="accent3" w:themeShade="BF"/>
          <w:sz w:val="22"/>
          <w:szCs w:val="22"/>
          <w:lang w:val="en-GB"/>
        </w:rPr>
        <w:t>however,</w:t>
      </w:r>
      <w:r>
        <w:rPr>
          <w:rFonts w:ascii="Avenir Next" w:hAnsi="Avenir Next" w:cs="Arial"/>
          <w:color w:val="7B7B7B" w:themeColor="accent3" w:themeShade="BF"/>
          <w:sz w:val="22"/>
          <w:szCs w:val="22"/>
          <w:lang w:val="en-GB"/>
        </w:rPr>
        <w:t xml:space="preserve"> they can seek assistance via an application to the BVI court to issue a letter of request to the foreign jurisdiction’s court, requesting recognition of the appointment and appropriate assistance within the foreign jurisdiction.</w:t>
      </w:r>
    </w:p>
    <w:p w14:paraId="6D8AAD24" w14:textId="5CC34420" w:rsidR="00296C4D" w:rsidRDefault="002E7BD3" w:rsidP="0038261C">
      <w:pPr>
        <w:shd w:val="clear" w:color="auto" w:fill="FFFFFF"/>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 xml:space="preserve">Issue Three </w:t>
      </w:r>
      <w:r w:rsidR="00296C4D">
        <w:rPr>
          <w:rFonts w:ascii="Avenir Next" w:hAnsi="Avenir Next" w:cs="Arial"/>
          <w:color w:val="7B7B7B" w:themeColor="accent3" w:themeShade="BF"/>
          <w:sz w:val="22"/>
          <w:szCs w:val="22"/>
          <w:u w:val="single"/>
          <w:lang w:val="en-GB"/>
        </w:rPr>
        <w:t>–</w:t>
      </w:r>
      <w:r>
        <w:rPr>
          <w:rFonts w:ascii="Avenir Next" w:hAnsi="Avenir Next" w:cs="Arial"/>
          <w:color w:val="7B7B7B" w:themeColor="accent3" w:themeShade="BF"/>
          <w:sz w:val="22"/>
          <w:szCs w:val="22"/>
          <w:u w:val="single"/>
          <w:lang w:val="en-GB"/>
        </w:rPr>
        <w:t xml:space="preserve"> Recognition</w:t>
      </w:r>
    </w:p>
    <w:p w14:paraId="39E4540E" w14:textId="5F5F5AC0" w:rsidR="00296C4D" w:rsidRDefault="00296C4D" w:rsidP="0038261C">
      <w:pPr>
        <w:shd w:val="clear" w:color="auto" w:fill="FFFFFF"/>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follow on from issue two above, foreign courts may not accept a letter from the BVI court noting the appointment of a BVI IP, and in this situation the IP will need to seek formal recognition.</w:t>
      </w:r>
    </w:p>
    <w:p w14:paraId="4A0E35F4" w14:textId="74398D41" w:rsidR="00296C4D" w:rsidRDefault="00296C4D" w:rsidP="0038261C">
      <w:pPr>
        <w:shd w:val="clear" w:color="auto" w:fill="FFFFFF"/>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an example, many companies within the BVI jurisdiction are holding companies with shares in subsidiaries located in Hong Kong. The IP in the BVI will often require more than just the basic information noted in issue two above </w:t>
      </w:r>
      <w:r w:rsidR="00172C3E">
        <w:rPr>
          <w:rFonts w:ascii="Avenir Next" w:hAnsi="Avenir Next" w:cs="Arial"/>
          <w:color w:val="7B7B7B" w:themeColor="accent3" w:themeShade="BF"/>
          <w:sz w:val="22"/>
          <w:szCs w:val="22"/>
          <w:lang w:val="en-GB"/>
        </w:rPr>
        <w:t>to</w:t>
      </w:r>
      <w:r>
        <w:rPr>
          <w:rFonts w:ascii="Avenir Next" w:hAnsi="Avenir Next" w:cs="Arial"/>
          <w:color w:val="7B7B7B" w:themeColor="accent3" w:themeShade="BF"/>
          <w:sz w:val="22"/>
          <w:szCs w:val="22"/>
          <w:lang w:val="en-GB"/>
        </w:rPr>
        <w:t xml:space="preserve"> piece together the state of affairs of a company, and related company structures. Frequently, Hong Kong based service providers refuse to produce documents and information sought </w:t>
      </w:r>
      <w:r w:rsidR="00172C3E">
        <w:rPr>
          <w:rFonts w:ascii="Avenir Next" w:hAnsi="Avenir Next" w:cs="Arial"/>
          <w:color w:val="7B7B7B" w:themeColor="accent3" w:themeShade="BF"/>
          <w:sz w:val="22"/>
          <w:szCs w:val="22"/>
          <w:lang w:val="en-GB"/>
        </w:rPr>
        <w:t>based on</w:t>
      </w:r>
      <w:r>
        <w:rPr>
          <w:rFonts w:ascii="Avenir Next" w:hAnsi="Avenir Next" w:cs="Arial"/>
          <w:color w:val="7B7B7B" w:themeColor="accent3" w:themeShade="BF"/>
          <w:sz w:val="22"/>
          <w:szCs w:val="22"/>
          <w:lang w:val="en-GB"/>
        </w:rPr>
        <w:t xml:space="preserve"> a BVI court order, as it is not enforceable under Hong Kong Law. Hong Kong has not adopted the UNCITRAL Model Law on Cross-Border insolvency, and </w:t>
      </w:r>
      <w:r w:rsidR="00172C3E">
        <w:rPr>
          <w:rFonts w:ascii="Avenir Next" w:hAnsi="Avenir Next" w:cs="Arial"/>
          <w:color w:val="7B7B7B" w:themeColor="accent3" w:themeShade="BF"/>
          <w:sz w:val="22"/>
          <w:szCs w:val="22"/>
          <w:lang w:val="en-GB"/>
        </w:rPr>
        <w:t>there is no statutory framework for the recognition of a foreign liquidation which would enable the Hong Kong Court to assist a liquidator in a scenario such as this.</w:t>
      </w:r>
    </w:p>
    <w:p w14:paraId="5ECB3A4F" w14:textId="28008584" w:rsidR="00AF48EF" w:rsidRDefault="00172C3E" w:rsidP="0038261C">
      <w:pPr>
        <w:shd w:val="clear" w:color="auto" w:fill="FFFFFF"/>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options open to a BVI IP to address this issue would be an application to the Hong Kong court for recognition and assistance under the common law</w:t>
      </w:r>
      <w:r w:rsidR="00585853">
        <w:rPr>
          <w:rStyle w:val="FootnoteReference"/>
          <w:rFonts w:ascii="Avenir Next" w:hAnsi="Avenir Next" w:cs="Arial"/>
          <w:color w:val="7B7B7B" w:themeColor="accent3" w:themeShade="BF"/>
          <w:sz w:val="22"/>
          <w:szCs w:val="22"/>
          <w:lang w:val="en-GB"/>
        </w:rPr>
        <w:footnoteReference w:id="26"/>
      </w:r>
      <w:r w:rsidR="00585853">
        <w:rPr>
          <w:rFonts w:ascii="Avenir Next" w:hAnsi="Avenir Next" w:cs="Arial"/>
          <w:color w:val="7B7B7B" w:themeColor="accent3" w:themeShade="BF"/>
          <w:sz w:val="22"/>
          <w:szCs w:val="22"/>
          <w:lang w:val="en-GB"/>
        </w:rPr>
        <w:t>, or alternatively, commence ancillary winding up proceedings of a foreign company.</w:t>
      </w:r>
      <w:r w:rsidR="00585853">
        <w:rPr>
          <w:rStyle w:val="FootnoteReference"/>
          <w:rFonts w:ascii="Avenir Next" w:hAnsi="Avenir Next" w:cs="Arial"/>
          <w:color w:val="7B7B7B" w:themeColor="accent3" w:themeShade="BF"/>
          <w:sz w:val="22"/>
          <w:szCs w:val="22"/>
          <w:lang w:val="en-GB"/>
        </w:rPr>
        <w:footnoteReference w:id="27"/>
      </w:r>
      <w:r w:rsidR="00585853">
        <w:rPr>
          <w:rFonts w:ascii="Avenir Next" w:hAnsi="Avenir Next" w:cs="Arial"/>
          <w:color w:val="7B7B7B" w:themeColor="accent3" w:themeShade="BF"/>
          <w:sz w:val="22"/>
          <w:szCs w:val="22"/>
          <w:lang w:val="en-GB"/>
        </w:rPr>
        <w:t xml:space="preserve"> The first option of recognition has become more </w:t>
      </w:r>
      <w:r w:rsidR="0097491F">
        <w:rPr>
          <w:rFonts w:ascii="Avenir Next" w:hAnsi="Avenir Next" w:cs="Arial"/>
          <w:color w:val="7B7B7B" w:themeColor="accent3" w:themeShade="BF"/>
          <w:sz w:val="22"/>
          <w:szCs w:val="22"/>
          <w:lang w:val="en-GB"/>
        </w:rPr>
        <w:t>standard,</w:t>
      </w:r>
      <w:r w:rsidR="00585853">
        <w:rPr>
          <w:rFonts w:ascii="Avenir Next" w:hAnsi="Avenir Next" w:cs="Arial"/>
          <w:color w:val="7B7B7B" w:themeColor="accent3" w:themeShade="BF"/>
          <w:sz w:val="22"/>
          <w:szCs w:val="22"/>
          <w:lang w:val="en-GB"/>
        </w:rPr>
        <w:t xml:space="preserve"> and </w:t>
      </w:r>
      <w:r w:rsidR="00585853">
        <w:rPr>
          <w:rFonts w:ascii="Avenir Next" w:hAnsi="Avenir Next" w:cs="Arial"/>
          <w:color w:val="7B7B7B" w:themeColor="accent3" w:themeShade="BF"/>
          <w:sz w:val="22"/>
          <w:szCs w:val="22"/>
          <w:lang w:val="en-GB"/>
        </w:rPr>
        <w:lastRenderedPageBreak/>
        <w:t>its application can be seen in Re Joint and Several Liquidators of Pacific Andes Enterprises (BVI) Ltd.</w:t>
      </w:r>
      <w:r w:rsidR="00585853">
        <w:rPr>
          <w:rStyle w:val="FootnoteReference"/>
          <w:rFonts w:ascii="Avenir Next" w:hAnsi="Avenir Next" w:cs="Arial"/>
          <w:color w:val="7B7B7B" w:themeColor="accent3" w:themeShade="BF"/>
          <w:sz w:val="22"/>
          <w:szCs w:val="22"/>
          <w:lang w:val="en-GB"/>
        </w:rPr>
        <w:footnoteReference w:id="28"/>
      </w:r>
      <w:r w:rsidR="00E02AF1">
        <w:rPr>
          <w:rFonts w:ascii="Avenir Next" w:hAnsi="Avenir Next" w:cs="Arial"/>
          <w:color w:val="7B7B7B" w:themeColor="accent3" w:themeShade="BF"/>
          <w:sz w:val="22"/>
          <w:szCs w:val="22"/>
          <w:lang w:val="en-GB"/>
        </w:rPr>
        <w:t xml:space="preserve">  </w:t>
      </w:r>
      <w:r w:rsidR="0098588B">
        <w:rPr>
          <w:rFonts w:ascii="Avenir Next" w:hAnsi="Avenir Next" w:cs="Arial"/>
          <w:color w:val="7B7B7B" w:themeColor="accent3" w:themeShade="BF"/>
          <w:sz w:val="22"/>
          <w:szCs w:val="22"/>
          <w:lang w:val="en-GB"/>
        </w:rPr>
        <w:t>However, t</w:t>
      </w:r>
      <w:r w:rsidR="00E02AF1">
        <w:rPr>
          <w:rFonts w:ascii="Avenir Next" w:hAnsi="Avenir Next" w:cs="Arial"/>
          <w:color w:val="7B7B7B" w:themeColor="accent3" w:themeShade="BF"/>
          <w:sz w:val="22"/>
          <w:szCs w:val="22"/>
          <w:lang w:val="en-GB"/>
        </w:rPr>
        <w:t>here has been a recent shift in the</w:t>
      </w:r>
      <w:r w:rsidR="0098588B">
        <w:rPr>
          <w:rFonts w:ascii="Avenir Next" w:hAnsi="Avenir Next" w:cs="Arial"/>
          <w:color w:val="7B7B7B" w:themeColor="accent3" w:themeShade="BF"/>
          <w:sz w:val="22"/>
          <w:szCs w:val="22"/>
          <w:lang w:val="en-GB"/>
        </w:rPr>
        <w:t xml:space="preserve"> policy of the </w:t>
      </w:r>
      <w:r w:rsidR="00E02AF1">
        <w:rPr>
          <w:rFonts w:ascii="Avenir Next" w:hAnsi="Avenir Next" w:cs="Arial"/>
          <w:color w:val="7B7B7B" w:themeColor="accent3" w:themeShade="BF"/>
          <w:sz w:val="22"/>
          <w:szCs w:val="22"/>
          <w:lang w:val="en-GB"/>
        </w:rPr>
        <w:t xml:space="preserve">Hong Kong court </w:t>
      </w:r>
      <w:r w:rsidR="0098588B">
        <w:rPr>
          <w:rFonts w:ascii="Avenir Next" w:hAnsi="Avenir Next" w:cs="Arial"/>
          <w:color w:val="7B7B7B" w:themeColor="accent3" w:themeShade="BF"/>
          <w:sz w:val="22"/>
          <w:szCs w:val="22"/>
          <w:lang w:val="en-GB"/>
        </w:rPr>
        <w:t>regarding the</w:t>
      </w:r>
      <w:r w:rsidR="00E02AF1">
        <w:rPr>
          <w:rFonts w:ascii="Avenir Next" w:hAnsi="Avenir Next" w:cs="Arial"/>
          <w:color w:val="7B7B7B" w:themeColor="accent3" w:themeShade="BF"/>
          <w:sz w:val="22"/>
          <w:szCs w:val="22"/>
          <w:lang w:val="en-GB"/>
        </w:rPr>
        <w:t xml:space="preserve"> recognition of BVI liquidators</w:t>
      </w:r>
      <w:r w:rsidR="0098588B">
        <w:rPr>
          <w:rFonts w:ascii="Avenir Next" w:hAnsi="Avenir Next" w:cs="Arial"/>
          <w:color w:val="7B7B7B" w:themeColor="accent3" w:themeShade="BF"/>
          <w:sz w:val="22"/>
          <w:szCs w:val="22"/>
          <w:lang w:val="en-GB"/>
        </w:rPr>
        <w:t>,</w:t>
      </w:r>
      <w:r w:rsidR="00E02AF1">
        <w:rPr>
          <w:rFonts w:ascii="Avenir Next" w:hAnsi="Avenir Next" w:cs="Arial"/>
          <w:color w:val="7B7B7B" w:themeColor="accent3" w:themeShade="BF"/>
          <w:sz w:val="22"/>
          <w:szCs w:val="22"/>
          <w:lang w:val="en-GB"/>
        </w:rPr>
        <w:t xml:space="preserve"> as seen in </w:t>
      </w:r>
      <w:r w:rsidR="00AF48EF">
        <w:rPr>
          <w:rFonts w:ascii="Avenir Next" w:hAnsi="Avenir Next" w:cs="Arial"/>
          <w:color w:val="7B7B7B" w:themeColor="accent3" w:themeShade="BF"/>
          <w:sz w:val="22"/>
          <w:szCs w:val="22"/>
          <w:lang w:val="en-GB"/>
        </w:rPr>
        <w:t>Re</w:t>
      </w:r>
      <w:r w:rsidR="0098588B">
        <w:rPr>
          <w:rFonts w:ascii="Avenir Next" w:hAnsi="Avenir Next" w:cs="Arial"/>
          <w:color w:val="7B7B7B" w:themeColor="accent3" w:themeShade="BF"/>
          <w:sz w:val="22"/>
          <w:szCs w:val="22"/>
          <w:lang w:val="en-GB"/>
        </w:rPr>
        <w:t xml:space="preserve"> </w:t>
      </w:r>
      <w:r w:rsidR="00E02AF1">
        <w:rPr>
          <w:rFonts w:ascii="Avenir Next" w:hAnsi="Avenir Next" w:cs="Arial"/>
          <w:color w:val="7B7B7B" w:themeColor="accent3" w:themeShade="BF"/>
          <w:sz w:val="22"/>
          <w:szCs w:val="22"/>
          <w:lang w:val="en-GB"/>
        </w:rPr>
        <w:t>Global Brand</w:t>
      </w:r>
      <w:r w:rsidR="00AF48EF">
        <w:rPr>
          <w:rFonts w:ascii="Avenir Next" w:hAnsi="Avenir Next" w:cs="Arial"/>
          <w:color w:val="7B7B7B" w:themeColor="accent3" w:themeShade="BF"/>
          <w:sz w:val="22"/>
          <w:szCs w:val="22"/>
          <w:lang w:val="en-GB"/>
        </w:rPr>
        <w:t>s Group Holding Limited, where it was noted that the JPL’s appointment, being in a location other than the COMI, was not a reason which the court would grant recognition and assistance. However, recognising other circumstances</w:t>
      </w:r>
      <w:r w:rsidR="00CD5197">
        <w:rPr>
          <w:rFonts w:ascii="Avenir Next" w:hAnsi="Avenir Next" w:cs="Arial"/>
          <w:color w:val="7B7B7B" w:themeColor="accent3" w:themeShade="BF"/>
          <w:sz w:val="22"/>
          <w:szCs w:val="22"/>
          <w:lang w:val="en-GB"/>
        </w:rPr>
        <w:t xml:space="preserve">, </w:t>
      </w:r>
      <w:r w:rsidR="00CD5197" w:rsidRPr="00CD5197">
        <w:rPr>
          <w:rFonts w:ascii="Avenir Next" w:hAnsi="Avenir Next" w:cs="Arial"/>
          <w:color w:val="7B7B7B" w:themeColor="accent3" w:themeShade="BF"/>
          <w:sz w:val="22"/>
          <w:szCs w:val="22"/>
          <w:lang w:val="en-GB"/>
        </w:rPr>
        <w:t xml:space="preserve">and consistent with the principles outlined in Global Brands, </w:t>
      </w:r>
      <w:r w:rsidR="00CD5197" w:rsidRPr="00CD5197">
        <w:rPr>
          <w:rFonts w:ascii="Avenir Next" w:hAnsi="Avenir Next" w:cs="Arial"/>
          <w:color w:val="7B7B7B" w:themeColor="accent3" w:themeShade="BF"/>
          <w:sz w:val="22"/>
          <w:szCs w:val="22"/>
          <w:lang w:val="en-GB"/>
        </w:rPr>
        <w:t>it was eventually</w:t>
      </w:r>
      <w:r w:rsidR="00CD5197" w:rsidRPr="00CD5197">
        <w:rPr>
          <w:rFonts w:ascii="Avenir Next" w:hAnsi="Avenir Next" w:cs="Arial"/>
          <w:color w:val="7B7B7B" w:themeColor="accent3" w:themeShade="BF"/>
          <w:sz w:val="22"/>
          <w:szCs w:val="22"/>
          <w:lang w:val="en-GB"/>
        </w:rPr>
        <w:t xml:space="preserve"> ordered that the JPLs be recognised as the company's "authorised agents" in Hong Kong, "</w:t>
      </w:r>
      <w:r w:rsidR="00CD5197" w:rsidRPr="00CD5197">
        <w:rPr>
          <w:rFonts w:ascii="Avenir Next" w:hAnsi="Avenir Next" w:cs="Arial"/>
          <w:i/>
          <w:iCs/>
          <w:color w:val="7B7B7B" w:themeColor="accent3" w:themeShade="BF"/>
          <w:sz w:val="22"/>
          <w:szCs w:val="22"/>
          <w:lang w:val="en-GB"/>
        </w:rPr>
        <w:t>entitled to take action on its behalf or cause the company itself to instigate action, in order to advance or protect the company's interests</w:t>
      </w:r>
      <w:r w:rsidR="00CD5197" w:rsidRPr="00CD5197">
        <w:rPr>
          <w:rFonts w:ascii="Avenir Next" w:hAnsi="Avenir Next" w:cs="Arial"/>
          <w:color w:val="7B7B7B" w:themeColor="accent3" w:themeShade="BF"/>
          <w:sz w:val="22"/>
          <w:szCs w:val="22"/>
          <w:lang w:val="en-GB"/>
        </w:rPr>
        <w:t>". The order granted reflects "</w:t>
      </w:r>
      <w:r w:rsidR="00CD5197" w:rsidRPr="00CD5197">
        <w:rPr>
          <w:rFonts w:ascii="Avenir Next" w:hAnsi="Avenir Next" w:cs="Arial"/>
          <w:i/>
          <w:iCs/>
          <w:color w:val="7B7B7B" w:themeColor="accent3" w:themeShade="BF"/>
          <w:sz w:val="22"/>
          <w:szCs w:val="22"/>
          <w:lang w:val="en-GB"/>
        </w:rPr>
        <w:t>that to the extent ordered by the BVI court, the JPLs have stepped into the shoes of the directors of the Company</w:t>
      </w:r>
      <w:r w:rsidR="00CD5197" w:rsidRPr="00CD5197">
        <w:rPr>
          <w:rFonts w:ascii="Avenir Next" w:hAnsi="Avenir Next" w:cs="Arial"/>
          <w:color w:val="7B7B7B" w:themeColor="accent3" w:themeShade="BF"/>
          <w:sz w:val="22"/>
          <w:szCs w:val="22"/>
          <w:lang w:val="en-GB"/>
        </w:rPr>
        <w:t>".</w:t>
      </w:r>
      <w:r w:rsidR="00CD5197" w:rsidRPr="00CD5197">
        <w:rPr>
          <w:rStyle w:val="FootnoteReference"/>
          <w:color w:val="7B7B7B" w:themeColor="accent3" w:themeShade="BF"/>
          <w:lang w:val="en-GB"/>
        </w:rPr>
        <w:footnoteReference w:id="29"/>
      </w:r>
    </w:p>
    <w:p w14:paraId="4425126E" w14:textId="713B9B39" w:rsidR="009140D2" w:rsidRPr="00296C4D" w:rsidRDefault="009140D2" w:rsidP="0038261C">
      <w:pPr>
        <w:shd w:val="clear" w:color="auto" w:fill="FFFFFF"/>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Depending on the wider circumstances, if any of the assets of the company </w:t>
      </w:r>
      <w:r w:rsidR="0097491F">
        <w:rPr>
          <w:rFonts w:ascii="Avenir Next" w:hAnsi="Avenir Next" w:cs="Arial"/>
          <w:color w:val="7B7B7B" w:themeColor="accent3" w:themeShade="BF"/>
          <w:sz w:val="22"/>
          <w:szCs w:val="22"/>
          <w:lang w:val="en-GB"/>
        </w:rPr>
        <w:t>were in</w:t>
      </w:r>
      <w:r>
        <w:rPr>
          <w:rFonts w:ascii="Avenir Next" w:hAnsi="Avenir Next" w:cs="Arial"/>
          <w:color w:val="7B7B7B" w:themeColor="accent3" w:themeShade="BF"/>
          <w:sz w:val="22"/>
          <w:szCs w:val="22"/>
          <w:lang w:val="en-GB"/>
        </w:rPr>
        <w:t xml:space="preserve"> the USA, then the IP has </w:t>
      </w:r>
      <w:r w:rsidR="0097491F">
        <w:rPr>
          <w:rFonts w:ascii="Avenir Next" w:hAnsi="Avenir Next" w:cs="Arial"/>
          <w:color w:val="7B7B7B" w:themeColor="accent3" w:themeShade="BF"/>
          <w:sz w:val="22"/>
          <w:szCs w:val="22"/>
          <w:lang w:val="en-GB"/>
        </w:rPr>
        <w:t>several</w:t>
      </w:r>
      <w:r>
        <w:rPr>
          <w:rFonts w:ascii="Avenir Next" w:hAnsi="Avenir Next" w:cs="Arial"/>
          <w:color w:val="7B7B7B" w:themeColor="accent3" w:themeShade="BF"/>
          <w:sz w:val="22"/>
          <w:szCs w:val="22"/>
          <w:lang w:val="en-GB"/>
        </w:rPr>
        <w:t xml:space="preserve"> ways they can gain recognition and assistance through the US federal court system such as by commencing Chapter 15</w:t>
      </w:r>
      <w:r>
        <w:rPr>
          <w:rStyle w:val="FootnoteReference"/>
          <w:rFonts w:ascii="Avenir Next" w:hAnsi="Avenir Next" w:cs="Arial"/>
          <w:color w:val="7B7B7B" w:themeColor="accent3" w:themeShade="BF"/>
          <w:sz w:val="22"/>
          <w:szCs w:val="22"/>
          <w:lang w:val="en-GB"/>
        </w:rPr>
        <w:footnoteReference w:id="30"/>
      </w:r>
      <w:r>
        <w:rPr>
          <w:rFonts w:ascii="Avenir Next" w:hAnsi="Avenir Next" w:cs="Arial"/>
          <w:color w:val="7B7B7B" w:themeColor="accent3" w:themeShade="BF"/>
          <w:sz w:val="22"/>
          <w:szCs w:val="22"/>
          <w:lang w:val="en-GB"/>
        </w:rPr>
        <w:t>, Chapter 7, or Chapter 11 proceedings. Some of the US districts have also formally implemented the JIN guidelines, which could aid in assets located in Delaware, New York</w:t>
      </w:r>
      <w:r w:rsidR="00E9787A">
        <w:rPr>
          <w:rStyle w:val="FootnoteReference"/>
          <w:rFonts w:ascii="Avenir Next" w:hAnsi="Avenir Next" w:cs="Arial"/>
          <w:color w:val="7B7B7B" w:themeColor="accent3" w:themeShade="BF"/>
          <w:sz w:val="22"/>
          <w:szCs w:val="22"/>
          <w:lang w:val="en-GB"/>
        </w:rPr>
        <w:footnoteReference w:id="31"/>
      </w:r>
      <w:r>
        <w:rPr>
          <w:rFonts w:ascii="Avenir Next" w:hAnsi="Avenir Next" w:cs="Arial"/>
          <w:color w:val="7B7B7B" w:themeColor="accent3" w:themeShade="BF"/>
          <w:sz w:val="22"/>
          <w:szCs w:val="22"/>
          <w:lang w:val="en-GB"/>
        </w:rPr>
        <w:t xml:space="preserve"> and Florida</w:t>
      </w:r>
      <w:r w:rsidR="00E9787A">
        <w:rPr>
          <w:rStyle w:val="FootnoteReference"/>
          <w:rFonts w:ascii="Avenir Next" w:hAnsi="Avenir Next" w:cs="Arial"/>
          <w:color w:val="7B7B7B" w:themeColor="accent3" w:themeShade="BF"/>
          <w:sz w:val="22"/>
          <w:szCs w:val="22"/>
          <w:lang w:val="en-GB"/>
        </w:rPr>
        <w:footnoteReference w:id="32"/>
      </w:r>
      <w:r>
        <w:rPr>
          <w:rFonts w:ascii="Avenir Next" w:hAnsi="Avenir Next" w:cs="Arial"/>
          <w:color w:val="7B7B7B" w:themeColor="accent3" w:themeShade="BF"/>
          <w:sz w:val="22"/>
          <w:szCs w:val="22"/>
          <w:lang w:val="en-GB"/>
        </w:rPr>
        <w:t>.</w:t>
      </w:r>
    </w:p>
    <w:p w14:paraId="2376267C" w14:textId="72064EC9" w:rsidR="007D27F8" w:rsidRPr="009140D2" w:rsidRDefault="009140D2" w:rsidP="007D27F8">
      <w:pPr>
        <w:jc w:val="both"/>
        <w:rPr>
          <w:rFonts w:ascii="Avenir Next" w:hAnsi="Avenir Next" w:cs="Arial"/>
          <w:color w:val="7B7B7B" w:themeColor="accent3" w:themeShade="BF"/>
          <w:sz w:val="22"/>
          <w:szCs w:val="22"/>
          <w:u w:val="single"/>
          <w:lang w:val="en-GB"/>
        </w:rPr>
      </w:pPr>
      <w:r w:rsidRPr="009140D2">
        <w:rPr>
          <w:rFonts w:ascii="Avenir Next" w:hAnsi="Avenir Next" w:cs="Arial"/>
          <w:color w:val="7B7B7B" w:themeColor="accent3" w:themeShade="BF"/>
          <w:sz w:val="22"/>
          <w:szCs w:val="22"/>
          <w:u w:val="single"/>
          <w:lang w:val="en-GB"/>
        </w:rPr>
        <w:t>Issue Four – Sanctioned Entities</w:t>
      </w:r>
    </w:p>
    <w:p w14:paraId="3D734507" w14:textId="77777777" w:rsidR="009140D2" w:rsidRDefault="009140D2" w:rsidP="007D27F8">
      <w:pPr>
        <w:jc w:val="both"/>
        <w:rPr>
          <w:rFonts w:ascii="Avenir Next" w:hAnsi="Avenir Next" w:cs="Arial"/>
          <w:color w:val="7B7B7B" w:themeColor="accent3" w:themeShade="BF"/>
          <w:sz w:val="22"/>
          <w:szCs w:val="22"/>
          <w:lang w:val="en-GB"/>
        </w:rPr>
      </w:pPr>
    </w:p>
    <w:p w14:paraId="46C6B71C" w14:textId="12D00BB4" w:rsidR="00E9787A" w:rsidRDefault="0098588B" w:rsidP="007D27F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Companies</w:t>
      </w:r>
      <w:r w:rsidR="009140D2">
        <w:rPr>
          <w:rFonts w:ascii="Avenir Next" w:hAnsi="Avenir Next" w:cs="Arial"/>
          <w:color w:val="7B7B7B" w:themeColor="accent3" w:themeShade="BF"/>
          <w:sz w:val="22"/>
          <w:szCs w:val="22"/>
          <w:lang w:val="en-GB"/>
        </w:rPr>
        <w:t xml:space="preserve"> with entities and assets around the world can be subject to sanctions, particularly recently with sanctions relating to Russian owned or controlled companies.</w:t>
      </w:r>
      <w:r w:rsidR="00E9787A">
        <w:rPr>
          <w:rFonts w:ascii="Avenir Next" w:hAnsi="Avenir Next" w:cs="Arial"/>
          <w:color w:val="7B7B7B" w:themeColor="accent3" w:themeShade="BF"/>
          <w:sz w:val="22"/>
          <w:szCs w:val="22"/>
          <w:lang w:val="en-GB"/>
        </w:rPr>
        <w:t xml:space="preserve"> The UK Sanction regime</w:t>
      </w:r>
      <w:r w:rsidR="00E9787A">
        <w:rPr>
          <w:rStyle w:val="FootnoteReference"/>
          <w:rFonts w:ascii="Avenir Next" w:hAnsi="Avenir Next" w:cs="Arial"/>
          <w:color w:val="7B7B7B" w:themeColor="accent3" w:themeShade="BF"/>
          <w:sz w:val="22"/>
          <w:szCs w:val="22"/>
          <w:lang w:val="en-GB"/>
        </w:rPr>
        <w:footnoteReference w:id="33"/>
      </w:r>
      <w:r w:rsidR="00E9787A">
        <w:rPr>
          <w:rFonts w:ascii="Avenir Next" w:hAnsi="Avenir Next" w:cs="Arial"/>
          <w:color w:val="7B7B7B" w:themeColor="accent3" w:themeShade="BF"/>
          <w:sz w:val="22"/>
          <w:szCs w:val="22"/>
          <w:lang w:val="en-GB"/>
        </w:rPr>
        <w:t xml:space="preserve"> </w:t>
      </w:r>
      <w:r w:rsidR="006D0806">
        <w:rPr>
          <w:rFonts w:ascii="Avenir Next" w:hAnsi="Avenir Next" w:cs="Arial"/>
          <w:color w:val="7B7B7B" w:themeColor="accent3" w:themeShade="BF"/>
          <w:sz w:val="22"/>
          <w:szCs w:val="22"/>
          <w:lang w:val="en-GB"/>
        </w:rPr>
        <w:t>has been</w:t>
      </w:r>
      <w:r w:rsidR="00E9787A">
        <w:rPr>
          <w:rFonts w:ascii="Avenir Next" w:hAnsi="Avenir Next" w:cs="Arial"/>
          <w:color w:val="7B7B7B" w:themeColor="accent3" w:themeShade="BF"/>
          <w:sz w:val="22"/>
          <w:szCs w:val="22"/>
          <w:lang w:val="en-GB"/>
        </w:rPr>
        <w:t xml:space="preserve"> extended to the BVI</w:t>
      </w:r>
      <w:r w:rsidR="006D0806">
        <w:rPr>
          <w:rStyle w:val="FootnoteReference"/>
          <w:rFonts w:ascii="Avenir Next" w:hAnsi="Avenir Next" w:cs="Arial"/>
          <w:color w:val="7B7B7B" w:themeColor="accent3" w:themeShade="BF"/>
          <w:sz w:val="22"/>
          <w:szCs w:val="22"/>
          <w:lang w:val="en-GB"/>
        </w:rPr>
        <w:footnoteReference w:id="34"/>
      </w:r>
      <w:r w:rsidR="00E9787A">
        <w:rPr>
          <w:rFonts w:ascii="Avenir Next" w:hAnsi="Avenir Next" w:cs="Arial"/>
          <w:color w:val="7B7B7B" w:themeColor="accent3" w:themeShade="BF"/>
          <w:sz w:val="22"/>
          <w:szCs w:val="22"/>
          <w:lang w:val="en-GB"/>
        </w:rPr>
        <w:t xml:space="preserve"> </w:t>
      </w:r>
      <w:r w:rsidR="006D0806">
        <w:rPr>
          <w:rFonts w:ascii="Avenir Next" w:hAnsi="Avenir Next" w:cs="Arial"/>
          <w:color w:val="7B7B7B" w:themeColor="accent3" w:themeShade="BF"/>
          <w:sz w:val="22"/>
          <w:szCs w:val="22"/>
          <w:lang w:val="en-GB"/>
        </w:rPr>
        <w:t>in its status as a British Overseas Territory, and comprises financial, trade and immigration sanctions.</w:t>
      </w:r>
    </w:p>
    <w:p w14:paraId="41E55130" w14:textId="77777777" w:rsidR="00E9787A" w:rsidRDefault="00E9787A" w:rsidP="007D27F8">
      <w:pPr>
        <w:jc w:val="both"/>
        <w:rPr>
          <w:rFonts w:ascii="Avenir Next" w:hAnsi="Avenir Next" w:cs="Arial"/>
          <w:color w:val="7B7B7B" w:themeColor="accent3" w:themeShade="BF"/>
          <w:sz w:val="22"/>
          <w:szCs w:val="22"/>
          <w:lang w:val="en-GB"/>
        </w:rPr>
      </w:pPr>
    </w:p>
    <w:p w14:paraId="334B962A" w14:textId="188EE43A" w:rsidR="007D27F8" w:rsidRPr="007D27F8" w:rsidRDefault="00E9787A" w:rsidP="00E9787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BVI IP dealing with an insolvency proceeding of a company with </w:t>
      </w:r>
      <w:r w:rsidR="006D0806">
        <w:rPr>
          <w:rFonts w:ascii="Avenir Next" w:hAnsi="Avenir Next" w:cs="Arial"/>
          <w:color w:val="7B7B7B" w:themeColor="accent3" w:themeShade="BF"/>
          <w:sz w:val="22"/>
          <w:szCs w:val="22"/>
          <w:lang w:val="en-GB"/>
        </w:rPr>
        <w:t>entities</w:t>
      </w:r>
      <w:r>
        <w:rPr>
          <w:rFonts w:ascii="Avenir Next" w:hAnsi="Avenir Next" w:cs="Arial"/>
          <w:color w:val="7B7B7B" w:themeColor="accent3" w:themeShade="BF"/>
          <w:sz w:val="22"/>
          <w:szCs w:val="22"/>
          <w:lang w:val="en-GB"/>
        </w:rPr>
        <w:t xml:space="preserve"> </w:t>
      </w:r>
      <w:r w:rsidR="006D0806">
        <w:rPr>
          <w:rFonts w:ascii="Avenir Next" w:hAnsi="Avenir Next" w:cs="Arial"/>
          <w:color w:val="7B7B7B" w:themeColor="accent3" w:themeShade="BF"/>
          <w:sz w:val="22"/>
          <w:szCs w:val="22"/>
          <w:lang w:val="en-GB"/>
        </w:rPr>
        <w:t xml:space="preserve">and </w:t>
      </w:r>
      <w:r w:rsidR="003A0153">
        <w:rPr>
          <w:rFonts w:ascii="Avenir Next" w:hAnsi="Avenir Next" w:cs="Arial"/>
          <w:color w:val="7B7B7B" w:themeColor="accent3" w:themeShade="BF"/>
          <w:sz w:val="22"/>
          <w:szCs w:val="22"/>
          <w:lang w:val="en-GB"/>
        </w:rPr>
        <w:t>a</w:t>
      </w:r>
      <w:r w:rsidR="006D0806">
        <w:rPr>
          <w:rFonts w:ascii="Avenir Next" w:hAnsi="Avenir Next" w:cs="Arial"/>
          <w:color w:val="7B7B7B" w:themeColor="accent3" w:themeShade="BF"/>
          <w:sz w:val="22"/>
          <w:szCs w:val="22"/>
          <w:lang w:val="en-GB"/>
        </w:rPr>
        <w:t>s</w:t>
      </w:r>
      <w:r w:rsidR="003A0153">
        <w:rPr>
          <w:rFonts w:ascii="Avenir Next" w:hAnsi="Avenir Next" w:cs="Arial"/>
          <w:color w:val="7B7B7B" w:themeColor="accent3" w:themeShade="BF"/>
          <w:sz w:val="22"/>
          <w:szCs w:val="22"/>
          <w:lang w:val="en-GB"/>
        </w:rPr>
        <w:t>s</w:t>
      </w:r>
      <w:r w:rsidR="006D0806">
        <w:rPr>
          <w:rFonts w:ascii="Avenir Next" w:hAnsi="Avenir Next" w:cs="Arial"/>
          <w:color w:val="7B7B7B" w:themeColor="accent3" w:themeShade="BF"/>
          <w:sz w:val="22"/>
          <w:szCs w:val="22"/>
          <w:lang w:val="en-GB"/>
        </w:rPr>
        <w:t xml:space="preserve">ets </w:t>
      </w:r>
      <w:r>
        <w:rPr>
          <w:rFonts w:ascii="Avenir Next" w:hAnsi="Avenir Next" w:cs="Arial"/>
          <w:color w:val="7B7B7B" w:themeColor="accent3" w:themeShade="BF"/>
          <w:sz w:val="22"/>
          <w:szCs w:val="22"/>
          <w:lang w:val="en-GB"/>
        </w:rPr>
        <w:t>across the world could find themselves with the issue of how to deal with assets in a sanctioned entity</w:t>
      </w:r>
      <w:r w:rsidR="006D0806">
        <w:rPr>
          <w:rFonts w:ascii="Avenir Next" w:hAnsi="Avenir Next" w:cs="Arial"/>
          <w:color w:val="7B7B7B" w:themeColor="accent3" w:themeShade="BF"/>
          <w:sz w:val="22"/>
          <w:szCs w:val="22"/>
          <w:lang w:val="en-GB"/>
        </w:rPr>
        <w:t>, particularly where the financial sanction is an asset freeze. The IP will be unable to deal with frozen funds, make funds available for creditors etc.</w:t>
      </w:r>
      <w:r w:rsidR="006D0806">
        <w:rPr>
          <w:rStyle w:val="FootnoteReference"/>
          <w:rFonts w:ascii="Avenir Next" w:hAnsi="Avenir Next" w:cs="Arial"/>
          <w:color w:val="7B7B7B" w:themeColor="accent3" w:themeShade="BF"/>
          <w:sz w:val="22"/>
          <w:szCs w:val="22"/>
          <w:lang w:val="en-GB"/>
        </w:rPr>
        <w:footnoteReference w:id="35"/>
      </w:r>
      <w:r w:rsidR="006D0806">
        <w:rPr>
          <w:rFonts w:ascii="Avenir Next" w:hAnsi="Avenir Next" w:cs="Arial"/>
          <w:color w:val="7B7B7B" w:themeColor="accent3" w:themeShade="BF"/>
          <w:sz w:val="22"/>
          <w:szCs w:val="22"/>
          <w:lang w:val="en-GB"/>
        </w:rPr>
        <w:t xml:space="preserve"> </w:t>
      </w:r>
    </w:p>
    <w:p w14:paraId="5920E7C2" w14:textId="77777777" w:rsidR="007D27F8" w:rsidRPr="009140D2" w:rsidRDefault="007D27F8" w:rsidP="009140D2">
      <w:pPr>
        <w:jc w:val="both"/>
        <w:rPr>
          <w:rFonts w:ascii="Avenir Next" w:hAnsi="Avenir Next" w:cs="Arial"/>
          <w:color w:val="000000" w:themeColor="text1"/>
          <w:sz w:val="22"/>
          <w:szCs w:val="22"/>
          <w:lang w:val="en-GB"/>
        </w:rPr>
      </w:pPr>
    </w:p>
    <w:p w14:paraId="35D8F287" w14:textId="5CA4646C" w:rsidR="0077498C" w:rsidRDefault="006D0806" w:rsidP="00C053F7">
      <w:pPr>
        <w:jc w:val="both"/>
        <w:rPr>
          <w:rFonts w:ascii="Avenir Next" w:hAnsi="Avenir Next" w:cs="Arial"/>
          <w:color w:val="7B7B7B" w:themeColor="accent3" w:themeShade="BF"/>
          <w:sz w:val="22"/>
          <w:szCs w:val="22"/>
          <w:lang w:val="en-GB"/>
        </w:rPr>
      </w:pPr>
      <w:r w:rsidRPr="006D0806">
        <w:rPr>
          <w:rFonts w:ascii="Avenir Next" w:hAnsi="Avenir Next" w:cs="Arial"/>
          <w:color w:val="7B7B7B" w:themeColor="accent3" w:themeShade="BF"/>
          <w:sz w:val="22"/>
          <w:szCs w:val="22"/>
          <w:lang w:val="en-GB"/>
        </w:rPr>
        <w:t>The IP can also request a General Licence</w:t>
      </w:r>
      <w:r w:rsidRPr="006D0806">
        <w:rPr>
          <w:rStyle w:val="FootnoteReference"/>
          <w:rFonts w:ascii="Avenir Next" w:hAnsi="Avenir Next" w:cs="Arial"/>
          <w:color w:val="7B7B7B" w:themeColor="accent3" w:themeShade="BF"/>
          <w:sz w:val="22"/>
          <w:szCs w:val="22"/>
          <w:lang w:val="en-GB"/>
        </w:rPr>
        <w:footnoteReference w:id="36"/>
      </w:r>
      <w:r>
        <w:rPr>
          <w:rFonts w:ascii="Avenir Next" w:hAnsi="Avenir Next" w:cs="Arial"/>
          <w:color w:val="7B7B7B" w:themeColor="accent3" w:themeShade="BF"/>
          <w:sz w:val="22"/>
          <w:szCs w:val="22"/>
          <w:lang w:val="en-GB"/>
        </w:rPr>
        <w:t xml:space="preserve"> </w:t>
      </w:r>
      <w:r w:rsidR="003A0153">
        <w:rPr>
          <w:rFonts w:ascii="Avenir Next" w:hAnsi="Avenir Next" w:cs="Arial"/>
          <w:color w:val="7B7B7B" w:themeColor="accent3" w:themeShade="BF"/>
          <w:sz w:val="22"/>
          <w:szCs w:val="22"/>
          <w:lang w:val="en-GB"/>
        </w:rPr>
        <w:t xml:space="preserve">from the Governor’s Office, </w:t>
      </w:r>
      <w:r w:rsidR="00555DE4">
        <w:rPr>
          <w:rFonts w:ascii="Avenir Next" w:hAnsi="Avenir Next" w:cs="Arial"/>
          <w:color w:val="7B7B7B" w:themeColor="accent3" w:themeShade="BF"/>
          <w:sz w:val="22"/>
          <w:szCs w:val="22"/>
          <w:lang w:val="en-GB"/>
        </w:rPr>
        <w:t xml:space="preserve">to </w:t>
      </w:r>
      <w:r w:rsidR="003A0153">
        <w:rPr>
          <w:rFonts w:ascii="Avenir Next" w:hAnsi="Avenir Next" w:cs="Arial"/>
          <w:color w:val="7B7B7B" w:themeColor="accent3" w:themeShade="BF"/>
          <w:sz w:val="22"/>
          <w:szCs w:val="22"/>
          <w:lang w:val="en-GB"/>
        </w:rPr>
        <w:t xml:space="preserve">make, </w:t>
      </w:r>
      <w:r w:rsidR="00555DE4">
        <w:rPr>
          <w:rFonts w:ascii="Avenir Next" w:hAnsi="Avenir Next" w:cs="Arial"/>
          <w:color w:val="7B7B7B" w:themeColor="accent3" w:themeShade="BF"/>
          <w:sz w:val="22"/>
          <w:szCs w:val="22"/>
          <w:lang w:val="en-GB"/>
        </w:rPr>
        <w:t>receive</w:t>
      </w:r>
      <w:r w:rsidR="003A0153">
        <w:rPr>
          <w:rFonts w:ascii="Avenir Next" w:hAnsi="Avenir Next" w:cs="Arial"/>
          <w:color w:val="7B7B7B" w:themeColor="accent3" w:themeShade="BF"/>
          <w:sz w:val="22"/>
          <w:szCs w:val="22"/>
          <w:lang w:val="en-GB"/>
        </w:rPr>
        <w:t xml:space="preserve"> or process payments, or take any other action in connection with any Insolvency Proceedings related to entities that are subject to sanction</w:t>
      </w:r>
      <w:r w:rsidR="003A0153">
        <w:rPr>
          <w:rStyle w:val="FootnoteReference"/>
          <w:rFonts w:ascii="Avenir Next" w:hAnsi="Avenir Next" w:cs="Arial"/>
          <w:color w:val="7B7B7B" w:themeColor="accent3" w:themeShade="BF"/>
          <w:sz w:val="22"/>
          <w:szCs w:val="22"/>
          <w:lang w:val="en-GB"/>
        </w:rPr>
        <w:footnoteReference w:id="37"/>
      </w:r>
      <w:r w:rsidR="003A0153">
        <w:rPr>
          <w:rFonts w:ascii="Avenir Next" w:hAnsi="Avenir Next" w:cs="Arial"/>
          <w:color w:val="7B7B7B" w:themeColor="accent3" w:themeShade="BF"/>
          <w:sz w:val="22"/>
          <w:szCs w:val="22"/>
          <w:lang w:val="en-GB"/>
        </w:rPr>
        <w:t>.</w:t>
      </w:r>
    </w:p>
    <w:p w14:paraId="118BFE98" w14:textId="77777777" w:rsidR="006D0806" w:rsidRPr="006D0806" w:rsidRDefault="006D0806" w:rsidP="00C053F7">
      <w:pPr>
        <w:jc w:val="both"/>
        <w:rPr>
          <w:rFonts w:ascii="Avenir Next" w:hAnsi="Avenir Next" w:cs="Arial"/>
          <w:color w:val="7B7B7B" w:themeColor="accent3" w:themeShade="BF"/>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A299" w14:textId="77777777" w:rsidR="00AF1162" w:rsidRDefault="00AF1162" w:rsidP="00241B44">
      <w:r>
        <w:separator/>
      </w:r>
    </w:p>
  </w:endnote>
  <w:endnote w:type="continuationSeparator" w:id="0">
    <w:p w14:paraId="5B06D3DD" w14:textId="77777777" w:rsidR="00AF1162" w:rsidRDefault="00AF11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E2985A4" w:rsidR="00AD6A7D" w:rsidRPr="009634F4" w:rsidRDefault="00596E17" w:rsidP="00AD6A7D">
    <w:pPr>
      <w:pStyle w:val="Footer"/>
      <w:ind w:right="360"/>
      <w:rPr>
        <w:rFonts w:ascii="Avenir Next" w:hAnsi="Avenir Next" w:cs="Arial"/>
        <w:sz w:val="22"/>
        <w:szCs w:val="22"/>
      </w:rPr>
    </w:pPr>
    <w:r>
      <w:rPr>
        <w:rFonts w:ascii="Avenir Next" w:hAnsi="Avenir Next" w:cs="Arial"/>
        <w:sz w:val="22"/>
        <w:szCs w:val="22"/>
      </w:rPr>
      <w:t>202324-1480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8EAD" w14:textId="77777777" w:rsidR="00AF1162" w:rsidRDefault="00AF1162" w:rsidP="00241B44">
      <w:r>
        <w:separator/>
      </w:r>
    </w:p>
  </w:footnote>
  <w:footnote w:type="continuationSeparator" w:id="0">
    <w:p w14:paraId="34EDC7F9" w14:textId="77777777" w:rsidR="00AF1162" w:rsidRDefault="00AF1162" w:rsidP="00241B44">
      <w:r>
        <w:continuationSeparator/>
      </w:r>
    </w:p>
  </w:footnote>
  <w:footnote w:id="1">
    <w:p w14:paraId="2328AD76" w14:textId="0B8FDDC7" w:rsidR="006B03BB" w:rsidRPr="006B03BB" w:rsidRDefault="006B03BB">
      <w:pPr>
        <w:pStyle w:val="FootnoteText"/>
        <w:rPr>
          <w:lang w:val="en-GB"/>
        </w:rPr>
      </w:pPr>
      <w:r>
        <w:rPr>
          <w:rStyle w:val="FootnoteReference"/>
        </w:rPr>
        <w:footnoteRef/>
      </w:r>
      <w:r>
        <w:t xml:space="preserve"> B </w:t>
      </w:r>
      <w:r>
        <w:rPr>
          <w:lang w:val="en-GB"/>
        </w:rPr>
        <w:t>Wessels, International Insolvency Law (Kluwer, 2006), p1.</w:t>
      </w:r>
    </w:p>
  </w:footnote>
  <w:footnote w:id="2">
    <w:p w14:paraId="64E7995A" w14:textId="07822442" w:rsidR="00094D9A" w:rsidRPr="00094D9A" w:rsidRDefault="00094D9A">
      <w:pPr>
        <w:pStyle w:val="FootnoteText"/>
        <w:rPr>
          <w:lang w:val="en-GB"/>
        </w:rPr>
      </w:pPr>
      <w:r>
        <w:rPr>
          <w:rStyle w:val="FootnoteReference"/>
        </w:rPr>
        <w:footnoteRef/>
      </w:r>
      <w:r>
        <w:t xml:space="preserve"> </w:t>
      </w:r>
      <w:r>
        <w:rPr>
          <w:lang w:val="en-GB"/>
        </w:rPr>
        <w:t xml:space="preserve">Wessels, </w:t>
      </w:r>
      <w:r w:rsidR="006B03BB">
        <w:rPr>
          <w:i/>
          <w:iCs/>
          <w:lang w:val="en-GB"/>
        </w:rPr>
        <w:t>idem</w:t>
      </w:r>
    </w:p>
  </w:footnote>
  <w:footnote w:id="3">
    <w:p w14:paraId="4C6911E4" w14:textId="5409A4F4" w:rsidR="005A126A" w:rsidRPr="005A126A" w:rsidRDefault="005A126A">
      <w:pPr>
        <w:pStyle w:val="FootnoteText"/>
        <w:rPr>
          <w:lang w:val="en-GB"/>
        </w:rPr>
      </w:pPr>
      <w:r>
        <w:rPr>
          <w:rStyle w:val="FootnoteReference"/>
        </w:rPr>
        <w:footnoteRef/>
      </w:r>
      <w:r>
        <w:t xml:space="preserve"> Federal Law by Decree No. (9) of 2016 on Bankruptcy, and No. (19) of 2019 on Insolvency </w:t>
      </w:r>
      <w:r w:rsidRPr="005A126A">
        <w:t>https://mof.gov.ae/bankruptcy-and-insolvency/</w:t>
      </w:r>
    </w:p>
  </w:footnote>
  <w:footnote w:id="4">
    <w:p w14:paraId="273FEECE" w14:textId="5D1C5FAD" w:rsidR="00474DCA" w:rsidRPr="00474DCA" w:rsidRDefault="00474DCA">
      <w:pPr>
        <w:pStyle w:val="FootnoteText"/>
        <w:rPr>
          <w:lang w:val="en-GB"/>
        </w:rPr>
      </w:pPr>
      <w:r>
        <w:rPr>
          <w:rStyle w:val="FootnoteReference"/>
        </w:rPr>
        <w:footnoteRef/>
      </w:r>
      <w:r>
        <w:t xml:space="preserve"> </w:t>
      </w:r>
      <w:r w:rsidRPr="00474DCA">
        <w:t>https://globalrestructuringreview.com/review/europe-middle-east-and-africa-restructuring-review/2022/article/shifting-sands-the-move-towards-restructuring-in-the-uae</w:t>
      </w:r>
    </w:p>
  </w:footnote>
  <w:footnote w:id="5">
    <w:p w14:paraId="43DC72C3" w14:textId="6368F650" w:rsidR="00F35F73" w:rsidRPr="00F35F73" w:rsidRDefault="00F35F73">
      <w:pPr>
        <w:pStyle w:val="FootnoteText"/>
        <w:rPr>
          <w:lang w:val="en-GB"/>
        </w:rPr>
      </w:pPr>
      <w:r>
        <w:rPr>
          <w:rStyle w:val="FootnoteReference"/>
        </w:rPr>
        <w:footnoteRef/>
      </w:r>
      <w:r>
        <w:t xml:space="preserve"> </w:t>
      </w:r>
      <w:r w:rsidRPr="00F35F73">
        <w:t>https://www.thenationalnews.com/business/economy/saudi-arabia-approves-landmark-bankruptcy-law-1.707236</w:t>
      </w:r>
    </w:p>
  </w:footnote>
  <w:footnote w:id="6">
    <w:p w14:paraId="13947924" w14:textId="457303FE" w:rsidR="00474DCA" w:rsidRPr="00474DCA" w:rsidRDefault="00474DCA">
      <w:pPr>
        <w:pStyle w:val="FootnoteText"/>
        <w:rPr>
          <w:lang w:val="en-GB"/>
        </w:rPr>
      </w:pPr>
      <w:r>
        <w:rPr>
          <w:rStyle w:val="FootnoteReference"/>
        </w:rPr>
        <w:footnoteRef/>
      </w:r>
      <w:r>
        <w:t xml:space="preserve"> </w:t>
      </w:r>
      <w:r w:rsidRPr="00474DCA">
        <w:t>https://uncitral.un.org/en/texts/insolvency/modellaw/cross-border_insolvency/status</w:t>
      </w:r>
    </w:p>
  </w:footnote>
  <w:footnote w:id="7">
    <w:p w14:paraId="4D304E86" w14:textId="5757B1D0" w:rsidR="00752E41" w:rsidRPr="00752E41" w:rsidRDefault="00752E41">
      <w:pPr>
        <w:pStyle w:val="FootnoteText"/>
        <w:rPr>
          <w:lang w:val="en-GB"/>
        </w:rPr>
      </w:pPr>
      <w:r>
        <w:rPr>
          <w:rStyle w:val="FootnoteReference"/>
        </w:rPr>
        <w:footnoteRef/>
      </w:r>
      <w:r>
        <w:t xml:space="preserve"> Harold S Burman, </w:t>
      </w:r>
      <w:r>
        <w:rPr>
          <w:lang w:val="en-GB"/>
        </w:rPr>
        <w:t>Fordham Law Review, Volume 64, issue 6</w:t>
      </w:r>
    </w:p>
  </w:footnote>
  <w:footnote w:id="8">
    <w:p w14:paraId="6404EE1A" w14:textId="00B35205" w:rsidR="002279D9" w:rsidRPr="002279D9" w:rsidRDefault="002279D9">
      <w:pPr>
        <w:pStyle w:val="FootnoteText"/>
        <w:rPr>
          <w:lang w:val="en-GB"/>
        </w:rPr>
      </w:pPr>
      <w:r>
        <w:rPr>
          <w:rStyle w:val="FootnoteReference"/>
        </w:rPr>
        <w:footnoteRef/>
      </w:r>
      <w:r>
        <w:t xml:space="preserve"> </w:t>
      </w:r>
      <w:r>
        <w:rPr>
          <w:lang w:val="en-GB"/>
        </w:rPr>
        <w:t xml:space="preserve">L Turner, </w:t>
      </w:r>
      <w:proofErr w:type="spellStart"/>
      <w:r>
        <w:rPr>
          <w:lang w:val="en-GB"/>
        </w:rPr>
        <w:t>GlobaLex</w:t>
      </w:r>
      <w:proofErr w:type="spellEnd"/>
      <w:r>
        <w:rPr>
          <w:lang w:val="en-GB"/>
        </w:rPr>
        <w:t xml:space="preserve"> </w:t>
      </w:r>
      <w:proofErr w:type="spellStart"/>
      <w:r>
        <w:rPr>
          <w:lang w:val="en-GB"/>
        </w:rPr>
        <w:t>Publised</w:t>
      </w:r>
      <w:proofErr w:type="spellEnd"/>
      <w:r>
        <w:rPr>
          <w:lang w:val="en-GB"/>
        </w:rPr>
        <w:t xml:space="preserve"> June 2022</w:t>
      </w:r>
    </w:p>
  </w:footnote>
  <w:footnote w:id="9">
    <w:p w14:paraId="706C17B8" w14:textId="18637174" w:rsidR="00AB4E9F" w:rsidRPr="00AB4E9F" w:rsidRDefault="00AB4E9F">
      <w:pPr>
        <w:pStyle w:val="FootnoteText"/>
        <w:rPr>
          <w:lang w:val="en-GB"/>
        </w:rPr>
      </w:pPr>
      <w:r>
        <w:rPr>
          <w:rStyle w:val="FootnoteReference"/>
        </w:rPr>
        <w:footnoteRef/>
      </w:r>
      <w:r>
        <w:t xml:space="preserve"> </w:t>
      </w:r>
      <w:r w:rsidRPr="00AB4E9F">
        <w:t>https://openknowledge.worldbank.org/entities/publication/de2cc5c4-c1ec-55eb-ad20-d27e916d000f</w:t>
      </w:r>
    </w:p>
  </w:footnote>
  <w:footnote w:id="10">
    <w:p w14:paraId="2BE183FC" w14:textId="01303EC6" w:rsidR="00B317A3" w:rsidRPr="00B317A3" w:rsidRDefault="00B317A3">
      <w:pPr>
        <w:pStyle w:val="FootnoteText"/>
        <w:rPr>
          <w:lang w:val="en-GB"/>
        </w:rPr>
      </w:pPr>
      <w:r>
        <w:rPr>
          <w:rStyle w:val="FootnoteReference"/>
        </w:rPr>
        <w:footnoteRef/>
      </w:r>
      <w:r>
        <w:t xml:space="preserve"> </w:t>
      </w:r>
      <w:r w:rsidRPr="00B317A3">
        <w:t>https://uncitral.un.org/sites/uncitral.un.org/files/media-documents/uncitral/en/05-80722_ebook.pdf</w:t>
      </w:r>
    </w:p>
  </w:footnote>
  <w:footnote w:id="11">
    <w:p w14:paraId="0BD2A4A3" w14:textId="0EA0C3C4" w:rsidR="00BD7D8C" w:rsidRPr="00BD7D8C" w:rsidRDefault="00BD7D8C">
      <w:pPr>
        <w:pStyle w:val="FootnoteText"/>
        <w:rPr>
          <w:lang w:val="en-GB"/>
        </w:rPr>
      </w:pPr>
      <w:r>
        <w:rPr>
          <w:rStyle w:val="FootnoteReference"/>
        </w:rPr>
        <w:footnoteRef/>
      </w:r>
      <w:r>
        <w:t xml:space="preserve"> </w:t>
      </w:r>
      <w:r>
        <w:rPr>
          <w:lang w:val="en-GB"/>
        </w:rPr>
        <w:t>UNCITRAL Model Law on Cross-Border Insolvency</w:t>
      </w:r>
    </w:p>
  </w:footnote>
  <w:footnote w:id="12">
    <w:p w14:paraId="47B96F56" w14:textId="574CF4C4" w:rsidR="00BD7D8C" w:rsidRPr="00BD7D8C" w:rsidRDefault="00BD7D8C">
      <w:pPr>
        <w:pStyle w:val="FootnoteText"/>
        <w:rPr>
          <w:lang w:val="en-GB"/>
        </w:rPr>
      </w:pPr>
      <w:r>
        <w:rPr>
          <w:rStyle w:val="FootnoteReference"/>
        </w:rPr>
        <w:footnoteRef/>
      </w:r>
      <w:r>
        <w:t xml:space="preserve"> </w:t>
      </w:r>
      <w:r w:rsidRPr="00BD7D8C">
        <w:t>https://cms.law/en/int/expert-guides/cms-expert-guide-to-finding-comi</w:t>
      </w:r>
    </w:p>
  </w:footnote>
  <w:footnote w:id="13">
    <w:p w14:paraId="25C9F19B" w14:textId="77777777" w:rsidR="009351E5" w:rsidRPr="009351E5" w:rsidRDefault="009351E5" w:rsidP="009351E5">
      <w:pPr>
        <w:pStyle w:val="FootnoteText"/>
        <w:rPr>
          <w:lang w:val="en-GB"/>
        </w:rPr>
      </w:pPr>
      <w:r>
        <w:rPr>
          <w:rStyle w:val="FootnoteReference"/>
        </w:rPr>
        <w:footnoteRef/>
      </w:r>
      <w:r>
        <w:t xml:space="preserve"> </w:t>
      </w:r>
      <w:r>
        <w:rPr>
          <w:i/>
          <w:iCs/>
          <w:lang w:val="en-GB"/>
        </w:rPr>
        <w:t xml:space="preserve">Idem </w:t>
      </w:r>
      <w:r>
        <w:rPr>
          <w:lang w:val="en-GB"/>
        </w:rPr>
        <w:t>Article 2 (d)</w:t>
      </w:r>
    </w:p>
  </w:footnote>
  <w:footnote w:id="14">
    <w:p w14:paraId="4F469768" w14:textId="6D092333" w:rsidR="009351E5" w:rsidRPr="00BA70A3" w:rsidRDefault="009351E5" w:rsidP="009351E5">
      <w:pPr>
        <w:pStyle w:val="FootnoteText"/>
        <w:rPr>
          <w:lang w:val="en-GB"/>
        </w:rPr>
      </w:pPr>
      <w:r>
        <w:rPr>
          <w:rStyle w:val="FootnoteReference"/>
        </w:rPr>
        <w:footnoteRef/>
      </w:r>
      <w:r>
        <w:t xml:space="preserve"> </w:t>
      </w:r>
      <w:r w:rsidRPr="00BA70A3">
        <w:rPr>
          <w:i/>
          <w:iCs/>
          <w:lang w:val="en-GB"/>
        </w:rPr>
        <w:t>Idem</w:t>
      </w:r>
      <w:r>
        <w:rPr>
          <w:i/>
          <w:iCs/>
          <w:lang w:val="en-GB"/>
        </w:rPr>
        <w:t xml:space="preserve"> </w:t>
      </w:r>
      <w:r w:rsidR="00AB06CF">
        <w:rPr>
          <w:lang w:val="en-GB"/>
        </w:rPr>
        <w:t xml:space="preserve">Article </w:t>
      </w:r>
      <w:r>
        <w:rPr>
          <w:lang w:val="en-GB"/>
        </w:rPr>
        <w:t>15.1</w:t>
      </w:r>
    </w:p>
  </w:footnote>
  <w:footnote w:id="15">
    <w:p w14:paraId="622B514A" w14:textId="77777777" w:rsidR="009351E5" w:rsidRPr="009351E5" w:rsidRDefault="009351E5" w:rsidP="009351E5">
      <w:pPr>
        <w:pStyle w:val="FootnoteText"/>
        <w:rPr>
          <w:lang w:val="en-GB"/>
        </w:rPr>
      </w:pPr>
      <w:r>
        <w:rPr>
          <w:rStyle w:val="FootnoteReference"/>
        </w:rPr>
        <w:footnoteRef/>
      </w:r>
      <w:r>
        <w:t xml:space="preserve"> </w:t>
      </w:r>
      <w:r>
        <w:rPr>
          <w:i/>
          <w:iCs/>
          <w:lang w:val="en-GB"/>
        </w:rPr>
        <w:t xml:space="preserve">Idem </w:t>
      </w:r>
      <w:r w:rsidRPr="00BA70A3">
        <w:rPr>
          <w:lang w:val="en-GB"/>
        </w:rPr>
        <w:t>Article</w:t>
      </w:r>
      <w:r>
        <w:rPr>
          <w:i/>
          <w:iCs/>
          <w:lang w:val="en-GB"/>
        </w:rPr>
        <w:t xml:space="preserve"> 19</w:t>
      </w:r>
      <w:r>
        <w:rPr>
          <w:lang w:val="en-GB"/>
        </w:rPr>
        <w:t xml:space="preserve"> </w:t>
      </w:r>
      <w:r w:rsidRPr="00BF2938">
        <w:rPr>
          <w:lang w:val="en-GB"/>
        </w:rPr>
        <w:t>(</w:t>
      </w:r>
      <w:r>
        <w:rPr>
          <w:lang w:val="en-GB"/>
        </w:rPr>
        <w:t>a</w:t>
      </w:r>
      <w:r w:rsidRPr="00BF2938">
        <w:rPr>
          <w:lang w:val="en-GB"/>
        </w:rPr>
        <w:t>)</w:t>
      </w:r>
    </w:p>
  </w:footnote>
  <w:footnote w:id="16">
    <w:p w14:paraId="033EE1F6" w14:textId="20959082" w:rsidR="00BF2938" w:rsidRPr="00BF2938" w:rsidRDefault="00BF2938">
      <w:pPr>
        <w:pStyle w:val="FootnoteText"/>
        <w:rPr>
          <w:i/>
          <w:iCs/>
          <w:lang w:val="en-GB"/>
        </w:rPr>
      </w:pPr>
      <w:r>
        <w:rPr>
          <w:rStyle w:val="FootnoteReference"/>
        </w:rPr>
        <w:footnoteRef/>
      </w:r>
      <w:r>
        <w:t xml:space="preserve"> </w:t>
      </w:r>
      <w:r>
        <w:rPr>
          <w:i/>
          <w:iCs/>
          <w:lang w:val="en-GB"/>
        </w:rPr>
        <w:t xml:space="preserve">Idem </w:t>
      </w:r>
      <w:r w:rsidR="00BA70A3" w:rsidRPr="00BA70A3">
        <w:rPr>
          <w:lang w:val="en-GB"/>
        </w:rPr>
        <w:t>Article</w:t>
      </w:r>
      <w:r w:rsidR="00BA70A3">
        <w:rPr>
          <w:i/>
          <w:iCs/>
          <w:lang w:val="en-GB"/>
        </w:rPr>
        <w:t xml:space="preserve"> </w:t>
      </w:r>
      <w:r w:rsidRPr="00BF2938">
        <w:rPr>
          <w:lang w:val="en-GB"/>
        </w:rPr>
        <w:t>2</w:t>
      </w:r>
      <w:r w:rsidR="00BA70A3">
        <w:rPr>
          <w:lang w:val="en-GB"/>
        </w:rPr>
        <w:t xml:space="preserve"> </w:t>
      </w:r>
      <w:r w:rsidRPr="00BF2938">
        <w:rPr>
          <w:lang w:val="en-GB"/>
        </w:rPr>
        <w:t>(b)</w:t>
      </w:r>
    </w:p>
  </w:footnote>
  <w:footnote w:id="17">
    <w:p w14:paraId="5ADB86A9" w14:textId="68DE84B3" w:rsidR="00820818" w:rsidRPr="00820818" w:rsidRDefault="00820818">
      <w:pPr>
        <w:pStyle w:val="FootnoteText"/>
        <w:rPr>
          <w:lang w:val="en-GB"/>
        </w:rPr>
      </w:pPr>
      <w:r>
        <w:rPr>
          <w:rStyle w:val="FootnoteReference"/>
        </w:rPr>
        <w:footnoteRef/>
      </w:r>
      <w:r>
        <w:t xml:space="preserve"> </w:t>
      </w:r>
      <w:r>
        <w:rPr>
          <w:i/>
          <w:iCs/>
          <w:lang w:val="en-GB"/>
        </w:rPr>
        <w:t xml:space="preserve">Idem </w:t>
      </w:r>
      <w:r w:rsidRPr="00BA70A3">
        <w:rPr>
          <w:lang w:val="en-GB"/>
        </w:rPr>
        <w:t>Article</w:t>
      </w:r>
      <w:r>
        <w:rPr>
          <w:i/>
          <w:iCs/>
          <w:lang w:val="en-GB"/>
        </w:rPr>
        <w:t xml:space="preserve"> </w:t>
      </w:r>
      <w:r w:rsidRPr="00BF2938">
        <w:rPr>
          <w:lang w:val="en-GB"/>
        </w:rPr>
        <w:t>2</w:t>
      </w:r>
      <w:r>
        <w:rPr>
          <w:lang w:val="en-GB"/>
        </w:rPr>
        <w:t>0</w:t>
      </w:r>
    </w:p>
  </w:footnote>
  <w:footnote w:id="18">
    <w:p w14:paraId="01529E74" w14:textId="77777777" w:rsidR="00AB06CF" w:rsidRPr="00BF2938" w:rsidRDefault="00AB06CF" w:rsidP="00AB06CF">
      <w:pPr>
        <w:pStyle w:val="FootnoteText"/>
        <w:rPr>
          <w:lang w:val="en-GB"/>
        </w:rPr>
      </w:pPr>
      <w:r>
        <w:rPr>
          <w:rStyle w:val="FootnoteReference"/>
        </w:rPr>
        <w:footnoteRef/>
      </w:r>
      <w:r>
        <w:t xml:space="preserve"> </w:t>
      </w:r>
      <w:r>
        <w:rPr>
          <w:i/>
          <w:iCs/>
          <w:lang w:val="en-GB"/>
        </w:rPr>
        <w:t xml:space="preserve">Idem </w:t>
      </w:r>
      <w:r>
        <w:rPr>
          <w:lang w:val="en-GB"/>
        </w:rPr>
        <w:t>Article 2 (c)</w:t>
      </w:r>
    </w:p>
  </w:footnote>
  <w:footnote w:id="19">
    <w:p w14:paraId="182F2731" w14:textId="4FF1586D" w:rsidR="000E52F1" w:rsidRPr="000E52F1" w:rsidRDefault="000E52F1">
      <w:pPr>
        <w:pStyle w:val="FootnoteText"/>
        <w:rPr>
          <w:lang w:val="en-GB"/>
        </w:rPr>
      </w:pPr>
      <w:r>
        <w:rPr>
          <w:rStyle w:val="FootnoteReference"/>
        </w:rPr>
        <w:footnoteRef/>
      </w:r>
      <w:r>
        <w:t xml:space="preserve"> </w:t>
      </w:r>
      <w:r>
        <w:rPr>
          <w:i/>
          <w:iCs/>
          <w:lang w:val="en-GB"/>
        </w:rPr>
        <w:t>Idem</w:t>
      </w:r>
      <w:r>
        <w:rPr>
          <w:lang w:val="en-GB"/>
        </w:rPr>
        <w:t xml:space="preserve"> Articles 25, 26, 27</w:t>
      </w:r>
    </w:p>
  </w:footnote>
  <w:footnote w:id="20">
    <w:p w14:paraId="6F389110" w14:textId="00CB0204" w:rsidR="00CE039F" w:rsidRPr="00CE039F" w:rsidRDefault="00CE039F">
      <w:pPr>
        <w:pStyle w:val="FootnoteText"/>
        <w:rPr>
          <w:lang w:val="en-GB"/>
        </w:rPr>
      </w:pPr>
      <w:r>
        <w:rPr>
          <w:rStyle w:val="FootnoteReference"/>
        </w:rPr>
        <w:footnoteRef/>
      </w:r>
      <w:r>
        <w:t xml:space="preserve"> </w:t>
      </w:r>
      <w:r>
        <w:rPr>
          <w:i/>
          <w:iCs/>
          <w:lang w:val="en-GB"/>
        </w:rPr>
        <w:t>Idem</w:t>
      </w:r>
      <w:r>
        <w:rPr>
          <w:lang w:val="en-GB"/>
        </w:rPr>
        <w:t xml:space="preserve"> Article </w:t>
      </w:r>
      <w:r w:rsidR="00820818">
        <w:rPr>
          <w:lang w:val="en-GB"/>
        </w:rPr>
        <w:t>19</w:t>
      </w:r>
    </w:p>
  </w:footnote>
  <w:footnote w:id="21">
    <w:p w14:paraId="7AB06119" w14:textId="02309750" w:rsidR="00CE039F" w:rsidRPr="00CE039F" w:rsidRDefault="00CE039F">
      <w:pPr>
        <w:pStyle w:val="FootnoteText"/>
        <w:rPr>
          <w:lang w:val="en-GB"/>
        </w:rPr>
      </w:pPr>
      <w:r>
        <w:rPr>
          <w:rStyle w:val="FootnoteReference"/>
        </w:rPr>
        <w:footnoteRef/>
      </w:r>
      <w:r>
        <w:t xml:space="preserve"> </w:t>
      </w:r>
      <w:r>
        <w:rPr>
          <w:i/>
          <w:iCs/>
          <w:lang w:val="en-GB"/>
        </w:rPr>
        <w:t>Idem</w:t>
      </w:r>
      <w:r>
        <w:rPr>
          <w:lang w:val="en-GB"/>
        </w:rPr>
        <w:t xml:space="preserve"> Article 20 p1</w:t>
      </w:r>
    </w:p>
  </w:footnote>
  <w:footnote w:id="22">
    <w:p w14:paraId="124FC281" w14:textId="66931E01" w:rsidR="000514EF" w:rsidRPr="000514EF" w:rsidRDefault="000514EF">
      <w:pPr>
        <w:pStyle w:val="FootnoteText"/>
        <w:rPr>
          <w:lang w:val="en-GB"/>
        </w:rPr>
      </w:pPr>
      <w:r>
        <w:rPr>
          <w:rStyle w:val="FootnoteReference"/>
        </w:rPr>
        <w:footnoteRef/>
      </w:r>
      <w:r>
        <w:t xml:space="preserve"> </w:t>
      </w:r>
      <w:r>
        <w:rPr>
          <w:i/>
          <w:iCs/>
          <w:lang w:val="en-GB"/>
        </w:rPr>
        <w:t>Idem</w:t>
      </w:r>
      <w:r>
        <w:rPr>
          <w:lang w:val="en-GB"/>
        </w:rPr>
        <w:t xml:space="preserve"> Article 19</w:t>
      </w:r>
    </w:p>
  </w:footnote>
  <w:footnote w:id="23">
    <w:p w14:paraId="6AC00DA6" w14:textId="1F1FD40F" w:rsidR="000514EF" w:rsidRPr="000514EF" w:rsidRDefault="000514EF">
      <w:pPr>
        <w:pStyle w:val="FootnoteText"/>
        <w:rPr>
          <w:lang w:val="en-GB"/>
        </w:rPr>
      </w:pPr>
      <w:r>
        <w:rPr>
          <w:rStyle w:val="FootnoteReference"/>
        </w:rPr>
        <w:footnoteRef/>
      </w:r>
      <w:r>
        <w:t xml:space="preserve"> </w:t>
      </w:r>
      <w:r>
        <w:rPr>
          <w:i/>
          <w:iCs/>
          <w:lang w:val="en-GB"/>
        </w:rPr>
        <w:t>Idem</w:t>
      </w:r>
      <w:r>
        <w:rPr>
          <w:lang w:val="en-GB"/>
        </w:rPr>
        <w:t xml:space="preserve"> Article 21</w:t>
      </w:r>
    </w:p>
  </w:footnote>
  <w:footnote w:id="24">
    <w:p w14:paraId="3D5262D5" w14:textId="4D5137B9" w:rsidR="000514EF" w:rsidRPr="000514EF" w:rsidRDefault="000514EF">
      <w:pPr>
        <w:pStyle w:val="FootnoteText"/>
        <w:rPr>
          <w:lang w:val="en-GB"/>
        </w:rPr>
      </w:pPr>
      <w:r>
        <w:rPr>
          <w:rStyle w:val="FootnoteReference"/>
        </w:rPr>
        <w:footnoteRef/>
      </w:r>
      <w:r>
        <w:t xml:space="preserve"> </w:t>
      </w:r>
      <w:r>
        <w:rPr>
          <w:i/>
          <w:iCs/>
          <w:lang w:val="en-GB"/>
        </w:rPr>
        <w:t>Idem</w:t>
      </w:r>
      <w:r>
        <w:rPr>
          <w:lang w:val="en-GB"/>
        </w:rPr>
        <w:t xml:space="preserve"> Article 29 (a)</w:t>
      </w:r>
    </w:p>
  </w:footnote>
  <w:footnote w:id="25">
    <w:p w14:paraId="4EB5F199" w14:textId="2EA1A7C8" w:rsidR="002E7BD3" w:rsidRPr="002E7BD3" w:rsidRDefault="002E7BD3">
      <w:pPr>
        <w:pStyle w:val="FootnoteText"/>
        <w:rPr>
          <w:lang w:val="en-GB"/>
        </w:rPr>
      </w:pPr>
      <w:r>
        <w:rPr>
          <w:rStyle w:val="FootnoteReference"/>
        </w:rPr>
        <w:footnoteRef/>
      </w:r>
      <w:r>
        <w:t xml:space="preserve"> </w:t>
      </w:r>
      <w:r>
        <w:rPr>
          <w:lang w:val="en-GB"/>
        </w:rPr>
        <w:t>Section 282 of the Insolvency Act 2003</w:t>
      </w:r>
    </w:p>
  </w:footnote>
  <w:footnote w:id="26">
    <w:p w14:paraId="76FF5B4B" w14:textId="025009C6" w:rsidR="00585853" w:rsidRPr="00585853" w:rsidRDefault="00585853">
      <w:pPr>
        <w:pStyle w:val="FootnoteText"/>
        <w:rPr>
          <w:i/>
          <w:iCs/>
          <w:lang w:val="en-GB"/>
        </w:rPr>
      </w:pPr>
      <w:r>
        <w:rPr>
          <w:rStyle w:val="FootnoteReference"/>
        </w:rPr>
        <w:footnoteRef/>
      </w:r>
      <w:r>
        <w:t xml:space="preserve"> </w:t>
      </w:r>
      <w:r>
        <w:rPr>
          <w:lang w:val="en-GB"/>
        </w:rPr>
        <w:t>Companies Ordinance, s 237</w:t>
      </w:r>
    </w:p>
  </w:footnote>
  <w:footnote w:id="27">
    <w:p w14:paraId="64E8BDEC" w14:textId="1FB8163B" w:rsidR="00585853" w:rsidRPr="00585853" w:rsidRDefault="00585853">
      <w:pPr>
        <w:pStyle w:val="FootnoteText"/>
        <w:rPr>
          <w:lang w:val="en-GB"/>
        </w:rPr>
      </w:pPr>
      <w:r>
        <w:rPr>
          <w:rStyle w:val="FootnoteReference"/>
        </w:rPr>
        <w:footnoteRef/>
      </w:r>
      <w:r>
        <w:t xml:space="preserve"> P4.2 </w:t>
      </w:r>
      <w:r>
        <w:rPr>
          <w:lang w:val="en-GB"/>
        </w:rPr>
        <w:t>INSOL International, Cross-border Investigations and Comity: A Toolkit for Insolvency Practitioners and Restructuring Advisors</w:t>
      </w:r>
    </w:p>
  </w:footnote>
  <w:footnote w:id="28">
    <w:p w14:paraId="1FF47738" w14:textId="65D77571" w:rsidR="00585853" w:rsidRPr="00585853" w:rsidRDefault="00585853">
      <w:pPr>
        <w:pStyle w:val="FootnoteText"/>
        <w:rPr>
          <w:lang w:val="en-GB"/>
        </w:rPr>
      </w:pPr>
      <w:r>
        <w:rPr>
          <w:rStyle w:val="FootnoteReference"/>
        </w:rPr>
        <w:footnoteRef/>
      </w:r>
      <w:r>
        <w:t xml:space="preserve"> HCMP 3560/2016 (date of decision 17 January 2017).</w:t>
      </w:r>
    </w:p>
  </w:footnote>
  <w:footnote w:id="29">
    <w:p w14:paraId="370ED858" w14:textId="0C778CF8" w:rsidR="00CD5197" w:rsidRPr="00CD5197" w:rsidRDefault="00CD5197">
      <w:pPr>
        <w:pStyle w:val="FootnoteText"/>
        <w:rPr>
          <w:lang w:val="en-GB"/>
        </w:rPr>
      </w:pPr>
      <w:r>
        <w:rPr>
          <w:rStyle w:val="FootnoteReference"/>
        </w:rPr>
        <w:footnoteRef/>
      </w:r>
      <w:r>
        <w:t xml:space="preserve"> </w:t>
      </w:r>
      <w:r w:rsidRPr="00CD5197">
        <w:t>https://www.hfw.com/HFW-acts-for-BVI-provisional-liquidators-in-contested-Hong-Kong-recognition-proceedings-Dec-2022</w:t>
      </w:r>
    </w:p>
  </w:footnote>
  <w:footnote w:id="30">
    <w:p w14:paraId="0A45F727" w14:textId="45F06763" w:rsidR="009140D2" w:rsidRPr="009140D2" w:rsidRDefault="009140D2">
      <w:pPr>
        <w:pStyle w:val="FootnoteText"/>
        <w:rPr>
          <w:lang w:val="en-GB"/>
        </w:rPr>
      </w:pPr>
      <w:r>
        <w:rPr>
          <w:rStyle w:val="FootnoteReference"/>
        </w:rPr>
        <w:footnoteRef/>
      </w:r>
      <w:r>
        <w:t xml:space="preserve"> </w:t>
      </w:r>
      <w:r>
        <w:rPr>
          <w:lang w:val="en-GB"/>
        </w:rPr>
        <w:t>Section 1782</w:t>
      </w:r>
    </w:p>
  </w:footnote>
  <w:footnote w:id="31">
    <w:p w14:paraId="11844A9B" w14:textId="4268197F" w:rsidR="00E9787A" w:rsidRPr="00E9787A" w:rsidRDefault="00E9787A">
      <w:pPr>
        <w:pStyle w:val="FootnoteText"/>
        <w:rPr>
          <w:lang w:val="en-GB"/>
        </w:rPr>
      </w:pPr>
      <w:r>
        <w:rPr>
          <w:rStyle w:val="FootnoteReference"/>
        </w:rPr>
        <w:footnoteRef/>
      </w:r>
      <w:r>
        <w:t xml:space="preserve"> 17 February 2017; General Order M-511</w:t>
      </w:r>
    </w:p>
  </w:footnote>
  <w:footnote w:id="32">
    <w:p w14:paraId="69973BCA" w14:textId="4A0EDB89" w:rsidR="00E9787A" w:rsidRPr="00E9787A" w:rsidRDefault="00E9787A">
      <w:pPr>
        <w:pStyle w:val="FootnoteText"/>
        <w:rPr>
          <w:lang w:val="en-GB"/>
        </w:rPr>
      </w:pPr>
      <w:r>
        <w:rPr>
          <w:rStyle w:val="FootnoteReference"/>
        </w:rPr>
        <w:footnoteRef/>
      </w:r>
      <w:r>
        <w:t xml:space="preserve"> 1 February 2018; Administrative Order 2018-03</w:t>
      </w:r>
    </w:p>
  </w:footnote>
  <w:footnote w:id="33">
    <w:p w14:paraId="72A34E1A" w14:textId="0C2CDC9A" w:rsidR="00E9787A" w:rsidRPr="00E9787A" w:rsidRDefault="00E9787A">
      <w:pPr>
        <w:pStyle w:val="FootnoteText"/>
        <w:rPr>
          <w:lang w:val="en-GB"/>
        </w:rPr>
      </w:pPr>
      <w:r>
        <w:rPr>
          <w:rStyle w:val="FootnoteReference"/>
        </w:rPr>
        <w:footnoteRef/>
      </w:r>
      <w:r>
        <w:t xml:space="preserve"> </w:t>
      </w:r>
      <w:r w:rsidRPr="00E9787A">
        <w:t>Sanctions and Anti-Money Laundering Act 2018</w:t>
      </w:r>
    </w:p>
  </w:footnote>
  <w:footnote w:id="34">
    <w:p w14:paraId="06CA8524" w14:textId="33D3A934" w:rsidR="006D0806" w:rsidRPr="006D0806" w:rsidRDefault="006D0806">
      <w:pPr>
        <w:pStyle w:val="FootnoteText"/>
        <w:rPr>
          <w:lang w:val="en-GB"/>
        </w:rPr>
      </w:pPr>
      <w:r>
        <w:rPr>
          <w:rStyle w:val="FootnoteReference"/>
        </w:rPr>
        <w:footnoteRef/>
      </w:r>
      <w:r>
        <w:t xml:space="preserve"> </w:t>
      </w:r>
      <w:r>
        <w:rPr>
          <w:lang w:val="en-GB"/>
        </w:rPr>
        <w:t>Russia (Sanctions) (Overseas Territories) Order 2020</w:t>
      </w:r>
    </w:p>
  </w:footnote>
  <w:footnote w:id="35">
    <w:p w14:paraId="705B4D43" w14:textId="6550B239" w:rsidR="006D0806" w:rsidRPr="006D0806" w:rsidRDefault="006D0806">
      <w:pPr>
        <w:pStyle w:val="FootnoteText"/>
        <w:rPr>
          <w:lang w:val="en-GB"/>
        </w:rPr>
      </w:pPr>
      <w:r>
        <w:rPr>
          <w:rStyle w:val="FootnoteReference"/>
        </w:rPr>
        <w:footnoteRef/>
      </w:r>
      <w:r>
        <w:t xml:space="preserve"> </w:t>
      </w:r>
      <w:r w:rsidRPr="006D0806">
        <w:t>https://www.jdsupra.com/legalnews/uk-russian-sanctions-regime-and-bvi-3605241/</w:t>
      </w:r>
    </w:p>
  </w:footnote>
  <w:footnote w:id="36">
    <w:p w14:paraId="662040D7" w14:textId="29AD6056" w:rsidR="006D0806" w:rsidRPr="006D0806" w:rsidRDefault="006D0806">
      <w:pPr>
        <w:pStyle w:val="FootnoteText"/>
        <w:rPr>
          <w:lang w:val="en-GB"/>
        </w:rPr>
      </w:pPr>
      <w:r>
        <w:rPr>
          <w:rStyle w:val="FootnoteReference"/>
        </w:rPr>
        <w:footnoteRef/>
      </w:r>
      <w:r>
        <w:t xml:space="preserve"> </w:t>
      </w:r>
      <w:r w:rsidR="0097491F">
        <w:rPr>
          <w:lang w:val="en-GB"/>
        </w:rPr>
        <w:t>Under r</w:t>
      </w:r>
      <w:r>
        <w:rPr>
          <w:lang w:val="en-GB"/>
        </w:rPr>
        <w:t>egulation 64 of the Russia (Sanctions) (EU Exit) Regulations 2019 as modified by Article 2 and paragraph 38 of schedule 2 to The Russia (Sanctions) Overseas Territories) Order 2020</w:t>
      </w:r>
    </w:p>
  </w:footnote>
  <w:footnote w:id="37">
    <w:p w14:paraId="29AD7DBE" w14:textId="59D2F822" w:rsidR="003A0153" w:rsidRPr="003A0153" w:rsidRDefault="003A0153">
      <w:pPr>
        <w:pStyle w:val="FootnoteText"/>
        <w:rPr>
          <w:lang w:val="en-GB"/>
        </w:rPr>
      </w:pPr>
      <w:r>
        <w:rPr>
          <w:rStyle w:val="FootnoteReference"/>
        </w:rPr>
        <w:footnoteRef/>
      </w:r>
      <w:r w:rsidRPr="003A0153">
        <w:t>https://assets.publishing.service.gov.uk/government/uploads/system/uploads/attachment_data/file/1179995/INT-2023-3263556_GL.pdf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A4A0A"/>
    <w:multiLevelType w:val="hybridMultilevel"/>
    <w:tmpl w:val="D0AE2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D3D45"/>
    <w:multiLevelType w:val="hybridMultilevel"/>
    <w:tmpl w:val="210AC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B6704"/>
    <w:multiLevelType w:val="hybridMultilevel"/>
    <w:tmpl w:val="35B60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368679A"/>
    <w:multiLevelType w:val="hybridMultilevel"/>
    <w:tmpl w:val="BE0EBFEE"/>
    <w:lvl w:ilvl="0" w:tplc="A8FA1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05169"/>
    <w:multiLevelType w:val="multilevel"/>
    <w:tmpl w:val="F2707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1"/>
  </w:num>
  <w:num w:numId="2" w16cid:durableId="2060397842">
    <w:abstractNumId w:val="23"/>
  </w:num>
  <w:num w:numId="3" w16cid:durableId="2114008986">
    <w:abstractNumId w:val="5"/>
  </w:num>
  <w:num w:numId="4" w16cid:durableId="743720607">
    <w:abstractNumId w:val="2"/>
  </w:num>
  <w:num w:numId="5" w16cid:durableId="464741948">
    <w:abstractNumId w:val="11"/>
  </w:num>
  <w:num w:numId="6" w16cid:durableId="554897999">
    <w:abstractNumId w:val="17"/>
  </w:num>
  <w:num w:numId="7" w16cid:durableId="1913469301">
    <w:abstractNumId w:val="25"/>
  </w:num>
  <w:num w:numId="8" w16cid:durableId="307983066">
    <w:abstractNumId w:val="16"/>
  </w:num>
  <w:num w:numId="9" w16cid:durableId="1128815150">
    <w:abstractNumId w:val="4"/>
  </w:num>
  <w:num w:numId="10" w16cid:durableId="485247179">
    <w:abstractNumId w:val="10"/>
  </w:num>
  <w:num w:numId="11" w16cid:durableId="632292612">
    <w:abstractNumId w:val="6"/>
  </w:num>
  <w:num w:numId="12" w16cid:durableId="1634409974">
    <w:abstractNumId w:val="3"/>
  </w:num>
  <w:num w:numId="13" w16cid:durableId="1176384513">
    <w:abstractNumId w:val="14"/>
  </w:num>
  <w:num w:numId="14" w16cid:durableId="742527874">
    <w:abstractNumId w:val="0"/>
  </w:num>
  <w:num w:numId="15" w16cid:durableId="1934196058">
    <w:abstractNumId w:val="1"/>
  </w:num>
  <w:num w:numId="16" w16cid:durableId="844056133">
    <w:abstractNumId w:val="15"/>
  </w:num>
  <w:num w:numId="17" w16cid:durableId="433281220">
    <w:abstractNumId w:val="13"/>
  </w:num>
  <w:num w:numId="18" w16cid:durableId="943150957">
    <w:abstractNumId w:val="22"/>
  </w:num>
  <w:num w:numId="19" w16cid:durableId="603925579">
    <w:abstractNumId w:val="18"/>
  </w:num>
  <w:num w:numId="20" w16cid:durableId="1098330611">
    <w:abstractNumId w:val="26"/>
  </w:num>
  <w:num w:numId="21" w16cid:durableId="1865051921">
    <w:abstractNumId w:val="19"/>
  </w:num>
  <w:num w:numId="22" w16cid:durableId="539172368">
    <w:abstractNumId w:val="12"/>
  </w:num>
  <w:num w:numId="23" w16cid:durableId="1808355445">
    <w:abstractNumId w:val="7"/>
  </w:num>
  <w:num w:numId="24" w16cid:durableId="1252204579">
    <w:abstractNumId w:val="9"/>
  </w:num>
  <w:num w:numId="25" w16cid:durableId="1281720103">
    <w:abstractNumId w:val="20"/>
  </w:num>
  <w:num w:numId="26" w16cid:durableId="819347834">
    <w:abstractNumId w:val="24"/>
  </w:num>
  <w:num w:numId="27" w16cid:durableId="60392235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F34"/>
    <w:rsid w:val="000250C7"/>
    <w:rsid w:val="00037621"/>
    <w:rsid w:val="00044263"/>
    <w:rsid w:val="00044D46"/>
    <w:rsid w:val="00045088"/>
    <w:rsid w:val="00045904"/>
    <w:rsid w:val="000514EF"/>
    <w:rsid w:val="00055893"/>
    <w:rsid w:val="00065166"/>
    <w:rsid w:val="00082609"/>
    <w:rsid w:val="000851CC"/>
    <w:rsid w:val="00085EA4"/>
    <w:rsid w:val="00093BE8"/>
    <w:rsid w:val="0009452F"/>
    <w:rsid w:val="00094C05"/>
    <w:rsid w:val="00094D9A"/>
    <w:rsid w:val="000A68ED"/>
    <w:rsid w:val="000A787A"/>
    <w:rsid w:val="000B2D15"/>
    <w:rsid w:val="000B5FF1"/>
    <w:rsid w:val="000B609F"/>
    <w:rsid w:val="000D55A8"/>
    <w:rsid w:val="000E329C"/>
    <w:rsid w:val="000E4841"/>
    <w:rsid w:val="000E52F1"/>
    <w:rsid w:val="000F1677"/>
    <w:rsid w:val="000F3D6C"/>
    <w:rsid w:val="00101707"/>
    <w:rsid w:val="00110DA3"/>
    <w:rsid w:val="0011473D"/>
    <w:rsid w:val="00115C85"/>
    <w:rsid w:val="00123661"/>
    <w:rsid w:val="00123855"/>
    <w:rsid w:val="0012559C"/>
    <w:rsid w:val="00126A4D"/>
    <w:rsid w:val="0014622C"/>
    <w:rsid w:val="00152348"/>
    <w:rsid w:val="0015456D"/>
    <w:rsid w:val="00161F1B"/>
    <w:rsid w:val="00162829"/>
    <w:rsid w:val="001704C0"/>
    <w:rsid w:val="001716E1"/>
    <w:rsid w:val="00172C3E"/>
    <w:rsid w:val="00180548"/>
    <w:rsid w:val="00180CCE"/>
    <w:rsid w:val="0018267A"/>
    <w:rsid w:val="00182779"/>
    <w:rsid w:val="001830DF"/>
    <w:rsid w:val="001966D9"/>
    <w:rsid w:val="001A0AFE"/>
    <w:rsid w:val="001A7E9A"/>
    <w:rsid w:val="001B5016"/>
    <w:rsid w:val="001C45FC"/>
    <w:rsid w:val="001D4862"/>
    <w:rsid w:val="001E25B9"/>
    <w:rsid w:val="001E49E0"/>
    <w:rsid w:val="001E7B5A"/>
    <w:rsid w:val="001F7412"/>
    <w:rsid w:val="0020725B"/>
    <w:rsid w:val="00220FF3"/>
    <w:rsid w:val="00221673"/>
    <w:rsid w:val="002279D9"/>
    <w:rsid w:val="00241B44"/>
    <w:rsid w:val="00245EFB"/>
    <w:rsid w:val="0026515D"/>
    <w:rsid w:val="002668D3"/>
    <w:rsid w:val="0027299F"/>
    <w:rsid w:val="00284EBE"/>
    <w:rsid w:val="00286AE6"/>
    <w:rsid w:val="0029433F"/>
    <w:rsid w:val="00294398"/>
    <w:rsid w:val="00294829"/>
    <w:rsid w:val="0029690F"/>
    <w:rsid w:val="00296C4D"/>
    <w:rsid w:val="002A2A60"/>
    <w:rsid w:val="002B1C45"/>
    <w:rsid w:val="002C13C8"/>
    <w:rsid w:val="002C1671"/>
    <w:rsid w:val="002C3547"/>
    <w:rsid w:val="002C686D"/>
    <w:rsid w:val="002D0021"/>
    <w:rsid w:val="002D31CD"/>
    <w:rsid w:val="002D3473"/>
    <w:rsid w:val="002E2183"/>
    <w:rsid w:val="002E7BD3"/>
    <w:rsid w:val="002F1956"/>
    <w:rsid w:val="002F3440"/>
    <w:rsid w:val="002F75A3"/>
    <w:rsid w:val="00303C2F"/>
    <w:rsid w:val="00313FAC"/>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61C"/>
    <w:rsid w:val="00382C98"/>
    <w:rsid w:val="0038533C"/>
    <w:rsid w:val="003948D5"/>
    <w:rsid w:val="00396821"/>
    <w:rsid w:val="003973C6"/>
    <w:rsid w:val="00397D3A"/>
    <w:rsid w:val="003A0153"/>
    <w:rsid w:val="003A051E"/>
    <w:rsid w:val="003A2F8D"/>
    <w:rsid w:val="003B170F"/>
    <w:rsid w:val="003B227F"/>
    <w:rsid w:val="003C4471"/>
    <w:rsid w:val="003C7A5B"/>
    <w:rsid w:val="003D0A6D"/>
    <w:rsid w:val="003D2DA8"/>
    <w:rsid w:val="003E0B16"/>
    <w:rsid w:val="003E67D1"/>
    <w:rsid w:val="003F5758"/>
    <w:rsid w:val="00405DC1"/>
    <w:rsid w:val="00411B48"/>
    <w:rsid w:val="00415F1F"/>
    <w:rsid w:val="0042108F"/>
    <w:rsid w:val="00423683"/>
    <w:rsid w:val="00430FED"/>
    <w:rsid w:val="0043427C"/>
    <w:rsid w:val="00434A8C"/>
    <w:rsid w:val="00444284"/>
    <w:rsid w:val="00445CE6"/>
    <w:rsid w:val="004534C2"/>
    <w:rsid w:val="0045683E"/>
    <w:rsid w:val="00474DCA"/>
    <w:rsid w:val="00491675"/>
    <w:rsid w:val="00493855"/>
    <w:rsid w:val="004A16A3"/>
    <w:rsid w:val="004A57DD"/>
    <w:rsid w:val="004A7B51"/>
    <w:rsid w:val="004A7D71"/>
    <w:rsid w:val="004A7EF3"/>
    <w:rsid w:val="004B11FD"/>
    <w:rsid w:val="004B23A2"/>
    <w:rsid w:val="004C1306"/>
    <w:rsid w:val="004D1A5A"/>
    <w:rsid w:val="004D3721"/>
    <w:rsid w:val="004D64F9"/>
    <w:rsid w:val="004D7B07"/>
    <w:rsid w:val="004E14A8"/>
    <w:rsid w:val="004E3326"/>
    <w:rsid w:val="004F5FDF"/>
    <w:rsid w:val="005177FE"/>
    <w:rsid w:val="0052263B"/>
    <w:rsid w:val="00524728"/>
    <w:rsid w:val="005331CA"/>
    <w:rsid w:val="00537970"/>
    <w:rsid w:val="00544127"/>
    <w:rsid w:val="00553EB2"/>
    <w:rsid w:val="00555DE4"/>
    <w:rsid w:val="0055708B"/>
    <w:rsid w:val="00560534"/>
    <w:rsid w:val="0056110D"/>
    <w:rsid w:val="0056391B"/>
    <w:rsid w:val="005650E2"/>
    <w:rsid w:val="00567075"/>
    <w:rsid w:val="00575B2D"/>
    <w:rsid w:val="005833D0"/>
    <w:rsid w:val="005846F3"/>
    <w:rsid w:val="00585853"/>
    <w:rsid w:val="0058622F"/>
    <w:rsid w:val="00592F82"/>
    <w:rsid w:val="00596E17"/>
    <w:rsid w:val="005A0CCA"/>
    <w:rsid w:val="005A126A"/>
    <w:rsid w:val="005A726D"/>
    <w:rsid w:val="005B67AC"/>
    <w:rsid w:val="005D43E0"/>
    <w:rsid w:val="005D58A3"/>
    <w:rsid w:val="005D7571"/>
    <w:rsid w:val="005E1B79"/>
    <w:rsid w:val="005F026D"/>
    <w:rsid w:val="005F2D0B"/>
    <w:rsid w:val="005F4B31"/>
    <w:rsid w:val="005F5AE9"/>
    <w:rsid w:val="005F6250"/>
    <w:rsid w:val="00610388"/>
    <w:rsid w:val="00612CA5"/>
    <w:rsid w:val="006153EC"/>
    <w:rsid w:val="00621A17"/>
    <w:rsid w:val="006275FC"/>
    <w:rsid w:val="00627CC9"/>
    <w:rsid w:val="00627E7B"/>
    <w:rsid w:val="00630542"/>
    <w:rsid w:val="00632E44"/>
    <w:rsid w:val="00634622"/>
    <w:rsid w:val="00636110"/>
    <w:rsid w:val="00636808"/>
    <w:rsid w:val="00641515"/>
    <w:rsid w:val="00654C2F"/>
    <w:rsid w:val="00657087"/>
    <w:rsid w:val="00677AEB"/>
    <w:rsid w:val="00686E20"/>
    <w:rsid w:val="00687A1D"/>
    <w:rsid w:val="00687BCD"/>
    <w:rsid w:val="00697EA1"/>
    <w:rsid w:val="006A2646"/>
    <w:rsid w:val="006A6530"/>
    <w:rsid w:val="006B03BB"/>
    <w:rsid w:val="006B0495"/>
    <w:rsid w:val="006B1CA2"/>
    <w:rsid w:val="006B435A"/>
    <w:rsid w:val="006B4C64"/>
    <w:rsid w:val="006D01C2"/>
    <w:rsid w:val="006D0806"/>
    <w:rsid w:val="006D685A"/>
    <w:rsid w:val="006E481A"/>
    <w:rsid w:val="006E5298"/>
    <w:rsid w:val="006F734A"/>
    <w:rsid w:val="00700D83"/>
    <w:rsid w:val="007074E9"/>
    <w:rsid w:val="00713DA4"/>
    <w:rsid w:val="00714BF1"/>
    <w:rsid w:val="0071750E"/>
    <w:rsid w:val="00721383"/>
    <w:rsid w:val="007333CC"/>
    <w:rsid w:val="0073399A"/>
    <w:rsid w:val="0073459E"/>
    <w:rsid w:val="00747D15"/>
    <w:rsid w:val="00752E41"/>
    <w:rsid w:val="0075362A"/>
    <w:rsid w:val="007603F5"/>
    <w:rsid w:val="00764DB0"/>
    <w:rsid w:val="0076764D"/>
    <w:rsid w:val="0077498C"/>
    <w:rsid w:val="00784128"/>
    <w:rsid w:val="00793173"/>
    <w:rsid w:val="007A1303"/>
    <w:rsid w:val="007C1459"/>
    <w:rsid w:val="007C1FCC"/>
    <w:rsid w:val="007C6201"/>
    <w:rsid w:val="007D27F8"/>
    <w:rsid w:val="007D6FCD"/>
    <w:rsid w:val="007D7C92"/>
    <w:rsid w:val="007E1154"/>
    <w:rsid w:val="007F41F8"/>
    <w:rsid w:val="007F45F1"/>
    <w:rsid w:val="008031A7"/>
    <w:rsid w:val="0080454E"/>
    <w:rsid w:val="00804C32"/>
    <w:rsid w:val="00806302"/>
    <w:rsid w:val="00807119"/>
    <w:rsid w:val="00820818"/>
    <w:rsid w:val="0082483F"/>
    <w:rsid w:val="008279C0"/>
    <w:rsid w:val="00827D56"/>
    <w:rsid w:val="008723F3"/>
    <w:rsid w:val="00875FCA"/>
    <w:rsid w:val="00881DE6"/>
    <w:rsid w:val="008837A6"/>
    <w:rsid w:val="008903DE"/>
    <w:rsid w:val="0089145D"/>
    <w:rsid w:val="008937C0"/>
    <w:rsid w:val="00895565"/>
    <w:rsid w:val="008A6CFE"/>
    <w:rsid w:val="008B5333"/>
    <w:rsid w:val="008B6223"/>
    <w:rsid w:val="008C66E0"/>
    <w:rsid w:val="008E3339"/>
    <w:rsid w:val="008F20FC"/>
    <w:rsid w:val="008F6301"/>
    <w:rsid w:val="00905A43"/>
    <w:rsid w:val="0090666D"/>
    <w:rsid w:val="00912C79"/>
    <w:rsid w:val="009140D2"/>
    <w:rsid w:val="009278C1"/>
    <w:rsid w:val="009312DA"/>
    <w:rsid w:val="009351E5"/>
    <w:rsid w:val="00942123"/>
    <w:rsid w:val="00950014"/>
    <w:rsid w:val="0095207B"/>
    <w:rsid w:val="00952926"/>
    <w:rsid w:val="00955AF1"/>
    <w:rsid w:val="00962045"/>
    <w:rsid w:val="009634F4"/>
    <w:rsid w:val="00970385"/>
    <w:rsid w:val="0097491F"/>
    <w:rsid w:val="0098588B"/>
    <w:rsid w:val="00991428"/>
    <w:rsid w:val="00992676"/>
    <w:rsid w:val="009B0723"/>
    <w:rsid w:val="009B07AD"/>
    <w:rsid w:val="009B0883"/>
    <w:rsid w:val="009B0C2E"/>
    <w:rsid w:val="009B15E2"/>
    <w:rsid w:val="009C0B8E"/>
    <w:rsid w:val="009C1BC8"/>
    <w:rsid w:val="009C2442"/>
    <w:rsid w:val="009D0811"/>
    <w:rsid w:val="009D0EE1"/>
    <w:rsid w:val="009E1027"/>
    <w:rsid w:val="009E2AEB"/>
    <w:rsid w:val="009E2E27"/>
    <w:rsid w:val="009E4DE3"/>
    <w:rsid w:val="00A005FC"/>
    <w:rsid w:val="00A047EE"/>
    <w:rsid w:val="00A140A5"/>
    <w:rsid w:val="00A15415"/>
    <w:rsid w:val="00A2274A"/>
    <w:rsid w:val="00A235B7"/>
    <w:rsid w:val="00A407EF"/>
    <w:rsid w:val="00A4165B"/>
    <w:rsid w:val="00A458BE"/>
    <w:rsid w:val="00A46B4C"/>
    <w:rsid w:val="00A47A04"/>
    <w:rsid w:val="00A5117B"/>
    <w:rsid w:val="00A51352"/>
    <w:rsid w:val="00A54909"/>
    <w:rsid w:val="00A60074"/>
    <w:rsid w:val="00A6627C"/>
    <w:rsid w:val="00A71019"/>
    <w:rsid w:val="00A81029"/>
    <w:rsid w:val="00A83A2F"/>
    <w:rsid w:val="00A96489"/>
    <w:rsid w:val="00A97725"/>
    <w:rsid w:val="00AB06CF"/>
    <w:rsid w:val="00AB4E9F"/>
    <w:rsid w:val="00AB685C"/>
    <w:rsid w:val="00AB6C2D"/>
    <w:rsid w:val="00AC3839"/>
    <w:rsid w:val="00AC6C31"/>
    <w:rsid w:val="00AC7082"/>
    <w:rsid w:val="00AD6A7D"/>
    <w:rsid w:val="00AF1162"/>
    <w:rsid w:val="00AF228E"/>
    <w:rsid w:val="00AF48EF"/>
    <w:rsid w:val="00B14819"/>
    <w:rsid w:val="00B17AA9"/>
    <w:rsid w:val="00B317A3"/>
    <w:rsid w:val="00B62B8A"/>
    <w:rsid w:val="00B72AE1"/>
    <w:rsid w:val="00B736DF"/>
    <w:rsid w:val="00B74FBD"/>
    <w:rsid w:val="00B82586"/>
    <w:rsid w:val="00B86DB1"/>
    <w:rsid w:val="00B87869"/>
    <w:rsid w:val="00B94095"/>
    <w:rsid w:val="00B94F82"/>
    <w:rsid w:val="00BA70A3"/>
    <w:rsid w:val="00BB00D3"/>
    <w:rsid w:val="00BB0F2B"/>
    <w:rsid w:val="00BD7D8C"/>
    <w:rsid w:val="00BF1C6F"/>
    <w:rsid w:val="00BF2938"/>
    <w:rsid w:val="00BF50F7"/>
    <w:rsid w:val="00C02F29"/>
    <w:rsid w:val="00C053F7"/>
    <w:rsid w:val="00C22A25"/>
    <w:rsid w:val="00C33B42"/>
    <w:rsid w:val="00C33C6C"/>
    <w:rsid w:val="00C35671"/>
    <w:rsid w:val="00C35B77"/>
    <w:rsid w:val="00C376EB"/>
    <w:rsid w:val="00C46EC1"/>
    <w:rsid w:val="00C53E2C"/>
    <w:rsid w:val="00C550C8"/>
    <w:rsid w:val="00C606C3"/>
    <w:rsid w:val="00C72848"/>
    <w:rsid w:val="00C7472E"/>
    <w:rsid w:val="00C7736C"/>
    <w:rsid w:val="00C82D87"/>
    <w:rsid w:val="00C8712A"/>
    <w:rsid w:val="00C963D3"/>
    <w:rsid w:val="00CB2CBB"/>
    <w:rsid w:val="00CB3E1F"/>
    <w:rsid w:val="00CB7CAC"/>
    <w:rsid w:val="00CC5335"/>
    <w:rsid w:val="00CC5BA4"/>
    <w:rsid w:val="00CD4998"/>
    <w:rsid w:val="00CD5197"/>
    <w:rsid w:val="00CE0202"/>
    <w:rsid w:val="00CE039F"/>
    <w:rsid w:val="00CE1035"/>
    <w:rsid w:val="00CF2819"/>
    <w:rsid w:val="00CF4F9D"/>
    <w:rsid w:val="00CF70DC"/>
    <w:rsid w:val="00D104E4"/>
    <w:rsid w:val="00D132A7"/>
    <w:rsid w:val="00D148DC"/>
    <w:rsid w:val="00D163C7"/>
    <w:rsid w:val="00D17FDC"/>
    <w:rsid w:val="00D204C9"/>
    <w:rsid w:val="00D56C16"/>
    <w:rsid w:val="00D63EFD"/>
    <w:rsid w:val="00D835B9"/>
    <w:rsid w:val="00D84752"/>
    <w:rsid w:val="00D851D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2AF1"/>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9787A"/>
    <w:rsid w:val="00EA0913"/>
    <w:rsid w:val="00EB45AC"/>
    <w:rsid w:val="00ED0BC4"/>
    <w:rsid w:val="00EE4971"/>
    <w:rsid w:val="00EE744D"/>
    <w:rsid w:val="00EF090E"/>
    <w:rsid w:val="00EF2CB6"/>
    <w:rsid w:val="00F033DA"/>
    <w:rsid w:val="00F27CD8"/>
    <w:rsid w:val="00F30351"/>
    <w:rsid w:val="00F3323E"/>
    <w:rsid w:val="00F341F4"/>
    <w:rsid w:val="00F35CCE"/>
    <w:rsid w:val="00F35F73"/>
    <w:rsid w:val="00F44220"/>
    <w:rsid w:val="00F4563F"/>
    <w:rsid w:val="00F5524B"/>
    <w:rsid w:val="00F61DD2"/>
    <w:rsid w:val="00F66AFF"/>
    <w:rsid w:val="00F71433"/>
    <w:rsid w:val="00F82D90"/>
    <w:rsid w:val="00F9321D"/>
    <w:rsid w:val="00F97C5B"/>
    <w:rsid w:val="00FA3D50"/>
    <w:rsid w:val="00FA3D5F"/>
    <w:rsid w:val="00FC374A"/>
    <w:rsid w:val="00FC7B47"/>
    <w:rsid w:val="00FD035C"/>
    <w:rsid w:val="00FD1A35"/>
    <w:rsid w:val="00FD36C5"/>
    <w:rsid w:val="00FD6310"/>
    <w:rsid w:val="00FD7C7B"/>
    <w:rsid w:val="00FE1D12"/>
    <w:rsid w:val="00FE2122"/>
    <w:rsid w:val="00FE2A86"/>
    <w:rsid w:val="00FE416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CD5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73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15</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Tizzie Jarvis</cp:lastModifiedBy>
  <cp:revision>29</cp:revision>
  <cp:lastPrinted>2019-09-04T15:45:00Z</cp:lastPrinted>
  <dcterms:created xsi:type="dcterms:W3CDTF">2023-02-16T08:50:00Z</dcterms:created>
  <dcterms:modified xsi:type="dcterms:W3CDTF">2023-10-13T23:05:00Z</dcterms:modified>
</cp:coreProperties>
</file>