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927276" w:rsidRDefault="00B736DF" w:rsidP="009E1027">
      <w:pPr>
        <w:pStyle w:val="ListParagraph"/>
        <w:numPr>
          <w:ilvl w:val="0"/>
          <w:numId w:val="12"/>
        </w:numPr>
        <w:ind w:left="426"/>
        <w:jc w:val="both"/>
        <w:rPr>
          <w:rFonts w:ascii="Avenir Next" w:hAnsi="Avenir Next" w:cs="Arial"/>
          <w:sz w:val="22"/>
          <w:szCs w:val="22"/>
          <w:highlight w:val="yellow"/>
          <w:lang w:val="en-GB"/>
        </w:rPr>
      </w:pPr>
      <w:r w:rsidRPr="0092727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33517" w:rsidRDefault="00161F1B" w:rsidP="009E1027">
      <w:pPr>
        <w:pStyle w:val="ListParagraph"/>
        <w:numPr>
          <w:ilvl w:val="0"/>
          <w:numId w:val="13"/>
        </w:numPr>
        <w:ind w:left="426"/>
        <w:jc w:val="both"/>
        <w:rPr>
          <w:rFonts w:ascii="Avenir Next" w:hAnsi="Avenir Next" w:cs="Arial"/>
          <w:sz w:val="22"/>
          <w:szCs w:val="22"/>
          <w:highlight w:val="yellow"/>
          <w:lang w:val="en-GB"/>
        </w:rPr>
      </w:pPr>
      <w:r w:rsidRPr="0083351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52F12B4C" w14:textId="77777777"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26140A08" w14:textId="77777777" w:rsidR="00833517" w:rsidRPr="00827D56" w:rsidRDefault="00833517"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3803DF">
        <w:rPr>
          <w:rFonts w:ascii="Avenir Next Demi Bold" w:hAnsi="Avenir Next Demi Bold" w:cs="Arial"/>
          <w:b/>
          <w:bCs/>
          <w:sz w:val="22"/>
          <w:szCs w:val="22"/>
          <w:lang w:val="en-GB"/>
        </w:rPr>
        <w:t>Question 1.</w:t>
      </w:r>
      <w:r w:rsidR="00ED0BC4" w:rsidRPr="003803DF">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95B30" w:rsidRDefault="009E2E27" w:rsidP="008031A7">
      <w:pPr>
        <w:pStyle w:val="ListParagraph"/>
        <w:numPr>
          <w:ilvl w:val="0"/>
          <w:numId w:val="14"/>
        </w:numPr>
        <w:ind w:left="426"/>
        <w:jc w:val="both"/>
        <w:rPr>
          <w:rFonts w:ascii="Avenir Next" w:hAnsi="Avenir Next" w:cs="Arial"/>
          <w:sz w:val="22"/>
          <w:szCs w:val="22"/>
          <w:highlight w:val="yellow"/>
          <w:lang w:val="en-GB"/>
        </w:rPr>
      </w:pPr>
      <w:r w:rsidRPr="00495B3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31A22" w:rsidRDefault="009E2E27" w:rsidP="008031A7">
      <w:pPr>
        <w:pStyle w:val="ListParagraph"/>
        <w:numPr>
          <w:ilvl w:val="0"/>
          <w:numId w:val="15"/>
        </w:numPr>
        <w:ind w:left="426"/>
        <w:jc w:val="both"/>
        <w:rPr>
          <w:rFonts w:ascii="Avenir Next" w:hAnsi="Avenir Next" w:cs="Arial"/>
          <w:sz w:val="22"/>
          <w:szCs w:val="22"/>
          <w:highlight w:val="yellow"/>
          <w:lang w:val="en-GB"/>
        </w:rPr>
      </w:pPr>
      <w:r w:rsidRPr="00531A2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CE3EBC" w:rsidRDefault="00A235B7" w:rsidP="006D01C2">
      <w:pPr>
        <w:pStyle w:val="ListParagraph"/>
        <w:numPr>
          <w:ilvl w:val="0"/>
          <w:numId w:val="16"/>
        </w:numPr>
        <w:ind w:left="426"/>
        <w:jc w:val="both"/>
        <w:rPr>
          <w:rFonts w:ascii="Avenir Next" w:hAnsi="Avenir Next" w:cs="Arial"/>
          <w:sz w:val="22"/>
          <w:szCs w:val="22"/>
          <w:highlight w:val="yellow"/>
          <w:lang w:val="en-GB"/>
        </w:rPr>
      </w:pPr>
      <w:r w:rsidRPr="00CE3EBC">
        <w:rPr>
          <w:rFonts w:ascii="Avenir Next" w:hAnsi="Avenir Next" w:cs="Arial"/>
          <w:sz w:val="22"/>
          <w:szCs w:val="22"/>
          <w:highlight w:val="yellow"/>
          <w:lang w:val="en-GB"/>
        </w:rPr>
        <w:t>The statement</w:t>
      </w:r>
      <w:r w:rsidR="0037465A" w:rsidRPr="00CE3EB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37557E"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37557E">
        <w:rPr>
          <w:rFonts w:ascii="Avenir Next Demi Bold" w:hAnsi="Avenir Next Demi Bold" w:cs="Arial"/>
          <w:b/>
          <w:bCs/>
          <w:sz w:val="22"/>
          <w:szCs w:val="22"/>
          <w:lang w:val="en-GB"/>
        </w:rPr>
        <w:t>Question 1.</w:t>
      </w:r>
      <w:r w:rsidR="007074E9" w:rsidRPr="0037557E">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37557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37557E">
        <w:rPr>
          <w:rFonts w:ascii="Avenir Next" w:eastAsiaTheme="minorHAnsi" w:hAnsi="Avenir Next" w:cs="Arial"/>
          <w:sz w:val="22"/>
          <w:szCs w:val="22"/>
          <w:highlight w:val="yellow"/>
          <w:lang w:val="en-GB"/>
        </w:rPr>
        <w:t>Private International Law</w:t>
      </w:r>
      <w:r w:rsidR="00991428" w:rsidRPr="0037557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0945C270" w14:textId="77777777" w:rsidR="00495B30" w:rsidRDefault="00495B30" w:rsidP="00C053F7">
      <w:pPr>
        <w:spacing w:line="276" w:lineRule="auto"/>
        <w:jc w:val="both"/>
        <w:rPr>
          <w:rFonts w:ascii="Avenir Next Demi Bold" w:hAnsi="Avenir Next Demi Bold" w:cs="Arial"/>
          <w:b/>
          <w:bCs/>
          <w:sz w:val="22"/>
          <w:szCs w:val="22"/>
          <w:lang w:val="en-GB"/>
        </w:rPr>
      </w:pPr>
    </w:p>
    <w:p w14:paraId="1DFA783E" w14:textId="5845CFE7" w:rsidR="00123855" w:rsidRPr="00EF2FDE" w:rsidRDefault="009E2E27" w:rsidP="00C053F7">
      <w:pPr>
        <w:spacing w:line="276" w:lineRule="auto"/>
        <w:jc w:val="both"/>
        <w:rPr>
          <w:rFonts w:ascii="Avenir Next Demi Bold" w:hAnsi="Avenir Next Demi Bold" w:cs="Arial"/>
          <w:b/>
          <w:bCs/>
          <w:sz w:val="22"/>
          <w:szCs w:val="22"/>
          <w:lang w:val="en-GB"/>
        </w:rPr>
      </w:pPr>
      <w:r w:rsidRPr="00EF2FDE">
        <w:rPr>
          <w:rFonts w:ascii="Avenir Next Demi Bold" w:hAnsi="Avenir Next Demi Bold" w:cs="Arial"/>
          <w:b/>
          <w:bCs/>
          <w:sz w:val="22"/>
          <w:szCs w:val="22"/>
          <w:lang w:val="en-GB"/>
        </w:rPr>
        <w:lastRenderedPageBreak/>
        <w:t>Question 1.</w:t>
      </w:r>
      <w:r w:rsidR="007074E9" w:rsidRPr="00EF2FDE">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EF2FDE" w:rsidRDefault="005A0CCA" w:rsidP="006D01C2">
      <w:pPr>
        <w:pStyle w:val="ListParagraph"/>
        <w:numPr>
          <w:ilvl w:val="0"/>
          <w:numId w:val="18"/>
        </w:numPr>
        <w:ind w:left="426"/>
        <w:jc w:val="both"/>
        <w:rPr>
          <w:rFonts w:ascii="Avenir Next" w:hAnsi="Avenir Next" w:cs="Arial"/>
          <w:sz w:val="22"/>
          <w:szCs w:val="22"/>
          <w:lang w:val="en-GB"/>
        </w:rPr>
      </w:pPr>
      <w:r w:rsidRPr="00EF2FDE">
        <w:rPr>
          <w:rFonts w:ascii="Avenir Next" w:hAnsi="Avenir Next" w:cs="Arial"/>
          <w:sz w:val="22"/>
          <w:szCs w:val="22"/>
          <w:lang w:val="en-GB"/>
        </w:rPr>
        <w:t>ALI</w:t>
      </w:r>
      <w:r w:rsidR="003E0B16" w:rsidRPr="00EF2FDE">
        <w:rPr>
          <w:rFonts w:ascii="Avenir Next" w:hAnsi="Avenir Next" w:cs="Arial"/>
          <w:sz w:val="22"/>
          <w:szCs w:val="22"/>
          <w:lang w:val="en-GB"/>
        </w:rPr>
        <w:t xml:space="preserve"> </w:t>
      </w:r>
      <w:r w:rsidRPr="00EF2FDE">
        <w:rPr>
          <w:rFonts w:ascii="Avenir Next" w:hAnsi="Avenir Next" w:cs="Arial"/>
          <w:sz w:val="22"/>
          <w:szCs w:val="22"/>
          <w:lang w:val="en-GB"/>
        </w:rPr>
        <w:t>/</w:t>
      </w:r>
      <w:r w:rsidR="003E0B16" w:rsidRPr="00EF2FDE">
        <w:rPr>
          <w:rFonts w:ascii="Avenir Next" w:hAnsi="Avenir Next" w:cs="Arial"/>
          <w:sz w:val="22"/>
          <w:szCs w:val="22"/>
          <w:lang w:val="en-GB"/>
        </w:rPr>
        <w:t xml:space="preserve"> </w:t>
      </w:r>
      <w:r w:rsidRPr="00EF2FDE">
        <w:rPr>
          <w:rFonts w:ascii="Avenir Next" w:hAnsi="Avenir Next" w:cs="Arial"/>
          <w:sz w:val="22"/>
          <w:szCs w:val="22"/>
          <w:lang w:val="en-GB"/>
        </w:rPr>
        <w:t>III Global Guidelines Applicable to Court-to-Court Communication in Cross-Border Cases (2012).</w:t>
      </w:r>
      <w:r w:rsidR="004D1A5A" w:rsidRPr="00EF2FDE">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F2FDE" w:rsidRDefault="004D1A5A" w:rsidP="006D01C2">
      <w:pPr>
        <w:pStyle w:val="ListParagraph"/>
        <w:numPr>
          <w:ilvl w:val="0"/>
          <w:numId w:val="18"/>
        </w:numPr>
        <w:ind w:left="426"/>
        <w:jc w:val="both"/>
        <w:rPr>
          <w:rFonts w:ascii="Avenir Next" w:hAnsi="Avenir Next" w:cs="Arial"/>
          <w:sz w:val="22"/>
          <w:szCs w:val="22"/>
          <w:highlight w:val="yellow"/>
          <w:lang w:val="en-GB"/>
        </w:rPr>
      </w:pPr>
      <w:r w:rsidRPr="00EF2FDE">
        <w:rPr>
          <w:rFonts w:ascii="Avenir Next" w:hAnsi="Avenir Next" w:cs="Arial"/>
          <w:sz w:val="22"/>
          <w:szCs w:val="22"/>
          <w:highlight w:val="yellow"/>
          <w:lang w:val="en-GB"/>
        </w:rPr>
        <w:t>UNCITRAL Model Law on Cross-border Insolvency (1997)</w:t>
      </w:r>
      <w:r w:rsidR="00912C79" w:rsidRPr="00EF2FDE">
        <w:rPr>
          <w:rFonts w:ascii="Avenir Next" w:hAnsi="Avenir Next" w:cs="Arial"/>
          <w:sz w:val="22"/>
          <w:szCs w:val="22"/>
          <w:highlight w:val="yellow"/>
          <w:lang w:val="en-GB"/>
        </w:rPr>
        <w:t>.</w:t>
      </w:r>
      <w:r w:rsidRPr="00EF2FD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B91CDB" w:rsidRDefault="009E2E27" w:rsidP="00C053F7">
      <w:pPr>
        <w:spacing w:line="276" w:lineRule="auto"/>
        <w:jc w:val="both"/>
        <w:rPr>
          <w:rFonts w:ascii="Avenir Next Demi Bold" w:hAnsi="Avenir Next Demi Bold" w:cs="Arial"/>
          <w:b/>
          <w:bCs/>
          <w:sz w:val="22"/>
          <w:szCs w:val="22"/>
          <w:lang w:val="en-GB"/>
        </w:rPr>
      </w:pPr>
      <w:r w:rsidRPr="00B91CDB">
        <w:rPr>
          <w:rFonts w:ascii="Avenir Next Demi Bold" w:hAnsi="Avenir Next Demi Bold" w:cs="Arial"/>
          <w:b/>
          <w:bCs/>
          <w:sz w:val="22"/>
          <w:szCs w:val="22"/>
          <w:lang w:val="en-GB"/>
        </w:rPr>
        <w:t>Question 1.</w:t>
      </w:r>
      <w:r w:rsidR="007074E9" w:rsidRPr="00B91CDB">
        <w:rPr>
          <w:rFonts w:ascii="Avenir Next Demi Bold" w:hAnsi="Avenir Next Demi Bold" w:cs="Arial"/>
          <w:b/>
          <w:bCs/>
          <w:sz w:val="22"/>
          <w:szCs w:val="22"/>
          <w:lang w:val="en-GB"/>
        </w:rPr>
        <w:t>8</w:t>
      </w:r>
      <w:r w:rsidRPr="00B91CDB">
        <w:rPr>
          <w:rFonts w:ascii="Avenir Next Demi Bold" w:hAnsi="Avenir Next Demi Bold" w:cs="Arial"/>
          <w:b/>
          <w:bCs/>
          <w:sz w:val="22"/>
          <w:szCs w:val="22"/>
          <w:lang w:val="en-GB"/>
        </w:rPr>
        <w:t xml:space="preserve">  </w:t>
      </w:r>
    </w:p>
    <w:p w14:paraId="1507AD80" w14:textId="77777777" w:rsidR="00123855" w:rsidRPr="000A7A4F" w:rsidRDefault="00123855" w:rsidP="00C053F7">
      <w:pPr>
        <w:spacing w:line="276" w:lineRule="auto"/>
        <w:jc w:val="both"/>
        <w:rPr>
          <w:rFonts w:ascii="Avenir Next" w:hAnsi="Avenir Next" w:cs="Arial"/>
          <w:sz w:val="22"/>
          <w:szCs w:val="22"/>
          <w:lang w:val="en-GB"/>
        </w:rPr>
      </w:pPr>
    </w:p>
    <w:p w14:paraId="79589E29" w14:textId="65F577F4" w:rsidR="001A7E9A" w:rsidRPr="000A7A4F" w:rsidRDefault="001A7E9A" w:rsidP="00C053F7">
      <w:pPr>
        <w:spacing w:line="276" w:lineRule="auto"/>
        <w:jc w:val="both"/>
        <w:rPr>
          <w:rFonts w:ascii="Avenir Next" w:hAnsi="Avenir Next" w:cs="Arial"/>
          <w:sz w:val="22"/>
          <w:szCs w:val="22"/>
          <w:lang w:val="en-GB"/>
        </w:rPr>
      </w:pPr>
      <w:r w:rsidRPr="000A7A4F">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0A7A4F" w:rsidRDefault="001A7E9A" w:rsidP="00C053F7">
      <w:pPr>
        <w:spacing w:line="276" w:lineRule="auto"/>
        <w:jc w:val="both"/>
        <w:rPr>
          <w:rFonts w:ascii="Avenir Next" w:hAnsi="Avenir Next" w:cs="Arial"/>
          <w:sz w:val="22"/>
          <w:szCs w:val="22"/>
          <w:lang w:val="en-GB"/>
        </w:rPr>
      </w:pPr>
    </w:p>
    <w:p w14:paraId="5CD9F9F8" w14:textId="608E624A" w:rsidR="001A7E9A" w:rsidRPr="000A7A4F" w:rsidRDefault="001A7E9A" w:rsidP="00C053F7">
      <w:pPr>
        <w:spacing w:line="276" w:lineRule="auto"/>
        <w:jc w:val="both"/>
        <w:rPr>
          <w:rFonts w:ascii="Avenir Next" w:hAnsi="Avenir Next" w:cs="Arial"/>
          <w:sz w:val="22"/>
          <w:szCs w:val="22"/>
          <w:lang w:val="en-GB"/>
        </w:rPr>
      </w:pPr>
      <w:r w:rsidRPr="000A7A4F">
        <w:rPr>
          <w:rFonts w:ascii="Avenir Next" w:hAnsi="Avenir Next" w:cs="Arial"/>
          <w:sz w:val="22"/>
          <w:szCs w:val="22"/>
          <w:lang w:val="en-GB"/>
        </w:rPr>
        <w:t xml:space="preserve">Which of the following conventions and treaties does </w:t>
      </w:r>
      <w:r w:rsidRPr="000A7A4F">
        <w:rPr>
          <w:rFonts w:ascii="Avenir Next Demi Bold" w:hAnsi="Avenir Next Demi Bold" w:cs="Arial"/>
          <w:b/>
          <w:bCs/>
          <w:sz w:val="22"/>
          <w:szCs w:val="22"/>
          <w:lang w:val="en-GB"/>
        </w:rPr>
        <w:t xml:space="preserve">not </w:t>
      </w:r>
      <w:r w:rsidRPr="000A7A4F">
        <w:rPr>
          <w:rFonts w:ascii="Avenir Next" w:hAnsi="Avenir Next" w:cs="Arial"/>
          <w:sz w:val="22"/>
          <w:szCs w:val="22"/>
          <w:lang w:val="en-GB"/>
        </w:rPr>
        <w:t>provide for judicial co</w:t>
      </w:r>
      <w:r w:rsidR="003E0B16" w:rsidRPr="000A7A4F">
        <w:rPr>
          <w:rFonts w:ascii="Avenir Next" w:hAnsi="Avenir Next" w:cs="Arial"/>
          <w:sz w:val="22"/>
          <w:szCs w:val="22"/>
          <w:lang w:val="en-GB"/>
        </w:rPr>
        <w:t>-</w:t>
      </w:r>
      <w:r w:rsidRPr="000A7A4F">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0A7A4F" w:rsidRDefault="001A7E9A" w:rsidP="00C053F7">
      <w:pPr>
        <w:spacing w:line="276" w:lineRule="auto"/>
        <w:jc w:val="both"/>
        <w:rPr>
          <w:rFonts w:ascii="Avenir Next" w:hAnsi="Avenir Next" w:cs="Arial"/>
          <w:sz w:val="22"/>
          <w:szCs w:val="22"/>
          <w:lang w:val="en-GB"/>
        </w:rPr>
      </w:pPr>
    </w:p>
    <w:p w14:paraId="0681BB13" w14:textId="054BA481" w:rsidR="001A7E9A" w:rsidRPr="000A7A4F" w:rsidRDefault="001A7E9A" w:rsidP="006D01C2">
      <w:pPr>
        <w:pStyle w:val="ListParagraph"/>
        <w:numPr>
          <w:ilvl w:val="0"/>
          <w:numId w:val="19"/>
        </w:numPr>
        <w:ind w:left="426"/>
        <w:jc w:val="both"/>
        <w:rPr>
          <w:rFonts w:ascii="Avenir Next" w:hAnsi="Avenir Next" w:cs="Arial"/>
          <w:sz w:val="22"/>
          <w:szCs w:val="22"/>
          <w:lang w:val="en-GB"/>
        </w:rPr>
      </w:pPr>
      <w:r w:rsidRPr="000A7A4F">
        <w:rPr>
          <w:rFonts w:ascii="Avenir Next" w:hAnsi="Avenir Next" w:cs="Arial"/>
          <w:sz w:val="22"/>
          <w:szCs w:val="22"/>
          <w:lang w:val="en-GB"/>
        </w:rPr>
        <w:t xml:space="preserve">Montevideo Treaty on International Commercial Law (1889). </w:t>
      </w:r>
    </w:p>
    <w:p w14:paraId="41F2A734" w14:textId="77777777" w:rsidR="006D01C2" w:rsidRPr="000A7A4F" w:rsidRDefault="006D01C2" w:rsidP="006D01C2">
      <w:pPr>
        <w:jc w:val="both"/>
        <w:rPr>
          <w:rFonts w:ascii="Avenir Next" w:hAnsi="Avenir Next" w:cs="Arial"/>
          <w:sz w:val="22"/>
          <w:szCs w:val="22"/>
          <w:lang w:val="en-GB"/>
        </w:rPr>
      </w:pPr>
    </w:p>
    <w:p w14:paraId="39F276F5" w14:textId="7F7ED322" w:rsidR="001A7E9A" w:rsidRPr="000A7A4F" w:rsidRDefault="001A7E9A" w:rsidP="006D01C2">
      <w:pPr>
        <w:pStyle w:val="ListParagraph"/>
        <w:numPr>
          <w:ilvl w:val="0"/>
          <w:numId w:val="19"/>
        </w:numPr>
        <w:ind w:left="426"/>
        <w:jc w:val="both"/>
        <w:rPr>
          <w:rFonts w:ascii="Avenir Next" w:hAnsi="Avenir Next" w:cs="Arial"/>
          <w:sz w:val="22"/>
          <w:szCs w:val="22"/>
          <w:highlight w:val="yellow"/>
          <w:lang w:val="en-GB"/>
        </w:rPr>
      </w:pPr>
      <w:r w:rsidRPr="000A7A4F">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0A7A4F" w:rsidRDefault="006D01C2" w:rsidP="006D01C2">
      <w:pPr>
        <w:jc w:val="both"/>
        <w:rPr>
          <w:rFonts w:ascii="Avenir Next" w:hAnsi="Avenir Next" w:cs="Arial"/>
          <w:sz w:val="22"/>
          <w:szCs w:val="22"/>
          <w:lang w:val="en-GB"/>
        </w:rPr>
      </w:pPr>
    </w:p>
    <w:p w14:paraId="25CA718B" w14:textId="2A79E2A0" w:rsidR="001A7E9A" w:rsidRPr="000A7A4F" w:rsidRDefault="001A7E9A" w:rsidP="006D01C2">
      <w:pPr>
        <w:pStyle w:val="ListParagraph"/>
        <w:numPr>
          <w:ilvl w:val="0"/>
          <w:numId w:val="19"/>
        </w:numPr>
        <w:ind w:left="426"/>
        <w:jc w:val="both"/>
        <w:rPr>
          <w:rFonts w:ascii="Avenir Next" w:hAnsi="Avenir Next" w:cs="Arial"/>
          <w:sz w:val="22"/>
          <w:szCs w:val="22"/>
          <w:lang w:val="en-GB"/>
        </w:rPr>
      </w:pPr>
      <w:r w:rsidRPr="000A7A4F">
        <w:rPr>
          <w:rFonts w:ascii="Avenir Next" w:hAnsi="Avenir Next" w:cs="Arial"/>
          <w:sz w:val="22"/>
          <w:szCs w:val="22"/>
          <w:lang w:val="en-GB"/>
        </w:rPr>
        <w:t>Montevideo Treaty on International Procedural Law (1940).</w:t>
      </w:r>
    </w:p>
    <w:p w14:paraId="20F7DA1C" w14:textId="77777777" w:rsidR="006D01C2" w:rsidRPr="000A7A4F" w:rsidRDefault="006D01C2" w:rsidP="006D01C2">
      <w:pPr>
        <w:jc w:val="both"/>
        <w:rPr>
          <w:rFonts w:ascii="Avenir Next" w:hAnsi="Avenir Next" w:cs="Arial"/>
          <w:sz w:val="22"/>
          <w:szCs w:val="22"/>
          <w:lang w:val="en-GB"/>
        </w:rPr>
      </w:pPr>
    </w:p>
    <w:p w14:paraId="6272A17C" w14:textId="40C89B4E" w:rsidR="001A7E9A" w:rsidRPr="000A7A4F"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0A7A4F">
        <w:rPr>
          <w:rFonts w:ascii="Avenir Next" w:hAnsi="Avenir Next" w:cs="Arial"/>
          <w:sz w:val="22"/>
          <w:szCs w:val="22"/>
          <w:lang w:val="en-GB"/>
        </w:rPr>
        <w:t>Havana Convention on Private International Law (1928)</w:t>
      </w:r>
      <w:r w:rsidRPr="000A7A4F">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1E5DDC" w:rsidRDefault="0082483F" w:rsidP="00C053F7">
      <w:pPr>
        <w:spacing w:line="276" w:lineRule="auto"/>
        <w:jc w:val="both"/>
        <w:rPr>
          <w:rFonts w:ascii="Avenir Next Demi Bold" w:hAnsi="Avenir Next Demi Bold" w:cs="Arial"/>
          <w:b/>
          <w:bCs/>
          <w:sz w:val="22"/>
          <w:szCs w:val="22"/>
          <w:lang w:val="en-GB"/>
        </w:rPr>
      </w:pPr>
      <w:r w:rsidRPr="001E5DDC">
        <w:rPr>
          <w:rFonts w:ascii="Avenir Next Demi Bold" w:hAnsi="Avenir Next Demi Bold" w:cs="Arial"/>
          <w:b/>
          <w:bCs/>
          <w:sz w:val="22"/>
          <w:szCs w:val="22"/>
          <w:lang w:val="en-GB"/>
        </w:rPr>
        <w:t>Question 1.</w:t>
      </w:r>
      <w:r w:rsidR="007074E9" w:rsidRPr="001E5DDC">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CA7BE6" w:rsidRDefault="0082483F" w:rsidP="006D01C2">
      <w:pPr>
        <w:pStyle w:val="ListParagraph"/>
        <w:numPr>
          <w:ilvl w:val="0"/>
          <w:numId w:val="20"/>
        </w:numPr>
        <w:ind w:left="426"/>
        <w:jc w:val="both"/>
        <w:rPr>
          <w:rFonts w:ascii="Avenir Next" w:hAnsi="Avenir Next" w:cs="Arial"/>
          <w:sz w:val="22"/>
          <w:szCs w:val="22"/>
          <w:highlight w:val="yellow"/>
          <w:lang w:val="en-GB"/>
        </w:rPr>
      </w:pPr>
      <w:r w:rsidRPr="00CA7BE6">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CA7BE6" w:rsidRDefault="0082483F" w:rsidP="006D01C2">
      <w:pPr>
        <w:pStyle w:val="ListParagraph"/>
        <w:numPr>
          <w:ilvl w:val="0"/>
          <w:numId w:val="20"/>
        </w:numPr>
        <w:ind w:left="426"/>
        <w:jc w:val="both"/>
        <w:rPr>
          <w:rFonts w:ascii="Avenir Next" w:hAnsi="Avenir Next" w:cs="Arial"/>
          <w:sz w:val="22"/>
          <w:szCs w:val="22"/>
          <w:lang w:val="en-GB"/>
        </w:rPr>
      </w:pPr>
      <w:r w:rsidRPr="00CA7BE6">
        <w:rPr>
          <w:rFonts w:ascii="Avenir Next" w:hAnsi="Avenir Next" w:cs="Arial"/>
          <w:sz w:val="22"/>
          <w:szCs w:val="22"/>
          <w:lang w:val="en-GB"/>
        </w:rPr>
        <w:t xml:space="preserve">Definition of </w:t>
      </w:r>
      <w:r w:rsidR="006D01C2" w:rsidRPr="00CA7BE6">
        <w:rPr>
          <w:rFonts w:ascii="Avenir Next" w:hAnsi="Avenir Next" w:cs="Arial"/>
          <w:sz w:val="22"/>
          <w:szCs w:val="22"/>
          <w:lang w:val="en-GB"/>
        </w:rPr>
        <w:t>“</w:t>
      </w:r>
      <w:r w:rsidRPr="00CA7BE6">
        <w:rPr>
          <w:rFonts w:ascii="Avenir Next" w:hAnsi="Avenir Next" w:cs="Arial"/>
          <w:sz w:val="22"/>
          <w:szCs w:val="22"/>
          <w:lang w:val="en-GB"/>
        </w:rPr>
        <w:t>centre of the debtor’s main interests</w:t>
      </w:r>
      <w:r w:rsidR="006D01C2" w:rsidRPr="00CA7BE6">
        <w:rPr>
          <w:rFonts w:ascii="Avenir Next" w:hAnsi="Avenir Next" w:cs="Arial"/>
          <w:sz w:val="22"/>
          <w:szCs w:val="22"/>
          <w:lang w:val="en-GB"/>
        </w:rPr>
        <w:t>”</w:t>
      </w:r>
      <w:r w:rsidRPr="00CA7BE6">
        <w:rPr>
          <w:rFonts w:ascii="Avenir Next" w:hAnsi="Avenir Next" w:cs="Arial"/>
          <w:sz w:val="22"/>
          <w:szCs w:val="22"/>
          <w:lang w:val="en-GB"/>
        </w:rPr>
        <w:t>.</w:t>
      </w:r>
    </w:p>
    <w:p w14:paraId="252B31C1" w14:textId="77777777" w:rsidR="00E12CCB" w:rsidRPr="00E12CCB" w:rsidRDefault="00E12CCB" w:rsidP="00E12CCB">
      <w:pPr>
        <w:pStyle w:val="ListParagraph"/>
        <w:rPr>
          <w:rFonts w:ascii="Avenir Next" w:hAnsi="Avenir Next" w:cs="Arial"/>
          <w:sz w:val="22"/>
          <w:szCs w:val="22"/>
          <w:lang w:val="en-GB"/>
        </w:rPr>
      </w:pPr>
    </w:p>
    <w:p w14:paraId="3EA042B0" w14:textId="77777777" w:rsidR="00E12CCB" w:rsidRPr="003D1475" w:rsidRDefault="00E12CCB" w:rsidP="003D1475">
      <w:pPr>
        <w:jc w:val="both"/>
        <w:rPr>
          <w:rFonts w:ascii="Avenir Next" w:hAnsi="Avenir Next" w:cs="Arial"/>
          <w:sz w:val="22"/>
          <w:szCs w:val="22"/>
          <w:lang w:val="en-GB"/>
        </w:rPr>
      </w:pPr>
    </w:p>
    <w:p w14:paraId="67B60932" w14:textId="695E08E3" w:rsidR="0082483F" w:rsidRPr="00CA7BE6" w:rsidRDefault="0082483F" w:rsidP="006D01C2">
      <w:pPr>
        <w:pStyle w:val="ListParagraph"/>
        <w:numPr>
          <w:ilvl w:val="0"/>
          <w:numId w:val="20"/>
        </w:numPr>
        <w:ind w:left="426"/>
        <w:jc w:val="both"/>
        <w:rPr>
          <w:rFonts w:ascii="Avenir Next" w:hAnsi="Avenir Next" w:cs="Arial"/>
          <w:sz w:val="22"/>
          <w:szCs w:val="22"/>
          <w:lang w:val="en-GB"/>
        </w:rPr>
      </w:pPr>
      <w:r w:rsidRPr="00CA7BE6">
        <w:rPr>
          <w:rFonts w:ascii="Avenir Next" w:hAnsi="Avenir Next" w:cs="Arial"/>
          <w:sz w:val="22"/>
          <w:szCs w:val="22"/>
          <w:lang w:val="en-GB"/>
        </w:rPr>
        <w:t>A centralised insolvency register of insolvency proceedings opened in member states</w:t>
      </w:r>
      <w:r w:rsidR="003A2F8D" w:rsidRPr="00CA7BE6">
        <w:rPr>
          <w:rFonts w:ascii="Avenir Next" w:hAnsi="Avenir Next" w:cs="Arial"/>
          <w:sz w:val="22"/>
          <w:szCs w:val="22"/>
          <w:lang w:val="en-GB"/>
        </w:rPr>
        <w:t>.</w:t>
      </w:r>
    </w:p>
    <w:p w14:paraId="3DA241CC" w14:textId="77777777" w:rsidR="003A2F8D" w:rsidRPr="00CA7BE6" w:rsidRDefault="003A2F8D" w:rsidP="003A2F8D">
      <w:pPr>
        <w:jc w:val="both"/>
        <w:rPr>
          <w:rFonts w:ascii="Avenir Next" w:hAnsi="Avenir Next" w:cs="Arial"/>
          <w:sz w:val="22"/>
          <w:szCs w:val="22"/>
          <w:lang w:val="en-GB"/>
        </w:rPr>
      </w:pPr>
    </w:p>
    <w:p w14:paraId="4D8BAF0F" w14:textId="1F67BFE9" w:rsidR="0082483F" w:rsidRPr="00CA7BE6" w:rsidRDefault="0082483F" w:rsidP="006D01C2">
      <w:pPr>
        <w:pStyle w:val="ListParagraph"/>
        <w:numPr>
          <w:ilvl w:val="0"/>
          <w:numId w:val="20"/>
        </w:numPr>
        <w:ind w:left="426"/>
        <w:jc w:val="both"/>
        <w:rPr>
          <w:rFonts w:ascii="Avenir Next" w:hAnsi="Avenir Next" w:cs="Arial"/>
          <w:sz w:val="22"/>
          <w:szCs w:val="22"/>
          <w:lang w:val="en-GB"/>
        </w:rPr>
      </w:pPr>
      <w:r w:rsidRPr="00CA7BE6">
        <w:rPr>
          <w:rFonts w:ascii="Avenir Next" w:hAnsi="Avenir Next" w:cs="Arial"/>
          <w:sz w:val="22"/>
          <w:szCs w:val="22"/>
          <w:lang w:val="en-GB"/>
        </w:rPr>
        <w:t>Co</w:t>
      </w:r>
      <w:r w:rsidR="00D17FDC" w:rsidRPr="00CA7BE6">
        <w:rPr>
          <w:rFonts w:ascii="Avenir Next" w:hAnsi="Avenir Next" w:cs="Arial"/>
          <w:sz w:val="22"/>
          <w:szCs w:val="22"/>
          <w:lang w:val="en-GB"/>
        </w:rPr>
        <w:t>-</w:t>
      </w:r>
      <w:r w:rsidRPr="00CA7BE6">
        <w:rPr>
          <w:rFonts w:ascii="Avenir Next" w:hAnsi="Avenir Next" w:cs="Arial"/>
          <w:sz w:val="22"/>
          <w:szCs w:val="22"/>
          <w:lang w:val="en-GB"/>
        </w:rPr>
        <w:t>operation and co</w:t>
      </w:r>
      <w:r w:rsidR="00D17FDC" w:rsidRPr="00CA7BE6">
        <w:rPr>
          <w:rFonts w:ascii="Avenir Next" w:hAnsi="Avenir Next" w:cs="Arial"/>
          <w:sz w:val="22"/>
          <w:szCs w:val="22"/>
          <w:lang w:val="en-GB"/>
        </w:rPr>
        <w:t>-</w:t>
      </w:r>
      <w:r w:rsidRPr="00CA7BE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5804AC"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5804AC">
        <w:rPr>
          <w:rFonts w:ascii="Avenir Next Demi Bold" w:hAnsi="Avenir Next Demi Bold" w:cs="Arial"/>
          <w:b/>
          <w:bCs/>
          <w:sz w:val="22"/>
          <w:szCs w:val="22"/>
          <w:lang w:val="en-GB"/>
        </w:rPr>
        <w:t>Question 1.1</w:t>
      </w:r>
      <w:r w:rsidR="007074E9" w:rsidRPr="005804AC">
        <w:rPr>
          <w:rFonts w:ascii="Avenir Next Demi Bold" w:hAnsi="Avenir Next Demi Bold" w:cs="Arial"/>
          <w:b/>
          <w:bCs/>
          <w:sz w:val="22"/>
          <w:szCs w:val="22"/>
          <w:lang w:val="en-GB"/>
        </w:rPr>
        <w:t>0</w:t>
      </w:r>
    </w:p>
    <w:p w14:paraId="1AA323D7" w14:textId="77777777" w:rsidR="002C13C8" w:rsidRPr="005804AC"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5804AC" w:rsidRDefault="00ED0BC4" w:rsidP="00C053F7">
      <w:pPr>
        <w:autoSpaceDE w:val="0"/>
        <w:autoSpaceDN w:val="0"/>
        <w:adjustRightInd w:val="0"/>
        <w:spacing w:line="276" w:lineRule="auto"/>
        <w:jc w:val="both"/>
        <w:rPr>
          <w:rFonts w:ascii="Avenir Next" w:hAnsi="Avenir Next" w:cs="Arial"/>
          <w:sz w:val="22"/>
          <w:szCs w:val="22"/>
          <w:lang w:val="en-GB"/>
        </w:rPr>
      </w:pPr>
      <w:r w:rsidRPr="005804AC">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5804AC">
        <w:rPr>
          <w:rFonts w:ascii="Avenir Next" w:hAnsi="Avenir Next" w:cs="Arial"/>
          <w:i/>
          <w:iCs/>
          <w:sz w:val="22"/>
          <w:szCs w:val="22"/>
          <w:lang w:val="en-GB"/>
        </w:rPr>
        <w:t xml:space="preserve"> </w:t>
      </w:r>
      <w:r w:rsidRPr="005804AC">
        <w:rPr>
          <w:rFonts w:ascii="Avenir Next" w:hAnsi="Avenir Next" w:cs="Arial"/>
          <w:sz w:val="22"/>
          <w:szCs w:val="22"/>
          <w:lang w:val="en-GB"/>
        </w:rPr>
        <w:t>What aspect is an international insolvency issue?</w:t>
      </w:r>
    </w:p>
    <w:p w14:paraId="5027D52C" w14:textId="77777777" w:rsidR="00ED0BC4" w:rsidRPr="005804AC"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B3130F"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B3130F">
        <w:rPr>
          <w:rFonts w:ascii="Avenir Next" w:eastAsiaTheme="minorHAnsi" w:hAnsi="Avenir Next" w:cs="Arial"/>
          <w:sz w:val="22"/>
          <w:szCs w:val="22"/>
          <w:lang w:val="en-GB"/>
        </w:rPr>
        <w:t>The local Court’s jurisdiction over the Debtor.</w:t>
      </w:r>
    </w:p>
    <w:p w14:paraId="7EEA95D7" w14:textId="77777777" w:rsidR="00286AE6" w:rsidRPr="005804AC" w:rsidRDefault="00286AE6" w:rsidP="00286AE6">
      <w:pPr>
        <w:jc w:val="both"/>
        <w:rPr>
          <w:rFonts w:ascii="Avenir Next" w:eastAsiaTheme="minorHAnsi" w:hAnsi="Avenir Next" w:cs="Arial"/>
          <w:sz w:val="22"/>
          <w:szCs w:val="22"/>
          <w:lang w:val="en-GB"/>
        </w:rPr>
      </w:pPr>
    </w:p>
    <w:p w14:paraId="19E81387" w14:textId="1453503E" w:rsidR="00ED0BC4" w:rsidRPr="005804AC"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5804AC">
        <w:rPr>
          <w:rFonts w:ascii="Avenir Next" w:eastAsiaTheme="minorHAnsi" w:hAnsi="Avenir Next" w:cs="Arial"/>
          <w:sz w:val="22"/>
          <w:szCs w:val="22"/>
          <w:lang w:val="en-GB"/>
        </w:rPr>
        <w:t>The standing of the foreign Creditor to sue for its debt in the local Court.</w:t>
      </w:r>
    </w:p>
    <w:p w14:paraId="5B3A23E0" w14:textId="77777777" w:rsidR="00286AE6" w:rsidRPr="005804AC" w:rsidRDefault="00286AE6" w:rsidP="00286AE6">
      <w:pPr>
        <w:jc w:val="both"/>
        <w:rPr>
          <w:rFonts w:ascii="Avenir Next" w:eastAsiaTheme="minorHAnsi" w:hAnsi="Avenir Next" w:cs="Arial"/>
          <w:sz w:val="22"/>
          <w:szCs w:val="22"/>
          <w:lang w:val="en-GB"/>
        </w:rPr>
      </w:pPr>
    </w:p>
    <w:p w14:paraId="7741F2BD" w14:textId="69899358" w:rsidR="00ED0BC4" w:rsidRPr="00B3130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3130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5804AC" w:rsidRDefault="00286AE6" w:rsidP="00286AE6">
      <w:pPr>
        <w:jc w:val="both"/>
        <w:rPr>
          <w:rFonts w:ascii="Avenir Next" w:eastAsiaTheme="minorHAnsi" w:hAnsi="Avenir Next" w:cs="Arial"/>
          <w:sz w:val="22"/>
          <w:szCs w:val="22"/>
          <w:lang w:val="en-GB"/>
        </w:rPr>
      </w:pPr>
    </w:p>
    <w:p w14:paraId="380A2E8D" w14:textId="4A6CF0C1" w:rsidR="00ED0BC4" w:rsidRPr="005804AC"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5804AC">
        <w:rPr>
          <w:rFonts w:ascii="Avenir Next" w:eastAsiaTheme="minorHAnsi" w:hAnsi="Avenir Next" w:cs="Arial"/>
          <w:sz w:val="22"/>
          <w:szCs w:val="22"/>
          <w:lang w:val="en-GB"/>
        </w:rPr>
        <w:t>The fact that the debt owed to the Creditor is in a foreign currency.</w:t>
      </w: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45ECBA9E" w:rsidR="009B07AD" w:rsidRPr="00B22CE8" w:rsidRDefault="00025E67" w:rsidP="002E24B5">
      <w:pPr>
        <w:jc w:val="both"/>
        <w:rPr>
          <w:rFonts w:ascii="Avenir Next" w:hAnsi="Avenir Next" w:cs="Arial"/>
          <w:i/>
          <w:iCs/>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International insolvency law is defined by Wessel</w:t>
      </w:r>
      <w:r w:rsidRPr="00B22CE8">
        <w:rPr>
          <w:rStyle w:val="FootnoteReference"/>
          <w:rFonts w:ascii="Avenir Next" w:hAnsi="Avenir Next" w:cs="Arial"/>
          <w:color w:val="767171" w:themeColor="background2" w:themeShade="80"/>
          <w:sz w:val="22"/>
          <w:szCs w:val="22"/>
          <w:lang w:val="en-GB"/>
        </w:rPr>
        <w:footnoteReference w:id="1"/>
      </w:r>
      <w:r w:rsidR="002E24B5" w:rsidRPr="00B22CE8">
        <w:rPr>
          <w:rFonts w:ascii="Avenir Next" w:hAnsi="Avenir Next" w:cs="Arial"/>
          <w:color w:val="767171" w:themeColor="background2" w:themeShade="80"/>
          <w:sz w:val="22"/>
          <w:szCs w:val="22"/>
          <w:lang w:val="en-GB"/>
        </w:rPr>
        <w:t xml:space="preserve"> as the part of the law which "</w:t>
      </w:r>
      <w:r w:rsidR="002E24B5" w:rsidRPr="00B22CE8">
        <w:rPr>
          <w:rFonts w:ascii="Avenir Next" w:hAnsi="Avenir Next" w:cs="Arial"/>
          <w:i/>
          <w:iCs/>
          <w:color w:val="767171" w:themeColor="background2" w:themeShade="80"/>
          <w:sz w:val="22"/>
          <w:szCs w:val="22"/>
          <w:lang w:val="en-GB"/>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002E24B5" w:rsidRPr="00B22CE8">
        <w:rPr>
          <w:rFonts w:ascii="Avenir Next" w:hAnsi="Avenir Next" w:cs="Arial"/>
          <w:color w:val="767171" w:themeColor="background2" w:themeShade="80"/>
          <w:sz w:val="22"/>
          <w:szCs w:val="22"/>
          <w:lang w:val="en-GB"/>
        </w:rPr>
        <w:t xml:space="preserve">. </w:t>
      </w:r>
      <w:r w:rsidR="00E869E2" w:rsidRPr="00B22CE8">
        <w:rPr>
          <w:rFonts w:ascii="Avenir Next" w:hAnsi="Avenir Next" w:cs="Arial"/>
          <w:color w:val="767171" w:themeColor="background2" w:themeShade="80"/>
          <w:sz w:val="22"/>
          <w:szCs w:val="22"/>
          <w:lang w:val="en-GB"/>
        </w:rPr>
        <w:t>However, in working to define 'international insolvency law', Wessel also cites Fletcher's</w:t>
      </w:r>
      <w:r w:rsidR="00E869E2" w:rsidRPr="00B22CE8">
        <w:rPr>
          <w:rStyle w:val="FootnoteReference"/>
          <w:rFonts w:ascii="Avenir Next" w:hAnsi="Avenir Next" w:cs="Arial"/>
          <w:color w:val="767171" w:themeColor="background2" w:themeShade="80"/>
          <w:sz w:val="22"/>
          <w:szCs w:val="22"/>
          <w:lang w:val="en-GB"/>
        </w:rPr>
        <w:footnoteReference w:id="2"/>
      </w:r>
      <w:r w:rsidR="00E869E2" w:rsidRPr="00B22CE8">
        <w:rPr>
          <w:rFonts w:ascii="Avenir Next" w:hAnsi="Avenir Next" w:cs="Arial"/>
          <w:color w:val="767171" w:themeColor="background2" w:themeShade="80"/>
          <w:sz w:val="22"/>
          <w:szCs w:val="22"/>
          <w:lang w:val="en-GB"/>
        </w:rPr>
        <w:t xml:space="preserve"> definition </w:t>
      </w:r>
      <w:r w:rsidR="00E736B1" w:rsidRPr="00B22CE8">
        <w:rPr>
          <w:rFonts w:ascii="Avenir Next" w:hAnsi="Avenir Next" w:cs="Arial"/>
          <w:color w:val="767171" w:themeColor="background2" w:themeShade="80"/>
          <w:sz w:val="22"/>
          <w:szCs w:val="22"/>
          <w:lang w:val="en-GB"/>
        </w:rPr>
        <w:t>which states "</w:t>
      </w:r>
      <w:r w:rsidR="00E736B1" w:rsidRPr="00B22CE8">
        <w:rPr>
          <w:rFonts w:ascii="Avenir Next" w:hAnsi="Avenir Next" w:cs="Arial"/>
          <w:i/>
          <w:iCs/>
          <w:color w:val="767171" w:themeColor="background2" w:themeShade="80"/>
          <w:sz w:val="22"/>
          <w:szCs w:val="22"/>
          <w:lang w:val="en-GB"/>
        </w:rPr>
        <w:t>international insolvency' or 'cross-border insolvency' should be considered as a situation … 'in which an insolvency occurs in circumstances which in some way transcend the confines of a single legal system, so that [the] a single set of domestic insolvency law provisions cannot be immediately and exclusively applied without regard to the issues raised by the foreign elements of the case"</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668508E" w14:textId="77777777" w:rsidR="001327CB" w:rsidRPr="00B22CE8" w:rsidRDefault="00B625E3" w:rsidP="001927BB">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"Universality" /</w:t>
      </w:r>
      <w:r w:rsidR="006F1443" w:rsidRPr="00B22CE8">
        <w:rPr>
          <w:rFonts w:ascii="Avenir Next" w:hAnsi="Avenir Next" w:cs="Arial"/>
          <w:color w:val="767171" w:themeColor="background2" w:themeShade="80"/>
          <w:sz w:val="22"/>
          <w:szCs w:val="22"/>
          <w:lang w:val="en-GB"/>
        </w:rPr>
        <w:t xml:space="preserve"> "universalism" and "territoriality" / "</w:t>
      </w:r>
      <w:r w:rsidR="005371CD" w:rsidRPr="00B22CE8">
        <w:rPr>
          <w:rFonts w:ascii="Avenir Next" w:hAnsi="Avenir Next" w:cs="Arial"/>
          <w:color w:val="767171" w:themeColor="background2" w:themeShade="80"/>
          <w:sz w:val="22"/>
          <w:szCs w:val="22"/>
          <w:lang w:val="en-GB"/>
        </w:rPr>
        <w:t>territorialism</w:t>
      </w:r>
      <w:r w:rsidR="006F1443" w:rsidRPr="00B22CE8">
        <w:rPr>
          <w:rFonts w:ascii="Avenir Next" w:hAnsi="Avenir Next" w:cs="Arial"/>
          <w:color w:val="767171" w:themeColor="background2" w:themeShade="80"/>
          <w:sz w:val="22"/>
          <w:szCs w:val="22"/>
          <w:lang w:val="en-GB"/>
        </w:rPr>
        <w:t>"</w:t>
      </w:r>
      <w:r w:rsidR="005371CD" w:rsidRPr="00B22CE8">
        <w:rPr>
          <w:rFonts w:ascii="Avenir Next" w:hAnsi="Avenir Next" w:cs="Arial"/>
          <w:color w:val="767171" w:themeColor="background2" w:themeShade="80"/>
          <w:sz w:val="22"/>
          <w:szCs w:val="22"/>
          <w:lang w:val="en-GB"/>
        </w:rPr>
        <w:t xml:space="preserve"> are competing philosophies which seek </w:t>
      </w:r>
      <w:r w:rsidR="001927BB" w:rsidRPr="00B22CE8">
        <w:rPr>
          <w:rFonts w:ascii="Avenir Next" w:hAnsi="Avenir Next" w:cs="Arial"/>
          <w:color w:val="767171" w:themeColor="background2" w:themeShade="80"/>
          <w:sz w:val="22"/>
          <w:szCs w:val="22"/>
          <w:lang w:val="en-GB"/>
        </w:rPr>
        <w:t>to resolve the problems associated with cross-border insolvency.</w:t>
      </w:r>
      <w:r w:rsidR="00D272BA" w:rsidRPr="00B22CE8">
        <w:rPr>
          <w:rFonts w:ascii="Avenir Next" w:hAnsi="Avenir Next" w:cs="Arial"/>
          <w:color w:val="767171" w:themeColor="background2" w:themeShade="80"/>
          <w:sz w:val="22"/>
          <w:szCs w:val="22"/>
          <w:lang w:val="en-GB"/>
        </w:rPr>
        <w:t xml:space="preserve"> </w:t>
      </w:r>
    </w:p>
    <w:p w14:paraId="37C69611" w14:textId="77777777" w:rsidR="001327CB" w:rsidRPr="00B22CE8" w:rsidRDefault="001327CB" w:rsidP="001927BB">
      <w:pPr>
        <w:jc w:val="both"/>
        <w:rPr>
          <w:rFonts w:ascii="Avenir Next" w:hAnsi="Avenir Next" w:cs="Arial"/>
          <w:color w:val="767171" w:themeColor="background2" w:themeShade="80"/>
          <w:sz w:val="22"/>
          <w:szCs w:val="22"/>
          <w:lang w:val="en-GB"/>
        </w:rPr>
      </w:pPr>
    </w:p>
    <w:p w14:paraId="2F57801B" w14:textId="1AE75578" w:rsidR="009B07AD" w:rsidRPr="00B22CE8" w:rsidRDefault="00D272BA" w:rsidP="001927BB">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lastRenderedPageBreak/>
        <w:t>The theory of 'universalism' is that there should only be one insolvency proceeding covering the totality of the debtor's assets and debts globally (so, in those circumstances, once the insolvency proceedings are opened, no other insolvency proceedings ought to be possible, nor any other forms of execution of the debtor's assets). One area for debate is what forum should</w:t>
      </w:r>
      <w:r w:rsidR="00D97F71" w:rsidRPr="00B22CE8">
        <w:rPr>
          <w:rFonts w:ascii="Avenir Next" w:hAnsi="Avenir Next" w:cs="Arial"/>
          <w:color w:val="767171" w:themeColor="background2" w:themeShade="80"/>
          <w:sz w:val="22"/>
          <w:szCs w:val="22"/>
          <w:lang w:val="en-GB"/>
        </w:rPr>
        <w:t xml:space="preserve"> have jurisdiction to govern this universal insolvency proceeding (for example, whether the correct forum is where the centre of the debtor's interest is located</w:t>
      </w:r>
      <w:r w:rsidR="00F90A71" w:rsidRPr="00B22CE8">
        <w:rPr>
          <w:rFonts w:ascii="Avenir Next" w:hAnsi="Avenir Next" w:cs="Arial"/>
          <w:color w:val="767171" w:themeColor="background2" w:themeShade="80"/>
          <w:sz w:val="22"/>
          <w:szCs w:val="22"/>
          <w:lang w:val="en-GB"/>
        </w:rPr>
        <w:t xml:space="preserve">). </w:t>
      </w:r>
      <w:r w:rsidR="006F1443" w:rsidRPr="00B22CE8">
        <w:rPr>
          <w:rFonts w:ascii="Avenir Next" w:hAnsi="Avenir Next" w:cs="Arial"/>
          <w:color w:val="767171" w:themeColor="background2" w:themeShade="80"/>
          <w:sz w:val="22"/>
          <w:szCs w:val="22"/>
          <w:lang w:val="en-GB"/>
        </w:rPr>
        <w:t xml:space="preserve"> </w:t>
      </w:r>
      <w:r w:rsidR="00F90A71" w:rsidRPr="00B22CE8">
        <w:rPr>
          <w:rFonts w:ascii="Avenir Next" w:hAnsi="Avenir Next" w:cs="Arial"/>
          <w:color w:val="767171" w:themeColor="background2" w:themeShade="80"/>
          <w:sz w:val="22"/>
          <w:szCs w:val="22"/>
          <w:lang w:val="en-GB"/>
        </w:rPr>
        <w:t xml:space="preserve">The law of the 'main proceeding' would have global effect, i.e. outside of the territorial jurisdiction of the state where the 'main proceeding' has been opened. </w:t>
      </w:r>
    </w:p>
    <w:p w14:paraId="06880C43" w14:textId="77777777" w:rsidR="001327CB" w:rsidRPr="00B22CE8" w:rsidRDefault="001327CB" w:rsidP="001927BB">
      <w:pPr>
        <w:jc w:val="both"/>
        <w:rPr>
          <w:rFonts w:ascii="Avenir Next" w:hAnsi="Avenir Next" w:cs="Arial"/>
          <w:color w:val="767171" w:themeColor="background2" w:themeShade="80"/>
          <w:sz w:val="22"/>
          <w:szCs w:val="22"/>
          <w:lang w:val="en-GB"/>
        </w:rPr>
      </w:pPr>
    </w:p>
    <w:p w14:paraId="5AEA78E9" w14:textId="353D19D3" w:rsidR="001327CB" w:rsidRPr="00B22CE8" w:rsidRDefault="001327CB" w:rsidP="001927BB">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The theory of 'territorialism' stands in opposition to 'universalism' and instead propose</w:t>
      </w:r>
      <w:r w:rsidR="0085777B" w:rsidRPr="00B22CE8">
        <w:rPr>
          <w:rFonts w:ascii="Avenir Next" w:hAnsi="Avenir Next" w:cs="Arial"/>
          <w:color w:val="767171" w:themeColor="background2" w:themeShade="80"/>
          <w:sz w:val="22"/>
          <w:szCs w:val="22"/>
          <w:lang w:val="en-GB"/>
        </w:rPr>
        <w:t>s</w:t>
      </w:r>
      <w:r w:rsidRPr="00B22CE8">
        <w:rPr>
          <w:rFonts w:ascii="Avenir Next" w:hAnsi="Avenir Next" w:cs="Arial"/>
          <w:color w:val="767171" w:themeColor="background2" w:themeShade="80"/>
          <w:sz w:val="22"/>
          <w:szCs w:val="22"/>
          <w:lang w:val="en-GB"/>
        </w:rPr>
        <w:t xml:space="preserve"> that insolvency proceedings ought to be commenced in every state / jurisdiction where the debtor holds assets, but that they should be limited (territorially) </w:t>
      </w:r>
      <w:r w:rsidR="00F66838" w:rsidRPr="00B22CE8">
        <w:rPr>
          <w:rFonts w:ascii="Avenir Next" w:hAnsi="Avenir Next" w:cs="Arial"/>
          <w:color w:val="767171" w:themeColor="background2" w:themeShade="80"/>
          <w:sz w:val="22"/>
          <w:szCs w:val="22"/>
          <w:lang w:val="en-GB"/>
        </w:rPr>
        <w:t xml:space="preserve">and restricted to property within the state where proceedings are opened. Under this approach, it would be possible to have </w:t>
      </w:r>
      <w:r w:rsidR="00AF7913" w:rsidRPr="00B22CE8">
        <w:rPr>
          <w:rFonts w:ascii="Avenir Next" w:hAnsi="Avenir Next" w:cs="Arial"/>
          <w:color w:val="767171" w:themeColor="background2" w:themeShade="80"/>
          <w:sz w:val="22"/>
          <w:szCs w:val="22"/>
          <w:lang w:val="en-GB"/>
        </w:rPr>
        <w:t xml:space="preserve">a plurality of  </w:t>
      </w:r>
      <w:r w:rsidR="00F66838" w:rsidRPr="00B22CE8">
        <w:rPr>
          <w:rFonts w:ascii="Avenir Next" w:hAnsi="Avenir Next" w:cs="Arial"/>
          <w:color w:val="767171" w:themeColor="background2" w:themeShade="80"/>
          <w:sz w:val="22"/>
          <w:szCs w:val="22"/>
          <w:lang w:val="en-GB"/>
        </w:rPr>
        <w:t xml:space="preserve">proceedings running concurrently </w:t>
      </w:r>
      <w:r w:rsidR="00AF7913" w:rsidRPr="00B22CE8">
        <w:rPr>
          <w:rFonts w:ascii="Avenir Next" w:hAnsi="Avenir Next" w:cs="Arial"/>
          <w:color w:val="767171" w:themeColor="background2" w:themeShade="80"/>
          <w:sz w:val="22"/>
          <w:szCs w:val="22"/>
          <w:lang w:val="en-GB"/>
        </w:rPr>
        <w:t>for the same debtor</w:t>
      </w:r>
      <w:r w:rsidR="00122E6E" w:rsidRPr="00B22CE8">
        <w:rPr>
          <w:rFonts w:ascii="Avenir Next" w:hAnsi="Avenir Next" w:cs="Arial"/>
          <w:color w:val="767171" w:themeColor="background2" w:themeShade="80"/>
          <w:sz w:val="22"/>
          <w:szCs w:val="22"/>
          <w:lang w:val="en-GB"/>
        </w:rPr>
        <w:t xml:space="preserve">, but the consequences of any given insolvency proceeding would only apply to the state where the insolvency proceeding had been opened.  </w:t>
      </w:r>
    </w:p>
    <w:p w14:paraId="79961E83" w14:textId="77777777" w:rsidR="00D17FDC" w:rsidRPr="00827D56" w:rsidRDefault="00D17FDC" w:rsidP="00AF7913">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12EC3C3" w14:textId="77777777" w:rsidR="00300A54" w:rsidRPr="00B22CE8" w:rsidRDefault="004F48DD" w:rsidP="000A36DE">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In </w:t>
      </w:r>
      <w:r w:rsidR="000A36DE" w:rsidRPr="00B22CE8">
        <w:rPr>
          <w:rFonts w:ascii="Avenir Next" w:hAnsi="Avenir Next" w:cs="Arial"/>
          <w:color w:val="767171" w:themeColor="background2" w:themeShade="80"/>
          <w:sz w:val="22"/>
          <w:szCs w:val="22"/>
          <w:lang w:val="en-GB"/>
        </w:rPr>
        <w:t>2016 and 2019 the United Arab Emirates ("</w:t>
      </w:r>
      <w:r w:rsidR="000A36DE" w:rsidRPr="00B22CE8">
        <w:rPr>
          <w:rFonts w:ascii="Avenir Next" w:hAnsi="Avenir Next" w:cs="Arial"/>
          <w:b/>
          <w:bCs/>
          <w:color w:val="767171" w:themeColor="background2" w:themeShade="80"/>
          <w:sz w:val="22"/>
          <w:szCs w:val="22"/>
          <w:lang w:val="en-GB"/>
        </w:rPr>
        <w:t>UAE</w:t>
      </w:r>
      <w:r w:rsidR="000A36DE" w:rsidRPr="00B22CE8">
        <w:rPr>
          <w:rFonts w:ascii="Avenir Next" w:hAnsi="Avenir Next" w:cs="Arial"/>
          <w:color w:val="767171" w:themeColor="background2" w:themeShade="80"/>
          <w:sz w:val="22"/>
          <w:szCs w:val="22"/>
          <w:lang w:val="en-GB"/>
        </w:rPr>
        <w:t>") passed</w:t>
      </w:r>
      <w:r w:rsidR="00300A54" w:rsidRPr="00B22CE8">
        <w:rPr>
          <w:rFonts w:ascii="Avenir Next" w:hAnsi="Avenir Next" w:cs="Arial"/>
          <w:color w:val="767171" w:themeColor="background2" w:themeShade="80"/>
          <w:sz w:val="22"/>
          <w:szCs w:val="22"/>
          <w:lang w:val="en-GB"/>
        </w:rPr>
        <w:t xml:space="preserve">: </w:t>
      </w:r>
    </w:p>
    <w:p w14:paraId="46B00211" w14:textId="77777777" w:rsidR="00300A54" w:rsidRPr="00B22CE8" w:rsidRDefault="00300A54" w:rsidP="000A36DE">
      <w:pPr>
        <w:jc w:val="both"/>
        <w:rPr>
          <w:rFonts w:ascii="Avenir Next" w:hAnsi="Avenir Next" w:cs="Arial"/>
          <w:color w:val="767171" w:themeColor="background2" w:themeShade="80"/>
          <w:sz w:val="22"/>
          <w:szCs w:val="22"/>
          <w:lang w:val="en-GB"/>
        </w:rPr>
      </w:pPr>
    </w:p>
    <w:p w14:paraId="47CA0F6F" w14:textId="268693DB" w:rsidR="00300A54" w:rsidRPr="00B22CE8" w:rsidRDefault="000A36DE" w:rsidP="00300A54">
      <w:pPr>
        <w:pStyle w:val="ListParagraph"/>
        <w:numPr>
          <w:ilvl w:val="0"/>
          <w:numId w:val="23"/>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Federal Law Decree No. 9 </w:t>
      </w:r>
      <w:r w:rsidR="000D6312" w:rsidRPr="00B22CE8">
        <w:rPr>
          <w:rFonts w:ascii="Avenir Next" w:hAnsi="Avenir Next" w:cs="Arial"/>
          <w:color w:val="767171" w:themeColor="background2" w:themeShade="80"/>
          <w:sz w:val="22"/>
          <w:szCs w:val="22"/>
          <w:lang w:val="en-GB"/>
        </w:rPr>
        <w:t xml:space="preserve">of 2016 </w:t>
      </w:r>
      <w:r w:rsidRPr="00B22CE8">
        <w:rPr>
          <w:rFonts w:ascii="Avenir Next" w:hAnsi="Avenir Next" w:cs="Arial"/>
          <w:color w:val="767171" w:themeColor="background2" w:themeShade="80"/>
          <w:sz w:val="22"/>
          <w:szCs w:val="22"/>
          <w:lang w:val="en-GB"/>
        </w:rPr>
        <w:t xml:space="preserve">on Bankruptcy </w:t>
      </w:r>
      <w:r w:rsidR="004F6C17" w:rsidRPr="00B22CE8">
        <w:rPr>
          <w:rFonts w:ascii="Avenir Next" w:hAnsi="Avenir Next" w:cs="Arial"/>
          <w:color w:val="767171" w:themeColor="background2" w:themeShade="80"/>
          <w:sz w:val="22"/>
          <w:szCs w:val="22"/>
          <w:lang w:val="en-GB"/>
        </w:rPr>
        <w:t>– which provides a possible avenue for an insolvent debtor (i.e. in a state of bankruptcy) to restructure the company if a restructuring plan is approved by the Court and creditors, or otherwise to proceed into liquidation</w:t>
      </w:r>
      <w:r w:rsidR="00300A54" w:rsidRPr="00B22CE8">
        <w:rPr>
          <w:rFonts w:ascii="Avenir Next" w:hAnsi="Avenir Next" w:cs="Arial"/>
          <w:color w:val="767171" w:themeColor="background2" w:themeShade="80"/>
          <w:sz w:val="22"/>
          <w:szCs w:val="22"/>
          <w:lang w:val="en-GB"/>
        </w:rPr>
        <w:t xml:space="preserve">; and </w:t>
      </w:r>
    </w:p>
    <w:p w14:paraId="13C9CED3" w14:textId="77777777" w:rsidR="00300A54" w:rsidRPr="00B22CE8" w:rsidRDefault="00300A54" w:rsidP="00300A54">
      <w:pPr>
        <w:pStyle w:val="ListParagraph"/>
        <w:ind w:left="1080"/>
        <w:jc w:val="both"/>
        <w:rPr>
          <w:rFonts w:ascii="Avenir Next" w:hAnsi="Avenir Next" w:cs="Arial"/>
          <w:color w:val="767171" w:themeColor="background2" w:themeShade="80"/>
          <w:sz w:val="22"/>
          <w:szCs w:val="22"/>
          <w:lang w:val="en-GB"/>
        </w:rPr>
      </w:pPr>
    </w:p>
    <w:p w14:paraId="78DB9FD8" w14:textId="67C98499" w:rsidR="00C72848" w:rsidRPr="00B22CE8" w:rsidRDefault="000A36DE" w:rsidP="00300A54">
      <w:pPr>
        <w:pStyle w:val="ListParagraph"/>
        <w:numPr>
          <w:ilvl w:val="0"/>
          <w:numId w:val="23"/>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Federal </w:t>
      </w:r>
      <w:r w:rsidR="00D95B9A" w:rsidRPr="00B22CE8">
        <w:rPr>
          <w:rFonts w:ascii="Avenir Next" w:hAnsi="Avenir Next" w:cs="Arial"/>
          <w:color w:val="767171" w:themeColor="background2" w:themeShade="80"/>
          <w:sz w:val="22"/>
          <w:szCs w:val="22"/>
          <w:lang w:val="en-GB"/>
        </w:rPr>
        <w:t>Decree No. 19 of 2019 on Insolvency</w:t>
      </w:r>
      <w:r w:rsidR="00300A54" w:rsidRPr="00B22CE8">
        <w:rPr>
          <w:rFonts w:ascii="Avenir Next" w:hAnsi="Avenir Next" w:cs="Arial"/>
          <w:color w:val="767171" w:themeColor="background2" w:themeShade="80"/>
          <w:sz w:val="22"/>
          <w:szCs w:val="22"/>
          <w:lang w:val="en-GB"/>
        </w:rPr>
        <w:t xml:space="preserve"> – which aims to </w:t>
      </w:r>
      <w:r w:rsidR="00886775" w:rsidRPr="00B22CE8">
        <w:rPr>
          <w:rFonts w:ascii="Avenir Next" w:hAnsi="Avenir Next" w:cs="Arial"/>
          <w:color w:val="767171" w:themeColor="background2" w:themeShade="80"/>
          <w:sz w:val="22"/>
          <w:szCs w:val="22"/>
          <w:lang w:val="en-GB"/>
        </w:rPr>
        <w:t xml:space="preserve">regulate cases of insolvency of natural persons. </w:t>
      </w:r>
    </w:p>
    <w:p w14:paraId="228E64F7" w14:textId="77777777" w:rsidR="00886775" w:rsidRPr="00B22CE8" w:rsidRDefault="00886775" w:rsidP="00886775">
      <w:pPr>
        <w:pStyle w:val="ListParagraph"/>
        <w:rPr>
          <w:rFonts w:ascii="Avenir Next" w:hAnsi="Avenir Next" w:cs="Arial"/>
          <w:color w:val="767171" w:themeColor="background2" w:themeShade="80"/>
          <w:sz w:val="22"/>
          <w:szCs w:val="22"/>
          <w:lang w:val="en-GB"/>
        </w:rPr>
      </w:pPr>
    </w:p>
    <w:p w14:paraId="09948A68" w14:textId="7F067810" w:rsidR="00886775" w:rsidRPr="00B22CE8" w:rsidRDefault="00886775" w:rsidP="00886775">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In 2018, Saudi Arabia </w:t>
      </w:r>
      <w:r w:rsidR="00A040A0" w:rsidRPr="00B22CE8">
        <w:rPr>
          <w:rFonts w:ascii="Avenir Next" w:hAnsi="Avenir Next" w:cs="Arial"/>
          <w:color w:val="767171" w:themeColor="background2" w:themeShade="80"/>
          <w:sz w:val="22"/>
          <w:szCs w:val="22"/>
          <w:lang w:val="en-GB"/>
        </w:rPr>
        <w:t>approved a landmark bankruptcy law</w:t>
      </w:r>
      <w:r w:rsidR="00637F10" w:rsidRPr="00B22CE8">
        <w:rPr>
          <w:rFonts w:ascii="Avenir Next" w:hAnsi="Avenir Next" w:cs="Arial"/>
          <w:color w:val="767171" w:themeColor="background2" w:themeShade="80"/>
          <w:sz w:val="22"/>
          <w:szCs w:val="22"/>
          <w:lang w:val="en-GB"/>
        </w:rPr>
        <w:t xml:space="preserve"> which </w:t>
      </w:r>
      <w:r w:rsidR="000D6312" w:rsidRPr="00B22CE8">
        <w:rPr>
          <w:rFonts w:ascii="Avenir Next" w:hAnsi="Avenir Next" w:cs="Arial"/>
          <w:color w:val="767171" w:themeColor="background2" w:themeShade="80"/>
          <w:sz w:val="22"/>
          <w:szCs w:val="22"/>
          <w:lang w:val="en-GB"/>
        </w:rPr>
        <w:t>set out, in one single law,</w:t>
      </w:r>
      <w:r w:rsidR="00637F10" w:rsidRPr="00B22CE8">
        <w:rPr>
          <w:rFonts w:ascii="Avenir Next" w:hAnsi="Avenir Next" w:cs="Arial"/>
          <w:color w:val="767171" w:themeColor="background2" w:themeShade="80"/>
          <w:sz w:val="22"/>
          <w:szCs w:val="22"/>
          <w:lang w:val="en-GB"/>
        </w:rPr>
        <w:t xml:space="preserve"> general regulations, preventative actions, measures for financial restructuring and settlement proceedings in </w:t>
      </w:r>
      <w:r w:rsidR="0017599F" w:rsidRPr="00B22CE8">
        <w:rPr>
          <w:rFonts w:ascii="Avenir Next" w:hAnsi="Avenir Next" w:cs="Arial"/>
          <w:color w:val="767171" w:themeColor="background2" w:themeShade="80"/>
          <w:sz w:val="22"/>
          <w:szCs w:val="22"/>
          <w:lang w:val="en-GB"/>
        </w:rPr>
        <w:t xml:space="preserve">insolvency proceedings for businesses. </w:t>
      </w:r>
    </w:p>
    <w:p w14:paraId="6A8AB26B" w14:textId="77777777" w:rsidR="000A36DE" w:rsidRPr="00B22CE8" w:rsidRDefault="000A36DE" w:rsidP="00C053F7">
      <w:pPr>
        <w:ind w:left="720" w:hanging="720"/>
        <w:jc w:val="both"/>
        <w:rPr>
          <w:rFonts w:ascii="Avenir Next" w:hAnsi="Avenir Next" w:cs="Arial"/>
          <w:color w:val="767171" w:themeColor="background2" w:themeShade="80"/>
          <w:sz w:val="22"/>
          <w:szCs w:val="22"/>
          <w:lang w:val="en-GB"/>
        </w:rPr>
      </w:pPr>
    </w:p>
    <w:p w14:paraId="572227E7" w14:textId="1EE208A7" w:rsidR="0045683E" w:rsidRPr="00B22CE8" w:rsidRDefault="0017599F" w:rsidP="00C053F7">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In 2019, </w:t>
      </w:r>
      <w:r w:rsidR="00B3502B" w:rsidRPr="00B22CE8">
        <w:rPr>
          <w:rFonts w:ascii="Avenir Next" w:hAnsi="Avenir Next" w:cs="Arial"/>
          <w:color w:val="767171" w:themeColor="background2" w:themeShade="80"/>
          <w:sz w:val="22"/>
          <w:szCs w:val="22"/>
          <w:lang w:val="en-GB"/>
        </w:rPr>
        <w:t>Dubai enacted DIFC Insolvency Law No. 1 of 2019</w:t>
      </w:r>
      <w:r w:rsidR="00FA5EC1" w:rsidRPr="00B22CE8">
        <w:rPr>
          <w:rFonts w:ascii="Avenir Next" w:hAnsi="Avenir Next" w:cs="Arial"/>
          <w:color w:val="767171" w:themeColor="background2" w:themeShade="80"/>
          <w:sz w:val="22"/>
          <w:szCs w:val="22"/>
          <w:lang w:val="en-GB"/>
        </w:rPr>
        <w:t xml:space="preserve"> which provided for a </w:t>
      </w:r>
      <w:r w:rsidR="00631D4C" w:rsidRPr="00B22CE8">
        <w:rPr>
          <w:rFonts w:ascii="Avenir Next" w:hAnsi="Avenir Next" w:cs="Arial"/>
          <w:color w:val="767171" w:themeColor="background2" w:themeShade="80"/>
          <w:sz w:val="22"/>
          <w:szCs w:val="22"/>
          <w:lang w:val="en-GB"/>
        </w:rPr>
        <w:t xml:space="preserve">new administration process where there is/was evidence of mismanagement or misconduct </w:t>
      </w:r>
      <w:r w:rsidR="003959FC" w:rsidRPr="00B22CE8">
        <w:rPr>
          <w:rFonts w:ascii="Avenir Next" w:hAnsi="Avenir Next" w:cs="Arial"/>
          <w:color w:val="767171" w:themeColor="background2" w:themeShade="80"/>
          <w:sz w:val="22"/>
          <w:szCs w:val="22"/>
          <w:lang w:val="en-GB"/>
        </w:rPr>
        <w:t xml:space="preserve">and enhanced the rules governing winding up procedures, and incorporated the UNCITRAL Model Law on cross border insolvency proceedings (subject to certain modifications). </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Default="00C550C8" w:rsidP="00C053F7">
      <w:pPr>
        <w:jc w:val="both"/>
        <w:rPr>
          <w:rFonts w:ascii="Avenir Next" w:hAnsi="Avenir Next" w:cs="Arial"/>
          <w:sz w:val="22"/>
          <w:szCs w:val="22"/>
          <w:lang w:val="en-GB"/>
        </w:rPr>
      </w:pPr>
    </w:p>
    <w:p w14:paraId="283838C1" w14:textId="33EA6F9A" w:rsidR="00980E7F" w:rsidRPr="00B22CE8" w:rsidRDefault="0020102B" w:rsidP="00C053F7">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According to Sealy and Hooley</w:t>
      </w:r>
      <w:r w:rsidRPr="00B22CE8">
        <w:rPr>
          <w:rStyle w:val="FootnoteReference"/>
          <w:rFonts w:ascii="Avenir Next" w:hAnsi="Avenir Next" w:cs="Arial"/>
          <w:color w:val="767171" w:themeColor="background2" w:themeShade="80"/>
          <w:sz w:val="22"/>
          <w:szCs w:val="22"/>
          <w:lang w:val="en-GB"/>
        </w:rPr>
        <w:footnoteReference w:id="3"/>
      </w:r>
      <w:r w:rsidR="004B493E" w:rsidRPr="00B22CE8">
        <w:rPr>
          <w:rFonts w:ascii="Avenir Next" w:hAnsi="Avenir Next" w:cs="Arial"/>
          <w:color w:val="767171" w:themeColor="background2" w:themeShade="80"/>
          <w:sz w:val="22"/>
          <w:szCs w:val="22"/>
          <w:lang w:val="en-GB"/>
        </w:rPr>
        <w:t xml:space="preserve"> the objectives of insolvency for individuals are: </w:t>
      </w:r>
    </w:p>
    <w:p w14:paraId="71C98EF3" w14:textId="77777777" w:rsidR="004B493E" w:rsidRPr="00B22CE8" w:rsidRDefault="004B493E" w:rsidP="00C053F7">
      <w:pPr>
        <w:jc w:val="both"/>
        <w:rPr>
          <w:rFonts w:ascii="Avenir Next" w:hAnsi="Avenir Next" w:cs="Arial"/>
          <w:color w:val="767171" w:themeColor="background2" w:themeShade="80"/>
          <w:sz w:val="22"/>
          <w:szCs w:val="22"/>
          <w:lang w:val="en-GB"/>
        </w:rPr>
      </w:pPr>
    </w:p>
    <w:p w14:paraId="699D3827" w14:textId="4A65F73C" w:rsidR="004B493E" w:rsidRPr="00B22CE8" w:rsidRDefault="004B493E" w:rsidP="004B493E">
      <w:pPr>
        <w:pStyle w:val="ListParagraph"/>
        <w:numPr>
          <w:ilvl w:val="0"/>
          <w:numId w:val="24"/>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To protect the debtor from harassment by his creditors; </w:t>
      </w:r>
    </w:p>
    <w:p w14:paraId="40DBE929" w14:textId="77777777" w:rsidR="004B493E" w:rsidRDefault="004B493E" w:rsidP="004B493E">
      <w:pPr>
        <w:pStyle w:val="ListParagraph"/>
        <w:ind w:left="1080"/>
        <w:jc w:val="both"/>
        <w:rPr>
          <w:rFonts w:ascii="Avenir Next" w:hAnsi="Avenir Next" w:cs="Arial"/>
          <w:sz w:val="22"/>
          <w:szCs w:val="22"/>
          <w:lang w:val="en-GB"/>
        </w:rPr>
      </w:pPr>
    </w:p>
    <w:p w14:paraId="29C75021" w14:textId="6141572A" w:rsidR="004B493E" w:rsidRPr="00B22CE8" w:rsidRDefault="004B493E" w:rsidP="004B493E">
      <w:pPr>
        <w:pStyle w:val="ListParagraph"/>
        <w:numPr>
          <w:ilvl w:val="0"/>
          <w:numId w:val="24"/>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lastRenderedPageBreak/>
        <w:t xml:space="preserve">To enable the debtor to make a 'fresh start' (particularly in less blameworthy cases where insolvency has not been brought about by the actions or conduct of the debtor); </w:t>
      </w:r>
    </w:p>
    <w:p w14:paraId="2CD851E9" w14:textId="77777777" w:rsidR="004B493E" w:rsidRPr="00B22CE8" w:rsidRDefault="004B493E" w:rsidP="004B493E">
      <w:pPr>
        <w:pStyle w:val="ListParagraph"/>
        <w:rPr>
          <w:rFonts w:ascii="Avenir Next" w:hAnsi="Avenir Next" w:cs="Arial"/>
          <w:color w:val="767171" w:themeColor="background2" w:themeShade="80"/>
          <w:sz w:val="22"/>
          <w:szCs w:val="22"/>
          <w:lang w:val="en-GB"/>
        </w:rPr>
      </w:pPr>
    </w:p>
    <w:p w14:paraId="4FB9FAD3" w14:textId="17297217" w:rsidR="004B493E" w:rsidRPr="00B22CE8" w:rsidRDefault="000843C3" w:rsidP="004B493E">
      <w:pPr>
        <w:pStyle w:val="ListParagraph"/>
        <w:numPr>
          <w:ilvl w:val="0"/>
          <w:numId w:val="24"/>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To reduce indebtedness by making contributions from present and future income to the estate whilst at the same time taking the personal circumstances of the debtor into consideration. </w:t>
      </w:r>
    </w:p>
    <w:p w14:paraId="32FACF7A" w14:textId="77777777" w:rsidR="00C57C2C" w:rsidRPr="00B22CE8" w:rsidRDefault="00C57C2C" w:rsidP="00C57C2C">
      <w:pPr>
        <w:pStyle w:val="ListParagraph"/>
        <w:rPr>
          <w:rFonts w:ascii="Avenir Next" w:hAnsi="Avenir Next" w:cs="Arial"/>
          <w:color w:val="767171" w:themeColor="background2" w:themeShade="80"/>
          <w:sz w:val="22"/>
          <w:szCs w:val="22"/>
          <w:lang w:val="en-GB"/>
        </w:rPr>
      </w:pPr>
    </w:p>
    <w:p w14:paraId="388DCCE9" w14:textId="0C559867" w:rsidR="00C57C2C" w:rsidRPr="00B22CE8" w:rsidRDefault="00C57C2C" w:rsidP="00C57C2C">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When considering insolvency of an individual, the concept of 'exempt' or 'excluded' assets </w:t>
      </w:r>
      <w:r w:rsidR="003D1B95" w:rsidRPr="00B22CE8">
        <w:rPr>
          <w:rFonts w:ascii="Avenir Next" w:hAnsi="Avenir Next" w:cs="Arial"/>
          <w:color w:val="767171" w:themeColor="background2" w:themeShade="80"/>
          <w:sz w:val="22"/>
          <w:szCs w:val="22"/>
          <w:lang w:val="en-GB"/>
        </w:rPr>
        <w:t>can be taken into account</w:t>
      </w:r>
      <w:r w:rsidR="003D1B95" w:rsidRPr="00B22CE8">
        <w:rPr>
          <w:rStyle w:val="FootnoteReference"/>
          <w:rFonts w:ascii="Avenir Next" w:hAnsi="Avenir Next" w:cs="Arial"/>
          <w:color w:val="767171" w:themeColor="background2" w:themeShade="80"/>
          <w:sz w:val="22"/>
          <w:szCs w:val="22"/>
          <w:lang w:val="en-GB"/>
        </w:rPr>
        <w:footnoteReference w:id="4"/>
      </w:r>
      <w:r w:rsidR="003D1B95" w:rsidRPr="00B22CE8">
        <w:rPr>
          <w:rFonts w:ascii="Avenir Next" w:hAnsi="Avenir Next" w:cs="Arial"/>
          <w:color w:val="767171" w:themeColor="background2" w:themeShade="80"/>
          <w:sz w:val="22"/>
          <w:szCs w:val="22"/>
          <w:lang w:val="en-GB"/>
        </w:rPr>
        <w:t xml:space="preserve">. </w:t>
      </w:r>
    </w:p>
    <w:p w14:paraId="704D4B40" w14:textId="77777777" w:rsidR="000843C3" w:rsidRPr="00B22CE8" w:rsidRDefault="000843C3" w:rsidP="000843C3">
      <w:pPr>
        <w:pStyle w:val="ListParagraph"/>
        <w:rPr>
          <w:rFonts w:ascii="Avenir Next" w:hAnsi="Avenir Next" w:cs="Arial"/>
          <w:color w:val="767171" w:themeColor="background2" w:themeShade="80"/>
          <w:sz w:val="22"/>
          <w:szCs w:val="22"/>
          <w:lang w:val="en-GB"/>
        </w:rPr>
      </w:pPr>
    </w:p>
    <w:p w14:paraId="2BB59621" w14:textId="01D2D427" w:rsidR="000843C3" w:rsidRPr="00B22CE8" w:rsidRDefault="000843C3" w:rsidP="000843C3">
      <w:p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Sealey and Hooley</w:t>
      </w:r>
      <w:r w:rsidRPr="00B22CE8">
        <w:rPr>
          <w:rStyle w:val="FootnoteReference"/>
          <w:rFonts w:ascii="Avenir Next" w:hAnsi="Avenir Next" w:cs="Arial"/>
          <w:color w:val="767171" w:themeColor="background2" w:themeShade="80"/>
          <w:sz w:val="22"/>
          <w:szCs w:val="22"/>
          <w:lang w:val="en-GB"/>
        </w:rPr>
        <w:footnoteReference w:id="5"/>
      </w:r>
      <w:r w:rsidRPr="00B22CE8">
        <w:rPr>
          <w:rFonts w:ascii="Avenir Next" w:hAnsi="Avenir Next" w:cs="Arial"/>
          <w:color w:val="767171" w:themeColor="background2" w:themeShade="80"/>
          <w:sz w:val="22"/>
          <w:szCs w:val="22"/>
          <w:lang w:val="en-GB"/>
        </w:rPr>
        <w:t xml:space="preserve"> state that the objectives of insolvency for corporations are: </w:t>
      </w:r>
    </w:p>
    <w:p w14:paraId="73834DA3" w14:textId="77777777" w:rsidR="000843C3" w:rsidRPr="00B22CE8" w:rsidRDefault="000843C3" w:rsidP="000843C3">
      <w:pPr>
        <w:jc w:val="both"/>
        <w:rPr>
          <w:rFonts w:ascii="Avenir Next" w:hAnsi="Avenir Next" w:cs="Arial"/>
          <w:color w:val="767171" w:themeColor="background2" w:themeShade="80"/>
          <w:sz w:val="22"/>
          <w:szCs w:val="22"/>
          <w:lang w:val="en-GB"/>
        </w:rPr>
      </w:pPr>
    </w:p>
    <w:p w14:paraId="1A63CD97" w14:textId="6BAC8829" w:rsidR="000843C3" w:rsidRPr="00B22CE8" w:rsidRDefault="00C57C2C" w:rsidP="00C57C2C">
      <w:pPr>
        <w:pStyle w:val="ListParagraph"/>
        <w:numPr>
          <w:ilvl w:val="0"/>
          <w:numId w:val="25"/>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Where possible, to preserve the business (or the viable parts thereof), although not necessarily the company; </w:t>
      </w:r>
    </w:p>
    <w:p w14:paraId="7157D610" w14:textId="77777777" w:rsidR="00C57C2C" w:rsidRPr="00B22CE8" w:rsidRDefault="00C57C2C" w:rsidP="00C57C2C">
      <w:pPr>
        <w:pStyle w:val="ListParagraph"/>
        <w:ind w:left="1080"/>
        <w:jc w:val="both"/>
        <w:rPr>
          <w:rFonts w:ascii="Avenir Next" w:hAnsi="Avenir Next" w:cs="Arial"/>
          <w:color w:val="767171" w:themeColor="background2" w:themeShade="80"/>
          <w:sz w:val="22"/>
          <w:szCs w:val="22"/>
          <w:lang w:val="en-GB"/>
        </w:rPr>
      </w:pPr>
    </w:p>
    <w:p w14:paraId="2AA9D21B" w14:textId="398ED7CB" w:rsidR="00C57C2C" w:rsidRPr="00B22CE8" w:rsidRDefault="00C57C2C" w:rsidP="00C57C2C">
      <w:pPr>
        <w:pStyle w:val="ListParagraph"/>
        <w:numPr>
          <w:ilvl w:val="0"/>
          <w:numId w:val="25"/>
        </w:numPr>
        <w:jc w:val="both"/>
        <w:rPr>
          <w:rFonts w:ascii="Avenir Next" w:hAnsi="Avenir Next" w:cs="Arial"/>
          <w:color w:val="767171" w:themeColor="background2" w:themeShade="80"/>
          <w:sz w:val="22"/>
          <w:szCs w:val="22"/>
          <w:lang w:val="en-GB"/>
        </w:rPr>
      </w:pPr>
      <w:r w:rsidRPr="00B22CE8">
        <w:rPr>
          <w:rFonts w:ascii="Avenir Next" w:hAnsi="Avenir Next" w:cs="Arial"/>
          <w:color w:val="767171" w:themeColor="background2" w:themeShade="80"/>
          <w:sz w:val="22"/>
          <w:szCs w:val="22"/>
          <w:lang w:val="en-GB"/>
        </w:rPr>
        <w:t xml:space="preserve">To impose personal liability on responsible persons where personal liability has been abused. </w:t>
      </w:r>
    </w:p>
    <w:p w14:paraId="29B0A20E" w14:textId="77777777" w:rsidR="00980E7F" w:rsidRPr="00827D56" w:rsidRDefault="00980E7F" w:rsidP="00C053F7">
      <w:pPr>
        <w:jc w:val="both"/>
        <w:rPr>
          <w:rFonts w:ascii="Avenir Next" w:hAnsi="Avenir Next" w:cs="Arial"/>
          <w:sz w:val="22"/>
          <w:szCs w:val="22"/>
          <w:lang w:val="en-GB"/>
        </w:rPr>
      </w:pPr>
    </w:p>
    <w:p w14:paraId="755D6AFF" w14:textId="36B9114E" w:rsidR="00C550C8" w:rsidRPr="00CB6905" w:rsidRDefault="00C550C8" w:rsidP="00C053F7">
      <w:pPr>
        <w:ind w:left="720" w:hanging="720"/>
        <w:jc w:val="both"/>
        <w:rPr>
          <w:rFonts w:ascii="Avenir Next Demi Bold" w:hAnsi="Avenir Next Demi Bold" w:cs="Arial"/>
          <w:b/>
          <w:bCs/>
          <w:sz w:val="22"/>
          <w:szCs w:val="22"/>
          <w:lang w:val="en-GB"/>
        </w:rPr>
      </w:pPr>
      <w:r w:rsidRPr="00CB6905">
        <w:rPr>
          <w:rFonts w:ascii="Avenir Next Demi Bold" w:hAnsi="Avenir Next Demi Bold" w:cs="Arial"/>
          <w:b/>
          <w:bCs/>
          <w:sz w:val="22"/>
          <w:szCs w:val="22"/>
          <w:lang w:val="en-GB"/>
        </w:rPr>
        <w:t xml:space="preserve">Question </w:t>
      </w:r>
      <w:r w:rsidR="00544127" w:rsidRPr="00CB6905">
        <w:rPr>
          <w:rFonts w:ascii="Avenir Next Demi Bold" w:hAnsi="Avenir Next Demi Bold" w:cs="Arial"/>
          <w:b/>
          <w:bCs/>
          <w:sz w:val="22"/>
          <w:szCs w:val="22"/>
          <w:lang w:val="en-GB"/>
        </w:rPr>
        <w:t>3.2</w:t>
      </w:r>
      <w:r w:rsidRPr="00CB6905">
        <w:rPr>
          <w:rFonts w:ascii="Avenir Next Demi Bold" w:hAnsi="Avenir Next Demi Bold" w:cs="Arial"/>
          <w:b/>
          <w:bCs/>
          <w:sz w:val="22"/>
          <w:szCs w:val="22"/>
          <w:lang w:val="en-GB"/>
        </w:rPr>
        <w:t xml:space="preserve"> [</w:t>
      </w:r>
      <w:r w:rsidR="006A2646" w:rsidRPr="00CB6905">
        <w:rPr>
          <w:rFonts w:ascii="Avenir Next Demi Bold" w:hAnsi="Avenir Next Demi Bold" w:cs="Arial"/>
          <w:b/>
          <w:bCs/>
          <w:sz w:val="22"/>
          <w:szCs w:val="22"/>
          <w:lang w:val="en-GB"/>
        </w:rPr>
        <w:t>m</w:t>
      </w:r>
      <w:r w:rsidRPr="00CB6905">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48F827B" w14:textId="24E5BF52" w:rsidR="009D3EB4" w:rsidRPr="00B22CE8" w:rsidRDefault="00793F08" w:rsidP="00C053F7">
      <w:pPr>
        <w:jc w:val="both"/>
        <w:rPr>
          <w:rFonts w:ascii="Avenir Next" w:hAnsi="Avenir Next" w:cs="Arial"/>
          <w:color w:val="7B7B7B" w:themeColor="accent3" w:themeShade="BF"/>
          <w:sz w:val="22"/>
          <w:szCs w:val="22"/>
          <w:lang w:val="en-GB"/>
        </w:rPr>
      </w:pPr>
      <w:r w:rsidRPr="00B22CE8">
        <w:rPr>
          <w:rFonts w:ascii="Avenir Next" w:hAnsi="Avenir Next" w:cs="Arial"/>
          <w:color w:val="7B7B7B" w:themeColor="accent3" w:themeShade="BF"/>
          <w:sz w:val="22"/>
          <w:szCs w:val="22"/>
          <w:lang w:val="en-GB"/>
        </w:rPr>
        <w:t>There are many difficulties that may be encountered when considering insolvency law in a cross-border context.</w:t>
      </w:r>
      <w:r w:rsidR="00CB6905" w:rsidRPr="00B22CE8">
        <w:rPr>
          <w:rFonts w:ascii="Avenir Next" w:hAnsi="Avenir Next" w:cs="Arial"/>
          <w:color w:val="7B7B7B" w:themeColor="accent3" w:themeShade="BF"/>
          <w:sz w:val="22"/>
          <w:szCs w:val="22"/>
          <w:lang w:val="en-GB"/>
        </w:rPr>
        <w:t xml:space="preserve"> </w:t>
      </w:r>
      <w:r w:rsidRPr="00B22CE8">
        <w:rPr>
          <w:rFonts w:ascii="Avenir Next" w:hAnsi="Avenir Next" w:cs="Arial"/>
          <w:color w:val="7B7B7B" w:themeColor="accent3" w:themeShade="BF"/>
          <w:sz w:val="22"/>
          <w:szCs w:val="22"/>
          <w:lang w:val="en-GB"/>
        </w:rPr>
        <w:t xml:space="preserve">At a basic level, it </w:t>
      </w:r>
      <w:r w:rsidR="00131A7E" w:rsidRPr="00B22CE8">
        <w:rPr>
          <w:rFonts w:ascii="Avenir Next" w:hAnsi="Avenir Next" w:cs="Arial"/>
          <w:color w:val="7B7B7B" w:themeColor="accent3" w:themeShade="BF"/>
          <w:sz w:val="22"/>
          <w:szCs w:val="22"/>
          <w:lang w:val="en-GB"/>
        </w:rPr>
        <w:t>can prove difficult to establish an 'insolvency language'. For example, even establishing "insolvency" (i.e. the reason for commencing proceedings) can be difficult in a cross-border context</w:t>
      </w:r>
      <w:r w:rsidR="009564D0" w:rsidRPr="00B22CE8">
        <w:rPr>
          <w:rFonts w:ascii="Avenir Next" w:hAnsi="Avenir Next" w:cs="Arial"/>
          <w:color w:val="7B7B7B" w:themeColor="accent3" w:themeShade="BF"/>
          <w:sz w:val="22"/>
          <w:szCs w:val="22"/>
          <w:lang w:val="en-GB"/>
        </w:rPr>
        <w:t>, even if readily apparent in a domestic context</w:t>
      </w:r>
      <w:r w:rsidR="00F34246" w:rsidRPr="00B22CE8">
        <w:rPr>
          <w:rFonts w:ascii="Avenir Next" w:hAnsi="Avenir Next" w:cs="Arial"/>
          <w:color w:val="7B7B7B" w:themeColor="accent3" w:themeShade="BF"/>
          <w:sz w:val="22"/>
          <w:szCs w:val="22"/>
          <w:lang w:val="en-GB"/>
        </w:rPr>
        <w:t>; for example, it is sufficient to demonstrate a short-term inability to service debts (i.e. a 'passing' liquidity crisis)</w:t>
      </w:r>
      <w:r w:rsidR="005D13AF" w:rsidRPr="00B22CE8">
        <w:rPr>
          <w:rFonts w:ascii="Avenir Next" w:hAnsi="Avenir Next" w:cs="Arial"/>
          <w:color w:val="7B7B7B" w:themeColor="accent3" w:themeShade="BF"/>
          <w:sz w:val="22"/>
          <w:szCs w:val="22"/>
          <w:lang w:val="en-GB"/>
        </w:rPr>
        <w:t xml:space="preserve">, or does this situation have to persist over a longer period to evidence </w:t>
      </w:r>
      <w:r w:rsidR="00B54A93" w:rsidRPr="00B22CE8">
        <w:rPr>
          <w:rFonts w:ascii="Avenir Next" w:hAnsi="Avenir Next" w:cs="Arial"/>
          <w:color w:val="7B7B7B" w:themeColor="accent3" w:themeShade="BF"/>
          <w:sz w:val="22"/>
          <w:szCs w:val="22"/>
          <w:lang w:val="en-GB"/>
        </w:rPr>
        <w:t xml:space="preserve">a required standard of </w:t>
      </w:r>
      <w:r w:rsidR="005D13AF" w:rsidRPr="00B22CE8">
        <w:rPr>
          <w:rFonts w:ascii="Avenir Next" w:hAnsi="Avenir Next" w:cs="Arial"/>
          <w:color w:val="7B7B7B" w:themeColor="accent3" w:themeShade="BF"/>
          <w:sz w:val="22"/>
          <w:szCs w:val="22"/>
          <w:lang w:val="en-GB"/>
        </w:rPr>
        <w:t xml:space="preserve">negative net worth? </w:t>
      </w:r>
      <w:r w:rsidR="005378A5" w:rsidRPr="00B22CE8">
        <w:rPr>
          <w:rFonts w:ascii="Avenir Next" w:hAnsi="Avenir Next" w:cs="Arial"/>
          <w:color w:val="7B7B7B" w:themeColor="accent3" w:themeShade="BF"/>
          <w:sz w:val="22"/>
          <w:szCs w:val="22"/>
          <w:lang w:val="en-GB"/>
        </w:rPr>
        <w:t xml:space="preserve">This </w:t>
      </w:r>
      <w:r w:rsidR="00CB6905" w:rsidRPr="00B22CE8">
        <w:rPr>
          <w:rFonts w:ascii="Avenir Next" w:hAnsi="Avenir Next" w:cs="Arial"/>
          <w:color w:val="7B7B7B" w:themeColor="accent3" w:themeShade="BF"/>
          <w:sz w:val="22"/>
          <w:szCs w:val="22"/>
          <w:lang w:val="en-GB"/>
        </w:rPr>
        <w:t xml:space="preserve">insolvency </w:t>
      </w:r>
      <w:r w:rsidR="005378A5" w:rsidRPr="00B22CE8">
        <w:rPr>
          <w:rFonts w:ascii="Avenir Next" w:hAnsi="Avenir Next" w:cs="Arial"/>
          <w:color w:val="7B7B7B" w:themeColor="accent3" w:themeShade="BF"/>
          <w:sz w:val="22"/>
          <w:szCs w:val="22"/>
          <w:lang w:val="en-GB"/>
        </w:rPr>
        <w:t xml:space="preserve">'language barrier' </w:t>
      </w:r>
      <w:r w:rsidR="00B54A93" w:rsidRPr="00B22CE8">
        <w:rPr>
          <w:rFonts w:ascii="Avenir Next" w:hAnsi="Avenir Next" w:cs="Arial"/>
          <w:color w:val="7B7B7B" w:themeColor="accent3" w:themeShade="BF"/>
          <w:sz w:val="22"/>
          <w:szCs w:val="22"/>
          <w:lang w:val="en-GB"/>
        </w:rPr>
        <w:t>will</w:t>
      </w:r>
      <w:r w:rsidR="005378A5" w:rsidRPr="00B22CE8">
        <w:rPr>
          <w:rFonts w:ascii="Avenir Next" w:hAnsi="Avenir Next" w:cs="Arial"/>
          <w:color w:val="7B7B7B" w:themeColor="accent3" w:themeShade="BF"/>
          <w:sz w:val="22"/>
          <w:szCs w:val="22"/>
          <w:lang w:val="en-GB"/>
        </w:rPr>
        <w:t xml:space="preserve"> not be surmountable by reference to </w:t>
      </w:r>
      <w:r w:rsidR="00D236D3" w:rsidRPr="00B22CE8">
        <w:rPr>
          <w:rFonts w:ascii="Avenir Next" w:hAnsi="Avenir Next" w:cs="Arial"/>
          <w:color w:val="7B7B7B" w:themeColor="accent3" w:themeShade="BF"/>
          <w:sz w:val="22"/>
          <w:szCs w:val="22"/>
          <w:lang w:val="en-GB"/>
        </w:rPr>
        <w:t xml:space="preserve">governing legislation </w:t>
      </w:r>
      <w:r w:rsidR="003A799E" w:rsidRPr="00B22CE8">
        <w:rPr>
          <w:rFonts w:ascii="Avenir Next" w:hAnsi="Avenir Next" w:cs="Arial"/>
          <w:color w:val="7B7B7B" w:themeColor="accent3" w:themeShade="BF"/>
          <w:sz w:val="22"/>
          <w:szCs w:val="22"/>
          <w:lang w:val="en-GB"/>
        </w:rPr>
        <w:t xml:space="preserve">as there will likely be a conflict of laws </w:t>
      </w:r>
      <w:r w:rsidR="00CB6905" w:rsidRPr="00B22CE8">
        <w:rPr>
          <w:rFonts w:ascii="Avenir Next" w:hAnsi="Avenir Next" w:cs="Arial"/>
          <w:color w:val="7B7B7B" w:themeColor="accent3" w:themeShade="BF"/>
          <w:sz w:val="22"/>
          <w:szCs w:val="22"/>
          <w:lang w:val="en-GB"/>
        </w:rPr>
        <w:t>between different sets of domestic legislation. This conflict will "</w:t>
      </w:r>
      <w:r w:rsidR="00CB6905" w:rsidRPr="002C1502">
        <w:rPr>
          <w:rFonts w:ascii="Avenir Next" w:hAnsi="Avenir Next" w:cs="Arial"/>
          <w:i/>
          <w:iCs/>
          <w:color w:val="7B7B7B" w:themeColor="accent3" w:themeShade="BF"/>
          <w:sz w:val="22"/>
          <w:szCs w:val="22"/>
          <w:lang w:val="en-GB"/>
        </w:rPr>
        <w:t>be made more complex by the presence of qualifications, including the presence of security, set-off and netting arrangements, retention of title clauses and other means of protecting title available to creditors in national laws</w:t>
      </w:r>
      <w:r w:rsidR="00CB6905" w:rsidRPr="00B22CE8">
        <w:rPr>
          <w:rFonts w:ascii="Avenir Next" w:hAnsi="Avenir Next" w:cs="Arial"/>
          <w:color w:val="7B7B7B" w:themeColor="accent3" w:themeShade="BF"/>
          <w:sz w:val="22"/>
          <w:szCs w:val="22"/>
          <w:lang w:val="en-GB"/>
        </w:rPr>
        <w:t>"</w:t>
      </w:r>
      <w:r w:rsidR="00CB6905" w:rsidRPr="002C1502">
        <w:rPr>
          <w:color w:val="7B7B7B" w:themeColor="accent3" w:themeShade="BF"/>
          <w:vertAlign w:val="superscript"/>
        </w:rPr>
        <w:footnoteReference w:id="6"/>
      </w:r>
      <w:r w:rsidR="00CB6905" w:rsidRPr="00B22CE8">
        <w:rPr>
          <w:rFonts w:ascii="Avenir Next" w:hAnsi="Avenir Next" w:cs="Arial"/>
          <w:color w:val="7B7B7B" w:themeColor="accent3" w:themeShade="BF"/>
          <w:sz w:val="22"/>
          <w:szCs w:val="22"/>
          <w:lang w:val="en-GB"/>
        </w:rPr>
        <w:t xml:space="preserve">. </w:t>
      </w:r>
      <w:r w:rsidR="00F6551C" w:rsidRPr="00B22CE8">
        <w:rPr>
          <w:rFonts w:ascii="Avenir Next" w:hAnsi="Avenir Next" w:cs="Arial"/>
          <w:color w:val="7B7B7B" w:themeColor="accent3" w:themeShade="BF"/>
          <w:sz w:val="22"/>
          <w:szCs w:val="22"/>
          <w:lang w:val="en-GB"/>
        </w:rPr>
        <w:t xml:space="preserve">Additionally, different countries are likely to view insolvency </w:t>
      </w:r>
      <w:r w:rsidR="00950FD8" w:rsidRPr="00B22CE8">
        <w:rPr>
          <w:rFonts w:ascii="Avenir Next" w:hAnsi="Avenir Next" w:cs="Arial"/>
          <w:color w:val="7B7B7B" w:themeColor="accent3" w:themeShade="BF"/>
          <w:sz w:val="22"/>
          <w:szCs w:val="22"/>
          <w:lang w:val="en-GB"/>
        </w:rPr>
        <w:t xml:space="preserve">proceedings </w:t>
      </w:r>
      <w:r w:rsidR="00F6551C" w:rsidRPr="00B22CE8">
        <w:rPr>
          <w:rFonts w:ascii="Avenir Next" w:hAnsi="Avenir Next" w:cs="Arial"/>
          <w:color w:val="7B7B7B" w:themeColor="accent3" w:themeShade="BF"/>
          <w:sz w:val="22"/>
          <w:szCs w:val="22"/>
          <w:lang w:val="en-GB"/>
        </w:rPr>
        <w:t>from different perspectives</w:t>
      </w:r>
      <w:r w:rsidR="009D3EB4" w:rsidRPr="00B22CE8">
        <w:rPr>
          <w:rFonts w:ascii="Avenir Next" w:hAnsi="Avenir Next" w:cs="Arial"/>
          <w:color w:val="7B7B7B" w:themeColor="accent3" w:themeShade="BF"/>
          <w:sz w:val="22"/>
          <w:szCs w:val="22"/>
          <w:lang w:val="en-GB"/>
        </w:rPr>
        <w:t xml:space="preserve">. For example: </w:t>
      </w:r>
    </w:p>
    <w:p w14:paraId="4FE09FD5" w14:textId="77777777" w:rsidR="009D3EB4" w:rsidRPr="00B22CE8" w:rsidRDefault="009D3EB4" w:rsidP="00C053F7">
      <w:pPr>
        <w:jc w:val="both"/>
        <w:rPr>
          <w:rFonts w:ascii="Avenir Next" w:hAnsi="Avenir Next" w:cs="Arial"/>
          <w:color w:val="7B7B7B" w:themeColor="accent3" w:themeShade="BF"/>
          <w:sz w:val="22"/>
          <w:szCs w:val="22"/>
          <w:lang w:val="en-GB"/>
        </w:rPr>
      </w:pPr>
    </w:p>
    <w:p w14:paraId="55B919AA" w14:textId="77777777" w:rsidR="009D3EB4" w:rsidRPr="00B22CE8" w:rsidRDefault="00F6551C" w:rsidP="009D3EB4">
      <w:pPr>
        <w:pStyle w:val="ListParagraph"/>
        <w:numPr>
          <w:ilvl w:val="0"/>
          <w:numId w:val="26"/>
        </w:numPr>
        <w:jc w:val="both"/>
        <w:rPr>
          <w:rFonts w:ascii="Avenir Next" w:hAnsi="Avenir Next" w:cs="Arial"/>
          <w:color w:val="7B7B7B" w:themeColor="accent3" w:themeShade="BF"/>
          <w:sz w:val="22"/>
          <w:szCs w:val="22"/>
          <w:lang w:val="en-GB"/>
        </w:rPr>
      </w:pPr>
      <w:r w:rsidRPr="00B22CE8">
        <w:rPr>
          <w:rFonts w:ascii="Avenir Next" w:hAnsi="Avenir Next" w:cs="Arial"/>
          <w:color w:val="7B7B7B" w:themeColor="accent3" w:themeShade="BF"/>
          <w:sz w:val="22"/>
          <w:szCs w:val="22"/>
          <w:lang w:val="en-GB"/>
        </w:rPr>
        <w:t>some states advocat</w:t>
      </w:r>
      <w:r w:rsidR="009D3EB4" w:rsidRPr="00B22CE8">
        <w:rPr>
          <w:rFonts w:ascii="Avenir Next" w:hAnsi="Avenir Next" w:cs="Arial"/>
          <w:color w:val="7B7B7B" w:themeColor="accent3" w:themeShade="BF"/>
          <w:sz w:val="22"/>
          <w:szCs w:val="22"/>
          <w:lang w:val="en-GB"/>
        </w:rPr>
        <w:t xml:space="preserve">e for </w:t>
      </w:r>
      <w:r w:rsidRPr="00B22CE8">
        <w:rPr>
          <w:rFonts w:ascii="Avenir Next" w:hAnsi="Avenir Next" w:cs="Arial"/>
          <w:color w:val="7B7B7B" w:themeColor="accent3" w:themeShade="BF"/>
          <w:sz w:val="22"/>
          <w:szCs w:val="22"/>
          <w:lang w:val="en-GB"/>
        </w:rPr>
        <w:t xml:space="preserve">a 'pro creditor' approach whereas others advocate for a 'pro debtor' </w:t>
      </w:r>
      <w:r w:rsidR="009D3EB4" w:rsidRPr="00B22CE8">
        <w:rPr>
          <w:rFonts w:ascii="Avenir Next" w:hAnsi="Avenir Next" w:cs="Arial"/>
          <w:color w:val="7B7B7B" w:themeColor="accent3" w:themeShade="BF"/>
          <w:sz w:val="22"/>
          <w:szCs w:val="22"/>
          <w:lang w:val="en-GB"/>
        </w:rPr>
        <w:t xml:space="preserve">approach; </w:t>
      </w:r>
    </w:p>
    <w:p w14:paraId="44904E3D" w14:textId="77777777" w:rsidR="009D3EB4" w:rsidRPr="00B22CE8" w:rsidRDefault="009D3EB4" w:rsidP="009D3EB4">
      <w:pPr>
        <w:pStyle w:val="ListParagraph"/>
        <w:ind w:left="360"/>
        <w:jc w:val="both"/>
        <w:rPr>
          <w:rFonts w:ascii="Avenir Next" w:hAnsi="Avenir Next" w:cs="Arial"/>
          <w:color w:val="7B7B7B" w:themeColor="accent3" w:themeShade="BF"/>
          <w:sz w:val="22"/>
          <w:szCs w:val="22"/>
          <w:lang w:val="en-GB"/>
        </w:rPr>
      </w:pPr>
    </w:p>
    <w:p w14:paraId="43279BB5" w14:textId="77777777" w:rsidR="00617E11" w:rsidRPr="00B22CE8" w:rsidRDefault="00617E11" w:rsidP="009D3EB4">
      <w:pPr>
        <w:pStyle w:val="ListParagraph"/>
        <w:numPr>
          <w:ilvl w:val="0"/>
          <w:numId w:val="26"/>
        </w:numPr>
        <w:jc w:val="both"/>
        <w:rPr>
          <w:rFonts w:ascii="Avenir Next" w:hAnsi="Avenir Next" w:cs="Arial"/>
          <w:color w:val="7B7B7B" w:themeColor="accent3" w:themeShade="BF"/>
          <w:sz w:val="22"/>
          <w:szCs w:val="22"/>
          <w:lang w:val="en-GB"/>
        </w:rPr>
      </w:pPr>
      <w:r w:rsidRPr="00B22CE8">
        <w:rPr>
          <w:rFonts w:ascii="Avenir Next" w:hAnsi="Avenir Next" w:cs="Arial"/>
          <w:color w:val="7B7B7B" w:themeColor="accent3" w:themeShade="BF"/>
          <w:sz w:val="22"/>
          <w:szCs w:val="22"/>
          <w:lang w:val="en-GB"/>
        </w:rPr>
        <w:t xml:space="preserve">some states emphasise interests that are important in their domestic context, but which may be less important to other states (for example, labour rights are of more importance in French insolvency proceedings than in English proceedings); </w:t>
      </w:r>
    </w:p>
    <w:p w14:paraId="618D473E" w14:textId="77777777" w:rsidR="00617E11" w:rsidRPr="00B22CE8" w:rsidRDefault="00617E11" w:rsidP="00617E11">
      <w:pPr>
        <w:pStyle w:val="ListParagraph"/>
        <w:rPr>
          <w:rFonts w:ascii="Avenir Next" w:hAnsi="Avenir Next" w:cs="Arial"/>
          <w:color w:val="7B7B7B" w:themeColor="accent3" w:themeShade="BF"/>
          <w:sz w:val="22"/>
          <w:szCs w:val="22"/>
          <w:lang w:val="en-GB"/>
        </w:rPr>
      </w:pPr>
    </w:p>
    <w:p w14:paraId="5891DDD8" w14:textId="29EC789C" w:rsidR="00CB6905" w:rsidRPr="00B22CE8" w:rsidRDefault="0065451C" w:rsidP="00C053F7">
      <w:pPr>
        <w:pStyle w:val="ListParagraph"/>
        <w:numPr>
          <w:ilvl w:val="0"/>
          <w:numId w:val="26"/>
        </w:numPr>
        <w:jc w:val="both"/>
        <w:rPr>
          <w:rFonts w:ascii="Avenir Next" w:hAnsi="Avenir Next" w:cs="Arial"/>
          <w:color w:val="7B7B7B" w:themeColor="accent3" w:themeShade="BF"/>
          <w:sz w:val="22"/>
          <w:szCs w:val="22"/>
          <w:lang w:val="en-GB"/>
        </w:rPr>
      </w:pPr>
      <w:r w:rsidRPr="00B22CE8">
        <w:rPr>
          <w:rFonts w:ascii="Avenir Next" w:hAnsi="Avenir Next" w:cs="Arial"/>
          <w:color w:val="7B7B7B" w:themeColor="accent3" w:themeShade="BF"/>
          <w:sz w:val="22"/>
          <w:szCs w:val="22"/>
          <w:lang w:val="en-GB"/>
        </w:rPr>
        <w:t>some states are more unwilling than others to recognise</w:t>
      </w:r>
      <w:r w:rsidR="00950FD8" w:rsidRPr="00B22CE8">
        <w:rPr>
          <w:rFonts w:ascii="Avenir Next" w:hAnsi="Avenir Next" w:cs="Arial"/>
          <w:color w:val="7B7B7B" w:themeColor="accent3" w:themeShade="BF"/>
          <w:sz w:val="22"/>
          <w:szCs w:val="22"/>
          <w:lang w:val="en-GB"/>
        </w:rPr>
        <w:t xml:space="preserve"> foreign public claims, for example for taxes or social security. </w:t>
      </w:r>
      <w:r w:rsidR="00F6551C" w:rsidRPr="00B22CE8">
        <w:rPr>
          <w:rFonts w:ascii="Avenir Next" w:hAnsi="Avenir Next" w:cs="Arial"/>
          <w:color w:val="7B7B7B" w:themeColor="accent3" w:themeShade="BF"/>
          <w:sz w:val="22"/>
          <w:szCs w:val="22"/>
          <w:lang w:val="en-GB"/>
        </w:rPr>
        <w:t xml:space="preserve">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4188B99" w14:textId="77777777" w:rsidR="00B54A93" w:rsidRDefault="00B54A93" w:rsidP="00C053F7">
      <w:pPr>
        <w:ind w:left="720" w:hanging="720"/>
        <w:jc w:val="both"/>
        <w:rPr>
          <w:rFonts w:ascii="Avenir Next Demi Bold" w:hAnsi="Avenir Next Demi Bold" w:cs="Arial"/>
          <w:b/>
          <w:bCs/>
          <w:color w:val="FF0000"/>
          <w:sz w:val="22"/>
          <w:szCs w:val="22"/>
          <w:shd w:val="clear" w:color="auto" w:fill="FFFFFF"/>
          <w:lang w:val="en-GB"/>
        </w:rPr>
      </w:pPr>
    </w:p>
    <w:p w14:paraId="4B3595C7" w14:textId="1CE97ACB" w:rsidR="00DF75F8" w:rsidRPr="00225707" w:rsidRDefault="00DF75F8" w:rsidP="00C053F7">
      <w:pPr>
        <w:ind w:left="720" w:hanging="720"/>
        <w:jc w:val="both"/>
        <w:rPr>
          <w:rFonts w:ascii="Avenir Next Demi Bold" w:hAnsi="Avenir Next Demi Bold" w:cs="Arial"/>
          <w:b/>
          <w:bCs/>
          <w:sz w:val="22"/>
          <w:szCs w:val="22"/>
          <w:shd w:val="clear" w:color="auto" w:fill="FFFFFF"/>
          <w:lang w:val="en-GB"/>
        </w:rPr>
      </w:pPr>
      <w:r w:rsidRPr="00225707">
        <w:rPr>
          <w:rFonts w:ascii="Avenir Next Demi Bold" w:hAnsi="Avenir Next Demi Bold" w:cs="Arial"/>
          <w:b/>
          <w:bCs/>
          <w:sz w:val="22"/>
          <w:szCs w:val="22"/>
          <w:shd w:val="clear" w:color="auto" w:fill="FFFFFF"/>
          <w:lang w:val="en-GB"/>
        </w:rPr>
        <w:lastRenderedPageBreak/>
        <w:t xml:space="preserve">Question </w:t>
      </w:r>
      <w:r w:rsidR="00962045" w:rsidRPr="00225707">
        <w:rPr>
          <w:rFonts w:ascii="Avenir Next Demi Bold" w:hAnsi="Avenir Next Demi Bold" w:cs="Arial"/>
          <w:b/>
          <w:bCs/>
          <w:sz w:val="22"/>
          <w:szCs w:val="22"/>
          <w:shd w:val="clear" w:color="auto" w:fill="FFFFFF"/>
          <w:lang w:val="en-GB"/>
        </w:rPr>
        <w:t>3.</w:t>
      </w:r>
      <w:r w:rsidR="00807119" w:rsidRPr="00225707">
        <w:rPr>
          <w:rFonts w:ascii="Avenir Next Demi Bold" w:hAnsi="Avenir Next Demi Bold" w:cs="Arial"/>
          <w:b/>
          <w:bCs/>
          <w:sz w:val="22"/>
          <w:szCs w:val="22"/>
          <w:shd w:val="clear" w:color="auto" w:fill="FFFFFF"/>
          <w:lang w:val="en-GB"/>
        </w:rPr>
        <w:t>3</w:t>
      </w:r>
      <w:r w:rsidRPr="00225707">
        <w:rPr>
          <w:rFonts w:ascii="Avenir Next Demi Bold" w:hAnsi="Avenir Next Demi Bold" w:cs="Arial"/>
          <w:b/>
          <w:bCs/>
          <w:sz w:val="22"/>
          <w:szCs w:val="22"/>
          <w:shd w:val="clear" w:color="auto" w:fill="FFFFFF"/>
          <w:lang w:val="en-GB"/>
        </w:rPr>
        <w:t xml:space="preserve"> </w:t>
      </w:r>
      <w:r w:rsidRPr="00225707">
        <w:rPr>
          <w:rFonts w:ascii="Avenir Next Demi Bold" w:hAnsi="Avenir Next Demi Bold" w:cs="Arial"/>
          <w:b/>
          <w:bCs/>
          <w:sz w:val="22"/>
          <w:szCs w:val="22"/>
          <w:lang w:val="en-GB"/>
        </w:rPr>
        <w:t>[</w:t>
      </w:r>
      <w:r w:rsidR="006A2646" w:rsidRPr="00225707">
        <w:rPr>
          <w:rFonts w:ascii="Avenir Next Demi Bold" w:hAnsi="Avenir Next Demi Bold" w:cs="Arial"/>
          <w:b/>
          <w:bCs/>
          <w:sz w:val="22"/>
          <w:szCs w:val="22"/>
          <w:lang w:val="en-GB"/>
        </w:rPr>
        <w:t>m</w:t>
      </w:r>
      <w:r w:rsidRPr="00225707">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0860362" w:rsidR="00DF75F8" w:rsidRDefault="00E60D0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Across the </w:t>
      </w:r>
      <w:r w:rsidR="003860B9">
        <w:rPr>
          <w:rFonts w:ascii="Avenir Next" w:hAnsi="Avenir Next" w:cs="Arial"/>
          <w:color w:val="7B7B7B" w:themeColor="accent3" w:themeShade="BF"/>
          <w:sz w:val="22"/>
          <w:szCs w:val="22"/>
          <w:lang w:val="en-GB"/>
        </w:rPr>
        <w:t>21</w:t>
      </w:r>
      <w:r w:rsidR="003860B9" w:rsidRPr="003860B9">
        <w:rPr>
          <w:rFonts w:ascii="Avenir Next" w:hAnsi="Avenir Next" w:cs="Arial"/>
          <w:color w:val="7B7B7B" w:themeColor="accent3" w:themeShade="BF"/>
          <w:sz w:val="22"/>
          <w:szCs w:val="22"/>
          <w:vertAlign w:val="superscript"/>
          <w:lang w:val="en-GB"/>
        </w:rPr>
        <w:t>st</w:t>
      </w:r>
      <w:r w:rsidR="003860B9">
        <w:rPr>
          <w:rFonts w:ascii="Avenir Next" w:hAnsi="Avenir Next" w:cs="Arial"/>
          <w:color w:val="7B7B7B" w:themeColor="accent3" w:themeShade="BF"/>
          <w:sz w:val="22"/>
          <w:szCs w:val="22"/>
          <w:lang w:val="en-GB"/>
        </w:rPr>
        <w:t xml:space="preserve"> century, various initiatives have attempted to harmonise domestic insolvency law, and their impact on international insolvency, including: </w:t>
      </w:r>
    </w:p>
    <w:p w14:paraId="59D46259" w14:textId="77777777" w:rsidR="003860B9" w:rsidRDefault="003860B9" w:rsidP="00C053F7">
      <w:pPr>
        <w:jc w:val="both"/>
        <w:rPr>
          <w:rFonts w:ascii="Avenir Next" w:hAnsi="Avenir Next" w:cs="Arial"/>
          <w:color w:val="7B7B7B" w:themeColor="accent3" w:themeShade="BF"/>
          <w:sz w:val="22"/>
          <w:szCs w:val="22"/>
          <w:lang w:val="en-GB"/>
        </w:rPr>
      </w:pPr>
    </w:p>
    <w:p w14:paraId="4B21F104" w14:textId="44280B00" w:rsidR="003860B9" w:rsidRPr="00480988" w:rsidRDefault="00B84E1F" w:rsidP="003860B9">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'Legislative Guide on Insolvency Law' promulgated by UNCITRAL in 2004</w:t>
      </w:r>
      <w:r w:rsidR="00A50D98">
        <w:rPr>
          <w:rFonts w:ascii="Avenir Next" w:hAnsi="Avenir Next" w:cs="Arial"/>
          <w:color w:val="7B7B7B" w:themeColor="accent3" w:themeShade="BF"/>
          <w:sz w:val="22"/>
          <w:szCs w:val="22"/>
          <w:lang w:val="en-GB"/>
        </w:rPr>
        <w:t xml:space="preserve">. This </w:t>
      </w:r>
      <w:r w:rsidR="00B22CE8">
        <w:rPr>
          <w:rFonts w:ascii="Avenir Next" w:hAnsi="Avenir Next" w:cs="Arial"/>
          <w:color w:val="7B7B7B" w:themeColor="accent3" w:themeShade="BF"/>
          <w:sz w:val="22"/>
          <w:szCs w:val="22"/>
          <w:lang w:val="en-GB"/>
        </w:rPr>
        <w:t>G</w:t>
      </w:r>
      <w:r w:rsidR="00A50D98">
        <w:rPr>
          <w:rFonts w:ascii="Avenir Next" w:hAnsi="Avenir Next" w:cs="Arial"/>
          <w:color w:val="7B7B7B" w:themeColor="accent3" w:themeShade="BF"/>
          <w:sz w:val="22"/>
          <w:szCs w:val="22"/>
          <w:lang w:val="en-GB"/>
        </w:rPr>
        <w:t>uide is intended "</w:t>
      </w:r>
      <w:r w:rsidR="00A50D98">
        <w:rPr>
          <w:rFonts w:ascii="Avenir Next" w:hAnsi="Avenir Next" w:cs="Arial"/>
          <w:i/>
          <w:iCs/>
          <w:color w:val="7B7B7B" w:themeColor="accent3" w:themeShade="BF"/>
          <w:sz w:val="22"/>
          <w:szCs w:val="22"/>
          <w:lang w:val="en-GB"/>
        </w:rPr>
        <w:t>to be used as a reference by national authorities and legislative bodies when preparing new laws and regulations or reviewing the adequacy of existing laws and regulations"</w:t>
      </w:r>
      <w:r w:rsidR="00A50D98">
        <w:rPr>
          <w:rStyle w:val="FootnoteReference"/>
          <w:rFonts w:ascii="Avenir Next" w:hAnsi="Avenir Next" w:cs="Arial"/>
          <w:i/>
          <w:iCs/>
          <w:color w:val="7B7B7B" w:themeColor="accent3" w:themeShade="BF"/>
          <w:sz w:val="22"/>
          <w:szCs w:val="22"/>
          <w:lang w:val="en-GB"/>
        </w:rPr>
        <w:footnoteReference w:id="7"/>
      </w:r>
      <w:r w:rsidR="00A50D98">
        <w:rPr>
          <w:rFonts w:ascii="Avenir Next" w:hAnsi="Avenir Next" w:cs="Arial"/>
          <w:color w:val="7B7B7B" w:themeColor="accent3" w:themeShade="BF"/>
          <w:sz w:val="22"/>
          <w:szCs w:val="22"/>
          <w:lang w:val="en-GB"/>
        </w:rPr>
        <w:t>.</w:t>
      </w:r>
      <w:r w:rsidR="00B22CE8">
        <w:rPr>
          <w:rFonts w:ascii="Avenir Next" w:hAnsi="Avenir Next" w:cs="Arial"/>
          <w:color w:val="7B7B7B" w:themeColor="accent3" w:themeShade="BF"/>
          <w:sz w:val="22"/>
          <w:szCs w:val="22"/>
          <w:lang w:val="en-GB"/>
        </w:rPr>
        <w:t xml:space="preserve"> Part One Recommendation 5 of the Guide</w:t>
      </w:r>
      <w:r w:rsidR="00A50D98">
        <w:rPr>
          <w:rFonts w:ascii="Avenir Next" w:hAnsi="Avenir Next" w:cs="Arial"/>
          <w:color w:val="7B7B7B" w:themeColor="accent3" w:themeShade="BF"/>
          <w:sz w:val="22"/>
          <w:szCs w:val="22"/>
          <w:lang w:val="en-GB"/>
        </w:rPr>
        <w:t xml:space="preserve"> </w:t>
      </w:r>
      <w:r w:rsidR="00B22CE8">
        <w:rPr>
          <w:rFonts w:ascii="Avenir Next" w:hAnsi="Avenir Next" w:cs="Arial"/>
          <w:color w:val="7B7B7B" w:themeColor="accent3" w:themeShade="BF"/>
          <w:sz w:val="22"/>
          <w:szCs w:val="22"/>
          <w:lang w:val="en-GB"/>
        </w:rPr>
        <w:t>is pertinent to international insolvency and sates "</w:t>
      </w:r>
      <w:r w:rsidR="00B22CE8">
        <w:rPr>
          <w:rFonts w:ascii="Avenir Next" w:hAnsi="Avenir Next" w:cs="Arial"/>
          <w:i/>
          <w:iCs/>
          <w:color w:val="7B7B7B" w:themeColor="accent3" w:themeShade="BF"/>
          <w:sz w:val="22"/>
          <w:szCs w:val="22"/>
          <w:lang w:val="en-GB"/>
        </w:rPr>
        <w:t>the insolvency law should include a modern, harmonized and fair framework to address effectively instances of cross-border insolvency. Enactment of the UNCITRAL Model Law on Cross-Border Insolvency is recommended";</w:t>
      </w:r>
    </w:p>
    <w:p w14:paraId="390E2FF8" w14:textId="77777777" w:rsidR="00480988" w:rsidRPr="00B22CE8" w:rsidRDefault="00480988" w:rsidP="00480988">
      <w:pPr>
        <w:pStyle w:val="ListParagraph"/>
        <w:ind w:left="1080"/>
        <w:jc w:val="both"/>
        <w:rPr>
          <w:rFonts w:ascii="Avenir Next" w:hAnsi="Avenir Next" w:cs="Arial"/>
          <w:color w:val="7B7B7B" w:themeColor="accent3" w:themeShade="BF"/>
          <w:sz w:val="22"/>
          <w:szCs w:val="22"/>
          <w:lang w:val="en-GB"/>
        </w:rPr>
      </w:pPr>
    </w:p>
    <w:p w14:paraId="1ED44AD5" w14:textId="15E9733C" w:rsidR="00B22CE8" w:rsidRDefault="00480988" w:rsidP="003860B9">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early 2000s, the World Bank produced guidelines (later revised in 2005, 2011, 2015 and April 2021) on the regulation of insolvency, entitled "</w:t>
      </w:r>
      <w:r>
        <w:rPr>
          <w:rFonts w:ascii="Avenir Next" w:hAnsi="Avenir Next" w:cs="Arial"/>
          <w:i/>
          <w:iCs/>
          <w:color w:val="7B7B7B" w:themeColor="accent3" w:themeShade="BF"/>
          <w:sz w:val="22"/>
          <w:szCs w:val="22"/>
          <w:lang w:val="en-GB"/>
        </w:rPr>
        <w:t>Principles for Effective Insolvency and Creditor / Debtor Regimes"</w:t>
      </w:r>
      <w:r>
        <w:rPr>
          <w:rFonts w:ascii="Avenir Next" w:hAnsi="Avenir Next" w:cs="Arial"/>
          <w:color w:val="7B7B7B" w:themeColor="accent3" w:themeShade="BF"/>
          <w:sz w:val="22"/>
          <w:szCs w:val="22"/>
          <w:lang w:val="en-GB"/>
        </w:rPr>
        <w:t xml:space="preserve">. </w:t>
      </w:r>
      <w:r w:rsidR="00CE4CA4">
        <w:rPr>
          <w:rFonts w:ascii="Avenir Next" w:hAnsi="Avenir Next" w:cs="Arial"/>
          <w:color w:val="7B7B7B" w:themeColor="accent3" w:themeShade="BF"/>
          <w:sz w:val="22"/>
          <w:szCs w:val="22"/>
          <w:lang w:val="en-GB"/>
        </w:rPr>
        <w:t>Principle C15 of the World Bank's principles states "</w:t>
      </w:r>
      <w:r w:rsidR="00CE4CA4">
        <w:rPr>
          <w:rFonts w:ascii="Avenir Next" w:hAnsi="Avenir Next" w:cs="Arial"/>
          <w:i/>
          <w:iCs/>
          <w:color w:val="7B7B7B" w:themeColor="accent3" w:themeShade="BF"/>
          <w:sz w:val="22"/>
          <w:szCs w:val="22"/>
          <w:lang w:val="en-GB"/>
        </w:rPr>
        <w:t>insolvency proceedings may have international aspects, and a country's legal system should establish clear rules pertaining to jurisdiction, recognition of foreign judgments, cooperation amount courts in different countries and choice of law"</w:t>
      </w:r>
      <w:r w:rsidR="00CE4CA4">
        <w:rPr>
          <w:rFonts w:ascii="Avenir Next" w:hAnsi="Avenir Next" w:cs="Arial"/>
          <w:color w:val="7B7B7B" w:themeColor="accent3" w:themeShade="BF"/>
          <w:sz w:val="22"/>
          <w:szCs w:val="22"/>
          <w:lang w:val="en-GB"/>
        </w:rPr>
        <w:t xml:space="preserve">. </w:t>
      </w:r>
      <w:r w:rsidR="009D6FD4">
        <w:rPr>
          <w:rFonts w:ascii="Avenir Next" w:hAnsi="Avenir Next" w:cs="Arial"/>
          <w:color w:val="7B7B7B" w:themeColor="accent3" w:themeShade="BF"/>
          <w:sz w:val="22"/>
          <w:szCs w:val="22"/>
          <w:lang w:val="en-GB"/>
        </w:rPr>
        <w:t xml:space="preserve">5 key factors to effective handling of cross-border matters are then listed. </w:t>
      </w:r>
    </w:p>
    <w:p w14:paraId="689BCB84" w14:textId="77777777" w:rsidR="009D6FD4" w:rsidRPr="009D6FD4" w:rsidRDefault="009D6FD4" w:rsidP="009D6FD4">
      <w:pPr>
        <w:pStyle w:val="ListParagraph"/>
        <w:rPr>
          <w:rFonts w:ascii="Avenir Next" w:hAnsi="Avenir Next" w:cs="Arial"/>
          <w:color w:val="7B7B7B" w:themeColor="accent3" w:themeShade="BF"/>
          <w:sz w:val="22"/>
          <w:szCs w:val="22"/>
          <w:lang w:val="en-GB"/>
        </w:rPr>
      </w:pPr>
    </w:p>
    <w:p w14:paraId="0859659C" w14:textId="1F5A2254" w:rsidR="009D6FD4" w:rsidRDefault="009D6FD4" w:rsidP="003860B9">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2010, the European </w:t>
      </w:r>
      <w:r w:rsidR="004A0B48">
        <w:rPr>
          <w:rFonts w:ascii="Avenir Next" w:hAnsi="Avenir Next" w:cs="Arial"/>
          <w:color w:val="7B7B7B" w:themeColor="accent3" w:themeShade="BF"/>
          <w:sz w:val="22"/>
          <w:szCs w:val="22"/>
          <w:lang w:val="en-GB"/>
        </w:rPr>
        <w:t xml:space="preserve">Parliament published a report on the Harmonisation of Insolvency law at an EU level. The report outlined differences between domestic insolvency legislation within the EU and identified several areas of insolvency law where harmonisation is believed to be worthwhile and achievable. </w:t>
      </w:r>
    </w:p>
    <w:p w14:paraId="37195E97" w14:textId="77777777" w:rsidR="004A0B48" w:rsidRPr="004A0B48" w:rsidRDefault="004A0B48" w:rsidP="004A0B48">
      <w:pPr>
        <w:pStyle w:val="ListParagraph"/>
        <w:rPr>
          <w:rFonts w:ascii="Avenir Next" w:hAnsi="Avenir Next" w:cs="Arial"/>
          <w:color w:val="7B7B7B" w:themeColor="accent3" w:themeShade="BF"/>
          <w:sz w:val="22"/>
          <w:szCs w:val="22"/>
          <w:lang w:val="en-GB"/>
        </w:rPr>
      </w:pPr>
    </w:p>
    <w:p w14:paraId="3C30CC46" w14:textId="72ECC1CD" w:rsidR="004A0B48" w:rsidRPr="003860B9" w:rsidRDefault="006D795B" w:rsidP="003860B9">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30 September 2015, in its Action Plan on Building a Capital Markets Union (CMU), the European Commission stated "</w:t>
      </w:r>
      <w:r>
        <w:rPr>
          <w:rFonts w:ascii="Avenir Next" w:hAnsi="Avenir Next" w:cs="Arial"/>
          <w:i/>
          <w:iCs/>
          <w:color w:val="7B7B7B" w:themeColor="accent3" w:themeShade="BF"/>
          <w:sz w:val="22"/>
          <w:szCs w:val="22"/>
          <w:lang w:val="en-GB"/>
        </w:rPr>
        <w:t>convergence of insolvency and restructuring proceedings would facilitate greater legal certainty for cross-border investors and encourage the timely restructuring of viable companies in financial distress"</w:t>
      </w:r>
      <w:r>
        <w:rPr>
          <w:rStyle w:val="FootnoteReference"/>
          <w:rFonts w:ascii="Avenir Next" w:hAnsi="Avenir Next" w:cs="Arial"/>
          <w:i/>
          <w:iCs/>
          <w:color w:val="7B7B7B" w:themeColor="accent3" w:themeShade="BF"/>
          <w:sz w:val="22"/>
          <w:szCs w:val="22"/>
          <w:lang w:val="en-GB"/>
        </w:rPr>
        <w:footnoteReference w:id="8"/>
      </w:r>
      <w:r>
        <w:rPr>
          <w:rFonts w:ascii="Avenir Next" w:hAnsi="Avenir Next" w:cs="Arial"/>
          <w:i/>
          <w:iCs/>
          <w:color w:val="7B7B7B" w:themeColor="accent3" w:themeShade="BF"/>
          <w:sz w:val="22"/>
          <w:szCs w:val="22"/>
          <w:lang w:val="en-GB"/>
        </w:rPr>
        <w:t xml:space="preserve">. </w:t>
      </w:r>
      <w:r w:rsidRPr="00B43715">
        <w:rPr>
          <w:rFonts w:ascii="Avenir Next" w:hAnsi="Avenir Next" w:cs="Arial"/>
          <w:color w:val="7B7B7B" w:themeColor="accent3" w:themeShade="BF"/>
          <w:sz w:val="22"/>
          <w:szCs w:val="22"/>
          <w:lang w:val="en-GB"/>
        </w:rPr>
        <w:t xml:space="preserve">The CMU plan has been reviewed and the High Level Forum published its final report on the </w:t>
      </w:r>
      <w:r w:rsidR="00A017A2" w:rsidRPr="00B43715">
        <w:rPr>
          <w:rFonts w:ascii="Avenir Next" w:hAnsi="Avenir Next" w:cs="Arial"/>
          <w:color w:val="7B7B7B" w:themeColor="accent3" w:themeShade="BF"/>
          <w:sz w:val="22"/>
          <w:szCs w:val="22"/>
          <w:lang w:val="en-GB"/>
        </w:rPr>
        <w:t>CMU</w:t>
      </w:r>
      <w:r w:rsidR="00B43715" w:rsidRPr="00B43715">
        <w:rPr>
          <w:rFonts w:ascii="Avenir Next" w:hAnsi="Avenir Next" w:cs="Arial"/>
          <w:color w:val="7B7B7B" w:themeColor="accent3" w:themeShade="BF"/>
          <w:sz w:val="22"/>
          <w:szCs w:val="22"/>
          <w:lang w:val="en-GB"/>
        </w:rPr>
        <w:t xml:space="preserve"> on 10 June 2020</w:t>
      </w:r>
      <w:r w:rsidR="0037512E">
        <w:rPr>
          <w:rFonts w:ascii="Avenir Next" w:hAnsi="Avenir Next" w:cs="Arial"/>
          <w:color w:val="7B7B7B" w:themeColor="accent3" w:themeShade="BF"/>
          <w:sz w:val="22"/>
          <w:szCs w:val="22"/>
          <w:lang w:val="en-GB"/>
        </w:rPr>
        <w:t>, noting that "</w:t>
      </w:r>
      <w:r w:rsidR="0037512E">
        <w:rPr>
          <w:rFonts w:ascii="Avenir Next" w:hAnsi="Avenir Next" w:cs="Arial"/>
          <w:i/>
          <w:iCs/>
          <w:color w:val="7B7B7B" w:themeColor="accent3" w:themeShade="BF"/>
          <w:sz w:val="22"/>
          <w:szCs w:val="22"/>
          <w:lang w:val="en-GB"/>
        </w:rPr>
        <w:t xml:space="preserve">Capital Markets Union will help </w:t>
      </w:r>
      <w:r w:rsidR="007D6F08">
        <w:rPr>
          <w:rFonts w:ascii="Avenir Next" w:hAnsi="Avenir Next" w:cs="Arial"/>
          <w:i/>
          <w:iCs/>
          <w:color w:val="7B7B7B" w:themeColor="accent3" w:themeShade="BF"/>
          <w:sz w:val="22"/>
          <w:szCs w:val="22"/>
          <w:lang w:val="en-GB"/>
        </w:rPr>
        <w:t>ensure that EU companies can access more stable and long-term financing. The COVID-19 crisis will drive profound structural changes in supply chains and trigger significant restructuring of companies in an attempt to strengthen their resilience</w:t>
      </w:r>
      <w:r w:rsidR="00F8342D">
        <w:rPr>
          <w:rFonts w:ascii="Avenir Next" w:hAnsi="Avenir Next" w:cs="Arial"/>
          <w:i/>
          <w:iCs/>
          <w:color w:val="7B7B7B" w:themeColor="accent3" w:themeShade="BF"/>
          <w:sz w:val="22"/>
          <w:szCs w:val="22"/>
          <w:lang w:val="en-GB"/>
        </w:rPr>
        <w:t>"</w:t>
      </w:r>
      <w:r w:rsidR="00F8342D">
        <w:rPr>
          <w:rStyle w:val="FootnoteReference"/>
          <w:rFonts w:ascii="Avenir Next" w:hAnsi="Avenir Next" w:cs="Arial"/>
          <w:i/>
          <w:iCs/>
          <w:color w:val="7B7B7B" w:themeColor="accent3" w:themeShade="BF"/>
          <w:sz w:val="22"/>
          <w:szCs w:val="22"/>
          <w:lang w:val="en-GB"/>
        </w:rPr>
        <w:footnoteReference w:id="9"/>
      </w:r>
      <w:r w:rsidR="00F8342D">
        <w:rPr>
          <w:rFonts w:ascii="Avenir Next" w:hAnsi="Avenir Next" w:cs="Arial"/>
          <w:color w:val="7B7B7B" w:themeColor="accent3" w:themeShade="BF"/>
          <w:sz w:val="22"/>
          <w:szCs w:val="22"/>
          <w:lang w:val="en-GB"/>
        </w:rPr>
        <w:t>.</w:t>
      </w:r>
    </w:p>
    <w:p w14:paraId="5E23A068" w14:textId="77777777" w:rsidR="003860B9" w:rsidRDefault="003860B9" w:rsidP="00C053F7">
      <w:pPr>
        <w:jc w:val="both"/>
        <w:rPr>
          <w:rFonts w:ascii="Avenir Next" w:hAnsi="Avenir Next" w:cs="Arial"/>
          <w:color w:val="7B7B7B" w:themeColor="accent3" w:themeShade="BF"/>
          <w:sz w:val="22"/>
          <w:szCs w:val="22"/>
          <w:lang w:val="en-GB"/>
        </w:rPr>
      </w:pPr>
    </w:p>
    <w:p w14:paraId="45D1C400" w14:textId="53B5B80E" w:rsidR="003860B9" w:rsidRPr="00225707" w:rsidRDefault="006C38F6" w:rsidP="00C053F7">
      <w:pPr>
        <w:jc w:val="both"/>
        <w:rPr>
          <w:rFonts w:ascii="Avenir Next" w:hAnsi="Avenir Next" w:cs="Arial"/>
          <w:color w:val="767171" w:themeColor="background2" w:themeShade="80"/>
          <w:sz w:val="22"/>
          <w:szCs w:val="22"/>
          <w:lang w:val="en-GB"/>
        </w:rPr>
      </w:pPr>
      <w:r w:rsidRPr="00225707">
        <w:rPr>
          <w:rFonts w:ascii="Avenir Next" w:hAnsi="Avenir Next" w:cs="Arial"/>
          <w:color w:val="767171" w:themeColor="background2" w:themeShade="80"/>
          <w:sz w:val="22"/>
          <w:szCs w:val="22"/>
          <w:lang w:val="en-GB"/>
        </w:rPr>
        <w:t xml:space="preserve">I believe that these measures, together with other examples </w:t>
      </w:r>
      <w:r w:rsidR="006D0870" w:rsidRPr="00225707">
        <w:rPr>
          <w:rFonts w:ascii="Avenir Next" w:hAnsi="Avenir Next" w:cs="Arial"/>
          <w:color w:val="767171" w:themeColor="background2" w:themeShade="80"/>
          <w:sz w:val="22"/>
          <w:szCs w:val="22"/>
          <w:lang w:val="en-GB"/>
        </w:rPr>
        <w:t>of international cooperation and coordination</w:t>
      </w:r>
      <w:r w:rsidR="007B4918">
        <w:rPr>
          <w:rFonts w:ascii="Avenir Next" w:hAnsi="Avenir Next" w:cs="Arial"/>
          <w:color w:val="767171" w:themeColor="background2" w:themeShade="80"/>
          <w:sz w:val="22"/>
          <w:szCs w:val="22"/>
          <w:lang w:val="en-GB"/>
        </w:rPr>
        <w:t xml:space="preserve"> designed</w:t>
      </w:r>
      <w:r w:rsidR="00D837EB">
        <w:rPr>
          <w:rFonts w:ascii="Avenir Next" w:hAnsi="Avenir Next" w:cs="Arial"/>
          <w:color w:val="767171" w:themeColor="background2" w:themeShade="80"/>
          <w:sz w:val="22"/>
          <w:szCs w:val="22"/>
          <w:lang w:val="en-GB"/>
        </w:rPr>
        <w:t xml:space="preserve"> </w:t>
      </w:r>
      <w:r w:rsidR="006D0870" w:rsidRPr="00225707">
        <w:rPr>
          <w:rFonts w:ascii="Avenir Next" w:hAnsi="Avenir Next" w:cs="Arial"/>
          <w:color w:val="767171" w:themeColor="background2" w:themeShade="80"/>
          <w:sz w:val="22"/>
          <w:szCs w:val="22"/>
          <w:lang w:val="en-GB"/>
        </w:rPr>
        <w:t>to promote recognition and enforcement</w:t>
      </w:r>
      <w:r w:rsidR="009A28DE">
        <w:rPr>
          <w:rFonts w:ascii="Avenir Next" w:hAnsi="Avenir Next" w:cs="Arial"/>
          <w:color w:val="767171" w:themeColor="background2" w:themeShade="80"/>
          <w:sz w:val="22"/>
          <w:szCs w:val="22"/>
          <w:lang w:val="en-GB"/>
        </w:rPr>
        <w:t xml:space="preserve"> (for example the EU Judge</w:t>
      </w:r>
      <w:r w:rsidR="003A6C0B">
        <w:rPr>
          <w:rFonts w:ascii="Avenir Next" w:hAnsi="Avenir Next" w:cs="Arial"/>
          <w:color w:val="767171" w:themeColor="background2" w:themeShade="80"/>
          <w:sz w:val="22"/>
          <w:szCs w:val="22"/>
          <w:lang w:val="en-GB"/>
        </w:rPr>
        <w:t xml:space="preserve"> </w:t>
      </w:r>
      <w:r w:rsidR="009A28DE">
        <w:rPr>
          <w:rFonts w:ascii="Avenir Next" w:hAnsi="Avenir Next" w:cs="Arial"/>
          <w:color w:val="767171" w:themeColor="background2" w:themeShade="80"/>
          <w:sz w:val="22"/>
          <w:szCs w:val="22"/>
          <w:lang w:val="en-GB"/>
        </w:rPr>
        <w:t>Co Guidelines of 2015)</w:t>
      </w:r>
      <w:r w:rsidR="006D0870" w:rsidRPr="00225707">
        <w:rPr>
          <w:rFonts w:ascii="Avenir Next" w:hAnsi="Avenir Next" w:cs="Arial"/>
          <w:color w:val="767171" w:themeColor="background2" w:themeShade="80"/>
          <w:sz w:val="22"/>
          <w:szCs w:val="22"/>
          <w:lang w:val="en-GB"/>
        </w:rPr>
        <w:t>,</w:t>
      </w:r>
      <w:r w:rsidR="009A28DE">
        <w:rPr>
          <w:rFonts w:ascii="Avenir Next" w:hAnsi="Avenir Next" w:cs="Arial"/>
          <w:color w:val="767171" w:themeColor="background2" w:themeShade="80"/>
          <w:sz w:val="22"/>
          <w:szCs w:val="22"/>
          <w:lang w:val="en-GB"/>
        </w:rPr>
        <w:t xml:space="preserve"> </w:t>
      </w:r>
      <w:r w:rsidR="006D0870" w:rsidRPr="00225707">
        <w:rPr>
          <w:rFonts w:ascii="Avenir Next" w:hAnsi="Avenir Next" w:cs="Arial"/>
          <w:color w:val="767171" w:themeColor="background2" w:themeShade="80"/>
          <w:sz w:val="22"/>
          <w:szCs w:val="22"/>
          <w:lang w:val="en-GB"/>
        </w:rPr>
        <w:t xml:space="preserve"> will go some way to address issues of international insolvency</w:t>
      </w:r>
      <w:r w:rsidR="00683B45" w:rsidRPr="00225707">
        <w:rPr>
          <w:rFonts w:ascii="Avenir Next" w:hAnsi="Avenir Next" w:cs="Arial"/>
          <w:color w:val="767171" w:themeColor="background2" w:themeShade="80"/>
          <w:sz w:val="22"/>
          <w:szCs w:val="22"/>
          <w:lang w:val="en-GB"/>
        </w:rPr>
        <w:t xml:space="preserve">. It is, ultimately, in everyone's interest to have uniform standard(s) and greater certainty of process / procedure </w:t>
      </w:r>
      <w:r w:rsidR="009A28DE">
        <w:rPr>
          <w:rFonts w:ascii="Avenir Next" w:hAnsi="Avenir Next" w:cs="Arial"/>
          <w:color w:val="767171" w:themeColor="background2" w:themeShade="80"/>
          <w:sz w:val="22"/>
          <w:szCs w:val="22"/>
          <w:lang w:val="en-GB"/>
        </w:rPr>
        <w:t>in international</w:t>
      </w:r>
      <w:r w:rsidR="00683B45" w:rsidRPr="00225707">
        <w:rPr>
          <w:rFonts w:ascii="Avenir Next" w:hAnsi="Avenir Next" w:cs="Arial"/>
          <w:color w:val="767171" w:themeColor="background2" w:themeShade="80"/>
          <w:sz w:val="22"/>
          <w:szCs w:val="22"/>
          <w:lang w:val="en-GB"/>
        </w:rPr>
        <w:t xml:space="preserve"> insolvency, particularly corporate insolvency when cross-border elements are more </w:t>
      </w:r>
      <w:r w:rsidR="00683B45" w:rsidRPr="00225707">
        <w:rPr>
          <w:rFonts w:ascii="Avenir Next" w:hAnsi="Avenir Next" w:cs="Arial"/>
          <w:color w:val="767171" w:themeColor="background2" w:themeShade="80"/>
          <w:sz w:val="22"/>
          <w:szCs w:val="22"/>
          <w:lang w:val="en-GB"/>
        </w:rPr>
        <w:lastRenderedPageBreak/>
        <w:t xml:space="preserve">likely to appear. This </w:t>
      </w:r>
      <w:r w:rsidR="0034457D" w:rsidRPr="00225707">
        <w:rPr>
          <w:rFonts w:ascii="Avenir Next" w:hAnsi="Avenir Next" w:cs="Arial"/>
          <w:color w:val="767171" w:themeColor="background2" w:themeShade="80"/>
          <w:sz w:val="22"/>
          <w:szCs w:val="22"/>
          <w:lang w:val="en-GB"/>
        </w:rPr>
        <w:t xml:space="preserve">willingness to change the status quo </w:t>
      </w:r>
      <w:r w:rsidR="00683B45" w:rsidRPr="00225707">
        <w:rPr>
          <w:rFonts w:ascii="Avenir Next" w:hAnsi="Avenir Next" w:cs="Arial"/>
          <w:color w:val="767171" w:themeColor="background2" w:themeShade="80"/>
          <w:sz w:val="22"/>
          <w:szCs w:val="22"/>
          <w:lang w:val="en-GB"/>
        </w:rPr>
        <w:t xml:space="preserve">is evidenced by an increased number of states adopting the UNCITRAL Model </w:t>
      </w:r>
      <w:r w:rsidR="006D0870" w:rsidRPr="00225707">
        <w:rPr>
          <w:rFonts w:ascii="Avenir Next" w:hAnsi="Avenir Next" w:cs="Arial"/>
          <w:color w:val="767171" w:themeColor="background2" w:themeShade="80"/>
          <w:sz w:val="22"/>
          <w:szCs w:val="22"/>
          <w:lang w:val="en-GB"/>
        </w:rPr>
        <w:t xml:space="preserve"> </w:t>
      </w:r>
      <w:r w:rsidR="0034457D" w:rsidRPr="00225707">
        <w:rPr>
          <w:rFonts w:ascii="Avenir Next" w:hAnsi="Avenir Next" w:cs="Arial"/>
          <w:color w:val="767171" w:themeColor="background2" w:themeShade="80"/>
          <w:sz w:val="22"/>
          <w:szCs w:val="22"/>
          <w:lang w:val="en-GB"/>
        </w:rPr>
        <w:t xml:space="preserve">Law on Cross-Border Insolvency. However, I do not believe that the issues of international insolvency will be completely resolved in the near future. Projects requiring supra-national levels of cooperation and </w:t>
      </w:r>
      <w:r w:rsidR="00813336" w:rsidRPr="00225707">
        <w:rPr>
          <w:rFonts w:ascii="Avenir Next" w:hAnsi="Avenir Next" w:cs="Arial"/>
          <w:color w:val="767171" w:themeColor="background2" w:themeShade="80"/>
          <w:sz w:val="22"/>
          <w:szCs w:val="22"/>
          <w:lang w:val="en-GB"/>
        </w:rPr>
        <w:t>coordination can simply be "too big" to tackle</w:t>
      </w:r>
      <w:r w:rsidR="00225707" w:rsidRPr="00225707">
        <w:rPr>
          <w:rFonts w:ascii="Avenir Next" w:hAnsi="Avenir Next" w:cs="Arial"/>
          <w:color w:val="767171" w:themeColor="background2" w:themeShade="80"/>
          <w:sz w:val="22"/>
          <w:szCs w:val="22"/>
          <w:lang w:val="en-GB"/>
        </w:rPr>
        <w:t xml:space="preserve">. </w:t>
      </w:r>
      <w:r w:rsidR="00813336" w:rsidRPr="00225707">
        <w:rPr>
          <w:rFonts w:ascii="Avenir Next" w:hAnsi="Avenir Next" w:cs="Arial"/>
          <w:color w:val="767171" w:themeColor="background2" w:themeShade="80"/>
          <w:sz w:val="22"/>
          <w:szCs w:val="22"/>
          <w:lang w:val="en-GB"/>
        </w:rPr>
        <w:t xml:space="preserve"> </w:t>
      </w:r>
    </w:p>
    <w:p w14:paraId="111EA170" w14:textId="77777777" w:rsidR="00D17FDC" w:rsidRPr="00827D56" w:rsidRDefault="00D17FDC" w:rsidP="00225707">
      <w:pPr>
        <w:jc w:val="both"/>
        <w:rPr>
          <w:rFonts w:ascii="Avenir Next" w:hAnsi="Avenir Next" w:cs="Arial"/>
          <w:sz w:val="22"/>
          <w:szCs w:val="22"/>
          <w:lang w:val="en-GB"/>
        </w:rPr>
      </w:pPr>
    </w:p>
    <w:p w14:paraId="55C402CC" w14:textId="746A48C9" w:rsidR="009B0723" w:rsidRPr="003A6C0B" w:rsidRDefault="00DF75F8" w:rsidP="00CB3E1F">
      <w:pPr>
        <w:keepNext/>
        <w:jc w:val="both"/>
        <w:rPr>
          <w:rFonts w:ascii="Avenir Next Demi Bold" w:hAnsi="Avenir Next Demi Bold" w:cs="Arial"/>
          <w:b/>
          <w:bCs/>
          <w:sz w:val="22"/>
          <w:szCs w:val="22"/>
          <w:lang w:val="en-GB"/>
        </w:rPr>
      </w:pPr>
      <w:r w:rsidRPr="003A6C0B">
        <w:rPr>
          <w:rFonts w:ascii="Avenir Next Demi Bold" w:hAnsi="Avenir Next Demi Bold" w:cs="Arial"/>
          <w:b/>
          <w:bCs/>
          <w:sz w:val="22"/>
          <w:szCs w:val="22"/>
          <w:lang w:val="en-GB"/>
        </w:rPr>
        <w:t>QUESTION 4</w:t>
      </w:r>
      <w:r w:rsidR="009B0723" w:rsidRPr="003A6C0B">
        <w:rPr>
          <w:rFonts w:ascii="Avenir Next Demi Bold" w:hAnsi="Avenir Next Demi Bold" w:cs="Arial"/>
          <w:b/>
          <w:bCs/>
          <w:sz w:val="22"/>
          <w:szCs w:val="22"/>
          <w:lang w:val="en-GB"/>
        </w:rPr>
        <w:t xml:space="preserve"> (fact-based application-type question) [15 marks</w:t>
      </w:r>
      <w:r w:rsidR="006A2646" w:rsidRPr="003A6C0B">
        <w:rPr>
          <w:rFonts w:ascii="Avenir Next Demi Bold" w:hAnsi="Avenir Next Demi Bold" w:cs="Arial"/>
          <w:b/>
          <w:bCs/>
          <w:sz w:val="22"/>
          <w:szCs w:val="22"/>
          <w:lang w:val="en-GB"/>
        </w:rPr>
        <w:t xml:space="preserve"> in total</w:t>
      </w:r>
      <w:r w:rsidR="009B0723" w:rsidRPr="003A6C0B">
        <w:rPr>
          <w:rFonts w:ascii="Avenir Next Demi Bold" w:hAnsi="Avenir Next Demi Bold" w:cs="Arial"/>
          <w:b/>
          <w:bCs/>
          <w:sz w:val="22"/>
          <w:szCs w:val="22"/>
          <w:lang w:val="en-GB"/>
        </w:rPr>
        <w:t>]</w:t>
      </w:r>
    </w:p>
    <w:p w14:paraId="5BAC2B6B" w14:textId="77777777" w:rsidR="009B0723" w:rsidRPr="00FA3C21" w:rsidRDefault="009B0723" w:rsidP="00CB3E1F">
      <w:pPr>
        <w:keepNext/>
        <w:ind w:left="720" w:hanging="720"/>
        <w:jc w:val="both"/>
        <w:rPr>
          <w:rFonts w:ascii="Avenir Next" w:hAnsi="Avenir Next" w:cs="Arial"/>
          <w:color w:val="FF0000"/>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D868FB" w:rsidRDefault="009B0723" w:rsidP="00C053F7">
      <w:pPr>
        <w:jc w:val="both"/>
        <w:rPr>
          <w:rFonts w:ascii="Avenir Next Demi Bold" w:hAnsi="Avenir Next Demi Bold" w:cs="Arial"/>
          <w:b/>
          <w:bCs/>
          <w:sz w:val="22"/>
          <w:szCs w:val="22"/>
          <w:lang w:val="en-GB"/>
        </w:rPr>
      </w:pPr>
      <w:bookmarkStart w:id="0" w:name="_Hlk17745211"/>
      <w:r w:rsidRPr="00D868FB">
        <w:rPr>
          <w:rFonts w:ascii="Avenir Next Demi Bold" w:hAnsi="Avenir Next Demi Bold" w:cs="Arial"/>
          <w:b/>
          <w:bCs/>
          <w:sz w:val="22"/>
          <w:szCs w:val="22"/>
          <w:lang w:val="en-GB"/>
        </w:rPr>
        <w:t>Question 4.1 [</w:t>
      </w:r>
      <w:r w:rsidR="00D17FDC" w:rsidRPr="00D868FB">
        <w:rPr>
          <w:rFonts w:ascii="Avenir Next Demi Bold" w:hAnsi="Avenir Next Demi Bold" w:cs="Arial"/>
          <w:b/>
          <w:bCs/>
          <w:sz w:val="22"/>
          <w:szCs w:val="22"/>
          <w:lang w:val="en-GB"/>
        </w:rPr>
        <w:t>m</w:t>
      </w:r>
      <w:r w:rsidRPr="00D868FB">
        <w:rPr>
          <w:rFonts w:ascii="Avenir Next Demi Bold" w:hAnsi="Avenir Next Demi Bold" w:cs="Arial"/>
          <w:b/>
          <w:bCs/>
          <w:sz w:val="22"/>
          <w:szCs w:val="22"/>
          <w:lang w:val="en-GB"/>
        </w:rPr>
        <w:t xml:space="preserve">aximum 5 marks] </w:t>
      </w:r>
    </w:p>
    <w:p w14:paraId="0FD43ABB" w14:textId="77777777" w:rsidR="002F75A3" w:rsidRPr="00FA3C21" w:rsidRDefault="002F75A3" w:rsidP="00C053F7">
      <w:pPr>
        <w:jc w:val="both"/>
        <w:rPr>
          <w:rFonts w:ascii="Avenir Next" w:hAnsi="Avenir Next" w:cs="Arial"/>
          <w:color w:val="FF0000"/>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Default="002F75A3" w:rsidP="00C053F7">
      <w:pPr>
        <w:jc w:val="both"/>
        <w:rPr>
          <w:rFonts w:ascii="Avenir Next" w:hAnsi="Avenir Next" w:cs="Arial"/>
          <w:sz w:val="22"/>
          <w:szCs w:val="22"/>
          <w:lang w:val="en-GB"/>
        </w:rPr>
      </w:pPr>
    </w:p>
    <w:p w14:paraId="28B85126" w14:textId="408CF55E" w:rsidR="00963CCD" w:rsidRDefault="00924EAB" w:rsidP="00C053F7">
      <w:pPr>
        <w:jc w:val="both"/>
        <w:rPr>
          <w:rFonts w:ascii="Avenir Next" w:hAnsi="Avenir Next" w:cs="Arial"/>
          <w:color w:val="7B7B7B" w:themeColor="accent3" w:themeShade="BF"/>
          <w:sz w:val="22"/>
          <w:szCs w:val="22"/>
          <w:lang w:val="en-GB"/>
        </w:rPr>
      </w:pPr>
      <w:r w:rsidRPr="00FA07DD">
        <w:rPr>
          <w:rFonts w:ascii="Avenir Next" w:hAnsi="Avenir Next" w:cs="Arial"/>
          <w:color w:val="7B7B7B" w:themeColor="accent3" w:themeShade="BF"/>
          <w:sz w:val="22"/>
          <w:szCs w:val="22"/>
          <w:lang w:val="en-GB"/>
        </w:rPr>
        <w:t xml:space="preserve">Based on the fact pattern above, there are concurrent proceedings involving the same debtor; Erewhon formal liquidation on the one hand, and a Utopia debt-claim on the other. </w:t>
      </w:r>
      <w:r w:rsidR="003608A4" w:rsidRPr="00FA07DD">
        <w:rPr>
          <w:rFonts w:ascii="Avenir Next" w:hAnsi="Avenir Next" w:cs="Arial"/>
          <w:color w:val="7B7B7B" w:themeColor="accent3" w:themeShade="BF"/>
          <w:sz w:val="22"/>
          <w:szCs w:val="22"/>
          <w:lang w:val="en-GB"/>
        </w:rPr>
        <w:t xml:space="preserve">Given that the Cross-Border Insolvency Act of Utopia </w:t>
      </w:r>
      <w:r w:rsidR="004B5895" w:rsidRPr="00FA07DD">
        <w:rPr>
          <w:rFonts w:ascii="Avenir Next" w:hAnsi="Avenir Next" w:cs="Arial"/>
          <w:color w:val="7B7B7B" w:themeColor="accent3" w:themeShade="BF"/>
          <w:sz w:val="22"/>
          <w:szCs w:val="22"/>
          <w:lang w:val="en-GB"/>
        </w:rPr>
        <w:t>(the "</w:t>
      </w:r>
      <w:r w:rsidR="004B5895" w:rsidRPr="00FA07DD">
        <w:rPr>
          <w:rFonts w:ascii="Avenir Next" w:hAnsi="Avenir Next" w:cs="Arial"/>
          <w:b/>
          <w:bCs/>
          <w:color w:val="7B7B7B" w:themeColor="accent3" w:themeShade="BF"/>
          <w:sz w:val="22"/>
          <w:szCs w:val="22"/>
          <w:lang w:val="en-GB"/>
        </w:rPr>
        <w:t>Act</w:t>
      </w:r>
      <w:r w:rsidR="004B5895" w:rsidRPr="00FA07DD">
        <w:rPr>
          <w:rFonts w:ascii="Avenir Next" w:hAnsi="Avenir Next" w:cs="Arial"/>
          <w:color w:val="7B7B7B" w:themeColor="accent3" w:themeShade="BF"/>
          <w:sz w:val="22"/>
          <w:szCs w:val="22"/>
          <w:lang w:val="en-GB"/>
        </w:rPr>
        <w:t>") is based on the UNCITRAL Model Law on Cross Border Insolvency</w:t>
      </w:r>
      <w:r w:rsidR="00FE7C8C" w:rsidRPr="00FA07DD">
        <w:rPr>
          <w:rFonts w:ascii="Avenir Next" w:hAnsi="Avenir Next" w:cs="Arial"/>
          <w:color w:val="7B7B7B" w:themeColor="accent3" w:themeShade="BF"/>
          <w:sz w:val="22"/>
          <w:szCs w:val="22"/>
          <w:lang w:val="en-GB"/>
        </w:rPr>
        <w:t xml:space="preserve"> (the "</w:t>
      </w:r>
      <w:r w:rsidR="00FE7C8C" w:rsidRPr="00FA07DD">
        <w:rPr>
          <w:rFonts w:ascii="Avenir Next" w:hAnsi="Avenir Next" w:cs="Arial"/>
          <w:b/>
          <w:bCs/>
          <w:color w:val="7B7B7B" w:themeColor="accent3" w:themeShade="BF"/>
          <w:sz w:val="22"/>
          <w:szCs w:val="22"/>
          <w:lang w:val="en-GB"/>
        </w:rPr>
        <w:t>Model Law</w:t>
      </w:r>
      <w:r w:rsidR="00FE7C8C" w:rsidRPr="00FA07DD">
        <w:rPr>
          <w:rFonts w:ascii="Avenir Next" w:hAnsi="Avenir Next" w:cs="Arial"/>
          <w:color w:val="7B7B7B" w:themeColor="accent3" w:themeShade="BF"/>
          <w:sz w:val="22"/>
          <w:szCs w:val="22"/>
          <w:lang w:val="en-GB"/>
        </w:rPr>
        <w:t>")</w:t>
      </w:r>
      <w:r w:rsidR="004B5895" w:rsidRPr="00FA07DD">
        <w:rPr>
          <w:rFonts w:ascii="Avenir Next" w:hAnsi="Avenir Next" w:cs="Arial"/>
          <w:color w:val="7B7B7B" w:themeColor="accent3" w:themeShade="BF"/>
          <w:sz w:val="22"/>
          <w:szCs w:val="22"/>
          <w:lang w:val="en-GB"/>
        </w:rPr>
        <w:t>, the Act will apply here</w:t>
      </w:r>
      <w:r w:rsidR="00963CCD">
        <w:rPr>
          <w:rFonts w:ascii="Avenir Next" w:hAnsi="Avenir Next" w:cs="Arial"/>
          <w:color w:val="7B7B7B" w:themeColor="accent3" w:themeShade="BF"/>
          <w:sz w:val="22"/>
          <w:szCs w:val="22"/>
          <w:lang w:val="en-GB"/>
        </w:rPr>
        <w:t xml:space="preserve">. </w:t>
      </w:r>
    </w:p>
    <w:p w14:paraId="06087F86" w14:textId="23B2ED48" w:rsidR="00594A96" w:rsidRDefault="00594A96" w:rsidP="00C053F7">
      <w:pPr>
        <w:jc w:val="both"/>
        <w:rPr>
          <w:rFonts w:ascii="Avenir Next" w:hAnsi="Avenir Next" w:cs="Arial"/>
          <w:color w:val="7B7B7B" w:themeColor="accent3" w:themeShade="BF"/>
          <w:sz w:val="22"/>
          <w:szCs w:val="22"/>
          <w:lang w:val="en-GB"/>
        </w:rPr>
      </w:pPr>
    </w:p>
    <w:p w14:paraId="665F6C1A" w14:textId="69D7558A" w:rsidR="00594A96" w:rsidRPr="005D24AC" w:rsidRDefault="00594A9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liquidation in Erewhon would, under Article 2(a) of the Model Law, be seen as a "</w:t>
      </w:r>
      <w:r>
        <w:rPr>
          <w:rFonts w:ascii="Avenir Next" w:hAnsi="Avenir Next" w:cs="Arial"/>
          <w:i/>
          <w:iCs/>
          <w:color w:val="7B7B7B" w:themeColor="accent3" w:themeShade="BF"/>
          <w:sz w:val="22"/>
          <w:szCs w:val="22"/>
          <w:lang w:val="en-GB"/>
        </w:rPr>
        <w:t>foreign proceeding"</w:t>
      </w:r>
      <w:r w:rsidR="00DF2D5A">
        <w:rPr>
          <w:rFonts w:ascii="Avenir Next" w:hAnsi="Avenir Next" w:cs="Arial"/>
          <w:color w:val="7B7B7B" w:themeColor="accent3" w:themeShade="BF"/>
          <w:sz w:val="22"/>
          <w:szCs w:val="22"/>
          <w:lang w:val="en-GB"/>
        </w:rPr>
        <w:t xml:space="preserve"> as a "</w:t>
      </w:r>
      <w:r w:rsidR="00DF2D5A">
        <w:rPr>
          <w:rFonts w:ascii="Avenir Next" w:hAnsi="Avenir Next" w:cs="Arial"/>
          <w:i/>
          <w:iCs/>
          <w:color w:val="7B7B7B" w:themeColor="accent3" w:themeShade="BF"/>
          <w:sz w:val="22"/>
          <w:szCs w:val="22"/>
          <w:lang w:val="en-GB"/>
        </w:rPr>
        <w:t>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r w:rsidR="00DF2D5A">
        <w:rPr>
          <w:rFonts w:ascii="Avenir Next" w:hAnsi="Avenir Next" w:cs="Arial"/>
          <w:color w:val="7B7B7B" w:themeColor="accent3" w:themeShade="BF"/>
          <w:sz w:val="22"/>
          <w:szCs w:val="22"/>
          <w:lang w:val="en-GB"/>
        </w:rPr>
        <w:t xml:space="preserve">. </w:t>
      </w:r>
      <w:r w:rsidR="00A758FD">
        <w:rPr>
          <w:rFonts w:ascii="Avenir Next" w:hAnsi="Avenir Next" w:cs="Arial"/>
          <w:color w:val="7B7B7B" w:themeColor="accent3" w:themeShade="BF"/>
          <w:sz w:val="22"/>
          <w:szCs w:val="22"/>
          <w:lang w:val="en-GB"/>
        </w:rPr>
        <w:t xml:space="preserve">Dependent on </w:t>
      </w:r>
      <w:r w:rsidR="00374BE8">
        <w:rPr>
          <w:rFonts w:ascii="Avenir Next" w:hAnsi="Avenir Next" w:cs="Arial"/>
          <w:color w:val="7B7B7B" w:themeColor="accent3" w:themeShade="BF"/>
          <w:sz w:val="22"/>
          <w:szCs w:val="22"/>
          <w:lang w:val="en-GB"/>
        </w:rPr>
        <w:t>whether the registration / head office of Nadir in Utopia represents the "</w:t>
      </w:r>
      <w:r w:rsidR="00374BE8">
        <w:rPr>
          <w:rFonts w:ascii="Avenir Next" w:hAnsi="Avenir Next" w:cs="Arial"/>
          <w:i/>
          <w:iCs/>
          <w:color w:val="7B7B7B" w:themeColor="accent3" w:themeShade="BF"/>
          <w:sz w:val="22"/>
          <w:szCs w:val="22"/>
          <w:lang w:val="en-GB"/>
        </w:rPr>
        <w:t>centre of its main interest"</w:t>
      </w:r>
      <w:r w:rsidR="00374BE8">
        <w:rPr>
          <w:rFonts w:ascii="Avenir Next" w:hAnsi="Avenir Next" w:cs="Arial"/>
          <w:color w:val="7B7B7B" w:themeColor="accent3" w:themeShade="BF"/>
          <w:sz w:val="22"/>
          <w:szCs w:val="22"/>
          <w:lang w:val="en-GB"/>
        </w:rPr>
        <w:t xml:space="preserve"> (or whether, in fact, its centre of interest remains in Erewhon), u</w:t>
      </w:r>
      <w:r w:rsidR="00173927">
        <w:rPr>
          <w:rFonts w:ascii="Avenir Next" w:hAnsi="Avenir Next" w:cs="Arial"/>
          <w:color w:val="7B7B7B" w:themeColor="accent3" w:themeShade="BF"/>
          <w:sz w:val="22"/>
          <w:szCs w:val="22"/>
          <w:lang w:val="en-GB"/>
        </w:rPr>
        <w:t xml:space="preserve">nder Article 2(b) of the Model Law, the Erewhon liquidation </w:t>
      </w:r>
      <w:r w:rsidR="00374BE8">
        <w:rPr>
          <w:rFonts w:ascii="Avenir Next" w:hAnsi="Avenir Next" w:cs="Arial"/>
          <w:color w:val="7B7B7B" w:themeColor="accent3" w:themeShade="BF"/>
          <w:sz w:val="22"/>
          <w:szCs w:val="22"/>
          <w:lang w:val="en-GB"/>
        </w:rPr>
        <w:t>c</w:t>
      </w:r>
      <w:r w:rsidR="00173927">
        <w:rPr>
          <w:rFonts w:ascii="Avenir Next" w:hAnsi="Avenir Next" w:cs="Arial"/>
          <w:color w:val="7B7B7B" w:themeColor="accent3" w:themeShade="BF"/>
          <w:sz w:val="22"/>
          <w:szCs w:val="22"/>
          <w:lang w:val="en-GB"/>
        </w:rPr>
        <w:t>ould be classed as a "</w:t>
      </w:r>
      <w:r w:rsidR="00173927">
        <w:rPr>
          <w:rFonts w:ascii="Avenir Next" w:hAnsi="Avenir Next" w:cs="Arial"/>
          <w:i/>
          <w:iCs/>
          <w:color w:val="7B7B7B" w:themeColor="accent3" w:themeShade="BF"/>
          <w:sz w:val="22"/>
          <w:szCs w:val="22"/>
          <w:lang w:val="en-GB"/>
        </w:rPr>
        <w:t>foreign main proceeding"</w:t>
      </w:r>
      <w:r w:rsidR="00173927">
        <w:rPr>
          <w:rFonts w:ascii="Avenir Next" w:hAnsi="Avenir Next" w:cs="Arial"/>
          <w:color w:val="7B7B7B" w:themeColor="accent3" w:themeShade="BF"/>
          <w:sz w:val="22"/>
          <w:szCs w:val="22"/>
          <w:lang w:val="en-GB"/>
        </w:rPr>
        <w:t xml:space="preserve"> </w:t>
      </w:r>
      <w:r w:rsidR="00341A06">
        <w:rPr>
          <w:rFonts w:ascii="Avenir Next" w:hAnsi="Avenir Next" w:cs="Arial"/>
          <w:color w:val="7B7B7B" w:themeColor="accent3" w:themeShade="BF"/>
          <w:sz w:val="22"/>
          <w:szCs w:val="22"/>
          <w:lang w:val="en-GB"/>
        </w:rPr>
        <w:t>as a foreign proceeding (as defined under Article 2(a)) "</w:t>
      </w:r>
      <w:r w:rsidR="00341A06">
        <w:rPr>
          <w:rFonts w:ascii="Avenir Next" w:hAnsi="Avenir Next" w:cs="Arial"/>
          <w:i/>
          <w:iCs/>
          <w:color w:val="7B7B7B" w:themeColor="accent3" w:themeShade="BF"/>
          <w:sz w:val="22"/>
          <w:szCs w:val="22"/>
          <w:lang w:val="en-GB"/>
        </w:rPr>
        <w:t>taking place in the State where the debtor has the centre of its main interest"</w:t>
      </w:r>
      <w:r w:rsidR="00341A06">
        <w:rPr>
          <w:rFonts w:ascii="Avenir Next" w:hAnsi="Avenir Next" w:cs="Arial"/>
          <w:color w:val="7B7B7B" w:themeColor="accent3" w:themeShade="BF"/>
          <w:sz w:val="22"/>
          <w:szCs w:val="22"/>
          <w:lang w:val="en-GB"/>
        </w:rPr>
        <w:t xml:space="preserve"> (i.e. </w:t>
      </w:r>
      <w:r w:rsidR="009C21A2">
        <w:rPr>
          <w:rFonts w:ascii="Avenir Next" w:hAnsi="Avenir Next" w:cs="Arial"/>
          <w:color w:val="7B7B7B" w:themeColor="accent3" w:themeShade="BF"/>
          <w:sz w:val="22"/>
          <w:szCs w:val="22"/>
          <w:lang w:val="en-GB"/>
        </w:rPr>
        <w:t xml:space="preserve">its registered office in </w:t>
      </w:r>
      <w:r w:rsidR="00341A06">
        <w:rPr>
          <w:rFonts w:ascii="Avenir Next" w:hAnsi="Avenir Next" w:cs="Arial"/>
          <w:color w:val="7B7B7B" w:themeColor="accent3" w:themeShade="BF"/>
          <w:sz w:val="22"/>
          <w:szCs w:val="22"/>
          <w:lang w:val="en-GB"/>
        </w:rPr>
        <w:t>Utopia, following the move from Erewhon)</w:t>
      </w:r>
      <w:r w:rsidR="00112406">
        <w:rPr>
          <w:rFonts w:ascii="Avenir Next" w:hAnsi="Avenir Next" w:cs="Arial"/>
          <w:color w:val="7B7B7B" w:themeColor="accent3" w:themeShade="BF"/>
          <w:sz w:val="22"/>
          <w:szCs w:val="22"/>
          <w:lang w:val="en-GB"/>
        </w:rPr>
        <w:t xml:space="preserve"> at the date of commencement of the foreign proceeding (i.e. the commencement of the Erewhon liquidation). </w:t>
      </w:r>
      <w:r w:rsidR="00734DC2">
        <w:rPr>
          <w:rFonts w:ascii="Avenir Next" w:hAnsi="Avenir Next" w:cs="Arial"/>
          <w:color w:val="7B7B7B" w:themeColor="accent3" w:themeShade="BF"/>
          <w:sz w:val="22"/>
          <w:szCs w:val="22"/>
          <w:lang w:val="en-GB"/>
        </w:rPr>
        <w:t xml:space="preserve">Alternatively, </w:t>
      </w:r>
      <w:r w:rsidR="009C21A2">
        <w:rPr>
          <w:rFonts w:ascii="Avenir Next" w:hAnsi="Avenir Next" w:cs="Arial"/>
          <w:color w:val="7B7B7B" w:themeColor="accent3" w:themeShade="BF"/>
          <w:sz w:val="22"/>
          <w:szCs w:val="22"/>
          <w:lang w:val="en-GB"/>
        </w:rPr>
        <w:t xml:space="preserve">the Erewhon liquidation would be classified as a foreign non-main proceeding. In any event, </w:t>
      </w:r>
      <w:r w:rsidR="005D24AC">
        <w:rPr>
          <w:rFonts w:ascii="Avenir Next" w:hAnsi="Avenir Next" w:cs="Arial"/>
          <w:color w:val="7B7B7B" w:themeColor="accent3" w:themeShade="BF"/>
          <w:sz w:val="22"/>
          <w:szCs w:val="22"/>
          <w:lang w:val="en-GB"/>
        </w:rPr>
        <w:t>under Article 1 of the Model Law, the Act would apply in Utopia as "</w:t>
      </w:r>
      <w:r w:rsidR="005D24AC">
        <w:rPr>
          <w:rFonts w:ascii="Avenir Next" w:hAnsi="Avenir Next" w:cs="Arial"/>
          <w:i/>
          <w:iCs/>
          <w:color w:val="7B7B7B" w:themeColor="accent3" w:themeShade="BF"/>
          <w:sz w:val="22"/>
          <w:szCs w:val="22"/>
          <w:lang w:val="en-GB"/>
        </w:rPr>
        <w:t xml:space="preserve">(c) a foreign proceeding and a proceeding under </w:t>
      </w:r>
      <w:r w:rsidR="005D24AC">
        <w:rPr>
          <w:rFonts w:ascii="Avenir Next" w:hAnsi="Avenir Next" w:cs="Arial"/>
          <w:color w:val="7B7B7B" w:themeColor="accent3" w:themeShade="BF"/>
          <w:sz w:val="22"/>
          <w:szCs w:val="22"/>
          <w:lang w:val="en-GB"/>
        </w:rPr>
        <w:t xml:space="preserve">[Utopia law] </w:t>
      </w:r>
      <w:r w:rsidR="005D24AC">
        <w:rPr>
          <w:rFonts w:ascii="Avenir Next" w:hAnsi="Avenir Next" w:cs="Arial"/>
          <w:i/>
          <w:iCs/>
          <w:color w:val="7B7B7B" w:themeColor="accent3" w:themeShade="BF"/>
          <w:sz w:val="22"/>
          <w:szCs w:val="22"/>
          <w:lang w:val="en-GB"/>
        </w:rPr>
        <w:t>in respect of the same debtor are taking place concurrently"</w:t>
      </w:r>
      <w:r w:rsidR="005D24AC">
        <w:rPr>
          <w:rFonts w:ascii="Avenir Next" w:hAnsi="Avenir Next" w:cs="Arial"/>
          <w:color w:val="7B7B7B" w:themeColor="accent3" w:themeShade="BF"/>
          <w:sz w:val="22"/>
          <w:szCs w:val="22"/>
          <w:lang w:val="en-GB"/>
        </w:rPr>
        <w:t xml:space="preserve">. </w:t>
      </w:r>
    </w:p>
    <w:p w14:paraId="3571E408" w14:textId="77777777" w:rsidR="00963CCD" w:rsidRDefault="00963CCD" w:rsidP="00C053F7">
      <w:pPr>
        <w:jc w:val="both"/>
        <w:rPr>
          <w:rFonts w:ascii="Avenir Next" w:hAnsi="Avenir Next" w:cs="Arial"/>
          <w:color w:val="7B7B7B" w:themeColor="accent3" w:themeShade="BF"/>
          <w:sz w:val="22"/>
          <w:szCs w:val="22"/>
          <w:lang w:val="en-GB"/>
        </w:rPr>
      </w:pPr>
    </w:p>
    <w:p w14:paraId="7AF21F66" w14:textId="3B48DC62" w:rsidR="00FA07DD" w:rsidRDefault="00FA07D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order to confirm this definitively</w:t>
      </w:r>
      <w:r w:rsidR="003F3696">
        <w:rPr>
          <w:rFonts w:ascii="Avenir Next" w:hAnsi="Avenir Next" w:cs="Arial"/>
          <w:color w:val="7B7B7B" w:themeColor="accent3" w:themeShade="BF"/>
          <w:sz w:val="22"/>
          <w:szCs w:val="22"/>
          <w:lang w:val="en-GB"/>
        </w:rPr>
        <w:t xml:space="preserve"> then, in addition to confirming the "centre of interest</w:t>
      </w:r>
      <w:r w:rsidR="009C21A2">
        <w:rPr>
          <w:rFonts w:ascii="Avenir Next" w:hAnsi="Avenir Next" w:cs="Arial"/>
          <w:color w:val="7B7B7B" w:themeColor="accent3" w:themeShade="BF"/>
          <w:sz w:val="22"/>
          <w:szCs w:val="22"/>
          <w:lang w:val="en-GB"/>
        </w:rPr>
        <w:t xml:space="preserve">" </w:t>
      </w:r>
      <w:r w:rsidR="003F3696">
        <w:rPr>
          <w:rFonts w:ascii="Avenir Next" w:hAnsi="Avenir Next" w:cs="Arial"/>
          <w:color w:val="7B7B7B" w:themeColor="accent3" w:themeShade="BF"/>
          <w:sz w:val="22"/>
          <w:szCs w:val="22"/>
          <w:lang w:val="en-GB"/>
        </w:rPr>
        <w:t xml:space="preserve">point above, </w:t>
      </w:r>
      <w:r>
        <w:rPr>
          <w:rFonts w:ascii="Avenir Next" w:hAnsi="Avenir Next" w:cs="Arial"/>
          <w:color w:val="7B7B7B" w:themeColor="accent3" w:themeShade="BF"/>
          <w:sz w:val="22"/>
          <w:szCs w:val="22"/>
          <w:lang w:val="en-GB"/>
        </w:rPr>
        <w:t xml:space="preserve">the Erewhon liquidator would need to establish </w:t>
      </w:r>
      <w:r w:rsidR="00963CCD">
        <w:rPr>
          <w:rFonts w:ascii="Avenir Next" w:hAnsi="Avenir Next" w:cs="Arial"/>
          <w:color w:val="7B7B7B" w:themeColor="accent3" w:themeShade="BF"/>
          <w:sz w:val="22"/>
          <w:szCs w:val="22"/>
          <w:lang w:val="en-GB"/>
        </w:rPr>
        <w:t>whether the Act disapplies any proceedings (see Article 1(2) of the Model Law)</w:t>
      </w:r>
      <w:r w:rsidR="00A37760">
        <w:rPr>
          <w:rFonts w:ascii="Avenir Next" w:hAnsi="Avenir Next" w:cs="Arial"/>
          <w:color w:val="7B7B7B" w:themeColor="accent3" w:themeShade="BF"/>
          <w:sz w:val="22"/>
          <w:szCs w:val="22"/>
          <w:lang w:val="en-GB"/>
        </w:rPr>
        <w:t xml:space="preserve"> dependent on the nature of the entities involved; for example, if Apex is a bank or an insurance company (which initially appears to be unlikely on the fact pattern), or otherwise subject to a special insolvency regime in Utopia, Utopia may have elected to exclude it from the Act. </w:t>
      </w:r>
    </w:p>
    <w:p w14:paraId="10C356A4" w14:textId="77777777" w:rsidR="00FA07DD" w:rsidRDefault="00FA07DD" w:rsidP="00C053F7">
      <w:pPr>
        <w:jc w:val="both"/>
        <w:rPr>
          <w:rFonts w:ascii="Avenir Next" w:hAnsi="Avenir Next" w:cs="Arial"/>
          <w:color w:val="7B7B7B" w:themeColor="accent3" w:themeShade="BF"/>
          <w:sz w:val="22"/>
          <w:szCs w:val="22"/>
          <w:lang w:val="en-GB"/>
        </w:rPr>
      </w:pPr>
    </w:p>
    <w:p w14:paraId="4E889D70" w14:textId="01CFB829" w:rsidR="008F200F" w:rsidRDefault="005D24A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assumption that the Act applies to the facts</w:t>
      </w:r>
      <w:r w:rsidR="007B1F21" w:rsidRPr="00FA07DD">
        <w:rPr>
          <w:rFonts w:ascii="Avenir Next" w:hAnsi="Avenir Next" w:cs="Arial"/>
          <w:color w:val="7B7B7B" w:themeColor="accent3" w:themeShade="BF"/>
          <w:sz w:val="22"/>
          <w:szCs w:val="22"/>
          <w:lang w:val="en-GB"/>
        </w:rPr>
        <w:t>, the Erewhon liquidator is entitled, under the Act, to apply to the Courts in Utopia for recognition of the foreign insolvency proceedings (see Article</w:t>
      </w:r>
      <w:r w:rsidR="0026699B">
        <w:rPr>
          <w:rFonts w:ascii="Avenir Next" w:hAnsi="Avenir Next" w:cs="Arial"/>
          <w:color w:val="7B7B7B" w:themeColor="accent3" w:themeShade="BF"/>
          <w:sz w:val="22"/>
          <w:szCs w:val="22"/>
          <w:lang w:val="en-GB"/>
        </w:rPr>
        <w:t>s</w:t>
      </w:r>
      <w:r w:rsidR="007B1F21" w:rsidRPr="00FA07DD">
        <w:rPr>
          <w:rFonts w:ascii="Avenir Next" w:hAnsi="Avenir Next" w:cs="Arial"/>
          <w:color w:val="7B7B7B" w:themeColor="accent3" w:themeShade="BF"/>
          <w:sz w:val="22"/>
          <w:szCs w:val="22"/>
          <w:lang w:val="en-GB"/>
        </w:rPr>
        <w:t xml:space="preserve"> 9</w:t>
      </w:r>
      <w:r w:rsidR="0026699B">
        <w:rPr>
          <w:rFonts w:ascii="Avenir Next" w:hAnsi="Avenir Next" w:cs="Arial"/>
          <w:color w:val="7B7B7B" w:themeColor="accent3" w:themeShade="BF"/>
          <w:sz w:val="22"/>
          <w:szCs w:val="22"/>
          <w:lang w:val="en-GB"/>
        </w:rPr>
        <w:t xml:space="preserve"> and 15</w:t>
      </w:r>
      <w:r w:rsidR="007B1F21" w:rsidRPr="00FA07DD">
        <w:rPr>
          <w:rFonts w:ascii="Avenir Next" w:hAnsi="Avenir Next" w:cs="Arial"/>
          <w:color w:val="7B7B7B" w:themeColor="accent3" w:themeShade="BF"/>
          <w:sz w:val="22"/>
          <w:szCs w:val="22"/>
          <w:lang w:val="en-GB"/>
        </w:rPr>
        <w:t xml:space="preserve"> of the Model Law)</w:t>
      </w:r>
      <w:r w:rsidR="008F200F">
        <w:rPr>
          <w:rFonts w:ascii="Avenir Next" w:hAnsi="Avenir Next" w:cs="Arial"/>
          <w:color w:val="7B7B7B" w:themeColor="accent3" w:themeShade="BF"/>
          <w:sz w:val="22"/>
          <w:szCs w:val="22"/>
          <w:lang w:val="en-GB"/>
        </w:rPr>
        <w:t xml:space="preserve">. Once recognised, under Article 21 of the Model Law (adopted under the Act), </w:t>
      </w:r>
      <w:r w:rsidR="002144DD">
        <w:rPr>
          <w:rFonts w:ascii="Avenir Next" w:hAnsi="Avenir Next" w:cs="Arial"/>
          <w:color w:val="7B7B7B" w:themeColor="accent3" w:themeShade="BF"/>
          <w:sz w:val="22"/>
          <w:szCs w:val="22"/>
          <w:lang w:val="en-GB"/>
        </w:rPr>
        <w:t>the Courts of Utopia may, at the request of the Erewhon liquidator, grant "</w:t>
      </w:r>
      <w:r w:rsidR="002144DD">
        <w:rPr>
          <w:rFonts w:ascii="Avenir Next" w:hAnsi="Avenir Next" w:cs="Arial"/>
          <w:i/>
          <w:iCs/>
          <w:color w:val="7B7B7B" w:themeColor="accent3" w:themeShade="BF"/>
          <w:sz w:val="22"/>
          <w:szCs w:val="22"/>
          <w:lang w:val="en-GB"/>
        </w:rPr>
        <w:t>appropriate relief"</w:t>
      </w:r>
      <w:r w:rsidR="002144DD">
        <w:rPr>
          <w:rFonts w:ascii="Avenir Next" w:hAnsi="Avenir Next" w:cs="Arial"/>
          <w:color w:val="7B7B7B" w:themeColor="accent3" w:themeShade="BF"/>
          <w:sz w:val="22"/>
          <w:szCs w:val="22"/>
          <w:lang w:val="en-GB"/>
        </w:rPr>
        <w:t xml:space="preserve">, including a </w:t>
      </w:r>
      <w:r w:rsidR="00986EE9">
        <w:rPr>
          <w:rFonts w:ascii="Avenir Next" w:hAnsi="Avenir Next" w:cs="Arial"/>
          <w:color w:val="7B7B7B" w:themeColor="accent3" w:themeShade="BF"/>
          <w:sz w:val="22"/>
          <w:szCs w:val="22"/>
          <w:lang w:val="en-GB"/>
        </w:rPr>
        <w:t>stay</w:t>
      </w:r>
      <w:r w:rsidR="002144DD">
        <w:rPr>
          <w:rFonts w:ascii="Avenir Next" w:hAnsi="Avenir Next" w:cs="Arial"/>
          <w:color w:val="7B7B7B" w:themeColor="accent3" w:themeShade="BF"/>
          <w:sz w:val="22"/>
          <w:szCs w:val="22"/>
          <w:lang w:val="en-GB"/>
        </w:rPr>
        <w:t xml:space="preserve"> of proceedings</w:t>
      </w:r>
      <w:r w:rsidR="00C70E6C">
        <w:rPr>
          <w:rFonts w:ascii="Avenir Next" w:hAnsi="Avenir Next" w:cs="Arial"/>
          <w:color w:val="7B7B7B" w:themeColor="accent3" w:themeShade="BF"/>
          <w:sz w:val="22"/>
          <w:szCs w:val="22"/>
          <w:lang w:val="en-GB"/>
        </w:rPr>
        <w:t xml:space="preserve"> concerning the debtor's assets (i.e. the Apex debt claim)</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2A7467" w:rsidRDefault="009B0723" w:rsidP="00C053F7">
      <w:pPr>
        <w:jc w:val="both"/>
        <w:rPr>
          <w:rFonts w:ascii="Avenir Next Demi Bold" w:hAnsi="Avenir Next Demi Bold" w:cs="Arial"/>
          <w:b/>
          <w:bCs/>
          <w:sz w:val="22"/>
          <w:szCs w:val="22"/>
          <w:lang w:val="en-GB"/>
        </w:rPr>
      </w:pPr>
      <w:r w:rsidRPr="002A7467">
        <w:rPr>
          <w:rFonts w:ascii="Avenir Next Demi Bold" w:hAnsi="Avenir Next Demi Bold" w:cs="Arial"/>
          <w:b/>
          <w:bCs/>
          <w:sz w:val="22"/>
          <w:szCs w:val="22"/>
          <w:highlight w:val="yellow"/>
          <w:lang w:val="en-GB"/>
        </w:rPr>
        <w:t>Question 4.2 [</w:t>
      </w:r>
      <w:r w:rsidR="00126A4D" w:rsidRPr="002A7467">
        <w:rPr>
          <w:rFonts w:ascii="Avenir Next Demi Bold" w:hAnsi="Avenir Next Demi Bold" w:cs="Arial"/>
          <w:b/>
          <w:bCs/>
          <w:sz w:val="22"/>
          <w:szCs w:val="22"/>
          <w:highlight w:val="yellow"/>
          <w:lang w:val="en-GB"/>
        </w:rPr>
        <w:t>m</w:t>
      </w:r>
      <w:r w:rsidRPr="002A7467">
        <w:rPr>
          <w:rFonts w:ascii="Avenir Next Demi Bold" w:hAnsi="Avenir Next Demi Bold" w:cs="Arial"/>
          <w:b/>
          <w:bCs/>
          <w:sz w:val="22"/>
          <w:szCs w:val="22"/>
          <w:highlight w:val="yellow"/>
          <w:lang w:val="en-GB"/>
        </w:rPr>
        <w:t>aximum 2 marks]</w:t>
      </w:r>
      <w:r w:rsidRPr="002A7467">
        <w:rPr>
          <w:rFonts w:ascii="Avenir Next Demi Bold" w:hAnsi="Avenir Next Demi Bold" w:cs="Arial"/>
          <w:b/>
          <w:bCs/>
          <w:sz w:val="22"/>
          <w:szCs w:val="22"/>
          <w:lang w:val="en-GB"/>
        </w:rPr>
        <w:t xml:space="preserve"> </w:t>
      </w:r>
    </w:p>
    <w:p w14:paraId="6433B0AC" w14:textId="77777777" w:rsidR="002F75A3" w:rsidRPr="00FA3C21" w:rsidRDefault="002F75A3" w:rsidP="00C053F7">
      <w:pPr>
        <w:jc w:val="both"/>
        <w:rPr>
          <w:rFonts w:ascii="Avenir Next" w:hAnsi="Avenir Next" w:cs="Arial"/>
          <w:b/>
          <w:bCs/>
          <w:color w:val="FF0000"/>
          <w:sz w:val="22"/>
          <w:szCs w:val="22"/>
          <w:lang w:val="en-GB"/>
        </w:rPr>
      </w:pPr>
    </w:p>
    <w:p w14:paraId="0A3FD337" w14:textId="364EC477" w:rsidR="009B0723" w:rsidRPr="00762E0A" w:rsidRDefault="009B0723" w:rsidP="00C053F7">
      <w:pPr>
        <w:jc w:val="both"/>
        <w:rPr>
          <w:rFonts w:ascii="Avenir Next" w:hAnsi="Avenir Next" w:cs="Arial"/>
          <w:sz w:val="22"/>
          <w:szCs w:val="22"/>
          <w:highlight w:val="yellow"/>
          <w:lang w:val="en-GB"/>
        </w:rPr>
      </w:pPr>
      <w:r w:rsidRPr="00762E0A">
        <w:rPr>
          <w:rFonts w:ascii="Avenir Next" w:hAnsi="Avenir Next" w:cs="Arial"/>
          <w:sz w:val="22"/>
          <w:szCs w:val="22"/>
          <w:highlight w:val="yellow"/>
          <w:lang w:val="en-GB"/>
        </w:rPr>
        <w:t xml:space="preserve">Would it make any difference to your answer </w:t>
      </w:r>
      <w:r w:rsidR="00055893" w:rsidRPr="00762E0A">
        <w:rPr>
          <w:rFonts w:ascii="Avenir Next" w:hAnsi="Avenir Next" w:cs="Arial"/>
          <w:sz w:val="22"/>
          <w:szCs w:val="22"/>
          <w:highlight w:val="yellow"/>
          <w:lang w:val="en-GB"/>
        </w:rPr>
        <w:t xml:space="preserve">in question 4.1 </w:t>
      </w:r>
      <w:r w:rsidRPr="00762E0A">
        <w:rPr>
          <w:rFonts w:ascii="Avenir Next" w:hAnsi="Avenir Next" w:cs="Arial"/>
          <w:sz w:val="22"/>
          <w:szCs w:val="22"/>
          <w:highlight w:val="yellow"/>
          <w:lang w:val="en-GB"/>
        </w:rPr>
        <w:t>in the following two alternative scenarios to Apex suing for its debt</w:t>
      </w:r>
      <w:r w:rsidR="002D3473" w:rsidRPr="00762E0A">
        <w:rPr>
          <w:rFonts w:ascii="Avenir Next" w:hAnsi="Avenir Next" w:cs="Arial"/>
          <w:sz w:val="22"/>
          <w:szCs w:val="22"/>
          <w:highlight w:val="yellow"/>
          <w:lang w:val="en-GB"/>
        </w:rPr>
        <w:t>?</w:t>
      </w:r>
    </w:p>
    <w:p w14:paraId="567B0BCF" w14:textId="77777777" w:rsidR="002D3473" w:rsidRPr="00762E0A" w:rsidRDefault="002D3473" w:rsidP="00C053F7">
      <w:pPr>
        <w:jc w:val="both"/>
        <w:rPr>
          <w:rFonts w:ascii="Avenir Next" w:hAnsi="Avenir Next" w:cs="Arial"/>
          <w:sz w:val="22"/>
          <w:szCs w:val="22"/>
          <w:highlight w:val="yellow"/>
          <w:lang w:val="en-GB"/>
        </w:rPr>
      </w:pPr>
    </w:p>
    <w:p w14:paraId="4D96A9D7" w14:textId="140C3740" w:rsidR="009B0723" w:rsidRPr="00762E0A" w:rsidRDefault="009B0723" w:rsidP="00055893">
      <w:pPr>
        <w:pStyle w:val="ListParagraph"/>
        <w:numPr>
          <w:ilvl w:val="0"/>
          <w:numId w:val="22"/>
        </w:numPr>
        <w:ind w:left="426"/>
        <w:jc w:val="both"/>
        <w:rPr>
          <w:rFonts w:ascii="Avenir Next" w:hAnsi="Avenir Next" w:cs="Arial"/>
          <w:sz w:val="22"/>
          <w:szCs w:val="22"/>
          <w:highlight w:val="yellow"/>
          <w:lang w:val="en-GB"/>
        </w:rPr>
      </w:pPr>
      <w:r w:rsidRPr="00762E0A">
        <w:rPr>
          <w:rFonts w:ascii="Avenir Next" w:hAnsi="Avenir Next" w:cs="Arial"/>
          <w:sz w:val="22"/>
          <w:szCs w:val="22"/>
          <w:highlight w:val="yellow"/>
          <w:lang w:val="en-GB"/>
        </w:rPr>
        <w:t>Apex had filed proceedings to wind-up Nadir, but the matter had not yet been heard.</w:t>
      </w:r>
    </w:p>
    <w:p w14:paraId="33B046DA" w14:textId="77777777" w:rsidR="002D3473" w:rsidRPr="00762E0A" w:rsidRDefault="002D3473" w:rsidP="00055893">
      <w:pPr>
        <w:ind w:left="426"/>
        <w:jc w:val="both"/>
        <w:rPr>
          <w:rFonts w:ascii="Avenir Next" w:hAnsi="Avenir Next" w:cs="Arial"/>
          <w:sz w:val="22"/>
          <w:szCs w:val="22"/>
          <w:highlight w:val="yellow"/>
          <w:lang w:val="en-GB"/>
        </w:rPr>
      </w:pPr>
    </w:p>
    <w:p w14:paraId="27FE742D" w14:textId="188FF978" w:rsidR="009B0723" w:rsidRPr="00762E0A" w:rsidRDefault="009B0723" w:rsidP="00055893">
      <w:pPr>
        <w:pStyle w:val="ListParagraph"/>
        <w:numPr>
          <w:ilvl w:val="0"/>
          <w:numId w:val="22"/>
        </w:numPr>
        <w:ind w:left="426"/>
        <w:jc w:val="both"/>
        <w:rPr>
          <w:rFonts w:ascii="Avenir Next" w:hAnsi="Avenir Next" w:cs="Arial"/>
          <w:sz w:val="22"/>
          <w:szCs w:val="22"/>
          <w:highlight w:val="yellow"/>
          <w:lang w:val="en-GB"/>
        </w:rPr>
      </w:pPr>
      <w:r w:rsidRPr="00762E0A">
        <w:rPr>
          <w:rFonts w:ascii="Avenir Next" w:hAnsi="Avenir Next" w:cs="Arial"/>
          <w:sz w:val="22"/>
          <w:szCs w:val="22"/>
          <w:highlight w:val="yellow"/>
          <w:lang w:val="en-GB"/>
        </w:rPr>
        <w:t xml:space="preserve">Apex had obtained a court order to wind-up Nadir in Utopia prior to the Erewhon winding-up order.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FA3C21" w:rsidRDefault="009B0723" w:rsidP="00C053F7">
      <w:pPr>
        <w:jc w:val="both"/>
        <w:rPr>
          <w:rFonts w:ascii="Avenir Next Demi Bold" w:hAnsi="Avenir Next Demi Bold" w:cs="Arial"/>
          <w:b/>
          <w:bCs/>
          <w:color w:val="FF0000"/>
          <w:sz w:val="22"/>
          <w:szCs w:val="22"/>
          <w:lang w:val="en-GB"/>
        </w:rPr>
      </w:pPr>
      <w:r w:rsidRPr="00B65ADA">
        <w:rPr>
          <w:rFonts w:ascii="Avenir Next Demi Bold" w:hAnsi="Avenir Next Demi Bold" w:cs="Arial"/>
          <w:b/>
          <w:bCs/>
          <w:sz w:val="22"/>
          <w:szCs w:val="22"/>
          <w:lang w:val="en-GB"/>
        </w:rPr>
        <w:t>Question 4.3 [</w:t>
      </w:r>
      <w:r w:rsidR="00126A4D" w:rsidRPr="00B65ADA">
        <w:rPr>
          <w:rFonts w:ascii="Avenir Next Demi Bold" w:hAnsi="Avenir Next Demi Bold" w:cs="Arial"/>
          <w:b/>
          <w:bCs/>
          <w:sz w:val="22"/>
          <w:szCs w:val="22"/>
          <w:lang w:val="en-GB"/>
        </w:rPr>
        <w:t>m</w:t>
      </w:r>
      <w:r w:rsidRPr="00B65ADA">
        <w:rPr>
          <w:rFonts w:ascii="Avenir Next Demi Bold" w:hAnsi="Avenir Next Demi Bold" w:cs="Arial"/>
          <w:b/>
          <w:bCs/>
          <w:sz w:val="22"/>
          <w:szCs w:val="22"/>
          <w:lang w:val="en-GB"/>
        </w:rPr>
        <w:t xml:space="preserve">aximum 8 marks] </w:t>
      </w:r>
    </w:p>
    <w:p w14:paraId="2B147F29" w14:textId="77777777" w:rsidR="007C1459" w:rsidRPr="00FA3C21" w:rsidRDefault="007C1459" w:rsidP="00C053F7">
      <w:pPr>
        <w:jc w:val="both"/>
        <w:rPr>
          <w:rFonts w:ascii="Avenir Next" w:hAnsi="Avenir Next" w:cs="Arial"/>
          <w:b/>
          <w:bCs/>
          <w:color w:val="FF0000"/>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6207B62"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D87BC57" w14:textId="619F3377" w:rsidR="00FF66AD" w:rsidRDefault="00FF66A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State of incorporation / head office: England </w:t>
      </w:r>
    </w:p>
    <w:p w14:paraId="3F567C64" w14:textId="3E514F32" w:rsidR="00CF5CB2" w:rsidRDefault="00CF5CB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Commencement of insolvency: Court order from the English Court</w:t>
      </w:r>
    </w:p>
    <w:p w14:paraId="1DEC2541" w14:textId="77777777" w:rsidR="00D40DFB" w:rsidRDefault="00D40DFB" w:rsidP="00C053F7">
      <w:pPr>
        <w:jc w:val="both"/>
        <w:rPr>
          <w:rFonts w:ascii="Avenir Next" w:hAnsi="Avenir Next" w:cs="Arial"/>
          <w:color w:val="7B7B7B" w:themeColor="accent3" w:themeShade="BF"/>
          <w:sz w:val="22"/>
          <w:szCs w:val="22"/>
          <w:lang w:val="en-GB"/>
        </w:rPr>
      </w:pPr>
    </w:p>
    <w:p w14:paraId="3904CF07" w14:textId="4DA6178D" w:rsidR="00D40DFB" w:rsidRDefault="00D40DF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1: the English liquidator is under a statutory duty to take into custody and under their control all the tangible and intangible property to which the company is entitled. Their ability to do so will depend on the extent to which their appointment as liquidator is recognised in the foreign states in which the company's assets are situated. Domestic legislation may be of some assistance in determining disputes for any outbound requests from the English liquidator as, under the Insolvency Act 1986, English law </w:t>
      </w:r>
      <w:r w:rsidR="00112B81">
        <w:rPr>
          <w:rFonts w:ascii="Avenir Next" w:hAnsi="Avenir Next" w:cs="Arial"/>
          <w:color w:val="7B7B7B" w:themeColor="accent3" w:themeShade="BF"/>
          <w:sz w:val="22"/>
          <w:szCs w:val="22"/>
          <w:lang w:val="en-GB"/>
        </w:rPr>
        <w:t xml:space="preserve">will apply to all matters of procedure and substance. Other international frameworks regulating cross-border insolvency matters will also assist the English liquidator, for example if the foreign states have adopted the </w:t>
      </w:r>
      <w:r w:rsidR="00112B81" w:rsidRPr="00112B81">
        <w:rPr>
          <w:rFonts w:ascii="Avenir Next" w:hAnsi="Avenir Next" w:cs="Arial"/>
          <w:color w:val="7B7B7B" w:themeColor="accent3" w:themeShade="BF"/>
          <w:sz w:val="22"/>
          <w:szCs w:val="22"/>
          <w:lang w:val="en-GB"/>
        </w:rPr>
        <w:t>UNCITRAL Model Law on Cross-border Insolvency</w:t>
      </w:r>
      <w:r w:rsidR="00112B81">
        <w:rPr>
          <w:rFonts w:ascii="Avenir Next" w:hAnsi="Avenir Next" w:cs="Arial"/>
          <w:color w:val="7B7B7B" w:themeColor="accent3" w:themeShade="BF"/>
          <w:sz w:val="22"/>
          <w:szCs w:val="22"/>
          <w:lang w:val="en-GB"/>
        </w:rPr>
        <w:t xml:space="preserve">, </w:t>
      </w:r>
      <w:r w:rsidR="00C32816">
        <w:rPr>
          <w:rFonts w:ascii="Avenir Next" w:hAnsi="Avenir Next" w:cs="Arial"/>
          <w:color w:val="7B7B7B" w:themeColor="accent3" w:themeShade="BF"/>
          <w:sz w:val="22"/>
          <w:szCs w:val="22"/>
          <w:lang w:val="en-GB"/>
        </w:rPr>
        <w:t>the requirements for</w:t>
      </w:r>
      <w:r w:rsidR="00112B81">
        <w:rPr>
          <w:rFonts w:ascii="Avenir Next" w:hAnsi="Avenir Next" w:cs="Arial"/>
          <w:color w:val="7B7B7B" w:themeColor="accent3" w:themeShade="BF"/>
          <w:sz w:val="22"/>
          <w:szCs w:val="22"/>
          <w:lang w:val="en-GB"/>
        </w:rPr>
        <w:t xml:space="preserve"> international cooperation will assist the English liquidator</w:t>
      </w:r>
      <w:r w:rsidR="00C32816">
        <w:rPr>
          <w:rFonts w:ascii="Avenir Next" w:hAnsi="Avenir Next" w:cs="Arial"/>
          <w:color w:val="7B7B7B" w:themeColor="accent3" w:themeShade="BF"/>
          <w:sz w:val="22"/>
          <w:szCs w:val="22"/>
          <w:lang w:val="en-GB"/>
        </w:rPr>
        <w:t xml:space="preserve"> when applying for recognition. </w:t>
      </w:r>
    </w:p>
    <w:p w14:paraId="7063580B" w14:textId="77777777" w:rsidR="00F340C2" w:rsidRDefault="00F340C2" w:rsidP="00C053F7">
      <w:pPr>
        <w:jc w:val="both"/>
        <w:rPr>
          <w:rFonts w:ascii="Avenir Next" w:hAnsi="Avenir Next" w:cs="Arial"/>
          <w:color w:val="7B7B7B" w:themeColor="accent3" w:themeShade="BF"/>
          <w:sz w:val="22"/>
          <w:szCs w:val="22"/>
          <w:lang w:val="en-GB"/>
        </w:rPr>
      </w:pPr>
    </w:p>
    <w:p w14:paraId="2775910C" w14:textId="741240D1" w:rsidR="000777AD" w:rsidRDefault="00F340C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Issue 2: the English liquidator may receive inbound requests from assistance from foreign debtors. </w:t>
      </w:r>
      <w:r w:rsidR="00B65ADA">
        <w:rPr>
          <w:rFonts w:ascii="Avenir Next" w:hAnsi="Avenir Next" w:cs="Arial"/>
          <w:color w:val="7B7B7B" w:themeColor="accent3" w:themeShade="BF"/>
          <w:sz w:val="22"/>
          <w:szCs w:val="22"/>
          <w:lang w:val="en-GB"/>
        </w:rPr>
        <w:t xml:space="preserve">English case law assists with this issue as </w:t>
      </w:r>
      <w:r w:rsidR="00B65ADA">
        <w:rPr>
          <w:rFonts w:ascii="Avenir Next" w:hAnsi="Avenir Next" w:cs="Arial"/>
          <w:color w:val="7B7B7B" w:themeColor="accent3" w:themeShade="BF"/>
          <w:sz w:val="22"/>
          <w:szCs w:val="22"/>
          <w:lang w:val="en-GB"/>
        </w:rPr>
        <w:t>(</w:t>
      </w:r>
      <w:r w:rsidR="00B65ADA">
        <w:rPr>
          <w:rFonts w:ascii="Avenir Next" w:hAnsi="Avenir Next" w:cs="Arial"/>
          <w:color w:val="7B7B7B" w:themeColor="accent3" w:themeShade="BF"/>
          <w:sz w:val="22"/>
          <w:szCs w:val="22"/>
          <w:u w:val="single"/>
          <w:lang w:val="en-GB"/>
        </w:rPr>
        <w:t>Re Real Estate Development Co</w:t>
      </w:r>
      <w:r w:rsidR="00B65ADA">
        <w:rPr>
          <w:rFonts w:ascii="Avenir Next" w:hAnsi="Avenir Next" w:cs="Arial"/>
          <w:color w:val="7B7B7B" w:themeColor="accent3" w:themeShade="BF"/>
          <w:sz w:val="22"/>
          <w:szCs w:val="22"/>
          <w:lang w:val="en-GB"/>
        </w:rPr>
        <w:t xml:space="preserve"> [1991] BCLC 210 (Ch D))</w:t>
      </w:r>
      <w:r w:rsidR="00B65ADA">
        <w:rPr>
          <w:rFonts w:ascii="Avenir Next" w:hAnsi="Avenir Next" w:cs="Arial"/>
          <w:color w:val="7B7B7B" w:themeColor="accent3" w:themeShade="BF"/>
          <w:sz w:val="22"/>
          <w:szCs w:val="22"/>
          <w:lang w:val="en-GB"/>
        </w:rPr>
        <w:t xml:space="preserve"> confirmed that English liquidators are authorised to accept proof of debts lodged by foreign creditors in respect of a company's liabilities incurred overseas or governed by foreign law. </w:t>
      </w:r>
      <w:r w:rsidR="00A32A11">
        <w:rPr>
          <w:rFonts w:ascii="Avenir Next" w:hAnsi="Avenir Next" w:cs="Arial"/>
          <w:color w:val="7B7B7B" w:themeColor="accent3" w:themeShade="BF"/>
          <w:sz w:val="22"/>
          <w:szCs w:val="22"/>
          <w:lang w:val="en-GB"/>
        </w:rPr>
        <w:t xml:space="preserve">The English liquidator may need to consider issues where domestic / foreign laws conflict (for example, the company has outstanding taxation debts, a 'Crown Preference' currently abolished under English law, but which may be a priority interest under foreign law).  </w:t>
      </w:r>
    </w:p>
    <w:p w14:paraId="1828C83A" w14:textId="77777777" w:rsidR="00A32A11" w:rsidRDefault="00A32A11" w:rsidP="00C053F7">
      <w:pPr>
        <w:jc w:val="both"/>
        <w:rPr>
          <w:rFonts w:ascii="Avenir Next" w:hAnsi="Avenir Next" w:cs="Arial"/>
          <w:color w:val="7B7B7B" w:themeColor="accent3" w:themeShade="BF"/>
          <w:sz w:val="22"/>
          <w:szCs w:val="22"/>
          <w:lang w:val="en-GB"/>
        </w:rPr>
      </w:pPr>
    </w:p>
    <w:p w14:paraId="58A9EBCB" w14:textId="18BD198A" w:rsidR="00F340C2" w:rsidRPr="00A32A11" w:rsidRDefault="000777A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3: the English liquidator may have to </w:t>
      </w:r>
      <w:r w:rsidR="00A32A11">
        <w:rPr>
          <w:rFonts w:ascii="Avenir Next" w:hAnsi="Avenir Next" w:cs="Arial"/>
          <w:color w:val="7B7B7B" w:themeColor="accent3" w:themeShade="BF"/>
          <w:sz w:val="22"/>
          <w:szCs w:val="22"/>
          <w:lang w:val="en-GB"/>
        </w:rPr>
        <w:t>deal with (concurrent) foreign insolvency proceedings relating to the debtor. T</w:t>
      </w:r>
      <w:r w:rsidR="00E9369F">
        <w:rPr>
          <w:rFonts w:ascii="Avenir Next" w:hAnsi="Avenir Next" w:cs="Arial"/>
          <w:color w:val="7B7B7B" w:themeColor="accent3" w:themeShade="BF"/>
          <w:sz w:val="22"/>
          <w:szCs w:val="22"/>
          <w:lang w:val="en-GB"/>
        </w:rPr>
        <w:t>he Insolvency Act 1986 contains provisions governing aid and assistance</w:t>
      </w:r>
      <w:r>
        <w:rPr>
          <w:rFonts w:ascii="Avenir Next" w:hAnsi="Avenir Next" w:cs="Arial"/>
          <w:color w:val="7B7B7B" w:themeColor="accent3" w:themeShade="BF"/>
          <w:sz w:val="22"/>
          <w:szCs w:val="22"/>
          <w:lang w:val="en-GB"/>
        </w:rPr>
        <w:t xml:space="preserve"> regarding the recognition and cooperation in foreign insolvency proceedings</w:t>
      </w:r>
      <w:r w:rsidR="00A32A11">
        <w:rPr>
          <w:rFonts w:ascii="Avenir Next" w:hAnsi="Avenir Next" w:cs="Arial"/>
          <w:color w:val="7B7B7B" w:themeColor="accent3" w:themeShade="BF"/>
          <w:sz w:val="22"/>
          <w:szCs w:val="22"/>
          <w:lang w:val="en-GB"/>
        </w:rPr>
        <w:t xml:space="preserve">, and confirms (under section 426) that the English Court may </w:t>
      </w:r>
      <w:r w:rsidR="00A32A11">
        <w:rPr>
          <w:rFonts w:ascii="Avenir Next" w:hAnsi="Avenir Next" w:cs="Arial"/>
          <w:color w:val="7B7B7B" w:themeColor="accent3" w:themeShade="BF"/>
          <w:sz w:val="22"/>
          <w:szCs w:val="22"/>
          <w:lang w:val="en-GB"/>
        </w:rPr>
        <w:t>"</w:t>
      </w:r>
      <w:r w:rsidR="00A32A11">
        <w:rPr>
          <w:rFonts w:ascii="Avenir Next" w:hAnsi="Avenir Next" w:cs="Arial"/>
          <w:i/>
          <w:iCs/>
          <w:color w:val="7B7B7B" w:themeColor="accent3" w:themeShade="BF"/>
          <w:sz w:val="22"/>
          <w:szCs w:val="22"/>
          <w:lang w:val="en-GB"/>
        </w:rPr>
        <w:t>apply, in relation to any matters specified in the request, the insolvency law which is applicable by either court in relation to comparable matters falling within its jurisdiction"</w:t>
      </w:r>
      <w:r w:rsidR="00A32A11">
        <w:rPr>
          <w:rFonts w:ascii="Avenir Next" w:hAnsi="Avenir Next" w:cs="Arial"/>
          <w:color w:val="7B7B7B" w:themeColor="accent3" w:themeShade="BF"/>
          <w:sz w:val="22"/>
          <w:szCs w:val="22"/>
          <w:lang w:val="en-GB"/>
        </w:rPr>
        <w:t xml:space="preserve">. </w:t>
      </w:r>
    </w:p>
    <w:p w14:paraId="33AFB22A" w14:textId="77777777" w:rsidR="00112B81" w:rsidRDefault="00112B81" w:rsidP="00C053F7">
      <w:pPr>
        <w:jc w:val="both"/>
        <w:rPr>
          <w:rFonts w:ascii="Avenir Next" w:hAnsi="Avenir Next" w:cs="Arial"/>
          <w:color w:val="7B7B7B" w:themeColor="accent3" w:themeShade="BF"/>
          <w:sz w:val="22"/>
          <w:szCs w:val="22"/>
          <w:lang w:val="en-GB"/>
        </w:rPr>
      </w:pPr>
    </w:p>
    <w:p w14:paraId="25F56561" w14:textId="14AE8E26" w:rsidR="00302D53" w:rsidRPr="00E521BD" w:rsidRDefault="00302D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Issue 4: </w:t>
      </w:r>
      <w:r w:rsidR="00075A24">
        <w:rPr>
          <w:rFonts w:ascii="Avenir Next" w:hAnsi="Avenir Next" w:cs="Arial"/>
          <w:color w:val="7B7B7B" w:themeColor="accent3" w:themeShade="BF"/>
          <w:sz w:val="22"/>
          <w:szCs w:val="22"/>
          <w:lang w:val="en-GB"/>
        </w:rPr>
        <w:t xml:space="preserve">the English liquidator will have to </w:t>
      </w:r>
      <w:r w:rsidR="00D52E6B">
        <w:rPr>
          <w:rFonts w:ascii="Avenir Next" w:hAnsi="Avenir Next" w:cs="Arial"/>
          <w:color w:val="7B7B7B" w:themeColor="accent3" w:themeShade="BF"/>
          <w:sz w:val="22"/>
          <w:szCs w:val="22"/>
          <w:lang w:val="en-GB"/>
        </w:rPr>
        <w:t xml:space="preserve">resolve the issue of the company's examinable corporate officers being located in several other states. In addition to the practical issues of arranging access to these individuals, this may also present a 'conflict of laws' issue as the extent of any personal liability by </w:t>
      </w:r>
      <w:r w:rsidR="00925006">
        <w:rPr>
          <w:rFonts w:ascii="Avenir Next" w:hAnsi="Avenir Next" w:cs="Arial"/>
          <w:color w:val="7B7B7B" w:themeColor="accent3" w:themeShade="BF"/>
          <w:sz w:val="22"/>
          <w:szCs w:val="22"/>
          <w:lang w:val="en-GB"/>
        </w:rPr>
        <w:t xml:space="preserve">directors / officers will depend on the specific laws of a particular state. As above, the </w:t>
      </w:r>
      <w:r w:rsidR="00925006">
        <w:rPr>
          <w:rFonts w:ascii="Avenir Next" w:hAnsi="Avenir Next" w:cs="Arial"/>
          <w:color w:val="7B7B7B" w:themeColor="accent3" w:themeShade="BF"/>
          <w:sz w:val="22"/>
          <w:szCs w:val="22"/>
          <w:lang w:val="en-GB"/>
        </w:rPr>
        <w:t>Insolvency Act 1986</w:t>
      </w:r>
      <w:r w:rsidR="00925006">
        <w:rPr>
          <w:rFonts w:ascii="Avenir Next" w:hAnsi="Avenir Next" w:cs="Arial"/>
          <w:color w:val="7B7B7B" w:themeColor="accent3" w:themeShade="BF"/>
          <w:sz w:val="22"/>
          <w:szCs w:val="22"/>
          <w:lang w:val="en-GB"/>
        </w:rPr>
        <w:t xml:space="preserve"> will be of assistance in resolving this issue.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0421" w14:textId="77777777" w:rsidR="0001689C" w:rsidRDefault="0001689C" w:rsidP="00241B44">
      <w:r>
        <w:separator/>
      </w:r>
    </w:p>
  </w:endnote>
  <w:endnote w:type="continuationSeparator" w:id="0">
    <w:p w14:paraId="0EB343D6" w14:textId="77777777" w:rsidR="0001689C" w:rsidRDefault="0001689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Default="00445CE6" w:rsidP="00FC7B47">
    <w:pPr>
      <w:pStyle w:val="Footer"/>
      <w:ind w:right="360"/>
    </w:pPr>
    <w:r>
      <w:t>student number.assessment1formative.docx</w:t>
    </w:r>
  </w:p>
  <w:p w14:paraId="0C89FAC2" w14:textId="36854063" w:rsidR="00F9501B" w:rsidRPr="00FC7B47" w:rsidRDefault="00F9501B" w:rsidP="00FC7B47">
    <w:pPr>
      <w:pStyle w:val="Footer"/>
      <w:ind w:right="360"/>
      <w:rPr>
        <w:rFonts w:ascii="Arial" w:hAnsi="Arial" w:cs="Arial"/>
        <w:sz w:val="22"/>
        <w:szCs w:val="22"/>
      </w:rPr>
    </w:pPr>
    <w:r>
      <w:rPr>
        <w:rFonts w:ascii="Arial" w:hAnsi="Arial" w:cs="Arial"/>
        <w:sz w:val="22"/>
        <w:szCs w:val="22"/>
      </w:rPr>
      <w:fldChar w:fldCharType="begin"/>
    </w:r>
    <w:r w:rsidR="008B2987">
      <w:rPr>
        <w:rFonts w:ascii="Arial" w:hAnsi="Arial" w:cs="Arial"/>
        <w:sz w:val="22"/>
        <w:szCs w:val="22"/>
      </w:rPr>
      <w:instrText xml:space="preserve">DOCPROPERTY DOCXDOCID DMS=FileSystem Format=&lt;&lt;NAME&gt;&gt;-&lt;&lt;SDTE&gt;&gt; \* MERGEFORMAT </w:instrText>
    </w:r>
    <w:r>
      <w:rPr>
        <w:rFonts w:ascii="Arial" w:hAnsi="Arial" w:cs="Arial"/>
        <w:sz w:val="22"/>
        <w:szCs w:val="22"/>
      </w:rPr>
      <w:fldChar w:fldCharType="separate"/>
    </w:r>
    <w:r w:rsidR="004E02A5">
      <w:rPr>
        <w:rFonts w:ascii="Arial" w:hAnsi="Arial" w:cs="Arial"/>
        <w:sz w:val="22"/>
        <w:szCs w:val="22"/>
      </w:rPr>
      <w:t>FC202324-1387.assessment1Formative-03/10/2023</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DC6CE4C" w:rsidR="00AD6A7D" w:rsidRDefault="00555596" w:rsidP="00AD6A7D">
    <w:pPr>
      <w:pStyle w:val="Footer"/>
      <w:ind w:right="360"/>
      <w:rPr>
        <w:rFonts w:ascii="Avenir Next" w:hAnsi="Avenir Next" w:cs="Arial"/>
        <w:sz w:val="22"/>
        <w:szCs w:val="22"/>
      </w:rPr>
    </w:pPr>
    <w:r w:rsidRPr="00555596">
      <w:rPr>
        <w:rFonts w:ascii="Avenir Next" w:hAnsi="Avenir Next" w:cs="Arial"/>
        <w:sz w:val="22"/>
        <w:szCs w:val="22"/>
      </w:rPr>
      <w:t>FC202324-1387</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E9FD" w14:textId="7DD191FD" w:rsidR="00F9501B" w:rsidRDefault="00000000">
    <w:pPr>
      <w:pStyle w:val="Footer"/>
    </w:pPr>
    <w:r>
      <w:fldChar w:fldCharType="begin"/>
    </w:r>
    <w:r w:rsidR="008B2987">
      <w:instrText xml:space="preserve">DOCPROPERTY DOCXDOCID DMS=FileSystem Format=&lt;&lt;NAME&gt;&gt;-&lt;&lt;SDTE&gt;&gt; \* MERGEFORMAT </w:instrText>
    </w:r>
    <w:r>
      <w:fldChar w:fldCharType="separate"/>
    </w:r>
    <w:r w:rsidR="004E02A5">
      <w:t>FC202324-1387.assessment1Formative-03/10/2023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D330" w14:textId="77777777" w:rsidR="0001689C" w:rsidRDefault="0001689C" w:rsidP="00241B44">
      <w:r>
        <w:separator/>
      </w:r>
    </w:p>
  </w:footnote>
  <w:footnote w:type="continuationSeparator" w:id="0">
    <w:p w14:paraId="0F55535E" w14:textId="77777777" w:rsidR="0001689C" w:rsidRDefault="0001689C" w:rsidP="00241B44">
      <w:r>
        <w:continuationSeparator/>
      </w:r>
    </w:p>
  </w:footnote>
  <w:footnote w:id="1">
    <w:p w14:paraId="6DA5B443" w14:textId="5AD20499" w:rsidR="00025E67" w:rsidRPr="00A04AA4" w:rsidRDefault="00025E67">
      <w:pPr>
        <w:pStyle w:val="FootnoteText"/>
      </w:pPr>
      <w:r>
        <w:rPr>
          <w:rStyle w:val="FootnoteReference"/>
        </w:rPr>
        <w:footnoteRef/>
      </w:r>
      <w:r>
        <w:t xml:space="preserve"> </w:t>
      </w:r>
      <w:r w:rsidR="002A4120" w:rsidRPr="00A04AA4">
        <w:t xml:space="preserve">B Wessels, </w:t>
      </w:r>
      <w:r w:rsidR="002A4120" w:rsidRPr="00A04AA4">
        <w:rPr>
          <w:i/>
          <w:iCs/>
        </w:rPr>
        <w:t xml:space="preserve">International Insolvency Law </w:t>
      </w:r>
      <w:r w:rsidR="002A4120" w:rsidRPr="00A04AA4">
        <w:t>(Kluwer 2006)</w:t>
      </w:r>
      <w:r w:rsidR="00A04AA4" w:rsidRPr="00A04AA4">
        <w:t>, pg1</w:t>
      </w:r>
    </w:p>
  </w:footnote>
  <w:footnote w:id="2">
    <w:p w14:paraId="3EA0B18D" w14:textId="49D13A4C" w:rsidR="00E869E2" w:rsidRPr="00AC32DB" w:rsidRDefault="00E869E2">
      <w:pPr>
        <w:pStyle w:val="FootnoteText"/>
      </w:pPr>
      <w:r>
        <w:rPr>
          <w:rStyle w:val="FootnoteReference"/>
        </w:rPr>
        <w:footnoteRef/>
      </w:r>
      <w:r>
        <w:t xml:space="preserve"> </w:t>
      </w:r>
      <w:r w:rsidR="00AC32DB" w:rsidRPr="00AC32DB">
        <w:t xml:space="preserve">Idem, p1 </w:t>
      </w:r>
      <w:r w:rsidR="00AC32DB" w:rsidRPr="00AC32DB">
        <w:rPr>
          <w:i/>
          <w:iCs/>
        </w:rPr>
        <w:t>et seq</w:t>
      </w:r>
      <w:r w:rsidR="00AC32DB" w:rsidRPr="00AC32DB">
        <w:t xml:space="preserve"> </w:t>
      </w:r>
    </w:p>
  </w:footnote>
  <w:footnote w:id="3">
    <w:p w14:paraId="252C1ADC" w14:textId="1CB75EE4" w:rsidR="0020102B" w:rsidRPr="003A0155" w:rsidRDefault="0020102B">
      <w:pPr>
        <w:pStyle w:val="FootnoteText"/>
      </w:pPr>
      <w:r>
        <w:rPr>
          <w:rStyle w:val="FootnoteReference"/>
        </w:rPr>
        <w:footnoteRef/>
      </w:r>
      <w:r>
        <w:t xml:space="preserve"> </w:t>
      </w:r>
      <w:r w:rsidR="003A0155" w:rsidRPr="003A0155">
        <w:t xml:space="preserve">In M A Clarke et al </w:t>
      </w:r>
      <w:r w:rsidR="003A0155" w:rsidRPr="003A0155">
        <w:rPr>
          <w:i/>
          <w:iCs/>
        </w:rPr>
        <w:t>Commercial Law</w:t>
      </w:r>
      <w:r w:rsidR="003A0155" w:rsidRPr="003A0155">
        <w:t xml:space="preserve"> (Oxford University Press, 2017), chap</w:t>
      </w:r>
      <w:r w:rsidR="002C1502">
        <w:t>ter</w:t>
      </w:r>
      <w:r w:rsidR="003A0155" w:rsidRPr="003A0155">
        <w:t xml:space="preserve"> 28</w:t>
      </w:r>
    </w:p>
  </w:footnote>
  <w:footnote w:id="4">
    <w:p w14:paraId="4AC459FF" w14:textId="74D068CC" w:rsidR="003D1B95" w:rsidRPr="002C1502" w:rsidRDefault="003D1B95">
      <w:pPr>
        <w:pStyle w:val="FootnoteText"/>
      </w:pPr>
      <w:r>
        <w:rPr>
          <w:rStyle w:val="FootnoteReference"/>
        </w:rPr>
        <w:footnoteRef/>
      </w:r>
      <w:r>
        <w:t xml:space="preserve"> </w:t>
      </w:r>
      <w:r w:rsidR="00E12EE8" w:rsidRPr="002C1502">
        <w:t xml:space="preserve">I F Fletcher </w:t>
      </w:r>
      <w:r w:rsidR="00E12EE8" w:rsidRPr="002C1502">
        <w:rPr>
          <w:i/>
          <w:iCs/>
        </w:rPr>
        <w:t>The Law of Insolvency</w:t>
      </w:r>
      <w:r w:rsidR="00E12EE8" w:rsidRPr="002C1502">
        <w:t xml:space="preserve"> , London (Street and Maxwell, 5</w:t>
      </w:r>
      <w:r w:rsidR="00E12EE8" w:rsidRPr="002C1502">
        <w:rPr>
          <w:vertAlign w:val="superscript"/>
        </w:rPr>
        <w:t>th</w:t>
      </w:r>
      <w:r w:rsidR="00E12EE8" w:rsidRPr="002C1502">
        <w:t xml:space="preserve"> ed, 2017)</w:t>
      </w:r>
      <w:r w:rsidR="002C1502" w:rsidRPr="002C1502">
        <w:t>, Chapter 1</w:t>
      </w:r>
    </w:p>
  </w:footnote>
  <w:footnote w:id="5">
    <w:p w14:paraId="10219BC9" w14:textId="02898AEB" w:rsidR="000843C3" w:rsidRDefault="000843C3">
      <w:pPr>
        <w:pStyle w:val="FootnoteText"/>
      </w:pPr>
      <w:r>
        <w:rPr>
          <w:rStyle w:val="FootnoteReference"/>
        </w:rPr>
        <w:footnoteRef/>
      </w:r>
      <w:r>
        <w:t xml:space="preserve"> </w:t>
      </w:r>
      <w:r w:rsidR="002C1502" w:rsidRPr="003A0155">
        <w:t xml:space="preserve">In M A Clarke et al </w:t>
      </w:r>
      <w:r w:rsidR="002C1502" w:rsidRPr="003A0155">
        <w:rPr>
          <w:i/>
          <w:iCs/>
        </w:rPr>
        <w:t>Commercial Law</w:t>
      </w:r>
      <w:r w:rsidR="002C1502" w:rsidRPr="003A0155">
        <w:t xml:space="preserve"> (Oxford University Press, 2017), chap</w:t>
      </w:r>
      <w:r w:rsidR="002C1502">
        <w:t>ter</w:t>
      </w:r>
      <w:r w:rsidR="002C1502" w:rsidRPr="003A0155">
        <w:t xml:space="preserve"> 28</w:t>
      </w:r>
    </w:p>
  </w:footnote>
  <w:footnote w:id="6">
    <w:p w14:paraId="03850272" w14:textId="36183F8F" w:rsidR="00CB6905" w:rsidRPr="004448BD" w:rsidRDefault="00CB6905">
      <w:pPr>
        <w:pStyle w:val="FootnoteText"/>
      </w:pPr>
      <w:r>
        <w:rPr>
          <w:rStyle w:val="FootnoteReference"/>
        </w:rPr>
        <w:footnoteRef/>
      </w:r>
      <w:r>
        <w:t xml:space="preserve"> </w:t>
      </w:r>
      <w:r w:rsidR="004448BD">
        <w:t xml:space="preserve">P J </w:t>
      </w:r>
      <w:r w:rsidR="00125AF1" w:rsidRPr="008A0472">
        <w:t>Omar</w:t>
      </w:r>
      <w:r w:rsidR="004448BD" w:rsidRPr="008A0472">
        <w:t xml:space="preserve"> </w:t>
      </w:r>
      <w:r w:rsidR="004448BD" w:rsidRPr="008A0472">
        <w:rPr>
          <w:i/>
          <w:iCs/>
        </w:rPr>
        <w:t>A Panorama of International Insolvency law: Part 1</w:t>
      </w:r>
      <w:r w:rsidR="004448BD" w:rsidRPr="008A0472">
        <w:t xml:space="preserve"> (2002)</w:t>
      </w:r>
      <w:r w:rsidR="008A0472" w:rsidRPr="008A0472">
        <w:t>, page 175</w:t>
      </w:r>
    </w:p>
  </w:footnote>
  <w:footnote w:id="7">
    <w:p w14:paraId="011D62B2" w14:textId="77777777" w:rsidR="000E0E5F" w:rsidRDefault="00A50D98">
      <w:pPr>
        <w:pStyle w:val="FootnoteText"/>
      </w:pPr>
      <w:r>
        <w:rPr>
          <w:rStyle w:val="FootnoteReference"/>
        </w:rPr>
        <w:footnoteRef/>
      </w:r>
      <w:r>
        <w:t xml:space="preserve"> </w:t>
      </w:r>
      <w:r w:rsidR="009B3D27" w:rsidRPr="000E0E5F">
        <w:t xml:space="preserve">The UNCITRAL Legislative Guide on Insolvency Law 2004 </w:t>
      </w:r>
    </w:p>
    <w:p w14:paraId="60066081" w14:textId="75F2DD36" w:rsidR="00A50D98" w:rsidRDefault="00395B00">
      <w:pPr>
        <w:pStyle w:val="FootnoteText"/>
      </w:pPr>
      <w:hyperlink r:id="rId1" w:history="1">
        <w:r w:rsidRPr="000E0E5F">
          <w:rPr>
            <w:rStyle w:val="Hyperlink"/>
            <w:color w:val="auto"/>
          </w:rPr>
          <w:t>uncitral.un.org/sites/uncitral.un.org/files/media-documents/uncitral/en/05-80722_ebook.pdf</w:t>
        </w:r>
      </w:hyperlink>
    </w:p>
  </w:footnote>
  <w:footnote w:id="8">
    <w:p w14:paraId="6B8471DD" w14:textId="77777777" w:rsidR="003A6C0B" w:rsidRDefault="006D795B" w:rsidP="003A6C0B">
      <w:pPr>
        <w:pStyle w:val="FootnoteText"/>
      </w:pPr>
      <w:r>
        <w:rPr>
          <w:rStyle w:val="FootnoteReference"/>
        </w:rPr>
        <w:footnoteRef/>
      </w:r>
      <w:r>
        <w:t xml:space="preserve"> </w:t>
      </w:r>
      <w:r w:rsidR="003A6C0B">
        <w:t xml:space="preserve">CMU Final Report </w:t>
      </w:r>
    </w:p>
    <w:p w14:paraId="30E29286" w14:textId="53112498" w:rsidR="006D795B" w:rsidRDefault="003A6C0B" w:rsidP="003A6C0B">
      <w:pPr>
        <w:pStyle w:val="FootnoteText"/>
      </w:pPr>
      <w:hyperlink r:id="rId2" w:history="1">
        <w:r w:rsidRPr="000E0E5F">
          <w:rPr>
            <w:rStyle w:val="Hyperlink"/>
            <w:color w:val="auto"/>
          </w:rPr>
          <w:t>200610-cmu-high-level-forum-final-report_en.pdf (europa.eu)</w:t>
        </w:r>
      </w:hyperlink>
    </w:p>
  </w:footnote>
  <w:footnote w:id="9">
    <w:p w14:paraId="6B6F0EEB" w14:textId="77777777" w:rsidR="000E0E5F" w:rsidRDefault="00F8342D">
      <w:pPr>
        <w:pStyle w:val="FootnoteText"/>
      </w:pPr>
      <w:r>
        <w:rPr>
          <w:rStyle w:val="FootnoteReference"/>
        </w:rPr>
        <w:footnoteRef/>
      </w:r>
      <w:r>
        <w:t xml:space="preserve"> </w:t>
      </w:r>
      <w:r w:rsidR="000E0E5F">
        <w:t xml:space="preserve">CMU Final Report </w:t>
      </w:r>
    </w:p>
    <w:p w14:paraId="7FD3DB71" w14:textId="391B67EF" w:rsidR="00F8342D" w:rsidRPr="000E0E5F" w:rsidRDefault="00000000">
      <w:pPr>
        <w:pStyle w:val="FootnoteText"/>
      </w:pPr>
      <w:hyperlink r:id="rId3" w:history="1">
        <w:r w:rsidR="00F8342D" w:rsidRPr="000E0E5F">
          <w:rPr>
            <w:rStyle w:val="Hyperlink"/>
            <w:color w:val="auto"/>
          </w:rPr>
          <w:t>200610-cmu-high-level-forum-final-report_en.pdf (europa.eu)</w:t>
        </w:r>
      </w:hyperlink>
      <w:r w:rsidR="00F8342D" w:rsidRPr="000E0E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D7BE" w14:textId="77777777" w:rsidR="004C41B4" w:rsidRDefault="004C4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B477" w14:textId="77777777" w:rsidR="004C41B4" w:rsidRDefault="004C4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6DF" w14:textId="77777777" w:rsidR="004C41B4" w:rsidRDefault="004C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21554"/>
    <w:multiLevelType w:val="hybridMultilevel"/>
    <w:tmpl w:val="492A4ADA"/>
    <w:lvl w:ilvl="0" w:tplc="F4E48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41C8"/>
    <w:multiLevelType w:val="hybridMultilevel"/>
    <w:tmpl w:val="2096A016"/>
    <w:lvl w:ilvl="0" w:tplc="F0826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E037E99"/>
    <w:multiLevelType w:val="hybridMultilevel"/>
    <w:tmpl w:val="6F6E3420"/>
    <w:lvl w:ilvl="0" w:tplc="6BDE7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E0147"/>
    <w:multiLevelType w:val="hybridMultilevel"/>
    <w:tmpl w:val="D2B646AC"/>
    <w:lvl w:ilvl="0" w:tplc="2696A4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8431CAD"/>
    <w:multiLevelType w:val="hybridMultilevel"/>
    <w:tmpl w:val="AB824BFC"/>
    <w:lvl w:ilvl="0" w:tplc="2696A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E1AA9"/>
    <w:multiLevelType w:val="hybridMultilevel"/>
    <w:tmpl w:val="8C143CDC"/>
    <w:lvl w:ilvl="0" w:tplc="54188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1"/>
  </w:num>
  <w:num w:numId="2" w16cid:durableId="2060397842">
    <w:abstractNumId w:val="25"/>
  </w:num>
  <w:num w:numId="3" w16cid:durableId="2114008986">
    <w:abstractNumId w:val="6"/>
  </w:num>
  <w:num w:numId="4" w16cid:durableId="743720607">
    <w:abstractNumId w:val="2"/>
  </w:num>
  <w:num w:numId="5" w16cid:durableId="464741948">
    <w:abstractNumId w:val="10"/>
  </w:num>
  <w:num w:numId="6" w16cid:durableId="554897999">
    <w:abstractNumId w:val="18"/>
  </w:num>
  <w:num w:numId="7" w16cid:durableId="1913469301">
    <w:abstractNumId w:val="26"/>
  </w:num>
  <w:num w:numId="8" w16cid:durableId="307983066">
    <w:abstractNumId w:val="17"/>
  </w:num>
  <w:num w:numId="9" w16cid:durableId="1128815150">
    <w:abstractNumId w:val="4"/>
  </w:num>
  <w:num w:numId="10" w16cid:durableId="485247179">
    <w:abstractNumId w:val="9"/>
  </w:num>
  <w:num w:numId="11" w16cid:durableId="632292612">
    <w:abstractNumId w:val="8"/>
  </w:num>
  <w:num w:numId="12" w16cid:durableId="1634409974">
    <w:abstractNumId w:val="3"/>
  </w:num>
  <w:num w:numId="13" w16cid:durableId="1176384513">
    <w:abstractNumId w:val="15"/>
  </w:num>
  <w:num w:numId="14" w16cid:durableId="742527874">
    <w:abstractNumId w:val="0"/>
  </w:num>
  <w:num w:numId="15" w16cid:durableId="1934196058">
    <w:abstractNumId w:val="1"/>
  </w:num>
  <w:num w:numId="16" w16cid:durableId="844056133">
    <w:abstractNumId w:val="16"/>
  </w:num>
  <w:num w:numId="17" w16cid:durableId="433281220">
    <w:abstractNumId w:val="12"/>
  </w:num>
  <w:num w:numId="18" w16cid:durableId="943150957">
    <w:abstractNumId w:val="22"/>
  </w:num>
  <w:num w:numId="19" w16cid:durableId="603925579">
    <w:abstractNumId w:val="19"/>
  </w:num>
  <w:num w:numId="20" w16cid:durableId="1098330611">
    <w:abstractNumId w:val="27"/>
  </w:num>
  <w:num w:numId="21" w16cid:durableId="1865051921">
    <w:abstractNumId w:val="20"/>
  </w:num>
  <w:num w:numId="22" w16cid:durableId="539172368">
    <w:abstractNumId w:val="11"/>
  </w:num>
  <w:num w:numId="23" w16cid:durableId="1739212004">
    <w:abstractNumId w:val="23"/>
  </w:num>
  <w:num w:numId="24" w16cid:durableId="1138382362">
    <w:abstractNumId w:val="5"/>
  </w:num>
  <w:num w:numId="25" w16cid:durableId="1722167133">
    <w:abstractNumId w:val="13"/>
  </w:num>
  <w:num w:numId="26" w16cid:durableId="494225932">
    <w:abstractNumId w:val="14"/>
  </w:num>
  <w:num w:numId="27" w16cid:durableId="153378119">
    <w:abstractNumId w:val="24"/>
  </w:num>
  <w:num w:numId="28" w16cid:durableId="167486939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89C"/>
    <w:rsid w:val="000250C7"/>
    <w:rsid w:val="00025E67"/>
    <w:rsid w:val="00036603"/>
    <w:rsid w:val="00037621"/>
    <w:rsid w:val="00044D46"/>
    <w:rsid w:val="00045088"/>
    <w:rsid w:val="00045904"/>
    <w:rsid w:val="00055893"/>
    <w:rsid w:val="00065166"/>
    <w:rsid w:val="00075A24"/>
    <w:rsid w:val="000777AD"/>
    <w:rsid w:val="00082609"/>
    <w:rsid w:val="000843C3"/>
    <w:rsid w:val="000851CC"/>
    <w:rsid w:val="00093BE8"/>
    <w:rsid w:val="000A36DE"/>
    <w:rsid w:val="000A68ED"/>
    <w:rsid w:val="000A7A4F"/>
    <w:rsid w:val="000B2D15"/>
    <w:rsid w:val="000B5FF1"/>
    <w:rsid w:val="000B609F"/>
    <w:rsid w:val="000D3C15"/>
    <w:rsid w:val="000D55A8"/>
    <w:rsid w:val="000D6312"/>
    <w:rsid w:val="000E0E5F"/>
    <w:rsid w:val="000E329C"/>
    <w:rsid w:val="000E4841"/>
    <w:rsid w:val="000F1677"/>
    <w:rsid w:val="000F3D6C"/>
    <w:rsid w:val="00101707"/>
    <w:rsid w:val="00110DA3"/>
    <w:rsid w:val="00112406"/>
    <w:rsid w:val="00112B81"/>
    <w:rsid w:val="0011473D"/>
    <w:rsid w:val="00115C85"/>
    <w:rsid w:val="00122E6E"/>
    <w:rsid w:val="00123661"/>
    <w:rsid w:val="00123855"/>
    <w:rsid w:val="00125AF1"/>
    <w:rsid w:val="00126A4D"/>
    <w:rsid w:val="00131A7E"/>
    <w:rsid w:val="001327CB"/>
    <w:rsid w:val="0014622C"/>
    <w:rsid w:val="001464D7"/>
    <w:rsid w:val="00152348"/>
    <w:rsid w:val="0015456D"/>
    <w:rsid w:val="00161F1B"/>
    <w:rsid w:val="00162829"/>
    <w:rsid w:val="00173927"/>
    <w:rsid w:val="0017599F"/>
    <w:rsid w:val="00180548"/>
    <w:rsid w:val="00180CCE"/>
    <w:rsid w:val="0018267A"/>
    <w:rsid w:val="00182779"/>
    <w:rsid w:val="001830DF"/>
    <w:rsid w:val="001927BB"/>
    <w:rsid w:val="001966D9"/>
    <w:rsid w:val="001A7E9A"/>
    <w:rsid w:val="001B5016"/>
    <w:rsid w:val="001C1780"/>
    <w:rsid w:val="001C45FC"/>
    <w:rsid w:val="001D03FA"/>
    <w:rsid w:val="001D4862"/>
    <w:rsid w:val="001E25B9"/>
    <w:rsid w:val="001E49E0"/>
    <w:rsid w:val="001E5DDC"/>
    <w:rsid w:val="001E7B5A"/>
    <w:rsid w:val="001F7412"/>
    <w:rsid w:val="0020102B"/>
    <w:rsid w:val="0020725B"/>
    <w:rsid w:val="002144DD"/>
    <w:rsid w:val="00225707"/>
    <w:rsid w:val="00236C19"/>
    <w:rsid w:val="00241B44"/>
    <w:rsid w:val="00245EFB"/>
    <w:rsid w:val="002536BE"/>
    <w:rsid w:val="00253FFF"/>
    <w:rsid w:val="0026515D"/>
    <w:rsid w:val="002668D3"/>
    <w:rsid w:val="0026699B"/>
    <w:rsid w:val="0027299F"/>
    <w:rsid w:val="00284EBE"/>
    <w:rsid w:val="00286AE6"/>
    <w:rsid w:val="0029433F"/>
    <w:rsid w:val="00294829"/>
    <w:rsid w:val="0029690F"/>
    <w:rsid w:val="002A2A60"/>
    <w:rsid w:val="002A4120"/>
    <w:rsid w:val="002A7467"/>
    <w:rsid w:val="002B1C45"/>
    <w:rsid w:val="002C13C8"/>
    <w:rsid w:val="002C1502"/>
    <w:rsid w:val="002C1671"/>
    <w:rsid w:val="002C3547"/>
    <w:rsid w:val="002C686D"/>
    <w:rsid w:val="002D0021"/>
    <w:rsid w:val="002D31CD"/>
    <w:rsid w:val="002D3473"/>
    <w:rsid w:val="002E24B5"/>
    <w:rsid w:val="002F1956"/>
    <w:rsid w:val="002F3440"/>
    <w:rsid w:val="002F6752"/>
    <w:rsid w:val="002F75A3"/>
    <w:rsid w:val="00300A54"/>
    <w:rsid w:val="00302D53"/>
    <w:rsid w:val="00303C2F"/>
    <w:rsid w:val="003144EF"/>
    <w:rsid w:val="00320CEF"/>
    <w:rsid w:val="00330937"/>
    <w:rsid w:val="00330F31"/>
    <w:rsid w:val="00334648"/>
    <w:rsid w:val="0033768C"/>
    <w:rsid w:val="00337938"/>
    <w:rsid w:val="00340769"/>
    <w:rsid w:val="00341A06"/>
    <w:rsid w:val="00341AA6"/>
    <w:rsid w:val="0034457D"/>
    <w:rsid w:val="003608A4"/>
    <w:rsid w:val="00361A0A"/>
    <w:rsid w:val="0036565C"/>
    <w:rsid w:val="0036625E"/>
    <w:rsid w:val="0037465A"/>
    <w:rsid w:val="00374696"/>
    <w:rsid w:val="00374BE8"/>
    <w:rsid w:val="0037512E"/>
    <w:rsid w:val="0037557E"/>
    <w:rsid w:val="003803DF"/>
    <w:rsid w:val="00382C98"/>
    <w:rsid w:val="0038533C"/>
    <w:rsid w:val="003860B9"/>
    <w:rsid w:val="003948D5"/>
    <w:rsid w:val="003959FC"/>
    <w:rsid w:val="00395B00"/>
    <w:rsid w:val="00396821"/>
    <w:rsid w:val="00397D3A"/>
    <w:rsid w:val="003A0155"/>
    <w:rsid w:val="003A051E"/>
    <w:rsid w:val="003A2F8D"/>
    <w:rsid w:val="003A6C0B"/>
    <w:rsid w:val="003A799E"/>
    <w:rsid w:val="003B170F"/>
    <w:rsid w:val="003C4471"/>
    <w:rsid w:val="003D0A6D"/>
    <w:rsid w:val="003D1475"/>
    <w:rsid w:val="003D1B95"/>
    <w:rsid w:val="003D2DA8"/>
    <w:rsid w:val="003E0B16"/>
    <w:rsid w:val="003E67D1"/>
    <w:rsid w:val="003F3696"/>
    <w:rsid w:val="003F5758"/>
    <w:rsid w:val="00405DC1"/>
    <w:rsid w:val="00411B48"/>
    <w:rsid w:val="00415F1F"/>
    <w:rsid w:val="0042108F"/>
    <w:rsid w:val="00430FED"/>
    <w:rsid w:val="0043427C"/>
    <w:rsid w:val="00434A8C"/>
    <w:rsid w:val="00444284"/>
    <w:rsid w:val="004448BD"/>
    <w:rsid w:val="00445CE6"/>
    <w:rsid w:val="004534C2"/>
    <w:rsid w:val="0045683E"/>
    <w:rsid w:val="004715D4"/>
    <w:rsid w:val="00480988"/>
    <w:rsid w:val="00491675"/>
    <w:rsid w:val="00493855"/>
    <w:rsid w:val="00495B30"/>
    <w:rsid w:val="004A0B48"/>
    <w:rsid w:val="004A16A3"/>
    <w:rsid w:val="004A51CF"/>
    <w:rsid w:val="004A57DD"/>
    <w:rsid w:val="004A7B51"/>
    <w:rsid w:val="004A7D71"/>
    <w:rsid w:val="004A7EF3"/>
    <w:rsid w:val="004B11FD"/>
    <w:rsid w:val="004B23A2"/>
    <w:rsid w:val="004B493E"/>
    <w:rsid w:val="004B5895"/>
    <w:rsid w:val="004C1306"/>
    <w:rsid w:val="004C41B4"/>
    <w:rsid w:val="004D1A5A"/>
    <w:rsid w:val="004D3721"/>
    <w:rsid w:val="004D64F9"/>
    <w:rsid w:val="004E02A5"/>
    <w:rsid w:val="004E14A8"/>
    <w:rsid w:val="004F48DD"/>
    <w:rsid w:val="004F5FDF"/>
    <w:rsid w:val="004F6C17"/>
    <w:rsid w:val="00514731"/>
    <w:rsid w:val="005177FE"/>
    <w:rsid w:val="0052263B"/>
    <w:rsid w:val="00524728"/>
    <w:rsid w:val="00531A22"/>
    <w:rsid w:val="005331CA"/>
    <w:rsid w:val="005371CD"/>
    <w:rsid w:val="005378A5"/>
    <w:rsid w:val="00537970"/>
    <w:rsid w:val="00544127"/>
    <w:rsid w:val="0054441B"/>
    <w:rsid w:val="00553EB2"/>
    <w:rsid w:val="00555596"/>
    <w:rsid w:val="00560352"/>
    <w:rsid w:val="00560534"/>
    <w:rsid w:val="0056391B"/>
    <w:rsid w:val="005650E2"/>
    <w:rsid w:val="00567075"/>
    <w:rsid w:val="00575B2D"/>
    <w:rsid w:val="005804AC"/>
    <w:rsid w:val="005833D0"/>
    <w:rsid w:val="005846F3"/>
    <w:rsid w:val="0058622F"/>
    <w:rsid w:val="00592F82"/>
    <w:rsid w:val="00594A96"/>
    <w:rsid w:val="005A0CCA"/>
    <w:rsid w:val="005A726D"/>
    <w:rsid w:val="005B67AC"/>
    <w:rsid w:val="005D13AF"/>
    <w:rsid w:val="005D24AC"/>
    <w:rsid w:val="005D43E0"/>
    <w:rsid w:val="005D58A3"/>
    <w:rsid w:val="005E1B79"/>
    <w:rsid w:val="005F026D"/>
    <w:rsid w:val="005F2D0B"/>
    <w:rsid w:val="005F4B31"/>
    <w:rsid w:val="005F6250"/>
    <w:rsid w:val="00610388"/>
    <w:rsid w:val="00612CA5"/>
    <w:rsid w:val="006153EC"/>
    <w:rsid w:val="00617E11"/>
    <w:rsid w:val="00621A17"/>
    <w:rsid w:val="00627CC9"/>
    <w:rsid w:val="00627E7B"/>
    <w:rsid w:val="00630542"/>
    <w:rsid w:val="00631D4C"/>
    <w:rsid w:val="00632E44"/>
    <w:rsid w:val="00634622"/>
    <w:rsid w:val="00636110"/>
    <w:rsid w:val="00636808"/>
    <w:rsid w:val="00637F10"/>
    <w:rsid w:val="00641515"/>
    <w:rsid w:val="0065451C"/>
    <w:rsid w:val="00654C2F"/>
    <w:rsid w:val="00657087"/>
    <w:rsid w:val="00675111"/>
    <w:rsid w:val="00677AEB"/>
    <w:rsid w:val="00683B45"/>
    <w:rsid w:val="00687A1D"/>
    <w:rsid w:val="00692EDC"/>
    <w:rsid w:val="00697EA1"/>
    <w:rsid w:val="006A2646"/>
    <w:rsid w:val="006A6530"/>
    <w:rsid w:val="006B1CA2"/>
    <w:rsid w:val="006B435A"/>
    <w:rsid w:val="006B4C64"/>
    <w:rsid w:val="006C1F33"/>
    <w:rsid w:val="006C38F6"/>
    <w:rsid w:val="006D01C2"/>
    <w:rsid w:val="006D0870"/>
    <w:rsid w:val="006D12B7"/>
    <w:rsid w:val="006D795B"/>
    <w:rsid w:val="006E481A"/>
    <w:rsid w:val="006E5298"/>
    <w:rsid w:val="006F1443"/>
    <w:rsid w:val="006F734A"/>
    <w:rsid w:val="00700D83"/>
    <w:rsid w:val="00702AA9"/>
    <w:rsid w:val="007074E9"/>
    <w:rsid w:val="00713DA4"/>
    <w:rsid w:val="00714BF1"/>
    <w:rsid w:val="00721383"/>
    <w:rsid w:val="007333CC"/>
    <w:rsid w:val="0073399A"/>
    <w:rsid w:val="0073459E"/>
    <w:rsid w:val="00734DC2"/>
    <w:rsid w:val="007367A4"/>
    <w:rsid w:val="00737765"/>
    <w:rsid w:val="007429BF"/>
    <w:rsid w:val="007603F5"/>
    <w:rsid w:val="00762E0A"/>
    <w:rsid w:val="00764DB0"/>
    <w:rsid w:val="0076764D"/>
    <w:rsid w:val="0077498C"/>
    <w:rsid w:val="00784128"/>
    <w:rsid w:val="00793173"/>
    <w:rsid w:val="00793F08"/>
    <w:rsid w:val="007B1F21"/>
    <w:rsid w:val="007B4918"/>
    <w:rsid w:val="007C1459"/>
    <w:rsid w:val="007C1FCC"/>
    <w:rsid w:val="007C6201"/>
    <w:rsid w:val="007D06FE"/>
    <w:rsid w:val="007D6F08"/>
    <w:rsid w:val="007D7C92"/>
    <w:rsid w:val="007E1154"/>
    <w:rsid w:val="007F41F8"/>
    <w:rsid w:val="007F45F1"/>
    <w:rsid w:val="008029DC"/>
    <w:rsid w:val="008031A7"/>
    <w:rsid w:val="0080454E"/>
    <w:rsid w:val="00804C32"/>
    <w:rsid w:val="00806302"/>
    <w:rsid w:val="00807119"/>
    <w:rsid w:val="00813336"/>
    <w:rsid w:val="0082483F"/>
    <w:rsid w:val="008279C0"/>
    <w:rsid w:val="00827D56"/>
    <w:rsid w:val="00833517"/>
    <w:rsid w:val="00833DD2"/>
    <w:rsid w:val="00834773"/>
    <w:rsid w:val="0085777B"/>
    <w:rsid w:val="008723F3"/>
    <w:rsid w:val="00875FCA"/>
    <w:rsid w:val="00881DE6"/>
    <w:rsid w:val="008837A6"/>
    <w:rsid w:val="00886775"/>
    <w:rsid w:val="0089145D"/>
    <w:rsid w:val="008A0472"/>
    <w:rsid w:val="008A6CFE"/>
    <w:rsid w:val="008B2987"/>
    <w:rsid w:val="008B5333"/>
    <w:rsid w:val="008B6223"/>
    <w:rsid w:val="008C66E0"/>
    <w:rsid w:val="008E3339"/>
    <w:rsid w:val="008F200F"/>
    <w:rsid w:val="008F20FC"/>
    <w:rsid w:val="008F6301"/>
    <w:rsid w:val="00905A43"/>
    <w:rsid w:val="00912C79"/>
    <w:rsid w:val="00924EAB"/>
    <w:rsid w:val="00925006"/>
    <w:rsid w:val="00926818"/>
    <w:rsid w:val="00927276"/>
    <w:rsid w:val="00942123"/>
    <w:rsid w:val="00946841"/>
    <w:rsid w:val="00950FD8"/>
    <w:rsid w:val="0095207B"/>
    <w:rsid w:val="00954E1A"/>
    <w:rsid w:val="00955AF1"/>
    <w:rsid w:val="009564D0"/>
    <w:rsid w:val="0096174B"/>
    <w:rsid w:val="00962045"/>
    <w:rsid w:val="009634F4"/>
    <w:rsid w:val="00963CCD"/>
    <w:rsid w:val="00980E7F"/>
    <w:rsid w:val="00986EE9"/>
    <w:rsid w:val="00991428"/>
    <w:rsid w:val="00992676"/>
    <w:rsid w:val="009A28DE"/>
    <w:rsid w:val="009B0723"/>
    <w:rsid w:val="009B07AD"/>
    <w:rsid w:val="009B0883"/>
    <w:rsid w:val="009B15E2"/>
    <w:rsid w:val="009B3D27"/>
    <w:rsid w:val="009C0B8E"/>
    <w:rsid w:val="009C1BC8"/>
    <w:rsid w:val="009C21A2"/>
    <w:rsid w:val="009C2442"/>
    <w:rsid w:val="009D0811"/>
    <w:rsid w:val="009D0B58"/>
    <w:rsid w:val="009D0EE1"/>
    <w:rsid w:val="009D3EB4"/>
    <w:rsid w:val="009D6FD4"/>
    <w:rsid w:val="009E1027"/>
    <w:rsid w:val="009E2AEB"/>
    <w:rsid w:val="009E2E27"/>
    <w:rsid w:val="009E4DE3"/>
    <w:rsid w:val="00A005FC"/>
    <w:rsid w:val="00A017A2"/>
    <w:rsid w:val="00A040A0"/>
    <w:rsid w:val="00A047EE"/>
    <w:rsid w:val="00A04AA4"/>
    <w:rsid w:val="00A2274A"/>
    <w:rsid w:val="00A235B7"/>
    <w:rsid w:val="00A32A11"/>
    <w:rsid w:val="00A37760"/>
    <w:rsid w:val="00A407EF"/>
    <w:rsid w:val="00A458BE"/>
    <w:rsid w:val="00A462A0"/>
    <w:rsid w:val="00A46B4C"/>
    <w:rsid w:val="00A50D98"/>
    <w:rsid w:val="00A5117B"/>
    <w:rsid w:val="00A51352"/>
    <w:rsid w:val="00A54909"/>
    <w:rsid w:val="00A60074"/>
    <w:rsid w:val="00A6627C"/>
    <w:rsid w:val="00A71019"/>
    <w:rsid w:val="00A74A55"/>
    <w:rsid w:val="00A758FD"/>
    <w:rsid w:val="00A81029"/>
    <w:rsid w:val="00A83A2F"/>
    <w:rsid w:val="00A96489"/>
    <w:rsid w:val="00A97725"/>
    <w:rsid w:val="00AB685C"/>
    <w:rsid w:val="00AB6C2D"/>
    <w:rsid w:val="00AC32DB"/>
    <w:rsid w:val="00AC3839"/>
    <w:rsid w:val="00AC7082"/>
    <w:rsid w:val="00AD6A7D"/>
    <w:rsid w:val="00AF228E"/>
    <w:rsid w:val="00AF7913"/>
    <w:rsid w:val="00B130DD"/>
    <w:rsid w:val="00B14819"/>
    <w:rsid w:val="00B17AA9"/>
    <w:rsid w:val="00B22CE8"/>
    <w:rsid w:val="00B3130F"/>
    <w:rsid w:val="00B3502B"/>
    <w:rsid w:val="00B43715"/>
    <w:rsid w:val="00B54A93"/>
    <w:rsid w:val="00B625E3"/>
    <w:rsid w:val="00B62B8A"/>
    <w:rsid w:val="00B65ADA"/>
    <w:rsid w:val="00B72AE1"/>
    <w:rsid w:val="00B736DF"/>
    <w:rsid w:val="00B74FBD"/>
    <w:rsid w:val="00B82586"/>
    <w:rsid w:val="00B84E1F"/>
    <w:rsid w:val="00B86DB1"/>
    <w:rsid w:val="00B87869"/>
    <w:rsid w:val="00B91CDB"/>
    <w:rsid w:val="00BB0F2B"/>
    <w:rsid w:val="00BB5F1A"/>
    <w:rsid w:val="00BB63AF"/>
    <w:rsid w:val="00BF1C6F"/>
    <w:rsid w:val="00BF50F7"/>
    <w:rsid w:val="00C02F29"/>
    <w:rsid w:val="00C053F7"/>
    <w:rsid w:val="00C22A25"/>
    <w:rsid w:val="00C32816"/>
    <w:rsid w:val="00C33C6C"/>
    <w:rsid w:val="00C35671"/>
    <w:rsid w:val="00C35B77"/>
    <w:rsid w:val="00C376EB"/>
    <w:rsid w:val="00C46EC1"/>
    <w:rsid w:val="00C53E2C"/>
    <w:rsid w:val="00C550C8"/>
    <w:rsid w:val="00C57C2C"/>
    <w:rsid w:val="00C606C3"/>
    <w:rsid w:val="00C70E6C"/>
    <w:rsid w:val="00C72848"/>
    <w:rsid w:val="00C7736C"/>
    <w:rsid w:val="00C82D87"/>
    <w:rsid w:val="00C83CB0"/>
    <w:rsid w:val="00C8712A"/>
    <w:rsid w:val="00C963D3"/>
    <w:rsid w:val="00CA7BE6"/>
    <w:rsid w:val="00CB2CBB"/>
    <w:rsid w:val="00CB3E1F"/>
    <w:rsid w:val="00CB6905"/>
    <w:rsid w:val="00CB7CAC"/>
    <w:rsid w:val="00CC5335"/>
    <w:rsid w:val="00CC5BA4"/>
    <w:rsid w:val="00CD4998"/>
    <w:rsid w:val="00CE1035"/>
    <w:rsid w:val="00CE3EBC"/>
    <w:rsid w:val="00CE4CA4"/>
    <w:rsid w:val="00CF2819"/>
    <w:rsid w:val="00CF4F9D"/>
    <w:rsid w:val="00CF5CB2"/>
    <w:rsid w:val="00CF70DC"/>
    <w:rsid w:val="00D104E4"/>
    <w:rsid w:val="00D148DC"/>
    <w:rsid w:val="00D17FDC"/>
    <w:rsid w:val="00D236D3"/>
    <w:rsid w:val="00D272BA"/>
    <w:rsid w:val="00D40DFB"/>
    <w:rsid w:val="00D52E6B"/>
    <w:rsid w:val="00D63EFD"/>
    <w:rsid w:val="00D709DF"/>
    <w:rsid w:val="00D837EB"/>
    <w:rsid w:val="00D84752"/>
    <w:rsid w:val="00D868FB"/>
    <w:rsid w:val="00D86B3B"/>
    <w:rsid w:val="00D8748A"/>
    <w:rsid w:val="00D908F2"/>
    <w:rsid w:val="00D93196"/>
    <w:rsid w:val="00D93240"/>
    <w:rsid w:val="00D95B9A"/>
    <w:rsid w:val="00D97F71"/>
    <w:rsid w:val="00DB243C"/>
    <w:rsid w:val="00DB482A"/>
    <w:rsid w:val="00DB56F2"/>
    <w:rsid w:val="00DB6EF5"/>
    <w:rsid w:val="00DC0391"/>
    <w:rsid w:val="00DC2913"/>
    <w:rsid w:val="00DC3089"/>
    <w:rsid w:val="00DC4420"/>
    <w:rsid w:val="00DD0802"/>
    <w:rsid w:val="00DD2E11"/>
    <w:rsid w:val="00DE03AF"/>
    <w:rsid w:val="00DE121C"/>
    <w:rsid w:val="00DE6633"/>
    <w:rsid w:val="00DF123F"/>
    <w:rsid w:val="00DF2D5A"/>
    <w:rsid w:val="00DF75F8"/>
    <w:rsid w:val="00DF7A3A"/>
    <w:rsid w:val="00E00C00"/>
    <w:rsid w:val="00E010C2"/>
    <w:rsid w:val="00E07C5A"/>
    <w:rsid w:val="00E12CCB"/>
    <w:rsid w:val="00E12EE8"/>
    <w:rsid w:val="00E15BA9"/>
    <w:rsid w:val="00E26E19"/>
    <w:rsid w:val="00E450A4"/>
    <w:rsid w:val="00E506BE"/>
    <w:rsid w:val="00E521BD"/>
    <w:rsid w:val="00E55547"/>
    <w:rsid w:val="00E60D0B"/>
    <w:rsid w:val="00E6302B"/>
    <w:rsid w:val="00E6452F"/>
    <w:rsid w:val="00E64F45"/>
    <w:rsid w:val="00E6742D"/>
    <w:rsid w:val="00E71CB0"/>
    <w:rsid w:val="00E736B1"/>
    <w:rsid w:val="00E77C3D"/>
    <w:rsid w:val="00E869E2"/>
    <w:rsid w:val="00E909F0"/>
    <w:rsid w:val="00E9369F"/>
    <w:rsid w:val="00E93993"/>
    <w:rsid w:val="00EA0913"/>
    <w:rsid w:val="00EB45AC"/>
    <w:rsid w:val="00ED0BC4"/>
    <w:rsid w:val="00EE4971"/>
    <w:rsid w:val="00EE744D"/>
    <w:rsid w:val="00EF090E"/>
    <w:rsid w:val="00EF2FDE"/>
    <w:rsid w:val="00F033DA"/>
    <w:rsid w:val="00F27CD8"/>
    <w:rsid w:val="00F30351"/>
    <w:rsid w:val="00F3323E"/>
    <w:rsid w:val="00F340C2"/>
    <w:rsid w:val="00F341F4"/>
    <w:rsid w:val="00F34246"/>
    <w:rsid w:val="00F35CCE"/>
    <w:rsid w:val="00F44220"/>
    <w:rsid w:val="00F5524B"/>
    <w:rsid w:val="00F61DD2"/>
    <w:rsid w:val="00F63666"/>
    <w:rsid w:val="00F6551C"/>
    <w:rsid w:val="00F66838"/>
    <w:rsid w:val="00F66AFF"/>
    <w:rsid w:val="00F71433"/>
    <w:rsid w:val="00F82D90"/>
    <w:rsid w:val="00F8342D"/>
    <w:rsid w:val="00F90A71"/>
    <w:rsid w:val="00F9331A"/>
    <w:rsid w:val="00F9501B"/>
    <w:rsid w:val="00F97C5B"/>
    <w:rsid w:val="00FA07DD"/>
    <w:rsid w:val="00FA3C21"/>
    <w:rsid w:val="00FA3D50"/>
    <w:rsid w:val="00FA3D5F"/>
    <w:rsid w:val="00FA5EC1"/>
    <w:rsid w:val="00FC374A"/>
    <w:rsid w:val="00FC7B47"/>
    <w:rsid w:val="00FD035C"/>
    <w:rsid w:val="00FD1A35"/>
    <w:rsid w:val="00FD36C5"/>
    <w:rsid w:val="00FD6310"/>
    <w:rsid w:val="00FD7C7B"/>
    <w:rsid w:val="00FE1D12"/>
    <w:rsid w:val="00FE2122"/>
    <w:rsid w:val="00FE2A86"/>
    <w:rsid w:val="00FE7C8C"/>
    <w:rsid w:val="00FF296F"/>
    <w:rsid w:val="00FF5E23"/>
    <w:rsid w:val="00FF66A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finance.ec.europa.eu/system/files/2020-06/200610-cmu-high-level-forum-final-report_en.pdf" TargetMode="External"/><Relationship Id="rId2" Type="http://schemas.openxmlformats.org/officeDocument/2006/relationships/hyperlink" Target="https://finance.ec.europa.eu/system/files/2020-06/200610-cmu-high-level-forum-final-report_en.pdf" TargetMode="External"/><Relationship Id="rId1" Type="http://schemas.openxmlformats.org/officeDocument/2006/relationships/hyperlink" Target="https://uncitral.un.org/sites/uncitral.un.org/files/media-documents/uncitral/en/05-80722_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Metadata/LabelInfo.xml><?xml version="1.0" encoding="utf-8"?>
<clbl:labelList xmlns:clbl="http://schemas.microsoft.com/office/2020/mipLabelMetadata">
  <clbl:label id="{ebc75974-4c05-4e8d-bc32-9bd992881176}" enabled="0" method="" siteId="{ebc75974-4c05-4e8d-bc32-9bd992881176}" removed="1"/>
</clbl:labelList>
</file>

<file path=docProps/app.xml><?xml version="1.0" encoding="utf-8"?>
<Properties xmlns="http://schemas.openxmlformats.org/officeDocument/2006/extended-properties" xmlns:vt="http://schemas.openxmlformats.org/officeDocument/2006/docPropsVTypes">
  <Template>Normal.dotm</Template>
  <TotalTime>344</TotalTime>
  <Pages>12</Pages>
  <Words>4576</Words>
  <Characters>24989</Characters>
  <Application>Microsoft Office Word</Application>
  <DocSecurity>0</DocSecurity>
  <Lines>555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Rivett</cp:lastModifiedBy>
  <cp:revision>195</cp:revision>
  <cp:lastPrinted>2019-09-04T15:45:00Z</cp:lastPrinted>
  <dcterms:created xsi:type="dcterms:W3CDTF">2023-09-22T19:21:00Z</dcterms:created>
  <dcterms:modified xsi:type="dcterms:W3CDTF">2023-10-03T19:21:00Z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FC202324-1387.assessment1Formative-03/10/2023</vt:lpwstr>
  </property>
  <property fmtid="{D5CDD505-2E9C-101B-9397-08002B2CF9AE}" pid="3" name="DocXFormat">
    <vt:lpwstr>FILE-DATE</vt:lpwstr>
  </property>
  <property fmtid="{D5CDD505-2E9C-101B-9397-08002B2CF9AE}" pid="4" name="DocXLocation">
    <vt:lpwstr>EveryPage</vt:lpwstr>
  </property>
</Properties>
</file>