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D069E" w:rsidRDefault="00B736DF" w:rsidP="009E1027">
      <w:pPr>
        <w:pStyle w:val="ListParagraph"/>
        <w:numPr>
          <w:ilvl w:val="0"/>
          <w:numId w:val="12"/>
        </w:numPr>
        <w:ind w:left="426"/>
        <w:jc w:val="both"/>
        <w:rPr>
          <w:rFonts w:ascii="Avenir Next" w:hAnsi="Avenir Next" w:cs="Arial"/>
          <w:sz w:val="22"/>
          <w:szCs w:val="22"/>
          <w:highlight w:val="yellow"/>
          <w:lang w:val="en-GB"/>
        </w:rPr>
      </w:pPr>
      <w:r w:rsidRPr="00BD069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D069E" w:rsidRDefault="00161F1B" w:rsidP="009E1027">
      <w:pPr>
        <w:pStyle w:val="ListParagraph"/>
        <w:numPr>
          <w:ilvl w:val="0"/>
          <w:numId w:val="13"/>
        </w:numPr>
        <w:ind w:left="426"/>
        <w:jc w:val="both"/>
        <w:rPr>
          <w:rFonts w:ascii="Avenir Next" w:hAnsi="Avenir Next" w:cs="Arial"/>
          <w:sz w:val="22"/>
          <w:szCs w:val="22"/>
          <w:highlight w:val="yellow"/>
          <w:lang w:val="en-GB"/>
        </w:rPr>
      </w:pPr>
      <w:r w:rsidRPr="00BD069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D069E" w:rsidRDefault="009E2E27" w:rsidP="008031A7">
      <w:pPr>
        <w:pStyle w:val="ListParagraph"/>
        <w:numPr>
          <w:ilvl w:val="0"/>
          <w:numId w:val="14"/>
        </w:numPr>
        <w:ind w:left="426"/>
        <w:jc w:val="both"/>
        <w:rPr>
          <w:rFonts w:ascii="Avenir Next" w:hAnsi="Avenir Next" w:cs="Arial"/>
          <w:sz w:val="22"/>
          <w:szCs w:val="22"/>
          <w:highlight w:val="yellow"/>
          <w:lang w:val="en-GB"/>
        </w:rPr>
      </w:pPr>
      <w:r w:rsidRPr="00BD069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84FBE" w:rsidRDefault="009E2E27" w:rsidP="008031A7">
      <w:pPr>
        <w:pStyle w:val="ListParagraph"/>
        <w:numPr>
          <w:ilvl w:val="0"/>
          <w:numId w:val="15"/>
        </w:numPr>
        <w:ind w:left="426"/>
        <w:jc w:val="both"/>
        <w:rPr>
          <w:rFonts w:ascii="Avenir Next" w:hAnsi="Avenir Next" w:cs="Arial"/>
          <w:sz w:val="22"/>
          <w:szCs w:val="22"/>
          <w:highlight w:val="yellow"/>
          <w:lang w:val="en-GB"/>
        </w:rPr>
      </w:pPr>
      <w:r w:rsidRPr="00C84FB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F4C8B" w:rsidRDefault="00A235B7" w:rsidP="006D01C2">
      <w:pPr>
        <w:pStyle w:val="ListParagraph"/>
        <w:numPr>
          <w:ilvl w:val="0"/>
          <w:numId w:val="16"/>
        </w:numPr>
        <w:ind w:left="426"/>
        <w:jc w:val="both"/>
        <w:rPr>
          <w:rFonts w:ascii="Avenir Next" w:hAnsi="Avenir Next" w:cs="Arial"/>
          <w:sz w:val="22"/>
          <w:szCs w:val="22"/>
          <w:highlight w:val="yellow"/>
          <w:lang w:val="en-GB"/>
        </w:rPr>
      </w:pPr>
      <w:r w:rsidRPr="00FF4C8B">
        <w:rPr>
          <w:rFonts w:ascii="Avenir Next" w:hAnsi="Avenir Next" w:cs="Arial"/>
          <w:sz w:val="22"/>
          <w:szCs w:val="22"/>
          <w:highlight w:val="yellow"/>
          <w:lang w:val="en-GB"/>
        </w:rPr>
        <w:t>The statement</w:t>
      </w:r>
      <w:r w:rsidR="0037465A" w:rsidRPr="00FF4C8B">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4B323D"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4B323D">
        <w:rPr>
          <w:rFonts w:ascii="Avenir Next" w:eastAsiaTheme="minorHAnsi" w:hAnsi="Avenir Next" w:cs="Arial"/>
          <w:sz w:val="22"/>
          <w:szCs w:val="22"/>
          <w:highlight w:val="yellow"/>
          <w:lang w:val="en-GB"/>
        </w:rPr>
        <w:t>Public International Law</w:t>
      </w:r>
      <w:r w:rsidR="00991428" w:rsidRPr="004B323D">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4B323D">
        <w:rPr>
          <w:rFonts w:ascii="Avenir Next" w:hAnsi="Avenir Next" w:cs="Arial"/>
          <w:sz w:val="22"/>
          <w:szCs w:val="22"/>
          <w:highlight w:val="yellow"/>
          <w:lang w:val="en-GB"/>
        </w:rPr>
        <w:t>UNCITRAL Model Law on Cross-border Insolvency (1997</w:t>
      </w:r>
      <w:r w:rsidRPr="00827D56">
        <w:rPr>
          <w:rFonts w:ascii="Avenir Next" w:hAnsi="Avenir Next" w:cs="Arial"/>
          <w:sz w:val="22"/>
          <w:szCs w:val="22"/>
          <w:lang w:val="en-GB"/>
        </w:rPr>
        <w:t>)</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B323D"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4B323D">
        <w:rPr>
          <w:rFonts w:ascii="Avenir Next" w:hAnsi="Avenir Next" w:cs="Arial"/>
          <w:sz w:val="22"/>
          <w:szCs w:val="22"/>
          <w:highlight w:val="yellow"/>
          <w:lang w:val="en-GB"/>
        </w:rPr>
        <w:t>Havana Convention on Private International Law (1928)</w:t>
      </w:r>
      <w:r w:rsidRPr="004B323D">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D6D29" w:rsidRDefault="0082483F" w:rsidP="006D01C2">
      <w:pPr>
        <w:pStyle w:val="ListParagraph"/>
        <w:numPr>
          <w:ilvl w:val="0"/>
          <w:numId w:val="20"/>
        </w:numPr>
        <w:ind w:left="426"/>
        <w:jc w:val="both"/>
        <w:rPr>
          <w:rFonts w:ascii="Avenir Next" w:hAnsi="Avenir Next" w:cs="Arial"/>
          <w:sz w:val="22"/>
          <w:szCs w:val="22"/>
          <w:highlight w:val="yellow"/>
          <w:lang w:val="en-GB"/>
        </w:rPr>
      </w:pPr>
      <w:r w:rsidRPr="008D6D29">
        <w:rPr>
          <w:rFonts w:ascii="Avenir Next" w:hAnsi="Avenir Next" w:cs="Arial"/>
          <w:sz w:val="22"/>
          <w:szCs w:val="22"/>
          <w:highlight w:val="yellow"/>
          <w:lang w:val="en-GB"/>
        </w:rPr>
        <w:lastRenderedPageBreak/>
        <w:t xml:space="preserve">Definition of </w:t>
      </w:r>
      <w:r w:rsidR="006D01C2" w:rsidRPr="008D6D29">
        <w:rPr>
          <w:rFonts w:ascii="Avenir Next" w:hAnsi="Avenir Next" w:cs="Arial"/>
          <w:sz w:val="22"/>
          <w:szCs w:val="22"/>
          <w:highlight w:val="yellow"/>
          <w:lang w:val="en-GB"/>
        </w:rPr>
        <w:t>“</w:t>
      </w:r>
      <w:r w:rsidRPr="008D6D29">
        <w:rPr>
          <w:rFonts w:ascii="Avenir Next" w:hAnsi="Avenir Next" w:cs="Arial"/>
          <w:sz w:val="22"/>
          <w:szCs w:val="22"/>
          <w:highlight w:val="yellow"/>
          <w:lang w:val="en-GB"/>
        </w:rPr>
        <w:t>centre of the debtor’s main interests</w:t>
      </w:r>
      <w:r w:rsidR="006D01C2" w:rsidRPr="008D6D29">
        <w:rPr>
          <w:rFonts w:ascii="Avenir Next" w:hAnsi="Avenir Next" w:cs="Arial"/>
          <w:sz w:val="22"/>
          <w:szCs w:val="22"/>
          <w:highlight w:val="yellow"/>
          <w:lang w:val="en-GB"/>
        </w:rPr>
        <w:t>”</w:t>
      </w:r>
      <w:r w:rsidRPr="008D6D29">
        <w:rPr>
          <w:rFonts w:ascii="Avenir Next" w:hAnsi="Avenir Next" w:cs="Arial"/>
          <w:sz w:val="22"/>
          <w:szCs w:val="22"/>
          <w:highlight w:val="yellow"/>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53467C"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53467C">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975436E" w:rsidR="009B07AD" w:rsidRPr="00827D56" w:rsidRDefault="000537A5" w:rsidP="000537A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means the insolvency proceedings involving cross border issues,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when the insolvent debtor has establishments (affiliates, daughter companies, performs business) in several countries and/or when there is estate of the debtor in several states, with creditors from several countries.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7C31811B" w:rsidR="00C82D87" w:rsidRPr="00827D56" w:rsidRDefault="000537A5" w:rsidP="000537A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Universality means that insolvent proceedings are administered by one organ (such as a court) in one country, usually where the debtor has its centre of main interests (COMI). All issues, claims, estate, are decided by that one single point. Territoriality, on the other hand, means that in each country where debtor has estate a separate insolvency proceeding is opened.</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6C553114" w:rsidR="0045683E" w:rsidRPr="00827D56" w:rsidRDefault="000537A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UAE, Saudi </w:t>
      </w:r>
      <w:proofErr w:type="gramStart"/>
      <w:r>
        <w:rPr>
          <w:rFonts w:ascii="Avenir Next" w:hAnsi="Avenir Next" w:cs="Arial"/>
          <w:color w:val="7B7B7B" w:themeColor="accent3" w:themeShade="BF"/>
          <w:sz w:val="22"/>
          <w:szCs w:val="22"/>
          <w:lang w:val="en-GB"/>
        </w:rPr>
        <w:t>Arabia</w:t>
      </w:r>
      <w:proofErr w:type="gramEnd"/>
      <w:r>
        <w:rPr>
          <w:rFonts w:ascii="Avenir Next" w:hAnsi="Avenir Next" w:cs="Arial"/>
          <w:color w:val="7B7B7B" w:themeColor="accent3" w:themeShade="BF"/>
          <w:sz w:val="22"/>
          <w:szCs w:val="22"/>
          <w:lang w:val="en-GB"/>
        </w:rPr>
        <w:t xml:space="preserve"> and Dubai have reformed their domestic insolvency laws in recent years (2018, 2019)</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7D795D02" w:rsidR="00544127" w:rsidRPr="00827D56" w:rsidRDefault="00F97725" w:rsidP="00F9772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objective of insolvency of individuals is to cover the claims of the insolvency creditors on one hand and on the other hand in modern laws to provide discharge of further the remaining debts. Individuals cannot be discharged, as companies can. For companies, there are two aims: 1) to liquidate assets of the debtor and to pay to creditors pro rata for their claims and 2) if economically reasonable to provide rescue for the company and to ensure its further existence.</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75469E02" w:rsidR="00962045" w:rsidRPr="00827D56" w:rsidRDefault="00F97725" w:rsidP="00C053F7">
      <w:pPr>
        <w:jc w:val="both"/>
        <w:rPr>
          <w:rFonts w:ascii="Avenir Next" w:hAnsi="Avenir Next" w:cs="Arial"/>
          <w:sz w:val="22"/>
          <w:szCs w:val="22"/>
          <w:shd w:val="clear" w:color="auto" w:fill="FFFFFF"/>
          <w:lang w:val="en-GB"/>
        </w:rPr>
      </w:pPr>
      <w:r>
        <w:rPr>
          <w:rFonts w:ascii="Avenir Next" w:hAnsi="Avenir Next" w:cs="Arial"/>
          <w:color w:val="7B7B7B" w:themeColor="accent3" w:themeShade="BF"/>
          <w:sz w:val="22"/>
          <w:szCs w:val="22"/>
          <w:lang w:val="en-GB"/>
        </w:rPr>
        <w:t>As there are many differences in insolvency regimes in comparative law, the following issues can be burdensome for the effective and fair insolvency administration over the debtor. For example, what are the prerequisites for the opening of insolvency proceedings, which court or other organ should administer the proceedings, how are creditor differentiated in classes, which creditors have preferential claims, set-off and netting, different rules for the distribution of proceeds, material and procedural law which are applicable to the case, rules for voidable acts of the debtor.</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Default="00DF75F8" w:rsidP="00C053F7">
      <w:pPr>
        <w:jc w:val="both"/>
        <w:rPr>
          <w:rFonts w:ascii="Avenir Next" w:hAnsi="Avenir Next" w:cs="Arial"/>
          <w:sz w:val="22"/>
          <w:szCs w:val="22"/>
          <w:lang w:val="en-GB"/>
        </w:rPr>
      </w:pPr>
    </w:p>
    <w:p w14:paraId="4AE7EA78" w14:textId="14E5A9CF" w:rsidR="007D7C92" w:rsidRDefault="00F97725" w:rsidP="00F97725">
      <w:pPr>
        <w:jc w:val="both"/>
        <w:rPr>
          <w:rFonts w:ascii="Avenir Next" w:hAnsi="Avenir Next" w:cs="Arial"/>
          <w:color w:val="A6A6A6" w:themeColor="background1" w:themeShade="A6"/>
          <w:sz w:val="22"/>
          <w:szCs w:val="22"/>
          <w:lang w:val="en-GB"/>
        </w:rPr>
      </w:pPr>
      <w:r>
        <w:rPr>
          <w:rFonts w:ascii="Avenir Next" w:hAnsi="Avenir Next" w:cs="Arial"/>
          <w:color w:val="A6A6A6" w:themeColor="background1" w:themeShade="A6"/>
          <w:sz w:val="22"/>
          <w:szCs w:val="22"/>
          <w:lang w:val="en-GB"/>
        </w:rPr>
        <w:t xml:space="preserve">UNCITRAL has prepared a Legislative Guide on Insolvency Law, which serves as a set of recommendations to governments which are working on preparation of new insolvency regulations. World Bank has prepared Principles for Effective Insolvency and Creditor – Debtor Regimes, serving also as recommended solutions and best standards for insolvency regimes. The EU has worked on a harmonised approach to insolvency laws since 2010.  </w:t>
      </w:r>
    </w:p>
    <w:p w14:paraId="084C1B09" w14:textId="5DEFBDBB" w:rsidR="00F97725" w:rsidRDefault="00F97725" w:rsidP="00F97725">
      <w:pPr>
        <w:jc w:val="both"/>
        <w:rPr>
          <w:rFonts w:ascii="Avenir Next" w:hAnsi="Avenir Next" w:cs="Arial"/>
          <w:color w:val="A6A6A6" w:themeColor="background1" w:themeShade="A6"/>
          <w:sz w:val="22"/>
          <w:szCs w:val="22"/>
          <w:lang w:val="en-GB"/>
        </w:rPr>
      </w:pPr>
    </w:p>
    <w:p w14:paraId="4D3261FB" w14:textId="427BB448" w:rsidR="00F97725" w:rsidRPr="00F97725" w:rsidRDefault="00F97725" w:rsidP="00F97725">
      <w:pPr>
        <w:jc w:val="both"/>
        <w:rPr>
          <w:rFonts w:ascii="Avenir Next" w:hAnsi="Avenir Next" w:cs="Arial"/>
          <w:color w:val="A6A6A6" w:themeColor="background1" w:themeShade="A6"/>
          <w:sz w:val="22"/>
          <w:szCs w:val="22"/>
          <w:lang w:val="en-GB"/>
        </w:rPr>
      </w:pPr>
      <w:r>
        <w:rPr>
          <w:rFonts w:ascii="Avenir Next" w:hAnsi="Avenir Next" w:cs="Arial"/>
          <w:color w:val="A6A6A6" w:themeColor="background1" w:themeShade="A6"/>
          <w:sz w:val="22"/>
          <w:szCs w:val="22"/>
          <w:lang w:val="en-GB"/>
        </w:rPr>
        <w:t>In my opinion, such efforts will gradually make significant impact on the harmonisation of domestic laws. For example, in many countries US insolvency regime is adopted (such as Chapter 11 for reorganization) and in addition countries wishing to improve their laws look for the best practices in important insolvency jurisdictions. My country (Serbia) cooperates with international donors, such as World Bank Group and the prerequisite for the aid is to include the best practices in new regulations.</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w:t>
      </w:r>
      <w:r w:rsidRPr="00827D56">
        <w:rPr>
          <w:rFonts w:ascii="Avenir Next" w:hAnsi="Avenir Next" w:cs="Arial"/>
          <w:sz w:val="22"/>
          <w:szCs w:val="22"/>
          <w:lang w:val="en-GB"/>
        </w:rPr>
        <w:lastRenderedPageBreak/>
        <w:t xml:space="preserve">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4E5C1A26" w:rsidR="00827D56" w:rsidRPr="00FD6AB9" w:rsidRDefault="00FD6AB9" w:rsidP="00C053F7">
      <w:pPr>
        <w:jc w:val="both"/>
        <w:rPr>
          <w:rFonts w:ascii="Avenir Next" w:hAnsi="Avenir Next" w:cs="Arial"/>
          <w:color w:val="A6A6A6" w:themeColor="background1" w:themeShade="A6"/>
          <w:sz w:val="22"/>
          <w:szCs w:val="22"/>
          <w:lang w:val="en-GB"/>
        </w:rPr>
      </w:pPr>
      <w:r>
        <w:rPr>
          <w:rFonts w:ascii="Avenir Next" w:hAnsi="Avenir Next" w:cs="Arial"/>
          <w:color w:val="A6A6A6" w:themeColor="background1" w:themeShade="A6"/>
          <w:sz w:val="22"/>
          <w:szCs w:val="22"/>
          <w:lang w:val="en-GB"/>
        </w:rPr>
        <w:t xml:space="preserve">The liquidator should address the court in Utopia demanding the stay of proceedings in Utopia against Nadir, proving that the insolvency case has been commenced in Erewhon and that it is appointed as the liquidator. Adopting UNCITRAL Model law on Cross-Border Insolvency ensures that there should be coordination and cooperation between insolvency courts and liquidators (trustees). Liquidator has the right on access to the court in Utopia. It may be the case that liquidator should demand firstly the formal recognition of the insolvency proceedings commenced in Erewhon.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06FC7DF5" w:rsidR="002D3473" w:rsidRPr="000832BB" w:rsidRDefault="000832BB" w:rsidP="000832BB">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A6A6A6" w:themeColor="background1" w:themeShade="A6"/>
          <w:sz w:val="22"/>
          <w:szCs w:val="22"/>
          <w:lang w:val="en-GB"/>
        </w:rPr>
        <w:t xml:space="preserve">This would make a difference, as the effect of the commencement of insolvency proceedings (such as automatic stay) comes as the consequence of the formal opening of insolvency proceedings, when prerequisites for such proceedings are determined. </w:t>
      </w:r>
    </w:p>
    <w:p w14:paraId="7BD12AC5" w14:textId="500E73F8" w:rsidR="000832BB" w:rsidRPr="000832BB" w:rsidRDefault="000832BB" w:rsidP="000832BB">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A6A6A6" w:themeColor="background1" w:themeShade="A6"/>
          <w:sz w:val="22"/>
          <w:szCs w:val="22"/>
          <w:lang w:val="en-GB"/>
        </w:rPr>
        <w:t xml:space="preserve">This would make a difference, as then the question of COMI should firstly need to be resolved, i.e., is the centre of the </w:t>
      </w:r>
      <w:proofErr w:type="gramStart"/>
      <w:r>
        <w:rPr>
          <w:rFonts w:ascii="Avenir Next" w:hAnsi="Avenir Next" w:cs="Arial"/>
          <w:color w:val="A6A6A6" w:themeColor="background1" w:themeShade="A6"/>
          <w:sz w:val="22"/>
          <w:szCs w:val="22"/>
          <w:lang w:val="en-GB"/>
        </w:rPr>
        <w:t>debtors</w:t>
      </w:r>
      <w:proofErr w:type="gramEnd"/>
      <w:r>
        <w:rPr>
          <w:rFonts w:ascii="Avenir Next" w:hAnsi="Avenir Next" w:cs="Arial"/>
          <w:color w:val="A6A6A6" w:themeColor="background1" w:themeShade="A6"/>
          <w:sz w:val="22"/>
          <w:szCs w:val="22"/>
          <w:lang w:val="en-GB"/>
        </w:rPr>
        <w:t xml:space="preserve"> main interest in Utopia or in Erewhon. The court should also consider if there was a “forum shopping” by the debtor, as it has moved to Utopia only a month ago.</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43C9D668" w:rsidR="0077498C" w:rsidRPr="00F56749" w:rsidRDefault="00F56749" w:rsidP="00C053F7">
      <w:pPr>
        <w:jc w:val="both"/>
        <w:rPr>
          <w:rFonts w:ascii="Avenir Next" w:hAnsi="Avenir Next" w:cs="Arial"/>
          <w:color w:val="A6A6A6" w:themeColor="background1" w:themeShade="A6"/>
          <w:sz w:val="22"/>
          <w:szCs w:val="22"/>
        </w:rPr>
      </w:pPr>
      <w:r>
        <w:rPr>
          <w:rFonts w:ascii="Avenir Next" w:hAnsi="Avenir Next" w:cs="Arial"/>
          <w:color w:val="A6A6A6" w:themeColor="background1" w:themeShade="A6"/>
          <w:sz w:val="22"/>
          <w:szCs w:val="22"/>
        </w:rPr>
        <w:t xml:space="preserve">Presuming that the company is incorporated in my own country, Republic of Serbia which has adopted the UNCITRAL Model Law on Cross-Border Insolvency without reservations. Key issues are 1) which court should govern the insolvency proceedings, 2) should there be the main and secondary insolvency proceedings (in other jurisdictions), 3) choice of governing law, 4) which international effects would be in place after the commencement of the main proceedings. Regarding the court which should govern the insolvency proceedings, if COMI is in Serbia, then the main proceedings should be run in my own country, while in other countries there would be secondary insolvency proceedings opened. Governing law would be Serbian material and procedural law. Effects of the commencement of insolvency proceedings in Serbia </w:t>
      </w:r>
      <w:r w:rsidR="00C547B5">
        <w:rPr>
          <w:rFonts w:ascii="Avenir Next" w:hAnsi="Avenir Next" w:cs="Arial"/>
          <w:color w:val="A6A6A6" w:themeColor="background1" w:themeShade="A6"/>
          <w:sz w:val="22"/>
          <w:szCs w:val="22"/>
        </w:rPr>
        <w:t>in other countries would be that the main insolvency proceedings should be recognized in other countries and consequently, automatic stay should be imposed in other countries. The insolvency administrator could also use the access to the court in another country and cooperation and coordination principles. It may sign a protocol on cooperation between foreign insolvency practitioner and use for example UNCITRAL Practice Guide on Cross-Border Insolvency Agreements.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B419" w14:textId="77777777" w:rsidR="00A06924" w:rsidRDefault="00A06924" w:rsidP="00241B44">
      <w:r>
        <w:separator/>
      </w:r>
    </w:p>
  </w:endnote>
  <w:endnote w:type="continuationSeparator" w:id="0">
    <w:p w14:paraId="1C20FFFE" w14:textId="77777777" w:rsidR="00A06924" w:rsidRDefault="00A0692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324D43B" w:rsidR="00AD6A7D" w:rsidRPr="009634F4" w:rsidRDefault="009B112C" w:rsidP="00AD6A7D">
    <w:pPr>
      <w:pStyle w:val="Footer"/>
      <w:ind w:right="360"/>
      <w:rPr>
        <w:rFonts w:ascii="Avenir Next" w:hAnsi="Avenir Next" w:cs="Arial"/>
        <w:sz w:val="22"/>
        <w:szCs w:val="22"/>
      </w:rPr>
    </w:pPr>
    <w:r w:rsidRPr="009B112C">
      <w:rPr>
        <w:rFonts w:ascii="Avenir Next" w:hAnsi="Avenir Next" w:cs="Arial"/>
        <w:sz w:val="22"/>
        <w:szCs w:val="22"/>
      </w:rPr>
      <w:t>FC202324-1414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5C4E" w14:textId="77777777" w:rsidR="00A06924" w:rsidRDefault="00A06924" w:rsidP="00241B44">
      <w:r>
        <w:separator/>
      </w:r>
    </w:p>
  </w:footnote>
  <w:footnote w:type="continuationSeparator" w:id="0">
    <w:p w14:paraId="4557ECFC" w14:textId="77777777" w:rsidR="00A06924" w:rsidRDefault="00A0692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CFE7A11"/>
    <w:multiLevelType w:val="hybridMultilevel"/>
    <w:tmpl w:val="27684C18"/>
    <w:lvl w:ilvl="0" w:tplc="3FE22FF4">
      <w:start w:val="1"/>
      <w:numFmt w:val="upp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6"/>
  </w:num>
  <w:num w:numId="4" w16cid:durableId="743720607">
    <w:abstractNumId w:val="3"/>
  </w:num>
  <w:num w:numId="5" w16cid:durableId="464741948">
    <w:abstractNumId w:val="9"/>
  </w:num>
  <w:num w:numId="6" w16cid:durableId="554897999">
    <w:abstractNumId w:val="15"/>
  </w:num>
  <w:num w:numId="7" w16cid:durableId="1913469301">
    <w:abstractNumId w:val="21"/>
  </w:num>
  <w:num w:numId="8" w16cid:durableId="307983066">
    <w:abstractNumId w:val="14"/>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2"/>
  </w:num>
  <w:num w:numId="14" w16cid:durableId="742527874">
    <w:abstractNumId w:val="0"/>
  </w:num>
  <w:num w:numId="15" w16cid:durableId="1934196058">
    <w:abstractNumId w:val="1"/>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186968528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37A5"/>
    <w:rsid w:val="00055893"/>
    <w:rsid w:val="00065166"/>
    <w:rsid w:val="00082609"/>
    <w:rsid w:val="000832BB"/>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B323D"/>
    <w:rsid w:val="004C1306"/>
    <w:rsid w:val="004D1A5A"/>
    <w:rsid w:val="004D3721"/>
    <w:rsid w:val="004D64F9"/>
    <w:rsid w:val="004E14A8"/>
    <w:rsid w:val="004F5FDF"/>
    <w:rsid w:val="005177FE"/>
    <w:rsid w:val="0052263B"/>
    <w:rsid w:val="00524728"/>
    <w:rsid w:val="005331CA"/>
    <w:rsid w:val="0053467C"/>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0F76"/>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D6D29"/>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12C"/>
    <w:rsid w:val="009B15E2"/>
    <w:rsid w:val="009C0B8E"/>
    <w:rsid w:val="009C1BC8"/>
    <w:rsid w:val="009C2442"/>
    <w:rsid w:val="009D0811"/>
    <w:rsid w:val="009D0EE1"/>
    <w:rsid w:val="009E1027"/>
    <w:rsid w:val="009E2AEB"/>
    <w:rsid w:val="009E2E27"/>
    <w:rsid w:val="009E4DE3"/>
    <w:rsid w:val="00A005FC"/>
    <w:rsid w:val="00A047EE"/>
    <w:rsid w:val="00A06924"/>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D069E"/>
    <w:rsid w:val="00BF1C6F"/>
    <w:rsid w:val="00BF50F7"/>
    <w:rsid w:val="00C02F29"/>
    <w:rsid w:val="00C053F7"/>
    <w:rsid w:val="00C22A25"/>
    <w:rsid w:val="00C33C6C"/>
    <w:rsid w:val="00C35671"/>
    <w:rsid w:val="00C35B77"/>
    <w:rsid w:val="00C376EB"/>
    <w:rsid w:val="00C46EC1"/>
    <w:rsid w:val="00C53E2C"/>
    <w:rsid w:val="00C547B5"/>
    <w:rsid w:val="00C550C8"/>
    <w:rsid w:val="00C606C3"/>
    <w:rsid w:val="00C72848"/>
    <w:rsid w:val="00C7736C"/>
    <w:rsid w:val="00C82D87"/>
    <w:rsid w:val="00C84FBE"/>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56749"/>
    <w:rsid w:val="00F61DD2"/>
    <w:rsid w:val="00F66AFF"/>
    <w:rsid w:val="00F71433"/>
    <w:rsid w:val="00F82D90"/>
    <w:rsid w:val="00F967FF"/>
    <w:rsid w:val="00F97725"/>
    <w:rsid w:val="00F97C5B"/>
    <w:rsid w:val="00FA3D50"/>
    <w:rsid w:val="00FA3D5F"/>
    <w:rsid w:val="00FC374A"/>
    <w:rsid w:val="00FC7B47"/>
    <w:rsid w:val="00FD035C"/>
    <w:rsid w:val="00FD1A35"/>
    <w:rsid w:val="00FD36C5"/>
    <w:rsid w:val="00FD6310"/>
    <w:rsid w:val="00FD69D4"/>
    <w:rsid w:val="00FD6AB9"/>
    <w:rsid w:val="00FD7C7B"/>
    <w:rsid w:val="00FE1D12"/>
    <w:rsid w:val="00FE2122"/>
    <w:rsid w:val="00FE2A86"/>
    <w:rsid w:val="00FF296F"/>
    <w:rsid w:val="00FF4C8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Todorovic</cp:lastModifiedBy>
  <cp:revision>14</cp:revision>
  <cp:lastPrinted>2019-09-04T15:45:00Z</cp:lastPrinted>
  <dcterms:created xsi:type="dcterms:W3CDTF">2023-10-10T04:15:00Z</dcterms:created>
  <dcterms:modified xsi:type="dcterms:W3CDTF">2023-10-12T19:50:00Z</dcterms:modified>
</cp:coreProperties>
</file>