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on the course as a whole.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not compulsory</w:t>
      </w:r>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52A573B2"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B62B8A">
        <w:rPr>
          <w:rFonts w:ascii="Avenir Next" w:hAnsi="Avenir Next" w:cs="Arial"/>
          <w:bCs/>
          <w:color w:val="767171" w:themeColor="background2" w:themeShade="80"/>
          <w:sz w:val="22"/>
          <w:szCs w:val="22"/>
          <w:lang w:val="en-GB"/>
        </w:rPr>
        <w:t>3</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w:t>
      </w:r>
      <w:proofErr w:type="spellStart"/>
      <w:r w:rsidRPr="000E329C">
        <w:rPr>
          <w:rFonts w:ascii="Avenir Next" w:hAnsi="Avenir Next" w:cs="Arial"/>
          <w:bCs/>
          <w:sz w:val="22"/>
          <w:szCs w:val="22"/>
          <w:lang w:val="en-GB"/>
        </w:rPr>
        <w:t>student</w:t>
      </w:r>
      <w:r w:rsidR="002C1671" w:rsidRPr="000E329C">
        <w:rPr>
          <w:rFonts w:ascii="Avenir Next" w:hAnsi="Avenir Next" w:cs="Arial"/>
          <w:bCs/>
          <w:sz w:val="22"/>
          <w:szCs w:val="22"/>
          <w:lang w:val="en-GB"/>
        </w:rPr>
        <w:t>ID</w:t>
      </w:r>
      <w:proofErr w:type="spellEnd"/>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302CC984"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BDE662F"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w:t>
      </w:r>
      <w:r w:rsidR="00F82D90">
        <w:rPr>
          <w:rFonts w:ascii="Avenir Next Demi Bold" w:hAnsi="Avenir Next Demi Bold" w:cs="Arial"/>
          <w:b/>
          <w:bCs/>
          <w:sz w:val="22"/>
          <w:szCs w:val="22"/>
          <w:lang w:val="en-GB"/>
        </w:rPr>
        <w:t>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2331AF">
        <w:rPr>
          <w:rFonts w:ascii="Avenir Next" w:hAnsi="Avenir Next" w:cs="Arial"/>
          <w:sz w:val="22"/>
          <w:szCs w:val="22"/>
          <w:highlight w:val="yellow"/>
          <w:lang w:val="en-GB"/>
        </w:rPr>
        <w:t>This statement is untrue since there are huge differences in both the approach and insolvency legislation of various jurisdictions</w:t>
      </w:r>
      <w:r w:rsidRPr="00827D56">
        <w:rPr>
          <w:rFonts w:ascii="Avenir Next" w:hAnsi="Avenir Next" w:cs="Arial"/>
          <w:sz w:val="22"/>
          <w:szCs w:val="22"/>
          <w:lang w:val="en-GB"/>
        </w:rPr>
        <w:t>.</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2331AF">
        <w:rPr>
          <w:rFonts w:ascii="Avenir Next" w:hAnsi="Avenir Next" w:cs="Arial"/>
          <w:sz w:val="22"/>
          <w:szCs w:val="22"/>
          <w:highlight w:val="yellow"/>
          <w:lang w:val="en-GB"/>
        </w:rPr>
        <w:t>This statement is true since it introduced the notion of discharge</w:t>
      </w:r>
      <w:r w:rsidRPr="00827D56">
        <w:rPr>
          <w:rFonts w:ascii="Avenir Next" w:hAnsi="Avenir Next" w:cs="Arial"/>
          <w:sz w:val="22"/>
          <w:szCs w:val="22"/>
          <w:lang w:val="en-GB"/>
        </w:rPr>
        <w:t>.</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2331AF">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r w:rsidRPr="00827D56">
        <w:rPr>
          <w:rFonts w:ascii="Avenir Next" w:hAnsi="Avenir Next" w:cs="Arial"/>
          <w:sz w:val="22"/>
          <w:szCs w:val="22"/>
          <w:lang w:val="en-GB"/>
        </w:rPr>
        <w:t>.</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2331AF">
        <w:rPr>
          <w:rFonts w:ascii="Avenir Next" w:hAnsi="Avenir Next" w:cs="Arial"/>
          <w:sz w:val="22"/>
          <w:szCs w:val="22"/>
          <w:highlight w:val="yellow"/>
          <w:lang w:val="en-GB"/>
        </w:rPr>
        <w:t>This statement is untrue since there is still a need for both liquidation and rescue procedures in insolvency systems</w:t>
      </w:r>
      <w:r w:rsidRPr="00827D56">
        <w:rPr>
          <w:rFonts w:ascii="Avenir Next" w:hAnsi="Avenir Next" w:cs="Arial"/>
          <w:sz w:val="22"/>
          <w:szCs w:val="22"/>
          <w:lang w:val="en-GB"/>
        </w:rPr>
        <w:t>.</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134986">
        <w:rPr>
          <w:rFonts w:ascii="Avenir Next" w:hAnsi="Avenir Next" w:cs="Arial"/>
          <w:sz w:val="22"/>
          <w:szCs w:val="22"/>
          <w:highlight w:val="yellow"/>
          <w:lang w:val="en-GB"/>
        </w:rPr>
        <w:t>The statement</w:t>
      </w:r>
      <w:r w:rsidR="0037465A" w:rsidRPr="00134986">
        <w:rPr>
          <w:rFonts w:ascii="Avenir Next" w:hAnsi="Avenir Next" w:cs="Arial"/>
          <w:sz w:val="22"/>
          <w:szCs w:val="22"/>
          <w:highlight w:val="yellow"/>
          <w:lang w:val="en-GB"/>
        </w:rPr>
        <w:t xml:space="preserve"> is untrue, the requirements and principles do differ and pose problems in a cross-border case</w:t>
      </w:r>
      <w:r w:rsidR="0037465A" w:rsidRPr="00827D56">
        <w:rPr>
          <w:rFonts w:ascii="Avenir Next" w:hAnsi="Avenir Next" w:cs="Arial"/>
          <w:sz w:val="22"/>
          <w:szCs w:val="22"/>
          <w:lang w:val="en-GB"/>
        </w:rPr>
        <w:t>.</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ListParagraph"/>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to what law can the local court refer in order to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Public International Law</w:t>
      </w:r>
      <w:r w:rsidR="00991428" w:rsidRPr="00827D56">
        <w:rPr>
          <w:rFonts w:ascii="Avenir Next" w:eastAsiaTheme="minorHAnsi" w:hAnsi="Avenir Next" w:cs="Arial"/>
          <w:sz w:val="22"/>
          <w:szCs w:val="22"/>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UNCITRAL Legislative Guide on Insolvency Law</w:t>
      </w:r>
      <w:r w:rsidR="00991428" w:rsidRPr="00827D56">
        <w:rPr>
          <w:rFonts w:ascii="Avenir Next" w:eastAsiaTheme="minorHAnsi" w:hAnsi="Avenir Next" w:cs="Arial"/>
          <w:sz w:val="22"/>
          <w:szCs w:val="22"/>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0D2103">
        <w:rPr>
          <w:rFonts w:ascii="Avenir Next" w:eastAsiaTheme="minorHAnsi" w:hAnsi="Avenir Next" w:cs="Arial"/>
          <w:sz w:val="22"/>
          <w:szCs w:val="22"/>
          <w:highlight w:val="yellow"/>
          <w:lang w:val="en-GB"/>
        </w:rPr>
        <w:t>Private International Law</w:t>
      </w:r>
      <w:r w:rsidR="00991428" w:rsidRPr="00827D56">
        <w:rPr>
          <w:rFonts w:ascii="Avenir Next" w:eastAsiaTheme="minorHAnsi" w:hAnsi="Avenir Next" w:cs="Arial"/>
          <w:sz w:val="22"/>
          <w:szCs w:val="22"/>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827D56" w:rsidRDefault="005A0CC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ALI</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III Global Guidelines Applicable to Court-to-Court Communication in Cross-Border Cases (2012).</w:t>
      </w:r>
      <w:r w:rsidR="004D1A5A" w:rsidRPr="00827D56">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827D56" w:rsidRDefault="005A0CCA" w:rsidP="006D01C2">
      <w:pPr>
        <w:pStyle w:val="ListParagraph"/>
        <w:numPr>
          <w:ilvl w:val="0"/>
          <w:numId w:val="18"/>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00FE2A86" w:rsidRPr="00827D5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827D56" w:rsidRDefault="004D1A5A" w:rsidP="006D01C2">
      <w:pPr>
        <w:pStyle w:val="ListParagraph"/>
        <w:numPr>
          <w:ilvl w:val="0"/>
          <w:numId w:val="18"/>
        </w:numPr>
        <w:ind w:left="426"/>
        <w:jc w:val="both"/>
        <w:rPr>
          <w:rFonts w:ascii="Avenir Next" w:hAnsi="Avenir Next" w:cs="Arial"/>
          <w:sz w:val="22"/>
          <w:szCs w:val="22"/>
          <w:lang w:val="en-GB"/>
        </w:rPr>
      </w:pPr>
      <w:r w:rsidRPr="001F3C1E">
        <w:rPr>
          <w:rFonts w:ascii="Avenir Next" w:hAnsi="Avenir Next" w:cs="Arial"/>
          <w:sz w:val="22"/>
          <w:szCs w:val="22"/>
          <w:highlight w:val="yellow"/>
          <w:lang w:val="en-GB"/>
        </w:rPr>
        <w:t>UNCITRAL Model Law on Cross-border Insolvency (1997)</w:t>
      </w:r>
      <w:r w:rsidR="00912C79" w:rsidRPr="00827D56">
        <w:rPr>
          <w:rFonts w:ascii="Avenir Next" w:hAnsi="Avenir Next" w:cs="Arial"/>
          <w:sz w:val="22"/>
          <w:szCs w:val="22"/>
          <w:lang w:val="en-GB"/>
        </w:rPr>
        <w:t>.</w:t>
      </w:r>
      <w:r w:rsidRPr="00827D56">
        <w:rPr>
          <w:rFonts w:ascii="Avenir Next" w:hAnsi="Avenir Next" w:cs="Arial"/>
          <w:sz w:val="22"/>
          <w:szCs w:val="22"/>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827D56" w:rsidRDefault="005A0CCA" w:rsidP="006D01C2">
      <w:pPr>
        <w:pStyle w:val="ListParagraph"/>
        <w:numPr>
          <w:ilvl w:val="0"/>
          <w:numId w:val="18"/>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JIN Guidelines for Communication and Cooperation between Courts in Cross-Border Insolvency Matters (2016)</w:t>
      </w:r>
      <w:r w:rsidR="00991428" w:rsidRPr="00827D56">
        <w:rPr>
          <w:rFonts w:ascii="Avenir Next" w:eastAsiaTheme="minorHAnsi" w:hAnsi="Avenir Next" w:cs="Arial"/>
          <w:sz w:val="22"/>
          <w:szCs w:val="22"/>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3E6D64D4" w14:textId="05C1F94D" w:rsidR="00827D56" w:rsidRDefault="00827D56" w:rsidP="00C053F7">
      <w:pPr>
        <w:spacing w:line="276" w:lineRule="auto"/>
        <w:jc w:val="both"/>
        <w:rPr>
          <w:rFonts w:ascii="Avenir Next" w:hAnsi="Avenir Next" w:cs="Arial"/>
          <w:sz w:val="22"/>
          <w:szCs w:val="22"/>
          <w:lang w:val="en-GB"/>
        </w:rPr>
      </w:pP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827D56" w:rsidRDefault="001A7E9A" w:rsidP="006D01C2">
      <w:pPr>
        <w:pStyle w:val="ListParagraph"/>
        <w:numPr>
          <w:ilvl w:val="0"/>
          <w:numId w:val="19"/>
        </w:numPr>
        <w:ind w:left="426"/>
        <w:jc w:val="both"/>
        <w:rPr>
          <w:rFonts w:ascii="Avenir Next" w:eastAsiaTheme="minorHAnsi" w:hAnsi="Avenir Next" w:cs="Arial"/>
          <w:sz w:val="22"/>
          <w:szCs w:val="22"/>
          <w:lang w:val="en-GB"/>
        </w:rPr>
      </w:pPr>
      <w:r w:rsidRPr="001D3303">
        <w:rPr>
          <w:rFonts w:ascii="Avenir Next" w:hAnsi="Avenir Next" w:cs="Arial"/>
          <w:sz w:val="22"/>
          <w:szCs w:val="22"/>
          <w:highlight w:val="yellow"/>
          <w:lang w:val="en-GB"/>
        </w:rPr>
        <w:t>Havana Convention on Private International Law (1928)</w:t>
      </w:r>
      <w:r w:rsidRPr="001D3303">
        <w:rPr>
          <w:rFonts w:ascii="Avenir Next" w:eastAsiaTheme="minorHAnsi" w:hAnsi="Avenir Next" w:cs="Arial"/>
          <w:sz w:val="22"/>
          <w:szCs w:val="22"/>
          <w:highlight w:val="yellow"/>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3C78BB">
        <w:rPr>
          <w:rFonts w:ascii="Avenir Next" w:hAnsi="Avenir Next" w:cs="Arial"/>
          <w:sz w:val="22"/>
          <w:szCs w:val="22"/>
          <w:highlight w:val="yellow"/>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73453E68"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lastRenderedPageBreak/>
        <w:t xml:space="preserve">Definition of </w:t>
      </w:r>
      <w:r w:rsidR="006D01C2" w:rsidRPr="00827D56">
        <w:rPr>
          <w:rFonts w:ascii="Avenir Next" w:hAnsi="Avenir Next" w:cs="Arial"/>
          <w:sz w:val="22"/>
          <w:szCs w:val="22"/>
          <w:lang w:val="en-GB"/>
        </w:rPr>
        <w:t>“</w:t>
      </w:r>
      <w:r w:rsidRPr="00827D56">
        <w:rPr>
          <w:rFonts w:ascii="Avenir Next" w:hAnsi="Avenir Next" w:cs="Arial"/>
          <w:sz w:val="22"/>
          <w:szCs w:val="22"/>
          <w:lang w:val="en-GB"/>
        </w:rPr>
        <w:t>centre of the debtor’s main interests</w:t>
      </w:r>
      <w:r w:rsidR="006D01C2" w:rsidRPr="00827D56">
        <w:rPr>
          <w:rFonts w:ascii="Avenir Next" w:hAnsi="Avenir Next" w:cs="Arial"/>
          <w:sz w:val="22"/>
          <w:szCs w:val="22"/>
          <w:lang w:val="en-GB"/>
        </w:rPr>
        <w:t>”</w:t>
      </w:r>
      <w:r w:rsidRPr="00827D56">
        <w:rPr>
          <w:rFonts w:ascii="Avenir Next" w:hAnsi="Avenir Next" w:cs="Arial"/>
          <w:sz w:val="22"/>
          <w:szCs w:val="22"/>
          <w:lang w:val="en-GB"/>
        </w:rPr>
        <w:t>.</w:t>
      </w:r>
    </w:p>
    <w:p w14:paraId="67B60932" w14:textId="695E08E3"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 centralised insolvency </w:t>
      </w:r>
      <w:proofErr w:type="gramStart"/>
      <w:r w:rsidRPr="00827D56">
        <w:rPr>
          <w:rFonts w:ascii="Avenir Next" w:hAnsi="Avenir Next" w:cs="Arial"/>
          <w:sz w:val="22"/>
          <w:szCs w:val="22"/>
          <w:lang w:val="en-GB"/>
        </w:rPr>
        <w:t>register</w:t>
      </w:r>
      <w:proofErr w:type="gramEnd"/>
      <w:r w:rsidRPr="00827D56">
        <w:rPr>
          <w:rFonts w:ascii="Avenir Next" w:hAnsi="Avenir Next" w:cs="Arial"/>
          <w:sz w:val="22"/>
          <w:szCs w:val="22"/>
          <w:lang w:val="en-GB"/>
        </w:rPr>
        <w:t xml:space="preserve"> of insolvency proceedings opened in member states</w:t>
      </w:r>
      <w:r w:rsidR="003A2F8D" w:rsidRPr="00827D56">
        <w:rPr>
          <w:rFonts w:ascii="Avenir Next" w:hAnsi="Avenir Next" w:cs="Arial"/>
          <w:sz w:val="22"/>
          <w:szCs w:val="22"/>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Co</w:t>
      </w:r>
      <w:r w:rsidR="00D17FDC" w:rsidRPr="00827D56">
        <w:rPr>
          <w:rFonts w:ascii="Avenir Next" w:hAnsi="Avenir Next" w:cs="Arial"/>
          <w:sz w:val="22"/>
          <w:szCs w:val="22"/>
          <w:lang w:val="en-GB"/>
        </w:rPr>
        <w:t>-</w:t>
      </w:r>
      <w:r w:rsidRPr="00827D56">
        <w:rPr>
          <w:rFonts w:ascii="Avenir Next" w:hAnsi="Avenir Next" w:cs="Arial"/>
          <w:sz w:val="22"/>
          <w:szCs w:val="22"/>
          <w:lang w:val="en-GB"/>
        </w:rPr>
        <w:t>operation and co</w:t>
      </w:r>
      <w:r w:rsidR="00D17FDC" w:rsidRPr="00827D56">
        <w:rPr>
          <w:rFonts w:ascii="Avenir Next" w:hAnsi="Avenir Next" w:cs="Arial"/>
          <w:sz w:val="22"/>
          <w:szCs w:val="22"/>
          <w:lang w:val="en-GB"/>
        </w:rPr>
        <w:t>-</w:t>
      </w:r>
      <w:r w:rsidRPr="00827D56">
        <w:rPr>
          <w:rFonts w:ascii="Avenir Next" w:hAnsi="Avenir Next" w:cs="Arial"/>
          <w:sz w:val="22"/>
          <w:szCs w:val="22"/>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3C78BB">
        <w:rPr>
          <w:rFonts w:ascii="Avenir Next" w:eastAsiaTheme="minorHAnsi" w:hAnsi="Avenir Next" w:cs="Arial"/>
          <w:sz w:val="22"/>
          <w:szCs w:val="22"/>
          <w:highlight w:val="yellow"/>
          <w:lang w:val="en-GB"/>
        </w:rPr>
        <w:t>The foreign liquidator’s standing to request a stay of the local proceedings</w:t>
      </w:r>
      <w:r w:rsidRPr="00827D56">
        <w:rPr>
          <w:rFonts w:ascii="Avenir Next" w:eastAsiaTheme="minorHAnsi" w:hAnsi="Avenir Next" w:cs="Arial"/>
          <w:sz w:val="22"/>
          <w:szCs w:val="22"/>
          <w:lang w:val="en-GB"/>
        </w:rPr>
        <w:t>.</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Pr="00827D56" w:rsidRDefault="009B07AD" w:rsidP="00C053F7">
      <w:pPr>
        <w:ind w:left="720" w:hanging="720"/>
        <w:jc w:val="both"/>
        <w:rPr>
          <w:rFonts w:ascii="Avenir Next" w:hAnsi="Avenir Next" w:cs="Arial"/>
          <w:sz w:val="22"/>
          <w:szCs w:val="22"/>
          <w:lang w:val="en-GB"/>
        </w:rPr>
      </w:pPr>
    </w:p>
    <w:p w14:paraId="22C610C9" w14:textId="6060D9F7" w:rsidR="00DE03AF" w:rsidRPr="00827D56" w:rsidRDefault="00CE223D" w:rsidP="00C053F7">
      <w:pPr>
        <w:jc w:val="both"/>
        <w:rPr>
          <w:rFonts w:ascii="Avenir Next" w:hAnsi="Avenir Next" w:cs="Arial"/>
          <w:sz w:val="22"/>
          <w:szCs w:val="22"/>
          <w:lang w:val="en-GB"/>
        </w:rPr>
      </w:pPr>
      <w:r>
        <w:rPr>
          <w:rFonts w:ascii="Avenir Next" w:hAnsi="Avenir Next" w:cs="Arial"/>
          <w:sz w:val="22"/>
          <w:szCs w:val="22"/>
          <w:lang w:val="en-GB"/>
        </w:rPr>
        <w:t>The various legal rules governing a situation in which the relevant insolvency proceedings, at the national level (within a particular state’s legal system), cannot be exclusively and immediately applied without having regard to the international aspect of the relevant insolvency case.</w:t>
      </w:r>
      <w:r>
        <w:rPr>
          <w:rStyle w:val="FootnoteReference"/>
          <w:rFonts w:ascii="Avenir Next" w:hAnsi="Avenir Next" w:cs="Arial"/>
          <w:sz w:val="22"/>
          <w:szCs w:val="22"/>
          <w:lang w:val="en-GB"/>
        </w:rPr>
        <w:footnoteReference w:id="1"/>
      </w:r>
      <w:r>
        <w:rPr>
          <w:rFonts w:ascii="Avenir Next" w:hAnsi="Avenir Next" w:cs="Arial"/>
          <w:sz w:val="22"/>
          <w:szCs w:val="22"/>
          <w:lang w:val="en-GB"/>
        </w:rPr>
        <w:t xml:space="preserve">  </w:t>
      </w:r>
    </w:p>
    <w:p w14:paraId="505ABC23" w14:textId="77777777"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D734235" w14:textId="59BFD4E7" w:rsidR="009B07AD" w:rsidRPr="00827D56" w:rsidRDefault="009B07AD" w:rsidP="00C053F7">
      <w:pPr>
        <w:ind w:left="720" w:hanging="720"/>
        <w:jc w:val="both"/>
        <w:rPr>
          <w:rFonts w:ascii="Avenir Next" w:hAnsi="Avenir Next" w:cs="Arial"/>
          <w:sz w:val="22"/>
          <w:szCs w:val="22"/>
          <w:lang w:val="en-GB"/>
        </w:rPr>
      </w:pPr>
    </w:p>
    <w:p w14:paraId="039E27B5" w14:textId="4369121B" w:rsidR="00C82D87" w:rsidRDefault="00B21393" w:rsidP="00B21393">
      <w:pPr>
        <w:jc w:val="both"/>
        <w:rPr>
          <w:rFonts w:ascii="Avenir Next" w:hAnsi="Avenir Next" w:cs="Arial"/>
          <w:sz w:val="22"/>
          <w:szCs w:val="22"/>
          <w:lang w:val="en-GB"/>
        </w:rPr>
      </w:pPr>
      <w:r w:rsidRPr="00B21393">
        <w:rPr>
          <w:rFonts w:ascii="Avenir Next" w:hAnsi="Avenir Next" w:cs="Arial"/>
          <w:sz w:val="22"/>
          <w:szCs w:val="22"/>
          <w:lang w:val="en-GB"/>
        </w:rPr>
        <w:t>Un</w:t>
      </w:r>
      <w:r>
        <w:rPr>
          <w:rFonts w:ascii="Avenir Next" w:hAnsi="Avenir Next" w:cs="Arial"/>
          <w:sz w:val="22"/>
          <w:szCs w:val="22"/>
          <w:lang w:val="en-GB"/>
        </w:rPr>
        <w:t>iversalism is the theory that in an insolvency situation the relevant debtor’s debts and assets, across the globe, should be subject to one insolvency proceeding only.</w:t>
      </w:r>
      <w:r>
        <w:rPr>
          <w:rStyle w:val="FootnoteReference"/>
          <w:rFonts w:ascii="Avenir Next" w:hAnsi="Avenir Next" w:cs="Arial"/>
          <w:sz w:val="22"/>
          <w:szCs w:val="22"/>
          <w:lang w:val="en-GB"/>
        </w:rPr>
        <w:footnoteReference w:id="2"/>
      </w:r>
      <w:r>
        <w:rPr>
          <w:rFonts w:ascii="Avenir Next" w:hAnsi="Avenir Next" w:cs="Arial"/>
          <w:sz w:val="22"/>
          <w:szCs w:val="22"/>
          <w:lang w:val="en-GB"/>
        </w:rPr>
        <w:t xml:space="preserve"> There are different routes to that end – including ensuring that only one legal jurisdiction directs the insolvency process, or that multiple processes in different jurisdictions are all subject to the same law</w:t>
      </w:r>
      <w:r w:rsidR="0064071D">
        <w:rPr>
          <w:rFonts w:ascii="Avenir Next" w:hAnsi="Avenir Next" w:cs="Arial"/>
          <w:sz w:val="22"/>
          <w:szCs w:val="22"/>
          <w:lang w:val="en-GB"/>
        </w:rPr>
        <w:t xml:space="preserve"> (</w:t>
      </w:r>
      <w:r w:rsidR="0064071D">
        <w:rPr>
          <w:rFonts w:ascii="Avenir Next" w:hAnsi="Avenir Next" w:cs="Arial"/>
          <w:i/>
          <w:sz w:val="22"/>
          <w:szCs w:val="22"/>
          <w:lang w:val="en-GB"/>
        </w:rPr>
        <w:t xml:space="preserve">i.e. </w:t>
      </w:r>
      <w:r w:rsidR="0064071D">
        <w:rPr>
          <w:rFonts w:ascii="Avenir Next" w:hAnsi="Avenir Next" w:cs="Arial"/>
          <w:sz w:val="22"/>
          <w:szCs w:val="22"/>
          <w:lang w:val="en-GB"/>
        </w:rPr>
        <w:t xml:space="preserve">a global insolvency law, covering the relevant </w:t>
      </w:r>
      <w:r w:rsidR="0064071D">
        <w:rPr>
          <w:rFonts w:ascii="Avenir Next" w:hAnsi="Avenir Next" w:cs="Arial"/>
          <w:i/>
          <w:sz w:val="22"/>
          <w:szCs w:val="22"/>
          <w:lang w:val="en-GB"/>
        </w:rPr>
        <w:t>fora</w:t>
      </w:r>
      <w:r w:rsidR="0064071D">
        <w:rPr>
          <w:rFonts w:ascii="Avenir Next" w:hAnsi="Avenir Next" w:cs="Arial"/>
          <w:sz w:val="22"/>
          <w:szCs w:val="22"/>
          <w:lang w:val="en-GB"/>
        </w:rPr>
        <w:t>) and, similarly, the entity / officeholder directing the process would be equipped with the required legal mechanisms to identify and secure any assets</w:t>
      </w:r>
      <w:r w:rsidR="005316A7">
        <w:rPr>
          <w:rFonts w:ascii="Avenir Next" w:hAnsi="Avenir Next" w:cs="Arial"/>
          <w:sz w:val="22"/>
          <w:szCs w:val="22"/>
          <w:lang w:val="en-GB"/>
        </w:rPr>
        <w:t xml:space="preserve"> globally</w:t>
      </w:r>
      <w:r w:rsidR="0064071D">
        <w:rPr>
          <w:rFonts w:ascii="Avenir Next" w:hAnsi="Avenir Next" w:cs="Arial"/>
          <w:sz w:val="22"/>
          <w:szCs w:val="22"/>
          <w:lang w:val="en-GB"/>
        </w:rPr>
        <w:t>.</w:t>
      </w:r>
      <w:r w:rsidR="0064071D">
        <w:rPr>
          <w:rStyle w:val="FootnoteReference"/>
          <w:rFonts w:ascii="Avenir Next" w:hAnsi="Avenir Next" w:cs="Arial"/>
          <w:sz w:val="22"/>
          <w:szCs w:val="22"/>
          <w:lang w:val="en-GB"/>
        </w:rPr>
        <w:footnoteReference w:id="3"/>
      </w:r>
      <w:r>
        <w:rPr>
          <w:rFonts w:ascii="Avenir Next" w:hAnsi="Avenir Next" w:cs="Arial"/>
          <w:sz w:val="22"/>
          <w:szCs w:val="22"/>
          <w:lang w:val="en-GB"/>
        </w:rPr>
        <w:t xml:space="preserve"> </w:t>
      </w:r>
    </w:p>
    <w:p w14:paraId="2A7FE56F" w14:textId="2A3C9FBF" w:rsidR="0064071D" w:rsidRDefault="0064071D" w:rsidP="00B21393">
      <w:pPr>
        <w:jc w:val="both"/>
        <w:rPr>
          <w:rFonts w:ascii="Avenir Next" w:hAnsi="Avenir Next" w:cs="Arial"/>
          <w:sz w:val="22"/>
          <w:szCs w:val="22"/>
          <w:lang w:val="en-GB"/>
        </w:rPr>
      </w:pPr>
    </w:p>
    <w:p w14:paraId="72C93CD3" w14:textId="42EB733A" w:rsidR="0064071D" w:rsidRPr="00B21393" w:rsidRDefault="0064071D" w:rsidP="00B21393">
      <w:pPr>
        <w:jc w:val="both"/>
        <w:rPr>
          <w:rFonts w:ascii="Avenir Next" w:hAnsi="Avenir Next" w:cs="Arial"/>
          <w:sz w:val="22"/>
          <w:szCs w:val="22"/>
          <w:lang w:val="en-GB"/>
        </w:rPr>
      </w:pPr>
      <w:r>
        <w:rPr>
          <w:rFonts w:ascii="Avenir Next" w:hAnsi="Avenir Next" w:cs="Arial"/>
          <w:sz w:val="22"/>
          <w:szCs w:val="22"/>
          <w:lang w:val="en-GB"/>
        </w:rPr>
        <w:lastRenderedPageBreak/>
        <w:t xml:space="preserve">Conversely, territorialism encapsulates the opposing view of universalism, in that insolvency processes can be commenced in multiple states and be limited, in terms of territory, </w:t>
      </w:r>
      <w:r w:rsidR="00F07B8D">
        <w:rPr>
          <w:rFonts w:ascii="Avenir Next" w:hAnsi="Avenir Next" w:cs="Arial"/>
          <w:sz w:val="22"/>
          <w:szCs w:val="22"/>
          <w:lang w:val="en-GB"/>
        </w:rPr>
        <w:t xml:space="preserve">to </w:t>
      </w:r>
      <w:r>
        <w:rPr>
          <w:rFonts w:ascii="Avenir Next" w:hAnsi="Avenir Next" w:cs="Arial"/>
          <w:sz w:val="22"/>
          <w:szCs w:val="22"/>
          <w:lang w:val="en-GB"/>
        </w:rPr>
        <w:t>the various states in which they are commenced.</w:t>
      </w:r>
      <w:r>
        <w:rPr>
          <w:rStyle w:val="FootnoteReference"/>
          <w:rFonts w:ascii="Avenir Next" w:hAnsi="Avenir Next" w:cs="Arial"/>
          <w:sz w:val="22"/>
          <w:szCs w:val="22"/>
          <w:lang w:val="en-GB"/>
        </w:rPr>
        <w:footnoteReference w:id="4"/>
      </w:r>
      <w:r w:rsidR="00F07B8D">
        <w:rPr>
          <w:rFonts w:ascii="Avenir Next" w:hAnsi="Avenir Next" w:cs="Arial"/>
          <w:sz w:val="22"/>
          <w:szCs w:val="22"/>
          <w:lang w:val="en-GB"/>
        </w:rPr>
        <w:t xml:space="preserve"> In other words, more than one insolvency process could be advanced, in more than one country, in respect of the same debtor. As part of this notion, national interests might take priority, rather than multi-national creditors being ranked in parity under a global approach, albeit that territorialism is sometimes defend</w:t>
      </w:r>
      <w:r w:rsidR="00325E1F">
        <w:rPr>
          <w:rFonts w:ascii="Avenir Next" w:hAnsi="Avenir Next" w:cs="Arial"/>
          <w:sz w:val="22"/>
          <w:szCs w:val="22"/>
          <w:lang w:val="en-GB"/>
        </w:rPr>
        <w:t>ed</w:t>
      </w:r>
      <w:r w:rsidR="00F07B8D">
        <w:rPr>
          <w:rFonts w:ascii="Avenir Next" w:hAnsi="Avenir Next" w:cs="Arial"/>
          <w:sz w:val="22"/>
          <w:szCs w:val="22"/>
          <w:lang w:val="en-GB"/>
        </w:rPr>
        <w:t xml:space="preserve"> on the basis of it requiring a ‘cooperative approach’ among the various states.</w:t>
      </w:r>
      <w:r w:rsidR="00F07B8D">
        <w:rPr>
          <w:rStyle w:val="FootnoteReference"/>
          <w:rFonts w:ascii="Avenir Next" w:hAnsi="Avenir Next" w:cs="Arial"/>
          <w:sz w:val="22"/>
          <w:szCs w:val="22"/>
          <w:lang w:val="en-GB"/>
        </w:rPr>
        <w:footnoteReference w:id="5"/>
      </w:r>
    </w:p>
    <w:p w14:paraId="79961E83" w14:textId="77777777" w:rsidR="00D17FDC" w:rsidRPr="00827D56" w:rsidRDefault="00D17FDC" w:rsidP="00C053F7">
      <w:pPr>
        <w:ind w:left="720" w:hanging="720"/>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78DB9FD8" w14:textId="1A49F111" w:rsidR="00C72848" w:rsidRDefault="00230929" w:rsidP="00230929">
      <w:pPr>
        <w:pStyle w:val="ListParagraph"/>
        <w:numPr>
          <w:ilvl w:val="0"/>
          <w:numId w:val="27"/>
        </w:numPr>
        <w:jc w:val="both"/>
        <w:rPr>
          <w:rFonts w:ascii="Avenir Next" w:hAnsi="Avenir Next" w:cs="Arial"/>
          <w:sz w:val="22"/>
          <w:szCs w:val="22"/>
          <w:lang w:val="en-GB"/>
        </w:rPr>
      </w:pPr>
      <w:r>
        <w:rPr>
          <w:rFonts w:ascii="Avenir Next" w:hAnsi="Avenir Next" w:cs="Arial"/>
          <w:sz w:val="22"/>
          <w:szCs w:val="22"/>
          <w:lang w:val="en-GB"/>
        </w:rPr>
        <w:t>In 2018 Bahrain implemented the UNCITRAL Model Law as part of its domestic law;</w:t>
      </w:r>
    </w:p>
    <w:p w14:paraId="6520F5E2" w14:textId="29E8FCB1" w:rsidR="00230929" w:rsidRDefault="00230929" w:rsidP="00230929">
      <w:pPr>
        <w:pStyle w:val="ListParagraph"/>
        <w:numPr>
          <w:ilvl w:val="0"/>
          <w:numId w:val="27"/>
        </w:numPr>
        <w:jc w:val="both"/>
        <w:rPr>
          <w:rFonts w:ascii="Avenir Next" w:hAnsi="Avenir Next" w:cs="Arial"/>
          <w:sz w:val="22"/>
          <w:szCs w:val="22"/>
          <w:lang w:val="en-GB"/>
        </w:rPr>
      </w:pPr>
      <w:r>
        <w:rPr>
          <w:rFonts w:ascii="Avenir Next" w:hAnsi="Avenir Next" w:cs="Arial"/>
          <w:sz w:val="22"/>
          <w:szCs w:val="22"/>
          <w:lang w:val="en-GB"/>
        </w:rPr>
        <w:t>In 2019 the Dubai International financial centre adopted the UNCITRAL Model Law; and</w:t>
      </w:r>
    </w:p>
    <w:p w14:paraId="7208260F" w14:textId="0F9B3AA1" w:rsidR="00230929" w:rsidRPr="00230929" w:rsidRDefault="00ED5CB2" w:rsidP="00230929">
      <w:pPr>
        <w:pStyle w:val="ListParagraph"/>
        <w:numPr>
          <w:ilvl w:val="0"/>
          <w:numId w:val="27"/>
        </w:numPr>
        <w:jc w:val="both"/>
        <w:rPr>
          <w:rFonts w:ascii="Avenir Next" w:hAnsi="Avenir Next" w:cs="Arial"/>
          <w:sz w:val="22"/>
          <w:szCs w:val="22"/>
          <w:lang w:val="en-GB"/>
        </w:rPr>
      </w:pPr>
      <w:r>
        <w:rPr>
          <w:rFonts w:ascii="Avenir Next" w:hAnsi="Avenir Next" w:cs="Arial"/>
          <w:sz w:val="22"/>
          <w:szCs w:val="22"/>
          <w:lang w:val="en-GB"/>
        </w:rPr>
        <w:t>In 2016 and 2019 the UA</w:t>
      </w:r>
      <w:r w:rsidR="00797F22">
        <w:rPr>
          <w:rFonts w:ascii="Avenir Next" w:hAnsi="Avenir Next" w:cs="Arial"/>
          <w:sz w:val="22"/>
          <w:szCs w:val="22"/>
          <w:lang w:val="en-GB"/>
        </w:rPr>
        <w:t>E implemented legal reforms by way of federal law decrees.</w:t>
      </w:r>
      <w:r w:rsidR="00797F22">
        <w:rPr>
          <w:rStyle w:val="FootnoteReference"/>
          <w:rFonts w:ascii="Avenir Next" w:hAnsi="Avenir Next" w:cs="Arial"/>
          <w:sz w:val="22"/>
          <w:szCs w:val="22"/>
          <w:lang w:val="en-GB"/>
        </w:rPr>
        <w:footnoteReference w:id="6"/>
      </w:r>
    </w:p>
    <w:p w14:paraId="572227E7" w14:textId="10041403" w:rsidR="0045683E" w:rsidRPr="00827D56" w:rsidRDefault="0045683E" w:rsidP="00C053F7">
      <w:pPr>
        <w:jc w:val="both"/>
        <w:rPr>
          <w:rFonts w:ascii="Avenir Next" w:hAnsi="Avenir Next" w:cs="Arial"/>
          <w:sz w:val="22"/>
          <w:szCs w:val="22"/>
          <w:lang w:val="en-GB"/>
        </w:rPr>
      </w:pPr>
    </w:p>
    <w:p w14:paraId="383B5930" w14:textId="77777777" w:rsidR="00C550C8" w:rsidRPr="00827D56" w:rsidRDefault="00C550C8" w:rsidP="00C053F7">
      <w:pPr>
        <w:jc w:val="both"/>
        <w:rPr>
          <w:rFonts w:ascii="Avenir Next" w:hAnsi="Avenir Next" w:cs="Arial"/>
          <w:sz w:val="22"/>
          <w:szCs w:val="22"/>
          <w:lang w:val="en-GB"/>
        </w:rPr>
      </w:pPr>
    </w:p>
    <w:p w14:paraId="170A9E71" w14:textId="2109AD25" w:rsidR="00962045" w:rsidRPr="00B62B8A" w:rsidRDefault="00DF75F8" w:rsidP="00B62B8A">
      <w:pPr>
        <w:rPr>
          <w:rFonts w:ascii="Avenir Next" w:hAnsi="Avenir Next" w:cs="Arial"/>
          <w:b/>
          <w:sz w:val="22"/>
          <w:szCs w:val="22"/>
          <w:lang w:val="en-GB"/>
        </w:rPr>
      </w:pPr>
      <w:r w:rsidRPr="00827D56">
        <w:rPr>
          <w:rFonts w:ascii="Avenir Next Demi Bold" w:hAnsi="Avenir Next Demi Bold" w:cs="Arial"/>
          <w:b/>
          <w:bCs/>
          <w:sz w:val="22"/>
          <w:szCs w:val="22"/>
          <w:lang w:val="en-GB"/>
        </w:rPr>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Pr="00827D56" w:rsidRDefault="00C550C8" w:rsidP="00C053F7">
      <w:pPr>
        <w:jc w:val="both"/>
        <w:rPr>
          <w:rFonts w:ascii="Avenir Next" w:hAnsi="Avenir Next" w:cs="Arial"/>
          <w:sz w:val="22"/>
          <w:szCs w:val="22"/>
          <w:lang w:val="en-GB"/>
        </w:rPr>
      </w:pPr>
    </w:p>
    <w:p w14:paraId="4A637290" w14:textId="3A37AA52" w:rsidR="00544127" w:rsidRDefault="00DA3AA3" w:rsidP="00DA3AA3">
      <w:pPr>
        <w:jc w:val="both"/>
        <w:rPr>
          <w:rFonts w:ascii="Avenir Next" w:hAnsi="Avenir Next" w:cs="Arial"/>
          <w:sz w:val="22"/>
          <w:szCs w:val="22"/>
          <w:lang w:val="en-GB"/>
        </w:rPr>
      </w:pPr>
      <w:r>
        <w:rPr>
          <w:rFonts w:ascii="Avenir Next" w:hAnsi="Avenir Next" w:cs="Arial"/>
          <w:sz w:val="22"/>
          <w:szCs w:val="22"/>
          <w:lang w:val="en-GB"/>
        </w:rPr>
        <w:t>Although there are various objectives which overlap between the two, differences in objectives also arise, including</w:t>
      </w:r>
      <w:r w:rsidR="00924835">
        <w:rPr>
          <w:rFonts w:ascii="Avenir Next" w:hAnsi="Avenir Next" w:cs="Arial"/>
          <w:sz w:val="22"/>
          <w:szCs w:val="22"/>
          <w:lang w:val="en-GB"/>
        </w:rPr>
        <w:t xml:space="preserve"> that</w:t>
      </w:r>
      <w:r>
        <w:rPr>
          <w:rFonts w:ascii="Avenir Next" w:hAnsi="Avenir Next" w:cs="Arial"/>
          <w:sz w:val="22"/>
          <w:szCs w:val="22"/>
          <w:lang w:val="en-GB"/>
        </w:rPr>
        <w:t>:</w:t>
      </w:r>
    </w:p>
    <w:p w14:paraId="5D3D6EF3" w14:textId="46ABFFBB" w:rsidR="00DA3AA3" w:rsidRPr="00924835" w:rsidRDefault="00DA3AA3" w:rsidP="00924835">
      <w:pPr>
        <w:pStyle w:val="ListParagraph"/>
        <w:numPr>
          <w:ilvl w:val="0"/>
          <w:numId w:val="28"/>
        </w:numPr>
        <w:ind w:left="360"/>
        <w:jc w:val="both"/>
        <w:rPr>
          <w:rFonts w:ascii="Avenir Next" w:hAnsi="Avenir Next" w:cs="Arial"/>
          <w:sz w:val="22"/>
          <w:szCs w:val="22"/>
          <w:lang w:val="en-GB"/>
        </w:rPr>
      </w:pPr>
      <w:r>
        <w:rPr>
          <w:rFonts w:ascii="Avenir Next" w:hAnsi="Avenir Next" w:cs="Arial"/>
          <w:sz w:val="22"/>
          <w:szCs w:val="22"/>
          <w:lang w:val="en-GB"/>
        </w:rPr>
        <w:t>Excluded or exempt assets will only apply in relation to individual insolvency</w:t>
      </w:r>
      <w:r w:rsidR="00924835">
        <w:rPr>
          <w:rFonts w:ascii="Avenir Next" w:hAnsi="Avenir Next" w:cs="Arial"/>
          <w:sz w:val="22"/>
          <w:szCs w:val="22"/>
          <w:lang w:val="en-GB"/>
        </w:rPr>
        <w:t xml:space="preserve">, </w:t>
      </w:r>
      <w:r w:rsidR="00924835">
        <w:rPr>
          <w:rFonts w:ascii="Avenir Next" w:hAnsi="Avenir Next" w:cs="Arial"/>
          <w:i/>
          <w:sz w:val="22"/>
          <w:szCs w:val="22"/>
          <w:lang w:val="en-GB"/>
        </w:rPr>
        <w:t xml:space="preserve">i.e. </w:t>
      </w:r>
      <w:r w:rsidR="00924835">
        <w:rPr>
          <w:rFonts w:ascii="Avenir Next" w:hAnsi="Avenir Next" w:cs="Arial"/>
          <w:sz w:val="22"/>
          <w:szCs w:val="22"/>
          <w:lang w:val="en-GB"/>
        </w:rPr>
        <w:t>v</w:t>
      </w:r>
      <w:r w:rsidR="00924835" w:rsidRPr="00924835">
        <w:rPr>
          <w:rFonts w:ascii="Avenir Next" w:hAnsi="Avenir Next" w:cs="Arial"/>
          <w:sz w:val="22"/>
          <w:szCs w:val="22"/>
          <w:lang w:val="en-GB"/>
        </w:rPr>
        <w:t>a</w:t>
      </w:r>
      <w:r w:rsidRPr="00924835">
        <w:rPr>
          <w:rFonts w:ascii="Avenir Next" w:hAnsi="Avenir Next" w:cs="Arial"/>
          <w:sz w:val="22"/>
          <w:szCs w:val="22"/>
          <w:lang w:val="en-GB"/>
        </w:rPr>
        <w:t>rious systems will allow an insolvent individual to retain certain assets required by that individual to maintain his dependen</w:t>
      </w:r>
      <w:r w:rsidR="00924835" w:rsidRPr="00924835">
        <w:rPr>
          <w:rFonts w:ascii="Avenir Next" w:hAnsi="Avenir Next" w:cs="Arial"/>
          <w:sz w:val="22"/>
          <w:szCs w:val="22"/>
          <w:lang w:val="en-GB"/>
        </w:rPr>
        <w:t>ts</w:t>
      </w:r>
      <w:r w:rsidRPr="00924835">
        <w:rPr>
          <w:rFonts w:ascii="Avenir Next" w:hAnsi="Avenir Next" w:cs="Arial"/>
          <w:sz w:val="22"/>
          <w:szCs w:val="22"/>
          <w:lang w:val="en-GB"/>
        </w:rPr>
        <w:t xml:space="preserve"> or himself/herself;</w:t>
      </w:r>
    </w:p>
    <w:p w14:paraId="7B5599D1" w14:textId="58D427B5" w:rsidR="00DA3AA3" w:rsidRDefault="00DA3AA3" w:rsidP="00DA3AA3">
      <w:pPr>
        <w:pStyle w:val="ListParagraph"/>
        <w:numPr>
          <w:ilvl w:val="0"/>
          <w:numId w:val="28"/>
        </w:numPr>
        <w:ind w:left="360"/>
        <w:jc w:val="both"/>
        <w:rPr>
          <w:rFonts w:ascii="Avenir Next" w:hAnsi="Avenir Next" w:cs="Arial"/>
          <w:sz w:val="22"/>
          <w:szCs w:val="22"/>
          <w:lang w:val="en-GB"/>
        </w:rPr>
      </w:pPr>
      <w:r>
        <w:rPr>
          <w:rFonts w:ascii="Avenir Next" w:hAnsi="Avenir Next" w:cs="Arial"/>
          <w:sz w:val="22"/>
          <w:szCs w:val="22"/>
          <w:lang w:val="en-GB"/>
        </w:rPr>
        <w:t>To stop creditors harassing the individual debtor;</w:t>
      </w:r>
    </w:p>
    <w:p w14:paraId="60AC2F13" w14:textId="0DDA8A43" w:rsidR="00924835" w:rsidRDefault="00DA3AA3" w:rsidP="00DA3AA3">
      <w:pPr>
        <w:pStyle w:val="ListParagraph"/>
        <w:numPr>
          <w:ilvl w:val="0"/>
          <w:numId w:val="28"/>
        </w:numPr>
        <w:ind w:left="360"/>
        <w:jc w:val="both"/>
        <w:rPr>
          <w:rFonts w:ascii="Avenir Next" w:hAnsi="Avenir Next" w:cs="Arial"/>
          <w:sz w:val="22"/>
          <w:szCs w:val="22"/>
          <w:lang w:val="en-GB"/>
        </w:rPr>
      </w:pPr>
      <w:r>
        <w:rPr>
          <w:rFonts w:ascii="Avenir Next" w:hAnsi="Avenir Next" w:cs="Arial"/>
          <w:sz w:val="22"/>
          <w:szCs w:val="22"/>
          <w:lang w:val="en-GB"/>
        </w:rPr>
        <w:t>To allow the individual d</w:t>
      </w:r>
      <w:r w:rsidR="00924835">
        <w:rPr>
          <w:rFonts w:ascii="Avenir Next" w:hAnsi="Avenir Next" w:cs="Arial"/>
          <w:sz w:val="22"/>
          <w:szCs w:val="22"/>
          <w:lang w:val="en-GB"/>
        </w:rPr>
        <w:t>ebtor</w:t>
      </w:r>
      <w:r>
        <w:rPr>
          <w:rFonts w:ascii="Avenir Next" w:hAnsi="Avenir Next" w:cs="Arial"/>
          <w:sz w:val="22"/>
          <w:szCs w:val="22"/>
          <w:lang w:val="en-GB"/>
        </w:rPr>
        <w:t xml:space="preserve"> to make a fresh start</w:t>
      </w:r>
      <w:r w:rsidR="00924835">
        <w:rPr>
          <w:rFonts w:ascii="Avenir Next" w:hAnsi="Avenir Next" w:cs="Arial"/>
          <w:sz w:val="22"/>
          <w:szCs w:val="22"/>
          <w:lang w:val="en-GB"/>
        </w:rPr>
        <w:t>;</w:t>
      </w:r>
    </w:p>
    <w:p w14:paraId="5E043B5F" w14:textId="387EF067" w:rsidR="00DA3AA3" w:rsidRDefault="00924835" w:rsidP="00DA3AA3">
      <w:pPr>
        <w:pStyle w:val="ListParagraph"/>
        <w:numPr>
          <w:ilvl w:val="0"/>
          <w:numId w:val="28"/>
        </w:numPr>
        <w:ind w:left="360"/>
        <w:jc w:val="both"/>
        <w:rPr>
          <w:rFonts w:ascii="Avenir Next" w:hAnsi="Avenir Next" w:cs="Arial"/>
          <w:sz w:val="22"/>
          <w:szCs w:val="22"/>
          <w:lang w:val="en-GB"/>
        </w:rPr>
      </w:pPr>
      <w:r>
        <w:rPr>
          <w:rFonts w:ascii="Avenir Next" w:hAnsi="Avenir Next" w:cs="Arial"/>
          <w:sz w:val="22"/>
          <w:szCs w:val="22"/>
          <w:lang w:val="en-GB"/>
        </w:rPr>
        <w:t xml:space="preserve">To </w:t>
      </w:r>
      <w:proofErr w:type="gramStart"/>
      <w:r>
        <w:rPr>
          <w:rFonts w:ascii="Avenir Next" w:hAnsi="Avenir Next" w:cs="Arial"/>
          <w:sz w:val="22"/>
          <w:szCs w:val="22"/>
          <w:lang w:val="en-GB"/>
        </w:rPr>
        <w:t>take into account</w:t>
      </w:r>
      <w:proofErr w:type="gramEnd"/>
      <w:r>
        <w:rPr>
          <w:rFonts w:ascii="Avenir Next" w:hAnsi="Avenir Next" w:cs="Arial"/>
          <w:sz w:val="22"/>
          <w:szCs w:val="22"/>
          <w:lang w:val="en-GB"/>
        </w:rPr>
        <w:t xml:space="preserve"> the fact that </w:t>
      </w:r>
      <w:r w:rsidR="008459FD">
        <w:rPr>
          <w:rFonts w:ascii="Avenir Next" w:hAnsi="Avenir Next" w:cs="Arial"/>
          <w:sz w:val="22"/>
          <w:szCs w:val="22"/>
          <w:lang w:val="en-GB"/>
        </w:rPr>
        <w:t>the individual d</w:t>
      </w:r>
      <w:r>
        <w:rPr>
          <w:rFonts w:ascii="Avenir Next" w:hAnsi="Avenir Next" w:cs="Arial"/>
          <w:sz w:val="22"/>
          <w:szCs w:val="22"/>
          <w:lang w:val="en-GB"/>
        </w:rPr>
        <w:t>ebtor may</w:t>
      </w:r>
      <w:r w:rsidR="008459FD">
        <w:rPr>
          <w:rFonts w:ascii="Avenir Next" w:hAnsi="Avenir Next" w:cs="Arial"/>
          <w:sz w:val="22"/>
          <w:szCs w:val="22"/>
          <w:lang w:val="en-GB"/>
        </w:rPr>
        <w:t xml:space="preserve"> ha</w:t>
      </w:r>
      <w:r>
        <w:rPr>
          <w:rFonts w:ascii="Avenir Next" w:hAnsi="Avenir Next" w:cs="Arial"/>
          <w:sz w:val="22"/>
          <w:szCs w:val="22"/>
          <w:lang w:val="en-GB"/>
        </w:rPr>
        <w:t>ve</w:t>
      </w:r>
      <w:r w:rsidR="008459FD">
        <w:rPr>
          <w:rFonts w:ascii="Avenir Next" w:hAnsi="Avenir Next" w:cs="Arial"/>
          <w:sz w:val="22"/>
          <w:szCs w:val="22"/>
          <w:lang w:val="en-GB"/>
        </w:rPr>
        <w:t xml:space="preserve"> engaged in no or minimal wrongdoing;</w:t>
      </w:r>
    </w:p>
    <w:p w14:paraId="7D99CB2F" w14:textId="638C4610" w:rsidR="008459FD" w:rsidRPr="00DA3AA3" w:rsidRDefault="00924835" w:rsidP="00DA3AA3">
      <w:pPr>
        <w:pStyle w:val="ListParagraph"/>
        <w:numPr>
          <w:ilvl w:val="0"/>
          <w:numId w:val="28"/>
        </w:numPr>
        <w:ind w:left="360"/>
        <w:jc w:val="both"/>
        <w:rPr>
          <w:rFonts w:ascii="Avenir Next" w:hAnsi="Avenir Next" w:cs="Arial"/>
          <w:sz w:val="22"/>
          <w:szCs w:val="22"/>
          <w:lang w:val="en-GB"/>
        </w:rPr>
      </w:pPr>
      <w:r>
        <w:rPr>
          <w:rFonts w:ascii="Avenir Next" w:hAnsi="Avenir Next" w:cs="Arial"/>
          <w:sz w:val="22"/>
          <w:szCs w:val="22"/>
          <w:lang w:val="en-GB"/>
        </w:rPr>
        <w:t xml:space="preserve">To </w:t>
      </w:r>
      <w:proofErr w:type="gramStart"/>
      <w:r>
        <w:rPr>
          <w:rFonts w:ascii="Avenir Next" w:hAnsi="Avenir Next" w:cs="Arial"/>
          <w:sz w:val="22"/>
          <w:szCs w:val="22"/>
          <w:lang w:val="en-GB"/>
        </w:rPr>
        <w:t>take</w:t>
      </w:r>
      <w:r w:rsidR="008459FD">
        <w:rPr>
          <w:rFonts w:ascii="Avenir Next" w:hAnsi="Avenir Next" w:cs="Arial"/>
          <w:sz w:val="22"/>
          <w:szCs w:val="22"/>
          <w:lang w:val="en-GB"/>
        </w:rPr>
        <w:t xml:space="preserve"> into account</w:t>
      </w:r>
      <w:proofErr w:type="gramEnd"/>
      <w:r w:rsidR="008459FD">
        <w:rPr>
          <w:rFonts w:ascii="Avenir Next" w:hAnsi="Avenir Next" w:cs="Arial"/>
          <w:sz w:val="22"/>
          <w:szCs w:val="22"/>
          <w:lang w:val="en-GB"/>
        </w:rPr>
        <w:t xml:space="preserve"> the </w:t>
      </w:r>
      <w:r>
        <w:rPr>
          <w:rFonts w:ascii="Avenir Next" w:hAnsi="Avenir Next" w:cs="Arial"/>
          <w:sz w:val="22"/>
          <w:szCs w:val="22"/>
          <w:lang w:val="en-GB"/>
        </w:rPr>
        <w:t>overall personal</w:t>
      </w:r>
      <w:r w:rsidR="008459FD">
        <w:rPr>
          <w:rFonts w:ascii="Avenir Next" w:hAnsi="Avenir Next" w:cs="Arial"/>
          <w:sz w:val="22"/>
          <w:szCs w:val="22"/>
          <w:lang w:val="en-GB"/>
        </w:rPr>
        <w:t xml:space="preserve"> circumstances of the individual debtor.</w:t>
      </w:r>
      <w:r w:rsidR="008459FD">
        <w:rPr>
          <w:rStyle w:val="FootnoteReference"/>
          <w:rFonts w:ascii="Avenir Next" w:hAnsi="Avenir Next" w:cs="Arial"/>
          <w:sz w:val="22"/>
          <w:szCs w:val="22"/>
          <w:lang w:val="en-GB"/>
        </w:rPr>
        <w:footnoteReference w:id="7"/>
      </w:r>
    </w:p>
    <w:p w14:paraId="75F98C4F" w14:textId="01889DA0" w:rsidR="00DA3AA3" w:rsidRDefault="00DA3AA3" w:rsidP="00C053F7">
      <w:pPr>
        <w:ind w:left="720" w:hanging="720"/>
        <w:jc w:val="both"/>
        <w:rPr>
          <w:rFonts w:ascii="Avenir Next" w:hAnsi="Avenir Next" w:cs="Arial"/>
          <w:sz w:val="22"/>
          <w:szCs w:val="22"/>
          <w:lang w:val="en-GB"/>
        </w:rPr>
      </w:pPr>
    </w:p>
    <w:p w14:paraId="77D789F5" w14:textId="77777777" w:rsidR="00DA3AA3" w:rsidRPr="00827D56" w:rsidRDefault="00DA3AA3" w:rsidP="00C053F7">
      <w:pPr>
        <w:ind w:left="720" w:hanging="720"/>
        <w:jc w:val="both"/>
        <w:rPr>
          <w:rFonts w:ascii="Avenir Next" w:hAnsi="Avenir Next" w:cs="Arial"/>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827D56" w:rsidRDefault="00DF75F8" w:rsidP="00C053F7">
      <w:pPr>
        <w:jc w:val="both"/>
        <w:rPr>
          <w:rFonts w:ascii="Avenir Next" w:hAnsi="Avenir Next" w:cs="Arial"/>
          <w:sz w:val="22"/>
          <w:szCs w:val="22"/>
          <w:lang w:val="en-GB"/>
        </w:rPr>
      </w:pPr>
    </w:p>
    <w:p w14:paraId="3DAA6780" w14:textId="428F9567" w:rsidR="00962045" w:rsidRDefault="00FC303A" w:rsidP="00C053F7">
      <w:pPr>
        <w:jc w:val="both"/>
        <w:rPr>
          <w:rFonts w:ascii="Avenir Next" w:hAnsi="Avenir Next" w:cs="Arial"/>
          <w:sz w:val="22"/>
          <w:szCs w:val="22"/>
          <w:lang w:val="en-GB"/>
        </w:rPr>
      </w:pPr>
      <w:r>
        <w:rPr>
          <w:rFonts w:ascii="Avenir Next" w:hAnsi="Avenir Next" w:cs="Arial"/>
          <w:sz w:val="22"/>
          <w:szCs w:val="22"/>
          <w:lang w:val="en-GB"/>
        </w:rPr>
        <w:t xml:space="preserve">Various difficulties arise, including: </w:t>
      </w:r>
    </w:p>
    <w:p w14:paraId="19636C5C" w14:textId="75639B35" w:rsidR="00FC303A" w:rsidRDefault="00FC303A" w:rsidP="003D5899">
      <w:pPr>
        <w:pStyle w:val="ListParagraph"/>
        <w:numPr>
          <w:ilvl w:val="0"/>
          <w:numId w:val="24"/>
        </w:numPr>
        <w:ind w:left="360"/>
        <w:jc w:val="both"/>
        <w:rPr>
          <w:rFonts w:ascii="Avenir Next" w:hAnsi="Avenir Next" w:cs="Arial"/>
          <w:sz w:val="22"/>
          <w:szCs w:val="22"/>
          <w:shd w:val="clear" w:color="auto" w:fill="FFFFFF"/>
          <w:lang w:val="en-GB"/>
        </w:rPr>
      </w:pPr>
      <w:r>
        <w:rPr>
          <w:rFonts w:ascii="Avenir Next" w:hAnsi="Avenir Next" w:cs="Arial"/>
          <w:sz w:val="22"/>
          <w:szCs w:val="22"/>
          <w:shd w:val="clear" w:color="auto" w:fill="FFFFFF"/>
          <w:lang w:val="en-GB"/>
        </w:rPr>
        <w:t xml:space="preserve">Different legal thresholds under different laws for commencing proceedings; </w:t>
      </w:r>
    </w:p>
    <w:p w14:paraId="0946385E" w14:textId="4599E5D0" w:rsidR="00FC303A" w:rsidRDefault="00FC303A" w:rsidP="003D5899">
      <w:pPr>
        <w:pStyle w:val="ListParagraph"/>
        <w:numPr>
          <w:ilvl w:val="0"/>
          <w:numId w:val="24"/>
        </w:numPr>
        <w:ind w:left="360"/>
        <w:jc w:val="both"/>
        <w:rPr>
          <w:rFonts w:ascii="Avenir Next" w:hAnsi="Avenir Next" w:cs="Arial"/>
          <w:sz w:val="22"/>
          <w:szCs w:val="22"/>
          <w:shd w:val="clear" w:color="auto" w:fill="FFFFFF"/>
          <w:lang w:val="en-GB"/>
        </w:rPr>
      </w:pPr>
      <w:r>
        <w:rPr>
          <w:rFonts w:ascii="Avenir Next" w:hAnsi="Avenir Next" w:cs="Arial"/>
          <w:sz w:val="22"/>
          <w:szCs w:val="22"/>
          <w:shd w:val="clear" w:color="auto" w:fill="FFFFFF"/>
          <w:lang w:val="en-GB"/>
        </w:rPr>
        <w:t xml:space="preserve">Differences in definition of ‘insolvency’ across different systems; </w:t>
      </w:r>
    </w:p>
    <w:p w14:paraId="3C122578" w14:textId="4E6EDC40" w:rsidR="00FC303A" w:rsidRDefault="00FC303A" w:rsidP="003D5899">
      <w:pPr>
        <w:pStyle w:val="ListParagraph"/>
        <w:numPr>
          <w:ilvl w:val="0"/>
          <w:numId w:val="24"/>
        </w:numPr>
        <w:ind w:left="360"/>
        <w:jc w:val="both"/>
        <w:rPr>
          <w:rFonts w:ascii="Avenir Next" w:hAnsi="Avenir Next" w:cs="Arial"/>
          <w:sz w:val="22"/>
          <w:szCs w:val="22"/>
          <w:shd w:val="clear" w:color="auto" w:fill="FFFFFF"/>
          <w:lang w:val="en-GB"/>
        </w:rPr>
      </w:pPr>
      <w:r>
        <w:rPr>
          <w:rFonts w:ascii="Avenir Next" w:hAnsi="Avenir Next" w:cs="Arial"/>
          <w:sz w:val="22"/>
          <w:szCs w:val="22"/>
          <w:shd w:val="clear" w:color="auto" w:fill="FFFFFF"/>
          <w:lang w:val="en-GB"/>
        </w:rPr>
        <w:t>Different legal requirements for standing;</w:t>
      </w:r>
    </w:p>
    <w:p w14:paraId="1F2BB01A" w14:textId="56CD800A" w:rsidR="00FC303A" w:rsidRDefault="00FC303A" w:rsidP="003D5899">
      <w:pPr>
        <w:pStyle w:val="ListParagraph"/>
        <w:numPr>
          <w:ilvl w:val="0"/>
          <w:numId w:val="24"/>
        </w:numPr>
        <w:ind w:left="360"/>
        <w:jc w:val="both"/>
        <w:rPr>
          <w:rFonts w:ascii="Avenir Next" w:hAnsi="Avenir Next" w:cs="Arial"/>
          <w:sz w:val="22"/>
          <w:szCs w:val="22"/>
          <w:shd w:val="clear" w:color="auto" w:fill="FFFFFF"/>
          <w:lang w:val="en-GB"/>
        </w:rPr>
      </w:pPr>
      <w:r>
        <w:rPr>
          <w:rFonts w:ascii="Avenir Next" w:hAnsi="Avenir Next" w:cs="Arial"/>
          <w:sz w:val="22"/>
          <w:szCs w:val="22"/>
          <w:shd w:val="clear" w:color="auto" w:fill="FFFFFF"/>
          <w:lang w:val="en-GB"/>
        </w:rPr>
        <w:t>Different tests for creditor participation;</w:t>
      </w:r>
    </w:p>
    <w:p w14:paraId="24B5D102" w14:textId="13C789A6" w:rsidR="00FC303A" w:rsidRDefault="00FC303A" w:rsidP="003D5899">
      <w:pPr>
        <w:pStyle w:val="ListParagraph"/>
        <w:numPr>
          <w:ilvl w:val="0"/>
          <w:numId w:val="24"/>
        </w:numPr>
        <w:ind w:left="360"/>
        <w:jc w:val="both"/>
        <w:rPr>
          <w:rFonts w:ascii="Avenir Next" w:hAnsi="Avenir Next" w:cs="Arial"/>
          <w:sz w:val="22"/>
          <w:szCs w:val="22"/>
          <w:shd w:val="clear" w:color="auto" w:fill="FFFFFF"/>
          <w:lang w:val="en-GB"/>
        </w:rPr>
      </w:pPr>
      <w:r>
        <w:rPr>
          <w:rFonts w:ascii="Avenir Next" w:hAnsi="Avenir Next" w:cs="Arial"/>
          <w:sz w:val="22"/>
          <w:szCs w:val="22"/>
          <w:shd w:val="clear" w:color="auto" w:fill="FFFFFF"/>
          <w:lang w:val="en-GB"/>
        </w:rPr>
        <w:lastRenderedPageBreak/>
        <w:t xml:space="preserve">Different priorities within national law, </w:t>
      </w:r>
      <w:r>
        <w:rPr>
          <w:rFonts w:ascii="Avenir Next" w:hAnsi="Avenir Next" w:cs="Arial"/>
          <w:i/>
          <w:sz w:val="22"/>
          <w:szCs w:val="22"/>
          <w:shd w:val="clear" w:color="auto" w:fill="FFFFFF"/>
          <w:lang w:val="en-GB"/>
        </w:rPr>
        <w:t xml:space="preserve">e.g. </w:t>
      </w:r>
      <w:r>
        <w:rPr>
          <w:rFonts w:ascii="Avenir Next" w:hAnsi="Avenir Next" w:cs="Arial"/>
          <w:sz w:val="22"/>
          <w:szCs w:val="22"/>
          <w:shd w:val="clear" w:color="auto" w:fill="FFFFFF"/>
          <w:lang w:val="en-GB"/>
        </w:rPr>
        <w:t xml:space="preserve">some systems more </w:t>
      </w:r>
      <w:r w:rsidR="00DC7B49">
        <w:rPr>
          <w:rFonts w:ascii="Avenir Next" w:hAnsi="Avenir Next" w:cs="Arial"/>
          <w:sz w:val="22"/>
          <w:szCs w:val="22"/>
          <w:shd w:val="clear" w:color="auto" w:fill="FFFFFF"/>
          <w:lang w:val="en-GB"/>
        </w:rPr>
        <w:t>‘</w:t>
      </w:r>
      <w:r>
        <w:rPr>
          <w:rFonts w:ascii="Avenir Next" w:hAnsi="Avenir Next" w:cs="Arial"/>
          <w:sz w:val="22"/>
          <w:szCs w:val="22"/>
          <w:shd w:val="clear" w:color="auto" w:fill="FFFFFF"/>
          <w:lang w:val="en-GB"/>
        </w:rPr>
        <w:t>pro creditor</w:t>
      </w:r>
      <w:r w:rsidR="00DC7B49">
        <w:rPr>
          <w:rFonts w:ascii="Avenir Next" w:hAnsi="Avenir Next" w:cs="Arial"/>
          <w:sz w:val="22"/>
          <w:szCs w:val="22"/>
          <w:shd w:val="clear" w:color="auto" w:fill="FFFFFF"/>
          <w:lang w:val="en-GB"/>
        </w:rPr>
        <w:t>’</w:t>
      </w:r>
      <w:r>
        <w:rPr>
          <w:rFonts w:ascii="Avenir Next" w:hAnsi="Avenir Next" w:cs="Arial"/>
          <w:sz w:val="22"/>
          <w:szCs w:val="22"/>
          <w:shd w:val="clear" w:color="auto" w:fill="FFFFFF"/>
          <w:lang w:val="en-GB"/>
        </w:rPr>
        <w:t xml:space="preserve"> than others; and</w:t>
      </w:r>
    </w:p>
    <w:p w14:paraId="3D4EA952" w14:textId="03CA2FBE" w:rsidR="00FC303A" w:rsidRPr="00FC303A" w:rsidRDefault="00FC303A" w:rsidP="003D5899">
      <w:pPr>
        <w:pStyle w:val="ListParagraph"/>
        <w:numPr>
          <w:ilvl w:val="0"/>
          <w:numId w:val="24"/>
        </w:numPr>
        <w:ind w:left="360"/>
        <w:jc w:val="both"/>
        <w:rPr>
          <w:rFonts w:ascii="Avenir Next" w:hAnsi="Avenir Next" w:cs="Arial"/>
          <w:sz w:val="22"/>
          <w:szCs w:val="22"/>
          <w:shd w:val="clear" w:color="auto" w:fill="FFFFFF"/>
          <w:lang w:val="en-GB"/>
        </w:rPr>
      </w:pPr>
      <w:r>
        <w:rPr>
          <w:rFonts w:ascii="Avenir Next" w:hAnsi="Avenir Next" w:cs="Arial"/>
          <w:sz w:val="22"/>
          <w:szCs w:val="22"/>
          <w:shd w:val="clear" w:color="auto" w:fill="FFFFFF"/>
          <w:lang w:val="en-GB"/>
        </w:rPr>
        <w:t>Conflict of laws issues and differing national approaches</w:t>
      </w:r>
      <w:r w:rsidR="00DC7B49">
        <w:rPr>
          <w:rFonts w:ascii="Avenir Next" w:hAnsi="Avenir Next" w:cs="Arial"/>
          <w:sz w:val="22"/>
          <w:szCs w:val="22"/>
          <w:shd w:val="clear" w:color="auto" w:fill="FFFFFF"/>
          <w:lang w:val="en-GB"/>
        </w:rPr>
        <w:t xml:space="preserve"> (civil contra common law etc as well)</w:t>
      </w:r>
      <w:r>
        <w:rPr>
          <w:rFonts w:ascii="Avenir Next" w:hAnsi="Avenir Next" w:cs="Arial"/>
          <w:sz w:val="22"/>
          <w:szCs w:val="22"/>
          <w:shd w:val="clear" w:color="auto" w:fill="FFFFFF"/>
          <w:lang w:val="en-GB"/>
        </w:rPr>
        <w:t>.</w:t>
      </w:r>
      <w:r>
        <w:rPr>
          <w:rStyle w:val="FootnoteReference"/>
          <w:rFonts w:ascii="Avenir Next" w:hAnsi="Avenir Next" w:cs="Arial"/>
          <w:sz w:val="22"/>
          <w:szCs w:val="22"/>
          <w:shd w:val="clear" w:color="auto" w:fill="FFFFFF"/>
          <w:lang w:val="en-GB"/>
        </w:rPr>
        <w:footnoteReference w:id="8"/>
      </w:r>
    </w:p>
    <w:p w14:paraId="050B7D02" w14:textId="77777777" w:rsidR="00D17FDC" w:rsidRPr="00827D56" w:rsidRDefault="00D17FDC"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827D56" w:rsidRDefault="00DF75F8" w:rsidP="00C053F7">
      <w:pPr>
        <w:jc w:val="both"/>
        <w:rPr>
          <w:rFonts w:ascii="Avenir Next" w:hAnsi="Avenir Next" w:cs="Arial"/>
          <w:sz w:val="22"/>
          <w:szCs w:val="22"/>
          <w:lang w:val="en-GB"/>
        </w:rPr>
      </w:pPr>
    </w:p>
    <w:p w14:paraId="4AE7EA78" w14:textId="7278377D" w:rsidR="007D7C92" w:rsidRDefault="00BE3E64" w:rsidP="00C053F7">
      <w:pPr>
        <w:ind w:left="720" w:hanging="720"/>
        <w:jc w:val="both"/>
        <w:rPr>
          <w:rFonts w:ascii="Avenir Next" w:hAnsi="Avenir Next" w:cs="Arial"/>
          <w:sz w:val="22"/>
          <w:szCs w:val="22"/>
          <w:lang w:val="en-GB"/>
        </w:rPr>
      </w:pPr>
      <w:r>
        <w:rPr>
          <w:rFonts w:ascii="Avenir Next" w:hAnsi="Avenir Next" w:cs="Arial"/>
          <w:sz w:val="22"/>
          <w:szCs w:val="22"/>
          <w:lang w:val="en-GB"/>
        </w:rPr>
        <w:t>Examples</w:t>
      </w:r>
      <w:r w:rsidR="001C6F7B">
        <w:rPr>
          <w:rFonts w:ascii="Avenir Next" w:hAnsi="Avenir Next" w:cs="Arial"/>
          <w:sz w:val="22"/>
          <w:szCs w:val="22"/>
          <w:lang w:val="en-GB"/>
        </w:rPr>
        <w:t xml:space="preserve"> of attempts to promote harmonisation include:</w:t>
      </w:r>
    </w:p>
    <w:p w14:paraId="08F59DAA" w14:textId="58917909" w:rsidR="001C6F7B" w:rsidRDefault="00A06EFA" w:rsidP="001C6F7B">
      <w:pPr>
        <w:pStyle w:val="ListParagraph"/>
        <w:numPr>
          <w:ilvl w:val="0"/>
          <w:numId w:val="25"/>
        </w:numPr>
        <w:ind w:left="360"/>
        <w:jc w:val="both"/>
        <w:rPr>
          <w:rFonts w:ascii="Avenir Next" w:hAnsi="Avenir Next" w:cs="Arial"/>
          <w:sz w:val="22"/>
          <w:szCs w:val="22"/>
          <w:lang w:val="en-GB"/>
        </w:rPr>
      </w:pPr>
      <w:r>
        <w:rPr>
          <w:rFonts w:ascii="Avenir Next" w:hAnsi="Avenir Next" w:cs="Arial"/>
          <w:sz w:val="22"/>
          <w:szCs w:val="22"/>
          <w:lang w:val="en-GB"/>
        </w:rPr>
        <w:t>The 2004 UNCITRAL legislative guide on insolvency law;</w:t>
      </w:r>
    </w:p>
    <w:p w14:paraId="2F453664" w14:textId="529FE3BB" w:rsidR="00F64A42" w:rsidRPr="00FD0FAC" w:rsidRDefault="00A06EFA" w:rsidP="00FD0FAC">
      <w:pPr>
        <w:pStyle w:val="ListParagraph"/>
        <w:numPr>
          <w:ilvl w:val="0"/>
          <w:numId w:val="25"/>
        </w:numPr>
        <w:ind w:left="360"/>
        <w:jc w:val="both"/>
        <w:rPr>
          <w:rFonts w:ascii="Avenir Next" w:hAnsi="Avenir Next" w:cs="Arial"/>
          <w:sz w:val="22"/>
          <w:szCs w:val="22"/>
          <w:lang w:val="en-GB"/>
        </w:rPr>
      </w:pPr>
      <w:r>
        <w:rPr>
          <w:rFonts w:ascii="Avenir Next" w:hAnsi="Avenir Next" w:cs="Arial"/>
          <w:sz w:val="22"/>
          <w:szCs w:val="22"/>
          <w:lang w:val="en-GB"/>
        </w:rPr>
        <w:t>The World Banks Guidelines Principles for Effective Insolvency and Creditor / Debtor Regimes</w:t>
      </w:r>
      <w:r w:rsidR="001D6B70">
        <w:rPr>
          <w:rFonts w:ascii="Avenir Next" w:hAnsi="Avenir Next" w:cs="Arial"/>
          <w:sz w:val="22"/>
          <w:szCs w:val="22"/>
          <w:lang w:val="en-GB"/>
        </w:rPr>
        <w:t>;</w:t>
      </w:r>
    </w:p>
    <w:p w14:paraId="6C3AC1EB" w14:textId="37A3F949" w:rsidR="00F64A42" w:rsidRDefault="00F64A42" w:rsidP="001C6F7B">
      <w:pPr>
        <w:pStyle w:val="ListParagraph"/>
        <w:numPr>
          <w:ilvl w:val="0"/>
          <w:numId w:val="25"/>
        </w:numPr>
        <w:ind w:left="360"/>
        <w:jc w:val="both"/>
        <w:rPr>
          <w:rFonts w:ascii="Avenir Next" w:hAnsi="Avenir Next" w:cs="Arial"/>
          <w:sz w:val="22"/>
          <w:szCs w:val="22"/>
          <w:lang w:val="en-GB"/>
        </w:rPr>
      </w:pPr>
      <w:r>
        <w:rPr>
          <w:rFonts w:ascii="Avenir Next" w:hAnsi="Avenir Next" w:cs="Arial"/>
          <w:sz w:val="22"/>
          <w:szCs w:val="22"/>
          <w:lang w:val="en-GB"/>
        </w:rPr>
        <w:t>The European Union insolvency regulation</w:t>
      </w:r>
      <w:r w:rsidR="00641C11">
        <w:rPr>
          <w:rFonts w:ascii="Avenir Next" w:hAnsi="Avenir Next" w:cs="Arial"/>
          <w:sz w:val="22"/>
          <w:szCs w:val="22"/>
          <w:lang w:val="en-GB"/>
        </w:rPr>
        <w:t xml:space="preserve"> (originally </w:t>
      </w:r>
      <w:r w:rsidR="00641C11" w:rsidRPr="00641C11">
        <w:rPr>
          <w:rFonts w:ascii="Avenir Next" w:hAnsi="Avenir Next" w:cs="Arial"/>
          <w:sz w:val="22"/>
          <w:szCs w:val="22"/>
          <w:lang w:val="en-GB"/>
        </w:rPr>
        <w:t>Council Regulation (EC) 1346/2000 on insolvency proceedings</w:t>
      </w:r>
      <w:r w:rsidR="00641C11">
        <w:rPr>
          <w:rFonts w:ascii="Avenir Next" w:hAnsi="Avenir Next" w:cs="Arial"/>
          <w:sz w:val="22"/>
          <w:szCs w:val="22"/>
          <w:lang w:val="en-GB"/>
        </w:rPr>
        <w:t xml:space="preserve">, which </w:t>
      </w:r>
      <w:r w:rsidR="00641C11" w:rsidRPr="00641C11">
        <w:rPr>
          <w:rFonts w:ascii="Avenir Next" w:hAnsi="Avenir Next" w:cs="Arial"/>
          <w:sz w:val="22"/>
          <w:szCs w:val="22"/>
          <w:lang w:val="en-GB"/>
        </w:rPr>
        <w:t>impose</w:t>
      </w:r>
      <w:r w:rsidR="00641C11">
        <w:rPr>
          <w:rFonts w:ascii="Avenir Next" w:hAnsi="Avenir Next" w:cs="Arial"/>
          <w:sz w:val="22"/>
          <w:szCs w:val="22"/>
          <w:lang w:val="en-GB"/>
        </w:rPr>
        <w:t>d</w:t>
      </w:r>
      <w:r w:rsidR="00641C11" w:rsidRPr="00641C11">
        <w:rPr>
          <w:rFonts w:ascii="Avenir Next" w:hAnsi="Avenir Next" w:cs="Arial"/>
          <w:sz w:val="22"/>
          <w:szCs w:val="22"/>
          <w:lang w:val="en-GB"/>
        </w:rPr>
        <w:t xml:space="preserve"> conflicts of law rules for insolvency proceedings </w:t>
      </w:r>
      <w:r w:rsidR="00641C11">
        <w:rPr>
          <w:rFonts w:ascii="Avenir Next" w:hAnsi="Avenir Next" w:cs="Arial"/>
          <w:sz w:val="22"/>
          <w:szCs w:val="22"/>
          <w:lang w:val="en-GB"/>
        </w:rPr>
        <w:t>in respect of</w:t>
      </w:r>
      <w:r w:rsidR="00641C11" w:rsidRPr="00641C11">
        <w:rPr>
          <w:rFonts w:ascii="Avenir Next" w:hAnsi="Avenir Next" w:cs="Arial"/>
          <w:sz w:val="22"/>
          <w:szCs w:val="22"/>
          <w:lang w:val="en-GB"/>
        </w:rPr>
        <w:t xml:space="preserve"> debtors based in the EU with operations </w:t>
      </w:r>
      <w:r w:rsidR="00641C11">
        <w:rPr>
          <w:rFonts w:ascii="Avenir Next" w:hAnsi="Avenir Next" w:cs="Arial"/>
          <w:sz w:val="22"/>
          <w:szCs w:val="22"/>
          <w:lang w:val="en-GB"/>
        </w:rPr>
        <w:t xml:space="preserve">across </w:t>
      </w:r>
      <w:r w:rsidR="00641C11" w:rsidRPr="00641C11">
        <w:rPr>
          <w:rFonts w:ascii="Avenir Next" w:hAnsi="Avenir Next" w:cs="Arial"/>
          <w:sz w:val="22"/>
          <w:szCs w:val="22"/>
          <w:lang w:val="en-GB"/>
        </w:rPr>
        <w:t xml:space="preserve">more than </w:t>
      </w:r>
      <w:proofErr w:type="gramStart"/>
      <w:r w:rsidR="00641C11" w:rsidRPr="00641C11">
        <w:rPr>
          <w:rFonts w:ascii="Avenir Next" w:hAnsi="Avenir Next" w:cs="Arial"/>
          <w:sz w:val="22"/>
          <w:szCs w:val="22"/>
          <w:lang w:val="en-GB"/>
        </w:rPr>
        <w:t>one member</w:t>
      </w:r>
      <w:proofErr w:type="gramEnd"/>
      <w:r w:rsidR="00641C11" w:rsidRPr="00641C11">
        <w:rPr>
          <w:rFonts w:ascii="Avenir Next" w:hAnsi="Avenir Next" w:cs="Arial"/>
          <w:sz w:val="22"/>
          <w:szCs w:val="22"/>
          <w:lang w:val="en-GB"/>
        </w:rPr>
        <w:t xml:space="preserve"> state</w:t>
      </w:r>
      <w:r w:rsidR="00641C11">
        <w:rPr>
          <w:rFonts w:ascii="Avenir Next" w:hAnsi="Avenir Next" w:cs="Arial"/>
          <w:sz w:val="22"/>
          <w:szCs w:val="22"/>
          <w:lang w:val="en-GB"/>
        </w:rPr>
        <w:t>)</w:t>
      </w:r>
      <w:r>
        <w:rPr>
          <w:rFonts w:ascii="Avenir Next" w:hAnsi="Avenir Next" w:cs="Arial"/>
          <w:sz w:val="22"/>
          <w:szCs w:val="22"/>
          <w:lang w:val="en-GB"/>
        </w:rPr>
        <w:t>;</w:t>
      </w:r>
      <w:r w:rsidR="00641C11">
        <w:rPr>
          <w:rStyle w:val="FootnoteReference"/>
          <w:rFonts w:ascii="Avenir Next" w:hAnsi="Avenir Next" w:cs="Arial"/>
          <w:sz w:val="22"/>
          <w:szCs w:val="22"/>
          <w:lang w:val="en-GB"/>
        </w:rPr>
        <w:footnoteReference w:id="9"/>
      </w:r>
    </w:p>
    <w:p w14:paraId="2E6A91FA" w14:textId="090D7A2C" w:rsidR="001D6B70" w:rsidRPr="001C6F7B" w:rsidRDefault="001D6B70" w:rsidP="001C6F7B">
      <w:pPr>
        <w:pStyle w:val="ListParagraph"/>
        <w:numPr>
          <w:ilvl w:val="0"/>
          <w:numId w:val="25"/>
        </w:numPr>
        <w:ind w:left="360"/>
        <w:jc w:val="both"/>
        <w:rPr>
          <w:rFonts w:ascii="Avenir Next" w:hAnsi="Avenir Next" w:cs="Arial"/>
          <w:sz w:val="22"/>
          <w:szCs w:val="22"/>
          <w:lang w:val="en-GB"/>
        </w:rPr>
      </w:pPr>
      <w:r>
        <w:rPr>
          <w:rFonts w:ascii="Avenir Next" w:hAnsi="Avenir Next" w:cs="Arial"/>
          <w:sz w:val="22"/>
          <w:szCs w:val="22"/>
          <w:lang w:val="en-GB"/>
        </w:rPr>
        <w:t>European Union reforms to harmonise the laws of member states on insolvency proceedings (</w:t>
      </w:r>
      <w:r>
        <w:rPr>
          <w:rFonts w:ascii="Avenir Next" w:hAnsi="Avenir Next" w:cs="Arial"/>
          <w:i/>
          <w:sz w:val="22"/>
          <w:szCs w:val="22"/>
          <w:lang w:val="en-GB"/>
        </w:rPr>
        <w:t xml:space="preserve">e.g. </w:t>
      </w:r>
      <w:r>
        <w:rPr>
          <w:rFonts w:ascii="Avenir Next" w:hAnsi="Avenir Next" w:cs="Arial"/>
          <w:sz w:val="22"/>
          <w:szCs w:val="22"/>
          <w:lang w:val="en-GB"/>
        </w:rPr>
        <w:t>2010 report of the EU Parliament).</w:t>
      </w:r>
      <w:r>
        <w:rPr>
          <w:rStyle w:val="FootnoteReference"/>
          <w:rFonts w:ascii="Avenir Next" w:hAnsi="Avenir Next" w:cs="Arial"/>
          <w:sz w:val="22"/>
          <w:szCs w:val="22"/>
          <w:lang w:val="en-GB"/>
        </w:rPr>
        <w:footnoteReference w:id="10"/>
      </w:r>
    </w:p>
    <w:p w14:paraId="111EA170" w14:textId="1A280A87" w:rsidR="00D17FDC" w:rsidRDefault="00D17FDC" w:rsidP="00C053F7">
      <w:pPr>
        <w:ind w:left="720" w:hanging="720"/>
        <w:jc w:val="both"/>
        <w:rPr>
          <w:rFonts w:ascii="Avenir Next" w:hAnsi="Avenir Next" w:cs="Arial"/>
          <w:sz w:val="22"/>
          <w:szCs w:val="22"/>
          <w:lang w:val="en-GB"/>
        </w:rPr>
      </w:pPr>
    </w:p>
    <w:p w14:paraId="78B29EF8" w14:textId="463BFF4B" w:rsidR="006062C6" w:rsidRDefault="001D6B70" w:rsidP="001D6B70">
      <w:pPr>
        <w:jc w:val="both"/>
        <w:rPr>
          <w:rFonts w:ascii="Avenir Next" w:hAnsi="Avenir Next" w:cs="Arial"/>
          <w:sz w:val="22"/>
          <w:szCs w:val="22"/>
          <w:lang w:val="en-GB"/>
        </w:rPr>
      </w:pPr>
      <w:r>
        <w:rPr>
          <w:rFonts w:ascii="Avenir Next" w:hAnsi="Avenir Next" w:cs="Arial"/>
          <w:sz w:val="22"/>
          <w:szCs w:val="22"/>
          <w:lang w:val="en-GB"/>
        </w:rPr>
        <w:t>The likelihood of the impact depends upon the relevant legal systems in question</w:t>
      </w:r>
      <w:r w:rsidR="009B08F2">
        <w:rPr>
          <w:rFonts w:ascii="Avenir Next" w:hAnsi="Avenir Next" w:cs="Arial"/>
          <w:sz w:val="22"/>
          <w:szCs w:val="22"/>
          <w:lang w:val="en-GB"/>
        </w:rPr>
        <w:t>, and the breadth of the law</w:t>
      </w:r>
      <w:r w:rsidR="00801B72">
        <w:rPr>
          <w:rFonts w:ascii="Avenir Next" w:hAnsi="Avenir Next" w:cs="Arial"/>
          <w:sz w:val="22"/>
          <w:szCs w:val="22"/>
          <w:lang w:val="en-GB"/>
        </w:rPr>
        <w:t xml:space="preserve"> / issues covered by the law</w:t>
      </w:r>
      <w:r w:rsidR="009B08F2">
        <w:rPr>
          <w:rFonts w:ascii="Avenir Next" w:hAnsi="Avenir Next" w:cs="Arial"/>
          <w:sz w:val="22"/>
          <w:szCs w:val="22"/>
          <w:lang w:val="en-GB"/>
        </w:rPr>
        <w:t xml:space="preserve"> across those systems</w:t>
      </w:r>
      <w:r w:rsidR="006062C6">
        <w:rPr>
          <w:rFonts w:ascii="Avenir Next" w:hAnsi="Avenir Next" w:cs="Arial"/>
          <w:sz w:val="22"/>
          <w:szCs w:val="22"/>
          <w:lang w:val="en-GB"/>
        </w:rPr>
        <w:t>, in addition to where any relevant commercial entities are based</w:t>
      </w:r>
      <w:r>
        <w:rPr>
          <w:rFonts w:ascii="Avenir Next" w:hAnsi="Avenir Next" w:cs="Arial"/>
          <w:sz w:val="22"/>
          <w:szCs w:val="22"/>
          <w:lang w:val="en-GB"/>
        </w:rPr>
        <w:t xml:space="preserve">. In particular, </w:t>
      </w:r>
      <w:r w:rsidR="00A87A7C">
        <w:rPr>
          <w:rFonts w:ascii="Avenir Next" w:hAnsi="Avenir Next" w:cs="Arial"/>
          <w:sz w:val="22"/>
          <w:szCs w:val="22"/>
          <w:lang w:val="en-GB"/>
        </w:rPr>
        <w:t xml:space="preserve">maximum </w:t>
      </w:r>
      <w:r>
        <w:rPr>
          <w:rFonts w:ascii="Avenir Next" w:hAnsi="Avenir Next" w:cs="Arial"/>
          <w:sz w:val="22"/>
          <w:szCs w:val="22"/>
          <w:lang w:val="en-GB"/>
        </w:rPr>
        <w:t>harmonisation within the European Union is likely to be far more legally meaningful,</w:t>
      </w:r>
      <w:r w:rsidR="00A87A7C">
        <w:rPr>
          <w:rFonts w:ascii="Avenir Next" w:hAnsi="Avenir Next" w:cs="Arial"/>
          <w:sz w:val="22"/>
          <w:szCs w:val="22"/>
          <w:lang w:val="en-GB"/>
        </w:rPr>
        <w:t xml:space="preserve"> and effective,</w:t>
      </w:r>
      <w:r>
        <w:rPr>
          <w:rFonts w:ascii="Avenir Next" w:hAnsi="Avenir Next" w:cs="Arial"/>
          <w:sz w:val="22"/>
          <w:szCs w:val="22"/>
          <w:lang w:val="en-GB"/>
        </w:rPr>
        <w:t xml:space="preserve"> in the context of </w:t>
      </w:r>
      <w:r w:rsidR="00A87A7C">
        <w:rPr>
          <w:rFonts w:ascii="Avenir Next" w:hAnsi="Avenir Next" w:cs="Arial"/>
          <w:sz w:val="22"/>
          <w:szCs w:val="22"/>
          <w:lang w:val="en-GB"/>
        </w:rPr>
        <w:t xml:space="preserve">imposing the </w:t>
      </w:r>
      <w:r w:rsidR="009A1C7A">
        <w:rPr>
          <w:rFonts w:ascii="Avenir Next" w:hAnsi="Avenir Next" w:cs="Arial"/>
          <w:sz w:val="22"/>
          <w:szCs w:val="22"/>
          <w:lang w:val="en-GB"/>
        </w:rPr>
        <w:t>same of rules</w:t>
      </w:r>
      <w:r w:rsidR="001B4DD3">
        <w:rPr>
          <w:rFonts w:ascii="Avenir Next" w:hAnsi="Avenir Next" w:cs="Arial"/>
          <w:sz w:val="22"/>
          <w:szCs w:val="22"/>
          <w:lang w:val="en-GB"/>
        </w:rPr>
        <w:t>, across</w:t>
      </w:r>
      <w:r w:rsidR="00801B72">
        <w:rPr>
          <w:rFonts w:ascii="Avenir Next" w:hAnsi="Avenir Next" w:cs="Arial"/>
          <w:sz w:val="22"/>
          <w:szCs w:val="22"/>
          <w:lang w:val="en-GB"/>
        </w:rPr>
        <w:t xml:space="preserve"> more than one jurisdiction</w:t>
      </w:r>
      <w:r w:rsidR="001B4DD3">
        <w:rPr>
          <w:rFonts w:ascii="Avenir Next" w:hAnsi="Avenir Next" w:cs="Arial"/>
          <w:sz w:val="22"/>
          <w:szCs w:val="22"/>
          <w:lang w:val="en-GB"/>
        </w:rPr>
        <w:t>, than</w:t>
      </w:r>
      <w:r w:rsidR="009B08F2">
        <w:rPr>
          <w:rFonts w:ascii="Avenir Next" w:hAnsi="Avenir Next" w:cs="Arial"/>
          <w:sz w:val="22"/>
          <w:szCs w:val="22"/>
          <w:lang w:val="en-GB"/>
        </w:rPr>
        <w:t>, for example,</w:t>
      </w:r>
      <w:r w:rsidR="001B4DD3">
        <w:rPr>
          <w:rFonts w:ascii="Avenir Next" w:hAnsi="Avenir Next" w:cs="Arial"/>
          <w:sz w:val="22"/>
          <w:szCs w:val="22"/>
          <w:lang w:val="en-GB"/>
        </w:rPr>
        <w:t xml:space="preserve"> isolated bilateral agreements among non</w:t>
      </w:r>
      <w:r w:rsidR="008D0797">
        <w:rPr>
          <w:rFonts w:ascii="Avenir Next" w:hAnsi="Avenir Next" w:cs="Arial"/>
          <w:sz w:val="22"/>
          <w:szCs w:val="22"/>
          <w:lang w:val="en-GB"/>
        </w:rPr>
        <w:t>-</w:t>
      </w:r>
      <w:r w:rsidR="001B4DD3">
        <w:rPr>
          <w:rFonts w:ascii="Avenir Next" w:hAnsi="Avenir Next" w:cs="Arial"/>
          <w:sz w:val="22"/>
          <w:szCs w:val="22"/>
          <w:lang w:val="en-GB"/>
        </w:rPr>
        <w:t>EU states</w:t>
      </w:r>
      <w:r w:rsidR="006062C6">
        <w:rPr>
          <w:rFonts w:ascii="Avenir Next" w:hAnsi="Avenir Next" w:cs="Arial"/>
          <w:sz w:val="22"/>
          <w:szCs w:val="22"/>
          <w:lang w:val="en-GB"/>
        </w:rPr>
        <w:t>, or soft law guidance documents,</w:t>
      </w:r>
      <w:r w:rsidR="009B08F2">
        <w:rPr>
          <w:rFonts w:ascii="Avenir Next" w:hAnsi="Avenir Next" w:cs="Arial"/>
          <w:sz w:val="22"/>
          <w:szCs w:val="22"/>
          <w:lang w:val="en-GB"/>
        </w:rPr>
        <w:t xml:space="preserve"> which simply set objectives to be achieved (by legal provisions adopted as the individual </w:t>
      </w:r>
      <w:r w:rsidR="006062C6">
        <w:rPr>
          <w:rFonts w:ascii="Avenir Next" w:hAnsi="Avenir Next" w:cs="Arial"/>
          <w:sz w:val="22"/>
          <w:szCs w:val="22"/>
          <w:lang w:val="en-GB"/>
        </w:rPr>
        <w:t xml:space="preserve">participating </w:t>
      </w:r>
      <w:r w:rsidR="009B08F2">
        <w:rPr>
          <w:rFonts w:ascii="Avenir Next" w:hAnsi="Avenir Next" w:cs="Arial"/>
          <w:sz w:val="22"/>
          <w:szCs w:val="22"/>
          <w:lang w:val="en-GB"/>
        </w:rPr>
        <w:t>state sees fit)</w:t>
      </w:r>
      <w:r>
        <w:rPr>
          <w:rFonts w:ascii="Avenir Next" w:hAnsi="Avenir Next" w:cs="Arial"/>
          <w:sz w:val="22"/>
          <w:szCs w:val="22"/>
          <w:lang w:val="en-GB"/>
        </w:rPr>
        <w:t>.</w:t>
      </w:r>
      <w:r w:rsidR="009B08F2">
        <w:rPr>
          <w:rFonts w:ascii="Avenir Next" w:hAnsi="Avenir Next" w:cs="Arial"/>
          <w:sz w:val="22"/>
          <w:szCs w:val="22"/>
          <w:lang w:val="en-GB"/>
        </w:rPr>
        <w:t xml:space="preserve"> The same point is</w:t>
      </w:r>
      <w:r w:rsidR="006062C6">
        <w:rPr>
          <w:rFonts w:ascii="Avenir Next" w:hAnsi="Avenir Next" w:cs="Arial"/>
          <w:sz w:val="22"/>
          <w:szCs w:val="22"/>
          <w:lang w:val="en-GB"/>
        </w:rPr>
        <w:t xml:space="preserve"> </w:t>
      </w:r>
      <w:r w:rsidR="009B08F2">
        <w:rPr>
          <w:rFonts w:ascii="Avenir Next" w:hAnsi="Avenir Next" w:cs="Arial"/>
          <w:sz w:val="22"/>
          <w:szCs w:val="22"/>
          <w:lang w:val="en-GB"/>
        </w:rPr>
        <w:t>made</w:t>
      </w:r>
      <w:r w:rsidR="00C264B3">
        <w:rPr>
          <w:rFonts w:ascii="Avenir Next" w:hAnsi="Avenir Next" w:cs="Arial"/>
          <w:sz w:val="22"/>
          <w:szCs w:val="22"/>
          <w:lang w:val="en-GB"/>
        </w:rPr>
        <w:t>, unsurprisingly,</w:t>
      </w:r>
      <w:r w:rsidR="009B08F2">
        <w:rPr>
          <w:rFonts w:ascii="Avenir Next" w:hAnsi="Avenir Next" w:cs="Arial"/>
          <w:sz w:val="22"/>
          <w:szCs w:val="22"/>
          <w:lang w:val="en-GB"/>
        </w:rPr>
        <w:t xml:space="preserve"> by Fletcher regarding regional groups.</w:t>
      </w:r>
      <w:r w:rsidR="009B08F2">
        <w:rPr>
          <w:rStyle w:val="FootnoteReference"/>
          <w:rFonts w:ascii="Avenir Next" w:hAnsi="Avenir Next" w:cs="Arial"/>
          <w:sz w:val="22"/>
          <w:szCs w:val="22"/>
          <w:lang w:val="en-GB"/>
        </w:rPr>
        <w:footnoteReference w:id="11"/>
      </w:r>
      <w:r>
        <w:rPr>
          <w:rFonts w:ascii="Avenir Next" w:hAnsi="Avenir Next" w:cs="Arial"/>
          <w:sz w:val="22"/>
          <w:szCs w:val="22"/>
          <w:lang w:val="en-GB"/>
        </w:rPr>
        <w:t xml:space="preserve"> </w:t>
      </w:r>
      <w:r w:rsidR="00A87A7C">
        <w:rPr>
          <w:rFonts w:ascii="Avenir Next" w:hAnsi="Avenir Next" w:cs="Arial"/>
          <w:sz w:val="22"/>
          <w:szCs w:val="22"/>
          <w:lang w:val="en-GB"/>
        </w:rPr>
        <w:t xml:space="preserve">EU provisions which impose directly applicable law and which fully harmonise the member states legal systems as a consequence are, in my view, likely to be </w:t>
      </w:r>
      <w:r w:rsidR="009A1C7A">
        <w:rPr>
          <w:rFonts w:ascii="Avenir Next" w:hAnsi="Avenir Next" w:cs="Arial"/>
          <w:sz w:val="22"/>
          <w:szCs w:val="22"/>
          <w:lang w:val="en-GB"/>
        </w:rPr>
        <w:t>highly</w:t>
      </w:r>
      <w:r w:rsidR="00A87A7C">
        <w:rPr>
          <w:rFonts w:ascii="Avenir Next" w:hAnsi="Avenir Next" w:cs="Arial"/>
          <w:sz w:val="22"/>
          <w:szCs w:val="22"/>
          <w:lang w:val="en-GB"/>
        </w:rPr>
        <w:t xml:space="preserve"> effective in addressing international insolvency issues</w:t>
      </w:r>
      <w:r w:rsidR="006062C6">
        <w:rPr>
          <w:rFonts w:ascii="Avenir Next" w:hAnsi="Avenir Next" w:cs="Arial"/>
          <w:sz w:val="22"/>
          <w:szCs w:val="22"/>
          <w:lang w:val="en-GB"/>
        </w:rPr>
        <w:t xml:space="preserve"> – certainly, at least, in so far as all of the relevant entities, subject to the insolvency process, are based within EU member states</w:t>
      </w:r>
      <w:r w:rsidR="0055192E">
        <w:rPr>
          <w:rFonts w:ascii="Avenir Next" w:hAnsi="Avenir Next" w:cs="Arial"/>
          <w:sz w:val="22"/>
          <w:szCs w:val="22"/>
          <w:lang w:val="en-GB"/>
        </w:rPr>
        <w:t xml:space="preserve"> (given that the same ‘rule book’ and conceptual tools </w:t>
      </w:r>
      <w:r w:rsidR="003C0399">
        <w:rPr>
          <w:rFonts w:ascii="Avenir Next" w:hAnsi="Avenir Next" w:cs="Arial"/>
          <w:sz w:val="22"/>
          <w:szCs w:val="22"/>
          <w:lang w:val="en-GB"/>
        </w:rPr>
        <w:t xml:space="preserve">etc </w:t>
      </w:r>
      <w:r w:rsidR="0055192E">
        <w:rPr>
          <w:rFonts w:ascii="Avenir Next" w:hAnsi="Avenir Next" w:cs="Arial"/>
          <w:sz w:val="22"/>
          <w:szCs w:val="22"/>
          <w:lang w:val="en-GB"/>
        </w:rPr>
        <w:t>would apply)</w:t>
      </w:r>
      <w:r w:rsidR="006062C6">
        <w:rPr>
          <w:rFonts w:ascii="Avenir Next" w:hAnsi="Avenir Next" w:cs="Arial"/>
          <w:sz w:val="22"/>
          <w:szCs w:val="22"/>
          <w:lang w:val="en-GB"/>
        </w:rPr>
        <w:t>.</w:t>
      </w:r>
      <w:r w:rsidR="00A87A7C">
        <w:rPr>
          <w:rFonts w:ascii="Avenir Next" w:hAnsi="Avenir Next" w:cs="Arial"/>
          <w:sz w:val="22"/>
          <w:szCs w:val="22"/>
          <w:lang w:val="en-GB"/>
        </w:rPr>
        <w:t xml:space="preserve"> </w:t>
      </w:r>
    </w:p>
    <w:p w14:paraId="43337A75" w14:textId="49FE01EA" w:rsidR="009B08F2" w:rsidRDefault="009B08F2" w:rsidP="001D6B70">
      <w:pPr>
        <w:jc w:val="both"/>
        <w:rPr>
          <w:rFonts w:ascii="Avenir Next" w:hAnsi="Avenir Next" w:cs="Arial"/>
          <w:sz w:val="22"/>
          <w:szCs w:val="22"/>
          <w:lang w:val="en-GB"/>
        </w:rPr>
      </w:pPr>
    </w:p>
    <w:p w14:paraId="36B880D1" w14:textId="77777777" w:rsidR="003D5899" w:rsidRPr="00827D56" w:rsidRDefault="003D5899" w:rsidP="00C053F7">
      <w:pPr>
        <w:ind w:left="720" w:hanging="720"/>
        <w:jc w:val="both"/>
        <w:rPr>
          <w:rFonts w:ascii="Avenir Next" w:hAnsi="Avenir Next" w:cs="Arial"/>
          <w:sz w:val="22"/>
          <w:szCs w:val="22"/>
          <w:lang w:val="en-GB"/>
        </w:rPr>
      </w:pP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before moving its registration and head office to Utopia one month ago.  Apex Pty Ltd (Apex) is incorporated and has its head office in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Nadir also owes monies to creditors in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One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creditor obtains a court winding-up order against Nadir in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781C90F8" w14:textId="504D6D69"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0" w:name="_Hlk17745211"/>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liquidator’s investigations detect that Apex is suing Nadir in Utopia.  The liquidator would like to stop Apex court action against Nadir in Utopia.  Advise the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liquidator on the potential relevance of the Cross-border Insolvency Act of Utopia.</w:t>
      </w:r>
    </w:p>
    <w:p w14:paraId="6C8C0F6A" w14:textId="4264682F" w:rsidR="002F75A3" w:rsidRDefault="002F75A3" w:rsidP="00C053F7">
      <w:pPr>
        <w:jc w:val="both"/>
        <w:rPr>
          <w:rFonts w:ascii="Avenir Next" w:hAnsi="Avenir Next" w:cs="Arial"/>
          <w:sz w:val="22"/>
          <w:szCs w:val="22"/>
          <w:lang w:val="en-GB"/>
        </w:rPr>
      </w:pPr>
    </w:p>
    <w:p w14:paraId="194E0648" w14:textId="77777777" w:rsidR="00B309E4" w:rsidRDefault="009B4A19" w:rsidP="00C053F7">
      <w:pPr>
        <w:jc w:val="both"/>
        <w:rPr>
          <w:rFonts w:ascii="Avenir Next" w:hAnsi="Avenir Next" w:cs="Arial"/>
          <w:sz w:val="22"/>
          <w:szCs w:val="22"/>
          <w:lang w:val="en-GB"/>
        </w:rPr>
      </w:pPr>
      <w:r>
        <w:rPr>
          <w:rFonts w:ascii="Avenir Next" w:hAnsi="Avenir Next" w:cs="Arial"/>
          <w:sz w:val="22"/>
          <w:szCs w:val="22"/>
          <w:lang w:val="en-GB"/>
        </w:rPr>
        <w:t>Information I have not been given includes</w:t>
      </w:r>
      <w:r w:rsidR="00B309E4">
        <w:rPr>
          <w:rFonts w:ascii="Avenir Next" w:hAnsi="Avenir Next" w:cs="Arial"/>
          <w:sz w:val="22"/>
          <w:szCs w:val="22"/>
          <w:lang w:val="en-GB"/>
        </w:rPr>
        <w:t>:</w:t>
      </w:r>
    </w:p>
    <w:p w14:paraId="1BF30F62" w14:textId="26F14EF2" w:rsidR="00B309E4" w:rsidRDefault="00B309E4" w:rsidP="00C053F7">
      <w:pPr>
        <w:jc w:val="both"/>
        <w:rPr>
          <w:rFonts w:ascii="Avenir Next" w:hAnsi="Avenir Next" w:cs="Arial"/>
          <w:sz w:val="22"/>
          <w:szCs w:val="22"/>
          <w:lang w:val="en-GB"/>
        </w:rPr>
      </w:pPr>
      <w:r>
        <w:rPr>
          <w:rFonts w:ascii="Avenir Next" w:hAnsi="Avenir Next" w:cs="Arial"/>
          <w:sz w:val="22"/>
          <w:szCs w:val="22"/>
          <w:lang w:val="en-GB"/>
        </w:rPr>
        <w:t>-</w:t>
      </w:r>
      <w:r w:rsidR="009B4A19">
        <w:rPr>
          <w:rFonts w:ascii="Avenir Next" w:hAnsi="Avenir Next" w:cs="Arial"/>
          <w:sz w:val="22"/>
          <w:szCs w:val="22"/>
          <w:lang w:val="en-GB"/>
        </w:rPr>
        <w:t xml:space="preserve"> the state of the </w:t>
      </w:r>
      <w:r w:rsidR="009B4A19">
        <w:rPr>
          <w:rFonts w:ascii="Avenir Next" w:hAnsi="Avenir Next" w:cs="Arial"/>
          <w:i/>
          <w:sz w:val="22"/>
          <w:szCs w:val="22"/>
          <w:lang w:val="en-GB"/>
        </w:rPr>
        <w:t xml:space="preserve">Apex v Nadir </w:t>
      </w:r>
      <w:r w:rsidR="009B4A19">
        <w:rPr>
          <w:rFonts w:ascii="Avenir Next" w:hAnsi="Avenir Next" w:cs="Arial"/>
          <w:sz w:val="22"/>
          <w:szCs w:val="22"/>
          <w:lang w:val="en-GB"/>
        </w:rPr>
        <w:t>litigation and its legal basis (presumably breach of contract)</w:t>
      </w:r>
      <w:r>
        <w:rPr>
          <w:rFonts w:ascii="Avenir Next" w:hAnsi="Avenir Next" w:cs="Arial"/>
          <w:sz w:val="22"/>
          <w:szCs w:val="22"/>
          <w:lang w:val="en-GB"/>
        </w:rPr>
        <w:t xml:space="preserve"> - I infer from the question though that the </w:t>
      </w:r>
      <w:r>
        <w:rPr>
          <w:rFonts w:ascii="Avenir Next" w:hAnsi="Avenir Next" w:cs="Arial"/>
          <w:i/>
          <w:sz w:val="22"/>
          <w:szCs w:val="22"/>
          <w:lang w:val="en-GB"/>
        </w:rPr>
        <w:t>Apex v Nadir</w:t>
      </w:r>
      <w:r>
        <w:rPr>
          <w:rFonts w:ascii="Avenir Next" w:hAnsi="Avenir Next" w:cs="Arial"/>
          <w:sz w:val="22"/>
          <w:szCs w:val="22"/>
          <w:lang w:val="en-GB"/>
        </w:rPr>
        <w:t xml:space="preserve"> litigation is still at a stage that it can be stayed</w:t>
      </w:r>
    </w:p>
    <w:p w14:paraId="2DDD5B0A" w14:textId="77777777" w:rsidR="00B309E4" w:rsidRDefault="00B309E4" w:rsidP="00C053F7">
      <w:pPr>
        <w:jc w:val="both"/>
        <w:rPr>
          <w:rFonts w:ascii="Avenir Next" w:hAnsi="Avenir Next" w:cs="Arial"/>
          <w:sz w:val="22"/>
          <w:szCs w:val="22"/>
          <w:lang w:val="en-GB"/>
        </w:rPr>
      </w:pPr>
      <w:r>
        <w:rPr>
          <w:rFonts w:ascii="Avenir Next" w:hAnsi="Avenir Next" w:cs="Arial"/>
          <w:sz w:val="22"/>
          <w:szCs w:val="22"/>
          <w:lang w:val="en-GB"/>
        </w:rPr>
        <w:t xml:space="preserve">- </w:t>
      </w:r>
      <w:r w:rsidR="009B4A19">
        <w:rPr>
          <w:rFonts w:ascii="Avenir Next" w:hAnsi="Avenir Next" w:cs="Arial"/>
          <w:sz w:val="22"/>
          <w:szCs w:val="22"/>
          <w:lang w:val="en-GB"/>
        </w:rPr>
        <w:t>what unsecured / secured creditors there are etc</w:t>
      </w:r>
    </w:p>
    <w:p w14:paraId="314C62ED" w14:textId="77777777" w:rsidR="0051168F" w:rsidRDefault="00B309E4" w:rsidP="00C053F7">
      <w:pPr>
        <w:jc w:val="both"/>
        <w:rPr>
          <w:rFonts w:ascii="Avenir Next" w:hAnsi="Avenir Next" w:cs="Arial"/>
          <w:sz w:val="22"/>
          <w:szCs w:val="22"/>
          <w:lang w:val="en-GB"/>
        </w:rPr>
      </w:pPr>
      <w:r>
        <w:rPr>
          <w:rFonts w:ascii="Avenir Next" w:hAnsi="Avenir Next" w:cs="Arial"/>
          <w:sz w:val="22"/>
          <w:szCs w:val="22"/>
          <w:lang w:val="en-GB"/>
        </w:rPr>
        <w:t xml:space="preserve">- what assets / operations Nadir has in </w:t>
      </w:r>
      <w:proofErr w:type="spellStart"/>
      <w:r>
        <w:rPr>
          <w:rFonts w:ascii="Avenir Next" w:hAnsi="Avenir Next" w:cs="Arial"/>
          <w:sz w:val="22"/>
          <w:szCs w:val="22"/>
          <w:lang w:val="en-GB"/>
        </w:rPr>
        <w:t>Erewhon</w:t>
      </w:r>
      <w:proofErr w:type="spellEnd"/>
      <w:r>
        <w:rPr>
          <w:rFonts w:ascii="Avenir Next" w:hAnsi="Avenir Next" w:cs="Arial"/>
          <w:sz w:val="22"/>
          <w:szCs w:val="22"/>
          <w:lang w:val="en-GB"/>
        </w:rPr>
        <w:t xml:space="preserve"> (excluding head office etc)</w:t>
      </w:r>
    </w:p>
    <w:p w14:paraId="20FDAD24" w14:textId="35E47414" w:rsidR="009B4A19" w:rsidRPr="009B4A19" w:rsidRDefault="0051168F" w:rsidP="00C053F7">
      <w:pPr>
        <w:jc w:val="both"/>
        <w:rPr>
          <w:rFonts w:ascii="Avenir Next" w:hAnsi="Avenir Next" w:cs="Arial"/>
          <w:sz w:val="22"/>
          <w:szCs w:val="22"/>
          <w:lang w:val="en-GB"/>
        </w:rPr>
      </w:pPr>
      <w:r>
        <w:rPr>
          <w:rFonts w:ascii="Avenir Next" w:hAnsi="Avenir Next" w:cs="Arial"/>
          <w:sz w:val="22"/>
          <w:szCs w:val="22"/>
          <w:lang w:val="en-GB"/>
        </w:rPr>
        <w:t>- what other legal provisions there are in Utopia which might impact matters</w:t>
      </w:r>
      <w:r w:rsidR="009B4A19">
        <w:rPr>
          <w:rFonts w:ascii="Avenir Next" w:hAnsi="Avenir Next" w:cs="Arial"/>
          <w:sz w:val="22"/>
          <w:szCs w:val="22"/>
          <w:lang w:val="en-GB"/>
        </w:rPr>
        <w:t xml:space="preserve"> </w:t>
      </w:r>
    </w:p>
    <w:p w14:paraId="65135045" w14:textId="77777777" w:rsidR="009B4A19" w:rsidRPr="00827D56" w:rsidRDefault="009B4A19" w:rsidP="00C053F7">
      <w:pPr>
        <w:jc w:val="both"/>
        <w:rPr>
          <w:rFonts w:ascii="Avenir Next" w:hAnsi="Avenir Next" w:cs="Arial"/>
          <w:sz w:val="22"/>
          <w:szCs w:val="22"/>
          <w:lang w:val="en-GB"/>
        </w:rPr>
      </w:pPr>
    </w:p>
    <w:p w14:paraId="3BD501D0" w14:textId="23B6A349" w:rsidR="00827D56" w:rsidRDefault="00D25BD3" w:rsidP="00C053F7">
      <w:pPr>
        <w:jc w:val="both"/>
        <w:rPr>
          <w:rFonts w:ascii="Avenir Next" w:hAnsi="Avenir Next" w:cs="Arial"/>
          <w:sz w:val="22"/>
          <w:szCs w:val="22"/>
          <w:lang w:val="en-GB"/>
        </w:rPr>
      </w:pPr>
      <w:r>
        <w:rPr>
          <w:rFonts w:ascii="Avenir Next" w:hAnsi="Avenir Next" w:cs="Arial"/>
          <w:sz w:val="22"/>
          <w:szCs w:val="22"/>
          <w:lang w:val="en-GB"/>
        </w:rPr>
        <w:t>The potential relevance of the UNCITRAL Model Law</w:t>
      </w:r>
      <w:r w:rsidR="00F918B8">
        <w:rPr>
          <w:rFonts w:ascii="Avenir Next" w:hAnsi="Avenir Next" w:cs="Arial"/>
          <w:sz w:val="22"/>
          <w:szCs w:val="22"/>
          <w:lang w:val="en-GB"/>
        </w:rPr>
        <w:t xml:space="preserve"> (</w:t>
      </w:r>
      <w:proofErr w:type="spellStart"/>
      <w:r w:rsidR="00F918B8">
        <w:rPr>
          <w:rFonts w:ascii="Avenir Next" w:hAnsi="Avenir Next" w:cs="Arial"/>
          <w:sz w:val="22"/>
          <w:szCs w:val="22"/>
          <w:lang w:val="en-GB"/>
        </w:rPr>
        <w:t>adtoped</w:t>
      </w:r>
      <w:proofErr w:type="spellEnd"/>
      <w:r w:rsidR="00F918B8">
        <w:rPr>
          <w:rFonts w:ascii="Avenir Next" w:hAnsi="Avenir Next" w:cs="Arial"/>
          <w:sz w:val="22"/>
          <w:szCs w:val="22"/>
          <w:lang w:val="en-GB"/>
        </w:rPr>
        <w:t xml:space="preserve"> via the </w:t>
      </w:r>
      <w:r w:rsidR="00F918B8" w:rsidRPr="00827D56">
        <w:rPr>
          <w:rFonts w:ascii="Avenir Next" w:hAnsi="Avenir Next" w:cs="Arial"/>
          <w:sz w:val="22"/>
          <w:szCs w:val="22"/>
          <w:lang w:val="en-GB"/>
        </w:rPr>
        <w:t>Cross-border Insolvency Act of Utopia</w:t>
      </w:r>
      <w:r w:rsidR="00F918B8">
        <w:rPr>
          <w:rFonts w:ascii="Avenir Next" w:hAnsi="Avenir Next" w:cs="Arial"/>
          <w:sz w:val="22"/>
          <w:szCs w:val="22"/>
          <w:lang w:val="en-GB"/>
        </w:rPr>
        <w:t>)</w:t>
      </w:r>
      <w:r>
        <w:rPr>
          <w:rFonts w:ascii="Avenir Next" w:hAnsi="Avenir Next" w:cs="Arial"/>
          <w:sz w:val="22"/>
          <w:szCs w:val="22"/>
          <w:lang w:val="en-GB"/>
        </w:rPr>
        <w:t xml:space="preserve"> </w:t>
      </w:r>
      <w:r w:rsidR="007B531A">
        <w:rPr>
          <w:rFonts w:ascii="Avenir Next" w:hAnsi="Avenir Next" w:cs="Arial"/>
          <w:i/>
          <w:sz w:val="22"/>
          <w:szCs w:val="22"/>
          <w:lang w:val="en-GB"/>
        </w:rPr>
        <w:t xml:space="preserve">to the </w:t>
      </w:r>
      <w:proofErr w:type="spellStart"/>
      <w:r w:rsidR="007B531A">
        <w:rPr>
          <w:rFonts w:ascii="Avenir Next" w:hAnsi="Avenir Next" w:cs="Arial"/>
          <w:i/>
          <w:sz w:val="22"/>
          <w:szCs w:val="22"/>
          <w:lang w:val="en-GB"/>
        </w:rPr>
        <w:t>Erewhon</w:t>
      </w:r>
      <w:proofErr w:type="spellEnd"/>
      <w:r w:rsidR="007B531A">
        <w:rPr>
          <w:rFonts w:ascii="Avenir Next" w:hAnsi="Avenir Next" w:cs="Arial"/>
          <w:i/>
          <w:sz w:val="22"/>
          <w:szCs w:val="22"/>
          <w:lang w:val="en-GB"/>
        </w:rPr>
        <w:t xml:space="preserve"> liquidator</w:t>
      </w:r>
      <w:r w:rsidR="007B531A">
        <w:rPr>
          <w:rFonts w:ascii="Avenir Next" w:hAnsi="Avenir Next" w:cs="Arial"/>
          <w:sz w:val="22"/>
          <w:szCs w:val="22"/>
          <w:lang w:val="en-GB"/>
        </w:rPr>
        <w:t xml:space="preserve"> </w:t>
      </w:r>
      <w:r>
        <w:rPr>
          <w:rFonts w:ascii="Avenir Next" w:hAnsi="Avenir Next" w:cs="Arial"/>
          <w:sz w:val="22"/>
          <w:szCs w:val="22"/>
          <w:lang w:val="en-GB"/>
        </w:rPr>
        <w:t>includes</w:t>
      </w:r>
      <w:r w:rsidR="00FB7111">
        <w:rPr>
          <w:rFonts w:ascii="Avenir Next" w:hAnsi="Avenir Next" w:cs="Arial"/>
          <w:sz w:val="22"/>
          <w:szCs w:val="22"/>
          <w:lang w:val="en-GB"/>
        </w:rPr>
        <w:t xml:space="preserve"> (</w:t>
      </w:r>
      <w:proofErr w:type="spellStart"/>
      <w:r w:rsidR="00FB7111">
        <w:rPr>
          <w:rFonts w:ascii="Avenir Next" w:hAnsi="Avenir Next" w:cs="Arial"/>
          <w:i/>
          <w:sz w:val="22"/>
          <w:szCs w:val="22"/>
          <w:lang w:val="en-GB"/>
        </w:rPr>
        <w:t>n.b.</w:t>
      </w:r>
      <w:proofErr w:type="spellEnd"/>
      <w:r w:rsidR="00FB7111">
        <w:rPr>
          <w:rFonts w:ascii="Avenir Next" w:hAnsi="Avenir Next" w:cs="Arial"/>
          <w:i/>
          <w:sz w:val="22"/>
          <w:szCs w:val="22"/>
          <w:lang w:val="en-GB"/>
        </w:rPr>
        <w:t xml:space="preserve"> </w:t>
      </w:r>
      <w:r w:rsidR="00FB7111">
        <w:rPr>
          <w:rFonts w:ascii="Avenir Next" w:hAnsi="Avenir Next" w:cs="Arial"/>
          <w:sz w:val="22"/>
          <w:szCs w:val="22"/>
          <w:lang w:val="en-GB"/>
        </w:rPr>
        <w:t>References to Articles are to those in the MLCBI unless indicated otherwise)</w:t>
      </w:r>
      <w:r>
        <w:rPr>
          <w:rFonts w:ascii="Avenir Next" w:hAnsi="Avenir Next" w:cs="Arial"/>
          <w:sz w:val="22"/>
          <w:szCs w:val="22"/>
          <w:lang w:val="en-GB"/>
        </w:rPr>
        <w:t>:</w:t>
      </w:r>
    </w:p>
    <w:p w14:paraId="02551DDA" w14:textId="77777777" w:rsidR="009B4A19" w:rsidRDefault="009B4A19" w:rsidP="00C053F7">
      <w:pPr>
        <w:jc w:val="both"/>
        <w:rPr>
          <w:rFonts w:ascii="Avenir Next" w:hAnsi="Avenir Next" w:cs="Arial"/>
          <w:sz w:val="22"/>
          <w:szCs w:val="22"/>
          <w:lang w:val="en-GB"/>
        </w:rPr>
      </w:pPr>
    </w:p>
    <w:p w14:paraId="6A4D9D31" w14:textId="5B614120" w:rsidR="00285118" w:rsidRDefault="00285118" w:rsidP="007D19C5">
      <w:pPr>
        <w:pStyle w:val="ListParagraph"/>
        <w:numPr>
          <w:ilvl w:val="0"/>
          <w:numId w:val="26"/>
        </w:numPr>
        <w:ind w:left="360"/>
        <w:jc w:val="both"/>
        <w:rPr>
          <w:rFonts w:ascii="Avenir Next" w:hAnsi="Avenir Next" w:cs="Arial"/>
          <w:sz w:val="22"/>
          <w:szCs w:val="22"/>
          <w:lang w:val="en-GB"/>
        </w:rPr>
      </w:pPr>
      <w:r>
        <w:rPr>
          <w:rFonts w:ascii="Avenir Next" w:hAnsi="Avenir Next" w:cs="Arial"/>
          <w:sz w:val="22"/>
          <w:szCs w:val="22"/>
          <w:lang w:val="en-GB"/>
        </w:rPr>
        <w:t xml:space="preserve">Liquidator would be a foreign </w:t>
      </w:r>
      <w:r w:rsidR="0051168F">
        <w:rPr>
          <w:rFonts w:ascii="Avenir Next" w:hAnsi="Avenir Next" w:cs="Arial"/>
          <w:sz w:val="22"/>
          <w:szCs w:val="22"/>
          <w:lang w:val="en-GB"/>
        </w:rPr>
        <w:t>representative</w:t>
      </w:r>
      <w:r>
        <w:rPr>
          <w:rFonts w:ascii="Avenir Next" w:hAnsi="Avenir Next" w:cs="Arial"/>
          <w:sz w:val="22"/>
          <w:szCs w:val="22"/>
          <w:lang w:val="en-GB"/>
        </w:rPr>
        <w:t xml:space="preserve"> with a right of direct access </w:t>
      </w:r>
      <w:r w:rsidR="00FB7111">
        <w:rPr>
          <w:rFonts w:ascii="Avenir Next" w:hAnsi="Avenir Next" w:cs="Arial"/>
          <w:sz w:val="22"/>
          <w:szCs w:val="22"/>
          <w:lang w:val="en-GB"/>
        </w:rPr>
        <w:t>(</w:t>
      </w:r>
      <w:r>
        <w:rPr>
          <w:rFonts w:ascii="Avenir Next" w:hAnsi="Avenir Next" w:cs="Arial"/>
          <w:sz w:val="22"/>
          <w:szCs w:val="22"/>
          <w:lang w:val="en-GB"/>
        </w:rPr>
        <w:t>Articles 2(d) and 9);</w:t>
      </w:r>
    </w:p>
    <w:p w14:paraId="326AC3E3" w14:textId="08497DA2" w:rsidR="00FB7111" w:rsidRDefault="00FB7111" w:rsidP="007D19C5">
      <w:pPr>
        <w:pStyle w:val="ListParagraph"/>
        <w:numPr>
          <w:ilvl w:val="0"/>
          <w:numId w:val="26"/>
        </w:numPr>
        <w:ind w:left="360"/>
        <w:jc w:val="both"/>
        <w:rPr>
          <w:rFonts w:ascii="Avenir Next" w:hAnsi="Avenir Next" w:cs="Arial"/>
          <w:sz w:val="22"/>
          <w:szCs w:val="22"/>
          <w:lang w:val="en-GB"/>
        </w:rPr>
      </w:pPr>
      <w:r>
        <w:rPr>
          <w:rFonts w:ascii="Avenir Next" w:hAnsi="Avenir Next" w:cs="Arial"/>
          <w:sz w:val="22"/>
          <w:szCs w:val="22"/>
          <w:lang w:val="en-GB"/>
        </w:rPr>
        <w:t xml:space="preserve">Liquidator could seek to obtain recognition of the liquidation in </w:t>
      </w:r>
      <w:proofErr w:type="spellStart"/>
      <w:r>
        <w:rPr>
          <w:rFonts w:ascii="Avenir Next" w:hAnsi="Avenir Next" w:cs="Arial"/>
          <w:sz w:val="22"/>
          <w:szCs w:val="22"/>
          <w:lang w:val="en-GB"/>
        </w:rPr>
        <w:t>Erewhon</w:t>
      </w:r>
      <w:proofErr w:type="spellEnd"/>
      <w:r>
        <w:rPr>
          <w:rFonts w:ascii="Avenir Next" w:hAnsi="Avenir Next" w:cs="Arial"/>
          <w:sz w:val="22"/>
          <w:szCs w:val="22"/>
          <w:lang w:val="en-GB"/>
        </w:rPr>
        <w:t xml:space="preserve">, via Article </w:t>
      </w:r>
      <w:r w:rsidR="00C74804">
        <w:rPr>
          <w:rFonts w:ascii="Avenir Next" w:hAnsi="Avenir Next" w:cs="Arial"/>
          <w:sz w:val="22"/>
          <w:szCs w:val="22"/>
          <w:lang w:val="en-GB"/>
        </w:rPr>
        <w:t>15(1)</w:t>
      </w:r>
      <w:r w:rsidR="00DC262B">
        <w:rPr>
          <w:rFonts w:ascii="Avenir Next" w:hAnsi="Avenir Next" w:cs="Arial"/>
          <w:sz w:val="22"/>
          <w:szCs w:val="22"/>
          <w:lang w:val="en-GB"/>
        </w:rPr>
        <w:t>, as a foreign proceeding (Article 17(1)(a)) which is a foreign non-main proceeding (Article 17(2)(b))</w:t>
      </w:r>
      <w:r w:rsidR="00C74804">
        <w:rPr>
          <w:rFonts w:ascii="Avenir Next" w:hAnsi="Avenir Next" w:cs="Arial"/>
          <w:sz w:val="22"/>
          <w:szCs w:val="22"/>
          <w:lang w:val="en-GB"/>
        </w:rPr>
        <w:t>;</w:t>
      </w:r>
    </w:p>
    <w:p w14:paraId="559AC22D" w14:textId="38DE2C8A" w:rsidR="00F24167" w:rsidRPr="00F24167" w:rsidRDefault="00E131C8" w:rsidP="00F24167">
      <w:pPr>
        <w:pStyle w:val="ListParagraph"/>
        <w:numPr>
          <w:ilvl w:val="0"/>
          <w:numId w:val="26"/>
        </w:numPr>
        <w:ind w:left="360"/>
        <w:jc w:val="both"/>
        <w:rPr>
          <w:rFonts w:ascii="Avenir Next" w:hAnsi="Avenir Next" w:cs="Arial"/>
          <w:sz w:val="22"/>
          <w:szCs w:val="22"/>
          <w:lang w:val="en-GB"/>
        </w:rPr>
      </w:pPr>
      <w:r>
        <w:rPr>
          <w:rFonts w:ascii="Avenir Next" w:hAnsi="Avenir Next" w:cs="Arial"/>
          <w:sz w:val="22"/>
          <w:szCs w:val="22"/>
          <w:lang w:val="en-GB"/>
        </w:rPr>
        <w:t xml:space="preserve">If recognition granted, the </w:t>
      </w:r>
      <w:proofErr w:type="spellStart"/>
      <w:r>
        <w:rPr>
          <w:rFonts w:ascii="Avenir Next" w:hAnsi="Avenir Next" w:cs="Arial"/>
          <w:sz w:val="22"/>
          <w:szCs w:val="22"/>
          <w:lang w:val="en-GB"/>
        </w:rPr>
        <w:t>Erewhon</w:t>
      </w:r>
      <w:proofErr w:type="spellEnd"/>
      <w:r>
        <w:rPr>
          <w:rFonts w:ascii="Avenir Next" w:hAnsi="Avenir Next" w:cs="Arial"/>
          <w:sz w:val="22"/>
          <w:szCs w:val="22"/>
          <w:lang w:val="en-GB"/>
        </w:rPr>
        <w:t xml:space="preserve"> liquidator could then participate in</w:t>
      </w:r>
      <w:r w:rsidR="005A6656">
        <w:rPr>
          <w:rFonts w:ascii="Avenir Next" w:hAnsi="Avenir Next" w:cs="Arial"/>
          <w:sz w:val="22"/>
          <w:szCs w:val="22"/>
          <w:lang w:val="en-GB"/>
        </w:rPr>
        <w:t>,</w:t>
      </w:r>
      <w:r w:rsidR="00F24167">
        <w:rPr>
          <w:rFonts w:ascii="Avenir Next" w:hAnsi="Avenir Next" w:cs="Arial"/>
          <w:sz w:val="22"/>
          <w:szCs w:val="22"/>
          <w:lang w:val="en-GB"/>
        </w:rPr>
        <w:t xml:space="preserve"> intervene in</w:t>
      </w:r>
      <w:r w:rsidR="005A6656">
        <w:rPr>
          <w:rFonts w:ascii="Avenir Next" w:hAnsi="Avenir Next" w:cs="Arial"/>
          <w:sz w:val="22"/>
          <w:szCs w:val="22"/>
          <w:lang w:val="en-GB"/>
        </w:rPr>
        <w:t xml:space="preserve"> access</w:t>
      </w:r>
      <w:r>
        <w:rPr>
          <w:rFonts w:ascii="Avenir Next" w:hAnsi="Avenir Next" w:cs="Arial"/>
          <w:sz w:val="22"/>
          <w:szCs w:val="22"/>
          <w:lang w:val="en-GB"/>
        </w:rPr>
        <w:t xml:space="preserve"> and/or commence proceedings in Utopia</w:t>
      </w:r>
      <w:r w:rsidR="00E85535">
        <w:rPr>
          <w:rFonts w:ascii="Avenir Next" w:hAnsi="Avenir Next" w:cs="Arial"/>
          <w:sz w:val="22"/>
          <w:szCs w:val="22"/>
          <w:lang w:val="en-GB"/>
        </w:rPr>
        <w:t>,</w:t>
      </w:r>
      <w:r>
        <w:rPr>
          <w:rFonts w:ascii="Avenir Next" w:hAnsi="Avenir Next" w:cs="Arial"/>
          <w:sz w:val="22"/>
          <w:szCs w:val="22"/>
          <w:lang w:val="en-GB"/>
        </w:rPr>
        <w:t xml:space="preserve"> if it were relevant and</w:t>
      </w:r>
      <w:r w:rsidR="00E85535">
        <w:rPr>
          <w:rFonts w:ascii="Avenir Next" w:hAnsi="Avenir Next" w:cs="Arial"/>
          <w:sz w:val="22"/>
          <w:szCs w:val="22"/>
          <w:lang w:val="en-GB"/>
        </w:rPr>
        <w:t>/or</w:t>
      </w:r>
      <w:r>
        <w:rPr>
          <w:rFonts w:ascii="Avenir Next" w:hAnsi="Avenir Next" w:cs="Arial"/>
          <w:sz w:val="22"/>
          <w:szCs w:val="22"/>
          <w:lang w:val="en-GB"/>
        </w:rPr>
        <w:t xml:space="preserve"> appropriate to do so (depending upon provisions of Utopian law)</w:t>
      </w:r>
      <w:r w:rsidR="00903B1A">
        <w:rPr>
          <w:rFonts w:ascii="Avenir Next" w:hAnsi="Avenir Next" w:cs="Arial"/>
          <w:sz w:val="22"/>
          <w:szCs w:val="22"/>
          <w:lang w:val="en-GB"/>
        </w:rPr>
        <w:t>, pursuant to Articles 1</w:t>
      </w:r>
      <w:r w:rsidR="00E85535">
        <w:rPr>
          <w:rFonts w:ascii="Avenir Next" w:hAnsi="Avenir Next" w:cs="Arial"/>
          <w:sz w:val="22"/>
          <w:szCs w:val="22"/>
          <w:lang w:val="en-GB"/>
        </w:rPr>
        <w:t>1</w:t>
      </w:r>
      <w:r w:rsidR="00903B1A">
        <w:rPr>
          <w:rFonts w:ascii="Avenir Next" w:hAnsi="Avenir Next" w:cs="Arial"/>
          <w:sz w:val="22"/>
          <w:szCs w:val="22"/>
          <w:lang w:val="en-GB"/>
        </w:rPr>
        <w:t xml:space="preserve"> to 13</w:t>
      </w:r>
      <w:r w:rsidR="00F24167">
        <w:rPr>
          <w:rFonts w:ascii="Avenir Next" w:hAnsi="Avenir Next" w:cs="Arial"/>
          <w:sz w:val="22"/>
          <w:szCs w:val="22"/>
          <w:lang w:val="en-GB"/>
        </w:rPr>
        <w:t xml:space="preserve"> and 23 to 24</w:t>
      </w:r>
      <w:r w:rsidR="00903B1A">
        <w:rPr>
          <w:rFonts w:ascii="Avenir Next" w:hAnsi="Avenir Next" w:cs="Arial"/>
          <w:sz w:val="22"/>
          <w:szCs w:val="22"/>
          <w:lang w:val="en-GB"/>
        </w:rPr>
        <w:t>;</w:t>
      </w:r>
    </w:p>
    <w:p w14:paraId="2155AA02" w14:textId="0843C137" w:rsidR="00FB7111" w:rsidRDefault="00DC262B" w:rsidP="007D19C5">
      <w:pPr>
        <w:pStyle w:val="ListParagraph"/>
        <w:numPr>
          <w:ilvl w:val="0"/>
          <w:numId w:val="26"/>
        </w:numPr>
        <w:ind w:left="360"/>
        <w:jc w:val="both"/>
        <w:rPr>
          <w:rFonts w:ascii="Avenir Next" w:hAnsi="Avenir Next" w:cs="Arial"/>
          <w:sz w:val="22"/>
          <w:szCs w:val="22"/>
          <w:lang w:val="en-GB"/>
        </w:rPr>
      </w:pPr>
      <w:r>
        <w:rPr>
          <w:rFonts w:ascii="Avenir Next" w:hAnsi="Avenir Next" w:cs="Arial"/>
          <w:sz w:val="22"/>
          <w:szCs w:val="22"/>
          <w:lang w:val="en-GB"/>
        </w:rPr>
        <w:t>Utopia would be presumed to be the centre of main interest (Article 16(3))</w:t>
      </w:r>
      <w:r w:rsidR="00FF1048">
        <w:rPr>
          <w:rFonts w:ascii="Avenir Next" w:hAnsi="Avenir Next" w:cs="Arial"/>
          <w:sz w:val="22"/>
          <w:szCs w:val="22"/>
          <w:lang w:val="en-GB"/>
        </w:rPr>
        <w:t>;</w:t>
      </w:r>
    </w:p>
    <w:p w14:paraId="543F5A81" w14:textId="58EC0CB4" w:rsidR="00FF1048" w:rsidRDefault="00FF1048" w:rsidP="007D19C5">
      <w:pPr>
        <w:pStyle w:val="ListParagraph"/>
        <w:numPr>
          <w:ilvl w:val="0"/>
          <w:numId w:val="26"/>
        </w:numPr>
        <w:ind w:left="360"/>
        <w:jc w:val="both"/>
        <w:rPr>
          <w:rFonts w:ascii="Avenir Next" w:hAnsi="Avenir Next" w:cs="Arial"/>
          <w:sz w:val="22"/>
          <w:szCs w:val="22"/>
          <w:lang w:val="en-GB"/>
        </w:rPr>
      </w:pPr>
      <w:r>
        <w:rPr>
          <w:rFonts w:ascii="Avenir Next" w:hAnsi="Avenir Next" w:cs="Arial"/>
          <w:sz w:val="22"/>
          <w:szCs w:val="22"/>
          <w:lang w:val="en-GB"/>
        </w:rPr>
        <w:t>Liquidator may need to seek provisional relief, depending upon circumstances (Article 19);</w:t>
      </w:r>
    </w:p>
    <w:p w14:paraId="4E748435" w14:textId="0EFC9D60" w:rsidR="00FF1048" w:rsidRDefault="00FF1048" w:rsidP="007D19C5">
      <w:pPr>
        <w:pStyle w:val="ListParagraph"/>
        <w:numPr>
          <w:ilvl w:val="0"/>
          <w:numId w:val="26"/>
        </w:numPr>
        <w:ind w:left="360"/>
        <w:jc w:val="both"/>
        <w:rPr>
          <w:rFonts w:ascii="Avenir Next" w:hAnsi="Avenir Next" w:cs="Arial"/>
          <w:sz w:val="22"/>
          <w:szCs w:val="22"/>
          <w:lang w:val="en-GB"/>
        </w:rPr>
      </w:pPr>
      <w:r>
        <w:rPr>
          <w:rFonts w:ascii="Avenir Next" w:hAnsi="Avenir Next" w:cs="Arial"/>
          <w:sz w:val="22"/>
          <w:szCs w:val="22"/>
          <w:lang w:val="en-GB"/>
        </w:rPr>
        <w:t xml:space="preserve">Liquidator would </w:t>
      </w:r>
      <w:r w:rsidR="00364BBB">
        <w:rPr>
          <w:rFonts w:ascii="Avenir Next" w:hAnsi="Avenir Next" w:cs="Arial"/>
          <w:sz w:val="22"/>
          <w:szCs w:val="22"/>
          <w:lang w:val="en-GB"/>
        </w:rPr>
        <w:t xml:space="preserve">not </w:t>
      </w:r>
      <w:r>
        <w:rPr>
          <w:rFonts w:ascii="Avenir Next" w:hAnsi="Avenir Next" w:cs="Arial"/>
          <w:sz w:val="22"/>
          <w:szCs w:val="22"/>
          <w:lang w:val="en-GB"/>
        </w:rPr>
        <w:t>obtain automatic stay</w:t>
      </w:r>
      <w:r w:rsidR="00364BBB">
        <w:rPr>
          <w:rFonts w:ascii="Avenir Next" w:hAnsi="Avenir Next" w:cs="Arial"/>
          <w:sz w:val="22"/>
          <w:szCs w:val="22"/>
          <w:lang w:val="en-GB"/>
        </w:rPr>
        <w:t xml:space="preserve"> on basis of liquidation in </w:t>
      </w:r>
      <w:proofErr w:type="spellStart"/>
      <w:r w:rsidR="00364BBB">
        <w:rPr>
          <w:rFonts w:ascii="Avenir Next" w:hAnsi="Avenir Next" w:cs="Arial"/>
          <w:sz w:val="22"/>
          <w:szCs w:val="22"/>
          <w:lang w:val="en-GB"/>
        </w:rPr>
        <w:t>Erewhon</w:t>
      </w:r>
      <w:proofErr w:type="spellEnd"/>
      <w:r w:rsidR="00416DB3">
        <w:rPr>
          <w:rFonts w:ascii="Avenir Next" w:hAnsi="Avenir Next" w:cs="Arial"/>
          <w:sz w:val="22"/>
          <w:szCs w:val="22"/>
          <w:lang w:val="en-GB"/>
        </w:rPr>
        <w:t xml:space="preserve">, given that </w:t>
      </w:r>
      <w:proofErr w:type="spellStart"/>
      <w:r w:rsidR="00416DB3">
        <w:rPr>
          <w:rFonts w:ascii="Avenir Next" w:hAnsi="Avenir Next" w:cs="Arial"/>
          <w:sz w:val="22"/>
          <w:szCs w:val="22"/>
          <w:lang w:val="en-GB"/>
        </w:rPr>
        <w:t>Erewhon</w:t>
      </w:r>
      <w:proofErr w:type="spellEnd"/>
      <w:r w:rsidR="00416DB3">
        <w:rPr>
          <w:rFonts w:ascii="Avenir Next" w:hAnsi="Avenir Next" w:cs="Arial"/>
          <w:sz w:val="22"/>
          <w:szCs w:val="22"/>
          <w:lang w:val="en-GB"/>
        </w:rPr>
        <w:t xml:space="preserve"> liquidation is likely </w:t>
      </w:r>
      <w:r w:rsidR="00416DB3" w:rsidRPr="00416DB3">
        <w:rPr>
          <w:rFonts w:ascii="Avenir Next" w:hAnsi="Avenir Next" w:cs="Arial"/>
          <w:i/>
          <w:sz w:val="22"/>
          <w:szCs w:val="22"/>
          <w:u w:val="single"/>
          <w:lang w:val="en-GB"/>
        </w:rPr>
        <w:t>not</w:t>
      </w:r>
      <w:r w:rsidR="00364BBB">
        <w:rPr>
          <w:rFonts w:ascii="Avenir Next" w:hAnsi="Avenir Next" w:cs="Arial"/>
          <w:sz w:val="22"/>
          <w:szCs w:val="22"/>
          <w:lang w:val="en-GB"/>
        </w:rPr>
        <w:t xml:space="preserve"> </w:t>
      </w:r>
      <w:r w:rsidR="00416DB3">
        <w:rPr>
          <w:rFonts w:ascii="Avenir Next" w:hAnsi="Avenir Next" w:cs="Arial"/>
          <w:sz w:val="22"/>
          <w:szCs w:val="22"/>
          <w:lang w:val="en-GB"/>
        </w:rPr>
        <w:t xml:space="preserve">a </w:t>
      </w:r>
      <w:r w:rsidR="00364BBB">
        <w:rPr>
          <w:rFonts w:ascii="Avenir Next" w:hAnsi="Avenir Next" w:cs="Arial"/>
          <w:sz w:val="22"/>
          <w:szCs w:val="22"/>
          <w:lang w:val="en-GB"/>
        </w:rPr>
        <w:t xml:space="preserve">foreign </w:t>
      </w:r>
      <w:r w:rsidR="00364BBB">
        <w:rPr>
          <w:rFonts w:ascii="Avenir Next" w:hAnsi="Avenir Next" w:cs="Arial"/>
          <w:sz w:val="22"/>
          <w:szCs w:val="22"/>
          <w:u w:val="single"/>
          <w:lang w:val="en-GB"/>
        </w:rPr>
        <w:t>main</w:t>
      </w:r>
      <w:r w:rsidR="00364BBB">
        <w:rPr>
          <w:rFonts w:ascii="Avenir Next" w:hAnsi="Avenir Next" w:cs="Arial"/>
          <w:sz w:val="22"/>
          <w:szCs w:val="22"/>
          <w:lang w:val="en-GB"/>
        </w:rPr>
        <w:t xml:space="preserve"> proceeding</w:t>
      </w:r>
      <w:r>
        <w:rPr>
          <w:rFonts w:ascii="Avenir Next" w:hAnsi="Avenir Next" w:cs="Arial"/>
          <w:sz w:val="22"/>
          <w:szCs w:val="22"/>
          <w:lang w:val="en-GB"/>
        </w:rPr>
        <w:t xml:space="preserve"> (Article 20</w:t>
      </w:r>
      <w:r w:rsidR="00364BBB">
        <w:rPr>
          <w:rFonts w:ascii="Avenir Next" w:hAnsi="Avenir Next" w:cs="Arial"/>
          <w:sz w:val="22"/>
          <w:szCs w:val="22"/>
          <w:lang w:val="en-GB"/>
        </w:rPr>
        <w:t>(1)</w:t>
      </w:r>
      <w:r>
        <w:rPr>
          <w:rFonts w:ascii="Avenir Next" w:hAnsi="Avenir Next" w:cs="Arial"/>
          <w:sz w:val="22"/>
          <w:szCs w:val="22"/>
          <w:lang w:val="en-GB"/>
        </w:rPr>
        <w:t>);</w:t>
      </w:r>
    </w:p>
    <w:p w14:paraId="3F0E8005" w14:textId="25D52580" w:rsidR="00FF1048" w:rsidRDefault="003F2827" w:rsidP="007D19C5">
      <w:pPr>
        <w:pStyle w:val="ListParagraph"/>
        <w:numPr>
          <w:ilvl w:val="0"/>
          <w:numId w:val="26"/>
        </w:numPr>
        <w:ind w:left="360"/>
        <w:jc w:val="both"/>
        <w:rPr>
          <w:rFonts w:ascii="Avenir Next" w:hAnsi="Avenir Next" w:cs="Arial"/>
          <w:sz w:val="22"/>
          <w:szCs w:val="22"/>
          <w:lang w:val="en-GB"/>
        </w:rPr>
      </w:pPr>
      <w:r>
        <w:rPr>
          <w:rFonts w:ascii="Avenir Next" w:hAnsi="Avenir Next" w:cs="Arial"/>
          <w:sz w:val="22"/>
          <w:szCs w:val="22"/>
          <w:lang w:val="en-GB"/>
        </w:rPr>
        <w:t>Liquidator could apply for relief under Article 21</w:t>
      </w:r>
      <w:r w:rsidR="00416DB3">
        <w:rPr>
          <w:rFonts w:ascii="Avenir Next" w:hAnsi="Avenir Next" w:cs="Arial"/>
          <w:sz w:val="22"/>
          <w:szCs w:val="22"/>
          <w:lang w:val="en-GB"/>
        </w:rPr>
        <w:t xml:space="preserve"> though</w:t>
      </w:r>
      <w:r>
        <w:rPr>
          <w:rFonts w:ascii="Avenir Next" w:hAnsi="Avenir Next" w:cs="Arial"/>
          <w:sz w:val="22"/>
          <w:szCs w:val="22"/>
          <w:lang w:val="en-GB"/>
        </w:rPr>
        <w:t xml:space="preserve">, including a stay of the </w:t>
      </w:r>
      <w:r>
        <w:rPr>
          <w:rFonts w:ascii="Avenir Next" w:hAnsi="Avenir Next" w:cs="Arial"/>
          <w:i/>
          <w:sz w:val="22"/>
          <w:szCs w:val="22"/>
          <w:lang w:val="en-GB"/>
        </w:rPr>
        <w:t>Apex Nadir</w:t>
      </w:r>
      <w:r>
        <w:rPr>
          <w:rFonts w:ascii="Avenir Next" w:hAnsi="Avenir Next" w:cs="Arial"/>
          <w:sz w:val="22"/>
          <w:szCs w:val="22"/>
          <w:lang w:val="en-GB"/>
        </w:rPr>
        <w:t xml:space="preserve"> litigation</w:t>
      </w:r>
      <w:r w:rsidR="0012556C">
        <w:rPr>
          <w:rFonts w:ascii="Avenir Next" w:hAnsi="Avenir Next" w:cs="Arial"/>
          <w:sz w:val="22"/>
          <w:szCs w:val="22"/>
          <w:lang w:val="en-GB"/>
        </w:rPr>
        <w:t>; and</w:t>
      </w:r>
    </w:p>
    <w:p w14:paraId="7B3A785C" w14:textId="6ABE4805" w:rsidR="007D19C5" w:rsidRPr="0012556C" w:rsidRDefault="00F70C88" w:rsidP="0012556C">
      <w:pPr>
        <w:pStyle w:val="ListParagraph"/>
        <w:numPr>
          <w:ilvl w:val="0"/>
          <w:numId w:val="26"/>
        </w:numPr>
        <w:ind w:left="360"/>
        <w:jc w:val="both"/>
        <w:rPr>
          <w:rFonts w:ascii="Avenir Next" w:hAnsi="Avenir Next" w:cs="Arial"/>
          <w:sz w:val="22"/>
          <w:szCs w:val="22"/>
          <w:lang w:val="en-GB"/>
        </w:rPr>
      </w:pPr>
      <w:r>
        <w:rPr>
          <w:rFonts w:ascii="Avenir Next" w:hAnsi="Avenir Next" w:cs="Arial"/>
          <w:sz w:val="22"/>
          <w:szCs w:val="22"/>
          <w:lang w:val="en-GB"/>
        </w:rPr>
        <w:t xml:space="preserve">Liquidator entitled to maximum cooperation from </w:t>
      </w:r>
      <w:proofErr w:type="spellStart"/>
      <w:r>
        <w:rPr>
          <w:rFonts w:ascii="Avenir Next" w:hAnsi="Avenir Next" w:cs="Arial"/>
          <w:sz w:val="22"/>
          <w:szCs w:val="22"/>
          <w:lang w:val="en-GB"/>
        </w:rPr>
        <w:t>Erewhon</w:t>
      </w:r>
      <w:proofErr w:type="spellEnd"/>
      <w:r>
        <w:rPr>
          <w:rFonts w:ascii="Avenir Next" w:hAnsi="Avenir Next" w:cs="Arial"/>
          <w:sz w:val="22"/>
          <w:szCs w:val="22"/>
          <w:lang w:val="en-GB"/>
        </w:rPr>
        <w:t xml:space="preserve"> Court (Article 25)</w:t>
      </w:r>
      <w:r w:rsidR="0012556C">
        <w:rPr>
          <w:rFonts w:ascii="Avenir Next" w:hAnsi="Avenir Next" w:cs="Arial"/>
          <w:sz w:val="22"/>
          <w:szCs w:val="22"/>
          <w:lang w:val="en-GB"/>
        </w:rPr>
        <w:t>.</w:t>
      </w:r>
    </w:p>
    <w:p w14:paraId="7DC19BDD" w14:textId="452E3A43" w:rsidR="00827D56" w:rsidRDefault="00827D56" w:rsidP="00C053F7">
      <w:pPr>
        <w:jc w:val="both"/>
        <w:rPr>
          <w:rFonts w:ascii="Avenir Next" w:hAnsi="Avenir Next" w:cs="Arial"/>
          <w:sz w:val="22"/>
          <w:szCs w:val="22"/>
          <w:lang w:val="en-GB"/>
        </w:rPr>
      </w:pPr>
    </w:p>
    <w:p w14:paraId="197DFDAD" w14:textId="77777777" w:rsidR="00E3772D" w:rsidRPr="00827D56" w:rsidRDefault="00E3772D"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140C3740"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p>
    <w:p w14:paraId="33B046DA" w14:textId="77777777" w:rsidR="002D3473" w:rsidRPr="00827D56" w:rsidRDefault="002D3473" w:rsidP="00055893">
      <w:pPr>
        <w:ind w:left="426"/>
        <w:jc w:val="both"/>
        <w:rPr>
          <w:rFonts w:ascii="Avenir Next" w:hAnsi="Avenir Next" w:cs="Arial"/>
          <w:sz w:val="22"/>
          <w:szCs w:val="22"/>
          <w:lang w:val="en-GB"/>
        </w:rPr>
      </w:pPr>
    </w:p>
    <w:p w14:paraId="27FE742D" w14:textId="188FF978"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winding-up order. </w:t>
      </w:r>
    </w:p>
    <w:p w14:paraId="67BB985E" w14:textId="0EA81502" w:rsidR="009B0723" w:rsidRDefault="009B0723" w:rsidP="00C053F7">
      <w:pPr>
        <w:autoSpaceDE w:val="0"/>
        <w:autoSpaceDN w:val="0"/>
        <w:adjustRightInd w:val="0"/>
        <w:spacing w:line="276" w:lineRule="auto"/>
        <w:jc w:val="both"/>
        <w:rPr>
          <w:rFonts w:ascii="Avenir Next" w:hAnsi="Avenir Next" w:cs="Arial"/>
          <w:sz w:val="22"/>
          <w:szCs w:val="22"/>
          <w:lang w:val="en-GB"/>
        </w:rPr>
      </w:pPr>
    </w:p>
    <w:p w14:paraId="2F92385C" w14:textId="77777777" w:rsidR="00060A67" w:rsidRDefault="00C3706F" w:rsidP="00C053F7">
      <w:pPr>
        <w:autoSpaceDE w:val="0"/>
        <w:autoSpaceDN w:val="0"/>
        <w:adjustRightInd w:val="0"/>
        <w:spacing w:line="276" w:lineRule="auto"/>
        <w:jc w:val="both"/>
        <w:rPr>
          <w:rFonts w:ascii="Avenir Next" w:hAnsi="Avenir Next" w:cs="Arial"/>
          <w:sz w:val="22"/>
          <w:szCs w:val="22"/>
          <w:lang w:val="en-GB"/>
        </w:rPr>
      </w:pPr>
      <w:r w:rsidRPr="00060A67">
        <w:rPr>
          <w:rFonts w:ascii="Avenir Next" w:hAnsi="Avenir Next" w:cs="Arial"/>
          <w:sz w:val="22"/>
          <w:szCs w:val="22"/>
          <w:u w:val="single"/>
          <w:lang w:val="en-GB"/>
        </w:rPr>
        <w:t>Question (a)</w:t>
      </w:r>
      <w:r>
        <w:rPr>
          <w:rFonts w:ascii="Avenir Next" w:hAnsi="Avenir Next" w:cs="Arial"/>
          <w:sz w:val="22"/>
          <w:szCs w:val="22"/>
          <w:lang w:val="en-GB"/>
        </w:rPr>
        <w:t xml:space="preserve"> </w:t>
      </w:r>
    </w:p>
    <w:p w14:paraId="41E5A94D" w14:textId="1D3AE673" w:rsidR="00C3706F" w:rsidRDefault="00060A67" w:rsidP="00C053F7">
      <w:pPr>
        <w:autoSpaceDE w:val="0"/>
        <w:autoSpaceDN w:val="0"/>
        <w:adjustRightInd w:val="0"/>
        <w:spacing w:line="276" w:lineRule="auto"/>
        <w:jc w:val="both"/>
        <w:rPr>
          <w:rFonts w:ascii="Avenir Next" w:hAnsi="Avenir Next" w:cs="Arial"/>
          <w:sz w:val="22"/>
          <w:szCs w:val="22"/>
          <w:lang w:val="en-GB"/>
        </w:rPr>
      </w:pPr>
      <w:r>
        <w:rPr>
          <w:rFonts w:ascii="Avenir Next" w:hAnsi="Avenir Next" w:cs="Arial"/>
          <w:sz w:val="22"/>
          <w:szCs w:val="22"/>
          <w:lang w:val="en-GB"/>
        </w:rPr>
        <w:t xml:space="preserve">The question </w:t>
      </w:r>
      <w:r w:rsidR="00434729">
        <w:rPr>
          <w:rFonts w:ascii="Avenir Next" w:hAnsi="Avenir Next" w:cs="Arial"/>
          <w:sz w:val="22"/>
          <w:szCs w:val="22"/>
          <w:lang w:val="en-GB"/>
        </w:rPr>
        <w:t>d</w:t>
      </w:r>
      <w:r w:rsidR="00C3706F">
        <w:rPr>
          <w:rFonts w:ascii="Avenir Next" w:hAnsi="Avenir Next" w:cs="Arial"/>
          <w:sz w:val="22"/>
          <w:szCs w:val="22"/>
          <w:lang w:val="en-GB"/>
        </w:rPr>
        <w:t xml:space="preserve">oes not say where the proceedings have been filed (but presumably in Utopia if that is where Nadir is now registered and a creditor in </w:t>
      </w:r>
      <w:proofErr w:type="spellStart"/>
      <w:r w:rsidR="00C3706F">
        <w:rPr>
          <w:rFonts w:ascii="Avenir Next" w:hAnsi="Avenir Next" w:cs="Arial"/>
          <w:sz w:val="22"/>
          <w:szCs w:val="22"/>
          <w:lang w:val="en-GB"/>
        </w:rPr>
        <w:t>Erewhon</w:t>
      </w:r>
      <w:proofErr w:type="spellEnd"/>
      <w:r w:rsidR="00C3706F">
        <w:rPr>
          <w:rFonts w:ascii="Avenir Next" w:hAnsi="Avenir Next" w:cs="Arial"/>
          <w:sz w:val="22"/>
          <w:szCs w:val="22"/>
          <w:lang w:val="en-GB"/>
        </w:rPr>
        <w:t xml:space="preserve"> has already obtained a winding-up order </w:t>
      </w:r>
      <w:r w:rsidR="00631108">
        <w:rPr>
          <w:rFonts w:ascii="Avenir Next" w:hAnsi="Avenir Next" w:cs="Arial"/>
          <w:sz w:val="22"/>
          <w:szCs w:val="22"/>
          <w:lang w:val="en-GB"/>
        </w:rPr>
        <w:t xml:space="preserve">in </w:t>
      </w:r>
      <w:proofErr w:type="spellStart"/>
      <w:r w:rsidR="00631108">
        <w:rPr>
          <w:rFonts w:ascii="Avenir Next" w:hAnsi="Avenir Next" w:cs="Arial"/>
          <w:sz w:val="22"/>
          <w:szCs w:val="22"/>
          <w:lang w:val="en-GB"/>
        </w:rPr>
        <w:t>Erewhon</w:t>
      </w:r>
      <w:proofErr w:type="spellEnd"/>
      <w:r w:rsidR="00C3706F">
        <w:rPr>
          <w:rFonts w:ascii="Avenir Next" w:hAnsi="Avenir Next" w:cs="Arial"/>
          <w:sz w:val="22"/>
          <w:szCs w:val="22"/>
          <w:lang w:val="en-GB"/>
        </w:rPr>
        <w:t xml:space="preserve">). Assuming that to be the position, the answer is that this makes a difference in the sense </w:t>
      </w:r>
      <w:r w:rsidR="00C3706F">
        <w:rPr>
          <w:rFonts w:ascii="Avenir Next" w:hAnsi="Avenir Next" w:cs="Arial"/>
          <w:sz w:val="22"/>
          <w:szCs w:val="22"/>
          <w:lang w:val="en-GB"/>
        </w:rPr>
        <w:lastRenderedPageBreak/>
        <w:t xml:space="preserve">that the </w:t>
      </w:r>
      <w:proofErr w:type="spellStart"/>
      <w:r w:rsidR="00C3706F">
        <w:rPr>
          <w:rFonts w:ascii="Avenir Next" w:hAnsi="Avenir Next" w:cs="Arial"/>
          <w:sz w:val="22"/>
          <w:szCs w:val="22"/>
          <w:lang w:val="en-GB"/>
        </w:rPr>
        <w:t>Erewhon</w:t>
      </w:r>
      <w:proofErr w:type="spellEnd"/>
      <w:r w:rsidR="00C3706F">
        <w:rPr>
          <w:rFonts w:ascii="Avenir Next" w:hAnsi="Avenir Next" w:cs="Arial"/>
          <w:sz w:val="22"/>
          <w:szCs w:val="22"/>
          <w:lang w:val="en-GB"/>
        </w:rPr>
        <w:t xml:space="preserve"> liquidator may, at the very least, wish to participate </w:t>
      </w:r>
      <w:r w:rsidR="00C3706F" w:rsidRPr="00060A67">
        <w:rPr>
          <w:rFonts w:ascii="Avenir Next" w:hAnsi="Avenir Next" w:cs="Arial"/>
          <w:i/>
          <w:sz w:val="22"/>
          <w:szCs w:val="22"/>
          <w:u w:val="single"/>
          <w:lang w:val="en-GB"/>
        </w:rPr>
        <w:t>in the Utopia winding-up proceedings</w:t>
      </w:r>
      <w:r w:rsidR="00D5667E">
        <w:rPr>
          <w:rFonts w:ascii="Avenir Next" w:hAnsi="Avenir Next" w:cs="Arial"/>
          <w:sz w:val="22"/>
          <w:szCs w:val="22"/>
          <w:lang w:val="en-GB"/>
        </w:rPr>
        <w:t xml:space="preserve"> as a foreign </w:t>
      </w:r>
      <w:r w:rsidR="00D744B3">
        <w:rPr>
          <w:rFonts w:ascii="Avenir Next" w:hAnsi="Avenir Next" w:cs="Arial"/>
          <w:sz w:val="22"/>
          <w:szCs w:val="22"/>
          <w:lang w:val="en-GB"/>
        </w:rPr>
        <w:t>representative</w:t>
      </w:r>
      <w:r w:rsidR="00434729">
        <w:rPr>
          <w:rFonts w:ascii="Avenir Next" w:hAnsi="Avenir Next" w:cs="Arial"/>
          <w:sz w:val="22"/>
          <w:szCs w:val="22"/>
          <w:lang w:val="en-GB"/>
        </w:rPr>
        <w:t xml:space="preserve"> after obtaining recognition</w:t>
      </w:r>
      <w:r w:rsidR="00D744B3">
        <w:rPr>
          <w:rFonts w:ascii="Avenir Next" w:hAnsi="Avenir Next" w:cs="Arial"/>
          <w:sz w:val="22"/>
          <w:szCs w:val="22"/>
          <w:lang w:val="en-GB"/>
        </w:rPr>
        <w:t>)</w:t>
      </w:r>
      <w:r w:rsidR="00C3706F">
        <w:rPr>
          <w:rFonts w:ascii="Avenir Next" w:hAnsi="Avenir Next" w:cs="Arial"/>
          <w:sz w:val="22"/>
          <w:szCs w:val="22"/>
          <w:lang w:val="en-GB"/>
        </w:rPr>
        <w:t xml:space="preserve">. </w:t>
      </w:r>
    </w:p>
    <w:p w14:paraId="71B43D8B" w14:textId="77777777" w:rsidR="00C3706F" w:rsidRDefault="00C3706F" w:rsidP="00C053F7">
      <w:pPr>
        <w:autoSpaceDE w:val="0"/>
        <w:autoSpaceDN w:val="0"/>
        <w:adjustRightInd w:val="0"/>
        <w:spacing w:line="276" w:lineRule="auto"/>
        <w:jc w:val="both"/>
        <w:rPr>
          <w:rFonts w:ascii="Avenir Next" w:hAnsi="Avenir Next" w:cs="Arial"/>
          <w:sz w:val="22"/>
          <w:szCs w:val="22"/>
          <w:lang w:val="en-GB"/>
        </w:rPr>
      </w:pPr>
    </w:p>
    <w:p w14:paraId="6544CD32" w14:textId="4ED5AD39" w:rsidR="00C3706F" w:rsidRPr="00060A67" w:rsidRDefault="00C3706F" w:rsidP="00C053F7">
      <w:pPr>
        <w:autoSpaceDE w:val="0"/>
        <w:autoSpaceDN w:val="0"/>
        <w:adjustRightInd w:val="0"/>
        <w:spacing w:line="276" w:lineRule="auto"/>
        <w:jc w:val="both"/>
        <w:rPr>
          <w:rFonts w:ascii="Avenir Next" w:hAnsi="Avenir Next" w:cs="Arial"/>
          <w:sz w:val="22"/>
          <w:szCs w:val="22"/>
          <w:u w:val="single"/>
          <w:lang w:val="en-GB"/>
        </w:rPr>
      </w:pPr>
      <w:r w:rsidRPr="00060A67">
        <w:rPr>
          <w:rFonts w:ascii="Avenir Next" w:hAnsi="Avenir Next" w:cs="Arial"/>
          <w:sz w:val="22"/>
          <w:szCs w:val="22"/>
          <w:u w:val="single"/>
          <w:lang w:val="en-GB"/>
        </w:rPr>
        <w:t xml:space="preserve">Question (b) </w:t>
      </w:r>
    </w:p>
    <w:p w14:paraId="3C3D12BA" w14:textId="2535616E" w:rsidR="00C3706F" w:rsidRDefault="00060A67" w:rsidP="00C053F7">
      <w:pPr>
        <w:autoSpaceDE w:val="0"/>
        <w:autoSpaceDN w:val="0"/>
        <w:adjustRightInd w:val="0"/>
        <w:spacing w:line="276" w:lineRule="auto"/>
        <w:jc w:val="both"/>
        <w:rPr>
          <w:rFonts w:ascii="Avenir Next" w:hAnsi="Avenir Next" w:cs="Arial"/>
          <w:sz w:val="22"/>
          <w:szCs w:val="22"/>
          <w:lang w:val="en-GB"/>
        </w:rPr>
      </w:pPr>
      <w:r>
        <w:rPr>
          <w:rFonts w:ascii="Avenir Next" w:hAnsi="Avenir Next" w:cs="Arial"/>
          <w:sz w:val="22"/>
          <w:szCs w:val="22"/>
          <w:lang w:val="en-GB"/>
        </w:rPr>
        <w:t xml:space="preserve">The facts mean that concurrent proceedings </w:t>
      </w:r>
      <w:r w:rsidR="00D00E70">
        <w:rPr>
          <w:rFonts w:ascii="Avenir Next" w:hAnsi="Avenir Next" w:cs="Arial"/>
          <w:sz w:val="22"/>
          <w:szCs w:val="22"/>
          <w:lang w:val="en-GB"/>
        </w:rPr>
        <w:t>are taking / have taken place</w:t>
      </w:r>
      <w:r>
        <w:rPr>
          <w:rFonts w:ascii="Avenir Next" w:hAnsi="Avenir Next" w:cs="Arial"/>
          <w:sz w:val="22"/>
          <w:szCs w:val="22"/>
          <w:lang w:val="en-GB"/>
        </w:rPr>
        <w:t xml:space="preserve">. </w:t>
      </w:r>
      <w:r w:rsidR="008E4935">
        <w:rPr>
          <w:rFonts w:ascii="Avenir Next" w:hAnsi="Avenir Next" w:cs="Arial"/>
          <w:sz w:val="22"/>
          <w:szCs w:val="22"/>
          <w:lang w:val="en-GB"/>
        </w:rPr>
        <w:t xml:space="preserve">Moreover, if the </w:t>
      </w:r>
      <w:proofErr w:type="spellStart"/>
      <w:r w:rsidR="008E4935">
        <w:rPr>
          <w:rFonts w:ascii="Avenir Next" w:hAnsi="Avenir Next" w:cs="Arial"/>
          <w:sz w:val="22"/>
          <w:szCs w:val="22"/>
          <w:lang w:val="en-GB"/>
        </w:rPr>
        <w:t>Erewhon</w:t>
      </w:r>
      <w:proofErr w:type="spellEnd"/>
      <w:r w:rsidR="008E4935">
        <w:rPr>
          <w:rFonts w:ascii="Avenir Next" w:hAnsi="Avenir Next" w:cs="Arial"/>
          <w:sz w:val="22"/>
          <w:szCs w:val="22"/>
          <w:lang w:val="en-GB"/>
        </w:rPr>
        <w:t xml:space="preserve"> liquidator sought recognition in Utopia Article 29(a)(</w:t>
      </w:r>
      <w:proofErr w:type="spellStart"/>
      <w:r w:rsidR="008E4935">
        <w:rPr>
          <w:rFonts w:ascii="Avenir Next" w:hAnsi="Avenir Next" w:cs="Arial"/>
          <w:sz w:val="22"/>
          <w:szCs w:val="22"/>
          <w:lang w:val="en-GB"/>
        </w:rPr>
        <w:t>i</w:t>
      </w:r>
      <w:proofErr w:type="spellEnd"/>
      <w:r w:rsidR="008E4935">
        <w:rPr>
          <w:rFonts w:ascii="Avenir Next" w:hAnsi="Avenir Next" w:cs="Arial"/>
          <w:sz w:val="22"/>
          <w:szCs w:val="22"/>
          <w:lang w:val="en-GB"/>
        </w:rPr>
        <w:t xml:space="preserve">) would apply – relief granted to the </w:t>
      </w:r>
      <w:proofErr w:type="spellStart"/>
      <w:r w:rsidR="008E4935">
        <w:rPr>
          <w:rFonts w:ascii="Avenir Next" w:hAnsi="Avenir Next" w:cs="Arial"/>
          <w:sz w:val="22"/>
          <w:szCs w:val="22"/>
          <w:lang w:val="en-GB"/>
        </w:rPr>
        <w:t>Erewhon</w:t>
      </w:r>
      <w:proofErr w:type="spellEnd"/>
      <w:r w:rsidR="008E4935">
        <w:rPr>
          <w:rFonts w:ascii="Avenir Next" w:hAnsi="Avenir Next" w:cs="Arial"/>
          <w:sz w:val="22"/>
          <w:szCs w:val="22"/>
          <w:lang w:val="en-GB"/>
        </w:rPr>
        <w:t xml:space="preserve"> liquidator would have to be consistent with proceedings in Utopia. </w:t>
      </w:r>
    </w:p>
    <w:p w14:paraId="4C06A376" w14:textId="77777777" w:rsidR="00F22FC8" w:rsidRPr="00827D56" w:rsidRDefault="00F22FC8"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a number of States and </w:t>
      </w:r>
      <w:r w:rsidRPr="00827D56">
        <w:rPr>
          <w:rFonts w:ascii="Avenir Next" w:hAnsi="Avenir Next" w:cs="Arial"/>
          <w:sz w:val="22"/>
          <w:szCs w:val="22"/>
          <w:lang w:val="en-GB"/>
        </w:rPr>
        <w:t>has assets (real property or interest in land, other tangible assets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5DF0C92" w:rsidR="002D0021" w:rsidRPr="00827D56"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select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0"/>
      <w:r w:rsidR="00610388" w:rsidRPr="00827D56">
        <w:rPr>
          <w:rFonts w:ascii="Avenir Next" w:hAnsi="Avenir Next" w:cs="Arial"/>
          <w:sz w:val="22"/>
          <w:szCs w:val="22"/>
          <w:lang w:val="en-GB"/>
        </w:rPr>
        <w:t>?</w:t>
      </w:r>
    </w:p>
    <w:p w14:paraId="44D8DC8E" w14:textId="77777777" w:rsidR="002D0021" w:rsidRPr="00827D56" w:rsidRDefault="002D0021" w:rsidP="00C053F7">
      <w:pPr>
        <w:jc w:val="both"/>
        <w:rPr>
          <w:rFonts w:ascii="Avenir Next" w:hAnsi="Avenir Next" w:cs="Arial"/>
          <w:sz w:val="22"/>
          <w:szCs w:val="22"/>
          <w:lang w:val="en-GB"/>
        </w:rPr>
      </w:pPr>
    </w:p>
    <w:p w14:paraId="77CE8695" w14:textId="669A8706" w:rsidR="0077498C" w:rsidRPr="00827D56" w:rsidRDefault="0077498C" w:rsidP="00C053F7">
      <w:pPr>
        <w:jc w:val="both"/>
        <w:rPr>
          <w:rFonts w:ascii="Avenir Next" w:hAnsi="Avenir Next" w:cs="Arial"/>
          <w:color w:val="000000" w:themeColor="text1"/>
          <w:sz w:val="22"/>
          <w:szCs w:val="22"/>
          <w:lang w:val="en-GB"/>
        </w:rPr>
      </w:pPr>
    </w:p>
    <w:p w14:paraId="35D8F287" w14:textId="097742BF" w:rsidR="0077498C" w:rsidRDefault="003D485E" w:rsidP="00C053F7">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System = </w:t>
      </w:r>
      <w:r w:rsidR="00B26AEC">
        <w:rPr>
          <w:rFonts w:ascii="Avenir Next" w:hAnsi="Avenir Next" w:cs="Arial"/>
          <w:color w:val="000000" w:themeColor="text1"/>
          <w:sz w:val="22"/>
          <w:szCs w:val="22"/>
          <w:lang w:val="en-GB"/>
        </w:rPr>
        <w:t>England &amp; Wales</w:t>
      </w:r>
    </w:p>
    <w:p w14:paraId="5E6E2A34" w14:textId="4355F677" w:rsidR="003D485E" w:rsidRDefault="003D485E" w:rsidP="00C053F7">
      <w:pPr>
        <w:jc w:val="both"/>
        <w:rPr>
          <w:rFonts w:ascii="Avenir Next" w:hAnsi="Avenir Next" w:cs="Arial"/>
          <w:color w:val="000000" w:themeColor="text1"/>
          <w:sz w:val="22"/>
          <w:szCs w:val="22"/>
          <w:lang w:val="en-GB"/>
        </w:rPr>
      </w:pPr>
    </w:p>
    <w:p w14:paraId="53DD0A72" w14:textId="16B1356C" w:rsidR="003D485E" w:rsidRDefault="0009316C" w:rsidP="003A38C3">
      <w:pPr>
        <w:pStyle w:val="ListParagraph"/>
        <w:numPr>
          <w:ilvl w:val="0"/>
          <w:numId w:val="30"/>
        </w:numPr>
        <w:ind w:left="360"/>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Obtaining recognition in the foreign countries of the liquidation in England &amp; Wales</w:t>
      </w:r>
      <w:r w:rsidR="00F20F1F">
        <w:rPr>
          <w:rFonts w:ascii="Avenir Next" w:hAnsi="Avenir Next" w:cs="Arial"/>
          <w:color w:val="000000" w:themeColor="text1"/>
          <w:sz w:val="22"/>
          <w:szCs w:val="22"/>
          <w:lang w:val="en-GB"/>
        </w:rPr>
        <w:t xml:space="preserve"> (‘E&amp;W’)</w:t>
      </w:r>
      <w:r>
        <w:rPr>
          <w:rFonts w:ascii="Avenir Next" w:hAnsi="Avenir Next" w:cs="Arial"/>
          <w:color w:val="000000" w:themeColor="text1"/>
          <w:sz w:val="22"/>
          <w:szCs w:val="22"/>
          <w:lang w:val="en-GB"/>
        </w:rPr>
        <w:t>.</w:t>
      </w:r>
      <w:r w:rsidR="001351F3">
        <w:rPr>
          <w:rFonts w:ascii="Avenir Next" w:hAnsi="Avenir Next" w:cs="Arial"/>
          <w:color w:val="000000" w:themeColor="text1"/>
          <w:sz w:val="22"/>
          <w:szCs w:val="22"/>
          <w:lang w:val="en-GB"/>
        </w:rPr>
        <w:t xml:space="preserve"> Any foreign countries which have adopted the Model Law (</w:t>
      </w:r>
      <w:r w:rsidR="001351F3">
        <w:rPr>
          <w:rFonts w:ascii="Avenir Next" w:hAnsi="Avenir Next" w:cs="Arial"/>
          <w:i/>
          <w:color w:val="000000" w:themeColor="text1"/>
          <w:sz w:val="22"/>
          <w:szCs w:val="22"/>
          <w:lang w:val="en-GB"/>
        </w:rPr>
        <w:t xml:space="preserve">e.g. </w:t>
      </w:r>
      <w:r w:rsidR="001351F3">
        <w:rPr>
          <w:rFonts w:ascii="Avenir Next" w:hAnsi="Avenir Next" w:cs="Arial"/>
          <w:color w:val="000000" w:themeColor="text1"/>
          <w:sz w:val="22"/>
          <w:szCs w:val="22"/>
          <w:lang w:val="en-GB"/>
        </w:rPr>
        <w:t xml:space="preserve">the US) would have provisions adopting Article 15 of the Model Law on recognition of the proceedings. </w:t>
      </w:r>
    </w:p>
    <w:p w14:paraId="1F825A0A" w14:textId="0651A2CB" w:rsidR="0009316C" w:rsidRDefault="0009316C" w:rsidP="003A38C3">
      <w:pPr>
        <w:pStyle w:val="ListParagraph"/>
        <w:numPr>
          <w:ilvl w:val="0"/>
          <w:numId w:val="30"/>
        </w:numPr>
        <w:ind w:left="360"/>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Obtaining stays on any third-party actions against</w:t>
      </w:r>
      <w:r w:rsidR="00C62EB4">
        <w:rPr>
          <w:rFonts w:ascii="Avenir Next" w:hAnsi="Avenir Next" w:cs="Arial"/>
          <w:color w:val="000000" w:themeColor="text1"/>
          <w:sz w:val="22"/>
          <w:szCs w:val="22"/>
          <w:lang w:val="en-GB"/>
        </w:rPr>
        <w:t xml:space="preserve"> entities/</w:t>
      </w:r>
      <w:r>
        <w:rPr>
          <w:rFonts w:ascii="Avenir Next" w:hAnsi="Avenir Next" w:cs="Arial"/>
          <w:color w:val="000000" w:themeColor="text1"/>
          <w:sz w:val="22"/>
          <w:szCs w:val="22"/>
          <w:lang w:val="en-GB"/>
        </w:rPr>
        <w:t>assets located abroad (</w:t>
      </w:r>
      <w:r>
        <w:rPr>
          <w:rFonts w:ascii="Avenir Next" w:hAnsi="Avenir Next" w:cs="Arial"/>
          <w:i/>
          <w:color w:val="000000" w:themeColor="text1"/>
          <w:sz w:val="22"/>
          <w:szCs w:val="22"/>
          <w:lang w:val="en-GB"/>
        </w:rPr>
        <w:t xml:space="preserve">e.g. </w:t>
      </w:r>
      <w:r>
        <w:rPr>
          <w:rFonts w:ascii="Avenir Next" w:hAnsi="Avenir Next" w:cs="Arial"/>
          <w:color w:val="000000" w:themeColor="text1"/>
          <w:sz w:val="22"/>
          <w:szCs w:val="22"/>
          <w:lang w:val="en-GB"/>
        </w:rPr>
        <w:t xml:space="preserve">a creditor suing to enforce a debt in the </w:t>
      </w:r>
      <w:r w:rsidR="00F20F1F">
        <w:rPr>
          <w:rFonts w:ascii="Avenir Next" w:hAnsi="Avenir Next" w:cs="Arial"/>
          <w:color w:val="000000" w:themeColor="text1"/>
          <w:sz w:val="22"/>
          <w:szCs w:val="22"/>
          <w:lang w:val="en-GB"/>
        </w:rPr>
        <w:t xml:space="preserve">foreign </w:t>
      </w:r>
      <w:r>
        <w:rPr>
          <w:rFonts w:ascii="Avenir Next" w:hAnsi="Avenir Next" w:cs="Arial"/>
          <w:color w:val="000000" w:themeColor="text1"/>
          <w:sz w:val="22"/>
          <w:szCs w:val="22"/>
          <w:lang w:val="en-GB"/>
        </w:rPr>
        <w:t>state).</w:t>
      </w:r>
      <w:r w:rsidR="001351F3">
        <w:rPr>
          <w:rFonts w:ascii="Avenir Next" w:hAnsi="Avenir Next" w:cs="Arial"/>
          <w:color w:val="000000" w:themeColor="text1"/>
          <w:sz w:val="22"/>
          <w:szCs w:val="22"/>
          <w:lang w:val="en-GB"/>
        </w:rPr>
        <w:t xml:space="preserve"> </w:t>
      </w:r>
      <w:r w:rsidR="00F20F1F">
        <w:rPr>
          <w:rFonts w:ascii="Avenir Next" w:hAnsi="Avenir Next" w:cs="Arial"/>
          <w:color w:val="000000" w:themeColor="text1"/>
          <w:sz w:val="22"/>
          <w:szCs w:val="22"/>
          <w:lang w:val="en-GB"/>
        </w:rPr>
        <w:t>Foreign</w:t>
      </w:r>
      <w:r w:rsidR="001351F3">
        <w:rPr>
          <w:rFonts w:ascii="Avenir Next" w:hAnsi="Avenir Next" w:cs="Arial"/>
          <w:color w:val="000000" w:themeColor="text1"/>
          <w:sz w:val="22"/>
          <w:szCs w:val="22"/>
          <w:lang w:val="en-GB"/>
        </w:rPr>
        <w:t xml:space="preserve"> countries </w:t>
      </w:r>
      <w:r w:rsidR="00F20F1F">
        <w:rPr>
          <w:rFonts w:ascii="Avenir Next" w:hAnsi="Avenir Next" w:cs="Arial"/>
          <w:color w:val="000000" w:themeColor="text1"/>
          <w:sz w:val="22"/>
          <w:szCs w:val="22"/>
          <w:lang w:val="en-GB"/>
        </w:rPr>
        <w:t xml:space="preserve">which have </w:t>
      </w:r>
      <w:r w:rsidR="001351F3">
        <w:rPr>
          <w:rFonts w:ascii="Avenir Next" w:hAnsi="Avenir Next" w:cs="Arial"/>
          <w:color w:val="000000" w:themeColor="text1"/>
          <w:sz w:val="22"/>
          <w:szCs w:val="22"/>
          <w:lang w:val="en-GB"/>
        </w:rPr>
        <w:t>adopt</w:t>
      </w:r>
      <w:r w:rsidR="00F20F1F">
        <w:rPr>
          <w:rFonts w:ascii="Avenir Next" w:hAnsi="Avenir Next" w:cs="Arial"/>
          <w:color w:val="000000" w:themeColor="text1"/>
          <w:sz w:val="22"/>
          <w:szCs w:val="22"/>
          <w:lang w:val="en-GB"/>
        </w:rPr>
        <w:t>ed</w:t>
      </w:r>
      <w:r w:rsidR="001351F3">
        <w:rPr>
          <w:rFonts w:ascii="Avenir Next" w:hAnsi="Avenir Next" w:cs="Arial"/>
          <w:color w:val="000000" w:themeColor="text1"/>
          <w:sz w:val="22"/>
          <w:szCs w:val="22"/>
          <w:lang w:val="en-GB"/>
        </w:rPr>
        <w:t xml:space="preserve"> the Model Law would have implemented Article</w:t>
      </w:r>
      <w:r w:rsidR="00413AB6">
        <w:rPr>
          <w:rFonts w:ascii="Avenir Next" w:hAnsi="Avenir Next" w:cs="Arial"/>
          <w:color w:val="000000" w:themeColor="text1"/>
          <w:sz w:val="22"/>
          <w:szCs w:val="22"/>
          <w:lang w:val="en-GB"/>
        </w:rPr>
        <w:t>s 20 and</w:t>
      </w:r>
      <w:r w:rsidR="001351F3">
        <w:rPr>
          <w:rFonts w:ascii="Avenir Next" w:hAnsi="Avenir Next" w:cs="Arial"/>
          <w:color w:val="000000" w:themeColor="text1"/>
          <w:sz w:val="22"/>
          <w:szCs w:val="22"/>
          <w:lang w:val="en-GB"/>
        </w:rPr>
        <w:t xml:space="preserve"> 21</w:t>
      </w:r>
      <w:r w:rsidR="00F20F1F">
        <w:rPr>
          <w:rFonts w:ascii="Avenir Next" w:hAnsi="Avenir Next" w:cs="Arial"/>
          <w:color w:val="000000" w:themeColor="text1"/>
          <w:sz w:val="22"/>
          <w:szCs w:val="22"/>
          <w:lang w:val="en-GB"/>
        </w:rPr>
        <w:t>, which would assist the E&amp;W liquidator</w:t>
      </w:r>
      <w:r w:rsidR="001351F3">
        <w:rPr>
          <w:rFonts w:ascii="Avenir Next" w:hAnsi="Avenir Next" w:cs="Arial"/>
          <w:color w:val="000000" w:themeColor="text1"/>
          <w:sz w:val="22"/>
          <w:szCs w:val="22"/>
          <w:lang w:val="en-GB"/>
        </w:rPr>
        <w:t xml:space="preserve">. </w:t>
      </w:r>
    </w:p>
    <w:p w14:paraId="2F41FF0C" w14:textId="7BBFE6BF" w:rsidR="0009316C" w:rsidRPr="000B1911" w:rsidRDefault="000B1911" w:rsidP="000B1911">
      <w:pPr>
        <w:pStyle w:val="ListParagraph"/>
        <w:numPr>
          <w:ilvl w:val="0"/>
          <w:numId w:val="30"/>
        </w:numPr>
        <w:ind w:left="360"/>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Conducting litigation in t</w:t>
      </w:r>
      <w:r w:rsidR="001351F3">
        <w:rPr>
          <w:rFonts w:ascii="Avenir Next" w:hAnsi="Avenir Next" w:cs="Arial"/>
          <w:color w:val="000000" w:themeColor="text1"/>
          <w:sz w:val="22"/>
          <w:szCs w:val="22"/>
          <w:lang w:val="en-GB"/>
        </w:rPr>
        <w:t xml:space="preserve">he </w:t>
      </w:r>
      <w:r w:rsidR="0009316C">
        <w:rPr>
          <w:rFonts w:ascii="Avenir Next" w:hAnsi="Avenir Next" w:cs="Arial"/>
          <w:color w:val="000000" w:themeColor="text1"/>
          <w:sz w:val="22"/>
          <w:szCs w:val="22"/>
          <w:lang w:val="en-GB"/>
        </w:rPr>
        <w:t xml:space="preserve">foreign states </w:t>
      </w:r>
      <w:r>
        <w:rPr>
          <w:rFonts w:ascii="Avenir Next" w:hAnsi="Avenir Next" w:cs="Arial"/>
          <w:color w:val="000000" w:themeColor="text1"/>
          <w:sz w:val="22"/>
          <w:szCs w:val="22"/>
          <w:lang w:val="en-GB"/>
        </w:rPr>
        <w:t>to secure assets, and/or bring in debts owed to the company</w:t>
      </w:r>
      <w:r w:rsidR="00AB51EB">
        <w:rPr>
          <w:rFonts w:ascii="Avenir Next" w:hAnsi="Avenir Next" w:cs="Arial"/>
          <w:color w:val="000000" w:themeColor="text1"/>
          <w:sz w:val="22"/>
          <w:szCs w:val="22"/>
          <w:lang w:val="en-GB"/>
        </w:rPr>
        <w:t xml:space="preserve">. </w:t>
      </w:r>
      <w:r>
        <w:rPr>
          <w:rFonts w:ascii="Avenir Next" w:hAnsi="Avenir Next" w:cs="Arial"/>
          <w:color w:val="000000" w:themeColor="text1"/>
          <w:sz w:val="22"/>
          <w:szCs w:val="22"/>
          <w:lang w:val="en-GB"/>
        </w:rPr>
        <w:t>For example, t</w:t>
      </w:r>
      <w:r w:rsidR="00AB51EB">
        <w:rPr>
          <w:rFonts w:ascii="Avenir Next" w:hAnsi="Avenir Next" w:cs="Arial"/>
          <w:color w:val="000000" w:themeColor="text1"/>
          <w:sz w:val="22"/>
          <w:szCs w:val="22"/>
          <w:lang w:val="en-GB"/>
        </w:rPr>
        <w:t xml:space="preserve">he Insolvency Act 1986, s 167 provides that liquidators may exercise powers in Parts 1 to 3 of Schedule 4, </w:t>
      </w:r>
      <w:r w:rsidR="007078DB">
        <w:rPr>
          <w:rFonts w:ascii="Avenir Next" w:hAnsi="Avenir Next" w:cs="Arial"/>
          <w:color w:val="000000" w:themeColor="text1"/>
          <w:sz w:val="22"/>
          <w:szCs w:val="22"/>
          <w:lang w:val="en-GB"/>
        </w:rPr>
        <w:t>including bringing proceedings in the name of the company.</w:t>
      </w:r>
    </w:p>
    <w:p w14:paraId="288D4E6E" w14:textId="698EBEBA" w:rsidR="00773122" w:rsidRDefault="001351F3" w:rsidP="003A38C3">
      <w:pPr>
        <w:pStyle w:val="ListParagraph"/>
        <w:numPr>
          <w:ilvl w:val="0"/>
          <w:numId w:val="30"/>
        </w:numPr>
        <w:ind w:left="360"/>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A foreign creditor that is a tax authority may pose problems for the insolvency representative in </w:t>
      </w:r>
      <w:r w:rsidR="00F20F1F">
        <w:rPr>
          <w:rFonts w:ascii="Avenir Next" w:hAnsi="Avenir Next" w:cs="Arial"/>
          <w:color w:val="000000" w:themeColor="text1"/>
          <w:sz w:val="22"/>
          <w:szCs w:val="22"/>
          <w:lang w:val="en-GB"/>
        </w:rPr>
        <w:t>E&amp;W</w:t>
      </w:r>
      <w:r w:rsidR="00913690">
        <w:rPr>
          <w:rFonts w:ascii="Avenir Next" w:hAnsi="Avenir Next" w:cs="Arial"/>
          <w:color w:val="000000" w:themeColor="text1"/>
          <w:sz w:val="22"/>
          <w:szCs w:val="22"/>
          <w:lang w:val="en-GB"/>
        </w:rPr>
        <w:t xml:space="preserve">. For example, if the foreign tax authority is in a state which has adopted the Model law there may be a public policy exception (under Article 6) from allowing the E&amp;W liquidator to secure assets in that third state which the tax authority may be seeking for itself, so as to secure payment of the relevant tax obligation </w:t>
      </w:r>
      <w:bookmarkStart w:id="1" w:name="_GoBack"/>
      <w:bookmarkEnd w:id="1"/>
      <w:r w:rsidR="00913690">
        <w:rPr>
          <w:rFonts w:ascii="Avenir Next" w:hAnsi="Avenir Next" w:cs="Arial"/>
          <w:i/>
          <w:color w:val="000000" w:themeColor="text1"/>
          <w:sz w:val="22"/>
          <w:szCs w:val="22"/>
          <w:u w:val="single"/>
          <w:lang w:val="en-GB"/>
        </w:rPr>
        <w:t>in full</w:t>
      </w:r>
      <w:r w:rsidR="00913690">
        <w:rPr>
          <w:rFonts w:ascii="Avenir Next" w:hAnsi="Avenir Next" w:cs="Arial"/>
          <w:color w:val="000000" w:themeColor="text1"/>
          <w:sz w:val="22"/>
          <w:szCs w:val="22"/>
          <w:lang w:val="en-GB"/>
        </w:rPr>
        <w:t xml:space="preserve"> rather than on a </w:t>
      </w:r>
      <w:proofErr w:type="spellStart"/>
      <w:r w:rsidR="00913690">
        <w:rPr>
          <w:rFonts w:ascii="Avenir Next" w:hAnsi="Avenir Next" w:cs="Arial"/>
          <w:i/>
          <w:color w:val="000000" w:themeColor="text1"/>
          <w:sz w:val="22"/>
          <w:szCs w:val="22"/>
          <w:lang w:val="en-GB"/>
        </w:rPr>
        <w:t>pari</w:t>
      </w:r>
      <w:proofErr w:type="spellEnd"/>
      <w:r w:rsidR="00913690">
        <w:rPr>
          <w:rFonts w:ascii="Avenir Next" w:hAnsi="Avenir Next" w:cs="Arial"/>
          <w:i/>
          <w:color w:val="000000" w:themeColor="text1"/>
          <w:sz w:val="22"/>
          <w:szCs w:val="22"/>
          <w:lang w:val="en-GB"/>
        </w:rPr>
        <w:t xml:space="preserve"> </w:t>
      </w:r>
      <w:proofErr w:type="spellStart"/>
      <w:r w:rsidR="00913690">
        <w:rPr>
          <w:rFonts w:ascii="Avenir Next" w:hAnsi="Avenir Next" w:cs="Arial"/>
          <w:i/>
          <w:color w:val="000000" w:themeColor="text1"/>
          <w:sz w:val="22"/>
          <w:szCs w:val="22"/>
          <w:lang w:val="en-GB"/>
        </w:rPr>
        <w:t>passu</w:t>
      </w:r>
      <w:proofErr w:type="spellEnd"/>
      <w:r w:rsidR="00913690">
        <w:rPr>
          <w:rFonts w:ascii="Avenir Next" w:hAnsi="Avenir Next" w:cs="Arial"/>
          <w:color w:val="000000" w:themeColor="text1"/>
          <w:sz w:val="22"/>
          <w:szCs w:val="22"/>
          <w:lang w:val="en-GB"/>
        </w:rPr>
        <w:t xml:space="preserve"> basis with </w:t>
      </w:r>
      <w:r w:rsidR="00913690">
        <w:rPr>
          <w:rFonts w:ascii="Avenir Next" w:hAnsi="Avenir Next" w:cs="Arial"/>
          <w:i/>
          <w:color w:val="000000" w:themeColor="text1"/>
          <w:sz w:val="22"/>
          <w:szCs w:val="22"/>
          <w:lang w:val="en-GB"/>
        </w:rPr>
        <w:t>all</w:t>
      </w:r>
      <w:r w:rsidR="00913690">
        <w:rPr>
          <w:rFonts w:ascii="Avenir Next" w:hAnsi="Avenir Next" w:cs="Arial"/>
          <w:color w:val="000000" w:themeColor="text1"/>
          <w:sz w:val="22"/>
          <w:szCs w:val="22"/>
          <w:lang w:val="en-GB"/>
        </w:rPr>
        <w:t xml:space="preserve"> of the other creditors. </w:t>
      </w:r>
    </w:p>
    <w:p w14:paraId="7B50C67A" w14:textId="64DB20F1" w:rsidR="003D485E" w:rsidRDefault="003D485E" w:rsidP="00C053F7">
      <w:pPr>
        <w:jc w:val="both"/>
        <w:rPr>
          <w:rFonts w:ascii="Avenir Next" w:hAnsi="Avenir Next" w:cs="Arial"/>
          <w:color w:val="000000" w:themeColor="text1"/>
          <w:sz w:val="22"/>
          <w:szCs w:val="22"/>
          <w:lang w:val="en-GB"/>
        </w:rPr>
      </w:pPr>
    </w:p>
    <w:p w14:paraId="48F39E61" w14:textId="450FD763" w:rsidR="00B26AEC" w:rsidRDefault="00B26AEC" w:rsidP="00C053F7">
      <w:pPr>
        <w:jc w:val="both"/>
        <w:rPr>
          <w:rFonts w:ascii="Avenir Next" w:hAnsi="Avenir Next" w:cs="Arial"/>
          <w:color w:val="000000" w:themeColor="text1"/>
          <w:sz w:val="22"/>
          <w:szCs w:val="22"/>
          <w:lang w:val="en-GB"/>
        </w:rPr>
      </w:pPr>
    </w:p>
    <w:p w14:paraId="2887B7A7" w14:textId="77777777" w:rsidR="00B26AEC" w:rsidRDefault="00B26AEC" w:rsidP="00C053F7">
      <w:pPr>
        <w:jc w:val="both"/>
        <w:rPr>
          <w:rFonts w:ascii="Avenir Next" w:hAnsi="Avenir Next" w:cs="Arial"/>
          <w:color w:val="000000" w:themeColor="text1"/>
          <w:sz w:val="22"/>
          <w:szCs w:val="22"/>
          <w:lang w:val="en-GB"/>
        </w:rPr>
      </w:pPr>
    </w:p>
    <w:p w14:paraId="01EC2BB7" w14:textId="77777777" w:rsidR="003D485E" w:rsidRPr="00827D56" w:rsidRDefault="003D485E" w:rsidP="00C053F7">
      <w:pPr>
        <w:jc w:val="both"/>
        <w:rPr>
          <w:rFonts w:ascii="Avenir Next" w:hAnsi="Avenir Next" w:cs="Arial"/>
          <w:color w:val="000000" w:themeColor="text1"/>
          <w:sz w:val="22"/>
          <w:szCs w:val="22"/>
          <w:lang w:val="en-GB"/>
        </w:rPr>
      </w:pP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0B2D15">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3E125" w14:textId="77777777" w:rsidR="002D31CD" w:rsidRDefault="002D31CD" w:rsidP="00241B44">
      <w:r>
        <w:separator/>
      </w:r>
    </w:p>
  </w:endnote>
  <w:endnote w:type="continuationSeparator" w:id="0">
    <w:p w14:paraId="5D0C0338" w14:textId="77777777" w:rsidR="002D31CD" w:rsidRDefault="002D31C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altName w:val="Calibri"/>
    <w:charset w:val="00"/>
    <w:family w:val="swiss"/>
    <w:pitch w:val="variable"/>
    <w:sig w:usb0="800000A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venir Next" w:hAnsi="Avenir Next" w:cs="Arial"/>
        <w:sz w:val="22"/>
        <w:szCs w:val="22"/>
      </w:rPr>
      <w:id w:val="850997806"/>
      <w:docPartObj>
        <w:docPartGallery w:val="Page Numbers (Bottom of Page)"/>
        <w:docPartUnique/>
      </w:docPartObj>
    </w:sdtPr>
    <w:sdtEndPr>
      <w:rPr>
        <w:rStyle w:val="PageNumber"/>
        <w:rFonts w:cstheme="minorBidi"/>
      </w:rPr>
    </w:sdtEndPr>
    <w:sdtContent>
      <w:p w14:paraId="280F1EF8" w14:textId="5FF93316" w:rsidR="00AD6A7D" w:rsidRPr="009634F4" w:rsidRDefault="00AD6A7D" w:rsidP="007B1575">
        <w:pPr>
          <w:pStyle w:val="Footer"/>
          <w:framePr w:wrap="none" w:vAnchor="text" w:hAnchor="margin" w:xAlign="right" w:y="1"/>
          <w:rPr>
            <w:rStyle w:val="PageNumber"/>
            <w:rFonts w:ascii="Avenir Next" w:hAnsi="Avenir Next"/>
            <w:sz w:val="22"/>
            <w:szCs w:val="22"/>
          </w:rPr>
        </w:pPr>
        <w:r w:rsidRPr="009634F4">
          <w:rPr>
            <w:rStyle w:val="PageNumber"/>
            <w:rFonts w:ascii="Avenir Next" w:hAnsi="Avenir Next" w:cs="Arial"/>
            <w:sz w:val="22"/>
            <w:szCs w:val="22"/>
          </w:rPr>
          <w:t xml:space="preserve">Page </w:t>
        </w:r>
        <w:r w:rsidRPr="009634F4">
          <w:rPr>
            <w:rStyle w:val="PageNumber"/>
            <w:rFonts w:ascii="Avenir Next" w:hAnsi="Avenir Next" w:cs="Arial"/>
            <w:sz w:val="22"/>
            <w:szCs w:val="22"/>
          </w:rPr>
          <w:fldChar w:fldCharType="begin"/>
        </w:r>
        <w:r w:rsidRPr="009634F4">
          <w:rPr>
            <w:rStyle w:val="PageNumber"/>
            <w:rFonts w:ascii="Avenir Next" w:hAnsi="Avenir Next" w:cs="Arial"/>
            <w:sz w:val="22"/>
            <w:szCs w:val="22"/>
          </w:rPr>
          <w:instrText xml:space="preserve"> PAGE </w:instrText>
        </w:r>
        <w:r w:rsidRPr="009634F4">
          <w:rPr>
            <w:rStyle w:val="PageNumber"/>
            <w:rFonts w:ascii="Avenir Next" w:hAnsi="Avenir Next" w:cs="Arial"/>
            <w:sz w:val="22"/>
            <w:szCs w:val="22"/>
          </w:rPr>
          <w:fldChar w:fldCharType="separate"/>
        </w:r>
        <w:r w:rsidRPr="009634F4">
          <w:rPr>
            <w:rStyle w:val="PageNumber"/>
            <w:rFonts w:ascii="Avenir Next" w:hAnsi="Avenir Next" w:cs="Arial"/>
            <w:noProof/>
            <w:sz w:val="22"/>
            <w:szCs w:val="22"/>
          </w:rPr>
          <w:t>1</w:t>
        </w:r>
        <w:r w:rsidRPr="009634F4">
          <w:rPr>
            <w:rStyle w:val="PageNumber"/>
            <w:rFonts w:ascii="Avenir Next" w:hAnsi="Avenir Next" w:cs="Arial"/>
            <w:sz w:val="22"/>
            <w:szCs w:val="22"/>
          </w:rPr>
          <w:fldChar w:fldCharType="end"/>
        </w:r>
      </w:p>
    </w:sdtContent>
  </w:sdt>
  <w:p w14:paraId="120BA9A5" w14:textId="1D39C282" w:rsidR="00AD6A7D" w:rsidRDefault="00EB53ED" w:rsidP="00AD6A7D">
    <w:pPr>
      <w:pStyle w:val="Footer"/>
      <w:ind w:right="360"/>
      <w:rPr>
        <w:rFonts w:ascii="Avenir Next" w:hAnsi="Avenir Next" w:cs="Arial"/>
        <w:sz w:val="22"/>
        <w:szCs w:val="22"/>
      </w:rPr>
    </w:pPr>
    <w:r>
      <w:rPr>
        <w:rFonts w:ascii="Avenir Next" w:hAnsi="Avenir Next" w:cs="Arial"/>
        <w:sz w:val="22"/>
        <w:szCs w:val="22"/>
      </w:rPr>
      <w:t>FC202324-1447</w:t>
    </w:r>
    <w:r w:rsidR="00AD6A7D" w:rsidRPr="009634F4">
      <w:rPr>
        <w:rFonts w:ascii="Avenir Next" w:hAnsi="Avenir Next" w:cs="Arial"/>
        <w:sz w:val="22"/>
        <w:szCs w:val="22"/>
      </w:rPr>
      <w:t>.assessment1formative</w:t>
    </w:r>
  </w:p>
  <w:p w14:paraId="1F902B20" w14:textId="2439BF92" w:rsidR="00576962" w:rsidRPr="009634F4" w:rsidRDefault="00576962" w:rsidP="00576962">
    <w:pPr>
      <w:pStyle w:val="Footer"/>
      <w:ind w:right="360"/>
      <w:rPr>
        <w:rFonts w:ascii="Avenir Next" w:hAnsi="Avenir Next"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3067F" w14:textId="77777777" w:rsidR="002D31CD" w:rsidRDefault="002D31CD" w:rsidP="00241B44">
      <w:r>
        <w:separator/>
      </w:r>
    </w:p>
  </w:footnote>
  <w:footnote w:type="continuationSeparator" w:id="0">
    <w:p w14:paraId="40E82217" w14:textId="77777777" w:rsidR="002D31CD" w:rsidRDefault="002D31CD" w:rsidP="00241B44">
      <w:r>
        <w:continuationSeparator/>
      </w:r>
    </w:p>
  </w:footnote>
  <w:footnote w:id="1">
    <w:p w14:paraId="195BE063" w14:textId="4AAB0819" w:rsidR="00CE223D" w:rsidRDefault="00CE223D">
      <w:pPr>
        <w:pStyle w:val="FootnoteText"/>
      </w:pPr>
      <w:r>
        <w:rPr>
          <w:rStyle w:val="FootnoteReference"/>
        </w:rPr>
        <w:footnoteRef/>
      </w:r>
      <w:r>
        <w:t xml:space="preserve"> Module 1 Guidance text, p 34 (</w:t>
      </w:r>
      <w:r w:rsidR="0037667F">
        <w:t>paraphrasing</w:t>
      </w:r>
      <w:r>
        <w:t xml:space="preserve"> Wessels’ and Fletcher’s definitions). </w:t>
      </w:r>
    </w:p>
  </w:footnote>
  <w:footnote w:id="2">
    <w:p w14:paraId="45A224A6" w14:textId="34602D67" w:rsidR="00B21393" w:rsidRDefault="00B21393">
      <w:pPr>
        <w:pStyle w:val="FootnoteText"/>
      </w:pPr>
      <w:r>
        <w:rPr>
          <w:rStyle w:val="FootnoteReference"/>
        </w:rPr>
        <w:footnoteRef/>
      </w:r>
      <w:r>
        <w:t xml:space="preserve"> Ibid, p 37</w:t>
      </w:r>
    </w:p>
  </w:footnote>
  <w:footnote w:id="3">
    <w:p w14:paraId="3AAD39F8" w14:textId="0DA783BC" w:rsidR="0064071D" w:rsidRDefault="0064071D">
      <w:pPr>
        <w:pStyle w:val="FootnoteText"/>
      </w:pPr>
      <w:r>
        <w:rPr>
          <w:rStyle w:val="FootnoteReference"/>
        </w:rPr>
        <w:footnoteRef/>
      </w:r>
      <w:r>
        <w:t xml:space="preserve"> Ibid, rephrasing content. </w:t>
      </w:r>
    </w:p>
  </w:footnote>
  <w:footnote w:id="4">
    <w:p w14:paraId="757A452F" w14:textId="585890B0" w:rsidR="0064071D" w:rsidRDefault="0064071D">
      <w:pPr>
        <w:pStyle w:val="FootnoteText"/>
      </w:pPr>
      <w:r>
        <w:rPr>
          <w:rStyle w:val="FootnoteReference"/>
        </w:rPr>
        <w:footnoteRef/>
      </w:r>
      <w:r>
        <w:t xml:space="preserve"> Ibid, p 38. </w:t>
      </w:r>
    </w:p>
  </w:footnote>
  <w:footnote w:id="5">
    <w:p w14:paraId="7261250A" w14:textId="52B9B9DA" w:rsidR="00F07B8D" w:rsidRDefault="00F07B8D">
      <w:pPr>
        <w:pStyle w:val="FootnoteText"/>
      </w:pPr>
      <w:r>
        <w:rPr>
          <w:rStyle w:val="FootnoteReference"/>
        </w:rPr>
        <w:footnoteRef/>
      </w:r>
      <w:r>
        <w:t xml:space="preserve"> Ibid, pp 38-39.</w:t>
      </w:r>
    </w:p>
  </w:footnote>
  <w:footnote w:id="6">
    <w:p w14:paraId="3969EE80" w14:textId="77777777" w:rsidR="00797F22" w:rsidRDefault="00797F22" w:rsidP="00797F22">
      <w:pPr>
        <w:pStyle w:val="FootnoteText"/>
      </w:pPr>
      <w:r>
        <w:rPr>
          <w:rStyle w:val="FootnoteReference"/>
        </w:rPr>
        <w:footnoteRef/>
      </w:r>
      <w:r>
        <w:t xml:space="preserve"> Ibid, pp 66-67. </w:t>
      </w:r>
    </w:p>
  </w:footnote>
  <w:footnote w:id="7">
    <w:p w14:paraId="2132DFA3" w14:textId="77777777" w:rsidR="008459FD" w:rsidRDefault="008459FD" w:rsidP="008459FD">
      <w:pPr>
        <w:pStyle w:val="FootnoteText"/>
      </w:pPr>
      <w:r>
        <w:rPr>
          <w:rStyle w:val="FootnoteReference"/>
        </w:rPr>
        <w:footnoteRef/>
      </w:r>
      <w:r>
        <w:t xml:space="preserve"> Ibid, p 22.</w:t>
      </w:r>
    </w:p>
  </w:footnote>
  <w:footnote w:id="8">
    <w:p w14:paraId="53CAFA25" w14:textId="207BE274" w:rsidR="00FC303A" w:rsidRDefault="00FC303A">
      <w:pPr>
        <w:pStyle w:val="FootnoteText"/>
      </w:pPr>
      <w:r>
        <w:rPr>
          <w:rStyle w:val="FootnoteReference"/>
        </w:rPr>
        <w:footnoteRef/>
      </w:r>
      <w:r>
        <w:t xml:space="preserve"> Ibid 41-42.</w:t>
      </w:r>
    </w:p>
  </w:footnote>
  <w:footnote w:id="9">
    <w:p w14:paraId="289F4129" w14:textId="130A312E" w:rsidR="00641C11" w:rsidRDefault="00641C11">
      <w:pPr>
        <w:pStyle w:val="FootnoteText"/>
      </w:pPr>
      <w:r>
        <w:rPr>
          <w:rStyle w:val="FootnoteReference"/>
        </w:rPr>
        <w:footnoteRef/>
      </w:r>
      <w:r>
        <w:t xml:space="preserve"> Practical Law, </w:t>
      </w:r>
      <w:r w:rsidRPr="00641C11">
        <w:t>EC Regulation on insolvency proceedings (Insolvency Regulation 2000)</w:t>
      </w:r>
      <w:r w:rsidR="006062C6">
        <w:t>.</w:t>
      </w:r>
    </w:p>
  </w:footnote>
  <w:footnote w:id="10">
    <w:p w14:paraId="3A7CB9A6" w14:textId="42F7D79C" w:rsidR="001D6B70" w:rsidRDefault="001D6B70">
      <w:pPr>
        <w:pStyle w:val="FootnoteText"/>
      </w:pPr>
      <w:r>
        <w:rPr>
          <w:rStyle w:val="FootnoteReference"/>
        </w:rPr>
        <w:footnoteRef/>
      </w:r>
      <w:r>
        <w:t xml:space="preserve"> </w:t>
      </w:r>
      <w:r w:rsidR="00641C11">
        <w:t>Module 1 Guidance text</w:t>
      </w:r>
      <w:r>
        <w:t>, p 54</w:t>
      </w:r>
    </w:p>
  </w:footnote>
  <w:footnote w:id="11">
    <w:p w14:paraId="13A6684B" w14:textId="01F61363" w:rsidR="009B08F2" w:rsidRDefault="009B08F2">
      <w:pPr>
        <w:pStyle w:val="FootnoteText"/>
      </w:pPr>
      <w:r>
        <w:rPr>
          <w:rStyle w:val="FootnoteReference"/>
        </w:rPr>
        <w:footnoteRef/>
      </w:r>
      <w:r>
        <w:t xml:space="preserve"> Ibid, 59.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7C5D63"/>
    <w:multiLevelType w:val="hybridMultilevel"/>
    <w:tmpl w:val="D00CD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330588"/>
    <w:multiLevelType w:val="hybridMultilevel"/>
    <w:tmpl w:val="DEFC2B4A"/>
    <w:lvl w:ilvl="0" w:tplc="230E4560">
      <w:numFmt w:val="bullet"/>
      <w:lvlText w:val="-"/>
      <w:lvlJc w:val="left"/>
      <w:pPr>
        <w:ind w:left="720" w:hanging="360"/>
      </w:pPr>
      <w:rPr>
        <w:rFonts w:ascii="Avenir Next" w:eastAsia="Times New Roman" w:hAnsi="Avenir Nex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E21659"/>
    <w:multiLevelType w:val="hybridMultilevel"/>
    <w:tmpl w:val="7BE0E7F2"/>
    <w:lvl w:ilvl="0" w:tplc="F2A64B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3F095E"/>
    <w:multiLevelType w:val="hybridMultilevel"/>
    <w:tmpl w:val="ED74F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782F6C"/>
    <w:multiLevelType w:val="hybridMultilevel"/>
    <w:tmpl w:val="F63E6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E91B6F"/>
    <w:multiLevelType w:val="hybridMultilevel"/>
    <w:tmpl w:val="F7C85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69122EAF"/>
    <w:multiLevelType w:val="hybridMultilevel"/>
    <w:tmpl w:val="50B8F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E32290"/>
    <w:multiLevelType w:val="hybridMultilevel"/>
    <w:tmpl w:val="3CC47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3"/>
  </w:num>
  <w:num w:numId="2">
    <w:abstractNumId w:val="26"/>
  </w:num>
  <w:num w:numId="3">
    <w:abstractNumId w:val="6"/>
  </w:num>
  <w:num w:numId="4">
    <w:abstractNumId w:val="2"/>
  </w:num>
  <w:num w:numId="5">
    <w:abstractNumId w:val="10"/>
  </w:num>
  <w:num w:numId="6">
    <w:abstractNumId w:val="20"/>
  </w:num>
  <w:num w:numId="7">
    <w:abstractNumId w:val="28"/>
  </w:num>
  <w:num w:numId="8">
    <w:abstractNumId w:val="19"/>
  </w:num>
  <w:num w:numId="9">
    <w:abstractNumId w:val="5"/>
  </w:num>
  <w:num w:numId="10">
    <w:abstractNumId w:val="9"/>
  </w:num>
  <w:num w:numId="11">
    <w:abstractNumId w:val="7"/>
  </w:num>
  <w:num w:numId="12">
    <w:abstractNumId w:val="4"/>
  </w:num>
  <w:num w:numId="13">
    <w:abstractNumId w:val="17"/>
  </w:num>
  <w:num w:numId="14">
    <w:abstractNumId w:val="0"/>
  </w:num>
  <w:num w:numId="15">
    <w:abstractNumId w:val="1"/>
  </w:num>
  <w:num w:numId="16">
    <w:abstractNumId w:val="18"/>
  </w:num>
  <w:num w:numId="17">
    <w:abstractNumId w:val="16"/>
  </w:num>
  <w:num w:numId="18">
    <w:abstractNumId w:val="24"/>
  </w:num>
  <w:num w:numId="19">
    <w:abstractNumId w:val="21"/>
  </w:num>
  <w:num w:numId="20">
    <w:abstractNumId w:val="29"/>
  </w:num>
  <w:num w:numId="21">
    <w:abstractNumId w:val="22"/>
  </w:num>
  <w:num w:numId="22">
    <w:abstractNumId w:val="15"/>
  </w:num>
  <w:num w:numId="23">
    <w:abstractNumId w:val="8"/>
  </w:num>
  <w:num w:numId="24">
    <w:abstractNumId w:val="13"/>
  </w:num>
  <w:num w:numId="25">
    <w:abstractNumId w:val="27"/>
  </w:num>
  <w:num w:numId="26">
    <w:abstractNumId w:val="14"/>
  </w:num>
  <w:num w:numId="27">
    <w:abstractNumId w:val="25"/>
  </w:num>
  <w:num w:numId="28">
    <w:abstractNumId w:val="12"/>
  </w:num>
  <w:num w:numId="29">
    <w:abstractNumId w:val="11"/>
  </w:num>
  <w:num w:numId="30">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50C7"/>
    <w:rsid w:val="00037621"/>
    <w:rsid w:val="00044D46"/>
    <w:rsid w:val="00045088"/>
    <w:rsid w:val="00045904"/>
    <w:rsid w:val="00053BF6"/>
    <w:rsid w:val="00055893"/>
    <w:rsid w:val="00060A67"/>
    <w:rsid w:val="00065166"/>
    <w:rsid w:val="00082609"/>
    <w:rsid w:val="000851CC"/>
    <w:rsid w:val="0009316C"/>
    <w:rsid w:val="00093BE8"/>
    <w:rsid w:val="000A68ED"/>
    <w:rsid w:val="000B1911"/>
    <w:rsid w:val="000B2D15"/>
    <w:rsid w:val="000B5FF1"/>
    <w:rsid w:val="000B609F"/>
    <w:rsid w:val="000C6C5D"/>
    <w:rsid w:val="000D2103"/>
    <w:rsid w:val="000D55A8"/>
    <w:rsid w:val="000D732C"/>
    <w:rsid w:val="000E329C"/>
    <w:rsid w:val="000E4841"/>
    <w:rsid w:val="000F1677"/>
    <w:rsid w:val="000F3D6C"/>
    <w:rsid w:val="000F626B"/>
    <w:rsid w:val="00101707"/>
    <w:rsid w:val="00110DA3"/>
    <w:rsid w:val="0011473D"/>
    <w:rsid w:val="00115C85"/>
    <w:rsid w:val="00123661"/>
    <w:rsid w:val="00123855"/>
    <w:rsid w:val="0012556C"/>
    <w:rsid w:val="00126A4D"/>
    <w:rsid w:val="00134986"/>
    <w:rsid w:val="001351F3"/>
    <w:rsid w:val="0014622C"/>
    <w:rsid w:val="00152348"/>
    <w:rsid w:val="0015456D"/>
    <w:rsid w:val="00161F1B"/>
    <w:rsid w:val="00162829"/>
    <w:rsid w:val="00180548"/>
    <w:rsid w:val="00180CCE"/>
    <w:rsid w:val="0018267A"/>
    <w:rsid w:val="00182779"/>
    <w:rsid w:val="001830DF"/>
    <w:rsid w:val="001966D9"/>
    <w:rsid w:val="001A7E9A"/>
    <w:rsid w:val="001B4DD3"/>
    <w:rsid w:val="001B5016"/>
    <w:rsid w:val="001C45FC"/>
    <w:rsid w:val="001C6F7B"/>
    <w:rsid w:val="001D3303"/>
    <w:rsid w:val="001D4862"/>
    <w:rsid w:val="001D6B70"/>
    <w:rsid w:val="001E25B9"/>
    <w:rsid w:val="001E49E0"/>
    <w:rsid w:val="001E7B5A"/>
    <w:rsid w:val="001F126E"/>
    <w:rsid w:val="001F3C1E"/>
    <w:rsid w:val="001F7412"/>
    <w:rsid w:val="0020725B"/>
    <w:rsid w:val="00215DA1"/>
    <w:rsid w:val="00230929"/>
    <w:rsid w:val="002331AF"/>
    <w:rsid w:val="00241B44"/>
    <w:rsid w:val="00245EFB"/>
    <w:rsid w:val="0026515D"/>
    <w:rsid w:val="002668D3"/>
    <w:rsid w:val="0027299F"/>
    <w:rsid w:val="00284EBE"/>
    <w:rsid w:val="00285118"/>
    <w:rsid w:val="00286AE6"/>
    <w:rsid w:val="002928D7"/>
    <w:rsid w:val="0029433F"/>
    <w:rsid w:val="00294829"/>
    <w:rsid w:val="0029690F"/>
    <w:rsid w:val="002A2A60"/>
    <w:rsid w:val="002B1C45"/>
    <w:rsid w:val="002C13C8"/>
    <w:rsid w:val="002C1671"/>
    <w:rsid w:val="002C3547"/>
    <w:rsid w:val="002C686D"/>
    <w:rsid w:val="002D0021"/>
    <w:rsid w:val="002D31CD"/>
    <w:rsid w:val="002D3473"/>
    <w:rsid w:val="002F1956"/>
    <w:rsid w:val="002F3440"/>
    <w:rsid w:val="002F75A3"/>
    <w:rsid w:val="00303C2F"/>
    <w:rsid w:val="003107BF"/>
    <w:rsid w:val="003144EF"/>
    <w:rsid w:val="00320CEF"/>
    <w:rsid w:val="00325E1F"/>
    <w:rsid w:val="00330937"/>
    <w:rsid w:val="00330F31"/>
    <w:rsid w:val="003327FA"/>
    <w:rsid w:val="00334648"/>
    <w:rsid w:val="0033768C"/>
    <w:rsid w:val="00337938"/>
    <w:rsid w:val="00340769"/>
    <w:rsid w:val="00341AA6"/>
    <w:rsid w:val="00361A0A"/>
    <w:rsid w:val="00364A0F"/>
    <w:rsid w:val="00364BBB"/>
    <w:rsid w:val="0036565C"/>
    <w:rsid w:val="0036625E"/>
    <w:rsid w:val="0037465A"/>
    <w:rsid w:val="00374696"/>
    <w:rsid w:val="0037667F"/>
    <w:rsid w:val="00382C98"/>
    <w:rsid w:val="0038533C"/>
    <w:rsid w:val="003948D5"/>
    <w:rsid w:val="00396821"/>
    <w:rsid w:val="00397D3A"/>
    <w:rsid w:val="003A051E"/>
    <w:rsid w:val="003A2F8D"/>
    <w:rsid w:val="003A38C3"/>
    <w:rsid w:val="003B170F"/>
    <w:rsid w:val="003B4F9F"/>
    <w:rsid w:val="003C0399"/>
    <w:rsid w:val="003C4471"/>
    <w:rsid w:val="003C78BB"/>
    <w:rsid w:val="003D0A6D"/>
    <w:rsid w:val="003D2DA8"/>
    <w:rsid w:val="003D485E"/>
    <w:rsid w:val="003D5899"/>
    <w:rsid w:val="003E0B16"/>
    <w:rsid w:val="003E67D1"/>
    <w:rsid w:val="003F2827"/>
    <w:rsid w:val="003F5758"/>
    <w:rsid w:val="00405DC1"/>
    <w:rsid w:val="00411B48"/>
    <w:rsid w:val="00413AB6"/>
    <w:rsid w:val="00415F1F"/>
    <w:rsid w:val="00416DB3"/>
    <w:rsid w:val="0042108F"/>
    <w:rsid w:val="00430FED"/>
    <w:rsid w:val="0043427C"/>
    <w:rsid w:val="00434729"/>
    <w:rsid w:val="00434A8C"/>
    <w:rsid w:val="0044026A"/>
    <w:rsid w:val="00444284"/>
    <w:rsid w:val="00445CE6"/>
    <w:rsid w:val="004534C2"/>
    <w:rsid w:val="0045683E"/>
    <w:rsid w:val="00491675"/>
    <w:rsid w:val="00493855"/>
    <w:rsid w:val="004A16A3"/>
    <w:rsid w:val="004A57DD"/>
    <w:rsid w:val="004A7B51"/>
    <w:rsid w:val="004A7D71"/>
    <w:rsid w:val="004A7EF3"/>
    <w:rsid w:val="004B11FD"/>
    <w:rsid w:val="004B23A2"/>
    <w:rsid w:val="004C1306"/>
    <w:rsid w:val="004D1A5A"/>
    <w:rsid w:val="004D3721"/>
    <w:rsid w:val="004D64F9"/>
    <w:rsid w:val="004E14A8"/>
    <w:rsid w:val="004F5FDF"/>
    <w:rsid w:val="00502246"/>
    <w:rsid w:val="0051168F"/>
    <w:rsid w:val="005177FE"/>
    <w:rsid w:val="0052263B"/>
    <w:rsid w:val="00524728"/>
    <w:rsid w:val="005316A7"/>
    <w:rsid w:val="005331CA"/>
    <w:rsid w:val="00537970"/>
    <w:rsid w:val="00544127"/>
    <w:rsid w:val="0055192E"/>
    <w:rsid w:val="00553EB2"/>
    <w:rsid w:val="00560534"/>
    <w:rsid w:val="0056391B"/>
    <w:rsid w:val="005650E2"/>
    <w:rsid w:val="00567075"/>
    <w:rsid w:val="00575B2D"/>
    <w:rsid w:val="00576962"/>
    <w:rsid w:val="005833D0"/>
    <w:rsid w:val="005846F3"/>
    <w:rsid w:val="0058622F"/>
    <w:rsid w:val="00592E76"/>
    <w:rsid w:val="00592F82"/>
    <w:rsid w:val="005A0CCA"/>
    <w:rsid w:val="005A6656"/>
    <w:rsid w:val="005A726D"/>
    <w:rsid w:val="005B67AC"/>
    <w:rsid w:val="005C5410"/>
    <w:rsid w:val="005D43E0"/>
    <w:rsid w:val="005D58A3"/>
    <w:rsid w:val="005E1B79"/>
    <w:rsid w:val="005F026D"/>
    <w:rsid w:val="005F2D0B"/>
    <w:rsid w:val="005F4B31"/>
    <w:rsid w:val="005F6250"/>
    <w:rsid w:val="006062C6"/>
    <w:rsid w:val="00610388"/>
    <w:rsid w:val="00612CA5"/>
    <w:rsid w:val="006153EC"/>
    <w:rsid w:val="00621A17"/>
    <w:rsid w:val="00627CC9"/>
    <w:rsid w:val="00627E7B"/>
    <w:rsid w:val="00630542"/>
    <w:rsid w:val="00631108"/>
    <w:rsid w:val="00632E44"/>
    <w:rsid w:val="00634622"/>
    <w:rsid w:val="00636110"/>
    <w:rsid w:val="00636808"/>
    <w:rsid w:val="0064071D"/>
    <w:rsid w:val="00641515"/>
    <w:rsid w:val="00641C11"/>
    <w:rsid w:val="00654C2F"/>
    <w:rsid w:val="00657087"/>
    <w:rsid w:val="00677AEB"/>
    <w:rsid w:val="00687A1D"/>
    <w:rsid w:val="00697EA1"/>
    <w:rsid w:val="006A1BCD"/>
    <w:rsid w:val="006A2646"/>
    <w:rsid w:val="006A6530"/>
    <w:rsid w:val="006B1CA2"/>
    <w:rsid w:val="006B435A"/>
    <w:rsid w:val="006B4C64"/>
    <w:rsid w:val="006C0EB7"/>
    <w:rsid w:val="006D01C2"/>
    <w:rsid w:val="006E3A3B"/>
    <w:rsid w:val="006E481A"/>
    <w:rsid w:val="006E5298"/>
    <w:rsid w:val="006F734A"/>
    <w:rsid w:val="00700D83"/>
    <w:rsid w:val="007074E9"/>
    <w:rsid w:val="007078DB"/>
    <w:rsid w:val="00713DA4"/>
    <w:rsid w:val="00714BF1"/>
    <w:rsid w:val="00721383"/>
    <w:rsid w:val="00725483"/>
    <w:rsid w:val="007333CC"/>
    <w:rsid w:val="0073399A"/>
    <w:rsid w:val="0073459E"/>
    <w:rsid w:val="0074504C"/>
    <w:rsid w:val="007603F5"/>
    <w:rsid w:val="00763CB7"/>
    <w:rsid w:val="00764DB0"/>
    <w:rsid w:val="0076764D"/>
    <w:rsid w:val="00773122"/>
    <w:rsid w:val="0077498C"/>
    <w:rsid w:val="00781727"/>
    <w:rsid w:val="00784128"/>
    <w:rsid w:val="00793173"/>
    <w:rsid w:val="00797F22"/>
    <w:rsid w:val="007B531A"/>
    <w:rsid w:val="007C1459"/>
    <w:rsid w:val="007C1FCC"/>
    <w:rsid w:val="007C6201"/>
    <w:rsid w:val="007D19C5"/>
    <w:rsid w:val="007D7C92"/>
    <w:rsid w:val="007E1154"/>
    <w:rsid w:val="007F41F8"/>
    <w:rsid w:val="007F45F1"/>
    <w:rsid w:val="00801B72"/>
    <w:rsid w:val="008031A7"/>
    <w:rsid w:val="0080454E"/>
    <w:rsid w:val="00804C32"/>
    <w:rsid w:val="00806302"/>
    <w:rsid w:val="00807119"/>
    <w:rsid w:val="0082483F"/>
    <w:rsid w:val="008279C0"/>
    <w:rsid w:val="00827D56"/>
    <w:rsid w:val="008459FD"/>
    <w:rsid w:val="008702C4"/>
    <w:rsid w:val="008723F3"/>
    <w:rsid w:val="00875FCA"/>
    <w:rsid w:val="00881DE6"/>
    <w:rsid w:val="008837A6"/>
    <w:rsid w:val="0089145D"/>
    <w:rsid w:val="008A6CFE"/>
    <w:rsid w:val="008B5333"/>
    <w:rsid w:val="008B6223"/>
    <w:rsid w:val="008C66E0"/>
    <w:rsid w:val="008C7148"/>
    <w:rsid w:val="008D0797"/>
    <w:rsid w:val="008E3339"/>
    <w:rsid w:val="008E4935"/>
    <w:rsid w:val="008F20FC"/>
    <w:rsid w:val="008F6301"/>
    <w:rsid w:val="00903B1A"/>
    <w:rsid w:val="00905450"/>
    <w:rsid w:val="00905A43"/>
    <w:rsid w:val="00912C79"/>
    <w:rsid w:val="00913690"/>
    <w:rsid w:val="00924835"/>
    <w:rsid w:val="00942123"/>
    <w:rsid w:val="0095207B"/>
    <w:rsid w:val="00955AF1"/>
    <w:rsid w:val="00962045"/>
    <w:rsid w:val="009634F4"/>
    <w:rsid w:val="00991428"/>
    <w:rsid w:val="00992676"/>
    <w:rsid w:val="009A1C7A"/>
    <w:rsid w:val="009B0723"/>
    <w:rsid w:val="009B07AD"/>
    <w:rsid w:val="009B0883"/>
    <w:rsid w:val="009B08F2"/>
    <w:rsid w:val="009B15E2"/>
    <w:rsid w:val="009B4A19"/>
    <w:rsid w:val="009C0B8E"/>
    <w:rsid w:val="009C1BC8"/>
    <w:rsid w:val="009C2442"/>
    <w:rsid w:val="009D0811"/>
    <w:rsid w:val="009D0EE1"/>
    <w:rsid w:val="009E1027"/>
    <w:rsid w:val="009E2AEB"/>
    <w:rsid w:val="009E2E27"/>
    <w:rsid w:val="009E4DE3"/>
    <w:rsid w:val="00A005FC"/>
    <w:rsid w:val="00A047EE"/>
    <w:rsid w:val="00A06EFA"/>
    <w:rsid w:val="00A2261F"/>
    <w:rsid w:val="00A2274A"/>
    <w:rsid w:val="00A235B7"/>
    <w:rsid w:val="00A407EF"/>
    <w:rsid w:val="00A458BE"/>
    <w:rsid w:val="00A46B4C"/>
    <w:rsid w:val="00A5117B"/>
    <w:rsid w:val="00A51352"/>
    <w:rsid w:val="00A54909"/>
    <w:rsid w:val="00A60074"/>
    <w:rsid w:val="00A6627C"/>
    <w:rsid w:val="00A71019"/>
    <w:rsid w:val="00A81029"/>
    <w:rsid w:val="00A83A2F"/>
    <w:rsid w:val="00A87A7C"/>
    <w:rsid w:val="00A96489"/>
    <w:rsid w:val="00A97725"/>
    <w:rsid w:val="00AA572E"/>
    <w:rsid w:val="00AB51EB"/>
    <w:rsid w:val="00AB685C"/>
    <w:rsid w:val="00AB6C2D"/>
    <w:rsid w:val="00AC3839"/>
    <w:rsid w:val="00AC5B06"/>
    <w:rsid w:val="00AC7082"/>
    <w:rsid w:val="00AD6A7D"/>
    <w:rsid w:val="00AE36EC"/>
    <w:rsid w:val="00AF228E"/>
    <w:rsid w:val="00B14819"/>
    <w:rsid w:val="00B17AA9"/>
    <w:rsid w:val="00B21393"/>
    <w:rsid w:val="00B26AEC"/>
    <w:rsid w:val="00B309E4"/>
    <w:rsid w:val="00B62B8A"/>
    <w:rsid w:val="00B65445"/>
    <w:rsid w:val="00B72AE1"/>
    <w:rsid w:val="00B736DF"/>
    <w:rsid w:val="00B74FBD"/>
    <w:rsid w:val="00B82586"/>
    <w:rsid w:val="00B86DB1"/>
    <w:rsid w:val="00B87869"/>
    <w:rsid w:val="00BA5CFB"/>
    <w:rsid w:val="00BB0F2B"/>
    <w:rsid w:val="00BE3E64"/>
    <w:rsid w:val="00BF1C6F"/>
    <w:rsid w:val="00BF50F7"/>
    <w:rsid w:val="00C025DF"/>
    <w:rsid w:val="00C02F29"/>
    <w:rsid w:val="00C053F7"/>
    <w:rsid w:val="00C22A25"/>
    <w:rsid w:val="00C264B3"/>
    <w:rsid w:val="00C33C6C"/>
    <w:rsid w:val="00C35671"/>
    <w:rsid w:val="00C35B77"/>
    <w:rsid w:val="00C3617F"/>
    <w:rsid w:val="00C3706F"/>
    <w:rsid w:val="00C376EB"/>
    <w:rsid w:val="00C46EC1"/>
    <w:rsid w:val="00C53E2C"/>
    <w:rsid w:val="00C550C8"/>
    <w:rsid w:val="00C606C3"/>
    <w:rsid w:val="00C62EB4"/>
    <w:rsid w:val="00C70B6C"/>
    <w:rsid w:val="00C72848"/>
    <w:rsid w:val="00C74804"/>
    <w:rsid w:val="00C7736C"/>
    <w:rsid w:val="00C82D87"/>
    <w:rsid w:val="00C8712A"/>
    <w:rsid w:val="00C963D3"/>
    <w:rsid w:val="00C977CF"/>
    <w:rsid w:val="00CA5A27"/>
    <w:rsid w:val="00CB2CBB"/>
    <w:rsid w:val="00CB3E1F"/>
    <w:rsid w:val="00CB7CAC"/>
    <w:rsid w:val="00CC5335"/>
    <w:rsid w:val="00CC5BA4"/>
    <w:rsid w:val="00CD4998"/>
    <w:rsid w:val="00CE1035"/>
    <w:rsid w:val="00CE223D"/>
    <w:rsid w:val="00CF2819"/>
    <w:rsid w:val="00CF4F9D"/>
    <w:rsid w:val="00CF70DC"/>
    <w:rsid w:val="00D00E70"/>
    <w:rsid w:val="00D104E4"/>
    <w:rsid w:val="00D148DC"/>
    <w:rsid w:val="00D17FDC"/>
    <w:rsid w:val="00D25BD3"/>
    <w:rsid w:val="00D529E0"/>
    <w:rsid w:val="00D5667E"/>
    <w:rsid w:val="00D63EFD"/>
    <w:rsid w:val="00D744B3"/>
    <w:rsid w:val="00D84752"/>
    <w:rsid w:val="00D86B3B"/>
    <w:rsid w:val="00D8748A"/>
    <w:rsid w:val="00D93196"/>
    <w:rsid w:val="00DA3AA3"/>
    <w:rsid w:val="00DB243C"/>
    <w:rsid w:val="00DB482A"/>
    <w:rsid w:val="00DB56F2"/>
    <w:rsid w:val="00DB6EF5"/>
    <w:rsid w:val="00DC0391"/>
    <w:rsid w:val="00DC262B"/>
    <w:rsid w:val="00DC3089"/>
    <w:rsid w:val="00DC4420"/>
    <w:rsid w:val="00DC7811"/>
    <w:rsid w:val="00DC7B49"/>
    <w:rsid w:val="00DD0802"/>
    <w:rsid w:val="00DD2E11"/>
    <w:rsid w:val="00DE03AF"/>
    <w:rsid w:val="00DE121C"/>
    <w:rsid w:val="00DE6633"/>
    <w:rsid w:val="00DE6C0C"/>
    <w:rsid w:val="00DF6657"/>
    <w:rsid w:val="00DF75F8"/>
    <w:rsid w:val="00DF7A3A"/>
    <w:rsid w:val="00E00C00"/>
    <w:rsid w:val="00E07C5A"/>
    <w:rsid w:val="00E131C8"/>
    <w:rsid w:val="00E15BA9"/>
    <w:rsid w:val="00E26E19"/>
    <w:rsid w:val="00E3772D"/>
    <w:rsid w:val="00E450A4"/>
    <w:rsid w:val="00E506BE"/>
    <w:rsid w:val="00E55547"/>
    <w:rsid w:val="00E6302B"/>
    <w:rsid w:val="00E6452F"/>
    <w:rsid w:val="00E64F45"/>
    <w:rsid w:val="00E6742D"/>
    <w:rsid w:val="00E71CB0"/>
    <w:rsid w:val="00E77C3D"/>
    <w:rsid w:val="00E85535"/>
    <w:rsid w:val="00E909F0"/>
    <w:rsid w:val="00E93993"/>
    <w:rsid w:val="00EA0913"/>
    <w:rsid w:val="00EA26B2"/>
    <w:rsid w:val="00EB45AC"/>
    <w:rsid w:val="00EB53ED"/>
    <w:rsid w:val="00ED0BC4"/>
    <w:rsid w:val="00ED5CB2"/>
    <w:rsid w:val="00EE4971"/>
    <w:rsid w:val="00EE744D"/>
    <w:rsid w:val="00EF090E"/>
    <w:rsid w:val="00F033DA"/>
    <w:rsid w:val="00F07B8D"/>
    <w:rsid w:val="00F170A2"/>
    <w:rsid w:val="00F20F1F"/>
    <w:rsid w:val="00F22FC8"/>
    <w:rsid w:val="00F24167"/>
    <w:rsid w:val="00F27CD8"/>
    <w:rsid w:val="00F30351"/>
    <w:rsid w:val="00F3323E"/>
    <w:rsid w:val="00F341F4"/>
    <w:rsid w:val="00F35CCE"/>
    <w:rsid w:val="00F44220"/>
    <w:rsid w:val="00F5524B"/>
    <w:rsid w:val="00F61DD2"/>
    <w:rsid w:val="00F64A42"/>
    <w:rsid w:val="00F66AFF"/>
    <w:rsid w:val="00F70C88"/>
    <w:rsid w:val="00F71433"/>
    <w:rsid w:val="00F718FD"/>
    <w:rsid w:val="00F82D90"/>
    <w:rsid w:val="00F918B8"/>
    <w:rsid w:val="00F97C5B"/>
    <w:rsid w:val="00FA3D50"/>
    <w:rsid w:val="00FA3D5F"/>
    <w:rsid w:val="00FB7111"/>
    <w:rsid w:val="00FC303A"/>
    <w:rsid w:val="00FC374A"/>
    <w:rsid w:val="00FC7B47"/>
    <w:rsid w:val="00FD035C"/>
    <w:rsid w:val="00FD0FAC"/>
    <w:rsid w:val="00FD1A35"/>
    <w:rsid w:val="00FD36C5"/>
    <w:rsid w:val="00FD6310"/>
    <w:rsid w:val="00FD7C7B"/>
    <w:rsid w:val="00FE090B"/>
    <w:rsid w:val="00FE1D12"/>
    <w:rsid w:val="00FE2122"/>
    <w:rsid w:val="00FE2A86"/>
    <w:rsid w:val="00FF104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0349953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909224046">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8E0D8-73B3-4705-90CE-08D93374A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3519</Words>
  <Characters>20059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James Sellick</cp:lastModifiedBy>
  <cp:revision>6</cp:revision>
  <cp:lastPrinted>2019-09-04T15:45:00Z</cp:lastPrinted>
  <dcterms:created xsi:type="dcterms:W3CDTF">2023-10-12T16:56:00Z</dcterms:created>
  <dcterms:modified xsi:type="dcterms:W3CDTF">2023-10-12T17:14:00Z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103618909v1</vt:lpwstr>
  </property>
</Properties>
</file>