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AF7F1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Default="00C56B61" w:rsidP="00AF7F1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3629C12E" w14:textId="77777777" w:rsidR="00AF7F1F" w:rsidRDefault="00AF7F1F" w:rsidP="00AF7F1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6E4979F" w14:textId="7A998A19" w:rsidR="00AF7F1F" w:rsidRPr="00AF7F1F" w:rsidRDefault="00AF7F1F" w:rsidP="00AF7F1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8"/>
          <w:szCs w:val="28"/>
          <w:lang w:val="en-GB"/>
        </w:rPr>
      </w:pPr>
      <w:r w:rsidRPr="00AF7F1F">
        <w:rPr>
          <w:rFonts w:ascii="Avenir Next Demi Bold" w:hAnsi="Avenir Next Demi Bold" w:cs="Arial"/>
          <w:b/>
          <w:bCs/>
          <w:sz w:val="24"/>
          <w:lang w:val="en-GB"/>
        </w:rPr>
        <w:t>RESIT ASSESSMENT: SEPTEMBER 2023</w:t>
      </w:r>
    </w:p>
    <w:p w14:paraId="1DCE41A2" w14:textId="0CB8A9C3" w:rsidR="002638B0" w:rsidRPr="006C65F4" w:rsidRDefault="002638B0" w:rsidP="00AF7F1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AF7F1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AF7F1F">
      <w:pPr>
        <w:pBdr>
          <w:top w:val="single" w:sz="4" w:space="1" w:color="auto"/>
          <w:left w:val="single" w:sz="4" w:space="4" w:color="auto"/>
          <w:bottom w:val="single" w:sz="4" w:space="1" w:color="auto"/>
          <w:right w:val="single" w:sz="4" w:space="4" w:color="auto"/>
        </w:pBdr>
        <w:shd w:val="clear" w:color="auto" w:fill="FFE599" w:themeFill="accent4"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1B722662" w14:textId="71093AD8" w:rsidR="00037671" w:rsidRPr="006C65F4" w:rsidRDefault="00037671" w:rsidP="00057EA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w:t>
      </w:r>
      <w:r w:rsidR="00057EA3">
        <w:rPr>
          <w:rFonts w:ascii="Avenir Next" w:hAnsi="Avenir Next" w:cs="Arial"/>
          <w:bCs/>
          <w:color w:val="767171" w:themeColor="background2" w:themeShade="80"/>
          <w:sz w:val="22"/>
          <w:szCs w:val="22"/>
          <w:lang w:val="en-GB"/>
        </w:rPr>
        <w:t>.</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7D47F456" w14:textId="46CC5097" w:rsidR="007F341D" w:rsidRPr="007F341D" w:rsidRDefault="00C651D6" w:rsidP="007F341D">
      <w:pPr>
        <w:ind w:left="720" w:hanging="720"/>
        <w:jc w:val="both"/>
        <w:rPr>
          <w:rFonts w:ascii="Avenir Next" w:hAnsi="Avenir Next" w:cs="Arial"/>
          <w:b/>
          <w:bCs/>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r>
      <w:r w:rsidR="007F341D" w:rsidRPr="00274E58">
        <w:rPr>
          <w:rFonts w:ascii="Avenir Next" w:hAnsi="Avenir Next" w:cs="Arial"/>
          <w:sz w:val="22"/>
          <w:szCs w:val="22"/>
          <w:lang w:val="en-GB"/>
        </w:rPr>
        <w:t xml:space="preserve">The final submission date for this assessment is </w:t>
      </w:r>
      <w:r w:rsidR="007F341D">
        <w:rPr>
          <w:rFonts w:ascii="Avenir Next Demi Bold" w:hAnsi="Avenir Next Demi Bold" w:cs="Arial"/>
          <w:b/>
          <w:bCs/>
          <w:sz w:val="22"/>
          <w:szCs w:val="22"/>
          <w:lang w:val="en-GB"/>
        </w:rPr>
        <w:t>21</w:t>
      </w:r>
      <w:r w:rsidR="007F341D" w:rsidRPr="004216EA">
        <w:rPr>
          <w:rFonts w:ascii="Avenir Next Demi Bold" w:hAnsi="Avenir Next Demi Bold" w:cs="Arial"/>
          <w:b/>
          <w:bCs/>
          <w:sz w:val="22"/>
          <w:szCs w:val="22"/>
          <w:lang w:val="en-GB"/>
        </w:rPr>
        <w:t xml:space="preserve"> </w:t>
      </w:r>
      <w:r w:rsidR="007F341D">
        <w:rPr>
          <w:rFonts w:ascii="Avenir Next Demi Bold" w:hAnsi="Avenir Next Demi Bold" w:cs="Arial"/>
          <w:b/>
          <w:bCs/>
          <w:sz w:val="22"/>
          <w:szCs w:val="22"/>
          <w:lang w:val="en-GB"/>
        </w:rPr>
        <w:t>September</w:t>
      </w:r>
      <w:r w:rsidR="007F341D" w:rsidRPr="004216EA">
        <w:rPr>
          <w:rFonts w:ascii="Avenir Next Demi Bold" w:hAnsi="Avenir Next Demi Bold" w:cs="Arial"/>
          <w:b/>
          <w:bCs/>
          <w:sz w:val="22"/>
          <w:szCs w:val="22"/>
          <w:lang w:val="en-GB"/>
        </w:rPr>
        <w:t xml:space="preserve"> 202</w:t>
      </w:r>
      <w:r w:rsidR="007F341D">
        <w:rPr>
          <w:rFonts w:ascii="Avenir Next Demi Bold" w:hAnsi="Avenir Next Demi Bold" w:cs="Arial"/>
          <w:b/>
          <w:bCs/>
          <w:sz w:val="22"/>
          <w:szCs w:val="22"/>
          <w:lang w:val="en-GB"/>
        </w:rPr>
        <w:t>3</w:t>
      </w:r>
      <w:r w:rsidR="007F341D" w:rsidRPr="004216EA">
        <w:rPr>
          <w:rFonts w:ascii="Avenir Next" w:hAnsi="Avenir Next" w:cs="Arial"/>
          <w:sz w:val="22"/>
          <w:szCs w:val="22"/>
          <w:lang w:val="en-GB"/>
        </w:rPr>
        <w:t xml:space="preserve">. </w:t>
      </w:r>
      <w:r w:rsidR="007F341D">
        <w:rPr>
          <w:rFonts w:ascii="Avenir Next" w:hAnsi="Avenir Next" w:cs="Arial"/>
          <w:sz w:val="22"/>
          <w:szCs w:val="22"/>
          <w:lang w:val="en-GB"/>
        </w:rPr>
        <w:t xml:space="preserve">Please provide the completed assessment back to </w:t>
      </w:r>
      <w:proofErr w:type="spellStart"/>
      <w:r w:rsidR="007F341D">
        <w:rPr>
          <w:rFonts w:ascii="Avenir Next" w:hAnsi="Avenir Next" w:cs="Arial"/>
          <w:sz w:val="22"/>
          <w:szCs w:val="22"/>
          <w:lang w:val="en-GB"/>
        </w:rPr>
        <w:t>Sanrie</w:t>
      </w:r>
      <w:proofErr w:type="spellEnd"/>
      <w:r w:rsidR="007F341D">
        <w:rPr>
          <w:rFonts w:ascii="Avenir Next" w:hAnsi="Avenir Next" w:cs="Arial"/>
          <w:sz w:val="22"/>
          <w:szCs w:val="22"/>
          <w:lang w:val="en-GB"/>
        </w:rPr>
        <w:t xml:space="preserve"> Lawrenson via email at </w:t>
      </w:r>
      <w:hyperlink r:id="rId9" w:history="1">
        <w:r w:rsidR="007F341D" w:rsidRPr="006C011D">
          <w:rPr>
            <w:rStyle w:val="a7"/>
            <w:rFonts w:ascii="Avenir Next" w:hAnsi="Avenir Next" w:cs="Arial"/>
            <w:sz w:val="22"/>
            <w:szCs w:val="22"/>
            <w:lang w:val="en-GB"/>
          </w:rPr>
          <w:t>Sanrie.Lawrenson@insol.org</w:t>
        </w:r>
      </w:hyperlink>
      <w:r w:rsidR="007F341D">
        <w:rPr>
          <w:rFonts w:ascii="Avenir Next" w:hAnsi="Avenir Next" w:cs="Arial"/>
          <w:sz w:val="22"/>
          <w:szCs w:val="22"/>
          <w:lang w:val="en-GB"/>
        </w:rPr>
        <w:t xml:space="preserve"> by no later than</w:t>
      </w:r>
      <w:r w:rsidR="007F341D" w:rsidRPr="004216EA">
        <w:rPr>
          <w:rFonts w:ascii="Avenir Next" w:hAnsi="Avenir Next" w:cs="Arial"/>
          <w:sz w:val="22"/>
          <w:szCs w:val="22"/>
          <w:lang w:val="en-GB"/>
        </w:rPr>
        <w:t xml:space="preserve"> </w:t>
      </w:r>
      <w:r w:rsidR="007F341D" w:rsidRPr="004216EA">
        <w:rPr>
          <w:rFonts w:ascii="Avenir Next Demi Bold" w:hAnsi="Avenir Next Demi Bold" w:cs="Arial"/>
          <w:b/>
          <w:bCs/>
          <w:sz w:val="22"/>
          <w:szCs w:val="22"/>
          <w:lang w:val="en-GB"/>
        </w:rPr>
        <w:t xml:space="preserve">23:00 (11 pm) GMT on </w:t>
      </w:r>
      <w:r w:rsidR="007F341D">
        <w:rPr>
          <w:rFonts w:ascii="Avenir Next Demi Bold" w:hAnsi="Avenir Next Demi Bold" w:cs="Arial"/>
          <w:b/>
          <w:bCs/>
          <w:sz w:val="22"/>
          <w:szCs w:val="22"/>
          <w:lang w:val="en-GB"/>
        </w:rPr>
        <w:t>21 September</w:t>
      </w:r>
      <w:r w:rsidR="007F341D" w:rsidRPr="004216EA">
        <w:rPr>
          <w:rFonts w:ascii="Avenir Next Demi Bold" w:hAnsi="Avenir Next Demi Bold" w:cs="Arial"/>
          <w:b/>
          <w:bCs/>
          <w:sz w:val="22"/>
          <w:szCs w:val="22"/>
          <w:lang w:val="en-GB"/>
        </w:rPr>
        <w:t xml:space="preserve"> 202</w:t>
      </w:r>
      <w:r w:rsidR="007F341D">
        <w:rPr>
          <w:rFonts w:ascii="Avenir Next Demi Bold" w:hAnsi="Avenir Next Demi Bold" w:cs="Arial"/>
          <w:b/>
          <w:bCs/>
          <w:sz w:val="22"/>
          <w:szCs w:val="22"/>
          <w:lang w:val="en-GB"/>
        </w:rPr>
        <w:t>3</w:t>
      </w:r>
      <w:r w:rsidR="007F341D" w:rsidRPr="004216EA">
        <w:rPr>
          <w:rFonts w:ascii="Avenir Next" w:hAnsi="Avenir Next" w:cs="Arial"/>
          <w:sz w:val="22"/>
          <w:szCs w:val="22"/>
          <w:lang w:val="en-GB"/>
        </w:rPr>
        <w:t>.</w:t>
      </w:r>
      <w:r w:rsidR="007F341D" w:rsidRPr="00274E58">
        <w:rPr>
          <w:rFonts w:ascii="Avenir Next" w:hAnsi="Avenir Next" w:cs="Arial"/>
          <w:sz w:val="22"/>
          <w:szCs w:val="22"/>
          <w:lang w:val="en-GB"/>
        </w:rPr>
        <w:t xml:space="preserve"> No submissions can be made after </w:t>
      </w:r>
      <w:r w:rsidR="007F341D">
        <w:rPr>
          <w:rFonts w:ascii="Avenir Next" w:hAnsi="Avenir Next" w:cs="Arial"/>
          <w:sz w:val="22"/>
          <w:szCs w:val="22"/>
          <w:lang w:val="en-GB"/>
        </w:rPr>
        <w:t>this time</w:t>
      </w:r>
      <w:r w:rsidR="007F341D" w:rsidRPr="00274E58">
        <w:rPr>
          <w:rFonts w:ascii="Avenir Next" w:hAnsi="Avenir Next" w:cs="Arial"/>
          <w:sz w:val="22"/>
          <w:szCs w:val="22"/>
          <w:lang w:val="en-GB"/>
        </w:rPr>
        <w:t>, no matter the circumstances.</w:t>
      </w:r>
    </w:p>
    <w:p w14:paraId="4C759335" w14:textId="7570EF18" w:rsidR="007F341D" w:rsidRDefault="007F341D" w:rsidP="007F341D">
      <w:pPr>
        <w:ind w:left="720" w:hanging="720"/>
        <w:jc w:val="both"/>
        <w:rPr>
          <w:rFonts w:ascii="Avenir Next" w:hAnsi="Avenir Next" w:cs="Arial"/>
          <w:sz w:val="22"/>
          <w:szCs w:val="22"/>
          <w:lang w:val="en-GB"/>
        </w:rPr>
      </w:pPr>
      <w:r>
        <w:rPr>
          <w:rFonts w:ascii="Avenir Next" w:hAnsi="Avenir Next" w:cs="Arial"/>
          <w:bCs/>
          <w:sz w:val="22"/>
          <w:szCs w:val="22"/>
          <w:lang w:val="en-GB"/>
        </w:rPr>
        <w:t>6</w:t>
      </w:r>
      <w:r w:rsidRPr="00274E58">
        <w:rPr>
          <w:rFonts w:ascii="Avenir Next" w:hAnsi="Avenir Next" w:cs="Arial"/>
          <w:bCs/>
          <w:sz w:val="22"/>
          <w:szCs w:val="22"/>
          <w:lang w:val="en-GB"/>
        </w:rPr>
        <w:t>.</w:t>
      </w:r>
      <w:r w:rsidRPr="00274E58">
        <w:rPr>
          <w:rFonts w:ascii="Avenir Next" w:hAnsi="Avenir Next" w:cs="Arial"/>
          <w:b/>
          <w:sz w:val="22"/>
          <w:szCs w:val="22"/>
          <w:lang w:val="en-GB"/>
        </w:rPr>
        <w:tab/>
      </w:r>
      <w:r>
        <w:rPr>
          <w:rFonts w:ascii="Avenir Next" w:hAnsi="Avenir Next" w:cs="Arial"/>
          <w:sz w:val="22"/>
          <w:szCs w:val="22"/>
          <w:lang w:val="en-GB"/>
        </w:rPr>
        <w:t>When submitting</w:t>
      </w:r>
      <w:r w:rsidRPr="00E2622D">
        <w:rPr>
          <w:rFonts w:ascii="Avenir Next" w:hAnsi="Avenir Next" w:cs="Arial"/>
          <w:sz w:val="22"/>
          <w:szCs w:val="22"/>
          <w:lang w:val="en-GB"/>
        </w:rPr>
        <w:t xml:space="preserve"> your </w:t>
      </w:r>
      <w:proofErr w:type="gramStart"/>
      <w:r w:rsidRPr="00E2622D">
        <w:rPr>
          <w:rFonts w:ascii="Avenir Next" w:hAnsi="Avenir Next" w:cs="Arial"/>
          <w:sz w:val="22"/>
          <w:szCs w:val="22"/>
          <w:lang w:val="en-GB"/>
        </w:rPr>
        <w:t>assessment</w:t>
      </w:r>
      <w:proofErr w:type="gramEnd"/>
      <w:r w:rsidRPr="00E2622D">
        <w:rPr>
          <w:rFonts w:ascii="Avenir Next" w:hAnsi="Avenir Next" w:cs="Arial"/>
          <w:sz w:val="22"/>
          <w:szCs w:val="22"/>
          <w:lang w:val="en-GB"/>
        </w:rPr>
        <w:t xml:space="preserve"> you </w:t>
      </w:r>
      <w:r>
        <w:rPr>
          <w:rFonts w:ascii="Avenir Next" w:hAnsi="Avenir Next" w:cs="Arial"/>
          <w:sz w:val="22"/>
          <w:szCs w:val="22"/>
          <w:lang w:val="en-GB"/>
        </w:rPr>
        <w:t>will be</w:t>
      </w:r>
      <w:r w:rsidRPr="00E2622D">
        <w:rPr>
          <w:rFonts w:ascii="Avenir Next" w:hAnsi="Avenir Next" w:cs="Arial"/>
          <w:sz w:val="22"/>
          <w:szCs w:val="22"/>
          <w:lang w:val="en-GB"/>
        </w:rPr>
        <w:t xml:space="preserve"> required to confirm / certify </w:t>
      </w:r>
      <w:r>
        <w:rPr>
          <w:rFonts w:ascii="Avenir Next" w:hAnsi="Avenir Next" w:cs="Arial"/>
          <w:sz w:val="22"/>
          <w:szCs w:val="22"/>
          <w:lang w:val="en-GB"/>
        </w:rPr>
        <w:t xml:space="preserve">via email </w:t>
      </w:r>
      <w:r w:rsidRPr="00E2622D">
        <w:rPr>
          <w:rFonts w:ascii="Avenir Next" w:hAnsi="Avenir Next" w:cs="Arial"/>
          <w:sz w:val="22"/>
          <w:szCs w:val="22"/>
          <w:lang w:val="en-GB"/>
        </w:rPr>
        <w:t xml:space="preserve">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15CAC2" w14:textId="77777777" w:rsidR="007F341D" w:rsidRDefault="007F341D">
      <w:pPr>
        <w:rPr>
          <w:rFonts w:ascii="Avenir Next" w:hAnsi="Avenir Next" w:cs="Arial"/>
          <w:sz w:val="22"/>
          <w:szCs w:val="22"/>
          <w:lang w:val="en-GB"/>
        </w:rPr>
      </w:pPr>
      <w:r>
        <w:rPr>
          <w:rFonts w:ascii="Avenir Next" w:hAnsi="Avenir Next" w:cs="Arial"/>
          <w:sz w:val="22"/>
          <w:szCs w:val="22"/>
          <w:lang w:val="en-GB"/>
        </w:rPr>
        <w:br w:type="page"/>
      </w:r>
    </w:p>
    <w:p w14:paraId="568258C7" w14:textId="77777777" w:rsidR="007F341D" w:rsidRPr="00274E58" w:rsidRDefault="007F341D" w:rsidP="007F341D">
      <w:pPr>
        <w:ind w:left="720" w:hanging="720"/>
        <w:jc w:val="both"/>
        <w:rPr>
          <w:rFonts w:ascii="Avenir Next" w:hAnsi="Avenir Next" w:cs="Arial"/>
          <w:sz w:val="22"/>
          <w:szCs w:val="22"/>
          <w:lang w:val="en-GB"/>
        </w:rPr>
      </w:pPr>
    </w:p>
    <w:p w14:paraId="16583175" w14:textId="559D3DC8" w:rsidR="00F3323E" w:rsidRPr="00592F82" w:rsidRDefault="00F3323E" w:rsidP="007F341D">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incorporated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AF5885">
        <w:rPr>
          <w:rFonts w:ascii="Avenir Next" w:hAnsi="Avenir Next"/>
          <w:highlight w:val="yellow"/>
        </w:rPr>
        <w:t>(a)</w:t>
      </w:r>
      <w:r w:rsidRPr="00AF5885">
        <w:rPr>
          <w:rFonts w:ascii="Avenir Next" w:hAnsi="Avenir Next"/>
          <w:highlight w:val="yellow"/>
        </w:rPr>
        <w:tab/>
        <w:t>Yes</w:t>
      </w:r>
      <w:r w:rsidR="004D36D5" w:rsidRPr="00AF5885">
        <w:rPr>
          <w:rFonts w:ascii="Avenir Next" w:hAnsi="Avenir Next"/>
          <w:highlight w:val="yellow"/>
        </w:rPr>
        <w:t>,</w:t>
      </w:r>
      <w:r w:rsidR="002A16B3" w:rsidRPr="00AF5885">
        <w:rPr>
          <w:rFonts w:ascii="Avenir Next" w:hAnsi="Avenir Next"/>
          <w:highlight w:val="yellow"/>
        </w:rPr>
        <w:t xml:space="preserve"> </w:t>
      </w:r>
      <w:r w:rsidR="000968D6" w:rsidRPr="00AF5885">
        <w:rPr>
          <w:rFonts w:ascii="Avenir Next" w:hAnsi="Avenir Next"/>
          <w:highlight w:val="yellow"/>
        </w:rPr>
        <w:t>regardless</w:t>
      </w:r>
      <w:r w:rsidR="0083721E" w:rsidRPr="00AF5885">
        <w:rPr>
          <w:rFonts w:ascii="Avenir Next" w:hAnsi="Avenir Next"/>
          <w:highlight w:val="yellow"/>
        </w:rPr>
        <w:t xml:space="preserve"> of</w:t>
      </w:r>
      <w:r w:rsidR="000968D6" w:rsidRPr="00AF5885">
        <w:rPr>
          <w:rFonts w:ascii="Avenir Next" w:hAnsi="Avenir Next"/>
          <w:highlight w:val="yellow"/>
        </w:rPr>
        <w:t xml:space="preserve"> </w:t>
      </w:r>
      <w:r w:rsidR="0083721E" w:rsidRPr="00AF5885">
        <w:rPr>
          <w:rFonts w:ascii="Avenir Next" w:hAnsi="Avenir Next"/>
          <w:highlight w:val="yellow"/>
        </w:rPr>
        <w:t xml:space="preserve">the </w:t>
      </w:r>
      <w:r w:rsidR="004D36D5" w:rsidRPr="00AF5885">
        <w:rPr>
          <w:rFonts w:ascii="Avenir Next" w:hAnsi="Avenir Next"/>
          <w:highlight w:val="yellow"/>
        </w:rPr>
        <w:t>circumstances</w:t>
      </w:r>
      <w:r w:rsidRPr="00AF5885">
        <w:rPr>
          <w:rFonts w:ascii="Avenir Next" w:hAnsi="Avenir Next"/>
          <w:highlight w:val="yellow"/>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(b)</w:t>
      </w:r>
      <w:r w:rsidRPr="00D221F8">
        <w:rPr>
          <w:rFonts w:ascii="Avenir Next" w:hAnsi="Avenir Next"/>
        </w:rPr>
        <w:tab/>
        <w:t xml:space="preserve">Yes, if Car Corp has fewer than 12 non-contingent, non-insider creditors.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t>A shareholder in Parts Inc, to which Car Corp is indebted</w:t>
      </w:r>
      <w:r w:rsidR="00631394">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AF5885">
        <w:rPr>
          <w:rFonts w:ascii="Avenir Next" w:hAnsi="Avenir Next"/>
          <w:highlight w:val="yellow"/>
        </w:rPr>
        <w:t>(d)</w:t>
      </w:r>
      <w:r w:rsidRPr="00AF5885">
        <w:rPr>
          <w:rFonts w:ascii="Avenir Next" w:hAnsi="Avenir Next"/>
          <w:highlight w:val="yellow"/>
        </w:rPr>
        <w:tab/>
        <w:t>A retired employee of Car Corp who receives payments from the company’s pension plan</w:t>
      </w:r>
      <w:r w:rsidR="00631394" w:rsidRPr="00AF5885">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lastRenderedPageBreak/>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AF5885">
        <w:rPr>
          <w:rFonts w:ascii="Avenir Next" w:hAnsi="Avenir Next"/>
        </w:rPr>
        <w:t>(a)</w:t>
      </w:r>
      <w:r w:rsidRPr="00AF5885">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AF5885">
        <w:rPr>
          <w:rFonts w:ascii="Avenir Next" w:hAnsi="Avenir Next"/>
          <w:highlight w:val="yellow"/>
        </w:rPr>
        <w:t>(d)</w:t>
      </w:r>
      <w:r w:rsidRPr="00AF5885">
        <w:rPr>
          <w:rFonts w:ascii="Avenir Next" w:hAnsi="Avenir Next"/>
          <w:highlight w:val="yellow"/>
        </w:rPr>
        <w:tab/>
      </w:r>
      <w:r w:rsidR="00B849C5" w:rsidRPr="00AF5885">
        <w:rPr>
          <w:rFonts w:ascii="Avenir Next" w:hAnsi="Avenir Next"/>
          <w:highlight w:val="yellow"/>
        </w:rPr>
        <w:t xml:space="preserve">Options (a) to (c) </w:t>
      </w:r>
      <w:r w:rsidRPr="00AF5885">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357F69">
        <w:rPr>
          <w:rFonts w:ascii="Avenir Next" w:hAnsi="Avenir Next"/>
          <w:highlight w:val="yellow"/>
        </w:rPr>
        <w:t>(e)</w:t>
      </w:r>
      <w:r w:rsidRPr="00357F69">
        <w:rPr>
          <w:rFonts w:ascii="Avenir Next" w:hAnsi="Avenir Next"/>
          <w:highlight w:val="yellow"/>
        </w:rPr>
        <w:tab/>
        <w:t>All of the above</w:t>
      </w:r>
      <w:r w:rsidR="006A42F8" w:rsidRPr="00357F69">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357F69">
        <w:rPr>
          <w:rFonts w:ascii="Avenir Next" w:hAnsi="Avenir Next"/>
          <w:highlight w:val="yellow"/>
        </w:rPr>
        <w:t>(b)</w:t>
      </w:r>
      <w:r w:rsidRPr="00357F69">
        <w:rPr>
          <w:rFonts w:ascii="Avenir Next" w:hAnsi="Avenir Next"/>
          <w:highlight w:val="yellow"/>
        </w:rPr>
        <w:tab/>
        <w:t xml:space="preserve">Executory contracts are clearly defined by the </w:t>
      </w:r>
      <w:r w:rsidR="00ED7BF3" w:rsidRPr="00357F69">
        <w:rPr>
          <w:rFonts w:ascii="Avenir Next" w:hAnsi="Avenir Next"/>
          <w:highlight w:val="yellow"/>
        </w:rPr>
        <w:t>B</w:t>
      </w:r>
      <w:r w:rsidRPr="00357F69">
        <w:rPr>
          <w:rFonts w:ascii="Avenir Next" w:hAnsi="Avenir Next"/>
          <w:highlight w:val="yellow"/>
        </w:rPr>
        <w:t xml:space="preserve">ankruptcy </w:t>
      </w:r>
      <w:r w:rsidR="00ED7BF3" w:rsidRPr="00357F69">
        <w:rPr>
          <w:rFonts w:ascii="Avenir Next" w:hAnsi="Avenir Next"/>
          <w:highlight w:val="yellow"/>
        </w:rPr>
        <w:t>C</w:t>
      </w:r>
      <w:r w:rsidRPr="00357F69">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Chapter 11 debtors have greater flexibility than chapter 7 debtors on when they may assume, assign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357F69" w:rsidRDefault="000643AB" w:rsidP="00875912">
      <w:pPr>
        <w:pStyle w:val="AODocTxt"/>
        <w:numPr>
          <w:ilvl w:val="0"/>
          <w:numId w:val="24"/>
        </w:numPr>
        <w:spacing w:before="0" w:line="240" w:lineRule="auto"/>
        <w:ind w:left="426" w:hanging="426"/>
        <w:rPr>
          <w:rFonts w:ascii="Avenir Next" w:hAnsi="Avenir Next"/>
          <w:highlight w:val="yellow"/>
        </w:rPr>
      </w:pPr>
      <w:r w:rsidRPr="00357F69">
        <w:rPr>
          <w:rFonts w:ascii="Avenir Next" w:hAnsi="Avenir Next"/>
          <w:highlight w:val="yellow"/>
        </w:rPr>
        <w:t>Acceptance of the plan by all classes of secured creditors</w:t>
      </w:r>
      <w:r w:rsidR="006844A8" w:rsidRPr="00357F69">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7C72F5" w:rsidRDefault="00C24FAB" w:rsidP="009017A1">
      <w:pPr>
        <w:pStyle w:val="AODocTxt"/>
        <w:numPr>
          <w:ilvl w:val="0"/>
          <w:numId w:val="33"/>
        </w:numPr>
        <w:spacing w:before="0" w:line="240" w:lineRule="auto"/>
        <w:ind w:left="426" w:hanging="426"/>
        <w:rPr>
          <w:rFonts w:ascii="Avenir Next" w:hAnsi="Avenir Next"/>
          <w:highlight w:val="yellow"/>
        </w:rPr>
      </w:pPr>
      <w:r w:rsidRPr="007C72F5">
        <w:rPr>
          <w:rFonts w:ascii="Avenir Next" w:hAnsi="Avenir Next"/>
          <w:highlight w:val="yellow"/>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Pr="007C72F5" w:rsidRDefault="00853272" w:rsidP="00BA74EF">
      <w:pPr>
        <w:pStyle w:val="AODocTxt"/>
        <w:numPr>
          <w:ilvl w:val="0"/>
          <w:numId w:val="28"/>
        </w:numPr>
        <w:spacing w:before="0" w:line="240" w:lineRule="auto"/>
        <w:ind w:left="426" w:hanging="426"/>
        <w:rPr>
          <w:rFonts w:ascii="Avenir Next" w:hAnsi="Avenir Next"/>
          <w:highlight w:val="yellow"/>
        </w:rPr>
      </w:pPr>
      <w:r w:rsidRPr="007C72F5">
        <w:rPr>
          <w:rFonts w:ascii="Avenir Next" w:hAnsi="Avenir Next"/>
          <w:highlight w:val="yellow"/>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Both</w:t>
      </w:r>
      <w:r w:rsidR="0072569E" w:rsidRPr="00352E16">
        <w:rPr>
          <w:rFonts w:ascii="Avenir Next" w:hAnsi="Avenir Next"/>
        </w:rPr>
        <w:t xml:space="preserve"> options</w:t>
      </w:r>
      <w:r w:rsidRPr="00352E16">
        <w:rPr>
          <w:rFonts w:ascii="Avenir Next" w:hAnsi="Avenir Next"/>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 xml:space="preserve">Both </w:t>
      </w:r>
      <w:r w:rsidR="0072569E" w:rsidRPr="00352E16">
        <w:rPr>
          <w:rFonts w:ascii="Avenir Next" w:hAnsi="Avenir Next"/>
        </w:rPr>
        <w:t xml:space="preserve">options </w:t>
      </w:r>
      <w:r w:rsidRPr="00352E16">
        <w:rPr>
          <w:rFonts w:ascii="Avenir Next" w:hAnsi="Avenir Next"/>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of the estate as a whole.</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52E16">
        <w:rPr>
          <w:rFonts w:ascii="Avenir Next" w:hAnsi="Avenir Next"/>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7C72F5" w:rsidRDefault="00334B98" w:rsidP="00676F12">
      <w:pPr>
        <w:pStyle w:val="AODocTxt"/>
        <w:keepNext/>
        <w:numPr>
          <w:ilvl w:val="0"/>
          <w:numId w:val="30"/>
        </w:numPr>
        <w:spacing w:before="0" w:line="240" w:lineRule="auto"/>
        <w:ind w:left="426" w:hanging="426"/>
        <w:rPr>
          <w:rFonts w:ascii="Avenir Next" w:hAnsi="Avenir Next"/>
          <w:highlight w:val="yellow"/>
        </w:rPr>
      </w:pPr>
      <w:r w:rsidRPr="007C72F5">
        <w:rPr>
          <w:rFonts w:ascii="Avenir Next" w:hAnsi="Avenir Next"/>
          <w:highlight w:val="yellow"/>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826C58" w:rsidRDefault="00740655" w:rsidP="00DF5F7C">
      <w:pPr>
        <w:pStyle w:val="AODocTxt"/>
        <w:keepNext/>
        <w:numPr>
          <w:ilvl w:val="0"/>
          <w:numId w:val="35"/>
        </w:numPr>
        <w:spacing w:before="0" w:line="240" w:lineRule="auto"/>
        <w:ind w:left="426" w:hanging="426"/>
        <w:rPr>
          <w:rFonts w:ascii="Avenir Next" w:hAnsi="Avenir Next"/>
          <w:highlight w:val="yellow"/>
        </w:rPr>
      </w:pPr>
      <w:r w:rsidRPr="00826C58">
        <w:rPr>
          <w:rFonts w:ascii="Avenir Next" w:hAnsi="Avenir Next"/>
          <w:highlight w:val="yellow"/>
        </w:rPr>
        <w:t>If a creditor can show it extended credit on the basis of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2EFB5850" w14:textId="250EC099" w:rsidR="00323167" w:rsidRPr="002B5D64" w:rsidRDefault="001D3BAA"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C803E6">
        <w:rPr>
          <w:rFonts w:ascii="Avenir Next" w:hAnsi="Avenir Next"/>
          <w:color w:val="808080" w:themeColor="background1" w:themeShade="80"/>
        </w:rPr>
        <w:t xml:space="preserve">Setoff is netting </w:t>
      </w:r>
      <w:r w:rsidR="00DE6E52">
        <w:rPr>
          <w:rFonts w:ascii="Avenir Next" w:hAnsi="Avenir Next"/>
          <w:color w:val="808080" w:themeColor="background1" w:themeShade="80"/>
        </w:rPr>
        <w:t xml:space="preserve">the </w:t>
      </w:r>
      <w:r w:rsidR="00C803E6">
        <w:rPr>
          <w:rFonts w:ascii="Avenir Next" w:hAnsi="Avenir Next"/>
          <w:color w:val="808080" w:themeColor="background1" w:themeShade="80"/>
        </w:rPr>
        <w:t xml:space="preserve">creditor’s claim </w:t>
      </w:r>
      <w:r w:rsidR="00DE6E52">
        <w:rPr>
          <w:rFonts w:ascii="Avenir Next" w:hAnsi="Avenir Next"/>
          <w:color w:val="808080" w:themeColor="background1" w:themeShade="80"/>
        </w:rPr>
        <w:t>to</w:t>
      </w:r>
      <w:r w:rsidR="00C803E6">
        <w:rPr>
          <w:rFonts w:ascii="Avenir Next" w:hAnsi="Avenir Next"/>
          <w:color w:val="808080" w:themeColor="background1" w:themeShade="80"/>
        </w:rPr>
        <w:t xml:space="preserve"> the debtor against </w:t>
      </w:r>
      <w:r w:rsidR="00DE6E52">
        <w:rPr>
          <w:rFonts w:ascii="Avenir Next" w:hAnsi="Avenir Next"/>
          <w:color w:val="808080" w:themeColor="background1" w:themeShade="80"/>
        </w:rPr>
        <w:t>the creditor’s</w:t>
      </w:r>
      <w:r w:rsidR="00C803E6">
        <w:rPr>
          <w:rFonts w:ascii="Avenir Next" w:hAnsi="Avenir Next"/>
          <w:color w:val="808080" w:themeColor="background1" w:themeShade="80"/>
        </w:rPr>
        <w:t xml:space="preserve"> monetary obligation to the debtor. Setoff is not permitted in many circumstances, because it can </w:t>
      </w:r>
      <w:r w:rsidR="00DE6E52">
        <w:rPr>
          <w:rFonts w:ascii="Avenir Next" w:hAnsi="Avenir Next"/>
          <w:color w:val="808080" w:themeColor="background1" w:themeShade="80"/>
        </w:rPr>
        <w:t xml:space="preserve">unfairly </w:t>
      </w:r>
      <w:r w:rsidR="00C803E6">
        <w:rPr>
          <w:rFonts w:ascii="Avenir Next" w:hAnsi="Avenir Next"/>
          <w:color w:val="808080" w:themeColor="background1" w:themeShade="80"/>
        </w:rPr>
        <w:t>improve position of one creditor as compared to the other creditors.</w:t>
      </w:r>
      <w:r w:rsidR="00C803E6">
        <w:rPr>
          <w:rStyle w:val="a6"/>
          <w:rFonts w:ascii="Avenir Next" w:hAnsi="Avenir Next"/>
          <w:color w:val="808080" w:themeColor="background1" w:themeShade="80"/>
        </w:rPr>
        <w:footnoteReference w:id="1"/>
      </w:r>
      <w:r>
        <w:rPr>
          <w:rFonts w:ascii="Avenir Next" w:hAnsi="Avenir Next"/>
          <w:color w:val="808080" w:themeColor="background1" w:themeShade="80"/>
        </w:rPr>
        <w:t>]</w:t>
      </w: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3FD924BB" w14:textId="000FAD89" w:rsidR="001D3BAA" w:rsidRPr="002B5D64"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C803E6">
        <w:rPr>
          <w:rFonts w:ascii="Avenir Next" w:hAnsi="Avenir Next"/>
          <w:color w:val="808080" w:themeColor="background1" w:themeShade="80"/>
        </w:rPr>
        <w:t xml:space="preserve">Priming lien is a lien securing a </w:t>
      </w:r>
      <w:proofErr w:type="spellStart"/>
      <w:r w:rsidR="00C803E6">
        <w:rPr>
          <w:rFonts w:ascii="Avenir Next" w:hAnsi="Avenir Next"/>
          <w:color w:val="808080" w:themeColor="background1" w:themeShade="80"/>
        </w:rPr>
        <w:t>postpetition</w:t>
      </w:r>
      <w:proofErr w:type="spellEnd"/>
      <w:r w:rsidR="00C803E6">
        <w:rPr>
          <w:rFonts w:ascii="Avenir Next" w:hAnsi="Avenir Next"/>
          <w:color w:val="808080" w:themeColor="background1" w:themeShade="80"/>
        </w:rPr>
        <w:t xml:space="preserve"> loan </w:t>
      </w:r>
      <w:r w:rsidR="00637B5D">
        <w:rPr>
          <w:rFonts w:ascii="Avenir Next" w:hAnsi="Avenir Next"/>
          <w:color w:val="808080" w:themeColor="background1" w:themeShade="80"/>
        </w:rPr>
        <w:t>which is senior or equal to a lien that was already attached the debtor’s assets. In order for the court to grant the priming lien the debtor shall demonstrate that (</w:t>
      </w:r>
      <w:proofErr w:type="spellStart"/>
      <w:r w:rsidR="00637B5D">
        <w:rPr>
          <w:rFonts w:ascii="Avenir Next" w:hAnsi="Avenir Next"/>
          <w:color w:val="808080" w:themeColor="background1" w:themeShade="80"/>
        </w:rPr>
        <w:t>i</w:t>
      </w:r>
      <w:proofErr w:type="spellEnd"/>
      <w:r w:rsidR="00637B5D">
        <w:rPr>
          <w:rFonts w:ascii="Avenir Next" w:hAnsi="Avenir Next"/>
          <w:color w:val="808080" w:themeColor="background1" w:themeShade="80"/>
        </w:rPr>
        <w:t>) it is unable to obtain finance through any other options and (ii) the interest of the creditor whose security interest is primed by the lie</w:t>
      </w:r>
      <w:r w:rsidR="00DE6E52">
        <w:rPr>
          <w:rFonts w:ascii="Avenir Next" w:hAnsi="Avenir Next"/>
          <w:color w:val="808080" w:themeColor="background1" w:themeShade="80"/>
        </w:rPr>
        <w:t>n</w:t>
      </w:r>
      <w:r w:rsidR="00637B5D">
        <w:rPr>
          <w:rFonts w:ascii="Avenir Next" w:hAnsi="Avenir Next"/>
          <w:color w:val="808080" w:themeColor="background1" w:themeShade="80"/>
        </w:rPr>
        <w:t xml:space="preserve"> is adequately protected.</w:t>
      </w:r>
      <w:r w:rsidR="00637B5D" w:rsidRPr="00637B5D">
        <w:rPr>
          <w:rStyle w:val="a6"/>
          <w:rFonts w:ascii="Avenir Next" w:hAnsi="Avenir Next"/>
          <w:color w:val="808080" w:themeColor="background1" w:themeShade="80"/>
        </w:rPr>
        <w:t xml:space="preserve"> </w:t>
      </w:r>
      <w:r w:rsidR="00637B5D">
        <w:rPr>
          <w:rStyle w:val="a6"/>
          <w:rFonts w:ascii="Avenir Next" w:hAnsi="Avenir Next"/>
          <w:color w:val="808080" w:themeColor="background1" w:themeShade="80"/>
        </w:rPr>
        <w:footnoteReference w:id="2"/>
      </w:r>
      <w:r>
        <w:rPr>
          <w:rFonts w:ascii="Avenir Next" w:hAnsi="Avenir Next"/>
          <w:color w:val="808080" w:themeColor="background1" w:themeShade="80"/>
        </w:rPr>
        <w:t>]</w:t>
      </w: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7795A145" w14:textId="5993A391" w:rsidR="00637B5D"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637B5D">
        <w:rPr>
          <w:rFonts w:ascii="Avenir Next" w:hAnsi="Avenir Next"/>
          <w:color w:val="808080" w:themeColor="background1" w:themeShade="80"/>
        </w:rPr>
        <w:t>An act in violation of the automatic stay:</w:t>
      </w:r>
    </w:p>
    <w:p w14:paraId="53723348" w14:textId="491704A8" w:rsidR="00637B5D" w:rsidRDefault="00637B5D"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 xml:space="preserve">1.will be held as made in contempt of court and </w:t>
      </w:r>
      <w:r w:rsidR="00DE6E52">
        <w:rPr>
          <w:rFonts w:ascii="Avenir Next" w:hAnsi="Avenir Next"/>
          <w:color w:val="808080" w:themeColor="background1" w:themeShade="80"/>
        </w:rPr>
        <w:t xml:space="preserve">will </w:t>
      </w:r>
      <w:r>
        <w:rPr>
          <w:rFonts w:ascii="Avenir Next" w:hAnsi="Avenir Next"/>
          <w:color w:val="808080" w:themeColor="background1" w:themeShade="80"/>
        </w:rPr>
        <w:t xml:space="preserve">be void and voidable following imposition of contempt sanctions against the stay violator. </w:t>
      </w:r>
    </w:p>
    <w:p w14:paraId="1C23721F" w14:textId="2CCCEF1E" w:rsidR="001D3BAA" w:rsidRPr="002B5D64" w:rsidRDefault="00637B5D"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2. will be regarded lawful if a party in interest has successfully appl</w:t>
      </w:r>
      <w:r w:rsidR="00DE6E52">
        <w:rPr>
          <w:rFonts w:ascii="Avenir Next" w:hAnsi="Avenir Next"/>
          <w:color w:val="808080" w:themeColor="background1" w:themeShade="80"/>
        </w:rPr>
        <w:t>ied</w:t>
      </w:r>
      <w:r>
        <w:rPr>
          <w:rFonts w:ascii="Avenir Next" w:hAnsi="Avenir Next"/>
          <w:color w:val="808080" w:themeColor="background1" w:themeShade="80"/>
        </w:rPr>
        <w:t xml:space="preserve"> for a li</w:t>
      </w:r>
      <w:r w:rsidR="00DE6E52">
        <w:rPr>
          <w:rFonts w:ascii="Avenir Next" w:hAnsi="Avenir Next"/>
          <w:color w:val="808080" w:themeColor="background1" w:themeShade="80"/>
        </w:rPr>
        <w:t>f</w:t>
      </w:r>
      <w:r>
        <w:rPr>
          <w:rFonts w:ascii="Avenir Next" w:hAnsi="Avenir Next"/>
          <w:color w:val="808080" w:themeColor="background1" w:themeShade="80"/>
        </w:rPr>
        <w:t>t of the stay retrospectively to validate the act.</w:t>
      </w:r>
      <w:r w:rsidRPr="00637B5D">
        <w:rPr>
          <w:rStyle w:val="a6"/>
          <w:rFonts w:ascii="Avenir Next" w:hAnsi="Avenir Next"/>
          <w:color w:val="808080" w:themeColor="background1" w:themeShade="80"/>
        </w:rPr>
        <w:t xml:space="preserve"> </w:t>
      </w:r>
      <w:r>
        <w:rPr>
          <w:rStyle w:val="a6"/>
          <w:rFonts w:ascii="Avenir Next" w:hAnsi="Avenir Next"/>
          <w:color w:val="808080" w:themeColor="background1" w:themeShade="80"/>
        </w:rPr>
        <w:footnoteReference w:id="3"/>
      </w:r>
      <w:r w:rsidR="001D3BAA">
        <w:rPr>
          <w:rFonts w:ascii="Avenir Next" w:hAnsi="Avenir Next"/>
          <w:color w:val="808080" w:themeColor="background1" w:themeShade="80"/>
        </w:rPr>
        <w:t>]</w:t>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w:t>
      </w:r>
      <w:proofErr w:type="spellStart"/>
      <w:r w:rsidRPr="001B33F5">
        <w:rPr>
          <w:rFonts w:ascii="Avenir Next" w:hAnsi="Avenir Next"/>
        </w:rPr>
        <w:t>i</w:t>
      </w:r>
      <w:proofErr w:type="spellEnd"/>
      <w:r w:rsidRPr="001B33F5">
        <w:rPr>
          <w:rFonts w:ascii="Avenir Next" w:hAnsi="Avenir Next"/>
        </w:rPr>
        <w:t>)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29912C8F" w14:textId="77777777" w:rsidR="005C719C"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5C719C">
        <w:rPr>
          <w:rFonts w:ascii="Avenir Next" w:hAnsi="Avenir Next"/>
          <w:color w:val="808080" w:themeColor="background1" w:themeShade="80"/>
        </w:rPr>
        <w:t>Unimpaired class of creditors is deemed to accept the plan</w:t>
      </w:r>
    </w:p>
    <w:p w14:paraId="2CD8C6B2" w14:textId="77777777" w:rsidR="005C719C" w:rsidRDefault="005C719C"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Class that will receive nothing is deemed to reject the plan</w:t>
      </w:r>
    </w:p>
    <w:p w14:paraId="7620051B" w14:textId="77777777" w:rsidR="005C719C" w:rsidRDefault="005C719C"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Impaired creditors are allowed to vote on the plan.</w:t>
      </w:r>
    </w:p>
    <w:p w14:paraId="037B4B36" w14:textId="6A9BE824" w:rsidR="001D3BAA" w:rsidRPr="002B5D64" w:rsidRDefault="00DE6E52"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V</w:t>
      </w:r>
      <w:r w:rsidR="005C719C">
        <w:rPr>
          <w:rFonts w:ascii="Avenir Next" w:hAnsi="Avenir Next"/>
          <w:color w:val="808080" w:themeColor="background1" w:themeShade="80"/>
        </w:rPr>
        <w:t>ote</w:t>
      </w:r>
      <w:r>
        <w:rPr>
          <w:rFonts w:ascii="Avenir Next" w:hAnsi="Avenir Next"/>
          <w:color w:val="808080" w:themeColor="background1" w:themeShade="80"/>
        </w:rPr>
        <w:t xml:space="preserve"> of two-thirds</w:t>
      </w:r>
      <w:r w:rsidR="005C719C">
        <w:rPr>
          <w:rFonts w:ascii="Avenir Next" w:hAnsi="Avenir Next"/>
          <w:color w:val="808080" w:themeColor="background1" w:themeShade="80"/>
        </w:rPr>
        <w:t xml:space="preserve"> is necessary </w:t>
      </w:r>
      <w:r w:rsidR="008244FA">
        <w:rPr>
          <w:rFonts w:ascii="Avenir Next" w:hAnsi="Avenir Next"/>
          <w:color w:val="808080" w:themeColor="background1" w:themeShade="80"/>
        </w:rPr>
        <w:t>for the plan to be accepted.</w:t>
      </w:r>
      <w:r w:rsidR="001D3BAA">
        <w:rPr>
          <w:rFonts w:ascii="Avenir Next" w:hAnsi="Avenir Next"/>
          <w:color w:val="808080" w:themeColor="background1" w:themeShade="80"/>
        </w:rPr>
        <w:t>]</w:t>
      </w: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Answer the following questions about preferences, actual fraudulent conveyances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6F71A99F" w14:textId="64B580DB" w:rsidR="008244FA"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8244FA">
        <w:rPr>
          <w:rFonts w:ascii="Avenir Next" w:hAnsi="Avenir Next"/>
          <w:color w:val="808080" w:themeColor="background1" w:themeShade="80"/>
        </w:rPr>
        <w:t>a – preference avoidance</w:t>
      </w:r>
      <w:r w:rsidR="008244FA">
        <w:rPr>
          <w:rStyle w:val="a6"/>
          <w:rFonts w:ascii="Avenir Next" w:hAnsi="Avenir Next"/>
          <w:color w:val="808080" w:themeColor="background1" w:themeShade="80"/>
        </w:rPr>
        <w:footnoteReference w:id="4"/>
      </w:r>
    </w:p>
    <w:p w14:paraId="7BFA05CB" w14:textId="7699ECDF" w:rsidR="008244FA" w:rsidRDefault="008244F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b – constructive fraudulent conveyance</w:t>
      </w:r>
    </w:p>
    <w:p w14:paraId="66393F27" w14:textId="75606A59" w:rsidR="00E239B8" w:rsidRDefault="008244F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c – actual fraudulent conveyance</w:t>
      </w:r>
      <w:r w:rsidR="00AF5885">
        <w:rPr>
          <w:rStyle w:val="a6"/>
          <w:rFonts w:ascii="Avenir Next" w:hAnsi="Avenir Next"/>
          <w:color w:val="808080" w:themeColor="background1" w:themeShade="80"/>
        </w:rPr>
        <w:footnoteReference w:id="5"/>
      </w:r>
      <w:r w:rsidR="001D3BAA">
        <w:rPr>
          <w:rFonts w:ascii="Avenir Next" w:hAnsi="Avenir Next"/>
          <w:color w:val="808080" w:themeColor="background1" w:themeShade="80"/>
        </w:rPr>
        <w:t>]</w:t>
      </w: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Default="001D3BAA" w:rsidP="001D3BAA">
      <w:pPr>
        <w:pStyle w:val="AODocTxt"/>
        <w:spacing w:before="0" w:line="240" w:lineRule="auto"/>
        <w:rPr>
          <w:rFonts w:ascii="Avenir Next" w:hAnsi="Avenir Next"/>
          <w:color w:val="808080" w:themeColor="background1" w:themeShade="80"/>
        </w:rPr>
      </w:pPr>
    </w:p>
    <w:p w14:paraId="41284EC0" w14:textId="0A58864B" w:rsidR="001D3BAA" w:rsidRPr="002B5D64"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w:t>
      </w:r>
      <w:r w:rsidR="000A0B8D">
        <w:rPr>
          <w:rFonts w:ascii="Avenir Next" w:hAnsi="Avenir Next"/>
          <w:color w:val="808080" w:themeColor="background1" w:themeShade="80"/>
        </w:rPr>
        <w:t>Final orders dispose of all issues without anything to be decided in a bankruptcy case or</w:t>
      </w:r>
      <w:r w:rsidR="00876E27">
        <w:rPr>
          <w:rFonts w:ascii="Avenir Next" w:hAnsi="Avenir Next"/>
          <w:color w:val="808080" w:themeColor="background1" w:themeShade="80"/>
        </w:rPr>
        <w:t xml:space="preserve"> in</w:t>
      </w:r>
      <w:r w:rsidR="000A0B8D">
        <w:rPr>
          <w:rFonts w:ascii="Avenir Next" w:hAnsi="Avenir Next"/>
          <w:color w:val="808080" w:themeColor="background1" w:themeShade="80"/>
        </w:rPr>
        <w:t xml:space="preserve"> a discrete dispute.</w:t>
      </w:r>
      <w:r w:rsidR="000A0B8D">
        <w:rPr>
          <w:rStyle w:val="a6"/>
          <w:rFonts w:ascii="Avenir Next" w:hAnsi="Avenir Next"/>
          <w:color w:val="808080" w:themeColor="background1" w:themeShade="80"/>
        </w:rPr>
        <w:footnoteReference w:id="6"/>
      </w:r>
      <w:r w:rsidR="000A0B8D">
        <w:rPr>
          <w:rFonts w:ascii="Avenir Next" w:hAnsi="Avenir Next"/>
          <w:color w:val="808080" w:themeColor="background1" w:themeShade="80"/>
        </w:rPr>
        <w:t xml:space="preserve"> Appeals are reviewed by the district court for the district in which the bankruptcy court which issued the order sits or in some circuits by the Bankruptcy Appellate Panels consisting of judges of a bankruptcy court.</w:t>
      </w:r>
      <w:r w:rsidR="000A0B8D">
        <w:rPr>
          <w:rStyle w:val="a6"/>
          <w:rFonts w:ascii="Avenir Next" w:hAnsi="Avenir Next"/>
          <w:color w:val="808080" w:themeColor="background1" w:themeShade="80"/>
        </w:rPr>
        <w:footnoteReference w:id="7"/>
      </w:r>
      <w:r w:rsidR="000A0B8D">
        <w:rPr>
          <w:rFonts w:ascii="Avenir Next" w:hAnsi="Avenir Next"/>
          <w:color w:val="808080" w:themeColor="background1" w:themeShade="80"/>
        </w:rPr>
        <w:t xml:space="preserve"> In case of not constitutionally final orders the competent court reviews </w:t>
      </w:r>
      <w:r w:rsidR="000A0B8D" w:rsidRPr="000A0B8D">
        <w:rPr>
          <w:rFonts w:ascii="Avenir Next" w:hAnsi="Avenir Next"/>
          <w:i/>
          <w:iCs/>
          <w:color w:val="808080" w:themeColor="background1" w:themeShade="80"/>
        </w:rPr>
        <w:t>de novo</w:t>
      </w:r>
      <w:r w:rsidR="000A0B8D">
        <w:rPr>
          <w:rFonts w:ascii="Avenir Next" w:hAnsi="Avenir Next"/>
          <w:color w:val="808080" w:themeColor="background1" w:themeShade="80"/>
        </w:rPr>
        <w:t xml:space="preserve"> only those findings of fact and conclusions of law to which the party objects.</w:t>
      </w:r>
      <w:r w:rsidR="000A0B8D">
        <w:rPr>
          <w:rStyle w:val="a6"/>
          <w:rFonts w:ascii="Avenir Next" w:hAnsi="Avenir Next"/>
          <w:color w:val="808080" w:themeColor="background1" w:themeShade="80"/>
        </w:rPr>
        <w:footnoteReference w:id="8"/>
      </w:r>
      <w:r>
        <w:rPr>
          <w:rFonts w:ascii="Avenir Next" w:hAnsi="Avenir Next"/>
          <w:color w:val="808080" w:themeColor="background1" w:themeShade="80"/>
        </w:rPr>
        <w:t>]</w:t>
      </w: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563007FE" w14:textId="7C40863A" w:rsidR="001D3BAA" w:rsidRPr="002B5D64"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DB6680">
        <w:rPr>
          <w:rFonts w:ascii="Avenir Next" w:hAnsi="Avenir Next"/>
          <w:color w:val="808080" w:themeColor="background1" w:themeShade="80"/>
        </w:rPr>
        <w:t xml:space="preserve">Foreign representative does not have avoidance powers provided by the Bankruptcy Code. Foreign representative may obtain equivalent relief through seeking avoidance powers in a plenary proceeding </w:t>
      </w:r>
      <w:r w:rsidR="00A902FE">
        <w:rPr>
          <w:rFonts w:ascii="Avenir Next" w:hAnsi="Avenir Next"/>
          <w:color w:val="808080" w:themeColor="background1" w:themeShade="80"/>
        </w:rPr>
        <w:t>which the foreign representative is entitled to initiate after recognition of the foreign proceedings under Chapter 15 or seek to recognize an equivalent relief under applicable law.</w:t>
      </w:r>
      <w:r w:rsidR="00A902FE">
        <w:rPr>
          <w:rStyle w:val="a6"/>
          <w:rFonts w:ascii="Avenir Next" w:hAnsi="Avenir Next"/>
          <w:color w:val="808080" w:themeColor="background1" w:themeShade="80"/>
        </w:rPr>
        <w:footnoteReference w:id="9"/>
      </w:r>
      <w:r>
        <w:rPr>
          <w:rFonts w:ascii="Avenir Next" w:hAnsi="Avenir Next"/>
          <w:color w:val="808080" w:themeColor="background1" w:themeShade="80"/>
        </w:rPr>
        <w:t>]</w:t>
      </w: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671A424A" w14:textId="548CFBED" w:rsidR="001D3BAA" w:rsidRPr="002B5D64"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A902FE">
        <w:rPr>
          <w:rFonts w:ascii="Avenir Next" w:hAnsi="Avenir Next"/>
          <w:color w:val="808080" w:themeColor="background1" w:themeShade="80"/>
        </w:rPr>
        <w:t xml:space="preserve">US Bankruptcy Code, Federal Rules of Bankruptcy Procedure, Federal Rules of Civil Procedure (by incorporation into </w:t>
      </w:r>
      <w:r w:rsidR="00A902FE">
        <w:rPr>
          <w:rFonts w:ascii="Avenir Next" w:hAnsi="Avenir Next"/>
          <w:color w:val="808080" w:themeColor="background1" w:themeShade="80"/>
        </w:rPr>
        <w:t>Federal Rules of Bankruptcy Procedure</w:t>
      </w:r>
      <w:r w:rsidR="00A902FE">
        <w:rPr>
          <w:rFonts w:ascii="Avenir Next" w:hAnsi="Avenir Next"/>
          <w:color w:val="808080" w:themeColor="background1" w:themeShade="80"/>
        </w:rPr>
        <w:t>), local rules of procedure issued by each bankruptcy court</w:t>
      </w:r>
      <w:r w:rsidR="00A902FE">
        <w:rPr>
          <w:rStyle w:val="a6"/>
          <w:rFonts w:ascii="Avenir Next" w:hAnsi="Avenir Next"/>
          <w:color w:val="808080" w:themeColor="background1" w:themeShade="80"/>
        </w:rPr>
        <w:footnoteReference w:id="10"/>
      </w:r>
      <w:r>
        <w:rPr>
          <w:rFonts w:ascii="Avenir Next" w:hAnsi="Avenir Next"/>
          <w:color w:val="808080" w:themeColor="background1" w:themeShade="80"/>
        </w:rPr>
        <w:t>]</w:t>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What fiduciary duties do directors of Delaware corporations owe and to whom are the duties owed in the ordinary course of business? To whom are duties owed when the corporation is potentially or actually insolvent?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33392C1D" w14:textId="77777777" w:rsidR="00A902FE"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A902FE">
        <w:rPr>
          <w:rFonts w:ascii="Avenir Next" w:hAnsi="Avenir Next"/>
          <w:color w:val="808080" w:themeColor="background1" w:themeShade="80"/>
        </w:rPr>
        <w:t>Fiduciary duties:</w:t>
      </w:r>
    </w:p>
    <w:p w14:paraId="49838EFE" w14:textId="2E639741" w:rsidR="00A902FE" w:rsidRDefault="00A902FE" w:rsidP="00A902FE">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Duty of loyalty to the corporation’s best interest </w:t>
      </w:r>
      <w:r w:rsidR="00876E27">
        <w:rPr>
          <w:rFonts w:ascii="Avenir Next" w:hAnsi="Avenir Next"/>
          <w:color w:val="808080" w:themeColor="background1" w:themeShade="80"/>
        </w:rPr>
        <w:t>and</w:t>
      </w:r>
    </w:p>
    <w:p w14:paraId="1312D427" w14:textId="3DAE5D53" w:rsidR="00A902FE" w:rsidRDefault="00A902FE" w:rsidP="00A902FE">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Duty of care in educated decision-making (except for the cases protected by the business judgement rule)</w:t>
      </w:r>
      <w:r w:rsidR="00876E27">
        <w:rPr>
          <w:rFonts w:ascii="Avenir Next" w:hAnsi="Avenir Next"/>
          <w:color w:val="808080" w:themeColor="background1" w:themeShade="80"/>
        </w:rPr>
        <w:t>.</w:t>
      </w:r>
    </w:p>
    <w:p w14:paraId="7A03B5A2" w14:textId="1E8747E3" w:rsidR="001D3BAA" w:rsidRPr="002B5D64" w:rsidRDefault="00C803E6" w:rsidP="00A902FE">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Both in the ordinary course of business and in case of potential and actual insolvency duties are owed to the corporation and its shareholders.</w:t>
      </w:r>
      <w:r>
        <w:rPr>
          <w:rStyle w:val="a6"/>
          <w:rFonts w:ascii="Avenir Next" w:hAnsi="Avenir Next"/>
          <w:color w:val="808080" w:themeColor="background1" w:themeShade="80"/>
        </w:rPr>
        <w:footnoteReference w:id="11"/>
      </w:r>
      <w:r w:rsidR="001D3BAA">
        <w:rPr>
          <w:rFonts w:ascii="Avenir Next" w:hAnsi="Avenir Next"/>
          <w:color w:val="808080" w:themeColor="background1" w:themeShade="80"/>
        </w:rPr>
        <w:t>]</w:t>
      </w: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40E23568" w14:textId="0912B3F6" w:rsidR="00B041E9"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111E07">
        <w:rPr>
          <w:rFonts w:ascii="Avenir Next" w:hAnsi="Avenir Next"/>
          <w:color w:val="808080" w:themeColor="background1" w:themeShade="80"/>
        </w:rPr>
        <w:t xml:space="preserve">In case iWork Ltd initiates reorganization under Chapter 7, lessors of the iWork will have </w:t>
      </w:r>
      <w:r w:rsidR="00B041E9">
        <w:rPr>
          <w:rFonts w:ascii="Avenir Next" w:hAnsi="Avenir Next"/>
          <w:color w:val="808080" w:themeColor="background1" w:themeShade="80"/>
        </w:rPr>
        <w:t xml:space="preserve">an unsecured claims </w:t>
      </w:r>
      <w:r w:rsidR="00111E07">
        <w:rPr>
          <w:rFonts w:ascii="Avenir Next" w:hAnsi="Avenir Next"/>
          <w:color w:val="808080" w:themeColor="background1" w:themeShade="80"/>
        </w:rPr>
        <w:t>priority</w:t>
      </w:r>
      <w:r w:rsidR="00B041E9">
        <w:rPr>
          <w:rFonts w:ascii="Avenir Next" w:hAnsi="Avenir Next"/>
          <w:color w:val="808080" w:themeColor="background1" w:themeShade="80"/>
        </w:rPr>
        <w:t xml:space="preserve">. </w:t>
      </w:r>
    </w:p>
    <w:p w14:paraId="5BA1E93A" w14:textId="77777777" w:rsidR="009951CA" w:rsidRDefault="009951CA" w:rsidP="001D3BAA">
      <w:pPr>
        <w:pStyle w:val="AODocTxt"/>
        <w:spacing w:before="0" w:line="240" w:lineRule="auto"/>
        <w:rPr>
          <w:rFonts w:ascii="Avenir Next" w:hAnsi="Avenir Next"/>
          <w:color w:val="808080" w:themeColor="background1" w:themeShade="80"/>
        </w:rPr>
      </w:pPr>
    </w:p>
    <w:p w14:paraId="7C744C0E" w14:textId="77777777" w:rsidR="009951CA" w:rsidRDefault="00B041E9"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Under Chapter </w:t>
      </w:r>
      <w:r w:rsidR="009951CA">
        <w:rPr>
          <w:rFonts w:ascii="Avenir Next" w:hAnsi="Avenir Next"/>
          <w:color w:val="808080" w:themeColor="background1" w:themeShade="80"/>
        </w:rPr>
        <w:t>11</w:t>
      </w:r>
      <w:r>
        <w:rPr>
          <w:rFonts w:ascii="Avenir Next" w:hAnsi="Avenir Next"/>
          <w:color w:val="808080" w:themeColor="background1" w:themeShade="80"/>
        </w:rPr>
        <w:t xml:space="preserve">, a trustee shall make a decision on assumption and assignment or rejection of the lease contract within 120 days of the order for relief. </w:t>
      </w:r>
      <w:r w:rsidR="009951CA">
        <w:rPr>
          <w:rFonts w:ascii="Avenir Next" w:hAnsi="Avenir Next"/>
          <w:color w:val="808080" w:themeColor="background1" w:themeShade="80"/>
        </w:rPr>
        <w:t>This period can be extended to 90 days but any further extension can be made with approval of lessors of the office space as commercial premises.</w:t>
      </w:r>
      <w:r w:rsidR="009951CA">
        <w:rPr>
          <w:rStyle w:val="a6"/>
          <w:rFonts w:ascii="Avenir Next" w:hAnsi="Avenir Next"/>
          <w:color w:val="808080" w:themeColor="background1" w:themeShade="80"/>
        </w:rPr>
        <w:footnoteReference w:id="12"/>
      </w:r>
    </w:p>
    <w:p w14:paraId="7373B81C" w14:textId="77777777" w:rsidR="009951CA" w:rsidRDefault="009951CA" w:rsidP="001D3BAA">
      <w:pPr>
        <w:pStyle w:val="AODocTxt"/>
        <w:spacing w:before="0" w:line="240" w:lineRule="auto"/>
        <w:rPr>
          <w:rFonts w:ascii="Avenir Next" w:hAnsi="Avenir Next"/>
          <w:color w:val="808080" w:themeColor="background1" w:themeShade="80"/>
        </w:rPr>
      </w:pPr>
    </w:p>
    <w:p w14:paraId="3655599A" w14:textId="77777777" w:rsidR="009951CA" w:rsidRDefault="009951C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Upon request of the lessor, the automatic stay may be lifted by court on the ground of lack of adequate protection of an interest in property of the estate.</w:t>
      </w:r>
      <w:r w:rsidRPr="009951CA">
        <w:rPr>
          <w:rStyle w:val="a6"/>
          <w:rFonts w:ascii="Avenir Next" w:hAnsi="Avenir Next"/>
          <w:color w:val="808080" w:themeColor="background1" w:themeShade="80"/>
        </w:rPr>
        <w:t xml:space="preserve"> </w:t>
      </w:r>
      <w:r>
        <w:rPr>
          <w:rStyle w:val="a6"/>
          <w:rFonts w:ascii="Avenir Next" w:hAnsi="Avenir Next"/>
          <w:color w:val="808080" w:themeColor="background1" w:themeShade="80"/>
        </w:rPr>
        <w:footnoteReference w:id="13"/>
      </w:r>
    </w:p>
    <w:p w14:paraId="5F62E796" w14:textId="77777777" w:rsidR="009951CA" w:rsidRDefault="009951CA" w:rsidP="001D3BAA">
      <w:pPr>
        <w:pStyle w:val="AODocTxt"/>
        <w:spacing w:before="0" w:line="240" w:lineRule="auto"/>
        <w:rPr>
          <w:rFonts w:ascii="Avenir Next" w:hAnsi="Avenir Next"/>
          <w:color w:val="808080" w:themeColor="background1" w:themeShade="80"/>
        </w:rPr>
      </w:pPr>
    </w:p>
    <w:p w14:paraId="53C2C279" w14:textId="26B9A70A" w:rsidR="001D3BAA" w:rsidRPr="002B5D64" w:rsidRDefault="009951C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Since iWork is not yet in bankruptcy </w:t>
      </w:r>
      <w:r w:rsidR="008C52EF">
        <w:rPr>
          <w:rFonts w:ascii="Avenir Next" w:hAnsi="Avenir Next"/>
          <w:color w:val="808080" w:themeColor="background1" w:themeShade="80"/>
        </w:rPr>
        <w:t>and its debt will be considered as pre-petition, the lessor will be entitled to file a claim in iWork bankruptcy.</w:t>
      </w:r>
      <w:r w:rsidR="008C52EF" w:rsidRPr="008C52EF">
        <w:rPr>
          <w:rStyle w:val="a6"/>
          <w:rFonts w:ascii="Avenir Next" w:hAnsi="Avenir Next"/>
          <w:color w:val="808080" w:themeColor="background1" w:themeShade="80"/>
        </w:rPr>
        <w:t xml:space="preserve"> </w:t>
      </w:r>
      <w:r w:rsidR="008C52EF">
        <w:rPr>
          <w:rStyle w:val="a6"/>
          <w:rFonts w:ascii="Avenir Next" w:hAnsi="Avenir Next"/>
          <w:color w:val="808080" w:themeColor="background1" w:themeShade="80"/>
        </w:rPr>
        <w:footnoteReference w:id="14"/>
      </w:r>
      <w:r w:rsidR="001D3BAA">
        <w:rPr>
          <w:rFonts w:ascii="Avenir Next" w:hAnsi="Avenir Next"/>
          <w:color w:val="808080" w:themeColor="background1" w:themeShade="80"/>
        </w:rPr>
        <w:t>]</w:t>
      </w: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London and Hong Kong. Skin </w:t>
      </w:r>
      <w:proofErr w:type="spellStart"/>
      <w:r w:rsidRPr="005D4357">
        <w:rPr>
          <w:rFonts w:ascii="Avenir Next" w:hAnsi="Avenir Next"/>
        </w:rPr>
        <w:t>Luxe’s</w:t>
      </w:r>
      <w:proofErr w:type="spellEnd"/>
      <w:r w:rsidRPr="005D4357">
        <w:rPr>
          <w:rFonts w:ascii="Avenir Next" w:hAnsi="Avenir Next"/>
        </w:rPr>
        <w:t xml:space="preserve">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4C2CA618" w14:textId="77777777" w:rsidR="002D6A48"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w:t>
      </w:r>
      <w:r w:rsidR="002D6A48">
        <w:rPr>
          <w:rFonts w:ascii="Avenir Next" w:hAnsi="Avenir Next"/>
          <w:color w:val="808080" w:themeColor="background1" w:themeShade="80"/>
        </w:rPr>
        <w:t xml:space="preserve">First, the English scheme of arrangement could be granted recognition under US chapter 15. </w:t>
      </w:r>
      <w:r w:rsidR="00C55995">
        <w:rPr>
          <w:rFonts w:ascii="Avenir Next" w:hAnsi="Avenir Next"/>
          <w:color w:val="808080" w:themeColor="background1" w:themeShade="80"/>
        </w:rPr>
        <w:t>According to § 101(23) of the Bankruptcy Code, the term “foreign proceedings” includes administrative proceedings in a foreign country under a law relating to insolvency or adjustment of debt in which proceedings the assets and affairs of the debtor are subject to control or supervision by a foreign court.</w:t>
      </w:r>
      <w:r w:rsidR="00C55995">
        <w:rPr>
          <w:rStyle w:val="a6"/>
          <w:rFonts w:ascii="Avenir Next" w:hAnsi="Avenir Next"/>
          <w:color w:val="808080" w:themeColor="background1" w:themeShade="80"/>
        </w:rPr>
        <w:footnoteReference w:id="15"/>
      </w:r>
      <w:r w:rsidR="00C55995">
        <w:rPr>
          <w:rFonts w:ascii="Avenir Next" w:hAnsi="Avenir Next"/>
          <w:color w:val="808080" w:themeColor="background1" w:themeShade="80"/>
        </w:rPr>
        <w:t xml:space="preserve"> Accordingly, English scheme of arrangement can be granted recognition under the Bankruptcy Code. </w:t>
      </w:r>
    </w:p>
    <w:p w14:paraId="7F81ACAE" w14:textId="77777777" w:rsidR="002D6A48" w:rsidRDefault="002D6A48" w:rsidP="001D3BAA">
      <w:pPr>
        <w:pStyle w:val="AODocTxt"/>
        <w:spacing w:before="0" w:line="240" w:lineRule="auto"/>
        <w:rPr>
          <w:rFonts w:ascii="Avenir Next" w:hAnsi="Avenir Next"/>
          <w:color w:val="808080" w:themeColor="background1" w:themeShade="80"/>
        </w:rPr>
      </w:pPr>
    </w:p>
    <w:p w14:paraId="23BBB512" w14:textId="77777777" w:rsidR="00271ED6" w:rsidRDefault="002D6A48"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Second, while the issue is subject to consideration of the competent US court, the English-law governed scheme of arrangement will likely be recognized as foreign main proceedings. Qualification of the English-law governed scheme of arrangement depends on whether </w:t>
      </w:r>
      <w:r w:rsidR="00134C81">
        <w:rPr>
          <w:rFonts w:ascii="Avenir Next" w:hAnsi="Avenir Next"/>
          <w:color w:val="808080" w:themeColor="background1" w:themeShade="80"/>
        </w:rPr>
        <w:t xml:space="preserve">it can be characterized as commenced in the </w:t>
      </w:r>
      <w:r>
        <w:rPr>
          <w:rFonts w:ascii="Avenir Next" w:hAnsi="Avenir Next"/>
          <w:color w:val="808080" w:themeColor="background1" w:themeShade="80"/>
        </w:rPr>
        <w:t xml:space="preserve">Skin </w:t>
      </w:r>
      <w:proofErr w:type="spellStart"/>
      <w:r>
        <w:rPr>
          <w:rFonts w:ascii="Avenir Next" w:hAnsi="Avenir Next"/>
          <w:color w:val="808080" w:themeColor="background1" w:themeShade="80"/>
        </w:rPr>
        <w:t>Luxe’s</w:t>
      </w:r>
      <w:proofErr w:type="spellEnd"/>
      <w:r>
        <w:rPr>
          <w:rFonts w:ascii="Avenir Next" w:hAnsi="Avenir Next"/>
          <w:color w:val="808080" w:themeColor="background1" w:themeShade="80"/>
        </w:rPr>
        <w:t xml:space="preserve"> COMI.</w:t>
      </w:r>
      <w:r w:rsidR="00134C81">
        <w:rPr>
          <w:rFonts w:ascii="Avenir Next" w:hAnsi="Avenir Next"/>
          <w:color w:val="808080" w:themeColor="background1" w:themeShade="80"/>
        </w:rPr>
        <w:t xml:space="preserve"> Although COMI is presumed to be the place of incorporation, such presumption is rebuttable</w:t>
      </w:r>
      <w:r w:rsidR="00134C81">
        <w:rPr>
          <w:rStyle w:val="a6"/>
          <w:rFonts w:ascii="Avenir Next" w:hAnsi="Avenir Next"/>
          <w:color w:val="808080" w:themeColor="background1" w:themeShade="80"/>
        </w:rPr>
        <w:footnoteReference w:id="16"/>
      </w:r>
      <w:r w:rsidR="00134C81">
        <w:rPr>
          <w:rFonts w:ascii="Avenir Next" w:hAnsi="Avenir Next"/>
          <w:color w:val="808080" w:themeColor="background1" w:themeShade="80"/>
        </w:rPr>
        <w:t xml:space="preserve"> and other factors can be assessed by the court.</w:t>
      </w:r>
      <w:r>
        <w:rPr>
          <w:rFonts w:ascii="Avenir Next" w:hAnsi="Avenir Next"/>
          <w:color w:val="808080" w:themeColor="background1" w:themeShade="80"/>
        </w:rPr>
        <w:t xml:space="preserve"> </w:t>
      </w:r>
      <w:r w:rsidR="00134C81">
        <w:rPr>
          <w:rFonts w:ascii="Avenir Next" w:hAnsi="Avenir Next"/>
          <w:color w:val="808080" w:themeColor="background1" w:themeShade="80"/>
        </w:rPr>
        <w:t>One of such factors include jurisdiction whose law will apply to most disputes.</w:t>
      </w:r>
      <w:r w:rsidR="00134C81">
        <w:rPr>
          <w:rStyle w:val="a6"/>
          <w:rFonts w:ascii="Avenir Next" w:hAnsi="Avenir Next"/>
          <w:color w:val="808080" w:themeColor="background1" w:themeShade="80"/>
        </w:rPr>
        <w:footnoteReference w:id="17"/>
      </w:r>
      <w:r w:rsidR="00134C81">
        <w:rPr>
          <w:rFonts w:ascii="Avenir Next" w:hAnsi="Avenir Next"/>
          <w:color w:val="808080" w:themeColor="background1" w:themeShade="80"/>
        </w:rPr>
        <w:t xml:space="preserve"> Skin </w:t>
      </w:r>
      <w:proofErr w:type="spellStart"/>
      <w:r w:rsidR="00134C81">
        <w:rPr>
          <w:rFonts w:ascii="Avenir Next" w:hAnsi="Avenir Next"/>
          <w:color w:val="808080" w:themeColor="background1" w:themeShade="80"/>
        </w:rPr>
        <w:t>Luxe’s</w:t>
      </w:r>
      <w:proofErr w:type="spellEnd"/>
      <w:r w:rsidR="00134C81">
        <w:rPr>
          <w:rFonts w:ascii="Avenir Next" w:hAnsi="Avenir Next"/>
          <w:color w:val="808080" w:themeColor="background1" w:themeShade="80"/>
        </w:rPr>
        <w:t xml:space="preserve"> scheme of arrangement is governed by the English law and is related to its bonds issued under the English law. Accordingly, England can be recognized as Skin </w:t>
      </w:r>
      <w:proofErr w:type="spellStart"/>
      <w:r w:rsidR="00134C81">
        <w:rPr>
          <w:rFonts w:ascii="Avenir Next" w:hAnsi="Avenir Next"/>
          <w:color w:val="808080" w:themeColor="background1" w:themeShade="80"/>
        </w:rPr>
        <w:t>Luxe’s</w:t>
      </w:r>
      <w:proofErr w:type="spellEnd"/>
      <w:r w:rsidR="00134C81">
        <w:rPr>
          <w:rFonts w:ascii="Avenir Next" w:hAnsi="Avenir Next"/>
          <w:color w:val="808080" w:themeColor="background1" w:themeShade="80"/>
        </w:rPr>
        <w:t xml:space="preserve"> COMI for the purpose of recognition of the scheme of arrangement. </w:t>
      </w:r>
    </w:p>
    <w:p w14:paraId="671EF25F" w14:textId="77777777" w:rsidR="00271ED6" w:rsidRDefault="00271ED6" w:rsidP="001D3BAA">
      <w:pPr>
        <w:pStyle w:val="AODocTxt"/>
        <w:spacing w:before="0" w:line="240" w:lineRule="auto"/>
        <w:rPr>
          <w:rFonts w:ascii="Avenir Next" w:hAnsi="Avenir Next"/>
          <w:color w:val="808080" w:themeColor="background1" w:themeShade="80"/>
        </w:rPr>
      </w:pPr>
    </w:p>
    <w:p w14:paraId="485D4FED" w14:textId="6CC4C3C8" w:rsidR="001D3BAA" w:rsidRPr="002B5D64" w:rsidRDefault="00271ED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In case the court decides that the English-law governed scheme of arrangement cannot be recognized as foreign main proceedings, it will </w:t>
      </w:r>
      <w:r w:rsidR="001B4045">
        <w:rPr>
          <w:rFonts w:ascii="Avenir Next" w:hAnsi="Avenir Next"/>
          <w:color w:val="808080" w:themeColor="background1" w:themeShade="80"/>
        </w:rPr>
        <w:t xml:space="preserve">not </w:t>
      </w:r>
      <w:r>
        <w:rPr>
          <w:rFonts w:ascii="Avenir Next" w:hAnsi="Avenir Next"/>
          <w:color w:val="808080" w:themeColor="background1" w:themeShade="80"/>
        </w:rPr>
        <w:t xml:space="preserve">likely be recognized as foreign non-main proceedings since Skin </w:t>
      </w:r>
      <w:proofErr w:type="spellStart"/>
      <w:r>
        <w:rPr>
          <w:rFonts w:ascii="Avenir Next" w:hAnsi="Avenir Next"/>
          <w:color w:val="808080" w:themeColor="background1" w:themeShade="80"/>
        </w:rPr>
        <w:t>Luxe’s</w:t>
      </w:r>
      <w:proofErr w:type="spellEnd"/>
      <w:r>
        <w:rPr>
          <w:rFonts w:ascii="Avenir Next" w:hAnsi="Avenir Next"/>
          <w:color w:val="808080" w:themeColor="background1" w:themeShade="80"/>
        </w:rPr>
        <w:t xml:space="preserve"> does not have an establishment in England.</w:t>
      </w:r>
      <w:r>
        <w:rPr>
          <w:rStyle w:val="a6"/>
          <w:rFonts w:ascii="Avenir Next" w:hAnsi="Avenir Next"/>
          <w:color w:val="808080" w:themeColor="background1" w:themeShade="80"/>
        </w:rPr>
        <w:footnoteReference w:id="18"/>
      </w:r>
      <w:r w:rsidR="001D3BAA">
        <w:rPr>
          <w:rFonts w:ascii="Avenir Next" w:hAnsi="Avenir Next"/>
          <w:color w:val="808080" w:themeColor="background1" w:themeShade="80"/>
        </w:rPr>
        <w:t>]</w:t>
      </w:r>
    </w:p>
    <w:p w14:paraId="46926789" w14:textId="77777777" w:rsidR="008C45A7" w:rsidRPr="00E01803" w:rsidRDefault="008C45A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w:t>
      </w:r>
      <w:proofErr w:type="spellStart"/>
      <w:r w:rsidRPr="00FB2838">
        <w:rPr>
          <w:rFonts w:ascii="Avenir Next" w:hAnsi="Avenir Next"/>
        </w:rPr>
        <w:t>i</w:t>
      </w:r>
      <w:proofErr w:type="spellEnd"/>
      <w:r w:rsidRPr="00FB2838">
        <w:rPr>
          <w:rFonts w:ascii="Avenir Next" w:hAnsi="Avenir Next"/>
        </w:rPr>
        <w:t>)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51844BC4" w14:textId="4094B49C" w:rsidR="001D3BAA" w:rsidRPr="002B5D64"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6E6F9A">
        <w:rPr>
          <w:rFonts w:ascii="Avenir Next" w:hAnsi="Avenir Next"/>
          <w:color w:val="808080" w:themeColor="background1" w:themeShade="80"/>
        </w:rPr>
        <w:t xml:space="preserve">Chapter 11 petition will invoke automatic stay in respect of all the Speculation Inc liabilities except for the DOJ Investigation, because it is a regulatory investigation, and the </w:t>
      </w:r>
      <w:r w:rsidR="006E6F9A">
        <w:rPr>
          <w:rFonts w:ascii="Avenir Next" w:hAnsi="Avenir Next"/>
          <w:color w:val="808080" w:themeColor="background1" w:themeShade="80"/>
        </w:rPr>
        <w:lastRenderedPageBreak/>
        <w:t>employment discrimination lawsuit, because automatic stay can be attached to the property only.</w:t>
      </w:r>
      <w:r w:rsidR="000A0B8D">
        <w:rPr>
          <w:rStyle w:val="a6"/>
          <w:rFonts w:ascii="Avenir Next" w:hAnsi="Avenir Next"/>
          <w:color w:val="808080" w:themeColor="background1" w:themeShade="80"/>
        </w:rPr>
        <w:footnoteReference w:id="19"/>
      </w:r>
      <w:r>
        <w:rPr>
          <w:rFonts w:ascii="Avenir Next" w:hAnsi="Avenir Next"/>
          <w:color w:val="808080" w:themeColor="background1" w:themeShade="80"/>
        </w:rPr>
        <w:t>]</w:t>
      </w: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DCE7D" w14:textId="77777777" w:rsidR="00E7088D" w:rsidRDefault="00E7088D" w:rsidP="00241B44">
      <w:r>
        <w:separator/>
      </w:r>
    </w:p>
  </w:endnote>
  <w:endnote w:type="continuationSeparator" w:id="0">
    <w:p w14:paraId="1B0E2CDB" w14:textId="77777777" w:rsidR="00E7088D" w:rsidRDefault="00E7088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0AAD6B61" w14:textId="77777777" w:rsidR="00E450A4" w:rsidRPr="00FC7B47" w:rsidRDefault="00E450A4"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39FD1B0B" w14:textId="3A981440" w:rsidR="00E450A4" w:rsidRPr="00FC7B47" w:rsidRDefault="00445CE6" w:rsidP="00FC7B47">
    <w:pPr>
      <w:pStyle w:val="af"/>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venir Next" w:hAnsi="Avenir Next" w:cs="Arial"/>
        <w:sz w:val="22"/>
        <w:szCs w:val="22"/>
      </w:rPr>
      <w:id w:val="-1409602822"/>
      <w:docPartObj>
        <w:docPartGallery w:val="Page Numbers (Bottom of Page)"/>
        <w:docPartUnique/>
      </w:docPartObj>
    </w:sdtPr>
    <w:sdtEndPr>
      <w:rPr>
        <w:rStyle w:val="af1"/>
        <w:sz w:val="18"/>
        <w:szCs w:val="18"/>
      </w:rPr>
    </w:sdtEndPr>
    <w:sdtContent>
      <w:p w14:paraId="0A05F8FD" w14:textId="301381CC" w:rsidR="009B4976" w:rsidRPr="00CE0ECD" w:rsidRDefault="009B4976" w:rsidP="00E23A7A">
        <w:pPr>
          <w:pStyle w:val="af"/>
          <w:framePr w:wrap="none" w:vAnchor="text" w:hAnchor="margin" w:xAlign="right" w:y="1"/>
          <w:rPr>
            <w:rStyle w:val="af1"/>
            <w:rFonts w:ascii="Avenir Next" w:hAnsi="Avenir Next" w:cs="Arial"/>
            <w:sz w:val="18"/>
            <w:szCs w:val="18"/>
          </w:rPr>
        </w:pPr>
        <w:r w:rsidRPr="00494B81">
          <w:rPr>
            <w:rStyle w:val="af1"/>
            <w:rFonts w:ascii="Avenir Next" w:hAnsi="Avenir Next" w:cs="Arial"/>
            <w:sz w:val="22"/>
            <w:szCs w:val="22"/>
          </w:rPr>
          <w:t xml:space="preserve">Page </w:t>
        </w:r>
        <w:r w:rsidRPr="00494B81">
          <w:rPr>
            <w:rStyle w:val="af1"/>
            <w:rFonts w:ascii="Avenir Next" w:hAnsi="Avenir Next" w:cs="Arial"/>
            <w:sz w:val="22"/>
            <w:szCs w:val="22"/>
          </w:rPr>
          <w:fldChar w:fldCharType="begin"/>
        </w:r>
        <w:r w:rsidRPr="00494B81">
          <w:rPr>
            <w:rStyle w:val="af1"/>
            <w:rFonts w:ascii="Avenir Next" w:hAnsi="Avenir Next" w:cs="Arial"/>
            <w:sz w:val="22"/>
            <w:szCs w:val="22"/>
          </w:rPr>
          <w:instrText xml:space="preserve"> PAGE </w:instrText>
        </w:r>
        <w:r w:rsidRPr="00494B81">
          <w:rPr>
            <w:rStyle w:val="af1"/>
            <w:rFonts w:ascii="Avenir Next" w:hAnsi="Avenir Next" w:cs="Arial"/>
            <w:sz w:val="22"/>
            <w:szCs w:val="22"/>
          </w:rPr>
          <w:fldChar w:fldCharType="separate"/>
        </w:r>
        <w:r w:rsidRPr="00494B81">
          <w:rPr>
            <w:rStyle w:val="af1"/>
            <w:rFonts w:ascii="Avenir Next" w:hAnsi="Avenir Next" w:cs="Arial"/>
            <w:noProof/>
            <w:sz w:val="22"/>
            <w:szCs w:val="22"/>
          </w:rPr>
          <w:t>3</w:t>
        </w:r>
        <w:r w:rsidRPr="00494B81">
          <w:rPr>
            <w:rStyle w:val="af1"/>
            <w:rFonts w:ascii="Avenir Next" w:hAnsi="Avenir Next" w:cs="Arial"/>
            <w:sz w:val="22"/>
            <w:szCs w:val="22"/>
          </w:rPr>
          <w:fldChar w:fldCharType="end"/>
        </w:r>
      </w:p>
    </w:sdtContent>
  </w:sdt>
  <w:p w14:paraId="30F05E79" w14:textId="44AA7EE1" w:rsidR="00241FA3" w:rsidRPr="00C6653D" w:rsidRDefault="009951CA" w:rsidP="009B4976">
    <w:pPr>
      <w:pStyle w:val="af"/>
      <w:ind w:right="360"/>
      <w:rPr>
        <w:rFonts w:ascii="Arial" w:hAnsi="Arial" w:cs="Arial"/>
        <w:sz w:val="18"/>
        <w:szCs w:val="18"/>
        <w:lang w:val="en-GB"/>
      </w:rPr>
    </w:pPr>
    <w:r w:rsidRPr="00212CB2">
      <w:rPr>
        <w:rFonts w:ascii="Arial" w:hAnsi="Arial" w:cs="Arial"/>
        <w:sz w:val="18"/>
        <w:szCs w:val="18"/>
        <w:lang w:val="en-GB"/>
      </w:rPr>
      <w:t>202223-977</w:t>
    </w:r>
    <w:r w:rsidRPr="00C6653D">
      <w:rPr>
        <w:rFonts w:ascii="Arial" w:hAnsi="Arial" w:cs="Arial"/>
        <w:sz w:val="18"/>
        <w:szCs w:val="18"/>
        <w:lang w:val="en-GB"/>
      </w:rPr>
      <w:t>.</w:t>
    </w:r>
    <w:r w:rsidR="0073158B" w:rsidRPr="00C6653D">
      <w:rPr>
        <w:rFonts w:ascii="Arial" w:hAnsi="Arial" w:cs="Arial"/>
        <w:sz w:val="18"/>
        <w:szCs w:val="18"/>
        <w:lang w:val="en-GB"/>
      </w:rPr>
      <w:t>assessment</w:t>
    </w:r>
    <w:r w:rsidR="00610AC7" w:rsidRPr="00C6653D">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E1E7B" w14:textId="77777777" w:rsidR="00E7088D" w:rsidRDefault="00E7088D" w:rsidP="00241B44">
      <w:r>
        <w:separator/>
      </w:r>
    </w:p>
  </w:footnote>
  <w:footnote w:type="continuationSeparator" w:id="0">
    <w:p w14:paraId="71EFDE9F" w14:textId="77777777" w:rsidR="00E7088D" w:rsidRDefault="00E7088D" w:rsidP="00241B44">
      <w:r>
        <w:continuationSeparator/>
      </w:r>
    </w:p>
  </w:footnote>
  <w:footnote w:id="1">
    <w:p w14:paraId="2DB22AE5" w14:textId="541736E5" w:rsidR="00C803E6" w:rsidRDefault="00C803E6">
      <w:pPr>
        <w:pStyle w:val="a4"/>
      </w:pPr>
      <w:r>
        <w:rPr>
          <w:rStyle w:val="a6"/>
        </w:rPr>
        <w:footnoteRef/>
      </w:r>
      <w:r>
        <w:t xml:space="preserve"> </w:t>
      </w:r>
      <w:r w:rsidRPr="009F085D">
        <w:t xml:space="preserve">Foundation Certificate in International Insolvency Law, Module </w:t>
      </w:r>
      <w:r>
        <w:t>3A</w:t>
      </w:r>
      <w:r w:rsidRPr="009F085D">
        <w:t xml:space="preserve"> Guidance Text, Section </w:t>
      </w:r>
      <w:r>
        <w:t>5.</w:t>
      </w:r>
      <w:r>
        <w:t>7.4</w:t>
      </w:r>
      <w:r>
        <w:t xml:space="preserve">, page </w:t>
      </w:r>
      <w:r>
        <w:t>59</w:t>
      </w:r>
      <w:r>
        <w:t>.</w:t>
      </w:r>
    </w:p>
  </w:footnote>
  <w:footnote w:id="2">
    <w:p w14:paraId="607A4713" w14:textId="709D0C67" w:rsidR="00637B5D" w:rsidRDefault="00637B5D" w:rsidP="00637B5D">
      <w:pPr>
        <w:pStyle w:val="a4"/>
      </w:pPr>
      <w:r>
        <w:rPr>
          <w:rStyle w:val="a6"/>
        </w:rPr>
        <w:footnoteRef/>
      </w:r>
      <w:r>
        <w:t xml:space="preserve"> </w:t>
      </w:r>
      <w:r w:rsidRPr="009F085D">
        <w:t xml:space="preserve">Foundation Certificate in International Insolvency Law, Module </w:t>
      </w:r>
      <w:r>
        <w:t>3A</w:t>
      </w:r>
      <w:r w:rsidRPr="009F085D">
        <w:t xml:space="preserve"> Guidance Text, Section </w:t>
      </w:r>
      <w:r>
        <w:t>5.</w:t>
      </w:r>
      <w:r>
        <w:t>4</w:t>
      </w:r>
      <w:r>
        <w:t>.4, page</w:t>
      </w:r>
      <w:r>
        <w:t>s</w:t>
      </w:r>
      <w:r>
        <w:t xml:space="preserve"> </w:t>
      </w:r>
      <w:r>
        <w:t>2</w:t>
      </w:r>
      <w:r>
        <w:t>9</w:t>
      </w:r>
      <w:r>
        <w:t>-30</w:t>
      </w:r>
      <w:r>
        <w:t>.</w:t>
      </w:r>
    </w:p>
  </w:footnote>
  <w:footnote w:id="3">
    <w:p w14:paraId="6C871DC6" w14:textId="4D03A834" w:rsidR="00637B5D" w:rsidRDefault="00637B5D" w:rsidP="00637B5D">
      <w:pPr>
        <w:pStyle w:val="a4"/>
      </w:pPr>
      <w:r>
        <w:rPr>
          <w:rStyle w:val="a6"/>
        </w:rPr>
        <w:footnoteRef/>
      </w:r>
      <w:r>
        <w:t xml:space="preserve"> </w:t>
      </w:r>
      <w:r w:rsidRPr="009F085D">
        <w:t xml:space="preserve">Foundation Certificate in International Insolvency Law, Module </w:t>
      </w:r>
      <w:r>
        <w:t>3A</w:t>
      </w:r>
      <w:r w:rsidRPr="009F085D">
        <w:t xml:space="preserve"> Guidance Text, Section </w:t>
      </w:r>
      <w:r>
        <w:t>5.4.</w:t>
      </w:r>
      <w:r w:rsidR="005C719C">
        <w:t>2.2</w:t>
      </w:r>
      <w:r>
        <w:t>, pages 2</w:t>
      </w:r>
      <w:r w:rsidR="005C719C">
        <w:t>2</w:t>
      </w:r>
      <w:r>
        <w:t>-</w:t>
      </w:r>
      <w:r w:rsidR="005C719C">
        <w:t>23</w:t>
      </w:r>
      <w:r>
        <w:t>.</w:t>
      </w:r>
    </w:p>
  </w:footnote>
  <w:footnote w:id="4">
    <w:p w14:paraId="221D451A" w14:textId="11024C42" w:rsidR="008244FA" w:rsidRDefault="008244FA">
      <w:pPr>
        <w:pStyle w:val="a4"/>
      </w:pPr>
      <w:r>
        <w:rPr>
          <w:rStyle w:val="a6"/>
        </w:rPr>
        <w:footnoteRef/>
      </w:r>
      <w:r>
        <w:t xml:space="preserve"> </w:t>
      </w:r>
      <w:r w:rsidRPr="009F085D">
        <w:t xml:space="preserve">Foundation Certificate in International Insolvency Law, Module </w:t>
      </w:r>
      <w:r>
        <w:t>3A</w:t>
      </w:r>
      <w:r w:rsidRPr="009F085D">
        <w:t xml:space="preserve"> Guidance Text, Section </w:t>
      </w:r>
      <w:r>
        <w:t>5.</w:t>
      </w:r>
      <w:r>
        <w:t>7</w:t>
      </w:r>
      <w:r>
        <w:t>.2.</w:t>
      </w:r>
      <w:r>
        <w:t>1</w:t>
      </w:r>
      <w:r>
        <w:t xml:space="preserve">, pages </w:t>
      </w:r>
      <w:r>
        <w:t>51-53</w:t>
      </w:r>
      <w:r>
        <w:t>.</w:t>
      </w:r>
    </w:p>
  </w:footnote>
  <w:footnote w:id="5">
    <w:p w14:paraId="0EDCD0E5" w14:textId="0D22B927" w:rsidR="00AF5885" w:rsidRDefault="00AF5885">
      <w:pPr>
        <w:pStyle w:val="a4"/>
      </w:pPr>
      <w:r>
        <w:rPr>
          <w:rStyle w:val="a6"/>
        </w:rPr>
        <w:footnoteRef/>
      </w:r>
      <w:r>
        <w:t xml:space="preserve"> </w:t>
      </w:r>
      <w:r w:rsidRPr="009F085D">
        <w:t xml:space="preserve">Foundation Certificate in International Insolvency Law, Module </w:t>
      </w:r>
      <w:r>
        <w:t>3A</w:t>
      </w:r>
      <w:r w:rsidRPr="009F085D">
        <w:t xml:space="preserve"> Guidance Text, Section </w:t>
      </w:r>
      <w:r>
        <w:t>5.7.</w:t>
      </w:r>
      <w:r>
        <w:t>3</w:t>
      </w:r>
      <w:r>
        <w:t xml:space="preserve">, pages </w:t>
      </w:r>
      <w:r>
        <w:t>57</w:t>
      </w:r>
      <w:r>
        <w:t>-5</w:t>
      </w:r>
      <w:r>
        <w:t>8.</w:t>
      </w:r>
    </w:p>
  </w:footnote>
  <w:footnote w:id="6">
    <w:p w14:paraId="7AE4F3F3" w14:textId="68BE1DFB" w:rsidR="000A0B8D" w:rsidRDefault="000A0B8D">
      <w:pPr>
        <w:pStyle w:val="a4"/>
      </w:pPr>
      <w:r>
        <w:rPr>
          <w:rStyle w:val="a6"/>
        </w:rPr>
        <w:footnoteRef/>
      </w:r>
      <w:r>
        <w:t xml:space="preserve"> Bullard v Blue Hills bank, 135 S Ct 1686 (2015); </w:t>
      </w:r>
      <w:r w:rsidRPr="009F085D">
        <w:t xml:space="preserve">Foundation Certificate in International Insolvency Law, Module </w:t>
      </w:r>
      <w:r>
        <w:t>3A</w:t>
      </w:r>
      <w:r w:rsidRPr="009F085D">
        <w:t xml:space="preserve"> Guidance Text, Section </w:t>
      </w:r>
      <w:r>
        <w:t>5.</w:t>
      </w:r>
      <w:r>
        <w:t>3</w:t>
      </w:r>
      <w:r>
        <w:t>.5</w:t>
      </w:r>
      <w:r>
        <w:t>.2</w:t>
      </w:r>
      <w:r>
        <w:t>, page</w:t>
      </w:r>
      <w:r>
        <w:t>s</w:t>
      </w:r>
      <w:r>
        <w:t xml:space="preserve"> </w:t>
      </w:r>
      <w:r>
        <w:t>19-20</w:t>
      </w:r>
      <w:r>
        <w:t>.</w:t>
      </w:r>
    </w:p>
  </w:footnote>
  <w:footnote w:id="7">
    <w:p w14:paraId="23CFF549" w14:textId="16C7446E" w:rsidR="000A0B8D" w:rsidRDefault="000A0B8D">
      <w:pPr>
        <w:pStyle w:val="a4"/>
      </w:pPr>
      <w:r>
        <w:rPr>
          <w:rStyle w:val="a6"/>
        </w:rPr>
        <w:footnoteRef/>
      </w:r>
      <w:r>
        <w:t xml:space="preserve"> </w:t>
      </w:r>
      <w:r w:rsidRPr="009F085D">
        <w:t xml:space="preserve">Foundation Certificate in International Insolvency Law, Module </w:t>
      </w:r>
      <w:r>
        <w:t>3A</w:t>
      </w:r>
      <w:r w:rsidRPr="009F085D">
        <w:t xml:space="preserve"> Guidance Text, Section </w:t>
      </w:r>
      <w:r>
        <w:t>5.3.5.</w:t>
      </w:r>
      <w:r>
        <w:t>3</w:t>
      </w:r>
      <w:r>
        <w:t>, page 20.</w:t>
      </w:r>
    </w:p>
  </w:footnote>
  <w:footnote w:id="8">
    <w:p w14:paraId="2F3165C0" w14:textId="2488FD59" w:rsidR="000A0B8D" w:rsidRDefault="000A0B8D">
      <w:pPr>
        <w:pStyle w:val="a4"/>
      </w:pPr>
      <w:r>
        <w:rPr>
          <w:rStyle w:val="a6"/>
        </w:rPr>
        <w:footnoteRef/>
      </w:r>
      <w:r>
        <w:t xml:space="preserve"> </w:t>
      </w:r>
      <w:r w:rsidRPr="009F085D">
        <w:t xml:space="preserve">Foundation Certificate in International Insolvency Law, Module </w:t>
      </w:r>
      <w:r>
        <w:t>3A</w:t>
      </w:r>
      <w:r w:rsidRPr="009F085D">
        <w:t xml:space="preserve"> Guidance Text, Section </w:t>
      </w:r>
      <w:r>
        <w:t>5.3.5.</w:t>
      </w:r>
      <w:r>
        <w:t>4</w:t>
      </w:r>
      <w:r>
        <w:t>, page</w:t>
      </w:r>
      <w:r>
        <w:t>s</w:t>
      </w:r>
      <w:r>
        <w:t xml:space="preserve"> 20</w:t>
      </w:r>
      <w:r>
        <w:t>-21</w:t>
      </w:r>
      <w:r>
        <w:t>.</w:t>
      </w:r>
    </w:p>
  </w:footnote>
  <w:footnote w:id="9">
    <w:p w14:paraId="526A6ABC" w14:textId="53FDB6FD" w:rsidR="00A902FE" w:rsidRDefault="00A902FE">
      <w:pPr>
        <w:pStyle w:val="a4"/>
      </w:pPr>
      <w:r>
        <w:rPr>
          <w:rStyle w:val="a6"/>
        </w:rPr>
        <w:footnoteRef/>
      </w:r>
      <w:r>
        <w:t xml:space="preserve"> </w:t>
      </w:r>
      <w:r w:rsidRPr="009F085D">
        <w:t xml:space="preserve">Foundation Certificate in International Insolvency Law, Module </w:t>
      </w:r>
      <w:r>
        <w:t>3A</w:t>
      </w:r>
      <w:r w:rsidRPr="009F085D">
        <w:t xml:space="preserve"> Guidance Text, Section </w:t>
      </w:r>
      <w:r>
        <w:t>5.3.5.4, pages 20-21.</w:t>
      </w:r>
    </w:p>
  </w:footnote>
  <w:footnote w:id="10">
    <w:p w14:paraId="3FA9830C" w14:textId="5E6E8278" w:rsidR="00A902FE" w:rsidRDefault="00A902FE">
      <w:pPr>
        <w:pStyle w:val="a4"/>
      </w:pPr>
      <w:r>
        <w:rPr>
          <w:rStyle w:val="a6"/>
        </w:rPr>
        <w:footnoteRef/>
      </w:r>
      <w:r>
        <w:t xml:space="preserve"> </w:t>
      </w:r>
      <w:r w:rsidRPr="009F085D">
        <w:t xml:space="preserve">Foundation Certificate in International Insolvency Law, Module </w:t>
      </w:r>
      <w:r>
        <w:t>3A</w:t>
      </w:r>
      <w:r w:rsidRPr="009F085D">
        <w:t xml:space="preserve"> Guidance Text, Section </w:t>
      </w:r>
      <w:r>
        <w:t>4</w:t>
      </w:r>
      <w:r>
        <w:t>, page</w:t>
      </w:r>
      <w:r>
        <w:t>s</w:t>
      </w:r>
      <w:r>
        <w:t xml:space="preserve"> </w:t>
      </w:r>
      <w:r>
        <w:t>3-5</w:t>
      </w:r>
      <w:r>
        <w:t>.</w:t>
      </w:r>
    </w:p>
  </w:footnote>
  <w:footnote w:id="11">
    <w:p w14:paraId="46DDA1BC" w14:textId="221CCCA4" w:rsidR="00C803E6" w:rsidRDefault="00C803E6">
      <w:pPr>
        <w:pStyle w:val="a4"/>
      </w:pPr>
      <w:r>
        <w:rPr>
          <w:rStyle w:val="a6"/>
        </w:rPr>
        <w:footnoteRef/>
      </w:r>
      <w:r>
        <w:t xml:space="preserve"> </w:t>
      </w:r>
      <w:r w:rsidRPr="00C803E6">
        <w:rPr>
          <w:i/>
          <w:iCs/>
        </w:rPr>
        <w:t xml:space="preserve">North Am Catholic Educational Programming Foundation, Inc v </w:t>
      </w:r>
      <w:proofErr w:type="spellStart"/>
      <w:r w:rsidRPr="00C803E6">
        <w:rPr>
          <w:i/>
          <w:iCs/>
        </w:rPr>
        <w:t>Gheewalla</w:t>
      </w:r>
      <w:proofErr w:type="spellEnd"/>
      <w:r>
        <w:t xml:space="preserve">, 930 A.2d 92, 103 (Del 2007); </w:t>
      </w:r>
      <w:r w:rsidRPr="009F085D">
        <w:t xml:space="preserve">Foundation Certificate in International Insolvency Law, Module </w:t>
      </w:r>
      <w:r>
        <w:t>3A</w:t>
      </w:r>
      <w:r w:rsidRPr="009F085D">
        <w:t xml:space="preserve"> Guidance Text, Section </w:t>
      </w:r>
      <w:r>
        <w:t>5.</w:t>
      </w:r>
      <w:r>
        <w:t>7</w:t>
      </w:r>
      <w:r>
        <w:t xml:space="preserve">.5, page </w:t>
      </w:r>
      <w:r>
        <w:t>60</w:t>
      </w:r>
      <w:r>
        <w:t>.</w:t>
      </w:r>
    </w:p>
  </w:footnote>
  <w:footnote w:id="12">
    <w:p w14:paraId="6D6DF7D6" w14:textId="5F45084F" w:rsidR="009951CA" w:rsidRDefault="009951CA">
      <w:pPr>
        <w:pStyle w:val="a4"/>
      </w:pPr>
      <w:r>
        <w:rPr>
          <w:rStyle w:val="a6"/>
        </w:rPr>
        <w:footnoteRef/>
      </w:r>
      <w:r>
        <w:t xml:space="preserve"> 11 USC, </w:t>
      </w:r>
      <w:r w:rsidR="00C55995">
        <w:t>§</w:t>
      </w:r>
      <w:r>
        <w:t xml:space="preserve"> 365(d)(4); </w:t>
      </w:r>
      <w:r w:rsidRPr="009F085D">
        <w:t xml:space="preserve">Foundation Certificate in International Insolvency Law, Module </w:t>
      </w:r>
      <w:r>
        <w:t>3A</w:t>
      </w:r>
      <w:r w:rsidRPr="009F085D">
        <w:t xml:space="preserve"> Guidance Text, Section </w:t>
      </w:r>
      <w:r>
        <w:t>5</w:t>
      </w:r>
      <w:r>
        <w:t xml:space="preserve">.4.5, page </w:t>
      </w:r>
      <w:r>
        <w:t>31</w:t>
      </w:r>
      <w:r>
        <w:t>.</w:t>
      </w:r>
    </w:p>
  </w:footnote>
  <w:footnote w:id="13">
    <w:p w14:paraId="688B808F" w14:textId="0AE85AA6" w:rsidR="009951CA" w:rsidRDefault="009951CA" w:rsidP="009951CA">
      <w:pPr>
        <w:pStyle w:val="a4"/>
      </w:pPr>
      <w:r>
        <w:rPr>
          <w:rStyle w:val="a6"/>
        </w:rPr>
        <w:footnoteRef/>
      </w:r>
      <w:r>
        <w:t xml:space="preserve"> </w:t>
      </w:r>
      <w:r w:rsidRPr="009F085D">
        <w:t xml:space="preserve">Foundation Certificate in International Insolvency Law, Module </w:t>
      </w:r>
      <w:r>
        <w:t>3A</w:t>
      </w:r>
      <w:r w:rsidRPr="009F085D">
        <w:t xml:space="preserve"> Guidance Text, Section </w:t>
      </w:r>
      <w:r>
        <w:t>5.4.</w:t>
      </w:r>
      <w:r>
        <w:t>2</w:t>
      </w:r>
      <w:r>
        <w:t xml:space="preserve">, page </w:t>
      </w:r>
      <w:r>
        <w:t>24</w:t>
      </w:r>
      <w:r>
        <w:t>.</w:t>
      </w:r>
    </w:p>
  </w:footnote>
  <w:footnote w:id="14">
    <w:p w14:paraId="48E8D17E" w14:textId="626DB4FD" w:rsidR="008C52EF" w:rsidRDefault="008C52EF" w:rsidP="008C52EF">
      <w:pPr>
        <w:pStyle w:val="a4"/>
      </w:pPr>
      <w:r>
        <w:rPr>
          <w:rStyle w:val="a6"/>
        </w:rPr>
        <w:footnoteRef/>
      </w:r>
      <w:r>
        <w:t xml:space="preserve"> </w:t>
      </w:r>
      <w:r w:rsidRPr="009F085D">
        <w:t xml:space="preserve">Foundation Certificate in International Insolvency Law, Module </w:t>
      </w:r>
      <w:r>
        <w:t>3A</w:t>
      </w:r>
      <w:r w:rsidRPr="009F085D">
        <w:t xml:space="preserve"> Guidance Text, Section </w:t>
      </w:r>
      <w:r w:rsidR="00A902FE">
        <w:t>6.2.4</w:t>
      </w:r>
      <w:r>
        <w:t xml:space="preserve">, page </w:t>
      </w:r>
      <w:r w:rsidR="00A902FE">
        <w:t>66</w:t>
      </w:r>
      <w:r>
        <w:t>.</w:t>
      </w:r>
    </w:p>
  </w:footnote>
  <w:footnote w:id="15">
    <w:p w14:paraId="2ECB51C6" w14:textId="26FE58AB" w:rsidR="00C55995" w:rsidRDefault="00C55995">
      <w:pPr>
        <w:pStyle w:val="a4"/>
      </w:pPr>
      <w:r>
        <w:rPr>
          <w:rStyle w:val="a6"/>
        </w:rPr>
        <w:footnoteRef/>
      </w:r>
      <w:r>
        <w:t xml:space="preserve"> 11 USC, § 101(23); </w:t>
      </w:r>
      <w:r w:rsidRPr="009F085D">
        <w:t xml:space="preserve">Foundation Certificate in International Insolvency Law, Module </w:t>
      </w:r>
      <w:r>
        <w:t>3A</w:t>
      </w:r>
      <w:r w:rsidRPr="009F085D">
        <w:t xml:space="preserve"> Guidance Text, Section </w:t>
      </w:r>
      <w:r>
        <w:t>6</w:t>
      </w:r>
      <w:r>
        <w:t>.</w:t>
      </w:r>
      <w:r>
        <w:t>2</w:t>
      </w:r>
      <w:r>
        <w:t xml:space="preserve">.2, page </w:t>
      </w:r>
      <w:r>
        <w:t>62</w:t>
      </w:r>
      <w:r>
        <w:t>.</w:t>
      </w:r>
    </w:p>
  </w:footnote>
  <w:footnote w:id="16">
    <w:p w14:paraId="458E84EB" w14:textId="1AB667F5" w:rsidR="00134C81" w:rsidRDefault="00134C81">
      <w:pPr>
        <w:pStyle w:val="a4"/>
      </w:pPr>
      <w:r>
        <w:rPr>
          <w:rStyle w:val="a6"/>
        </w:rPr>
        <w:footnoteRef/>
      </w:r>
      <w:r>
        <w:t xml:space="preserve"> </w:t>
      </w:r>
      <w:r>
        <w:t xml:space="preserve">11 USC, § </w:t>
      </w:r>
      <w:r>
        <w:t>1516</w:t>
      </w:r>
      <w:r>
        <w:t>(</w:t>
      </w:r>
      <w:r>
        <w:t>c</w:t>
      </w:r>
      <w:r>
        <w:t>)</w:t>
      </w:r>
      <w:r w:rsidR="00271ED6">
        <w:t>.</w:t>
      </w:r>
    </w:p>
  </w:footnote>
  <w:footnote w:id="17">
    <w:p w14:paraId="5BAD0E6E" w14:textId="276F84D3" w:rsidR="00134C81" w:rsidRDefault="00134C81">
      <w:pPr>
        <w:pStyle w:val="a4"/>
      </w:pPr>
      <w:r>
        <w:rPr>
          <w:rStyle w:val="a6"/>
        </w:rPr>
        <w:footnoteRef/>
      </w:r>
      <w:r>
        <w:t xml:space="preserve"> In re </w:t>
      </w:r>
      <w:proofErr w:type="spellStart"/>
      <w:r>
        <w:t>SPhinX</w:t>
      </w:r>
      <w:proofErr w:type="spellEnd"/>
      <w:r>
        <w:t>, Ltd, 351 BR 103, 117 (</w:t>
      </w:r>
      <w:proofErr w:type="spellStart"/>
      <w:r>
        <w:t>Bankr</w:t>
      </w:r>
      <w:proofErr w:type="spellEnd"/>
      <w:r>
        <w:t xml:space="preserve"> SDNY 2006); </w:t>
      </w:r>
      <w:r w:rsidRPr="009F085D">
        <w:t xml:space="preserve">Foundation Certificate in International Insolvency Law, Module </w:t>
      </w:r>
      <w:r>
        <w:t>3A</w:t>
      </w:r>
      <w:r w:rsidRPr="009F085D">
        <w:t xml:space="preserve"> Guidance Text, Section </w:t>
      </w:r>
      <w:r>
        <w:t>6.2.2, page 6</w:t>
      </w:r>
      <w:r>
        <w:t>3</w:t>
      </w:r>
      <w:r>
        <w:t>.</w:t>
      </w:r>
    </w:p>
  </w:footnote>
  <w:footnote w:id="18">
    <w:p w14:paraId="7AA29066" w14:textId="046F359D" w:rsidR="00271ED6" w:rsidRDefault="00271ED6">
      <w:pPr>
        <w:pStyle w:val="a4"/>
      </w:pPr>
      <w:r>
        <w:rPr>
          <w:rStyle w:val="a6"/>
        </w:rPr>
        <w:footnoteRef/>
      </w:r>
      <w:r>
        <w:t xml:space="preserve"> </w:t>
      </w:r>
      <w:r>
        <w:t>11 USC, § 15</w:t>
      </w:r>
      <w:r>
        <w:t>02</w:t>
      </w:r>
      <w:r>
        <w:t>(</w:t>
      </w:r>
      <w:r>
        <w:t>2</w:t>
      </w:r>
      <w:r>
        <w:t>)</w:t>
      </w:r>
      <w:r>
        <w:t xml:space="preserve">; </w:t>
      </w:r>
      <w:r w:rsidRPr="009F085D">
        <w:t xml:space="preserve">Foundation Certificate in International Insolvency Law, Module </w:t>
      </w:r>
      <w:r>
        <w:t>3A</w:t>
      </w:r>
      <w:r w:rsidRPr="009F085D">
        <w:t xml:space="preserve"> Guidance Text, Section </w:t>
      </w:r>
      <w:r>
        <w:t>6.2.2, page 63.</w:t>
      </w:r>
    </w:p>
  </w:footnote>
  <w:footnote w:id="19">
    <w:p w14:paraId="23E19E5D" w14:textId="3BC6A511" w:rsidR="000A0B8D" w:rsidRDefault="000A0B8D">
      <w:pPr>
        <w:pStyle w:val="a4"/>
      </w:pPr>
      <w:r>
        <w:rPr>
          <w:rStyle w:val="a6"/>
        </w:rPr>
        <w:footnoteRef/>
      </w:r>
      <w:r>
        <w:t xml:space="preserve"> </w:t>
      </w:r>
      <w:r>
        <w:t xml:space="preserve">11 USC, § </w:t>
      </w:r>
      <w:r>
        <w:t>362</w:t>
      </w:r>
      <w:r>
        <w:t>(</w:t>
      </w:r>
      <w:r>
        <w:t>a</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757D22"/>
    <w:multiLevelType w:val="hybridMultilevel"/>
    <w:tmpl w:val="58F62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25"/>
  </w:num>
  <w:num w:numId="2" w16cid:durableId="1783306908">
    <w:abstractNumId w:val="28"/>
  </w:num>
  <w:num w:numId="3" w16cid:durableId="1942764495">
    <w:abstractNumId w:val="6"/>
  </w:num>
  <w:num w:numId="4" w16cid:durableId="298269076">
    <w:abstractNumId w:val="10"/>
  </w:num>
  <w:num w:numId="5" w16cid:durableId="730929724">
    <w:abstractNumId w:val="13"/>
  </w:num>
  <w:num w:numId="6" w16cid:durableId="1594360553">
    <w:abstractNumId w:val="31"/>
  </w:num>
  <w:num w:numId="7" w16cid:durableId="1661152946">
    <w:abstractNumId w:val="7"/>
  </w:num>
  <w:num w:numId="8" w16cid:durableId="45877589">
    <w:abstractNumId w:val="34"/>
  </w:num>
  <w:num w:numId="9" w16cid:durableId="876742117">
    <w:abstractNumId w:val="14"/>
  </w:num>
  <w:num w:numId="10" w16cid:durableId="1035689165">
    <w:abstractNumId w:val="27"/>
  </w:num>
  <w:num w:numId="11" w16cid:durableId="926307185">
    <w:abstractNumId w:val="16"/>
  </w:num>
  <w:num w:numId="12" w16cid:durableId="621232781">
    <w:abstractNumId w:val="24"/>
  </w:num>
  <w:num w:numId="13" w16cid:durableId="1204442417">
    <w:abstractNumId w:val="0"/>
  </w:num>
  <w:num w:numId="14" w16cid:durableId="1001467812">
    <w:abstractNumId w:val="12"/>
  </w:num>
  <w:num w:numId="15" w16cid:durableId="189758179">
    <w:abstractNumId w:val="20"/>
  </w:num>
  <w:num w:numId="16" w16cid:durableId="1491479825">
    <w:abstractNumId w:val="9"/>
  </w:num>
  <w:num w:numId="17" w16cid:durableId="882793158">
    <w:abstractNumId w:val="5"/>
  </w:num>
  <w:num w:numId="18" w16cid:durableId="777675833">
    <w:abstractNumId w:val="3"/>
  </w:num>
  <w:num w:numId="19" w16cid:durableId="1129937292">
    <w:abstractNumId w:val="29"/>
  </w:num>
  <w:num w:numId="20" w16cid:durableId="1471096614">
    <w:abstractNumId w:val="8"/>
  </w:num>
  <w:num w:numId="21" w16cid:durableId="398864111">
    <w:abstractNumId w:val="26"/>
  </w:num>
  <w:num w:numId="22" w16cid:durableId="2133940203">
    <w:abstractNumId w:val="36"/>
  </w:num>
  <w:num w:numId="23" w16cid:durableId="950893894">
    <w:abstractNumId w:val="15"/>
  </w:num>
  <w:num w:numId="24" w16cid:durableId="1962497721">
    <w:abstractNumId w:val="30"/>
  </w:num>
  <w:num w:numId="25" w16cid:durableId="869756453">
    <w:abstractNumId w:val="21"/>
  </w:num>
  <w:num w:numId="26" w16cid:durableId="1092049203">
    <w:abstractNumId w:val="22"/>
  </w:num>
  <w:num w:numId="27" w16cid:durableId="1146704350">
    <w:abstractNumId w:val="18"/>
  </w:num>
  <w:num w:numId="28" w16cid:durableId="937979478">
    <w:abstractNumId w:val="32"/>
  </w:num>
  <w:num w:numId="29" w16cid:durableId="1970553734">
    <w:abstractNumId w:val="1"/>
  </w:num>
  <w:num w:numId="30" w16cid:durableId="293563849">
    <w:abstractNumId w:val="19"/>
  </w:num>
  <w:num w:numId="31" w16cid:durableId="2126381093">
    <w:abstractNumId w:val="23"/>
  </w:num>
  <w:num w:numId="32" w16cid:durableId="1605572703">
    <w:abstractNumId w:val="37"/>
  </w:num>
  <w:num w:numId="33" w16cid:durableId="1203253494">
    <w:abstractNumId w:val="17"/>
  </w:num>
  <w:num w:numId="34" w16cid:durableId="1104031608">
    <w:abstractNumId w:val="2"/>
  </w:num>
  <w:num w:numId="35" w16cid:durableId="2144806674">
    <w:abstractNumId w:val="33"/>
  </w:num>
  <w:num w:numId="36" w16cid:durableId="1673992024">
    <w:abstractNumId w:val="35"/>
  </w:num>
  <w:num w:numId="37" w16cid:durableId="2022775299">
    <w:abstractNumId w:val="11"/>
  </w:num>
  <w:num w:numId="38" w16cid:durableId="183136625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5E"/>
    <w:rsid w:val="000106A0"/>
    <w:rsid w:val="00010BA0"/>
    <w:rsid w:val="00020557"/>
    <w:rsid w:val="00021FC2"/>
    <w:rsid w:val="00022E00"/>
    <w:rsid w:val="000250C7"/>
    <w:rsid w:val="00026F16"/>
    <w:rsid w:val="000346E7"/>
    <w:rsid w:val="00037621"/>
    <w:rsid w:val="00037671"/>
    <w:rsid w:val="00044D46"/>
    <w:rsid w:val="00045088"/>
    <w:rsid w:val="00045904"/>
    <w:rsid w:val="000502FD"/>
    <w:rsid w:val="00057EA3"/>
    <w:rsid w:val="000643AB"/>
    <w:rsid w:val="00065166"/>
    <w:rsid w:val="000778B1"/>
    <w:rsid w:val="000810B2"/>
    <w:rsid w:val="00082609"/>
    <w:rsid w:val="000851CC"/>
    <w:rsid w:val="00093BE8"/>
    <w:rsid w:val="000968D6"/>
    <w:rsid w:val="00097B45"/>
    <w:rsid w:val="00097D56"/>
    <w:rsid w:val="000A0B8D"/>
    <w:rsid w:val="000A407B"/>
    <w:rsid w:val="000A636A"/>
    <w:rsid w:val="000A68ED"/>
    <w:rsid w:val="000A7A3D"/>
    <w:rsid w:val="000B2B06"/>
    <w:rsid w:val="000B5FF1"/>
    <w:rsid w:val="000B609F"/>
    <w:rsid w:val="000C4C5B"/>
    <w:rsid w:val="000D55A8"/>
    <w:rsid w:val="000D569D"/>
    <w:rsid w:val="000E4841"/>
    <w:rsid w:val="000F1677"/>
    <w:rsid w:val="000F3D6C"/>
    <w:rsid w:val="000F7FC2"/>
    <w:rsid w:val="00101707"/>
    <w:rsid w:val="00102CC9"/>
    <w:rsid w:val="00106CA8"/>
    <w:rsid w:val="001109FE"/>
    <w:rsid w:val="00111E07"/>
    <w:rsid w:val="0011473D"/>
    <w:rsid w:val="00115C85"/>
    <w:rsid w:val="0012224B"/>
    <w:rsid w:val="00123855"/>
    <w:rsid w:val="00126A4D"/>
    <w:rsid w:val="00134C81"/>
    <w:rsid w:val="0014171F"/>
    <w:rsid w:val="001437A8"/>
    <w:rsid w:val="001445EF"/>
    <w:rsid w:val="0014622C"/>
    <w:rsid w:val="00152348"/>
    <w:rsid w:val="0015456D"/>
    <w:rsid w:val="00155FA2"/>
    <w:rsid w:val="00160679"/>
    <w:rsid w:val="00161F1B"/>
    <w:rsid w:val="00162829"/>
    <w:rsid w:val="001647AD"/>
    <w:rsid w:val="00180548"/>
    <w:rsid w:val="00180AC4"/>
    <w:rsid w:val="00180CCE"/>
    <w:rsid w:val="0018267A"/>
    <w:rsid w:val="00182779"/>
    <w:rsid w:val="001830DF"/>
    <w:rsid w:val="001966D9"/>
    <w:rsid w:val="00197E4B"/>
    <w:rsid w:val="001A7E9A"/>
    <w:rsid w:val="001B0F70"/>
    <w:rsid w:val="001B1763"/>
    <w:rsid w:val="001B33F5"/>
    <w:rsid w:val="001B4045"/>
    <w:rsid w:val="001B5016"/>
    <w:rsid w:val="001C45FC"/>
    <w:rsid w:val="001D0469"/>
    <w:rsid w:val="001D3BAA"/>
    <w:rsid w:val="001D4862"/>
    <w:rsid w:val="001E25B9"/>
    <w:rsid w:val="001E49E0"/>
    <w:rsid w:val="001E7B5A"/>
    <w:rsid w:val="001F7412"/>
    <w:rsid w:val="00202DFE"/>
    <w:rsid w:val="0020725B"/>
    <w:rsid w:val="002110F1"/>
    <w:rsid w:val="002204B8"/>
    <w:rsid w:val="00223917"/>
    <w:rsid w:val="00224888"/>
    <w:rsid w:val="0024116D"/>
    <w:rsid w:val="00241B44"/>
    <w:rsid w:val="00241FA3"/>
    <w:rsid w:val="00245EFB"/>
    <w:rsid w:val="0025386E"/>
    <w:rsid w:val="00256B74"/>
    <w:rsid w:val="002638B0"/>
    <w:rsid w:val="0026647A"/>
    <w:rsid w:val="002668D3"/>
    <w:rsid w:val="00271ED6"/>
    <w:rsid w:val="0027299F"/>
    <w:rsid w:val="00274119"/>
    <w:rsid w:val="00284EBE"/>
    <w:rsid w:val="002903A7"/>
    <w:rsid w:val="00291367"/>
    <w:rsid w:val="0029433F"/>
    <w:rsid w:val="00294829"/>
    <w:rsid w:val="0029690F"/>
    <w:rsid w:val="00297C8A"/>
    <w:rsid w:val="002A16B3"/>
    <w:rsid w:val="002A2A60"/>
    <w:rsid w:val="002A37BB"/>
    <w:rsid w:val="002B1C45"/>
    <w:rsid w:val="002B5D64"/>
    <w:rsid w:val="002C13C8"/>
    <w:rsid w:val="002C3547"/>
    <w:rsid w:val="002D0021"/>
    <w:rsid w:val="002D2149"/>
    <w:rsid w:val="002D299D"/>
    <w:rsid w:val="002D3473"/>
    <w:rsid w:val="002D6789"/>
    <w:rsid w:val="002D6A48"/>
    <w:rsid w:val="002D78C5"/>
    <w:rsid w:val="002F1956"/>
    <w:rsid w:val="002F3440"/>
    <w:rsid w:val="002F75A3"/>
    <w:rsid w:val="00301D2B"/>
    <w:rsid w:val="00303C2F"/>
    <w:rsid w:val="00306500"/>
    <w:rsid w:val="003144EF"/>
    <w:rsid w:val="00323167"/>
    <w:rsid w:val="00326292"/>
    <w:rsid w:val="00326415"/>
    <w:rsid w:val="00330937"/>
    <w:rsid w:val="00330F31"/>
    <w:rsid w:val="00334648"/>
    <w:rsid w:val="00334B98"/>
    <w:rsid w:val="0033768C"/>
    <w:rsid w:val="00337938"/>
    <w:rsid w:val="00340769"/>
    <w:rsid w:val="00341AA6"/>
    <w:rsid w:val="003502EB"/>
    <w:rsid w:val="00352E16"/>
    <w:rsid w:val="00357F69"/>
    <w:rsid w:val="00361A0A"/>
    <w:rsid w:val="00364836"/>
    <w:rsid w:val="0036565C"/>
    <w:rsid w:val="0036625E"/>
    <w:rsid w:val="0036662D"/>
    <w:rsid w:val="0037465A"/>
    <w:rsid w:val="00380ED3"/>
    <w:rsid w:val="00382261"/>
    <w:rsid w:val="00382C98"/>
    <w:rsid w:val="00383458"/>
    <w:rsid w:val="0038533C"/>
    <w:rsid w:val="00386568"/>
    <w:rsid w:val="00390B57"/>
    <w:rsid w:val="003948D5"/>
    <w:rsid w:val="00396821"/>
    <w:rsid w:val="00397D3A"/>
    <w:rsid w:val="003A051E"/>
    <w:rsid w:val="003A5537"/>
    <w:rsid w:val="003A75F4"/>
    <w:rsid w:val="003B170F"/>
    <w:rsid w:val="003B3C5F"/>
    <w:rsid w:val="003B7184"/>
    <w:rsid w:val="003C0F8C"/>
    <w:rsid w:val="003C1190"/>
    <w:rsid w:val="003C3388"/>
    <w:rsid w:val="003C4471"/>
    <w:rsid w:val="003C53FE"/>
    <w:rsid w:val="003D0A6D"/>
    <w:rsid w:val="003D450D"/>
    <w:rsid w:val="003E0B16"/>
    <w:rsid w:val="003E67D1"/>
    <w:rsid w:val="00404329"/>
    <w:rsid w:val="00405DC1"/>
    <w:rsid w:val="00415F1F"/>
    <w:rsid w:val="004172DA"/>
    <w:rsid w:val="0042108F"/>
    <w:rsid w:val="004248F6"/>
    <w:rsid w:val="004273B0"/>
    <w:rsid w:val="00430FED"/>
    <w:rsid w:val="00434A8C"/>
    <w:rsid w:val="00435733"/>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6D5"/>
    <w:rsid w:val="004D3721"/>
    <w:rsid w:val="004D4255"/>
    <w:rsid w:val="004D64F9"/>
    <w:rsid w:val="004E1F4B"/>
    <w:rsid w:val="004E3A6B"/>
    <w:rsid w:val="004E5AF5"/>
    <w:rsid w:val="004E622C"/>
    <w:rsid w:val="004F49B5"/>
    <w:rsid w:val="004F5FDF"/>
    <w:rsid w:val="004F7B99"/>
    <w:rsid w:val="00515810"/>
    <w:rsid w:val="005177FE"/>
    <w:rsid w:val="0052263B"/>
    <w:rsid w:val="00524728"/>
    <w:rsid w:val="00524AC2"/>
    <w:rsid w:val="005331CA"/>
    <w:rsid w:val="005344F8"/>
    <w:rsid w:val="00537970"/>
    <w:rsid w:val="00540E3A"/>
    <w:rsid w:val="00543CCE"/>
    <w:rsid w:val="00544127"/>
    <w:rsid w:val="005463A9"/>
    <w:rsid w:val="00553EB2"/>
    <w:rsid w:val="00560534"/>
    <w:rsid w:val="0056391B"/>
    <w:rsid w:val="005650E2"/>
    <w:rsid w:val="00567AD7"/>
    <w:rsid w:val="00575B2D"/>
    <w:rsid w:val="00580B65"/>
    <w:rsid w:val="005833D0"/>
    <w:rsid w:val="00583D8E"/>
    <w:rsid w:val="005846F3"/>
    <w:rsid w:val="0058622F"/>
    <w:rsid w:val="00587019"/>
    <w:rsid w:val="00592F82"/>
    <w:rsid w:val="005A0CCA"/>
    <w:rsid w:val="005A6FF2"/>
    <w:rsid w:val="005A726D"/>
    <w:rsid w:val="005B67AC"/>
    <w:rsid w:val="005B79F4"/>
    <w:rsid w:val="005C1C1C"/>
    <w:rsid w:val="005C719C"/>
    <w:rsid w:val="005D1293"/>
    <w:rsid w:val="005D27A5"/>
    <w:rsid w:val="005D4357"/>
    <w:rsid w:val="005D43E0"/>
    <w:rsid w:val="005D58A3"/>
    <w:rsid w:val="005D6642"/>
    <w:rsid w:val="005E1B79"/>
    <w:rsid w:val="005E6076"/>
    <w:rsid w:val="005E7008"/>
    <w:rsid w:val="005F026D"/>
    <w:rsid w:val="005F1B2A"/>
    <w:rsid w:val="005F2AEA"/>
    <w:rsid w:val="005F2D0B"/>
    <w:rsid w:val="005F4B31"/>
    <w:rsid w:val="00610388"/>
    <w:rsid w:val="00610AC7"/>
    <w:rsid w:val="00612CA5"/>
    <w:rsid w:val="006153EC"/>
    <w:rsid w:val="00621A17"/>
    <w:rsid w:val="00622C36"/>
    <w:rsid w:val="006245E3"/>
    <w:rsid w:val="00627CC9"/>
    <w:rsid w:val="00627E7B"/>
    <w:rsid w:val="00630542"/>
    <w:rsid w:val="00631394"/>
    <w:rsid w:val="00632E44"/>
    <w:rsid w:val="00634622"/>
    <w:rsid w:val="00635ACC"/>
    <w:rsid w:val="00636808"/>
    <w:rsid w:val="00637B5D"/>
    <w:rsid w:val="00641515"/>
    <w:rsid w:val="0064555E"/>
    <w:rsid w:val="00654C2F"/>
    <w:rsid w:val="00657087"/>
    <w:rsid w:val="006639DB"/>
    <w:rsid w:val="006661EF"/>
    <w:rsid w:val="00676F12"/>
    <w:rsid w:val="00677AEB"/>
    <w:rsid w:val="00680EF2"/>
    <w:rsid w:val="006844A8"/>
    <w:rsid w:val="00687A1D"/>
    <w:rsid w:val="0069730B"/>
    <w:rsid w:val="00697EA1"/>
    <w:rsid w:val="006A2646"/>
    <w:rsid w:val="006A42F8"/>
    <w:rsid w:val="006A6530"/>
    <w:rsid w:val="006B3571"/>
    <w:rsid w:val="006B435A"/>
    <w:rsid w:val="006B4C64"/>
    <w:rsid w:val="006C65F4"/>
    <w:rsid w:val="006D6BD5"/>
    <w:rsid w:val="006E481A"/>
    <w:rsid w:val="006E5298"/>
    <w:rsid w:val="006E6F9A"/>
    <w:rsid w:val="006F4A78"/>
    <w:rsid w:val="006F734A"/>
    <w:rsid w:val="00700D83"/>
    <w:rsid w:val="00704852"/>
    <w:rsid w:val="007074E9"/>
    <w:rsid w:val="00713DA4"/>
    <w:rsid w:val="00714BF1"/>
    <w:rsid w:val="00717C2C"/>
    <w:rsid w:val="00721383"/>
    <w:rsid w:val="0072569E"/>
    <w:rsid w:val="00730B0A"/>
    <w:rsid w:val="0073158B"/>
    <w:rsid w:val="007333CC"/>
    <w:rsid w:val="0073399A"/>
    <w:rsid w:val="00740655"/>
    <w:rsid w:val="00741CBF"/>
    <w:rsid w:val="007603F5"/>
    <w:rsid w:val="00764DB0"/>
    <w:rsid w:val="0076764D"/>
    <w:rsid w:val="00767C70"/>
    <w:rsid w:val="0077498C"/>
    <w:rsid w:val="00776E08"/>
    <w:rsid w:val="00777C53"/>
    <w:rsid w:val="007809BC"/>
    <w:rsid w:val="00784128"/>
    <w:rsid w:val="00787BCC"/>
    <w:rsid w:val="00793173"/>
    <w:rsid w:val="007A2A33"/>
    <w:rsid w:val="007B0809"/>
    <w:rsid w:val="007B5C89"/>
    <w:rsid w:val="007C1FCC"/>
    <w:rsid w:val="007C6201"/>
    <w:rsid w:val="007C690E"/>
    <w:rsid w:val="007C72F5"/>
    <w:rsid w:val="007D0192"/>
    <w:rsid w:val="007D23F3"/>
    <w:rsid w:val="007D6135"/>
    <w:rsid w:val="007D7C92"/>
    <w:rsid w:val="007E1154"/>
    <w:rsid w:val="007E6BA4"/>
    <w:rsid w:val="007F12AB"/>
    <w:rsid w:val="007F341D"/>
    <w:rsid w:val="007F41F8"/>
    <w:rsid w:val="007F659B"/>
    <w:rsid w:val="0080454E"/>
    <w:rsid w:val="00804C32"/>
    <w:rsid w:val="00805305"/>
    <w:rsid w:val="00806302"/>
    <w:rsid w:val="00807119"/>
    <w:rsid w:val="00821F0A"/>
    <w:rsid w:val="008244FA"/>
    <w:rsid w:val="0082483F"/>
    <w:rsid w:val="00826C58"/>
    <w:rsid w:val="008279C0"/>
    <w:rsid w:val="00834F92"/>
    <w:rsid w:val="0083721E"/>
    <w:rsid w:val="00837A43"/>
    <w:rsid w:val="00853272"/>
    <w:rsid w:val="00855BA7"/>
    <w:rsid w:val="0087116D"/>
    <w:rsid w:val="008723F3"/>
    <w:rsid w:val="00872711"/>
    <w:rsid w:val="00875912"/>
    <w:rsid w:val="00876E27"/>
    <w:rsid w:val="00881DE6"/>
    <w:rsid w:val="008837A6"/>
    <w:rsid w:val="00884643"/>
    <w:rsid w:val="0089145D"/>
    <w:rsid w:val="0089582E"/>
    <w:rsid w:val="00895EF1"/>
    <w:rsid w:val="008A4DF2"/>
    <w:rsid w:val="008A6CFE"/>
    <w:rsid w:val="008A771D"/>
    <w:rsid w:val="008B5333"/>
    <w:rsid w:val="008B6223"/>
    <w:rsid w:val="008C45A7"/>
    <w:rsid w:val="008C52EF"/>
    <w:rsid w:val="008C66E0"/>
    <w:rsid w:val="008D7934"/>
    <w:rsid w:val="008E3339"/>
    <w:rsid w:val="008F0FCD"/>
    <w:rsid w:val="008F20FC"/>
    <w:rsid w:val="008F5FFE"/>
    <w:rsid w:val="00900BBE"/>
    <w:rsid w:val="009017A1"/>
    <w:rsid w:val="00902FA7"/>
    <w:rsid w:val="00905A43"/>
    <w:rsid w:val="00912C79"/>
    <w:rsid w:val="00921B8C"/>
    <w:rsid w:val="0092565E"/>
    <w:rsid w:val="0093467C"/>
    <w:rsid w:val="00935386"/>
    <w:rsid w:val="00942123"/>
    <w:rsid w:val="009427E0"/>
    <w:rsid w:val="0095207B"/>
    <w:rsid w:val="00962045"/>
    <w:rsid w:val="00963D77"/>
    <w:rsid w:val="00980E61"/>
    <w:rsid w:val="00991428"/>
    <w:rsid w:val="00992676"/>
    <w:rsid w:val="009951CA"/>
    <w:rsid w:val="009954B2"/>
    <w:rsid w:val="00996691"/>
    <w:rsid w:val="009A2F63"/>
    <w:rsid w:val="009B0723"/>
    <w:rsid w:val="009B07AD"/>
    <w:rsid w:val="009B0883"/>
    <w:rsid w:val="009B15E2"/>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6B4C"/>
    <w:rsid w:val="00A5117B"/>
    <w:rsid w:val="00A56D34"/>
    <w:rsid w:val="00A60074"/>
    <w:rsid w:val="00A6313C"/>
    <w:rsid w:val="00A6627C"/>
    <w:rsid w:val="00A67795"/>
    <w:rsid w:val="00A71019"/>
    <w:rsid w:val="00A75D43"/>
    <w:rsid w:val="00A77C98"/>
    <w:rsid w:val="00A81029"/>
    <w:rsid w:val="00A81F08"/>
    <w:rsid w:val="00A82B32"/>
    <w:rsid w:val="00A902FE"/>
    <w:rsid w:val="00A94F58"/>
    <w:rsid w:val="00A95463"/>
    <w:rsid w:val="00A96489"/>
    <w:rsid w:val="00AA0280"/>
    <w:rsid w:val="00AA7BE3"/>
    <w:rsid w:val="00AB1B65"/>
    <w:rsid w:val="00AB2425"/>
    <w:rsid w:val="00AB685C"/>
    <w:rsid w:val="00AB6C2D"/>
    <w:rsid w:val="00AC08F7"/>
    <w:rsid w:val="00AC3839"/>
    <w:rsid w:val="00AC7082"/>
    <w:rsid w:val="00AD4BE8"/>
    <w:rsid w:val="00AF228E"/>
    <w:rsid w:val="00AF5885"/>
    <w:rsid w:val="00AF7F1F"/>
    <w:rsid w:val="00B016A8"/>
    <w:rsid w:val="00B01E81"/>
    <w:rsid w:val="00B041E9"/>
    <w:rsid w:val="00B10961"/>
    <w:rsid w:val="00B14819"/>
    <w:rsid w:val="00B15E2F"/>
    <w:rsid w:val="00B17AA9"/>
    <w:rsid w:val="00B27E6E"/>
    <w:rsid w:val="00B44713"/>
    <w:rsid w:val="00B56103"/>
    <w:rsid w:val="00B63E83"/>
    <w:rsid w:val="00B64929"/>
    <w:rsid w:val="00B736DF"/>
    <w:rsid w:val="00B743D6"/>
    <w:rsid w:val="00B74FBD"/>
    <w:rsid w:val="00B77B19"/>
    <w:rsid w:val="00B77F46"/>
    <w:rsid w:val="00B82586"/>
    <w:rsid w:val="00B829A3"/>
    <w:rsid w:val="00B849C5"/>
    <w:rsid w:val="00B86DB1"/>
    <w:rsid w:val="00B87869"/>
    <w:rsid w:val="00B9639B"/>
    <w:rsid w:val="00BA74EF"/>
    <w:rsid w:val="00BB0F2B"/>
    <w:rsid w:val="00BD4A58"/>
    <w:rsid w:val="00BD7337"/>
    <w:rsid w:val="00BE4FF3"/>
    <w:rsid w:val="00BF0003"/>
    <w:rsid w:val="00BF1B3E"/>
    <w:rsid w:val="00BF50F7"/>
    <w:rsid w:val="00BF6B84"/>
    <w:rsid w:val="00C02F29"/>
    <w:rsid w:val="00C05A9F"/>
    <w:rsid w:val="00C20AFE"/>
    <w:rsid w:val="00C22A25"/>
    <w:rsid w:val="00C24FAB"/>
    <w:rsid w:val="00C32CF3"/>
    <w:rsid w:val="00C35671"/>
    <w:rsid w:val="00C35B77"/>
    <w:rsid w:val="00C362AA"/>
    <w:rsid w:val="00C376EB"/>
    <w:rsid w:val="00C452BC"/>
    <w:rsid w:val="00C46A92"/>
    <w:rsid w:val="00C46EC1"/>
    <w:rsid w:val="00C50B31"/>
    <w:rsid w:val="00C51EA5"/>
    <w:rsid w:val="00C52796"/>
    <w:rsid w:val="00C53E2C"/>
    <w:rsid w:val="00C550C8"/>
    <w:rsid w:val="00C55995"/>
    <w:rsid w:val="00C56B61"/>
    <w:rsid w:val="00C606C3"/>
    <w:rsid w:val="00C620F4"/>
    <w:rsid w:val="00C637DC"/>
    <w:rsid w:val="00C651D6"/>
    <w:rsid w:val="00C6653D"/>
    <w:rsid w:val="00C72848"/>
    <w:rsid w:val="00C73B97"/>
    <w:rsid w:val="00C7736C"/>
    <w:rsid w:val="00C803E6"/>
    <w:rsid w:val="00C82D87"/>
    <w:rsid w:val="00C8695A"/>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6E50"/>
    <w:rsid w:val="00CF12B2"/>
    <w:rsid w:val="00CF2819"/>
    <w:rsid w:val="00CF4F9D"/>
    <w:rsid w:val="00CF70DC"/>
    <w:rsid w:val="00D041E0"/>
    <w:rsid w:val="00D04AFE"/>
    <w:rsid w:val="00D11729"/>
    <w:rsid w:val="00D14336"/>
    <w:rsid w:val="00D148DC"/>
    <w:rsid w:val="00D17FDC"/>
    <w:rsid w:val="00D21021"/>
    <w:rsid w:val="00D21D8C"/>
    <w:rsid w:val="00D221F8"/>
    <w:rsid w:val="00D2621C"/>
    <w:rsid w:val="00D316F2"/>
    <w:rsid w:val="00D34584"/>
    <w:rsid w:val="00D53719"/>
    <w:rsid w:val="00D61CC1"/>
    <w:rsid w:val="00D6273C"/>
    <w:rsid w:val="00D63EFD"/>
    <w:rsid w:val="00D7456A"/>
    <w:rsid w:val="00D84752"/>
    <w:rsid w:val="00D85559"/>
    <w:rsid w:val="00D85AF6"/>
    <w:rsid w:val="00D86B3B"/>
    <w:rsid w:val="00D8748A"/>
    <w:rsid w:val="00D93196"/>
    <w:rsid w:val="00D9565D"/>
    <w:rsid w:val="00DA0DC0"/>
    <w:rsid w:val="00DA1D45"/>
    <w:rsid w:val="00DB243C"/>
    <w:rsid w:val="00DB482A"/>
    <w:rsid w:val="00DB50FB"/>
    <w:rsid w:val="00DB56F2"/>
    <w:rsid w:val="00DB6680"/>
    <w:rsid w:val="00DB6EF5"/>
    <w:rsid w:val="00DC3089"/>
    <w:rsid w:val="00DC359F"/>
    <w:rsid w:val="00DC4420"/>
    <w:rsid w:val="00DC73DF"/>
    <w:rsid w:val="00DD0802"/>
    <w:rsid w:val="00DD2E11"/>
    <w:rsid w:val="00DE03AF"/>
    <w:rsid w:val="00DE121C"/>
    <w:rsid w:val="00DE5357"/>
    <w:rsid w:val="00DE6633"/>
    <w:rsid w:val="00DE6E52"/>
    <w:rsid w:val="00DE7E9B"/>
    <w:rsid w:val="00DF158F"/>
    <w:rsid w:val="00DF5F7C"/>
    <w:rsid w:val="00DF75F8"/>
    <w:rsid w:val="00DF7A3A"/>
    <w:rsid w:val="00E00C00"/>
    <w:rsid w:val="00E01803"/>
    <w:rsid w:val="00E07C5A"/>
    <w:rsid w:val="00E15ACE"/>
    <w:rsid w:val="00E15BA9"/>
    <w:rsid w:val="00E239B8"/>
    <w:rsid w:val="00E26E10"/>
    <w:rsid w:val="00E26E19"/>
    <w:rsid w:val="00E30E60"/>
    <w:rsid w:val="00E31DF3"/>
    <w:rsid w:val="00E421C6"/>
    <w:rsid w:val="00E450A4"/>
    <w:rsid w:val="00E506BE"/>
    <w:rsid w:val="00E55547"/>
    <w:rsid w:val="00E6302B"/>
    <w:rsid w:val="00E6452F"/>
    <w:rsid w:val="00E64F45"/>
    <w:rsid w:val="00E6742D"/>
    <w:rsid w:val="00E7088D"/>
    <w:rsid w:val="00E71CB0"/>
    <w:rsid w:val="00E77C3D"/>
    <w:rsid w:val="00E90991"/>
    <w:rsid w:val="00E909F0"/>
    <w:rsid w:val="00E90D47"/>
    <w:rsid w:val="00E91BE5"/>
    <w:rsid w:val="00E93993"/>
    <w:rsid w:val="00E9597C"/>
    <w:rsid w:val="00EA0913"/>
    <w:rsid w:val="00EA5B00"/>
    <w:rsid w:val="00EA78AC"/>
    <w:rsid w:val="00EB146B"/>
    <w:rsid w:val="00EB45AC"/>
    <w:rsid w:val="00EC441F"/>
    <w:rsid w:val="00EC4755"/>
    <w:rsid w:val="00EC48D0"/>
    <w:rsid w:val="00EC6918"/>
    <w:rsid w:val="00ED0181"/>
    <w:rsid w:val="00ED0BC4"/>
    <w:rsid w:val="00ED447D"/>
    <w:rsid w:val="00ED738F"/>
    <w:rsid w:val="00ED74BC"/>
    <w:rsid w:val="00ED7BF3"/>
    <w:rsid w:val="00EE4971"/>
    <w:rsid w:val="00EF090E"/>
    <w:rsid w:val="00EF37CB"/>
    <w:rsid w:val="00EF5572"/>
    <w:rsid w:val="00F033DA"/>
    <w:rsid w:val="00F13691"/>
    <w:rsid w:val="00F13FB1"/>
    <w:rsid w:val="00F27CD8"/>
    <w:rsid w:val="00F30351"/>
    <w:rsid w:val="00F3323E"/>
    <w:rsid w:val="00F341F4"/>
    <w:rsid w:val="00F34F9D"/>
    <w:rsid w:val="00F35CCE"/>
    <w:rsid w:val="00F418CA"/>
    <w:rsid w:val="00F5524B"/>
    <w:rsid w:val="00F60538"/>
    <w:rsid w:val="00F61DD2"/>
    <w:rsid w:val="00F63187"/>
    <w:rsid w:val="00F66AFF"/>
    <w:rsid w:val="00F71246"/>
    <w:rsid w:val="00F71433"/>
    <w:rsid w:val="00F92140"/>
    <w:rsid w:val="00F97C5B"/>
    <w:rsid w:val="00FA3D50"/>
    <w:rsid w:val="00FB2838"/>
    <w:rsid w:val="00FB7FBD"/>
    <w:rsid w:val="00FC374A"/>
    <w:rsid w:val="00FC43EC"/>
    <w:rsid w:val="00FC7AC7"/>
    <w:rsid w:val="00FC7B47"/>
    <w:rsid w:val="00FD035C"/>
    <w:rsid w:val="00FD1A35"/>
    <w:rsid w:val="00FD2EA4"/>
    <w:rsid w:val="00FD36C5"/>
    <w:rsid w:val="00FD6310"/>
    <w:rsid w:val="00FD7C7B"/>
    <w:rsid w:val="00FD7E54"/>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iPriority w:val="99"/>
    <w:unhideWhenUsed/>
    <w:rsid w:val="00241B44"/>
    <w:rPr>
      <w:szCs w:val="20"/>
    </w:rPr>
  </w:style>
  <w:style w:type="character" w:customStyle="1" w:styleId="a5">
    <w:name w:val="Текст сноски Знак"/>
    <w:aliases w:val="fn Знак,Fußnotentext Char Char Char Char Знак,Fußnotentext Char Char Char Char Char Char Знак,Fußnotentext Char Char Char Char Char Char Char Char Знак,Fußnotentextf Знак,footnotes Знак,Footnote Text Char2 Char Знак,Footnote Знак"/>
    <w:basedOn w:val="a0"/>
    <w:link w:val="a4"/>
    <w:uiPriority w:val="99"/>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iPriority w:val="99"/>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Текст примечания Знак"/>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Тема примечания Знак"/>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Текст выноски Знак"/>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Нижний колонтитул Знак"/>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Верхний колонтитул Знак"/>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af6">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a"/>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rie.Lawrenson@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12</Pages>
  <Words>2759</Words>
  <Characters>15730</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Ksenia Belyaeva</cp:lastModifiedBy>
  <cp:revision>3</cp:revision>
  <cp:lastPrinted>2019-08-27T05:42:00Z</cp:lastPrinted>
  <dcterms:created xsi:type="dcterms:W3CDTF">2023-09-21T21:08:00Z</dcterms:created>
  <dcterms:modified xsi:type="dcterms:W3CDTF">2023-09-21T21:56:00Z</dcterms:modified>
</cp:coreProperties>
</file>