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57E08">
      <w:pP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Default="00C56B61"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5795E937" w14:textId="77777777" w:rsidR="008715CC" w:rsidRDefault="008715C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DAAA26E" w14:textId="67E66453" w:rsidR="008715CC" w:rsidRPr="008715CC" w:rsidRDefault="008715CC" w:rsidP="008715C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715CC">
        <w:rPr>
          <w:rFonts w:ascii="Avenir Next Demi Bold" w:hAnsi="Avenir Next Demi Bold" w:cs="Arial"/>
          <w:b/>
          <w:bCs/>
          <w:color w:val="000000" w:themeColor="text1"/>
          <w:sz w:val="24"/>
          <w:lang w:val="en-GB"/>
        </w:rPr>
        <w:t>RESIT ASSESSMENT: SEPTEMBER 2023</w:t>
      </w:r>
    </w:p>
    <w:p w14:paraId="1DCE41A2" w14:textId="0CB8A9C3" w:rsidR="002638B0" w:rsidRPr="00E2622D" w:rsidRDefault="002638B0"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66FB4E1" w14:textId="18704C50" w:rsidR="00315506"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of this course</w:t>
      </w:r>
      <w:r w:rsidR="007329A0">
        <w:rPr>
          <w:rFonts w:ascii="Avenir Next" w:hAnsi="Avenir Next" w:cs="Arial"/>
          <w:bCs/>
          <w:color w:val="767171" w:themeColor="background2" w:themeShade="80"/>
          <w:sz w:val="22"/>
          <w:szCs w:val="22"/>
          <w:lang w:val="en-GB"/>
        </w:rPr>
        <w:t>.</w:t>
      </w:r>
      <w:r w:rsidR="00315506" w:rsidRPr="00E2622D">
        <w:rPr>
          <w:rFonts w:ascii="Avenir Next" w:hAnsi="Avenir Next" w:cs="Arial"/>
          <w:bCs/>
          <w:color w:val="767171" w:themeColor="background2" w:themeShade="80"/>
          <w:sz w:val="22"/>
          <w:szCs w:val="22"/>
          <w:lang w:val="en-GB"/>
        </w:rPr>
        <w:t xml:space="preserve">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71A24BA" w14:textId="5D6B39EB" w:rsidR="006C102D" w:rsidRPr="006C102D" w:rsidRDefault="00E850FE" w:rsidP="006C102D">
      <w:pPr>
        <w:ind w:left="720" w:hanging="720"/>
        <w:jc w:val="both"/>
        <w:rPr>
          <w:rFonts w:ascii="Avenir Next" w:hAnsi="Avenir Next" w:cs="Arial"/>
          <w:b/>
          <w:bCs/>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r>
      <w:r w:rsidR="006C102D" w:rsidRPr="00274E58">
        <w:rPr>
          <w:rFonts w:ascii="Avenir Next" w:hAnsi="Avenir Next" w:cs="Arial"/>
          <w:sz w:val="22"/>
          <w:szCs w:val="22"/>
          <w:lang w:val="en-GB"/>
        </w:rPr>
        <w:t xml:space="preserve">The final submission date for this assessment is </w:t>
      </w:r>
      <w:r w:rsidR="006C102D">
        <w:rPr>
          <w:rFonts w:ascii="Avenir Next Demi Bold" w:hAnsi="Avenir Next Demi Bold" w:cs="Arial"/>
          <w:b/>
          <w:bCs/>
          <w:sz w:val="22"/>
          <w:szCs w:val="22"/>
          <w:lang w:val="en-GB"/>
        </w:rPr>
        <w:t>21</w:t>
      </w:r>
      <w:r w:rsidR="006C102D" w:rsidRPr="004216EA">
        <w:rPr>
          <w:rFonts w:ascii="Avenir Next Demi Bold" w:hAnsi="Avenir Next Demi Bold" w:cs="Arial"/>
          <w:b/>
          <w:bCs/>
          <w:sz w:val="22"/>
          <w:szCs w:val="22"/>
          <w:lang w:val="en-GB"/>
        </w:rPr>
        <w:t xml:space="preserve"> </w:t>
      </w:r>
      <w:r w:rsidR="006C102D">
        <w:rPr>
          <w:rFonts w:ascii="Avenir Next Demi Bold" w:hAnsi="Avenir Next Demi Bold" w:cs="Arial"/>
          <w:b/>
          <w:bCs/>
          <w:sz w:val="22"/>
          <w:szCs w:val="22"/>
          <w:lang w:val="en-GB"/>
        </w:rPr>
        <w:t>September</w:t>
      </w:r>
      <w:r w:rsidR="006C102D" w:rsidRPr="004216EA">
        <w:rPr>
          <w:rFonts w:ascii="Avenir Next Demi Bold" w:hAnsi="Avenir Next Demi Bold" w:cs="Arial"/>
          <w:b/>
          <w:bCs/>
          <w:sz w:val="22"/>
          <w:szCs w:val="22"/>
          <w:lang w:val="en-GB"/>
        </w:rPr>
        <w:t xml:space="preserve"> 202</w:t>
      </w:r>
      <w:r w:rsidR="006C102D">
        <w:rPr>
          <w:rFonts w:ascii="Avenir Next Demi Bold" w:hAnsi="Avenir Next Demi Bold" w:cs="Arial"/>
          <w:b/>
          <w:bCs/>
          <w:sz w:val="22"/>
          <w:szCs w:val="22"/>
          <w:lang w:val="en-GB"/>
        </w:rPr>
        <w:t>3</w:t>
      </w:r>
      <w:r w:rsidR="006C102D" w:rsidRPr="004216EA">
        <w:rPr>
          <w:rFonts w:ascii="Avenir Next" w:hAnsi="Avenir Next" w:cs="Arial"/>
          <w:sz w:val="22"/>
          <w:szCs w:val="22"/>
          <w:lang w:val="en-GB"/>
        </w:rPr>
        <w:t xml:space="preserve">. </w:t>
      </w:r>
      <w:r w:rsidR="006C102D">
        <w:rPr>
          <w:rFonts w:ascii="Avenir Next" w:hAnsi="Avenir Next" w:cs="Arial"/>
          <w:sz w:val="22"/>
          <w:szCs w:val="22"/>
          <w:lang w:val="en-GB"/>
        </w:rPr>
        <w:t xml:space="preserve">Please provide the completed assessment back to Sanrie Lawrenson via email at </w:t>
      </w:r>
      <w:hyperlink r:id="rId12" w:history="1">
        <w:r w:rsidR="006C102D" w:rsidRPr="006C011D">
          <w:rPr>
            <w:rStyle w:val="Hyperlink"/>
            <w:rFonts w:ascii="Avenir Next" w:hAnsi="Avenir Next" w:cs="Arial"/>
            <w:sz w:val="22"/>
            <w:szCs w:val="22"/>
            <w:lang w:val="en-GB"/>
          </w:rPr>
          <w:t>Sanrie.Lawrenson@insol.org</w:t>
        </w:r>
      </w:hyperlink>
      <w:r w:rsidR="006C102D">
        <w:rPr>
          <w:rFonts w:ascii="Avenir Next" w:hAnsi="Avenir Next" w:cs="Arial"/>
          <w:sz w:val="22"/>
          <w:szCs w:val="22"/>
          <w:lang w:val="en-GB"/>
        </w:rPr>
        <w:t xml:space="preserve"> by no later than</w:t>
      </w:r>
      <w:r w:rsidR="006C102D" w:rsidRPr="004216EA">
        <w:rPr>
          <w:rFonts w:ascii="Avenir Next" w:hAnsi="Avenir Next" w:cs="Arial"/>
          <w:sz w:val="22"/>
          <w:szCs w:val="22"/>
          <w:lang w:val="en-GB"/>
        </w:rPr>
        <w:t xml:space="preserve"> </w:t>
      </w:r>
      <w:r w:rsidR="006C102D" w:rsidRPr="004216EA">
        <w:rPr>
          <w:rFonts w:ascii="Avenir Next Demi Bold" w:hAnsi="Avenir Next Demi Bold" w:cs="Arial"/>
          <w:b/>
          <w:bCs/>
          <w:sz w:val="22"/>
          <w:szCs w:val="22"/>
          <w:lang w:val="en-GB"/>
        </w:rPr>
        <w:t xml:space="preserve">23:00 (11 pm) GMT on </w:t>
      </w:r>
      <w:r w:rsidR="006C102D">
        <w:rPr>
          <w:rFonts w:ascii="Avenir Next Demi Bold" w:hAnsi="Avenir Next Demi Bold" w:cs="Arial"/>
          <w:b/>
          <w:bCs/>
          <w:sz w:val="22"/>
          <w:szCs w:val="22"/>
          <w:lang w:val="en-GB"/>
        </w:rPr>
        <w:t>21 September</w:t>
      </w:r>
      <w:r w:rsidR="006C102D" w:rsidRPr="004216EA">
        <w:rPr>
          <w:rFonts w:ascii="Avenir Next Demi Bold" w:hAnsi="Avenir Next Demi Bold" w:cs="Arial"/>
          <w:b/>
          <w:bCs/>
          <w:sz w:val="22"/>
          <w:szCs w:val="22"/>
          <w:lang w:val="en-GB"/>
        </w:rPr>
        <w:t xml:space="preserve"> 202</w:t>
      </w:r>
      <w:r w:rsidR="006C102D">
        <w:rPr>
          <w:rFonts w:ascii="Avenir Next Demi Bold" w:hAnsi="Avenir Next Demi Bold" w:cs="Arial"/>
          <w:b/>
          <w:bCs/>
          <w:sz w:val="22"/>
          <w:szCs w:val="22"/>
          <w:lang w:val="en-GB"/>
        </w:rPr>
        <w:t>3</w:t>
      </w:r>
      <w:r w:rsidR="006C102D" w:rsidRPr="004216EA">
        <w:rPr>
          <w:rFonts w:ascii="Avenir Next" w:hAnsi="Avenir Next" w:cs="Arial"/>
          <w:sz w:val="22"/>
          <w:szCs w:val="22"/>
          <w:lang w:val="en-GB"/>
        </w:rPr>
        <w:t>.</w:t>
      </w:r>
      <w:r w:rsidR="006C102D" w:rsidRPr="00274E58">
        <w:rPr>
          <w:rFonts w:ascii="Avenir Next" w:hAnsi="Avenir Next" w:cs="Arial"/>
          <w:sz w:val="22"/>
          <w:szCs w:val="22"/>
          <w:lang w:val="en-GB"/>
        </w:rPr>
        <w:t xml:space="preserve"> No submissions can be made after </w:t>
      </w:r>
      <w:r w:rsidR="006C102D">
        <w:rPr>
          <w:rFonts w:ascii="Avenir Next" w:hAnsi="Avenir Next" w:cs="Arial"/>
          <w:sz w:val="22"/>
          <w:szCs w:val="22"/>
          <w:lang w:val="en-GB"/>
        </w:rPr>
        <w:t>this time</w:t>
      </w:r>
      <w:r w:rsidR="006C102D" w:rsidRPr="00274E58">
        <w:rPr>
          <w:rFonts w:ascii="Avenir Next" w:hAnsi="Avenir Next" w:cs="Arial"/>
          <w:sz w:val="22"/>
          <w:szCs w:val="22"/>
          <w:lang w:val="en-GB"/>
        </w:rPr>
        <w:t>, no matter the circumstances.</w:t>
      </w:r>
    </w:p>
    <w:p w14:paraId="70FFD20D" w14:textId="5929FEAA" w:rsidR="006C102D" w:rsidRPr="00274E58" w:rsidRDefault="006C102D" w:rsidP="006C102D">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assessment you </w:t>
      </w:r>
      <w:r w:rsidR="000C0D3F">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68D12797" w14:textId="212A3ECD" w:rsidR="00E850FE" w:rsidRPr="00E2622D" w:rsidRDefault="00E850FE" w:rsidP="004209F9">
      <w:pPr>
        <w:ind w:left="720" w:hanging="720"/>
        <w:jc w:val="both"/>
        <w:rPr>
          <w:rFonts w:ascii="Avenir Next" w:hAnsi="Avenir Next" w:cs="Arial"/>
          <w:sz w:val="22"/>
          <w:szCs w:val="22"/>
          <w:lang w:val="en-GB"/>
        </w:rPr>
      </w:pP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0B742E">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A26788" w:rsidRDefault="00B263D0" w:rsidP="000B742E">
      <w:pPr>
        <w:pStyle w:val="ListParagraph"/>
        <w:numPr>
          <w:ilvl w:val="0"/>
          <w:numId w:val="1"/>
        </w:numPr>
        <w:ind w:left="426" w:hanging="426"/>
        <w:jc w:val="both"/>
        <w:rPr>
          <w:rFonts w:ascii="Avenir Next" w:hAnsi="Avenir Next" w:cs="Arial"/>
          <w:sz w:val="22"/>
          <w:szCs w:val="22"/>
          <w:highlight w:val="yellow"/>
          <w:lang w:val="en-GB"/>
        </w:rPr>
      </w:pPr>
      <w:r w:rsidRPr="00A2678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0B742E">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0B742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0B742E">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0B742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0B742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0B742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0B742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0B742E">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0B742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3803EA" w:rsidRDefault="00AD0E59" w:rsidP="000B742E">
      <w:pPr>
        <w:pStyle w:val="ListParagraph"/>
        <w:numPr>
          <w:ilvl w:val="0"/>
          <w:numId w:val="10"/>
        </w:numPr>
        <w:ind w:left="426" w:hanging="426"/>
        <w:jc w:val="both"/>
        <w:rPr>
          <w:rFonts w:ascii="Avenir Next" w:hAnsi="Avenir Next" w:cs="Arial"/>
          <w:sz w:val="22"/>
          <w:szCs w:val="22"/>
          <w:highlight w:val="yellow"/>
          <w:lang w:val="en-GB"/>
        </w:rPr>
      </w:pPr>
      <w:r w:rsidRPr="003803EA">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0B742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0B742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0B742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0B742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0B742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0B742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0B742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D85758" w:rsidRDefault="00893A03" w:rsidP="000B742E">
      <w:pPr>
        <w:pStyle w:val="ListParagraph"/>
        <w:numPr>
          <w:ilvl w:val="0"/>
          <w:numId w:val="2"/>
        </w:numPr>
        <w:ind w:left="426" w:hanging="426"/>
        <w:jc w:val="both"/>
        <w:rPr>
          <w:rFonts w:ascii="Avenir Next" w:hAnsi="Avenir Next" w:cs="Arial"/>
          <w:sz w:val="22"/>
          <w:szCs w:val="22"/>
          <w:highlight w:val="yellow"/>
          <w:lang w:val="en-GB"/>
        </w:rPr>
      </w:pPr>
      <w:r w:rsidRPr="00D85758">
        <w:rPr>
          <w:rFonts w:ascii="Avenir Next" w:hAnsi="Avenir Next" w:cs="Arial"/>
          <w:sz w:val="22"/>
          <w:szCs w:val="22"/>
          <w:highlight w:val="yellow"/>
          <w:lang w:val="en-GB"/>
        </w:rPr>
        <w:t>Options (</w:t>
      </w:r>
      <w:proofErr w:type="spellStart"/>
      <w:r w:rsidRPr="00D85758">
        <w:rPr>
          <w:rFonts w:ascii="Avenir Next" w:hAnsi="Avenir Next" w:cs="Arial"/>
          <w:sz w:val="22"/>
          <w:szCs w:val="22"/>
          <w:highlight w:val="yellow"/>
          <w:lang w:val="en-GB"/>
        </w:rPr>
        <w:t>i</w:t>
      </w:r>
      <w:proofErr w:type="spellEnd"/>
      <w:r w:rsidRPr="00D85758">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0B742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215D8A" w:rsidRDefault="00E9597C" w:rsidP="00707FC8">
      <w:pPr>
        <w:jc w:val="both"/>
        <w:rPr>
          <w:rFonts w:ascii="Avenir Next Demi Bold" w:hAnsi="Avenir Next Demi Bold" w:cs="Arial"/>
          <w:b/>
          <w:bCs/>
          <w:sz w:val="22"/>
          <w:szCs w:val="22"/>
          <w:lang w:val="en-GB"/>
        </w:rPr>
      </w:pPr>
      <w:r w:rsidRPr="00215D8A">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0B742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0B742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0B742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0B742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0B742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791596" w:rsidRDefault="00812AFE" w:rsidP="000B742E">
      <w:pPr>
        <w:pStyle w:val="ListParagraph"/>
        <w:numPr>
          <w:ilvl w:val="0"/>
          <w:numId w:val="3"/>
        </w:numPr>
        <w:ind w:left="426" w:hanging="426"/>
        <w:jc w:val="both"/>
        <w:rPr>
          <w:rFonts w:ascii="Avenir Next" w:hAnsi="Avenir Next" w:cs="Arial"/>
          <w:sz w:val="22"/>
          <w:szCs w:val="22"/>
          <w:highlight w:val="yellow"/>
          <w:lang w:val="en-GB"/>
        </w:rPr>
      </w:pPr>
      <w:r w:rsidRPr="00791596">
        <w:rPr>
          <w:rFonts w:ascii="Avenir Next" w:hAnsi="Avenir Next" w:cs="Arial"/>
          <w:sz w:val="22"/>
          <w:szCs w:val="22"/>
          <w:highlight w:val="yellow"/>
          <w:lang w:val="en-GB"/>
        </w:rPr>
        <w:t>Options (</w:t>
      </w:r>
      <w:proofErr w:type="spellStart"/>
      <w:r w:rsidRPr="00791596">
        <w:rPr>
          <w:rFonts w:ascii="Avenir Next" w:hAnsi="Avenir Next" w:cs="Arial"/>
          <w:sz w:val="22"/>
          <w:szCs w:val="22"/>
          <w:highlight w:val="yellow"/>
          <w:lang w:val="en-GB"/>
        </w:rPr>
        <w:t>i</w:t>
      </w:r>
      <w:proofErr w:type="spellEnd"/>
      <w:r w:rsidRPr="00791596">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0B742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0B742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0B742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4B3129" w:rsidRDefault="00E9597C" w:rsidP="00707FC8">
      <w:pPr>
        <w:jc w:val="both"/>
        <w:rPr>
          <w:rFonts w:ascii="Avenir Next Demi Bold" w:hAnsi="Avenir Next Demi Bold" w:cs="Arial"/>
          <w:b/>
          <w:bCs/>
          <w:sz w:val="22"/>
          <w:szCs w:val="22"/>
          <w:lang w:val="en-GB"/>
        </w:rPr>
      </w:pPr>
      <w:r w:rsidRPr="004B312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0B742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0B742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0B742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0B742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0B742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4B3129" w:rsidRDefault="003220BA" w:rsidP="000B742E">
      <w:pPr>
        <w:pStyle w:val="ListParagraph"/>
        <w:numPr>
          <w:ilvl w:val="0"/>
          <w:numId w:val="4"/>
        </w:numPr>
        <w:ind w:left="426" w:hanging="426"/>
        <w:jc w:val="both"/>
        <w:rPr>
          <w:rFonts w:ascii="Avenir Next" w:hAnsi="Avenir Next" w:cs="Arial"/>
          <w:sz w:val="22"/>
          <w:szCs w:val="22"/>
          <w:lang w:val="en-GB"/>
        </w:rPr>
      </w:pPr>
      <w:r w:rsidRPr="004B3129">
        <w:rPr>
          <w:rFonts w:ascii="Avenir Next" w:hAnsi="Avenir Next" w:cs="Arial"/>
          <w:sz w:val="22"/>
          <w:szCs w:val="22"/>
          <w:lang w:val="en-GB"/>
        </w:rPr>
        <w:t>Options (</w:t>
      </w:r>
      <w:proofErr w:type="spellStart"/>
      <w:r w:rsidRPr="004B3129">
        <w:rPr>
          <w:rFonts w:ascii="Avenir Next" w:hAnsi="Avenir Next" w:cs="Arial"/>
          <w:sz w:val="22"/>
          <w:szCs w:val="22"/>
          <w:lang w:val="en-GB"/>
        </w:rPr>
        <w:t>i</w:t>
      </w:r>
      <w:proofErr w:type="spellEnd"/>
      <w:r w:rsidRPr="004B3129">
        <w:rPr>
          <w:rFonts w:ascii="Avenir Next" w:hAnsi="Avenir Next" w:cs="Arial"/>
          <w:sz w:val="22"/>
          <w:szCs w:val="22"/>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0B742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0B742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4B3129" w:rsidRDefault="003220BA" w:rsidP="000B742E">
      <w:pPr>
        <w:pStyle w:val="ListParagraph"/>
        <w:numPr>
          <w:ilvl w:val="0"/>
          <w:numId w:val="4"/>
        </w:numPr>
        <w:ind w:left="426" w:hanging="426"/>
        <w:jc w:val="both"/>
        <w:rPr>
          <w:rFonts w:ascii="Avenir Next" w:hAnsi="Avenir Next" w:cs="Arial"/>
          <w:sz w:val="22"/>
          <w:szCs w:val="22"/>
          <w:highlight w:val="yellow"/>
          <w:lang w:val="en-GB"/>
        </w:rPr>
      </w:pPr>
      <w:r w:rsidRPr="004B3129">
        <w:rPr>
          <w:rFonts w:ascii="Avenir Next" w:hAnsi="Avenir Next" w:cs="Arial"/>
          <w:sz w:val="22"/>
          <w:szCs w:val="22"/>
          <w:highlight w:val="yellow"/>
          <w:lang w:val="en-GB"/>
        </w:rPr>
        <w:t>Options (</w:t>
      </w:r>
      <w:proofErr w:type="spellStart"/>
      <w:r w:rsidRPr="004B3129">
        <w:rPr>
          <w:rFonts w:ascii="Avenir Next" w:hAnsi="Avenir Next" w:cs="Arial"/>
          <w:sz w:val="22"/>
          <w:szCs w:val="22"/>
          <w:highlight w:val="yellow"/>
          <w:lang w:val="en-GB"/>
        </w:rPr>
        <w:t>i</w:t>
      </w:r>
      <w:proofErr w:type="spellEnd"/>
      <w:r w:rsidRPr="004B3129">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197C49">
        <w:rPr>
          <w:rFonts w:ascii="Avenir Next Demi Bold" w:hAnsi="Avenir Next Demi Bold" w:cs="Arial"/>
          <w:b/>
          <w:bCs/>
          <w:sz w:val="22"/>
          <w:szCs w:val="22"/>
          <w:lang w:val="en-GB"/>
        </w:rPr>
        <w:t>Question 1.6</w:t>
      </w:r>
      <w:r w:rsidRPr="000D32A9">
        <w:rPr>
          <w:rFonts w:ascii="Avenir Next Demi Bold" w:hAnsi="Avenir Next Demi Bold" w:cs="Arial"/>
          <w:b/>
          <w:bCs/>
          <w:sz w:val="22"/>
          <w:szCs w:val="22"/>
          <w:lang w:val="en-GB"/>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0B742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0B742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033F6F" w:rsidRDefault="009344C1" w:rsidP="000B742E">
      <w:pPr>
        <w:pStyle w:val="ListParagraph"/>
        <w:numPr>
          <w:ilvl w:val="0"/>
          <w:numId w:val="5"/>
        </w:numPr>
        <w:ind w:left="426" w:hanging="426"/>
        <w:jc w:val="both"/>
        <w:rPr>
          <w:rFonts w:ascii="Avenir Next" w:hAnsi="Avenir Next" w:cs="Arial"/>
          <w:sz w:val="22"/>
          <w:szCs w:val="22"/>
          <w:highlight w:val="yellow"/>
          <w:lang w:val="en-GB"/>
        </w:rPr>
      </w:pPr>
      <w:r w:rsidRPr="00033F6F">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0B742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033F6F" w:rsidRDefault="009344C1" w:rsidP="000B742E">
      <w:pPr>
        <w:pStyle w:val="ListParagraph"/>
        <w:numPr>
          <w:ilvl w:val="0"/>
          <w:numId w:val="5"/>
        </w:numPr>
        <w:ind w:left="426" w:hanging="426"/>
        <w:jc w:val="both"/>
        <w:rPr>
          <w:rFonts w:ascii="Avenir Next" w:hAnsi="Avenir Next" w:cs="Arial"/>
          <w:sz w:val="22"/>
          <w:szCs w:val="22"/>
          <w:lang w:val="en-GB"/>
        </w:rPr>
      </w:pPr>
      <w:r w:rsidRPr="00033F6F">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0B742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0B742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0B742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0B742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0B742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3A1C1E" w:rsidRDefault="00F51EE5" w:rsidP="000B742E">
      <w:pPr>
        <w:pStyle w:val="ListParagraph"/>
        <w:numPr>
          <w:ilvl w:val="0"/>
          <w:numId w:val="6"/>
        </w:numPr>
        <w:ind w:left="426" w:hanging="426"/>
        <w:jc w:val="both"/>
        <w:rPr>
          <w:rFonts w:ascii="Avenir Next" w:hAnsi="Avenir Next" w:cs="Arial"/>
          <w:sz w:val="22"/>
          <w:szCs w:val="22"/>
          <w:highlight w:val="yellow"/>
          <w:lang w:val="en-GB"/>
        </w:rPr>
      </w:pPr>
      <w:r w:rsidRPr="003A1C1E">
        <w:rPr>
          <w:rFonts w:ascii="Avenir Next" w:hAnsi="Avenir Next" w:cs="Arial"/>
          <w:sz w:val="22"/>
          <w:szCs w:val="22"/>
          <w:highlight w:val="yellow"/>
          <w:lang w:val="en-GB"/>
        </w:rPr>
        <w:t>Options (</w:t>
      </w:r>
      <w:proofErr w:type="spellStart"/>
      <w:r w:rsidRPr="003A1C1E">
        <w:rPr>
          <w:rFonts w:ascii="Avenir Next" w:hAnsi="Avenir Next" w:cs="Arial"/>
          <w:sz w:val="22"/>
          <w:szCs w:val="22"/>
          <w:highlight w:val="yellow"/>
          <w:lang w:val="en-GB"/>
        </w:rPr>
        <w:t>i</w:t>
      </w:r>
      <w:proofErr w:type="spellEnd"/>
      <w:r w:rsidRPr="003A1C1E">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0B742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0B742E">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0B742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0B742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0B742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0B742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0B742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0B742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4111F8" w:rsidRDefault="0097337E" w:rsidP="000B742E">
      <w:pPr>
        <w:pStyle w:val="ListParagraph"/>
        <w:numPr>
          <w:ilvl w:val="0"/>
          <w:numId w:val="7"/>
        </w:numPr>
        <w:ind w:left="426" w:hanging="426"/>
        <w:jc w:val="both"/>
        <w:rPr>
          <w:rFonts w:ascii="Avenir Next" w:hAnsi="Avenir Next" w:cs="Arial"/>
          <w:sz w:val="22"/>
          <w:szCs w:val="22"/>
          <w:highlight w:val="yellow"/>
          <w:lang w:val="en-GB"/>
        </w:rPr>
      </w:pPr>
      <w:r w:rsidRPr="004111F8">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0B742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0B742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0B742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0B742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0B742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0B742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691479" w:rsidRDefault="009A58D1" w:rsidP="000B742E">
      <w:pPr>
        <w:pStyle w:val="ListParagraph"/>
        <w:numPr>
          <w:ilvl w:val="0"/>
          <w:numId w:val="8"/>
        </w:numPr>
        <w:ind w:left="426" w:hanging="426"/>
        <w:jc w:val="both"/>
        <w:rPr>
          <w:rFonts w:ascii="Avenir Next" w:hAnsi="Avenir Next" w:cs="Arial"/>
          <w:sz w:val="22"/>
          <w:szCs w:val="22"/>
          <w:highlight w:val="yellow"/>
          <w:lang w:val="en-GB"/>
        </w:rPr>
      </w:pPr>
      <w:r w:rsidRPr="00691479">
        <w:rPr>
          <w:rFonts w:ascii="Avenir Next" w:hAnsi="Avenir Next" w:cs="Arial"/>
          <w:sz w:val="22"/>
          <w:szCs w:val="22"/>
          <w:highlight w:val="yellow"/>
          <w:lang w:val="en-GB"/>
        </w:rPr>
        <w:t>Options (iii), (</w:t>
      </w:r>
      <w:proofErr w:type="spellStart"/>
      <w:r w:rsidRPr="00691479">
        <w:rPr>
          <w:rFonts w:ascii="Avenir Next" w:hAnsi="Avenir Next" w:cs="Arial"/>
          <w:sz w:val="22"/>
          <w:szCs w:val="22"/>
          <w:highlight w:val="yellow"/>
          <w:lang w:val="en-GB"/>
        </w:rPr>
        <w:t>i</w:t>
      </w:r>
      <w:proofErr w:type="spellEnd"/>
      <w:r w:rsidRPr="00691479">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0B742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0B742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0B742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0B742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F1374D" w:rsidRDefault="00C4510C" w:rsidP="000B742E">
      <w:pPr>
        <w:pStyle w:val="ListParagraph"/>
        <w:numPr>
          <w:ilvl w:val="0"/>
          <w:numId w:val="9"/>
        </w:numPr>
        <w:ind w:left="426" w:hanging="426"/>
        <w:jc w:val="both"/>
        <w:rPr>
          <w:rFonts w:ascii="Avenir Next" w:hAnsi="Avenir Next" w:cs="Arial"/>
          <w:sz w:val="22"/>
          <w:szCs w:val="22"/>
          <w:highlight w:val="yellow"/>
          <w:lang w:val="en-GB"/>
        </w:rPr>
      </w:pPr>
      <w:r w:rsidRPr="00F1374D">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40E84906" w:rsidR="00CB56CE" w:rsidRPr="00B77352" w:rsidRDefault="001742BE"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is </w:t>
      </w:r>
      <w:r w:rsidR="00D15C86">
        <w:rPr>
          <w:rFonts w:ascii="Avenir Next" w:hAnsi="Avenir Next" w:cs="Arial"/>
          <w:color w:val="808080" w:themeColor="background1" w:themeShade="80"/>
          <w:sz w:val="22"/>
          <w:szCs w:val="22"/>
          <w:lang w:val="en-GB"/>
        </w:rPr>
        <w:t>a regulation,</w:t>
      </w:r>
      <w:r w:rsidR="00757D28">
        <w:rPr>
          <w:rFonts w:ascii="Avenir Next" w:hAnsi="Avenir Next" w:cs="Arial"/>
          <w:color w:val="808080" w:themeColor="background1" w:themeShade="80"/>
          <w:sz w:val="22"/>
          <w:szCs w:val="22"/>
          <w:lang w:val="en-GB"/>
        </w:rPr>
        <w:t xml:space="preserve"> which is directly applicable to</w:t>
      </w:r>
      <w:r w:rsidR="00D53D32">
        <w:rPr>
          <w:rFonts w:ascii="Avenir Next" w:hAnsi="Avenir Next" w:cs="Arial"/>
          <w:color w:val="808080" w:themeColor="background1" w:themeShade="80"/>
          <w:sz w:val="22"/>
          <w:szCs w:val="22"/>
          <w:lang w:val="en-GB"/>
        </w:rPr>
        <w:t xml:space="preserve"> EU member states, meaning that the member states apply the EIR as it appears directly to their dome</w:t>
      </w:r>
      <w:r w:rsidR="00D15C86">
        <w:rPr>
          <w:rFonts w:ascii="Avenir Next" w:hAnsi="Avenir Next" w:cs="Arial"/>
          <w:color w:val="808080" w:themeColor="background1" w:themeShade="80"/>
          <w:sz w:val="22"/>
          <w:szCs w:val="22"/>
          <w:lang w:val="en-GB"/>
        </w:rPr>
        <w:t>stic laws. The ML</w:t>
      </w:r>
      <w:r w:rsidR="00FB00FE">
        <w:rPr>
          <w:rFonts w:ascii="Avenir Next" w:hAnsi="Avenir Next" w:cs="Arial"/>
          <w:color w:val="808080" w:themeColor="background1" w:themeShade="80"/>
          <w:sz w:val="22"/>
          <w:szCs w:val="22"/>
          <w:lang w:val="en-GB"/>
        </w:rPr>
        <w:t xml:space="preserve">CBI is a recommendation of ‘soft law’ </w:t>
      </w:r>
      <w:r w:rsidR="0091342F">
        <w:rPr>
          <w:rFonts w:ascii="Avenir Next" w:hAnsi="Avenir Next" w:cs="Arial"/>
          <w:color w:val="808080" w:themeColor="background1" w:themeShade="80"/>
          <w:sz w:val="22"/>
          <w:szCs w:val="22"/>
          <w:lang w:val="en-GB"/>
        </w:rPr>
        <w:t xml:space="preserve">which states can choose to adopt in its </w:t>
      </w:r>
      <w:r w:rsidR="00FF4353">
        <w:rPr>
          <w:rFonts w:ascii="Avenir Next" w:hAnsi="Avenir Next" w:cs="Arial"/>
          <w:color w:val="808080" w:themeColor="background1" w:themeShade="80"/>
          <w:sz w:val="22"/>
          <w:szCs w:val="22"/>
          <w:lang w:val="en-GB"/>
        </w:rPr>
        <w:t>entirety</w:t>
      </w:r>
      <w:r w:rsidR="0091342F">
        <w:rPr>
          <w:rFonts w:ascii="Avenir Next" w:hAnsi="Avenir Next" w:cs="Arial"/>
          <w:color w:val="808080" w:themeColor="background1" w:themeShade="80"/>
          <w:sz w:val="22"/>
          <w:szCs w:val="22"/>
          <w:lang w:val="en-GB"/>
        </w:rPr>
        <w:t xml:space="preserve"> or</w:t>
      </w:r>
      <w:r w:rsidR="00FF4353">
        <w:rPr>
          <w:rFonts w:ascii="Avenir Next" w:hAnsi="Avenir Next" w:cs="Arial"/>
          <w:color w:val="808080" w:themeColor="background1" w:themeShade="80"/>
          <w:sz w:val="22"/>
          <w:szCs w:val="22"/>
          <w:lang w:val="en-GB"/>
        </w:rPr>
        <w:t xml:space="preserve"> modify it accor</w:t>
      </w:r>
      <w:r w:rsidR="00615238">
        <w:rPr>
          <w:rFonts w:ascii="Avenir Next" w:hAnsi="Avenir Next" w:cs="Arial"/>
          <w:color w:val="808080" w:themeColor="background1" w:themeShade="80"/>
          <w:sz w:val="22"/>
          <w:szCs w:val="22"/>
          <w:lang w:val="en-GB"/>
        </w:rPr>
        <w:t>dingly.</w:t>
      </w:r>
      <w:r w:rsidR="004E31E8">
        <w:rPr>
          <w:rFonts w:ascii="Avenir Next" w:hAnsi="Avenir Next" w:cs="Arial"/>
          <w:color w:val="808080" w:themeColor="background1" w:themeShade="80"/>
          <w:sz w:val="22"/>
          <w:szCs w:val="22"/>
          <w:lang w:val="en-GB"/>
        </w:rPr>
        <w:t xml:space="preserve"> </w:t>
      </w:r>
      <w:r w:rsidR="00871B54">
        <w:rPr>
          <w:rFonts w:ascii="Avenir Next" w:hAnsi="Avenir Next" w:cs="Arial"/>
          <w:color w:val="808080" w:themeColor="background1" w:themeShade="80"/>
          <w:sz w:val="22"/>
          <w:szCs w:val="22"/>
          <w:lang w:val="en-GB"/>
        </w:rPr>
        <w:t xml:space="preserve">An advantage of the EIR is </w:t>
      </w:r>
      <w:r w:rsidR="00155B01">
        <w:rPr>
          <w:rFonts w:ascii="Avenir Next" w:hAnsi="Avenir Next" w:cs="Arial"/>
          <w:color w:val="808080" w:themeColor="background1" w:themeShade="80"/>
          <w:sz w:val="22"/>
          <w:szCs w:val="22"/>
          <w:lang w:val="en-GB"/>
        </w:rPr>
        <w:t>the uniform application of the rules of deciding the appropriate juris</w:t>
      </w:r>
      <w:r w:rsidR="00D56FF7">
        <w:rPr>
          <w:rFonts w:ascii="Avenir Next" w:hAnsi="Avenir Next" w:cs="Arial"/>
          <w:color w:val="808080" w:themeColor="background1" w:themeShade="80"/>
          <w:sz w:val="22"/>
          <w:szCs w:val="22"/>
          <w:lang w:val="en-GB"/>
        </w:rPr>
        <w:t>diction to commence insolvency</w:t>
      </w:r>
      <w:r w:rsidR="00630068">
        <w:rPr>
          <w:rFonts w:ascii="Avenir Next" w:hAnsi="Avenir Next" w:cs="Arial"/>
          <w:color w:val="808080" w:themeColor="background1" w:themeShade="80"/>
          <w:sz w:val="22"/>
          <w:szCs w:val="22"/>
          <w:lang w:val="en-GB"/>
        </w:rPr>
        <w:t xml:space="preserve"> within the EU</w:t>
      </w:r>
      <w:r w:rsidR="003752ED">
        <w:rPr>
          <w:rFonts w:ascii="Avenir Next" w:hAnsi="Avenir Next" w:cs="Arial"/>
          <w:color w:val="808080" w:themeColor="background1" w:themeShade="80"/>
          <w:sz w:val="22"/>
          <w:szCs w:val="22"/>
          <w:lang w:val="en-GB"/>
        </w:rPr>
        <w:t xml:space="preserve">, however the member states do not have an option to adopt those rules to suit their domestic </w:t>
      </w:r>
      <w:r w:rsidR="00C24879">
        <w:rPr>
          <w:rFonts w:ascii="Avenir Next" w:hAnsi="Avenir Next" w:cs="Arial"/>
          <w:color w:val="808080" w:themeColor="background1" w:themeShade="80"/>
          <w:sz w:val="22"/>
          <w:szCs w:val="22"/>
          <w:lang w:val="en-GB"/>
        </w:rPr>
        <w:t xml:space="preserve">laws. The MLCBI gives the adopting countries the choice </w:t>
      </w:r>
      <w:r w:rsidR="00A26C27">
        <w:rPr>
          <w:rFonts w:ascii="Avenir Next" w:hAnsi="Avenir Next" w:cs="Arial"/>
          <w:color w:val="808080" w:themeColor="background1" w:themeShade="80"/>
          <w:sz w:val="22"/>
          <w:szCs w:val="22"/>
          <w:lang w:val="en-GB"/>
        </w:rPr>
        <w:t>to the countries on how to adopt it and what provisions within it to adopt.</w:t>
      </w:r>
      <w:r w:rsidR="00FF36A4">
        <w:rPr>
          <w:rFonts w:ascii="Avenir Next" w:hAnsi="Avenir Next" w:cs="Arial"/>
          <w:color w:val="808080" w:themeColor="background1" w:themeShade="80"/>
          <w:sz w:val="22"/>
          <w:szCs w:val="22"/>
          <w:lang w:val="en-GB"/>
        </w:rPr>
        <w:t xml:space="preserve"> This can lead to </w:t>
      </w:r>
      <w:r w:rsidR="0013485B">
        <w:rPr>
          <w:rFonts w:ascii="Avenir Next" w:hAnsi="Avenir Next" w:cs="Arial"/>
          <w:color w:val="808080" w:themeColor="background1" w:themeShade="80"/>
          <w:sz w:val="22"/>
          <w:szCs w:val="22"/>
          <w:lang w:val="en-GB"/>
        </w:rPr>
        <w:t xml:space="preserve">different countries not having consistency in the manner of adoption of the </w:t>
      </w:r>
      <w:r w:rsidR="00231F5D">
        <w:rPr>
          <w:rFonts w:ascii="Avenir Next" w:hAnsi="Avenir Next" w:cs="Arial"/>
          <w:color w:val="808080" w:themeColor="background1" w:themeShade="80"/>
          <w:sz w:val="22"/>
          <w:szCs w:val="22"/>
          <w:lang w:val="en-GB"/>
        </w:rPr>
        <w:t>MLCBI.</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940391">
        <w:rPr>
          <w:rFonts w:ascii="Avenir Next Demi Bold" w:hAnsi="Avenir Next Demi Bold" w:cs="Arial"/>
          <w:b/>
          <w:bCs/>
          <w:sz w:val="22"/>
          <w:szCs w:val="22"/>
          <w:lang w:val="en-GB"/>
        </w:rPr>
        <w:t xml:space="preserve">Question </w:t>
      </w:r>
      <w:r w:rsidR="00DE03AF" w:rsidRPr="00940391">
        <w:rPr>
          <w:rFonts w:ascii="Avenir Next Demi Bold" w:hAnsi="Avenir Next Demi Bold" w:cs="Arial"/>
          <w:b/>
          <w:bCs/>
          <w:sz w:val="22"/>
          <w:szCs w:val="22"/>
          <w:lang w:val="en-GB"/>
        </w:rPr>
        <w:t>2.2</w:t>
      </w:r>
      <w:r w:rsidR="00DE03AF" w:rsidRPr="00940391">
        <w:rPr>
          <w:rFonts w:ascii="Avenir Next Demi Bold" w:hAnsi="Avenir Next Demi Bold" w:cs="Arial"/>
          <w:b/>
          <w:bCs/>
          <w:sz w:val="22"/>
          <w:szCs w:val="22"/>
          <w:lang w:val="en-GB"/>
        </w:rPr>
        <w:tab/>
        <w:t>[</w:t>
      </w:r>
      <w:r w:rsidR="00D17FDC" w:rsidRPr="00940391">
        <w:rPr>
          <w:rFonts w:ascii="Avenir Next Demi Bold" w:hAnsi="Avenir Next Demi Bold" w:cs="Arial"/>
          <w:b/>
          <w:bCs/>
          <w:sz w:val="22"/>
          <w:szCs w:val="22"/>
          <w:lang w:val="en-GB"/>
        </w:rPr>
        <w:t>m</w:t>
      </w:r>
      <w:r w:rsidR="00DE03AF" w:rsidRPr="00940391">
        <w:rPr>
          <w:rFonts w:ascii="Avenir Next Demi Bold" w:hAnsi="Avenir Next Demi Bold" w:cs="Arial"/>
          <w:b/>
          <w:bCs/>
          <w:sz w:val="22"/>
          <w:szCs w:val="22"/>
          <w:lang w:val="en-GB"/>
        </w:rPr>
        <w:t xml:space="preserve">aximum </w:t>
      </w:r>
      <w:r w:rsidR="00E61C42" w:rsidRPr="00940391">
        <w:rPr>
          <w:rFonts w:ascii="Avenir Next Demi Bold" w:hAnsi="Avenir Next Demi Bold" w:cs="Arial"/>
          <w:b/>
          <w:bCs/>
          <w:sz w:val="22"/>
          <w:szCs w:val="22"/>
          <w:lang w:val="en-GB"/>
        </w:rPr>
        <w:t>2</w:t>
      </w:r>
      <w:r w:rsidR="00DE03AF" w:rsidRPr="00940391">
        <w:rPr>
          <w:rFonts w:ascii="Avenir Next Demi Bold" w:hAnsi="Avenir Next Demi Bold" w:cs="Arial"/>
          <w:b/>
          <w:bCs/>
          <w:sz w:val="22"/>
          <w:szCs w:val="22"/>
          <w:lang w:val="en-GB"/>
        </w:rPr>
        <w:t xml:space="preserve"> marks]</w:t>
      </w:r>
      <w:r w:rsidR="00DE03AF" w:rsidRPr="007B497A">
        <w:rPr>
          <w:rFonts w:ascii="Avenir Next Demi Bold" w:hAnsi="Avenir Next Demi Bold" w:cs="Arial"/>
          <w:b/>
          <w:bCs/>
          <w:sz w:val="22"/>
          <w:szCs w:val="22"/>
          <w:lang w:val="en-GB"/>
        </w:rPr>
        <w:t xml:space="preserve">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1701DD3" w14:textId="55E87EFB" w:rsidR="00867A8F" w:rsidRPr="00E2622D" w:rsidRDefault="00DA3C99" w:rsidP="00707FC8">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interest of local creditors m</w:t>
      </w:r>
      <w:r w:rsidR="00225613">
        <w:rPr>
          <w:rFonts w:ascii="Avenir Next" w:hAnsi="Avenir Next" w:cs="Arial"/>
          <w:color w:val="808080" w:themeColor="background1" w:themeShade="80"/>
          <w:sz w:val="22"/>
          <w:szCs w:val="22"/>
          <w:lang w:val="en-GB"/>
        </w:rPr>
        <w:t xml:space="preserve">ust be considered </w:t>
      </w:r>
      <w:r w:rsidR="009604E9">
        <w:rPr>
          <w:rFonts w:ascii="Avenir Next" w:hAnsi="Avenir Next" w:cs="Arial"/>
          <w:color w:val="808080" w:themeColor="background1" w:themeShade="80"/>
          <w:sz w:val="22"/>
          <w:szCs w:val="22"/>
          <w:lang w:val="en-GB"/>
        </w:rPr>
        <w:t xml:space="preserve">and protected </w:t>
      </w:r>
      <w:r w:rsidR="00225613">
        <w:rPr>
          <w:rFonts w:ascii="Avenir Next" w:hAnsi="Avenir Next" w:cs="Arial"/>
          <w:color w:val="808080" w:themeColor="background1" w:themeShade="80"/>
          <w:sz w:val="22"/>
          <w:szCs w:val="22"/>
          <w:lang w:val="en-GB"/>
        </w:rPr>
        <w:t xml:space="preserve">when the courts are deciding </w:t>
      </w:r>
      <w:r w:rsidR="00FE52C8">
        <w:rPr>
          <w:rFonts w:ascii="Avenir Next" w:hAnsi="Avenir Next" w:cs="Arial"/>
          <w:color w:val="808080" w:themeColor="background1" w:themeShade="80"/>
          <w:sz w:val="22"/>
          <w:szCs w:val="22"/>
          <w:lang w:val="en-GB"/>
        </w:rPr>
        <w:t xml:space="preserve">to grant </w:t>
      </w:r>
      <w:r w:rsidR="00005071">
        <w:rPr>
          <w:rFonts w:ascii="Avenir Next" w:hAnsi="Avenir Next" w:cs="Arial"/>
          <w:color w:val="808080" w:themeColor="background1" w:themeShade="80"/>
          <w:sz w:val="22"/>
          <w:szCs w:val="22"/>
          <w:lang w:val="en-GB"/>
        </w:rPr>
        <w:t>post-recognition relief.</w:t>
      </w:r>
      <w:r w:rsidR="00005071">
        <w:rPr>
          <w:rStyle w:val="FootnoteReference"/>
          <w:rFonts w:ascii="Avenir Next" w:hAnsi="Avenir Next" w:cs="Arial"/>
          <w:color w:val="808080" w:themeColor="background1" w:themeShade="80"/>
          <w:sz w:val="22"/>
          <w:szCs w:val="22"/>
          <w:lang w:val="en-GB"/>
        </w:rPr>
        <w:footnoteReference w:id="2"/>
      </w:r>
      <w:r w:rsidR="00940391">
        <w:rPr>
          <w:rFonts w:ascii="Avenir Next" w:hAnsi="Avenir Next" w:cs="Arial"/>
          <w:color w:val="808080" w:themeColor="background1" w:themeShade="80"/>
          <w:sz w:val="22"/>
          <w:szCs w:val="22"/>
          <w:lang w:val="en-GB"/>
        </w:rPr>
        <w:t xml:space="preserve"> Additionally, the relief must relate to assets in </w:t>
      </w:r>
      <w:r w:rsidR="00010D73">
        <w:rPr>
          <w:rFonts w:ascii="Avenir Next" w:hAnsi="Avenir Next" w:cs="Arial"/>
          <w:color w:val="808080" w:themeColor="background1" w:themeShade="80"/>
          <w:sz w:val="22"/>
          <w:szCs w:val="22"/>
          <w:lang w:val="en-GB"/>
        </w:rPr>
        <w:t>the enacting state not anything outside the jurisdiction.</w:t>
      </w:r>
      <w:r w:rsidR="00CD40F6">
        <w:rPr>
          <w:rStyle w:val="FootnoteReference"/>
          <w:rFonts w:ascii="Avenir Next" w:hAnsi="Avenir Next" w:cs="Arial"/>
          <w:color w:val="808080" w:themeColor="background1" w:themeShade="80"/>
          <w:sz w:val="22"/>
          <w:szCs w:val="22"/>
          <w:lang w:val="en-GB"/>
        </w:rPr>
        <w:footnoteReference w:id="3"/>
      </w:r>
    </w:p>
    <w:p w14:paraId="34516371" w14:textId="31CAD3C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AA2196">
        <w:rPr>
          <w:rFonts w:ascii="Avenir Next Demi Bold" w:hAnsi="Avenir Next Demi Bold" w:cs="Arial"/>
          <w:b/>
          <w:bCs/>
          <w:sz w:val="22"/>
          <w:szCs w:val="22"/>
          <w:lang w:val="en-GB"/>
        </w:rPr>
        <w:t xml:space="preserve">maximum </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60E9CAD3" w:rsidR="00867A8F" w:rsidRPr="00B77352" w:rsidRDefault="00B83F7C"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creditors</w:t>
      </w:r>
      <w:r w:rsidR="00C50547">
        <w:rPr>
          <w:rFonts w:ascii="Avenir Next" w:hAnsi="Avenir Next" w:cs="Arial"/>
          <w:color w:val="808080" w:themeColor="background1" w:themeShade="80"/>
          <w:sz w:val="22"/>
          <w:szCs w:val="22"/>
          <w:lang w:val="en-GB"/>
        </w:rPr>
        <w:t xml:space="preserve"> are protected against discrimination if </w:t>
      </w:r>
      <w:r w:rsidR="00896A75">
        <w:rPr>
          <w:rFonts w:ascii="Avenir Next" w:hAnsi="Avenir Next" w:cs="Arial"/>
          <w:color w:val="808080" w:themeColor="background1" w:themeShade="80"/>
          <w:sz w:val="22"/>
          <w:szCs w:val="22"/>
          <w:lang w:val="en-GB"/>
        </w:rPr>
        <w:t xml:space="preserve">insolvency proceedings are opened </w:t>
      </w:r>
      <w:r w:rsidR="005755F8">
        <w:rPr>
          <w:rFonts w:ascii="Avenir Next" w:hAnsi="Avenir Next" w:cs="Arial"/>
          <w:color w:val="808080" w:themeColor="background1" w:themeShade="80"/>
          <w:sz w:val="22"/>
          <w:szCs w:val="22"/>
          <w:lang w:val="en-GB"/>
        </w:rPr>
        <w:t>in an enacting state</w:t>
      </w:r>
      <w:r w:rsidR="00A70762">
        <w:rPr>
          <w:rFonts w:ascii="Avenir Next" w:hAnsi="Avenir Next" w:cs="Arial"/>
          <w:color w:val="808080" w:themeColor="background1" w:themeShade="80"/>
          <w:sz w:val="22"/>
          <w:szCs w:val="22"/>
          <w:lang w:val="en-GB"/>
        </w:rPr>
        <w:t xml:space="preserve"> per Article </w:t>
      </w:r>
      <w:r w:rsidR="0012696F">
        <w:rPr>
          <w:rFonts w:ascii="Avenir Next" w:hAnsi="Avenir Next" w:cs="Arial"/>
          <w:color w:val="808080" w:themeColor="background1" w:themeShade="80"/>
          <w:sz w:val="22"/>
          <w:szCs w:val="22"/>
          <w:lang w:val="en-GB"/>
        </w:rPr>
        <w:t>2 para 1</w:t>
      </w:r>
      <w:r w:rsidR="005755F8">
        <w:rPr>
          <w:rFonts w:ascii="Avenir Next" w:hAnsi="Avenir Next" w:cs="Arial"/>
          <w:color w:val="808080" w:themeColor="background1" w:themeShade="80"/>
          <w:sz w:val="22"/>
          <w:szCs w:val="22"/>
          <w:lang w:val="en-GB"/>
        </w:rPr>
        <w:t xml:space="preserve">. </w:t>
      </w:r>
      <w:r w:rsidR="00227DA5">
        <w:rPr>
          <w:rFonts w:ascii="Avenir Next" w:hAnsi="Avenir Next" w:cs="Arial"/>
          <w:color w:val="808080" w:themeColor="background1" w:themeShade="80"/>
          <w:sz w:val="22"/>
          <w:szCs w:val="22"/>
          <w:lang w:val="en-GB"/>
        </w:rPr>
        <w:t xml:space="preserve">This means that they should </w:t>
      </w:r>
      <w:r w:rsidR="00D42CBC">
        <w:rPr>
          <w:rFonts w:ascii="Avenir Next" w:hAnsi="Avenir Next" w:cs="Arial"/>
          <w:color w:val="808080" w:themeColor="background1" w:themeShade="80"/>
          <w:sz w:val="22"/>
          <w:szCs w:val="22"/>
          <w:lang w:val="en-GB"/>
        </w:rPr>
        <w:t xml:space="preserve">not be treated </w:t>
      </w:r>
      <w:r w:rsidR="00A971BD">
        <w:rPr>
          <w:rFonts w:ascii="Avenir Next" w:hAnsi="Avenir Next" w:cs="Arial"/>
          <w:color w:val="808080" w:themeColor="background1" w:themeShade="80"/>
          <w:sz w:val="22"/>
          <w:szCs w:val="22"/>
          <w:lang w:val="en-GB"/>
        </w:rPr>
        <w:t xml:space="preserve">worse than the </w:t>
      </w:r>
      <w:r w:rsidR="00BC459C">
        <w:rPr>
          <w:rFonts w:ascii="Avenir Next" w:hAnsi="Avenir Next" w:cs="Arial"/>
          <w:color w:val="808080" w:themeColor="background1" w:themeShade="80"/>
          <w:sz w:val="22"/>
          <w:szCs w:val="22"/>
          <w:lang w:val="en-GB"/>
        </w:rPr>
        <w:t xml:space="preserve">domestic creditors. </w:t>
      </w:r>
      <w:r w:rsidR="00435A9E">
        <w:rPr>
          <w:rFonts w:ascii="Avenir Next" w:hAnsi="Avenir Next" w:cs="Arial"/>
          <w:color w:val="808080" w:themeColor="background1" w:themeShade="80"/>
          <w:sz w:val="22"/>
          <w:szCs w:val="22"/>
          <w:lang w:val="en-GB"/>
        </w:rPr>
        <w:t xml:space="preserve">The ranking of the foreign creditors </w:t>
      </w:r>
      <w:r w:rsidR="00D533E9">
        <w:rPr>
          <w:rFonts w:ascii="Avenir Next" w:hAnsi="Avenir Next" w:cs="Arial"/>
          <w:color w:val="808080" w:themeColor="background1" w:themeShade="80"/>
          <w:sz w:val="22"/>
          <w:szCs w:val="22"/>
          <w:lang w:val="en-GB"/>
        </w:rPr>
        <w:t>will be dic</w:t>
      </w:r>
      <w:r w:rsidR="00AC1D0D">
        <w:rPr>
          <w:rFonts w:ascii="Avenir Next" w:hAnsi="Avenir Next" w:cs="Arial"/>
          <w:color w:val="808080" w:themeColor="background1" w:themeShade="80"/>
          <w:sz w:val="22"/>
          <w:szCs w:val="22"/>
          <w:lang w:val="en-GB"/>
        </w:rPr>
        <w:t xml:space="preserve">tated by enacting </w:t>
      </w:r>
      <w:r w:rsidR="007A651D">
        <w:rPr>
          <w:rFonts w:ascii="Avenir Next" w:hAnsi="Avenir Next" w:cs="Arial"/>
          <w:color w:val="808080" w:themeColor="background1" w:themeShade="80"/>
          <w:sz w:val="22"/>
          <w:szCs w:val="22"/>
          <w:lang w:val="en-GB"/>
        </w:rPr>
        <w:t xml:space="preserve">state’s ranking of creditors in a similar </w:t>
      </w:r>
      <w:r w:rsidR="00C6790E">
        <w:rPr>
          <w:rFonts w:ascii="Avenir Next" w:hAnsi="Avenir Next" w:cs="Arial"/>
          <w:color w:val="808080" w:themeColor="background1" w:themeShade="80"/>
          <w:sz w:val="22"/>
          <w:szCs w:val="22"/>
          <w:lang w:val="en-GB"/>
        </w:rPr>
        <w:t xml:space="preserve">position as those of the </w:t>
      </w:r>
      <w:r w:rsidR="00D02271">
        <w:rPr>
          <w:rFonts w:ascii="Avenir Next" w:hAnsi="Avenir Next" w:cs="Arial"/>
          <w:color w:val="808080" w:themeColor="background1" w:themeShade="80"/>
          <w:sz w:val="22"/>
          <w:szCs w:val="22"/>
          <w:lang w:val="en-GB"/>
        </w:rPr>
        <w:t>foreign creditor.</w:t>
      </w:r>
      <w:r w:rsidR="00B75F23">
        <w:rPr>
          <w:rFonts w:ascii="Avenir Next" w:hAnsi="Avenir Next" w:cs="Arial"/>
          <w:color w:val="808080" w:themeColor="background1" w:themeShade="80"/>
          <w:sz w:val="22"/>
          <w:szCs w:val="22"/>
          <w:lang w:val="en-GB"/>
        </w:rPr>
        <w:t xml:space="preserve"> The minimum position of foreign creditors is unsecured </w:t>
      </w:r>
      <w:r w:rsidR="00F0193F">
        <w:rPr>
          <w:rFonts w:ascii="Avenir Next" w:hAnsi="Avenir Next" w:cs="Arial"/>
          <w:color w:val="808080" w:themeColor="background1" w:themeShade="80"/>
          <w:sz w:val="22"/>
          <w:szCs w:val="22"/>
          <w:lang w:val="en-GB"/>
        </w:rPr>
        <w:t xml:space="preserve">creditors in the enacting </w:t>
      </w:r>
      <w:r w:rsidR="001E6B28">
        <w:rPr>
          <w:rFonts w:ascii="Avenir Next" w:hAnsi="Avenir Next" w:cs="Arial"/>
          <w:color w:val="808080" w:themeColor="background1" w:themeShade="80"/>
          <w:sz w:val="22"/>
          <w:szCs w:val="22"/>
          <w:lang w:val="en-GB"/>
        </w:rPr>
        <w:t>state</w:t>
      </w:r>
      <w:r w:rsidR="002C4919">
        <w:rPr>
          <w:rFonts w:ascii="Avenir Next" w:hAnsi="Avenir Next" w:cs="Arial"/>
          <w:color w:val="808080" w:themeColor="background1" w:themeShade="80"/>
          <w:sz w:val="22"/>
          <w:szCs w:val="22"/>
          <w:lang w:val="en-GB"/>
        </w:rPr>
        <w:t xml:space="preserve"> per </w:t>
      </w:r>
      <w:r w:rsidR="00A70762">
        <w:rPr>
          <w:rFonts w:ascii="Avenir Next" w:hAnsi="Avenir Next" w:cs="Arial"/>
          <w:color w:val="808080" w:themeColor="background1" w:themeShade="80"/>
          <w:sz w:val="22"/>
          <w:szCs w:val="22"/>
          <w:lang w:val="en-GB"/>
        </w:rPr>
        <w:t>Article 2 para 2</w:t>
      </w:r>
      <w:r w:rsidR="001E6B28">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B661E2">
        <w:rPr>
          <w:rFonts w:ascii="Avenir Next Demi Bold" w:hAnsi="Avenir Next Demi Bold" w:cs="Arial"/>
          <w:b/>
          <w:bCs/>
          <w:sz w:val="22"/>
          <w:szCs w:val="22"/>
          <w:lang w:val="en-GB"/>
        </w:rPr>
        <w:t>Question 2.4</w:t>
      </w:r>
      <w:r w:rsidRPr="00B661E2">
        <w:rPr>
          <w:rFonts w:ascii="Avenir Next Demi Bold" w:hAnsi="Avenir Next Demi Bold" w:cs="Arial"/>
          <w:b/>
          <w:bCs/>
          <w:sz w:val="22"/>
          <w:szCs w:val="22"/>
          <w:lang w:val="en-GB"/>
        </w:rPr>
        <w:tab/>
        <w:t>[</w:t>
      </w:r>
      <w:r w:rsidR="002A29FB" w:rsidRPr="00B661E2">
        <w:rPr>
          <w:rFonts w:ascii="Avenir Next Demi Bold" w:hAnsi="Avenir Next Demi Bold" w:cs="Arial"/>
          <w:b/>
          <w:bCs/>
          <w:sz w:val="22"/>
          <w:szCs w:val="22"/>
          <w:lang w:val="en-GB"/>
        </w:rPr>
        <w:t xml:space="preserve">maximum </w:t>
      </w:r>
      <w:r w:rsidR="00101A9E" w:rsidRPr="00B661E2">
        <w:rPr>
          <w:rFonts w:ascii="Avenir Next Demi Bold" w:hAnsi="Avenir Next Demi Bold" w:cs="Arial"/>
          <w:b/>
          <w:bCs/>
          <w:sz w:val="22"/>
          <w:szCs w:val="22"/>
          <w:lang w:val="en-GB"/>
        </w:rPr>
        <w:t>3</w:t>
      </w:r>
      <w:r w:rsidRPr="00B661E2">
        <w:rPr>
          <w:rFonts w:ascii="Avenir Next Demi Bold" w:hAnsi="Avenir Next Demi Bold" w:cs="Arial"/>
          <w:b/>
          <w:bCs/>
          <w:sz w:val="22"/>
          <w:szCs w:val="22"/>
          <w:lang w:val="en-GB"/>
        </w:rPr>
        <w:t xml:space="preserve"> marks]</w:t>
      </w:r>
      <w:r w:rsidRPr="00C7161B">
        <w:rPr>
          <w:rFonts w:ascii="Avenir Next Demi Bold" w:hAnsi="Avenir Next Demi Bold" w:cs="Arial"/>
          <w:b/>
          <w:bCs/>
          <w:sz w:val="22"/>
          <w:szCs w:val="22"/>
          <w:lang w:val="en-GB"/>
        </w:rPr>
        <w:t xml:space="preserve">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8DA4852" w:rsidR="00867A8F" w:rsidRPr="00A26194" w:rsidRDefault="009B44F5" w:rsidP="00100E8F">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Automatic mandatory relief is avail</w:t>
      </w:r>
      <w:r w:rsidR="007A1A03">
        <w:rPr>
          <w:rFonts w:ascii="Avenir Next" w:hAnsi="Avenir Next" w:cs="Arial"/>
          <w:color w:val="808080" w:themeColor="background1" w:themeShade="80"/>
          <w:sz w:val="22"/>
          <w:szCs w:val="22"/>
        </w:rPr>
        <w:t xml:space="preserve">able for foreign main proceedings </w:t>
      </w:r>
      <w:r w:rsidR="002536CC">
        <w:rPr>
          <w:rFonts w:ascii="Avenir Next" w:hAnsi="Avenir Next" w:cs="Arial"/>
          <w:color w:val="808080" w:themeColor="background1" w:themeShade="80"/>
          <w:sz w:val="22"/>
          <w:szCs w:val="22"/>
        </w:rPr>
        <w:t xml:space="preserve">under art </w:t>
      </w:r>
      <w:r w:rsidR="004A13F4">
        <w:rPr>
          <w:rFonts w:ascii="Avenir Next" w:hAnsi="Avenir Next" w:cs="Arial"/>
          <w:color w:val="808080" w:themeColor="background1" w:themeShade="80"/>
          <w:sz w:val="22"/>
          <w:szCs w:val="22"/>
        </w:rPr>
        <w:t>20</w:t>
      </w:r>
      <w:r w:rsidR="004A13F4">
        <w:rPr>
          <w:rStyle w:val="FootnoteReference"/>
          <w:rFonts w:ascii="Avenir Next" w:hAnsi="Avenir Next" w:cs="Arial"/>
          <w:color w:val="808080" w:themeColor="background1" w:themeShade="80"/>
          <w:sz w:val="22"/>
          <w:szCs w:val="22"/>
        </w:rPr>
        <w:footnoteReference w:id="4"/>
      </w:r>
      <w:r w:rsidR="004A13F4">
        <w:rPr>
          <w:rFonts w:ascii="Avenir Next" w:hAnsi="Avenir Next" w:cs="Arial"/>
          <w:color w:val="808080" w:themeColor="background1" w:themeShade="80"/>
          <w:sz w:val="22"/>
          <w:szCs w:val="22"/>
        </w:rPr>
        <w:t xml:space="preserve"> </w:t>
      </w:r>
      <w:r w:rsidR="007A1A03">
        <w:rPr>
          <w:rFonts w:ascii="Avenir Next" w:hAnsi="Avenir Next" w:cs="Arial"/>
          <w:color w:val="808080" w:themeColor="background1" w:themeShade="80"/>
          <w:sz w:val="22"/>
          <w:szCs w:val="22"/>
        </w:rPr>
        <w:t xml:space="preserve">while </w:t>
      </w:r>
      <w:r w:rsidR="00607E54">
        <w:rPr>
          <w:rFonts w:ascii="Avenir Next" w:hAnsi="Avenir Next" w:cs="Arial"/>
          <w:color w:val="808080" w:themeColor="background1" w:themeShade="80"/>
          <w:sz w:val="22"/>
          <w:szCs w:val="22"/>
        </w:rPr>
        <w:t xml:space="preserve">foreign non-main proceedings </w:t>
      </w:r>
      <w:r w:rsidR="005144F9">
        <w:rPr>
          <w:rFonts w:ascii="Avenir Next" w:hAnsi="Avenir Next" w:cs="Arial"/>
          <w:color w:val="808080" w:themeColor="background1" w:themeShade="80"/>
          <w:sz w:val="22"/>
          <w:szCs w:val="22"/>
        </w:rPr>
        <w:t>have discretionary post-recognition relief which is granted by the court</w:t>
      </w:r>
      <w:r w:rsidR="00D96648">
        <w:rPr>
          <w:rFonts w:ascii="Avenir Next" w:hAnsi="Avenir Next" w:cs="Arial"/>
          <w:color w:val="808080" w:themeColor="background1" w:themeShade="80"/>
          <w:sz w:val="22"/>
          <w:szCs w:val="22"/>
        </w:rPr>
        <w:t>.</w:t>
      </w:r>
      <w:r w:rsidR="00AC4225">
        <w:rPr>
          <w:rStyle w:val="FootnoteReference"/>
          <w:rFonts w:ascii="Avenir Next" w:hAnsi="Avenir Next" w:cs="Arial"/>
          <w:color w:val="808080" w:themeColor="background1" w:themeShade="80"/>
          <w:sz w:val="22"/>
          <w:szCs w:val="22"/>
        </w:rPr>
        <w:footnoteReference w:id="5"/>
      </w:r>
      <w:r w:rsidR="00D96648">
        <w:rPr>
          <w:rFonts w:ascii="Avenir Next" w:hAnsi="Avenir Next" w:cs="Arial"/>
          <w:color w:val="808080" w:themeColor="background1" w:themeShade="80"/>
          <w:sz w:val="22"/>
          <w:szCs w:val="22"/>
        </w:rPr>
        <w:t xml:space="preserve"> </w:t>
      </w:r>
      <w:r w:rsidR="0005654E">
        <w:rPr>
          <w:rFonts w:ascii="Avenir Next" w:hAnsi="Avenir Next" w:cs="Arial"/>
          <w:color w:val="808080" w:themeColor="background1" w:themeShade="80"/>
          <w:sz w:val="22"/>
          <w:szCs w:val="22"/>
        </w:rPr>
        <w:t xml:space="preserve">Once </w:t>
      </w:r>
      <w:r w:rsidR="00326EF4">
        <w:rPr>
          <w:rFonts w:ascii="Avenir Next" w:hAnsi="Avenir Next" w:cs="Arial"/>
          <w:color w:val="808080" w:themeColor="background1" w:themeShade="80"/>
          <w:sz w:val="22"/>
          <w:szCs w:val="22"/>
        </w:rPr>
        <w:t xml:space="preserve">a jurisdiction is recognized as having COMI </w:t>
      </w:r>
      <w:r w:rsidR="00134FCA">
        <w:rPr>
          <w:rFonts w:ascii="Avenir Next" w:hAnsi="Avenir Next" w:cs="Arial"/>
          <w:color w:val="808080" w:themeColor="background1" w:themeShade="80"/>
          <w:sz w:val="22"/>
          <w:szCs w:val="22"/>
        </w:rPr>
        <w:t>automatic relief is granted for fore</w:t>
      </w:r>
      <w:r w:rsidR="00E27C6B">
        <w:rPr>
          <w:rFonts w:ascii="Avenir Next" w:hAnsi="Avenir Next" w:cs="Arial"/>
          <w:color w:val="808080" w:themeColor="background1" w:themeShade="80"/>
          <w:sz w:val="22"/>
          <w:szCs w:val="22"/>
        </w:rPr>
        <w:t xml:space="preserve">ign main proceedings meaning that actions against the debtor </w:t>
      </w:r>
      <w:r w:rsidR="002812F0">
        <w:rPr>
          <w:rFonts w:ascii="Avenir Next" w:hAnsi="Avenir Next" w:cs="Arial"/>
          <w:color w:val="808080" w:themeColor="background1" w:themeShade="80"/>
          <w:sz w:val="22"/>
          <w:szCs w:val="22"/>
        </w:rPr>
        <w:t xml:space="preserve">by creditors against the debtor or against </w:t>
      </w:r>
      <w:r w:rsidR="00063751">
        <w:rPr>
          <w:rFonts w:ascii="Avenir Next" w:hAnsi="Avenir Next" w:cs="Arial"/>
          <w:color w:val="808080" w:themeColor="background1" w:themeShade="80"/>
          <w:sz w:val="22"/>
          <w:szCs w:val="22"/>
        </w:rPr>
        <w:t>debtors assets are stayed</w:t>
      </w:r>
      <w:r w:rsidR="00CB71B6">
        <w:rPr>
          <w:rFonts w:ascii="Avenir Next" w:hAnsi="Avenir Next" w:cs="Arial"/>
          <w:color w:val="808080" w:themeColor="background1" w:themeShade="80"/>
          <w:sz w:val="22"/>
          <w:szCs w:val="22"/>
        </w:rPr>
        <w:t>, additio</w:t>
      </w:r>
      <w:r w:rsidR="00A871A5">
        <w:rPr>
          <w:rFonts w:ascii="Avenir Next" w:hAnsi="Avenir Next" w:cs="Arial"/>
          <w:color w:val="808080" w:themeColor="background1" w:themeShade="80"/>
          <w:sz w:val="22"/>
          <w:szCs w:val="22"/>
        </w:rPr>
        <w:t xml:space="preserve">nally assets cannot be dealt with by disposing them or granting </w:t>
      </w:r>
      <w:r w:rsidR="00113599">
        <w:rPr>
          <w:rFonts w:ascii="Avenir Next" w:hAnsi="Avenir Next" w:cs="Arial"/>
          <w:color w:val="808080" w:themeColor="background1" w:themeShade="80"/>
          <w:sz w:val="22"/>
          <w:szCs w:val="22"/>
        </w:rPr>
        <w:t>or transferring rights</w:t>
      </w:r>
      <w:r w:rsidR="00134FCA">
        <w:rPr>
          <w:rFonts w:ascii="Avenir Next" w:hAnsi="Avenir Next" w:cs="Arial"/>
          <w:color w:val="808080" w:themeColor="background1" w:themeShade="80"/>
          <w:sz w:val="22"/>
          <w:szCs w:val="22"/>
        </w:rPr>
        <w:t>.</w:t>
      </w:r>
      <w:r w:rsidR="00134FCA">
        <w:rPr>
          <w:rStyle w:val="FootnoteReference"/>
          <w:rFonts w:ascii="Avenir Next" w:hAnsi="Avenir Next" w:cs="Arial"/>
          <w:color w:val="808080" w:themeColor="background1" w:themeShade="80"/>
          <w:sz w:val="22"/>
          <w:szCs w:val="22"/>
        </w:rPr>
        <w:footnoteReference w:id="6"/>
      </w:r>
      <w:r w:rsidR="00C42976">
        <w:rPr>
          <w:rFonts w:ascii="Avenir Next" w:hAnsi="Avenir Next" w:cs="Arial"/>
          <w:color w:val="808080" w:themeColor="background1" w:themeShade="80"/>
          <w:sz w:val="22"/>
          <w:szCs w:val="22"/>
        </w:rPr>
        <w:t xml:space="preserve"> </w:t>
      </w:r>
      <w:r w:rsidR="008A2002">
        <w:rPr>
          <w:rFonts w:ascii="Avenir Next" w:hAnsi="Avenir Next" w:cs="Arial"/>
          <w:color w:val="808080" w:themeColor="background1" w:themeShade="80"/>
          <w:sz w:val="22"/>
          <w:szCs w:val="22"/>
        </w:rPr>
        <w:t xml:space="preserve">Local courts on application of foreign representatives can apply to </w:t>
      </w:r>
      <w:r w:rsidR="003261E0">
        <w:rPr>
          <w:rFonts w:ascii="Avenir Next" w:hAnsi="Avenir Next" w:cs="Arial"/>
          <w:color w:val="808080" w:themeColor="background1" w:themeShade="80"/>
          <w:sz w:val="22"/>
          <w:szCs w:val="22"/>
        </w:rPr>
        <w:t xml:space="preserve">acquire the post-recognition relief and the courts look at the interests </w:t>
      </w:r>
      <w:r w:rsidR="00F141A1">
        <w:rPr>
          <w:rFonts w:ascii="Avenir Next" w:hAnsi="Avenir Next" w:cs="Arial"/>
          <w:color w:val="808080" w:themeColor="background1" w:themeShade="80"/>
          <w:sz w:val="22"/>
          <w:szCs w:val="22"/>
        </w:rPr>
        <w:t xml:space="preserve">of local creditors when deciding to grant </w:t>
      </w:r>
      <w:r w:rsidR="00B661E2">
        <w:rPr>
          <w:rFonts w:ascii="Avenir Next" w:hAnsi="Avenir Next" w:cs="Arial"/>
          <w:color w:val="808080" w:themeColor="background1" w:themeShade="80"/>
          <w:sz w:val="22"/>
          <w:szCs w:val="22"/>
        </w:rPr>
        <w:t>the relief.</w:t>
      </w:r>
      <w:r w:rsidR="00B661E2">
        <w:rPr>
          <w:rStyle w:val="FootnoteReference"/>
          <w:rFonts w:ascii="Avenir Next" w:hAnsi="Avenir Next" w:cs="Arial"/>
          <w:color w:val="808080" w:themeColor="background1" w:themeShade="80"/>
          <w:sz w:val="22"/>
          <w:szCs w:val="22"/>
        </w:rPr>
        <w:footnoteReference w:id="7"/>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F50BA9">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D83E20" w14:textId="29985B6B" w:rsidR="00EA6D31" w:rsidRDefault="00895160" w:rsidP="00707FC8">
      <w:pPr>
        <w:ind w:left="720" w:hanging="720"/>
        <w:jc w:val="both"/>
        <w:rPr>
          <w:rFonts w:ascii="Avenir Next" w:hAnsi="Avenir Next" w:cs="Arial"/>
          <w:color w:val="808080" w:themeColor="background1" w:themeShade="80"/>
          <w:sz w:val="22"/>
          <w:szCs w:val="22"/>
          <w:lang w:val="en-GB"/>
        </w:rPr>
      </w:pPr>
      <w:r w:rsidRPr="00F6368B">
        <w:rPr>
          <w:rFonts w:ascii="Avenir Next" w:hAnsi="Avenir Next" w:cs="Arial"/>
          <w:color w:val="808080" w:themeColor="background1" w:themeShade="80"/>
          <w:sz w:val="22"/>
          <w:szCs w:val="22"/>
          <w:lang w:val="en-GB"/>
        </w:rPr>
        <w:t>A m</w:t>
      </w:r>
      <w:r w:rsidR="00F6368B" w:rsidRPr="00F6368B">
        <w:rPr>
          <w:rFonts w:ascii="Avenir Next" w:hAnsi="Avenir Next" w:cs="Arial"/>
          <w:color w:val="808080" w:themeColor="background1" w:themeShade="80"/>
          <w:sz w:val="22"/>
          <w:szCs w:val="22"/>
          <w:lang w:val="en-GB"/>
        </w:rPr>
        <w:t>ulti-national company operatin</w:t>
      </w:r>
      <w:r w:rsidR="00F6368B">
        <w:rPr>
          <w:rFonts w:ascii="Avenir Next" w:hAnsi="Avenir Next" w:cs="Arial"/>
          <w:color w:val="808080" w:themeColor="background1" w:themeShade="80"/>
          <w:sz w:val="22"/>
          <w:szCs w:val="22"/>
          <w:lang w:val="en-GB"/>
        </w:rPr>
        <w:t xml:space="preserve">g in more than one jurisdiction has options of </w:t>
      </w:r>
      <w:r w:rsidR="00583B1E">
        <w:rPr>
          <w:rFonts w:ascii="Avenir Next" w:hAnsi="Avenir Next" w:cs="Arial"/>
          <w:color w:val="808080" w:themeColor="background1" w:themeShade="80"/>
          <w:sz w:val="22"/>
          <w:szCs w:val="22"/>
          <w:lang w:val="en-GB"/>
        </w:rPr>
        <w:t xml:space="preserve">where to commence insolvency proceedings. It is a possibility for the </w:t>
      </w:r>
      <w:r w:rsidR="00983264">
        <w:rPr>
          <w:rFonts w:ascii="Avenir Next" w:hAnsi="Avenir Next" w:cs="Arial"/>
          <w:color w:val="808080" w:themeColor="background1" w:themeShade="80"/>
          <w:sz w:val="22"/>
          <w:szCs w:val="22"/>
          <w:lang w:val="en-GB"/>
        </w:rPr>
        <w:t>company to commence insolvency proceedings in the countries that it has links to. In the example provided above</w:t>
      </w:r>
      <w:r w:rsidR="00721B1D">
        <w:rPr>
          <w:rFonts w:ascii="Avenir Next" w:hAnsi="Avenir Next" w:cs="Arial"/>
          <w:color w:val="808080" w:themeColor="background1" w:themeShade="80"/>
          <w:sz w:val="22"/>
          <w:szCs w:val="22"/>
          <w:lang w:val="en-GB"/>
        </w:rPr>
        <w:t>, the debtor has the option of commencing insolvency proceedings in Germany</w:t>
      </w:r>
      <w:r w:rsidR="00226429">
        <w:rPr>
          <w:rFonts w:ascii="Avenir Next" w:hAnsi="Avenir Next" w:cs="Arial"/>
          <w:color w:val="808080" w:themeColor="background1" w:themeShade="80"/>
          <w:sz w:val="22"/>
          <w:szCs w:val="22"/>
          <w:lang w:val="en-GB"/>
        </w:rPr>
        <w:t xml:space="preserve">, Bermuda and US. However, the issue arises as to </w:t>
      </w:r>
      <w:r w:rsidR="00352675">
        <w:rPr>
          <w:rFonts w:ascii="Avenir Next" w:hAnsi="Avenir Next" w:cs="Arial"/>
          <w:color w:val="808080" w:themeColor="background1" w:themeShade="80"/>
          <w:sz w:val="22"/>
          <w:szCs w:val="22"/>
          <w:lang w:val="en-GB"/>
        </w:rPr>
        <w:t>whether each of those countries can deal with the matters in the other jurisdictions</w:t>
      </w:r>
      <w:r w:rsidR="00255A11">
        <w:rPr>
          <w:rFonts w:ascii="Avenir Next" w:hAnsi="Avenir Next" w:cs="Arial"/>
          <w:color w:val="808080" w:themeColor="background1" w:themeShade="80"/>
          <w:sz w:val="22"/>
          <w:szCs w:val="22"/>
          <w:lang w:val="en-GB"/>
        </w:rPr>
        <w:t xml:space="preserve">. </w:t>
      </w:r>
      <w:r w:rsidR="00452801">
        <w:rPr>
          <w:rFonts w:ascii="Avenir Next" w:hAnsi="Avenir Next" w:cs="Arial"/>
          <w:color w:val="808080" w:themeColor="background1" w:themeShade="80"/>
          <w:sz w:val="22"/>
          <w:szCs w:val="22"/>
          <w:lang w:val="en-GB"/>
        </w:rPr>
        <w:t xml:space="preserve">The MLCBI provides </w:t>
      </w:r>
      <w:r w:rsidR="00AE78C0">
        <w:rPr>
          <w:rFonts w:ascii="Avenir Next" w:hAnsi="Avenir Next" w:cs="Arial"/>
          <w:color w:val="808080" w:themeColor="background1" w:themeShade="80"/>
          <w:sz w:val="22"/>
          <w:szCs w:val="22"/>
          <w:lang w:val="en-GB"/>
        </w:rPr>
        <w:t xml:space="preserve">procedural rules where </w:t>
      </w:r>
      <w:bookmarkStart w:id="1" w:name="_Hlk145576759"/>
      <w:r w:rsidR="00690C67">
        <w:rPr>
          <w:rFonts w:ascii="Avenir Next" w:hAnsi="Avenir Next" w:cs="Arial"/>
          <w:color w:val="808080" w:themeColor="background1" w:themeShade="80"/>
          <w:sz w:val="22"/>
          <w:szCs w:val="22"/>
          <w:lang w:val="en-GB"/>
        </w:rPr>
        <w:t>foreign main and foreign non-main proceedings</w:t>
      </w:r>
      <w:bookmarkEnd w:id="1"/>
      <w:r w:rsidR="00690C67">
        <w:rPr>
          <w:rFonts w:ascii="Avenir Next" w:hAnsi="Avenir Next" w:cs="Arial"/>
          <w:color w:val="808080" w:themeColor="background1" w:themeShade="80"/>
          <w:sz w:val="22"/>
          <w:szCs w:val="22"/>
          <w:lang w:val="en-GB"/>
        </w:rPr>
        <w:t xml:space="preserve"> can be commenced</w:t>
      </w:r>
      <w:r w:rsidR="00CC608F">
        <w:rPr>
          <w:rFonts w:ascii="Avenir Next" w:hAnsi="Avenir Next" w:cs="Arial"/>
          <w:color w:val="808080" w:themeColor="background1" w:themeShade="80"/>
          <w:sz w:val="22"/>
          <w:szCs w:val="22"/>
          <w:lang w:val="en-GB"/>
        </w:rPr>
        <w:t>.</w:t>
      </w:r>
      <w:r w:rsidR="004E433D">
        <w:rPr>
          <w:rStyle w:val="FootnoteReference"/>
          <w:rFonts w:ascii="Avenir Next" w:hAnsi="Avenir Next" w:cs="Arial"/>
          <w:color w:val="808080" w:themeColor="background1" w:themeShade="80"/>
          <w:sz w:val="22"/>
          <w:szCs w:val="22"/>
          <w:lang w:val="en-GB"/>
        </w:rPr>
        <w:footnoteReference w:id="8"/>
      </w:r>
      <w:r w:rsidR="00CC608F">
        <w:rPr>
          <w:rFonts w:ascii="Avenir Next" w:hAnsi="Avenir Next" w:cs="Arial"/>
          <w:color w:val="808080" w:themeColor="background1" w:themeShade="80"/>
          <w:sz w:val="22"/>
          <w:szCs w:val="22"/>
          <w:lang w:val="en-GB"/>
        </w:rPr>
        <w:t xml:space="preserve"> This short essay will look at which jurisdiction ought to </w:t>
      </w:r>
      <w:r w:rsidR="004E433D">
        <w:rPr>
          <w:rFonts w:ascii="Avenir Next" w:hAnsi="Avenir Next" w:cs="Arial"/>
          <w:color w:val="808080" w:themeColor="background1" w:themeShade="80"/>
          <w:sz w:val="22"/>
          <w:szCs w:val="22"/>
          <w:lang w:val="en-GB"/>
        </w:rPr>
        <w:t xml:space="preserve">commence </w:t>
      </w:r>
      <w:r w:rsidR="004E433D" w:rsidRPr="004E433D">
        <w:rPr>
          <w:rFonts w:ascii="Avenir Next" w:hAnsi="Avenir Next" w:cs="Arial"/>
          <w:color w:val="808080" w:themeColor="background1" w:themeShade="80"/>
          <w:sz w:val="22"/>
          <w:szCs w:val="22"/>
          <w:lang w:val="en-GB"/>
        </w:rPr>
        <w:t>foreign main and foreign non-main proceedings</w:t>
      </w:r>
      <w:r w:rsidR="00D012BF">
        <w:rPr>
          <w:rFonts w:ascii="Avenir Next" w:hAnsi="Avenir Next" w:cs="Arial"/>
          <w:color w:val="808080" w:themeColor="background1" w:themeShade="80"/>
          <w:sz w:val="22"/>
          <w:szCs w:val="22"/>
          <w:lang w:val="en-GB"/>
        </w:rPr>
        <w:t xml:space="preserve"> for the debtor</w:t>
      </w:r>
      <w:r w:rsidR="004E433D">
        <w:rPr>
          <w:rFonts w:ascii="Avenir Next" w:hAnsi="Avenir Next" w:cs="Arial"/>
          <w:color w:val="808080" w:themeColor="background1" w:themeShade="80"/>
          <w:sz w:val="22"/>
          <w:szCs w:val="22"/>
          <w:lang w:val="en-GB"/>
        </w:rPr>
        <w:t>.</w:t>
      </w:r>
    </w:p>
    <w:p w14:paraId="427FF8A6" w14:textId="77777777" w:rsidR="00D012BF" w:rsidRDefault="00D012BF" w:rsidP="00707FC8">
      <w:pPr>
        <w:ind w:left="720" w:hanging="720"/>
        <w:jc w:val="both"/>
        <w:rPr>
          <w:rFonts w:ascii="Avenir Next" w:hAnsi="Avenir Next" w:cs="Arial"/>
          <w:color w:val="808080" w:themeColor="background1" w:themeShade="80"/>
          <w:sz w:val="22"/>
          <w:szCs w:val="22"/>
          <w:lang w:val="en-GB"/>
        </w:rPr>
      </w:pPr>
    </w:p>
    <w:p w14:paraId="50BA987D" w14:textId="77777777" w:rsidR="008C20EF" w:rsidRDefault="0047249D" w:rsidP="00720A4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f</w:t>
      </w:r>
      <w:r w:rsidR="00D012BF">
        <w:rPr>
          <w:rFonts w:ascii="Avenir Next" w:hAnsi="Avenir Next" w:cs="Arial"/>
          <w:color w:val="808080" w:themeColor="background1" w:themeShade="80"/>
          <w:sz w:val="22"/>
          <w:szCs w:val="22"/>
          <w:lang w:val="en-GB"/>
        </w:rPr>
        <w:t xml:space="preserve">oreign main proceeding </w:t>
      </w:r>
      <w:r>
        <w:rPr>
          <w:rFonts w:ascii="Avenir Next" w:hAnsi="Avenir Next" w:cs="Arial"/>
          <w:color w:val="808080" w:themeColor="background1" w:themeShade="80"/>
          <w:sz w:val="22"/>
          <w:szCs w:val="22"/>
          <w:lang w:val="en-GB"/>
        </w:rPr>
        <w:t>refers</w:t>
      </w:r>
      <w:r w:rsidR="00D012BF">
        <w:rPr>
          <w:rFonts w:ascii="Avenir Next" w:hAnsi="Avenir Next" w:cs="Arial"/>
          <w:color w:val="808080" w:themeColor="background1" w:themeShade="80"/>
          <w:sz w:val="22"/>
          <w:szCs w:val="22"/>
          <w:lang w:val="en-GB"/>
        </w:rPr>
        <w:t xml:space="preserve"> to </w:t>
      </w:r>
      <w:r w:rsidR="005D742F">
        <w:rPr>
          <w:rFonts w:ascii="Avenir Next" w:hAnsi="Avenir Next" w:cs="Arial"/>
          <w:color w:val="808080" w:themeColor="background1" w:themeShade="80"/>
          <w:sz w:val="22"/>
          <w:szCs w:val="22"/>
          <w:lang w:val="en-GB"/>
        </w:rPr>
        <w:t>an insolvency proceed</w:t>
      </w:r>
      <w:r w:rsidR="0061623F">
        <w:rPr>
          <w:rFonts w:ascii="Avenir Next" w:hAnsi="Avenir Next" w:cs="Arial"/>
          <w:color w:val="808080" w:themeColor="background1" w:themeShade="80"/>
          <w:sz w:val="22"/>
          <w:szCs w:val="22"/>
          <w:lang w:val="en-GB"/>
        </w:rPr>
        <w:t xml:space="preserve">ings </w:t>
      </w:r>
      <w:r w:rsidR="0088516D">
        <w:rPr>
          <w:rFonts w:ascii="Avenir Next" w:hAnsi="Avenir Next" w:cs="Arial"/>
          <w:color w:val="808080" w:themeColor="background1" w:themeShade="80"/>
          <w:sz w:val="22"/>
          <w:szCs w:val="22"/>
          <w:lang w:val="en-GB"/>
        </w:rPr>
        <w:t>taking place where the debtor’s COMI is located.</w:t>
      </w:r>
      <w:r w:rsidR="0088516D">
        <w:rPr>
          <w:rStyle w:val="FootnoteReference"/>
          <w:rFonts w:ascii="Avenir Next" w:hAnsi="Avenir Next" w:cs="Arial"/>
          <w:color w:val="808080" w:themeColor="background1" w:themeShade="80"/>
          <w:sz w:val="22"/>
          <w:szCs w:val="22"/>
          <w:lang w:val="en-GB"/>
        </w:rPr>
        <w:footnoteReference w:id="9"/>
      </w:r>
      <w:r w:rsidR="00554A16">
        <w:rPr>
          <w:rFonts w:ascii="Avenir Next" w:hAnsi="Avenir Next" w:cs="Arial"/>
          <w:color w:val="808080" w:themeColor="background1" w:themeShade="80"/>
          <w:sz w:val="22"/>
          <w:szCs w:val="22"/>
          <w:lang w:val="en-GB"/>
        </w:rPr>
        <w:t xml:space="preserve"> Therefore, fore</w:t>
      </w:r>
      <w:r w:rsidR="00C440B9">
        <w:rPr>
          <w:rFonts w:ascii="Avenir Next" w:hAnsi="Avenir Next" w:cs="Arial"/>
          <w:color w:val="808080" w:themeColor="background1" w:themeShade="80"/>
          <w:sz w:val="22"/>
          <w:szCs w:val="22"/>
          <w:lang w:val="en-GB"/>
        </w:rPr>
        <w:t xml:space="preserve">ign main proceedings should be commenced in </w:t>
      </w:r>
      <w:r w:rsidR="0030426E">
        <w:rPr>
          <w:rFonts w:ascii="Avenir Next" w:hAnsi="Avenir Next" w:cs="Arial"/>
          <w:color w:val="808080" w:themeColor="background1" w:themeShade="80"/>
          <w:sz w:val="22"/>
          <w:szCs w:val="22"/>
          <w:lang w:val="en-GB"/>
        </w:rPr>
        <w:t>Germany rather than US</w:t>
      </w:r>
      <w:r w:rsidR="00395104">
        <w:rPr>
          <w:rFonts w:ascii="Avenir Next" w:hAnsi="Avenir Next" w:cs="Arial"/>
          <w:color w:val="808080" w:themeColor="background1" w:themeShade="80"/>
          <w:sz w:val="22"/>
          <w:szCs w:val="22"/>
          <w:lang w:val="en-GB"/>
        </w:rPr>
        <w:t xml:space="preserve"> as this is where the </w:t>
      </w:r>
      <w:r w:rsidR="00676F94">
        <w:rPr>
          <w:rFonts w:ascii="Avenir Next" w:hAnsi="Avenir Next" w:cs="Arial"/>
          <w:color w:val="808080" w:themeColor="background1" w:themeShade="80"/>
          <w:sz w:val="22"/>
          <w:szCs w:val="22"/>
          <w:lang w:val="en-GB"/>
        </w:rPr>
        <w:t>‘centre of main interest</w:t>
      </w:r>
      <w:r w:rsidR="00315D63">
        <w:rPr>
          <w:rFonts w:ascii="Avenir Next" w:hAnsi="Avenir Next" w:cs="Arial"/>
          <w:color w:val="808080" w:themeColor="background1" w:themeShade="80"/>
          <w:sz w:val="22"/>
          <w:szCs w:val="22"/>
          <w:lang w:val="en-GB"/>
        </w:rPr>
        <w:t>’</w:t>
      </w:r>
      <w:r w:rsidR="00676F94">
        <w:rPr>
          <w:rFonts w:ascii="Avenir Next" w:hAnsi="Avenir Next" w:cs="Arial"/>
          <w:color w:val="808080" w:themeColor="background1" w:themeShade="80"/>
          <w:sz w:val="22"/>
          <w:szCs w:val="22"/>
          <w:lang w:val="en-GB"/>
        </w:rPr>
        <w:t xml:space="preserve"> is located</w:t>
      </w:r>
      <w:r w:rsidR="0030426E">
        <w:rPr>
          <w:rFonts w:ascii="Avenir Next" w:hAnsi="Avenir Next" w:cs="Arial"/>
          <w:color w:val="808080" w:themeColor="background1" w:themeShade="80"/>
          <w:sz w:val="22"/>
          <w:szCs w:val="22"/>
          <w:lang w:val="en-GB"/>
        </w:rPr>
        <w:t>.</w:t>
      </w:r>
      <w:r w:rsidR="00167A13">
        <w:rPr>
          <w:rFonts w:ascii="Avenir Next" w:hAnsi="Avenir Next" w:cs="Arial"/>
          <w:color w:val="808080" w:themeColor="background1" w:themeShade="80"/>
          <w:sz w:val="22"/>
          <w:szCs w:val="22"/>
          <w:lang w:val="en-GB"/>
        </w:rPr>
        <w:t xml:space="preserve"> </w:t>
      </w:r>
      <w:r w:rsidR="00204FFB">
        <w:rPr>
          <w:rFonts w:ascii="Avenir Next" w:hAnsi="Avenir Next" w:cs="Arial"/>
          <w:color w:val="808080" w:themeColor="background1" w:themeShade="80"/>
          <w:sz w:val="22"/>
          <w:szCs w:val="22"/>
          <w:lang w:val="en-GB"/>
        </w:rPr>
        <w:t>German laws will be applicable to</w:t>
      </w:r>
      <w:r w:rsidR="00847DB4">
        <w:rPr>
          <w:rFonts w:ascii="Avenir Next" w:hAnsi="Avenir Next" w:cs="Arial"/>
          <w:color w:val="808080" w:themeColor="background1" w:themeShade="80"/>
          <w:sz w:val="22"/>
          <w:szCs w:val="22"/>
          <w:lang w:val="en-GB"/>
        </w:rPr>
        <w:t xml:space="preserve"> dealing with the insolvency issues of the debtor</w:t>
      </w:r>
      <w:r w:rsidR="00C629FB">
        <w:rPr>
          <w:rFonts w:ascii="Avenir Next" w:hAnsi="Avenir Next" w:cs="Arial"/>
          <w:color w:val="808080" w:themeColor="background1" w:themeShade="80"/>
          <w:sz w:val="22"/>
          <w:szCs w:val="22"/>
          <w:lang w:val="en-GB"/>
        </w:rPr>
        <w:t xml:space="preserve">, hence the relief </w:t>
      </w:r>
      <w:r w:rsidR="007C2245">
        <w:rPr>
          <w:rFonts w:ascii="Avenir Next" w:hAnsi="Avenir Next" w:cs="Arial"/>
          <w:color w:val="808080" w:themeColor="background1" w:themeShade="80"/>
          <w:sz w:val="22"/>
          <w:szCs w:val="22"/>
          <w:lang w:val="en-GB"/>
        </w:rPr>
        <w:t xml:space="preserve">will be under </w:t>
      </w:r>
      <w:r w:rsidR="00AC262C">
        <w:rPr>
          <w:rFonts w:ascii="Avenir Next" w:hAnsi="Avenir Next" w:cs="Arial"/>
          <w:color w:val="808080" w:themeColor="background1" w:themeShade="80"/>
          <w:sz w:val="22"/>
          <w:szCs w:val="22"/>
          <w:lang w:val="en-GB"/>
        </w:rPr>
        <w:t>German law</w:t>
      </w:r>
      <w:r w:rsidR="00ED256F">
        <w:rPr>
          <w:rFonts w:ascii="Avenir Next" w:hAnsi="Avenir Next" w:cs="Arial"/>
          <w:color w:val="808080" w:themeColor="background1" w:themeShade="80"/>
          <w:sz w:val="22"/>
          <w:szCs w:val="22"/>
          <w:lang w:val="en-GB"/>
        </w:rPr>
        <w:t>.</w:t>
      </w:r>
      <w:r w:rsidR="00ED256F">
        <w:rPr>
          <w:rStyle w:val="FootnoteReference"/>
          <w:rFonts w:ascii="Avenir Next" w:hAnsi="Avenir Next" w:cs="Arial"/>
          <w:color w:val="808080" w:themeColor="background1" w:themeShade="80"/>
          <w:sz w:val="22"/>
          <w:szCs w:val="22"/>
          <w:lang w:val="en-GB"/>
        </w:rPr>
        <w:footnoteReference w:id="10"/>
      </w:r>
    </w:p>
    <w:p w14:paraId="24688970" w14:textId="77777777" w:rsidR="00DD4A11" w:rsidRDefault="00DD4A11" w:rsidP="00720A4B">
      <w:pPr>
        <w:ind w:left="720" w:hanging="720"/>
        <w:jc w:val="both"/>
        <w:rPr>
          <w:rFonts w:ascii="Avenir Next" w:hAnsi="Avenir Next" w:cs="Arial"/>
          <w:color w:val="808080" w:themeColor="background1" w:themeShade="80"/>
          <w:sz w:val="22"/>
          <w:szCs w:val="22"/>
          <w:lang w:val="en-GB"/>
        </w:rPr>
      </w:pPr>
    </w:p>
    <w:p w14:paraId="6364B753" w14:textId="77777777" w:rsidR="00AE33D5" w:rsidRDefault="00DD4A11" w:rsidP="00720A4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foreign non-main proceedings</w:t>
      </w:r>
      <w:r w:rsidR="005D2304">
        <w:rPr>
          <w:rFonts w:ascii="Avenir Next" w:hAnsi="Avenir Next" w:cs="Arial"/>
          <w:color w:val="808080" w:themeColor="background1" w:themeShade="80"/>
          <w:sz w:val="22"/>
          <w:szCs w:val="22"/>
          <w:lang w:val="en-GB"/>
        </w:rPr>
        <w:t xml:space="preserve"> refers to proceedings commenced where the establishment is located</w:t>
      </w:r>
      <w:r w:rsidR="00075C02">
        <w:rPr>
          <w:rFonts w:ascii="Avenir Next" w:hAnsi="Avenir Next" w:cs="Arial"/>
          <w:color w:val="808080" w:themeColor="background1" w:themeShade="80"/>
          <w:sz w:val="22"/>
          <w:szCs w:val="22"/>
          <w:lang w:val="en-GB"/>
        </w:rPr>
        <w:t>.</w:t>
      </w:r>
      <w:r w:rsidR="00075C02">
        <w:rPr>
          <w:rStyle w:val="FootnoteReference"/>
          <w:rFonts w:ascii="Avenir Next" w:hAnsi="Avenir Next" w:cs="Arial"/>
          <w:color w:val="808080" w:themeColor="background1" w:themeShade="80"/>
          <w:sz w:val="22"/>
          <w:szCs w:val="22"/>
          <w:lang w:val="en-GB"/>
        </w:rPr>
        <w:footnoteReference w:id="11"/>
      </w:r>
      <w:r w:rsidR="0004638F">
        <w:rPr>
          <w:rFonts w:ascii="Avenir Next" w:hAnsi="Avenir Next" w:cs="Arial"/>
          <w:color w:val="808080" w:themeColor="background1" w:themeShade="80"/>
          <w:sz w:val="22"/>
          <w:szCs w:val="22"/>
          <w:lang w:val="en-GB"/>
        </w:rPr>
        <w:t xml:space="preserve"> </w:t>
      </w:r>
      <w:r w:rsidR="00A46488">
        <w:rPr>
          <w:rFonts w:ascii="Avenir Next" w:hAnsi="Avenir Next" w:cs="Arial"/>
          <w:color w:val="808080" w:themeColor="background1" w:themeShade="80"/>
          <w:sz w:val="22"/>
          <w:szCs w:val="22"/>
          <w:lang w:val="en-GB"/>
        </w:rPr>
        <w:t xml:space="preserve">Establishment refers to where the debtor carries </w:t>
      </w:r>
      <w:r w:rsidR="00345E36">
        <w:rPr>
          <w:rFonts w:ascii="Avenir Next" w:hAnsi="Avenir Next" w:cs="Arial"/>
          <w:color w:val="808080" w:themeColor="background1" w:themeShade="80"/>
          <w:sz w:val="22"/>
          <w:szCs w:val="22"/>
          <w:lang w:val="en-GB"/>
        </w:rPr>
        <w:t>non-tran</w:t>
      </w:r>
      <w:r w:rsidR="004F1F78">
        <w:rPr>
          <w:rFonts w:ascii="Avenir Next" w:hAnsi="Avenir Next" w:cs="Arial"/>
          <w:color w:val="808080" w:themeColor="background1" w:themeShade="80"/>
          <w:sz w:val="22"/>
          <w:szCs w:val="22"/>
          <w:lang w:val="en-GB"/>
        </w:rPr>
        <w:t>sitory activities</w:t>
      </w:r>
      <w:r w:rsidR="00C2609F">
        <w:rPr>
          <w:rStyle w:val="FootnoteReference"/>
          <w:rFonts w:ascii="Avenir Next" w:hAnsi="Avenir Next" w:cs="Arial"/>
          <w:color w:val="808080" w:themeColor="background1" w:themeShade="80"/>
          <w:sz w:val="22"/>
          <w:szCs w:val="22"/>
          <w:lang w:val="en-GB"/>
        </w:rPr>
        <w:footnoteReference w:id="12"/>
      </w:r>
      <w:r w:rsidR="00C2609F">
        <w:rPr>
          <w:rFonts w:ascii="Avenir Next" w:hAnsi="Avenir Next" w:cs="Arial"/>
          <w:color w:val="808080" w:themeColor="background1" w:themeShade="80"/>
          <w:sz w:val="22"/>
          <w:szCs w:val="22"/>
          <w:lang w:val="en-GB"/>
        </w:rPr>
        <w:t xml:space="preserve"> </w:t>
      </w:r>
      <w:r w:rsidR="0055773B">
        <w:rPr>
          <w:rFonts w:ascii="Avenir Next" w:hAnsi="Avenir Next" w:cs="Arial"/>
          <w:color w:val="808080" w:themeColor="background1" w:themeShade="80"/>
          <w:sz w:val="22"/>
          <w:szCs w:val="22"/>
          <w:lang w:val="en-GB"/>
        </w:rPr>
        <w:t xml:space="preserve">which is other than the location of the </w:t>
      </w:r>
      <w:r w:rsidR="008E2D77">
        <w:rPr>
          <w:rFonts w:ascii="Avenir Next" w:hAnsi="Avenir Next" w:cs="Arial"/>
          <w:color w:val="808080" w:themeColor="background1" w:themeShade="80"/>
          <w:sz w:val="22"/>
          <w:szCs w:val="22"/>
          <w:lang w:val="en-GB"/>
        </w:rPr>
        <w:t xml:space="preserve">COMI. </w:t>
      </w:r>
      <w:r w:rsidR="00540A47">
        <w:rPr>
          <w:rFonts w:ascii="Avenir Next" w:hAnsi="Avenir Next" w:cs="Arial"/>
          <w:color w:val="808080" w:themeColor="background1" w:themeShade="80"/>
          <w:sz w:val="22"/>
          <w:szCs w:val="22"/>
          <w:lang w:val="en-GB"/>
        </w:rPr>
        <w:t>Therefore, the correct location to commence foreign non-</w:t>
      </w:r>
      <w:r w:rsidR="0082663E">
        <w:rPr>
          <w:rFonts w:ascii="Avenir Next" w:hAnsi="Avenir Next" w:cs="Arial"/>
          <w:color w:val="808080" w:themeColor="background1" w:themeShade="80"/>
          <w:sz w:val="22"/>
          <w:szCs w:val="22"/>
          <w:lang w:val="en-GB"/>
        </w:rPr>
        <w:t>main proceedings is Bermuda.</w:t>
      </w:r>
    </w:p>
    <w:p w14:paraId="26A2C531" w14:textId="77777777" w:rsidR="00AE33D5" w:rsidRDefault="00AE33D5" w:rsidP="00720A4B">
      <w:pPr>
        <w:ind w:left="720" w:hanging="720"/>
        <w:jc w:val="both"/>
        <w:rPr>
          <w:rFonts w:ascii="Avenir Next" w:hAnsi="Avenir Next" w:cs="Arial"/>
          <w:color w:val="808080" w:themeColor="background1" w:themeShade="80"/>
          <w:sz w:val="22"/>
          <w:szCs w:val="22"/>
          <w:lang w:val="en-GB"/>
        </w:rPr>
      </w:pPr>
    </w:p>
    <w:p w14:paraId="303CA08E" w14:textId="0220DC0B" w:rsidR="00B76464" w:rsidRPr="003F224D" w:rsidRDefault="00AE33D5" w:rsidP="00720A4B">
      <w:pPr>
        <w:ind w:left="720" w:hanging="720"/>
        <w:jc w:val="both"/>
        <w:rPr>
          <w:rFonts w:ascii="Avenir Next" w:hAnsi="Avenir Next" w:cs="Arial"/>
          <w:color w:val="FF0000"/>
          <w:sz w:val="22"/>
          <w:szCs w:val="22"/>
          <w:lang w:val="en-GB"/>
        </w:rPr>
      </w:pPr>
      <w:r>
        <w:rPr>
          <w:rFonts w:ascii="Avenir Next" w:hAnsi="Avenir Next" w:cs="Arial"/>
          <w:color w:val="808080" w:themeColor="background1" w:themeShade="80"/>
          <w:sz w:val="22"/>
          <w:szCs w:val="22"/>
          <w:lang w:val="en-GB"/>
        </w:rPr>
        <w:t>The proceedings opened in the U</w:t>
      </w:r>
      <w:r w:rsidR="00F014EC">
        <w:rPr>
          <w:rFonts w:ascii="Avenir Next" w:hAnsi="Avenir Next" w:cs="Arial"/>
          <w:color w:val="808080" w:themeColor="background1" w:themeShade="80"/>
          <w:sz w:val="22"/>
          <w:szCs w:val="22"/>
          <w:lang w:val="en-GB"/>
        </w:rPr>
        <w:t xml:space="preserve">S will not be recognised </w:t>
      </w:r>
      <w:r w:rsidR="004A1A5A">
        <w:rPr>
          <w:rFonts w:ascii="Avenir Next" w:hAnsi="Avenir Next" w:cs="Arial"/>
          <w:color w:val="808080" w:themeColor="background1" w:themeShade="80"/>
          <w:sz w:val="22"/>
          <w:szCs w:val="22"/>
          <w:lang w:val="en-GB"/>
        </w:rPr>
        <w:t xml:space="preserve">as foreign proceedings </w:t>
      </w:r>
      <w:r w:rsidR="00F014EC">
        <w:rPr>
          <w:rFonts w:ascii="Avenir Next" w:hAnsi="Avenir Next" w:cs="Arial"/>
          <w:color w:val="808080" w:themeColor="background1" w:themeShade="80"/>
          <w:sz w:val="22"/>
          <w:szCs w:val="22"/>
          <w:lang w:val="en-GB"/>
        </w:rPr>
        <w:t>under the MLCBI</w:t>
      </w:r>
      <w:r w:rsidR="0082663E">
        <w:rPr>
          <w:rFonts w:ascii="Avenir Next" w:hAnsi="Avenir Next" w:cs="Arial"/>
          <w:color w:val="808080" w:themeColor="background1" w:themeShade="80"/>
          <w:sz w:val="22"/>
          <w:szCs w:val="22"/>
          <w:lang w:val="en-GB"/>
        </w:rPr>
        <w:t xml:space="preserve"> </w:t>
      </w:r>
      <w:r w:rsidR="004A1A5A">
        <w:rPr>
          <w:rFonts w:ascii="Avenir Next" w:hAnsi="Avenir Next" w:cs="Arial"/>
          <w:color w:val="808080" w:themeColor="background1" w:themeShade="80"/>
          <w:sz w:val="22"/>
          <w:szCs w:val="22"/>
          <w:lang w:val="en-GB"/>
        </w:rPr>
        <w:t>since COMI and establishment is not located in t</w:t>
      </w:r>
      <w:r w:rsidR="0093122B">
        <w:rPr>
          <w:rFonts w:ascii="Avenir Next" w:hAnsi="Avenir Next" w:cs="Arial"/>
          <w:color w:val="808080" w:themeColor="background1" w:themeShade="80"/>
          <w:sz w:val="22"/>
          <w:szCs w:val="22"/>
          <w:lang w:val="en-GB"/>
        </w:rPr>
        <w:t xml:space="preserve">he jurisdiction. </w:t>
      </w:r>
    </w:p>
    <w:p w14:paraId="339CE2A9" w14:textId="77777777" w:rsidR="00D52FAF" w:rsidRDefault="00D52FAF" w:rsidP="00720A4B">
      <w:pPr>
        <w:ind w:left="720" w:hanging="720"/>
        <w:jc w:val="both"/>
        <w:rPr>
          <w:rFonts w:ascii="Avenir Next" w:hAnsi="Avenir Next" w:cs="Arial"/>
          <w:color w:val="808080" w:themeColor="background1" w:themeShade="80"/>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7E646A">
        <w:rPr>
          <w:rFonts w:ascii="Avenir Next Demi Bold" w:hAnsi="Avenir Next Demi Bold" w:cs="Arial"/>
          <w:b/>
          <w:bCs/>
          <w:sz w:val="22"/>
          <w:szCs w:val="22"/>
          <w:lang w:val="en-GB"/>
        </w:rPr>
        <w:t xml:space="preserve">Question 3.2 [maximum </w:t>
      </w:r>
      <w:r w:rsidR="00323940" w:rsidRPr="007E646A">
        <w:rPr>
          <w:rFonts w:ascii="Avenir Next Demi Bold" w:hAnsi="Avenir Next Demi Bold" w:cs="Arial"/>
          <w:b/>
          <w:bCs/>
          <w:sz w:val="22"/>
          <w:szCs w:val="22"/>
          <w:lang w:val="en-GB"/>
        </w:rPr>
        <w:t>3</w:t>
      </w:r>
      <w:r w:rsidRPr="007E646A">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516B126B" w14:textId="5C16727E" w:rsidR="00847089" w:rsidRDefault="00280513" w:rsidP="00A958B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protect the assets of the foreign debtor the court may </w:t>
      </w:r>
      <w:r w:rsidR="00E63F4A">
        <w:rPr>
          <w:rFonts w:ascii="Avenir Next" w:hAnsi="Avenir Next" w:cs="Arial"/>
          <w:color w:val="808080" w:themeColor="background1" w:themeShade="80"/>
          <w:sz w:val="22"/>
          <w:szCs w:val="22"/>
          <w:lang w:val="en-GB"/>
        </w:rPr>
        <w:t xml:space="preserve">stay the commencement </w:t>
      </w:r>
      <w:r w:rsidR="00325048">
        <w:rPr>
          <w:rFonts w:ascii="Avenir Next" w:hAnsi="Avenir Next" w:cs="Arial"/>
          <w:color w:val="808080" w:themeColor="background1" w:themeShade="80"/>
          <w:sz w:val="22"/>
          <w:szCs w:val="22"/>
          <w:lang w:val="en-GB"/>
        </w:rPr>
        <w:t xml:space="preserve">of </w:t>
      </w:r>
      <w:r w:rsidR="00256764">
        <w:rPr>
          <w:rFonts w:ascii="Avenir Next" w:hAnsi="Avenir Next" w:cs="Arial"/>
          <w:color w:val="808080" w:themeColor="background1" w:themeShade="80"/>
          <w:sz w:val="22"/>
          <w:szCs w:val="22"/>
          <w:lang w:val="en-GB"/>
        </w:rPr>
        <w:t xml:space="preserve">proceedings against the foreign debtor </w:t>
      </w:r>
      <w:r w:rsidR="00202CF6">
        <w:rPr>
          <w:rFonts w:ascii="Avenir Next" w:hAnsi="Avenir Next" w:cs="Arial"/>
          <w:color w:val="808080" w:themeColor="background1" w:themeShade="80"/>
          <w:sz w:val="22"/>
          <w:szCs w:val="22"/>
          <w:lang w:val="en-GB"/>
        </w:rPr>
        <w:t xml:space="preserve">by </w:t>
      </w:r>
      <w:r w:rsidR="00325048">
        <w:rPr>
          <w:rFonts w:ascii="Avenir Next" w:hAnsi="Avenir Next" w:cs="Arial"/>
          <w:color w:val="808080" w:themeColor="background1" w:themeShade="80"/>
          <w:sz w:val="22"/>
          <w:szCs w:val="22"/>
          <w:lang w:val="en-GB"/>
        </w:rPr>
        <w:t>indi</w:t>
      </w:r>
      <w:r w:rsidR="00021D66">
        <w:rPr>
          <w:rFonts w:ascii="Avenir Next" w:hAnsi="Avenir Next" w:cs="Arial"/>
          <w:color w:val="808080" w:themeColor="background1" w:themeShade="80"/>
          <w:sz w:val="22"/>
          <w:szCs w:val="22"/>
          <w:lang w:val="en-GB"/>
        </w:rPr>
        <w:t xml:space="preserve">vidual US-based </w:t>
      </w:r>
      <w:r w:rsidR="009106FE">
        <w:rPr>
          <w:rFonts w:ascii="Avenir Next" w:hAnsi="Avenir Next" w:cs="Arial"/>
          <w:color w:val="808080" w:themeColor="background1" w:themeShade="80"/>
          <w:sz w:val="22"/>
          <w:szCs w:val="22"/>
          <w:lang w:val="en-GB"/>
        </w:rPr>
        <w:t>creditors</w:t>
      </w:r>
      <w:r w:rsidR="00202CF6">
        <w:rPr>
          <w:rFonts w:ascii="Avenir Next" w:hAnsi="Avenir Next" w:cs="Arial"/>
          <w:color w:val="808080" w:themeColor="background1" w:themeShade="80"/>
          <w:sz w:val="22"/>
          <w:szCs w:val="22"/>
          <w:lang w:val="en-GB"/>
        </w:rPr>
        <w:t>.</w:t>
      </w:r>
      <w:r w:rsidR="00202CF6">
        <w:rPr>
          <w:rStyle w:val="FootnoteReference"/>
          <w:rFonts w:ascii="Avenir Next" w:hAnsi="Avenir Next" w:cs="Arial"/>
          <w:color w:val="808080" w:themeColor="background1" w:themeShade="80"/>
          <w:sz w:val="22"/>
          <w:szCs w:val="22"/>
          <w:lang w:val="en-GB"/>
        </w:rPr>
        <w:footnoteReference w:id="13"/>
      </w:r>
      <w:r w:rsidR="00E9341A">
        <w:rPr>
          <w:rFonts w:ascii="Avenir Next" w:hAnsi="Avenir Next" w:cs="Arial"/>
          <w:color w:val="808080" w:themeColor="background1" w:themeShade="80"/>
          <w:sz w:val="22"/>
          <w:szCs w:val="22"/>
          <w:lang w:val="en-GB"/>
        </w:rPr>
        <w:t xml:space="preserve"> </w:t>
      </w:r>
      <w:r w:rsidR="00456753">
        <w:rPr>
          <w:rFonts w:ascii="Avenir Next" w:hAnsi="Avenir Next" w:cs="Arial"/>
          <w:color w:val="808080" w:themeColor="background1" w:themeShade="80"/>
          <w:sz w:val="22"/>
          <w:szCs w:val="22"/>
          <w:lang w:val="en-GB"/>
        </w:rPr>
        <w:t>H</w:t>
      </w:r>
      <w:r w:rsidR="00D66937">
        <w:rPr>
          <w:rFonts w:ascii="Avenir Next" w:hAnsi="Avenir Next" w:cs="Arial"/>
          <w:color w:val="808080" w:themeColor="background1" w:themeShade="80"/>
          <w:sz w:val="22"/>
          <w:szCs w:val="22"/>
          <w:lang w:val="en-GB"/>
        </w:rPr>
        <w:t xml:space="preserve">owever, the US courts must ensure </w:t>
      </w:r>
      <w:r w:rsidR="00DA21DC">
        <w:rPr>
          <w:rFonts w:ascii="Avenir Next" w:hAnsi="Avenir Next" w:cs="Arial"/>
          <w:color w:val="808080" w:themeColor="background1" w:themeShade="80"/>
          <w:sz w:val="22"/>
          <w:szCs w:val="22"/>
          <w:lang w:val="en-GB"/>
        </w:rPr>
        <w:t xml:space="preserve">the relief granted to </w:t>
      </w:r>
      <w:r w:rsidR="006575CE">
        <w:rPr>
          <w:rFonts w:ascii="Avenir Next" w:hAnsi="Avenir Next" w:cs="Arial"/>
          <w:color w:val="808080" w:themeColor="background1" w:themeShade="80"/>
          <w:sz w:val="22"/>
          <w:szCs w:val="22"/>
          <w:lang w:val="en-GB"/>
        </w:rPr>
        <w:t>joint provisional liquidators</w:t>
      </w:r>
      <w:r w:rsidR="00F50203">
        <w:rPr>
          <w:rFonts w:ascii="Avenir Next" w:hAnsi="Avenir Next" w:cs="Arial"/>
          <w:color w:val="808080" w:themeColor="background1" w:themeShade="80"/>
          <w:sz w:val="22"/>
          <w:szCs w:val="22"/>
          <w:lang w:val="en-GB"/>
        </w:rPr>
        <w:t xml:space="preserve"> also satisfies the </w:t>
      </w:r>
      <w:r w:rsidR="009F07E0">
        <w:rPr>
          <w:rFonts w:ascii="Avenir Next" w:hAnsi="Avenir Next" w:cs="Arial"/>
          <w:color w:val="808080" w:themeColor="background1" w:themeShade="80"/>
          <w:sz w:val="22"/>
          <w:szCs w:val="22"/>
          <w:lang w:val="en-GB"/>
        </w:rPr>
        <w:t xml:space="preserve">interest of the </w:t>
      </w:r>
      <w:r w:rsidR="00A329A0">
        <w:rPr>
          <w:rFonts w:ascii="Avenir Next" w:hAnsi="Avenir Next" w:cs="Arial"/>
          <w:color w:val="808080" w:themeColor="background1" w:themeShade="80"/>
          <w:sz w:val="22"/>
          <w:szCs w:val="22"/>
          <w:lang w:val="en-GB"/>
        </w:rPr>
        <w:t xml:space="preserve">US-based </w:t>
      </w:r>
      <w:r w:rsidR="0076029F">
        <w:rPr>
          <w:rFonts w:ascii="Avenir Next" w:hAnsi="Avenir Next" w:cs="Arial"/>
          <w:color w:val="808080" w:themeColor="background1" w:themeShade="80"/>
          <w:sz w:val="22"/>
          <w:szCs w:val="22"/>
          <w:lang w:val="en-GB"/>
        </w:rPr>
        <w:t>vendors</w:t>
      </w:r>
      <w:r w:rsidR="000D25AA">
        <w:rPr>
          <w:rFonts w:ascii="Avenir Next" w:hAnsi="Avenir Next" w:cs="Arial"/>
          <w:color w:val="808080" w:themeColor="background1" w:themeShade="80"/>
          <w:sz w:val="22"/>
          <w:szCs w:val="22"/>
          <w:lang w:val="en-GB"/>
        </w:rPr>
        <w:t>.</w:t>
      </w:r>
      <w:r w:rsidR="000D25AA">
        <w:rPr>
          <w:rStyle w:val="FootnoteReference"/>
          <w:rFonts w:ascii="Avenir Next" w:hAnsi="Avenir Next" w:cs="Arial"/>
          <w:color w:val="808080" w:themeColor="background1" w:themeShade="80"/>
          <w:sz w:val="22"/>
          <w:szCs w:val="22"/>
          <w:lang w:val="en-GB"/>
        </w:rPr>
        <w:footnoteReference w:id="14"/>
      </w:r>
      <w:r w:rsidR="00A958B4">
        <w:rPr>
          <w:rFonts w:ascii="Avenir Next" w:hAnsi="Avenir Next" w:cs="Arial"/>
          <w:color w:val="808080" w:themeColor="background1" w:themeShade="80"/>
          <w:sz w:val="22"/>
          <w:szCs w:val="22"/>
          <w:lang w:val="en-GB"/>
        </w:rPr>
        <w:t xml:space="preserve"> </w:t>
      </w:r>
      <w:r w:rsidR="00EC19BC">
        <w:rPr>
          <w:rFonts w:ascii="Avenir Next" w:hAnsi="Avenir Next" w:cs="Arial"/>
          <w:color w:val="808080" w:themeColor="background1" w:themeShade="80"/>
          <w:sz w:val="22"/>
          <w:szCs w:val="22"/>
          <w:lang w:val="en-GB"/>
        </w:rPr>
        <w:t>The consequence of commencing recognition proceedings is determined by whether the enacting state has the COMI or the establishment.</w:t>
      </w:r>
      <w:r w:rsidR="00EC19BC">
        <w:rPr>
          <w:rStyle w:val="FootnoteReference"/>
          <w:rFonts w:ascii="Avenir Next" w:hAnsi="Avenir Next" w:cs="Arial"/>
          <w:color w:val="808080" w:themeColor="background1" w:themeShade="80"/>
          <w:sz w:val="22"/>
          <w:szCs w:val="22"/>
          <w:lang w:val="en-GB"/>
        </w:rPr>
        <w:footnoteReference w:id="15"/>
      </w:r>
    </w:p>
    <w:p w14:paraId="2414C4BC" w14:textId="77777777" w:rsidR="00847089" w:rsidRDefault="00847089" w:rsidP="00867A8F">
      <w:pPr>
        <w:ind w:left="720" w:hanging="720"/>
        <w:jc w:val="both"/>
        <w:rPr>
          <w:rFonts w:ascii="Avenir Next" w:hAnsi="Avenir Next" w:cs="Arial"/>
          <w:color w:val="808080" w:themeColor="background1" w:themeShade="80"/>
          <w:sz w:val="22"/>
          <w:szCs w:val="22"/>
          <w:lang w:val="en-GB"/>
        </w:rPr>
      </w:pPr>
    </w:p>
    <w:p w14:paraId="3937CDFF" w14:textId="02D7AE02" w:rsidR="00867A8F" w:rsidRDefault="000916B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enacting state has COMI</w:t>
      </w:r>
      <w:r w:rsidR="003B17E8">
        <w:rPr>
          <w:rFonts w:ascii="Avenir Next" w:hAnsi="Avenir Next" w:cs="Arial"/>
          <w:color w:val="808080" w:themeColor="background1" w:themeShade="80"/>
          <w:sz w:val="22"/>
          <w:szCs w:val="22"/>
          <w:lang w:val="en-GB"/>
        </w:rPr>
        <w:t xml:space="preserve"> </w:t>
      </w:r>
      <w:r w:rsidR="000F2042">
        <w:rPr>
          <w:rFonts w:ascii="Avenir Next" w:hAnsi="Avenir Next" w:cs="Arial"/>
          <w:color w:val="808080" w:themeColor="background1" w:themeShade="80"/>
          <w:sz w:val="22"/>
          <w:szCs w:val="22"/>
          <w:lang w:val="en-GB"/>
        </w:rPr>
        <w:t xml:space="preserve">the proceedings </w:t>
      </w:r>
      <w:r w:rsidR="00B17C93">
        <w:rPr>
          <w:rFonts w:ascii="Avenir Next" w:hAnsi="Avenir Next" w:cs="Arial"/>
          <w:color w:val="808080" w:themeColor="background1" w:themeShade="80"/>
          <w:sz w:val="22"/>
          <w:szCs w:val="22"/>
          <w:lang w:val="en-GB"/>
        </w:rPr>
        <w:t xml:space="preserve">will be recognised as </w:t>
      </w:r>
      <w:r w:rsidR="00860396">
        <w:rPr>
          <w:rFonts w:ascii="Avenir Next" w:hAnsi="Avenir Next" w:cs="Arial"/>
          <w:color w:val="808080" w:themeColor="background1" w:themeShade="80"/>
          <w:sz w:val="22"/>
          <w:szCs w:val="22"/>
          <w:lang w:val="en-GB"/>
        </w:rPr>
        <w:t>foreign main proceedings</w:t>
      </w:r>
      <w:r w:rsidR="00A351B2">
        <w:rPr>
          <w:rFonts w:ascii="Avenir Next" w:hAnsi="Avenir Next" w:cs="Arial"/>
          <w:color w:val="808080" w:themeColor="background1" w:themeShade="80"/>
          <w:sz w:val="22"/>
          <w:szCs w:val="22"/>
          <w:lang w:val="en-GB"/>
        </w:rPr>
        <w:t>.</w:t>
      </w:r>
      <w:r w:rsidR="00A351B2">
        <w:rPr>
          <w:rStyle w:val="FootnoteReference"/>
          <w:rFonts w:ascii="Avenir Next" w:hAnsi="Avenir Next" w:cs="Arial"/>
          <w:color w:val="808080" w:themeColor="background1" w:themeShade="80"/>
          <w:sz w:val="22"/>
          <w:szCs w:val="22"/>
          <w:lang w:val="en-GB"/>
        </w:rPr>
        <w:footnoteReference w:id="16"/>
      </w:r>
      <w:r w:rsidR="0061093D">
        <w:rPr>
          <w:rFonts w:ascii="Avenir Next" w:hAnsi="Avenir Next" w:cs="Arial"/>
          <w:color w:val="808080" w:themeColor="background1" w:themeShade="80"/>
          <w:sz w:val="22"/>
          <w:szCs w:val="22"/>
          <w:lang w:val="en-GB"/>
        </w:rPr>
        <w:t xml:space="preserve"> The e</w:t>
      </w:r>
      <w:r w:rsidR="004375A6">
        <w:rPr>
          <w:rFonts w:ascii="Avenir Next" w:hAnsi="Avenir Next" w:cs="Arial"/>
          <w:color w:val="808080" w:themeColor="background1" w:themeShade="80"/>
          <w:sz w:val="22"/>
          <w:szCs w:val="22"/>
          <w:lang w:val="en-GB"/>
        </w:rPr>
        <w:t>ffect of commencing foreign main proceeding</w:t>
      </w:r>
      <w:r w:rsidR="0075334C">
        <w:rPr>
          <w:rFonts w:ascii="Avenir Next" w:hAnsi="Avenir Next" w:cs="Arial"/>
          <w:color w:val="808080" w:themeColor="background1" w:themeShade="80"/>
          <w:sz w:val="22"/>
          <w:szCs w:val="22"/>
          <w:lang w:val="en-GB"/>
        </w:rPr>
        <w:t xml:space="preserve"> for</w:t>
      </w:r>
      <w:r w:rsidR="004B393E">
        <w:rPr>
          <w:rFonts w:ascii="Avenir Next" w:hAnsi="Avenir Next" w:cs="Arial"/>
          <w:color w:val="808080" w:themeColor="background1" w:themeShade="80"/>
          <w:sz w:val="22"/>
          <w:szCs w:val="22"/>
          <w:lang w:val="en-GB"/>
        </w:rPr>
        <w:t xml:space="preserve"> foreign debtor </w:t>
      </w:r>
      <w:r w:rsidR="00DE3F8A">
        <w:rPr>
          <w:rFonts w:ascii="Avenir Next" w:hAnsi="Avenir Next" w:cs="Arial"/>
          <w:color w:val="808080" w:themeColor="background1" w:themeShade="80"/>
          <w:sz w:val="22"/>
          <w:szCs w:val="22"/>
          <w:lang w:val="en-GB"/>
        </w:rPr>
        <w:t xml:space="preserve">acquires automatic </w:t>
      </w:r>
      <w:r w:rsidR="005A5C6B">
        <w:rPr>
          <w:rFonts w:ascii="Avenir Next" w:hAnsi="Avenir Next" w:cs="Arial"/>
          <w:color w:val="808080" w:themeColor="background1" w:themeShade="80"/>
          <w:sz w:val="22"/>
          <w:szCs w:val="22"/>
          <w:lang w:val="en-GB"/>
        </w:rPr>
        <w:t>mandatory relief.</w:t>
      </w:r>
      <w:r w:rsidR="005A5C6B">
        <w:rPr>
          <w:rStyle w:val="FootnoteReference"/>
          <w:rFonts w:ascii="Avenir Next" w:hAnsi="Avenir Next" w:cs="Arial"/>
          <w:color w:val="808080" w:themeColor="background1" w:themeShade="80"/>
          <w:sz w:val="22"/>
          <w:szCs w:val="22"/>
          <w:lang w:val="en-GB"/>
        </w:rPr>
        <w:footnoteReference w:id="17"/>
      </w:r>
      <w:r w:rsidR="0075334C">
        <w:rPr>
          <w:rFonts w:ascii="Avenir Next" w:hAnsi="Avenir Next" w:cs="Arial"/>
          <w:color w:val="808080" w:themeColor="background1" w:themeShade="80"/>
          <w:sz w:val="22"/>
          <w:szCs w:val="22"/>
          <w:lang w:val="en-GB"/>
        </w:rPr>
        <w:t xml:space="preserve"> </w:t>
      </w:r>
      <w:r w:rsidR="00892DDC">
        <w:rPr>
          <w:rFonts w:ascii="Avenir Next" w:hAnsi="Avenir Next" w:cs="Arial"/>
          <w:color w:val="808080" w:themeColor="background1" w:themeShade="80"/>
          <w:sz w:val="22"/>
          <w:szCs w:val="22"/>
          <w:lang w:val="en-GB"/>
        </w:rPr>
        <w:t>T</w:t>
      </w:r>
      <w:r w:rsidR="00442CFA">
        <w:rPr>
          <w:rFonts w:ascii="Avenir Next" w:hAnsi="Avenir Next" w:cs="Arial"/>
          <w:color w:val="808080" w:themeColor="background1" w:themeShade="80"/>
          <w:sz w:val="22"/>
          <w:szCs w:val="22"/>
          <w:lang w:val="en-GB"/>
        </w:rPr>
        <w:t xml:space="preserve">he US-based </w:t>
      </w:r>
      <w:r w:rsidR="00385045">
        <w:rPr>
          <w:rFonts w:ascii="Avenir Next" w:hAnsi="Avenir Next" w:cs="Arial"/>
          <w:color w:val="808080" w:themeColor="background1" w:themeShade="80"/>
          <w:sz w:val="22"/>
          <w:szCs w:val="22"/>
          <w:lang w:val="en-GB"/>
        </w:rPr>
        <w:t>vendors</w:t>
      </w:r>
      <w:r w:rsidR="001536D0">
        <w:rPr>
          <w:rFonts w:ascii="Avenir Next" w:hAnsi="Avenir Next" w:cs="Arial"/>
          <w:color w:val="808080" w:themeColor="background1" w:themeShade="80"/>
          <w:sz w:val="22"/>
          <w:szCs w:val="22"/>
          <w:lang w:val="en-GB"/>
        </w:rPr>
        <w:t xml:space="preserve"> of the foreign debtor </w:t>
      </w:r>
      <w:r w:rsidR="00AF5A97">
        <w:rPr>
          <w:rFonts w:ascii="Avenir Next" w:hAnsi="Avenir Next" w:cs="Arial"/>
          <w:color w:val="808080" w:themeColor="background1" w:themeShade="80"/>
          <w:sz w:val="22"/>
          <w:szCs w:val="22"/>
          <w:lang w:val="en-GB"/>
        </w:rPr>
        <w:t xml:space="preserve">will automatically be prevented from commencing </w:t>
      </w:r>
      <w:r w:rsidR="00B67F38">
        <w:rPr>
          <w:rFonts w:ascii="Avenir Next" w:hAnsi="Avenir Next" w:cs="Arial"/>
          <w:color w:val="808080" w:themeColor="background1" w:themeShade="80"/>
          <w:sz w:val="22"/>
          <w:szCs w:val="22"/>
          <w:lang w:val="en-GB"/>
        </w:rPr>
        <w:t xml:space="preserve">individual </w:t>
      </w:r>
      <w:r w:rsidR="00207C65">
        <w:rPr>
          <w:rFonts w:ascii="Avenir Next" w:hAnsi="Avenir Next" w:cs="Arial"/>
          <w:color w:val="808080" w:themeColor="background1" w:themeShade="80"/>
          <w:sz w:val="22"/>
          <w:szCs w:val="22"/>
          <w:lang w:val="en-GB"/>
        </w:rPr>
        <w:t xml:space="preserve">proceedings </w:t>
      </w:r>
      <w:r w:rsidR="00394030">
        <w:rPr>
          <w:rFonts w:ascii="Avenir Next" w:hAnsi="Avenir Next" w:cs="Arial"/>
          <w:color w:val="808080" w:themeColor="background1" w:themeShade="80"/>
          <w:sz w:val="22"/>
          <w:szCs w:val="22"/>
          <w:lang w:val="en-GB"/>
        </w:rPr>
        <w:t>against the debtor</w:t>
      </w:r>
      <w:r w:rsidR="00EB166F">
        <w:rPr>
          <w:rStyle w:val="FootnoteReference"/>
          <w:rFonts w:ascii="Avenir Next" w:hAnsi="Avenir Next" w:cs="Arial"/>
          <w:color w:val="808080" w:themeColor="background1" w:themeShade="80"/>
          <w:sz w:val="22"/>
          <w:szCs w:val="22"/>
          <w:lang w:val="en-GB"/>
        </w:rPr>
        <w:footnoteReference w:id="18"/>
      </w:r>
      <w:r w:rsidR="00987568">
        <w:rPr>
          <w:rFonts w:ascii="Avenir Next" w:hAnsi="Avenir Next" w:cs="Arial"/>
          <w:color w:val="808080" w:themeColor="background1" w:themeShade="80"/>
          <w:sz w:val="22"/>
          <w:szCs w:val="22"/>
          <w:lang w:val="en-GB"/>
        </w:rPr>
        <w:t xml:space="preserve"> but there are exemptions to this </w:t>
      </w:r>
      <w:r w:rsidR="00EB166F">
        <w:rPr>
          <w:rFonts w:ascii="Avenir Next" w:hAnsi="Avenir Next" w:cs="Arial"/>
          <w:color w:val="808080" w:themeColor="background1" w:themeShade="80"/>
          <w:sz w:val="22"/>
          <w:szCs w:val="22"/>
          <w:lang w:val="en-GB"/>
        </w:rPr>
        <w:t>rule.</w:t>
      </w:r>
      <w:r w:rsidR="00E945C5">
        <w:rPr>
          <w:rFonts w:ascii="Avenir Next" w:hAnsi="Avenir Next" w:cs="Arial"/>
          <w:color w:val="808080" w:themeColor="background1" w:themeShade="80"/>
          <w:sz w:val="22"/>
          <w:szCs w:val="22"/>
          <w:lang w:val="en-GB"/>
        </w:rPr>
        <w:t xml:space="preserve"> </w:t>
      </w:r>
      <w:r w:rsidR="00881ED5">
        <w:rPr>
          <w:rFonts w:ascii="Avenir Next" w:hAnsi="Avenir Next" w:cs="Arial"/>
          <w:color w:val="808080" w:themeColor="background1" w:themeShade="80"/>
          <w:sz w:val="22"/>
          <w:szCs w:val="22"/>
          <w:lang w:val="en-GB"/>
        </w:rPr>
        <w:t>The US</w:t>
      </w:r>
      <w:r w:rsidR="0042616E">
        <w:rPr>
          <w:rFonts w:ascii="Avenir Next" w:hAnsi="Avenir Next" w:cs="Arial"/>
          <w:color w:val="808080" w:themeColor="background1" w:themeShade="80"/>
          <w:sz w:val="22"/>
          <w:szCs w:val="22"/>
          <w:lang w:val="en-GB"/>
        </w:rPr>
        <w:t xml:space="preserve">-based vendors may provide evidence to show that their </w:t>
      </w:r>
      <w:r w:rsidR="00622D8F">
        <w:rPr>
          <w:rFonts w:ascii="Avenir Next" w:hAnsi="Avenir Next" w:cs="Arial"/>
          <w:color w:val="808080" w:themeColor="background1" w:themeShade="80"/>
          <w:sz w:val="22"/>
          <w:szCs w:val="22"/>
          <w:lang w:val="en-GB"/>
        </w:rPr>
        <w:t>individual claim</w:t>
      </w:r>
      <w:r w:rsidR="0016615A">
        <w:rPr>
          <w:rFonts w:ascii="Avenir Next" w:hAnsi="Avenir Next" w:cs="Arial"/>
          <w:color w:val="808080" w:themeColor="background1" w:themeShade="80"/>
          <w:sz w:val="22"/>
          <w:szCs w:val="22"/>
          <w:lang w:val="en-GB"/>
        </w:rPr>
        <w:t xml:space="preserve">s are necessary </w:t>
      </w:r>
      <w:r w:rsidR="0092479D">
        <w:rPr>
          <w:rFonts w:ascii="Avenir Next" w:hAnsi="Avenir Next" w:cs="Arial"/>
          <w:color w:val="808080" w:themeColor="background1" w:themeShade="80"/>
          <w:sz w:val="22"/>
          <w:szCs w:val="22"/>
          <w:lang w:val="en-GB"/>
        </w:rPr>
        <w:t>to pre</w:t>
      </w:r>
      <w:r w:rsidR="00A30707">
        <w:rPr>
          <w:rFonts w:ascii="Avenir Next" w:hAnsi="Avenir Next" w:cs="Arial"/>
          <w:color w:val="808080" w:themeColor="background1" w:themeShade="80"/>
          <w:sz w:val="22"/>
          <w:szCs w:val="22"/>
          <w:lang w:val="en-GB"/>
        </w:rPr>
        <w:t>serve</w:t>
      </w:r>
      <w:r w:rsidR="003F37B1">
        <w:rPr>
          <w:rFonts w:ascii="Avenir Next" w:hAnsi="Avenir Next" w:cs="Arial"/>
          <w:color w:val="808080" w:themeColor="background1" w:themeShade="80"/>
          <w:sz w:val="22"/>
          <w:szCs w:val="22"/>
          <w:lang w:val="en-GB"/>
        </w:rPr>
        <w:t xml:space="preserve"> a claim </w:t>
      </w:r>
      <w:r w:rsidR="00AC4231">
        <w:rPr>
          <w:rFonts w:ascii="Avenir Next" w:hAnsi="Avenir Next" w:cs="Arial"/>
          <w:color w:val="808080" w:themeColor="background1" w:themeShade="80"/>
          <w:sz w:val="22"/>
          <w:szCs w:val="22"/>
          <w:lang w:val="en-GB"/>
        </w:rPr>
        <w:t>against the debtor</w:t>
      </w:r>
      <w:r w:rsidR="009745D0">
        <w:rPr>
          <w:rFonts w:ascii="Avenir Next" w:hAnsi="Avenir Next" w:cs="Arial"/>
          <w:color w:val="808080" w:themeColor="background1" w:themeShade="80"/>
          <w:sz w:val="22"/>
          <w:szCs w:val="22"/>
          <w:lang w:val="en-GB"/>
        </w:rPr>
        <w:t xml:space="preserve">, but </w:t>
      </w:r>
      <w:r w:rsidR="00493D73">
        <w:rPr>
          <w:rFonts w:ascii="Avenir Next" w:hAnsi="Avenir Next" w:cs="Arial"/>
          <w:color w:val="808080" w:themeColor="background1" w:themeShade="80"/>
          <w:sz w:val="22"/>
          <w:szCs w:val="22"/>
          <w:lang w:val="en-GB"/>
        </w:rPr>
        <w:t>t</w:t>
      </w:r>
      <w:r w:rsidR="009745D0">
        <w:rPr>
          <w:rFonts w:ascii="Avenir Next" w:hAnsi="Avenir Next" w:cs="Arial"/>
          <w:color w:val="808080" w:themeColor="background1" w:themeShade="80"/>
          <w:sz w:val="22"/>
          <w:szCs w:val="22"/>
          <w:lang w:val="en-GB"/>
        </w:rPr>
        <w:t>his will not automatically remove the stay</w:t>
      </w:r>
      <w:r w:rsidR="008F7969">
        <w:rPr>
          <w:rFonts w:ascii="Avenir Next" w:hAnsi="Avenir Next" w:cs="Arial"/>
          <w:color w:val="808080" w:themeColor="background1" w:themeShade="80"/>
          <w:sz w:val="22"/>
          <w:szCs w:val="22"/>
          <w:lang w:val="en-GB"/>
        </w:rPr>
        <w:t>.</w:t>
      </w:r>
      <w:r w:rsidR="008F7969">
        <w:rPr>
          <w:rStyle w:val="FootnoteReference"/>
          <w:rFonts w:ascii="Avenir Next" w:hAnsi="Avenir Next" w:cs="Arial"/>
          <w:color w:val="808080" w:themeColor="background1" w:themeShade="80"/>
          <w:sz w:val="22"/>
          <w:szCs w:val="22"/>
          <w:lang w:val="en-GB"/>
        </w:rPr>
        <w:footnoteReference w:id="19"/>
      </w:r>
      <w:r w:rsidR="00EF30B7">
        <w:rPr>
          <w:rFonts w:ascii="Avenir Next" w:hAnsi="Avenir Next" w:cs="Arial"/>
          <w:color w:val="808080" w:themeColor="background1" w:themeShade="80"/>
          <w:sz w:val="22"/>
          <w:szCs w:val="22"/>
          <w:lang w:val="en-GB"/>
        </w:rPr>
        <w:t xml:space="preserve"> Additionally, if the US has modified </w:t>
      </w:r>
      <w:r w:rsidR="008E1127">
        <w:rPr>
          <w:rFonts w:ascii="Avenir Next" w:hAnsi="Avenir Next" w:cs="Arial"/>
          <w:color w:val="808080" w:themeColor="background1" w:themeShade="80"/>
          <w:sz w:val="22"/>
          <w:szCs w:val="22"/>
          <w:lang w:val="en-GB"/>
        </w:rPr>
        <w:t xml:space="preserve">art 20 paragraphs </w:t>
      </w:r>
      <w:r w:rsidR="00E35C83">
        <w:rPr>
          <w:rFonts w:ascii="Avenir Next" w:hAnsi="Avenir Next" w:cs="Arial"/>
          <w:color w:val="808080" w:themeColor="background1" w:themeShade="80"/>
          <w:sz w:val="22"/>
          <w:szCs w:val="22"/>
          <w:lang w:val="en-GB"/>
        </w:rPr>
        <w:t xml:space="preserve">2 and 4 to include protection to the </w:t>
      </w:r>
      <w:r w:rsidR="004E2F19">
        <w:rPr>
          <w:rFonts w:ascii="Avenir Next" w:hAnsi="Avenir Next" w:cs="Arial"/>
          <w:color w:val="808080" w:themeColor="background1" w:themeShade="80"/>
          <w:sz w:val="22"/>
          <w:szCs w:val="22"/>
          <w:lang w:val="en-GB"/>
        </w:rPr>
        <w:t>US-based creditors’ type of interest then the automatic stay can be suspended</w:t>
      </w:r>
      <w:r w:rsidR="00E43A0E">
        <w:rPr>
          <w:rFonts w:ascii="Avenir Next" w:hAnsi="Avenir Next" w:cs="Arial"/>
          <w:color w:val="808080" w:themeColor="background1" w:themeShade="80"/>
          <w:sz w:val="22"/>
          <w:szCs w:val="22"/>
          <w:lang w:val="en-GB"/>
        </w:rPr>
        <w:t xml:space="preserve"> allowing the claim proceeding by the US</w:t>
      </w:r>
      <w:r w:rsidR="003D4ECE">
        <w:rPr>
          <w:rFonts w:ascii="Avenir Next" w:hAnsi="Avenir Next" w:cs="Arial"/>
          <w:color w:val="808080" w:themeColor="background1" w:themeShade="80"/>
          <w:sz w:val="22"/>
          <w:szCs w:val="22"/>
          <w:lang w:val="en-GB"/>
        </w:rPr>
        <w:t xml:space="preserve">-based </w:t>
      </w:r>
      <w:r w:rsidR="00B64561">
        <w:rPr>
          <w:rFonts w:ascii="Avenir Next" w:hAnsi="Avenir Next" w:cs="Arial"/>
          <w:color w:val="808080" w:themeColor="background1" w:themeShade="80"/>
          <w:sz w:val="22"/>
          <w:szCs w:val="22"/>
          <w:lang w:val="en-GB"/>
        </w:rPr>
        <w:t>creditors to continue</w:t>
      </w:r>
      <w:r w:rsidR="004E2F19">
        <w:rPr>
          <w:rFonts w:ascii="Avenir Next" w:hAnsi="Avenir Next" w:cs="Arial"/>
          <w:color w:val="808080" w:themeColor="background1" w:themeShade="80"/>
          <w:sz w:val="22"/>
          <w:szCs w:val="22"/>
          <w:lang w:val="en-GB"/>
        </w:rPr>
        <w:t>.</w:t>
      </w:r>
    </w:p>
    <w:p w14:paraId="0A196A5A" w14:textId="77777777" w:rsidR="00596580" w:rsidRDefault="00596580" w:rsidP="00867A8F">
      <w:pPr>
        <w:ind w:left="720" w:hanging="720"/>
        <w:jc w:val="both"/>
        <w:rPr>
          <w:rFonts w:ascii="Avenir Next" w:hAnsi="Avenir Next" w:cs="Arial"/>
          <w:color w:val="808080" w:themeColor="background1" w:themeShade="80"/>
          <w:sz w:val="22"/>
          <w:szCs w:val="22"/>
          <w:lang w:val="en-GB"/>
        </w:rPr>
      </w:pPr>
    </w:p>
    <w:p w14:paraId="1AD7227D" w14:textId="54498775" w:rsidR="00BE1DFB" w:rsidRDefault="00BE1DF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if the foreign debtor’s establishment is located in the US</w:t>
      </w:r>
      <w:r w:rsidR="0013041B">
        <w:rPr>
          <w:rFonts w:ascii="Avenir Next" w:hAnsi="Avenir Next" w:cs="Arial"/>
          <w:color w:val="808080" w:themeColor="background1" w:themeShade="80"/>
          <w:sz w:val="22"/>
          <w:szCs w:val="22"/>
          <w:lang w:val="en-GB"/>
        </w:rPr>
        <w:t xml:space="preserve">, the </w:t>
      </w:r>
      <w:r w:rsidR="009617B3">
        <w:rPr>
          <w:rFonts w:ascii="Avenir Next" w:hAnsi="Avenir Next" w:cs="Arial"/>
          <w:color w:val="808080" w:themeColor="background1" w:themeShade="80"/>
          <w:sz w:val="22"/>
          <w:szCs w:val="22"/>
          <w:lang w:val="en-GB"/>
        </w:rPr>
        <w:t>stay on the proceedings</w:t>
      </w:r>
      <w:r w:rsidR="00873E37">
        <w:rPr>
          <w:rFonts w:ascii="Avenir Next" w:hAnsi="Avenir Next" w:cs="Arial"/>
          <w:color w:val="808080" w:themeColor="background1" w:themeShade="80"/>
          <w:sz w:val="22"/>
          <w:szCs w:val="22"/>
          <w:lang w:val="en-GB"/>
        </w:rPr>
        <w:t xml:space="preserve"> by the US-based creditors</w:t>
      </w:r>
      <w:r w:rsidR="00C65CFB">
        <w:rPr>
          <w:rFonts w:ascii="Avenir Next" w:hAnsi="Avenir Next" w:cs="Arial"/>
          <w:color w:val="808080" w:themeColor="background1" w:themeShade="80"/>
          <w:sz w:val="22"/>
          <w:szCs w:val="22"/>
          <w:lang w:val="en-GB"/>
        </w:rPr>
        <w:t xml:space="preserve"> </w:t>
      </w:r>
      <w:r w:rsidR="00FD5984">
        <w:rPr>
          <w:rFonts w:ascii="Avenir Next" w:hAnsi="Avenir Next" w:cs="Arial"/>
          <w:color w:val="808080" w:themeColor="background1" w:themeShade="80"/>
          <w:sz w:val="22"/>
          <w:szCs w:val="22"/>
          <w:lang w:val="en-GB"/>
        </w:rPr>
        <w:t>is</w:t>
      </w:r>
      <w:r w:rsidR="00C65CFB">
        <w:rPr>
          <w:rFonts w:ascii="Avenir Next" w:hAnsi="Avenir Next" w:cs="Arial"/>
          <w:color w:val="808080" w:themeColor="background1" w:themeShade="80"/>
          <w:sz w:val="22"/>
          <w:szCs w:val="22"/>
          <w:lang w:val="en-GB"/>
        </w:rPr>
        <w:t xml:space="preserve"> at the discretion of the </w:t>
      </w:r>
      <w:r w:rsidR="00C31BD4">
        <w:rPr>
          <w:rFonts w:ascii="Avenir Next" w:hAnsi="Avenir Next" w:cs="Arial"/>
          <w:color w:val="808080" w:themeColor="background1" w:themeShade="80"/>
          <w:sz w:val="22"/>
          <w:szCs w:val="22"/>
          <w:lang w:val="en-GB"/>
        </w:rPr>
        <w:t>US courts</w:t>
      </w:r>
      <w:r w:rsidR="00577EF9">
        <w:rPr>
          <w:rFonts w:ascii="Avenir Next" w:hAnsi="Avenir Next" w:cs="Arial"/>
          <w:color w:val="808080" w:themeColor="background1" w:themeShade="80"/>
          <w:sz w:val="22"/>
          <w:szCs w:val="22"/>
          <w:lang w:val="en-GB"/>
        </w:rPr>
        <w:t xml:space="preserve"> which is a post recognitional </w:t>
      </w:r>
      <w:r w:rsidR="001C7C4C">
        <w:rPr>
          <w:rFonts w:ascii="Avenir Next" w:hAnsi="Avenir Next" w:cs="Arial"/>
          <w:color w:val="808080" w:themeColor="background1" w:themeShade="80"/>
          <w:sz w:val="22"/>
          <w:szCs w:val="22"/>
          <w:lang w:val="en-GB"/>
        </w:rPr>
        <w:t>relief</w:t>
      </w:r>
      <w:r w:rsidR="00933B93">
        <w:rPr>
          <w:rFonts w:ascii="Avenir Next" w:hAnsi="Avenir Next" w:cs="Arial"/>
          <w:color w:val="808080" w:themeColor="background1" w:themeShade="80"/>
          <w:sz w:val="22"/>
          <w:szCs w:val="22"/>
          <w:lang w:val="en-GB"/>
        </w:rPr>
        <w:t>.</w:t>
      </w:r>
      <w:r w:rsidR="00933B93">
        <w:rPr>
          <w:rStyle w:val="FootnoteReference"/>
          <w:rFonts w:ascii="Avenir Next" w:hAnsi="Avenir Next" w:cs="Arial"/>
          <w:color w:val="808080" w:themeColor="background1" w:themeShade="80"/>
          <w:sz w:val="22"/>
          <w:szCs w:val="22"/>
          <w:lang w:val="en-GB"/>
        </w:rPr>
        <w:footnoteReference w:id="20"/>
      </w:r>
      <w:r w:rsidR="00FD5984">
        <w:rPr>
          <w:rFonts w:ascii="Avenir Next" w:hAnsi="Avenir Next" w:cs="Arial"/>
          <w:color w:val="808080" w:themeColor="background1" w:themeShade="80"/>
          <w:sz w:val="22"/>
          <w:szCs w:val="22"/>
          <w:lang w:val="en-GB"/>
        </w:rPr>
        <w:t xml:space="preserve"> </w:t>
      </w:r>
    </w:p>
    <w:p w14:paraId="379207EF" w14:textId="55660F54" w:rsidR="00E26605" w:rsidRPr="00B77352" w:rsidRDefault="00AD5BE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1B21F8">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nally, </w:t>
      </w:r>
      <w:r w:rsidR="00462A03">
        <w:rPr>
          <w:rFonts w:ascii="Avenir Next" w:hAnsi="Avenir Next" w:cs="Arial"/>
          <w:color w:val="808080" w:themeColor="background1" w:themeShade="80"/>
          <w:sz w:val="22"/>
          <w:szCs w:val="22"/>
          <w:lang w:val="en-GB"/>
        </w:rPr>
        <w:t xml:space="preserve">if the </w:t>
      </w:r>
      <w:r w:rsidR="00667FBB">
        <w:rPr>
          <w:rFonts w:ascii="Avenir Next" w:hAnsi="Avenir Next" w:cs="Arial"/>
          <w:color w:val="808080" w:themeColor="background1" w:themeShade="80"/>
          <w:sz w:val="22"/>
          <w:szCs w:val="22"/>
          <w:lang w:val="en-GB"/>
        </w:rPr>
        <w:t>re</w:t>
      </w:r>
      <w:r w:rsidR="003947EB">
        <w:rPr>
          <w:rFonts w:ascii="Avenir Next" w:hAnsi="Avenir Next" w:cs="Arial"/>
          <w:color w:val="808080" w:themeColor="background1" w:themeShade="80"/>
          <w:sz w:val="22"/>
          <w:szCs w:val="22"/>
          <w:lang w:val="en-GB"/>
        </w:rPr>
        <w:t xml:space="preserve">cognition decision </w:t>
      </w:r>
      <w:r w:rsidR="00A327E6">
        <w:rPr>
          <w:rFonts w:ascii="Avenir Next" w:hAnsi="Avenir Next" w:cs="Arial"/>
          <w:color w:val="808080" w:themeColor="background1" w:themeShade="80"/>
          <w:sz w:val="22"/>
          <w:szCs w:val="22"/>
          <w:lang w:val="en-GB"/>
        </w:rPr>
        <w:t xml:space="preserve">is obtained by the joint </w:t>
      </w:r>
      <w:r w:rsidR="00A327E6" w:rsidRPr="00A327E6">
        <w:rPr>
          <w:rFonts w:ascii="Avenir Next" w:hAnsi="Avenir Next" w:cs="Arial"/>
          <w:color w:val="808080" w:themeColor="background1" w:themeShade="80"/>
          <w:sz w:val="22"/>
          <w:szCs w:val="22"/>
          <w:lang w:val="en-GB"/>
        </w:rPr>
        <w:t>provisional liquidators</w:t>
      </w:r>
      <w:r w:rsidR="00650AD0">
        <w:rPr>
          <w:rFonts w:ascii="Avenir Next" w:hAnsi="Avenir Next" w:cs="Arial"/>
          <w:color w:val="808080" w:themeColor="background1" w:themeShade="80"/>
          <w:sz w:val="22"/>
          <w:szCs w:val="22"/>
          <w:lang w:val="en-GB"/>
        </w:rPr>
        <w:t xml:space="preserve"> are able to </w:t>
      </w:r>
      <w:r w:rsidR="00D179FF">
        <w:rPr>
          <w:rFonts w:ascii="Avenir Next" w:hAnsi="Avenir Next" w:cs="Arial"/>
          <w:color w:val="808080" w:themeColor="background1" w:themeShade="80"/>
          <w:sz w:val="22"/>
          <w:szCs w:val="22"/>
          <w:lang w:val="en-GB"/>
        </w:rPr>
        <w:t>initiate</w:t>
      </w:r>
      <w:r w:rsidR="00F059A8">
        <w:rPr>
          <w:rFonts w:ascii="Avenir Next" w:hAnsi="Avenir Next" w:cs="Arial"/>
          <w:color w:val="808080" w:themeColor="background1" w:themeShade="80"/>
          <w:sz w:val="22"/>
          <w:szCs w:val="22"/>
          <w:lang w:val="en-GB"/>
        </w:rPr>
        <w:t xml:space="preserve"> actions under the US </w:t>
      </w:r>
      <w:r w:rsidR="004D6373">
        <w:rPr>
          <w:rFonts w:ascii="Avenir Next" w:hAnsi="Avenir Next" w:cs="Arial"/>
          <w:color w:val="808080" w:themeColor="background1" w:themeShade="80"/>
          <w:sz w:val="22"/>
          <w:szCs w:val="22"/>
          <w:lang w:val="en-GB"/>
        </w:rPr>
        <w:t xml:space="preserve">laws to </w:t>
      </w:r>
      <w:r w:rsidR="00381319">
        <w:rPr>
          <w:rFonts w:ascii="Avenir Next" w:hAnsi="Avenir Next" w:cs="Arial"/>
          <w:color w:val="808080" w:themeColor="background1" w:themeShade="80"/>
          <w:sz w:val="22"/>
          <w:szCs w:val="22"/>
          <w:lang w:val="en-GB"/>
        </w:rPr>
        <w:t xml:space="preserve">avoid or </w:t>
      </w:r>
      <w:r w:rsidR="005A4E85">
        <w:rPr>
          <w:rFonts w:ascii="Avenir Next" w:hAnsi="Avenir Next" w:cs="Arial"/>
          <w:color w:val="808080" w:themeColor="background1" w:themeShade="80"/>
          <w:sz w:val="22"/>
          <w:szCs w:val="22"/>
          <w:lang w:val="en-GB"/>
        </w:rPr>
        <w:t xml:space="preserve">render </w:t>
      </w:r>
      <w:r w:rsidR="004E29F9">
        <w:rPr>
          <w:rFonts w:ascii="Avenir Next" w:hAnsi="Avenir Next" w:cs="Arial"/>
          <w:color w:val="808080" w:themeColor="background1" w:themeShade="80"/>
          <w:sz w:val="22"/>
          <w:szCs w:val="22"/>
          <w:lang w:val="en-GB"/>
        </w:rPr>
        <w:t xml:space="preserve">ineffective </w:t>
      </w:r>
      <w:r w:rsidR="00A332B6">
        <w:rPr>
          <w:rFonts w:ascii="Avenir Next" w:hAnsi="Avenir Next" w:cs="Arial"/>
          <w:color w:val="808080" w:themeColor="background1" w:themeShade="80"/>
          <w:sz w:val="22"/>
          <w:szCs w:val="22"/>
          <w:lang w:val="en-GB"/>
        </w:rPr>
        <w:t>the commenced legal proceedings by the US based creditors.</w:t>
      </w:r>
      <w:r w:rsidR="00A332B6">
        <w:rPr>
          <w:rStyle w:val="FootnoteReference"/>
          <w:rFonts w:ascii="Avenir Next" w:hAnsi="Avenir Next" w:cs="Arial"/>
          <w:color w:val="808080" w:themeColor="background1" w:themeShade="80"/>
          <w:sz w:val="22"/>
          <w:szCs w:val="22"/>
          <w:lang w:val="en-GB"/>
        </w:rPr>
        <w:footnoteReference w:id="21"/>
      </w:r>
      <w:r w:rsidR="000F419D">
        <w:rPr>
          <w:rFonts w:ascii="Avenir Next" w:hAnsi="Avenir Next" w:cs="Arial"/>
          <w:color w:val="808080" w:themeColor="background1" w:themeShade="80"/>
          <w:sz w:val="22"/>
          <w:szCs w:val="22"/>
          <w:lang w:val="en-GB"/>
        </w:rPr>
        <w:t xml:space="preserve"> </w:t>
      </w:r>
      <w:r w:rsidR="00DD604E">
        <w:rPr>
          <w:rFonts w:ascii="Avenir Next" w:hAnsi="Avenir Next" w:cs="Arial"/>
          <w:color w:val="808080" w:themeColor="background1" w:themeShade="80"/>
          <w:sz w:val="22"/>
          <w:szCs w:val="22"/>
          <w:lang w:val="en-GB"/>
        </w:rPr>
        <w:t xml:space="preserve">If the proceeding is non-main proceedings </w:t>
      </w:r>
      <w:r w:rsidR="00925DA5">
        <w:rPr>
          <w:rFonts w:ascii="Avenir Next" w:hAnsi="Avenir Next" w:cs="Arial"/>
          <w:color w:val="808080" w:themeColor="background1" w:themeShade="80"/>
          <w:sz w:val="22"/>
          <w:szCs w:val="22"/>
          <w:lang w:val="en-GB"/>
        </w:rPr>
        <w:t xml:space="preserve">the courts will also take into account the interest of the </w:t>
      </w:r>
      <w:r w:rsidR="00E15B07">
        <w:rPr>
          <w:rFonts w:ascii="Avenir Next" w:hAnsi="Avenir Next" w:cs="Arial"/>
          <w:color w:val="808080" w:themeColor="background1" w:themeShade="80"/>
          <w:sz w:val="22"/>
          <w:szCs w:val="22"/>
          <w:lang w:val="en-GB"/>
        </w:rPr>
        <w:t xml:space="preserve">US-based </w:t>
      </w:r>
      <w:r w:rsidR="007E7AB3">
        <w:rPr>
          <w:rFonts w:ascii="Avenir Next" w:hAnsi="Avenir Next" w:cs="Arial"/>
          <w:color w:val="808080" w:themeColor="background1" w:themeShade="80"/>
          <w:sz w:val="22"/>
          <w:szCs w:val="22"/>
          <w:lang w:val="en-GB"/>
        </w:rPr>
        <w:t>creditors</w:t>
      </w:r>
      <w:r w:rsidR="00FC5742">
        <w:rPr>
          <w:rFonts w:ascii="Avenir Next" w:hAnsi="Avenir Next" w:cs="Arial"/>
          <w:color w:val="808080" w:themeColor="background1" w:themeShade="80"/>
          <w:sz w:val="22"/>
          <w:szCs w:val="22"/>
          <w:lang w:val="en-GB"/>
        </w:rPr>
        <w:t>.</w:t>
      </w:r>
      <w:r w:rsidR="00FC5742">
        <w:rPr>
          <w:rStyle w:val="FootnoteReference"/>
          <w:rFonts w:ascii="Avenir Next" w:hAnsi="Avenir Next" w:cs="Arial"/>
          <w:color w:val="808080" w:themeColor="background1" w:themeShade="80"/>
          <w:sz w:val="22"/>
          <w:szCs w:val="22"/>
          <w:lang w:val="en-GB"/>
        </w:rPr>
        <w:footnoteReference w:id="22"/>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9E660F">
        <w:rPr>
          <w:rFonts w:ascii="Avenir Next Demi Bold" w:hAnsi="Avenir Next Demi Bold" w:cs="Arial"/>
          <w:b/>
          <w:bCs/>
          <w:sz w:val="22"/>
          <w:szCs w:val="22"/>
          <w:shd w:val="clear" w:color="auto" w:fill="FFFFFF"/>
          <w:lang w:val="en-GB"/>
        </w:rPr>
        <w:t xml:space="preserve">Question 3.3 </w:t>
      </w:r>
      <w:r w:rsidRPr="009E660F">
        <w:rPr>
          <w:rFonts w:ascii="Avenir Next Demi Bold" w:hAnsi="Avenir Next Demi Bold" w:cs="Arial"/>
          <w:b/>
          <w:bCs/>
          <w:sz w:val="22"/>
          <w:szCs w:val="22"/>
          <w:lang w:val="en-GB"/>
        </w:rPr>
        <w:t xml:space="preserve">[maximum </w:t>
      </w:r>
      <w:r w:rsidR="00B953BD" w:rsidRPr="009E660F">
        <w:rPr>
          <w:rFonts w:ascii="Avenir Next Demi Bold" w:hAnsi="Avenir Next Demi Bold" w:cs="Arial"/>
          <w:b/>
          <w:bCs/>
          <w:sz w:val="22"/>
          <w:szCs w:val="22"/>
          <w:lang w:val="en-GB"/>
        </w:rPr>
        <w:t>4</w:t>
      </w:r>
      <w:r w:rsidRPr="009E660F">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562F93E6" w:rsidR="00867A8F" w:rsidRPr="00241563" w:rsidRDefault="00B20CE1"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representatives may wish to apply to the UK courts </w:t>
      </w:r>
      <w:r w:rsidR="003E0EA5">
        <w:rPr>
          <w:rFonts w:ascii="Avenir Next" w:hAnsi="Avenir Next" w:cs="Arial"/>
          <w:color w:val="808080" w:themeColor="background1" w:themeShade="80"/>
          <w:sz w:val="22"/>
          <w:szCs w:val="22"/>
          <w:lang w:val="en-GB"/>
        </w:rPr>
        <w:t xml:space="preserve">for relief under Article </w:t>
      </w:r>
      <w:r w:rsidR="008C1BB6">
        <w:rPr>
          <w:rFonts w:ascii="Avenir Next" w:hAnsi="Avenir Next" w:cs="Arial"/>
          <w:color w:val="808080" w:themeColor="background1" w:themeShade="80"/>
          <w:sz w:val="22"/>
          <w:szCs w:val="22"/>
          <w:lang w:val="en-GB"/>
        </w:rPr>
        <w:t>21(1)(</w:t>
      </w:r>
      <w:r w:rsidR="00C7286E">
        <w:rPr>
          <w:rFonts w:ascii="Avenir Next" w:hAnsi="Avenir Next" w:cs="Arial"/>
          <w:color w:val="808080" w:themeColor="background1" w:themeShade="80"/>
          <w:sz w:val="22"/>
          <w:szCs w:val="22"/>
          <w:lang w:val="en-GB"/>
        </w:rPr>
        <w:t>a)</w:t>
      </w:r>
      <w:r w:rsidR="00C7286E">
        <w:rPr>
          <w:rStyle w:val="FootnoteReference"/>
          <w:rFonts w:ascii="Avenir Next" w:hAnsi="Avenir Next" w:cs="Arial"/>
          <w:color w:val="808080" w:themeColor="background1" w:themeShade="80"/>
          <w:sz w:val="22"/>
          <w:szCs w:val="22"/>
          <w:lang w:val="en-GB"/>
        </w:rPr>
        <w:footnoteReference w:id="23"/>
      </w:r>
      <w:r w:rsidR="005E15BE">
        <w:rPr>
          <w:rFonts w:ascii="Avenir Next" w:hAnsi="Avenir Next" w:cs="Arial"/>
          <w:color w:val="808080" w:themeColor="background1" w:themeShade="80"/>
          <w:sz w:val="22"/>
          <w:szCs w:val="22"/>
          <w:lang w:val="en-GB"/>
        </w:rPr>
        <w:t xml:space="preserve"> which is  a stay on the commence</w:t>
      </w:r>
      <w:r w:rsidR="00EF0210">
        <w:rPr>
          <w:rFonts w:ascii="Avenir Next" w:hAnsi="Avenir Next" w:cs="Arial"/>
          <w:color w:val="808080" w:themeColor="background1" w:themeShade="80"/>
          <w:sz w:val="22"/>
          <w:szCs w:val="22"/>
          <w:lang w:val="en-GB"/>
        </w:rPr>
        <w:t xml:space="preserve">ment </w:t>
      </w:r>
      <w:r w:rsidR="00BE753E">
        <w:rPr>
          <w:rFonts w:ascii="Avenir Next" w:hAnsi="Avenir Next" w:cs="Arial"/>
          <w:color w:val="808080" w:themeColor="background1" w:themeShade="80"/>
          <w:sz w:val="22"/>
          <w:szCs w:val="22"/>
          <w:lang w:val="en-GB"/>
        </w:rPr>
        <w:t>or c</w:t>
      </w:r>
      <w:r w:rsidR="00F5536A">
        <w:rPr>
          <w:rFonts w:ascii="Avenir Next" w:hAnsi="Avenir Next" w:cs="Arial"/>
          <w:color w:val="808080" w:themeColor="background1" w:themeShade="80"/>
          <w:sz w:val="22"/>
          <w:szCs w:val="22"/>
          <w:lang w:val="en-GB"/>
        </w:rPr>
        <w:t>ontinu</w:t>
      </w:r>
      <w:r w:rsidR="00FA0953">
        <w:rPr>
          <w:rFonts w:ascii="Avenir Next" w:hAnsi="Avenir Next" w:cs="Arial"/>
          <w:color w:val="808080" w:themeColor="background1" w:themeShade="80"/>
          <w:sz w:val="22"/>
          <w:szCs w:val="22"/>
          <w:lang w:val="en-GB"/>
        </w:rPr>
        <w:t xml:space="preserve">ation of individual </w:t>
      </w:r>
      <w:r w:rsidR="00D9220D">
        <w:rPr>
          <w:rFonts w:ascii="Avenir Next" w:hAnsi="Avenir Next" w:cs="Arial"/>
          <w:color w:val="808080" w:themeColor="background1" w:themeShade="80"/>
          <w:sz w:val="22"/>
          <w:szCs w:val="22"/>
          <w:lang w:val="en-GB"/>
        </w:rPr>
        <w:t xml:space="preserve">actions or </w:t>
      </w:r>
      <w:r w:rsidR="006E4319">
        <w:rPr>
          <w:rFonts w:ascii="Avenir Next" w:hAnsi="Avenir Next" w:cs="Arial"/>
          <w:color w:val="808080" w:themeColor="background1" w:themeShade="80"/>
          <w:sz w:val="22"/>
          <w:szCs w:val="22"/>
          <w:lang w:val="en-GB"/>
        </w:rPr>
        <w:t>individual proceedings</w:t>
      </w:r>
      <w:r w:rsidR="00620E53">
        <w:rPr>
          <w:rFonts w:ascii="Avenir Next" w:hAnsi="Avenir Next" w:cs="Arial"/>
          <w:color w:val="808080" w:themeColor="background1" w:themeShade="80"/>
          <w:sz w:val="22"/>
          <w:szCs w:val="22"/>
          <w:lang w:val="en-GB"/>
        </w:rPr>
        <w:t xml:space="preserve"> or </w:t>
      </w:r>
      <w:r w:rsidR="00994D6E">
        <w:rPr>
          <w:rFonts w:ascii="Avenir Next" w:hAnsi="Avenir Next" w:cs="Arial"/>
          <w:color w:val="808080" w:themeColor="background1" w:themeShade="80"/>
          <w:sz w:val="22"/>
          <w:szCs w:val="22"/>
          <w:lang w:val="en-GB"/>
        </w:rPr>
        <w:t>appropriate relief under Article 21(1)(g)</w:t>
      </w:r>
      <w:r w:rsidR="000E3E1C">
        <w:rPr>
          <w:rFonts w:ascii="Avenir Next" w:hAnsi="Avenir Next" w:cs="Arial"/>
          <w:color w:val="808080" w:themeColor="background1" w:themeShade="80"/>
          <w:sz w:val="22"/>
          <w:szCs w:val="22"/>
          <w:lang w:val="en-GB"/>
        </w:rPr>
        <w:t>.</w:t>
      </w:r>
      <w:r w:rsidR="000E3E1C">
        <w:rPr>
          <w:rStyle w:val="FootnoteReference"/>
          <w:rFonts w:ascii="Avenir Next" w:hAnsi="Avenir Next" w:cs="Arial"/>
          <w:color w:val="808080" w:themeColor="background1" w:themeShade="80"/>
          <w:sz w:val="22"/>
          <w:szCs w:val="22"/>
          <w:lang w:val="en-GB"/>
        </w:rPr>
        <w:footnoteReference w:id="24"/>
      </w:r>
      <w:r w:rsidR="001140BF">
        <w:rPr>
          <w:rFonts w:ascii="Avenir Next" w:hAnsi="Avenir Next" w:cs="Arial"/>
          <w:color w:val="808080" w:themeColor="background1" w:themeShade="80"/>
          <w:sz w:val="22"/>
          <w:szCs w:val="22"/>
          <w:lang w:val="en-GB"/>
        </w:rPr>
        <w:t xml:space="preserve"> </w:t>
      </w:r>
      <w:r w:rsidR="00084BFE">
        <w:rPr>
          <w:rFonts w:ascii="Avenir Next" w:hAnsi="Avenir Next" w:cs="Arial"/>
          <w:color w:val="808080" w:themeColor="background1" w:themeShade="80"/>
          <w:sz w:val="22"/>
          <w:szCs w:val="22"/>
          <w:lang w:val="en-GB"/>
        </w:rPr>
        <w:t xml:space="preserve">As stated above </w:t>
      </w:r>
      <w:r w:rsidR="00E43729">
        <w:rPr>
          <w:rFonts w:ascii="Avenir Next" w:hAnsi="Avenir Next" w:cs="Arial"/>
          <w:color w:val="808080" w:themeColor="background1" w:themeShade="80"/>
          <w:sz w:val="22"/>
          <w:szCs w:val="22"/>
          <w:lang w:val="en-GB"/>
        </w:rPr>
        <w:t xml:space="preserve">in the US </w:t>
      </w:r>
      <w:r w:rsidR="00376370">
        <w:rPr>
          <w:rFonts w:ascii="Avenir Next" w:hAnsi="Avenir Next" w:cs="Arial"/>
          <w:color w:val="808080" w:themeColor="background1" w:themeShade="80"/>
          <w:sz w:val="22"/>
          <w:szCs w:val="22"/>
          <w:lang w:val="en-GB"/>
        </w:rPr>
        <w:t xml:space="preserve">the </w:t>
      </w:r>
      <w:r w:rsidR="00D64AA7">
        <w:rPr>
          <w:rFonts w:ascii="Avenir Next" w:hAnsi="Avenir Next" w:cs="Arial"/>
          <w:i/>
          <w:iCs/>
          <w:color w:val="808080" w:themeColor="background1" w:themeShade="80"/>
          <w:sz w:val="22"/>
          <w:szCs w:val="22"/>
          <w:lang w:val="en-GB"/>
        </w:rPr>
        <w:t xml:space="preserve">ipso </w:t>
      </w:r>
      <w:r w:rsidR="001B63FE">
        <w:rPr>
          <w:rFonts w:ascii="Avenir Next" w:hAnsi="Avenir Next" w:cs="Arial"/>
          <w:i/>
          <w:iCs/>
          <w:color w:val="808080" w:themeColor="background1" w:themeShade="80"/>
          <w:sz w:val="22"/>
          <w:szCs w:val="22"/>
          <w:lang w:val="en-GB"/>
        </w:rPr>
        <w:t>facto</w:t>
      </w:r>
      <w:r w:rsidR="001B63FE">
        <w:rPr>
          <w:rFonts w:ascii="Avenir Next" w:hAnsi="Avenir Next" w:cs="Arial"/>
          <w:color w:val="808080" w:themeColor="background1" w:themeShade="80"/>
          <w:sz w:val="22"/>
          <w:szCs w:val="22"/>
          <w:lang w:val="en-GB"/>
        </w:rPr>
        <w:t xml:space="preserve"> clauses are not enforceable </w:t>
      </w:r>
      <w:r w:rsidR="00720326">
        <w:rPr>
          <w:rFonts w:ascii="Avenir Next" w:hAnsi="Avenir Next" w:cs="Arial"/>
          <w:color w:val="808080" w:themeColor="background1" w:themeShade="80"/>
          <w:sz w:val="22"/>
          <w:szCs w:val="22"/>
          <w:lang w:val="en-GB"/>
        </w:rPr>
        <w:t xml:space="preserve">hence </w:t>
      </w:r>
      <w:r w:rsidR="00A643B3">
        <w:rPr>
          <w:rFonts w:ascii="Avenir Next" w:hAnsi="Avenir Next" w:cs="Arial"/>
          <w:color w:val="808080" w:themeColor="background1" w:themeShade="80"/>
          <w:sz w:val="22"/>
          <w:szCs w:val="22"/>
          <w:lang w:val="en-GB"/>
        </w:rPr>
        <w:t xml:space="preserve">the US creditors are not able to rely on </w:t>
      </w:r>
      <w:r w:rsidR="00720326">
        <w:rPr>
          <w:rFonts w:ascii="Avenir Next" w:hAnsi="Avenir Next" w:cs="Arial"/>
          <w:color w:val="808080" w:themeColor="background1" w:themeShade="80"/>
          <w:sz w:val="22"/>
          <w:szCs w:val="22"/>
          <w:lang w:val="en-GB"/>
        </w:rPr>
        <w:t>Article 2</w:t>
      </w:r>
      <w:r w:rsidR="00867FAF">
        <w:rPr>
          <w:rFonts w:ascii="Avenir Next" w:hAnsi="Avenir Next" w:cs="Arial"/>
          <w:color w:val="808080" w:themeColor="background1" w:themeShade="80"/>
          <w:sz w:val="22"/>
          <w:szCs w:val="22"/>
          <w:lang w:val="en-GB"/>
        </w:rPr>
        <w:t>1(1)(</w:t>
      </w:r>
      <w:r w:rsidR="00872A7E">
        <w:rPr>
          <w:rFonts w:ascii="Avenir Next" w:hAnsi="Avenir Next" w:cs="Arial"/>
          <w:color w:val="808080" w:themeColor="background1" w:themeShade="80"/>
          <w:sz w:val="22"/>
          <w:szCs w:val="22"/>
          <w:lang w:val="en-GB"/>
        </w:rPr>
        <w:t>g)</w:t>
      </w:r>
      <w:r w:rsidR="00712B57">
        <w:rPr>
          <w:rFonts w:ascii="Avenir Next" w:hAnsi="Avenir Next" w:cs="Arial"/>
          <w:color w:val="808080" w:themeColor="background1" w:themeShade="80"/>
          <w:sz w:val="22"/>
          <w:szCs w:val="22"/>
          <w:lang w:val="en-GB"/>
        </w:rPr>
        <w:t xml:space="preserve"> </w:t>
      </w:r>
      <w:r w:rsidR="00872487">
        <w:rPr>
          <w:rFonts w:ascii="Avenir Next" w:hAnsi="Avenir Next" w:cs="Arial"/>
          <w:color w:val="808080" w:themeColor="background1" w:themeShade="80"/>
          <w:sz w:val="22"/>
          <w:szCs w:val="22"/>
          <w:lang w:val="en-GB"/>
        </w:rPr>
        <w:t xml:space="preserve">as the </w:t>
      </w:r>
      <w:r w:rsidR="0075567B">
        <w:rPr>
          <w:rFonts w:ascii="Avenir Next" w:hAnsi="Avenir Next" w:cs="Arial"/>
          <w:color w:val="808080" w:themeColor="background1" w:themeShade="80"/>
          <w:sz w:val="22"/>
          <w:szCs w:val="22"/>
          <w:lang w:val="en-GB"/>
        </w:rPr>
        <w:t xml:space="preserve">US insolvency law does not offer that type of protection. The question </w:t>
      </w:r>
      <w:r w:rsidR="00154639">
        <w:rPr>
          <w:rFonts w:ascii="Avenir Next" w:hAnsi="Avenir Next" w:cs="Arial"/>
          <w:color w:val="808080" w:themeColor="background1" w:themeShade="80"/>
          <w:sz w:val="22"/>
          <w:szCs w:val="22"/>
          <w:lang w:val="en-GB"/>
        </w:rPr>
        <w:t>for the foreign rep</w:t>
      </w:r>
      <w:r w:rsidR="002A0666">
        <w:rPr>
          <w:rFonts w:ascii="Avenir Next" w:hAnsi="Avenir Next" w:cs="Arial"/>
          <w:color w:val="808080" w:themeColor="background1" w:themeShade="80"/>
          <w:sz w:val="22"/>
          <w:szCs w:val="22"/>
          <w:lang w:val="en-GB"/>
        </w:rPr>
        <w:t xml:space="preserve">resentatives </w:t>
      </w:r>
      <w:r w:rsidR="0075567B">
        <w:rPr>
          <w:rFonts w:ascii="Avenir Next" w:hAnsi="Avenir Next" w:cs="Arial"/>
          <w:color w:val="808080" w:themeColor="background1" w:themeShade="80"/>
          <w:sz w:val="22"/>
          <w:szCs w:val="22"/>
          <w:lang w:val="en-GB"/>
        </w:rPr>
        <w:t xml:space="preserve">then becomes </w:t>
      </w:r>
      <w:r w:rsidR="002A0666">
        <w:rPr>
          <w:rFonts w:ascii="Avenir Next" w:hAnsi="Avenir Next" w:cs="Arial"/>
          <w:color w:val="808080" w:themeColor="background1" w:themeShade="80"/>
          <w:sz w:val="22"/>
          <w:szCs w:val="22"/>
          <w:lang w:val="en-GB"/>
        </w:rPr>
        <w:t>can UK law offer any type of relief</w:t>
      </w:r>
      <w:r w:rsidR="00D801CF">
        <w:rPr>
          <w:rFonts w:ascii="Avenir Next" w:hAnsi="Avenir Next" w:cs="Arial"/>
          <w:color w:val="808080" w:themeColor="background1" w:themeShade="80"/>
          <w:sz w:val="22"/>
          <w:szCs w:val="22"/>
          <w:lang w:val="en-GB"/>
        </w:rPr>
        <w:t xml:space="preserve"> through the implementation of Article 21(1)</w:t>
      </w:r>
      <w:r w:rsidR="00A12A9E">
        <w:rPr>
          <w:rFonts w:ascii="Avenir Next" w:hAnsi="Avenir Next" w:cs="Arial"/>
          <w:color w:val="808080" w:themeColor="background1" w:themeShade="80"/>
          <w:sz w:val="22"/>
          <w:szCs w:val="22"/>
          <w:lang w:val="en-GB"/>
        </w:rPr>
        <w:t>(a)</w:t>
      </w:r>
      <w:r w:rsidR="000F1FC3">
        <w:rPr>
          <w:rFonts w:ascii="Avenir Next" w:hAnsi="Avenir Next" w:cs="Arial"/>
          <w:color w:val="808080" w:themeColor="background1" w:themeShade="80"/>
          <w:sz w:val="22"/>
          <w:szCs w:val="22"/>
          <w:lang w:val="en-GB"/>
        </w:rPr>
        <w:t xml:space="preserve"> through the Cross</w:t>
      </w:r>
      <w:r w:rsidR="00B51140">
        <w:rPr>
          <w:rFonts w:ascii="Avenir Next" w:hAnsi="Avenir Next" w:cs="Arial"/>
          <w:color w:val="808080" w:themeColor="background1" w:themeShade="80"/>
          <w:sz w:val="22"/>
          <w:szCs w:val="22"/>
          <w:lang w:val="en-GB"/>
        </w:rPr>
        <w:t xml:space="preserve">-Border </w:t>
      </w:r>
      <w:r w:rsidR="00B00DD3">
        <w:rPr>
          <w:rFonts w:ascii="Avenir Next" w:hAnsi="Avenir Next" w:cs="Arial"/>
          <w:color w:val="808080" w:themeColor="background1" w:themeShade="80"/>
          <w:sz w:val="22"/>
          <w:szCs w:val="22"/>
          <w:lang w:val="en-GB"/>
        </w:rPr>
        <w:t>Insolvency Regulation</w:t>
      </w:r>
      <w:r w:rsidR="0011043A">
        <w:rPr>
          <w:rFonts w:ascii="Avenir Next" w:hAnsi="Avenir Next" w:cs="Arial"/>
          <w:color w:val="808080" w:themeColor="background1" w:themeShade="80"/>
          <w:sz w:val="22"/>
          <w:szCs w:val="22"/>
          <w:lang w:val="en-GB"/>
        </w:rPr>
        <w:t>s 2006</w:t>
      </w:r>
      <w:r w:rsidR="008102E0">
        <w:rPr>
          <w:rFonts w:ascii="Avenir Next" w:hAnsi="Avenir Next" w:cs="Arial"/>
          <w:color w:val="808080" w:themeColor="background1" w:themeShade="80"/>
          <w:sz w:val="22"/>
          <w:szCs w:val="22"/>
          <w:lang w:val="en-GB"/>
        </w:rPr>
        <w:t xml:space="preserve"> (CBIR)</w:t>
      </w:r>
      <w:r w:rsidR="00A13BFA">
        <w:rPr>
          <w:rFonts w:ascii="Avenir Next" w:hAnsi="Avenir Next" w:cs="Arial"/>
          <w:color w:val="808080" w:themeColor="background1" w:themeShade="80"/>
          <w:sz w:val="22"/>
          <w:szCs w:val="22"/>
          <w:lang w:val="en-GB"/>
        </w:rPr>
        <w:t>.</w:t>
      </w:r>
      <w:r w:rsidR="006130C8">
        <w:rPr>
          <w:rFonts w:ascii="Avenir Next" w:hAnsi="Avenir Next" w:cs="Arial"/>
          <w:color w:val="808080" w:themeColor="background1" w:themeShade="80"/>
          <w:sz w:val="22"/>
          <w:szCs w:val="22"/>
          <w:lang w:val="en-GB"/>
        </w:rPr>
        <w:t xml:space="preserve"> The type of relief applied for by the foreign representatives is a stay </w:t>
      </w:r>
      <w:r w:rsidR="009012DB">
        <w:rPr>
          <w:rFonts w:ascii="Avenir Next" w:hAnsi="Avenir Next" w:cs="Arial"/>
          <w:color w:val="808080" w:themeColor="background1" w:themeShade="80"/>
          <w:sz w:val="22"/>
          <w:szCs w:val="22"/>
          <w:lang w:val="en-GB"/>
        </w:rPr>
        <w:t xml:space="preserve">to prevent the exercise of the </w:t>
      </w:r>
      <w:r w:rsidR="006C0E55">
        <w:rPr>
          <w:rFonts w:ascii="Avenir Next" w:hAnsi="Avenir Next" w:cs="Arial"/>
          <w:i/>
          <w:iCs/>
          <w:color w:val="808080" w:themeColor="background1" w:themeShade="80"/>
          <w:sz w:val="22"/>
          <w:szCs w:val="22"/>
          <w:lang w:val="en-GB"/>
        </w:rPr>
        <w:t xml:space="preserve">ipso </w:t>
      </w:r>
      <w:r w:rsidR="00D72A97">
        <w:rPr>
          <w:rFonts w:ascii="Avenir Next" w:hAnsi="Avenir Next" w:cs="Arial"/>
          <w:i/>
          <w:iCs/>
          <w:color w:val="808080" w:themeColor="background1" w:themeShade="80"/>
          <w:sz w:val="22"/>
          <w:szCs w:val="22"/>
          <w:lang w:val="en-GB"/>
        </w:rPr>
        <w:t xml:space="preserve">facto </w:t>
      </w:r>
      <w:r w:rsidR="00D72A97">
        <w:rPr>
          <w:rFonts w:ascii="Avenir Next" w:hAnsi="Avenir Next" w:cs="Arial"/>
          <w:color w:val="808080" w:themeColor="background1" w:themeShade="80"/>
          <w:sz w:val="22"/>
          <w:szCs w:val="22"/>
          <w:lang w:val="en-GB"/>
        </w:rPr>
        <w:t>clause</w:t>
      </w:r>
      <w:r w:rsidR="007163A9">
        <w:rPr>
          <w:rFonts w:ascii="Avenir Next" w:hAnsi="Avenir Next" w:cs="Arial"/>
          <w:color w:val="808080" w:themeColor="background1" w:themeShade="80"/>
          <w:sz w:val="22"/>
          <w:szCs w:val="22"/>
          <w:lang w:val="en-GB"/>
        </w:rPr>
        <w:t xml:space="preserve"> which ought to have a world wide effect thus including the US. </w:t>
      </w:r>
      <w:r w:rsidR="00E46CBA">
        <w:rPr>
          <w:rFonts w:ascii="Avenir Next" w:hAnsi="Avenir Next" w:cs="Arial"/>
          <w:color w:val="808080" w:themeColor="background1" w:themeShade="80"/>
          <w:sz w:val="22"/>
          <w:szCs w:val="22"/>
          <w:lang w:val="en-GB"/>
        </w:rPr>
        <w:t xml:space="preserve">The case of </w:t>
      </w:r>
      <w:bookmarkStart w:id="4" w:name="_Hlk146177887"/>
      <w:proofErr w:type="spellStart"/>
      <w:r w:rsidR="008B3A55">
        <w:rPr>
          <w:rFonts w:ascii="Avenir Next" w:hAnsi="Avenir Next" w:cs="Arial"/>
          <w:i/>
          <w:iCs/>
          <w:color w:val="808080" w:themeColor="background1" w:themeShade="80"/>
          <w:sz w:val="22"/>
          <w:szCs w:val="22"/>
          <w:lang w:val="en-GB"/>
        </w:rPr>
        <w:t>Fibria</w:t>
      </w:r>
      <w:proofErr w:type="spellEnd"/>
      <w:r w:rsidR="008B3A55">
        <w:rPr>
          <w:rFonts w:ascii="Avenir Next" w:hAnsi="Avenir Next" w:cs="Arial"/>
          <w:i/>
          <w:iCs/>
          <w:color w:val="808080" w:themeColor="background1" w:themeShade="80"/>
          <w:sz w:val="22"/>
          <w:szCs w:val="22"/>
          <w:lang w:val="en-GB"/>
        </w:rPr>
        <w:t xml:space="preserve"> </w:t>
      </w:r>
      <w:proofErr w:type="spellStart"/>
      <w:r w:rsidR="008B3A55">
        <w:rPr>
          <w:rFonts w:ascii="Avenir Next" w:hAnsi="Avenir Next" w:cs="Arial"/>
          <w:i/>
          <w:iCs/>
          <w:color w:val="808080" w:themeColor="background1" w:themeShade="80"/>
          <w:sz w:val="22"/>
          <w:szCs w:val="22"/>
          <w:lang w:val="en-GB"/>
        </w:rPr>
        <w:t>Celulose</w:t>
      </w:r>
      <w:proofErr w:type="spellEnd"/>
      <w:r w:rsidR="008B3A55">
        <w:rPr>
          <w:rFonts w:ascii="Avenir Next" w:hAnsi="Avenir Next" w:cs="Arial"/>
          <w:i/>
          <w:iCs/>
          <w:color w:val="808080" w:themeColor="background1" w:themeShade="80"/>
          <w:sz w:val="22"/>
          <w:szCs w:val="22"/>
          <w:lang w:val="en-GB"/>
        </w:rPr>
        <w:t xml:space="preserve"> S/A v Pan Ocean Ltd </w:t>
      </w:r>
      <w:bookmarkEnd w:id="4"/>
      <w:r w:rsidR="008B3A55">
        <w:rPr>
          <w:rFonts w:ascii="Avenir Next" w:hAnsi="Avenir Next" w:cs="Arial"/>
          <w:i/>
          <w:iCs/>
          <w:color w:val="808080" w:themeColor="background1" w:themeShade="80"/>
          <w:sz w:val="22"/>
          <w:szCs w:val="22"/>
          <w:lang w:val="en-GB"/>
        </w:rPr>
        <w:t>(</w:t>
      </w:r>
      <w:r w:rsidR="00605AD8">
        <w:rPr>
          <w:rFonts w:ascii="Avenir Next" w:hAnsi="Avenir Next" w:cs="Arial"/>
          <w:i/>
          <w:iCs/>
          <w:color w:val="808080" w:themeColor="background1" w:themeShade="80"/>
          <w:sz w:val="22"/>
          <w:szCs w:val="22"/>
          <w:lang w:val="en-GB"/>
        </w:rPr>
        <w:t>Pan Ocean</w:t>
      </w:r>
      <w:r w:rsidR="008B3A55">
        <w:rPr>
          <w:rFonts w:ascii="Avenir Next" w:hAnsi="Avenir Next" w:cs="Arial"/>
          <w:i/>
          <w:iCs/>
          <w:color w:val="808080" w:themeColor="background1" w:themeShade="80"/>
          <w:sz w:val="22"/>
          <w:szCs w:val="22"/>
          <w:lang w:val="en-GB"/>
        </w:rPr>
        <w:t>)</w:t>
      </w:r>
      <w:r w:rsidR="00605AD8">
        <w:rPr>
          <w:rStyle w:val="FootnoteReference"/>
          <w:rFonts w:ascii="Avenir Next" w:hAnsi="Avenir Next" w:cs="Arial"/>
          <w:i/>
          <w:iCs/>
          <w:color w:val="808080" w:themeColor="background1" w:themeShade="80"/>
          <w:sz w:val="22"/>
          <w:szCs w:val="22"/>
          <w:lang w:val="en-GB"/>
        </w:rPr>
        <w:footnoteReference w:id="25"/>
      </w:r>
      <w:r w:rsidR="00E373E2">
        <w:rPr>
          <w:rFonts w:ascii="Avenir Next" w:hAnsi="Avenir Next" w:cs="Arial"/>
          <w:color w:val="808080" w:themeColor="background1" w:themeShade="80"/>
          <w:sz w:val="22"/>
          <w:szCs w:val="22"/>
          <w:lang w:val="en-GB"/>
        </w:rPr>
        <w:t xml:space="preserve">the English court determined </w:t>
      </w:r>
      <w:r w:rsidR="001701C8">
        <w:rPr>
          <w:rFonts w:ascii="Avenir Next" w:hAnsi="Avenir Next" w:cs="Arial"/>
          <w:color w:val="808080" w:themeColor="background1" w:themeShade="80"/>
          <w:sz w:val="22"/>
          <w:szCs w:val="22"/>
          <w:lang w:val="en-GB"/>
        </w:rPr>
        <w:t xml:space="preserve">terminating a contract </w:t>
      </w:r>
      <w:r w:rsidR="00F633F8">
        <w:rPr>
          <w:rFonts w:ascii="Avenir Next" w:hAnsi="Avenir Next" w:cs="Arial"/>
          <w:color w:val="808080" w:themeColor="background1" w:themeShade="80"/>
          <w:sz w:val="22"/>
          <w:szCs w:val="22"/>
          <w:lang w:val="en-GB"/>
        </w:rPr>
        <w:t xml:space="preserve">due to the </w:t>
      </w:r>
      <w:r w:rsidR="00672D57">
        <w:rPr>
          <w:rFonts w:ascii="Avenir Next" w:hAnsi="Avenir Next" w:cs="Arial"/>
          <w:i/>
          <w:iCs/>
          <w:color w:val="808080" w:themeColor="background1" w:themeShade="80"/>
          <w:sz w:val="22"/>
          <w:szCs w:val="22"/>
          <w:lang w:val="en-GB"/>
        </w:rPr>
        <w:t xml:space="preserve">ipso </w:t>
      </w:r>
      <w:r w:rsidR="00D32495">
        <w:rPr>
          <w:rFonts w:ascii="Avenir Next" w:hAnsi="Avenir Next" w:cs="Arial"/>
          <w:i/>
          <w:iCs/>
          <w:color w:val="808080" w:themeColor="background1" w:themeShade="80"/>
          <w:sz w:val="22"/>
          <w:szCs w:val="22"/>
          <w:lang w:val="en-GB"/>
        </w:rPr>
        <w:t xml:space="preserve">facto </w:t>
      </w:r>
      <w:r w:rsidR="003551FE">
        <w:rPr>
          <w:rFonts w:ascii="Avenir Next" w:hAnsi="Avenir Next" w:cs="Arial"/>
          <w:color w:val="808080" w:themeColor="background1" w:themeShade="80"/>
          <w:sz w:val="22"/>
          <w:szCs w:val="22"/>
          <w:lang w:val="en-GB"/>
        </w:rPr>
        <w:t>clause is not the same as</w:t>
      </w:r>
      <w:r w:rsidR="002A1219">
        <w:rPr>
          <w:rFonts w:ascii="Avenir Next" w:hAnsi="Avenir Next" w:cs="Arial"/>
          <w:color w:val="808080" w:themeColor="background1" w:themeShade="80"/>
          <w:sz w:val="22"/>
          <w:szCs w:val="22"/>
          <w:lang w:val="en-GB"/>
        </w:rPr>
        <w:t xml:space="preserve"> commence</w:t>
      </w:r>
      <w:r w:rsidR="009350F0">
        <w:rPr>
          <w:rFonts w:ascii="Avenir Next" w:hAnsi="Avenir Next" w:cs="Arial"/>
          <w:color w:val="808080" w:themeColor="background1" w:themeShade="80"/>
          <w:sz w:val="22"/>
          <w:szCs w:val="22"/>
          <w:lang w:val="en-GB"/>
        </w:rPr>
        <w:t xml:space="preserve">ment or continuation of individual actions or individual </w:t>
      </w:r>
      <w:r w:rsidR="00D86A12">
        <w:rPr>
          <w:rFonts w:ascii="Avenir Next" w:hAnsi="Avenir Next" w:cs="Arial"/>
          <w:color w:val="808080" w:themeColor="background1" w:themeShade="80"/>
          <w:sz w:val="22"/>
          <w:szCs w:val="22"/>
          <w:lang w:val="en-GB"/>
        </w:rPr>
        <w:t>proceedings</w:t>
      </w:r>
      <w:r w:rsidR="00850A28">
        <w:rPr>
          <w:rFonts w:ascii="Avenir Next" w:hAnsi="Avenir Next" w:cs="Arial"/>
          <w:color w:val="808080" w:themeColor="background1" w:themeShade="80"/>
          <w:sz w:val="22"/>
          <w:szCs w:val="22"/>
          <w:lang w:val="en-GB"/>
        </w:rPr>
        <w:t xml:space="preserve">, hence </w:t>
      </w:r>
      <w:r w:rsidR="008C4A2E">
        <w:rPr>
          <w:rFonts w:ascii="Avenir Next" w:hAnsi="Avenir Next" w:cs="Arial"/>
          <w:color w:val="808080" w:themeColor="background1" w:themeShade="80"/>
          <w:sz w:val="22"/>
          <w:szCs w:val="22"/>
          <w:lang w:val="en-GB"/>
        </w:rPr>
        <w:t xml:space="preserve">the courts </w:t>
      </w:r>
      <w:r w:rsidR="003D5B85">
        <w:rPr>
          <w:rFonts w:ascii="Avenir Next" w:hAnsi="Avenir Next" w:cs="Arial"/>
          <w:color w:val="808080" w:themeColor="background1" w:themeShade="80"/>
          <w:sz w:val="22"/>
          <w:szCs w:val="22"/>
          <w:lang w:val="en-GB"/>
        </w:rPr>
        <w:t>cannot provide a relief under Article 21(1)(a)</w:t>
      </w:r>
      <w:r w:rsidR="00786719">
        <w:rPr>
          <w:rFonts w:ascii="Avenir Next" w:hAnsi="Avenir Next" w:cs="Arial"/>
          <w:color w:val="808080" w:themeColor="background1" w:themeShade="80"/>
          <w:sz w:val="22"/>
          <w:szCs w:val="22"/>
          <w:lang w:val="en-GB"/>
        </w:rPr>
        <w:t>.</w:t>
      </w:r>
      <w:r w:rsidR="0032694A">
        <w:rPr>
          <w:rStyle w:val="FootnoteReference"/>
          <w:rFonts w:ascii="Avenir Next" w:hAnsi="Avenir Next" w:cs="Arial"/>
          <w:color w:val="808080" w:themeColor="background1" w:themeShade="80"/>
          <w:sz w:val="22"/>
          <w:szCs w:val="22"/>
          <w:lang w:val="en-GB"/>
        </w:rPr>
        <w:footnoteReference w:id="26"/>
      </w:r>
      <w:r w:rsidR="00E35D85">
        <w:rPr>
          <w:rFonts w:ascii="Avenir Next" w:hAnsi="Avenir Next" w:cs="Arial"/>
          <w:color w:val="808080" w:themeColor="background1" w:themeShade="80"/>
          <w:sz w:val="22"/>
          <w:szCs w:val="22"/>
          <w:lang w:val="en-GB"/>
        </w:rPr>
        <w:t xml:space="preserve"> Therefore, </w:t>
      </w:r>
      <w:r w:rsidR="00CB4B9E">
        <w:rPr>
          <w:rFonts w:ascii="Avenir Next" w:hAnsi="Avenir Next" w:cs="Arial"/>
          <w:color w:val="808080" w:themeColor="background1" w:themeShade="80"/>
          <w:sz w:val="22"/>
          <w:szCs w:val="22"/>
          <w:lang w:val="en-GB"/>
        </w:rPr>
        <w:t xml:space="preserve">the dealing of </w:t>
      </w:r>
      <w:r w:rsidR="00AA68B8">
        <w:rPr>
          <w:rFonts w:ascii="Avenir Next" w:hAnsi="Avenir Next" w:cs="Arial"/>
          <w:color w:val="808080" w:themeColor="background1" w:themeShade="80"/>
          <w:sz w:val="22"/>
          <w:szCs w:val="22"/>
          <w:lang w:val="en-GB"/>
        </w:rPr>
        <w:t xml:space="preserve">the US-governed leases and intellectual property </w:t>
      </w:r>
      <w:r w:rsidR="00A174F7">
        <w:rPr>
          <w:rFonts w:ascii="Avenir Next" w:hAnsi="Avenir Next" w:cs="Arial"/>
          <w:color w:val="808080" w:themeColor="background1" w:themeShade="80"/>
          <w:sz w:val="22"/>
          <w:szCs w:val="22"/>
          <w:lang w:val="en-GB"/>
        </w:rPr>
        <w:t>licences</w:t>
      </w:r>
      <w:r w:rsidR="00CB4B9E">
        <w:rPr>
          <w:rFonts w:ascii="Avenir Next" w:hAnsi="Avenir Next" w:cs="Arial"/>
          <w:color w:val="808080" w:themeColor="background1" w:themeShade="80"/>
          <w:sz w:val="22"/>
          <w:szCs w:val="22"/>
          <w:lang w:val="en-GB"/>
        </w:rPr>
        <w:t xml:space="preserve"> will be dictated by the contracts.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6323E">
        <w:rPr>
          <w:rFonts w:ascii="Avenir Next Demi Bold" w:hAnsi="Avenir Next Demi Bold" w:cs="Arial"/>
          <w:b/>
          <w:bCs/>
          <w:sz w:val="22"/>
          <w:szCs w:val="22"/>
          <w:lang w:val="en-GB"/>
        </w:rPr>
        <w:t xml:space="preserve">Question 3.4 [maximum </w:t>
      </w:r>
      <w:r w:rsidR="00B457BF" w:rsidRPr="0046323E">
        <w:rPr>
          <w:rFonts w:ascii="Avenir Next Demi Bold" w:hAnsi="Avenir Next Demi Bold" w:cs="Arial"/>
          <w:b/>
          <w:bCs/>
          <w:sz w:val="22"/>
          <w:szCs w:val="22"/>
          <w:lang w:val="en-GB"/>
        </w:rPr>
        <w:t>4</w:t>
      </w:r>
      <w:r w:rsidRPr="0046323E">
        <w:rPr>
          <w:rFonts w:ascii="Avenir Next Demi Bold" w:hAnsi="Avenir Next Demi Bold" w:cs="Arial"/>
          <w:b/>
          <w:bCs/>
          <w:sz w:val="22"/>
          <w:szCs w:val="22"/>
          <w:lang w:val="en-GB"/>
        </w:rPr>
        <w:t xml:space="preserve"> mark</w:t>
      </w:r>
      <w:r w:rsidR="00B457BF" w:rsidRPr="0046323E">
        <w:rPr>
          <w:rFonts w:ascii="Avenir Next Demi Bold" w:hAnsi="Avenir Next Demi Bold" w:cs="Arial"/>
          <w:b/>
          <w:bCs/>
          <w:sz w:val="22"/>
          <w:szCs w:val="22"/>
          <w:lang w:val="en-GB"/>
        </w:rPr>
        <w:t>s</w:t>
      </w:r>
      <w:r w:rsidRPr="0046323E">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841A1DE" w14:textId="1513CD09" w:rsidR="00D5244F" w:rsidRDefault="0051247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A94892">
        <w:rPr>
          <w:rFonts w:ascii="Avenir Next" w:hAnsi="Avenir Next" w:cs="Arial"/>
          <w:color w:val="808080" w:themeColor="background1" w:themeShade="80"/>
          <w:sz w:val="22"/>
          <w:szCs w:val="22"/>
          <w:lang w:val="en-GB"/>
        </w:rPr>
        <w:t xml:space="preserve">could apply for </w:t>
      </w:r>
      <w:r w:rsidR="00175947">
        <w:rPr>
          <w:rFonts w:ascii="Avenir Next" w:hAnsi="Avenir Next" w:cs="Arial"/>
          <w:color w:val="808080" w:themeColor="background1" w:themeShade="80"/>
          <w:sz w:val="22"/>
          <w:szCs w:val="22"/>
          <w:lang w:val="en-GB"/>
        </w:rPr>
        <w:t xml:space="preserve">standing in </w:t>
      </w:r>
      <w:r w:rsidR="00310C84">
        <w:rPr>
          <w:rFonts w:ascii="Avenir Next" w:hAnsi="Avenir Next" w:cs="Arial"/>
          <w:color w:val="808080" w:themeColor="background1" w:themeShade="80"/>
          <w:sz w:val="22"/>
          <w:szCs w:val="22"/>
          <w:lang w:val="en-GB"/>
        </w:rPr>
        <w:t xml:space="preserve">Country </w:t>
      </w:r>
      <w:r w:rsidR="00816E06">
        <w:rPr>
          <w:rFonts w:ascii="Avenir Next" w:hAnsi="Avenir Next" w:cs="Arial"/>
          <w:color w:val="808080" w:themeColor="background1" w:themeShade="80"/>
          <w:sz w:val="22"/>
          <w:szCs w:val="22"/>
          <w:lang w:val="en-GB"/>
        </w:rPr>
        <w:t xml:space="preserve">B </w:t>
      </w:r>
      <w:r w:rsidR="00A939C1">
        <w:rPr>
          <w:rFonts w:ascii="Avenir Next" w:hAnsi="Avenir Next" w:cs="Arial"/>
          <w:color w:val="808080" w:themeColor="background1" w:themeShade="80"/>
          <w:sz w:val="22"/>
          <w:szCs w:val="22"/>
          <w:lang w:val="en-GB"/>
        </w:rPr>
        <w:t xml:space="preserve">via direct access </w:t>
      </w:r>
      <w:r w:rsidR="00816E06">
        <w:rPr>
          <w:rFonts w:ascii="Avenir Next" w:hAnsi="Avenir Next" w:cs="Arial"/>
          <w:color w:val="808080" w:themeColor="background1" w:themeShade="80"/>
          <w:sz w:val="22"/>
          <w:szCs w:val="22"/>
          <w:lang w:val="en-GB"/>
        </w:rPr>
        <w:t xml:space="preserve">to Country B’s </w:t>
      </w:r>
      <w:r w:rsidR="00F616D1">
        <w:rPr>
          <w:rFonts w:ascii="Avenir Next" w:hAnsi="Avenir Next" w:cs="Arial"/>
          <w:color w:val="808080" w:themeColor="background1" w:themeShade="80"/>
          <w:sz w:val="22"/>
          <w:szCs w:val="22"/>
          <w:lang w:val="en-GB"/>
        </w:rPr>
        <w:t>courts</w:t>
      </w:r>
      <w:r w:rsidR="00CF571C">
        <w:rPr>
          <w:rFonts w:ascii="Avenir Next" w:hAnsi="Avenir Next" w:cs="Arial"/>
          <w:color w:val="808080" w:themeColor="background1" w:themeShade="80"/>
          <w:sz w:val="22"/>
          <w:szCs w:val="22"/>
          <w:lang w:val="en-GB"/>
        </w:rPr>
        <w:t xml:space="preserve"> under Article </w:t>
      </w:r>
      <w:r w:rsidR="00177DA7">
        <w:rPr>
          <w:rFonts w:ascii="Avenir Next" w:hAnsi="Avenir Next" w:cs="Arial"/>
          <w:color w:val="808080" w:themeColor="background1" w:themeShade="80"/>
          <w:sz w:val="22"/>
          <w:szCs w:val="22"/>
          <w:lang w:val="en-GB"/>
        </w:rPr>
        <w:t>9</w:t>
      </w:r>
      <w:r w:rsidR="001B4E25">
        <w:rPr>
          <w:rFonts w:ascii="Avenir Next" w:hAnsi="Avenir Next" w:cs="Arial"/>
          <w:color w:val="808080" w:themeColor="background1" w:themeShade="80"/>
          <w:sz w:val="22"/>
          <w:szCs w:val="22"/>
          <w:lang w:val="en-GB"/>
        </w:rPr>
        <w:t>.</w:t>
      </w:r>
      <w:r w:rsidR="001B4E25">
        <w:rPr>
          <w:rStyle w:val="FootnoteReference"/>
          <w:rFonts w:ascii="Avenir Next" w:hAnsi="Avenir Next" w:cs="Arial"/>
          <w:color w:val="808080" w:themeColor="background1" w:themeShade="80"/>
          <w:sz w:val="22"/>
          <w:szCs w:val="22"/>
          <w:lang w:val="en-GB"/>
        </w:rPr>
        <w:footnoteReference w:id="27"/>
      </w:r>
      <w:r w:rsidR="00234B4C">
        <w:rPr>
          <w:rFonts w:ascii="Avenir Next" w:hAnsi="Avenir Next" w:cs="Arial"/>
          <w:color w:val="808080" w:themeColor="background1" w:themeShade="80"/>
          <w:sz w:val="22"/>
          <w:szCs w:val="22"/>
          <w:lang w:val="en-GB"/>
        </w:rPr>
        <w:t xml:space="preserve"> The foreign representative would be able to apply to the Country B’s </w:t>
      </w:r>
      <w:r w:rsidR="009B64F6">
        <w:rPr>
          <w:rFonts w:ascii="Avenir Next" w:hAnsi="Avenir Next" w:cs="Arial"/>
          <w:color w:val="808080" w:themeColor="background1" w:themeShade="80"/>
          <w:sz w:val="22"/>
          <w:szCs w:val="22"/>
          <w:lang w:val="en-GB"/>
        </w:rPr>
        <w:t xml:space="preserve">court without </w:t>
      </w:r>
      <w:r w:rsidR="00387698">
        <w:rPr>
          <w:rFonts w:ascii="Avenir Next" w:hAnsi="Avenir Next" w:cs="Arial"/>
          <w:color w:val="808080" w:themeColor="background1" w:themeShade="80"/>
          <w:sz w:val="22"/>
          <w:szCs w:val="22"/>
          <w:lang w:val="en-GB"/>
        </w:rPr>
        <w:t xml:space="preserve">meeting any competency requirements such as </w:t>
      </w:r>
      <w:r w:rsidR="00C53CDA">
        <w:rPr>
          <w:rFonts w:ascii="Avenir Next" w:hAnsi="Avenir Next" w:cs="Arial"/>
          <w:color w:val="808080" w:themeColor="background1" w:themeShade="80"/>
          <w:sz w:val="22"/>
          <w:szCs w:val="22"/>
          <w:lang w:val="en-GB"/>
        </w:rPr>
        <w:t xml:space="preserve">licence and </w:t>
      </w:r>
      <w:r w:rsidR="003120B9">
        <w:rPr>
          <w:rFonts w:ascii="Avenir Next" w:hAnsi="Avenir Next" w:cs="Arial"/>
          <w:color w:val="808080" w:themeColor="background1" w:themeShade="80"/>
          <w:sz w:val="22"/>
          <w:szCs w:val="22"/>
          <w:lang w:val="en-GB"/>
        </w:rPr>
        <w:t>consul</w:t>
      </w:r>
      <w:r w:rsidR="00E06B0B">
        <w:rPr>
          <w:rFonts w:ascii="Avenir Next" w:hAnsi="Avenir Next" w:cs="Arial"/>
          <w:color w:val="808080" w:themeColor="background1" w:themeShade="80"/>
          <w:sz w:val="22"/>
          <w:szCs w:val="22"/>
          <w:lang w:val="en-GB"/>
        </w:rPr>
        <w:t>ar a</w:t>
      </w:r>
      <w:r w:rsidR="00E050A5">
        <w:rPr>
          <w:rFonts w:ascii="Avenir Next" w:hAnsi="Avenir Next" w:cs="Arial"/>
          <w:color w:val="808080" w:themeColor="background1" w:themeShade="80"/>
          <w:sz w:val="22"/>
          <w:szCs w:val="22"/>
          <w:lang w:val="en-GB"/>
        </w:rPr>
        <w:t xml:space="preserve">ction. However, </w:t>
      </w:r>
      <w:r w:rsidR="004451B0">
        <w:rPr>
          <w:rFonts w:ascii="Avenir Next" w:hAnsi="Avenir Next" w:cs="Arial"/>
          <w:color w:val="808080" w:themeColor="background1" w:themeShade="80"/>
          <w:sz w:val="22"/>
          <w:szCs w:val="22"/>
          <w:lang w:val="en-GB"/>
        </w:rPr>
        <w:t xml:space="preserve">this does not mean that they will gain any </w:t>
      </w:r>
      <w:r w:rsidR="00084328">
        <w:rPr>
          <w:rFonts w:ascii="Avenir Next" w:hAnsi="Avenir Next" w:cs="Arial"/>
          <w:color w:val="808080" w:themeColor="background1" w:themeShade="80"/>
          <w:sz w:val="22"/>
          <w:szCs w:val="22"/>
          <w:lang w:val="en-GB"/>
        </w:rPr>
        <w:t>other right and powers.</w:t>
      </w:r>
    </w:p>
    <w:p w14:paraId="247A9058" w14:textId="77777777" w:rsidR="00084328" w:rsidRDefault="00084328" w:rsidP="00707FC8">
      <w:pPr>
        <w:jc w:val="both"/>
        <w:rPr>
          <w:rFonts w:ascii="Avenir Next" w:hAnsi="Avenir Next" w:cs="Arial"/>
          <w:color w:val="808080" w:themeColor="background1" w:themeShade="80"/>
          <w:sz w:val="22"/>
          <w:szCs w:val="22"/>
          <w:lang w:val="en-GB"/>
        </w:rPr>
      </w:pPr>
    </w:p>
    <w:p w14:paraId="5D51FC1C" w14:textId="1F94FB87" w:rsidR="00084328" w:rsidRDefault="008F5B50"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The other </w:t>
      </w:r>
      <w:r w:rsidR="0046720D">
        <w:rPr>
          <w:rFonts w:ascii="Avenir Next" w:hAnsi="Avenir Next" w:cs="Arial"/>
          <w:color w:val="808080" w:themeColor="background1" w:themeShade="80"/>
          <w:sz w:val="22"/>
          <w:szCs w:val="22"/>
          <w:lang w:val="en-GB"/>
        </w:rPr>
        <w:t xml:space="preserve">option the foreign representative could have utilised is seeing </w:t>
      </w:r>
      <w:r w:rsidR="00A912A2">
        <w:rPr>
          <w:rFonts w:ascii="Avenir Next" w:hAnsi="Avenir Next" w:cs="Arial"/>
          <w:color w:val="808080" w:themeColor="background1" w:themeShade="80"/>
          <w:sz w:val="22"/>
          <w:szCs w:val="22"/>
          <w:lang w:val="en-GB"/>
        </w:rPr>
        <w:t>Country B’s conditions for commencing an insolvency proceedings are met</w:t>
      </w:r>
      <w:r w:rsidR="00032C40">
        <w:rPr>
          <w:rFonts w:ascii="Avenir Next" w:hAnsi="Avenir Next" w:cs="Arial"/>
          <w:color w:val="808080" w:themeColor="background1" w:themeShade="80"/>
          <w:sz w:val="22"/>
          <w:szCs w:val="22"/>
          <w:lang w:val="en-GB"/>
        </w:rPr>
        <w:t xml:space="preserve">. If they are met the foreign representative </w:t>
      </w:r>
      <w:r w:rsidR="00226093">
        <w:rPr>
          <w:rFonts w:ascii="Avenir Next" w:hAnsi="Avenir Next" w:cs="Arial"/>
          <w:color w:val="808080" w:themeColor="background1" w:themeShade="80"/>
          <w:sz w:val="22"/>
          <w:szCs w:val="22"/>
          <w:lang w:val="en-GB"/>
        </w:rPr>
        <w:t xml:space="preserve">would be entitled to commence </w:t>
      </w:r>
      <w:r w:rsidR="00E05018">
        <w:rPr>
          <w:rFonts w:ascii="Avenir Next" w:hAnsi="Avenir Next" w:cs="Arial"/>
          <w:color w:val="808080" w:themeColor="background1" w:themeShade="80"/>
          <w:sz w:val="22"/>
          <w:szCs w:val="22"/>
          <w:lang w:val="en-GB"/>
        </w:rPr>
        <w:t>domesti</w:t>
      </w:r>
      <w:r w:rsidR="00C95D30">
        <w:rPr>
          <w:rFonts w:ascii="Avenir Next" w:hAnsi="Avenir Next" w:cs="Arial"/>
          <w:color w:val="808080" w:themeColor="background1" w:themeShade="80"/>
          <w:sz w:val="22"/>
          <w:szCs w:val="22"/>
          <w:lang w:val="en-GB"/>
        </w:rPr>
        <w:t xml:space="preserve">c </w:t>
      </w:r>
      <w:r w:rsidR="0046323E">
        <w:rPr>
          <w:rFonts w:ascii="Avenir Next" w:hAnsi="Avenir Next" w:cs="Arial"/>
          <w:color w:val="808080" w:themeColor="background1" w:themeShade="80"/>
          <w:sz w:val="22"/>
          <w:szCs w:val="22"/>
          <w:lang w:val="en-GB"/>
        </w:rPr>
        <w:t xml:space="preserve">insolvency </w:t>
      </w:r>
      <w:r w:rsidR="00172251">
        <w:rPr>
          <w:rFonts w:ascii="Avenir Next" w:hAnsi="Avenir Next" w:cs="Arial"/>
          <w:color w:val="808080" w:themeColor="background1" w:themeShade="80"/>
          <w:sz w:val="22"/>
          <w:szCs w:val="22"/>
          <w:lang w:val="en-GB"/>
        </w:rPr>
        <w:t xml:space="preserve">proceeding in Country B under Article </w:t>
      </w:r>
      <w:r w:rsidR="00EF4108">
        <w:rPr>
          <w:rFonts w:ascii="Avenir Next" w:hAnsi="Avenir Next" w:cs="Arial"/>
          <w:color w:val="808080" w:themeColor="background1" w:themeShade="80"/>
          <w:sz w:val="22"/>
          <w:szCs w:val="22"/>
          <w:lang w:val="en-GB"/>
        </w:rPr>
        <w:t>11.</w:t>
      </w:r>
      <w:r w:rsidR="00EF4108">
        <w:rPr>
          <w:rStyle w:val="FootnoteReference"/>
          <w:rFonts w:ascii="Avenir Next" w:hAnsi="Avenir Next" w:cs="Arial"/>
          <w:color w:val="808080" w:themeColor="background1" w:themeShade="80"/>
          <w:sz w:val="22"/>
          <w:szCs w:val="22"/>
          <w:lang w:val="en-GB"/>
        </w:rPr>
        <w:footnoteReference w:id="28"/>
      </w:r>
      <w:r w:rsidR="00944809">
        <w:rPr>
          <w:rFonts w:ascii="Avenir Next" w:hAnsi="Avenir Next" w:cs="Arial"/>
          <w:color w:val="808080" w:themeColor="background1" w:themeShade="80"/>
          <w:sz w:val="22"/>
          <w:szCs w:val="22"/>
          <w:lang w:val="en-GB"/>
        </w:rPr>
        <w:t xml:space="preserve"> The </w:t>
      </w:r>
      <w:r w:rsidR="00D51504">
        <w:rPr>
          <w:rFonts w:ascii="Avenir Next" w:hAnsi="Avenir Next" w:cs="Arial"/>
          <w:color w:val="808080" w:themeColor="background1" w:themeShade="80"/>
          <w:sz w:val="22"/>
          <w:szCs w:val="22"/>
          <w:lang w:val="en-GB"/>
        </w:rPr>
        <w:t xml:space="preserve">prior </w:t>
      </w:r>
      <w:r w:rsidR="00AA03A3">
        <w:rPr>
          <w:rFonts w:ascii="Avenir Next" w:hAnsi="Avenir Next" w:cs="Arial"/>
          <w:color w:val="808080" w:themeColor="background1" w:themeShade="80"/>
          <w:sz w:val="22"/>
          <w:szCs w:val="22"/>
          <w:lang w:val="en-GB"/>
        </w:rPr>
        <w:t>recognition is not required by the foreign representative in Country B</w:t>
      </w:r>
      <w:r w:rsidR="00B77248">
        <w:rPr>
          <w:rFonts w:ascii="Avenir Next" w:hAnsi="Avenir Next" w:cs="Arial"/>
          <w:color w:val="808080" w:themeColor="background1" w:themeShade="80"/>
          <w:sz w:val="22"/>
          <w:szCs w:val="22"/>
          <w:lang w:val="en-GB"/>
        </w:rPr>
        <w: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04022">
        <w:rPr>
          <w:rFonts w:ascii="Avenir Next Demi Bold" w:hAnsi="Avenir Next Demi Bold" w:cs="Arial"/>
          <w:b/>
          <w:bCs/>
          <w:sz w:val="22"/>
          <w:szCs w:val="22"/>
          <w:lang w:val="en-GB"/>
        </w:rPr>
        <w:t>QUESTION 4</w:t>
      </w:r>
      <w:r w:rsidR="009B0723" w:rsidRPr="00E04022">
        <w:rPr>
          <w:rFonts w:ascii="Avenir Next Demi Bold" w:hAnsi="Avenir Next Demi Bold" w:cs="Arial"/>
          <w:b/>
          <w:bCs/>
          <w:sz w:val="22"/>
          <w:szCs w:val="22"/>
          <w:lang w:val="en-GB"/>
        </w:rPr>
        <w:t xml:space="preserve"> (fact-based application-type question) [15 marks</w:t>
      </w:r>
      <w:r w:rsidR="006A2646" w:rsidRPr="00E04022">
        <w:rPr>
          <w:rFonts w:ascii="Avenir Next Demi Bold" w:hAnsi="Avenir Next Demi Bold" w:cs="Arial"/>
          <w:b/>
          <w:bCs/>
          <w:sz w:val="22"/>
          <w:szCs w:val="22"/>
          <w:lang w:val="en-GB"/>
        </w:rPr>
        <w:t xml:space="preserve"> in total</w:t>
      </w:r>
      <w:r w:rsidR="009B0723" w:rsidRPr="00E04022">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5"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6" w:name="_Hlk97111003"/>
      <w:r w:rsidRPr="00E61F6E">
        <w:rPr>
          <w:rFonts w:ascii="Avenir Next" w:hAnsi="Avenir Next"/>
          <w:sz w:val="22"/>
          <w:szCs w:val="28"/>
        </w:rPr>
        <w:t>Globe Holdings</w:t>
      </w:r>
      <w:bookmarkEnd w:id="6"/>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7"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7"/>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8"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8"/>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sanctioning the Scheme (the Sanction Order), which was filed with the </w:t>
      </w:r>
      <w:bookmarkStart w:id="9" w:name="_Hlk146264469"/>
      <w:r w:rsidRPr="00E61F6E">
        <w:rPr>
          <w:rFonts w:ascii="Avenir Next" w:hAnsi="Avenir Next"/>
          <w:sz w:val="22"/>
          <w:szCs w:val="28"/>
        </w:rPr>
        <w:t>Cayman Islands Registrar of Companies</w:t>
      </w:r>
      <w:bookmarkEnd w:id="9"/>
      <w:r w:rsidRPr="00E61F6E">
        <w:rPr>
          <w:rFonts w:ascii="Avenir Next" w:hAnsi="Avenir Next"/>
          <w:sz w:val="22"/>
          <w:szCs w:val="28"/>
        </w:rPr>
        <w:t xml:space="preserve">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49A0B51F" w14:textId="77777777" w:rsidR="00A140A1" w:rsidRDefault="00A140A1" w:rsidP="009E3CA7">
      <w:pPr>
        <w:jc w:val="both"/>
        <w:rPr>
          <w:rFonts w:ascii="Avenir Next" w:hAnsi="Avenir Next"/>
          <w:sz w:val="22"/>
          <w:szCs w:val="28"/>
        </w:rPr>
      </w:pPr>
    </w:p>
    <w:p w14:paraId="30D7E6F9" w14:textId="35513EFA" w:rsidR="009E3CA7" w:rsidRDefault="00420D7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first thing to </w:t>
      </w:r>
      <w:r w:rsidR="00E53141">
        <w:rPr>
          <w:rFonts w:ascii="Avenir Next" w:hAnsi="Avenir Next"/>
          <w:color w:val="808080" w:themeColor="background1" w:themeShade="80"/>
          <w:sz w:val="22"/>
          <w:szCs w:val="28"/>
        </w:rPr>
        <w:t xml:space="preserve">decide is the </w:t>
      </w:r>
      <w:r w:rsidR="003D6178">
        <w:rPr>
          <w:rFonts w:ascii="Avenir Next" w:hAnsi="Avenir Next"/>
          <w:color w:val="808080" w:themeColor="background1" w:themeShade="80"/>
          <w:sz w:val="22"/>
          <w:szCs w:val="28"/>
        </w:rPr>
        <w:t xml:space="preserve">location of the main and non-main </w:t>
      </w:r>
      <w:r w:rsidR="00E96C1C">
        <w:rPr>
          <w:rFonts w:ascii="Avenir Next" w:hAnsi="Avenir Next"/>
          <w:color w:val="808080" w:themeColor="background1" w:themeShade="80"/>
          <w:sz w:val="22"/>
          <w:szCs w:val="28"/>
        </w:rPr>
        <w:t xml:space="preserve">proceedings </w:t>
      </w:r>
      <w:r w:rsidR="00E53141">
        <w:rPr>
          <w:rFonts w:ascii="Avenir Next" w:hAnsi="Avenir Next"/>
          <w:color w:val="808080" w:themeColor="background1" w:themeShade="80"/>
          <w:sz w:val="22"/>
          <w:szCs w:val="28"/>
        </w:rPr>
        <w:t xml:space="preserve">which are </w:t>
      </w:r>
      <w:r w:rsidR="00E96C1C">
        <w:rPr>
          <w:rFonts w:ascii="Avenir Next" w:hAnsi="Avenir Next"/>
          <w:color w:val="808080" w:themeColor="background1" w:themeShade="80"/>
          <w:sz w:val="22"/>
          <w:szCs w:val="28"/>
        </w:rPr>
        <w:t>will be determined by the location of the COMI and establishment.</w:t>
      </w:r>
      <w:r w:rsidR="00E83AFC">
        <w:rPr>
          <w:rStyle w:val="FootnoteReference"/>
          <w:rFonts w:ascii="Avenir Next" w:hAnsi="Avenir Next"/>
          <w:color w:val="808080" w:themeColor="background1" w:themeShade="80"/>
          <w:sz w:val="22"/>
          <w:szCs w:val="28"/>
        </w:rPr>
        <w:footnoteReference w:id="29"/>
      </w:r>
      <w:r w:rsidR="00A140A1">
        <w:rPr>
          <w:rFonts w:ascii="Avenir Next" w:hAnsi="Avenir Next"/>
          <w:color w:val="808080" w:themeColor="background1" w:themeShade="80"/>
          <w:sz w:val="22"/>
          <w:szCs w:val="28"/>
        </w:rPr>
        <w:t xml:space="preserve"> </w:t>
      </w:r>
    </w:p>
    <w:p w14:paraId="2C3CEF4F" w14:textId="77777777" w:rsidR="0067644C" w:rsidRDefault="0067644C" w:rsidP="009E3CA7">
      <w:pPr>
        <w:jc w:val="both"/>
        <w:rPr>
          <w:rFonts w:ascii="Avenir Next" w:hAnsi="Avenir Next"/>
          <w:color w:val="808080" w:themeColor="background1" w:themeShade="80"/>
          <w:sz w:val="22"/>
          <w:szCs w:val="28"/>
        </w:rPr>
      </w:pPr>
    </w:p>
    <w:p w14:paraId="21990F74" w14:textId="30DCA693" w:rsidR="0067644C" w:rsidRDefault="00745DA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recognition proceedings </w:t>
      </w:r>
      <w:r w:rsidR="00AD190F">
        <w:rPr>
          <w:rFonts w:ascii="Avenir Next" w:hAnsi="Avenir Next"/>
          <w:color w:val="808080" w:themeColor="background1" w:themeShade="80"/>
          <w:sz w:val="22"/>
          <w:szCs w:val="28"/>
        </w:rPr>
        <w:t xml:space="preserve">ought to be filled </w:t>
      </w:r>
      <w:r w:rsidR="003B5E74">
        <w:rPr>
          <w:rFonts w:ascii="Avenir Next" w:hAnsi="Avenir Next"/>
          <w:color w:val="808080" w:themeColor="background1" w:themeShade="80"/>
          <w:sz w:val="22"/>
          <w:szCs w:val="28"/>
        </w:rPr>
        <w:t>either in the Cayman Island or the US</w:t>
      </w:r>
      <w:r w:rsidR="002F60FB">
        <w:rPr>
          <w:rFonts w:ascii="Avenir Next" w:hAnsi="Avenir Next"/>
          <w:color w:val="808080" w:themeColor="background1" w:themeShade="80"/>
          <w:sz w:val="22"/>
          <w:szCs w:val="28"/>
        </w:rPr>
        <w:t xml:space="preserve"> which will be treated as local proceedings rather than opening multiple insolvency proceedings dealing with </w:t>
      </w:r>
      <w:r w:rsidR="003B3E84">
        <w:rPr>
          <w:rFonts w:ascii="Avenir Next" w:hAnsi="Avenir Next"/>
          <w:color w:val="808080" w:themeColor="background1" w:themeShade="80"/>
          <w:sz w:val="22"/>
          <w:szCs w:val="28"/>
        </w:rPr>
        <w:t>Global Holdings</w:t>
      </w:r>
      <w:r w:rsidR="004819E2">
        <w:rPr>
          <w:rFonts w:ascii="Avenir Next" w:hAnsi="Avenir Next"/>
          <w:color w:val="808080" w:themeColor="background1" w:themeShade="80"/>
          <w:sz w:val="22"/>
          <w:szCs w:val="28"/>
        </w:rPr>
        <w:t>.</w:t>
      </w:r>
      <w:r w:rsidR="001C2D8D">
        <w:rPr>
          <w:rFonts w:ascii="Avenir Next" w:hAnsi="Avenir Next"/>
          <w:color w:val="808080" w:themeColor="background1" w:themeShade="80"/>
          <w:sz w:val="22"/>
          <w:szCs w:val="28"/>
        </w:rPr>
        <w:t xml:space="preserve"> </w:t>
      </w:r>
      <w:r w:rsidR="00DF2708">
        <w:rPr>
          <w:rFonts w:ascii="Avenir Next" w:hAnsi="Avenir Next"/>
          <w:color w:val="808080" w:themeColor="background1" w:themeShade="80"/>
          <w:sz w:val="22"/>
          <w:szCs w:val="28"/>
        </w:rPr>
        <w:t xml:space="preserve">Once </w:t>
      </w:r>
      <w:r w:rsidR="00776CCA">
        <w:rPr>
          <w:rFonts w:ascii="Avenir Next" w:hAnsi="Avenir Next"/>
          <w:color w:val="808080" w:themeColor="background1" w:themeShade="80"/>
          <w:sz w:val="22"/>
          <w:szCs w:val="28"/>
        </w:rPr>
        <w:t xml:space="preserve">recognition </w:t>
      </w:r>
      <w:r w:rsidR="008310DF">
        <w:rPr>
          <w:rFonts w:ascii="Avenir Next" w:hAnsi="Avenir Next"/>
          <w:color w:val="808080" w:themeColor="background1" w:themeShade="80"/>
          <w:sz w:val="22"/>
          <w:szCs w:val="28"/>
        </w:rPr>
        <w:t xml:space="preserve">is approved </w:t>
      </w:r>
      <w:r w:rsidR="00441B58">
        <w:rPr>
          <w:rFonts w:ascii="Avenir Next" w:hAnsi="Avenir Next"/>
          <w:color w:val="808080" w:themeColor="background1" w:themeShade="80"/>
          <w:sz w:val="22"/>
          <w:szCs w:val="28"/>
        </w:rPr>
        <w:t xml:space="preserve">Global can utilize the </w:t>
      </w:r>
      <w:r w:rsidR="004571F0">
        <w:rPr>
          <w:rFonts w:ascii="Avenir Next" w:hAnsi="Avenir Next"/>
          <w:color w:val="808080" w:themeColor="background1" w:themeShade="80"/>
          <w:sz w:val="22"/>
          <w:szCs w:val="28"/>
        </w:rPr>
        <w:t>insolvency tools in the either Cayman Island or US.</w:t>
      </w:r>
      <w:r w:rsidR="00F519C8">
        <w:rPr>
          <w:rFonts w:ascii="Avenir Next" w:hAnsi="Avenir Next"/>
          <w:color w:val="808080" w:themeColor="background1" w:themeShade="80"/>
          <w:sz w:val="22"/>
          <w:szCs w:val="28"/>
        </w:rPr>
        <w:t xml:space="preserve"> </w:t>
      </w:r>
    </w:p>
    <w:p w14:paraId="45C5AC77" w14:textId="6B68F687" w:rsidR="00E01F3F" w:rsidRDefault="00E01F3F" w:rsidP="009E3CA7">
      <w:pPr>
        <w:jc w:val="both"/>
        <w:rPr>
          <w:rFonts w:ascii="Avenir Next" w:hAnsi="Avenir Next"/>
          <w:color w:val="808080" w:themeColor="background1" w:themeShade="80"/>
          <w:sz w:val="22"/>
          <w:szCs w:val="28"/>
        </w:rPr>
      </w:pPr>
    </w:p>
    <w:p w14:paraId="0CE1CEF1" w14:textId="7B28ECBE" w:rsidR="00A92196" w:rsidRDefault="00CC3500" w:rsidP="00225C9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Foreign representative appointed on behalf of Globe Holding makes the </w:t>
      </w:r>
      <w:r w:rsidR="00982EFB">
        <w:rPr>
          <w:rFonts w:ascii="Avenir Next" w:hAnsi="Avenir Next"/>
          <w:color w:val="808080" w:themeColor="background1" w:themeShade="80"/>
          <w:sz w:val="22"/>
          <w:szCs w:val="28"/>
        </w:rPr>
        <w:t xml:space="preserve">application of a </w:t>
      </w:r>
      <w:r w:rsidR="00947650">
        <w:rPr>
          <w:rFonts w:ascii="Avenir Next" w:hAnsi="Avenir Next"/>
          <w:color w:val="808080" w:themeColor="background1" w:themeShade="80"/>
          <w:sz w:val="22"/>
          <w:szCs w:val="28"/>
        </w:rPr>
        <w:t>recognition</w:t>
      </w:r>
      <w:r w:rsidR="00473B3D">
        <w:rPr>
          <w:rFonts w:ascii="Avenir Next" w:hAnsi="Avenir Next"/>
          <w:color w:val="808080" w:themeColor="background1" w:themeShade="80"/>
          <w:sz w:val="22"/>
          <w:szCs w:val="28"/>
        </w:rPr>
        <w:t xml:space="preserve">. </w:t>
      </w:r>
      <w:r w:rsidR="00A92196">
        <w:rPr>
          <w:rFonts w:ascii="Avenir Next" w:hAnsi="Avenir Next"/>
          <w:color w:val="808080" w:themeColor="background1" w:themeShade="80"/>
          <w:sz w:val="22"/>
          <w:szCs w:val="28"/>
        </w:rPr>
        <w:t xml:space="preserve">There are requirements </w:t>
      </w:r>
      <w:r w:rsidR="00BC70F7">
        <w:rPr>
          <w:rFonts w:ascii="Avenir Next" w:hAnsi="Avenir Next"/>
          <w:color w:val="808080" w:themeColor="background1" w:themeShade="80"/>
          <w:sz w:val="22"/>
          <w:szCs w:val="28"/>
        </w:rPr>
        <w:t xml:space="preserve">that must be fulfilled </w:t>
      </w:r>
      <w:r w:rsidR="00661E01">
        <w:rPr>
          <w:rFonts w:ascii="Avenir Next" w:hAnsi="Avenir Next"/>
          <w:color w:val="808080" w:themeColor="background1" w:themeShade="80"/>
          <w:sz w:val="22"/>
          <w:szCs w:val="28"/>
        </w:rPr>
        <w:t xml:space="preserve">in the application </w:t>
      </w:r>
      <w:r w:rsidR="006970E4">
        <w:rPr>
          <w:rFonts w:ascii="Avenir Next" w:hAnsi="Avenir Next"/>
          <w:color w:val="808080" w:themeColor="background1" w:themeShade="80"/>
          <w:sz w:val="22"/>
          <w:szCs w:val="28"/>
        </w:rPr>
        <w:t>for recognition of foreign proceedings</w:t>
      </w:r>
      <w:r w:rsidR="00225C9B">
        <w:rPr>
          <w:rFonts w:ascii="Avenir Next" w:hAnsi="Avenir Next"/>
          <w:color w:val="808080" w:themeColor="background1" w:themeShade="80"/>
          <w:sz w:val="22"/>
          <w:szCs w:val="28"/>
        </w:rPr>
        <w:t xml:space="preserve"> under Article 15:</w:t>
      </w:r>
      <w:r w:rsidR="00225C9B">
        <w:rPr>
          <w:rStyle w:val="FootnoteReference"/>
          <w:rFonts w:ascii="Avenir Next" w:hAnsi="Avenir Next"/>
          <w:color w:val="808080" w:themeColor="background1" w:themeShade="80"/>
          <w:sz w:val="22"/>
          <w:szCs w:val="28"/>
        </w:rPr>
        <w:footnoteReference w:id="30"/>
      </w:r>
    </w:p>
    <w:p w14:paraId="15FE6B89" w14:textId="55B8F164" w:rsidR="00225C9B" w:rsidRDefault="00C47511" w:rsidP="00C47511">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application ought to be accompanied by:</w:t>
      </w:r>
    </w:p>
    <w:p w14:paraId="3E8EC95A" w14:textId="6A006500" w:rsidR="00C47511" w:rsidRDefault="00FB7813" w:rsidP="00C47511">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decision commencing the </w:t>
      </w:r>
      <w:r w:rsidR="00212F2D">
        <w:rPr>
          <w:rFonts w:ascii="Avenir Next" w:hAnsi="Avenir Next"/>
          <w:color w:val="808080" w:themeColor="background1" w:themeShade="80"/>
          <w:sz w:val="22"/>
          <w:szCs w:val="28"/>
        </w:rPr>
        <w:t xml:space="preserve">foreign </w:t>
      </w:r>
      <w:r w:rsidR="00144333">
        <w:rPr>
          <w:rFonts w:ascii="Avenir Next" w:hAnsi="Avenir Next"/>
          <w:color w:val="808080" w:themeColor="background1" w:themeShade="80"/>
          <w:sz w:val="22"/>
          <w:szCs w:val="28"/>
        </w:rPr>
        <w:t>proceeding and appoint</w:t>
      </w:r>
      <w:r w:rsidR="003D035A">
        <w:rPr>
          <w:rFonts w:ascii="Avenir Next" w:hAnsi="Avenir Next"/>
          <w:color w:val="808080" w:themeColor="background1" w:themeShade="80"/>
          <w:sz w:val="22"/>
          <w:szCs w:val="28"/>
        </w:rPr>
        <w:t>ing the foreign representative</w:t>
      </w:r>
      <w:r w:rsidR="00BD45FA">
        <w:rPr>
          <w:rFonts w:ascii="Avenir Next" w:hAnsi="Avenir Next"/>
          <w:color w:val="808080" w:themeColor="background1" w:themeShade="80"/>
          <w:sz w:val="22"/>
          <w:szCs w:val="28"/>
        </w:rPr>
        <w:t xml:space="preserve">. The appointment of the </w:t>
      </w:r>
      <w:r w:rsidR="00881711">
        <w:rPr>
          <w:rFonts w:ascii="Avenir Next" w:hAnsi="Avenir Next"/>
          <w:color w:val="808080" w:themeColor="background1" w:themeShade="80"/>
          <w:sz w:val="22"/>
          <w:szCs w:val="28"/>
        </w:rPr>
        <w:t>Cedar and Wood</w:t>
      </w:r>
      <w:r w:rsidR="00C65521">
        <w:rPr>
          <w:rFonts w:ascii="Avenir Next" w:hAnsi="Avenir Next"/>
          <w:color w:val="808080" w:themeColor="background1" w:themeShade="80"/>
          <w:sz w:val="22"/>
          <w:szCs w:val="28"/>
        </w:rPr>
        <w:t>s</w:t>
      </w:r>
      <w:r w:rsidR="008D6FB4">
        <w:rPr>
          <w:rFonts w:ascii="Avenir Next" w:hAnsi="Avenir Next"/>
          <w:color w:val="808080" w:themeColor="background1" w:themeShade="80"/>
          <w:sz w:val="22"/>
          <w:szCs w:val="28"/>
        </w:rPr>
        <w:t xml:space="preserve"> </w:t>
      </w:r>
      <w:r w:rsidR="00EA71EA">
        <w:rPr>
          <w:rFonts w:ascii="Avenir Next" w:hAnsi="Avenir Next"/>
          <w:color w:val="808080" w:themeColor="background1" w:themeShade="80"/>
          <w:sz w:val="22"/>
          <w:szCs w:val="28"/>
        </w:rPr>
        <w:t xml:space="preserve">and </w:t>
      </w:r>
      <w:r w:rsidR="00056069">
        <w:rPr>
          <w:rFonts w:ascii="Avenir Next" w:hAnsi="Avenir Next"/>
          <w:color w:val="808080" w:themeColor="background1" w:themeShade="80"/>
          <w:sz w:val="22"/>
          <w:szCs w:val="28"/>
        </w:rPr>
        <w:t xml:space="preserve">decision to </w:t>
      </w:r>
      <w:r w:rsidR="00EA71EA">
        <w:rPr>
          <w:rFonts w:ascii="Avenir Next" w:hAnsi="Avenir Next"/>
          <w:color w:val="808080" w:themeColor="background1" w:themeShade="80"/>
          <w:sz w:val="22"/>
          <w:szCs w:val="28"/>
        </w:rPr>
        <w:t xml:space="preserve">starting the </w:t>
      </w:r>
      <w:r w:rsidR="00F35DC4">
        <w:rPr>
          <w:rFonts w:ascii="Avenir Next" w:hAnsi="Avenir Next"/>
          <w:color w:val="808080" w:themeColor="background1" w:themeShade="80"/>
          <w:sz w:val="22"/>
          <w:szCs w:val="28"/>
        </w:rPr>
        <w:t>chapter 15</w:t>
      </w:r>
      <w:r w:rsidR="00925B2D">
        <w:rPr>
          <w:rFonts w:ascii="Avenir Next" w:hAnsi="Avenir Next"/>
          <w:color w:val="808080" w:themeColor="background1" w:themeShade="80"/>
          <w:sz w:val="22"/>
          <w:szCs w:val="28"/>
        </w:rPr>
        <w:t xml:space="preserve"> recognition </w:t>
      </w:r>
      <w:r w:rsidR="005309D1">
        <w:rPr>
          <w:rFonts w:ascii="Avenir Next" w:hAnsi="Avenir Next"/>
          <w:color w:val="808080" w:themeColor="background1" w:themeShade="80"/>
          <w:sz w:val="22"/>
          <w:szCs w:val="28"/>
        </w:rPr>
        <w:t>proceeding</w:t>
      </w:r>
      <w:r w:rsidR="006910BC">
        <w:rPr>
          <w:rFonts w:ascii="Avenir Next" w:hAnsi="Avenir Next"/>
          <w:color w:val="808080" w:themeColor="background1" w:themeShade="80"/>
          <w:sz w:val="22"/>
          <w:szCs w:val="28"/>
        </w:rPr>
        <w:t xml:space="preserve"> dated Au</w:t>
      </w:r>
      <w:r w:rsidR="00EC7903">
        <w:rPr>
          <w:rFonts w:ascii="Avenir Next" w:hAnsi="Avenir Next"/>
          <w:color w:val="808080" w:themeColor="background1" w:themeShade="80"/>
          <w:sz w:val="22"/>
          <w:szCs w:val="28"/>
        </w:rPr>
        <w:t>gust 31, 20</w:t>
      </w:r>
      <w:r w:rsidR="00594CEC">
        <w:rPr>
          <w:rFonts w:ascii="Avenir Next" w:hAnsi="Avenir Next"/>
          <w:color w:val="808080" w:themeColor="background1" w:themeShade="80"/>
          <w:sz w:val="22"/>
          <w:szCs w:val="28"/>
        </w:rPr>
        <w:t>21.</w:t>
      </w:r>
      <w:r w:rsidR="0091409C">
        <w:rPr>
          <w:rStyle w:val="FootnoteReference"/>
          <w:rFonts w:ascii="Avenir Next" w:hAnsi="Avenir Next"/>
          <w:color w:val="808080" w:themeColor="background1" w:themeShade="80"/>
          <w:sz w:val="22"/>
          <w:szCs w:val="28"/>
        </w:rPr>
        <w:footnoteReference w:id="31"/>
      </w:r>
      <w:r w:rsidR="00B52320">
        <w:rPr>
          <w:rFonts w:ascii="Avenir Next" w:hAnsi="Avenir Next"/>
          <w:color w:val="808080" w:themeColor="background1" w:themeShade="80"/>
          <w:sz w:val="22"/>
          <w:szCs w:val="28"/>
        </w:rPr>
        <w:t xml:space="preserve"> The filing of the Sanction Order with the </w:t>
      </w:r>
      <w:r w:rsidR="00B52320" w:rsidRPr="00B52320">
        <w:rPr>
          <w:rFonts w:ascii="Avenir Next" w:hAnsi="Avenir Next"/>
          <w:color w:val="808080" w:themeColor="background1" w:themeShade="80"/>
          <w:sz w:val="22"/>
          <w:szCs w:val="28"/>
        </w:rPr>
        <w:t>Cayman Islands Registrar of Companies</w:t>
      </w:r>
    </w:p>
    <w:p w14:paraId="68B8EE70" w14:textId="0BEB432C" w:rsidR="00E34EF2" w:rsidRDefault="009C7B91" w:rsidP="00E34EF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application for recognition </w:t>
      </w:r>
      <w:r w:rsidR="00C00415">
        <w:rPr>
          <w:rFonts w:ascii="Avenir Next" w:hAnsi="Avenir Next"/>
          <w:color w:val="808080" w:themeColor="background1" w:themeShade="80"/>
          <w:sz w:val="22"/>
          <w:szCs w:val="28"/>
        </w:rPr>
        <w:t>should be accompanied by a statement identifying all foreign proceedings</w:t>
      </w:r>
      <w:r w:rsidR="00930F49">
        <w:rPr>
          <w:rFonts w:ascii="Avenir Next" w:hAnsi="Avenir Next"/>
          <w:color w:val="808080" w:themeColor="background1" w:themeShade="80"/>
          <w:sz w:val="22"/>
          <w:szCs w:val="28"/>
        </w:rPr>
        <w:t xml:space="preserve"> in respect of Globe Holdings</w:t>
      </w:r>
      <w:r w:rsidR="007D4312">
        <w:rPr>
          <w:rFonts w:ascii="Avenir Next" w:hAnsi="Avenir Next"/>
          <w:color w:val="808080" w:themeColor="background1" w:themeShade="80"/>
          <w:sz w:val="22"/>
          <w:szCs w:val="28"/>
        </w:rPr>
        <w:t xml:space="preserve"> that is known to Cedar and Woods</w:t>
      </w:r>
      <w:r w:rsidR="007B48F9">
        <w:rPr>
          <w:rFonts w:ascii="Avenir Next" w:hAnsi="Avenir Next"/>
          <w:color w:val="808080" w:themeColor="background1" w:themeShade="80"/>
          <w:sz w:val="22"/>
          <w:szCs w:val="28"/>
        </w:rPr>
        <w:t>.</w:t>
      </w:r>
      <w:r w:rsidR="00A91C7E">
        <w:rPr>
          <w:rStyle w:val="FootnoteReference"/>
          <w:rFonts w:ascii="Avenir Next" w:hAnsi="Avenir Next"/>
          <w:color w:val="808080" w:themeColor="background1" w:themeShade="80"/>
          <w:sz w:val="22"/>
          <w:szCs w:val="28"/>
        </w:rPr>
        <w:footnoteReference w:id="32"/>
      </w:r>
      <w:r w:rsidR="0064679B">
        <w:rPr>
          <w:rFonts w:ascii="Avenir Next" w:hAnsi="Avenir Next"/>
          <w:color w:val="808080" w:themeColor="background1" w:themeShade="80"/>
          <w:sz w:val="22"/>
          <w:szCs w:val="28"/>
        </w:rPr>
        <w:t xml:space="preserve"> There is none currently </w:t>
      </w:r>
      <w:r w:rsidR="003A2536">
        <w:rPr>
          <w:rFonts w:ascii="Avenir Next" w:hAnsi="Avenir Next"/>
          <w:color w:val="808080" w:themeColor="background1" w:themeShade="80"/>
          <w:sz w:val="22"/>
          <w:szCs w:val="28"/>
        </w:rPr>
        <w:t xml:space="preserve">even </w:t>
      </w:r>
      <w:r w:rsidR="007F5B92">
        <w:rPr>
          <w:rFonts w:ascii="Avenir Next" w:hAnsi="Avenir Next"/>
          <w:color w:val="808080" w:themeColor="background1" w:themeShade="80"/>
          <w:sz w:val="22"/>
          <w:szCs w:val="28"/>
        </w:rPr>
        <w:t>though there is a possibility of a class action in the future.</w:t>
      </w:r>
      <w:r w:rsidR="007A1692">
        <w:rPr>
          <w:rFonts w:ascii="Avenir Next" w:hAnsi="Avenir Next"/>
          <w:color w:val="808080" w:themeColor="background1" w:themeShade="80"/>
          <w:sz w:val="22"/>
          <w:szCs w:val="28"/>
        </w:rPr>
        <w:t xml:space="preserve"> The court should presume the submitted documents are </w:t>
      </w:r>
      <w:r w:rsidR="00D676B6">
        <w:rPr>
          <w:rFonts w:ascii="Avenir Next" w:hAnsi="Avenir Next"/>
          <w:color w:val="808080" w:themeColor="background1" w:themeShade="80"/>
          <w:sz w:val="22"/>
          <w:szCs w:val="28"/>
        </w:rPr>
        <w:t>authentic</w:t>
      </w:r>
      <w:r w:rsidR="009A5B82">
        <w:rPr>
          <w:rFonts w:ascii="Avenir Next" w:hAnsi="Avenir Next"/>
          <w:color w:val="808080" w:themeColor="background1" w:themeShade="80"/>
          <w:sz w:val="22"/>
          <w:szCs w:val="28"/>
        </w:rPr>
        <w:t xml:space="preserve">, whether or not they are been </w:t>
      </w:r>
      <w:r w:rsidR="0099237D">
        <w:rPr>
          <w:rFonts w:ascii="Avenir Next" w:hAnsi="Avenir Next"/>
          <w:color w:val="808080" w:themeColor="background1" w:themeShade="80"/>
          <w:sz w:val="22"/>
          <w:szCs w:val="28"/>
        </w:rPr>
        <w:t>legalized.</w:t>
      </w:r>
      <w:r w:rsidR="00AC06F5">
        <w:rPr>
          <w:rStyle w:val="FootnoteReference"/>
          <w:rFonts w:ascii="Avenir Next" w:hAnsi="Avenir Next"/>
          <w:color w:val="808080" w:themeColor="background1" w:themeShade="80"/>
          <w:sz w:val="22"/>
          <w:szCs w:val="28"/>
        </w:rPr>
        <w:footnoteReference w:id="33"/>
      </w:r>
    </w:p>
    <w:p w14:paraId="095A557B" w14:textId="5FC2193A" w:rsidR="00D61506" w:rsidRDefault="007809F8" w:rsidP="00C871D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the criteria are met </w:t>
      </w:r>
      <w:r w:rsidR="00417ABE">
        <w:rPr>
          <w:rFonts w:ascii="Avenir Next" w:hAnsi="Avenir Next"/>
          <w:color w:val="808080" w:themeColor="background1" w:themeShade="80"/>
          <w:sz w:val="22"/>
          <w:szCs w:val="28"/>
        </w:rPr>
        <w:t xml:space="preserve">the recognition proceeding will be approved based on </w:t>
      </w:r>
      <w:r w:rsidR="008E5F76">
        <w:rPr>
          <w:rFonts w:ascii="Avenir Next" w:hAnsi="Avenir Next"/>
          <w:color w:val="808080" w:themeColor="background1" w:themeShade="80"/>
          <w:sz w:val="22"/>
          <w:szCs w:val="28"/>
        </w:rPr>
        <w:t>Article 17</w:t>
      </w:r>
      <w:r w:rsidR="00A80CA1">
        <w:rPr>
          <w:rFonts w:ascii="Avenir Next" w:hAnsi="Avenir Next"/>
          <w:color w:val="808080" w:themeColor="background1" w:themeShade="80"/>
          <w:sz w:val="22"/>
          <w:szCs w:val="28"/>
        </w:rPr>
        <w:t xml:space="preserve">. The </w:t>
      </w:r>
      <w:r w:rsidR="00F0555E">
        <w:rPr>
          <w:rFonts w:ascii="Avenir Next" w:hAnsi="Avenir Next"/>
          <w:color w:val="808080" w:themeColor="background1" w:themeShade="80"/>
          <w:sz w:val="22"/>
          <w:szCs w:val="28"/>
        </w:rPr>
        <w:t>type of proceedings will determine</w:t>
      </w:r>
      <w:r w:rsidR="002651EB">
        <w:rPr>
          <w:rFonts w:ascii="Avenir Next" w:hAnsi="Avenir Next"/>
          <w:color w:val="808080" w:themeColor="background1" w:themeShade="80"/>
          <w:sz w:val="22"/>
          <w:szCs w:val="28"/>
        </w:rPr>
        <w:t xml:space="preserve"> the type of relief</w:t>
      </w:r>
      <w:r w:rsidR="006431B1">
        <w:rPr>
          <w:rFonts w:ascii="Avenir Next" w:hAnsi="Avenir Next"/>
          <w:color w:val="808080" w:themeColor="background1" w:themeShade="80"/>
          <w:sz w:val="22"/>
          <w:szCs w:val="28"/>
        </w:rPr>
        <w:t xml:space="preserve">. </w:t>
      </w:r>
      <w:r w:rsidR="001A5345">
        <w:rPr>
          <w:rFonts w:ascii="Avenir Next" w:hAnsi="Avenir Next"/>
          <w:color w:val="808080" w:themeColor="background1" w:themeShade="80"/>
          <w:sz w:val="22"/>
          <w:szCs w:val="28"/>
        </w:rPr>
        <w:t xml:space="preserve">Therefore it is essential to determine whether </w:t>
      </w:r>
      <w:r w:rsidR="001106A2">
        <w:rPr>
          <w:rFonts w:ascii="Avenir Next" w:hAnsi="Avenir Next"/>
          <w:color w:val="808080" w:themeColor="background1" w:themeShade="80"/>
          <w:sz w:val="22"/>
          <w:szCs w:val="28"/>
        </w:rPr>
        <w:t xml:space="preserve">COMI is </w:t>
      </w:r>
      <w:r w:rsidR="00715088">
        <w:rPr>
          <w:rFonts w:ascii="Avenir Next" w:hAnsi="Avenir Next"/>
          <w:color w:val="808080" w:themeColor="background1" w:themeShade="80"/>
          <w:sz w:val="22"/>
          <w:szCs w:val="28"/>
        </w:rPr>
        <w:t xml:space="preserve">in US or Cayman island. The presumption is that </w:t>
      </w:r>
      <w:r w:rsidR="00A73550">
        <w:rPr>
          <w:rFonts w:ascii="Avenir Next" w:hAnsi="Avenir Next"/>
          <w:color w:val="808080" w:themeColor="background1" w:themeShade="80"/>
          <w:sz w:val="22"/>
          <w:szCs w:val="28"/>
        </w:rPr>
        <w:t>Globe H</w:t>
      </w:r>
      <w:r w:rsidR="003E7360">
        <w:rPr>
          <w:rFonts w:ascii="Avenir Next" w:hAnsi="Avenir Next"/>
          <w:color w:val="808080" w:themeColor="background1" w:themeShade="80"/>
          <w:sz w:val="22"/>
          <w:szCs w:val="28"/>
        </w:rPr>
        <w:t xml:space="preserve">olding’s </w:t>
      </w:r>
      <w:r w:rsidR="00715088">
        <w:rPr>
          <w:rFonts w:ascii="Avenir Next" w:hAnsi="Avenir Next"/>
          <w:color w:val="808080" w:themeColor="background1" w:themeShade="80"/>
          <w:sz w:val="22"/>
          <w:szCs w:val="28"/>
        </w:rPr>
        <w:t xml:space="preserve">COMI is </w:t>
      </w:r>
      <w:r w:rsidR="00772AF0">
        <w:rPr>
          <w:rFonts w:ascii="Avenir Next" w:hAnsi="Avenir Next"/>
          <w:color w:val="808080" w:themeColor="background1" w:themeShade="80"/>
          <w:sz w:val="22"/>
          <w:szCs w:val="28"/>
        </w:rPr>
        <w:t>located</w:t>
      </w:r>
      <w:r w:rsidR="004C0777">
        <w:rPr>
          <w:rFonts w:ascii="Avenir Next" w:hAnsi="Avenir Next"/>
          <w:color w:val="808080" w:themeColor="background1" w:themeShade="80"/>
          <w:sz w:val="22"/>
          <w:szCs w:val="28"/>
        </w:rPr>
        <w:t xml:space="preserve"> in the Cayman Island as it is </w:t>
      </w:r>
      <w:r w:rsidR="00BE4051">
        <w:rPr>
          <w:rFonts w:ascii="Avenir Next" w:hAnsi="Avenir Next"/>
          <w:color w:val="808080" w:themeColor="background1" w:themeShade="80"/>
          <w:sz w:val="22"/>
          <w:szCs w:val="28"/>
        </w:rPr>
        <w:t xml:space="preserve">where it is </w:t>
      </w:r>
      <w:r w:rsidR="002173D5">
        <w:rPr>
          <w:rFonts w:ascii="Avenir Next" w:hAnsi="Avenir Next"/>
          <w:color w:val="808080" w:themeColor="background1" w:themeShade="80"/>
          <w:sz w:val="22"/>
          <w:szCs w:val="28"/>
        </w:rPr>
        <w:t>register</w:t>
      </w:r>
      <w:r w:rsidR="00600302">
        <w:rPr>
          <w:rFonts w:ascii="Avenir Next" w:hAnsi="Avenir Next"/>
          <w:color w:val="808080" w:themeColor="background1" w:themeShade="80"/>
          <w:sz w:val="22"/>
          <w:szCs w:val="28"/>
        </w:rPr>
        <w:t>ed.</w:t>
      </w:r>
      <w:r w:rsidR="00600302">
        <w:rPr>
          <w:rStyle w:val="FootnoteReference"/>
          <w:rFonts w:ascii="Avenir Next" w:hAnsi="Avenir Next"/>
          <w:color w:val="808080" w:themeColor="background1" w:themeShade="80"/>
          <w:sz w:val="22"/>
          <w:szCs w:val="28"/>
        </w:rPr>
        <w:footnoteReference w:id="34"/>
      </w:r>
      <w:r w:rsidR="00836F2D">
        <w:rPr>
          <w:rFonts w:ascii="Avenir Next" w:hAnsi="Avenir Next"/>
          <w:color w:val="808080" w:themeColor="background1" w:themeShade="80"/>
          <w:sz w:val="22"/>
          <w:szCs w:val="28"/>
        </w:rPr>
        <w:t xml:space="preserve"> </w:t>
      </w:r>
      <w:r w:rsidR="00C758B6">
        <w:rPr>
          <w:rFonts w:ascii="Avenir Next" w:hAnsi="Avenir Next"/>
          <w:color w:val="808080" w:themeColor="background1" w:themeShade="80"/>
          <w:sz w:val="22"/>
          <w:szCs w:val="28"/>
        </w:rPr>
        <w:t xml:space="preserve">The presumption can be </w:t>
      </w:r>
      <w:r w:rsidR="00B045D8">
        <w:rPr>
          <w:rFonts w:ascii="Avenir Next" w:hAnsi="Avenir Next"/>
          <w:color w:val="808080" w:themeColor="background1" w:themeShade="80"/>
          <w:sz w:val="22"/>
          <w:szCs w:val="28"/>
        </w:rPr>
        <w:t>rebutted</w:t>
      </w:r>
      <w:r w:rsidR="00934E76">
        <w:rPr>
          <w:rFonts w:ascii="Avenir Next" w:hAnsi="Avenir Next"/>
          <w:color w:val="808080" w:themeColor="background1" w:themeShade="80"/>
          <w:sz w:val="22"/>
          <w:szCs w:val="28"/>
        </w:rPr>
        <w:t xml:space="preserve"> by looking at </w:t>
      </w:r>
      <w:r w:rsidR="00963996">
        <w:rPr>
          <w:rFonts w:ascii="Avenir Next" w:hAnsi="Avenir Next"/>
          <w:color w:val="808080" w:themeColor="background1" w:themeShade="80"/>
          <w:sz w:val="22"/>
          <w:szCs w:val="28"/>
        </w:rPr>
        <w:t xml:space="preserve">where </w:t>
      </w:r>
      <w:r w:rsidR="00772AF0">
        <w:rPr>
          <w:rFonts w:ascii="Avenir Next" w:hAnsi="Avenir Next"/>
          <w:color w:val="808080" w:themeColor="background1" w:themeShade="80"/>
          <w:sz w:val="22"/>
          <w:szCs w:val="28"/>
        </w:rPr>
        <w:t xml:space="preserve">the central administration </w:t>
      </w:r>
      <w:r w:rsidR="00DB0A75">
        <w:rPr>
          <w:rFonts w:ascii="Avenir Next" w:hAnsi="Avenir Next"/>
          <w:color w:val="808080" w:themeColor="background1" w:themeShade="80"/>
          <w:sz w:val="22"/>
          <w:szCs w:val="28"/>
        </w:rPr>
        <w:t xml:space="preserve">of Globe Holding takes place and </w:t>
      </w:r>
      <w:r w:rsidR="00963996">
        <w:rPr>
          <w:rFonts w:ascii="Avenir Next" w:hAnsi="Avenir Next"/>
          <w:color w:val="808080" w:themeColor="background1" w:themeShade="80"/>
          <w:sz w:val="22"/>
          <w:szCs w:val="28"/>
        </w:rPr>
        <w:t xml:space="preserve">whether that location </w:t>
      </w:r>
      <w:r w:rsidR="00DB0A75">
        <w:rPr>
          <w:rFonts w:ascii="Avenir Next" w:hAnsi="Avenir Next"/>
          <w:color w:val="808080" w:themeColor="background1" w:themeShade="80"/>
          <w:sz w:val="22"/>
          <w:szCs w:val="28"/>
        </w:rPr>
        <w:t xml:space="preserve">is ascertainable </w:t>
      </w:r>
      <w:r w:rsidR="00A20D77">
        <w:rPr>
          <w:rFonts w:ascii="Avenir Next" w:hAnsi="Avenir Next"/>
          <w:color w:val="808080" w:themeColor="background1" w:themeShade="80"/>
          <w:sz w:val="22"/>
          <w:szCs w:val="28"/>
        </w:rPr>
        <w:t>by its creditors.</w:t>
      </w:r>
      <w:r w:rsidR="00A20D77">
        <w:rPr>
          <w:rStyle w:val="FootnoteReference"/>
          <w:rFonts w:ascii="Avenir Next" w:hAnsi="Avenir Next"/>
          <w:color w:val="808080" w:themeColor="background1" w:themeShade="80"/>
          <w:sz w:val="22"/>
          <w:szCs w:val="28"/>
        </w:rPr>
        <w:footnoteReference w:id="35"/>
      </w:r>
      <w:r w:rsidR="00054745">
        <w:rPr>
          <w:rFonts w:ascii="Avenir Next" w:hAnsi="Avenir Next"/>
          <w:color w:val="808080" w:themeColor="background1" w:themeShade="80"/>
          <w:sz w:val="22"/>
          <w:szCs w:val="28"/>
        </w:rPr>
        <w:t xml:space="preserve"> </w:t>
      </w:r>
      <w:r w:rsidR="001F5959">
        <w:rPr>
          <w:rFonts w:ascii="Avenir Next" w:hAnsi="Avenir Next"/>
          <w:color w:val="808080" w:themeColor="background1" w:themeShade="80"/>
          <w:sz w:val="22"/>
          <w:szCs w:val="28"/>
        </w:rPr>
        <w:t>Globe Holding conducts its affairs in the US</w:t>
      </w:r>
      <w:r w:rsidR="00660DDD">
        <w:rPr>
          <w:rFonts w:ascii="Avenir Next" w:hAnsi="Avenir Next"/>
          <w:color w:val="808080" w:themeColor="background1" w:themeShade="80"/>
          <w:sz w:val="22"/>
          <w:szCs w:val="28"/>
        </w:rPr>
        <w:t xml:space="preserve"> (</w:t>
      </w:r>
      <w:r w:rsidR="00946D8F">
        <w:rPr>
          <w:rFonts w:ascii="Avenir Next" w:hAnsi="Avenir Next"/>
          <w:color w:val="808080" w:themeColor="background1" w:themeShade="80"/>
          <w:sz w:val="22"/>
          <w:szCs w:val="28"/>
        </w:rPr>
        <w:t>its headquarters are located in the US</w:t>
      </w:r>
      <w:r w:rsidR="002A5193">
        <w:rPr>
          <w:rFonts w:ascii="Avenir Next" w:hAnsi="Avenir Next"/>
          <w:color w:val="808080" w:themeColor="background1" w:themeShade="80"/>
          <w:sz w:val="22"/>
          <w:szCs w:val="28"/>
        </w:rPr>
        <w:t xml:space="preserve">) which is known by </w:t>
      </w:r>
      <w:r w:rsidR="00743A60">
        <w:rPr>
          <w:rFonts w:ascii="Avenir Next" w:hAnsi="Avenir Next"/>
          <w:color w:val="808080" w:themeColor="background1" w:themeShade="80"/>
          <w:sz w:val="22"/>
          <w:szCs w:val="28"/>
        </w:rPr>
        <w:t>Noteholders</w:t>
      </w:r>
      <w:r w:rsidR="0026368E">
        <w:rPr>
          <w:rFonts w:ascii="Avenir Next" w:hAnsi="Avenir Next"/>
          <w:color w:val="808080" w:themeColor="background1" w:themeShade="80"/>
          <w:sz w:val="22"/>
          <w:szCs w:val="28"/>
        </w:rPr>
        <w:t xml:space="preserve">. </w:t>
      </w:r>
      <w:r w:rsidR="00D12AD3">
        <w:rPr>
          <w:rFonts w:ascii="Avenir Next" w:hAnsi="Avenir Next"/>
          <w:color w:val="808080" w:themeColor="background1" w:themeShade="80"/>
          <w:sz w:val="22"/>
          <w:szCs w:val="28"/>
        </w:rPr>
        <w:t xml:space="preserve">However, it conducts </w:t>
      </w:r>
      <w:r w:rsidR="002E0738">
        <w:rPr>
          <w:rFonts w:ascii="Avenir Next" w:hAnsi="Avenir Next"/>
          <w:color w:val="808080" w:themeColor="background1" w:themeShade="80"/>
          <w:sz w:val="22"/>
          <w:szCs w:val="28"/>
        </w:rPr>
        <w:t xml:space="preserve">its </w:t>
      </w:r>
      <w:r w:rsidR="00073989">
        <w:rPr>
          <w:rFonts w:ascii="Avenir Next" w:hAnsi="Avenir Next"/>
          <w:color w:val="808080" w:themeColor="background1" w:themeShade="80"/>
          <w:sz w:val="22"/>
          <w:szCs w:val="28"/>
        </w:rPr>
        <w:t>board meetings from the Cayman island albeit virtually</w:t>
      </w:r>
      <w:r w:rsidR="00A24571">
        <w:rPr>
          <w:rFonts w:ascii="Avenir Next" w:hAnsi="Avenir Next"/>
          <w:color w:val="808080" w:themeColor="background1" w:themeShade="80"/>
          <w:sz w:val="22"/>
          <w:szCs w:val="28"/>
        </w:rPr>
        <w:t>.</w:t>
      </w:r>
      <w:r w:rsidR="00345123">
        <w:rPr>
          <w:rFonts w:ascii="Avenir Next" w:hAnsi="Avenir Next"/>
          <w:color w:val="808080" w:themeColor="background1" w:themeShade="80"/>
          <w:sz w:val="22"/>
          <w:szCs w:val="28"/>
        </w:rPr>
        <w:t xml:space="preserve"> </w:t>
      </w:r>
      <w:r w:rsidR="00980483">
        <w:rPr>
          <w:rFonts w:ascii="Avenir Next" w:hAnsi="Avenir Next"/>
          <w:color w:val="808080" w:themeColor="background1" w:themeShade="80"/>
          <w:sz w:val="22"/>
          <w:szCs w:val="28"/>
        </w:rPr>
        <w:t>Additionally</w:t>
      </w:r>
      <w:r w:rsidR="00BC551F">
        <w:rPr>
          <w:rFonts w:ascii="Avenir Next" w:hAnsi="Avenir Next"/>
          <w:color w:val="808080" w:themeColor="background1" w:themeShade="80"/>
          <w:sz w:val="22"/>
          <w:szCs w:val="28"/>
        </w:rPr>
        <w:t xml:space="preserve"> other factors to consider</w:t>
      </w:r>
      <w:r w:rsidR="00D61506">
        <w:rPr>
          <w:rFonts w:ascii="Avenir Next" w:hAnsi="Avenir Next"/>
          <w:color w:val="808080" w:themeColor="background1" w:themeShade="80"/>
          <w:sz w:val="22"/>
          <w:szCs w:val="28"/>
        </w:rPr>
        <w:t xml:space="preserve"> to rebut the presumption</w:t>
      </w:r>
      <w:r w:rsidR="00731CB0">
        <w:rPr>
          <w:rFonts w:ascii="Avenir Next" w:hAnsi="Avenir Next"/>
          <w:color w:val="808080" w:themeColor="background1" w:themeShade="80"/>
          <w:sz w:val="22"/>
          <w:szCs w:val="28"/>
        </w:rPr>
        <w:t xml:space="preserve"> that Cayman Island </w:t>
      </w:r>
      <w:r w:rsidR="00E8665D">
        <w:rPr>
          <w:rFonts w:ascii="Avenir Next" w:hAnsi="Avenir Next"/>
          <w:color w:val="808080" w:themeColor="background1" w:themeShade="80"/>
          <w:sz w:val="22"/>
          <w:szCs w:val="28"/>
        </w:rPr>
        <w:t>is COMI</w:t>
      </w:r>
      <w:r w:rsidR="00F35646">
        <w:rPr>
          <w:rFonts w:ascii="Avenir Next" w:hAnsi="Avenir Next"/>
          <w:color w:val="808080" w:themeColor="background1" w:themeShade="80"/>
          <w:sz w:val="22"/>
          <w:szCs w:val="28"/>
        </w:rPr>
        <w:t>:</w:t>
      </w:r>
    </w:p>
    <w:p w14:paraId="67F0BA7A" w14:textId="7035A0B5" w:rsidR="004951A8" w:rsidRDefault="00025E8D" w:rsidP="00D61506">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w:t>
      </w:r>
      <w:r w:rsidR="00DF06F0">
        <w:rPr>
          <w:rFonts w:ascii="Avenir Next" w:hAnsi="Avenir Next"/>
          <w:color w:val="808080" w:themeColor="background1" w:themeShade="80"/>
          <w:sz w:val="22"/>
          <w:szCs w:val="28"/>
        </w:rPr>
        <w:t>unsec</w:t>
      </w:r>
      <w:r w:rsidR="00F13E1C">
        <w:rPr>
          <w:rFonts w:ascii="Avenir Next" w:hAnsi="Avenir Next"/>
          <w:color w:val="808080" w:themeColor="background1" w:themeShade="80"/>
          <w:sz w:val="22"/>
          <w:szCs w:val="28"/>
        </w:rPr>
        <w:t xml:space="preserve">ured </w:t>
      </w:r>
      <w:r>
        <w:rPr>
          <w:rFonts w:ascii="Avenir Next" w:hAnsi="Avenir Next"/>
          <w:color w:val="808080" w:themeColor="background1" w:themeShade="80"/>
          <w:sz w:val="22"/>
          <w:szCs w:val="28"/>
        </w:rPr>
        <w:t>notes are governed by New York laws</w:t>
      </w:r>
      <w:r w:rsidR="008F4665">
        <w:rPr>
          <w:rFonts w:ascii="Avenir Next" w:hAnsi="Avenir Next"/>
          <w:color w:val="808080" w:themeColor="background1" w:themeShade="80"/>
          <w:sz w:val="22"/>
          <w:szCs w:val="28"/>
        </w:rPr>
        <w:t>.</w:t>
      </w:r>
    </w:p>
    <w:p w14:paraId="5FA94E8F" w14:textId="1AC92E2D" w:rsidR="008F4665" w:rsidRDefault="00FE1A63" w:rsidP="00D61506">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business mainly conducted by subsidiaries that are registered and operate </w:t>
      </w:r>
      <w:r w:rsidR="00DB403B">
        <w:rPr>
          <w:rFonts w:ascii="Avenir Next" w:hAnsi="Avenir Next"/>
          <w:color w:val="808080" w:themeColor="background1" w:themeShade="80"/>
          <w:sz w:val="22"/>
          <w:szCs w:val="28"/>
        </w:rPr>
        <w:t>in the US</w:t>
      </w:r>
      <w:r w:rsidR="002200A1">
        <w:rPr>
          <w:rFonts w:ascii="Avenir Next" w:hAnsi="Avenir Next"/>
          <w:color w:val="808080" w:themeColor="background1" w:themeShade="80"/>
          <w:sz w:val="22"/>
          <w:szCs w:val="28"/>
        </w:rPr>
        <w:t>.</w:t>
      </w:r>
    </w:p>
    <w:p w14:paraId="5C901C91" w14:textId="77777777" w:rsidR="00F9509E" w:rsidRDefault="00884375" w:rsidP="0088437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the other hand factors that support that </w:t>
      </w:r>
      <w:r w:rsidR="00C3411D">
        <w:rPr>
          <w:rFonts w:ascii="Avenir Next" w:hAnsi="Avenir Next"/>
          <w:color w:val="808080" w:themeColor="background1" w:themeShade="80"/>
          <w:sz w:val="22"/>
          <w:szCs w:val="28"/>
        </w:rPr>
        <w:t>Cayman Island</w:t>
      </w:r>
      <w:r w:rsidR="0074083A">
        <w:rPr>
          <w:rFonts w:ascii="Avenir Next" w:hAnsi="Avenir Next"/>
          <w:color w:val="808080" w:themeColor="background1" w:themeShade="80"/>
          <w:sz w:val="22"/>
          <w:szCs w:val="28"/>
        </w:rPr>
        <w:t xml:space="preserve"> </w:t>
      </w:r>
      <w:r w:rsidR="00C64F2E">
        <w:rPr>
          <w:rFonts w:ascii="Avenir Next" w:hAnsi="Avenir Next"/>
          <w:color w:val="808080" w:themeColor="background1" w:themeShade="80"/>
          <w:sz w:val="22"/>
          <w:szCs w:val="28"/>
        </w:rPr>
        <w:t xml:space="preserve">is </w:t>
      </w:r>
      <w:r w:rsidR="00F9509E">
        <w:rPr>
          <w:rFonts w:ascii="Avenir Next" w:hAnsi="Avenir Next"/>
          <w:color w:val="808080" w:themeColor="background1" w:themeShade="80"/>
          <w:sz w:val="22"/>
          <w:szCs w:val="28"/>
        </w:rPr>
        <w:t>COMI:</w:t>
      </w:r>
    </w:p>
    <w:p w14:paraId="417F9014" w14:textId="52BA7759" w:rsidR="00F9509E" w:rsidRDefault="00F9509E" w:rsidP="00F9509E">
      <w:pPr>
        <w:pStyle w:val="ListParagraph"/>
        <w:numPr>
          <w:ilvl w:val="0"/>
          <w:numId w:val="19"/>
        </w:numPr>
        <w:jc w:val="both"/>
        <w:rPr>
          <w:rFonts w:ascii="Avenir Next" w:hAnsi="Avenir Next"/>
          <w:color w:val="808080" w:themeColor="background1" w:themeShade="80"/>
          <w:sz w:val="22"/>
          <w:szCs w:val="28"/>
        </w:rPr>
      </w:pPr>
      <w:r w:rsidRPr="00D61506">
        <w:rPr>
          <w:rFonts w:ascii="Avenir Next" w:hAnsi="Avenir Next"/>
          <w:color w:val="808080" w:themeColor="background1" w:themeShade="80"/>
          <w:sz w:val="22"/>
          <w:szCs w:val="28"/>
        </w:rPr>
        <w:t>the books and records are kept in Cayman Island</w:t>
      </w:r>
      <w:r>
        <w:rPr>
          <w:rFonts w:ascii="Avenir Next" w:hAnsi="Avenir Next"/>
          <w:color w:val="808080" w:themeColor="background1" w:themeShade="80"/>
          <w:sz w:val="22"/>
          <w:szCs w:val="28"/>
        </w:rPr>
        <w:t>.</w:t>
      </w:r>
    </w:p>
    <w:p w14:paraId="55C7249C" w14:textId="77777777" w:rsidR="00F9509E" w:rsidRDefault="00F9509E" w:rsidP="00F9509E">
      <w:pPr>
        <w:pStyle w:val="ListParagraph"/>
        <w:numPr>
          <w:ilvl w:val="0"/>
          <w:numId w:val="19"/>
        </w:numPr>
        <w:jc w:val="both"/>
        <w:rPr>
          <w:rFonts w:ascii="Avenir Next" w:hAnsi="Avenir Next"/>
          <w:color w:val="808080" w:themeColor="background1" w:themeShade="80"/>
          <w:sz w:val="22"/>
          <w:szCs w:val="28"/>
        </w:rPr>
      </w:pPr>
      <w:r w:rsidRPr="00D61506">
        <w:rPr>
          <w:rFonts w:ascii="Avenir Next" w:hAnsi="Avenir Next"/>
          <w:color w:val="808080" w:themeColor="background1" w:themeShade="80"/>
          <w:sz w:val="22"/>
          <w:szCs w:val="28"/>
        </w:rPr>
        <w:t>Globe Holdings’ bank account is located in the Cayman island (</w:t>
      </w:r>
      <w:r>
        <w:rPr>
          <w:rFonts w:ascii="Avenir Next" w:hAnsi="Avenir Next"/>
          <w:color w:val="808080" w:themeColor="background1" w:themeShade="80"/>
          <w:sz w:val="22"/>
          <w:szCs w:val="28"/>
        </w:rPr>
        <w:t xml:space="preserve">However, the account was only opened a few days ago and therefore may not be relevant). </w:t>
      </w:r>
      <w:r w:rsidRPr="00D61506">
        <w:rPr>
          <w:rFonts w:ascii="Avenir Next" w:hAnsi="Avenir Next"/>
          <w:color w:val="808080" w:themeColor="background1" w:themeShade="80"/>
          <w:sz w:val="22"/>
          <w:szCs w:val="28"/>
        </w:rPr>
        <w:t xml:space="preserve"> </w:t>
      </w:r>
    </w:p>
    <w:p w14:paraId="3C725A3F" w14:textId="5463CFB6" w:rsidR="00F9509E" w:rsidRDefault="00D935DE" w:rsidP="00F9509E">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Counsel is located in Cayman Island</w:t>
      </w:r>
      <w:r w:rsidR="00C711F7">
        <w:rPr>
          <w:rFonts w:ascii="Avenir Next" w:hAnsi="Avenir Next"/>
          <w:color w:val="808080" w:themeColor="background1" w:themeShade="80"/>
          <w:sz w:val="22"/>
          <w:szCs w:val="28"/>
        </w:rPr>
        <w:t>.</w:t>
      </w:r>
    </w:p>
    <w:p w14:paraId="515B697E" w14:textId="0752A0D2" w:rsidR="00C711F7" w:rsidRDefault="003E28AF" w:rsidP="00F9509E">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Note</w:t>
      </w:r>
      <w:r w:rsidR="00010EA9">
        <w:rPr>
          <w:rFonts w:ascii="Avenir Next" w:hAnsi="Avenir Next"/>
          <w:color w:val="808080" w:themeColor="background1" w:themeShade="80"/>
          <w:sz w:val="22"/>
          <w:szCs w:val="28"/>
        </w:rPr>
        <w:t>holders have agreed for restructuring to be governed by Cayman island laws</w:t>
      </w:r>
      <w:r w:rsidR="00800369">
        <w:rPr>
          <w:rFonts w:ascii="Avenir Next" w:hAnsi="Avenir Next"/>
          <w:color w:val="808080" w:themeColor="background1" w:themeShade="80"/>
          <w:sz w:val="22"/>
          <w:szCs w:val="28"/>
        </w:rPr>
        <w:t>.</w:t>
      </w:r>
    </w:p>
    <w:p w14:paraId="7A0F7058" w14:textId="01A1E4DF" w:rsidR="00BA63DF" w:rsidRDefault="00BA63DF" w:rsidP="00FC377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Therefore, COMI is located in the Cayman Island. </w:t>
      </w:r>
      <w:r w:rsidR="00947862">
        <w:rPr>
          <w:rFonts w:ascii="Avenir Next" w:hAnsi="Avenir Next"/>
          <w:color w:val="808080" w:themeColor="background1" w:themeShade="80"/>
          <w:sz w:val="22"/>
          <w:szCs w:val="28"/>
        </w:rPr>
        <w:t xml:space="preserve">The proceedings to be commenced in Cayman Island are </w:t>
      </w:r>
      <w:r w:rsidR="00FC377C">
        <w:rPr>
          <w:rFonts w:ascii="Avenir Next" w:hAnsi="Avenir Next"/>
          <w:color w:val="808080" w:themeColor="background1" w:themeShade="80"/>
          <w:sz w:val="22"/>
          <w:szCs w:val="28"/>
        </w:rPr>
        <w:t xml:space="preserve">foreign </w:t>
      </w:r>
      <w:r w:rsidR="00A90F6D">
        <w:rPr>
          <w:rFonts w:ascii="Avenir Next" w:hAnsi="Avenir Next"/>
          <w:color w:val="808080" w:themeColor="background1" w:themeShade="80"/>
          <w:sz w:val="22"/>
          <w:szCs w:val="28"/>
        </w:rPr>
        <w:t>main proceedings</w:t>
      </w:r>
      <w:r w:rsidR="003B0D55">
        <w:rPr>
          <w:rFonts w:ascii="Avenir Next" w:hAnsi="Avenir Next"/>
          <w:color w:val="808080" w:themeColor="background1" w:themeShade="80"/>
          <w:sz w:val="22"/>
          <w:szCs w:val="28"/>
        </w:rPr>
        <w:t>.</w:t>
      </w:r>
      <w:r w:rsidR="003B0D55">
        <w:rPr>
          <w:rStyle w:val="FootnoteReference"/>
          <w:rFonts w:ascii="Avenir Next" w:hAnsi="Avenir Next"/>
          <w:color w:val="808080" w:themeColor="background1" w:themeShade="80"/>
          <w:sz w:val="22"/>
          <w:szCs w:val="28"/>
        </w:rPr>
        <w:footnoteReference w:id="36"/>
      </w:r>
      <w:r w:rsidR="00FC377C">
        <w:rPr>
          <w:rFonts w:ascii="Avenir Next" w:hAnsi="Avenir Next"/>
          <w:color w:val="808080" w:themeColor="background1" w:themeShade="80"/>
          <w:sz w:val="22"/>
          <w:szCs w:val="28"/>
        </w:rPr>
        <w:t xml:space="preserve"> </w:t>
      </w:r>
      <w:r w:rsidR="00E926EA">
        <w:rPr>
          <w:rFonts w:ascii="Avenir Next" w:hAnsi="Avenir Next"/>
          <w:color w:val="808080" w:themeColor="background1" w:themeShade="80"/>
          <w:sz w:val="22"/>
          <w:szCs w:val="28"/>
        </w:rPr>
        <w:t xml:space="preserve">Since </w:t>
      </w:r>
      <w:r w:rsidR="006112A4">
        <w:rPr>
          <w:rFonts w:ascii="Avenir Next" w:hAnsi="Avenir Next"/>
          <w:color w:val="808080" w:themeColor="background1" w:themeShade="80"/>
          <w:sz w:val="22"/>
          <w:szCs w:val="28"/>
        </w:rPr>
        <w:t xml:space="preserve">Globe Holdings operates </w:t>
      </w:r>
      <w:r w:rsidR="00EE3172">
        <w:rPr>
          <w:rFonts w:ascii="Avenir Next" w:hAnsi="Avenir Next"/>
          <w:color w:val="808080" w:themeColor="background1" w:themeShade="80"/>
          <w:sz w:val="22"/>
          <w:szCs w:val="28"/>
        </w:rPr>
        <w:t>non-trans</w:t>
      </w:r>
      <w:r w:rsidR="004926C7">
        <w:rPr>
          <w:rFonts w:ascii="Avenir Next" w:hAnsi="Avenir Next"/>
          <w:color w:val="808080" w:themeColor="background1" w:themeShade="80"/>
          <w:sz w:val="22"/>
          <w:szCs w:val="28"/>
        </w:rPr>
        <w:t xml:space="preserve">itory economic activities </w:t>
      </w:r>
      <w:r w:rsidR="005E287F">
        <w:rPr>
          <w:rFonts w:ascii="Avenir Next" w:hAnsi="Avenir Next"/>
          <w:color w:val="808080" w:themeColor="background1" w:themeShade="80"/>
          <w:sz w:val="22"/>
          <w:szCs w:val="28"/>
        </w:rPr>
        <w:t>in the US via its subsidiaries</w:t>
      </w:r>
      <w:r w:rsidR="00DA6FCF">
        <w:rPr>
          <w:rFonts w:ascii="Avenir Next" w:hAnsi="Avenir Next"/>
          <w:color w:val="808080" w:themeColor="background1" w:themeShade="80"/>
          <w:sz w:val="22"/>
          <w:szCs w:val="28"/>
        </w:rPr>
        <w:t xml:space="preserve"> (as seen above) </w:t>
      </w:r>
      <w:r w:rsidR="00194585">
        <w:rPr>
          <w:rFonts w:ascii="Avenir Next" w:hAnsi="Avenir Next"/>
          <w:color w:val="808080" w:themeColor="background1" w:themeShade="80"/>
          <w:sz w:val="22"/>
          <w:szCs w:val="28"/>
        </w:rPr>
        <w:t>it has an establishment in the US.</w:t>
      </w:r>
      <w:r w:rsidR="00194585">
        <w:rPr>
          <w:rStyle w:val="FootnoteReference"/>
          <w:rFonts w:ascii="Avenir Next" w:hAnsi="Avenir Next"/>
          <w:color w:val="808080" w:themeColor="background1" w:themeShade="80"/>
          <w:sz w:val="22"/>
          <w:szCs w:val="28"/>
        </w:rPr>
        <w:footnoteReference w:id="37"/>
      </w:r>
      <w:r w:rsidR="00246BCD">
        <w:rPr>
          <w:rFonts w:ascii="Avenir Next" w:hAnsi="Avenir Next"/>
          <w:color w:val="808080" w:themeColor="background1" w:themeShade="80"/>
          <w:sz w:val="22"/>
          <w:szCs w:val="28"/>
        </w:rPr>
        <w:t xml:space="preserve"> The proceedings in the US are </w:t>
      </w:r>
      <w:r w:rsidR="00AB0676">
        <w:rPr>
          <w:rFonts w:ascii="Avenir Next" w:hAnsi="Avenir Next"/>
          <w:color w:val="808080" w:themeColor="background1" w:themeShade="80"/>
          <w:sz w:val="22"/>
          <w:szCs w:val="28"/>
        </w:rPr>
        <w:t>foreign</w:t>
      </w:r>
      <w:r w:rsidR="002F4BA0">
        <w:rPr>
          <w:rFonts w:ascii="Avenir Next" w:hAnsi="Avenir Next"/>
          <w:color w:val="808080" w:themeColor="background1" w:themeShade="80"/>
          <w:sz w:val="22"/>
          <w:szCs w:val="28"/>
        </w:rPr>
        <w:t xml:space="preserve"> non-main proceedings</w:t>
      </w:r>
      <w:r w:rsidR="00FC733E">
        <w:rPr>
          <w:rFonts w:ascii="Avenir Next" w:hAnsi="Avenir Next"/>
          <w:color w:val="808080" w:themeColor="background1" w:themeShade="80"/>
          <w:sz w:val="22"/>
          <w:szCs w:val="28"/>
        </w:rPr>
        <w:t>.</w:t>
      </w:r>
      <w:r w:rsidR="00FC733E">
        <w:rPr>
          <w:rStyle w:val="FootnoteReference"/>
          <w:rFonts w:ascii="Avenir Next" w:hAnsi="Avenir Next"/>
          <w:color w:val="808080" w:themeColor="background1" w:themeShade="80"/>
          <w:sz w:val="22"/>
          <w:szCs w:val="28"/>
        </w:rPr>
        <w:footnoteReference w:id="38"/>
      </w:r>
    </w:p>
    <w:p w14:paraId="189FDEF0" w14:textId="77777777" w:rsidR="0055688B" w:rsidRDefault="0055688B" w:rsidP="00FC377C">
      <w:pPr>
        <w:jc w:val="both"/>
        <w:rPr>
          <w:rFonts w:ascii="Avenir Next" w:hAnsi="Avenir Next"/>
          <w:color w:val="808080" w:themeColor="background1" w:themeShade="80"/>
          <w:sz w:val="22"/>
          <w:szCs w:val="28"/>
        </w:rPr>
      </w:pPr>
    </w:p>
    <w:p w14:paraId="32AC64BE" w14:textId="7D584BD3" w:rsidR="0055688B" w:rsidRDefault="0055688B" w:rsidP="006A5DF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filling </w:t>
      </w:r>
      <w:r w:rsidR="00227E96">
        <w:rPr>
          <w:rFonts w:ascii="Avenir Next" w:hAnsi="Avenir Next"/>
          <w:color w:val="808080" w:themeColor="background1" w:themeShade="80"/>
          <w:sz w:val="22"/>
          <w:szCs w:val="28"/>
        </w:rPr>
        <w:t>the recognition application</w:t>
      </w:r>
      <w:r w:rsidR="001E17D9">
        <w:rPr>
          <w:rFonts w:ascii="Avenir Next" w:hAnsi="Avenir Next"/>
          <w:color w:val="808080" w:themeColor="background1" w:themeShade="80"/>
          <w:sz w:val="22"/>
          <w:szCs w:val="28"/>
        </w:rPr>
        <w:t>, it should be requested</w:t>
      </w:r>
      <w:r w:rsidR="00736850">
        <w:rPr>
          <w:rFonts w:ascii="Avenir Next" w:hAnsi="Avenir Next"/>
          <w:color w:val="808080" w:themeColor="background1" w:themeShade="80"/>
          <w:sz w:val="22"/>
          <w:szCs w:val="28"/>
        </w:rPr>
        <w:t xml:space="preserve"> relief under Article 19 be granted at the discretion of the court</w:t>
      </w:r>
      <w:r w:rsidR="00674696">
        <w:rPr>
          <w:rFonts w:ascii="Avenir Next" w:hAnsi="Avenir Next"/>
          <w:color w:val="808080" w:themeColor="background1" w:themeShade="80"/>
          <w:sz w:val="22"/>
          <w:szCs w:val="28"/>
        </w:rPr>
        <w:t xml:space="preserve"> </w:t>
      </w:r>
      <w:r w:rsidR="00DE1778">
        <w:rPr>
          <w:rFonts w:ascii="Avenir Next" w:hAnsi="Avenir Next"/>
          <w:color w:val="808080" w:themeColor="background1" w:themeShade="80"/>
          <w:sz w:val="22"/>
          <w:szCs w:val="28"/>
        </w:rPr>
        <w:t>which applies to both foreign main and non-main proceedings</w:t>
      </w:r>
      <w:r w:rsidR="0045165B">
        <w:rPr>
          <w:rFonts w:ascii="Avenir Next" w:hAnsi="Avenir Next"/>
          <w:color w:val="808080" w:themeColor="background1" w:themeShade="80"/>
          <w:sz w:val="22"/>
          <w:szCs w:val="28"/>
        </w:rPr>
        <w:t>.</w:t>
      </w:r>
      <w:r w:rsidR="0045165B">
        <w:rPr>
          <w:rStyle w:val="FootnoteReference"/>
          <w:rFonts w:ascii="Avenir Next" w:hAnsi="Avenir Next"/>
          <w:color w:val="808080" w:themeColor="background1" w:themeShade="80"/>
          <w:sz w:val="22"/>
          <w:szCs w:val="28"/>
        </w:rPr>
        <w:footnoteReference w:id="39"/>
      </w:r>
      <w:r w:rsidR="0045165B">
        <w:rPr>
          <w:rFonts w:ascii="Avenir Next" w:hAnsi="Avenir Next"/>
          <w:color w:val="808080" w:themeColor="background1" w:themeShade="80"/>
          <w:sz w:val="22"/>
          <w:szCs w:val="28"/>
        </w:rPr>
        <w:t xml:space="preserve"> The relief will be to protect the assets of t</w:t>
      </w:r>
      <w:r w:rsidR="00441C09">
        <w:rPr>
          <w:rFonts w:ascii="Avenir Next" w:hAnsi="Avenir Next"/>
          <w:color w:val="808080" w:themeColor="background1" w:themeShade="80"/>
          <w:sz w:val="22"/>
          <w:szCs w:val="28"/>
        </w:rPr>
        <w:t xml:space="preserve">he assets in </w:t>
      </w:r>
      <w:r w:rsidR="006A5DF5">
        <w:rPr>
          <w:rFonts w:ascii="Avenir Next" w:hAnsi="Avenir Next"/>
          <w:color w:val="808080" w:themeColor="background1" w:themeShade="80"/>
          <w:sz w:val="22"/>
          <w:szCs w:val="28"/>
        </w:rPr>
        <w:t>NY</w:t>
      </w:r>
      <w:r w:rsidR="00441C09">
        <w:rPr>
          <w:rFonts w:ascii="Avenir Next" w:hAnsi="Avenir Next"/>
          <w:color w:val="808080" w:themeColor="background1" w:themeShade="80"/>
          <w:sz w:val="22"/>
          <w:szCs w:val="28"/>
        </w:rPr>
        <w:t xml:space="preserve"> (HQ </w:t>
      </w:r>
      <w:r w:rsidR="004C3CDC">
        <w:rPr>
          <w:rFonts w:ascii="Avenir Next" w:hAnsi="Avenir Next"/>
          <w:color w:val="808080" w:themeColor="background1" w:themeShade="80"/>
          <w:sz w:val="22"/>
          <w:szCs w:val="28"/>
        </w:rPr>
        <w:t xml:space="preserve">which includes </w:t>
      </w:r>
      <w:r w:rsidR="00CB537B">
        <w:rPr>
          <w:rFonts w:ascii="Avenir Next" w:hAnsi="Avenir Next"/>
          <w:color w:val="808080" w:themeColor="background1" w:themeShade="80"/>
          <w:sz w:val="22"/>
          <w:szCs w:val="28"/>
        </w:rPr>
        <w:t>the land, building</w:t>
      </w:r>
      <w:r w:rsidR="000C4E86">
        <w:rPr>
          <w:rFonts w:ascii="Avenir Next" w:hAnsi="Avenir Next"/>
          <w:color w:val="808080" w:themeColor="background1" w:themeShade="80"/>
          <w:sz w:val="22"/>
          <w:szCs w:val="28"/>
        </w:rPr>
        <w:t>, building improvements and contents)</w:t>
      </w:r>
      <w:r w:rsidR="00CF0B23">
        <w:rPr>
          <w:rFonts w:ascii="Avenir Next" w:hAnsi="Avenir Next"/>
          <w:color w:val="808080" w:themeColor="background1" w:themeShade="80"/>
          <w:sz w:val="22"/>
          <w:szCs w:val="28"/>
        </w:rPr>
        <w:t xml:space="preserve"> and </w:t>
      </w:r>
      <w:r w:rsidR="001154C1">
        <w:rPr>
          <w:rFonts w:ascii="Avenir Next" w:hAnsi="Avenir Next"/>
          <w:color w:val="808080" w:themeColor="background1" w:themeShade="80"/>
          <w:sz w:val="22"/>
          <w:szCs w:val="28"/>
        </w:rPr>
        <w:t xml:space="preserve">stay any execution against </w:t>
      </w:r>
      <w:r w:rsidR="006420BA">
        <w:rPr>
          <w:rFonts w:ascii="Avenir Next" w:hAnsi="Avenir Next"/>
          <w:color w:val="808080" w:themeColor="background1" w:themeShade="80"/>
          <w:sz w:val="22"/>
          <w:szCs w:val="28"/>
        </w:rPr>
        <w:t xml:space="preserve">Globe Holding such as the possible </w:t>
      </w:r>
      <w:r w:rsidR="0060683D">
        <w:rPr>
          <w:rFonts w:ascii="Avenir Next" w:hAnsi="Avenir Next"/>
          <w:color w:val="808080" w:themeColor="background1" w:themeShade="80"/>
          <w:sz w:val="22"/>
          <w:szCs w:val="28"/>
        </w:rPr>
        <w:t>class action litigation</w:t>
      </w:r>
      <w:r w:rsidR="00626FAC">
        <w:rPr>
          <w:rFonts w:ascii="Avenir Next" w:hAnsi="Avenir Next"/>
          <w:color w:val="808080" w:themeColor="background1" w:themeShade="80"/>
          <w:sz w:val="22"/>
          <w:szCs w:val="28"/>
        </w:rPr>
        <w:t>.</w:t>
      </w:r>
    </w:p>
    <w:p w14:paraId="66C1E5C4" w14:textId="77777777" w:rsidR="00AC3E56" w:rsidRDefault="00AC3E56" w:rsidP="00FC377C">
      <w:pPr>
        <w:jc w:val="both"/>
        <w:rPr>
          <w:rFonts w:ascii="Avenir Next" w:hAnsi="Avenir Next"/>
          <w:color w:val="808080" w:themeColor="background1" w:themeShade="80"/>
          <w:sz w:val="22"/>
          <w:szCs w:val="28"/>
        </w:rPr>
      </w:pPr>
    </w:p>
    <w:p w14:paraId="6ECCA6C9" w14:textId="3A8B7B06" w:rsidR="00AC3E56" w:rsidRDefault="00AC3E56" w:rsidP="00FC377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effect of </w:t>
      </w:r>
      <w:r w:rsidR="002D25D6">
        <w:rPr>
          <w:rFonts w:ascii="Avenir Next" w:hAnsi="Avenir Next"/>
          <w:color w:val="808080" w:themeColor="background1" w:themeShade="80"/>
          <w:sz w:val="22"/>
          <w:szCs w:val="28"/>
        </w:rPr>
        <w:t>commencing fore</w:t>
      </w:r>
      <w:r w:rsidR="001B0793">
        <w:rPr>
          <w:rFonts w:ascii="Avenir Next" w:hAnsi="Avenir Next"/>
          <w:color w:val="808080" w:themeColor="background1" w:themeShade="80"/>
          <w:sz w:val="22"/>
          <w:szCs w:val="28"/>
        </w:rPr>
        <w:t xml:space="preserve">ign main insolvency proceedings in the Cayman Island </w:t>
      </w:r>
      <w:r w:rsidR="00430AA9">
        <w:rPr>
          <w:rFonts w:ascii="Avenir Next" w:hAnsi="Avenir Next"/>
          <w:color w:val="808080" w:themeColor="background1" w:themeShade="80"/>
          <w:sz w:val="22"/>
          <w:szCs w:val="28"/>
        </w:rPr>
        <w:t xml:space="preserve">is </w:t>
      </w:r>
      <w:r w:rsidR="00F51EF2">
        <w:rPr>
          <w:rFonts w:ascii="Avenir Next" w:hAnsi="Avenir Next"/>
          <w:color w:val="808080" w:themeColor="background1" w:themeShade="80"/>
          <w:sz w:val="22"/>
          <w:szCs w:val="28"/>
        </w:rPr>
        <w:t xml:space="preserve">automatic </w:t>
      </w:r>
      <w:r w:rsidR="00BF1C45">
        <w:rPr>
          <w:rFonts w:ascii="Avenir Next" w:hAnsi="Avenir Next"/>
          <w:color w:val="808080" w:themeColor="background1" w:themeShade="80"/>
          <w:sz w:val="22"/>
          <w:szCs w:val="28"/>
        </w:rPr>
        <w:t xml:space="preserve">relief under </w:t>
      </w:r>
      <w:r w:rsidR="009A0CA7">
        <w:rPr>
          <w:rFonts w:ascii="Avenir Next" w:hAnsi="Avenir Next"/>
          <w:color w:val="808080" w:themeColor="background1" w:themeShade="80"/>
          <w:sz w:val="22"/>
          <w:szCs w:val="28"/>
        </w:rPr>
        <w:t>Article 20.</w:t>
      </w:r>
      <w:r w:rsidR="009A0CA7">
        <w:rPr>
          <w:rStyle w:val="FootnoteReference"/>
          <w:rFonts w:ascii="Avenir Next" w:hAnsi="Avenir Next"/>
          <w:color w:val="808080" w:themeColor="background1" w:themeShade="80"/>
          <w:sz w:val="22"/>
          <w:szCs w:val="28"/>
        </w:rPr>
        <w:footnoteReference w:id="40"/>
      </w:r>
      <w:r w:rsidR="00785496">
        <w:rPr>
          <w:rFonts w:ascii="Avenir Next" w:hAnsi="Avenir Next"/>
          <w:color w:val="808080" w:themeColor="background1" w:themeShade="80"/>
          <w:sz w:val="22"/>
          <w:szCs w:val="28"/>
        </w:rPr>
        <w:t xml:space="preserve"> The effect would be the pending class action</w:t>
      </w:r>
      <w:r w:rsidR="00607040">
        <w:rPr>
          <w:rFonts w:ascii="Avenir Next" w:hAnsi="Avenir Next"/>
          <w:color w:val="808080" w:themeColor="background1" w:themeShade="80"/>
          <w:sz w:val="22"/>
          <w:szCs w:val="28"/>
        </w:rPr>
        <w:t xml:space="preserve"> litigation would be stayed and the selling of the HQ assets in NY will also be stayed</w:t>
      </w:r>
      <w:r w:rsidR="005A16E9">
        <w:rPr>
          <w:rFonts w:ascii="Avenir Next" w:hAnsi="Avenir Next"/>
          <w:color w:val="808080" w:themeColor="background1" w:themeShade="80"/>
          <w:sz w:val="22"/>
          <w:szCs w:val="28"/>
        </w:rPr>
        <w:t xml:space="preserve">. </w:t>
      </w:r>
      <w:r w:rsidR="004314A2">
        <w:rPr>
          <w:rFonts w:ascii="Avenir Next" w:hAnsi="Avenir Next"/>
          <w:color w:val="808080" w:themeColor="background1" w:themeShade="80"/>
          <w:sz w:val="22"/>
          <w:szCs w:val="28"/>
        </w:rPr>
        <w:t xml:space="preserve">This is to give the foreign representative a chance to restructure </w:t>
      </w:r>
      <w:r w:rsidR="00860B59">
        <w:rPr>
          <w:rFonts w:ascii="Avenir Next" w:hAnsi="Avenir Next"/>
          <w:color w:val="808080" w:themeColor="background1" w:themeShade="80"/>
          <w:sz w:val="22"/>
          <w:szCs w:val="28"/>
        </w:rPr>
        <w:t>Globe Holding</w:t>
      </w:r>
      <w:r w:rsidR="00F90437">
        <w:rPr>
          <w:rFonts w:ascii="Avenir Next" w:hAnsi="Avenir Next"/>
          <w:color w:val="808080" w:themeColor="background1" w:themeShade="80"/>
          <w:sz w:val="22"/>
          <w:szCs w:val="28"/>
        </w:rPr>
        <w:t>s.</w:t>
      </w:r>
      <w:r w:rsidR="00351C7A">
        <w:rPr>
          <w:rFonts w:ascii="Avenir Next" w:hAnsi="Avenir Next"/>
          <w:color w:val="808080" w:themeColor="background1" w:themeShade="80"/>
          <w:sz w:val="22"/>
          <w:szCs w:val="28"/>
        </w:rPr>
        <w:t xml:space="preserve"> </w:t>
      </w:r>
      <w:r w:rsidR="00641A85">
        <w:rPr>
          <w:rFonts w:ascii="Avenir Next" w:hAnsi="Avenir Next"/>
          <w:color w:val="808080" w:themeColor="background1" w:themeShade="80"/>
          <w:sz w:val="22"/>
          <w:szCs w:val="28"/>
        </w:rPr>
        <w:t xml:space="preserve">On recognition </w:t>
      </w:r>
      <w:r w:rsidR="005E2C9E">
        <w:rPr>
          <w:rFonts w:ascii="Avenir Next" w:hAnsi="Avenir Next"/>
          <w:color w:val="808080" w:themeColor="background1" w:themeShade="80"/>
          <w:sz w:val="22"/>
          <w:szCs w:val="28"/>
        </w:rPr>
        <w:t xml:space="preserve">of the Cayman Island </w:t>
      </w:r>
      <w:r w:rsidR="008D5C9C">
        <w:rPr>
          <w:rFonts w:ascii="Avenir Next" w:hAnsi="Avenir Next"/>
          <w:color w:val="808080" w:themeColor="background1" w:themeShade="80"/>
          <w:sz w:val="22"/>
          <w:szCs w:val="28"/>
        </w:rPr>
        <w:t>as the foreign main proceeding</w:t>
      </w:r>
      <w:r w:rsidR="00E96997">
        <w:rPr>
          <w:rFonts w:ascii="Avenir Next" w:hAnsi="Avenir Next"/>
          <w:color w:val="808080" w:themeColor="background1" w:themeShade="80"/>
          <w:sz w:val="22"/>
          <w:szCs w:val="28"/>
        </w:rPr>
        <w:t>, the foreign representative can request the court to exercise it discretionary powers under Article 21</w:t>
      </w:r>
      <w:r w:rsidR="00EF5D06">
        <w:rPr>
          <w:rFonts w:ascii="Avenir Next" w:hAnsi="Avenir Next"/>
          <w:color w:val="808080" w:themeColor="background1" w:themeShade="80"/>
          <w:sz w:val="22"/>
          <w:szCs w:val="28"/>
        </w:rPr>
        <w:t>.</w:t>
      </w:r>
      <w:r w:rsidR="00EF5D06">
        <w:rPr>
          <w:rStyle w:val="FootnoteReference"/>
          <w:rFonts w:ascii="Avenir Next" w:hAnsi="Avenir Next"/>
          <w:color w:val="808080" w:themeColor="background1" w:themeShade="80"/>
          <w:sz w:val="22"/>
          <w:szCs w:val="28"/>
        </w:rPr>
        <w:footnoteReference w:id="41"/>
      </w:r>
      <w:r w:rsidR="0092185D">
        <w:rPr>
          <w:rFonts w:ascii="Avenir Next" w:hAnsi="Avenir Next"/>
          <w:color w:val="808080" w:themeColor="background1" w:themeShade="80"/>
          <w:sz w:val="22"/>
          <w:szCs w:val="28"/>
        </w:rPr>
        <w:t xml:space="preserve"> The relief sort will have a world wide effect</w:t>
      </w:r>
      <w:r w:rsidR="00A77F81">
        <w:rPr>
          <w:rFonts w:ascii="Avenir Next" w:hAnsi="Avenir Next"/>
          <w:color w:val="808080" w:themeColor="background1" w:themeShade="80"/>
          <w:sz w:val="22"/>
          <w:szCs w:val="28"/>
        </w:rPr>
        <w:t xml:space="preserve"> to include Cayman Island and US.</w:t>
      </w:r>
      <w:r w:rsidR="00A77F81">
        <w:rPr>
          <w:rStyle w:val="FootnoteReference"/>
          <w:rFonts w:ascii="Avenir Next" w:hAnsi="Avenir Next"/>
          <w:color w:val="808080" w:themeColor="background1" w:themeShade="80"/>
          <w:sz w:val="22"/>
          <w:szCs w:val="28"/>
        </w:rPr>
        <w:footnoteReference w:id="42"/>
      </w:r>
      <w:r w:rsidR="0093287E">
        <w:rPr>
          <w:rFonts w:ascii="Avenir Next" w:hAnsi="Avenir Next"/>
          <w:color w:val="808080" w:themeColor="background1" w:themeShade="80"/>
          <w:sz w:val="22"/>
          <w:szCs w:val="28"/>
        </w:rPr>
        <w:t xml:space="preserve"> The relief would be to stay the </w:t>
      </w:r>
      <w:r w:rsidR="0090073D">
        <w:rPr>
          <w:rFonts w:ascii="Avenir Next" w:hAnsi="Avenir Next"/>
          <w:color w:val="808080" w:themeColor="background1" w:themeShade="80"/>
          <w:sz w:val="22"/>
          <w:szCs w:val="28"/>
        </w:rPr>
        <w:t>potential class action litigation and prevent the sell of the assets in NY.</w:t>
      </w:r>
      <w:r w:rsidR="0082079E">
        <w:rPr>
          <w:rFonts w:ascii="Avenir Next" w:hAnsi="Avenir Next"/>
          <w:color w:val="808080" w:themeColor="background1" w:themeShade="80"/>
          <w:sz w:val="22"/>
          <w:szCs w:val="28"/>
        </w:rPr>
        <w:t xml:space="preserve"> It will be also be to extend any relief granted under Article 19.</w:t>
      </w:r>
    </w:p>
    <w:p w14:paraId="59A828D8" w14:textId="77777777" w:rsidR="00801651" w:rsidRDefault="00801651" w:rsidP="00FC377C">
      <w:pPr>
        <w:jc w:val="both"/>
        <w:rPr>
          <w:rFonts w:ascii="Avenir Next" w:hAnsi="Avenir Next"/>
          <w:color w:val="808080" w:themeColor="background1" w:themeShade="80"/>
          <w:sz w:val="22"/>
          <w:szCs w:val="28"/>
        </w:rPr>
      </w:pPr>
    </w:p>
    <w:p w14:paraId="148D7B0E" w14:textId="44774A10" w:rsidR="00801651" w:rsidRPr="00BA63DF" w:rsidRDefault="00801651" w:rsidP="00FC377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effect of </w:t>
      </w:r>
      <w:r w:rsidR="009B0C78">
        <w:rPr>
          <w:rFonts w:ascii="Avenir Next" w:hAnsi="Avenir Next"/>
          <w:color w:val="808080" w:themeColor="background1" w:themeShade="80"/>
          <w:sz w:val="22"/>
          <w:szCs w:val="28"/>
        </w:rPr>
        <w:t xml:space="preserve">recognition of </w:t>
      </w:r>
      <w:r w:rsidR="00F968D8">
        <w:rPr>
          <w:rFonts w:ascii="Avenir Next" w:hAnsi="Avenir Next"/>
          <w:color w:val="808080" w:themeColor="background1" w:themeShade="80"/>
          <w:sz w:val="22"/>
          <w:szCs w:val="28"/>
        </w:rPr>
        <w:t xml:space="preserve">US as the foreign </w:t>
      </w:r>
      <w:r w:rsidR="00842114">
        <w:rPr>
          <w:rFonts w:ascii="Avenir Next" w:hAnsi="Avenir Next"/>
          <w:color w:val="808080" w:themeColor="background1" w:themeShade="80"/>
          <w:sz w:val="22"/>
          <w:szCs w:val="28"/>
        </w:rPr>
        <w:t xml:space="preserve">non-main </w:t>
      </w:r>
      <w:r w:rsidR="00C408F7">
        <w:rPr>
          <w:rFonts w:ascii="Avenir Next" w:hAnsi="Avenir Next"/>
          <w:color w:val="808080" w:themeColor="background1" w:themeShade="80"/>
          <w:sz w:val="22"/>
          <w:szCs w:val="28"/>
        </w:rPr>
        <w:t>proceedings</w:t>
      </w:r>
      <w:r w:rsidR="00A70EC7">
        <w:rPr>
          <w:rFonts w:ascii="Avenir Next" w:hAnsi="Avenir Next"/>
          <w:color w:val="808080" w:themeColor="background1" w:themeShade="80"/>
          <w:sz w:val="22"/>
          <w:szCs w:val="28"/>
        </w:rPr>
        <w:t xml:space="preserve"> is the</w:t>
      </w:r>
      <w:r w:rsidR="005C3A84">
        <w:rPr>
          <w:rFonts w:ascii="Avenir Next" w:hAnsi="Avenir Next"/>
          <w:color w:val="808080" w:themeColor="background1" w:themeShade="80"/>
          <w:sz w:val="22"/>
          <w:szCs w:val="28"/>
        </w:rPr>
        <w:t xml:space="preserve"> US courts may exercise their discretionary power</w:t>
      </w:r>
      <w:r w:rsidR="006712A9">
        <w:rPr>
          <w:rFonts w:ascii="Avenir Next" w:hAnsi="Avenir Next"/>
          <w:color w:val="808080" w:themeColor="background1" w:themeShade="80"/>
          <w:sz w:val="22"/>
          <w:szCs w:val="28"/>
        </w:rPr>
        <w:t xml:space="preserve"> under </w:t>
      </w:r>
      <w:r w:rsidR="000037C7">
        <w:rPr>
          <w:rFonts w:ascii="Avenir Next" w:hAnsi="Avenir Next"/>
          <w:color w:val="808080" w:themeColor="background1" w:themeShade="80"/>
          <w:sz w:val="22"/>
          <w:szCs w:val="28"/>
        </w:rPr>
        <w:t>Article 21</w:t>
      </w:r>
      <w:r w:rsidR="005D2C61">
        <w:rPr>
          <w:rFonts w:ascii="Avenir Next" w:hAnsi="Avenir Next"/>
          <w:color w:val="808080" w:themeColor="background1" w:themeShade="80"/>
          <w:sz w:val="22"/>
          <w:szCs w:val="28"/>
        </w:rPr>
        <w:t xml:space="preserve"> which is a post-recognition relief</w:t>
      </w:r>
      <w:r w:rsidR="000037C7">
        <w:rPr>
          <w:rFonts w:ascii="Avenir Next" w:hAnsi="Avenir Next"/>
          <w:color w:val="808080" w:themeColor="background1" w:themeShade="80"/>
          <w:sz w:val="22"/>
          <w:szCs w:val="28"/>
        </w:rPr>
        <w:t>.</w:t>
      </w:r>
      <w:r w:rsidR="000037C7">
        <w:rPr>
          <w:rStyle w:val="FootnoteReference"/>
          <w:rFonts w:ascii="Avenir Next" w:hAnsi="Avenir Next"/>
          <w:color w:val="808080" w:themeColor="background1" w:themeShade="80"/>
          <w:sz w:val="22"/>
          <w:szCs w:val="28"/>
        </w:rPr>
        <w:footnoteReference w:id="43"/>
      </w:r>
      <w:r w:rsidR="005D2C61">
        <w:rPr>
          <w:rFonts w:ascii="Avenir Next" w:hAnsi="Avenir Next"/>
          <w:color w:val="808080" w:themeColor="background1" w:themeShade="80"/>
          <w:sz w:val="22"/>
          <w:szCs w:val="28"/>
        </w:rPr>
        <w:t xml:space="preserve"> </w:t>
      </w:r>
      <w:r w:rsidR="00C71D1E">
        <w:rPr>
          <w:rFonts w:ascii="Avenir Next" w:hAnsi="Avenir Next"/>
          <w:color w:val="808080" w:themeColor="background1" w:themeShade="80"/>
          <w:sz w:val="22"/>
          <w:szCs w:val="28"/>
        </w:rPr>
        <w:t xml:space="preserve">The </w:t>
      </w:r>
      <w:r w:rsidR="000355E0">
        <w:rPr>
          <w:rFonts w:ascii="Avenir Next" w:hAnsi="Avenir Next"/>
          <w:color w:val="808080" w:themeColor="background1" w:themeShade="80"/>
          <w:sz w:val="22"/>
          <w:szCs w:val="28"/>
        </w:rPr>
        <w:t>relief</w:t>
      </w:r>
      <w:r w:rsidR="00D139F4">
        <w:rPr>
          <w:rFonts w:ascii="Avenir Next" w:hAnsi="Avenir Next"/>
          <w:color w:val="808080" w:themeColor="background1" w:themeShade="80"/>
          <w:sz w:val="22"/>
          <w:szCs w:val="28"/>
        </w:rPr>
        <w:t xml:space="preserve"> sort after would be to turn over the NY assets stated above to the foreign representative</w:t>
      </w:r>
      <w:r w:rsidR="001B3595">
        <w:rPr>
          <w:rFonts w:ascii="Avenir Next" w:hAnsi="Avenir Next"/>
          <w:color w:val="808080" w:themeColor="background1" w:themeShade="80"/>
          <w:sz w:val="22"/>
          <w:szCs w:val="28"/>
        </w:rPr>
        <w:t xml:space="preserve">, but the courts have to bare in mind the </w:t>
      </w:r>
      <w:r w:rsidR="000355E0">
        <w:rPr>
          <w:rFonts w:ascii="Avenir Next" w:hAnsi="Avenir Next"/>
          <w:color w:val="808080" w:themeColor="background1" w:themeShade="80"/>
          <w:sz w:val="22"/>
          <w:szCs w:val="28"/>
        </w:rPr>
        <w:t>local creditors interests.</w:t>
      </w:r>
      <w:r w:rsidR="000355E0">
        <w:rPr>
          <w:rStyle w:val="FootnoteReference"/>
          <w:rFonts w:ascii="Avenir Next" w:hAnsi="Avenir Next"/>
          <w:color w:val="808080" w:themeColor="background1" w:themeShade="80"/>
          <w:sz w:val="22"/>
          <w:szCs w:val="28"/>
        </w:rPr>
        <w:footnoteReference w:id="44"/>
      </w:r>
      <w:r w:rsidR="0088474C">
        <w:rPr>
          <w:rFonts w:ascii="Avenir Next" w:hAnsi="Avenir Next"/>
          <w:color w:val="808080" w:themeColor="background1" w:themeShade="80"/>
          <w:sz w:val="22"/>
          <w:szCs w:val="28"/>
        </w:rPr>
        <w:t xml:space="preserve"> </w:t>
      </w:r>
      <w:r w:rsidR="0032230B">
        <w:rPr>
          <w:rFonts w:ascii="Avenir Next" w:hAnsi="Avenir Next"/>
          <w:color w:val="808080" w:themeColor="background1" w:themeShade="80"/>
          <w:sz w:val="22"/>
          <w:szCs w:val="28"/>
        </w:rPr>
        <w:t>The relief would be limited to the matters in US</w:t>
      </w:r>
      <w:r w:rsidR="00351C7A">
        <w:rPr>
          <w:rFonts w:ascii="Avenir Next" w:hAnsi="Avenir Next"/>
          <w:color w:val="808080" w:themeColor="background1" w:themeShade="80"/>
          <w:sz w:val="22"/>
          <w:szCs w:val="28"/>
        </w:rPr>
        <w:t>.</w:t>
      </w:r>
      <w:r w:rsidR="00351C7A">
        <w:rPr>
          <w:rStyle w:val="FootnoteReference"/>
          <w:rFonts w:ascii="Avenir Next" w:hAnsi="Avenir Next"/>
          <w:color w:val="808080" w:themeColor="background1" w:themeShade="80"/>
          <w:sz w:val="22"/>
          <w:szCs w:val="28"/>
        </w:rPr>
        <w:footnoteReference w:id="45"/>
      </w:r>
    </w:p>
    <w:p w14:paraId="62FA0546" w14:textId="77777777" w:rsidR="00F9509E" w:rsidRDefault="00F9509E" w:rsidP="00884375">
      <w:pPr>
        <w:jc w:val="both"/>
        <w:rPr>
          <w:rFonts w:ascii="Avenir Next" w:hAnsi="Avenir Next"/>
          <w:color w:val="808080" w:themeColor="background1" w:themeShade="80"/>
          <w:sz w:val="22"/>
          <w:szCs w:val="28"/>
        </w:rPr>
      </w:pPr>
    </w:p>
    <w:p w14:paraId="32FD3D41" w14:textId="535AC6F9" w:rsidR="00884375" w:rsidRPr="00884375" w:rsidRDefault="00C3411D" w:rsidP="0088437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p>
    <w:p w14:paraId="43A441E9" w14:textId="77777777" w:rsidR="00126E19" w:rsidRPr="00E2622D" w:rsidRDefault="00126E19" w:rsidP="00707FC8">
      <w:pPr>
        <w:jc w:val="both"/>
        <w:rPr>
          <w:rFonts w:ascii="Avenir Next" w:hAnsi="Avenir Next" w:cs="Arial"/>
          <w:sz w:val="22"/>
          <w:szCs w:val="22"/>
          <w:lang w:val="en-GB"/>
        </w:rPr>
      </w:pPr>
    </w:p>
    <w:bookmarkEnd w:id="5"/>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EB2C" w14:textId="77777777" w:rsidR="000715FF" w:rsidRDefault="000715FF" w:rsidP="00241B44">
      <w:r>
        <w:separator/>
      </w:r>
    </w:p>
  </w:endnote>
  <w:endnote w:type="continuationSeparator" w:id="0">
    <w:p w14:paraId="14FF25C3" w14:textId="77777777" w:rsidR="000715FF" w:rsidRDefault="000715FF" w:rsidP="00241B44">
      <w:r>
        <w:continuationSeparator/>
      </w:r>
    </w:p>
  </w:endnote>
  <w:endnote w:type="continuationNotice" w:id="1">
    <w:p w14:paraId="283D1B62" w14:textId="77777777" w:rsidR="000715FF" w:rsidRDefault="0007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0E9ED59B"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2261">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A177" w14:textId="5ACFFEDC" w:rsidR="00B46CE2" w:rsidRPr="000300E0" w:rsidRDefault="00D770D0" w:rsidP="00B46CE2">
    <w:pPr>
      <w:pStyle w:val="Footer"/>
      <w:framePr w:w="1071" w:h="331" w:hRule="exact" w:wrap="none" w:vAnchor="text" w:hAnchor="page" w:x="9641" w:y="-303"/>
      <w:rPr>
        <w:rStyle w:val="PageNumber"/>
        <w:rFonts w:ascii="Avenir Next" w:hAnsi="Avenir Next"/>
        <w:sz w:val="22"/>
        <w:szCs w:val="22"/>
      </w:rPr>
    </w:pPr>
    <w:r w:rsidRPr="00D770D0">
      <w:rPr>
        <w:rFonts w:ascii="Avenir Next" w:hAnsi="Avenir Next"/>
        <w:sz w:val="22"/>
        <w:szCs w:val="22"/>
      </w:rPr>
      <w:t>202223-964.assessment2A</w:t>
    </w:r>
    <w:sdt>
      <w:sdtPr>
        <w:rPr>
          <w:rStyle w:val="PageNumber"/>
          <w:rFonts w:ascii="Avenir Next" w:hAnsi="Avenir Next"/>
          <w:sz w:val="22"/>
          <w:szCs w:val="22"/>
        </w:rPr>
        <w:id w:val="-1213347160"/>
        <w:docPartObj>
          <w:docPartGallery w:val="Page Numbers (Bottom of Page)"/>
          <w:docPartUnique/>
        </w:docPartObj>
      </w:sdtPr>
      <w:sdtContent>
        <w:r w:rsidR="00B46CE2" w:rsidRPr="000300E0">
          <w:rPr>
            <w:rStyle w:val="PageNumber"/>
            <w:rFonts w:ascii="Avenir Next" w:hAnsi="Avenir Next"/>
            <w:sz w:val="22"/>
            <w:szCs w:val="22"/>
          </w:rPr>
          <w:t xml:space="preserve">Page </w:t>
        </w:r>
        <w:r w:rsidR="00B46CE2" w:rsidRPr="000300E0">
          <w:rPr>
            <w:rStyle w:val="PageNumber"/>
            <w:rFonts w:ascii="Avenir Next" w:hAnsi="Avenir Next"/>
            <w:sz w:val="22"/>
            <w:szCs w:val="22"/>
          </w:rPr>
          <w:fldChar w:fldCharType="begin"/>
        </w:r>
        <w:r w:rsidR="00B46CE2" w:rsidRPr="000300E0">
          <w:rPr>
            <w:rStyle w:val="PageNumber"/>
            <w:rFonts w:ascii="Avenir Next" w:hAnsi="Avenir Next"/>
            <w:sz w:val="22"/>
            <w:szCs w:val="22"/>
          </w:rPr>
          <w:instrText xml:space="preserve"> PAGE </w:instrText>
        </w:r>
        <w:r w:rsidR="00B46CE2" w:rsidRPr="000300E0">
          <w:rPr>
            <w:rStyle w:val="PageNumber"/>
            <w:rFonts w:ascii="Avenir Next" w:hAnsi="Avenir Next"/>
            <w:sz w:val="22"/>
            <w:szCs w:val="22"/>
          </w:rPr>
          <w:fldChar w:fldCharType="separate"/>
        </w:r>
        <w:r w:rsidR="00B46CE2" w:rsidRPr="000300E0">
          <w:rPr>
            <w:rStyle w:val="PageNumber"/>
            <w:rFonts w:ascii="Avenir Next" w:hAnsi="Avenir Next"/>
            <w:noProof/>
            <w:sz w:val="22"/>
            <w:szCs w:val="22"/>
          </w:rPr>
          <w:t>2</w:t>
        </w:r>
        <w:r w:rsidR="00B46CE2" w:rsidRPr="000300E0">
          <w:rPr>
            <w:rStyle w:val="PageNumber"/>
            <w:rFonts w:ascii="Avenir Next" w:hAnsi="Avenir Next"/>
            <w:sz w:val="22"/>
            <w:szCs w:val="22"/>
          </w:rPr>
          <w:fldChar w:fldCharType="end"/>
        </w:r>
      </w:sdtContent>
    </w:sdt>
  </w:p>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59A3B6E5" w:rsidR="00B46CE2" w:rsidRDefault="00D770D0">
    <w:r w:rsidRPr="00D770D0">
      <w:t>202223-964.assessment2A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2784" w14:textId="77777777" w:rsidR="000715FF" w:rsidRDefault="000715FF" w:rsidP="00241B44">
      <w:r>
        <w:separator/>
      </w:r>
    </w:p>
  </w:footnote>
  <w:footnote w:type="continuationSeparator" w:id="0">
    <w:p w14:paraId="0979C302" w14:textId="77777777" w:rsidR="000715FF" w:rsidRDefault="000715FF" w:rsidP="00241B44">
      <w:r>
        <w:continuationSeparator/>
      </w:r>
    </w:p>
  </w:footnote>
  <w:footnote w:type="continuationNotice" w:id="1">
    <w:p w14:paraId="30029031" w14:textId="77777777" w:rsidR="000715FF" w:rsidRDefault="000715FF"/>
  </w:footnote>
  <w:footnote w:id="2">
    <w:p w14:paraId="7CF4D64F" w14:textId="63694F0A" w:rsidR="00005071" w:rsidRPr="00005071" w:rsidRDefault="00005071">
      <w:pPr>
        <w:pStyle w:val="FootnoteText"/>
      </w:pPr>
      <w:r>
        <w:rPr>
          <w:rStyle w:val="FootnoteReference"/>
        </w:rPr>
        <w:footnoteRef/>
      </w:r>
      <w:r>
        <w:t xml:space="preserve"> UNCITRAL Model Law on Cross-Border Insolvency, Article 21 paragraph 2.</w:t>
      </w:r>
    </w:p>
  </w:footnote>
  <w:footnote w:id="3">
    <w:p w14:paraId="535C37DA" w14:textId="1C053CE6" w:rsidR="00CD40F6" w:rsidRPr="00CD40F6" w:rsidRDefault="00CD40F6">
      <w:pPr>
        <w:pStyle w:val="FootnoteText"/>
      </w:pPr>
      <w:r>
        <w:rPr>
          <w:rStyle w:val="FootnoteReference"/>
        </w:rPr>
        <w:footnoteRef/>
      </w:r>
      <w:r>
        <w:t xml:space="preserve"> </w:t>
      </w:r>
      <w:r w:rsidRPr="00CD40F6">
        <w:t>UNCITRAL Model Law on Cross-Border Insolvency</w:t>
      </w:r>
      <w:r w:rsidR="00414521">
        <w:t>, Art 21 paragraph 4</w:t>
      </w:r>
    </w:p>
  </w:footnote>
  <w:footnote w:id="4">
    <w:p w14:paraId="41A4E924" w14:textId="0BB757F2" w:rsidR="004A13F4" w:rsidRPr="004A13F4" w:rsidRDefault="004A13F4">
      <w:pPr>
        <w:pStyle w:val="FootnoteText"/>
      </w:pPr>
      <w:r>
        <w:rPr>
          <w:rStyle w:val="FootnoteReference"/>
        </w:rPr>
        <w:footnoteRef/>
      </w:r>
      <w:r>
        <w:t xml:space="preserve"> </w:t>
      </w:r>
      <w:r w:rsidR="00636081" w:rsidRPr="00636081">
        <w:t>UNCITRAL Model Law on Cross-Border Insolvency</w:t>
      </w:r>
      <w:r w:rsidR="00636081">
        <w:t>, Article 20.</w:t>
      </w:r>
    </w:p>
  </w:footnote>
  <w:footnote w:id="5">
    <w:p w14:paraId="75E1B045" w14:textId="3DDF54DB" w:rsidR="00AC4225" w:rsidRPr="00AC4225" w:rsidRDefault="00AC4225">
      <w:pPr>
        <w:pStyle w:val="FootnoteText"/>
      </w:pPr>
      <w:r>
        <w:rPr>
          <w:rStyle w:val="FootnoteReference"/>
        </w:rPr>
        <w:footnoteRef/>
      </w:r>
      <w:r>
        <w:t xml:space="preserve"> </w:t>
      </w:r>
      <w:r w:rsidRPr="00AC4225">
        <w:t>UNCITRAL Model Law on Cross-Border Insolvency</w:t>
      </w:r>
      <w:r w:rsidR="008A2002">
        <w:t>, Art 21.</w:t>
      </w:r>
    </w:p>
  </w:footnote>
  <w:footnote w:id="6">
    <w:p w14:paraId="7D7CF6C3" w14:textId="78488FE5" w:rsidR="00134FCA" w:rsidRPr="00134FCA" w:rsidRDefault="00134FCA">
      <w:pPr>
        <w:pStyle w:val="FootnoteText"/>
      </w:pPr>
      <w:r>
        <w:rPr>
          <w:rStyle w:val="FootnoteReference"/>
        </w:rPr>
        <w:footnoteRef/>
      </w:r>
      <w:r>
        <w:t xml:space="preserve"> UNCITRAL Model Law on Cross-Border Insolvency, Art 20.</w:t>
      </w:r>
    </w:p>
  </w:footnote>
  <w:footnote w:id="7">
    <w:p w14:paraId="391537D9" w14:textId="78A787ED" w:rsidR="00B661E2" w:rsidRPr="00B661E2" w:rsidRDefault="00B661E2">
      <w:pPr>
        <w:pStyle w:val="FootnoteText"/>
      </w:pPr>
      <w:r>
        <w:rPr>
          <w:rStyle w:val="FootnoteReference"/>
        </w:rPr>
        <w:footnoteRef/>
      </w:r>
      <w:r>
        <w:t xml:space="preserve"> UNCITRAL Model Law on Cross-Border Insolvency, Art 21.</w:t>
      </w:r>
    </w:p>
  </w:footnote>
  <w:footnote w:id="8">
    <w:p w14:paraId="1D47DD4B" w14:textId="3DDACFD5" w:rsidR="004E433D" w:rsidRPr="004E433D" w:rsidRDefault="004E433D">
      <w:pPr>
        <w:pStyle w:val="FootnoteText"/>
        <w:rPr>
          <w:lang w:val="en-GB"/>
        </w:rPr>
      </w:pPr>
      <w:r>
        <w:rPr>
          <w:rStyle w:val="FootnoteReference"/>
        </w:rPr>
        <w:footnoteRef/>
      </w:r>
      <w:r>
        <w:t xml:space="preserve"> </w:t>
      </w:r>
      <w:bookmarkStart w:id="2" w:name="_Hlk145584110"/>
      <w:r w:rsidR="00CE31E8">
        <w:t xml:space="preserve">UNCITRAL Model Law </w:t>
      </w:r>
      <w:r w:rsidR="00FB4973">
        <w:t>on Cross-Border Insolvency</w:t>
      </w:r>
      <w:bookmarkEnd w:id="2"/>
      <w:r w:rsidR="00FB4973">
        <w:t>.</w:t>
      </w:r>
    </w:p>
  </w:footnote>
  <w:footnote w:id="9">
    <w:p w14:paraId="0418EB09" w14:textId="788D822E" w:rsidR="0088516D" w:rsidRPr="0088516D" w:rsidRDefault="0088516D">
      <w:pPr>
        <w:pStyle w:val="FootnoteText"/>
        <w:rPr>
          <w:lang w:val="en-GB"/>
        </w:rPr>
      </w:pPr>
      <w:r>
        <w:rPr>
          <w:rStyle w:val="FootnoteReference"/>
        </w:rPr>
        <w:footnoteRef/>
      </w:r>
      <w:r>
        <w:t xml:space="preserve"> </w:t>
      </w:r>
      <w:r w:rsidR="00997063" w:rsidRPr="00997063">
        <w:t>UNCITRAL Model Law on Cross-Border Insolvency</w:t>
      </w:r>
      <w:r w:rsidR="00997063">
        <w:t xml:space="preserve">, Article </w:t>
      </w:r>
      <w:r w:rsidR="002A25DE">
        <w:t>2(</w:t>
      </w:r>
      <w:r w:rsidR="00A65826">
        <w:t>b).</w:t>
      </w:r>
    </w:p>
  </w:footnote>
  <w:footnote w:id="10">
    <w:p w14:paraId="2055AA0C" w14:textId="2232AB22" w:rsidR="00ED256F" w:rsidRPr="00ED256F" w:rsidRDefault="00ED256F">
      <w:pPr>
        <w:pStyle w:val="FootnoteText"/>
        <w:rPr>
          <w:lang w:val="en-GB"/>
        </w:rPr>
      </w:pPr>
      <w:r>
        <w:rPr>
          <w:rStyle w:val="FootnoteReference"/>
        </w:rPr>
        <w:footnoteRef/>
      </w:r>
      <w:r>
        <w:t xml:space="preserve"> </w:t>
      </w:r>
      <w:bookmarkStart w:id="3" w:name="_Hlk146104682"/>
      <w:r w:rsidRPr="00ED256F">
        <w:t>UNCITRAL Model Law on Cross-Border Insolvency</w:t>
      </w:r>
      <w:bookmarkEnd w:id="3"/>
      <w:r>
        <w:t>, Article</w:t>
      </w:r>
      <w:r w:rsidR="003D1C65">
        <w:t>s</w:t>
      </w:r>
      <w:r>
        <w:t xml:space="preserve"> </w:t>
      </w:r>
      <w:r w:rsidR="009D0CB4">
        <w:t xml:space="preserve">20 and </w:t>
      </w:r>
      <w:r w:rsidR="003D1C65">
        <w:t>21.</w:t>
      </w:r>
    </w:p>
  </w:footnote>
  <w:footnote w:id="11">
    <w:p w14:paraId="0866434C" w14:textId="137D94D8" w:rsidR="00075C02" w:rsidRPr="00075C02" w:rsidRDefault="00075C02">
      <w:pPr>
        <w:pStyle w:val="FootnoteText"/>
        <w:rPr>
          <w:lang w:val="en-GB"/>
        </w:rPr>
      </w:pPr>
      <w:r>
        <w:rPr>
          <w:rStyle w:val="FootnoteReference"/>
        </w:rPr>
        <w:footnoteRef/>
      </w:r>
      <w:r>
        <w:t xml:space="preserve"> </w:t>
      </w:r>
      <w:r w:rsidRPr="00075C02">
        <w:t>UNCITRAL Model Law on Cross-Border Insolvency</w:t>
      </w:r>
      <w:r>
        <w:t>, Article 2</w:t>
      </w:r>
      <w:r w:rsidR="006E5C9A">
        <w:t>(</w:t>
      </w:r>
      <w:r>
        <w:t>c)</w:t>
      </w:r>
      <w:r w:rsidR="00C2609F">
        <w:t>.</w:t>
      </w:r>
    </w:p>
  </w:footnote>
  <w:footnote w:id="12">
    <w:p w14:paraId="3F452DB6" w14:textId="53C3D1AC" w:rsidR="00C2609F" w:rsidRPr="00C2609F" w:rsidRDefault="00C2609F">
      <w:pPr>
        <w:pStyle w:val="FootnoteText"/>
        <w:rPr>
          <w:lang w:val="en-GB"/>
        </w:rPr>
      </w:pPr>
      <w:r>
        <w:rPr>
          <w:rStyle w:val="FootnoteReference"/>
        </w:rPr>
        <w:footnoteRef/>
      </w:r>
      <w:r>
        <w:t xml:space="preserve"> </w:t>
      </w:r>
      <w:r w:rsidRPr="00ED256F">
        <w:t>UNCITRAL Model Law on Cross-Border Insolvency</w:t>
      </w:r>
      <w:r>
        <w:t>, Article 2(f).</w:t>
      </w:r>
    </w:p>
  </w:footnote>
  <w:footnote w:id="13">
    <w:p w14:paraId="377A2D41" w14:textId="7B26A517" w:rsidR="00202CF6" w:rsidRPr="00202CF6" w:rsidRDefault="00202CF6">
      <w:pPr>
        <w:pStyle w:val="FootnoteText"/>
        <w:rPr>
          <w:lang w:val="en-GB"/>
        </w:rPr>
      </w:pPr>
      <w:r>
        <w:rPr>
          <w:rStyle w:val="FootnoteReference"/>
        </w:rPr>
        <w:footnoteRef/>
      </w:r>
      <w:r>
        <w:t xml:space="preserve"> </w:t>
      </w:r>
      <w:r w:rsidRPr="00ED256F">
        <w:t>UNCITRAL Model Law on Cross-Border Insolvency</w:t>
      </w:r>
      <w:r>
        <w:t>, Article 2</w:t>
      </w:r>
      <w:r w:rsidR="00F259B9">
        <w:t>1(1).</w:t>
      </w:r>
    </w:p>
  </w:footnote>
  <w:footnote w:id="14">
    <w:p w14:paraId="5FAAF4B7" w14:textId="09F61B77" w:rsidR="000D25AA" w:rsidRPr="000D25AA" w:rsidRDefault="000D25AA">
      <w:pPr>
        <w:pStyle w:val="FootnoteText"/>
        <w:rPr>
          <w:lang w:val="en-GB"/>
        </w:rPr>
      </w:pPr>
      <w:r>
        <w:rPr>
          <w:rStyle w:val="FootnoteReference"/>
        </w:rPr>
        <w:footnoteRef/>
      </w:r>
      <w:r>
        <w:t xml:space="preserve"> </w:t>
      </w:r>
      <w:r w:rsidRPr="00ED256F">
        <w:t>UNCITRAL Model Law on Cross-Border Insolvency</w:t>
      </w:r>
      <w:r>
        <w:t xml:space="preserve">, Article </w:t>
      </w:r>
      <w:r w:rsidR="007C3593">
        <w:t>21(2).</w:t>
      </w:r>
    </w:p>
  </w:footnote>
  <w:footnote w:id="15">
    <w:p w14:paraId="79D7A940" w14:textId="77777777" w:rsidR="00EC19BC" w:rsidRPr="00FB7C31" w:rsidRDefault="00EC19BC" w:rsidP="00EC19BC">
      <w:pPr>
        <w:pStyle w:val="FootnoteText"/>
        <w:rPr>
          <w:lang w:val="en-GB"/>
        </w:rPr>
      </w:pPr>
      <w:r>
        <w:rPr>
          <w:rStyle w:val="FootnoteReference"/>
        </w:rPr>
        <w:footnoteRef/>
      </w:r>
      <w:r>
        <w:t xml:space="preserve"> </w:t>
      </w:r>
      <w:r w:rsidRPr="00ED256F">
        <w:t>UNCITRAL Model Law on Cross-Border Insolvency</w:t>
      </w:r>
      <w:r>
        <w:t>, Articles 19 to 24.</w:t>
      </w:r>
    </w:p>
  </w:footnote>
  <w:footnote w:id="16">
    <w:p w14:paraId="3EE9D1CC" w14:textId="019FBD0D" w:rsidR="00A351B2" w:rsidRPr="00A351B2" w:rsidRDefault="00A351B2">
      <w:pPr>
        <w:pStyle w:val="FootnoteText"/>
        <w:rPr>
          <w:lang w:val="en-GB"/>
        </w:rPr>
      </w:pPr>
      <w:r>
        <w:rPr>
          <w:rStyle w:val="FootnoteReference"/>
        </w:rPr>
        <w:footnoteRef/>
      </w:r>
      <w:r>
        <w:t xml:space="preserve"> </w:t>
      </w:r>
      <w:r w:rsidRPr="00ED256F">
        <w:t>UNCITRAL Model Law on Cross-Border Insolvency</w:t>
      </w:r>
      <w:r>
        <w:t xml:space="preserve">, Article </w:t>
      </w:r>
      <w:r w:rsidR="0061093D">
        <w:t xml:space="preserve">2(b). </w:t>
      </w:r>
    </w:p>
  </w:footnote>
  <w:footnote w:id="17">
    <w:p w14:paraId="72462E9E" w14:textId="07E7D5E6" w:rsidR="005A5C6B" w:rsidRPr="005A5C6B" w:rsidRDefault="005A5C6B">
      <w:pPr>
        <w:pStyle w:val="FootnoteText"/>
        <w:rPr>
          <w:lang w:val="en-GB"/>
        </w:rPr>
      </w:pPr>
      <w:r>
        <w:rPr>
          <w:rStyle w:val="FootnoteReference"/>
        </w:rPr>
        <w:footnoteRef/>
      </w:r>
      <w:r>
        <w:t xml:space="preserve"> </w:t>
      </w:r>
      <w:r w:rsidRPr="00ED256F">
        <w:t>UNCITRAL Model Law on Cross-Border Insolvency</w:t>
      </w:r>
      <w:r>
        <w:t>, Art 20.</w:t>
      </w:r>
    </w:p>
  </w:footnote>
  <w:footnote w:id="18">
    <w:p w14:paraId="56D36114" w14:textId="5E587C68" w:rsidR="00EB166F" w:rsidRPr="00EB166F" w:rsidRDefault="00EB166F">
      <w:pPr>
        <w:pStyle w:val="FootnoteText"/>
        <w:rPr>
          <w:lang w:val="en-GB"/>
        </w:rPr>
      </w:pPr>
      <w:r>
        <w:rPr>
          <w:rStyle w:val="FootnoteReference"/>
        </w:rPr>
        <w:footnoteRef/>
      </w:r>
      <w:r>
        <w:t xml:space="preserve"> </w:t>
      </w:r>
      <w:r w:rsidRPr="00ED256F">
        <w:t>UNCITRAL Model Law on Cross-Border Insolvency</w:t>
      </w:r>
      <w:r>
        <w:t>, Article 20 (</w:t>
      </w:r>
      <w:r w:rsidR="009370D2">
        <w:t>1)</w:t>
      </w:r>
      <w:r w:rsidR="00E945C5">
        <w:t>(a)</w:t>
      </w:r>
      <w:r w:rsidR="000E796A">
        <w:t>.</w:t>
      </w:r>
    </w:p>
  </w:footnote>
  <w:footnote w:id="19">
    <w:p w14:paraId="56CA92A4" w14:textId="35208E5E" w:rsidR="008F7969" w:rsidRPr="008F7969" w:rsidRDefault="008F7969">
      <w:pPr>
        <w:pStyle w:val="FootnoteText"/>
        <w:rPr>
          <w:lang w:val="en-GB"/>
        </w:rPr>
      </w:pPr>
      <w:r>
        <w:rPr>
          <w:rStyle w:val="FootnoteReference"/>
        </w:rPr>
        <w:footnoteRef/>
      </w:r>
      <w:r>
        <w:t xml:space="preserve"> </w:t>
      </w:r>
      <w:r w:rsidRPr="00ED256F">
        <w:t>UNCITRAL Model Law on Cross-Border Insolvency</w:t>
      </w:r>
      <w:r>
        <w:t>, Article 20 (</w:t>
      </w:r>
      <w:r w:rsidR="003E34B8">
        <w:t>3)</w:t>
      </w:r>
      <w:r w:rsidR="003566B4">
        <w:t xml:space="preserve">. </w:t>
      </w:r>
    </w:p>
  </w:footnote>
  <w:footnote w:id="20">
    <w:p w14:paraId="358AFACC" w14:textId="6BFA598B" w:rsidR="00933B93" w:rsidRPr="00933B93" w:rsidRDefault="00933B93">
      <w:pPr>
        <w:pStyle w:val="FootnoteText"/>
        <w:rPr>
          <w:lang w:val="en-GB"/>
        </w:rPr>
      </w:pPr>
      <w:r>
        <w:rPr>
          <w:rStyle w:val="FootnoteReference"/>
        </w:rPr>
        <w:footnoteRef/>
      </w:r>
      <w:r>
        <w:t xml:space="preserve"> </w:t>
      </w:r>
      <w:r w:rsidRPr="00ED256F">
        <w:t>UNCITRAL Model Law on Cross-Border Insolvency</w:t>
      </w:r>
      <w:r>
        <w:t xml:space="preserve">, Article </w:t>
      </w:r>
      <w:r w:rsidR="00282959">
        <w:t>21</w:t>
      </w:r>
    </w:p>
  </w:footnote>
  <w:footnote w:id="21">
    <w:p w14:paraId="2687804E" w14:textId="34936810" w:rsidR="00A332B6" w:rsidRPr="00A332B6" w:rsidRDefault="00A332B6">
      <w:pPr>
        <w:pStyle w:val="FootnoteText"/>
        <w:rPr>
          <w:lang w:val="en-GB"/>
        </w:rPr>
      </w:pPr>
      <w:r>
        <w:rPr>
          <w:rStyle w:val="FootnoteReference"/>
        </w:rPr>
        <w:footnoteRef/>
      </w:r>
      <w:r>
        <w:t xml:space="preserve"> </w:t>
      </w:r>
      <w:r w:rsidR="00DF27EE" w:rsidRPr="00DF27EE">
        <w:t>UNCITRAL Model Law on Cross-Border Insolvency</w:t>
      </w:r>
      <w:r w:rsidR="00DF27EE">
        <w:t xml:space="preserve">, Article </w:t>
      </w:r>
      <w:r w:rsidR="00D01F6D">
        <w:t>23</w:t>
      </w:r>
      <w:r w:rsidR="00416E92">
        <w:t>.</w:t>
      </w:r>
    </w:p>
  </w:footnote>
  <w:footnote w:id="22">
    <w:p w14:paraId="4766E647" w14:textId="27207DB3" w:rsidR="00FC5742" w:rsidRPr="00FC5742" w:rsidRDefault="00FC5742">
      <w:pPr>
        <w:pStyle w:val="FootnoteText"/>
        <w:rPr>
          <w:lang w:val="en-GB"/>
        </w:rPr>
      </w:pPr>
      <w:r>
        <w:rPr>
          <w:rStyle w:val="FootnoteReference"/>
        </w:rPr>
        <w:footnoteRef/>
      </w:r>
      <w:r>
        <w:t xml:space="preserve"> </w:t>
      </w:r>
      <w:r w:rsidRPr="00ED256F">
        <w:t>UNCITRAL Model Law on Cross-Border Insolvency</w:t>
      </w:r>
      <w:r>
        <w:t xml:space="preserve">, Article </w:t>
      </w:r>
      <w:r w:rsidR="00FD50F7">
        <w:t>23(2).</w:t>
      </w:r>
    </w:p>
  </w:footnote>
  <w:footnote w:id="23">
    <w:p w14:paraId="461EB6D9" w14:textId="2E84AD44" w:rsidR="007D45D5" w:rsidRPr="007D45D5" w:rsidRDefault="00C7286E" w:rsidP="007D45D5">
      <w:pPr>
        <w:pStyle w:val="FootnoteText"/>
        <w:rPr>
          <w:rFonts w:ascii="Avenir Next" w:hAnsi="Avenir Next" w:cs="Arial"/>
          <w:sz w:val="22"/>
          <w:szCs w:val="22"/>
          <w:lang w:val="en-GB"/>
        </w:rPr>
      </w:pPr>
      <w:r>
        <w:rPr>
          <w:rStyle w:val="FootnoteReference"/>
        </w:rPr>
        <w:footnoteRef/>
      </w:r>
      <w:r>
        <w:t xml:space="preserve"> </w:t>
      </w:r>
      <w:r w:rsidR="007D45D5" w:rsidRPr="00ED256F">
        <w:t>UNCITRAL Model Law on Cross-Border Insolvency</w:t>
      </w:r>
      <w:r w:rsidR="007D45D5">
        <w:t>, Article</w:t>
      </w:r>
      <w:r w:rsidR="008F699F">
        <w:t xml:space="preserve"> 21</w:t>
      </w:r>
      <w:r w:rsidR="00FE546F">
        <w:t>(1)(a).</w:t>
      </w:r>
    </w:p>
  </w:footnote>
  <w:footnote w:id="24">
    <w:p w14:paraId="3D5749EB" w14:textId="1F896B1A" w:rsidR="000E3E1C" w:rsidRPr="000E3E1C" w:rsidRDefault="000E3E1C">
      <w:pPr>
        <w:pStyle w:val="FootnoteText"/>
        <w:rPr>
          <w:lang w:val="en-GB"/>
        </w:rPr>
      </w:pPr>
      <w:r>
        <w:rPr>
          <w:rStyle w:val="FootnoteReference"/>
        </w:rPr>
        <w:footnoteRef/>
      </w:r>
      <w:r>
        <w:t xml:space="preserve"> </w:t>
      </w:r>
      <w:r w:rsidR="0098636E" w:rsidRPr="00ED256F">
        <w:t>UNCITRAL Model Law on Cross-Border Insolvency</w:t>
      </w:r>
      <w:r w:rsidR="001140BF">
        <w:t>.</w:t>
      </w:r>
    </w:p>
  </w:footnote>
  <w:footnote w:id="25">
    <w:p w14:paraId="33778D1A" w14:textId="7B343B4E" w:rsidR="00605AD8" w:rsidRPr="00605AD8" w:rsidRDefault="00605AD8">
      <w:pPr>
        <w:pStyle w:val="FootnoteText"/>
        <w:rPr>
          <w:lang w:val="en-GB"/>
        </w:rPr>
      </w:pPr>
      <w:r>
        <w:rPr>
          <w:rStyle w:val="FootnoteReference"/>
        </w:rPr>
        <w:footnoteRef/>
      </w:r>
      <w:r w:rsidR="004E1579">
        <w:t xml:space="preserve"> </w:t>
      </w:r>
      <w:proofErr w:type="spellStart"/>
      <w:r w:rsidR="004E1579" w:rsidRPr="004E1579">
        <w:rPr>
          <w:i/>
          <w:iCs/>
        </w:rPr>
        <w:t>Fibria</w:t>
      </w:r>
      <w:proofErr w:type="spellEnd"/>
      <w:r w:rsidR="004E1579" w:rsidRPr="004E1579">
        <w:rPr>
          <w:i/>
          <w:iCs/>
        </w:rPr>
        <w:t xml:space="preserve"> </w:t>
      </w:r>
      <w:proofErr w:type="spellStart"/>
      <w:r w:rsidR="004E1579" w:rsidRPr="004E1579">
        <w:rPr>
          <w:i/>
          <w:iCs/>
        </w:rPr>
        <w:t>Celulose</w:t>
      </w:r>
      <w:proofErr w:type="spellEnd"/>
      <w:r w:rsidR="004E1579" w:rsidRPr="004E1579">
        <w:rPr>
          <w:i/>
          <w:iCs/>
        </w:rPr>
        <w:t xml:space="preserve"> S/A v Pan Ocean Ltd</w:t>
      </w:r>
      <w:r>
        <w:t xml:space="preserve"> </w:t>
      </w:r>
      <w:r>
        <w:rPr>
          <w:lang w:val="en-GB"/>
        </w:rPr>
        <w:t xml:space="preserve">[2014] </w:t>
      </w:r>
      <w:r w:rsidR="004E1579">
        <w:rPr>
          <w:lang w:val="en-GB"/>
        </w:rPr>
        <w:t>EWHC 2124 (Ch).</w:t>
      </w:r>
    </w:p>
  </w:footnote>
  <w:footnote w:id="26">
    <w:p w14:paraId="79B73856" w14:textId="3A004442" w:rsidR="0032694A" w:rsidRPr="0032694A" w:rsidRDefault="0032694A">
      <w:pPr>
        <w:pStyle w:val="FootnoteText"/>
        <w:rPr>
          <w:lang w:val="en-GB"/>
        </w:rPr>
      </w:pPr>
      <w:r>
        <w:rPr>
          <w:rStyle w:val="FootnoteReference"/>
        </w:rPr>
        <w:footnoteRef/>
      </w:r>
      <w:r>
        <w:t xml:space="preserve"> </w:t>
      </w:r>
      <w:r w:rsidR="006A265C" w:rsidRPr="00ED256F">
        <w:t>UNCITRAL Model Law on Cross-Border Insolvency</w:t>
      </w:r>
      <w:r w:rsidR="006A265C">
        <w:t>.</w:t>
      </w:r>
    </w:p>
  </w:footnote>
  <w:footnote w:id="27">
    <w:p w14:paraId="448C2DEF" w14:textId="6606D3ED" w:rsidR="001B4E25" w:rsidRPr="001B4E25" w:rsidRDefault="001B4E25">
      <w:pPr>
        <w:pStyle w:val="FootnoteText"/>
        <w:rPr>
          <w:lang w:val="en-GB"/>
        </w:rPr>
      </w:pPr>
      <w:r>
        <w:rPr>
          <w:rStyle w:val="FootnoteReference"/>
        </w:rPr>
        <w:footnoteRef/>
      </w:r>
      <w:r>
        <w:t xml:space="preserve"> </w:t>
      </w:r>
      <w:r w:rsidR="00B175AA" w:rsidRPr="00DF27EE">
        <w:t>UNCITRAL Model Law on Cross-Border Insolvency</w:t>
      </w:r>
      <w:r w:rsidR="00B175AA">
        <w:t>, Article 9</w:t>
      </w:r>
    </w:p>
  </w:footnote>
  <w:footnote w:id="28">
    <w:p w14:paraId="3391DB22" w14:textId="64FCB54F" w:rsidR="00EF4108" w:rsidRPr="00EF4108" w:rsidRDefault="00EF4108">
      <w:pPr>
        <w:pStyle w:val="FootnoteText"/>
        <w:rPr>
          <w:lang w:val="en-GB"/>
        </w:rPr>
      </w:pPr>
      <w:r>
        <w:rPr>
          <w:rStyle w:val="FootnoteReference"/>
        </w:rPr>
        <w:footnoteRef/>
      </w:r>
      <w:r>
        <w:t xml:space="preserve"> </w:t>
      </w:r>
      <w:r w:rsidR="00950BFD" w:rsidRPr="00DF27EE">
        <w:t>UNCITRAL Model Law on Cross-Border Insolvency</w:t>
      </w:r>
      <w:r w:rsidR="00950BFD">
        <w:t>.</w:t>
      </w:r>
    </w:p>
  </w:footnote>
  <w:footnote w:id="29">
    <w:p w14:paraId="12D3F901" w14:textId="55543550" w:rsidR="00E83AFC" w:rsidRPr="00E83AFC" w:rsidRDefault="00E83AFC">
      <w:pPr>
        <w:pStyle w:val="FootnoteText"/>
        <w:rPr>
          <w:lang w:val="en-GB"/>
        </w:rPr>
      </w:pPr>
      <w:r>
        <w:rPr>
          <w:rStyle w:val="FootnoteReference"/>
        </w:rPr>
        <w:footnoteRef/>
      </w:r>
      <w:r>
        <w:t xml:space="preserve"> </w:t>
      </w:r>
      <w:r w:rsidRPr="00DF27EE">
        <w:t>UNCITRAL Model Law on Cross-Border Insolvency</w:t>
      </w:r>
      <w:r>
        <w:t>, Article</w:t>
      </w:r>
      <w:r w:rsidR="000050AA">
        <w:t>s 2(</w:t>
      </w:r>
      <w:r w:rsidR="00B23E36">
        <w:t>b) and 2(c).</w:t>
      </w:r>
    </w:p>
  </w:footnote>
  <w:footnote w:id="30">
    <w:p w14:paraId="14F865C7" w14:textId="4A40345B" w:rsidR="00225C9B" w:rsidRPr="00225C9B" w:rsidRDefault="00225C9B">
      <w:pPr>
        <w:pStyle w:val="FootnoteText"/>
        <w:rPr>
          <w:lang w:val="en-GB"/>
        </w:rPr>
      </w:pPr>
      <w:r>
        <w:rPr>
          <w:rStyle w:val="FootnoteReference"/>
        </w:rPr>
        <w:footnoteRef/>
      </w:r>
      <w:r>
        <w:t xml:space="preserve"> </w:t>
      </w:r>
      <w:r w:rsidRPr="00DF27EE">
        <w:t>UNCITRAL Model Law on Cross-Border Insolvency</w:t>
      </w:r>
      <w:r>
        <w:t>, Article 15.</w:t>
      </w:r>
    </w:p>
  </w:footnote>
  <w:footnote w:id="31">
    <w:p w14:paraId="793FE650" w14:textId="559CD975" w:rsidR="0091409C" w:rsidRPr="0091409C" w:rsidRDefault="0091409C">
      <w:pPr>
        <w:pStyle w:val="FootnoteText"/>
        <w:rPr>
          <w:lang w:val="en-GB"/>
        </w:rPr>
      </w:pPr>
      <w:r>
        <w:rPr>
          <w:rStyle w:val="FootnoteReference"/>
        </w:rPr>
        <w:footnoteRef/>
      </w:r>
      <w:r>
        <w:t xml:space="preserve"> </w:t>
      </w:r>
      <w:r w:rsidR="00BB307C" w:rsidRPr="00DF27EE">
        <w:t>UNCITRAL Model Law on Cross-Border Insolvency</w:t>
      </w:r>
      <w:r w:rsidR="00BB307C">
        <w:t>, Article 15</w:t>
      </w:r>
      <w:r w:rsidR="0044611C">
        <w:t xml:space="preserve"> (2).</w:t>
      </w:r>
    </w:p>
  </w:footnote>
  <w:footnote w:id="32">
    <w:p w14:paraId="575845B6" w14:textId="7A47B86B" w:rsidR="00A91C7E" w:rsidRPr="00A91C7E" w:rsidRDefault="00A91C7E">
      <w:pPr>
        <w:pStyle w:val="FootnoteText"/>
        <w:rPr>
          <w:lang w:val="en-GB"/>
        </w:rPr>
      </w:pPr>
      <w:r>
        <w:rPr>
          <w:rStyle w:val="FootnoteReference"/>
        </w:rPr>
        <w:footnoteRef/>
      </w:r>
      <w:r>
        <w:t xml:space="preserve"> </w:t>
      </w:r>
      <w:r w:rsidR="002B2E63" w:rsidRPr="00DF27EE">
        <w:t>UNCITRAL Model Law on Cross-Border Insolvency</w:t>
      </w:r>
      <w:r w:rsidR="002B2E63">
        <w:t>, Article 15</w:t>
      </w:r>
      <w:r w:rsidR="003C76E7">
        <w:t xml:space="preserve"> (3).</w:t>
      </w:r>
    </w:p>
  </w:footnote>
  <w:footnote w:id="33">
    <w:p w14:paraId="5B7CAFF2" w14:textId="3C27D5E0" w:rsidR="00AC06F5" w:rsidRPr="00AC06F5" w:rsidRDefault="00AC06F5">
      <w:pPr>
        <w:pStyle w:val="FootnoteText"/>
        <w:rPr>
          <w:lang w:val="en-GB"/>
        </w:rPr>
      </w:pPr>
      <w:r>
        <w:rPr>
          <w:rStyle w:val="FootnoteReference"/>
        </w:rPr>
        <w:footnoteRef/>
      </w:r>
      <w:r>
        <w:t xml:space="preserve"> </w:t>
      </w:r>
      <w:r w:rsidRPr="00DF27EE">
        <w:t>UNCITRAL Model Law on Cross-Border Insolvency</w:t>
      </w:r>
      <w:r>
        <w:t>, Article</w:t>
      </w:r>
      <w:r w:rsidR="00B62673">
        <w:t xml:space="preserve"> 16</w:t>
      </w:r>
      <w:r w:rsidR="00D674E8">
        <w:t xml:space="preserve"> (2).</w:t>
      </w:r>
    </w:p>
  </w:footnote>
  <w:footnote w:id="34">
    <w:p w14:paraId="3F68FD54" w14:textId="1810FF96" w:rsidR="00600302" w:rsidRPr="00600302" w:rsidRDefault="00600302">
      <w:pPr>
        <w:pStyle w:val="FootnoteText"/>
        <w:rPr>
          <w:lang w:val="en-GB"/>
        </w:rPr>
      </w:pPr>
      <w:r>
        <w:rPr>
          <w:rStyle w:val="FootnoteReference"/>
        </w:rPr>
        <w:footnoteRef/>
      </w:r>
      <w:r>
        <w:t xml:space="preserve"> </w:t>
      </w:r>
      <w:r w:rsidR="000C0031" w:rsidRPr="00DF27EE">
        <w:t>UNCITRAL Model Law on Cross-Border Insolvency</w:t>
      </w:r>
      <w:r w:rsidR="000C0031">
        <w:t>, Article</w:t>
      </w:r>
      <w:r w:rsidR="00FA4B5D">
        <w:t xml:space="preserve"> 16</w:t>
      </w:r>
      <w:r w:rsidR="001E07AE">
        <w:t xml:space="preserve"> (3)</w:t>
      </w:r>
      <w:r w:rsidR="00945D5E">
        <w:t>.</w:t>
      </w:r>
    </w:p>
  </w:footnote>
  <w:footnote w:id="35">
    <w:p w14:paraId="6AC9635A" w14:textId="5E4A4254" w:rsidR="00A20D77" w:rsidRPr="00A20D77" w:rsidRDefault="00A20D77">
      <w:pPr>
        <w:pStyle w:val="FootnoteText"/>
        <w:rPr>
          <w:lang w:val="en-GB"/>
        </w:rPr>
      </w:pPr>
      <w:r>
        <w:rPr>
          <w:rStyle w:val="FootnoteReference"/>
        </w:rPr>
        <w:footnoteRef/>
      </w:r>
      <w:r>
        <w:t xml:space="preserve"> </w:t>
      </w:r>
      <w:r w:rsidR="00F26E63">
        <w:rPr>
          <w:lang w:val="en-GB"/>
        </w:rPr>
        <w:t>UNCITRAL</w:t>
      </w:r>
      <w:r w:rsidR="00B36A5B">
        <w:rPr>
          <w:lang w:val="en-GB"/>
        </w:rPr>
        <w:t xml:space="preserve"> Guide to Enactment</w:t>
      </w:r>
      <w:r w:rsidR="00182F34">
        <w:rPr>
          <w:lang w:val="en-GB"/>
        </w:rPr>
        <w:t>, pp 70-72.</w:t>
      </w:r>
    </w:p>
  </w:footnote>
  <w:footnote w:id="36">
    <w:p w14:paraId="7F04B8B9" w14:textId="2AB65306" w:rsidR="003B0D55" w:rsidRPr="003B0D55" w:rsidRDefault="003B0D55">
      <w:pPr>
        <w:pStyle w:val="FootnoteText"/>
        <w:rPr>
          <w:lang w:val="en-GB"/>
        </w:rPr>
      </w:pPr>
      <w:r>
        <w:rPr>
          <w:rStyle w:val="FootnoteReference"/>
        </w:rPr>
        <w:footnoteRef/>
      </w:r>
      <w:r>
        <w:t xml:space="preserve"> </w:t>
      </w:r>
      <w:r w:rsidR="001703F6" w:rsidRPr="00DF27EE">
        <w:t>UNCITRAL Model Law on Cross-Border Insolvency</w:t>
      </w:r>
      <w:r w:rsidR="001703F6">
        <w:t>, Article</w:t>
      </w:r>
      <w:r w:rsidR="00A97928">
        <w:t xml:space="preserve"> </w:t>
      </w:r>
      <w:r w:rsidR="00FC377C">
        <w:t>2(b)</w:t>
      </w:r>
    </w:p>
  </w:footnote>
  <w:footnote w:id="37">
    <w:p w14:paraId="63E209AA" w14:textId="74322DFB" w:rsidR="00194585" w:rsidRPr="00194585" w:rsidRDefault="00194585">
      <w:pPr>
        <w:pStyle w:val="FootnoteText"/>
        <w:rPr>
          <w:lang w:val="en-GB"/>
        </w:rPr>
      </w:pPr>
      <w:r>
        <w:rPr>
          <w:rStyle w:val="FootnoteReference"/>
        </w:rPr>
        <w:footnoteRef/>
      </w:r>
      <w:r>
        <w:t xml:space="preserve"> </w:t>
      </w:r>
      <w:r w:rsidR="003D3581" w:rsidRPr="00DF27EE">
        <w:t>UNCITRAL Model Law on Cross-Border Insolvency</w:t>
      </w:r>
      <w:r w:rsidR="003D3581">
        <w:t>, Article 2(</w:t>
      </w:r>
      <w:r w:rsidR="00C46777">
        <w:t>f).</w:t>
      </w:r>
    </w:p>
  </w:footnote>
  <w:footnote w:id="38">
    <w:p w14:paraId="3AD60033" w14:textId="3CC79AD2" w:rsidR="00FC733E" w:rsidRPr="00FC733E" w:rsidRDefault="00FC733E">
      <w:pPr>
        <w:pStyle w:val="FootnoteText"/>
        <w:rPr>
          <w:lang w:val="en-GB"/>
        </w:rPr>
      </w:pPr>
      <w:r>
        <w:rPr>
          <w:rStyle w:val="FootnoteReference"/>
        </w:rPr>
        <w:footnoteRef/>
      </w:r>
      <w:r>
        <w:t xml:space="preserve"> </w:t>
      </w:r>
      <w:r w:rsidRPr="00DF27EE">
        <w:t>UNCITRAL Model Law on Cross-Border Insolvency</w:t>
      </w:r>
      <w:r>
        <w:t xml:space="preserve">, Article </w:t>
      </w:r>
      <w:r w:rsidR="0026237B">
        <w:t>2(</w:t>
      </w:r>
      <w:r w:rsidR="00F15C9C">
        <w:t>c).</w:t>
      </w:r>
    </w:p>
  </w:footnote>
  <w:footnote w:id="39">
    <w:p w14:paraId="127DD05D" w14:textId="298F7FDC" w:rsidR="0045165B" w:rsidRPr="0045165B" w:rsidRDefault="0045165B">
      <w:pPr>
        <w:pStyle w:val="FootnoteText"/>
        <w:rPr>
          <w:lang w:val="en-GB"/>
        </w:rPr>
      </w:pPr>
      <w:r>
        <w:rPr>
          <w:rStyle w:val="FootnoteReference"/>
        </w:rPr>
        <w:footnoteRef/>
      </w:r>
      <w:r>
        <w:t xml:space="preserve"> </w:t>
      </w:r>
      <w:r w:rsidRPr="00DF27EE">
        <w:t>UNCITRAL Model Law on Cross-Border Insolvency</w:t>
      </w:r>
      <w:r>
        <w:t>, Article 19 (1).</w:t>
      </w:r>
    </w:p>
  </w:footnote>
  <w:footnote w:id="40">
    <w:p w14:paraId="29252A36" w14:textId="5408E863" w:rsidR="009A0CA7" w:rsidRPr="009A0CA7" w:rsidRDefault="009A0CA7">
      <w:pPr>
        <w:pStyle w:val="FootnoteText"/>
        <w:rPr>
          <w:lang w:val="en-GB"/>
        </w:rPr>
      </w:pPr>
      <w:r>
        <w:rPr>
          <w:rStyle w:val="FootnoteReference"/>
        </w:rPr>
        <w:footnoteRef/>
      </w:r>
      <w:r>
        <w:t xml:space="preserve"> </w:t>
      </w:r>
      <w:r w:rsidRPr="00DF27EE">
        <w:t>UNCITRAL Model Law on Cross-Border Insolvency</w:t>
      </w:r>
      <w:r>
        <w:t xml:space="preserve">, Article </w:t>
      </w:r>
      <w:r w:rsidR="00E324A8">
        <w:t>20</w:t>
      </w:r>
      <w:r w:rsidR="006A3509">
        <w:t xml:space="preserve"> (1).</w:t>
      </w:r>
    </w:p>
  </w:footnote>
  <w:footnote w:id="41">
    <w:p w14:paraId="1BC14E66" w14:textId="517340DA" w:rsidR="00EF5D06" w:rsidRPr="00EF5D06" w:rsidRDefault="00EF5D06">
      <w:pPr>
        <w:pStyle w:val="FootnoteText"/>
        <w:rPr>
          <w:lang w:val="en-GB"/>
        </w:rPr>
      </w:pPr>
      <w:r>
        <w:rPr>
          <w:rStyle w:val="FootnoteReference"/>
        </w:rPr>
        <w:footnoteRef/>
      </w:r>
      <w:r>
        <w:t xml:space="preserve"> </w:t>
      </w:r>
      <w:r w:rsidRPr="00DF27EE">
        <w:t>UNCITRAL Model Law on Cross-Border Insolvency</w:t>
      </w:r>
      <w:r>
        <w:t>, Article 21</w:t>
      </w:r>
      <w:r w:rsidR="0092185D">
        <w:t xml:space="preserve"> (1).</w:t>
      </w:r>
    </w:p>
  </w:footnote>
  <w:footnote w:id="42">
    <w:p w14:paraId="60C9B920" w14:textId="68584861" w:rsidR="00A77F81" w:rsidRPr="00A77F81" w:rsidRDefault="00A77F81">
      <w:pPr>
        <w:pStyle w:val="FootnoteText"/>
        <w:rPr>
          <w:lang w:val="en-GB"/>
        </w:rPr>
      </w:pPr>
      <w:r>
        <w:rPr>
          <w:rStyle w:val="FootnoteReference"/>
        </w:rPr>
        <w:footnoteRef/>
      </w:r>
      <w:r>
        <w:t xml:space="preserve"> </w:t>
      </w:r>
      <w:r w:rsidR="0093287E" w:rsidRPr="00DF27EE">
        <w:t>UNCITRAL Model Law on Cross-Border Insolvency</w:t>
      </w:r>
      <w:r w:rsidR="0093287E">
        <w:t>, Article 21 (3).</w:t>
      </w:r>
    </w:p>
  </w:footnote>
  <w:footnote w:id="43">
    <w:p w14:paraId="478BB1D2" w14:textId="775C6EB6" w:rsidR="000037C7" w:rsidRPr="000037C7" w:rsidRDefault="000037C7">
      <w:pPr>
        <w:pStyle w:val="FootnoteText"/>
        <w:rPr>
          <w:lang w:val="en-GB"/>
        </w:rPr>
      </w:pPr>
      <w:r>
        <w:rPr>
          <w:rStyle w:val="FootnoteReference"/>
        </w:rPr>
        <w:footnoteRef/>
      </w:r>
      <w:r>
        <w:t xml:space="preserve"> </w:t>
      </w:r>
      <w:r w:rsidRPr="00DF27EE">
        <w:t>UNCITRAL Model Law on Cross-Border Insolvency</w:t>
      </w:r>
      <w:r>
        <w:t xml:space="preserve">, Article </w:t>
      </w:r>
      <w:r w:rsidR="00856CFF">
        <w:t>21 (1).</w:t>
      </w:r>
    </w:p>
  </w:footnote>
  <w:footnote w:id="44">
    <w:p w14:paraId="4069D78D" w14:textId="4178185D" w:rsidR="000355E0" w:rsidRPr="000355E0" w:rsidRDefault="000355E0">
      <w:pPr>
        <w:pStyle w:val="FootnoteText"/>
        <w:rPr>
          <w:lang w:val="en-GB"/>
        </w:rPr>
      </w:pPr>
      <w:r>
        <w:rPr>
          <w:rStyle w:val="FootnoteReference"/>
        </w:rPr>
        <w:footnoteRef/>
      </w:r>
      <w:r>
        <w:t xml:space="preserve"> </w:t>
      </w:r>
      <w:r w:rsidR="000E335F" w:rsidRPr="00DF27EE">
        <w:t>UNCITRAL Model Law on Cross-Border Insolvency</w:t>
      </w:r>
      <w:r w:rsidR="000E335F">
        <w:t>, Article 21(2).</w:t>
      </w:r>
    </w:p>
  </w:footnote>
  <w:footnote w:id="45">
    <w:p w14:paraId="2F6121A7" w14:textId="21B94A73" w:rsidR="00351C7A" w:rsidRPr="00351C7A" w:rsidRDefault="00351C7A">
      <w:pPr>
        <w:pStyle w:val="FootnoteText"/>
        <w:rPr>
          <w:lang w:val="en-GB"/>
        </w:rPr>
      </w:pPr>
      <w:r>
        <w:rPr>
          <w:rStyle w:val="FootnoteReference"/>
        </w:rPr>
        <w:footnoteRef/>
      </w:r>
      <w:r>
        <w:t xml:space="preserve"> </w:t>
      </w:r>
      <w:r w:rsidRPr="00DF27EE">
        <w:t>UNCITRAL Model Law on Cross-Border Insolvency</w:t>
      </w:r>
      <w:r>
        <w:t>, Article 21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4213E3"/>
    <w:multiLevelType w:val="hybridMultilevel"/>
    <w:tmpl w:val="42BA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1C137A"/>
    <w:multiLevelType w:val="hybridMultilevel"/>
    <w:tmpl w:val="5F304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2"/>
  </w:num>
  <w:num w:numId="10" w16cid:durableId="59720369">
    <w:abstractNumId w:val="11"/>
  </w:num>
  <w:num w:numId="11" w16cid:durableId="1379276728">
    <w:abstractNumId w:val="3"/>
  </w:num>
  <w:num w:numId="12" w16cid:durableId="921179279">
    <w:abstractNumId w:val="9"/>
  </w:num>
  <w:num w:numId="13" w16cid:durableId="1060514793">
    <w:abstractNumId w:val="10"/>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1184129194">
    <w:abstractNumId w:val="8"/>
  </w:num>
  <w:num w:numId="19" w16cid:durableId="41078278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1M7C0sLQwsjQwMjVS0lEKTi0uzszPAykwrgUABXqADywAAAA="/>
  </w:docVars>
  <w:rsids>
    <w:rsidRoot w:val="00045088"/>
    <w:rsid w:val="00001E0C"/>
    <w:rsid w:val="000037C7"/>
    <w:rsid w:val="00005071"/>
    <w:rsid w:val="000050AA"/>
    <w:rsid w:val="000077DD"/>
    <w:rsid w:val="00010BA0"/>
    <w:rsid w:val="00010CF7"/>
    <w:rsid w:val="00010D73"/>
    <w:rsid w:val="00010EA9"/>
    <w:rsid w:val="00011778"/>
    <w:rsid w:val="0001365B"/>
    <w:rsid w:val="00020557"/>
    <w:rsid w:val="000215DB"/>
    <w:rsid w:val="00021D66"/>
    <w:rsid w:val="000232A1"/>
    <w:rsid w:val="000250C7"/>
    <w:rsid w:val="00025CCF"/>
    <w:rsid w:val="00025E8D"/>
    <w:rsid w:val="000300E0"/>
    <w:rsid w:val="0003114A"/>
    <w:rsid w:val="00032C40"/>
    <w:rsid w:val="00033F6F"/>
    <w:rsid w:val="000352C1"/>
    <w:rsid w:val="000355E0"/>
    <w:rsid w:val="0003619C"/>
    <w:rsid w:val="0003743B"/>
    <w:rsid w:val="00037621"/>
    <w:rsid w:val="00044D46"/>
    <w:rsid w:val="00044F0A"/>
    <w:rsid w:val="00045088"/>
    <w:rsid w:val="0004574D"/>
    <w:rsid w:val="00045904"/>
    <w:rsid w:val="0004638F"/>
    <w:rsid w:val="000464F7"/>
    <w:rsid w:val="0005141D"/>
    <w:rsid w:val="00054745"/>
    <w:rsid w:val="00056069"/>
    <w:rsid w:val="0005654E"/>
    <w:rsid w:val="00060E02"/>
    <w:rsid w:val="00063090"/>
    <w:rsid w:val="00063751"/>
    <w:rsid w:val="00065166"/>
    <w:rsid w:val="00067A88"/>
    <w:rsid w:val="00070B92"/>
    <w:rsid w:val="000715FF"/>
    <w:rsid w:val="000729C9"/>
    <w:rsid w:val="00073474"/>
    <w:rsid w:val="00073989"/>
    <w:rsid w:val="00074E63"/>
    <w:rsid w:val="00075C02"/>
    <w:rsid w:val="000772C2"/>
    <w:rsid w:val="00077D49"/>
    <w:rsid w:val="00082609"/>
    <w:rsid w:val="00083B38"/>
    <w:rsid w:val="00084328"/>
    <w:rsid w:val="00084BFE"/>
    <w:rsid w:val="000851CC"/>
    <w:rsid w:val="000916BD"/>
    <w:rsid w:val="00093BE8"/>
    <w:rsid w:val="000A68ED"/>
    <w:rsid w:val="000B010E"/>
    <w:rsid w:val="000B4FEB"/>
    <w:rsid w:val="000B5FF1"/>
    <w:rsid w:val="000B609F"/>
    <w:rsid w:val="000B742E"/>
    <w:rsid w:val="000C0031"/>
    <w:rsid w:val="000C0D3F"/>
    <w:rsid w:val="000C147F"/>
    <w:rsid w:val="000C4E86"/>
    <w:rsid w:val="000C5495"/>
    <w:rsid w:val="000C6BB9"/>
    <w:rsid w:val="000D25AA"/>
    <w:rsid w:val="000D2F37"/>
    <w:rsid w:val="000D32A9"/>
    <w:rsid w:val="000D55A8"/>
    <w:rsid w:val="000E1665"/>
    <w:rsid w:val="000E2357"/>
    <w:rsid w:val="000E335F"/>
    <w:rsid w:val="000E3E1C"/>
    <w:rsid w:val="000E4841"/>
    <w:rsid w:val="000E6325"/>
    <w:rsid w:val="000E796A"/>
    <w:rsid w:val="000F1677"/>
    <w:rsid w:val="000F1FC3"/>
    <w:rsid w:val="000F2042"/>
    <w:rsid w:val="000F299E"/>
    <w:rsid w:val="000F3675"/>
    <w:rsid w:val="000F3D6C"/>
    <w:rsid w:val="000F419D"/>
    <w:rsid w:val="000F5695"/>
    <w:rsid w:val="000F579C"/>
    <w:rsid w:val="00100E8F"/>
    <w:rsid w:val="00101707"/>
    <w:rsid w:val="00101A9E"/>
    <w:rsid w:val="0011043A"/>
    <w:rsid w:val="001106A2"/>
    <w:rsid w:val="00113599"/>
    <w:rsid w:val="00114082"/>
    <w:rsid w:val="001140BF"/>
    <w:rsid w:val="0011473D"/>
    <w:rsid w:val="001154C1"/>
    <w:rsid w:val="00115C85"/>
    <w:rsid w:val="001230B9"/>
    <w:rsid w:val="00123855"/>
    <w:rsid w:val="0012696F"/>
    <w:rsid w:val="00126A4D"/>
    <w:rsid w:val="00126E19"/>
    <w:rsid w:val="0013041B"/>
    <w:rsid w:val="0013485B"/>
    <w:rsid w:val="00134FCA"/>
    <w:rsid w:val="001374D8"/>
    <w:rsid w:val="001405D1"/>
    <w:rsid w:val="00140E0A"/>
    <w:rsid w:val="0014171F"/>
    <w:rsid w:val="0014262F"/>
    <w:rsid w:val="001433B6"/>
    <w:rsid w:val="00144333"/>
    <w:rsid w:val="0014622C"/>
    <w:rsid w:val="00151F58"/>
    <w:rsid w:val="00152348"/>
    <w:rsid w:val="00152845"/>
    <w:rsid w:val="001536D0"/>
    <w:rsid w:val="0015456D"/>
    <w:rsid w:val="00154639"/>
    <w:rsid w:val="0015549B"/>
    <w:rsid w:val="00155B01"/>
    <w:rsid w:val="00155FA2"/>
    <w:rsid w:val="00156F8B"/>
    <w:rsid w:val="001578CB"/>
    <w:rsid w:val="00161F1B"/>
    <w:rsid w:val="00162829"/>
    <w:rsid w:val="0016615A"/>
    <w:rsid w:val="00167182"/>
    <w:rsid w:val="001672E0"/>
    <w:rsid w:val="00167A13"/>
    <w:rsid w:val="00167C32"/>
    <w:rsid w:val="001701C8"/>
    <w:rsid w:val="001703F6"/>
    <w:rsid w:val="0017213E"/>
    <w:rsid w:val="00172251"/>
    <w:rsid w:val="0017257C"/>
    <w:rsid w:val="001742BE"/>
    <w:rsid w:val="00175947"/>
    <w:rsid w:val="00176079"/>
    <w:rsid w:val="0017652E"/>
    <w:rsid w:val="001768F8"/>
    <w:rsid w:val="00177DA7"/>
    <w:rsid w:val="00180548"/>
    <w:rsid w:val="00180AC4"/>
    <w:rsid w:val="00180CCE"/>
    <w:rsid w:val="00182261"/>
    <w:rsid w:val="00182648"/>
    <w:rsid w:val="0018267A"/>
    <w:rsid w:val="00182779"/>
    <w:rsid w:val="00182F34"/>
    <w:rsid w:val="001830DF"/>
    <w:rsid w:val="00190456"/>
    <w:rsid w:val="00190FD2"/>
    <w:rsid w:val="00194585"/>
    <w:rsid w:val="001966D9"/>
    <w:rsid w:val="00197C49"/>
    <w:rsid w:val="001A24E7"/>
    <w:rsid w:val="001A2B78"/>
    <w:rsid w:val="001A5345"/>
    <w:rsid w:val="001A7E9A"/>
    <w:rsid w:val="001B0793"/>
    <w:rsid w:val="001B0F70"/>
    <w:rsid w:val="001B16D8"/>
    <w:rsid w:val="001B21F8"/>
    <w:rsid w:val="001B3595"/>
    <w:rsid w:val="001B4E25"/>
    <w:rsid w:val="001B5016"/>
    <w:rsid w:val="001B63FE"/>
    <w:rsid w:val="001C0188"/>
    <w:rsid w:val="001C126A"/>
    <w:rsid w:val="001C2D8D"/>
    <w:rsid w:val="001C4032"/>
    <w:rsid w:val="001C45FC"/>
    <w:rsid w:val="001C7C4C"/>
    <w:rsid w:val="001D02C5"/>
    <w:rsid w:val="001D2651"/>
    <w:rsid w:val="001D4862"/>
    <w:rsid w:val="001E07AE"/>
    <w:rsid w:val="001E17D9"/>
    <w:rsid w:val="001E25B9"/>
    <w:rsid w:val="001E49E0"/>
    <w:rsid w:val="001E60C3"/>
    <w:rsid w:val="001E6B28"/>
    <w:rsid w:val="001E7B5A"/>
    <w:rsid w:val="001F5959"/>
    <w:rsid w:val="001F7412"/>
    <w:rsid w:val="00200FDD"/>
    <w:rsid w:val="00201874"/>
    <w:rsid w:val="00202133"/>
    <w:rsid w:val="00202286"/>
    <w:rsid w:val="0020264E"/>
    <w:rsid w:val="00202CF6"/>
    <w:rsid w:val="00204FFB"/>
    <w:rsid w:val="0020725B"/>
    <w:rsid w:val="00207C65"/>
    <w:rsid w:val="00212F2D"/>
    <w:rsid w:val="00214BE8"/>
    <w:rsid w:val="00215D8A"/>
    <w:rsid w:val="002173D5"/>
    <w:rsid w:val="002175BA"/>
    <w:rsid w:val="002200A1"/>
    <w:rsid w:val="00225613"/>
    <w:rsid w:val="0022599E"/>
    <w:rsid w:val="00225C9B"/>
    <w:rsid w:val="00226093"/>
    <w:rsid w:val="00226429"/>
    <w:rsid w:val="00227C5E"/>
    <w:rsid w:val="00227DA5"/>
    <w:rsid w:val="00227E96"/>
    <w:rsid w:val="002305E8"/>
    <w:rsid w:val="0023198D"/>
    <w:rsid w:val="00231F5D"/>
    <w:rsid w:val="0023317E"/>
    <w:rsid w:val="00234B4C"/>
    <w:rsid w:val="00234F2C"/>
    <w:rsid w:val="00235BC1"/>
    <w:rsid w:val="0024074B"/>
    <w:rsid w:val="00240B0E"/>
    <w:rsid w:val="0024116D"/>
    <w:rsid w:val="00241563"/>
    <w:rsid w:val="00241B44"/>
    <w:rsid w:val="00242B09"/>
    <w:rsid w:val="00245EFB"/>
    <w:rsid w:val="00246BCD"/>
    <w:rsid w:val="00250E19"/>
    <w:rsid w:val="002536CC"/>
    <w:rsid w:val="0025386E"/>
    <w:rsid w:val="002539D7"/>
    <w:rsid w:val="00255A11"/>
    <w:rsid w:val="00256764"/>
    <w:rsid w:val="00257437"/>
    <w:rsid w:val="0026237B"/>
    <w:rsid w:val="0026368E"/>
    <w:rsid w:val="002638B0"/>
    <w:rsid w:val="00264FFF"/>
    <w:rsid w:val="002650D7"/>
    <w:rsid w:val="002651EB"/>
    <w:rsid w:val="002654E8"/>
    <w:rsid w:val="0026647A"/>
    <w:rsid w:val="002668D3"/>
    <w:rsid w:val="002675BE"/>
    <w:rsid w:val="002679B6"/>
    <w:rsid w:val="0027299F"/>
    <w:rsid w:val="00276913"/>
    <w:rsid w:val="00277395"/>
    <w:rsid w:val="00280513"/>
    <w:rsid w:val="002812F0"/>
    <w:rsid w:val="0028135B"/>
    <w:rsid w:val="00282480"/>
    <w:rsid w:val="00282959"/>
    <w:rsid w:val="00284EBE"/>
    <w:rsid w:val="0029433F"/>
    <w:rsid w:val="00294829"/>
    <w:rsid w:val="00294F3B"/>
    <w:rsid w:val="0029690F"/>
    <w:rsid w:val="002A0666"/>
    <w:rsid w:val="002A1219"/>
    <w:rsid w:val="002A1EEC"/>
    <w:rsid w:val="002A25DE"/>
    <w:rsid w:val="002A29FB"/>
    <w:rsid w:val="002A2A60"/>
    <w:rsid w:val="002A5193"/>
    <w:rsid w:val="002B1C45"/>
    <w:rsid w:val="002B2E63"/>
    <w:rsid w:val="002B52E5"/>
    <w:rsid w:val="002C13C8"/>
    <w:rsid w:val="002C3547"/>
    <w:rsid w:val="002C4919"/>
    <w:rsid w:val="002D0021"/>
    <w:rsid w:val="002D25D6"/>
    <w:rsid w:val="002D3473"/>
    <w:rsid w:val="002D4057"/>
    <w:rsid w:val="002D5C95"/>
    <w:rsid w:val="002E00F8"/>
    <w:rsid w:val="002E0738"/>
    <w:rsid w:val="002E1BB5"/>
    <w:rsid w:val="002E2322"/>
    <w:rsid w:val="002E38E2"/>
    <w:rsid w:val="002F1956"/>
    <w:rsid w:val="002F3440"/>
    <w:rsid w:val="002F4BA0"/>
    <w:rsid w:val="002F4EC0"/>
    <w:rsid w:val="002F60FB"/>
    <w:rsid w:val="002F71BE"/>
    <w:rsid w:val="002F75A3"/>
    <w:rsid w:val="002F78CA"/>
    <w:rsid w:val="00303C2F"/>
    <w:rsid w:val="0030426E"/>
    <w:rsid w:val="00310C84"/>
    <w:rsid w:val="003120B9"/>
    <w:rsid w:val="00312911"/>
    <w:rsid w:val="003144EF"/>
    <w:rsid w:val="003148CA"/>
    <w:rsid w:val="00315506"/>
    <w:rsid w:val="00315D63"/>
    <w:rsid w:val="003220BA"/>
    <w:rsid w:val="0032230B"/>
    <w:rsid w:val="003224B5"/>
    <w:rsid w:val="00322F3B"/>
    <w:rsid w:val="00323940"/>
    <w:rsid w:val="00325048"/>
    <w:rsid w:val="003261E0"/>
    <w:rsid w:val="00326292"/>
    <w:rsid w:val="00326415"/>
    <w:rsid w:val="0032694A"/>
    <w:rsid w:val="00326EF4"/>
    <w:rsid w:val="00330937"/>
    <w:rsid w:val="00330F31"/>
    <w:rsid w:val="0033442A"/>
    <w:rsid w:val="00334648"/>
    <w:rsid w:val="0033768C"/>
    <w:rsid w:val="00337938"/>
    <w:rsid w:val="00340769"/>
    <w:rsid w:val="00341AA6"/>
    <w:rsid w:val="00342459"/>
    <w:rsid w:val="003427B9"/>
    <w:rsid w:val="00345123"/>
    <w:rsid w:val="00345E36"/>
    <w:rsid w:val="00346B16"/>
    <w:rsid w:val="00351C7A"/>
    <w:rsid w:val="00352675"/>
    <w:rsid w:val="003551FE"/>
    <w:rsid w:val="003566B4"/>
    <w:rsid w:val="00356E03"/>
    <w:rsid w:val="00360935"/>
    <w:rsid w:val="00360F28"/>
    <w:rsid w:val="00361A0A"/>
    <w:rsid w:val="003630BF"/>
    <w:rsid w:val="0036458F"/>
    <w:rsid w:val="0036565C"/>
    <w:rsid w:val="0036625E"/>
    <w:rsid w:val="0036760B"/>
    <w:rsid w:val="00371466"/>
    <w:rsid w:val="00372233"/>
    <w:rsid w:val="0037465A"/>
    <w:rsid w:val="003752ED"/>
    <w:rsid w:val="0037544E"/>
    <w:rsid w:val="00376370"/>
    <w:rsid w:val="003803EA"/>
    <w:rsid w:val="00380BAB"/>
    <w:rsid w:val="00381319"/>
    <w:rsid w:val="00382C98"/>
    <w:rsid w:val="00385045"/>
    <w:rsid w:val="0038533C"/>
    <w:rsid w:val="00386568"/>
    <w:rsid w:val="00387106"/>
    <w:rsid w:val="003872EE"/>
    <w:rsid w:val="00387698"/>
    <w:rsid w:val="00391F3E"/>
    <w:rsid w:val="00393CF8"/>
    <w:rsid w:val="00394030"/>
    <w:rsid w:val="003947EB"/>
    <w:rsid w:val="003948D5"/>
    <w:rsid w:val="00395104"/>
    <w:rsid w:val="003963D4"/>
    <w:rsid w:val="00396821"/>
    <w:rsid w:val="00397D3A"/>
    <w:rsid w:val="003A051E"/>
    <w:rsid w:val="003A1C1E"/>
    <w:rsid w:val="003A2536"/>
    <w:rsid w:val="003A2FEE"/>
    <w:rsid w:val="003B0D55"/>
    <w:rsid w:val="003B1310"/>
    <w:rsid w:val="003B170F"/>
    <w:rsid w:val="003B17E8"/>
    <w:rsid w:val="003B3C5F"/>
    <w:rsid w:val="003B3E84"/>
    <w:rsid w:val="003B5E74"/>
    <w:rsid w:val="003C089D"/>
    <w:rsid w:val="003C4471"/>
    <w:rsid w:val="003C66B1"/>
    <w:rsid w:val="003C76E7"/>
    <w:rsid w:val="003D035A"/>
    <w:rsid w:val="003D0A6D"/>
    <w:rsid w:val="003D1C65"/>
    <w:rsid w:val="003D3581"/>
    <w:rsid w:val="003D4ECE"/>
    <w:rsid w:val="003D5B85"/>
    <w:rsid w:val="003D6178"/>
    <w:rsid w:val="003E0B16"/>
    <w:rsid w:val="003E0EA5"/>
    <w:rsid w:val="003E28AF"/>
    <w:rsid w:val="003E34B8"/>
    <w:rsid w:val="003E67D1"/>
    <w:rsid w:val="003E7360"/>
    <w:rsid w:val="003F224D"/>
    <w:rsid w:val="003F37B1"/>
    <w:rsid w:val="00405DC1"/>
    <w:rsid w:val="0040710D"/>
    <w:rsid w:val="00410E77"/>
    <w:rsid w:val="004111F8"/>
    <w:rsid w:val="0041139B"/>
    <w:rsid w:val="004137C3"/>
    <w:rsid w:val="00413D3A"/>
    <w:rsid w:val="00414521"/>
    <w:rsid w:val="00415F1F"/>
    <w:rsid w:val="00416E92"/>
    <w:rsid w:val="00417ABE"/>
    <w:rsid w:val="00417B0F"/>
    <w:rsid w:val="004209F9"/>
    <w:rsid w:val="00420D79"/>
    <w:rsid w:val="0042108F"/>
    <w:rsid w:val="00422242"/>
    <w:rsid w:val="00424D07"/>
    <w:rsid w:val="0042616E"/>
    <w:rsid w:val="00430AA9"/>
    <w:rsid w:val="00430FED"/>
    <w:rsid w:val="004314A2"/>
    <w:rsid w:val="00432179"/>
    <w:rsid w:val="00434292"/>
    <w:rsid w:val="00434A8C"/>
    <w:rsid w:val="00435583"/>
    <w:rsid w:val="00435A9E"/>
    <w:rsid w:val="00436884"/>
    <w:rsid w:val="00437297"/>
    <w:rsid w:val="004375A6"/>
    <w:rsid w:val="00441B58"/>
    <w:rsid w:val="00441C09"/>
    <w:rsid w:val="00442CFA"/>
    <w:rsid w:val="00443403"/>
    <w:rsid w:val="00444284"/>
    <w:rsid w:val="004451B0"/>
    <w:rsid w:val="00445CE6"/>
    <w:rsid w:val="0044611C"/>
    <w:rsid w:val="00447FE6"/>
    <w:rsid w:val="0045165B"/>
    <w:rsid w:val="00452801"/>
    <w:rsid w:val="004534C2"/>
    <w:rsid w:val="0045446F"/>
    <w:rsid w:val="00456753"/>
    <w:rsid w:val="0045683E"/>
    <w:rsid w:val="004571F0"/>
    <w:rsid w:val="00462A03"/>
    <w:rsid w:val="0046323E"/>
    <w:rsid w:val="0046720D"/>
    <w:rsid w:val="0047025B"/>
    <w:rsid w:val="0047249D"/>
    <w:rsid w:val="00473B3D"/>
    <w:rsid w:val="00474B8C"/>
    <w:rsid w:val="0048013A"/>
    <w:rsid w:val="004819E2"/>
    <w:rsid w:val="00491675"/>
    <w:rsid w:val="004926C7"/>
    <w:rsid w:val="00493855"/>
    <w:rsid w:val="00493D73"/>
    <w:rsid w:val="0049508F"/>
    <w:rsid w:val="004951A8"/>
    <w:rsid w:val="004A13F4"/>
    <w:rsid w:val="004A171E"/>
    <w:rsid w:val="004A1A5A"/>
    <w:rsid w:val="004A2B33"/>
    <w:rsid w:val="004A57DD"/>
    <w:rsid w:val="004A7B51"/>
    <w:rsid w:val="004A7D71"/>
    <w:rsid w:val="004A7EF3"/>
    <w:rsid w:val="004B11FD"/>
    <w:rsid w:val="004B23A2"/>
    <w:rsid w:val="004B3129"/>
    <w:rsid w:val="004B393E"/>
    <w:rsid w:val="004C0777"/>
    <w:rsid w:val="004C3CDC"/>
    <w:rsid w:val="004C4E97"/>
    <w:rsid w:val="004D0DD9"/>
    <w:rsid w:val="004D1A5A"/>
    <w:rsid w:val="004D2FFF"/>
    <w:rsid w:val="004D3721"/>
    <w:rsid w:val="004D6373"/>
    <w:rsid w:val="004D64F9"/>
    <w:rsid w:val="004D71F9"/>
    <w:rsid w:val="004E0549"/>
    <w:rsid w:val="004E1579"/>
    <w:rsid w:val="004E1674"/>
    <w:rsid w:val="004E29F9"/>
    <w:rsid w:val="004E2E92"/>
    <w:rsid w:val="004E2F19"/>
    <w:rsid w:val="004E30B0"/>
    <w:rsid w:val="004E31E8"/>
    <w:rsid w:val="004E433D"/>
    <w:rsid w:val="004E5AF8"/>
    <w:rsid w:val="004E622C"/>
    <w:rsid w:val="004F1F78"/>
    <w:rsid w:val="004F5FDF"/>
    <w:rsid w:val="0050157D"/>
    <w:rsid w:val="00506803"/>
    <w:rsid w:val="0050682B"/>
    <w:rsid w:val="00506C1C"/>
    <w:rsid w:val="00507AAC"/>
    <w:rsid w:val="00507BD4"/>
    <w:rsid w:val="00512475"/>
    <w:rsid w:val="00512FCF"/>
    <w:rsid w:val="005144F9"/>
    <w:rsid w:val="00514B91"/>
    <w:rsid w:val="00514F9B"/>
    <w:rsid w:val="005165F4"/>
    <w:rsid w:val="005177FE"/>
    <w:rsid w:val="0052263B"/>
    <w:rsid w:val="005234C8"/>
    <w:rsid w:val="00524728"/>
    <w:rsid w:val="00530003"/>
    <w:rsid w:val="005309D1"/>
    <w:rsid w:val="00530E88"/>
    <w:rsid w:val="005331CA"/>
    <w:rsid w:val="0053353F"/>
    <w:rsid w:val="00533739"/>
    <w:rsid w:val="0053774A"/>
    <w:rsid w:val="00537970"/>
    <w:rsid w:val="00540A47"/>
    <w:rsid w:val="00540B44"/>
    <w:rsid w:val="00540E3A"/>
    <w:rsid w:val="0054161D"/>
    <w:rsid w:val="00544127"/>
    <w:rsid w:val="00544273"/>
    <w:rsid w:val="005463A9"/>
    <w:rsid w:val="00547993"/>
    <w:rsid w:val="00553EB2"/>
    <w:rsid w:val="00554A16"/>
    <w:rsid w:val="00556777"/>
    <w:rsid w:val="0055688B"/>
    <w:rsid w:val="0055688E"/>
    <w:rsid w:val="0055773B"/>
    <w:rsid w:val="00557E08"/>
    <w:rsid w:val="00560534"/>
    <w:rsid w:val="0056391B"/>
    <w:rsid w:val="005650E2"/>
    <w:rsid w:val="00565292"/>
    <w:rsid w:val="0056535A"/>
    <w:rsid w:val="00565DEE"/>
    <w:rsid w:val="00567AD7"/>
    <w:rsid w:val="00567F31"/>
    <w:rsid w:val="00573153"/>
    <w:rsid w:val="00573E73"/>
    <w:rsid w:val="005755F8"/>
    <w:rsid w:val="00575B2D"/>
    <w:rsid w:val="00577EF9"/>
    <w:rsid w:val="005833D0"/>
    <w:rsid w:val="00583B1E"/>
    <w:rsid w:val="005846F3"/>
    <w:rsid w:val="0058622F"/>
    <w:rsid w:val="00587461"/>
    <w:rsid w:val="00590023"/>
    <w:rsid w:val="00592F82"/>
    <w:rsid w:val="00594CEC"/>
    <w:rsid w:val="00596580"/>
    <w:rsid w:val="005A0CCA"/>
    <w:rsid w:val="005A16E9"/>
    <w:rsid w:val="005A4E85"/>
    <w:rsid w:val="005A5C6B"/>
    <w:rsid w:val="005A726D"/>
    <w:rsid w:val="005B67AC"/>
    <w:rsid w:val="005B6C67"/>
    <w:rsid w:val="005C2C94"/>
    <w:rsid w:val="005C36BC"/>
    <w:rsid w:val="005C3A84"/>
    <w:rsid w:val="005C4865"/>
    <w:rsid w:val="005D2304"/>
    <w:rsid w:val="005D2C61"/>
    <w:rsid w:val="005D43E0"/>
    <w:rsid w:val="005D58A3"/>
    <w:rsid w:val="005D742F"/>
    <w:rsid w:val="005D7891"/>
    <w:rsid w:val="005E15BE"/>
    <w:rsid w:val="005E1B79"/>
    <w:rsid w:val="005E287F"/>
    <w:rsid w:val="005E2C9E"/>
    <w:rsid w:val="005E5C28"/>
    <w:rsid w:val="005F026D"/>
    <w:rsid w:val="005F21F4"/>
    <w:rsid w:val="005F2D0B"/>
    <w:rsid w:val="005F4B31"/>
    <w:rsid w:val="00600302"/>
    <w:rsid w:val="00605AD8"/>
    <w:rsid w:val="00606020"/>
    <w:rsid w:val="0060683D"/>
    <w:rsid w:val="00607040"/>
    <w:rsid w:val="00607E54"/>
    <w:rsid w:val="00610388"/>
    <w:rsid w:val="0061093D"/>
    <w:rsid w:val="006112A4"/>
    <w:rsid w:val="00612CA5"/>
    <w:rsid w:val="006130C8"/>
    <w:rsid w:val="00615238"/>
    <w:rsid w:val="006153EC"/>
    <w:rsid w:val="0061623F"/>
    <w:rsid w:val="00620E53"/>
    <w:rsid w:val="00621A17"/>
    <w:rsid w:val="00622586"/>
    <w:rsid w:val="00622C2B"/>
    <w:rsid w:val="00622CFB"/>
    <w:rsid w:val="00622D8F"/>
    <w:rsid w:val="00622DCB"/>
    <w:rsid w:val="00626DFF"/>
    <w:rsid w:val="00626FAC"/>
    <w:rsid w:val="00627CC9"/>
    <w:rsid w:val="00627E7B"/>
    <w:rsid w:val="00630068"/>
    <w:rsid w:val="00630542"/>
    <w:rsid w:val="00632E44"/>
    <w:rsid w:val="00633C15"/>
    <w:rsid w:val="00634622"/>
    <w:rsid w:val="0063498D"/>
    <w:rsid w:val="00636081"/>
    <w:rsid w:val="00636808"/>
    <w:rsid w:val="00641002"/>
    <w:rsid w:val="00641515"/>
    <w:rsid w:val="00641A85"/>
    <w:rsid w:val="006420BA"/>
    <w:rsid w:val="006431B1"/>
    <w:rsid w:val="0064679B"/>
    <w:rsid w:val="00650AD0"/>
    <w:rsid w:val="00651AE3"/>
    <w:rsid w:val="00654C2F"/>
    <w:rsid w:val="00657087"/>
    <w:rsid w:val="006575CE"/>
    <w:rsid w:val="00660DDD"/>
    <w:rsid w:val="00661E01"/>
    <w:rsid w:val="0066252C"/>
    <w:rsid w:val="006661EF"/>
    <w:rsid w:val="00667FBB"/>
    <w:rsid w:val="006712A9"/>
    <w:rsid w:val="0067294B"/>
    <w:rsid w:val="00672D57"/>
    <w:rsid w:val="0067439C"/>
    <w:rsid w:val="00674696"/>
    <w:rsid w:val="0067644C"/>
    <w:rsid w:val="00676F94"/>
    <w:rsid w:val="00677736"/>
    <w:rsid w:val="0067785F"/>
    <w:rsid w:val="00677AEB"/>
    <w:rsid w:val="00680EF2"/>
    <w:rsid w:val="006839C2"/>
    <w:rsid w:val="00684775"/>
    <w:rsid w:val="00687A1D"/>
    <w:rsid w:val="00690C67"/>
    <w:rsid w:val="006910BC"/>
    <w:rsid w:val="00691479"/>
    <w:rsid w:val="006920CC"/>
    <w:rsid w:val="00692AB2"/>
    <w:rsid w:val="0069647C"/>
    <w:rsid w:val="006970E4"/>
    <w:rsid w:val="00697EA1"/>
    <w:rsid w:val="006A1850"/>
    <w:rsid w:val="006A2646"/>
    <w:rsid w:val="006A265C"/>
    <w:rsid w:val="006A3509"/>
    <w:rsid w:val="006A3DF0"/>
    <w:rsid w:val="006A5DF5"/>
    <w:rsid w:val="006A6530"/>
    <w:rsid w:val="006B358D"/>
    <w:rsid w:val="006B435A"/>
    <w:rsid w:val="006B4C64"/>
    <w:rsid w:val="006B4FFC"/>
    <w:rsid w:val="006C0E55"/>
    <w:rsid w:val="006C102D"/>
    <w:rsid w:val="006D0E6E"/>
    <w:rsid w:val="006D4321"/>
    <w:rsid w:val="006D6BD5"/>
    <w:rsid w:val="006E4319"/>
    <w:rsid w:val="006E481A"/>
    <w:rsid w:val="006E5298"/>
    <w:rsid w:val="006E5C9A"/>
    <w:rsid w:val="006F2CE3"/>
    <w:rsid w:val="006F734A"/>
    <w:rsid w:val="00700D83"/>
    <w:rsid w:val="00703819"/>
    <w:rsid w:val="00704852"/>
    <w:rsid w:val="00706297"/>
    <w:rsid w:val="00706AD5"/>
    <w:rsid w:val="007074E9"/>
    <w:rsid w:val="00707FC8"/>
    <w:rsid w:val="00712B57"/>
    <w:rsid w:val="00713DA4"/>
    <w:rsid w:val="00714BF1"/>
    <w:rsid w:val="00715088"/>
    <w:rsid w:val="007163A9"/>
    <w:rsid w:val="00720326"/>
    <w:rsid w:val="00720A4B"/>
    <w:rsid w:val="00720DE4"/>
    <w:rsid w:val="00721383"/>
    <w:rsid w:val="00721B1D"/>
    <w:rsid w:val="00724BE0"/>
    <w:rsid w:val="0072554C"/>
    <w:rsid w:val="00725911"/>
    <w:rsid w:val="00731CB0"/>
    <w:rsid w:val="00731DBD"/>
    <w:rsid w:val="00732397"/>
    <w:rsid w:val="007329A0"/>
    <w:rsid w:val="007333CC"/>
    <w:rsid w:val="00733522"/>
    <w:rsid w:val="0073399A"/>
    <w:rsid w:val="00736850"/>
    <w:rsid w:val="0074083A"/>
    <w:rsid w:val="00743A60"/>
    <w:rsid w:val="00745720"/>
    <w:rsid w:val="00745DAF"/>
    <w:rsid w:val="00751F66"/>
    <w:rsid w:val="0075334C"/>
    <w:rsid w:val="0075567B"/>
    <w:rsid w:val="00757D28"/>
    <w:rsid w:val="0076029F"/>
    <w:rsid w:val="007603F5"/>
    <w:rsid w:val="00764DB0"/>
    <w:rsid w:val="007657BE"/>
    <w:rsid w:val="00766F8A"/>
    <w:rsid w:val="0076764D"/>
    <w:rsid w:val="00767CF5"/>
    <w:rsid w:val="00772AF0"/>
    <w:rsid w:val="00773AE7"/>
    <w:rsid w:val="0077498C"/>
    <w:rsid w:val="00776CCA"/>
    <w:rsid w:val="00777183"/>
    <w:rsid w:val="007809F8"/>
    <w:rsid w:val="007819FB"/>
    <w:rsid w:val="00784128"/>
    <w:rsid w:val="00784B4B"/>
    <w:rsid w:val="00785496"/>
    <w:rsid w:val="007854ED"/>
    <w:rsid w:val="00786719"/>
    <w:rsid w:val="00791596"/>
    <w:rsid w:val="00791C64"/>
    <w:rsid w:val="00793173"/>
    <w:rsid w:val="007A1692"/>
    <w:rsid w:val="007A1A03"/>
    <w:rsid w:val="007A651D"/>
    <w:rsid w:val="007B3AC7"/>
    <w:rsid w:val="007B48F9"/>
    <w:rsid w:val="007B497A"/>
    <w:rsid w:val="007C1FCC"/>
    <w:rsid w:val="007C2245"/>
    <w:rsid w:val="007C32A8"/>
    <w:rsid w:val="007C3593"/>
    <w:rsid w:val="007C3FE5"/>
    <w:rsid w:val="007C6201"/>
    <w:rsid w:val="007C6988"/>
    <w:rsid w:val="007D1EB9"/>
    <w:rsid w:val="007D2613"/>
    <w:rsid w:val="007D28A1"/>
    <w:rsid w:val="007D4008"/>
    <w:rsid w:val="007D4312"/>
    <w:rsid w:val="007D45D5"/>
    <w:rsid w:val="007D7C92"/>
    <w:rsid w:val="007E1154"/>
    <w:rsid w:val="007E646A"/>
    <w:rsid w:val="007E6BA4"/>
    <w:rsid w:val="007E7545"/>
    <w:rsid w:val="007E7678"/>
    <w:rsid w:val="007E7AB3"/>
    <w:rsid w:val="007F41F8"/>
    <w:rsid w:val="007F5B92"/>
    <w:rsid w:val="007F60D0"/>
    <w:rsid w:val="007F76D1"/>
    <w:rsid w:val="00800369"/>
    <w:rsid w:val="00801651"/>
    <w:rsid w:val="0080454E"/>
    <w:rsid w:val="00804C32"/>
    <w:rsid w:val="00806302"/>
    <w:rsid w:val="00806827"/>
    <w:rsid w:val="00806ECB"/>
    <w:rsid w:val="00807119"/>
    <w:rsid w:val="008102E0"/>
    <w:rsid w:val="00812AFE"/>
    <w:rsid w:val="00816E06"/>
    <w:rsid w:val="00817D57"/>
    <w:rsid w:val="0082079E"/>
    <w:rsid w:val="00822764"/>
    <w:rsid w:val="008241C4"/>
    <w:rsid w:val="0082483F"/>
    <w:rsid w:val="008264CB"/>
    <w:rsid w:val="0082663E"/>
    <w:rsid w:val="008279C0"/>
    <w:rsid w:val="008310DF"/>
    <w:rsid w:val="00835FD1"/>
    <w:rsid w:val="00836F2D"/>
    <w:rsid w:val="00842114"/>
    <w:rsid w:val="0084683C"/>
    <w:rsid w:val="00847089"/>
    <w:rsid w:val="00847DB4"/>
    <w:rsid w:val="00850A28"/>
    <w:rsid w:val="008512FA"/>
    <w:rsid w:val="00853A74"/>
    <w:rsid w:val="00856CFF"/>
    <w:rsid w:val="00857763"/>
    <w:rsid w:val="00860396"/>
    <w:rsid w:val="00860B59"/>
    <w:rsid w:val="00860E61"/>
    <w:rsid w:val="00867A8F"/>
    <w:rsid w:val="00867FAF"/>
    <w:rsid w:val="008715CC"/>
    <w:rsid w:val="00871B54"/>
    <w:rsid w:val="008723F3"/>
    <w:rsid w:val="00872487"/>
    <w:rsid w:val="00872A7E"/>
    <w:rsid w:val="00873E37"/>
    <w:rsid w:val="00881711"/>
    <w:rsid w:val="00881DE6"/>
    <w:rsid w:val="00881ED5"/>
    <w:rsid w:val="008837A6"/>
    <w:rsid w:val="00884375"/>
    <w:rsid w:val="0088474C"/>
    <w:rsid w:val="0088516D"/>
    <w:rsid w:val="0089145D"/>
    <w:rsid w:val="00892DDC"/>
    <w:rsid w:val="00893A03"/>
    <w:rsid w:val="00895160"/>
    <w:rsid w:val="00895B8C"/>
    <w:rsid w:val="00896A75"/>
    <w:rsid w:val="00897BB9"/>
    <w:rsid w:val="008A0C6E"/>
    <w:rsid w:val="008A1486"/>
    <w:rsid w:val="008A2002"/>
    <w:rsid w:val="008A46CF"/>
    <w:rsid w:val="008A4DF2"/>
    <w:rsid w:val="008A6A31"/>
    <w:rsid w:val="008A6CFE"/>
    <w:rsid w:val="008A7470"/>
    <w:rsid w:val="008B0DEB"/>
    <w:rsid w:val="008B1A08"/>
    <w:rsid w:val="008B2DE3"/>
    <w:rsid w:val="008B3A55"/>
    <w:rsid w:val="008B5333"/>
    <w:rsid w:val="008B6223"/>
    <w:rsid w:val="008C1BB6"/>
    <w:rsid w:val="008C20EF"/>
    <w:rsid w:val="008C4A2E"/>
    <w:rsid w:val="008C56E2"/>
    <w:rsid w:val="008C66E0"/>
    <w:rsid w:val="008D5C9C"/>
    <w:rsid w:val="008D6FB4"/>
    <w:rsid w:val="008E00C6"/>
    <w:rsid w:val="008E1127"/>
    <w:rsid w:val="008E18C0"/>
    <w:rsid w:val="008E260B"/>
    <w:rsid w:val="008E2D77"/>
    <w:rsid w:val="008E2DFA"/>
    <w:rsid w:val="008E3339"/>
    <w:rsid w:val="008E549B"/>
    <w:rsid w:val="008E5F76"/>
    <w:rsid w:val="008F18EF"/>
    <w:rsid w:val="008F20FC"/>
    <w:rsid w:val="008F2B24"/>
    <w:rsid w:val="008F4665"/>
    <w:rsid w:val="008F5B50"/>
    <w:rsid w:val="008F5FFE"/>
    <w:rsid w:val="008F699F"/>
    <w:rsid w:val="008F7969"/>
    <w:rsid w:val="0090073D"/>
    <w:rsid w:val="009012DB"/>
    <w:rsid w:val="0090421A"/>
    <w:rsid w:val="00904CBC"/>
    <w:rsid w:val="00905A43"/>
    <w:rsid w:val="00907DC2"/>
    <w:rsid w:val="009106FE"/>
    <w:rsid w:val="00912C79"/>
    <w:rsid w:val="0091342F"/>
    <w:rsid w:val="0091409C"/>
    <w:rsid w:val="0092185D"/>
    <w:rsid w:val="0092479D"/>
    <w:rsid w:val="00925B2D"/>
    <w:rsid w:val="00925DA5"/>
    <w:rsid w:val="009260A2"/>
    <w:rsid w:val="00930F49"/>
    <w:rsid w:val="0093122B"/>
    <w:rsid w:val="0093287E"/>
    <w:rsid w:val="00933B93"/>
    <w:rsid w:val="009344C1"/>
    <w:rsid w:val="00934E76"/>
    <w:rsid w:val="009350F0"/>
    <w:rsid w:val="009370D2"/>
    <w:rsid w:val="00937B2F"/>
    <w:rsid w:val="00940391"/>
    <w:rsid w:val="00942123"/>
    <w:rsid w:val="00944809"/>
    <w:rsid w:val="00945D5E"/>
    <w:rsid w:val="00946D8F"/>
    <w:rsid w:val="00947650"/>
    <w:rsid w:val="00947862"/>
    <w:rsid w:val="00950BFD"/>
    <w:rsid w:val="00951031"/>
    <w:rsid w:val="0095207B"/>
    <w:rsid w:val="00954461"/>
    <w:rsid w:val="00956085"/>
    <w:rsid w:val="00957951"/>
    <w:rsid w:val="009604E9"/>
    <w:rsid w:val="00961050"/>
    <w:rsid w:val="009617B3"/>
    <w:rsid w:val="00962045"/>
    <w:rsid w:val="00963996"/>
    <w:rsid w:val="00967EDA"/>
    <w:rsid w:val="00970897"/>
    <w:rsid w:val="0097337E"/>
    <w:rsid w:val="009745D0"/>
    <w:rsid w:val="00980314"/>
    <w:rsid w:val="00980483"/>
    <w:rsid w:val="009816D0"/>
    <w:rsid w:val="00982EFB"/>
    <w:rsid w:val="00983264"/>
    <w:rsid w:val="0098636E"/>
    <w:rsid w:val="00987568"/>
    <w:rsid w:val="00991428"/>
    <w:rsid w:val="0099237D"/>
    <w:rsid w:val="00992676"/>
    <w:rsid w:val="00994D6E"/>
    <w:rsid w:val="00996691"/>
    <w:rsid w:val="00997063"/>
    <w:rsid w:val="009978DE"/>
    <w:rsid w:val="009A0CA7"/>
    <w:rsid w:val="009A11E8"/>
    <w:rsid w:val="009A4880"/>
    <w:rsid w:val="009A58D1"/>
    <w:rsid w:val="009A5B82"/>
    <w:rsid w:val="009A7865"/>
    <w:rsid w:val="009B0723"/>
    <w:rsid w:val="009B07AD"/>
    <w:rsid w:val="009B0883"/>
    <w:rsid w:val="009B0C78"/>
    <w:rsid w:val="009B15E2"/>
    <w:rsid w:val="009B44F5"/>
    <w:rsid w:val="009B5832"/>
    <w:rsid w:val="009B6312"/>
    <w:rsid w:val="009B640D"/>
    <w:rsid w:val="009B64F6"/>
    <w:rsid w:val="009C0850"/>
    <w:rsid w:val="009C0B8E"/>
    <w:rsid w:val="009C1BC8"/>
    <w:rsid w:val="009C2442"/>
    <w:rsid w:val="009C25CA"/>
    <w:rsid w:val="009C68C3"/>
    <w:rsid w:val="009C7B91"/>
    <w:rsid w:val="009D0811"/>
    <w:rsid w:val="009D0CB4"/>
    <w:rsid w:val="009D0EE1"/>
    <w:rsid w:val="009D30BB"/>
    <w:rsid w:val="009D6EBA"/>
    <w:rsid w:val="009E2AEB"/>
    <w:rsid w:val="009E2E27"/>
    <w:rsid w:val="009E3CA7"/>
    <w:rsid w:val="009E4DE3"/>
    <w:rsid w:val="009E660F"/>
    <w:rsid w:val="009F07E0"/>
    <w:rsid w:val="00A02DFA"/>
    <w:rsid w:val="00A03568"/>
    <w:rsid w:val="00A047EE"/>
    <w:rsid w:val="00A114EA"/>
    <w:rsid w:val="00A12A9E"/>
    <w:rsid w:val="00A13BFA"/>
    <w:rsid w:val="00A140A1"/>
    <w:rsid w:val="00A153F7"/>
    <w:rsid w:val="00A174F7"/>
    <w:rsid w:val="00A20365"/>
    <w:rsid w:val="00A20D77"/>
    <w:rsid w:val="00A2274A"/>
    <w:rsid w:val="00A235B7"/>
    <w:rsid w:val="00A2385F"/>
    <w:rsid w:val="00A24571"/>
    <w:rsid w:val="00A26194"/>
    <w:rsid w:val="00A26788"/>
    <w:rsid w:val="00A26C27"/>
    <w:rsid w:val="00A27A7A"/>
    <w:rsid w:val="00A30707"/>
    <w:rsid w:val="00A327E6"/>
    <w:rsid w:val="00A329A0"/>
    <w:rsid w:val="00A332B6"/>
    <w:rsid w:val="00A34633"/>
    <w:rsid w:val="00A351B2"/>
    <w:rsid w:val="00A407EF"/>
    <w:rsid w:val="00A41EC4"/>
    <w:rsid w:val="00A46488"/>
    <w:rsid w:val="00A46B4C"/>
    <w:rsid w:val="00A506B8"/>
    <w:rsid w:val="00A5117B"/>
    <w:rsid w:val="00A54000"/>
    <w:rsid w:val="00A54689"/>
    <w:rsid w:val="00A60074"/>
    <w:rsid w:val="00A643B3"/>
    <w:rsid w:val="00A65826"/>
    <w:rsid w:val="00A6627C"/>
    <w:rsid w:val="00A6649C"/>
    <w:rsid w:val="00A70762"/>
    <w:rsid w:val="00A70BBC"/>
    <w:rsid w:val="00A70EC7"/>
    <w:rsid w:val="00A71019"/>
    <w:rsid w:val="00A73550"/>
    <w:rsid w:val="00A77F81"/>
    <w:rsid w:val="00A80CA1"/>
    <w:rsid w:val="00A81029"/>
    <w:rsid w:val="00A83CB5"/>
    <w:rsid w:val="00A83E49"/>
    <w:rsid w:val="00A865A7"/>
    <w:rsid w:val="00A871A5"/>
    <w:rsid w:val="00A90F6D"/>
    <w:rsid w:val="00A912A2"/>
    <w:rsid w:val="00A91C7E"/>
    <w:rsid w:val="00A92196"/>
    <w:rsid w:val="00A939C1"/>
    <w:rsid w:val="00A94892"/>
    <w:rsid w:val="00A958B4"/>
    <w:rsid w:val="00A96489"/>
    <w:rsid w:val="00A971BD"/>
    <w:rsid w:val="00A97928"/>
    <w:rsid w:val="00AA03A3"/>
    <w:rsid w:val="00AA2196"/>
    <w:rsid w:val="00AA3A42"/>
    <w:rsid w:val="00AA5311"/>
    <w:rsid w:val="00AA5E9F"/>
    <w:rsid w:val="00AA68B8"/>
    <w:rsid w:val="00AA7ADC"/>
    <w:rsid w:val="00AA7BAA"/>
    <w:rsid w:val="00AB0676"/>
    <w:rsid w:val="00AB28E9"/>
    <w:rsid w:val="00AB685C"/>
    <w:rsid w:val="00AB6C2D"/>
    <w:rsid w:val="00AC06F5"/>
    <w:rsid w:val="00AC08F7"/>
    <w:rsid w:val="00AC1AE7"/>
    <w:rsid w:val="00AC1D0D"/>
    <w:rsid w:val="00AC262C"/>
    <w:rsid w:val="00AC3839"/>
    <w:rsid w:val="00AC3E56"/>
    <w:rsid w:val="00AC4225"/>
    <w:rsid w:val="00AC4231"/>
    <w:rsid w:val="00AC63F9"/>
    <w:rsid w:val="00AC7082"/>
    <w:rsid w:val="00AD0E59"/>
    <w:rsid w:val="00AD190F"/>
    <w:rsid w:val="00AD233E"/>
    <w:rsid w:val="00AD3FEA"/>
    <w:rsid w:val="00AD5BEA"/>
    <w:rsid w:val="00AD7BBD"/>
    <w:rsid w:val="00AE2119"/>
    <w:rsid w:val="00AE33D5"/>
    <w:rsid w:val="00AE78C0"/>
    <w:rsid w:val="00AF228E"/>
    <w:rsid w:val="00AF302B"/>
    <w:rsid w:val="00AF5A97"/>
    <w:rsid w:val="00B00DD3"/>
    <w:rsid w:val="00B04137"/>
    <w:rsid w:val="00B045D8"/>
    <w:rsid w:val="00B1112C"/>
    <w:rsid w:val="00B11D19"/>
    <w:rsid w:val="00B12936"/>
    <w:rsid w:val="00B12C2D"/>
    <w:rsid w:val="00B14819"/>
    <w:rsid w:val="00B14F20"/>
    <w:rsid w:val="00B15031"/>
    <w:rsid w:val="00B175AA"/>
    <w:rsid w:val="00B17AA9"/>
    <w:rsid w:val="00B17C93"/>
    <w:rsid w:val="00B20CE1"/>
    <w:rsid w:val="00B23E36"/>
    <w:rsid w:val="00B263D0"/>
    <w:rsid w:val="00B32DE4"/>
    <w:rsid w:val="00B33578"/>
    <w:rsid w:val="00B35B1D"/>
    <w:rsid w:val="00B36A5B"/>
    <w:rsid w:val="00B370C3"/>
    <w:rsid w:val="00B411AE"/>
    <w:rsid w:val="00B413F5"/>
    <w:rsid w:val="00B449D9"/>
    <w:rsid w:val="00B457BF"/>
    <w:rsid w:val="00B46CE2"/>
    <w:rsid w:val="00B51140"/>
    <w:rsid w:val="00B52320"/>
    <w:rsid w:val="00B574FC"/>
    <w:rsid w:val="00B60190"/>
    <w:rsid w:val="00B61419"/>
    <w:rsid w:val="00B62673"/>
    <w:rsid w:val="00B6333D"/>
    <w:rsid w:val="00B64561"/>
    <w:rsid w:val="00B661DE"/>
    <w:rsid w:val="00B661E2"/>
    <w:rsid w:val="00B66441"/>
    <w:rsid w:val="00B67F38"/>
    <w:rsid w:val="00B72F5F"/>
    <w:rsid w:val="00B736DF"/>
    <w:rsid w:val="00B74FBD"/>
    <w:rsid w:val="00B75F23"/>
    <w:rsid w:val="00B76464"/>
    <w:rsid w:val="00B77248"/>
    <w:rsid w:val="00B77352"/>
    <w:rsid w:val="00B82586"/>
    <w:rsid w:val="00B829A3"/>
    <w:rsid w:val="00B83F7C"/>
    <w:rsid w:val="00B86DB1"/>
    <w:rsid w:val="00B87869"/>
    <w:rsid w:val="00B953BD"/>
    <w:rsid w:val="00BA0E44"/>
    <w:rsid w:val="00BA14A9"/>
    <w:rsid w:val="00BA47C5"/>
    <w:rsid w:val="00BA63DF"/>
    <w:rsid w:val="00BB0F2B"/>
    <w:rsid w:val="00BB20C7"/>
    <w:rsid w:val="00BB307C"/>
    <w:rsid w:val="00BB7D17"/>
    <w:rsid w:val="00BC459C"/>
    <w:rsid w:val="00BC551F"/>
    <w:rsid w:val="00BC70F7"/>
    <w:rsid w:val="00BD0D57"/>
    <w:rsid w:val="00BD0EA4"/>
    <w:rsid w:val="00BD3A58"/>
    <w:rsid w:val="00BD45FA"/>
    <w:rsid w:val="00BE1A50"/>
    <w:rsid w:val="00BE1DFB"/>
    <w:rsid w:val="00BE4051"/>
    <w:rsid w:val="00BE4E42"/>
    <w:rsid w:val="00BE753E"/>
    <w:rsid w:val="00BF1C45"/>
    <w:rsid w:val="00BF50F7"/>
    <w:rsid w:val="00C00111"/>
    <w:rsid w:val="00C00415"/>
    <w:rsid w:val="00C02F29"/>
    <w:rsid w:val="00C10C13"/>
    <w:rsid w:val="00C12193"/>
    <w:rsid w:val="00C17111"/>
    <w:rsid w:val="00C20747"/>
    <w:rsid w:val="00C20AFE"/>
    <w:rsid w:val="00C22A25"/>
    <w:rsid w:val="00C23B79"/>
    <w:rsid w:val="00C24879"/>
    <w:rsid w:val="00C2609F"/>
    <w:rsid w:val="00C31BD4"/>
    <w:rsid w:val="00C33D50"/>
    <w:rsid w:val="00C3411D"/>
    <w:rsid w:val="00C35671"/>
    <w:rsid w:val="00C35B77"/>
    <w:rsid w:val="00C370D3"/>
    <w:rsid w:val="00C376EB"/>
    <w:rsid w:val="00C4003A"/>
    <w:rsid w:val="00C408F7"/>
    <w:rsid w:val="00C4187C"/>
    <w:rsid w:val="00C42976"/>
    <w:rsid w:val="00C440B9"/>
    <w:rsid w:val="00C4510C"/>
    <w:rsid w:val="00C4549B"/>
    <w:rsid w:val="00C46777"/>
    <w:rsid w:val="00C46EC1"/>
    <w:rsid w:val="00C47511"/>
    <w:rsid w:val="00C504E5"/>
    <w:rsid w:val="00C50547"/>
    <w:rsid w:val="00C53CDA"/>
    <w:rsid w:val="00C53E2C"/>
    <w:rsid w:val="00C550C8"/>
    <w:rsid w:val="00C56B61"/>
    <w:rsid w:val="00C606C3"/>
    <w:rsid w:val="00C6136B"/>
    <w:rsid w:val="00C620F4"/>
    <w:rsid w:val="00C6284C"/>
    <w:rsid w:val="00C629FB"/>
    <w:rsid w:val="00C62D45"/>
    <w:rsid w:val="00C64F2E"/>
    <w:rsid w:val="00C65521"/>
    <w:rsid w:val="00C65CFB"/>
    <w:rsid w:val="00C668B6"/>
    <w:rsid w:val="00C6790E"/>
    <w:rsid w:val="00C67ECE"/>
    <w:rsid w:val="00C711F7"/>
    <w:rsid w:val="00C7161B"/>
    <w:rsid w:val="00C71D1E"/>
    <w:rsid w:val="00C72848"/>
    <w:rsid w:val="00C7286E"/>
    <w:rsid w:val="00C74F54"/>
    <w:rsid w:val="00C758B6"/>
    <w:rsid w:val="00C7736C"/>
    <w:rsid w:val="00C82D87"/>
    <w:rsid w:val="00C83EE4"/>
    <w:rsid w:val="00C841ED"/>
    <w:rsid w:val="00C85F17"/>
    <w:rsid w:val="00C8712A"/>
    <w:rsid w:val="00C871D8"/>
    <w:rsid w:val="00C91324"/>
    <w:rsid w:val="00C914F7"/>
    <w:rsid w:val="00C95D30"/>
    <w:rsid w:val="00C963D3"/>
    <w:rsid w:val="00CA6E0D"/>
    <w:rsid w:val="00CB0652"/>
    <w:rsid w:val="00CB2CBB"/>
    <w:rsid w:val="00CB4B9E"/>
    <w:rsid w:val="00CB537B"/>
    <w:rsid w:val="00CB56CE"/>
    <w:rsid w:val="00CB71B6"/>
    <w:rsid w:val="00CB7CAC"/>
    <w:rsid w:val="00CC0EA0"/>
    <w:rsid w:val="00CC3500"/>
    <w:rsid w:val="00CC5335"/>
    <w:rsid w:val="00CC5BA4"/>
    <w:rsid w:val="00CC608F"/>
    <w:rsid w:val="00CC70BB"/>
    <w:rsid w:val="00CC7780"/>
    <w:rsid w:val="00CD3420"/>
    <w:rsid w:val="00CD40F6"/>
    <w:rsid w:val="00CD43EC"/>
    <w:rsid w:val="00CD4998"/>
    <w:rsid w:val="00CE00F4"/>
    <w:rsid w:val="00CE1035"/>
    <w:rsid w:val="00CE1266"/>
    <w:rsid w:val="00CE2A6A"/>
    <w:rsid w:val="00CE31E8"/>
    <w:rsid w:val="00CF0B23"/>
    <w:rsid w:val="00CF2819"/>
    <w:rsid w:val="00CF2B3D"/>
    <w:rsid w:val="00CF4F9D"/>
    <w:rsid w:val="00CF571C"/>
    <w:rsid w:val="00CF70DC"/>
    <w:rsid w:val="00D012BF"/>
    <w:rsid w:val="00D01F6D"/>
    <w:rsid w:val="00D02271"/>
    <w:rsid w:val="00D12AD3"/>
    <w:rsid w:val="00D139F4"/>
    <w:rsid w:val="00D148DC"/>
    <w:rsid w:val="00D15C86"/>
    <w:rsid w:val="00D169F3"/>
    <w:rsid w:val="00D179FF"/>
    <w:rsid w:val="00D17FDC"/>
    <w:rsid w:val="00D2775B"/>
    <w:rsid w:val="00D32495"/>
    <w:rsid w:val="00D42A5A"/>
    <w:rsid w:val="00D42CBC"/>
    <w:rsid w:val="00D444C5"/>
    <w:rsid w:val="00D45AEA"/>
    <w:rsid w:val="00D47831"/>
    <w:rsid w:val="00D51504"/>
    <w:rsid w:val="00D5244F"/>
    <w:rsid w:val="00D52E4F"/>
    <w:rsid w:val="00D52FAF"/>
    <w:rsid w:val="00D533E9"/>
    <w:rsid w:val="00D53D32"/>
    <w:rsid w:val="00D56A37"/>
    <w:rsid w:val="00D56FF7"/>
    <w:rsid w:val="00D57202"/>
    <w:rsid w:val="00D61506"/>
    <w:rsid w:val="00D6386E"/>
    <w:rsid w:val="00D63EFD"/>
    <w:rsid w:val="00D64826"/>
    <w:rsid w:val="00D64AA7"/>
    <w:rsid w:val="00D66937"/>
    <w:rsid w:val="00D674E8"/>
    <w:rsid w:val="00D676B6"/>
    <w:rsid w:val="00D7080A"/>
    <w:rsid w:val="00D71C36"/>
    <w:rsid w:val="00D72A97"/>
    <w:rsid w:val="00D770D0"/>
    <w:rsid w:val="00D77173"/>
    <w:rsid w:val="00D801CF"/>
    <w:rsid w:val="00D80DF2"/>
    <w:rsid w:val="00D84150"/>
    <w:rsid w:val="00D84752"/>
    <w:rsid w:val="00D85758"/>
    <w:rsid w:val="00D85AB0"/>
    <w:rsid w:val="00D86A12"/>
    <w:rsid w:val="00D86B3B"/>
    <w:rsid w:val="00D8748A"/>
    <w:rsid w:val="00D9220D"/>
    <w:rsid w:val="00D93196"/>
    <w:rsid w:val="00D935DE"/>
    <w:rsid w:val="00D94A4D"/>
    <w:rsid w:val="00D96648"/>
    <w:rsid w:val="00D9729A"/>
    <w:rsid w:val="00D97A93"/>
    <w:rsid w:val="00DA1083"/>
    <w:rsid w:val="00DA21DC"/>
    <w:rsid w:val="00DA26C8"/>
    <w:rsid w:val="00DA2C6E"/>
    <w:rsid w:val="00DA2F35"/>
    <w:rsid w:val="00DA3C99"/>
    <w:rsid w:val="00DA6FCF"/>
    <w:rsid w:val="00DB0A75"/>
    <w:rsid w:val="00DB243C"/>
    <w:rsid w:val="00DB403B"/>
    <w:rsid w:val="00DB45DD"/>
    <w:rsid w:val="00DB482A"/>
    <w:rsid w:val="00DB56F2"/>
    <w:rsid w:val="00DB6EF5"/>
    <w:rsid w:val="00DC3089"/>
    <w:rsid w:val="00DC4420"/>
    <w:rsid w:val="00DD0802"/>
    <w:rsid w:val="00DD0A50"/>
    <w:rsid w:val="00DD2E11"/>
    <w:rsid w:val="00DD4A11"/>
    <w:rsid w:val="00DD604E"/>
    <w:rsid w:val="00DE03AF"/>
    <w:rsid w:val="00DE121C"/>
    <w:rsid w:val="00DE1778"/>
    <w:rsid w:val="00DE2A27"/>
    <w:rsid w:val="00DE3705"/>
    <w:rsid w:val="00DE3F8A"/>
    <w:rsid w:val="00DE6633"/>
    <w:rsid w:val="00DF06F0"/>
    <w:rsid w:val="00DF2708"/>
    <w:rsid w:val="00DF27EE"/>
    <w:rsid w:val="00DF75F8"/>
    <w:rsid w:val="00DF7A3A"/>
    <w:rsid w:val="00E000AC"/>
    <w:rsid w:val="00E00C00"/>
    <w:rsid w:val="00E01F3F"/>
    <w:rsid w:val="00E04022"/>
    <w:rsid w:val="00E04A7C"/>
    <w:rsid w:val="00E05018"/>
    <w:rsid w:val="00E050A5"/>
    <w:rsid w:val="00E059FB"/>
    <w:rsid w:val="00E06410"/>
    <w:rsid w:val="00E069C4"/>
    <w:rsid w:val="00E06B0B"/>
    <w:rsid w:val="00E07275"/>
    <w:rsid w:val="00E07866"/>
    <w:rsid w:val="00E07C5A"/>
    <w:rsid w:val="00E15B07"/>
    <w:rsid w:val="00E15BA9"/>
    <w:rsid w:val="00E25B22"/>
    <w:rsid w:val="00E2622D"/>
    <w:rsid w:val="00E26605"/>
    <w:rsid w:val="00E26B1D"/>
    <w:rsid w:val="00E26E19"/>
    <w:rsid w:val="00E27C6B"/>
    <w:rsid w:val="00E27E3C"/>
    <w:rsid w:val="00E31DF3"/>
    <w:rsid w:val="00E324A8"/>
    <w:rsid w:val="00E32814"/>
    <w:rsid w:val="00E33448"/>
    <w:rsid w:val="00E33486"/>
    <w:rsid w:val="00E34181"/>
    <w:rsid w:val="00E34EF2"/>
    <w:rsid w:val="00E354D8"/>
    <w:rsid w:val="00E35C83"/>
    <w:rsid w:val="00E35D85"/>
    <w:rsid w:val="00E373E2"/>
    <w:rsid w:val="00E43729"/>
    <w:rsid w:val="00E43A0E"/>
    <w:rsid w:val="00E450A4"/>
    <w:rsid w:val="00E46CBA"/>
    <w:rsid w:val="00E506BE"/>
    <w:rsid w:val="00E53141"/>
    <w:rsid w:val="00E55547"/>
    <w:rsid w:val="00E57410"/>
    <w:rsid w:val="00E61C42"/>
    <w:rsid w:val="00E6302B"/>
    <w:rsid w:val="00E63F4A"/>
    <w:rsid w:val="00E63F81"/>
    <w:rsid w:val="00E6452F"/>
    <w:rsid w:val="00E64619"/>
    <w:rsid w:val="00E64F45"/>
    <w:rsid w:val="00E6742D"/>
    <w:rsid w:val="00E71CB0"/>
    <w:rsid w:val="00E73529"/>
    <w:rsid w:val="00E75B4F"/>
    <w:rsid w:val="00E77C3D"/>
    <w:rsid w:val="00E81BBF"/>
    <w:rsid w:val="00E82E22"/>
    <w:rsid w:val="00E83AFC"/>
    <w:rsid w:val="00E850FE"/>
    <w:rsid w:val="00E8665D"/>
    <w:rsid w:val="00E872CE"/>
    <w:rsid w:val="00E909F0"/>
    <w:rsid w:val="00E90D47"/>
    <w:rsid w:val="00E91837"/>
    <w:rsid w:val="00E926EA"/>
    <w:rsid w:val="00E9341A"/>
    <w:rsid w:val="00E93993"/>
    <w:rsid w:val="00E945C5"/>
    <w:rsid w:val="00E94DBD"/>
    <w:rsid w:val="00E9597C"/>
    <w:rsid w:val="00E96997"/>
    <w:rsid w:val="00E96C1C"/>
    <w:rsid w:val="00EA0913"/>
    <w:rsid w:val="00EA0A2F"/>
    <w:rsid w:val="00EA6D31"/>
    <w:rsid w:val="00EA71EA"/>
    <w:rsid w:val="00EB146B"/>
    <w:rsid w:val="00EB166F"/>
    <w:rsid w:val="00EB45AC"/>
    <w:rsid w:val="00EC19BC"/>
    <w:rsid w:val="00EC2AEA"/>
    <w:rsid w:val="00EC7903"/>
    <w:rsid w:val="00EC7B11"/>
    <w:rsid w:val="00EC7F95"/>
    <w:rsid w:val="00ED0BC4"/>
    <w:rsid w:val="00ED0D9D"/>
    <w:rsid w:val="00ED256F"/>
    <w:rsid w:val="00ED3771"/>
    <w:rsid w:val="00ED4AB7"/>
    <w:rsid w:val="00ED6A32"/>
    <w:rsid w:val="00EE3172"/>
    <w:rsid w:val="00EE4971"/>
    <w:rsid w:val="00EF0210"/>
    <w:rsid w:val="00EF090E"/>
    <w:rsid w:val="00EF30B7"/>
    <w:rsid w:val="00EF4108"/>
    <w:rsid w:val="00EF5506"/>
    <w:rsid w:val="00EF5D06"/>
    <w:rsid w:val="00EF6B59"/>
    <w:rsid w:val="00F014EC"/>
    <w:rsid w:val="00F0193F"/>
    <w:rsid w:val="00F033DA"/>
    <w:rsid w:val="00F0555E"/>
    <w:rsid w:val="00F059A8"/>
    <w:rsid w:val="00F11AAB"/>
    <w:rsid w:val="00F1374D"/>
    <w:rsid w:val="00F13E1C"/>
    <w:rsid w:val="00F13FB1"/>
    <w:rsid w:val="00F141A1"/>
    <w:rsid w:val="00F15C9C"/>
    <w:rsid w:val="00F17BC1"/>
    <w:rsid w:val="00F17C87"/>
    <w:rsid w:val="00F20272"/>
    <w:rsid w:val="00F223E7"/>
    <w:rsid w:val="00F2288D"/>
    <w:rsid w:val="00F25779"/>
    <w:rsid w:val="00F259B9"/>
    <w:rsid w:val="00F26E63"/>
    <w:rsid w:val="00F2750A"/>
    <w:rsid w:val="00F27CD8"/>
    <w:rsid w:val="00F30351"/>
    <w:rsid w:val="00F31EE9"/>
    <w:rsid w:val="00F3323E"/>
    <w:rsid w:val="00F341F4"/>
    <w:rsid w:val="00F34F9D"/>
    <w:rsid w:val="00F35646"/>
    <w:rsid w:val="00F35CCE"/>
    <w:rsid w:val="00F35DC4"/>
    <w:rsid w:val="00F50203"/>
    <w:rsid w:val="00F5053D"/>
    <w:rsid w:val="00F50BA9"/>
    <w:rsid w:val="00F519C8"/>
    <w:rsid w:val="00F51EE5"/>
    <w:rsid w:val="00F51EF2"/>
    <w:rsid w:val="00F55241"/>
    <w:rsid w:val="00F5524B"/>
    <w:rsid w:val="00F5536A"/>
    <w:rsid w:val="00F60538"/>
    <w:rsid w:val="00F616D1"/>
    <w:rsid w:val="00F61DD2"/>
    <w:rsid w:val="00F633F8"/>
    <w:rsid w:val="00F6368B"/>
    <w:rsid w:val="00F63810"/>
    <w:rsid w:val="00F64C01"/>
    <w:rsid w:val="00F6523A"/>
    <w:rsid w:val="00F66AFF"/>
    <w:rsid w:val="00F70083"/>
    <w:rsid w:val="00F70C30"/>
    <w:rsid w:val="00F71433"/>
    <w:rsid w:val="00F7241A"/>
    <w:rsid w:val="00F83E76"/>
    <w:rsid w:val="00F87BEA"/>
    <w:rsid w:val="00F90437"/>
    <w:rsid w:val="00F90A57"/>
    <w:rsid w:val="00F93895"/>
    <w:rsid w:val="00F9509E"/>
    <w:rsid w:val="00F968D8"/>
    <w:rsid w:val="00F97C5B"/>
    <w:rsid w:val="00FA05D2"/>
    <w:rsid w:val="00FA0953"/>
    <w:rsid w:val="00FA359A"/>
    <w:rsid w:val="00FA3D50"/>
    <w:rsid w:val="00FA4B5D"/>
    <w:rsid w:val="00FA75D9"/>
    <w:rsid w:val="00FB009F"/>
    <w:rsid w:val="00FB00FE"/>
    <w:rsid w:val="00FB25B0"/>
    <w:rsid w:val="00FB2FA8"/>
    <w:rsid w:val="00FB4973"/>
    <w:rsid w:val="00FB6136"/>
    <w:rsid w:val="00FB7813"/>
    <w:rsid w:val="00FB7C31"/>
    <w:rsid w:val="00FC374A"/>
    <w:rsid w:val="00FC377C"/>
    <w:rsid w:val="00FC53D5"/>
    <w:rsid w:val="00FC55EF"/>
    <w:rsid w:val="00FC5742"/>
    <w:rsid w:val="00FC733E"/>
    <w:rsid w:val="00FC7B47"/>
    <w:rsid w:val="00FD0203"/>
    <w:rsid w:val="00FD035C"/>
    <w:rsid w:val="00FD1A35"/>
    <w:rsid w:val="00FD1FE6"/>
    <w:rsid w:val="00FD36C5"/>
    <w:rsid w:val="00FD428C"/>
    <w:rsid w:val="00FD50F7"/>
    <w:rsid w:val="00FD5984"/>
    <w:rsid w:val="00FD6310"/>
    <w:rsid w:val="00FD7C7B"/>
    <w:rsid w:val="00FD7FD0"/>
    <w:rsid w:val="00FE01F8"/>
    <w:rsid w:val="00FE1A63"/>
    <w:rsid w:val="00FE1D12"/>
    <w:rsid w:val="00FE2122"/>
    <w:rsid w:val="00FE2A86"/>
    <w:rsid w:val="00FE2A98"/>
    <w:rsid w:val="00FE52C8"/>
    <w:rsid w:val="00FE546F"/>
    <w:rsid w:val="00FF296F"/>
    <w:rsid w:val="00FF36A4"/>
    <w:rsid w:val="00FF4353"/>
    <w:rsid w:val="00FF463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661751-8B1B-4B0D-B363-6F2124F4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rie.Lawrenson@ins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4483</Words>
  <Characters>25558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CharactersWithSpaces>
  <SharedDoc>false</SharedDoc>
  <HLinks>
    <vt:vector size="6" baseType="variant">
      <vt:variant>
        <vt:i4>3604550</vt:i4>
      </vt:variant>
      <vt:variant>
        <vt:i4>0</vt:i4>
      </vt:variant>
      <vt:variant>
        <vt:i4>0</vt:i4>
      </vt:variant>
      <vt:variant>
        <vt:i4>5</vt:i4>
      </vt:variant>
      <vt:variant>
        <vt:lpwstr>mailto:Sanrie.Lawrenson@insol.org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Gatoto, Phoebe</cp:lastModifiedBy>
  <cp:revision>722</cp:revision>
  <cp:lastPrinted>2019-08-27T05:42:00Z</cp:lastPrinted>
  <dcterms:created xsi:type="dcterms:W3CDTF">2023-09-08T11:08:00Z</dcterms:created>
  <dcterms:modified xsi:type="dcterms:W3CDTF">2023-09-22T08:22:00Z</dcterms:modified>
</cp:coreProperties>
</file>