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79E89A37"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437297" w:rsidRDefault="00437297" w:rsidP="00592F82">
      <w:pPr>
        <w:jc w:val="center"/>
        <w:rPr>
          <w:rFonts w:ascii="Arial" w:hAnsi="Arial" w:cs="Arial"/>
          <w:b/>
          <w:sz w:val="22"/>
          <w:szCs w:val="22"/>
          <w:lang w:val="en-GB"/>
        </w:rPr>
      </w:pPr>
    </w:p>
    <w:p w14:paraId="1DDE5B5C" w14:textId="7663897F" w:rsidR="00437297" w:rsidRDefault="00437297" w:rsidP="00592F82">
      <w:pPr>
        <w:jc w:val="center"/>
        <w:rPr>
          <w:rFonts w:ascii="Arial" w:hAnsi="Arial" w:cs="Arial"/>
          <w:b/>
          <w:sz w:val="22"/>
          <w:szCs w:val="22"/>
          <w:lang w:val="en-GB"/>
        </w:rPr>
      </w:pPr>
    </w:p>
    <w:p w14:paraId="0865A456" w14:textId="77777777"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D289C" w:rsidRDefault="00434A8C" w:rsidP="00822D1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sz w:val="24"/>
          <w:lang w:val="en-GB"/>
        </w:rPr>
      </w:pPr>
    </w:p>
    <w:p w14:paraId="59317C17" w14:textId="703AE0C8" w:rsidR="0011473D" w:rsidRPr="006D289C" w:rsidRDefault="00C56B61" w:rsidP="00822D1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4"/>
          <w:lang w:val="en-GB"/>
        </w:rPr>
      </w:pPr>
      <w:r w:rsidRPr="006D289C">
        <w:rPr>
          <w:rFonts w:ascii="Avenir Next Demi Bold" w:hAnsi="Avenir Next Demi Bold" w:cs="Arial"/>
          <w:b/>
          <w:sz w:val="24"/>
          <w:lang w:val="en-GB"/>
        </w:rPr>
        <w:t xml:space="preserve">SUMMATIVE (FORMAL) </w:t>
      </w:r>
      <w:r w:rsidR="009D0811" w:rsidRPr="006D289C">
        <w:rPr>
          <w:rFonts w:ascii="Avenir Next Demi Bold" w:hAnsi="Avenir Next Demi Bold" w:cs="Arial"/>
          <w:b/>
          <w:sz w:val="24"/>
          <w:lang w:val="en-GB"/>
        </w:rPr>
        <w:t xml:space="preserve">ASSESSMENT: MODULE </w:t>
      </w:r>
      <w:r w:rsidR="009D0811" w:rsidRPr="006D289C">
        <w:rPr>
          <w:rFonts w:ascii="Avenir Next Demi Bold" w:hAnsi="Avenir Next Demi Bold" w:cs="Arial"/>
          <w:b/>
          <w:bCs/>
          <w:sz w:val="24"/>
          <w:lang w:val="en-GB"/>
        </w:rPr>
        <w:t>1</w:t>
      </w:r>
    </w:p>
    <w:p w14:paraId="0E31488D" w14:textId="77777777" w:rsidR="00822D1E" w:rsidRPr="006D289C" w:rsidRDefault="00822D1E" w:rsidP="00822D1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4"/>
          <w:lang w:val="en-GB"/>
        </w:rPr>
      </w:pPr>
    </w:p>
    <w:p w14:paraId="3CB19A75" w14:textId="1CBB0263" w:rsidR="00822D1E" w:rsidRPr="006D289C" w:rsidRDefault="00822D1E" w:rsidP="00822D1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sz w:val="24"/>
          <w:lang w:val="en-GB"/>
        </w:rPr>
      </w:pPr>
      <w:r w:rsidRPr="006D289C">
        <w:rPr>
          <w:rFonts w:ascii="Avenir Next Demi Bold" w:hAnsi="Avenir Next Demi Bold" w:cs="Arial"/>
          <w:b/>
          <w:bCs/>
          <w:sz w:val="24"/>
          <w:lang w:val="en-GB"/>
        </w:rPr>
        <w:t>RESIT ASSESSMENT: SEPTEMBER 2023</w:t>
      </w:r>
    </w:p>
    <w:p w14:paraId="1DCE41A2" w14:textId="0CB8A9C3" w:rsidR="002638B0" w:rsidRPr="006D289C" w:rsidRDefault="002638B0" w:rsidP="00822D1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sz w:val="24"/>
          <w:lang w:val="en-GB"/>
        </w:rPr>
      </w:pPr>
    </w:p>
    <w:p w14:paraId="23556360" w14:textId="1D96B715" w:rsidR="002638B0" w:rsidRPr="006D289C" w:rsidRDefault="003326F0" w:rsidP="00822D1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sz w:val="24"/>
          <w:lang w:val="en-GB"/>
        </w:rPr>
      </w:pPr>
      <w:r w:rsidRPr="006D289C">
        <w:rPr>
          <w:rFonts w:ascii="Avenir Next Demi Bold" w:hAnsi="Avenir Next Demi Bold" w:cs="Arial"/>
          <w:b/>
          <w:bCs/>
          <w:sz w:val="24"/>
          <w:lang w:val="en-GB"/>
        </w:rPr>
        <w:t>(</w:t>
      </w:r>
      <w:r w:rsidR="002638B0" w:rsidRPr="006D289C">
        <w:rPr>
          <w:rFonts w:ascii="Avenir Next Demi Bold" w:hAnsi="Avenir Next Demi Bold" w:cs="Arial"/>
          <w:b/>
          <w:bCs/>
          <w:sz w:val="24"/>
          <w:lang w:val="en-GB"/>
        </w:rPr>
        <w:t>I</w:t>
      </w:r>
      <w:r w:rsidR="00F34F9D" w:rsidRPr="006D289C">
        <w:rPr>
          <w:rFonts w:ascii="Avenir Next Demi Bold" w:hAnsi="Avenir Next Demi Bold" w:cs="Arial"/>
          <w:b/>
          <w:bCs/>
          <w:sz w:val="24"/>
          <w:lang w:val="en-GB"/>
        </w:rPr>
        <w:t>NTRODUCTION TO INTERNATIONAL INSOLVENCY LAW</w:t>
      </w:r>
      <w:r w:rsidRPr="006D289C">
        <w:rPr>
          <w:rFonts w:ascii="Avenir Next Demi Bold" w:hAnsi="Avenir Next Demi Bold" w:cs="Arial"/>
          <w:b/>
          <w:bCs/>
          <w:sz w:val="24"/>
          <w:lang w:val="en-GB"/>
        </w:rPr>
        <w:t>)</w:t>
      </w:r>
    </w:p>
    <w:p w14:paraId="5E119630" w14:textId="77777777" w:rsidR="00434A8C" w:rsidRPr="004216EA" w:rsidRDefault="00434A8C" w:rsidP="00822D1E">
      <w:pPr>
        <w:pBdr>
          <w:top w:val="single" w:sz="4" w:space="1" w:color="auto"/>
          <w:left w:val="single" w:sz="4" w:space="4" w:color="auto"/>
          <w:bottom w:val="single" w:sz="4" w:space="1" w:color="auto"/>
          <w:right w:val="single" w:sz="4" w:space="4" w:color="auto"/>
        </w:pBdr>
        <w:shd w:val="clear" w:color="auto" w:fill="FFE599" w:themeFill="accent4" w:themeFillTint="66"/>
        <w:rPr>
          <w:rFonts w:ascii="Avenir Next Demi Bold" w:hAnsi="Avenir Next Demi Bold"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255FDA" w:rsidRDefault="00255F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274E58" w:rsidRDefault="00E93993" w:rsidP="009D0811">
      <w:pPr>
        <w:jc w:val="center"/>
        <w:rPr>
          <w:rFonts w:ascii="Avenir Next Demi Bold" w:hAnsi="Avenir Next Demi Bold" w:cs="Arial"/>
          <w:b/>
          <w:bCs/>
          <w:sz w:val="22"/>
          <w:szCs w:val="22"/>
          <w:u w:val="single"/>
          <w:lang w:val="en-GB"/>
        </w:rPr>
      </w:pPr>
      <w:r w:rsidRPr="00274E58">
        <w:rPr>
          <w:rFonts w:ascii="Avenir Next Demi Bold" w:hAnsi="Avenir Next Demi Bold" w:cs="Arial"/>
          <w:b/>
          <w:bCs/>
          <w:sz w:val="22"/>
          <w:szCs w:val="22"/>
          <w:u w:val="single"/>
          <w:lang w:val="en-GB"/>
        </w:rPr>
        <w:lastRenderedPageBreak/>
        <w:t>I</w:t>
      </w:r>
      <w:r w:rsidR="0011473D" w:rsidRPr="00274E58">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592F82">
      <w:pPr>
        <w:jc w:val="both"/>
        <w:rPr>
          <w:rFonts w:ascii="Avenir Next Demi Bold" w:hAnsi="Avenir Next Demi Bold" w:cs="Arial"/>
          <w:b/>
          <w:sz w:val="22"/>
          <w:szCs w:val="22"/>
          <w:lang w:val="en-GB"/>
        </w:rPr>
      </w:pPr>
    </w:p>
    <w:p w14:paraId="652FE6AE" w14:textId="617C4D9D" w:rsidR="00815328" w:rsidRPr="00274E58" w:rsidRDefault="00815328" w:rsidP="00815328">
      <w:pPr>
        <w:jc w:val="both"/>
        <w:rPr>
          <w:rFonts w:ascii="Avenir Next Demi Bold" w:hAnsi="Avenir Next Demi Bold" w:cs="Arial"/>
          <w:b/>
          <w:bCs/>
          <w:sz w:val="22"/>
          <w:szCs w:val="22"/>
          <w:lang w:val="en-GB"/>
        </w:rPr>
      </w:pPr>
      <w:r w:rsidRPr="00274E58">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4A4AFB28" w14:textId="77777777" w:rsidR="00815328" w:rsidRPr="004216EA" w:rsidRDefault="00815328" w:rsidP="00815328">
      <w:pPr>
        <w:jc w:val="both"/>
        <w:rPr>
          <w:rFonts w:ascii="Avenir Next Demi Bold" w:hAnsi="Avenir Next Demi Bold" w:cs="Arial"/>
          <w:b/>
          <w:sz w:val="22"/>
          <w:szCs w:val="22"/>
          <w:lang w:val="en-GB"/>
        </w:rPr>
      </w:pPr>
    </w:p>
    <w:p w14:paraId="2A1DA423" w14:textId="4C79263E"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1.</w:t>
      </w:r>
      <w:r w:rsidRPr="00274E58">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E2E922E" w14:textId="77777777" w:rsidR="00815328" w:rsidRPr="00274E58" w:rsidRDefault="00815328" w:rsidP="00815328">
      <w:pPr>
        <w:ind w:left="720" w:hanging="720"/>
        <w:jc w:val="both"/>
        <w:rPr>
          <w:rFonts w:ascii="Avenir Next" w:hAnsi="Avenir Next" w:cs="Arial"/>
          <w:sz w:val="22"/>
          <w:szCs w:val="22"/>
          <w:lang w:val="en-GB"/>
        </w:rPr>
      </w:pPr>
    </w:p>
    <w:p w14:paraId="6BAAC2C7" w14:textId="17343940"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2.</w:t>
      </w:r>
      <w:r w:rsidRPr="00274E58">
        <w:rPr>
          <w:rFonts w:ascii="Avenir Next" w:hAnsi="Avenir Next" w:cs="Arial"/>
          <w:sz w:val="22"/>
          <w:szCs w:val="22"/>
          <w:lang w:val="en-GB"/>
        </w:rPr>
        <w:tab/>
        <w:t xml:space="preserve">All assessments must be submitted electronically in </w:t>
      </w:r>
      <w:r w:rsidR="0011473D" w:rsidRPr="004216EA">
        <w:rPr>
          <w:rFonts w:ascii="Avenir Next" w:hAnsi="Avenir Next" w:cs="Arial"/>
          <w:sz w:val="22"/>
          <w:szCs w:val="22"/>
          <w:lang w:val="en-GB"/>
        </w:rPr>
        <w:t>MS</w:t>
      </w:r>
      <w:r w:rsidRPr="004216EA">
        <w:rPr>
          <w:rFonts w:ascii="Avenir Next" w:hAnsi="Avenir Next" w:cs="Arial"/>
          <w:sz w:val="22"/>
          <w:szCs w:val="22"/>
          <w:lang w:val="en-GB"/>
        </w:rPr>
        <w:t xml:space="preserve"> Word format</w:t>
      </w:r>
      <w:r w:rsidRPr="00274E58">
        <w:rPr>
          <w:rFonts w:ascii="Avenir Next" w:hAnsi="Avenir Next" w:cs="Arial"/>
          <w:sz w:val="22"/>
          <w:szCs w:val="22"/>
          <w:lang w:val="en-GB"/>
        </w:rPr>
        <w:t xml:space="preserve">, using a standard A4 size page and </w:t>
      </w:r>
      <w:r w:rsidR="0011473D" w:rsidRPr="004216EA">
        <w:rPr>
          <w:rFonts w:ascii="Avenir Next" w:hAnsi="Avenir Next" w:cs="Arial"/>
          <w:sz w:val="22"/>
          <w:szCs w:val="22"/>
          <w:lang w:val="en-GB"/>
        </w:rPr>
        <w:t xml:space="preserve">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00F3323E" w:rsidRPr="004216EA">
        <w:rPr>
          <w:rFonts w:ascii="Avenir Next" w:hAnsi="Avenir Next" w:cs="Arial"/>
          <w:sz w:val="22"/>
          <w:szCs w:val="22"/>
          <w:lang w:val="en-GB"/>
        </w:rPr>
        <w:t>.</w:t>
      </w:r>
      <w:r w:rsidRPr="00274E58">
        <w:rPr>
          <w:rFonts w:ascii="Avenir Next" w:hAnsi="Avenir Next" w:cs="Arial"/>
          <w:sz w:val="22"/>
          <w:szCs w:val="22"/>
          <w:lang w:val="en-GB"/>
        </w:rPr>
        <w:t xml:space="preserve"> This document has been set up with these parameters – </w:t>
      </w:r>
      <w:r w:rsidRPr="00274E58">
        <w:rPr>
          <w:rFonts w:ascii="Avenir Next Demi Bold" w:hAnsi="Avenir Next Demi Bold" w:cs="Arial"/>
          <w:b/>
          <w:bCs/>
          <w:sz w:val="22"/>
          <w:szCs w:val="22"/>
          <w:lang w:val="en-GB"/>
        </w:rPr>
        <w:t>please do not change the document settings in any way</w:t>
      </w:r>
      <w:r w:rsidRPr="004216EA">
        <w:rPr>
          <w:rFonts w:ascii="Avenir Next Demi Bold" w:hAnsi="Avenir Next Demi Bold" w:cs="Arial"/>
          <w:b/>
          <w:sz w:val="22"/>
          <w:szCs w:val="22"/>
          <w:lang w:val="en-GB"/>
        </w:rPr>
        <w:t xml:space="preserve">. </w:t>
      </w:r>
      <w:r w:rsidRPr="00274E58">
        <w:rPr>
          <w:rFonts w:ascii="Avenir Next Demi Bold" w:hAnsi="Avenir Next Demi Bold" w:cs="Arial"/>
          <w:b/>
          <w:bCs/>
          <w:sz w:val="22"/>
          <w:szCs w:val="22"/>
          <w:lang w:val="en-GB"/>
        </w:rPr>
        <w:t>DO NOT</w:t>
      </w:r>
      <w:r w:rsidRPr="00274E58">
        <w:rPr>
          <w:rFonts w:ascii="Avenir Next" w:hAnsi="Avenir Next" w:cs="Arial"/>
          <w:sz w:val="22"/>
          <w:szCs w:val="22"/>
          <w:lang w:val="en-GB"/>
        </w:rPr>
        <w:t xml:space="preserve"> submit your assessment in PDF format as it will be returned to you unmarked.</w:t>
      </w:r>
    </w:p>
    <w:p w14:paraId="4984F7EF" w14:textId="0D2861B2" w:rsidR="00815328" w:rsidRPr="00274E58" w:rsidRDefault="00815328" w:rsidP="00815328">
      <w:pPr>
        <w:ind w:left="720" w:hanging="720"/>
        <w:jc w:val="both"/>
        <w:rPr>
          <w:rFonts w:ascii="Avenir Next" w:hAnsi="Avenir Next" w:cs="Arial"/>
          <w:sz w:val="22"/>
          <w:szCs w:val="22"/>
          <w:lang w:val="en-GB"/>
        </w:rPr>
      </w:pPr>
    </w:p>
    <w:p w14:paraId="6138A348" w14:textId="7557EB79"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sz w:val="22"/>
          <w:szCs w:val="22"/>
          <w:lang w:val="en-GB"/>
        </w:rPr>
        <w:t>3.</w:t>
      </w:r>
      <w:r w:rsidRPr="00274E58">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274E58">
        <w:rPr>
          <w:rFonts w:ascii="Avenir Next" w:hAnsi="Avenir Next" w:cs="Arial"/>
          <w:sz w:val="22"/>
          <w:szCs w:val="22"/>
          <w:lang w:val="en-GB"/>
        </w:rPr>
        <w:t>More often than not</w:t>
      </w:r>
      <w:proofErr w:type="gramEnd"/>
      <w:r w:rsidRPr="00274E58">
        <w:rPr>
          <w:rFonts w:ascii="Avenir Next" w:hAnsi="Avenir Next" w:cs="Arial"/>
          <w:sz w:val="22"/>
          <w:szCs w:val="22"/>
          <w:lang w:val="en-GB"/>
        </w:rPr>
        <w:t>, one fact / statement will earn one mark (unless it is obvious from the question that this is not the case).</w:t>
      </w:r>
    </w:p>
    <w:p w14:paraId="10FF44DB" w14:textId="77777777" w:rsidR="00815328" w:rsidRPr="00274E58" w:rsidRDefault="00815328" w:rsidP="00815328">
      <w:pPr>
        <w:ind w:left="720" w:hanging="720"/>
        <w:jc w:val="both"/>
        <w:rPr>
          <w:rFonts w:ascii="Avenir Next" w:hAnsi="Avenir Next" w:cs="Arial"/>
          <w:sz w:val="22"/>
          <w:szCs w:val="22"/>
          <w:lang w:val="en-GB"/>
        </w:rPr>
      </w:pPr>
    </w:p>
    <w:p w14:paraId="2C014314" w14:textId="3EE02A2D" w:rsidR="0081532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4.</w:t>
      </w:r>
      <w:r w:rsidRPr="00274E58">
        <w:rPr>
          <w:rFonts w:ascii="Avenir Next" w:hAnsi="Avenir Next" w:cs="Arial"/>
          <w:sz w:val="22"/>
          <w:szCs w:val="22"/>
          <w:lang w:val="en-GB"/>
        </w:rPr>
        <w:tab/>
        <w:t xml:space="preserve">You must save this document using the following format: </w:t>
      </w:r>
      <w:r w:rsidRPr="00804A75">
        <w:rPr>
          <w:rFonts w:ascii="Avenir Next Demi Bold" w:hAnsi="Avenir Next Demi Bold" w:cs="Arial"/>
          <w:b/>
          <w:bCs/>
          <w:sz w:val="22"/>
          <w:szCs w:val="22"/>
          <w:lang w:val="en-GB" w:eastAsia="en-GB"/>
        </w:rPr>
        <w:t>[student</w:t>
      </w:r>
      <w:r w:rsidR="00C94C09" w:rsidRPr="00804A75">
        <w:rPr>
          <w:rFonts w:ascii="Avenir Next Demi Bold" w:hAnsi="Avenir Next Demi Bold" w:cs="Arial"/>
          <w:b/>
          <w:bCs/>
          <w:sz w:val="22"/>
          <w:szCs w:val="22"/>
          <w:lang w:val="en-GB" w:eastAsia="en-GB"/>
        </w:rPr>
        <w:t>ID</w:t>
      </w:r>
      <w:r w:rsidRPr="00804A75">
        <w:rPr>
          <w:rFonts w:ascii="Avenir Next Demi Bold" w:hAnsi="Avenir Next Demi Bold" w:cs="Arial"/>
          <w:b/>
          <w:bCs/>
          <w:sz w:val="22"/>
          <w:szCs w:val="22"/>
          <w:lang w:val="en-GB" w:eastAsia="en-GB"/>
        </w:rPr>
        <w:t>.</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w:t>
      </w:r>
      <w:r w:rsidRPr="00274E58">
        <w:rPr>
          <w:rFonts w:ascii="Avenir Next" w:hAnsi="Avenir Next" w:cs="Arial"/>
          <w:sz w:val="22"/>
          <w:szCs w:val="22"/>
          <w:lang w:val="en-GB" w:eastAsia="en-GB"/>
        </w:rPr>
        <w:t xml:space="preserve"> An example would be something along the following lines: 202</w:t>
      </w:r>
      <w:r w:rsidR="00804A75">
        <w:rPr>
          <w:rFonts w:ascii="Avenir Next" w:hAnsi="Avenir Next" w:cs="Arial"/>
          <w:sz w:val="22"/>
          <w:szCs w:val="22"/>
          <w:lang w:val="en-GB" w:eastAsia="en-GB"/>
        </w:rPr>
        <w:t>2</w:t>
      </w:r>
      <w:r w:rsidRPr="00274E58">
        <w:rPr>
          <w:rFonts w:ascii="Avenir Next" w:hAnsi="Avenir Next" w:cs="Arial"/>
          <w:sz w:val="22"/>
          <w:szCs w:val="22"/>
          <w:lang w:val="en-GB" w:eastAsia="en-GB"/>
        </w:rPr>
        <w:t>2</w:t>
      </w:r>
      <w:r w:rsidR="00804A75">
        <w:rPr>
          <w:rFonts w:ascii="Avenir Next" w:hAnsi="Avenir Next" w:cs="Arial"/>
          <w:sz w:val="22"/>
          <w:szCs w:val="22"/>
          <w:lang w:val="en-GB" w:eastAsia="en-GB"/>
        </w:rPr>
        <w:t>3</w:t>
      </w:r>
      <w:r w:rsidRPr="00274E58">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w:t>
      </w:r>
      <w:r w:rsidRPr="00274E58">
        <w:rPr>
          <w:rFonts w:ascii="Avenir Next" w:hAnsi="Avenir Next" w:cs="Arial"/>
          <w:sz w:val="22"/>
          <w:szCs w:val="22"/>
          <w:lang w:val="en-GB"/>
        </w:rPr>
        <w:t xml:space="preserve"> </w:t>
      </w:r>
      <w:r w:rsidRPr="00804A75">
        <w:rPr>
          <w:rFonts w:ascii="Avenir Next Demi Bold" w:hAnsi="Avenir Next Demi Bold" w:cs="Arial"/>
          <w:b/>
          <w:bCs/>
          <w:sz w:val="22"/>
          <w:szCs w:val="22"/>
          <w:lang w:val="en-GB"/>
        </w:rPr>
        <w:t>Please also include the filename as a footer to each page of the assessment</w:t>
      </w:r>
      <w:r w:rsidRPr="00274E58">
        <w:rPr>
          <w:rFonts w:ascii="Avenir Next" w:hAnsi="Avenir Next" w:cs="Arial"/>
          <w:bCs/>
          <w:sz w:val="22"/>
          <w:szCs w:val="22"/>
          <w:lang w:val="en-GB"/>
        </w:rPr>
        <w:t xml:space="preserve"> (this has been pre-populated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Pr="00274E58">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w:t>
      </w:r>
      <w:r w:rsidRPr="00274E58">
        <w:rPr>
          <w:rFonts w:ascii="Avenir Next" w:hAnsi="Avenir Next" w:cs="Arial"/>
          <w:sz w:val="22"/>
          <w:szCs w:val="22"/>
          <w:lang w:val="en-GB"/>
        </w:rPr>
        <w:t xml:space="preserve"> Do not include your name or any other identifying words in your file name. </w:t>
      </w:r>
      <w:r w:rsidRPr="00804A75">
        <w:rPr>
          <w:rFonts w:ascii="Avenir Next Demi Bold" w:hAnsi="Avenir Next Demi Bold" w:cs="Arial"/>
          <w:b/>
          <w:bCs/>
          <w:sz w:val="22"/>
          <w:szCs w:val="22"/>
          <w:lang w:val="en-GB"/>
        </w:rPr>
        <w:t>Assessments that do not comply with this instruction will be returned to candidates unmarked</w:t>
      </w:r>
      <w:r w:rsidRPr="00274E58">
        <w:rPr>
          <w:rFonts w:ascii="Avenir Next" w:hAnsi="Avenir Next" w:cs="Arial"/>
          <w:sz w:val="22"/>
          <w:szCs w:val="22"/>
          <w:lang w:val="en-GB"/>
        </w:rPr>
        <w:t>.</w:t>
      </w:r>
    </w:p>
    <w:p w14:paraId="796833D6" w14:textId="77777777" w:rsidR="00544DBA" w:rsidRDefault="00544DBA" w:rsidP="00815328">
      <w:pPr>
        <w:ind w:left="720" w:hanging="720"/>
        <w:jc w:val="both"/>
        <w:rPr>
          <w:rFonts w:ascii="Avenir Next" w:hAnsi="Avenir Next" w:cs="Arial"/>
          <w:sz w:val="22"/>
          <w:szCs w:val="22"/>
          <w:lang w:val="en-GB"/>
        </w:rPr>
      </w:pPr>
    </w:p>
    <w:p w14:paraId="1A2C0E6A" w14:textId="2C663941" w:rsidR="00544DBA" w:rsidRPr="00544DBA" w:rsidRDefault="00544DBA" w:rsidP="00544DBA">
      <w:pPr>
        <w:ind w:left="720" w:hanging="720"/>
        <w:jc w:val="both"/>
        <w:rPr>
          <w:rFonts w:ascii="Avenir Next" w:hAnsi="Avenir Next" w:cs="Arial"/>
          <w:b/>
          <w:bCs/>
          <w:sz w:val="22"/>
          <w:szCs w:val="22"/>
          <w:lang w:val="en-GB"/>
        </w:rPr>
      </w:pPr>
      <w:r>
        <w:rPr>
          <w:rFonts w:ascii="Avenir Next" w:hAnsi="Avenir Next" w:cs="Arial"/>
          <w:sz w:val="22"/>
          <w:szCs w:val="22"/>
          <w:lang w:val="en-GB"/>
        </w:rPr>
        <w:t>5.</w:t>
      </w:r>
      <w:r>
        <w:rPr>
          <w:rFonts w:ascii="Avenir Next" w:hAnsi="Avenir Next" w:cs="Arial"/>
          <w:sz w:val="22"/>
          <w:szCs w:val="22"/>
          <w:lang w:val="en-GB"/>
        </w:rPr>
        <w:tab/>
      </w:r>
      <w:r w:rsidRPr="00274E58">
        <w:rPr>
          <w:rFonts w:ascii="Avenir Next" w:hAnsi="Avenir Next" w:cs="Arial"/>
          <w:sz w:val="22"/>
          <w:szCs w:val="22"/>
          <w:lang w:val="en-GB"/>
        </w:rPr>
        <w:t xml:space="preserve">The final submission date for this assessment is </w:t>
      </w:r>
      <w:r>
        <w:rPr>
          <w:rFonts w:ascii="Avenir Next Demi Bold" w:hAnsi="Avenir Next Demi Bold" w:cs="Arial"/>
          <w:b/>
          <w:bCs/>
          <w:sz w:val="22"/>
          <w:szCs w:val="22"/>
          <w:lang w:val="en-GB"/>
        </w:rPr>
        <w:t>21</w:t>
      </w:r>
      <w:r w:rsidRPr="004216EA">
        <w:rPr>
          <w:rFonts w:ascii="Avenir Next Demi Bold" w:hAnsi="Avenir Next Demi Bold" w:cs="Arial"/>
          <w:b/>
          <w:bCs/>
          <w:sz w:val="22"/>
          <w:szCs w:val="22"/>
          <w:lang w:val="en-GB"/>
        </w:rPr>
        <w:t xml:space="preserve"> </w:t>
      </w:r>
      <w:r>
        <w:rPr>
          <w:rFonts w:ascii="Avenir Next Demi Bold" w:hAnsi="Avenir Next Demi Bold" w:cs="Arial"/>
          <w:b/>
          <w:bCs/>
          <w:sz w:val="22"/>
          <w:szCs w:val="22"/>
          <w:lang w:val="en-GB"/>
        </w:rPr>
        <w:t>September</w:t>
      </w:r>
      <w:r w:rsidRPr="004216EA">
        <w:rPr>
          <w:rFonts w:ascii="Avenir Next Demi Bold" w:hAnsi="Avenir Next Demi Bold" w:cs="Arial"/>
          <w:b/>
          <w:bCs/>
          <w:sz w:val="22"/>
          <w:szCs w:val="22"/>
          <w:lang w:val="en-GB"/>
        </w:rPr>
        <w:t xml:space="preserve"> 202</w:t>
      </w:r>
      <w:r>
        <w:rPr>
          <w:rFonts w:ascii="Avenir Next Demi Bold" w:hAnsi="Avenir Next Demi Bold" w:cs="Arial"/>
          <w:b/>
          <w:bCs/>
          <w:sz w:val="22"/>
          <w:szCs w:val="22"/>
          <w:lang w:val="en-GB"/>
        </w:rPr>
        <w:t>3</w:t>
      </w:r>
      <w:r w:rsidRPr="004216EA">
        <w:rPr>
          <w:rFonts w:ascii="Avenir Next" w:hAnsi="Avenir Next" w:cs="Arial"/>
          <w:sz w:val="22"/>
          <w:szCs w:val="22"/>
          <w:lang w:val="en-GB"/>
        </w:rPr>
        <w:t xml:space="preserve">. </w:t>
      </w:r>
      <w:r>
        <w:rPr>
          <w:rFonts w:ascii="Avenir Next" w:hAnsi="Avenir Next" w:cs="Arial"/>
          <w:sz w:val="22"/>
          <w:szCs w:val="22"/>
          <w:lang w:val="en-GB"/>
        </w:rPr>
        <w:t xml:space="preserve">Please provide the completed assessment back to Sanrie Lawrenson via email at </w:t>
      </w:r>
      <w:hyperlink r:id="rId12" w:history="1">
        <w:r w:rsidRPr="006C011D">
          <w:rPr>
            <w:rStyle w:val="Hyperlink"/>
            <w:rFonts w:ascii="Avenir Next" w:hAnsi="Avenir Next" w:cs="Arial"/>
            <w:sz w:val="22"/>
            <w:szCs w:val="22"/>
            <w:lang w:val="en-GB"/>
          </w:rPr>
          <w:t>Sanrie.Lawrenson@insol.org</w:t>
        </w:r>
      </w:hyperlink>
      <w:r>
        <w:rPr>
          <w:rFonts w:ascii="Avenir Next" w:hAnsi="Avenir Next" w:cs="Arial"/>
          <w:sz w:val="22"/>
          <w:szCs w:val="22"/>
          <w:lang w:val="en-GB"/>
        </w:rPr>
        <w:t xml:space="preserve"> by no later than</w:t>
      </w:r>
      <w:r w:rsidRPr="004216EA">
        <w:rPr>
          <w:rFonts w:ascii="Avenir Next" w:hAnsi="Avenir Next" w:cs="Arial"/>
          <w:sz w:val="22"/>
          <w:szCs w:val="22"/>
          <w:lang w:val="en-GB"/>
        </w:rPr>
        <w:t xml:space="preserve"> </w:t>
      </w:r>
      <w:r w:rsidRPr="004216EA">
        <w:rPr>
          <w:rFonts w:ascii="Avenir Next Demi Bold" w:hAnsi="Avenir Next Demi Bold" w:cs="Arial"/>
          <w:b/>
          <w:bCs/>
          <w:sz w:val="22"/>
          <w:szCs w:val="22"/>
          <w:lang w:val="en-GB"/>
        </w:rPr>
        <w:t xml:space="preserve">23:00 (11 pm) GMT on </w:t>
      </w:r>
      <w:r>
        <w:rPr>
          <w:rFonts w:ascii="Avenir Next Demi Bold" w:hAnsi="Avenir Next Demi Bold" w:cs="Arial"/>
          <w:b/>
          <w:bCs/>
          <w:sz w:val="22"/>
          <w:szCs w:val="22"/>
          <w:lang w:val="en-GB"/>
        </w:rPr>
        <w:t>21 September</w:t>
      </w:r>
      <w:r w:rsidRPr="004216EA">
        <w:rPr>
          <w:rFonts w:ascii="Avenir Next Demi Bold" w:hAnsi="Avenir Next Demi Bold" w:cs="Arial"/>
          <w:b/>
          <w:bCs/>
          <w:sz w:val="22"/>
          <w:szCs w:val="22"/>
          <w:lang w:val="en-GB"/>
        </w:rPr>
        <w:t xml:space="preserve"> 202</w:t>
      </w:r>
      <w:r>
        <w:rPr>
          <w:rFonts w:ascii="Avenir Next Demi Bold" w:hAnsi="Avenir Next Demi Bold" w:cs="Arial"/>
          <w:b/>
          <w:bCs/>
          <w:sz w:val="22"/>
          <w:szCs w:val="22"/>
          <w:lang w:val="en-GB"/>
        </w:rPr>
        <w:t>3</w:t>
      </w:r>
      <w:r w:rsidRPr="004216EA">
        <w:rPr>
          <w:rFonts w:ascii="Avenir Next" w:hAnsi="Avenir Next" w:cs="Arial"/>
          <w:sz w:val="22"/>
          <w:szCs w:val="22"/>
          <w:lang w:val="en-GB"/>
        </w:rPr>
        <w:t>.</w:t>
      </w:r>
      <w:r w:rsidRPr="00274E58">
        <w:rPr>
          <w:rFonts w:ascii="Avenir Next" w:hAnsi="Avenir Next" w:cs="Arial"/>
          <w:sz w:val="22"/>
          <w:szCs w:val="22"/>
          <w:lang w:val="en-GB"/>
        </w:rPr>
        <w:t xml:space="preserve"> No submissions can be made after </w:t>
      </w:r>
      <w:r>
        <w:rPr>
          <w:rFonts w:ascii="Avenir Next" w:hAnsi="Avenir Next" w:cs="Arial"/>
          <w:sz w:val="22"/>
          <w:szCs w:val="22"/>
          <w:lang w:val="en-GB"/>
        </w:rPr>
        <w:t>this time</w:t>
      </w:r>
      <w:r w:rsidRPr="00274E58">
        <w:rPr>
          <w:rFonts w:ascii="Avenir Next" w:hAnsi="Avenir Next" w:cs="Arial"/>
          <w:sz w:val="22"/>
          <w:szCs w:val="22"/>
          <w:lang w:val="en-GB"/>
        </w:rPr>
        <w:t>, no matter the circumstances.</w:t>
      </w:r>
    </w:p>
    <w:p w14:paraId="4F1F5BF2" w14:textId="77777777" w:rsidR="00815328" w:rsidRPr="00274E58" w:rsidRDefault="00815328" w:rsidP="00815328">
      <w:pPr>
        <w:ind w:left="720" w:hanging="720"/>
        <w:jc w:val="both"/>
        <w:rPr>
          <w:rFonts w:ascii="Avenir Next" w:hAnsi="Avenir Next" w:cs="Arial"/>
          <w:sz w:val="22"/>
          <w:szCs w:val="22"/>
          <w:lang w:val="en-GB"/>
        </w:rPr>
      </w:pPr>
    </w:p>
    <w:p w14:paraId="051D2340" w14:textId="5790F624" w:rsidR="00544DBA" w:rsidRPr="00274E58" w:rsidRDefault="00544DBA" w:rsidP="00544DBA">
      <w:pPr>
        <w:ind w:left="720" w:hanging="720"/>
        <w:jc w:val="both"/>
        <w:rPr>
          <w:rFonts w:ascii="Avenir Next" w:hAnsi="Avenir Next" w:cs="Arial"/>
          <w:sz w:val="22"/>
          <w:szCs w:val="22"/>
          <w:lang w:val="en-GB"/>
        </w:rPr>
      </w:pPr>
      <w:r>
        <w:rPr>
          <w:rFonts w:ascii="Avenir Next" w:hAnsi="Avenir Next" w:cs="Arial"/>
          <w:bCs/>
          <w:sz w:val="22"/>
          <w:szCs w:val="22"/>
          <w:lang w:val="en-GB"/>
        </w:rPr>
        <w:t>6</w:t>
      </w:r>
      <w:r w:rsidR="00815328" w:rsidRPr="00274E58">
        <w:rPr>
          <w:rFonts w:ascii="Avenir Next" w:hAnsi="Avenir Next" w:cs="Arial"/>
          <w:bCs/>
          <w:sz w:val="22"/>
          <w:szCs w:val="22"/>
          <w:lang w:val="en-GB"/>
        </w:rPr>
        <w:t>.</w:t>
      </w:r>
      <w:r w:rsidR="00815328" w:rsidRPr="00274E58">
        <w:rPr>
          <w:rFonts w:ascii="Avenir Next" w:hAnsi="Avenir Next" w:cs="Arial"/>
          <w:b/>
          <w:sz w:val="22"/>
          <w:szCs w:val="22"/>
          <w:lang w:val="en-GB"/>
        </w:rPr>
        <w:tab/>
      </w:r>
      <w:r>
        <w:rPr>
          <w:rFonts w:ascii="Avenir Next" w:hAnsi="Avenir Next" w:cs="Arial"/>
          <w:sz w:val="22"/>
          <w:szCs w:val="22"/>
          <w:lang w:val="en-GB"/>
        </w:rPr>
        <w:t>When submitting</w:t>
      </w:r>
      <w:r w:rsidRPr="00E2622D">
        <w:rPr>
          <w:rFonts w:ascii="Avenir Next" w:hAnsi="Avenir Next" w:cs="Arial"/>
          <w:sz w:val="22"/>
          <w:szCs w:val="22"/>
          <w:lang w:val="en-GB"/>
        </w:rPr>
        <w:t xml:space="preserve"> your </w:t>
      </w:r>
      <w:proofErr w:type="gramStart"/>
      <w:r w:rsidRPr="00E2622D">
        <w:rPr>
          <w:rFonts w:ascii="Avenir Next" w:hAnsi="Avenir Next" w:cs="Arial"/>
          <w:sz w:val="22"/>
          <w:szCs w:val="22"/>
          <w:lang w:val="en-GB"/>
        </w:rPr>
        <w:t>assessment</w:t>
      </w:r>
      <w:proofErr w:type="gramEnd"/>
      <w:r w:rsidRPr="00E2622D">
        <w:rPr>
          <w:rFonts w:ascii="Avenir Next" w:hAnsi="Avenir Next" w:cs="Arial"/>
          <w:sz w:val="22"/>
          <w:szCs w:val="22"/>
          <w:lang w:val="en-GB"/>
        </w:rPr>
        <w:t xml:space="preserve"> you </w:t>
      </w:r>
      <w:r w:rsidR="00690915">
        <w:rPr>
          <w:rFonts w:ascii="Avenir Next" w:hAnsi="Avenir Next" w:cs="Arial"/>
          <w:sz w:val="22"/>
          <w:szCs w:val="22"/>
          <w:lang w:val="en-GB"/>
        </w:rPr>
        <w:t>will be</w:t>
      </w:r>
      <w:r w:rsidRPr="00E2622D">
        <w:rPr>
          <w:rFonts w:ascii="Avenir Next" w:hAnsi="Avenir Next" w:cs="Arial"/>
          <w:sz w:val="22"/>
          <w:szCs w:val="22"/>
          <w:lang w:val="en-GB"/>
        </w:rPr>
        <w:t xml:space="preserve"> required to confirm / certify </w:t>
      </w:r>
      <w:r>
        <w:rPr>
          <w:rFonts w:ascii="Avenir Next" w:hAnsi="Avenir Next" w:cs="Arial"/>
          <w:sz w:val="22"/>
          <w:szCs w:val="22"/>
          <w:lang w:val="en-GB"/>
        </w:rPr>
        <w:t xml:space="preserve">via email </w:t>
      </w:r>
      <w:r w:rsidRPr="00E2622D">
        <w:rPr>
          <w:rFonts w:ascii="Avenir Next" w:hAnsi="Avenir Next" w:cs="Arial"/>
          <w:sz w:val="22"/>
          <w:szCs w:val="22"/>
          <w:lang w:val="en-GB"/>
        </w:rPr>
        <w:t xml:space="preserve">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6FDC16E4" w14:textId="77777777" w:rsidR="00F3323E" w:rsidRPr="00274E58" w:rsidRDefault="00F3323E" w:rsidP="00592F82">
      <w:pPr>
        <w:ind w:left="720" w:hanging="720"/>
        <w:jc w:val="both"/>
        <w:rPr>
          <w:rFonts w:ascii="Avenir Next" w:hAnsi="Avenir Next" w:cs="Arial"/>
          <w:sz w:val="22"/>
          <w:szCs w:val="22"/>
          <w:lang w:val="en-GB"/>
        </w:rPr>
      </w:pPr>
    </w:p>
    <w:p w14:paraId="6006FE8C" w14:textId="77777777" w:rsidR="00815328" w:rsidRPr="00690915" w:rsidRDefault="00815328">
      <w:pPr>
        <w:rPr>
          <w:rFonts w:ascii="Arial" w:hAnsi="Arial" w:cs="Arial"/>
          <w:b/>
          <w:sz w:val="22"/>
          <w:szCs w:val="22"/>
          <w:u w:val="single"/>
          <w:lang w:val="en-ZA"/>
        </w:rPr>
      </w:pPr>
      <w:r>
        <w:rPr>
          <w:rFonts w:ascii="Arial" w:hAnsi="Arial" w:cs="Arial"/>
          <w:b/>
          <w:sz w:val="22"/>
          <w:szCs w:val="22"/>
          <w:u w:val="single"/>
          <w:lang w:val="en-GB"/>
        </w:rPr>
        <w:br w:type="page"/>
      </w:r>
    </w:p>
    <w:p w14:paraId="2966AAD4" w14:textId="00052271" w:rsidR="001C1687" w:rsidRPr="006746A0" w:rsidRDefault="001C1687" w:rsidP="001C1687">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u w:val="single"/>
          <w:lang w:val="en-GB"/>
        </w:rPr>
        <w:lastRenderedPageBreak/>
        <w:t>ANSWER ALL THE QUESTIONS</w:t>
      </w:r>
    </w:p>
    <w:p w14:paraId="62B460C7" w14:textId="77777777" w:rsidR="001C1687" w:rsidRPr="006746A0" w:rsidRDefault="001C1687" w:rsidP="001C1687">
      <w:pPr>
        <w:ind w:left="720" w:hanging="720"/>
        <w:jc w:val="both"/>
        <w:rPr>
          <w:rFonts w:ascii="Avenir Next" w:hAnsi="Avenir Next" w:cs="Arial"/>
          <w:sz w:val="22"/>
          <w:szCs w:val="22"/>
          <w:lang w:val="en-GB"/>
        </w:rPr>
      </w:pPr>
    </w:p>
    <w:p w14:paraId="7855E8A8" w14:textId="3F6B427A" w:rsidR="001C1687" w:rsidRPr="006746A0" w:rsidRDefault="001C1687" w:rsidP="001C1687">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1 (multiple-choice questions) [10 marks in total]</w:t>
      </w:r>
    </w:p>
    <w:p w14:paraId="300739C0" w14:textId="77777777" w:rsidR="001C1687" w:rsidRPr="006746A0" w:rsidRDefault="001C1687" w:rsidP="008071D5">
      <w:pPr>
        <w:jc w:val="both"/>
        <w:rPr>
          <w:rFonts w:ascii="Avenir Next" w:hAnsi="Avenir Next" w:cs="Arial"/>
          <w:sz w:val="22"/>
          <w:szCs w:val="22"/>
          <w:lang w:val="en-GB"/>
        </w:rPr>
      </w:pPr>
    </w:p>
    <w:p w14:paraId="52F192E0" w14:textId="09DE4B9B"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sz w:val="22"/>
          <w:szCs w:val="22"/>
          <w:lang w:val="en-GB"/>
        </w:rPr>
        <w:t>that makes the most sense and is the most correct</w:t>
      </w:r>
      <w:r w:rsidRPr="006746A0">
        <w:rPr>
          <w:rFonts w:ascii="Avenir Next" w:hAnsi="Avenir Next" w:cs="Arial"/>
          <w:sz w:val="22"/>
          <w:szCs w:val="22"/>
          <w:lang w:val="en-GB"/>
        </w:rPr>
        <w:t xml:space="preserve">. When you have a clear idea of the question, find your </w:t>
      </w:r>
      <w:proofErr w:type="gramStart"/>
      <w:r w:rsidRPr="006746A0">
        <w:rPr>
          <w:rFonts w:ascii="Avenir Next" w:hAnsi="Avenir Next" w:cs="Arial"/>
          <w:sz w:val="22"/>
          <w:szCs w:val="22"/>
          <w:lang w:val="en-GB"/>
        </w:rPr>
        <w:t>answer</w:t>
      </w:r>
      <w:proofErr w:type="gramEnd"/>
      <w:r w:rsidRPr="006746A0">
        <w:rPr>
          <w:rFonts w:ascii="Avenir Next" w:hAnsi="Avenir Next" w:cs="Arial"/>
          <w:sz w:val="22"/>
          <w:szCs w:val="22"/>
          <w:lang w:val="en-GB"/>
        </w:rPr>
        <w:t xml:space="preserve"> and </w:t>
      </w:r>
      <w:r w:rsidRPr="006746A0">
        <w:rPr>
          <w:rFonts w:ascii="Avenir Next" w:hAnsi="Avenir Next" w:cs="Arial"/>
          <w:sz w:val="22"/>
          <w:szCs w:val="22"/>
          <w:highlight w:val="yellow"/>
          <w:lang w:val="en-GB"/>
        </w:rPr>
        <w:t xml:space="preserve">mark your selection on the answer sheet by highlighting the relevant paragraph </w:t>
      </w:r>
      <w:r w:rsidRPr="006746A0">
        <w:rPr>
          <w:rFonts w:ascii="Avenir Next Demi Bold" w:hAnsi="Avenir Next Demi Bold" w:cs="Arial"/>
          <w:b/>
          <w:bCs/>
          <w:sz w:val="22"/>
          <w:szCs w:val="22"/>
          <w:highlight w:val="yellow"/>
          <w:lang w:val="en-GB"/>
        </w:rPr>
        <w:t>in yellow</w:t>
      </w:r>
      <w:r w:rsidRPr="006746A0">
        <w:rPr>
          <w:rFonts w:ascii="Avenir Next" w:hAnsi="Avenir Next" w:cs="Arial"/>
          <w:sz w:val="22"/>
          <w:szCs w:val="22"/>
          <w:lang w:val="en-GB"/>
        </w:rPr>
        <w:t xml:space="preserve">. Select only </w:t>
      </w:r>
      <w:r w:rsidRPr="006746A0">
        <w:rPr>
          <w:rFonts w:ascii="Avenir Next Demi Bold" w:hAnsi="Avenir Next Demi Bold" w:cs="Arial"/>
          <w:b/>
          <w:bCs/>
          <w:sz w:val="22"/>
          <w:szCs w:val="22"/>
          <w:lang w:val="en-GB"/>
        </w:rPr>
        <w:t>ONE</w:t>
      </w:r>
      <w:r w:rsidRPr="006746A0">
        <w:rPr>
          <w:rFonts w:ascii="Avenir Next" w:hAnsi="Avenir Next" w:cs="Arial"/>
          <w:sz w:val="22"/>
          <w:szCs w:val="22"/>
          <w:lang w:val="en-GB"/>
        </w:rPr>
        <w:t xml:space="preserve"> answer. Candidates who select more than one answer will receive no mark for that specific question.</w:t>
      </w:r>
    </w:p>
    <w:p w14:paraId="75DB0DCC" w14:textId="77777777" w:rsidR="001C1687" w:rsidRPr="004216EA" w:rsidRDefault="001C1687" w:rsidP="008071D5">
      <w:pPr>
        <w:jc w:val="both"/>
        <w:rPr>
          <w:rFonts w:ascii="Avenir Next" w:hAnsi="Avenir Next" w:cs="Arial"/>
          <w:b/>
          <w:sz w:val="22"/>
          <w:szCs w:val="22"/>
        </w:rPr>
      </w:pPr>
    </w:p>
    <w:p w14:paraId="3D177D65" w14:textId="57A65A0F"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Question 1.1</w:t>
      </w:r>
    </w:p>
    <w:p w14:paraId="2BCFF6B4" w14:textId="77777777" w:rsidR="001C1687" w:rsidRPr="006746A0" w:rsidRDefault="001C1687" w:rsidP="001C1687">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FC656D">
      <w:pPr>
        <w:pStyle w:val="ListParagraph"/>
        <w:numPr>
          <w:ilvl w:val="0"/>
          <w:numId w:val="1"/>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092118" w:rsidRDefault="00806382" w:rsidP="00FC656D">
      <w:pPr>
        <w:pStyle w:val="ListParagraph"/>
        <w:numPr>
          <w:ilvl w:val="0"/>
          <w:numId w:val="1"/>
        </w:numPr>
        <w:ind w:left="425" w:hanging="357"/>
        <w:jc w:val="both"/>
        <w:rPr>
          <w:rFonts w:ascii="Avenir Next" w:hAnsi="Avenir Next" w:cs="Arial"/>
          <w:sz w:val="22"/>
          <w:szCs w:val="22"/>
          <w:highlight w:val="yellow"/>
        </w:rPr>
      </w:pPr>
      <w:r w:rsidRPr="00092118">
        <w:rPr>
          <w:rFonts w:ascii="Avenir Next" w:hAnsi="Avenir Next" w:cs="Arial"/>
          <w:sz w:val="22"/>
          <w:szCs w:val="22"/>
          <w:highlight w:val="yellow"/>
        </w:rPr>
        <w:t xml:space="preserve">This statement is untrue since the word </w:t>
      </w:r>
      <w:r w:rsidR="00823AB4" w:rsidRPr="00092118">
        <w:rPr>
          <w:rFonts w:ascii="Avenir Next" w:hAnsi="Avenir Next" w:cs="Arial"/>
          <w:sz w:val="22"/>
          <w:szCs w:val="22"/>
          <w:highlight w:val="yellow"/>
        </w:rPr>
        <w:t>“</w:t>
      </w:r>
      <w:r w:rsidRPr="00092118">
        <w:rPr>
          <w:rFonts w:ascii="Avenir Next" w:hAnsi="Avenir Next" w:cs="Arial"/>
          <w:sz w:val="22"/>
          <w:szCs w:val="22"/>
          <w:highlight w:val="yellow"/>
        </w:rPr>
        <w:t>bankruptcy</w:t>
      </w:r>
      <w:r w:rsidR="00823AB4" w:rsidRPr="00092118">
        <w:rPr>
          <w:rFonts w:ascii="Avenir Next" w:hAnsi="Avenir Next" w:cs="Arial"/>
          <w:sz w:val="22"/>
          <w:szCs w:val="22"/>
          <w:highlight w:val="yellow"/>
        </w:rPr>
        <w:t>”</w:t>
      </w:r>
      <w:r w:rsidRPr="00092118">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FC656D">
      <w:pPr>
        <w:pStyle w:val="ListParagraph"/>
        <w:numPr>
          <w:ilvl w:val="0"/>
          <w:numId w:val="1"/>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FC656D">
      <w:pPr>
        <w:pStyle w:val="ListParagraph"/>
        <w:numPr>
          <w:ilvl w:val="0"/>
          <w:numId w:val="1"/>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1552FF" w:rsidRDefault="001211E6" w:rsidP="00FC656D">
      <w:pPr>
        <w:pStyle w:val="ListParagraph"/>
        <w:numPr>
          <w:ilvl w:val="0"/>
          <w:numId w:val="2"/>
        </w:numPr>
        <w:ind w:left="426"/>
        <w:jc w:val="both"/>
        <w:rPr>
          <w:rFonts w:ascii="Avenir Next" w:hAnsi="Avenir Next" w:cs="Arial"/>
          <w:sz w:val="22"/>
          <w:szCs w:val="22"/>
          <w:highlight w:val="yellow"/>
        </w:rPr>
      </w:pPr>
      <w:r w:rsidRPr="001552FF">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FC656D">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4F30EB">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4F30EB">
      <w:pPr>
        <w:pStyle w:val="ListParagraph"/>
        <w:ind w:left="426"/>
        <w:jc w:val="both"/>
        <w:rPr>
          <w:rFonts w:ascii="Avenir Next" w:hAnsi="Avenir Next" w:cs="Arial"/>
          <w:sz w:val="22"/>
          <w:szCs w:val="22"/>
        </w:rPr>
      </w:pPr>
    </w:p>
    <w:p w14:paraId="5569A245" w14:textId="77777777" w:rsidR="001211E6" w:rsidRDefault="001211E6" w:rsidP="004F30EB">
      <w:pPr>
        <w:ind w:left="426" w:hanging="426"/>
        <w:jc w:val="both"/>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FC656D">
      <w:pPr>
        <w:pStyle w:val="ListParagraph"/>
        <w:numPr>
          <w:ilvl w:val="0"/>
          <w:numId w:val="6"/>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FC656D">
      <w:pPr>
        <w:pStyle w:val="ListParagraph"/>
        <w:numPr>
          <w:ilvl w:val="0"/>
          <w:numId w:val="6"/>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627C5" w:rsidRDefault="000977DC" w:rsidP="00FC656D">
      <w:pPr>
        <w:pStyle w:val="ListParagraph"/>
        <w:numPr>
          <w:ilvl w:val="0"/>
          <w:numId w:val="6"/>
        </w:numPr>
        <w:ind w:left="426"/>
        <w:jc w:val="both"/>
        <w:rPr>
          <w:rFonts w:ascii="Avenir Next" w:eastAsiaTheme="minorHAnsi" w:hAnsi="Avenir Next" w:cs="Arial"/>
          <w:sz w:val="22"/>
          <w:szCs w:val="22"/>
          <w:highlight w:val="yellow"/>
          <w:lang w:val="en-GB"/>
        </w:rPr>
      </w:pPr>
      <w:r w:rsidRPr="00D627C5">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FC656D">
      <w:pPr>
        <w:pStyle w:val="ListParagraph"/>
        <w:numPr>
          <w:ilvl w:val="0"/>
          <w:numId w:val="6"/>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FC656D">
      <w:pPr>
        <w:pStyle w:val="ListParagraph"/>
        <w:numPr>
          <w:ilvl w:val="0"/>
          <w:numId w:val="10"/>
        </w:numPr>
        <w:tabs>
          <w:tab w:val="left" w:pos="426"/>
        </w:tabs>
        <w:ind w:left="426" w:hanging="426"/>
        <w:jc w:val="both"/>
        <w:rPr>
          <w:rFonts w:ascii="Avenir Next" w:hAnsi="Avenir Next" w:cs="Arial"/>
          <w:sz w:val="22"/>
          <w:szCs w:val="22"/>
          <w:lang w:val="en-GB"/>
        </w:rPr>
      </w:pPr>
      <w:r w:rsidRPr="00A966A5">
        <w:rPr>
          <w:rFonts w:ascii="Avenir Next" w:hAnsi="Avenir Next" w:cs="Arial"/>
          <w:sz w:val="22"/>
          <w:szCs w:val="22"/>
          <w:lang w:val="en-GB"/>
        </w:rPr>
        <w:t>This statement is correct since the English insolvency system was viewed as a pro-creditor system since its early development</w:t>
      </w:r>
      <w:r w:rsidRPr="0067589E">
        <w:rPr>
          <w:rFonts w:ascii="Avenir Next" w:hAnsi="Avenir Next" w:cs="Arial"/>
          <w:sz w:val="22"/>
          <w:szCs w:val="22"/>
          <w:lang w:val="en-GB"/>
        </w:rPr>
        <w: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FC656D">
      <w:pPr>
        <w:pStyle w:val="ListParagraph"/>
        <w:numPr>
          <w:ilvl w:val="0"/>
          <w:numId w:val="10"/>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FC656D">
      <w:pPr>
        <w:pStyle w:val="ListParagraph"/>
        <w:numPr>
          <w:ilvl w:val="0"/>
          <w:numId w:val="10"/>
        </w:numPr>
        <w:tabs>
          <w:tab w:val="left" w:pos="426"/>
        </w:tabs>
        <w:ind w:left="426" w:hanging="426"/>
        <w:jc w:val="both"/>
        <w:rPr>
          <w:rFonts w:ascii="Avenir Next" w:hAnsi="Avenir Next" w:cs="Arial"/>
          <w:sz w:val="22"/>
          <w:szCs w:val="22"/>
          <w:lang w:val="en-GB"/>
        </w:rPr>
      </w:pPr>
      <w:r w:rsidRPr="00A966A5">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FC656D">
      <w:pPr>
        <w:pStyle w:val="ListParagraph"/>
        <w:numPr>
          <w:ilvl w:val="0"/>
          <w:numId w:val="10"/>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D107F9" w:rsidRDefault="006514CD" w:rsidP="00FC656D">
      <w:pPr>
        <w:pStyle w:val="ListParagraph"/>
        <w:numPr>
          <w:ilvl w:val="0"/>
          <w:numId w:val="4"/>
        </w:numPr>
        <w:ind w:left="425" w:hanging="357"/>
        <w:jc w:val="both"/>
        <w:rPr>
          <w:rFonts w:ascii="Avenir Next" w:hAnsi="Avenir Next" w:cs="Arial"/>
          <w:sz w:val="22"/>
          <w:szCs w:val="22"/>
          <w:highlight w:val="yellow"/>
        </w:rPr>
      </w:pPr>
      <w:r w:rsidRPr="00D107F9">
        <w:rPr>
          <w:rFonts w:ascii="Avenir Next" w:hAnsi="Avenir Next" w:cs="Arial"/>
          <w:sz w:val="22"/>
          <w:szCs w:val="22"/>
          <w:highlight w:val="yellow"/>
        </w:rPr>
        <w:t xml:space="preserve">The statement is untrue since treaties and conventions are </w:t>
      </w:r>
      <w:r w:rsidR="00DA42DA" w:rsidRPr="00D107F9">
        <w:rPr>
          <w:rFonts w:ascii="Avenir Next" w:hAnsi="Avenir Next" w:cs="Arial"/>
          <w:sz w:val="22"/>
          <w:szCs w:val="22"/>
          <w:highlight w:val="yellow"/>
        </w:rPr>
        <w:t>“</w:t>
      </w:r>
      <w:r w:rsidRPr="00D107F9">
        <w:rPr>
          <w:rFonts w:ascii="Avenir Next" w:hAnsi="Avenir Next" w:cs="Arial"/>
          <w:sz w:val="22"/>
          <w:szCs w:val="22"/>
          <w:highlight w:val="yellow"/>
        </w:rPr>
        <w:t>soft law</w:t>
      </w:r>
      <w:r w:rsidR="00DA42DA" w:rsidRPr="00D107F9">
        <w:rPr>
          <w:rFonts w:ascii="Avenir Next" w:hAnsi="Avenir Next" w:cs="Arial"/>
          <w:sz w:val="22"/>
          <w:szCs w:val="22"/>
          <w:highlight w:val="yellow"/>
        </w:rPr>
        <w:t>”</w:t>
      </w:r>
      <w:r w:rsidRPr="00D107F9">
        <w:rPr>
          <w:rFonts w:ascii="Avenir Next" w:hAnsi="Avenir Next" w:cs="Arial"/>
          <w:sz w:val="22"/>
          <w:szCs w:val="22"/>
          <w:highlight w:val="yellow"/>
        </w:rPr>
        <w:t xml:space="preserve">, not </w:t>
      </w:r>
      <w:r w:rsidR="00DA42DA" w:rsidRPr="00D107F9">
        <w:rPr>
          <w:rFonts w:ascii="Avenir Next" w:hAnsi="Avenir Next" w:cs="Arial"/>
          <w:sz w:val="22"/>
          <w:szCs w:val="22"/>
          <w:highlight w:val="yellow"/>
        </w:rPr>
        <w:t>“</w:t>
      </w:r>
      <w:r w:rsidRPr="00D107F9">
        <w:rPr>
          <w:rFonts w:ascii="Avenir Next" w:hAnsi="Avenir Next" w:cs="Arial"/>
          <w:sz w:val="22"/>
          <w:szCs w:val="22"/>
          <w:highlight w:val="yellow"/>
        </w:rPr>
        <w:t>hard law</w:t>
      </w:r>
      <w:r w:rsidR="00DA42DA" w:rsidRPr="00D107F9">
        <w:rPr>
          <w:rFonts w:ascii="Avenir Next" w:hAnsi="Avenir Next" w:cs="Arial"/>
          <w:sz w:val="22"/>
          <w:szCs w:val="22"/>
          <w:highlight w:val="yellow"/>
        </w:rPr>
        <w:t>”</w:t>
      </w:r>
      <w:r w:rsidRPr="00D107F9">
        <w:rPr>
          <w:rFonts w:ascii="Avenir Next" w:hAnsi="Avenir Next" w:cs="Arial"/>
          <w:sz w:val="22"/>
          <w:szCs w:val="22"/>
          <w:highlight w:val="yellow"/>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FC656D">
      <w:pPr>
        <w:pStyle w:val="ListParagraph"/>
        <w:numPr>
          <w:ilvl w:val="0"/>
          <w:numId w:val="4"/>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FC656D">
      <w:pPr>
        <w:pStyle w:val="ListParagraph"/>
        <w:numPr>
          <w:ilvl w:val="0"/>
          <w:numId w:val="4"/>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FC656D">
      <w:pPr>
        <w:pStyle w:val="ListParagraph"/>
        <w:numPr>
          <w:ilvl w:val="0"/>
          <w:numId w:val="4"/>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FC656D">
      <w:pPr>
        <w:pStyle w:val="ListParagraph"/>
        <w:numPr>
          <w:ilvl w:val="0"/>
          <w:numId w:val="5"/>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FC656D">
      <w:pPr>
        <w:pStyle w:val="ListParagraph"/>
        <w:numPr>
          <w:ilvl w:val="0"/>
          <w:numId w:val="5"/>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Upholding the rights of creditors to assets, </w:t>
      </w:r>
      <w:proofErr w:type="gramStart"/>
      <w:r>
        <w:rPr>
          <w:rFonts w:ascii="Avenir Next" w:eastAsiaTheme="minorHAnsi" w:hAnsi="Avenir Next" w:cs="Arial"/>
          <w:sz w:val="22"/>
          <w:szCs w:val="22"/>
          <w:lang w:val="en-GB"/>
        </w:rPr>
        <w:t>investigating</w:t>
      </w:r>
      <w:proofErr w:type="gramEnd"/>
      <w:r>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FC656D">
      <w:pPr>
        <w:pStyle w:val="ListParagraph"/>
        <w:numPr>
          <w:ilvl w:val="0"/>
          <w:numId w:val="5"/>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FC656D">
      <w:pPr>
        <w:pStyle w:val="ListParagraph"/>
        <w:numPr>
          <w:ilvl w:val="0"/>
          <w:numId w:val="5"/>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EC28F5">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r w:rsidRPr="00DA42DA">
        <w:rPr>
          <w:rFonts w:ascii="Avenir Next" w:eastAsiaTheme="minorHAnsi" w:hAnsi="Avenir Next" w:cs="Arial"/>
          <w:sz w:val="22"/>
          <w:szCs w:val="22"/>
          <w:lang w:val="en-GB"/>
        </w:rPr>
        <w: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FC656D">
      <w:pPr>
        <w:pStyle w:val="ListParagraph"/>
        <w:numPr>
          <w:ilvl w:val="0"/>
          <w:numId w:val="3"/>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FC656D">
      <w:pPr>
        <w:pStyle w:val="ListParagraph"/>
        <w:numPr>
          <w:ilvl w:val="0"/>
          <w:numId w:val="3"/>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FC656D">
      <w:pPr>
        <w:pStyle w:val="ListParagraph"/>
        <w:numPr>
          <w:ilvl w:val="0"/>
          <w:numId w:val="3"/>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FB257C" w:rsidRDefault="00AD76EF" w:rsidP="00FC656D">
      <w:pPr>
        <w:pStyle w:val="ListParagraph"/>
        <w:numPr>
          <w:ilvl w:val="0"/>
          <w:numId w:val="3"/>
        </w:numPr>
        <w:ind w:left="426"/>
        <w:jc w:val="both"/>
        <w:rPr>
          <w:rFonts w:ascii="Avenir Next" w:hAnsi="Avenir Next" w:cs="Arial"/>
          <w:sz w:val="22"/>
          <w:szCs w:val="22"/>
          <w:highlight w:val="yellow"/>
        </w:rPr>
      </w:pPr>
      <w:r w:rsidRPr="00FB257C">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FB257C" w:rsidRDefault="008E5941" w:rsidP="00FC656D">
      <w:pPr>
        <w:pStyle w:val="ListParagraph"/>
        <w:numPr>
          <w:ilvl w:val="0"/>
          <w:numId w:val="7"/>
        </w:numPr>
        <w:ind w:left="426"/>
        <w:jc w:val="both"/>
        <w:rPr>
          <w:rFonts w:ascii="Avenir Next" w:eastAsiaTheme="minorHAnsi" w:hAnsi="Avenir Next" w:cs="Arial"/>
          <w:sz w:val="22"/>
          <w:szCs w:val="22"/>
          <w:highlight w:val="yellow"/>
          <w:lang w:val="en-GB"/>
        </w:rPr>
      </w:pPr>
      <w:r w:rsidRPr="00FB257C">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FC656D">
      <w:pPr>
        <w:pStyle w:val="ListParagraph"/>
        <w:numPr>
          <w:ilvl w:val="0"/>
          <w:numId w:val="7"/>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FC656D">
      <w:pPr>
        <w:pStyle w:val="ListParagraph"/>
        <w:numPr>
          <w:ilvl w:val="0"/>
          <w:numId w:val="7"/>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FC656D">
      <w:pPr>
        <w:pStyle w:val="ListParagraph"/>
        <w:numPr>
          <w:ilvl w:val="0"/>
          <w:numId w:val="7"/>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FC656D">
      <w:pPr>
        <w:pStyle w:val="ListParagraph"/>
        <w:numPr>
          <w:ilvl w:val="0"/>
          <w:numId w:val="8"/>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7A345D" w:rsidRDefault="009661DE" w:rsidP="00FC656D">
      <w:pPr>
        <w:pStyle w:val="ListParagraph"/>
        <w:numPr>
          <w:ilvl w:val="0"/>
          <w:numId w:val="8"/>
        </w:numPr>
        <w:ind w:left="426"/>
        <w:jc w:val="both"/>
        <w:rPr>
          <w:rFonts w:ascii="Avenir Next" w:hAnsi="Avenir Next" w:cs="Arial"/>
          <w:sz w:val="22"/>
          <w:szCs w:val="22"/>
          <w:highlight w:val="yellow"/>
        </w:rPr>
      </w:pPr>
      <w:r w:rsidRPr="007A345D">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FC656D">
      <w:pPr>
        <w:pStyle w:val="ListParagraph"/>
        <w:numPr>
          <w:ilvl w:val="0"/>
          <w:numId w:val="8"/>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FC656D">
      <w:pPr>
        <w:pStyle w:val="ListParagraph"/>
        <w:numPr>
          <w:ilvl w:val="0"/>
          <w:numId w:val="8"/>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1C1687" w:rsidRDefault="001C1687" w:rsidP="009661DE">
      <w:pPr>
        <w:autoSpaceDE w:val="0"/>
        <w:autoSpaceDN w:val="0"/>
        <w:adjustRightInd w:val="0"/>
        <w:jc w:val="both"/>
        <w:rPr>
          <w:rFonts w:ascii="Avenir Next" w:hAnsi="Avenir Next" w:cs="Arial"/>
          <w:sz w:val="22"/>
          <w:szCs w:val="22"/>
        </w:rPr>
      </w:pPr>
    </w:p>
    <w:p w14:paraId="7EC48236" w14:textId="526AD762" w:rsidR="001C1687" w:rsidRPr="006746A0" w:rsidRDefault="001C1687" w:rsidP="009661DE">
      <w:pPr>
        <w:autoSpaceDE w:val="0"/>
        <w:autoSpaceDN w:val="0"/>
        <w:adjustRightInd w:val="0"/>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1.10 </w:t>
      </w:r>
    </w:p>
    <w:p w14:paraId="2C8F621B" w14:textId="77777777" w:rsidR="001C1687" w:rsidRPr="006746A0" w:rsidRDefault="001C1687"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FC656D">
      <w:pPr>
        <w:pStyle w:val="ListParagraph"/>
        <w:numPr>
          <w:ilvl w:val="0"/>
          <w:numId w:val="9"/>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FC656D">
      <w:pPr>
        <w:pStyle w:val="ListParagraph"/>
        <w:numPr>
          <w:ilvl w:val="0"/>
          <w:numId w:val="9"/>
        </w:numPr>
        <w:ind w:left="426"/>
        <w:jc w:val="both"/>
        <w:rPr>
          <w:rFonts w:ascii="Avenir Next" w:hAnsi="Avenir Next" w:cs="Arial"/>
          <w:sz w:val="22"/>
          <w:szCs w:val="22"/>
        </w:rPr>
      </w:pPr>
      <w:r w:rsidRPr="007A345D">
        <w:rPr>
          <w:rFonts w:ascii="Avenir Next" w:hAnsi="Avenir Next" w:cs="Arial"/>
          <w:sz w:val="22"/>
          <w:szCs w:val="22"/>
          <w:highlight w:val="yellow"/>
        </w:rPr>
        <w:t xml:space="preserve">This statement is untrue because universalism corresponds well to </w:t>
      </w:r>
      <w:proofErr w:type="spellStart"/>
      <w:r w:rsidRPr="007A345D">
        <w:rPr>
          <w:rFonts w:ascii="Avenir Next" w:hAnsi="Avenir Next" w:cs="Arial"/>
          <w:sz w:val="22"/>
          <w:szCs w:val="22"/>
          <w:highlight w:val="yellow"/>
        </w:rPr>
        <w:t>globali</w:t>
      </w:r>
      <w:r w:rsidR="00142E15" w:rsidRPr="007A345D">
        <w:rPr>
          <w:rFonts w:ascii="Avenir Next" w:hAnsi="Avenir Next" w:cs="Arial"/>
          <w:sz w:val="22"/>
          <w:szCs w:val="22"/>
          <w:highlight w:val="yellow"/>
        </w:rPr>
        <w:t>s</w:t>
      </w:r>
      <w:r w:rsidRPr="007A345D">
        <w:rPr>
          <w:rFonts w:ascii="Avenir Next" w:hAnsi="Avenir Next" w:cs="Arial"/>
          <w:sz w:val="22"/>
          <w:szCs w:val="22"/>
          <w:highlight w:val="yellow"/>
        </w:rPr>
        <w:t>ation</w:t>
      </w:r>
      <w:proofErr w:type="spellEnd"/>
      <w:r w:rsidRPr="007A345D">
        <w:rPr>
          <w:rFonts w:ascii="Avenir Next" w:hAnsi="Avenir Next" w:cs="Arial"/>
          <w:sz w:val="22"/>
          <w:szCs w:val="22"/>
          <w:highlight w:val="yellow"/>
        </w:rPr>
        <w:t xml:space="preserve"> and opponents of universalism are more concerned with the impacts of universalism upon domestic markets</w:t>
      </w:r>
      <w:r w:rsidRPr="00DA42DA">
        <w:rPr>
          <w:rFonts w:ascii="Avenir Next" w:hAnsi="Avenir Next" w:cs="Arial"/>
          <w:sz w:val="22"/>
          <w:szCs w:val="22"/>
        </w:rPr>
        <w:t xml:space="preserve">.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FC656D">
      <w:pPr>
        <w:pStyle w:val="ListParagraph"/>
        <w:numPr>
          <w:ilvl w:val="0"/>
          <w:numId w:val="9"/>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FC656D">
      <w:pPr>
        <w:pStyle w:val="ListParagraph"/>
        <w:numPr>
          <w:ilvl w:val="0"/>
          <w:numId w:val="9"/>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036B43" w:rsidRPr="003B3A0D" w:rsidRDefault="00036B43" w:rsidP="008071D5">
      <w:pPr>
        <w:jc w:val="both"/>
        <w:rPr>
          <w:rFonts w:ascii="Avenir Next" w:hAnsi="Avenir Next" w:cs="Arial"/>
          <w:b/>
          <w:sz w:val="22"/>
          <w:szCs w:val="22"/>
        </w:rPr>
      </w:pPr>
    </w:p>
    <w:p w14:paraId="456CAB41" w14:textId="77777777" w:rsidR="00983C0E" w:rsidRDefault="00983C0E">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4FC20A3B" w14:textId="4C391879"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QUESTION 2 (direct questions) [10 marks] </w:t>
      </w:r>
    </w:p>
    <w:p w14:paraId="620F47E2" w14:textId="77777777" w:rsidR="00036B43" w:rsidRPr="00692852" w:rsidRDefault="00036B43" w:rsidP="00036B43">
      <w:pPr>
        <w:ind w:left="720" w:hanging="720"/>
        <w:jc w:val="both"/>
        <w:rPr>
          <w:rFonts w:ascii="Avenir Next Demi Bold" w:hAnsi="Avenir Next Demi Bold" w:cs="Arial"/>
          <w:b/>
          <w:sz w:val="22"/>
          <w:szCs w:val="22"/>
          <w:lang w:val="en-GB"/>
        </w:rPr>
      </w:pPr>
    </w:p>
    <w:p w14:paraId="40595AA6" w14:textId="574B05E1" w:rsidR="00036B43" w:rsidRPr="006746A0" w:rsidRDefault="00036B43" w:rsidP="00036B43">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2.1</w:t>
      </w:r>
      <w:r w:rsidRPr="006746A0">
        <w:rPr>
          <w:rFonts w:ascii="Avenir Next Demi Bold" w:hAnsi="Avenir Next Demi Bold" w:cs="Arial"/>
          <w:b/>
          <w:bCs/>
          <w:sz w:val="22"/>
          <w:szCs w:val="22"/>
          <w:lang w:val="en-GB"/>
        </w:rPr>
        <w:tab/>
        <w:t xml:space="preserve">[maximum </w:t>
      </w:r>
      <w:r w:rsidR="00567AD7" w:rsidRPr="00692852">
        <w:rPr>
          <w:rFonts w:ascii="Avenir Next Demi Bold" w:hAnsi="Avenir Next Demi Bold" w:cs="Arial"/>
          <w:b/>
          <w:bCs/>
          <w:sz w:val="22"/>
          <w:szCs w:val="22"/>
          <w:lang w:val="en-GB"/>
        </w:rPr>
        <w:t>3</w:t>
      </w:r>
      <w:r w:rsidRPr="006746A0">
        <w:rPr>
          <w:rFonts w:ascii="Avenir Next Demi Bold" w:hAnsi="Avenir Next Demi Bold" w:cs="Arial"/>
          <w:b/>
          <w:bCs/>
          <w:sz w:val="22"/>
          <w:szCs w:val="22"/>
          <w:lang w:val="en-GB"/>
        </w:rPr>
        <w:t xml:space="preserve"> marks] </w:t>
      </w:r>
    </w:p>
    <w:p w14:paraId="36EB02DF" w14:textId="77777777" w:rsidR="00036B43" w:rsidRPr="006746A0" w:rsidRDefault="00036B43" w:rsidP="00036B43">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w:t>
      </w:r>
      <w:bookmarkStart w:id="0" w:name="_Hlk146202056"/>
      <w:r>
        <w:rPr>
          <w:rFonts w:ascii="Avenir Next" w:hAnsi="Avenir Next" w:cs="Arial"/>
          <w:sz w:val="22"/>
          <w:szCs w:val="22"/>
          <w:lang w:val="en-GB"/>
        </w:rPr>
        <w:t xml:space="preserve">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in English law</w:t>
      </w:r>
      <w:bookmarkEnd w:id="0"/>
      <w:r>
        <w:rPr>
          <w:rFonts w:ascii="Avenir Next" w:hAnsi="Avenir Next" w:cs="Arial"/>
          <w:sz w:val="22"/>
          <w:szCs w:val="22"/>
          <w:lang w:val="en-GB"/>
        </w:rPr>
        <w:t xml:space="preserve">. </w:t>
      </w:r>
    </w:p>
    <w:p w14:paraId="1EC42C83" w14:textId="77777777" w:rsidR="00983C0E" w:rsidRDefault="00983C0E" w:rsidP="00983C0E">
      <w:pPr>
        <w:jc w:val="both"/>
        <w:rPr>
          <w:rFonts w:ascii="Avenir Next" w:hAnsi="Avenir Next" w:cs="Arial"/>
          <w:color w:val="808080" w:themeColor="background1" w:themeShade="80"/>
          <w:sz w:val="22"/>
          <w:szCs w:val="22"/>
          <w:lang w:val="en-GB"/>
        </w:rPr>
      </w:pPr>
    </w:p>
    <w:p w14:paraId="164B4B72" w14:textId="74F2B985" w:rsidR="00BB0EF6" w:rsidRDefault="00BB0EF6" w:rsidP="00FE01EC">
      <w:pPr>
        <w:spacing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Common law jurisdictions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those based on the English common law system) are able to develop their insolvency through judge-made law, which enables more flexibility in adaption to individual circumstances and macro-economic developments. For example, in circumstances in which there has been an absence of legislative development, this enables the judiciary to adapt the law (within established parameters) to novel and developing situations. A good example of this is, in Hong Kong, where despite considerable discussion around updating the legislative framework for insolvency processes, the existing laws are somewhat out of date, which led to a lacuna in the ability to recognise foreign proceedings – but the application of common law principles </w:t>
      </w:r>
      <w:r w:rsidR="00A763DE">
        <w:rPr>
          <w:rFonts w:ascii="Avenir Next" w:hAnsi="Avenir Next" w:cs="Arial"/>
          <w:color w:val="808080" w:themeColor="background1" w:themeShade="80"/>
          <w:sz w:val="22"/>
          <w:szCs w:val="22"/>
          <w:lang w:val="en-GB"/>
        </w:rPr>
        <w:t>has given</w:t>
      </w:r>
      <w:r>
        <w:rPr>
          <w:rFonts w:ascii="Avenir Next" w:hAnsi="Avenir Next" w:cs="Arial"/>
          <w:color w:val="808080" w:themeColor="background1" w:themeShade="80"/>
          <w:sz w:val="22"/>
          <w:szCs w:val="22"/>
          <w:lang w:val="en-GB"/>
        </w:rPr>
        <w:t xml:space="preserve"> the HK Courts flexibility to in</w:t>
      </w:r>
      <w:r w:rsidR="00A763DE">
        <w:rPr>
          <w:rFonts w:ascii="Avenir Next" w:hAnsi="Avenir Next" w:cs="Arial"/>
          <w:color w:val="808080" w:themeColor="background1" w:themeShade="80"/>
          <w:sz w:val="22"/>
          <w:szCs w:val="22"/>
          <w:lang w:val="en-GB"/>
        </w:rPr>
        <w:t>corporate principles</w:t>
      </w:r>
      <w:r>
        <w:rPr>
          <w:rFonts w:ascii="Avenir Next" w:hAnsi="Avenir Next" w:cs="Arial"/>
          <w:color w:val="808080" w:themeColor="background1" w:themeShade="80"/>
          <w:sz w:val="22"/>
          <w:szCs w:val="22"/>
          <w:lang w:val="en-GB"/>
        </w:rPr>
        <w:t xml:space="preserve"> </w:t>
      </w:r>
      <w:r w:rsidR="00A763DE">
        <w:rPr>
          <w:rFonts w:ascii="Avenir Next" w:hAnsi="Avenir Next" w:cs="Arial"/>
          <w:color w:val="808080" w:themeColor="background1" w:themeShade="80"/>
          <w:sz w:val="22"/>
          <w:szCs w:val="22"/>
          <w:lang w:val="en-GB"/>
        </w:rPr>
        <w:t>and/or enable applications to be granted to circumstances that, on the face of the legislation, might not have been immediately available.</w:t>
      </w:r>
    </w:p>
    <w:p w14:paraId="3A11908D" w14:textId="7CF95973" w:rsidR="00BB0EF6" w:rsidRDefault="00A763D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Civil law systems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those of Continental Europe), are stricter with respect to the application of legislation and arguably less adaptive. However, it is worth noting that this stricter application of legislation</w:t>
      </w:r>
      <w:r w:rsidR="002D4B81">
        <w:rPr>
          <w:rFonts w:ascii="Avenir Next" w:hAnsi="Avenir Next" w:cs="Arial"/>
          <w:color w:val="808080" w:themeColor="background1" w:themeShade="80"/>
          <w:sz w:val="22"/>
          <w:szCs w:val="22"/>
          <w:lang w:val="en-GB"/>
        </w:rPr>
        <w:t xml:space="preserve"> can also</w:t>
      </w:r>
      <w:r>
        <w:rPr>
          <w:rFonts w:ascii="Avenir Next" w:hAnsi="Avenir Next" w:cs="Arial"/>
          <w:color w:val="808080" w:themeColor="background1" w:themeShade="80"/>
          <w:sz w:val="22"/>
          <w:szCs w:val="22"/>
          <w:lang w:val="en-GB"/>
        </w:rPr>
        <w:t xml:space="preserve"> create a greater degree of certainty as to what the law of insolvency is and how it will be applied to</w:t>
      </w:r>
      <w:r w:rsidR="002D4B81">
        <w:rPr>
          <w:rFonts w:ascii="Avenir Next" w:hAnsi="Avenir Next" w:cs="Arial"/>
          <w:color w:val="808080" w:themeColor="background1" w:themeShade="80"/>
          <w:sz w:val="22"/>
          <w:szCs w:val="22"/>
          <w:lang w:val="en-GB"/>
        </w:rPr>
        <w:t xml:space="preserve"> both debtor</w:t>
      </w:r>
      <w:r>
        <w:rPr>
          <w:rFonts w:ascii="Avenir Next" w:hAnsi="Avenir Next" w:cs="Arial"/>
          <w:color w:val="808080" w:themeColor="background1" w:themeShade="80"/>
          <w:sz w:val="22"/>
          <w:szCs w:val="22"/>
          <w:lang w:val="en-GB"/>
        </w:rPr>
        <w:t xml:space="preserve"> persons and companies. </w:t>
      </w:r>
      <w:r w:rsidR="002D4B81">
        <w:rPr>
          <w:rFonts w:ascii="Avenir Next" w:hAnsi="Avenir Next" w:cs="Arial"/>
          <w:color w:val="808080" w:themeColor="background1" w:themeShade="80"/>
          <w:sz w:val="22"/>
          <w:szCs w:val="22"/>
          <w:lang w:val="en-GB"/>
        </w:rPr>
        <w:t xml:space="preserve"> </w:t>
      </w:r>
    </w:p>
    <w:p w14:paraId="0B3F469C" w14:textId="77777777" w:rsidR="00BB0EF6" w:rsidRPr="00DA42DA" w:rsidRDefault="00BB0EF6" w:rsidP="00983C0E">
      <w:pPr>
        <w:spacing w:after="120"/>
        <w:jc w:val="both"/>
        <w:rPr>
          <w:rFonts w:ascii="Avenir Next" w:hAnsi="Avenir Next" w:cs="Arial"/>
          <w:color w:val="808080" w:themeColor="background1" w:themeShade="80"/>
          <w:sz w:val="22"/>
          <w:szCs w:val="22"/>
          <w:lang w:val="en-GB"/>
        </w:rPr>
      </w:pPr>
    </w:p>
    <w:p w14:paraId="10614297" w14:textId="0D2CD24A" w:rsidR="00036B43" w:rsidRPr="00692852" w:rsidRDefault="00036B43" w:rsidP="00036B43">
      <w:pPr>
        <w:ind w:left="720" w:hanging="720"/>
        <w:jc w:val="both"/>
        <w:rPr>
          <w:rFonts w:ascii="Avenir Next Demi Bold" w:hAnsi="Avenir Next Demi Bold" w:cs="Arial"/>
          <w:b/>
          <w:sz w:val="22"/>
          <w:szCs w:val="22"/>
          <w:lang w:val="en-GB"/>
        </w:rPr>
      </w:pPr>
      <w:r w:rsidRPr="00692852">
        <w:rPr>
          <w:rFonts w:ascii="Avenir Next Demi Bold" w:hAnsi="Avenir Next Demi Bold" w:cs="Arial"/>
          <w:b/>
          <w:sz w:val="22"/>
          <w:szCs w:val="22"/>
          <w:lang w:val="en-GB"/>
        </w:rPr>
        <w:t>Question 2.2</w:t>
      </w:r>
      <w:r w:rsidRPr="00692852">
        <w:rPr>
          <w:rFonts w:ascii="Avenir Next Demi Bold" w:hAnsi="Avenir Next Demi Bold" w:cs="Arial"/>
          <w:b/>
          <w:sz w:val="22"/>
          <w:szCs w:val="22"/>
          <w:lang w:val="en-GB"/>
        </w:rPr>
        <w:tab/>
        <w:t xml:space="preserve">[maximum 3 marks] </w:t>
      </w:r>
    </w:p>
    <w:p w14:paraId="1C61515B" w14:textId="77777777" w:rsidR="00036B43" w:rsidRPr="004216EA" w:rsidRDefault="00036B43" w:rsidP="00036B43">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09421639" w:rsidR="00DA42DA" w:rsidRPr="000E49DF" w:rsidRDefault="00C277D6" w:rsidP="00FE01EC">
      <w:pPr>
        <w:spacing w:after="120"/>
        <w:jc w:val="both"/>
        <w:rPr>
          <w:rFonts w:ascii="Avenir Next" w:hAnsi="Avenir Next" w:cs="Arial"/>
          <w:color w:val="808080" w:themeColor="background1" w:themeShade="80"/>
          <w:sz w:val="22"/>
          <w:szCs w:val="22"/>
          <w:lang w:val="en-GB"/>
        </w:rPr>
      </w:pPr>
      <w:r w:rsidRPr="000E49DF">
        <w:rPr>
          <w:rFonts w:ascii="Avenir Next" w:hAnsi="Avenir Next" w:cs="Arial"/>
          <w:color w:val="808080" w:themeColor="background1" w:themeShade="80"/>
          <w:sz w:val="22"/>
          <w:szCs w:val="22"/>
          <w:lang w:val="en-GB"/>
        </w:rPr>
        <w:t xml:space="preserve">The principle of </w:t>
      </w:r>
      <w:r w:rsidRPr="000E49DF">
        <w:rPr>
          <w:rFonts w:ascii="Avenir Next" w:hAnsi="Avenir Next" w:cs="Arial"/>
          <w:b/>
          <w:bCs/>
          <w:color w:val="808080" w:themeColor="background1" w:themeShade="80"/>
          <w:sz w:val="22"/>
          <w:szCs w:val="22"/>
          <w:lang w:val="en-GB"/>
        </w:rPr>
        <w:t>universalism</w:t>
      </w:r>
      <w:r w:rsidRPr="000E49DF">
        <w:rPr>
          <w:rFonts w:ascii="Avenir Next" w:hAnsi="Avenir Next" w:cs="Arial"/>
          <w:color w:val="808080" w:themeColor="background1" w:themeShade="80"/>
          <w:sz w:val="22"/>
          <w:szCs w:val="22"/>
          <w:lang w:val="en-GB"/>
        </w:rPr>
        <w:t xml:space="preserve"> propounds that there should be only one insolvency proceeding, worldwide, relevant to a particular debtor’s assets and debts.  Ideally, this would involve there being only one jurisdiction that has power to deal with the matter, and that would be the place where the debtor’s interests are most centrally located. Under this approach, the insolvency practitioner appointed to the proceeding would have the ability to control and obtain all the debtor’s assets, no matter where in the world those assets are located. </w:t>
      </w:r>
    </w:p>
    <w:p w14:paraId="4258258C" w14:textId="1510837F" w:rsidR="00C277D6" w:rsidRPr="000E49DF" w:rsidRDefault="00C277D6" w:rsidP="00FE01EC">
      <w:pPr>
        <w:spacing w:after="120"/>
        <w:jc w:val="both"/>
        <w:rPr>
          <w:rFonts w:ascii="Avenir Next" w:hAnsi="Avenir Next" w:cs="Arial"/>
          <w:color w:val="808080" w:themeColor="background1" w:themeShade="80"/>
          <w:sz w:val="22"/>
          <w:szCs w:val="22"/>
          <w:lang w:val="en-GB"/>
        </w:rPr>
      </w:pPr>
      <w:r w:rsidRPr="000E49DF">
        <w:rPr>
          <w:rFonts w:ascii="Avenir Next" w:hAnsi="Avenir Next" w:cs="Arial"/>
          <w:color w:val="808080" w:themeColor="background1" w:themeShade="80"/>
          <w:sz w:val="22"/>
          <w:szCs w:val="22"/>
          <w:lang w:val="en-GB"/>
        </w:rPr>
        <w:t xml:space="preserve">Conversely, the principle of </w:t>
      </w:r>
      <w:r w:rsidRPr="000E49DF">
        <w:rPr>
          <w:rFonts w:ascii="Avenir Next" w:hAnsi="Avenir Next" w:cs="Arial"/>
          <w:b/>
          <w:bCs/>
          <w:color w:val="808080" w:themeColor="background1" w:themeShade="80"/>
          <w:sz w:val="22"/>
          <w:szCs w:val="22"/>
          <w:lang w:val="en-GB"/>
        </w:rPr>
        <w:t>territorialism</w:t>
      </w:r>
      <w:r w:rsidRPr="000E49DF">
        <w:rPr>
          <w:rFonts w:ascii="Avenir Next" w:hAnsi="Avenir Next" w:cs="Arial"/>
          <w:color w:val="808080" w:themeColor="background1" w:themeShade="80"/>
          <w:sz w:val="22"/>
          <w:szCs w:val="22"/>
          <w:lang w:val="en-GB"/>
        </w:rPr>
        <w:t xml:space="preserve"> suggests that insolvency proceedings should be brought in each jurisdiction in which the debtor holds assets – but that they should be territorially restricted to property within that State. This approach is focused on local interest and creditors which operate within the domestic market. A strict approach to territorialism causes difficulties, however, in the context of a cross-border insolvency proceeding.</w:t>
      </w:r>
    </w:p>
    <w:p w14:paraId="3283336C" w14:textId="3C4D97A9" w:rsidR="00C277D6" w:rsidRPr="000E49DF" w:rsidRDefault="00C277D6" w:rsidP="00FE01EC">
      <w:pPr>
        <w:spacing w:after="120"/>
        <w:jc w:val="both"/>
        <w:rPr>
          <w:rFonts w:ascii="Avenir Next" w:hAnsi="Avenir Next" w:cs="Arial"/>
          <w:color w:val="808080" w:themeColor="background1" w:themeShade="80"/>
          <w:sz w:val="22"/>
          <w:szCs w:val="22"/>
          <w:lang w:val="en-GB"/>
        </w:rPr>
      </w:pPr>
      <w:r w:rsidRPr="000E49DF">
        <w:rPr>
          <w:rFonts w:ascii="Avenir Next" w:hAnsi="Avenir Next" w:cs="Arial"/>
          <w:color w:val="808080" w:themeColor="background1" w:themeShade="80"/>
          <w:sz w:val="22"/>
          <w:szCs w:val="22"/>
          <w:lang w:val="en-GB"/>
        </w:rPr>
        <w:t xml:space="preserve">Meanwhile, </w:t>
      </w:r>
      <w:r w:rsidRPr="009D65D4">
        <w:rPr>
          <w:rFonts w:ascii="Avenir Next" w:hAnsi="Avenir Next" w:cs="Arial"/>
          <w:b/>
          <w:bCs/>
          <w:color w:val="808080" w:themeColor="background1" w:themeShade="80"/>
          <w:sz w:val="22"/>
          <w:szCs w:val="22"/>
          <w:lang w:val="en-GB"/>
        </w:rPr>
        <w:t>m</w:t>
      </w:r>
      <w:r w:rsidRPr="000E49DF">
        <w:rPr>
          <w:rFonts w:ascii="Avenir Next" w:hAnsi="Avenir Next" w:cs="Arial"/>
          <w:b/>
          <w:bCs/>
          <w:color w:val="808080" w:themeColor="background1" w:themeShade="80"/>
          <w:sz w:val="22"/>
          <w:szCs w:val="22"/>
          <w:lang w:val="en-GB"/>
        </w:rPr>
        <w:t>odified universalism</w:t>
      </w:r>
      <w:r w:rsidRPr="000E49DF">
        <w:rPr>
          <w:rFonts w:ascii="Avenir Next" w:hAnsi="Avenir Next" w:cs="Arial"/>
          <w:color w:val="808080" w:themeColor="background1" w:themeShade="80"/>
          <w:sz w:val="22"/>
          <w:szCs w:val="22"/>
          <w:lang w:val="en-GB"/>
        </w:rPr>
        <w:t xml:space="preserve"> sits somewhere in the middle. This approach places the “main proceeding” of the insolvency procedure in the place determined to be the centre of main interests, and the wider process is then supported by secondary proceedings that may be conducted outside of the jurisdiction</w:t>
      </w:r>
      <w:r w:rsidR="000E7393" w:rsidRPr="000E49DF">
        <w:rPr>
          <w:rFonts w:ascii="Avenir Next" w:hAnsi="Avenir Next" w:cs="Arial"/>
          <w:color w:val="808080" w:themeColor="background1" w:themeShade="80"/>
          <w:sz w:val="22"/>
          <w:szCs w:val="22"/>
          <w:lang w:val="en-GB"/>
        </w:rPr>
        <w:t>. Under such an approach, the Courts of different jurisdictions are intended to cooperate with each other with respect to the management of the proceeding.</w:t>
      </w:r>
    </w:p>
    <w:p w14:paraId="79BBDF4D" w14:textId="77777777" w:rsidR="00C277D6" w:rsidRDefault="00C277D6" w:rsidP="00DA42DA">
      <w:pPr>
        <w:jc w:val="both"/>
        <w:rPr>
          <w:rFonts w:ascii="Avenir Next" w:hAnsi="Avenir Next" w:cs="Arial"/>
          <w:color w:val="808080" w:themeColor="background1" w:themeShade="80"/>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bookmarkStart w:id="1" w:name="_Hlk146207152"/>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bookmarkEnd w:id="1"/>
    <w:p w14:paraId="1C5F3F90" w14:textId="77777777" w:rsidR="00FF0D81" w:rsidRPr="004216EA" w:rsidRDefault="00FF0D81" w:rsidP="00692852">
      <w:pPr>
        <w:jc w:val="both"/>
        <w:rPr>
          <w:rFonts w:ascii="Avenir Next" w:hAnsi="Avenir Next" w:cs="Arial"/>
          <w:sz w:val="22"/>
          <w:szCs w:val="22"/>
          <w:lang w:val="en-GB"/>
        </w:rPr>
      </w:pPr>
    </w:p>
    <w:p w14:paraId="29AAA467" w14:textId="0F8C81D9" w:rsidR="000A6C19" w:rsidRDefault="000A6C19" w:rsidP="00036B43">
      <w:pPr>
        <w:jc w:val="both"/>
        <w:rPr>
          <w:rFonts w:ascii="Avenir Next" w:hAnsi="Avenir Next" w:cs="Arial"/>
          <w:color w:val="808080" w:themeColor="background1" w:themeShade="80"/>
          <w:sz w:val="22"/>
          <w:szCs w:val="22"/>
          <w:lang w:val="en-GB"/>
        </w:rPr>
      </w:pPr>
      <w:r w:rsidRPr="000A6C19">
        <w:rPr>
          <w:rFonts w:ascii="Avenir Next" w:hAnsi="Avenir Next" w:cs="Arial"/>
          <w:color w:val="808080" w:themeColor="background1" w:themeShade="80"/>
          <w:sz w:val="22"/>
          <w:szCs w:val="22"/>
          <w:lang w:val="en-GB"/>
        </w:rPr>
        <w:t>In 2008 the Constitutive Treaty of the South American Union (UNASUR) was signed and by 2011 9 countries had signed the agreement. That agreement aimed to establish a system of supra-national law along the lines of the European Union. However</w:t>
      </w:r>
      <w:r>
        <w:rPr>
          <w:rFonts w:ascii="Avenir Next" w:hAnsi="Avenir Next" w:cs="Arial"/>
          <w:color w:val="808080" w:themeColor="background1" w:themeShade="80"/>
          <w:sz w:val="22"/>
          <w:szCs w:val="22"/>
          <w:lang w:val="en-GB"/>
        </w:rPr>
        <w:t>,</w:t>
      </w:r>
      <w:r w:rsidRPr="000A6C19">
        <w:rPr>
          <w:rFonts w:ascii="Avenir Next" w:hAnsi="Avenir Next" w:cs="Arial"/>
          <w:color w:val="808080" w:themeColor="background1" w:themeShade="80"/>
          <w:sz w:val="22"/>
          <w:szCs w:val="22"/>
          <w:lang w:val="en-GB"/>
        </w:rPr>
        <w:t xml:space="preserve"> many countries have subsequently renounced the treaty including Brazil and Argentina and continental bankruptcy law reforms are therefore not presently in progress. The most significant changes to national insolvency law were enacted in Brazil in 2020 and were aimed at modernizing the bankruptcy framework. These amendments include the introduction of measure related to recognition of foreign proceedings and provisions for DIP financing.</w:t>
      </w:r>
    </w:p>
    <w:p w14:paraId="3017BA24" w14:textId="77777777" w:rsidR="000A6C19" w:rsidRDefault="000A6C19" w:rsidP="00036B43">
      <w:pPr>
        <w:jc w:val="both"/>
        <w:rPr>
          <w:rFonts w:ascii="Avenir Next" w:hAnsi="Avenir Next" w:cs="Arial"/>
          <w:color w:val="808080" w:themeColor="background1" w:themeShade="80"/>
          <w:sz w:val="22"/>
          <w:szCs w:val="22"/>
          <w:lang w:val="en-GB"/>
        </w:rPr>
      </w:pPr>
    </w:p>
    <w:p w14:paraId="2F88009E" w14:textId="77777777" w:rsidR="000A6C19" w:rsidRDefault="000A6C19" w:rsidP="00036B43">
      <w:pPr>
        <w:jc w:val="both"/>
        <w:rPr>
          <w:rFonts w:ascii="Avenir Next" w:hAnsi="Avenir Next" w:cs="Arial"/>
          <w:color w:val="808080" w:themeColor="background1" w:themeShade="80"/>
          <w:sz w:val="22"/>
          <w:szCs w:val="22"/>
          <w:lang w:val="en-GB"/>
        </w:rPr>
      </w:pPr>
    </w:p>
    <w:p w14:paraId="170A9E71" w14:textId="194CB9FE"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QUESTION 3 (essay-type questions) [15 marks in total] </w:t>
      </w:r>
    </w:p>
    <w:p w14:paraId="0D6D151E" w14:textId="2D3B870E" w:rsidR="00036B43" w:rsidRPr="00E17BF1" w:rsidRDefault="00036B43" w:rsidP="00036B43">
      <w:pPr>
        <w:jc w:val="both"/>
        <w:rPr>
          <w:rFonts w:ascii="Avenir Next Demi Bold" w:hAnsi="Avenir Next Demi Bold" w:cs="Arial"/>
          <w:b/>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03EBA3D3" w:rsidR="00DA42DA" w:rsidRDefault="004C3178" w:rsidP="00FE01EC">
      <w:pPr>
        <w:spacing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insolvency and bankruptcy are used synonymously in various insolvency systems, there are certain differences that are worth noting. </w:t>
      </w:r>
      <w:r w:rsidR="006104E3">
        <w:rPr>
          <w:rFonts w:ascii="Avenir Next" w:hAnsi="Avenir Next" w:cs="Arial"/>
          <w:color w:val="808080" w:themeColor="background1" w:themeShade="80"/>
          <w:sz w:val="22"/>
          <w:szCs w:val="22"/>
          <w:lang w:val="en-GB"/>
        </w:rPr>
        <w:t xml:space="preserve"> As a general observation, ba</w:t>
      </w:r>
      <w:r w:rsidR="006104E3" w:rsidRPr="006104E3">
        <w:rPr>
          <w:rFonts w:ascii="Avenir Next" w:hAnsi="Avenir Next" w:cs="Arial"/>
          <w:color w:val="808080" w:themeColor="background1" w:themeShade="80"/>
          <w:sz w:val="22"/>
          <w:szCs w:val="22"/>
          <w:lang w:val="en-GB"/>
        </w:rPr>
        <w:t xml:space="preserve">nkruptcy </w:t>
      </w:r>
      <w:r w:rsidR="006104E3">
        <w:rPr>
          <w:rFonts w:ascii="Avenir Next" w:hAnsi="Avenir Next" w:cs="Arial"/>
          <w:color w:val="808080" w:themeColor="background1" w:themeShade="80"/>
          <w:sz w:val="22"/>
          <w:szCs w:val="22"/>
          <w:lang w:val="en-GB"/>
        </w:rPr>
        <w:t xml:space="preserve">commonly refers to a </w:t>
      </w:r>
      <w:r w:rsidR="006104E3" w:rsidRPr="006104E3">
        <w:rPr>
          <w:rFonts w:ascii="Avenir Next" w:hAnsi="Avenir Next" w:cs="Arial"/>
          <w:color w:val="808080" w:themeColor="background1" w:themeShade="80"/>
          <w:sz w:val="22"/>
          <w:szCs w:val="22"/>
          <w:lang w:val="en-GB"/>
        </w:rPr>
        <w:t>legal process or court order</w:t>
      </w:r>
      <w:r w:rsidR="006104E3">
        <w:rPr>
          <w:rFonts w:ascii="Avenir Next" w:hAnsi="Avenir Next" w:cs="Arial"/>
          <w:color w:val="808080" w:themeColor="background1" w:themeShade="80"/>
          <w:sz w:val="22"/>
          <w:szCs w:val="22"/>
          <w:lang w:val="en-GB"/>
        </w:rPr>
        <w:t xml:space="preserve"> as to the bankrupt estate of a debtor</w:t>
      </w:r>
      <w:r w:rsidR="006104E3" w:rsidRPr="006104E3">
        <w:rPr>
          <w:rFonts w:ascii="Avenir Next" w:hAnsi="Avenir Next" w:cs="Arial"/>
          <w:color w:val="808080" w:themeColor="background1" w:themeShade="80"/>
          <w:sz w:val="22"/>
          <w:szCs w:val="22"/>
          <w:lang w:val="en-GB"/>
        </w:rPr>
        <w:t xml:space="preserve">, while insolvency </w:t>
      </w:r>
      <w:r w:rsidR="006104E3">
        <w:rPr>
          <w:rFonts w:ascii="Avenir Next" w:hAnsi="Avenir Next" w:cs="Arial"/>
          <w:color w:val="808080" w:themeColor="background1" w:themeShade="80"/>
          <w:sz w:val="22"/>
          <w:szCs w:val="22"/>
          <w:lang w:val="en-GB"/>
        </w:rPr>
        <w:t>often concerns procedures relevant to, commonly, corporations, in</w:t>
      </w:r>
      <w:r w:rsidR="006104E3" w:rsidRPr="006104E3">
        <w:rPr>
          <w:rFonts w:ascii="Avenir Next" w:hAnsi="Avenir Next" w:cs="Arial"/>
          <w:color w:val="808080" w:themeColor="background1" w:themeShade="80"/>
          <w:sz w:val="22"/>
          <w:szCs w:val="22"/>
          <w:lang w:val="en-GB"/>
        </w:rPr>
        <w:t xml:space="preserve"> a state of financial distres</w:t>
      </w:r>
      <w:r w:rsidR="006104E3">
        <w:rPr>
          <w:rFonts w:ascii="Avenir Next" w:hAnsi="Avenir Next" w:cs="Arial"/>
          <w:color w:val="808080" w:themeColor="background1" w:themeShade="80"/>
          <w:sz w:val="22"/>
          <w:szCs w:val="22"/>
          <w:lang w:val="en-GB"/>
        </w:rPr>
        <w:t>s.</w:t>
      </w:r>
    </w:p>
    <w:p w14:paraId="66674578" w14:textId="18901ECA" w:rsidR="004C3178" w:rsidRDefault="004C3178" w:rsidP="00FE01EC">
      <w:pPr>
        <w:spacing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Insolvency is concerned with circumstances where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the liabilities of a debtor exceed the assets of a debtor (commonly referred to as balance sheet insolvency); and/or where a debtor cannot pay its debts as and when they fall due (referred to commonly as cash flow or commercial insolvency).  In these circumstances, in certain jurisdictions, there are legal procedures available to creditors that enable </w:t>
      </w:r>
      <w:r w:rsidR="00486551">
        <w:rPr>
          <w:rFonts w:ascii="Avenir Next" w:hAnsi="Avenir Next" w:cs="Arial"/>
          <w:color w:val="808080" w:themeColor="background1" w:themeShade="80"/>
          <w:sz w:val="22"/>
          <w:szCs w:val="22"/>
          <w:lang w:val="en-GB"/>
        </w:rPr>
        <w:t>them</w:t>
      </w:r>
      <w:r>
        <w:rPr>
          <w:rFonts w:ascii="Avenir Next" w:hAnsi="Avenir Next" w:cs="Arial"/>
          <w:color w:val="808080" w:themeColor="background1" w:themeShade="80"/>
          <w:sz w:val="22"/>
          <w:szCs w:val="22"/>
          <w:lang w:val="en-GB"/>
        </w:rPr>
        <w:t xml:space="preserve"> to seek recourse against the debtor with the Court’s assistance or supervision (such as, for example, winding up procedures, or the appointment of insolvency practitioners to enable the collection and enforcement of </w:t>
      </w:r>
      <w:r w:rsidR="007D6641">
        <w:rPr>
          <w:rFonts w:ascii="Avenir Next" w:hAnsi="Avenir Next" w:cs="Arial"/>
          <w:color w:val="808080" w:themeColor="background1" w:themeShade="80"/>
          <w:sz w:val="22"/>
          <w:szCs w:val="22"/>
          <w:lang w:val="en-GB"/>
        </w:rPr>
        <w:t>the debtor’s assets for distribution amongst creditors)</w:t>
      </w:r>
      <w:r w:rsidR="00486551">
        <w:rPr>
          <w:rFonts w:ascii="Avenir Next" w:hAnsi="Avenir Next" w:cs="Arial"/>
          <w:color w:val="808080" w:themeColor="background1" w:themeShade="80"/>
          <w:sz w:val="22"/>
          <w:szCs w:val="22"/>
          <w:lang w:val="en-GB"/>
        </w:rPr>
        <w:t xml:space="preserve"> – and these processes involve, for example, matters of “priority” arising from the debt</w:t>
      </w:r>
      <w:r w:rsidR="00892995">
        <w:rPr>
          <w:rFonts w:ascii="Avenir Next" w:hAnsi="Avenir Next" w:cs="Arial"/>
          <w:color w:val="808080" w:themeColor="background1" w:themeShade="80"/>
          <w:sz w:val="22"/>
          <w:szCs w:val="22"/>
          <w:lang w:val="en-GB"/>
        </w:rPr>
        <w:t xml:space="preserve">. </w:t>
      </w:r>
      <w:proofErr w:type="gramStart"/>
      <w:r w:rsidR="00892995">
        <w:rPr>
          <w:rFonts w:ascii="Avenir Next" w:hAnsi="Avenir Next" w:cs="Arial"/>
          <w:color w:val="808080" w:themeColor="background1" w:themeShade="80"/>
          <w:sz w:val="22"/>
          <w:szCs w:val="22"/>
          <w:lang w:val="en-GB"/>
        </w:rPr>
        <w:t>I</w:t>
      </w:r>
      <w:r w:rsidR="00486551">
        <w:rPr>
          <w:rFonts w:ascii="Avenir Next" w:hAnsi="Avenir Next" w:cs="Arial"/>
          <w:color w:val="808080" w:themeColor="background1" w:themeShade="80"/>
          <w:sz w:val="22"/>
          <w:szCs w:val="22"/>
          <w:lang w:val="en-GB"/>
        </w:rPr>
        <w:t>n particular</w:t>
      </w:r>
      <w:r w:rsidR="00892995">
        <w:rPr>
          <w:rFonts w:ascii="Avenir Next" w:hAnsi="Avenir Next" w:cs="Arial"/>
          <w:color w:val="808080" w:themeColor="background1" w:themeShade="80"/>
          <w:sz w:val="22"/>
          <w:szCs w:val="22"/>
          <w:lang w:val="en-GB"/>
        </w:rPr>
        <w:t>, corporate</w:t>
      </w:r>
      <w:proofErr w:type="gramEnd"/>
      <w:r w:rsidR="00892995">
        <w:rPr>
          <w:rFonts w:ascii="Avenir Next" w:hAnsi="Avenir Next" w:cs="Arial"/>
          <w:color w:val="808080" w:themeColor="background1" w:themeShade="80"/>
          <w:sz w:val="22"/>
          <w:szCs w:val="22"/>
          <w:lang w:val="en-GB"/>
        </w:rPr>
        <w:t xml:space="preserve"> insolvency procedures place certain</w:t>
      </w:r>
      <w:r w:rsidR="00486551">
        <w:rPr>
          <w:rFonts w:ascii="Avenir Next" w:hAnsi="Avenir Next" w:cs="Arial"/>
          <w:color w:val="808080" w:themeColor="background1" w:themeShade="80"/>
          <w:sz w:val="22"/>
          <w:szCs w:val="22"/>
          <w:lang w:val="en-GB"/>
        </w:rPr>
        <w:t xml:space="preserve"> </w:t>
      </w:r>
      <w:r w:rsidR="00892995">
        <w:rPr>
          <w:rFonts w:ascii="Avenir Next" w:hAnsi="Avenir Next" w:cs="Arial"/>
          <w:color w:val="808080" w:themeColor="background1" w:themeShade="80"/>
          <w:sz w:val="22"/>
          <w:szCs w:val="22"/>
          <w:lang w:val="en-GB"/>
        </w:rPr>
        <w:t>creditors in a higher priority for repayment of their debt, such as employees, government debts, and/or</w:t>
      </w:r>
      <w:r w:rsidR="00486551">
        <w:rPr>
          <w:rFonts w:ascii="Avenir Next" w:hAnsi="Avenir Next" w:cs="Arial"/>
          <w:color w:val="808080" w:themeColor="background1" w:themeShade="80"/>
          <w:sz w:val="22"/>
          <w:szCs w:val="22"/>
          <w:lang w:val="en-GB"/>
        </w:rPr>
        <w:t xml:space="preserve"> secured or </w:t>
      </w:r>
      <w:r w:rsidR="00892995">
        <w:rPr>
          <w:rFonts w:ascii="Avenir Next" w:hAnsi="Avenir Next" w:cs="Arial"/>
          <w:color w:val="808080" w:themeColor="background1" w:themeShade="80"/>
          <w:sz w:val="22"/>
          <w:szCs w:val="22"/>
          <w:lang w:val="en-GB"/>
        </w:rPr>
        <w:t xml:space="preserve">unsecured creditors, etc. </w:t>
      </w:r>
      <w:r w:rsidR="007D6641">
        <w:rPr>
          <w:rFonts w:ascii="Avenir Next" w:hAnsi="Avenir Next" w:cs="Arial"/>
          <w:color w:val="808080" w:themeColor="background1" w:themeShade="80"/>
          <w:sz w:val="22"/>
          <w:szCs w:val="22"/>
          <w:lang w:val="en-GB"/>
        </w:rPr>
        <w:t xml:space="preserve"> </w:t>
      </w:r>
    </w:p>
    <w:p w14:paraId="201AB76F" w14:textId="71C1A1FF" w:rsidR="004C3178" w:rsidRDefault="004C3178" w:rsidP="00FE01EC">
      <w:pPr>
        <w:spacing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certain jurisdictions, </w:t>
      </w:r>
      <w:r w:rsidR="005431F5">
        <w:rPr>
          <w:rFonts w:ascii="Avenir Next" w:hAnsi="Avenir Next" w:cs="Arial"/>
          <w:color w:val="808080" w:themeColor="background1" w:themeShade="80"/>
          <w:sz w:val="22"/>
          <w:szCs w:val="22"/>
          <w:lang w:val="en-GB"/>
        </w:rPr>
        <w:t>such as, for example</w:t>
      </w:r>
      <w:r>
        <w:rPr>
          <w:rFonts w:ascii="Avenir Next" w:hAnsi="Avenir Next" w:cs="Arial"/>
          <w:color w:val="808080" w:themeColor="background1" w:themeShade="80"/>
          <w:sz w:val="22"/>
          <w:szCs w:val="22"/>
          <w:lang w:val="en-GB"/>
        </w:rPr>
        <w:t>, Australia and the Cayman Islands, the term insolvency is used within the context of corporatio</w:t>
      </w:r>
      <w:r w:rsidR="005431F5">
        <w:rPr>
          <w:rFonts w:ascii="Avenir Next" w:hAnsi="Avenir Next" w:cs="Arial"/>
          <w:color w:val="808080" w:themeColor="background1" w:themeShade="80"/>
          <w:sz w:val="22"/>
          <w:szCs w:val="22"/>
          <w:lang w:val="en-GB"/>
        </w:rPr>
        <w:t>ns (rather than individuals)</w:t>
      </w:r>
      <w:r>
        <w:rPr>
          <w:rFonts w:ascii="Avenir Next" w:hAnsi="Avenir Next" w:cs="Arial"/>
          <w:color w:val="808080" w:themeColor="background1" w:themeShade="80"/>
          <w:sz w:val="22"/>
          <w:szCs w:val="22"/>
          <w:lang w:val="en-GB"/>
        </w:rPr>
        <w:t>, and formal and informal insolvency procedures exist in order to</w:t>
      </w:r>
      <w:r w:rsidR="005431F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ensure as a matter of priority, that the interests of creditors are protected (i.e. a pro-creditor jurisdiction such as the Cayman Islands) and in other jurisdictions, more concerned with the protection of debtors (i.e. pro-debtor jurisdiction such as the US). </w:t>
      </w:r>
    </w:p>
    <w:p w14:paraId="320C00E0" w14:textId="14B7EDFC" w:rsidR="00892995" w:rsidRDefault="00CA582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bankruptcy, this is commonly used in relation to proceedings or procedures that exist for the purposes of dealing with </w:t>
      </w:r>
      <w:r w:rsidR="00B01537">
        <w:rPr>
          <w:rFonts w:ascii="Avenir Next" w:hAnsi="Avenir Next" w:cs="Arial"/>
          <w:color w:val="808080" w:themeColor="background1" w:themeShade="80"/>
          <w:sz w:val="22"/>
          <w:szCs w:val="22"/>
          <w:lang w:val="en-GB"/>
        </w:rPr>
        <w:t>individual</w:t>
      </w:r>
      <w:r w:rsidR="00892995">
        <w:rPr>
          <w:rFonts w:ascii="Avenir Next" w:hAnsi="Avenir Next" w:cs="Arial"/>
          <w:color w:val="808080" w:themeColor="background1" w:themeShade="80"/>
          <w:sz w:val="22"/>
          <w:szCs w:val="22"/>
          <w:lang w:val="en-GB"/>
        </w:rPr>
        <w:t xml:space="preserve">s </w:t>
      </w:r>
      <w:r w:rsidR="00E61F87">
        <w:rPr>
          <w:rFonts w:ascii="Avenir Next" w:hAnsi="Avenir Next" w:cs="Arial"/>
          <w:color w:val="808080" w:themeColor="background1" w:themeShade="80"/>
          <w:sz w:val="22"/>
          <w:szCs w:val="22"/>
          <w:lang w:val="en-GB"/>
        </w:rPr>
        <w:t>in financial distress. One obvious difference in this regard is that individuals are of course not “dissolved” after bankruptcy in the same way a company is following the completion of a</w:t>
      </w:r>
      <w:r w:rsidR="00892995">
        <w:rPr>
          <w:rFonts w:ascii="Avenir Next" w:hAnsi="Avenir Next" w:cs="Arial"/>
          <w:color w:val="808080" w:themeColor="background1" w:themeShade="80"/>
          <w:sz w:val="22"/>
          <w:szCs w:val="22"/>
          <w:lang w:val="en-GB"/>
        </w:rPr>
        <w:t xml:space="preserve"> corporate</w:t>
      </w:r>
      <w:r w:rsidR="00E61F87">
        <w:rPr>
          <w:rFonts w:ascii="Avenir Next" w:hAnsi="Avenir Next" w:cs="Arial"/>
          <w:color w:val="808080" w:themeColor="background1" w:themeShade="80"/>
          <w:sz w:val="22"/>
          <w:szCs w:val="22"/>
          <w:lang w:val="en-GB"/>
        </w:rPr>
        <w:t xml:space="preserve"> insolvency process. Another difference is the consequence of a bankruptcy procedure on a person versus a corporation. Notably, an individual might become limited in their ability to enter contracts, obtain new credit, take up certain positions, travel overseas, etc.</w:t>
      </w:r>
      <w:r w:rsidR="00892995">
        <w:rPr>
          <w:rFonts w:ascii="Avenir Next" w:hAnsi="Avenir Next" w:cs="Arial"/>
          <w:color w:val="808080" w:themeColor="background1" w:themeShade="80"/>
          <w:sz w:val="22"/>
          <w:szCs w:val="22"/>
          <w:lang w:val="en-GB"/>
        </w:rPr>
        <w:t xml:space="preserve"> (Similarly, in a corporate context, there are consequences for directors of companies in circumstances where they take or fail to take certain steps when the company is on the brink of insolvency.) Further, where a bankrupt individual is concerned, certain rehabilitation procedures </w:t>
      </w:r>
      <w:r w:rsidR="007B1DBE">
        <w:rPr>
          <w:rFonts w:ascii="Avenir Next" w:hAnsi="Avenir Next" w:cs="Arial"/>
          <w:color w:val="808080" w:themeColor="background1" w:themeShade="80"/>
          <w:sz w:val="22"/>
          <w:szCs w:val="22"/>
          <w:lang w:val="en-GB"/>
        </w:rPr>
        <w:t xml:space="preserve">allow for the discharge </w:t>
      </w:r>
      <w:r w:rsidR="0016321D">
        <w:rPr>
          <w:rFonts w:ascii="Avenir Next" w:hAnsi="Avenir Next" w:cs="Arial"/>
          <w:color w:val="808080" w:themeColor="background1" w:themeShade="80"/>
          <w:sz w:val="22"/>
          <w:szCs w:val="22"/>
          <w:lang w:val="en-GB"/>
        </w:rPr>
        <w:t>of the individual debtor, which enables them to continue without the burden of the pre-bankrupt debt. Corporations cannot be “rehabilitated” in this way and are instead liquidated and/or dissolved.</w:t>
      </w:r>
    </w:p>
    <w:p w14:paraId="5C48F050" w14:textId="77777777" w:rsidR="004C3178" w:rsidRPr="00DA42DA" w:rsidRDefault="004C3178" w:rsidP="00DA42DA">
      <w:pPr>
        <w:jc w:val="both"/>
        <w:rPr>
          <w:rFonts w:ascii="Avenir Next" w:hAnsi="Avenir Next" w:cs="Arial"/>
          <w:color w:val="808080" w:themeColor="background1" w:themeShade="80"/>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1F0EF6C9" w:rsidR="00DA42DA" w:rsidRDefault="009D65D4" w:rsidP="00983C0E">
      <w:pPr>
        <w:spacing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numerous challenges that arise in cross-border insolvency proceedings. </w:t>
      </w:r>
    </w:p>
    <w:p w14:paraId="02027E73" w14:textId="69647302" w:rsidR="00C608D9" w:rsidRDefault="009D65D4" w:rsidP="00FE01EC">
      <w:pPr>
        <w:pStyle w:val="ListParagraph"/>
        <w:numPr>
          <w:ilvl w:val="0"/>
          <w:numId w:val="13"/>
        </w:numPr>
        <w:spacing w:after="120"/>
        <w:ind w:left="714" w:hanging="357"/>
        <w:contextualSpacing w:val="0"/>
        <w:jc w:val="both"/>
        <w:rPr>
          <w:rFonts w:ascii="Avenir Next" w:hAnsi="Avenir Next" w:cs="Arial"/>
          <w:color w:val="808080" w:themeColor="background1" w:themeShade="80"/>
          <w:sz w:val="22"/>
          <w:szCs w:val="22"/>
          <w:lang w:val="en-GB"/>
        </w:rPr>
      </w:pPr>
      <w:r w:rsidRPr="009D65D4">
        <w:rPr>
          <w:rFonts w:ascii="Avenir Next" w:hAnsi="Avenir Next" w:cs="Arial"/>
          <w:b/>
          <w:bCs/>
          <w:color w:val="808080" w:themeColor="background1" w:themeShade="80"/>
          <w:sz w:val="22"/>
          <w:szCs w:val="22"/>
          <w:lang w:val="en-GB"/>
        </w:rPr>
        <w:t xml:space="preserve">No common </w:t>
      </w:r>
      <w:r>
        <w:rPr>
          <w:rFonts w:ascii="Avenir Next" w:hAnsi="Avenir Next" w:cs="Arial"/>
          <w:b/>
          <w:bCs/>
          <w:color w:val="808080" w:themeColor="background1" w:themeShade="80"/>
          <w:sz w:val="22"/>
          <w:szCs w:val="22"/>
          <w:lang w:val="en-GB"/>
        </w:rPr>
        <w:t xml:space="preserve">insolvency </w:t>
      </w:r>
      <w:r w:rsidRPr="009D65D4">
        <w:rPr>
          <w:rFonts w:ascii="Avenir Next" w:hAnsi="Avenir Next" w:cs="Arial"/>
          <w:b/>
          <w:bCs/>
          <w:color w:val="808080" w:themeColor="background1" w:themeShade="80"/>
          <w:sz w:val="22"/>
          <w:szCs w:val="22"/>
          <w:lang w:val="en-GB"/>
        </w:rPr>
        <w:t>language</w:t>
      </w:r>
      <w:r>
        <w:rPr>
          <w:rFonts w:ascii="Avenir Next" w:hAnsi="Avenir Next" w:cs="Arial"/>
          <w:color w:val="808080" w:themeColor="background1" w:themeShade="80"/>
          <w:sz w:val="22"/>
          <w:szCs w:val="22"/>
          <w:lang w:val="en-GB"/>
        </w:rPr>
        <w:t xml:space="preserve">. </w:t>
      </w:r>
      <w:r w:rsidRPr="009D65D4">
        <w:rPr>
          <w:rFonts w:ascii="Avenir Next" w:hAnsi="Avenir Next" w:cs="Arial"/>
          <w:color w:val="808080" w:themeColor="background1" w:themeShade="80"/>
          <w:sz w:val="22"/>
          <w:szCs w:val="22"/>
          <w:lang w:val="en-GB"/>
        </w:rPr>
        <w:t xml:space="preserve">Each jurisdiction </w:t>
      </w:r>
      <w:r>
        <w:rPr>
          <w:rFonts w:ascii="Avenir Next" w:hAnsi="Avenir Next" w:cs="Arial"/>
          <w:color w:val="808080" w:themeColor="background1" w:themeShade="80"/>
          <w:sz w:val="22"/>
          <w:szCs w:val="22"/>
          <w:lang w:val="en-GB"/>
        </w:rPr>
        <w:t xml:space="preserve">that becomes </w:t>
      </w:r>
      <w:r w:rsidRPr="009D65D4">
        <w:rPr>
          <w:rFonts w:ascii="Avenir Next" w:hAnsi="Avenir Next" w:cs="Arial"/>
          <w:color w:val="808080" w:themeColor="background1" w:themeShade="80"/>
          <w:sz w:val="22"/>
          <w:szCs w:val="22"/>
          <w:lang w:val="en-GB"/>
        </w:rPr>
        <w:t>relevant to an insolvency proceeding (</w:t>
      </w:r>
      <w:proofErr w:type="gramStart"/>
      <w:r w:rsidRPr="009D65D4">
        <w:rPr>
          <w:rFonts w:ascii="Avenir Next" w:hAnsi="Avenir Next" w:cs="Arial"/>
          <w:color w:val="808080" w:themeColor="background1" w:themeShade="80"/>
          <w:sz w:val="22"/>
          <w:szCs w:val="22"/>
          <w:lang w:val="en-GB"/>
        </w:rPr>
        <w:t>i.e.</w:t>
      </w:r>
      <w:proofErr w:type="gramEnd"/>
      <w:r w:rsidRPr="009D65D4">
        <w:rPr>
          <w:rFonts w:ascii="Avenir Next" w:hAnsi="Avenir Next" w:cs="Arial"/>
          <w:color w:val="808080" w:themeColor="background1" w:themeShade="80"/>
          <w:sz w:val="22"/>
          <w:szCs w:val="22"/>
          <w:lang w:val="en-GB"/>
        </w:rPr>
        <w:t xml:space="preserve"> due to assets </w:t>
      </w:r>
      <w:r>
        <w:rPr>
          <w:rFonts w:ascii="Avenir Next" w:hAnsi="Avenir Next" w:cs="Arial"/>
          <w:color w:val="808080" w:themeColor="background1" w:themeShade="80"/>
          <w:sz w:val="22"/>
          <w:szCs w:val="22"/>
          <w:lang w:val="en-GB"/>
        </w:rPr>
        <w:t>and/</w:t>
      </w:r>
      <w:r w:rsidRPr="009D65D4">
        <w:rPr>
          <w:rFonts w:ascii="Avenir Next" w:hAnsi="Avenir Next" w:cs="Arial"/>
          <w:color w:val="808080" w:themeColor="background1" w:themeShade="80"/>
          <w:sz w:val="22"/>
          <w:szCs w:val="22"/>
          <w:lang w:val="en-GB"/>
        </w:rPr>
        <w:t xml:space="preserve">or interests being located in that jurisdiction) will have its own domestic laws with respect to dealing </w:t>
      </w:r>
      <w:r>
        <w:rPr>
          <w:rFonts w:ascii="Avenir Next" w:hAnsi="Avenir Next" w:cs="Arial"/>
          <w:color w:val="808080" w:themeColor="background1" w:themeShade="80"/>
          <w:sz w:val="22"/>
          <w:szCs w:val="22"/>
          <w:lang w:val="en-GB"/>
        </w:rPr>
        <w:t xml:space="preserve">how that State deals </w:t>
      </w:r>
      <w:r w:rsidRPr="009D65D4">
        <w:rPr>
          <w:rFonts w:ascii="Avenir Next" w:hAnsi="Avenir Next" w:cs="Arial"/>
          <w:color w:val="808080" w:themeColor="background1" w:themeShade="80"/>
          <w:sz w:val="22"/>
          <w:szCs w:val="22"/>
          <w:lang w:val="en-GB"/>
        </w:rPr>
        <w:t>with bankrupt or insolvent persons and companies. In this regard, there is no “common insolvency language” that dictates how</w:t>
      </w:r>
      <w:r>
        <w:rPr>
          <w:rFonts w:ascii="Avenir Next" w:hAnsi="Avenir Next" w:cs="Arial"/>
          <w:color w:val="808080" w:themeColor="background1" w:themeShade="80"/>
          <w:sz w:val="22"/>
          <w:szCs w:val="22"/>
          <w:lang w:val="en-GB"/>
        </w:rPr>
        <w:t xml:space="preserve"> both</w:t>
      </w:r>
      <w:r w:rsidRPr="009D65D4">
        <w:rPr>
          <w:rFonts w:ascii="Avenir Next" w:hAnsi="Avenir Next" w:cs="Arial"/>
          <w:color w:val="808080" w:themeColor="background1" w:themeShade="80"/>
          <w:sz w:val="22"/>
          <w:szCs w:val="22"/>
          <w:lang w:val="en-GB"/>
        </w:rPr>
        <w:t xml:space="preserve"> Courts </w:t>
      </w:r>
      <w:r>
        <w:rPr>
          <w:rFonts w:ascii="Avenir Next" w:hAnsi="Avenir Next" w:cs="Arial"/>
          <w:color w:val="808080" w:themeColor="background1" w:themeShade="80"/>
          <w:sz w:val="22"/>
          <w:szCs w:val="22"/>
          <w:lang w:val="en-GB"/>
        </w:rPr>
        <w:t>(</w:t>
      </w:r>
      <w:r w:rsidRPr="009D65D4">
        <w:rPr>
          <w:rFonts w:ascii="Avenir Next" w:hAnsi="Avenir Next" w:cs="Arial"/>
          <w:color w:val="808080" w:themeColor="background1" w:themeShade="80"/>
          <w:sz w:val="22"/>
          <w:szCs w:val="22"/>
          <w:lang w:val="en-GB"/>
        </w:rPr>
        <w:t>and insolvency practitioners</w:t>
      </w:r>
      <w:r>
        <w:rPr>
          <w:rFonts w:ascii="Avenir Next" w:hAnsi="Avenir Next" w:cs="Arial"/>
          <w:color w:val="808080" w:themeColor="background1" w:themeShade="80"/>
          <w:sz w:val="22"/>
          <w:szCs w:val="22"/>
          <w:lang w:val="en-GB"/>
        </w:rPr>
        <w:t>)</w:t>
      </w:r>
      <w:r w:rsidRPr="009D65D4">
        <w:rPr>
          <w:rFonts w:ascii="Avenir Next" w:hAnsi="Avenir Next" w:cs="Arial"/>
          <w:color w:val="808080" w:themeColor="background1" w:themeShade="80"/>
          <w:sz w:val="22"/>
          <w:szCs w:val="22"/>
          <w:lang w:val="en-GB"/>
        </w:rPr>
        <w:t xml:space="preserve"> may</w:t>
      </w:r>
      <w:r>
        <w:rPr>
          <w:rFonts w:ascii="Avenir Next" w:hAnsi="Avenir Next" w:cs="Arial"/>
          <w:color w:val="808080" w:themeColor="background1" w:themeShade="80"/>
          <w:sz w:val="22"/>
          <w:szCs w:val="22"/>
          <w:lang w:val="en-GB"/>
        </w:rPr>
        <w:t>: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w:t>
      </w:r>
      <w:r w:rsidRPr="009D65D4">
        <w:rPr>
          <w:rFonts w:ascii="Avenir Next" w:hAnsi="Avenir Next" w:cs="Arial"/>
          <w:color w:val="808080" w:themeColor="background1" w:themeShade="80"/>
          <w:sz w:val="22"/>
          <w:szCs w:val="22"/>
          <w:lang w:val="en-GB"/>
        </w:rPr>
        <w:t xml:space="preserve"> procedurally </w:t>
      </w:r>
      <w:r>
        <w:rPr>
          <w:rFonts w:ascii="Avenir Next" w:hAnsi="Avenir Next" w:cs="Arial"/>
          <w:color w:val="808080" w:themeColor="background1" w:themeShade="80"/>
          <w:sz w:val="22"/>
          <w:szCs w:val="22"/>
          <w:lang w:val="en-GB"/>
        </w:rPr>
        <w:t>approach and manage</w:t>
      </w:r>
      <w:r w:rsidRPr="009D65D4">
        <w:rPr>
          <w:rFonts w:ascii="Avenir Next" w:hAnsi="Avenir Next" w:cs="Arial"/>
          <w:color w:val="808080" w:themeColor="background1" w:themeShade="80"/>
          <w:sz w:val="22"/>
          <w:szCs w:val="22"/>
          <w:lang w:val="en-GB"/>
        </w:rPr>
        <w:t xml:space="preserve"> insolvency proceedings</w:t>
      </w:r>
      <w:r>
        <w:rPr>
          <w:rFonts w:ascii="Avenir Next" w:hAnsi="Avenir Next" w:cs="Arial"/>
          <w:color w:val="808080" w:themeColor="background1" w:themeShade="80"/>
          <w:sz w:val="22"/>
          <w:szCs w:val="22"/>
          <w:lang w:val="en-GB"/>
        </w:rPr>
        <w:t>, (ii) the rights</w:t>
      </w:r>
      <w:r w:rsidR="00407075">
        <w:rPr>
          <w:rFonts w:ascii="Avenir Next" w:hAnsi="Avenir Next" w:cs="Arial"/>
          <w:color w:val="808080" w:themeColor="background1" w:themeShade="80"/>
          <w:sz w:val="22"/>
          <w:szCs w:val="22"/>
          <w:lang w:val="en-GB"/>
        </w:rPr>
        <w:t xml:space="preserve"> </w:t>
      </w:r>
      <w:r w:rsidR="00407075">
        <w:rPr>
          <w:rFonts w:ascii="Avenir Next" w:hAnsi="Avenir Next" w:cs="Arial"/>
          <w:color w:val="808080" w:themeColor="background1" w:themeShade="80"/>
          <w:sz w:val="22"/>
          <w:szCs w:val="22"/>
          <w:lang w:val="en-GB"/>
        </w:rPr>
        <w:t>of creditors and debtors</w:t>
      </w:r>
      <w:r w:rsidR="00407075">
        <w:rPr>
          <w:rFonts w:ascii="Avenir Next" w:hAnsi="Avenir Next" w:cs="Arial"/>
          <w:color w:val="808080" w:themeColor="background1" w:themeShade="80"/>
          <w:sz w:val="22"/>
          <w:szCs w:val="22"/>
          <w:lang w:val="en-GB"/>
        </w:rPr>
        <w:t xml:space="preserve"> and the priority of debts</w:t>
      </w:r>
      <w:r>
        <w:rPr>
          <w:rFonts w:ascii="Avenir Next" w:hAnsi="Avenir Next" w:cs="Arial"/>
          <w:color w:val="808080" w:themeColor="background1" w:themeShade="80"/>
          <w:sz w:val="22"/>
          <w:szCs w:val="22"/>
          <w:lang w:val="en-GB"/>
        </w:rPr>
        <w:t>, (iii) the approach to asset recovery, (iv) the consequences of insolvency</w:t>
      </w:r>
      <w:r w:rsidR="00407075">
        <w:rPr>
          <w:rFonts w:ascii="Avenir Next" w:hAnsi="Avenir Next" w:cs="Arial"/>
          <w:color w:val="808080" w:themeColor="background1" w:themeShade="80"/>
          <w:sz w:val="22"/>
          <w:szCs w:val="22"/>
          <w:lang w:val="en-GB"/>
        </w:rPr>
        <w:t>,</w:t>
      </w:r>
      <w:r w:rsidR="00407075" w:rsidRPr="00407075">
        <w:rPr>
          <w:rFonts w:ascii="Avenir Next" w:hAnsi="Avenir Next" w:cs="Arial"/>
          <w:color w:val="808080" w:themeColor="background1" w:themeShade="80"/>
          <w:sz w:val="22"/>
          <w:szCs w:val="22"/>
          <w:lang w:val="en-GB"/>
        </w:rPr>
        <w:t xml:space="preserve"> </w:t>
      </w:r>
      <w:r w:rsidR="00407075">
        <w:rPr>
          <w:rFonts w:ascii="Avenir Next" w:hAnsi="Avenir Next" w:cs="Arial"/>
          <w:color w:val="808080" w:themeColor="background1" w:themeShade="80"/>
          <w:sz w:val="22"/>
          <w:szCs w:val="22"/>
          <w:lang w:val="en-GB"/>
        </w:rPr>
        <w:t>and</w:t>
      </w:r>
      <w:r w:rsidR="00407075">
        <w:rPr>
          <w:rFonts w:ascii="Avenir Next" w:hAnsi="Avenir Next" w:cs="Arial"/>
          <w:color w:val="808080" w:themeColor="background1" w:themeShade="80"/>
          <w:sz w:val="22"/>
          <w:szCs w:val="22"/>
          <w:lang w:val="en-GB"/>
        </w:rPr>
        <w:t xml:space="preserve"> (v)</w:t>
      </w:r>
      <w:r w:rsidR="00407075">
        <w:rPr>
          <w:rFonts w:ascii="Avenir Next" w:hAnsi="Avenir Next" w:cs="Arial"/>
          <w:color w:val="808080" w:themeColor="background1" w:themeShade="80"/>
          <w:sz w:val="22"/>
          <w:szCs w:val="22"/>
          <w:lang w:val="en-GB"/>
        </w:rPr>
        <w:t xml:space="preserve"> (inter alia)</w:t>
      </w:r>
      <w:r w:rsidR="00407075">
        <w:rPr>
          <w:rFonts w:ascii="Avenir Next" w:hAnsi="Avenir Next" w:cs="Arial"/>
          <w:color w:val="808080" w:themeColor="background1" w:themeShade="80"/>
          <w:sz w:val="22"/>
          <w:szCs w:val="22"/>
          <w:lang w:val="en-GB"/>
        </w:rPr>
        <w:t xml:space="preserve"> even how insolvency is determined</w:t>
      </w:r>
      <w:r>
        <w:rPr>
          <w:rFonts w:ascii="Avenir Next" w:hAnsi="Avenir Next" w:cs="Arial"/>
          <w:color w:val="808080" w:themeColor="background1" w:themeShade="80"/>
          <w:sz w:val="22"/>
          <w:szCs w:val="22"/>
          <w:lang w:val="en-GB"/>
        </w:rPr>
        <w:t>.</w:t>
      </w:r>
    </w:p>
    <w:p w14:paraId="5E66BD71" w14:textId="2AFAD230" w:rsidR="009D65D4" w:rsidRDefault="009D65D4" w:rsidP="00FE01EC">
      <w:pPr>
        <w:pStyle w:val="ListParagraph"/>
        <w:numPr>
          <w:ilvl w:val="0"/>
          <w:numId w:val="13"/>
        </w:numPr>
        <w:spacing w:after="120"/>
        <w:ind w:left="714" w:hanging="357"/>
        <w:contextualSpacing w:val="0"/>
        <w:jc w:val="both"/>
        <w:rPr>
          <w:rFonts w:ascii="Avenir Next" w:hAnsi="Avenir Next" w:cs="Arial"/>
          <w:color w:val="808080" w:themeColor="background1" w:themeShade="80"/>
          <w:sz w:val="22"/>
          <w:szCs w:val="22"/>
          <w:lang w:val="en-GB"/>
        </w:rPr>
      </w:pPr>
      <w:r w:rsidRPr="009D65D4">
        <w:rPr>
          <w:rFonts w:ascii="Avenir Next" w:hAnsi="Avenir Next" w:cs="Arial"/>
          <w:b/>
          <w:bCs/>
          <w:color w:val="808080" w:themeColor="background1" w:themeShade="80"/>
          <w:sz w:val="22"/>
          <w:szCs w:val="22"/>
          <w:lang w:val="en-GB"/>
        </w:rPr>
        <w:t>Conflict of laws</w:t>
      </w:r>
      <w:r>
        <w:rPr>
          <w:rFonts w:ascii="Avenir Next" w:hAnsi="Avenir Next" w:cs="Arial"/>
          <w:color w:val="808080" w:themeColor="background1" w:themeShade="80"/>
          <w:sz w:val="22"/>
          <w:szCs w:val="22"/>
          <w:lang w:val="en-GB"/>
        </w:rPr>
        <w:t xml:space="preserve">. </w:t>
      </w:r>
      <w:r w:rsidR="00407075">
        <w:rPr>
          <w:rFonts w:ascii="Avenir Next" w:hAnsi="Avenir Next" w:cs="Arial"/>
          <w:color w:val="808080" w:themeColor="background1" w:themeShade="80"/>
          <w:sz w:val="22"/>
          <w:szCs w:val="22"/>
          <w:lang w:val="en-GB"/>
        </w:rPr>
        <w:t xml:space="preserve">As identified in point 1 above, the differences between the domestic laws, regulations and approaches taken by different States to insolvency proceedings inevitably gives rise to a conflict of laws, and flowing from this, the powers of insolvency practitioners, </w:t>
      </w:r>
      <w:proofErr w:type="gramStart"/>
      <w:r w:rsidR="00407075">
        <w:rPr>
          <w:rFonts w:ascii="Avenir Next" w:hAnsi="Avenir Next" w:cs="Arial"/>
          <w:color w:val="808080" w:themeColor="background1" w:themeShade="80"/>
          <w:sz w:val="22"/>
          <w:szCs w:val="22"/>
          <w:lang w:val="en-GB"/>
        </w:rPr>
        <w:t>debtors</w:t>
      </w:r>
      <w:proofErr w:type="gramEnd"/>
      <w:r w:rsidR="00407075">
        <w:rPr>
          <w:rFonts w:ascii="Avenir Next" w:hAnsi="Avenir Next" w:cs="Arial"/>
          <w:color w:val="808080" w:themeColor="background1" w:themeShade="80"/>
          <w:sz w:val="22"/>
          <w:szCs w:val="22"/>
          <w:lang w:val="en-GB"/>
        </w:rPr>
        <w:t xml:space="preserve"> and creditors.  This conflict might be made more complex given the presence of security, set-off and netting arrangement and other means in domestic laws that protect the interests of creditors. </w:t>
      </w:r>
    </w:p>
    <w:p w14:paraId="554E3A8F" w14:textId="2364B9B5" w:rsidR="00C608D9" w:rsidRDefault="00407075" w:rsidP="00FE01EC">
      <w:pPr>
        <w:pStyle w:val="ListParagraph"/>
        <w:numPr>
          <w:ilvl w:val="0"/>
          <w:numId w:val="13"/>
        </w:numPr>
        <w:spacing w:after="120"/>
        <w:ind w:left="714" w:hanging="357"/>
        <w:contextualSpacing w:val="0"/>
        <w:jc w:val="both"/>
        <w:rPr>
          <w:rFonts w:ascii="Avenir Next" w:hAnsi="Avenir Next" w:cs="Arial"/>
          <w:color w:val="808080" w:themeColor="background1" w:themeShade="80"/>
          <w:sz w:val="22"/>
          <w:szCs w:val="22"/>
          <w:lang w:val="en-GB"/>
        </w:rPr>
      </w:pPr>
      <w:r w:rsidRPr="00C2379E">
        <w:rPr>
          <w:rFonts w:ascii="Avenir Next" w:hAnsi="Avenir Next" w:cs="Arial"/>
          <w:b/>
          <w:bCs/>
          <w:color w:val="808080" w:themeColor="background1" w:themeShade="80"/>
          <w:sz w:val="22"/>
          <w:szCs w:val="22"/>
          <w:lang w:val="en-GB"/>
        </w:rPr>
        <w:t>Recognition of foreign proceedings</w:t>
      </w:r>
      <w:r w:rsidRPr="00C2379E">
        <w:rPr>
          <w:rFonts w:ascii="Avenir Next" w:hAnsi="Avenir Next" w:cs="Arial"/>
          <w:color w:val="808080" w:themeColor="background1" w:themeShade="80"/>
          <w:sz w:val="22"/>
          <w:szCs w:val="22"/>
          <w:lang w:val="en-GB"/>
        </w:rPr>
        <w:t xml:space="preserve">.  Flowing from points 1 and 2 above, </w:t>
      </w:r>
      <w:proofErr w:type="gramStart"/>
      <w:r w:rsidRPr="00C2379E">
        <w:rPr>
          <w:rFonts w:ascii="Avenir Next" w:hAnsi="Avenir Next" w:cs="Arial"/>
          <w:color w:val="808080" w:themeColor="background1" w:themeShade="80"/>
          <w:sz w:val="22"/>
          <w:szCs w:val="22"/>
          <w:lang w:val="en-GB"/>
        </w:rPr>
        <w:t>in order for</w:t>
      </w:r>
      <w:proofErr w:type="gramEnd"/>
      <w:r w:rsidRPr="00C2379E">
        <w:rPr>
          <w:rFonts w:ascii="Avenir Next" w:hAnsi="Avenir Next" w:cs="Arial"/>
          <w:color w:val="808080" w:themeColor="background1" w:themeShade="80"/>
          <w:sz w:val="22"/>
          <w:szCs w:val="22"/>
          <w:lang w:val="en-GB"/>
        </w:rPr>
        <w:t xml:space="preserve"> an insolvency practitioner to take steps in a foreign jurisdiction to, for example, liquidate assets, distribute funds, etc., they need to apply for foreign recognition in that jurisdiction, the process of which varies across jurisdictions. This also requires determination of which place is the “foreign main proceeding” and which will be the secondary or ancillary jurisdictions for the purposes of the insolvency process and will be particularly important in circumstances where there are claims in the Courts of different jurisdictions.   </w:t>
      </w:r>
    </w:p>
    <w:p w14:paraId="4F6E6803" w14:textId="4ADD7FCB" w:rsidR="00C2379E" w:rsidRDefault="00C2379E" w:rsidP="00FE01EC">
      <w:pPr>
        <w:pStyle w:val="ListParagraph"/>
        <w:numPr>
          <w:ilvl w:val="0"/>
          <w:numId w:val="13"/>
        </w:numPr>
        <w:spacing w:after="120"/>
        <w:ind w:left="714" w:hanging="357"/>
        <w:contextualSpacing w:val="0"/>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Treaties and conventions</w:t>
      </w:r>
      <w:r w:rsidRPr="00C2379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Another challenge is whether the jurisdictions that are relevant to a proceeding have adopted international treaties or conventions with respect to the approach to insolvency proceedings. </w:t>
      </w:r>
      <w:r w:rsidR="00B25230">
        <w:rPr>
          <w:rFonts w:ascii="Avenir Next" w:hAnsi="Avenir Next" w:cs="Arial"/>
          <w:color w:val="808080" w:themeColor="background1" w:themeShade="80"/>
          <w:sz w:val="22"/>
          <w:szCs w:val="22"/>
          <w:lang w:val="en-GB"/>
        </w:rPr>
        <w:t xml:space="preserve"> In circumstances where, for example, the Model Law, has been adopted or acceded to by both States, there will be greater harmony between the systems and approaches taken. If they are not, there may be more complicated differences as between the systems, and whether, for example, the Courts will cooperate in relation to the matter.</w:t>
      </w:r>
    </w:p>
    <w:p w14:paraId="1D6984FE" w14:textId="3F31D42C" w:rsidR="00B25230" w:rsidRPr="00C2379E" w:rsidRDefault="00B25230" w:rsidP="007342B2">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Interplay with domestic laws</w:t>
      </w:r>
      <w:r w:rsidRPr="00B2523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 addition, insolvency and bankruptcy gives rises to other matters of domestic law that can create complexities. Insolvency procedures do not operate in a vacuum; they are part of the broader legal framework in place and therefore different issues will arise from time to time when other domestic laws are engaged.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67E1969E"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181F3DBA" w:rsidR="006A44B2" w:rsidRPr="00DA42DA" w:rsidRDefault="00B01537" w:rsidP="007F1A86">
      <w:pPr>
        <w:spacing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Essentially, hard law refers to the domestic legislation of a State that is strictly applied and enforced in that State. Soft law refers to international law (</w:t>
      </w:r>
      <w:r w:rsidR="007F1A86">
        <w:rPr>
          <w:rFonts w:ascii="Avenir Next" w:hAnsi="Avenir Next" w:cs="Arial"/>
          <w:color w:val="808080" w:themeColor="background1" w:themeShade="80"/>
          <w:sz w:val="22"/>
          <w:szCs w:val="22"/>
          <w:lang w:val="en-GB"/>
        </w:rPr>
        <w:t xml:space="preserve">such as treaties or conventions, </w:t>
      </w:r>
      <w:r>
        <w:rPr>
          <w:rFonts w:ascii="Avenir Next" w:hAnsi="Avenir Next" w:cs="Arial"/>
          <w:color w:val="808080" w:themeColor="background1" w:themeShade="80"/>
          <w:sz w:val="22"/>
          <w:szCs w:val="22"/>
          <w:lang w:val="en-GB"/>
        </w:rPr>
        <w:t>be it</w:t>
      </w:r>
      <w:r w:rsidR="007F1A86">
        <w:rPr>
          <w:rFonts w:ascii="Avenir Next" w:hAnsi="Avenir Next" w:cs="Arial"/>
          <w:color w:val="808080" w:themeColor="background1" w:themeShade="80"/>
          <w:sz w:val="22"/>
          <w:szCs w:val="22"/>
          <w:lang w:val="en-GB"/>
        </w:rPr>
        <w:t xml:space="preserve"> in the context of</w:t>
      </w:r>
      <w:r>
        <w:rPr>
          <w:rFonts w:ascii="Avenir Next" w:hAnsi="Avenir Next" w:cs="Arial"/>
          <w:color w:val="808080" w:themeColor="background1" w:themeShade="80"/>
          <w:sz w:val="22"/>
          <w:szCs w:val="22"/>
          <w:lang w:val="en-GB"/>
        </w:rPr>
        <w:t xml:space="preserve"> public </w:t>
      </w:r>
      <w:r w:rsidR="007F1A86">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r private international law)</w:t>
      </w:r>
      <w:r w:rsidR="00CA6C59">
        <w:rPr>
          <w:rFonts w:ascii="Avenir Next" w:hAnsi="Avenir Next" w:cs="Arial"/>
          <w:color w:val="808080" w:themeColor="background1" w:themeShade="80"/>
          <w:sz w:val="22"/>
          <w:szCs w:val="22"/>
          <w:lang w:val="en-GB"/>
        </w:rPr>
        <w:t xml:space="preserve"> which seeks to bring further uniformity across states</w:t>
      </w:r>
      <w:r w:rsidR="007F1A86">
        <w:rPr>
          <w:rFonts w:ascii="Avenir Next" w:hAnsi="Avenir Next" w:cs="Arial"/>
          <w:color w:val="808080" w:themeColor="background1" w:themeShade="80"/>
          <w:sz w:val="22"/>
          <w:szCs w:val="22"/>
          <w:lang w:val="en-GB"/>
        </w:rPr>
        <w:t xml:space="preserve"> or seeks to encourage the inclusion of certain rights or rules across jurisdictions. However, </w:t>
      </w:r>
      <w:proofErr w:type="gramStart"/>
      <w:r w:rsidR="00CA6C59">
        <w:rPr>
          <w:rFonts w:ascii="Avenir Next" w:hAnsi="Avenir Next" w:cs="Arial"/>
          <w:color w:val="808080" w:themeColor="background1" w:themeShade="80"/>
          <w:sz w:val="22"/>
          <w:szCs w:val="22"/>
          <w:lang w:val="en-GB"/>
        </w:rPr>
        <w:t xml:space="preserve">in order </w:t>
      </w:r>
      <w:r w:rsidR="007F1A86">
        <w:rPr>
          <w:rFonts w:ascii="Avenir Next" w:hAnsi="Avenir Next" w:cs="Arial"/>
          <w:color w:val="808080" w:themeColor="background1" w:themeShade="80"/>
          <w:sz w:val="22"/>
          <w:szCs w:val="22"/>
          <w:lang w:val="en-GB"/>
        </w:rPr>
        <w:t>for</w:t>
      </w:r>
      <w:proofErr w:type="gramEnd"/>
      <w:r w:rsidR="007F1A86">
        <w:rPr>
          <w:rFonts w:ascii="Avenir Next" w:hAnsi="Avenir Next" w:cs="Arial"/>
          <w:color w:val="808080" w:themeColor="background1" w:themeShade="80"/>
          <w:sz w:val="22"/>
          <w:szCs w:val="22"/>
          <w:lang w:val="en-GB"/>
        </w:rPr>
        <w:t xml:space="preserve"> soft law </w:t>
      </w:r>
      <w:r w:rsidR="00CA6C59">
        <w:rPr>
          <w:rFonts w:ascii="Avenir Next" w:hAnsi="Avenir Next" w:cs="Arial"/>
          <w:color w:val="808080" w:themeColor="background1" w:themeShade="80"/>
          <w:sz w:val="22"/>
          <w:szCs w:val="22"/>
          <w:lang w:val="en-GB"/>
        </w:rPr>
        <w:t xml:space="preserve">to be strictly applied </w:t>
      </w:r>
      <w:r w:rsidR="007F1A86">
        <w:rPr>
          <w:rFonts w:ascii="Avenir Next" w:hAnsi="Avenir Next" w:cs="Arial"/>
          <w:color w:val="808080" w:themeColor="background1" w:themeShade="80"/>
          <w:sz w:val="22"/>
          <w:szCs w:val="22"/>
          <w:lang w:val="en-GB"/>
        </w:rPr>
        <w:t>in any jurisdiction, the soft law</w:t>
      </w:r>
      <w:r w:rsidR="00CA6C59">
        <w:rPr>
          <w:rFonts w:ascii="Avenir Next" w:hAnsi="Avenir Next" w:cs="Arial"/>
          <w:color w:val="808080" w:themeColor="background1" w:themeShade="80"/>
          <w:sz w:val="22"/>
          <w:szCs w:val="22"/>
          <w:lang w:val="en-GB"/>
        </w:rPr>
        <w:t xml:space="preserve"> must be first </w:t>
      </w:r>
      <w:r w:rsidR="00014908">
        <w:rPr>
          <w:rFonts w:ascii="Avenir Next" w:hAnsi="Avenir Next" w:cs="Arial"/>
          <w:color w:val="808080" w:themeColor="background1" w:themeShade="80"/>
          <w:sz w:val="22"/>
          <w:szCs w:val="22"/>
          <w:lang w:val="en-GB"/>
        </w:rPr>
        <w:t xml:space="preserve">acceded to or adopted </w:t>
      </w:r>
      <w:r w:rsidR="00CA6C59">
        <w:rPr>
          <w:rFonts w:ascii="Avenir Next" w:hAnsi="Avenir Next" w:cs="Arial"/>
          <w:color w:val="808080" w:themeColor="background1" w:themeShade="80"/>
          <w:sz w:val="22"/>
          <w:szCs w:val="22"/>
          <w:lang w:val="en-GB"/>
        </w:rPr>
        <w:t xml:space="preserve">(with or without amendment) in the domestic </w:t>
      </w:r>
      <w:r w:rsidR="00014908">
        <w:rPr>
          <w:rFonts w:ascii="Avenir Next" w:hAnsi="Avenir Next" w:cs="Arial"/>
          <w:color w:val="808080" w:themeColor="background1" w:themeShade="80"/>
          <w:sz w:val="22"/>
          <w:szCs w:val="22"/>
          <w:lang w:val="en-GB"/>
        </w:rPr>
        <w:t>legislation</w:t>
      </w:r>
      <w:r w:rsidR="00CA6C59">
        <w:rPr>
          <w:rFonts w:ascii="Avenir Next" w:hAnsi="Avenir Next" w:cs="Arial"/>
          <w:color w:val="808080" w:themeColor="background1" w:themeShade="80"/>
          <w:sz w:val="22"/>
          <w:szCs w:val="22"/>
          <w:lang w:val="en-GB"/>
        </w:rPr>
        <w:t xml:space="preserve"> of a State before it </w:t>
      </w:r>
      <w:r w:rsidR="007F1A86">
        <w:rPr>
          <w:rFonts w:ascii="Avenir Next" w:hAnsi="Avenir Next" w:cs="Arial"/>
          <w:color w:val="808080" w:themeColor="background1" w:themeShade="80"/>
          <w:sz w:val="22"/>
          <w:szCs w:val="22"/>
          <w:lang w:val="en-GB"/>
        </w:rPr>
        <w:t>will</w:t>
      </w:r>
      <w:r w:rsidR="00CA6C59">
        <w:rPr>
          <w:rFonts w:ascii="Avenir Next" w:hAnsi="Avenir Next" w:cs="Arial"/>
          <w:color w:val="808080" w:themeColor="background1" w:themeShade="80"/>
          <w:sz w:val="22"/>
          <w:szCs w:val="22"/>
          <w:lang w:val="en-GB"/>
        </w:rPr>
        <w:t xml:space="preserve"> be binding on parties (though it might nonetheless be influential). </w:t>
      </w:r>
    </w:p>
    <w:p w14:paraId="1633C8A0" w14:textId="001D189A" w:rsidR="00EF58C0" w:rsidRDefault="00EF58C0" w:rsidP="00036B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most successful soft law approach to date is the UNCITRAL Model Law on Cross-border Insolvency (MLCBI). The Model Law, rather than being presented as a more typical treaty or convention, instead was draft legislation recommended by UNCTIRAL for the adoption by member states (with or without modification).  This model is gathering momentum and has influenced international insolvency law. </w:t>
      </w:r>
    </w:p>
    <w:p w14:paraId="1F48C216" w14:textId="77777777" w:rsidR="00633D5B" w:rsidRDefault="00633D5B" w:rsidP="00692852">
      <w:pPr>
        <w:jc w:val="both"/>
        <w:rPr>
          <w:rFonts w:ascii="Avenir Next Demi Bold" w:hAnsi="Avenir Next Demi Bold" w:cs="Arial"/>
          <w:b/>
          <w:bCs/>
          <w:sz w:val="22"/>
          <w:szCs w:val="22"/>
          <w:lang w:val="en-GB"/>
        </w:rPr>
      </w:pPr>
    </w:p>
    <w:p w14:paraId="55C402CC" w14:textId="01792338" w:rsidR="00036B43" w:rsidRPr="006746A0" w:rsidRDefault="00036B43" w:rsidP="00692852">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 (fact-based application-type question) [15 marks in total]</w:t>
      </w:r>
    </w:p>
    <w:p w14:paraId="6D423740" w14:textId="77777777" w:rsidR="00036B43" w:rsidRPr="004216EA" w:rsidRDefault="00036B43" w:rsidP="00692852">
      <w:pPr>
        <w:autoSpaceDE w:val="0"/>
        <w:autoSpaceDN w:val="0"/>
        <w:adjustRightInd w:val="0"/>
        <w:jc w:val="both"/>
        <w:rPr>
          <w:rFonts w:ascii="Avenir Next" w:hAnsi="Avenir Next" w:cs="Arial"/>
          <w:sz w:val="22"/>
          <w:szCs w:val="22"/>
          <w:highlight w:val="green"/>
          <w:lang w:val="en-GB"/>
        </w:rPr>
      </w:pPr>
    </w:p>
    <w:p w14:paraId="35311685" w14:textId="740FE5BF" w:rsidR="00F85C0B" w:rsidRPr="001D7CE6" w:rsidRDefault="00F85C0B" w:rsidP="001D7CE6">
      <w:pPr>
        <w:jc w:val="both"/>
        <w:rPr>
          <w:rFonts w:ascii="Avenir Next" w:hAnsi="Avenir Next" w:cs="Arial"/>
          <w:sz w:val="22"/>
          <w:szCs w:val="22"/>
        </w:rPr>
      </w:pPr>
      <w:r w:rsidRPr="001D7CE6">
        <w:rPr>
          <w:rFonts w:ascii="Avenir Next" w:hAnsi="Avenir Next" w:cs="Arial"/>
          <w:sz w:val="22"/>
          <w:szCs w:val="22"/>
        </w:rPr>
        <w:t xml:space="preserve">Norton Cars Inc is a registered company that manufactures sports cars. </w:t>
      </w:r>
      <w:r w:rsidRPr="001D7CE6">
        <w:rPr>
          <w:rStyle w:val="cf01"/>
          <w:rFonts w:ascii="Avenir Next" w:hAnsi="Avenir Next" w:cs="Arial"/>
          <w:sz w:val="22"/>
          <w:szCs w:val="22"/>
        </w:rPr>
        <w:t>The company was initially incorporated in the USA and at the time operated from there.</w:t>
      </w:r>
      <w:r w:rsidR="00A641E0" w:rsidRPr="001D7CE6">
        <w:rPr>
          <w:rStyle w:val="cf01"/>
          <w:rFonts w:ascii="Avenir Next" w:hAnsi="Avenir Next" w:cs="Arial"/>
          <w:sz w:val="22"/>
          <w:szCs w:val="22"/>
        </w:rPr>
        <w:t xml:space="preserve"> </w:t>
      </w:r>
      <w:r w:rsidR="008E4F14" w:rsidRPr="001D7CE6">
        <w:rPr>
          <w:rFonts w:ascii="Avenir Next" w:hAnsi="Avenir Next" w:cs="Arial"/>
          <w:sz w:val="22"/>
          <w:szCs w:val="22"/>
        </w:rPr>
        <w:t>The company’s</w:t>
      </w:r>
      <w:r w:rsidRPr="001D7CE6">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3B6FE9" w:rsidRDefault="00F85C0B" w:rsidP="00F85C0B">
      <w:pPr>
        <w:jc w:val="both"/>
        <w:rPr>
          <w:rFonts w:ascii="Avenir Next" w:hAnsi="Avenir Next" w:cs="Arial"/>
          <w:sz w:val="22"/>
          <w:szCs w:val="22"/>
        </w:rPr>
      </w:pPr>
    </w:p>
    <w:p w14:paraId="52710D41" w14:textId="2F4E94FD" w:rsidR="00F85C0B" w:rsidRPr="001D7CE6" w:rsidRDefault="00F85C0B" w:rsidP="001D7CE6">
      <w:pPr>
        <w:jc w:val="both"/>
        <w:rPr>
          <w:rFonts w:ascii="Avenir Next" w:hAnsi="Avenir Next" w:cs="Arial"/>
          <w:sz w:val="22"/>
          <w:szCs w:val="22"/>
        </w:rPr>
      </w:pPr>
      <w:r w:rsidRPr="001D7CE6">
        <w:rPr>
          <w:rFonts w:ascii="Avenir Next" w:hAnsi="Avenir Next" w:cs="Arial"/>
          <w:sz w:val="22"/>
          <w:szCs w:val="22"/>
        </w:rPr>
        <w:t xml:space="preserve">Norton Cars Inc maintains a presence and conducts business in the USA as well as various European countries, being </w:t>
      </w:r>
      <w:proofErr w:type="gramStart"/>
      <w:r w:rsidRPr="001D7CE6">
        <w:rPr>
          <w:rFonts w:ascii="Avenir Next" w:hAnsi="Avenir Next" w:cs="Arial"/>
          <w:sz w:val="22"/>
          <w:szCs w:val="22"/>
        </w:rPr>
        <w:t>countries</w:t>
      </w:r>
      <w:proofErr w:type="gramEnd"/>
      <w:r w:rsidRPr="001D7CE6">
        <w:rPr>
          <w:rFonts w:ascii="Avenir Next" w:hAnsi="Avenir Next" w:cs="Arial"/>
          <w:sz w:val="22"/>
          <w:szCs w:val="22"/>
        </w:rPr>
        <w:t xml:space="preserve"> which are both EU member states and non-member states. </w:t>
      </w:r>
    </w:p>
    <w:p w14:paraId="561654A6" w14:textId="77777777" w:rsidR="00F85C0B" w:rsidRPr="003B6FE9" w:rsidRDefault="00F85C0B" w:rsidP="00F85C0B">
      <w:pPr>
        <w:jc w:val="both"/>
        <w:rPr>
          <w:rFonts w:ascii="Avenir Next" w:hAnsi="Avenir Next" w:cs="Arial"/>
          <w:sz w:val="22"/>
          <w:szCs w:val="28"/>
        </w:rPr>
      </w:pPr>
    </w:p>
    <w:p w14:paraId="31BA3C92" w14:textId="24ACCC1F" w:rsidR="00F85C0B" w:rsidRPr="001D7CE6" w:rsidRDefault="00F85C0B" w:rsidP="001D7CE6">
      <w:pPr>
        <w:jc w:val="both"/>
        <w:rPr>
          <w:rFonts w:ascii="Avenir Next" w:hAnsi="Avenir Next" w:cs="Arial"/>
          <w:sz w:val="22"/>
          <w:szCs w:val="28"/>
        </w:rPr>
      </w:pPr>
      <w:r w:rsidRPr="001D7CE6">
        <w:rPr>
          <w:rFonts w:ascii="Avenir Next" w:hAnsi="Avenir Next" w:cs="Arial"/>
          <w:sz w:val="22"/>
          <w:szCs w:val="28"/>
        </w:rPr>
        <w:t xml:space="preserve">Apart from the USA and various European states, Norton Cars Inc also distributes its cars to India, South </w:t>
      </w:r>
      <w:proofErr w:type="gramStart"/>
      <w:r w:rsidRPr="001D7CE6">
        <w:rPr>
          <w:rFonts w:ascii="Avenir Next" w:hAnsi="Avenir Next" w:cs="Arial"/>
          <w:sz w:val="22"/>
          <w:szCs w:val="28"/>
        </w:rPr>
        <w:t>Africa</w:t>
      </w:r>
      <w:proofErr w:type="gramEnd"/>
      <w:r w:rsidRPr="001D7CE6">
        <w:rPr>
          <w:rFonts w:ascii="Avenir Next" w:hAnsi="Avenir Next" w:cs="Arial"/>
          <w:sz w:val="22"/>
          <w:szCs w:val="28"/>
        </w:rPr>
        <w:t xml:space="preserve"> and Australia via branches of the company</w:t>
      </w:r>
      <w:r w:rsidR="008E4F14" w:rsidRPr="001D7CE6">
        <w:rPr>
          <w:rFonts w:ascii="Avenir Next" w:hAnsi="Avenir Next" w:cs="Arial"/>
          <w:sz w:val="22"/>
          <w:szCs w:val="28"/>
        </w:rPr>
        <w:t xml:space="preserve"> </w:t>
      </w:r>
      <w:r w:rsidRPr="001D7CE6">
        <w:rPr>
          <w:rFonts w:ascii="Avenir Next" w:hAnsi="Avenir Next" w:cs="Arial"/>
          <w:sz w:val="22"/>
          <w:szCs w:val="28"/>
        </w:rPr>
        <w:t xml:space="preserve">operating in these </w:t>
      </w:r>
      <w:r w:rsidR="008E4F14" w:rsidRPr="001D7CE6">
        <w:rPr>
          <w:rFonts w:ascii="Avenir Next" w:hAnsi="Avenir Next" w:cs="Arial"/>
          <w:sz w:val="22"/>
          <w:szCs w:val="28"/>
        </w:rPr>
        <w:t>S</w:t>
      </w:r>
      <w:r w:rsidRPr="001D7CE6">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2CEC2B24" w:rsidR="00F85C0B" w:rsidRPr="001D7CE6" w:rsidRDefault="00F85C0B" w:rsidP="001D7CE6">
      <w:pPr>
        <w:jc w:val="both"/>
        <w:rPr>
          <w:rFonts w:ascii="Avenir Next" w:hAnsi="Avenir Next" w:cs="Arial"/>
          <w:sz w:val="22"/>
          <w:szCs w:val="28"/>
        </w:rPr>
      </w:pPr>
      <w:r w:rsidRPr="001D7CE6">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1D7CE6" w:rsidRDefault="00F85C0B" w:rsidP="001D7CE6">
      <w:pPr>
        <w:jc w:val="both"/>
        <w:rPr>
          <w:rFonts w:ascii="Avenir Next" w:hAnsi="Avenir Next" w:cs="Arial"/>
          <w:sz w:val="22"/>
          <w:szCs w:val="28"/>
        </w:rPr>
      </w:pPr>
      <w:r w:rsidRPr="001D7CE6">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195EFB95" w14:textId="77777777" w:rsidR="003B6FE9" w:rsidRDefault="006C7290" w:rsidP="003B6FE9">
      <w:pPr>
        <w:spacing w:after="120"/>
        <w:jc w:val="both"/>
        <w:rPr>
          <w:rFonts w:ascii="Avenir Next" w:hAnsi="Avenir Next" w:cs="Arial"/>
          <w:color w:val="808080" w:themeColor="background1" w:themeShade="80"/>
          <w:sz w:val="22"/>
          <w:szCs w:val="22"/>
          <w:lang w:val="en-GB"/>
        </w:rPr>
      </w:pPr>
      <w:r w:rsidRPr="003B6FE9">
        <w:rPr>
          <w:rFonts w:ascii="Avenir Next" w:hAnsi="Avenir Next" w:cs="Arial"/>
          <w:color w:val="808080" w:themeColor="background1" w:themeShade="80"/>
          <w:sz w:val="22"/>
          <w:szCs w:val="22"/>
          <w:lang w:val="en-GB"/>
        </w:rPr>
        <w:t xml:space="preserve">The </w:t>
      </w:r>
      <w:r w:rsidRPr="00070677">
        <w:rPr>
          <w:rFonts w:ascii="Avenir Next" w:hAnsi="Avenir Next" w:cs="Arial"/>
          <w:b/>
          <w:bCs/>
          <w:color w:val="808080" w:themeColor="background1" w:themeShade="80"/>
          <w:sz w:val="22"/>
          <w:szCs w:val="22"/>
          <w:lang w:val="en-GB"/>
        </w:rPr>
        <w:t>Insolvency Act 1986</w:t>
      </w:r>
      <w:r w:rsidRPr="003B6FE9">
        <w:rPr>
          <w:rFonts w:ascii="Avenir Next" w:hAnsi="Avenir Next" w:cs="Arial"/>
          <w:color w:val="808080" w:themeColor="background1" w:themeShade="80"/>
          <w:sz w:val="22"/>
          <w:szCs w:val="22"/>
          <w:lang w:val="en-GB"/>
        </w:rPr>
        <w:t xml:space="preserve"> </w:t>
      </w:r>
      <w:r w:rsidR="003B6FE9" w:rsidRPr="003B6FE9">
        <w:rPr>
          <w:rFonts w:ascii="Avenir Next" w:hAnsi="Avenir Next" w:cs="Arial"/>
          <w:color w:val="808080" w:themeColor="background1" w:themeShade="80"/>
          <w:sz w:val="22"/>
          <w:szCs w:val="22"/>
          <w:lang w:val="en-GB"/>
        </w:rPr>
        <w:t>is the critical English legislation that deals with insolvency, including cross-border insolvency procedures.  This Act</w:t>
      </w:r>
      <w:r w:rsidR="003B6FE9" w:rsidRPr="003B6FE9">
        <w:rPr>
          <w:rFonts w:ascii="Avenir Next" w:hAnsi="Avenir Next" w:cs="Arial"/>
          <w:color w:val="808080" w:themeColor="background1" w:themeShade="80"/>
          <w:sz w:val="22"/>
          <w:szCs w:val="22"/>
          <w:lang w:val="en-GB"/>
        </w:rPr>
        <w:t xml:space="preserve"> </w:t>
      </w:r>
      <w:r w:rsidR="003B6FE9" w:rsidRPr="003B6FE9">
        <w:rPr>
          <w:rFonts w:ascii="Avenir Next" w:hAnsi="Avenir Next" w:cs="Arial"/>
          <w:color w:val="808080" w:themeColor="background1" w:themeShade="80"/>
          <w:sz w:val="22"/>
          <w:szCs w:val="22"/>
          <w:lang w:val="en-GB"/>
        </w:rPr>
        <w:t xml:space="preserve">gives English Courts jurisdiction to wind up a company that was formed in another State but that has carried on business in England (ss 220-221). </w:t>
      </w:r>
    </w:p>
    <w:p w14:paraId="2A401265" w14:textId="7B79B421" w:rsidR="003B6FE9" w:rsidRDefault="003B6FE9" w:rsidP="003B6FE9">
      <w:pPr>
        <w:spacing w:after="120"/>
        <w:jc w:val="both"/>
        <w:rPr>
          <w:rFonts w:ascii="Avenir Next" w:hAnsi="Avenir Next" w:cs="Arial"/>
          <w:color w:val="808080" w:themeColor="background1" w:themeShade="80"/>
          <w:sz w:val="22"/>
          <w:szCs w:val="22"/>
          <w:lang w:val="en-GB"/>
        </w:rPr>
      </w:pPr>
      <w:r w:rsidRPr="003B6FE9">
        <w:rPr>
          <w:rFonts w:ascii="Avenir Next" w:hAnsi="Avenir Next" w:cs="Arial"/>
          <w:color w:val="808080" w:themeColor="background1" w:themeShade="80"/>
          <w:sz w:val="22"/>
          <w:szCs w:val="22"/>
          <w:lang w:val="en-GB"/>
        </w:rPr>
        <w:t xml:space="preserve">The </w:t>
      </w:r>
      <w:r w:rsidRPr="00070677">
        <w:rPr>
          <w:rFonts w:ascii="Avenir Next" w:hAnsi="Avenir Next" w:cs="Arial"/>
          <w:b/>
          <w:bCs/>
          <w:color w:val="808080" w:themeColor="background1" w:themeShade="80"/>
          <w:sz w:val="22"/>
          <w:szCs w:val="22"/>
          <w:lang w:val="en-GB"/>
        </w:rPr>
        <w:t>Insolvency Act 1986</w:t>
      </w:r>
      <w:r w:rsidRPr="003B6FE9">
        <w:rPr>
          <w:rFonts w:ascii="Avenir Next" w:hAnsi="Avenir Next" w:cs="Arial"/>
          <w:color w:val="808080" w:themeColor="background1" w:themeShade="80"/>
          <w:sz w:val="22"/>
          <w:szCs w:val="22"/>
          <w:u w:val="single"/>
          <w:lang w:val="en-GB"/>
        </w:rPr>
        <w:t xml:space="preserve"> </w:t>
      </w:r>
      <w:r w:rsidRPr="003B6FE9">
        <w:rPr>
          <w:rFonts w:ascii="Avenir Next" w:hAnsi="Avenir Next" w:cs="Arial"/>
          <w:color w:val="808080" w:themeColor="background1" w:themeShade="80"/>
          <w:sz w:val="22"/>
          <w:szCs w:val="22"/>
          <w:lang w:val="en-GB"/>
        </w:rPr>
        <w:t xml:space="preserve">gives the English Courts power to recognise foreign insolvency proceedings (s 426). </w:t>
      </w:r>
      <w:proofErr w:type="gramStart"/>
      <w:r w:rsidRPr="003B6FE9">
        <w:rPr>
          <w:rFonts w:ascii="Avenir Next" w:hAnsi="Avenir Next" w:cs="Arial"/>
          <w:color w:val="808080" w:themeColor="background1" w:themeShade="80"/>
          <w:sz w:val="22"/>
          <w:szCs w:val="22"/>
          <w:lang w:val="en-GB"/>
        </w:rPr>
        <w:t>In particular, English</w:t>
      </w:r>
      <w:proofErr w:type="gramEnd"/>
      <w:r w:rsidRPr="003B6FE9">
        <w:rPr>
          <w:rFonts w:ascii="Avenir Next" w:hAnsi="Avenir Next" w:cs="Arial"/>
          <w:color w:val="808080" w:themeColor="background1" w:themeShade="80"/>
          <w:sz w:val="22"/>
          <w:szCs w:val="22"/>
          <w:lang w:val="en-GB"/>
        </w:rPr>
        <w:t xml:space="preserve"> Courts are permitted to “recognise” the authority of a foreign liquidator and enable the foreign liquidator to carry out its functions in England to, for example, gain control over local assets.  </w:t>
      </w:r>
      <w:r w:rsidR="001D63D1">
        <w:rPr>
          <w:rFonts w:ascii="Avenir Next" w:hAnsi="Avenir Next" w:cs="Arial"/>
          <w:color w:val="808080" w:themeColor="background1" w:themeShade="80"/>
          <w:sz w:val="22"/>
          <w:szCs w:val="22"/>
          <w:lang w:val="en-GB"/>
        </w:rPr>
        <w:t>S</w:t>
      </w:r>
      <w:r w:rsidR="001D63D1" w:rsidRPr="001D63D1">
        <w:rPr>
          <w:rFonts w:ascii="Avenir Next" w:hAnsi="Avenir Next" w:cs="Arial"/>
          <w:color w:val="808080" w:themeColor="background1" w:themeShade="80"/>
          <w:sz w:val="22"/>
          <w:szCs w:val="22"/>
          <w:lang w:val="en-GB"/>
        </w:rPr>
        <w:t xml:space="preserve">ection 426 allows </w:t>
      </w:r>
      <w:r w:rsidR="001D63D1">
        <w:rPr>
          <w:rFonts w:ascii="Avenir Next" w:hAnsi="Avenir Next" w:cs="Arial"/>
          <w:color w:val="808080" w:themeColor="background1" w:themeShade="80"/>
          <w:sz w:val="22"/>
          <w:szCs w:val="22"/>
          <w:lang w:val="en-GB"/>
        </w:rPr>
        <w:t>English</w:t>
      </w:r>
      <w:r w:rsidR="001D63D1" w:rsidRPr="001D63D1">
        <w:rPr>
          <w:rFonts w:ascii="Avenir Next" w:hAnsi="Avenir Next" w:cs="Arial"/>
          <w:color w:val="808080" w:themeColor="background1" w:themeShade="80"/>
          <w:sz w:val="22"/>
          <w:szCs w:val="22"/>
          <w:lang w:val="en-GB"/>
        </w:rPr>
        <w:t xml:space="preserve"> </w:t>
      </w:r>
      <w:r w:rsidR="001D63D1">
        <w:rPr>
          <w:rFonts w:ascii="Avenir Next" w:hAnsi="Avenir Next" w:cs="Arial"/>
          <w:color w:val="808080" w:themeColor="background1" w:themeShade="80"/>
          <w:sz w:val="22"/>
          <w:szCs w:val="22"/>
          <w:lang w:val="en-GB"/>
        </w:rPr>
        <w:t>C</w:t>
      </w:r>
      <w:r w:rsidR="001D63D1" w:rsidRPr="001D63D1">
        <w:rPr>
          <w:rFonts w:ascii="Avenir Next" w:hAnsi="Avenir Next" w:cs="Arial"/>
          <w:color w:val="808080" w:themeColor="background1" w:themeShade="80"/>
          <w:sz w:val="22"/>
          <w:szCs w:val="22"/>
          <w:lang w:val="en-GB"/>
        </w:rPr>
        <w:t xml:space="preserve">ourts in any </w:t>
      </w:r>
      <w:r w:rsidR="001D63D1">
        <w:rPr>
          <w:rFonts w:ascii="Avenir Next" w:hAnsi="Avenir Next" w:cs="Arial"/>
          <w:color w:val="808080" w:themeColor="background1" w:themeShade="80"/>
          <w:sz w:val="22"/>
          <w:szCs w:val="22"/>
          <w:lang w:val="en-GB"/>
        </w:rPr>
        <w:t>part of</w:t>
      </w:r>
      <w:r w:rsidR="001D63D1" w:rsidRPr="001D63D1">
        <w:rPr>
          <w:rFonts w:ascii="Avenir Next" w:hAnsi="Avenir Next" w:cs="Arial"/>
          <w:color w:val="808080" w:themeColor="background1" w:themeShade="80"/>
          <w:sz w:val="22"/>
          <w:szCs w:val="22"/>
          <w:lang w:val="en-GB"/>
        </w:rPr>
        <w:t xml:space="preserve"> the UK and in "relevant countries", to request assistance from the UK Court</w:t>
      </w:r>
      <w:r w:rsidR="001D63D1">
        <w:rPr>
          <w:rFonts w:ascii="Avenir Next" w:hAnsi="Avenir Next" w:cs="Arial"/>
          <w:color w:val="808080" w:themeColor="background1" w:themeShade="80"/>
          <w:sz w:val="22"/>
          <w:szCs w:val="22"/>
          <w:lang w:val="en-GB"/>
        </w:rPr>
        <w:t xml:space="preserve"> in relation to insolvency proceedings.</w:t>
      </w:r>
    </w:p>
    <w:p w14:paraId="0F5BF0E4" w14:textId="648029E5" w:rsidR="003B6FE9" w:rsidRDefault="003B6FE9" w:rsidP="003B6FE9">
      <w:pPr>
        <w:spacing w:after="120"/>
        <w:jc w:val="both"/>
        <w:rPr>
          <w:rFonts w:ascii="Avenir Next" w:hAnsi="Avenir Next" w:cs="Arial"/>
          <w:color w:val="808080" w:themeColor="background1" w:themeShade="80"/>
          <w:sz w:val="22"/>
          <w:szCs w:val="22"/>
          <w:lang w:val="en-GB"/>
        </w:rPr>
      </w:pPr>
      <w:proofErr w:type="gramStart"/>
      <w:r w:rsidRPr="003B6FE9">
        <w:rPr>
          <w:rFonts w:ascii="Avenir Next" w:hAnsi="Avenir Next" w:cs="Arial"/>
          <w:color w:val="808080" w:themeColor="background1" w:themeShade="80"/>
          <w:sz w:val="22"/>
          <w:szCs w:val="22"/>
          <w:lang w:val="en-GB"/>
        </w:rPr>
        <w:t>Generally speaking, English</w:t>
      </w:r>
      <w:proofErr w:type="gramEnd"/>
      <w:r w:rsidRPr="003B6FE9">
        <w:rPr>
          <w:rFonts w:ascii="Avenir Next" w:hAnsi="Avenir Next" w:cs="Arial"/>
          <w:color w:val="808080" w:themeColor="background1" w:themeShade="80"/>
          <w:sz w:val="22"/>
          <w:szCs w:val="22"/>
          <w:lang w:val="en-GB"/>
        </w:rPr>
        <w:t xml:space="preserve"> law </w:t>
      </w:r>
      <w:r>
        <w:rPr>
          <w:rFonts w:ascii="Avenir Next" w:hAnsi="Avenir Next" w:cs="Arial"/>
          <w:color w:val="808080" w:themeColor="background1" w:themeShade="80"/>
          <w:sz w:val="22"/>
          <w:szCs w:val="22"/>
          <w:lang w:val="en-GB"/>
        </w:rPr>
        <w:t>will apply</w:t>
      </w:r>
      <w:r w:rsidRPr="003B6FE9">
        <w:rPr>
          <w:rFonts w:ascii="Avenir Next" w:hAnsi="Avenir Next" w:cs="Arial"/>
          <w:color w:val="808080" w:themeColor="background1" w:themeShade="80"/>
          <w:sz w:val="22"/>
          <w:szCs w:val="22"/>
          <w:lang w:val="en-GB"/>
        </w:rPr>
        <w:t xml:space="preserve"> to matters of procedure and substance with respect to a cross-border </w:t>
      </w:r>
      <w:r>
        <w:rPr>
          <w:rFonts w:ascii="Avenir Next" w:hAnsi="Avenir Next" w:cs="Arial"/>
          <w:color w:val="808080" w:themeColor="background1" w:themeShade="80"/>
          <w:sz w:val="22"/>
          <w:szCs w:val="22"/>
          <w:lang w:val="en-GB"/>
        </w:rPr>
        <w:t>proceedings</w:t>
      </w:r>
      <w:r w:rsidRPr="003B6FE9">
        <w:rPr>
          <w:rFonts w:ascii="Avenir Next" w:hAnsi="Avenir Next" w:cs="Arial"/>
          <w:color w:val="808080" w:themeColor="background1" w:themeShade="80"/>
          <w:sz w:val="22"/>
          <w:szCs w:val="22"/>
          <w:lang w:val="en-GB"/>
        </w:rPr>
        <w:t xml:space="preserve">, but foreign law may be relevant and applied in certain circumstances. </w:t>
      </w:r>
    </w:p>
    <w:p w14:paraId="70745251" w14:textId="07005C30" w:rsidR="003B6FE9" w:rsidRDefault="003B6FE9" w:rsidP="003B6FE9">
      <w:pPr>
        <w:spacing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part of its cross-border legal framework, England also adopted </w:t>
      </w:r>
      <w:r w:rsidRPr="00070677">
        <w:rPr>
          <w:rFonts w:ascii="Avenir Next" w:hAnsi="Avenir Next" w:cs="Arial"/>
          <w:b/>
          <w:bCs/>
          <w:color w:val="808080" w:themeColor="background1" w:themeShade="80"/>
          <w:sz w:val="22"/>
          <w:szCs w:val="22"/>
          <w:lang w:val="en-GB"/>
        </w:rPr>
        <w:t>the UNCTIRAL Model Law on Cross Border Insolvency</w:t>
      </w:r>
      <w:r w:rsidR="001D63D1">
        <w:rPr>
          <w:rFonts w:ascii="Avenir Next" w:hAnsi="Avenir Next" w:cs="Arial"/>
          <w:color w:val="808080" w:themeColor="background1" w:themeShade="80"/>
          <w:sz w:val="22"/>
          <w:szCs w:val="22"/>
          <w:lang w:val="en-GB"/>
        </w:rPr>
        <w:t xml:space="preserve"> (incorporated by the</w:t>
      </w:r>
      <w:r w:rsidR="001D63D1" w:rsidRPr="001D63D1">
        <w:rPr>
          <w:rFonts w:ascii="Avenir Next" w:hAnsi="Avenir Next" w:cs="Arial"/>
          <w:color w:val="808080" w:themeColor="background1" w:themeShade="80"/>
          <w:sz w:val="22"/>
          <w:szCs w:val="22"/>
          <w:lang w:val="en-GB"/>
        </w:rPr>
        <w:t xml:space="preserve"> </w:t>
      </w:r>
      <w:r w:rsidR="001D63D1" w:rsidRPr="00070677">
        <w:rPr>
          <w:rFonts w:ascii="Avenir Next" w:hAnsi="Avenir Next" w:cs="Arial"/>
          <w:b/>
          <w:bCs/>
          <w:color w:val="808080" w:themeColor="background1" w:themeShade="80"/>
          <w:sz w:val="22"/>
          <w:szCs w:val="22"/>
          <w:lang w:val="en-GB"/>
        </w:rPr>
        <w:t>Cross-Border Insolvency Regulations 2006</w:t>
      </w:r>
      <w:r w:rsidR="001D63D1">
        <w:rPr>
          <w:rFonts w:ascii="Avenir Next" w:hAnsi="Avenir Next" w:cs="Arial"/>
          <w:color w:val="808080" w:themeColor="background1" w:themeShade="80"/>
          <w:sz w:val="22"/>
          <w:szCs w:val="22"/>
          <w:lang w:val="en-GB"/>
        </w:rPr>
        <w:t>)</w:t>
      </w:r>
      <w:r w:rsidR="00825A14">
        <w:rPr>
          <w:rFonts w:ascii="Avenir Next" w:hAnsi="Avenir Next" w:cs="Arial"/>
          <w:color w:val="808080" w:themeColor="background1" w:themeShade="80"/>
          <w:sz w:val="22"/>
          <w:szCs w:val="22"/>
          <w:lang w:val="en-GB"/>
        </w:rPr>
        <w:t>. Notwithstanding this, section 426 of the Insolvency Act still applies to relevant countries, and common law principles continue to apply as well.</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Inc</w:t>
      </w:r>
      <w:r w:rsidRPr="000A1844">
        <w:rPr>
          <w:rFonts w:ascii="Avenir Next" w:hAnsi="Avenir Next" w:cs="Arial"/>
          <w:sz w:val="22"/>
          <w:szCs w:val="28"/>
        </w:rPr>
        <w:t xml:space="preserve"> 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2847E041" w:rsidR="002253D8" w:rsidRDefault="00A94402" w:rsidP="00A523B8">
      <w:pPr>
        <w:spacing w:after="120"/>
        <w:jc w:val="both"/>
        <w:rPr>
          <w:rFonts w:ascii="Avenir Next" w:hAnsi="Avenir Next" w:cs="Arial"/>
          <w:color w:val="808080" w:themeColor="background1" w:themeShade="80"/>
          <w:sz w:val="22"/>
          <w:szCs w:val="22"/>
          <w:lang w:val="en-GB"/>
        </w:rPr>
      </w:pPr>
      <w:r w:rsidRPr="00A94402">
        <w:rPr>
          <w:rFonts w:ascii="Avenir Next" w:hAnsi="Avenir Next" w:cs="Arial"/>
          <w:color w:val="808080" w:themeColor="background1" w:themeShade="80"/>
          <w:sz w:val="22"/>
          <w:szCs w:val="22"/>
          <w:lang w:val="en-GB"/>
        </w:rPr>
        <w:t>Insolvency proceedings in</w:t>
      </w:r>
      <w:r>
        <w:rPr>
          <w:rFonts w:ascii="Avenir Next" w:hAnsi="Avenir Next" w:cs="Arial"/>
          <w:color w:val="808080" w:themeColor="background1" w:themeShade="80"/>
          <w:sz w:val="22"/>
          <w:szCs w:val="22"/>
          <w:lang w:val="en-GB"/>
        </w:rPr>
        <w:t xml:space="preserve"> the EU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applicable to Germany and Italy) are governed by </w:t>
      </w:r>
      <w:r w:rsidRPr="001D7CE6">
        <w:rPr>
          <w:rFonts w:ascii="Avenir Next" w:hAnsi="Avenir Next" w:cs="Arial"/>
          <w:color w:val="808080" w:themeColor="background1" w:themeShade="80"/>
          <w:sz w:val="22"/>
          <w:szCs w:val="22"/>
          <w:u w:val="single"/>
          <w:lang w:val="en-GB"/>
        </w:rPr>
        <w:t>the European Insolvency Regulation</w:t>
      </w:r>
      <w:r>
        <w:rPr>
          <w:rFonts w:ascii="Avenir Next" w:hAnsi="Avenir Next" w:cs="Arial"/>
          <w:color w:val="808080" w:themeColor="background1" w:themeShade="80"/>
          <w:sz w:val="22"/>
          <w:szCs w:val="22"/>
          <w:lang w:val="en-GB"/>
        </w:rPr>
        <w:t xml:space="preserve"> (</w:t>
      </w:r>
      <w:r w:rsidRPr="00A94402">
        <w:rPr>
          <w:rFonts w:ascii="Avenir Next" w:hAnsi="Avenir Next" w:cs="Arial"/>
          <w:b/>
          <w:bCs/>
          <w:i/>
          <w:iCs/>
          <w:color w:val="808080" w:themeColor="background1" w:themeShade="80"/>
          <w:sz w:val="22"/>
          <w:szCs w:val="22"/>
          <w:lang w:val="en-GB"/>
        </w:rPr>
        <w:t>EIR</w:t>
      </w:r>
      <w:r>
        <w:rPr>
          <w:rFonts w:ascii="Avenir Next" w:hAnsi="Avenir Next" w:cs="Arial"/>
          <w:color w:val="808080" w:themeColor="background1" w:themeShade="80"/>
          <w:sz w:val="22"/>
          <w:szCs w:val="22"/>
          <w:lang w:val="en-GB"/>
        </w:rPr>
        <w:t xml:space="preserve">) as recast in 2015 and amended by </w:t>
      </w:r>
      <w:r w:rsidRPr="001D7CE6">
        <w:rPr>
          <w:rFonts w:ascii="Avenir Next" w:hAnsi="Avenir Next" w:cs="Arial"/>
          <w:color w:val="808080" w:themeColor="background1" w:themeShade="80"/>
          <w:sz w:val="22"/>
          <w:szCs w:val="22"/>
          <w:u w:val="single"/>
          <w:lang w:val="en-GB"/>
        </w:rPr>
        <w:t>Regulation 2021/2260</w:t>
      </w:r>
      <w:r>
        <w:rPr>
          <w:rFonts w:ascii="Avenir Next" w:hAnsi="Avenir Next" w:cs="Arial"/>
          <w:color w:val="808080" w:themeColor="background1" w:themeShade="80"/>
          <w:sz w:val="22"/>
          <w:szCs w:val="22"/>
          <w:lang w:val="en-GB"/>
        </w:rPr>
        <w:t xml:space="preserve"> in 2021, which became effective in January 2022.</w:t>
      </w:r>
    </w:p>
    <w:p w14:paraId="45D16F61" w14:textId="16513FB4" w:rsidR="00F26CE4" w:rsidRDefault="00A523B8" w:rsidP="000A1844">
      <w:pPr>
        <w:spacing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EIR provides that t</w:t>
      </w:r>
      <w:r w:rsidR="00F26CE4">
        <w:rPr>
          <w:rFonts w:ascii="Avenir Next" w:hAnsi="Avenir Next" w:cs="Arial"/>
          <w:color w:val="808080" w:themeColor="background1" w:themeShade="80"/>
          <w:sz w:val="22"/>
          <w:szCs w:val="22"/>
          <w:lang w:val="en-GB"/>
        </w:rPr>
        <w:t xml:space="preserve">he primary jurisdiction for the resolution of the insolvency proceedings is the centre of the debtor’s main interests (COMI). </w:t>
      </w:r>
    </w:p>
    <w:p w14:paraId="69DA8990" w14:textId="19A028BE" w:rsidR="000A1844" w:rsidRDefault="000A1844" w:rsidP="000A1844">
      <w:pPr>
        <w:spacing w:after="120"/>
        <w:jc w:val="both"/>
        <w:rPr>
          <w:rFonts w:ascii="Avenir Next" w:hAnsi="Avenir Next" w:cs="Arial"/>
          <w:color w:val="808080" w:themeColor="background1" w:themeShade="80"/>
          <w:sz w:val="22"/>
          <w:szCs w:val="22"/>
          <w:lang w:val="en-GB"/>
        </w:rPr>
      </w:pPr>
      <w:r w:rsidRPr="000A1844">
        <w:rPr>
          <w:rFonts w:ascii="Avenir Next" w:hAnsi="Avenir Next" w:cs="Arial"/>
          <w:color w:val="808080" w:themeColor="background1" w:themeShade="80"/>
          <w:sz w:val="22"/>
          <w:szCs w:val="22"/>
        </w:rPr>
        <w:t xml:space="preserve">COMI </w:t>
      </w:r>
      <w:r>
        <w:rPr>
          <w:rFonts w:ascii="Avenir Next" w:hAnsi="Avenir Next" w:cs="Arial"/>
          <w:color w:val="808080" w:themeColor="background1" w:themeShade="80"/>
          <w:sz w:val="22"/>
          <w:szCs w:val="22"/>
        </w:rPr>
        <w:t>is</w:t>
      </w:r>
      <w:r w:rsidRPr="000A1844">
        <w:rPr>
          <w:rFonts w:ascii="Avenir Next" w:hAnsi="Avenir Next" w:cs="Arial"/>
          <w:color w:val="808080" w:themeColor="background1" w:themeShade="80"/>
          <w:sz w:val="22"/>
          <w:szCs w:val="22"/>
        </w:rPr>
        <w:t> </w:t>
      </w:r>
      <w:r>
        <w:rPr>
          <w:rFonts w:ascii="Avenir Next" w:hAnsi="Avenir Next" w:cs="Arial"/>
          <w:color w:val="808080" w:themeColor="background1" w:themeShade="80"/>
          <w:sz w:val="22"/>
          <w:szCs w:val="22"/>
        </w:rPr>
        <w:t xml:space="preserve">determined by reference to </w:t>
      </w:r>
      <w:r w:rsidRPr="000A1844">
        <w:rPr>
          <w:rFonts w:ascii="Avenir Next" w:hAnsi="Avenir Next" w:cs="Arial"/>
          <w:color w:val="808080" w:themeColor="background1" w:themeShade="80"/>
          <w:sz w:val="22"/>
          <w:szCs w:val="22"/>
        </w:rPr>
        <w:t xml:space="preserve">the place where the debtor regularly administers its </w:t>
      </w:r>
      <w:r w:rsidRPr="000A1844">
        <w:rPr>
          <w:rFonts w:ascii="Avenir Next" w:hAnsi="Avenir Next" w:cs="Arial"/>
          <w:color w:val="808080" w:themeColor="background1" w:themeShade="80"/>
          <w:sz w:val="22"/>
          <w:szCs w:val="22"/>
        </w:rPr>
        <w:t>interests,</w:t>
      </w:r>
      <w:r w:rsidRPr="000A1844">
        <w:rPr>
          <w:rFonts w:ascii="Avenir Next" w:hAnsi="Avenir Next" w:cs="Arial"/>
          <w:color w:val="808080" w:themeColor="background1" w:themeShade="80"/>
          <w:sz w:val="22"/>
          <w:szCs w:val="22"/>
        </w:rPr>
        <w:t xml:space="preserve"> and which can be ascertained by third parties. </w:t>
      </w:r>
      <w:r>
        <w:rPr>
          <w:rFonts w:ascii="Avenir Next" w:hAnsi="Avenir Next" w:cs="Arial"/>
          <w:color w:val="808080" w:themeColor="background1" w:themeShade="80"/>
          <w:sz w:val="22"/>
          <w:szCs w:val="22"/>
        </w:rPr>
        <w:t>It is</w:t>
      </w:r>
      <w:r w:rsidRPr="000A1844">
        <w:rPr>
          <w:rFonts w:ascii="Avenir Next" w:hAnsi="Avenir Next" w:cs="Arial"/>
          <w:color w:val="808080" w:themeColor="background1" w:themeShade="80"/>
          <w:sz w:val="22"/>
          <w:szCs w:val="22"/>
        </w:rPr>
        <w:t xml:space="preserve"> not merely the debtor's intention but also the creditors' perception of where the debtor administers its interests.</w:t>
      </w:r>
      <w:r>
        <w:rPr>
          <w:rFonts w:ascii="Avenir Next" w:hAnsi="Avenir Next" w:cs="Arial"/>
          <w:color w:val="808080" w:themeColor="background1" w:themeShade="80"/>
          <w:sz w:val="22"/>
          <w:szCs w:val="22"/>
        </w:rPr>
        <w:t xml:space="preserve"> </w:t>
      </w:r>
    </w:p>
    <w:p w14:paraId="4B2EAE5B" w14:textId="77777777" w:rsidR="000A1844" w:rsidRDefault="004E1991" w:rsidP="000A1844">
      <w:pPr>
        <w:spacing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example, Italy appears to be its COMI based on its management centre</w:t>
      </w:r>
      <w:r w:rsidR="000A1844">
        <w:rPr>
          <w:rFonts w:ascii="Avenir Next" w:hAnsi="Avenir Next" w:cs="Arial"/>
          <w:color w:val="808080" w:themeColor="background1" w:themeShade="80"/>
          <w:sz w:val="22"/>
          <w:szCs w:val="22"/>
          <w:lang w:val="en-GB"/>
        </w:rPr>
        <w:t xml:space="preserve"> and likely where persons would therefore consider to be the place where the company administers its interests</w:t>
      </w:r>
      <w:r>
        <w:rPr>
          <w:rFonts w:ascii="Avenir Next" w:hAnsi="Avenir Next" w:cs="Arial"/>
          <w:color w:val="808080" w:themeColor="background1" w:themeShade="80"/>
          <w:sz w:val="22"/>
          <w:szCs w:val="22"/>
          <w:lang w:val="en-GB"/>
        </w:rPr>
        <w:t xml:space="preserve">. </w:t>
      </w:r>
    </w:p>
    <w:p w14:paraId="1822ECA5" w14:textId="595F894E" w:rsidR="004E1991" w:rsidRDefault="004E1991"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r w:rsidR="001D7CE6">
        <w:rPr>
          <w:rFonts w:ascii="Avenir Next" w:hAnsi="Avenir Next" w:cs="Arial"/>
          <w:color w:val="808080" w:themeColor="background1" w:themeShade="80"/>
          <w:sz w:val="22"/>
          <w:szCs w:val="22"/>
          <w:lang w:val="en-GB"/>
        </w:rPr>
        <w:t>under the EIR</w:t>
      </w:r>
      <w:r w:rsidR="001D7CE6">
        <w:rPr>
          <w:rFonts w:ascii="Avenir Next" w:hAnsi="Avenir Next" w:cs="Arial"/>
          <w:color w:val="808080" w:themeColor="background1" w:themeShade="80"/>
          <w:sz w:val="22"/>
          <w:szCs w:val="22"/>
          <w:lang w:val="en-GB"/>
        </w:rPr>
        <w:t>, subsidiary territorial proceedings are also permitted in other member states.</w:t>
      </w:r>
      <w:r w:rsidR="001D7CE6">
        <w:rPr>
          <w:rFonts w:ascii="Avenir Next" w:hAnsi="Avenir Next" w:cs="Arial"/>
          <w:color w:val="808080" w:themeColor="background1" w:themeShade="80"/>
          <w:sz w:val="22"/>
          <w:szCs w:val="22"/>
          <w:lang w:val="en-GB"/>
        </w:rPr>
        <w:t xml:space="preserve"> On this basis, </w:t>
      </w:r>
      <w:r>
        <w:rPr>
          <w:rFonts w:ascii="Avenir Next" w:hAnsi="Avenir Next" w:cs="Arial"/>
          <w:color w:val="808080" w:themeColor="background1" w:themeShade="80"/>
          <w:sz w:val="22"/>
          <w:szCs w:val="22"/>
          <w:lang w:val="en-GB"/>
        </w:rPr>
        <w:t>subsidiary proceedings (which could be either independent or secondary</w:t>
      </w:r>
      <w:r w:rsidR="001D7CE6">
        <w:rPr>
          <w:rFonts w:ascii="Avenir Next" w:hAnsi="Avenir Next" w:cs="Arial"/>
          <w:color w:val="808080" w:themeColor="background1" w:themeShade="80"/>
          <w:sz w:val="22"/>
          <w:szCs w:val="22"/>
          <w:lang w:val="en-GB"/>
        </w:rPr>
        <w:t xml:space="preserve"> to the main proceedings</w:t>
      </w:r>
      <w:r>
        <w:rPr>
          <w:rFonts w:ascii="Avenir Next" w:hAnsi="Avenir Next" w:cs="Arial"/>
          <w:color w:val="808080" w:themeColor="background1" w:themeShade="80"/>
          <w:sz w:val="22"/>
          <w:szCs w:val="22"/>
          <w:lang w:val="en-GB"/>
        </w:rPr>
        <w:t xml:space="preserve">) could be brought in Germany given that </w:t>
      </w:r>
      <w:r w:rsidR="001D7CE6">
        <w:rPr>
          <w:rFonts w:ascii="Avenir Next" w:hAnsi="Avenir Next" w:cs="Arial"/>
          <w:color w:val="808080" w:themeColor="background1" w:themeShade="80"/>
          <w:sz w:val="22"/>
          <w:szCs w:val="22"/>
          <w:lang w:val="en-GB"/>
        </w:rPr>
        <w:t xml:space="preserve">that Germany is where </w:t>
      </w:r>
      <w:proofErr w:type="gramStart"/>
      <w:r w:rsidR="001D7CE6">
        <w:rPr>
          <w:rFonts w:ascii="Avenir Next" w:hAnsi="Avenir Next" w:cs="Arial"/>
          <w:color w:val="808080" w:themeColor="background1" w:themeShade="80"/>
          <w:sz w:val="22"/>
          <w:szCs w:val="22"/>
          <w:lang w:val="en-GB"/>
        </w:rPr>
        <w:t>the majority of</w:t>
      </w:r>
      <w:proofErr w:type="gramEnd"/>
      <w:r w:rsidR="001D7CE6">
        <w:rPr>
          <w:rFonts w:ascii="Avenir Next" w:hAnsi="Avenir Next" w:cs="Arial"/>
          <w:color w:val="808080" w:themeColor="background1" w:themeShade="80"/>
          <w:sz w:val="22"/>
          <w:szCs w:val="22"/>
          <w:lang w:val="en-GB"/>
        </w:rPr>
        <w:t xml:space="preserve"> the manufacturing takes place and </w:t>
      </w:r>
      <w:r>
        <w:rPr>
          <w:rFonts w:ascii="Avenir Next" w:hAnsi="Avenir Next" w:cs="Arial"/>
          <w:color w:val="808080" w:themeColor="background1" w:themeShade="80"/>
          <w:sz w:val="22"/>
          <w:szCs w:val="22"/>
          <w:lang w:val="en-GB"/>
        </w:rPr>
        <w:t>is</w:t>
      </w:r>
      <w:r w:rsidR="001D7CE6">
        <w:rPr>
          <w:rFonts w:ascii="Avenir Next" w:hAnsi="Avenir Next" w:cs="Arial"/>
          <w:color w:val="808080" w:themeColor="background1" w:themeShade="80"/>
          <w:sz w:val="22"/>
          <w:szCs w:val="22"/>
          <w:lang w:val="en-GB"/>
        </w:rPr>
        <w:t xml:space="preserve"> therefore likely</w:t>
      </w:r>
      <w:r>
        <w:rPr>
          <w:rFonts w:ascii="Avenir Next" w:hAnsi="Avenir Next" w:cs="Arial"/>
          <w:color w:val="808080" w:themeColor="background1" w:themeShade="80"/>
          <w:sz w:val="22"/>
          <w:szCs w:val="22"/>
          <w:lang w:val="en-GB"/>
        </w:rPr>
        <w:t xml:space="preserve"> an “</w:t>
      </w:r>
      <w:r w:rsidRPr="000A1844">
        <w:rPr>
          <w:rFonts w:ascii="Avenir Next" w:hAnsi="Avenir Next" w:cs="Arial"/>
          <w:i/>
          <w:iCs/>
          <w:color w:val="808080" w:themeColor="background1" w:themeShade="80"/>
          <w:sz w:val="22"/>
          <w:szCs w:val="22"/>
          <w:lang w:val="en-GB"/>
        </w:rPr>
        <w:t>establishment</w:t>
      </w:r>
      <w:r>
        <w:rPr>
          <w:rFonts w:ascii="Avenir Next" w:hAnsi="Avenir Next" w:cs="Arial"/>
          <w:color w:val="808080" w:themeColor="background1" w:themeShade="80"/>
          <w:sz w:val="22"/>
          <w:szCs w:val="22"/>
          <w:lang w:val="en-GB"/>
        </w:rPr>
        <w:t>”</w:t>
      </w:r>
      <w:r w:rsidR="001D7CE6">
        <w:rPr>
          <w:rFonts w:ascii="Avenir Next" w:hAnsi="Avenir Next" w:cs="Arial"/>
          <w:color w:val="808080" w:themeColor="background1" w:themeShade="80"/>
          <w:sz w:val="22"/>
          <w:szCs w:val="22"/>
          <w:lang w:val="en-GB"/>
        </w:rPr>
        <w:t>,</w:t>
      </w:r>
      <w:r w:rsidR="000A1844">
        <w:rPr>
          <w:rFonts w:ascii="Avenir Next" w:hAnsi="Avenir Next" w:cs="Arial"/>
          <w:color w:val="808080" w:themeColor="background1" w:themeShade="80"/>
          <w:sz w:val="22"/>
          <w:szCs w:val="22"/>
          <w:lang w:val="en-GB"/>
        </w:rPr>
        <w:t xml:space="preserve"> meaning any place</w:t>
      </w:r>
      <w:r>
        <w:rPr>
          <w:rFonts w:ascii="Avenir Next" w:hAnsi="Avenir Next" w:cs="Arial"/>
          <w:color w:val="808080" w:themeColor="background1" w:themeShade="80"/>
          <w:sz w:val="22"/>
          <w:szCs w:val="22"/>
          <w:lang w:val="en-GB"/>
        </w:rPr>
        <w:t xml:space="preserve"> of operations</w:t>
      </w:r>
      <w:r w:rsidR="000A1844">
        <w:rPr>
          <w:rFonts w:ascii="Avenir Next" w:hAnsi="Avenir Next" w:cs="Arial"/>
          <w:color w:val="808080" w:themeColor="background1" w:themeShade="80"/>
          <w:sz w:val="22"/>
          <w:szCs w:val="22"/>
          <w:lang w:val="en-GB"/>
        </w:rPr>
        <w:t xml:space="preserve"> … where the debtor carries out a non-transitory economic activity with human means an</w:t>
      </w:r>
      <w:r w:rsidR="001D7CE6">
        <w:rPr>
          <w:rFonts w:ascii="Avenir Next" w:hAnsi="Avenir Next" w:cs="Arial"/>
          <w:color w:val="808080" w:themeColor="background1" w:themeShade="80"/>
          <w:sz w:val="22"/>
          <w:szCs w:val="22"/>
          <w:lang w:val="en-GB"/>
        </w:rPr>
        <w:t>d</w:t>
      </w:r>
      <w:r w:rsidR="000A1844">
        <w:rPr>
          <w:rFonts w:ascii="Avenir Next" w:hAnsi="Avenir Next" w:cs="Arial"/>
          <w:color w:val="808080" w:themeColor="background1" w:themeShade="80"/>
          <w:sz w:val="22"/>
          <w:szCs w:val="22"/>
          <w:lang w:val="en-GB"/>
        </w:rPr>
        <w:t xml:space="preserve"> assets. </w:t>
      </w:r>
    </w:p>
    <w:p w14:paraId="546F5221" w14:textId="77777777" w:rsidR="00A523B8" w:rsidRPr="00A94402" w:rsidRDefault="00A523B8" w:rsidP="002253D8">
      <w:pPr>
        <w:jc w:val="both"/>
        <w:rPr>
          <w:rFonts w:ascii="Avenir Next" w:hAnsi="Avenir Next" w:cs="Arial"/>
          <w:color w:val="808080" w:themeColor="background1" w:themeShade="80"/>
          <w:sz w:val="22"/>
          <w:szCs w:val="22"/>
          <w:lang w:val="en-GB"/>
        </w:rPr>
      </w:pPr>
    </w:p>
    <w:p w14:paraId="0D3B1D18" w14:textId="77777777" w:rsidR="004E1D03" w:rsidRPr="00A94402" w:rsidRDefault="004E1D03" w:rsidP="00692852">
      <w:pPr>
        <w:jc w:val="both"/>
        <w:rPr>
          <w:rFonts w:ascii="Avenir Next" w:hAnsi="Avenir Next"/>
          <w:sz w:val="22"/>
          <w:szCs w:val="22"/>
          <w:lang w:val="en-GB"/>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7D086D9C" w:rsidR="002253D8" w:rsidRPr="002253D8" w:rsidRDefault="00633D5B"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UK ceased to be a member of the EU on 31 January 2020 and consequently the EU Recast no longer applies to post-31 December 2020 proceedings in the UK.  The Recast Insolvency Regulation applies to insolvencies where the main proceedings were opened before </w:t>
      </w:r>
      <w:r>
        <w:rPr>
          <w:rFonts w:ascii="Avenir Next" w:hAnsi="Avenir Next" w:cs="Arial"/>
          <w:color w:val="808080" w:themeColor="background1" w:themeShade="80"/>
          <w:sz w:val="22"/>
          <w:szCs w:val="22"/>
          <w:lang w:val="en-GB"/>
        </w:rPr>
        <w:t>31 December 2020</w:t>
      </w:r>
      <w:r>
        <w:rPr>
          <w:rFonts w:ascii="Avenir Next" w:hAnsi="Avenir Next" w:cs="Arial"/>
          <w:color w:val="808080" w:themeColor="background1" w:themeShade="80"/>
          <w:sz w:val="22"/>
          <w:szCs w:val="22"/>
          <w:lang w:val="en-GB"/>
        </w:rPr>
        <w:t>.</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14B8A90C" w:rsidR="004827A3" w:rsidRPr="002253D8" w:rsidRDefault="004827A3" w:rsidP="00FC656D">
      <w:pPr>
        <w:pStyle w:val="ListParagraph"/>
        <w:numPr>
          <w:ilvl w:val="0"/>
          <w:numId w:val="11"/>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241BE6AA" w14:textId="6E268F30" w:rsidR="006C3ABB" w:rsidRDefault="00606D93" w:rsidP="006C3ABB">
      <w:pPr>
        <w:spacing w:after="120"/>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the insolvency procedure has been open under Italian law</w:t>
      </w:r>
      <w:r w:rsidR="006C3AB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 </w:t>
      </w:r>
      <w:r w:rsidR="006C3ABB">
        <w:rPr>
          <w:rFonts w:ascii="Avenir Next" w:hAnsi="Avenir Next" w:cs="Arial"/>
          <w:color w:val="808080" w:themeColor="background1" w:themeShade="80"/>
          <w:sz w:val="22"/>
          <w:szCs w:val="22"/>
          <w:lang w:val="en-GB"/>
        </w:rPr>
        <w:t xml:space="preserve">concern </w:t>
      </w:r>
      <w:r>
        <w:rPr>
          <w:rFonts w:ascii="Avenir Next" w:hAnsi="Avenir Next" w:cs="Arial"/>
          <w:color w:val="808080" w:themeColor="background1" w:themeShade="80"/>
          <w:sz w:val="22"/>
          <w:szCs w:val="22"/>
          <w:lang w:val="en-GB"/>
        </w:rPr>
        <w:t xml:space="preserve">an Italian estate, Italian law will apply to the proceeding. </w:t>
      </w:r>
    </w:p>
    <w:p w14:paraId="68820C87" w14:textId="1E230FC7" w:rsidR="004827A3" w:rsidRDefault="00606D93" w:rsidP="006C3ABB">
      <w:pPr>
        <w:spacing w:after="120"/>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real rights </w:t>
      </w:r>
      <w:r w:rsidR="003C4BFA">
        <w:rPr>
          <w:rFonts w:ascii="Avenir Next" w:hAnsi="Avenir Next" w:cs="Arial"/>
          <w:color w:val="808080" w:themeColor="background1" w:themeShade="80"/>
          <w:sz w:val="22"/>
          <w:szCs w:val="22"/>
          <w:lang w:val="en-GB"/>
        </w:rPr>
        <w:t>of security in respect of assets situated in the Netherlands will be subject to Dutch law</w:t>
      </w:r>
      <w:r w:rsidR="006C3ABB">
        <w:rPr>
          <w:rFonts w:ascii="Avenir Next" w:hAnsi="Avenir Next" w:cs="Arial"/>
          <w:color w:val="808080" w:themeColor="background1" w:themeShade="80"/>
          <w:sz w:val="22"/>
          <w:szCs w:val="22"/>
          <w:lang w:val="en-GB"/>
        </w:rPr>
        <w:t>,</w:t>
      </w:r>
      <w:r w:rsidR="003C4BFA">
        <w:rPr>
          <w:rFonts w:ascii="Avenir Next" w:hAnsi="Avenir Next" w:cs="Arial"/>
          <w:color w:val="808080" w:themeColor="background1" w:themeShade="80"/>
          <w:sz w:val="22"/>
          <w:szCs w:val="22"/>
          <w:lang w:val="en-GB"/>
        </w:rPr>
        <w:t xml:space="preserve"> insofar as </w:t>
      </w:r>
      <w:r w:rsidR="0067669E">
        <w:rPr>
          <w:rFonts w:ascii="Avenir Next" w:hAnsi="Avenir Next" w:cs="Arial"/>
          <w:color w:val="808080" w:themeColor="background1" w:themeShade="80"/>
          <w:sz w:val="22"/>
          <w:szCs w:val="22"/>
          <w:lang w:val="en-GB"/>
        </w:rPr>
        <w:t xml:space="preserve">such rights are likely to fall outside of the insolvent </w:t>
      </w:r>
      <w:r w:rsidR="006C3ABB">
        <w:rPr>
          <w:rFonts w:ascii="Avenir Next" w:hAnsi="Avenir Next" w:cs="Arial"/>
          <w:color w:val="808080" w:themeColor="background1" w:themeShade="80"/>
          <w:sz w:val="22"/>
          <w:szCs w:val="22"/>
          <w:lang w:val="en-GB"/>
        </w:rPr>
        <w:t>estate (as it is a secured asset and therefore the security documentation, etc., will likely be governed by the laws of the Netherlands</w:t>
      </w:r>
      <w:r w:rsidR="0067669E">
        <w:rPr>
          <w:rFonts w:ascii="Avenir Next" w:hAnsi="Avenir Next" w:cs="Arial"/>
          <w:color w:val="808080" w:themeColor="background1" w:themeShade="80"/>
          <w:sz w:val="22"/>
          <w:szCs w:val="22"/>
          <w:lang w:val="en-GB"/>
        </w:rPr>
        <w:t xml:space="preserve">. </w:t>
      </w:r>
    </w:p>
    <w:p w14:paraId="238FF8BA" w14:textId="77777777" w:rsidR="0067669E" w:rsidRPr="004827A3" w:rsidRDefault="0067669E" w:rsidP="0067669E">
      <w:pPr>
        <w:ind w:left="426"/>
        <w:jc w:val="both"/>
        <w:rPr>
          <w:rFonts w:ascii="Avenir Next" w:hAnsi="Avenir Next" w:cs="Arial"/>
          <w:sz w:val="24"/>
          <w:lang w:val="en-GB"/>
        </w:rPr>
      </w:pPr>
    </w:p>
    <w:p w14:paraId="60277E5E" w14:textId="2FC95F8D" w:rsidR="004827A3" w:rsidRDefault="004827A3" w:rsidP="00FC656D">
      <w:pPr>
        <w:pStyle w:val="ListParagraph"/>
        <w:numPr>
          <w:ilvl w:val="0"/>
          <w:numId w:val="11"/>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4948756E" w:rsidR="002253D8" w:rsidRDefault="00997FBF" w:rsidP="00997FBF">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has statutory provisions </w:t>
      </w:r>
      <w:proofErr w:type="gramStart"/>
      <w:r>
        <w:rPr>
          <w:rFonts w:ascii="Avenir Next" w:hAnsi="Avenir Next" w:cs="Arial"/>
          <w:color w:val="808080" w:themeColor="background1" w:themeShade="80"/>
          <w:sz w:val="22"/>
          <w:szCs w:val="22"/>
          <w:lang w:val="en-GB"/>
        </w:rPr>
        <w:t>similar to</w:t>
      </w:r>
      <w:proofErr w:type="gramEnd"/>
      <w:r>
        <w:rPr>
          <w:rFonts w:ascii="Avenir Next" w:hAnsi="Avenir Next" w:cs="Arial"/>
          <w:color w:val="808080" w:themeColor="background1" w:themeShade="80"/>
          <w:sz w:val="22"/>
          <w:szCs w:val="22"/>
          <w:lang w:val="en-GB"/>
        </w:rPr>
        <w:t xml:space="preserve"> section 426 of the Insolvency Act 1986 (UK), which are contained in sections 580-581 of the </w:t>
      </w:r>
      <w:r w:rsidRPr="00997FBF">
        <w:rPr>
          <w:rFonts w:ascii="Avenir Next" w:hAnsi="Avenir Next" w:cs="Arial"/>
          <w:color w:val="808080" w:themeColor="background1" w:themeShade="80"/>
          <w:sz w:val="22"/>
          <w:szCs w:val="22"/>
          <w:u w:val="single"/>
          <w:lang w:val="en-GB"/>
        </w:rPr>
        <w:t>Corporations Act (</w:t>
      </w:r>
      <w:proofErr w:type="spellStart"/>
      <w:r w:rsidRPr="00997FBF">
        <w:rPr>
          <w:rFonts w:ascii="Avenir Next" w:hAnsi="Avenir Next" w:cs="Arial"/>
          <w:color w:val="808080" w:themeColor="background1" w:themeShade="80"/>
          <w:sz w:val="22"/>
          <w:szCs w:val="22"/>
          <w:u w:val="single"/>
          <w:lang w:val="en-GB"/>
        </w:rPr>
        <w:t>Cth</w:t>
      </w:r>
      <w:proofErr w:type="spellEnd"/>
      <w:r w:rsidRPr="00997FBF">
        <w:rPr>
          <w:rFonts w:ascii="Avenir Next" w:hAnsi="Avenir Next" w:cs="Arial"/>
          <w:color w:val="808080" w:themeColor="background1" w:themeShade="80"/>
          <w:sz w:val="22"/>
          <w:szCs w:val="22"/>
          <w:u w:val="single"/>
          <w:lang w:val="en-GB"/>
        </w:rPr>
        <w:t>)</w:t>
      </w:r>
      <w:r>
        <w:rPr>
          <w:rFonts w:ascii="Avenir Next" w:hAnsi="Avenir Next" w:cs="Arial"/>
          <w:color w:val="808080" w:themeColor="background1" w:themeShade="80"/>
          <w:sz w:val="22"/>
          <w:szCs w:val="22"/>
          <w:lang w:val="en-GB"/>
        </w:rPr>
        <w:t xml:space="preserve"> and permit cooperation between Australia and foreign courts in “external administration” matters – including liquidations. </w:t>
      </w:r>
    </w:p>
    <w:p w14:paraId="251C192E" w14:textId="77777777" w:rsidR="00997FBF" w:rsidRDefault="00997FBF" w:rsidP="00997FBF">
      <w:pPr>
        <w:ind w:left="426"/>
        <w:jc w:val="both"/>
        <w:rPr>
          <w:rFonts w:ascii="Avenir Next" w:hAnsi="Avenir Next" w:cs="Arial"/>
          <w:color w:val="808080" w:themeColor="background1" w:themeShade="80"/>
          <w:sz w:val="22"/>
          <w:szCs w:val="22"/>
          <w:lang w:val="en-GB"/>
        </w:rPr>
      </w:pPr>
    </w:p>
    <w:p w14:paraId="4D767AE6" w14:textId="55F42759" w:rsidR="00997FBF" w:rsidRDefault="00997FBF" w:rsidP="00997FBF">
      <w:pPr>
        <w:ind w:left="426"/>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581(4) provides that: </w:t>
      </w:r>
      <w:r w:rsidRPr="00997FBF">
        <w:rPr>
          <w:rFonts w:ascii="Avenir Next" w:hAnsi="Avenir Next" w:cs="Arial"/>
          <w:i/>
          <w:iCs/>
          <w:color w:val="808080" w:themeColor="background1" w:themeShade="80"/>
          <w:sz w:val="22"/>
          <w:szCs w:val="22"/>
          <w:lang w:val="en-GB"/>
        </w:rPr>
        <w:t>"The Court may request a court of an external Territory, or of a country other than Australia, that has jurisdiction in external administration matters to act in aid of, and be auxiliary to, it in an external administration matter."</w:t>
      </w:r>
    </w:p>
    <w:p w14:paraId="67AA7574" w14:textId="77777777" w:rsidR="00997FBF" w:rsidRDefault="00997FBF" w:rsidP="00997FBF">
      <w:pPr>
        <w:ind w:left="426"/>
        <w:jc w:val="both"/>
        <w:rPr>
          <w:rFonts w:ascii="Avenir Next" w:hAnsi="Avenir Next" w:cs="Arial"/>
          <w:i/>
          <w:iCs/>
          <w:color w:val="808080" w:themeColor="background1" w:themeShade="80"/>
          <w:sz w:val="22"/>
          <w:szCs w:val="22"/>
          <w:lang w:val="en-GB"/>
        </w:rPr>
      </w:pPr>
    </w:p>
    <w:p w14:paraId="7F27BEE7" w14:textId="77777777" w:rsidR="00997FBF" w:rsidRDefault="00997FBF" w:rsidP="00997FBF">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main proceeding were outside of Australia, Australian Courts have the power respond to a request from a foreign Court seeking assistance in relation to </w:t>
      </w:r>
      <w:proofErr w:type="gramStart"/>
      <w:r>
        <w:rPr>
          <w:rFonts w:ascii="Avenir Next" w:hAnsi="Avenir Next" w:cs="Arial"/>
          <w:color w:val="808080" w:themeColor="background1" w:themeShade="80"/>
          <w:sz w:val="22"/>
          <w:szCs w:val="22"/>
          <w:lang w:val="en-GB"/>
        </w:rPr>
        <w:t>that foreign proceedings</w:t>
      </w:r>
      <w:proofErr w:type="gramEnd"/>
      <w:r>
        <w:rPr>
          <w:rFonts w:ascii="Avenir Next" w:hAnsi="Avenir Next" w:cs="Arial"/>
          <w:color w:val="808080" w:themeColor="background1" w:themeShade="80"/>
          <w:sz w:val="22"/>
          <w:szCs w:val="22"/>
          <w:lang w:val="en-GB"/>
        </w:rPr>
        <w:t xml:space="preserve">.  </w:t>
      </w:r>
    </w:p>
    <w:p w14:paraId="7B12B92D" w14:textId="77777777" w:rsidR="00997FBF" w:rsidRDefault="00997FBF" w:rsidP="00997FBF">
      <w:pPr>
        <w:ind w:left="426"/>
        <w:jc w:val="both"/>
        <w:rPr>
          <w:rFonts w:ascii="Avenir Next" w:hAnsi="Avenir Next" w:cs="Arial"/>
          <w:color w:val="808080" w:themeColor="background1" w:themeShade="80"/>
          <w:sz w:val="22"/>
          <w:szCs w:val="22"/>
          <w:lang w:val="en-GB"/>
        </w:rPr>
      </w:pPr>
    </w:p>
    <w:p w14:paraId="63C1667B" w14:textId="674BAD96" w:rsidR="007815D1"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2F370182" w14:textId="77777777" w:rsidR="00997FBF" w:rsidRDefault="00997FBF" w:rsidP="00CB3EB6">
      <w:pPr>
        <w:jc w:val="both"/>
        <w:rPr>
          <w:rFonts w:ascii="Avenir Next Demi Bold" w:hAnsi="Avenir Next Demi Bold" w:cs="Arial"/>
          <w:b/>
          <w:bCs/>
          <w:sz w:val="22"/>
          <w:szCs w:val="22"/>
          <w:lang w:val="en-GB"/>
        </w:rPr>
      </w:pPr>
    </w:p>
    <w:p w14:paraId="40EE54DD" w14:textId="77777777" w:rsidR="00997FBF" w:rsidRDefault="00997FBF" w:rsidP="00CB3EB6">
      <w:pPr>
        <w:jc w:val="both"/>
        <w:rPr>
          <w:rFonts w:ascii="Avenir Next Demi Bold" w:hAnsi="Avenir Next Demi Bold" w:cs="Arial"/>
          <w:b/>
          <w:bCs/>
          <w:sz w:val="22"/>
          <w:szCs w:val="22"/>
          <w:lang w:val="en-GB"/>
        </w:rPr>
      </w:pPr>
    </w:p>
    <w:p w14:paraId="2DF777C2" w14:textId="77777777" w:rsidR="00997FBF" w:rsidRPr="00CB3EB6" w:rsidRDefault="00997FBF" w:rsidP="00CB3EB6">
      <w:pPr>
        <w:jc w:val="both"/>
        <w:rPr>
          <w:rFonts w:ascii="Avenir Next Demi Bold" w:hAnsi="Avenir Next Demi Bold" w:cs="Arial"/>
          <w:b/>
          <w:bCs/>
          <w:sz w:val="22"/>
          <w:szCs w:val="22"/>
          <w:lang w:val="en-GB"/>
        </w:rPr>
      </w:pPr>
    </w:p>
    <w:p w14:paraId="0CF7B602" w14:textId="0F4B9EC6" w:rsidR="00036B43" w:rsidRPr="006746A0" w:rsidRDefault="00036B43" w:rsidP="00036B43">
      <w:pPr>
        <w:jc w:val="center"/>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End of Assessment *</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036B43" w:rsidRPr="001E23FD" w:rsidRDefault="00036B43">
      <w:pPr>
        <w:rPr>
          <w:rFonts w:ascii="Arial" w:hAnsi="Arial" w:cs="Arial"/>
          <w:sz w:val="22"/>
          <w:szCs w:val="22"/>
          <w:lang w:val="en-GB"/>
        </w:rPr>
      </w:pPr>
    </w:p>
    <w:sectPr w:rsidR="00036B43" w:rsidRPr="001E23FD" w:rsidSect="0073158B">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9E65" w14:textId="77777777" w:rsidR="0042417F" w:rsidRDefault="0042417F" w:rsidP="00241B44">
      <w:r>
        <w:separator/>
      </w:r>
    </w:p>
  </w:endnote>
  <w:endnote w:type="continuationSeparator" w:id="0">
    <w:p w14:paraId="67B1F14A" w14:textId="77777777" w:rsidR="0042417F" w:rsidRDefault="0042417F" w:rsidP="00241B44">
      <w:r>
        <w:continuationSeparator/>
      </w:r>
    </w:p>
  </w:endnote>
  <w:endnote w:type="continuationNotice" w:id="1">
    <w:p w14:paraId="197FAF7C" w14:textId="77777777" w:rsidR="0042417F" w:rsidRDefault="00424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00000001"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00000001" w:usb1="5000204A" w:usb2="00000000" w:usb3="00000000" w:csb0="0000009B"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758512077"/>
      <w:docPartObj>
        <w:docPartGallery w:val="Page Numbers (Bottom of Page)"/>
        <w:docPartUnique/>
      </w:docPartObj>
    </w:sdtPr>
    <w:sdtEndPr>
      <w:rPr>
        <w:rStyle w:val="PageNumber"/>
      </w:rPr>
    </w:sdtEndPr>
    <w:sdtContent>
      <w:p w14:paraId="0AAD6B61" w14:textId="77777777" w:rsidR="00E450A4" w:rsidRPr="00A31881" w:rsidRDefault="00E450A4" w:rsidP="009B4976">
        <w:pPr>
          <w:pStyle w:val="Footer"/>
          <w:framePr w:wrap="none" w:vAnchor="text" w:hAnchor="margin" w:xAlign="right" w:y="1"/>
          <w:rPr>
            <w:rStyle w:val="PageNumber"/>
            <w:rFonts w:ascii="Arial" w:hAnsi="Arial" w:cs="Arial"/>
            <w:sz w:val="18"/>
            <w:szCs w:val="18"/>
          </w:rPr>
        </w:pPr>
        <w:r w:rsidRPr="00A31881">
          <w:rPr>
            <w:rStyle w:val="PageNumber"/>
            <w:rFonts w:ascii="Arial" w:hAnsi="Arial" w:cs="Arial"/>
            <w:sz w:val="18"/>
            <w:szCs w:val="18"/>
          </w:rPr>
          <w:t xml:space="preserve">Page </w:t>
        </w:r>
        <w:r w:rsidRPr="00A31881">
          <w:rPr>
            <w:rStyle w:val="PageNumber"/>
            <w:rFonts w:ascii="Arial" w:hAnsi="Arial" w:cs="Arial"/>
            <w:sz w:val="18"/>
            <w:szCs w:val="18"/>
          </w:rPr>
          <w:fldChar w:fldCharType="begin"/>
        </w:r>
        <w:r w:rsidRPr="00A31881">
          <w:rPr>
            <w:rStyle w:val="PageNumber"/>
            <w:rFonts w:ascii="Arial" w:hAnsi="Arial" w:cs="Arial"/>
            <w:sz w:val="18"/>
            <w:szCs w:val="18"/>
          </w:rPr>
          <w:instrText xml:space="preserve"> PAGE </w:instrText>
        </w:r>
        <w:r w:rsidRPr="00A31881">
          <w:rPr>
            <w:rStyle w:val="PageNumber"/>
            <w:rFonts w:ascii="Arial" w:hAnsi="Arial" w:cs="Arial"/>
            <w:sz w:val="18"/>
            <w:szCs w:val="18"/>
          </w:rPr>
          <w:fldChar w:fldCharType="separate"/>
        </w:r>
        <w:r w:rsidRPr="00A31881">
          <w:rPr>
            <w:rStyle w:val="PageNumber"/>
            <w:rFonts w:ascii="Arial" w:hAnsi="Arial" w:cs="Arial"/>
            <w:sz w:val="18"/>
            <w:szCs w:val="18"/>
          </w:rPr>
          <w:t>10</w:t>
        </w:r>
        <w:r w:rsidRPr="00A31881">
          <w:rPr>
            <w:rStyle w:val="PageNumber"/>
            <w:rFonts w:ascii="Arial" w:hAnsi="Arial" w:cs="Arial"/>
            <w:sz w:val="18"/>
            <w:szCs w:val="18"/>
          </w:rPr>
          <w:fldChar w:fldCharType="end"/>
        </w:r>
      </w:p>
    </w:sdtContent>
  </w:sdt>
  <w:p w14:paraId="39FD1B0B" w14:textId="131F514A" w:rsidR="00E450A4" w:rsidRPr="00A31881" w:rsidRDefault="00445CE6" w:rsidP="00FC7B47">
    <w:pPr>
      <w:pStyle w:val="Footer"/>
      <w:ind w:right="360"/>
      <w:rPr>
        <w:rFonts w:ascii="Arial" w:hAnsi="Arial" w:cs="Arial"/>
        <w:sz w:val="18"/>
        <w:szCs w:val="18"/>
      </w:rPr>
    </w:pPr>
    <w:r w:rsidRPr="00A31881">
      <w:rPr>
        <w:rFonts w:ascii="Arial" w:hAnsi="Arial" w:cs="Arial"/>
        <w:sz w:val="18"/>
        <w:szCs w:val="18"/>
      </w:rPr>
      <w:t>student number.</w:t>
    </w:r>
    <w:r w:rsidR="00B64A85" w:rsidRPr="00A31881">
      <w:rPr>
        <w:rFonts w:ascii="Arial" w:hAnsi="Arial" w:cs="Arial"/>
        <w:sz w:val="18"/>
        <w:szCs w:val="18"/>
      </w:rPr>
      <w:t>assessment1summative</w:t>
    </w:r>
    <w:r w:rsidRPr="00A31881">
      <w:rPr>
        <w:rFonts w:ascii="Arial" w:hAnsi="Arial" w:cs="Arial"/>
        <w:sz w:val="18"/>
        <w:szCs w:val="18"/>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Pr>
    </w:sdtEndPr>
    <w:sdtContent>
      <w:p w14:paraId="532C33C7" w14:textId="27F0D173" w:rsidR="009B4976" w:rsidRPr="00C90BDD" w:rsidRDefault="009B4976" w:rsidP="00E23A7A">
        <w:pPr>
          <w:pStyle w:val="Footer"/>
          <w:framePr w:wrap="none" w:vAnchor="text" w:hAnchor="margin" w:xAlign="right" w:y="1"/>
          <w:rPr>
            <w:rStyle w:val="PageNumber"/>
            <w:rFonts w:ascii="Avenir Next" w:hAnsi="Avenir Next" w:cs="Arial"/>
            <w:sz w:val="22"/>
            <w:szCs w:val="22"/>
          </w:rPr>
        </w:pPr>
        <w:r w:rsidRPr="00C90BDD">
          <w:rPr>
            <w:rStyle w:val="PageNumber"/>
            <w:rFonts w:ascii="Avenir Next" w:hAnsi="Avenir Next" w:cs="Arial"/>
            <w:sz w:val="22"/>
            <w:szCs w:val="22"/>
          </w:rPr>
          <w:t xml:space="preserve">Page </w:t>
        </w:r>
        <w:r w:rsidRPr="00C90BDD">
          <w:rPr>
            <w:rStyle w:val="PageNumber"/>
            <w:rFonts w:ascii="Avenir Next" w:hAnsi="Avenir Next" w:cs="Arial"/>
            <w:sz w:val="22"/>
            <w:szCs w:val="22"/>
          </w:rPr>
          <w:fldChar w:fldCharType="begin"/>
        </w:r>
        <w:r w:rsidRPr="00C90BDD">
          <w:rPr>
            <w:rStyle w:val="PageNumber"/>
            <w:rFonts w:ascii="Avenir Next" w:hAnsi="Avenir Next" w:cs="Arial"/>
            <w:b/>
            <w:bCs/>
            <w:sz w:val="18"/>
            <w:szCs w:val="18"/>
          </w:rPr>
          <w:instrText xml:space="preserve"> PAGE </w:instrText>
        </w:r>
        <w:r w:rsidRPr="00C90BDD">
          <w:rPr>
            <w:rStyle w:val="PageNumber"/>
            <w:rFonts w:ascii="Avenir Next" w:hAnsi="Avenir Next" w:cs="Arial"/>
            <w:sz w:val="22"/>
            <w:szCs w:val="22"/>
          </w:rPr>
          <w:fldChar w:fldCharType="separate"/>
        </w:r>
        <w:r w:rsidR="00466ED6" w:rsidRPr="00C90BDD">
          <w:rPr>
            <w:rStyle w:val="PageNumber"/>
            <w:rFonts w:ascii="Avenir Next" w:hAnsi="Avenir Next" w:cs="Arial"/>
            <w:noProof/>
            <w:sz w:val="22"/>
            <w:szCs w:val="22"/>
          </w:rPr>
          <w:t>2</w:t>
        </w:r>
        <w:r w:rsidRPr="00C90BDD">
          <w:rPr>
            <w:rStyle w:val="PageNumber"/>
            <w:rFonts w:ascii="Avenir Next" w:hAnsi="Avenir Next" w:cs="Arial"/>
            <w:sz w:val="22"/>
            <w:szCs w:val="22"/>
          </w:rPr>
          <w:fldChar w:fldCharType="end"/>
        </w:r>
      </w:p>
    </w:sdtContent>
  </w:sdt>
  <w:p w14:paraId="12ABA5E1" w14:textId="566573E1" w:rsidR="00241FA3" w:rsidRPr="00C90BDD" w:rsidRDefault="00B64A85" w:rsidP="009B4976">
    <w:pPr>
      <w:pStyle w:val="Footer"/>
      <w:ind w:right="360"/>
      <w:rPr>
        <w:rFonts w:ascii="Avenir Next" w:hAnsi="Avenir Next" w:cs="Arial"/>
        <w:sz w:val="22"/>
        <w:szCs w:val="22"/>
      </w:rPr>
    </w:pPr>
    <w:r w:rsidRPr="00C90BDD">
      <w:rPr>
        <w:rFonts w:ascii="Avenir Next" w:hAnsi="Avenir Next" w:cs="Arial"/>
        <w:sz w:val="22"/>
        <w:szCs w:val="22"/>
      </w:rPr>
      <w:t>studentID.assessment1summative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E452" w14:textId="77777777" w:rsidR="0042417F" w:rsidRDefault="0042417F" w:rsidP="00241B44">
      <w:r>
        <w:separator/>
      </w:r>
    </w:p>
  </w:footnote>
  <w:footnote w:type="continuationSeparator" w:id="0">
    <w:p w14:paraId="1DC07231" w14:textId="77777777" w:rsidR="0042417F" w:rsidRDefault="0042417F" w:rsidP="00241B44">
      <w:r>
        <w:continuationSeparator/>
      </w:r>
    </w:p>
  </w:footnote>
  <w:footnote w:type="continuationNotice" w:id="1">
    <w:p w14:paraId="694AB634" w14:textId="77777777" w:rsidR="0042417F" w:rsidRDefault="004241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3A6C02E1"/>
    <w:multiLevelType w:val="hybridMultilevel"/>
    <w:tmpl w:val="59826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930D80"/>
    <w:multiLevelType w:val="hybridMultilevel"/>
    <w:tmpl w:val="49AA8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37785E"/>
    <w:multiLevelType w:val="hybridMultilevel"/>
    <w:tmpl w:val="1F00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12A21"/>
    <w:multiLevelType w:val="hybridMultilevel"/>
    <w:tmpl w:val="00C4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23187196">
    <w:abstractNumId w:val="2"/>
  </w:num>
  <w:num w:numId="2" w16cid:durableId="1662614087">
    <w:abstractNumId w:val="8"/>
  </w:num>
  <w:num w:numId="3" w16cid:durableId="1332028942">
    <w:abstractNumId w:val="7"/>
  </w:num>
  <w:num w:numId="4" w16cid:durableId="45761529">
    <w:abstractNumId w:val="11"/>
  </w:num>
  <w:num w:numId="5" w16cid:durableId="1798329980">
    <w:abstractNumId w:val="3"/>
  </w:num>
  <w:num w:numId="6" w16cid:durableId="586428183">
    <w:abstractNumId w:val="6"/>
  </w:num>
  <w:num w:numId="7" w16cid:durableId="1385175866">
    <w:abstractNumId w:val="0"/>
  </w:num>
  <w:num w:numId="8" w16cid:durableId="1136728049">
    <w:abstractNumId w:val="9"/>
  </w:num>
  <w:num w:numId="9" w16cid:durableId="785782083">
    <w:abstractNumId w:val="1"/>
  </w:num>
  <w:num w:numId="10" w16cid:durableId="1794128380">
    <w:abstractNumId w:val="14"/>
  </w:num>
  <w:num w:numId="11" w16cid:durableId="13921683">
    <w:abstractNumId w:val="5"/>
  </w:num>
  <w:num w:numId="12" w16cid:durableId="331418963">
    <w:abstractNumId w:val="13"/>
  </w:num>
  <w:num w:numId="13" w16cid:durableId="1648783842">
    <w:abstractNumId w:val="4"/>
  </w:num>
  <w:num w:numId="14" w16cid:durableId="1002004745">
    <w:abstractNumId w:val="10"/>
  </w:num>
  <w:num w:numId="15" w16cid:durableId="156082156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09F5"/>
    <w:rsid w:val="00003D8F"/>
    <w:rsid w:val="0000420A"/>
    <w:rsid w:val="00004AE7"/>
    <w:rsid w:val="00007BF3"/>
    <w:rsid w:val="00010BA0"/>
    <w:rsid w:val="00011067"/>
    <w:rsid w:val="00014908"/>
    <w:rsid w:val="00015EE6"/>
    <w:rsid w:val="00020557"/>
    <w:rsid w:val="00021FC2"/>
    <w:rsid w:val="0002240F"/>
    <w:rsid w:val="0002322B"/>
    <w:rsid w:val="000250C7"/>
    <w:rsid w:val="00025C83"/>
    <w:rsid w:val="00026F16"/>
    <w:rsid w:val="00027DF8"/>
    <w:rsid w:val="00031918"/>
    <w:rsid w:val="000329A6"/>
    <w:rsid w:val="00034C0C"/>
    <w:rsid w:val="00036B43"/>
    <w:rsid w:val="00037621"/>
    <w:rsid w:val="0004018D"/>
    <w:rsid w:val="000419D4"/>
    <w:rsid w:val="00043365"/>
    <w:rsid w:val="000436F0"/>
    <w:rsid w:val="00043960"/>
    <w:rsid w:val="00044D46"/>
    <w:rsid w:val="00045088"/>
    <w:rsid w:val="00045904"/>
    <w:rsid w:val="00045DC7"/>
    <w:rsid w:val="00046789"/>
    <w:rsid w:val="00047A13"/>
    <w:rsid w:val="000502FD"/>
    <w:rsid w:val="000521C4"/>
    <w:rsid w:val="00052A5E"/>
    <w:rsid w:val="0005310B"/>
    <w:rsid w:val="00054EC2"/>
    <w:rsid w:val="00055EB9"/>
    <w:rsid w:val="00057BF2"/>
    <w:rsid w:val="0006130F"/>
    <w:rsid w:val="00062D42"/>
    <w:rsid w:val="00062E85"/>
    <w:rsid w:val="000649D1"/>
    <w:rsid w:val="00064C44"/>
    <w:rsid w:val="00065166"/>
    <w:rsid w:val="00066AE7"/>
    <w:rsid w:val="00070677"/>
    <w:rsid w:val="0007091D"/>
    <w:rsid w:val="000747F0"/>
    <w:rsid w:val="000756F8"/>
    <w:rsid w:val="00076483"/>
    <w:rsid w:val="00076A9F"/>
    <w:rsid w:val="00080757"/>
    <w:rsid w:val="0008155B"/>
    <w:rsid w:val="000815BB"/>
    <w:rsid w:val="00081A63"/>
    <w:rsid w:val="00082609"/>
    <w:rsid w:val="0008457E"/>
    <w:rsid w:val="000851CC"/>
    <w:rsid w:val="00085349"/>
    <w:rsid w:val="00085D4B"/>
    <w:rsid w:val="00086BDD"/>
    <w:rsid w:val="00087F21"/>
    <w:rsid w:val="00090933"/>
    <w:rsid w:val="00092118"/>
    <w:rsid w:val="00092378"/>
    <w:rsid w:val="00093BE8"/>
    <w:rsid w:val="00093FE2"/>
    <w:rsid w:val="0009471C"/>
    <w:rsid w:val="0009504E"/>
    <w:rsid w:val="000977DC"/>
    <w:rsid w:val="000A01B9"/>
    <w:rsid w:val="000A0C1B"/>
    <w:rsid w:val="000A1844"/>
    <w:rsid w:val="000A407B"/>
    <w:rsid w:val="000A46AA"/>
    <w:rsid w:val="000A4C75"/>
    <w:rsid w:val="000A68ED"/>
    <w:rsid w:val="000A6C19"/>
    <w:rsid w:val="000A74CA"/>
    <w:rsid w:val="000A74D4"/>
    <w:rsid w:val="000B14BB"/>
    <w:rsid w:val="000B5B93"/>
    <w:rsid w:val="000B5FF1"/>
    <w:rsid w:val="000B609F"/>
    <w:rsid w:val="000B6B56"/>
    <w:rsid w:val="000C582D"/>
    <w:rsid w:val="000C712B"/>
    <w:rsid w:val="000D0C9F"/>
    <w:rsid w:val="000D55A8"/>
    <w:rsid w:val="000D57BE"/>
    <w:rsid w:val="000D6876"/>
    <w:rsid w:val="000E0165"/>
    <w:rsid w:val="000E3505"/>
    <w:rsid w:val="000E3A82"/>
    <w:rsid w:val="000E3C5A"/>
    <w:rsid w:val="000E406D"/>
    <w:rsid w:val="000E4841"/>
    <w:rsid w:val="000E49DF"/>
    <w:rsid w:val="000E5CB4"/>
    <w:rsid w:val="000E7393"/>
    <w:rsid w:val="000F0DC0"/>
    <w:rsid w:val="000F0FFF"/>
    <w:rsid w:val="000F1677"/>
    <w:rsid w:val="000F3387"/>
    <w:rsid w:val="000F3D6C"/>
    <w:rsid w:val="000F58B0"/>
    <w:rsid w:val="00100A77"/>
    <w:rsid w:val="00101707"/>
    <w:rsid w:val="00102CC9"/>
    <w:rsid w:val="00102F47"/>
    <w:rsid w:val="0010593A"/>
    <w:rsid w:val="00105CBD"/>
    <w:rsid w:val="001107F2"/>
    <w:rsid w:val="00110E0C"/>
    <w:rsid w:val="00112503"/>
    <w:rsid w:val="001131C6"/>
    <w:rsid w:val="0011473D"/>
    <w:rsid w:val="00115C85"/>
    <w:rsid w:val="001174E6"/>
    <w:rsid w:val="00120B4D"/>
    <w:rsid w:val="001211E6"/>
    <w:rsid w:val="0012303D"/>
    <w:rsid w:val="00123855"/>
    <w:rsid w:val="00124B70"/>
    <w:rsid w:val="00125A7C"/>
    <w:rsid w:val="00126A4D"/>
    <w:rsid w:val="00131D42"/>
    <w:rsid w:val="00132584"/>
    <w:rsid w:val="0013278B"/>
    <w:rsid w:val="00135FFC"/>
    <w:rsid w:val="00136505"/>
    <w:rsid w:val="00137562"/>
    <w:rsid w:val="0014171F"/>
    <w:rsid w:val="00142E15"/>
    <w:rsid w:val="0014622C"/>
    <w:rsid w:val="001478F8"/>
    <w:rsid w:val="00150F6C"/>
    <w:rsid w:val="00152348"/>
    <w:rsid w:val="0015328F"/>
    <w:rsid w:val="0015456D"/>
    <w:rsid w:val="001552FF"/>
    <w:rsid w:val="00155FA2"/>
    <w:rsid w:val="00161927"/>
    <w:rsid w:val="00161F1B"/>
    <w:rsid w:val="001620AF"/>
    <w:rsid w:val="00162829"/>
    <w:rsid w:val="0016321D"/>
    <w:rsid w:val="0016472D"/>
    <w:rsid w:val="00164B28"/>
    <w:rsid w:val="001677CC"/>
    <w:rsid w:val="00173647"/>
    <w:rsid w:val="00180548"/>
    <w:rsid w:val="00180AC4"/>
    <w:rsid w:val="00180B1E"/>
    <w:rsid w:val="00180CCE"/>
    <w:rsid w:val="00181438"/>
    <w:rsid w:val="00181ECC"/>
    <w:rsid w:val="0018267A"/>
    <w:rsid w:val="001826E6"/>
    <w:rsid w:val="00182779"/>
    <w:rsid w:val="001830DF"/>
    <w:rsid w:val="00183285"/>
    <w:rsid w:val="001833C2"/>
    <w:rsid w:val="0019202F"/>
    <w:rsid w:val="00193AB3"/>
    <w:rsid w:val="00193AD3"/>
    <w:rsid w:val="001966D9"/>
    <w:rsid w:val="00197963"/>
    <w:rsid w:val="001A007A"/>
    <w:rsid w:val="001A31B3"/>
    <w:rsid w:val="001A620B"/>
    <w:rsid w:val="001A716A"/>
    <w:rsid w:val="001A7E9A"/>
    <w:rsid w:val="001A7ECF"/>
    <w:rsid w:val="001B0F70"/>
    <w:rsid w:val="001B5016"/>
    <w:rsid w:val="001B6CEE"/>
    <w:rsid w:val="001C1687"/>
    <w:rsid w:val="001C45FC"/>
    <w:rsid w:val="001C594A"/>
    <w:rsid w:val="001D0469"/>
    <w:rsid w:val="001D1BF7"/>
    <w:rsid w:val="001D29C0"/>
    <w:rsid w:val="001D4862"/>
    <w:rsid w:val="001D632F"/>
    <w:rsid w:val="001D63D1"/>
    <w:rsid w:val="001D7CE6"/>
    <w:rsid w:val="001D7EF2"/>
    <w:rsid w:val="001E172D"/>
    <w:rsid w:val="001E1FB4"/>
    <w:rsid w:val="001E23FD"/>
    <w:rsid w:val="001E25B9"/>
    <w:rsid w:val="001E392F"/>
    <w:rsid w:val="001E49E0"/>
    <w:rsid w:val="001E7B5A"/>
    <w:rsid w:val="001F0BCF"/>
    <w:rsid w:val="001F1478"/>
    <w:rsid w:val="001F2AF5"/>
    <w:rsid w:val="001F5204"/>
    <w:rsid w:val="001F603D"/>
    <w:rsid w:val="001F7412"/>
    <w:rsid w:val="001F7C77"/>
    <w:rsid w:val="0020090A"/>
    <w:rsid w:val="00201386"/>
    <w:rsid w:val="00202C2B"/>
    <w:rsid w:val="00202DFE"/>
    <w:rsid w:val="00205B31"/>
    <w:rsid w:val="00206A98"/>
    <w:rsid w:val="0020725B"/>
    <w:rsid w:val="0020730B"/>
    <w:rsid w:val="002110F1"/>
    <w:rsid w:val="00212B14"/>
    <w:rsid w:val="00216499"/>
    <w:rsid w:val="002164C0"/>
    <w:rsid w:val="00216CB4"/>
    <w:rsid w:val="002173C5"/>
    <w:rsid w:val="0022120D"/>
    <w:rsid w:val="00223780"/>
    <w:rsid w:val="002253D8"/>
    <w:rsid w:val="0022719C"/>
    <w:rsid w:val="00231611"/>
    <w:rsid w:val="00231CAE"/>
    <w:rsid w:val="00231F38"/>
    <w:rsid w:val="002356EA"/>
    <w:rsid w:val="002362AB"/>
    <w:rsid w:val="002400DB"/>
    <w:rsid w:val="002406A4"/>
    <w:rsid w:val="0024116D"/>
    <w:rsid w:val="00241B44"/>
    <w:rsid w:val="00241FA3"/>
    <w:rsid w:val="00245EFB"/>
    <w:rsid w:val="002460B1"/>
    <w:rsid w:val="002526C5"/>
    <w:rsid w:val="002529A5"/>
    <w:rsid w:val="002529D2"/>
    <w:rsid w:val="0025386E"/>
    <w:rsid w:val="00254AB3"/>
    <w:rsid w:val="00255FDA"/>
    <w:rsid w:val="002577C4"/>
    <w:rsid w:val="002638B0"/>
    <w:rsid w:val="00263C6F"/>
    <w:rsid w:val="0026510C"/>
    <w:rsid w:val="0026647A"/>
    <w:rsid w:val="002668D3"/>
    <w:rsid w:val="00266F17"/>
    <w:rsid w:val="002672D0"/>
    <w:rsid w:val="00270D04"/>
    <w:rsid w:val="0027242B"/>
    <w:rsid w:val="0027299F"/>
    <w:rsid w:val="00273F9A"/>
    <w:rsid w:val="00274E58"/>
    <w:rsid w:val="00275182"/>
    <w:rsid w:val="00275946"/>
    <w:rsid w:val="00276414"/>
    <w:rsid w:val="00276FEA"/>
    <w:rsid w:val="0028252D"/>
    <w:rsid w:val="00284EBE"/>
    <w:rsid w:val="00286720"/>
    <w:rsid w:val="002872E1"/>
    <w:rsid w:val="0028772E"/>
    <w:rsid w:val="00287B2E"/>
    <w:rsid w:val="00287D4D"/>
    <w:rsid w:val="00290116"/>
    <w:rsid w:val="002903A7"/>
    <w:rsid w:val="00290CBC"/>
    <w:rsid w:val="0029433F"/>
    <w:rsid w:val="00294829"/>
    <w:rsid w:val="00295742"/>
    <w:rsid w:val="0029690F"/>
    <w:rsid w:val="00297288"/>
    <w:rsid w:val="00297BDF"/>
    <w:rsid w:val="00297C8A"/>
    <w:rsid w:val="002A2A60"/>
    <w:rsid w:val="002A37BB"/>
    <w:rsid w:val="002A3815"/>
    <w:rsid w:val="002A6646"/>
    <w:rsid w:val="002A74AB"/>
    <w:rsid w:val="002A7ECE"/>
    <w:rsid w:val="002B1C45"/>
    <w:rsid w:val="002B2970"/>
    <w:rsid w:val="002B4262"/>
    <w:rsid w:val="002B527C"/>
    <w:rsid w:val="002C1227"/>
    <w:rsid w:val="002C13C8"/>
    <w:rsid w:val="002C259C"/>
    <w:rsid w:val="002C26DA"/>
    <w:rsid w:val="002C3547"/>
    <w:rsid w:val="002C5F61"/>
    <w:rsid w:val="002D0021"/>
    <w:rsid w:val="002D10A3"/>
    <w:rsid w:val="002D2356"/>
    <w:rsid w:val="002D295D"/>
    <w:rsid w:val="002D299D"/>
    <w:rsid w:val="002D3473"/>
    <w:rsid w:val="002D4B81"/>
    <w:rsid w:val="002D6565"/>
    <w:rsid w:val="002E2B14"/>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42E1"/>
    <w:rsid w:val="0030558B"/>
    <w:rsid w:val="003063EB"/>
    <w:rsid w:val="00306E87"/>
    <w:rsid w:val="00310FC2"/>
    <w:rsid w:val="0031167E"/>
    <w:rsid w:val="003134B4"/>
    <w:rsid w:val="003144EF"/>
    <w:rsid w:val="0032538A"/>
    <w:rsid w:val="00326292"/>
    <w:rsid w:val="00326415"/>
    <w:rsid w:val="00330937"/>
    <w:rsid w:val="00330F31"/>
    <w:rsid w:val="00331944"/>
    <w:rsid w:val="003326F0"/>
    <w:rsid w:val="00334648"/>
    <w:rsid w:val="00336CA6"/>
    <w:rsid w:val="0033768C"/>
    <w:rsid w:val="00337938"/>
    <w:rsid w:val="00340769"/>
    <w:rsid w:val="00341A65"/>
    <w:rsid w:val="00341AA6"/>
    <w:rsid w:val="00342E57"/>
    <w:rsid w:val="003500E5"/>
    <w:rsid w:val="00352FB6"/>
    <w:rsid w:val="00355B57"/>
    <w:rsid w:val="00361A0A"/>
    <w:rsid w:val="00361DF9"/>
    <w:rsid w:val="00363D71"/>
    <w:rsid w:val="00364836"/>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86568"/>
    <w:rsid w:val="00390B57"/>
    <w:rsid w:val="00391384"/>
    <w:rsid w:val="00391B12"/>
    <w:rsid w:val="003937B9"/>
    <w:rsid w:val="003948D5"/>
    <w:rsid w:val="003957FD"/>
    <w:rsid w:val="00396821"/>
    <w:rsid w:val="00396CE5"/>
    <w:rsid w:val="003979A3"/>
    <w:rsid w:val="00397D3A"/>
    <w:rsid w:val="003A00FE"/>
    <w:rsid w:val="003A051E"/>
    <w:rsid w:val="003A0BBE"/>
    <w:rsid w:val="003A2448"/>
    <w:rsid w:val="003A29B7"/>
    <w:rsid w:val="003A2F5D"/>
    <w:rsid w:val="003A3128"/>
    <w:rsid w:val="003A5AD1"/>
    <w:rsid w:val="003A60FF"/>
    <w:rsid w:val="003A696A"/>
    <w:rsid w:val="003B170F"/>
    <w:rsid w:val="003B3A0D"/>
    <w:rsid w:val="003B3C5F"/>
    <w:rsid w:val="003B6FE9"/>
    <w:rsid w:val="003B726B"/>
    <w:rsid w:val="003C1451"/>
    <w:rsid w:val="003C2017"/>
    <w:rsid w:val="003C4471"/>
    <w:rsid w:val="003C4BFA"/>
    <w:rsid w:val="003D0A6D"/>
    <w:rsid w:val="003D100A"/>
    <w:rsid w:val="003D3045"/>
    <w:rsid w:val="003D3410"/>
    <w:rsid w:val="003D4300"/>
    <w:rsid w:val="003D485F"/>
    <w:rsid w:val="003D6409"/>
    <w:rsid w:val="003D6AC4"/>
    <w:rsid w:val="003D7B57"/>
    <w:rsid w:val="003E004D"/>
    <w:rsid w:val="003E064D"/>
    <w:rsid w:val="003E0B16"/>
    <w:rsid w:val="003E2D1B"/>
    <w:rsid w:val="003E2E7C"/>
    <w:rsid w:val="003E67D1"/>
    <w:rsid w:val="003F0B80"/>
    <w:rsid w:val="003F2ADA"/>
    <w:rsid w:val="003F500E"/>
    <w:rsid w:val="003F655E"/>
    <w:rsid w:val="003F74D9"/>
    <w:rsid w:val="00400920"/>
    <w:rsid w:val="00403F09"/>
    <w:rsid w:val="00403FEE"/>
    <w:rsid w:val="00404329"/>
    <w:rsid w:val="00404EF7"/>
    <w:rsid w:val="00405DC1"/>
    <w:rsid w:val="00407075"/>
    <w:rsid w:val="004077D9"/>
    <w:rsid w:val="004119D2"/>
    <w:rsid w:val="00411E1B"/>
    <w:rsid w:val="00414BF9"/>
    <w:rsid w:val="00415DFF"/>
    <w:rsid w:val="00415F1F"/>
    <w:rsid w:val="004174FA"/>
    <w:rsid w:val="0042108F"/>
    <w:rsid w:val="004214D4"/>
    <w:rsid w:val="004216EA"/>
    <w:rsid w:val="004235F4"/>
    <w:rsid w:val="0042417F"/>
    <w:rsid w:val="0042466C"/>
    <w:rsid w:val="00426969"/>
    <w:rsid w:val="00426B64"/>
    <w:rsid w:val="00430FED"/>
    <w:rsid w:val="00434A8C"/>
    <w:rsid w:val="00437297"/>
    <w:rsid w:val="00437ABE"/>
    <w:rsid w:val="00440AC5"/>
    <w:rsid w:val="00440EDD"/>
    <w:rsid w:val="004417C1"/>
    <w:rsid w:val="00444284"/>
    <w:rsid w:val="004442F1"/>
    <w:rsid w:val="00445CE6"/>
    <w:rsid w:val="00446987"/>
    <w:rsid w:val="00452C6A"/>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77C72"/>
    <w:rsid w:val="004807F1"/>
    <w:rsid w:val="00481FC8"/>
    <w:rsid w:val="0048258B"/>
    <w:rsid w:val="004827A3"/>
    <w:rsid w:val="00482FE3"/>
    <w:rsid w:val="00484689"/>
    <w:rsid w:val="00486065"/>
    <w:rsid w:val="00486551"/>
    <w:rsid w:val="00486776"/>
    <w:rsid w:val="004868BB"/>
    <w:rsid w:val="00491675"/>
    <w:rsid w:val="00493855"/>
    <w:rsid w:val="004948AB"/>
    <w:rsid w:val="00495E79"/>
    <w:rsid w:val="00497558"/>
    <w:rsid w:val="00497CF9"/>
    <w:rsid w:val="004A27CB"/>
    <w:rsid w:val="004A2B2C"/>
    <w:rsid w:val="004A2D83"/>
    <w:rsid w:val="004A57DD"/>
    <w:rsid w:val="004A7B51"/>
    <w:rsid w:val="004A7D71"/>
    <w:rsid w:val="004A7EF3"/>
    <w:rsid w:val="004B0EBE"/>
    <w:rsid w:val="004B10C5"/>
    <w:rsid w:val="004B11FD"/>
    <w:rsid w:val="004B23A2"/>
    <w:rsid w:val="004B25E4"/>
    <w:rsid w:val="004B428D"/>
    <w:rsid w:val="004B5F86"/>
    <w:rsid w:val="004B607C"/>
    <w:rsid w:val="004C1DA6"/>
    <w:rsid w:val="004C1FCA"/>
    <w:rsid w:val="004C3178"/>
    <w:rsid w:val="004C5E4F"/>
    <w:rsid w:val="004C7030"/>
    <w:rsid w:val="004D1A5A"/>
    <w:rsid w:val="004D22B5"/>
    <w:rsid w:val="004D2C62"/>
    <w:rsid w:val="004D2FFF"/>
    <w:rsid w:val="004D3721"/>
    <w:rsid w:val="004D64F9"/>
    <w:rsid w:val="004D687E"/>
    <w:rsid w:val="004E1991"/>
    <w:rsid w:val="004E1D03"/>
    <w:rsid w:val="004E3528"/>
    <w:rsid w:val="004E3A6B"/>
    <w:rsid w:val="004E4224"/>
    <w:rsid w:val="004E5A14"/>
    <w:rsid w:val="004E622C"/>
    <w:rsid w:val="004E64DB"/>
    <w:rsid w:val="004F1534"/>
    <w:rsid w:val="004F2DD1"/>
    <w:rsid w:val="004F301B"/>
    <w:rsid w:val="004F30EB"/>
    <w:rsid w:val="004F3375"/>
    <w:rsid w:val="004F3F1F"/>
    <w:rsid w:val="004F50CD"/>
    <w:rsid w:val="004F55F1"/>
    <w:rsid w:val="004F5FDF"/>
    <w:rsid w:val="00501270"/>
    <w:rsid w:val="0050156C"/>
    <w:rsid w:val="00504237"/>
    <w:rsid w:val="00504AFA"/>
    <w:rsid w:val="005059A4"/>
    <w:rsid w:val="00515756"/>
    <w:rsid w:val="00515F63"/>
    <w:rsid w:val="005177FE"/>
    <w:rsid w:val="005214A4"/>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1F5"/>
    <w:rsid w:val="005433D7"/>
    <w:rsid w:val="00543941"/>
    <w:rsid w:val="00544127"/>
    <w:rsid w:val="00544221"/>
    <w:rsid w:val="00544DBA"/>
    <w:rsid w:val="005463A9"/>
    <w:rsid w:val="005508BB"/>
    <w:rsid w:val="00553EB2"/>
    <w:rsid w:val="00555B45"/>
    <w:rsid w:val="00555C4D"/>
    <w:rsid w:val="0055645B"/>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6496"/>
    <w:rsid w:val="005A6FF2"/>
    <w:rsid w:val="005A726D"/>
    <w:rsid w:val="005B0BB2"/>
    <w:rsid w:val="005B1440"/>
    <w:rsid w:val="005B2AA0"/>
    <w:rsid w:val="005B2B0E"/>
    <w:rsid w:val="005B503A"/>
    <w:rsid w:val="005B67AC"/>
    <w:rsid w:val="005B6A47"/>
    <w:rsid w:val="005B79F4"/>
    <w:rsid w:val="005C01B0"/>
    <w:rsid w:val="005C2790"/>
    <w:rsid w:val="005C36E9"/>
    <w:rsid w:val="005C3B3A"/>
    <w:rsid w:val="005C41CF"/>
    <w:rsid w:val="005C4FF2"/>
    <w:rsid w:val="005C6778"/>
    <w:rsid w:val="005D0511"/>
    <w:rsid w:val="005D16DD"/>
    <w:rsid w:val="005D3437"/>
    <w:rsid w:val="005D43E0"/>
    <w:rsid w:val="005D5579"/>
    <w:rsid w:val="005D58A3"/>
    <w:rsid w:val="005D5FD0"/>
    <w:rsid w:val="005D72F3"/>
    <w:rsid w:val="005E1B79"/>
    <w:rsid w:val="005E1EA8"/>
    <w:rsid w:val="005E2B20"/>
    <w:rsid w:val="005E5A66"/>
    <w:rsid w:val="005E605E"/>
    <w:rsid w:val="005E6076"/>
    <w:rsid w:val="005E645E"/>
    <w:rsid w:val="005E7008"/>
    <w:rsid w:val="005F026D"/>
    <w:rsid w:val="005F0764"/>
    <w:rsid w:val="005F19FA"/>
    <w:rsid w:val="005F244F"/>
    <w:rsid w:val="005F2AEA"/>
    <w:rsid w:val="005F2D0B"/>
    <w:rsid w:val="005F453F"/>
    <w:rsid w:val="005F4B31"/>
    <w:rsid w:val="005F5449"/>
    <w:rsid w:val="005F6059"/>
    <w:rsid w:val="0060397D"/>
    <w:rsid w:val="00604723"/>
    <w:rsid w:val="00606D93"/>
    <w:rsid w:val="00610388"/>
    <w:rsid w:val="006104E3"/>
    <w:rsid w:val="00610AC7"/>
    <w:rsid w:val="00612092"/>
    <w:rsid w:val="00612CA5"/>
    <w:rsid w:val="00614858"/>
    <w:rsid w:val="006153EC"/>
    <w:rsid w:val="006164E5"/>
    <w:rsid w:val="00616E52"/>
    <w:rsid w:val="006208BB"/>
    <w:rsid w:val="00621A17"/>
    <w:rsid w:val="0062260C"/>
    <w:rsid w:val="00627CC9"/>
    <w:rsid w:val="00627E7B"/>
    <w:rsid w:val="00630542"/>
    <w:rsid w:val="00630727"/>
    <w:rsid w:val="00631E7B"/>
    <w:rsid w:val="00632E44"/>
    <w:rsid w:val="0063316D"/>
    <w:rsid w:val="00633D5B"/>
    <w:rsid w:val="00633DC9"/>
    <w:rsid w:val="00634622"/>
    <w:rsid w:val="00636808"/>
    <w:rsid w:val="0064043F"/>
    <w:rsid w:val="00641515"/>
    <w:rsid w:val="0064169B"/>
    <w:rsid w:val="00643ABE"/>
    <w:rsid w:val="00646108"/>
    <w:rsid w:val="00646F3C"/>
    <w:rsid w:val="006514CD"/>
    <w:rsid w:val="00651E87"/>
    <w:rsid w:val="006521CD"/>
    <w:rsid w:val="00652A22"/>
    <w:rsid w:val="00653584"/>
    <w:rsid w:val="00654C2F"/>
    <w:rsid w:val="00655438"/>
    <w:rsid w:val="00657087"/>
    <w:rsid w:val="0065715A"/>
    <w:rsid w:val="006578EC"/>
    <w:rsid w:val="006639DB"/>
    <w:rsid w:val="006643E7"/>
    <w:rsid w:val="006661EF"/>
    <w:rsid w:val="006746CB"/>
    <w:rsid w:val="0067669E"/>
    <w:rsid w:val="00677AEB"/>
    <w:rsid w:val="00680EF2"/>
    <w:rsid w:val="00682663"/>
    <w:rsid w:val="00682A3E"/>
    <w:rsid w:val="006831AC"/>
    <w:rsid w:val="006850AE"/>
    <w:rsid w:val="00686C53"/>
    <w:rsid w:val="00687A1D"/>
    <w:rsid w:val="006906CA"/>
    <w:rsid w:val="00690915"/>
    <w:rsid w:val="00692852"/>
    <w:rsid w:val="00695A40"/>
    <w:rsid w:val="00697EA1"/>
    <w:rsid w:val="006A051A"/>
    <w:rsid w:val="006A1258"/>
    <w:rsid w:val="006A2646"/>
    <w:rsid w:val="006A44B2"/>
    <w:rsid w:val="006A5207"/>
    <w:rsid w:val="006A6530"/>
    <w:rsid w:val="006A695F"/>
    <w:rsid w:val="006A6D1D"/>
    <w:rsid w:val="006B2893"/>
    <w:rsid w:val="006B37B2"/>
    <w:rsid w:val="006B435A"/>
    <w:rsid w:val="006B4539"/>
    <w:rsid w:val="006B4C64"/>
    <w:rsid w:val="006B5AE8"/>
    <w:rsid w:val="006C3ABB"/>
    <w:rsid w:val="006C5CE2"/>
    <w:rsid w:val="006C7290"/>
    <w:rsid w:val="006C7F1E"/>
    <w:rsid w:val="006D0529"/>
    <w:rsid w:val="006D0605"/>
    <w:rsid w:val="006D176A"/>
    <w:rsid w:val="006D289C"/>
    <w:rsid w:val="006D342F"/>
    <w:rsid w:val="006D564C"/>
    <w:rsid w:val="006D6BD5"/>
    <w:rsid w:val="006E1CB0"/>
    <w:rsid w:val="006E254C"/>
    <w:rsid w:val="006E2974"/>
    <w:rsid w:val="006E481A"/>
    <w:rsid w:val="006E5298"/>
    <w:rsid w:val="006E6A1F"/>
    <w:rsid w:val="006E6A6A"/>
    <w:rsid w:val="006E77B0"/>
    <w:rsid w:val="006F18EB"/>
    <w:rsid w:val="006F2E9B"/>
    <w:rsid w:val="006F4A78"/>
    <w:rsid w:val="006F6B2E"/>
    <w:rsid w:val="006F734A"/>
    <w:rsid w:val="00700D83"/>
    <w:rsid w:val="00701CCC"/>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158B"/>
    <w:rsid w:val="007333CC"/>
    <w:rsid w:val="007335D8"/>
    <w:rsid w:val="0073399A"/>
    <w:rsid w:val="00734FD4"/>
    <w:rsid w:val="007369C7"/>
    <w:rsid w:val="00737470"/>
    <w:rsid w:val="00740DAD"/>
    <w:rsid w:val="00741BCD"/>
    <w:rsid w:val="00741D74"/>
    <w:rsid w:val="007425B0"/>
    <w:rsid w:val="00743531"/>
    <w:rsid w:val="007452BB"/>
    <w:rsid w:val="00745A5B"/>
    <w:rsid w:val="007462D9"/>
    <w:rsid w:val="00746A22"/>
    <w:rsid w:val="007518A4"/>
    <w:rsid w:val="00751986"/>
    <w:rsid w:val="0075278B"/>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576B"/>
    <w:rsid w:val="00777070"/>
    <w:rsid w:val="007809BC"/>
    <w:rsid w:val="007815D1"/>
    <w:rsid w:val="00782B3F"/>
    <w:rsid w:val="00784128"/>
    <w:rsid w:val="007849D8"/>
    <w:rsid w:val="0078662F"/>
    <w:rsid w:val="00787BCC"/>
    <w:rsid w:val="00790B4C"/>
    <w:rsid w:val="00791705"/>
    <w:rsid w:val="0079206E"/>
    <w:rsid w:val="0079290D"/>
    <w:rsid w:val="00793173"/>
    <w:rsid w:val="00794A92"/>
    <w:rsid w:val="007958F0"/>
    <w:rsid w:val="00797E1B"/>
    <w:rsid w:val="007A0DEF"/>
    <w:rsid w:val="007A12A4"/>
    <w:rsid w:val="007A2A33"/>
    <w:rsid w:val="007A345D"/>
    <w:rsid w:val="007A3E96"/>
    <w:rsid w:val="007B1DBE"/>
    <w:rsid w:val="007B1E13"/>
    <w:rsid w:val="007B3B1B"/>
    <w:rsid w:val="007B5180"/>
    <w:rsid w:val="007B5C89"/>
    <w:rsid w:val="007B5E5A"/>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6641"/>
    <w:rsid w:val="007D7C92"/>
    <w:rsid w:val="007D7E30"/>
    <w:rsid w:val="007E1154"/>
    <w:rsid w:val="007E1212"/>
    <w:rsid w:val="007E3AA5"/>
    <w:rsid w:val="007E3ADF"/>
    <w:rsid w:val="007E41A0"/>
    <w:rsid w:val="007E43C3"/>
    <w:rsid w:val="007E530F"/>
    <w:rsid w:val="007E6BA4"/>
    <w:rsid w:val="007F19A2"/>
    <w:rsid w:val="007F1A86"/>
    <w:rsid w:val="007F21A1"/>
    <w:rsid w:val="007F2E64"/>
    <w:rsid w:val="007F41F8"/>
    <w:rsid w:val="007F4308"/>
    <w:rsid w:val="007F5B4C"/>
    <w:rsid w:val="007F659B"/>
    <w:rsid w:val="00801B30"/>
    <w:rsid w:val="00803BE9"/>
    <w:rsid w:val="00804000"/>
    <w:rsid w:val="0080454E"/>
    <w:rsid w:val="00804A75"/>
    <w:rsid w:val="00804C32"/>
    <w:rsid w:val="00806302"/>
    <w:rsid w:val="00806382"/>
    <w:rsid w:val="00807119"/>
    <w:rsid w:val="008071D5"/>
    <w:rsid w:val="00807FE8"/>
    <w:rsid w:val="00811184"/>
    <w:rsid w:val="00811865"/>
    <w:rsid w:val="00814A55"/>
    <w:rsid w:val="00815328"/>
    <w:rsid w:val="0081547D"/>
    <w:rsid w:val="00816932"/>
    <w:rsid w:val="00822D1E"/>
    <w:rsid w:val="00823AB4"/>
    <w:rsid w:val="0082483F"/>
    <w:rsid w:val="00825A14"/>
    <w:rsid w:val="00827849"/>
    <w:rsid w:val="008279C0"/>
    <w:rsid w:val="008300AE"/>
    <w:rsid w:val="00841D99"/>
    <w:rsid w:val="00841E70"/>
    <w:rsid w:val="00842BF8"/>
    <w:rsid w:val="00845226"/>
    <w:rsid w:val="008464F9"/>
    <w:rsid w:val="00846859"/>
    <w:rsid w:val="00846C93"/>
    <w:rsid w:val="008473AA"/>
    <w:rsid w:val="00851A7A"/>
    <w:rsid w:val="00852883"/>
    <w:rsid w:val="00852F37"/>
    <w:rsid w:val="008571F6"/>
    <w:rsid w:val="00857A02"/>
    <w:rsid w:val="00861E51"/>
    <w:rsid w:val="00864D42"/>
    <w:rsid w:val="00867701"/>
    <w:rsid w:val="00870B96"/>
    <w:rsid w:val="008723F3"/>
    <w:rsid w:val="00873246"/>
    <w:rsid w:val="00875E2E"/>
    <w:rsid w:val="00876691"/>
    <w:rsid w:val="00876F56"/>
    <w:rsid w:val="00880F99"/>
    <w:rsid w:val="00881DA8"/>
    <w:rsid w:val="00881DE6"/>
    <w:rsid w:val="008837A6"/>
    <w:rsid w:val="008841E5"/>
    <w:rsid w:val="00884D7C"/>
    <w:rsid w:val="0089145D"/>
    <w:rsid w:val="00892995"/>
    <w:rsid w:val="00896196"/>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4CD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0C94"/>
    <w:rsid w:val="00905A43"/>
    <w:rsid w:val="009064FE"/>
    <w:rsid w:val="009078CE"/>
    <w:rsid w:val="009078FC"/>
    <w:rsid w:val="009108EF"/>
    <w:rsid w:val="00911C23"/>
    <w:rsid w:val="00912C79"/>
    <w:rsid w:val="00913FB9"/>
    <w:rsid w:val="00915010"/>
    <w:rsid w:val="0091528C"/>
    <w:rsid w:val="009173D1"/>
    <w:rsid w:val="00920BED"/>
    <w:rsid w:val="00921B8C"/>
    <w:rsid w:val="0092350E"/>
    <w:rsid w:val="00923CCC"/>
    <w:rsid w:val="00926D10"/>
    <w:rsid w:val="009275FE"/>
    <w:rsid w:val="00934868"/>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6E1"/>
    <w:rsid w:val="00966E44"/>
    <w:rsid w:val="00966EAE"/>
    <w:rsid w:val="009703BD"/>
    <w:rsid w:val="009708BB"/>
    <w:rsid w:val="009727DF"/>
    <w:rsid w:val="009729E8"/>
    <w:rsid w:val="00975009"/>
    <w:rsid w:val="00975640"/>
    <w:rsid w:val="00975B29"/>
    <w:rsid w:val="00976DA5"/>
    <w:rsid w:val="009773BA"/>
    <w:rsid w:val="00980DF0"/>
    <w:rsid w:val="00980E61"/>
    <w:rsid w:val="00981608"/>
    <w:rsid w:val="00983C0E"/>
    <w:rsid w:val="00984680"/>
    <w:rsid w:val="00990F04"/>
    <w:rsid w:val="00991272"/>
    <w:rsid w:val="00991428"/>
    <w:rsid w:val="00992676"/>
    <w:rsid w:val="009954B2"/>
    <w:rsid w:val="00996691"/>
    <w:rsid w:val="00997A85"/>
    <w:rsid w:val="00997FBF"/>
    <w:rsid w:val="009A0501"/>
    <w:rsid w:val="009A2357"/>
    <w:rsid w:val="009A2BCA"/>
    <w:rsid w:val="009A3AB7"/>
    <w:rsid w:val="009A4050"/>
    <w:rsid w:val="009A5354"/>
    <w:rsid w:val="009A6A10"/>
    <w:rsid w:val="009A7172"/>
    <w:rsid w:val="009B0723"/>
    <w:rsid w:val="009B07AD"/>
    <w:rsid w:val="009B0883"/>
    <w:rsid w:val="009B15E2"/>
    <w:rsid w:val="009B4976"/>
    <w:rsid w:val="009B699D"/>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5D4"/>
    <w:rsid w:val="009D6709"/>
    <w:rsid w:val="009E13C1"/>
    <w:rsid w:val="009E2A9C"/>
    <w:rsid w:val="009E2AEB"/>
    <w:rsid w:val="009E2E27"/>
    <w:rsid w:val="009E44C0"/>
    <w:rsid w:val="009E45DF"/>
    <w:rsid w:val="009E4DE3"/>
    <w:rsid w:val="009E50C1"/>
    <w:rsid w:val="009F0C29"/>
    <w:rsid w:val="009F0C5A"/>
    <w:rsid w:val="009F275E"/>
    <w:rsid w:val="009F5482"/>
    <w:rsid w:val="00A02198"/>
    <w:rsid w:val="00A02BB3"/>
    <w:rsid w:val="00A047EE"/>
    <w:rsid w:val="00A057CA"/>
    <w:rsid w:val="00A136AF"/>
    <w:rsid w:val="00A13F8F"/>
    <w:rsid w:val="00A149B7"/>
    <w:rsid w:val="00A17452"/>
    <w:rsid w:val="00A177BC"/>
    <w:rsid w:val="00A17930"/>
    <w:rsid w:val="00A17BCF"/>
    <w:rsid w:val="00A20CED"/>
    <w:rsid w:val="00A2274A"/>
    <w:rsid w:val="00A235B7"/>
    <w:rsid w:val="00A249AC"/>
    <w:rsid w:val="00A27A7A"/>
    <w:rsid w:val="00A301D1"/>
    <w:rsid w:val="00A31881"/>
    <w:rsid w:val="00A32E5B"/>
    <w:rsid w:val="00A34ABE"/>
    <w:rsid w:val="00A37300"/>
    <w:rsid w:val="00A40529"/>
    <w:rsid w:val="00A407EF"/>
    <w:rsid w:val="00A40CCE"/>
    <w:rsid w:val="00A411B7"/>
    <w:rsid w:val="00A42023"/>
    <w:rsid w:val="00A45800"/>
    <w:rsid w:val="00A46B4C"/>
    <w:rsid w:val="00A5117B"/>
    <w:rsid w:val="00A523B8"/>
    <w:rsid w:val="00A560B6"/>
    <w:rsid w:val="00A566E3"/>
    <w:rsid w:val="00A56CF7"/>
    <w:rsid w:val="00A56D34"/>
    <w:rsid w:val="00A56DBC"/>
    <w:rsid w:val="00A60074"/>
    <w:rsid w:val="00A641E0"/>
    <w:rsid w:val="00A646E2"/>
    <w:rsid w:val="00A651A9"/>
    <w:rsid w:val="00A6627C"/>
    <w:rsid w:val="00A71019"/>
    <w:rsid w:val="00A73B60"/>
    <w:rsid w:val="00A763DE"/>
    <w:rsid w:val="00A81029"/>
    <w:rsid w:val="00A82AFB"/>
    <w:rsid w:val="00A845F5"/>
    <w:rsid w:val="00A8485D"/>
    <w:rsid w:val="00A86584"/>
    <w:rsid w:val="00A86B29"/>
    <w:rsid w:val="00A90BDB"/>
    <w:rsid w:val="00A94402"/>
    <w:rsid w:val="00A94F10"/>
    <w:rsid w:val="00A96062"/>
    <w:rsid w:val="00A96489"/>
    <w:rsid w:val="00A966A5"/>
    <w:rsid w:val="00A96BB0"/>
    <w:rsid w:val="00A97D88"/>
    <w:rsid w:val="00AA0E39"/>
    <w:rsid w:val="00AA1F76"/>
    <w:rsid w:val="00AA23CE"/>
    <w:rsid w:val="00AA2CBD"/>
    <w:rsid w:val="00AA5A58"/>
    <w:rsid w:val="00AA670C"/>
    <w:rsid w:val="00AB1B60"/>
    <w:rsid w:val="00AB2425"/>
    <w:rsid w:val="00AB5A37"/>
    <w:rsid w:val="00AB61D6"/>
    <w:rsid w:val="00AB685C"/>
    <w:rsid w:val="00AB6C2D"/>
    <w:rsid w:val="00AC08F7"/>
    <w:rsid w:val="00AC126D"/>
    <w:rsid w:val="00AC2807"/>
    <w:rsid w:val="00AC3075"/>
    <w:rsid w:val="00AC36E5"/>
    <w:rsid w:val="00AC3839"/>
    <w:rsid w:val="00AC7082"/>
    <w:rsid w:val="00AD0662"/>
    <w:rsid w:val="00AD1B6B"/>
    <w:rsid w:val="00AD331C"/>
    <w:rsid w:val="00AD4BE8"/>
    <w:rsid w:val="00AD57A5"/>
    <w:rsid w:val="00AD65A8"/>
    <w:rsid w:val="00AD74AD"/>
    <w:rsid w:val="00AD76EF"/>
    <w:rsid w:val="00AD7A9A"/>
    <w:rsid w:val="00AE027F"/>
    <w:rsid w:val="00AE4D6F"/>
    <w:rsid w:val="00AF228E"/>
    <w:rsid w:val="00AF455B"/>
    <w:rsid w:val="00AF5899"/>
    <w:rsid w:val="00B0123F"/>
    <w:rsid w:val="00B01537"/>
    <w:rsid w:val="00B0158D"/>
    <w:rsid w:val="00B016A8"/>
    <w:rsid w:val="00B02C56"/>
    <w:rsid w:val="00B04004"/>
    <w:rsid w:val="00B12F13"/>
    <w:rsid w:val="00B1362E"/>
    <w:rsid w:val="00B14819"/>
    <w:rsid w:val="00B15E2F"/>
    <w:rsid w:val="00B17AA9"/>
    <w:rsid w:val="00B20235"/>
    <w:rsid w:val="00B221FF"/>
    <w:rsid w:val="00B2292D"/>
    <w:rsid w:val="00B246B1"/>
    <w:rsid w:val="00B25230"/>
    <w:rsid w:val="00B261A4"/>
    <w:rsid w:val="00B26B31"/>
    <w:rsid w:val="00B30A70"/>
    <w:rsid w:val="00B32674"/>
    <w:rsid w:val="00B328A1"/>
    <w:rsid w:val="00B333FE"/>
    <w:rsid w:val="00B3503B"/>
    <w:rsid w:val="00B366EC"/>
    <w:rsid w:val="00B36923"/>
    <w:rsid w:val="00B378FA"/>
    <w:rsid w:val="00B42352"/>
    <w:rsid w:val="00B44713"/>
    <w:rsid w:val="00B51227"/>
    <w:rsid w:val="00B51975"/>
    <w:rsid w:val="00B51B95"/>
    <w:rsid w:val="00B52E4D"/>
    <w:rsid w:val="00B54F90"/>
    <w:rsid w:val="00B55C9E"/>
    <w:rsid w:val="00B56103"/>
    <w:rsid w:val="00B56B95"/>
    <w:rsid w:val="00B607DF"/>
    <w:rsid w:val="00B6409C"/>
    <w:rsid w:val="00B64845"/>
    <w:rsid w:val="00B64929"/>
    <w:rsid w:val="00B64A85"/>
    <w:rsid w:val="00B66053"/>
    <w:rsid w:val="00B7193E"/>
    <w:rsid w:val="00B72999"/>
    <w:rsid w:val="00B72FD7"/>
    <w:rsid w:val="00B736DF"/>
    <w:rsid w:val="00B743D6"/>
    <w:rsid w:val="00B74FBD"/>
    <w:rsid w:val="00B77F46"/>
    <w:rsid w:val="00B82586"/>
    <w:rsid w:val="00B829A3"/>
    <w:rsid w:val="00B84CE9"/>
    <w:rsid w:val="00B86537"/>
    <w:rsid w:val="00B86DB1"/>
    <w:rsid w:val="00B87869"/>
    <w:rsid w:val="00B87A61"/>
    <w:rsid w:val="00B92D5B"/>
    <w:rsid w:val="00B9417E"/>
    <w:rsid w:val="00B948AE"/>
    <w:rsid w:val="00B9639B"/>
    <w:rsid w:val="00B9786F"/>
    <w:rsid w:val="00BA1648"/>
    <w:rsid w:val="00BA1E4F"/>
    <w:rsid w:val="00BA2637"/>
    <w:rsid w:val="00BA2919"/>
    <w:rsid w:val="00BA35FF"/>
    <w:rsid w:val="00BA7E39"/>
    <w:rsid w:val="00BB09FD"/>
    <w:rsid w:val="00BB0EF6"/>
    <w:rsid w:val="00BB0F2B"/>
    <w:rsid w:val="00BB5A37"/>
    <w:rsid w:val="00BB6955"/>
    <w:rsid w:val="00BB6F7A"/>
    <w:rsid w:val="00BC1043"/>
    <w:rsid w:val="00BC285B"/>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E4FF3"/>
    <w:rsid w:val="00BF2B49"/>
    <w:rsid w:val="00BF2E7A"/>
    <w:rsid w:val="00BF3D02"/>
    <w:rsid w:val="00BF40B9"/>
    <w:rsid w:val="00BF50F7"/>
    <w:rsid w:val="00BF5D90"/>
    <w:rsid w:val="00C00231"/>
    <w:rsid w:val="00C01017"/>
    <w:rsid w:val="00C02F29"/>
    <w:rsid w:val="00C04632"/>
    <w:rsid w:val="00C07B0B"/>
    <w:rsid w:val="00C10B1A"/>
    <w:rsid w:val="00C15A16"/>
    <w:rsid w:val="00C1724E"/>
    <w:rsid w:val="00C17718"/>
    <w:rsid w:val="00C20337"/>
    <w:rsid w:val="00C20AFE"/>
    <w:rsid w:val="00C22A25"/>
    <w:rsid w:val="00C2379E"/>
    <w:rsid w:val="00C24334"/>
    <w:rsid w:val="00C26E4B"/>
    <w:rsid w:val="00C277D6"/>
    <w:rsid w:val="00C27CF8"/>
    <w:rsid w:val="00C31102"/>
    <w:rsid w:val="00C31C63"/>
    <w:rsid w:val="00C33C84"/>
    <w:rsid w:val="00C3453F"/>
    <w:rsid w:val="00C34A50"/>
    <w:rsid w:val="00C35026"/>
    <w:rsid w:val="00C35671"/>
    <w:rsid w:val="00C35B77"/>
    <w:rsid w:val="00C376EB"/>
    <w:rsid w:val="00C4187E"/>
    <w:rsid w:val="00C444EC"/>
    <w:rsid w:val="00C44FFC"/>
    <w:rsid w:val="00C4578D"/>
    <w:rsid w:val="00C45A03"/>
    <w:rsid w:val="00C46A92"/>
    <w:rsid w:val="00C46EC1"/>
    <w:rsid w:val="00C47BCE"/>
    <w:rsid w:val="00C50F86"/>
    <w:rsid w:val="00C52796"/>
    <w:rsid w:val="00C53E2C"/>
    <w:rsid w:val="00C550C8"/>
    <w:rsid w:val="00C55824"/>
    <w:rsid w:val="00C56136"/>
    <w:rsid w:val="00C56B61"/>
    <w:rsid w:val="00C56D56"/>
    <w:rsid w:val="00C570AC"/>
    <w:rsid w:val="00C5730D"/>
    <w:rsid w:val="00C60631"/>
    <w:rsid w:val="00C606C3"/>
    <w:rsid w:val="00C608D9"/>
    <w:rsid w:val="00C620F4"/>
    <w:rsid w:val="00C629CB"/>
    <w:rsid w:val="00C673EB"/>
    <w:rsid w:val="00C71F4F"/>
    <w:rsid w:val="00C72848"/>
    <w:rsid w:val="00C750BA"/>
    <w:rsid w:val="00C7736C"/>
    <w:rsid w:val="00C80272"/>
    <w:rsid w:val="00C82D87"/>
    <w:rsid w:val="00C830EE"/>
    <w:rsid w:val="00C8712A"/>
    <w:rsid w:val="00C902C8"/>
    <w:rsid w:val="00C90BDD"/>
    <w:rsid w:val="00C919D1"/>
    <w:rsid w:val="00C92A0D"/>
    <w:rsid w:val="00C94C09"/>
    <w:rsid w:val="00C952A2"/>
    <w:rsid w:val="00C963D3"/>
    <w:rsid w:val="00CA0B50"/>
    <w:rsid w:val="00CA1802"/>
    <w:rsid w:val="00CA5826"/>
    <w:rsid w:val="00CA6C59"/>
    <w:rsid w:val="00CA6E99"/>
    <w:rsid w:val="00CB1983"/>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E6E50"/>
    <w:rsid w:val="00CF01D6"/>
    <w:rsid w:val="00CF03DA"/>
    <w:rsid w:val="00CF2819"/>
    <w:rsid w:val="00CF4516"/>
    <w:rsid w:val="00CF4F9D"/>
    <w:rsid w:val="00CF5AD8"/>
    <w:rsid w:val="00CF70DC"/>
    <w:rsid w:val="00CF717B"/>
    <w:rsid w:val="00D068C5"/>
    <w:rsid w:val="00D07F87"/>
    <w:rsid w:val="00D107F9"/>
    <w:rsid w:val="00D148DC"/>
    <w:rsid w:val="00D1688E"/>
    <w:rsid w:val="00D17FDC"/>
    <w:rsid w:val="00D21D8C"/>
    <w:rsid w:val="00D223E4"/>
    <w:rsid w:val="00D2550E"/>
    <w:rsid w:val="00D256C6"/>
    <w:rsid w:val="00D25F51"/>
    <w:rsid w:val="00D35229"/>
    <w:rsid w:val="00D35ADE"/>
    <w:rsid w:val="00D35EAE"/>
    <w:rsid w:val="00D4685B"/>
    <w:rsid w:val="00D5192B"/>
    <w:rsid w:val="00D53719"/>
    <w:rsid w:val="00D57C59"/>
    <w:rsid w:val="00D60215"/>
    <w:rsid w:val="00D60874"/>
    <w:rsid w:val="00D627C5"/>
    <w:rsid w:val="00D63EFD"/>
    <w:rsid w:val="00D6588F"/>
    <w:rsid w:val="00D676F1"/>
    <w:rsid w:val="00D714E4"/>
    <w:rsid w:val="00D761ED"/>
    <w:rsid w:val="00D829EB"/>
    <w:rsid w:val="00D84752"/>
    <w:rsid w:val="00D861BE"/>
    <w:rsid w:val="00D86851"/>
    <w:rsid w:val="00D86A74"/>
    <w:rsid w:val="00D86B3B"/>
    <w:rsid w:val="00D8748A"/>
    <w:rsid w:val="00D905E4"/>
    <w:rsid w:val="00D910D5"/>
    <w:rsid w:val="00D93196"/>
    <w:rsid w:val="00D931A2"/>
    <w:rsid w:val="00DA0DC0"/>
    <w:rsid w:val="00DA42DA"/>
    <w:rsid w:val="00DA42EF"/>
    <w:rsid w:val="00DB1A35"/>
    <w:rsid w:val="00DB243C"/>
    <w:rsid w:val="00DB482A"/>
    <w:rsid w:val="00DB50FB"/>
    <w:rsid w:val="00DB56F2"/>
    <w:rsid w:val="00DB5A5A"/>
    <w:rsid w:val="00DB5D9B"/>
    <w:rsid w:val="00DB6EF5"/>
    <w:rsid w:val="00DC2A3F"/>
    <w:rsid w:val="00DC2BEC"/>
    <w:rsid w:val="00DC2FDB"/>
    <w:rsid w:val="00DC3089"/>
    <w:rsid w:val="00DC38CC"/>
    <w:rsid w:val="00DC4420"/>
    <w:rsid w:val="00DC4FBB"/>
    <w:rsid w:val="00DC6681"/>
    <w:rsid w:val="00DC7F76"/>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DF7FB9"/>
    <w:rsid w:val="00E009E1"/>
    <w:rsid w:val="00E00C00"/>
    <w:rsid w:val="00E00E54"/>
    <w:rsid w:val="00E01109"/>
    <w:rsid w:val="00E01C69"/>
    <w:rsid w:val="00E041F9"/>
    <w:rsid w:val="00E05837"/>
    <w:rsid w:val="00E07C5A"/>
    <w:rsid w:val="00E10A73"/>
    <w:rsid w:val="00E12372"/>
    <w:rsid w:val="00E12C13"/>
    <w:rsid w:val="00E15BA9"/>
    <w:rsid w:val="00E161D2"/>
    <w:rsid w:val="00E177E2"/>
    <w:rsid w:val="00E17BF1"/>
    <w:rsid w:val="00E22DE4"/>
    <w:rsid w:val="00E25FB8"/>
    <w:rsid w:val="00E26E19"/>
    <w:rsid w:val="00E31DF3"/>
    <w:rsid w:val="00E37049"/>
    <w:rsid w:val="00E4126D"/>
    <w:rsid w:val="00E4129A"/>
    <w:rsid w:val="00E450A4"/>
    <w:rsid w:val="00E506BE"/>
    <w:rsid w:val="00E518B6"/>
    <w:rsid w:val="00E525B9"/>
    <w:rsid w:val="00E53AE9"/>
    <w:rsid w:val="00E54ADD"/>
    <w:rsid w:val="00E55547"/>
    <w:rsid w:val="00E55E9B"/>
    <w:rsid w:val="00E61F87"/>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91"/>
    <w:rsid w:val="00E909F0"/>
    <w:rsid w:val="00E90B4B"/>
    <w:rsid w:val="00E90D47"/>
    <w:rsid w:val="00E91BE6"/>
    <w:rsid w:val="00E92DA7"/>
    <w:rsid w:val="00E93993"/>
    <w:rsid w:val="00E950C0"/>
    <w:rsid w:val="00E9597C"/>
    <w:rsid w:val="00EA0879"/>
    <w:rsid w:val="00EA0913"/>
    <w:rsid w:val="00EA0CCD"/>
    <w:rsid w:val="00EA4D77"/>
    <w:rsid w:val="00EA5317"/>
    <w:rsid w:val="00EA5B00"/>
    <w:rsid w:val="00EA6550"/>
    <w:rsid w:val="00EA7BAB"/>
    <w:rsid w:val="00EB02BE"/>
    <w:rsid w:val="00EB146B"/>
    <w:rsid w:val="00EB21D4"/>
    <w:rsid w:val="00EB2845"/>
    <w:rsid w:val="00EB45AC"/>
    <w:rsid w:val="00EB488B"/>
    <w:rsid w:val="00EB6668"/>
    <w:rsid w:val="00EB6801"/>
    <w:rsid w:val="00EB6A2F"/>
    <w:rsid w:val="00EC28F5"/>
    <w:rsid w:val="00EC3875"/>
    <w:rsid w:val="00EC441F"/>
    <w:rsid w:val="00EC4755"/>
    <w:rsid w:val="00EC549E"/>
    <w:rsid w:val="00EC6E55"/>
    <w:rsid w:val="00ED0BC4"/>
    <w:rsid w:val="00ED151E"/>
    <w:rsid w:val="00ED3CDA"/>
    <w:rsid w:val="00ED447D"/>
    <w:rsid w:val="00ED617A"/>
    <w:rsid w:val="00EE1341"/>
    <w:rsid w:val="00EE1A0E"/>
    <w:rsid w:val="00EE4971"/>
    <w:rsid w:val="00EE5A48"/>
    <w:rsid w:val="00EE5F7D"/>
    <w:rsid w:val="00EE6390"/>
    <w:rsid w:val="00EE6CB0"/>
    <w:rsid w:val="00EE7278"/>
    <w:rsid w:val="00EF090E"/>
    <w:rsid w:val="00EF0A6C"/>
    <w:rsid w:val="00EF16B6"/>
    <w:rsid w:val="00EF1B1A"/>
    <w:rsid w:val="00EF2D08"/>
    <w:rsid w:val="00EF5572"/>
    <w:rsid w:val="00EF5705"/>
    <w:rsid w:val="00EF58C0"/>
    <w:rsid w:val="00EF6653"/>
    <w:rsid w:val="00F01639"/>
    <w:rsid w:val="00F033DA"/>
    <w:rsid w:val="00F0424E"/>
    <w:rsid w:val="00F056E6"/>
    <w:rsid w:val="00F06F14"/>
    <w:rsid w:val="00F106CE"/>
    <w:rsid w:val="00F1096A"/>
    <w:rsid w:val="00F12AA4"/>
    <w:rsid w:val="00F12F7B"/>
    <w:rsid w:val="00F13691"/>
    <w:rsid w:val="00F13FB1"/>
    <w:rsid w:val="00F15181"/>
    <w:rsid w:val="00F1640B"/>
    <w:rsid w:val="00F2025D"/>
    <w:rsid w:val="00F20842"/>
    <w:rsid w:val="00F26CE4"/>
    <w:rsid w:val="00F27CD8"/>
    <w:rsid w:val="00F30351"/>
    <w:rsid w:val="00F3144D"/>
    <w:rsid w:val="00F3323E"/>
    <w:rsid w:val="00F341F4"/>
    <w:rsid w:val="00F34F9D"/>
    <w:rsid w:val="00F34FAD"/>
    <w:rsid w:val="00F3554C"/>
    <w:rsid w:val="00F35CCE"/>
    <w:rsid w:val="00F35D73"/>
    <w:rsid w:val="00F366E1"/>
    <w:rsid w:val="00F41648"/>
    <w:rsid w:val="00F42B4B"/>
    <w:rsid w:val="00F4376C"/>
    <w:rsid w:val="00F44D8C"/>
    <w:rsid w:val="00F45599"/>
    <w:rsid w:val="00F50D48"/>
    <w:rsid w:val="00F5239B"/>
    <w:rsid w:val="00F52552"/>
    <w:rsid w:val="00F52E31"/>
    <w:rsid w:val="00F54776"/>
    <w:rsid w:val="00F5524B"/>
    <w:rsid w:val="00F5710B"/>
    <w:rsid w:val="00F60538"/>
    <w:rsid w:val="00F61DD2"/>
    <w:rsid w:val="00F62000"/>
    <w:rsid w:val="00F63720"/>
    <w:rsid w:val="00F65FB6"/>
    <w:rsid w:val="00F66AFF"/>
    <w:rsid w:val="00F71433"/>
    <w:rsid w:val="00F71CE8"/>
    <w:rsid w:val="00F71FF5"/>
    <w:rsid w:val="00F738B0"/>
    <w:rsid w:val="00F758F6"/>
    <w:rsid w:val="00F801C5"/>
    <w:rsid w:val="00F83231"/>
    <w:rsid w:val="00F83703"/>
    <w:rsid w:val="00F85A51"/>
    <w:rsid w:val="00F85C0B"/>
    <w:rsid w:val="00F85DB2"/>
    <w:rsid w:val="00F91FA7"/>
    <w:rsid w:val="00F95955"/>
    <w:rsid w:val="00F96AF1"/>
    <w:rsid w:val="00F97C5B"/>
    <w:rsid w:val="00FA29FD"/>
    <w:rsid w:val="00FA2A46"/>
    <w:rsid w:val="00FA3739"/>
    <w:rsid w:val="00FA3D50"/>
    <w:rsid w:val="00FA43E7"/>
    <w:rsid w:val="00FB257C"/>
    <w:rsid w:val="00FB2C81"/>
    <w:rsid w:val="00FB6703"/>
    <w:rsid w:val="00FB7C8F"/>
    <w:rsid w:val="00FB7D52"/>
    <w:rsid w:val="00FB7D6D"/>
    <w:rsid w:val="00FB7FBD"/>
    <w:rsid w:val="00FC2741"/>
    <w:rsid w:val="00FC30E1"/>
    <w:rsid w:val="00FC337F"/>
    <w:rsid w:val="00FC374A"/>
    <w:rsid w:val="00FC4F43"/>
    <w:rsid w:val="00FC5D26"/>
    <w:rsid w:val="00FC656D"/>
    <w:rsid w:val="00FC74C8"/>
    <w:rsid w:val="00FC7B47"/>
    <w:rsid w:val="00FD0169"/>
    <w:rsid w:val="00FD035C"/>
    <w:rsid w:val="00FD1240"/>
    <w:rsid w:val="00FD1A35"/>
    <w:rsid w:val="00FD2EA4"/>
    <w:rsid w:val="00FD36C5"/>
    <w:rsid w:val="00FD5B6F"/>
    <w:rsid w:val="00FD6126"/>
    <w:rsid w:val="00FD6310"/>
    <w:rsid w:val="00FD719B"/>
    <w:rsid w:val="00FD7C7B"/>
    <w:rsid w:val="00FE01EC"/>
    <w:rsid w:val="00FE1D12"/>
    <w:rsid w:val="00FE2122"/>
    <w:rsid w:val="00FE2A86"/>
    <w:rsid w:val="00FE2DE2"/>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 w:type="paragraph" w:customStyle="1" w:styleId="INSOLstyle">
    <w:name w:val="INSOL style"/>
    <w:basedOn w:val="Normal"/>
    <w:next w:val="Normal"/>
    <w:qFormat/>
    <w:rsid w:val="00FC656D"/>
    <w:pPr>
      <w:ind w:left="284" w:hanging="284"/>
    </w:pPr>
    <w:rPr>
      <w:rFonts w:ascii="Arial" w:eastAsiaTheme="minorEastAsia" w:hAnsi="Arial" w:cs="Arial"/>
      <w:sz w:val="18"/>
      <w:szCs w:val="22"/>
      <w:u w:color="FF0000"/>
      <w:lang w:val="en-GB"/>
    </w:rPr>
  </w:style>
  <w:style w:type="paragraph" w:styleId="Revision">
    <w:name w:val="Revision"/>
    <w:hidden/>
    <w:uiPriority w:val="99"/>
    <w:semiHidden/>
    <w:rsid w:val="00FC656D"/>
    <w:rPr>
      <w:rFonts w:eastAsia="Times New Roman"/>
      <w:sz w:val="20"/>
    </w:rPr>
  </w:style>
  <w:style w:type="paragraph" w:customStyle="1" w:styleId="legclearfix">
    <w:name w:val="legclearfix"/>
    <w:basedOn w:val="Normal"/>
    <w:rsid w:val="00FC656D"/>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FC656D"/>
  </w:style>
  <w:style w:type="character" w:customStyle="1" w:styleId="cf01">
    <w:name w:val="cf01"/>
    <w:basedOn w:val="DefaultParagraphFont"/>
    <w:rsid w:val="00FC656D"/>
    <w:rPr>
      <w:rFonts w:ascii="Segoe UI" w:hAnsi="Segoe UI" w:cs="Segoe UI" w:hint="default"/>
      <w:sz w:val="18"/>
      <w:szCs w:val="18"/>
    </w:rPr>
  </w:style>
  <w:style w:type="character" w:styleId="UnresolvedMention">
    <w:name w:val="Unresolved Mention"/>
    <w:basedOn w:val="DefaultParagraphFont"/>
    <w:uiPriority w:val="99"/>
    <w:semiHidden/>
    <w:unhideWhenUsed/>
    <w:rsid w:val="00822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348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0496315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33533218">
      <w:bodyDiv w:val="1"/>
      <w:marLeft w:val="0"/>
      <w:marRight w:val="0"/>
      <w:marTop w:val="0"/>
      <w:marBottom w:val="0"/>
      <w:divBdr>
        <w:top w:val="none" w:sz="0" w:space="0" w:color="auto"/>
        <w:left w:val="none" w:sz="0" w:space="0" w:color="auto"/>
        <w:bottom w:val="none" w:sz="0" w:space="0" w:color="auto"/>
        <w:right w:val="none" w:sz="0" w:space="0" w:color="auto"/>
      </w:divBdr>
    </w:div>
    <w:div w:id="142668396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rie.Lawrenson@inso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3921C-47D4-4B1E-879C-B42725A0B5EF}">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4749</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Zanetic, Rhiannon</cp:lastModifiedBy>
  <cp:revision>25</cp:revision>
  <cp:lastPrinted>2019-08-27T06:42:00Z</cp:lastPrinted>
  <dcterms:created xsi:type="dcterms:W3CDTF">2023-09-21T21:10:00Z</dcterms:created>
  <dcterms:modified xsi:type="dcterms:W3CDTF">2023-09-21T22:54:00Z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_DocHome">
    <vt:i4>95532015</vt:i4>
  </property>
</Properties>
</file>