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810E" w14:textId="14C79EAB" w:rsidR="00355211" w:rsidRDefault="00355211" w:rsidP="009F78F1">
      <w:pPr>
        <w:spacing w:line="240" w:lineRule="auto"/>
        <w:jc w:val="both"/>
        <w:rPr>
          <w:rFonts w:ascii="Arial" w:hAnsi="Arial" w:cs="Arial"/>
        </w:rPr>
      </w:pPr>
      <w:r>
        <w:rPr>
          <w:rFonts w:ascii="Arial" w:hAnsi="Arial" w:cs="Arial"/>
        </w:rPr>
        <w:t>Dear Mr M</w:t>
      </w:r>
      <w:r w:rsidR="0049727C">
        <w:rPr>
          <w:rFonts w:ascii="Arial" w:hAnsi="Arial" w:cs="Arial"/>
        </w:rPr>
        <w:t>a</w:t>
      </w:r>
      <w:r>
        <w:rPr>
          <w:rFonts w:ascii="Arial" w:hAnsi="Arial" w:cs="Arial"/>
        </w:rPr>
        <w:t>ximov,</w:t>
      </w:r>
    </w:p>
    <w:p w14:paraId="3909ADB0" w14:textId="560ED729" w:rsidR="00005BB1" w:rsidRDefault="009514DB" w:rsidP="009F78F1">
      <w:pPr>
        <w:spacing w:line="240" w:lineRule="auto"/>
        <w:jc w:val="both"/>
        <w:rPr>
          <w:rFonts w:ascii="Arial" w:hAnsi="Arial" w:cs="Arial"/>
        </w:rPr>
      </w:pPr>
      <w:r>
        <w:rPr>
          <w:rFonts w:ascii="Arial" w:hAnsi="Arial" w:cs="Arial" w:hint="eastAsia"/>
        </w:rPr>
        <w:t>I</w:t>
      </w:r>
      <w:r>
        <w:rPr>
          <w:rFonts w:ascii="Arial" w:hAnsi="Arial" w:cs="Arial"/>
        </w:rPr>
        <w:t xml:space="preserve"> have been instructed </w:t>
      </w:r>
      <w:r w:rsidR="001F4124">
        <w:rPr>
          <w:rFonts w:ascii="Arial" w:hAnsi="Arial" w:cs="Arial"/>
        </w:rPr>
        <w:t>to</w:t>
      </w:r>
      <w:r w:rsidR="003D6A40">
        <w:rPr>
          <w:rFonts w:ascii="Arial" w:hAnsi="Arial" w:cs="Arial"/>
        </w:rPr>
        <w:t xml:space="preserve"> give advice </w:t>
      </w:r>
      <w:r w:rsidR="00E76AD2">
        <w:rPr>
          <w:rFonts w:ascii="Arial" w:hAnsi="Arial" w:cs="Arial"/>
        </w:rPr>
        <w:t>on how to facilitate a deal</w:t>
      </w:r>
      <w:r w:rsidR="00357853">
        <w:rPr>
          <w:rFonts w:ascii="Arial" w:hAnsi="Arial" w:cs="Arial"/>
        </w:rPr>
        <w:t xml:space="preserve"> </w:t>
      </w:r>
      <w:r w:rsidR="009008AF">
        <w:rPr>
          <w:rFonts w:ascii="Arial" w:hAnsi="Arial" w:cs="Arial"/>
        </w:rPr>
        <w:t xml:space="preserve">in relation to the sponsorship and </w:t>
      </w:r>
      <w:r w:rsidR="00F93D7F">
        <w:rPr>
          <w:rFonts w:ascii="Arial" w:hAnsi="Arial" w:cs="Arial"/>
        </w:rPr>
        <w:t xml:space="preserve">the </w:t>
      </w:r>
      <w:r w:rsidR="009008AF">
        <w:rPr>
          <w:rFonts w:ascii="Arial" w:hAnsi="Arial" w:cs="Arial"/>
        </w:rPr>
        <w:t>acquisit</w:t>
      </w:r>
      <w:r w:rsidR="00093C42">
        <w:rPr>
          <w:rFonts w:ascii="Arial" w:hAnsi="Arial" w:cs="Arial"/>
        </w:rPr>
        <w:t xml:space="preserve">ion </w:t>
      </w:r>
      <w:r w:rsidR="00F93D7F">
        <w:rPr>
          <w:rFonts w:ascii="Arial" w:hAnsi="Arial" w:cs="Arial"/>
        </w:rPr>
        <w:t xml:space="preserve">of the majority stake by </w:t>
      </w:r>
      <w:r w:rsidR="00E76AD2">
        <w:rPr>
          <w:rFonts w:ascii="Arial" w:hAnsi="Arial" w:cs="Arial"/>
        </w:rPr>
        <w:t>KuasaNa</w:t>
      </w:r>
      <w:r w:rsidR="00F93D7F">
        <w:rPr>
          <w:rFonts w:ascii="Arial" w:hAnsi="Arial" w:cs="Arial"/>
        </w:rPr>
        <w:t xml:space="preserve">s, </w:t>
      </w:r>
      <w:r w:rsidR="005A00DB">
        <w:rPr>
          <w:rFonts w:ascii="Arial" w:hAnsi="Arial" w:cs="Arial"/>
        </w:rPr>
        <w:t>a Malaysian state company</w:t>
      </w:r>
      <w:r w:rsidR="00752D76">
        <w:rPr>
          <w:rFonts w:ascii="Arial" w:hAnsi="Arial" w:cs="Arial"/>
        </w:rPr>
        <w:t>, particularly in how the insolvency issues affecting the companies in the Efwon Group (defined below) can be dealt with</w:t>
      </w:r>
      <w:r w:rsidR="003E0FC7">
        <w:rPr>
          <w:rFonts w:ascii="Arial" w:hAnsi="Arial" w:cs="Arial"/>
        </w:rPr>
        <w:t xml:space="preserve"> (the </w:t>
      </w:r>
      <w:r w:rsidR="003E0FC7" w:rsidRPr="003E0FC7">
        <w:rPr>
          <w:rFonts w:ascii="Arial" w:hAnsi="Arial" w:cs="Arial"/>
          <w:b/>
          <w:bCs/>
        </w:rPr>
        <w:t>Scope</w:t>
      </w:r>
      <w:r w:rsidR="003E0FC7">
        <w:rPr>
          <w:rFonts w:ascii="Arial" w:hAnsi="Arial" w:cs="Arial"/>
        </w:rPr>
        <w:t>)</w:t>
      </w:r>
      <w:r w:rsidR="00752D76">
        <w:rPr>
          <w:rFonts w:ascii="Arial" w:hAnsi="Arial" w:cs="Arial"/>
        </w:rPr>
        <w:t>.</w:t>
      </w:r>
    </w:p>
    <w:p w14:paraId="47DFD3F5" w14:textId="37873C29" w:rsidR="00261127" w:rsidRPr="00261127" w:rsidRDefault="00261127" w:rsidP="009F78F1">
      <w:pPr>
        <w:spacing w:line="240" w:lineRule="auto"/>
        <w:jc w:val="both"/>
        <w:rPr>
          <w:rFonts w:ascii="Arial" w:hAnsi="Arial" w:cs="Arial"/>
          <w:b/>
          <w:caps/>
        </w:rPr>
      </w:pPr>
      <w:r w:rsidRPr="00261127">
        <w:rPr>
          <w:rFonts w:ascii="Arial" w:hAnsi="Arial" w:cs="Arial"/>
          <w:b/>
          <w:caps/>
        </w:rPr>
        <w:t>Executive Summary</w:t>
      </w:r>
      <w:r w:rsidR="002A6D79">
        <w:rPr>
          <w:rStyle w:val="FootnoteReference"/>
          <w:rFonts w:ascii="Arial" w:hAnsi="Arial" w:cs="Arial"/>
        </w:rPr>
        <w:footnoteReference w:id="1"/>
      </w:r>
    </w:p>
    <w:p w14:paraId="5112DE8D" w14:textId="0A5B14E1" w:rsidR="0025257D" w:rsidRDefault="00261127" w:rsidP="009F78F1">
      <w:pPr>
        <w:spacing w:line="240" w:lineRule="auto"/>
        <w:jc w:val="both"/>
        <w:rPr>
          <w:rFonts w:ascii="Arial" w:hAnsi="Arial" w:cs="Arial"/>
        </w:rPr>
      </w:pPr>
      <w:r>
        <w:rPr>
          <w:rFonts w:ascii="Arial" w:hAnsi="Arial" w:cs="Arial"/>
        </w:rPr>
        <w:t xml:space="preserve">Based on the information available, </w:t>
      </w:r>
      <w:r w:rsidR="00987283">
        <w:rPr>
          <w:rFonts w:ascii="Arial" w:hAnsi="Arial" w:cs="Arial"/>
        </w:rPr>
        <w:t xml:space="preserve">it is recommended that </w:t>
      </w:r>
      <w:r w:rsidR="004E6F6F">
        <w:rPr>
          <w:rFonts w:ascii="Arial" w:hAnsi="Arial" w:cs="Arial"/>
        </w:rPr>
        <w:t xml:space="preserve">certain entities in the Efwon Group </w:t>
      </w:r>
      <w:r w:rsidR="00987283">
        <w:rPr>
          <w:rFonts w:ascii="Arial" w:hAnsi="Arial" w:cs="Arial"/>
        </w:rPr>
        <w:t>to commence insolvency proceedings</w:t>
      </w:r>
      <w:r w:rsidR="00AB3C30">
        <w:rPr>
          <w:rFonts w:ascii="Arial" w:hAnsi="Arial" w:cs="Arial"/>
        </w:rPr>
        <w:t xml:space="preserve"> </w:t>
      </w:r>
      <w:proofErr w:type="gramStart"/>
      <w:r w:rsidR="00AB3C30">
        <w:rPr>
          <w:rFonts w:ascii="Arial" w:hAnsi="Arial" w:cs="Arial"/>
        </w:rPr>
        <w:t>in order to</w:t>
      </w:r>
      <w:proofErr w:type="gramEnd"/>
      <w:r w:rsidR="00AB3C30">
        <w:rPr>
          <w:rFonts w:ascii="Arial" w:hAnsi="Arial" w:cs="Arial"/>
        </w:rPr>
        <w:t xml:space="preserve"> address the insolvency issues </w:t>
      </w:r>
      <w:r w:rsidR="001370FC">
        <w:rPr>
          <w:rFonts w:ascii="Arial" w:hAnsi="Arial" w:cs="Arial"/>
        </w:rPr>
        <w:t xml:space="preserve">so that the sponsorship agreement </w:t>
      </w:r>
      <w:r w:rsidR="00EF1462">
        <w:rPr>
          <w:rFonts w:ascii="Arial" w:hAnsi="Arial" w:cs="Arial"/>
        </w:rPr>
        <w:t>with KuasaNas can be secured</w:t>
      </w:r>
      <w:r w:rsidR="00FB08CE">
        <w:rPr>
          <w:rFonts w:ascii="Arial" w:hAnsi="Arial" w:cs="Arial"/>
        </w:rPr>
        <w:t xml:space="preserve">.  The advice given below </w:t>
      </w:r>
      <w:r w:rsidR="005223A3">
        <w:rPr>
          <w:rFonts w:ascii="Arial" w:hAnsi="Arial" w:cs="Arial"/>
        </w:rPr>
        <w:t xml:space="preserve">is subject to </w:t>
      </w:r>
      <w:proofErr w:type="gramStart"/>
      <w:r w:rsidR="005223A3">
        <w:rPr>
          <w:rFonts w:ascii="Arial" w:hAnsi="Arial" w:cs="Arial"/>
        </w:rPr>
        <w:t>a number of</w:t>
      </w:r>
      <w:proofErr w:type="gramEnd"/>
      <w:r w:rsidR="005223A3">
        <w:rPr>
          <w:rFonts w:ascii="Arial" w:hAnsi="Arial" w:cs="Arial"/>
        </w:rPr>
        <w:t xml:space="preserve"> assumptions </w:t>
      </w:r>
      <w:r w:rsidR="000064AB">
        <w:rPr>
          <w:rFonts w:ascii="Arial" w:hAnsi="Arial" w:cs="Arial"/>
        </w:rPr>
        <w:t xml:space="preserve">and </w:t>
      </w:r>
      <w:r w:rsidR="00155F9E">
        <w:rPr>
          <w:rFonts w:ascii="Arial" w:hAnsi="Arial" w:cs="Arial"/>
        </w:rPr>
        <w:t xml:space="preserve">the provision of </w:t>
      </w:r>
      <w:r w:rsidR="000064AB">
        <w:rPr>
          <w:rFonts w:ascii="Arial" w:hAnsi="Arial" w:cs="Arial"/>
        </w:rPr>
        <w:t xml:space="preserve">further information discussed throughout the </w:t>
      </w:r>
      <w:r w:rsidR="0049727C">
        <w:rPr>
          <w:rFonts w:ascii="Arial" w:hAnsi="Arial" w:cs="Arial"/>
        </w:rPr>
        <w:t xml:space="preserve">letter of </w:t>
      </w:r>
      <w:r w:rsidR="000064AB">
        <w:rPr>
          <w:rFonts w:ascii="Arial" w:hAnsi="Arial" w:cs="Arial"/>
        </w:rPr>
        <w:t>advice</w:t>
      </w:r>
      <w:r w:rsidR="00155F9E">
        <w:rPr>
          <w:rFonts w:ascii="Arial" w:hAnsi="Arial" w:cs="Arial"/>
        </w:rPr>
        <w:t>.</w:t>
      </w:r>
      <w:r w:rsidR="0025257D">
        <w:rPr>
          <w:rFonts w:ascii="Arial" w:hAnsi="Arial" w:cs="Arial"/>
        </w:rPr>
        <w:t xml:space="preserve">  </w:t>
      </w:r>
      <w:r w:rsidR="00B44F0F">
        <w:rPr>
          <w:rFonts w:ascii="Arial" w:hAnsi="Arial" w:cs="Arial"/>
        </w:rPr>
        <w:t>It is</w:t>
      </w:r>
      <w:r w:rsidR="00ED0292">
        <w:rPr>
          <w:rFonts w:ascii="Arial" w:hAnsi="Arial" w:cs="Arial"/>
        </w:rPr>
        <w:t xml:space="preserve"> recommended that</w:t>
      </w:r>
      <w:r w:rsidR="0025257D">
        <w:rPr>
          <w:rFonts w:ascii="Arial" w:hAnsi="Arial" w:cs="Arial"/>
        </w:rPr>
        <w:t>:</w:t>
      </w:r>
      <w:r w:rsidR="00ED0292">
        <w:rPr>
          <w:rFonts w:ascii="Arial" w:hAnsi="Arial" w:cs="Arial"/>
        </w:rPr>
        <w:t xml:space="preserve"> </w:t>
      </w:r>
    </w:p>
    <w:p w14:paraId="72AF3345" w14:textId="0B9BD4FC" w:rsidR="00155F9E" w:rsidRDefault="00ED0292" w:rsidP="00361A1F">
      <w:pPr>
        <w:pStyle w:val="ListParagraph"/>
        <w:numPr>
          <w:ilvl w:val="0"/>
          <w:numId w:val="20"/>
        </w:numPr>
        <w:spacing w:line="240" w:lineRule="auto"/>
        <w:ind w:left="709" w:hanging="425"/>
        <w:jc w:val="both"/>
        <w:rPr>
          <w:rFonts w:ascii="Arial" w:hAnsi="Arial" w:cs="Arial"/>
        </w:rPr>
      </w:pPr>
      <w:r w:rsidRPr="0025257D">
        <w:rPr>
          <w:rFonts w:ascii="Arial" w:hAnsi="Arial" w:cs="Arial"/>
        </w:rPr>
        <w:t xml:space="preserve">Efwon Romania </w:t>
      </w:r>
      <w:r w:rsidR="0040342C" w:rsidRPr="0025257D">
        <w:rPr>
          <w:rFonts w:ascii="Arial" w:hAnsi="Arial" w:cs="Arial"/>
        </w:rPr>
        <w:t xml:space="preserve">requests </w:t>
      </w:r>
      <w:r w:rsidR="00DE3C09" w:rsidRPr="0025257D">
        <w:rPr>
          <w:rFonts w:ascii="Arial" w:hAnsi="Arial" w:cs="Arial"/>
        </w:rPr>
        <w:t xml:space="preserve">the </w:t>
      </w:r>
      <w:r w:rsidR="0049727C">
        <w:rPr>
          <w:rFonts w:ascii="Arial" w:hAnsi="Arial" w:cs="Arial"/>
        </w:rPr>
        <w:t xml:space="preserve">Romanian </w:t>
      </w:r>
      <w:r w:rsidR="00DE3C09" w:rsidRPr="0025257D">
        <w:rPr>
          <w:rFonts w:ascii="Arial" w:hAnsi="Arial" w:cs="Arial"/>
        </w:rPr>
        <w:t xml:space="preserve">court </w:t>
      </w:r>
      <w:r w:rsidR="00573CA4" w:rsidRPr="0025257D">
        <w:rPr>
          <w:rFonts w:ascii="Arial" w:hAnsi="Arial" w:cs="Arial"/>
        </w:rPr>
        <w:t xml:space="preserve">for the opening of insolvency procedure </w:t>
      </w:r>
      <w:r w:rsidR="002A4B84">
        <w:rPr>
          <w:rFonts w:ascii="Arial" w:hAnsi="Arial" w:cs="Arial"/>
        </w:rPr>
        <w:t xml:space="preserve">pursuant to </w:t>
      </w:r>
      <w:r w:rsidR="00ED549E" w:rsidRPr="0025257D">
        <w:rPr>
          <w:rFonts w:ascii="Arial" w:hAnsi="Arial" w:cs="Arial"/>
        </w:rPr>
        <w:t>Title II of the Romania IA</w:t>
      </w:r>
      <w:r w:rsidR="00933912" w:rsidRPr="0025257D">
        <w:rPr>
          <w:rFonts w:ascii="Arial" w:hAnsi="Arial" w:cs="Arial"/>
        </w:rPr>
        <w:t xml:space="preserve"> </w:t>
      </w:r>
      <w:proofErr w:type="gramStart"/>
      <w:r w:rsidR="00933912" w:rsidRPr="0025257D">
        <w:rPr>
          <w:rFonts w:ascii="Arial" w:hAnsi="Arial" w:cs="Arial"/>
        </w:rPr>
        <w:t>in order to</w:t>
      </w:r>
      <w:proofErr w:type="gramEnd"/>
      <w:r w:rsidR="00933912" w:rsidRPr="0025257D">
        <w:rPr>
          <w:rFonts w:ascii="Arial" w:hAnsi="Arial" w:cs="Arial"/>
        </w:rPr>
        <w:t xml:space="preserve"> protect its </w:t>
      </w:r>
      <w:r w:rsidR="002B438E" w:rsidRPr="0025257D">
        <w:rPr>
          <w:rFonts w:ascii="Arial" w:hAnsi="Arial" w:cs="Arial"/>
        </w:rPr>
        <w:t xml:space="preserve">business and </w:t>
      </w:r>
      <w:r w:rsidR="00933912" w:rsidRPr="0025257D">
        <w:rPr>
          <w:rFonts w:ascii="Arial" w:hAnsi="Arial" w:cs="Arial"/>
        </w:rPr>
        <w:t xml:space="preserve">assets from </w:t>
      </w:r>
      <w:r w:rsidR="00AD3011" w:rsidRPr="0025257D">
        <w:rPr>
          <w:rFonts w:ascii="Arial" w:hAnsi="Arial" w:cs="Arial"/>
        </w:rPr>
        <w:t xml:space="preserve">the </w:t>
      </w:r>
      <w:r w:rsidR="002B438E" w:rsidRPr="0025257D">
        <w:rPr>
          <w:rFonts w:ascii="Arial" w:hAnsi="Arial" w:cs="Arial"/>
        </w:rPr>
        <w:t>threatening actions by the Drivers</w:t>
      </w:r>
      <w:r w:rsidR="00361A1F">
        <w:rPr>
          <w:rFonts w:ascii="Arial" w:hAnsi="Arial" w:cs="Arial"/>
        </w:rPr>
        <w:t>;</w:t>
      </w:r>
    </w:p>
    <w:p w14:paraId="54DE56AF" w14:textId="34550D40" w:rsidR="00361A1F" w:rsidRDefault="00B00742" w:rsidP="00361A1F">
      <w:pPr>
        <w:pStyle w:val="ListParagraph"/>
        <w:numPr>
          <w:ilvl w:val="0"/>
          <w:numId w:val="20"/>
        </w:numPr>
        <w:spacing w:line="240" w:lineRule="auto"/>
        <w:ind w:left="709" w:hanging="425"/>
        <w:jc w:val="both"/>
        <w:rPr>
          <w:rFonts w:ascii="Arial" w:hAnsi="Arial" w:cs="Arial"/>
        </w:rPr>
      </w:pPr>
      <w:r>
        <w:rPr>
          <w:rFonts w:ascii="Arial" w:hAnsi="Arial" w:cs="Arial"/>
        </w:rPr>
        <w:t xml:space="preserve">Efwon Romania </w:t>
      </w:r>
      <w:r w:rsidR="00706206">
        <w:rPr>
          <w:rFonts w:ascii="Arial" w:hAnsi="Arial" w:cs="Arial"/>
        </w:rPr>
        <w:t>submits a declaration</w:t>
      </w:r>
      <w:r w:rsidR="00723601">
        <w:rPr>
          <w:rFonts w:ascii="Arial" w:hAnsi="Arial" w:cs="Arial"/>
        </w:rPr>
        <w:t xml:space="preserve"> in accordance with Article 67(1)(g) of the Romanian IA</w:t>
      </w:r>
      <w:r w:rsidR="00706206">
        <w:rPr>
          <w:rFonts w:ascii="Arial" w:hAnsi="Arial" w:cs="Arial"/>
        </w:rPr>
        <w:t xml:space="preserve"> of its intention </w:t>
      </w:r>
      <w:r w:rsidR="002A4B84">
        <w:rPr>
          <w:rFonts w:ascii="Arial" w:hAnsi="Arial" w:cs="Arial"/>
        </w:rPr>
        <w:t xml:space="preserve">to enter </w:t>
      </w:r>
      <w:r w:rsidR="00145B05">
        <w:rPr>
          <w:rFonts w:ascii="Arial" w:hAnsi="Arial" w:cs="Arial"/>
        </w:rPr>
        <w:t>judicial reorganisation;</w:t>
      </w:r>
    </w:p>
    <w:p w14:paraId="5B127898" w14:textId="720B291E" w:rsidR="00361A1F" w:rsidRDefault="00661E32" w:rsidP="00361A1F">
      <w:pPr>
        <w:pStyle w:val="ListParagraph"/>
        <w:numPr>
          <w:ilvl w:val="0"/>
          <w:numId w:val="20"/>
        </w:numPr>
        <w:spacing w:line="240" w:lineRule="auto"/>
        <w:ind w:left="709" w:hanging="425"/>
        <w:jc w:val="both"/>
        <w:rPr>
          <w:rFonts w:ascii="Arial" w:hAnsi="Arial" w:cs="Arial"/>
        </w:rPr>
      </w:pPr>
      <w:r>
        <w:rPr>
          <w:rFonts w:ascii="Arial" w:hAnsi="Arial" w:cs="Arial"/>
        </w:rPr>
        <w:t xml:space="preserve">Efwon Trading </w:t>
      </w:r>
      <w:r w:rsidR="00A5053F">
        <w:rPr>
          <w:rFonts w:ascii="Arial" w:hAnsi="Arial" w:cs="Arial"/>
        </w:rPr>
        <w:t>invites the Monaco Lender to negotiate and seek to restructure the loan;</w:t>
      </w:r>
    </w:p>
    <w:p w14:paraId="4CFF512C" w14:textId="537CDB2B" w:rsidR="0084108E" w:rsidRDefault="00052262" w:rsidP="00361A1F">
      <w:pPr>
        <w:pStyle w:val="ListParagraph"/>
        <w:numPr>
          <w:ilvl w:val="0"/>
          <w:numId w:val="20"/>
        </w:numPr>
        <w:spacing w:line="240" w:lineRule="auto"/>
        <w:ind w:left="709" w:hanging="425"/>
        <w:jc w:val="both"/>
        <w:rPr>
          <w:rFonts w:ascii="Arial" w:hAnsi="Arial" w:cs="Arial"/>
        </w:rPr>
      </w:pPr>
      <w:r>
        <w:rPr>
          <w:rFonts w:ascii="Arial" w:hAnsi="Arial" w:cs="Arial"/>
        </w:rPr>
        <w:t xml:space="preserve">the director(s) of </w:t>
      </w:r>
      <w:r w:rsidR="0084108E">
        <w:rPr>
          <w:rFonts w:ascii="Arial" w:hAnsi="Arial" w:cs="Arial"/>
        </w:rPr>
        <w:t xml:space="preserve">Efwon Trading </w:t>
      </w:r>
      <w:r>
        <w:rPr>
          <w:rFonts w:ascii="Arial" w:hAnsi="Arial" w:cs="Arial"/>
        </w:rPr>
        <w:t xml:space="preserve">initiates the CVA to confirm the </w:t>
      </w:r>
      <w:r w:rsidR="00FD6BE6">
        <w:rPr>
          <w:rFonts w:ascii="Arial" w:hAnsi="Arial" w:cs="Arial"/>
        </w:rPr>
        <w:t>debt restructuring plan</w:t>
      </w:r>
      <w:r w:rsidR="00EC0A3C">
        <w:rPr>
          <w:rFonts w:ascii="Arial" w:hAnsi="Arial" w:cs="Arial"/>
        </w:rPr>
        <w:t xml:space="preserve"> in accordance with Part I of the UK IA</w:t>
      </w:r>
      <w:r w:rsidR="00021277">
        <w:rPr>
          <w:rFonts w:ascii="Arial" w:hAnsi="Arial" w:cs="Arial"/>
        </w:rPr>
        <w:t>, as required</w:t>
      </w:r>
      <w:r w:rsidR="00FD6BE6">
        <w:rPr>
          <w:rFonts w:ascii="Arial" w:hAnsi="Arial" w:cs="Arial"/>
        </w:rPr>
        <w:t>;</w:t>
      </w:r>
    </w:p>
    <w:p w14:paraId="4F862620" w14:textId="7068EA4B" w:rsidR="00322D09" w:rsidRDefault="000A60C2" w:rsidP="00361A1F">
      <w:pPr>
        <w:pStyle w:val="ListParagraph"/>
        <w:numPr>
          <w:ilvl w:val="0"/>
          <w:numId w:val="20"/>
        </w:numPr>
        <w:spacing w:line="240" w:lineRule="auto"/>
        <w:ind w:left="709" w:hanging="425"/>
        <w:jc w:val="both"/>
        <w:rPr>
          <w:rFonts w:ascii="Arial" w:hAnsi="Arial" w:cs="Arial"/>
        </w:rPr>
      </w:pPr>
      <w:r>
        <w:rPr>
          <w:rFonts w:ascii="Arial" w:hAnsi="Arial" w:cs="Arial"/>
        </w:rPr>
        <w:t xml:space="preserve">Efwon Investments commences reorganisation procedure </w:t>
      </w:r>
      <w:r w:rsidR="009466F9">
        <w:rPr>
          <w:rFonts w:ascii="Arial" w:hAnsi="Arial" w:cs="Arial"/>
        </w:rPr>
        <w:t>pursuant to Chapter 11 of the Code</w:t>
      </w:r>
      <w:r w:rsidR="0049727C">
        <w:rPr>
          <w:rFonts w:ascii="Arial" w:hAnsi="Arial" w:cs="Arial"/>
        </w:rPr>
        <w:t xml:space="preserve"> to address the loan payable to the Banks</w:t>
      </w:r>
      <w:r w:rsidR="009466F9">
        <w:rPr>
          <w:rFonts w:ascii="Arial" w:hAnsi="Arial" w:cs="Arial"/>
        </w:rPr>
        <w:t>;</w:t>
      </w:r>
    </w:p>
    <w:p w14:paraId="03CC3900" w14:textId="63C94C51" w:rsidR="00481846" w:rsidRDefault="00481846" w:rsidP="00361A1F">
      <w:pPr>
        <w:pStyle w:val="ListParagraph"/>
        <w:numPr>
          <w:ilvl w:val="0"/>
          <w:numId w:val="20"/>
        </w:numPr>
        <w:spacing w:line="240" w:lineRule="auto"/>
        <w:ind w:left="709" w:hanging="425"/>
        <w:jc w:val="both"/>
        <w:rPr>
          <w:rFonts w:ascii="Arial" w:hAnsi="Arial" w:cs="Arial"/>
        </w:rPr>
      </w:pPr>
      <w:r>
        <w:rPr>
          <w:rFonts w:ascii="Arial" w:hAnsi="Arial" w:cs="Arial"/>
        </w:rPr>
        <w:t xml:space="preserve">Efwon Investments seeks </w:t>
      </w:r>
      <w:r w:rsidR="005A7D95">
        <w:rPr>
          <w:rFonts w:ascii="Arial" w:hAnsi="Arial" w:cs="Arial"/>
        </w:rPr>
        <w:t>recognition of its Chapter 11 in other jurisdictions</w:t>
      </w:r>
      <w:r w:rsidR="00E56CDB">
        <w:rPr>
          <w:rFonts w:ascii="Arial" w:hAnsi="Arial" w:cs="Arial"/>
        </w:rPr>
        <w:t xml:space="preserve"> under the Model Law</w:t>
      </w:r>
      <w:r w:rsidR="005A7D95">
        <w:rPr>
          <w:rFonts w:ascii="Arial" w:hAnsi="Arial" w:cs="Arial"/>
        </w:rPr>
        <w:t>, particularly the UK, as required;</w:t>
      </w:r>
    </w:p>
    <w:p w14:paraId="1E9B5CC2" w14:textId="252B0905" w:rsidR="00780ABB" w:rsidRDefault="00954FE9" w:rsidP="00361A1F">
      <w:pPr>
        <w:pStyle w:val="ListParagraph"/>
        <w:numPr>
          <w:ilvl w:val="0"/>
          <w:numId w:val="20"/>
        </w:numPr>
        <w:spacing w:line="240" w:lineRule="auto"/>
        <w:ind w:left="709" w:hanging="425"/>
        <w:jc w:val="both"/>
        <w:rPr>
          <w:rFonts w:ascii="Arial" w:hAnsi="Arial" w:cs="Arial"/>
        </w:rPr>
      </w:pPr>
      <w:r>
        <w:rPr>
          <w:rFonts w:ascii="Arial" w:hAnsi="Arial" w:cs="Arial"/>
        </w:rPr>
        <w:t>a</w:t>
      </w:r>
      <w:r w:rsidR="00780ABB">
        <w:rPr>
          <w:rFonts w:ascii="Arial" w:hAnsi="Arial" w:cs="Arial"/>
        </w:rPr>
        <w:t xml:space="preserve">lternative </w:t>
      </w:r>
      <w:r w:rsidR="00571605">
        <w:rPr>
          <w:rFonts w:ascii="Arial" w:hAnsi="Arial" w:cs="Arial"/>
        </w:rPr>
        <w:t xml:space="preserve">to Efwon Trading commencing the CVA, </w:t>
      </w:r>
      <w:r w:rsidR="00C6587E">
        <w:rPr>
          <w:rFonts w:ascii="Arial" w:hAnsi="Arial" w:cs="Arial"/>
        </w:rPr>
        <w:t xml:space="preserve">Efwon Trading commences </w:t>
      </w:r>
      <w:r w:rsidR="00E56CDB">
        <w:rPr>
          <w:rFonts w:ascii="Arial" w:hAnsi="Arial" w:cs="Arial"/>
        </w:rPr>
        <w:t xml:space="preserve">reorganisation procedure pursuant to </w:t>
      </w:r>
      <w:r w:rsidR="00C6587E">
        <w:rPr>
          <w:rFonts w:ascii="Arial" w:hAnsi="Arial" w:cs="Arial"/>
        </w:rPr>
        <w:t>Chapter 11</w:t>
      </w:r>
      <w:r w:rsidR="00E56CDB">
        <w:rPr>
          <w:rFonts w:ascii="Arial" w:hAnsi="Arial" w:cs="Arial"/>
        </w:rPr>
        <w:t xml:space="preserve"> of the Code;</w:t>
      </w:r>
    </w:p>
    <w:p w14:paraId="1D757924" w14:textId="020EC087" w:rsidR="00954FE9" w:rsidRDefault="00A91F3F" w:rsidP="00361A1F">
      <w:pPr>
        <w:pStyle w:val="ListParagraph"/>
        <w:numPr>
          <w:ilvl w:val="0"/>
          <w:numId w:val="20"/>
        </w:numPr>
        <w:spacing w:line="240" w:lineRule="auto"/>
        <w:ind w:left="709" w:hanging="425"/>
        <w:jc w:val="both"/>
        <w:rPr>
          <w:rFonts w:ascii="Arial" w:hAnsi="Arial" w:cs="Arial"/>
        </w:rPr>
      </w:pPr>
      <w:r>
        <w:rPr>
          <w:rFonts w:ascii="Arial" w:hAnsi="Arial" w:cs="Arial"/>
        </w:rPr>
        <w:t>Efwon Trading seeks recognition of its Chapter 11 in other jurisdictions under the Model Law, particularly the UK, as required;</w:t>
      </w:r>
    </w:p>
    <w:p w14:paraId="24EB9CA7" w14:textId="06D5EDA2" w:rsidR="00D77737" w:rsidRDefault="00D77737" w:rsidP="00730B97">
      <w:pPr>
        <w:spacing w:line="240" w:lineRule="auto"/>
        <w:jc w:val="both"/>
        <w:rPr>
          <w:rFonts w:ascii="Arial" w:hAnsi="Arial" w:cs="Arial"/>
        </w:rPr>
      </w:pPr>
      <w:r>
        <w:rPr>
          <w:rFonts w:ascii="Arial" w:hAnsi="Arial" w:cs="Arial"/>
        </w:rPr>
        <w:t>By taking the above actions</w:t>
      </w:r>
      <w:r w:rsidR="00623A11">
        <w:rPr>
          <w:rFonts w:ascii="Arial" w:hAnsi="Arial" w:cs="Arial"/>
        </w:rPr>
        <w:t xml:space="preserve">, </w:t>
      </w:r>
      <w:r w:rsidR="005271F2">
        <w:rPr>
          <w:rFonts w:ascii="Arial" w:hAnsi="Arial" w:cs="Arial"/>
        </w:rPr>
        <w:t xml:space="preserve">the companies </w:t>
      </w:r>
      <w:r w:rsidR="00292D6B">
        <w:rPr>
          <w:rFonts w:ascii="Arial" w:hAnsi="Arial" w:cs="Arial"/>
        </w:rPr>
        <w:t xml:space="preserve">in the Efwon Group </w:t>
      </w:r>
      <w:r w:rsidR="0014073A">
        <w:rPr>
          <w:rFonts w:ascii="Arial" w:hAnsi="Arial" w:cs="Arial"/>
        </w:rPr>
        <w:t>will retain control of the operation of the</w:t>
      </w:r>
      <w:r w:rsidR="0049727C">
        <w:rPr>
          <w:rFonts w:ascii="Arial" w:hAnsi="Arial" w:cs="Arial"/>
        </w:rPr>
        <w:t>ir</w:t>
      </w:r>
      <w:r w:rsidR="0014073A">
        <w:rPr>
          <w:rFonts w:ascii="Arial" w:hAnsi="Arial" w:cs="Arial"/>
        </w:rPr>
        <w:t xml:space="preserve"> business even </w:t>
      </w:r>
      <w:r w:rsidR="0049727C">
        <w:rPr>
          <w:rFonts w:ascii="Arial" w:hAnsi="Arial" w:cs="Arial"/>
        </w:rPr>
        <w:t xml:space="preserve">when </w:t>
      </w:r>
      <w:r w:rsidR="0014073A">
        <w:rPr>
          <w:rFonts w:ascii="Arial" w:hAnsi="Arial" w:cs="Arial"/>
        </w:rPr>
        <w:t xml:space="preserve">insolvency proceedings are commenced.  </w:t>
      </w:r>
      <w:r w:rsidR="007667B9">
        <w:rPr>
          <w:rFonts w:ascii="Arial" w:hAnsi="Arial" w:cs="Arial"/>
        </w:rPr>
        <w:t xml:space="preserve">The companies </w:t>
      </w:r>
      <w:r w:rsidR="004C7658">
        <w:rPr>
          <w:rFonts w:ascii="Arial" w:hAnsi="Arial" w:cs="Arial"/>
        </w:rPr>
        <w:t xml:space="preserve">can also obtain recognition </w:t>
      </w:r>
      <w:r w:rsidR="007667B9">
        <w:rPr>
          <w:rFonts w:ascii="Arial" w:hAnsi="Arial" w:cs="Arial"/>
        </w:rPr>
        <w:t>of the</w:t>
      </w:r>
      <w:r w:rsidR="0049727C">
        <w:rPr>
          <w:rFonts w:ascii="Arial" w:hAnsi="Arial" w:cs="Arial"/>
        </w:rPr>
        <w:t>ir</w:t>
      </w:r>
      <w:r w:rsidR="007667B9">
        <w:rPr>
          <w:rFonts w:ascii="Arial" w:hAnsi="Arial" w:cs="Arial"/>
        </w:rPr>
        <w:t xml:space="preserve"> insolvency proceedings in other jurisdictions as and when required</w:t>
      </w:r>
      <w:r w:rsidR="007549EC">
        <w:rPr>
          <w:rFonts w:ascii="Arial" w:hAnsi="Arial" w:cs="Arial"/>
        </w:rPr>
        <w:t>, particular</w:t>
      </w:r>
      <w:r w:rsidR="0049727C">
        <w:rPr>
          <w:rFonts w:ascii="Arial" w:hAnsi="Arial" w:cs="Arial"/>
        </w:rPr>
        <w:t>ly when there is a need</w:t>
      </w:r>
      <w:r w:rsidR="00125D58">
        <w:rPr>
          <w:rFonts w:ascii="Arial" w:hAnsi="Arial" w:cs="Arial"/>
        </w:rPr>
        <w:t xml:space="preserve"> </w:t>
      </w:r>
      <w:r w:rsidR="007549EC">
        <w:rPr>
          <w:rFonts w:ascii="Arial" w:hAnsi="Arial" w:cs="Arial"/>
        </w:rPr>
        <w:t>to protect</w:t>
      </w:r>
      <w:r w:rsidR="00125D58">
        <w:rPr>
          <w:rFonts w:ascii="Arial" w:hAnsi="Arial" w:cs="Arial"/>
        </w:rPr>
        <w:t xml:space="preserve"> </w:t>
      </w:r>
      <w:r w:rsidR="007549EC">
        <w:rPr>
          <w:rFonts w:ascii="Arial" w:hAnsi="Arial" w:cs="Arial"/>
        </w:rPr>
        <w:t xml:space="preserve">the assets in other jurisdictions </w:t>
      </w:r>
      <w:r w:rsidR="00125D58">
        <w:rPr>
          <w:rFonts w:ascii="Arial" w:hAnsi="Arial" w:cs="Arial"/>
        </w:rPr>
        <w:t xml:space="preserve">and/or to avoid separate insolvency proceedings being commenced.  </w:t>
      </w:r>
      <w:r w:rsidR="003B677B">
        <w:rPr>
          <w:rFonts w:ascii="Arial" w:hAnsi="Arial" w:cs="Arial"/>
        </w:rPr>
        <w:t>This is of even greater benefit</w:t>
      </w:r>
      <w:r w:rsidR="008F4C8D">
        <w:rPr>
          <w:rFonts w:ascii="Arial" w:hAnsi="Arial" w:cs="Arial"/>
        </w:rPr>
        <w:t>s</w:t>
      </w:r>
      <w:r w:rsidR="003B677B">
        <w:rPr>
          <w:rFonts w:ascii="Arial" w:hAnsi="Arial" w:cs="Arial"/>
        </w:rPr>
        <w:t xml:space="preserve"> for Efwon Romania and Efwon Trading </w:t>
      </w:r>
      <w:r w:rsidR="00795C3D">
        <w:rPr>
          <w:rFonts w:ascii="Arial" w:hAnsi="Arial" w:cs="Arial"/>
        </w:rPr>
        <w:t>as the</w:t>
      </w:r>
      <w:r w:rsidR="00E7682D">
        <w:rPr>
          <w:rFonts w:ascii="Arial" w:hAnsi="Arial" w:cs="Arial"/>
        </w:rPr>
        <w:t>ir</w:t>
      </w:r>
      <w:r w:rsidR="00795C3D">
        <w:rPr>
          <w:rFonts w:ascii="Arial" w:hAnsi="Arial" w:cs="Arial"/>
        </w:rPr>
        <w:t xml:space="preserve"> insolvency proceedings commenced in Romania and the UK respectively will </w:t>
      </w:r>
      <w:r w:rsidR="00A0565A">
        <w:rPr>
          <w:rFonts w:ascii="Arial" w:hAnsi="Arial" w:cs="Arial"/>
        </w:rPr>
        <w:t>be benefited from the</w:t>
      </w:r>
      <w:r w:rsidR="00E7682D">
        <w:rPr>
          <w:rFonts w:ascii="Arial" w:hAnsi="Arial" w:cs="Arial"/>
        </w:rPr>
        <w:t xml:space="preserve"> automatic recognition by the Member States.  </w:t>
      </w:r>
      <w:r w:rsidR="00AB18E6">
        <w:rPr>
          <w:rFonts w:ascii="Arial" w:hAnsi="Arial" w:cs="Arial"/>
        </w:rPr>
        <w:t xml:space="preserve">There will be automatic moratorium </w:t>
      </w:r>
      <w:r w:rsidR="002C2981">
        <w:rPr>
          <w:rFonts w:ascii="Arial" w:hAnsi="Arial" w:cs="Arial"/>
        </w:rPr>
        <w:t xml:space="preserve">in most of the </w:t>
      </w:r>
      <w:r w:rsidR="00046207">
        <w:rPr>
          <w:rFonts w:ascii="Arial" w:hAnsi="Arial" w:cs="Arial"/>
        </w:rPr>
        <w:t xml:space="preserve">above </w:t>
      </w:r>
      <w:r w:rsidR="002C2981">
        <w:rPr>
          <w:rFonts w:ascii="Arial" w:hAnsi="Arial" w:cs="Arial"/>
        </w:rPr>
        <w:t xml:space="preserve">insolvency proceedings </w:t>
      </w:r>
      <w:r w:rsidR="00046207">
        <w:rPr>
          <w:rFonts w:ascii="Arial" w:hAnsi="Arial" w:cs="Arial"/>
        </w:rPr>
        <w:t>(</w:t>
      </w:r>
      <w:proofErr w:type="gramStart"/>
      <w:r w:rsidR="00046207">
        <w:rPr>
          <w:rFonts w:ascii="Arial" w:hAnsi="Arial" w:cs="Arial"/>
        </w:rPr>
        <w:t>with the exception of</w:t>
      </w:r>
      <w:proofErr w:type="gramEnd"/>
      <w:r w:rsidR="00046207">
        <w:rPr>
          <w:rFonts w:ascii="Arial" w:hAnsi="Arial" w:cs="Arial"/>
        </w:rPr>
        <w:t xml:space="preserve"> the CVA) to allow </w:t>
      </w:r>
      <w:r w:rsidR="00C037C3">
        <w:rPr>
          <w:rFonts w:ascii="Arial" w:hAnsi="Arial" w:cs="Arial"/>
        </w:rPr>
        <w:t xml:space="preserve">the </w:t>
      </w:r>
      <w:r w:rsidR="00046207">
        <w:rPr>
          <w:rFonts w:ascii="Arial" w:hAnsi="Arial" w:cs="Arial"/>
        </w:rPr>
        <w:t xml:space="preserve">Efwon Group a breathing space </w:t>
      </w:r>
      <w:r w:rsidR="0049727C">
        <w:rPr>
          <w:rFonts w:ascii="Arial" w:hAnsi="Arial" w:cs="Arial"/>
        </w:rPr>
        <w:t>when</w:t>
      </w:r>
      <w:r w:rsidR="00385ACD">
        <w:rPr>
          <w:rFonts w:ascii="Arial" w:hAnsi="Arial" w:cs="Arial"/>
        </w:rPr>
        <w:t xml:space="preserve"> </w:t>
      </w:r>
      <w:r w:rsidR="0049727C">
        <w:rPr>
          <w:rFonts w:ascii="Arial" w:hAnsi="Arial" w:cs="Arial"/>
        </w:rPr>
        <w:t xml:space="preserve">their </w:t>
      </w:r>
      <w:r w:rsidR="00385ACD">
        <w:rPr>
          <w:rFonts w:ascii="Arial" w:hAnsi="Arial" w:cs="Arial"/>
        </w:rPr>
        <w:t xml:space="preserve">debts </w:t>
      </w:r>
      <w:r w:rsidR="0049727C">
        <w:rPr>
          <w:rFonts w:ascii="Arial" w:hAnsi="Arial" w:cs="Arial"/>
        </w:rPr>
        <w:t xml:space="preserve">are reconstructed </w:t>
      </w:r>
      <w:r w:rsidR="00385ACD">
        <w:rPr>
          <w:rFonts w:ascii="Arial" w:hAnsi="Arial" w:cs="Arial"/>
        </w:rPr>
        <w:t>and/or additional capital</w:t>
      </w:r>
      <w:r w:rsidR="0049727C">
        <w:rPr>
          <w:rFonts w:ascii="Arial" w:hAnsi="Arial" w:cs="Arial"/>
        </w:rPr>
        <w:t xml:space="preserve"> are sought</w:t>
      </w:r>
      <w:r w:rsidR="00385ACD">
        <w:rPr>
          <w:rFonts w:ascii="Arial" w:hAnsi="Arial" w:cs="Arial"/>
        </w:rPr>
        <w:t xml:space="preserve">.  </w:t>
      </w:r>
      <w:r w:rsidR="006B63ED">
        <w:rPr>
          <w:rFonts w:ascii="Arial" w:hAnsi="Arial" w:cs="Arial"/>
        </w:rPr>
        <w:t xml:space="preserve">Subject to the insolvency proceedings being recognised as </w:t>
      </w:r>
      <w:r w:rsidR="00BE27D6">
        <w:rPr>
          <w:rFonts w:ascii="Arial" w:hAnsi="Arial" w:cs="Arial"/>
        </w:rPr>
        <w:t xml:space="preserve">foreign </w:t>
      </w:r>
      <w:r w:rsidR="006B63ED">
        <w:rPr>
          <w:rFonts w:ascii="Arial" w:hAnsi="Arial" w:cs="Arial"/>
        </w:rPr>
        <w:t xml:space="preserve">main </w:t>
      </w:r>
      <w:r w:rsidR="0045331D">
        <w:rPr>
          <w:rFonts w:ascii="Arial" w:hAnsi="Arial" w:cs="Arial"/>
        </w:rPr>
        <w:t>insolvency proceedings, automatic relief f</w:t>
      </w:r>
      <w:r w:rsidR="00727891">
        <w:rPr>
          <w:rFonts w:ascii="Arial" w:hAnsi="Arial" w:cs="Arial"/>
        </w:rPr>
        <w:t xml:space="preserve">or stay </w:t>
      </w:r>
      <w:r w:rsidR="006219E4">
        <w:rPr>
          <w:rFonts w:ascii="Arial" w:hAnsi="Arial" w:cs="Arial"/>
        </w:rPr>
        <w:t xml:space="preserve">of enforcement actions are available </w:t>
      </w:r>
      <w:r w:rsidR="0049727C">
        <w:rPr>
          <w:rFonts w:ascii="Arial" w:hAnsi="Arial" w:cs="Arial"/>
        </w:rPr>
        <w:t>in</w:t>
      </w:r>
      <w:r w:rsidR="009468E6">
        <w:rPr>
          <w:rFonts w:ascii="Arial" w:hAnsi="Arial" w:cs="Arial"/>
        </w:rPr>
        <w:t xml:space="preserve"> other jurisdictions.</w:t>
      </w:r>
      <w:r w:rsidR="000D4BDB">
        <w:rPr>
          <w:rFonts w:ascii="Arial" w:hAnsi="Arial" w:cs="Arial"/>
        </w:rPr>
        <w:t xml:space="preserve">  </w:t>
      </w:r>
      <w:r w:rsidR="0049727C">
        <w:rPr>
          <w:rFonts w:ascii="Arial" w:hAnsi="Arial" w:cs="Arial"/>
        </w:rPr>
        <w:t xml:space="preserve">Otherwise, discretionary relief can be sought if the insolvency proceedings are recognised as </w:t>
      </w:r>
      <w:r w:rsidR="00BE27D6">
        <w:rPr>
          <w:rFonts w:ascii="Arial" w:hAnsi="Arial" w:cs="Arial"/>
        </w:rPr>
        <w:t xml:space="preserve">foreign </w:t>
      </w:r>
      <w:r w:rsidR="0049727C">
        <w:rPr>
          <w:rFonts w:ascii="Arial" w:hAnsi="Arial" w:cs="Arial"/>
        </w:rPr>
        <w:t xml:space="preserve">non-main proceedings.  </w:t>
      </w:r>
      <w:proofErr w:type="gramStart"/>
      <w:r w:rsidR="004603E6">
        <w:rPr>
          <w:rFonts w:ascii="Arial" w:hAnsi="Arial" w:cs="Arial"/>
        </w:rPr>
        <w:t xml:space="preserve">Despite </w:t>
      </w:r>
      <w:r w:rsidR="00477801">
        <w:rPr>
          <w:rFonts w:ascii="Arial" w:hAnsi="Arial" w:cs="Arial"/>
        </w:rPr>
        <w:t>the fact that</w:t>
      </w:r>
      <w:proofErr w:type="gramEnd"/>
      <w:r w:rsidR="0055527F">
        <w:rPr>
          <w:rFonts w:ascii="Arial" w:hAnsi="Arial" w:cs="Arial"/>
        </w:rPr>
        <w:t>,</w:t>
      </w:r>
      <w:r w:rsidR="00477801">
        <w:rPr>
          <w:rFonts w:ascii="Arial" w:hAnsi="Arial" w:cs="Arial"/>
        </w:rPr>
        <w:t xml:space="preserve"> usually, the automatic stay does not affect the right of the secured creditors to enforce their security interests</w:t>
      </w:r>
      <w:r w:rsidR="00AF4B7E">
        <w:rPr>
          <w:rFonts w:ascii="Arial" w:hAnsi="Arial" w:cs="Arial"/>
        </w:rPr>
        <w:t xml:space="preserve">, the mechanism of </w:t>
      </w:r>
      <w:r w:rsidR="00190B59">
        <w:rPr>
          <w:rFonts w:ascii="Arial" w:hAnsi="Arial" w:cs="Arial"/>
        </w:rPr>
        <w:t xml:space="preserve">adequate </w:t>
      </w:r>
      <w:r w:rsidR="00AF4B7E">
        <w:rPr>
          <w:rFonts w:ascii="Arial" w:hAnsi="Arial" w:cs="Arial"/>
        </w:rPr>
        <w:t xml:space="preserve">undertaking and/or adequate protection are available </w:t>
      </w:r>
      <w:r w:rsidR="00ED4C24">
        <w:rPr>
          <w:rFonts w:ascii="Arial" w:hAnsi="Arial" w:cs="Arial"/>
        </w:rPr>
        <w:t xml:space="preserve">under the </w:t>
      </w:r>
      <w:r w:rsidR="0017502B">
        <w:rPr>
          <w:rFonts w:ascii="Arial" w:hAnsi="Arial" w:cs="Arial"/>
        </w:rPr>
        <w:t xml:space="preserve">above </w:t>
      </w:r>
      <w:r w:rsidR="00ED4C24">
        <w:rPr>
          <w:rFonts w:ascii="Arial" w:hAnsi="Arial" w:cs="Arial"/>
        </w:rPr>
        <w:t>insolvency proceedings in most of the jurisd</w:t>
      </w:r>
      <w:r w:rsidR="0017502B">
        <w:rPr>
          <w:rFonts w:ascii="Arial" w:hAnsi="Arial" w:cs="Arial"/>
        </w:rPr>
        <w:t xml:space="preserve">ictions </w:t>
      </w:r>
      <w:r w:rsidR="00ED4C24">
        <w:rPr>
          <w:rFonts w:ascii="Arial" w:hAnsi="Arial" w:cs="Arial"/>
        </w:rPr>
        <w:t>to prevent the secured creditors from enforcing their security interests</w:t>
      </w:r>
      <w:r w:rsidR="0017502B">
        <w:rPr>
          <w:rFonts w:ascii="Arial" w:hAnsi="Arial" w:cs="Arial"/>
        </w:rPr>
        <w:t>.</w:t>
      </w:r>
    </w:p>
    <w:p w14:paraId="2551C3A2" w14:textId="589CFE32" w:rsidR="00686415" w:rsidRDefault="00686415" w:rsidP="00730B97">
      <w:pPr>
        <w:spacing w:line="240" w:lineRule="auto"/>
        <w:jc w:val="both"/>
        <w:rPr>
          <w:rFonts w:ascii="Arial" w:hAnsi="Arial" w:cs="Arial"/>
        </w:rPr>
      </w:pPr>
      <w:r>
        <w:rPr>
          <w:rFonts w:ascii="Arial" w:hAnsi="Arial" w:cs="Arial"/>
        </w:rPr>
        <w:t xml:space="preserve">The </w:t>
      </w:r>
      <w:r w:rsidR="005E1736">
        <w:rPr>
          <w:rFonts w:ascii="Arial" w:hAnsi="Arial" w:cs="Arial"/>
        </w:rPr>
        <w:t xml:space="preserve">financial and/or </w:t>
      </w:r>
      <w:r>
        <w:rPr>
          <w:rFonts w:ascii="Arial" w:hAnsi="Arial" w:cs="Arial"/>
        </w:rPr>
        <w:t xml:space="preserve">debt restructuring </w:t>
      </w:r>
      <w:r w:rsidR="0049727C">
        <w:rPr>
          <w:rFonts w:ascii="Arial" w:hAnsi="Arial" w:cs="Arial"/>
        </w:rPr>
        <w:t>proposed and approved in accordance with the</w:t>
      </w:r>
      <w:r w:rsidR="005E1736">
        <w:rPr>
          <w:rFonts w:ascii="Arial" w:hAnsi="Arial" w:cs="Arial"/>
        </w:rPr>
        <w:t xml:space="preserve"> above insolvency proceedings also allow the sale of assets and/or introduction of new </w:t>
      </w:r>
      <w:r w:rsidR="004B0439">
        <w:rPr>
          <w:rFonts w:ascii="Arial" w:hAnsi="Arial" w:cs="Arial"/>
        </w:rPr>
        <w:t xml:space="preserve">debt and/or </w:t>
      </w:r>
      <w:r w:rsidR="005E1736">
        <w:rPr>
          <w:rFonts w:ascii="Arial" w:hAnsi="Arial" w:cs="Arial"/>
        </w:rPr>
        <w:t>capital</w:t>
      </w:r>
      <w:r w:rsidR="00E85E4D">
        <w:rPr>
          <w:rFonts w:ascii="Arial" w:hAnsi="Arial" w:cs="Arial"/>
        </w:rPr>
        <w:t xml:space="preserve"> to facilitate the transfer of </w:t>
      </w:r>
      <w:r w:rsidR="009C3E79">
        <w:rPr>
          <w:rFonts w:ascii="Arial" w:hAnsi="Arial" w:cs="Arial"/>
        </w:rPr>
        <w:t xml:space="preserve">the shareholding and/or issuance of new shares </w:t>
      </w:r>
      <w:r w:rsidR="0028440B">
        <w:rPr>
          <w:rFonts w:ascii="Arial" w:hAnsi="Arial" w:cs="Arial"/>
        </w:rPr>
        <w:t>to KuasaNas.</w:t>
      </w:r>
    </w:p>
    <w:p w14:paraId="2B0F0C93" w14:textId="2A792C51" w:rsidR="009468E6" w:rsidRDefault="0049727C" w:rsidP="00730B97">
      <w:pPr>
        <w:spacing w:line="240" w:lineRule="auto"/>
        <w:jc w:val="both"/>
        <w:rPr>
          <w:rFonts w:ascii="Arial" w:hAnsi="Arial" w:cs="Arial"/>
        </w:rPr>
      </w:pPr>
      <w:r>
        <w:rPr>
          <w:rFonts w:ascii="Arial" w:hAnsi="Arial" w:cs="Arial"/>
        </w:rPr>
        <w:lastRenderedPageBreak/>
        <w:t>Therefore, t</w:t>
      </w:r>
      <w:r w:rsidR="003173F7">
        <w:rPr>
          <w:rFonts w:ascii="Arial" w:hAnsi="Arial" w:cs="Arial"/>
        </w:rPr>
        <w:t>he above recommendations will resolve the insolvency issues affecting the companies in the Efwon Group</w:t>
      </w:r>
      <w:r w:rsidR="002D4BF8">
        <w:rPr>
          <w:rFonts w:ascii="Arial" w:hAnsi="Arial" w:cs="Arial"/>
        </w:rPr>
        <w:t xml:space="preserve"> </w:t>
      </w:r>
      <w:proofErr w:type="gramStart"/>
      <w:r w:rsidR="00DA0EE5">
        <w:rPr>
          <w:rFonts w:ascii="Arial" w:hAnsi="Arial" w:cs="Arial"/>
        </w:rPr>
        <w:t xml:space="preserve">so as </w:t>
      </w:r>
      <w:r w:rsidR="002D4BF8">
        <w:rPr>
          <w:rFonts w:ascii="Arial" w:hAnsi="Arial" w:cs="Arial"/>
        </w:rPr>
        <w:t>to</w:t>
      </w:r>
      <w:proofErr w:type="gramEnd"/>
      <w:r w:rsidR="002D4BF8">
        <w:rPr>
          <w:rFonts w:ascii="Arial" w:hAnsi="Arial" w:cs="Arial"/>
        </w:rPr>
        <w:t xml:space="preserve"> satisfy the pre-condition required by KuasaNas to execute the sponsorship agreement</w:t>
      </w:r>
      <w:r w:rsidR="009D1653">
        <w:rPr>
          <w:rFonts w:ascii="Arial" w:hAnsi="Arial" w:cs="Arial"/>
        </w:rPr>
        <w:t xml:space="preserve"> and to sell the stake of the Efwon Group to KuasaNas.</w:t>
      </w:r>
    </w:p>
    <w:p w14:paraId="74CF3F50" w14:textId="5F045A6C" w:rsidR="00C622A1" w:rsidRPr="00FB58FB" w:rsidRDefault="00FB58FB" w:rsidP="009F78F1">
      <w:pPr>
        <w:spacing w:line="240" w:lineRule="auto"/>
        <w:jc w:val="both"/>
        <w:rPr>
          <w:rFonts w:ascii="Arial" w:hAnsi="Arial" w:cs="Arial"/>
          <w:b/>
          <w:caps/>
        </w:rPr>
      </w:pPr>
      <w:r w:rsidRPr="00FB58FB">
        <w:rPr>
          <w:rFonts w:ascii="Arial" w:hAnsi="Arial" w:cs="Arial"/>
          <w:b/>
          <w:caps/>
        </w:rPr>
        <w:t>background</w:t>
      </w:r>
    </w:p>
    <w:p w14:paraId="7575A5F2" w14:textId="3A65F75B" w:rsidR="00F5346D" w:rsidRDefault="00F5346D" w:rsidP="009F78F1">
      <w:pPr>
        <w:spacing w:line="240" w:lineRule="auto"/>
        <w:jc w:val="both"/>
        <w:rPr>
          <w:rFonts w:ascii="Arial" w:hAnsi="Arial" w:cs="Arial"/>
        </w:rPr>
      </w:pPr>
      <w:r>
        <w:rPr>
          <w:rFonts w:ascii="Arial" w:hAnsi="Arial" w:cs="Arial"/>
        </w:rPr>
        <w:t>I have been informed with the background as follows.</w:t>
      </w:r>
    </w:p>
    <w:p w14:paraId="4919FD3E" w14:textId="790A127A" w:rsidR="007820ED" w:rsidRDefault="00376AE8" w:rsidP="009F78F1">
      <w:pPr>
        <w:spacing w:line="240" w:lineRule="auto"/>
        <w:jc w:val="both"/>
        <w:rPr>
          <w:rFonts w:ascii="Arial" w:hAnsi="Arial" w:cs="Arial"/>
        </w:rPr>
      </w:pPr>
      <w:r>
        <w:rPr>
          <w:rFonts w:ascii="Arial" w:hAnsi="Arial" w:cs="Arial"/>
        </w:rPr>
        <w:t xml:space="preserve">The </w:t>
      </w:r>
      <w:r w:rsidRPr="005B2BB8">
        <w:rPr>
          <w:rFonts w:ascii="Arial" w:hAnsi="Arial" w:cs="Arial"/>
          <w:b/>
          <w:bCs/>
        </w:rPr>
        <w:t>Efwon Group</w:t>
      </w:r>
      <w:r>
        <w:rPr>
          <w:rFonts w:ascii="Arial" w:hAnsi="Arial" w:cs="Arial"/>
        </w:rPr>
        <w:t xml:space="preserve"> </w:t>
      </w:r>
      <w:r w:rsidR="008F0A2E">
        <w:rPr>
          <w:rFonts w:ascii="Arial" w:hAnsi="Arial" w:cs="Arial"/>
        </w:rPr>
        <w:t xml:space="preserve">comprises </w:t>
      </w:r>
      <w:r>
        <w:rPr>
          <w:rFonts w:ascii="Arial" w:hAnsi="Arial" w:cs="Arial"/>
        </w:rPr>
        <w:t>of Efwon Investment</w:t>
      </w:r>
      <w:r w:rsidR="005F3EBB">
        <w:rPr>
          <w:rFonts w:ascii="Arial" w:hAnsi="Arial" w:cs="Arial"/>
        </w:rPr>
        <w:t>s</w:t>
      </w:r>
      <w:r w:rsidR="00B22FD4">
        <w:rPr>
          <w:rFonts w:ascii="Arial" w:hAnsi="Arial" w:cs="Arial"/>
        </w:rPr>
        <w:t xml:space="preserve"> incorporated under the law of Delaware, </w:t>
      </w:r>
      <w:r w:rsidR="008F0A2E">
        <w:rPr>
          <w:rFonts w:ascii="Arial" w:hAnsi="Arial" w:cs="Arial"/>
        </w:rPr>
        <w:t>and Efwon Trading incorporated under the law of England and Wales</w:t>
      </w:r>
      <w:r w:rsidR="00C23291">
        <w:rPr>
          <w:rFonts w:ascii="Arial" w:hAnsi="Arial" w:cs="Arial"/>
        </w:rPr>
        <w:t xml:space="preserve">, which are both </w:t>
      </w:r>
      <w:r w:rsidR="00C10930">
        <w:rPr>
          <w:rFonts w:ascii="Arial" w:hAnsi="Arial" w:cs="Arial"/>
        </w:rPr>
        <w:t xml:space="preserve">directly and wholly owned by yourself.  </w:t>
      </w:r>
      <w:r w:rsidR="00300573">
        <w:rPr>
          <w:rFonts w:ascii="Arial" w:hAnsi="Arial" w:cs="Arial"/>
        </w:rPr>
        <w:t>Efwon T</w:t>
      </w:r>
      <w:r w:rsidR="007A15FD">
        <w:rPr>
          <w:rFonts w:ascii="Arial" w:hAnsi="Arial" w:cs="Arial"/>
        </w:rPr>
        <w:t xml:space="preserve">rading is the 100% shareholder of </w:t>
      </w:r>
      <w:r w:rsidR="004F3769">
        <w:rPr>
          <w:rFonts w:ascii="Arial" w:hAnsi="Arial" w:cs="Arial"/>
        </w:rPr>
        <w:t xml:space="preserve">Efwon Romanian and </w:t>
      </w:r>
      <w:r w:rsidR="007A15FD">
        <w:rPr>
          <w:rFonts w:ascii="Arial" w:hAnsi="Arial" w:cs="Arial"/>
        </w:rPr>
        <w:t>Efwon Hong Kong</w:t>
      </w:r>
      <w:r w:rsidR="00730B97">
        <w:rPr>
          <w:rFonts w:ascii="Arial" w:hAnsi="Arial" w:cs="Arial"/>
        </w:rPr>
        <w:t>.</w:t>
      </w:r>
      <w:r w:rsidR="00E83AA7">
        <w:rPr>
          <w:rFonts w:ascii="Arial" w:hAnsi="Arial" w:cs="Arial"/>
        </w:rPr>
        <w:t xml:space="preserve">  </w:t>
      </w:r>
      <w:r w:rsidR="00C037C3">
        <w:rPr>
          <w:rFonts w:ascii="Arial" w:hAnsi="Arial" w:cs="Arial"/>
        </w:rPr>
        <w:t xml:space="preserve">The </w:t>
      </w:r>
      <w:r w:rsidR="00E83AA7">
        <w:rPr>
          <w:rFonts w:ascii="Arial" w:hAnsi="Arial" w:cs="Arial"/>
        </w:rPr>
        <w:t xml:space="preserve">Efwon Group was formed </w:t>
      </w:r>
      <w:r w:rsidR="00FA7B26">
        <w:rPr>
          <w:rFonts w:ascii="Arial" w:hAnsi="Arial" w:cs="Arial"/>
        </w:rPr>
        <w:t xml:space="preserve">for the participation in the Formula 1 competition </w:t>
      </w:r>
      <w:r w:rsidR="00A60311">
        <w:rPr>
          <w:rFonts w:ascii="Arial" w:hAnsi="Arial" w:cs="Arial"/>
        </w:rPr>
        <w:t xml:space="preserve">sanctioned by the </w:t>
      </w:r>
      <w:r w:rsidR="00A60311" w:rsidRPr="00A60311">
        <w:rPr>
          <w:rFonts w:ascii="Arial" w:hAnsi="Arial" w:cs="Arial"/>
        </w:rPr>
        <w:t>Fédération Internationale de l’Automobile</w:t>
      </w:r>
      <w:r w:rsidR="00F807AC">
        <w:rPr>
          <w:rFonts w:ascii="Arial" w:hAnsi="Arial" w:cs="Arial"/>
        </w:rPr>
        <w:t xml:space="preserve"> (</w:t>
      </w:r>
      <w:r w:rsidR="00F807AC" w:rsidRPr="00F807AC">
        <w:rPr>
          <w:rFonts w:ascii="Arial" w:hAnsi="Arial" w:cs="Arial"/>
          <w:b/>
          <w:bCs/>
        </w:rPr>
        <w:t>FIA</w:t>
      </w:r>
      <w:r w:rsidR="00F807AC">
        <w:rPr>
          <w:rFonts w:ascii="Arial" w:hAnsi="Arial" w:cs="Arial"/>
        </w:rPr>
        <w:t>)</w:t>
      </w:r>
      <w:r w:rsidR="00A60311">
        <w:rPr>
          <w:rFonts w:ascii="Arial" w:hAnsi="Arial" w:cs="Arial"/>
        </w:rPr>
        <w:t xml:space="preserve">.  </w:t>
      </w:r>
    </w:p>
    <w:p w14:paraId="14ED10FE" w14:textId="3853A69D" w:rsidR="004C4BEE" w:rsidRDefault="00662120" w:rsidP="009F78F1">
      <w:pPr>
        <w:spacing w:line="240" w:lineRule="auto"/>
        <w:jc w:val="both"/>
        <w:rPr>
          <w:rFonts w:ascii="Arial" w:hAnsi="Arial" w:cs="Arial"/>
        </w:rPr>
      </w:pPr>
      <w:r>
        <w:rPr>
          <w:rFonts w:ascii="Arial" w:hAnsi="Arial" w:cs="Arial"/>
        </w:rPr>
        <w:t xml:space="preserve">Every entity </w:t>
      </w:r>
      <w:r w:rsidR="006E5E4D">
        <w:rPr>
          <w:rFonts w:ascii="Arial" w:hAnsi="Arial" w:cs="Arial"/>
        </w:rPr>
        <w:t>in the Efwon Group serve</w:t>
      </w:r>
      <w:r>
        <w:rPr>
          <w:rFonts w:ascii="Arial" w:hAnsi="Arial" w:cs="Arial"/>
        </w:rPr>
        <w:t>s</w:t>
      </w:r>
      <w:r w:rsidR="006E5E4D">
        <w:rPr>
          <w:rFonts w:ascii="Arial" w:hAnsi="Arial" w:cs="Arial"/>
        </w:rPr>
        <w:t xml:space="preserve"> different functions</w:t>
      </w:r>
      <w:r w:rsidR="002543FC">
        <w:rPr>
          <w:rFonts w:ascii="Arial" w:hAnsi="Arial" w:cs="Arial"/>
        </w:rPr>
        <w:t>.  Efwon Investment</w:t>
      </w:r>
      <w:r w:rsidR="005F3EBB">
        <w:rPr>
          <w:rFonts w:ascii="Arial" w:hAnsi="Arial" w:cs="Arial"/>
        </w:rPr>
        <w:t>s</w:t>
      </w:r>
      <w:r w:rsidR="002543FC">
        <w:rPr>
          <w:rFonts w:ascii="Arial" w:hAnsi="Arial" w:cs="Arial"/>
        </w:rPr>
        <w:t xml:space="preserve"> </w:t>
      </w:r>
      <w:r w:rsidR="00F03407">
        <w:rPr>
          <w:rFonts w:ascii="Arial" w:hAnsi="Arial" w:cs="Arial"/>
        </w:rPr>
        <w:t>acts as the i</w:t>
      </w:r>
      <w:r w:rsidR="00331730">
        <w:rPr>
          <w:rFonts w:ascii="Arial" w:hAnsi="Arial" w:cs="Arial"/>
        </w:rPr>
        <w:t xml:space="preserve">nvestment entity which </w:t>
      </w:r>
      <w:r w:rsidR="006806AC">
        <w:rPr>
          <w:rFonts w:ascii="Arial" w:hAnsi="Arial" w:cs="Arial"/>
        </w:rPr>
        <w:t>holds the source of capital and invests in the trading entit</w:t>
      </w:r>
      <w:r w:rsidR="00D17F3E">
        <w:rPr>
          <w:rFonts w:ascii="Arial" w:hAnsi="Arial" w:cs="Arial"/>
        </w:rPr>
        <w:t xml:space="preserve">y, Efwon Trading.  </w:t>
      </w:r>
      <w:r w:rsidR="001831B2">
        <w:rPr>
          <w:rFonts w:ascii="Arial" w:hAnsi="Arial" w:cs="Arial"/>
        </w:rPr>
        <w:t xml:space="preserve">Efwon Trading holds all trading subsidiaries </w:t>
      </w:r>
      <w:r w:rsidR="00AF65FF">
        <w:rPr>
          <w:rFonts w:ascii="Arial" w:hAnsi="Arial" w:cs="Arial"/>
        </w:rPr>
        <w:t xml:space="preserve">with different functions.  While Efwon Romania </w:t>
      </w:r>
      <w:r w:rsidR="008936CE">
        <w:rPr>
          <w:rFonts w:ascii="Arial" w:hAnsi="Arial" w:cs="Arial"/>
        </w:rPr>
        <w:t>holds the</w:t>
      </w:r>
      <w:r w:rsidR="004F7D11">
        <w:rPr>
          <w:rFonts w:ascii="Arial" w:hAnsi="Arial" w:cs="Arial"/>
        </w:rPr>
        <w:t xml:space="preserve"> </w:t>
      </w:r>
      <w:r w:rsidR="00F807AC">
        <w:rPr>
          <w:rFonts w:ascii="Arial" w:hAnsi="Arial" w:cs="Arial"/>
        </w:rPr>
        <w:t>FIA Super L</w:t>
      </w:r>
      <w:r w:rsidR="00044764">
        <w:rPr>
          <w:rFonts w:ascii="Arial" w:hAnsi="Arial" w:cs="Arial"/>
        </w:rPr>
        <w:t>icence</w:t>
      </w:r>
      <w:r w:rsidR="008D5908">
        <w:rPr>
          <w:rFonts w:ascii="Arial" w:hAnsi="Arial" w:cs="Arial"/>
        </w:rPr>
        <w:t>,</w:t>
      </w:r>
      <w:r w:rsidR="00044764">
        <w:rPr>
          <w:rFonts w:ascii="Arial" w:hAnsi="Arial" w:cs="Arial"/>
        </w:rPr>
        <w:t xml:space="preserve"> </w:t>
      </w:r>
      <w:r w:rsidR="008D5908">
        <w:rPr>
          <w:rFonts w:ascii="Arial" w:hAnsi="Arial" w:cs="Arial"/>
        </w:rPr>
        <w:t xml:space="preserve">the </w:t>
      </w:r>
      <w:r w:rsidR="00044764">
        <w:rPr>
          <w:rFonts w:ascii="Arial" w:hAnsi="Arial" w:cs="Arial"/>
        </w:rPr>
        <w:t xml:space="preserve">racing machines, and the contracts with the </w:t>
      </w:r>
      <w:r w:rsidR="00374A20">
        <w:rPr>
          <w:rFonts w:ascii="Arial" w:hAnsi="Arial" w:cs="Arial"/>
        </w:rPr>
        <w:t>d</w:t>
      </w:r>
      <w:r w:rsidR="00044764">
        <w:rPr>
          <w:rFonts w:ascii="Arial" w:hAnsi="Arial" w:cs="Arial"/>
        </w:rPr>
        <w:t xml:space="preserve">rivers, Efwon Hong Kong </w:t>
      </w:r>
      <w:r w:rsidR="00743887">
        <w:rPr>
          <w:rFonts w:ascii="Arial" w:hAnsi="Arial" w:cs="Arial"/>
        </w:rPr>
        <w:t xml:space="preserve">deals with the sponsorship </w:t>
      </w:r>
      <w:r w:rsidR="00406632">
        <w:rPr>
          <w:rFonts w:ascii="Arial" w:hAnsi="Arial" w:cs="Arial"/>
        </w:rPr>
        <w:t xml:space="preserve">and holds the sponsorship </w:t>
      </w:r>
      <w:r w:rsidR="00B12567">
        <w:rPr>
          <w:rFonts w:ascii="Arial" w:hAnsi="Arial" w:cs="Arial"/>
        </w:rPr>
        <w:t>agreement</w:t>
      </w:r>
      <w:r w:rsidR="00406632">
        <w:rPr>
          <w:rFonts w:ascii="Arial" w:hAnsi="Arial" w:cs="Arial"/>
        </w:rPr>
        <w:t>.</w:t>
      </w:r>
    </w:p>
    <w:p w14:paraId="6AF4500B" w14:textId="6774F73D" w:rsidR="008C7DAE" w:rsidRDefault="008C7DAE" w:rsidP="009F78F1">
      <w:pPr>
        <w:spacing w:line="240" w:lineRule="auto"/>
        <w:jc w:val="both"/>
        <w:rPr>
          <w:rFonts w:ascii="Arial" w:hAnsi="Arial" w:cs="Arial"/>
        </w:rPr>
      </w:pPr>
      <w:r>
        <w:rPr>
          <w:rFonts w:ascii="Arial" w:hAnsi="Arial" w:cs="Arial"/>
        </w:rPr>
        <w:t xml:space="preserve">The current sponsorship </w:t>
      </w:r>
      <w:r w:rsidR="00906D8D">
        <w:rPr>
          <w:rFonts w:ascii="Arial" w:hAnsi="Arial" w:cs="Arial"/>
        </w:rPr>
        <w:t xml:space="preserve">agreement with </w:t>
      </w:r>
      <w:r w:rsidR="00B12567">
        <w:rPr>
          <w:rFonts w:ascii="Arial" w:hAnsi="Arial" w:cs="Arial"/>
        </w:rPr>
        <w:t>Kretek, an Indo</w:t>
      </w:r>
      <w:r w:rsidR="00E7319D">
        <w:rPr>
          <w:rFonts w:ascii="Arial" w:hAnsi="Arial" w:cs="Arial"/>
        </w:rPr>
        <w:t>nesian company</w:t>
      </w:r>
      <w:r w:rsidR="00906D8D">
        <w:rPr>
          <w:rFonts w:ascii="Arial" w:hAnsi="Arial" w:cs="Arial"/>
        </w:rPr>
        <w:t>,</w:t>
      </w:r>
      <w:r w:rsidR="00E7319D">
        <w:rPr>
          <w:rFonts w:ascii="Arial" w:hAnsi="Arial" w:cs="Arial"/>
        </w:rPr>
        <w:t xml:space="preserve"> will come </w:t>
      </w:r>
      <w:r w:rsidR="00E13AB4">
        <w:rPr>
          <w:rFonts w:ascii="Arial" w:hAnsi="Arial" w:cs="Arial"/>
        </w:rPr>
        <w:t>to an end in 2020</w:t>
      </w:r>
      <w:r w:rsidR="00906D8D">
        <w:rPr>
          <w:rFonts w:ascii="Arial" w:hAnsi="Arial" w:cs="Arial"/>
        </w:rPr>
        <w:t xml:space="preserve"> </w:t>
      </w:r>
      <w:r w:rsidR="0078506A">
        <w:rPr>
          <w:rFonts w:ascii="Arial" w:hAnsi="Arial" w:cs="Arial"/>
        </w:rPr>
        <w:t xml:space="preserve">and will unlikely be renewed.  </w:t>
      </w:r>
      <w:r w:rsidR="00F55098">
        <w:rPr>
          <w:rFonts w:ascii="Arial" w:hAnsi="Arial" w:cs="Arial"/>
        </w:rPr>
        <w:t xml:space="preserve">Efwon Hong Kong </w:t>
      </w:r>
      <w:r w:rsidR="00CA5325">
        <w:rPr>
          <w:rFonts w:ascii="Arial" w:hAnsi="Arial" w:cs="Arial"/>
        </w:rPr>
        <w:t>is in negotiation with the new sponsor</w:t>
      </w:r>
      <w:r w:rsidR="008B2A9C">
        <w:rPr>
          <w:rFonts w:ascii="Arial" w:hAnsi="Arial" w:cs="Arial"/>
        </w:rPr>
        <w:t xml:space="preserve">, KuasaNas, </w:t>
      </w:r>
      <w:r w:rsidR="001D1D6B">
        <w:rPr>
          <w:rFonts w:ascii="Arial" w:hAnsi="Arial" w:cs="Arial"/>
        </w:rPr>
        <w:t>in which one of the condition</w:t>
      </w:r>
      <w:r w:rsidR="002F38D6">
        <w:rPr>
          <w:rFonts w:ascii="Arial" w:hAnsi="Arial" w:cs="Arial"/>
        </w:rPr>
        <w:t>s</w:t>
      </w:r>
      <w:r w:rsidR="001D1D6B">
        <w:rPr>
          <w:rFonts w:ascii="Arial" w:hAnsi="Arial" w:cs="Arial"/>
        </w:rPr>
        <w:t xml:space="preserve"> is that KuasaNas will acquire </w:t>
      </w:r>
      <w:r w:rsidR="00955F7F">
        <w:rPr>
          <w:rFonts w:ascii="Arial" w:hAnsi="Arial" w:cs="Arial"/>
        </w:rPr>
        <w:t xml:space="preserve">a 51% majority stake in the racing team.  </w:t>
      </w:r>
      <w:r w:rsidR="002F38D6">
        <w:rPr>
          <w:rFonts w:ascii="Arial" w:hAnsi="Arial" w:cs="Arial"/>
        </w:rPr>
        <w:t xml:space="preserve">The new sponsorship agreement </w:t>
      </w:r>
      <w:r w:rsidR="000F54CB">
        <w:rPr>
          <w:rFonts w:ascii="Arial" w:hAnsi="Arial" w:cs="Arial"/>
        </w:rPr>
        <w:t xml:space="preserve">has not been finalised </w:t>
      </w:r>
      <w:r w:rsidR="00C10F9E">
        <w:rPr>
          <w:rFonts w:ascii="Arial" w:hAnsi="Arial" w:cs="Arial"/>
        </w:rPr>
        <w:t xml:space="preserve">as the newly elected Malaysian Governments </w:t>
      </w:r>
      <w:r w:rsidR="00863F49">
        <w:rPr>
          <w:rFonts w:ascii="Arial" w:hAnsi="Arial" w:cs="Arial"/>
        </w:rPr>
        <w:t xml:space="preserve">is required to review the sponsorship agreement given that KuasaNas is a </w:t>
      </w:r>
      <w:r w:rsidR="006D409C">
        <w:rPr>
          <w:rFonts w:ascii="Arial" w:hAnsi="Arial" w:cs="Arial"/>
        </w:rPr>
        <w:t>state-owned</w:t>
      </w:r>
      <w:r w:rsidR="00863F49">
        <w:rPr>
          <w:rFonts w:ascii="Arial" w:hAnsi="Arial" w:cs="Arial"/>
        </w:rPr>
        <w:t xml:space="preserve"> company</w:t>
      </w:r>
      <w:r w:rsidR="006D409C">
        <w:rPr>
          <w:rFonts w:ascii="Arial" w:hAnsi="Arial" w:cs="Arial"/>
        </w:rPr>
        <w:t>.  The new sponsorship agreement is still under review.</w:t>
      </w:r>
    </w:p>
    <w:p w14:paraId="01E24EB7" w14:textId="71BAA8A0" w:rsidR="00075022" w:rsidRDefault="00E6078A" w:rsidP="009F78F1">
      <w:pPr>
        <w:spacing w:line="240" w:lineRule="auto"/>
        <w:jc w:val="both"/>
        <w:rPr>
          <w:rFonts w:ascii="Arial" w:hAnsi="Arial" w:cs="Arial"/>
        </w:rPr>
      </w:pPr>
      <w:r>
        <w:rPr>
          <w:rFonts w:ascii="Arial" w:hAnsi="Arial" w:cs="Arial"/>
        </w:rPr>
        <w:t>In the fall of 2018, during the last race of the season, the drivers of the racing team</w:t>
      </w:r>
      <w:r w:rsidR="009E305C">
        <w:rPr>
          <w:rFonts w:ascii="Arial" w:hAnsi="Arial" w:cs="Arial"/>
        </w:rPr>
        <w:t xml:space="preserve"> (the </w:t>
      </w:r>
      <w:r w:rsidR="009E305C" w:rsidRPr="009E305C">
        <w:rPr>
          <w:rFonts w:ascii="Arial" w:hAnsi="Arial" w:cs="Arial"/>
          <w:b/>
          <w:bCs/>
        </w:rPr>
        <w:t>Drivers</w:t>
      </w:r>
      <w:r w:rsidR="009E305C">
        <w:rPr>
          <w:rFonts w:ascii="Arial" w:hAnsi="Arial" w:cs="Arial"/>
        </w:rPr>
        <w:t>)</w:t>
      </w:r>
      <w:r>
        <w:rPr>
          <w:rFonts w:ascii="Arial" w:hAnsi="Arial" w:cs="Arial"/>
        </w:rPr>
        <w:t xml:space="preserve"> were injured</w:t>
      </w:r>
      <w:r w:rsidR="00E8713E">
        <w:rPr>
          <w:rFonts w:ascii="Arial" w:hAnsi="Arial" w:cs="Arial"/>
        </w:rPr>
        <w:t>.  Subsequently, the</w:t>
      </w:r>
      <w:r w:rsidR="009E305C">
        <w:rPr>
          <w:rFonts w:ascii="Arial" w:hAnsi="Arial" w:cs="Arial"/>
        </w:rPr>
        <w:t xml:space="preserve"> Drivers</w:t>
      </w:r>
      <w:r w:rsidR="00E8713E">
        <w:rPr>
          <w:rFonts w:ascii="Arial" w:hAnsi="Arial" w:cs="Arial"/>
        </w:rPr>
        <w:t xml:space="preserve"> have brought claims </w:t>
      </w:r>
      <w:r w:rsidR="0069787E">
        <w:rPr>
          <w:rFonts w:ascii="Arial" w:hAnsi="Arial" w:cs="Arial"/>
        </w:rPr>
        <w:t>before the Romanian courts where</w:t>
      </w:r>
      <w:r w:rsidR="00662120">
        <w:rPr>
          <w:rFonts w:ascii="Arial" w:hAnsi="Arial" w:cs="Arial"/>
        </w:rPr>
        <w:t>as</w:t>
      </w:r>
      <w:r w:rsidR="0069787E">
        <w:rPr>
          <w:rFonts w:ascii="Arial" w:hAnsi="Arial" w:cs="Arial"/>
        </w:rPr>
        <w:t xml:space="preserve"> substantial compensations may be awarded in favour of </w:t>
      </w:r>
      <w:r w:rsidR="00F233FE">
        <w:rPr>
          <w:rFonts w:ascii="Arial" w:hAnsi="Arial" w:cs="Arial"/>
        </w:rPr>
        <w:t xml:space="preserve">the </w:t>
      </w:r>
      <w:r w:rsidR="00662120">
        <w:rPr>
          <w:rFonts w:ascii="Arial" w:hAnsi="Arial" w:cs="Arial"/>
        </w:rPr>
        <w:t>D</w:t>
      </w:r>
      <w:r w:rsidR="00F233FE">
        <w:rPr>
          <w:rFonts w:ascii="Arial" w:hAnsi="Arial" w:cs="Arial"/>
        </w:rPr>
        <w:t xml:space="preserve">rivers.  Further, the </w:t>
      </w:r>
      <w:r w:rsidR="009E305C">
        <w:rPr>
          <w:rFonts w:ascii="Arial" w:hAnsi="Arial" w:cs="Arial"/>
        </w:rPr>
        <w:t>D</w:t>
      </w:r>
      <w:r w:rsidR="00F233FE">
        <w:rPr>
          <w:rFonts w:ascii="Arial" w:hAnsi="Arial" w:cs="Arial"/>
        </w:rPr>
        <w:t xml:space="preserve">rivers have filed for the </w:t>
      </w:r>
      <w:r w:rsidR="00804997">
        <w:rPr>
          <w:rFonts w:ascii="Arial" w:hAnsi="Arial" w:cs="Arial"/>
        </w:rPr>
        <w:t>insolvency of Efwon Romania</w:t>
      </w:r>
      <w:r w:rsidR="00D02567">
        <w:rPr>
          <w:rFonts w:ascii="Arial" w:hAnsi="Arial" w:cs="Arial"/>
        </w:rPr>
        <w:t xml:space="preserve"> and obtained freezing injunctions over Efwon Romania’s assets and income.</w:t>
      </w:r>
    </w:p>
    <w:p w14:paraId="16E8C467" w14:textId="19BD4D47" w:rsidR="006D409C" w:rsidRDefault="00890BC3" w:rsidP="009F78F1">
      <w:pPr>
        <w:spacing w:line="240" w:lineRule="auto"/>
        <w:jc w:val="both"/>
        <w:rPr>
          <w:rFonts w:ascii="Arial" w:hAnsi="Arial" w:cs="Arial"/>
        </w:rPr>
      </w:pPr>
      <w:r>
        <w:rPr>
          <w:rFonts w:ascii="Arial" w:hAnsi="Arial" w:cs="Arial"/>
        </w:rPr>
        <w:t xml:space="preserve">In this regard, </w:t>
      </w:r>
      <w:r w:rsidR="00584DCD">
        <w:rPr>
          <w:rFonts w:ascii="Arial" w:hAnsi="Arial" w:cs="Arial"/>
        </w:rPr>
        <w:t>Efwon Romania</w:t>
      </w:r>
      <w:r w:rsidR="00B4636B">
        <w:rPr>
          <w:rFonts w:ascii="Arial" w:hAnsi="Arial" w:cs="Arial"/>
        </w:rPr>
        <w:t xml:space="preserve"> </w:t>
      </w:r>
      <w:r>
        <w:rPr>
          <w:rFonts w:ascii="Arial" w:hAnsi="Arial" w:cs="Arial"/>
        </w:rPr>
        <w:t xml:space="preserve">risks </w:t>
      </w:r>
      <w:r w:rsidR="00B4636B">
        <w:rPr>
          <w:rFonts w:ascii="Arial" w:hAnsi="Arial" w:cs="Arial"/>
        </w:rPr>
        <w:t>default</w:t>
      </w:r>
      <w:r>
        <w:rPr>
          <w:rFonts w:ascii="Arial" w:hAnsi="Arial" w:cs="Arial"/>
        </w:rPr>
        <w:t>ing</w:t>
      </w:r>
      <w:r w:rsidR="00B4636B">
        <w:rPr>
          <w:rFonts w:ascii="Arial" w:hAnsi="Arial" w:cs="Arial"/>
        </w:rPr>
        <w:t xml:space="preserve"> </w:t>
      </w:r>
      <w:r w:rsidR="00807147">
        <w:rPr>
          <w:rFonts w:ascii="Arial" w:hAnsi="Arial" w:cs="Arial"/>
        </w:rPr>
        <w:t>o</w:t>
      </w:r>
      <w:r w:rsidR="00C92030">
        <w:rPr>
          <w:rFonts w:ascii="Arial" w:hAnsi="Arial" w:cs="Arial"/>
        </w:rPr>
        <w:t>n</w:t>
      </w:r>
      <w:r w:rsidR="00B4636B">
        <w:rPr>
          <w:rFonts w:ascii="Arial" w:hAnsi="Arial" w:cs="Arial"/>
        </w:rPr>
        <w:t xml:space="preserve"> its payments to Efwon Trading </w:t>
      </w:r>
      <w:r>
        <w:rPr>
          <w:rFonts w:ascii="Arial" w:hAnsi="Arial" w:cs="Arial"/>
        </w:rPr>
        <w:t xml:space="preserve">which may </w:t>
      </w:r>
      <w:r w:rsidR="00414F38">
        <w:rPr>
          <w:rFonts w:ascii="Arial" w:hAnsi="Arial" w:cs="Arial"/>
        </w:rPr>
        <w:t xml:space="preserve">lead to a </w:t>
      </w:r>
      <w:r w:rsidR="00314712">
        <w:rPr>
          <w:rFonts w:ascii="Arial" w:hAnsi="Arial" w:cs="Arial"/>
        </w:rPr>
        <w:t>knock-on</w:t>
      </w:r>
      <w:r w:rsidR="00414F38">
        <w:rPr>
          <w:rFonts w:ascii="Arial" w:hAnsi="Arial" w:cs="Arial"/>
        </w:rPr>
        <w:t xml:space="preserve"> effect </w:t>
      </w:r>
      <w:r w:rsidR="00E13E49">
        <w:rPr>
          <w:rFonts w:ascii="Arial" w:hAnsi="Arial" w:cs="Arial"/>
        </w:rPr>
        <w:t>to other entities in</w:t>
      </w:r>
      <w:r w:rsidR="00662120">
        <w:rPr>
          <w:rFonts w:ascii="Arial" w:hAnsi="Arial" w:cs="Arial"/>
        </w:rPr>
        <w:t xml:space="preserve"> the</w:t>
      </w:r>
      <w:r w:rsidR="00E13E49">
        <w:rPr>
          <w:rFonts w:ascii="Arial" w:hAnsi="Arial" w:cs="Arial"/>
        </w:rPr>
        <w:t xml:space="preserve"> Efwon Group.  </w:t>
      </w:r>
      <w:r w:rsidR="006A5997">
        <w:rPr>
          <w:rFonts w:ascii="Arial" w:hAnsi="Arial" w:cs="Arial"/>
        </w:rPr>
        <w:t>Furthermore</w:t>
      </w:r>
      <w:r w:rsidR="00314712">
        <w:rPr>
          <w:rFonts w:ascii="Arial" w:hAnsi="Arial" w:cs="Arial"/>
        </w:rPr>
        <w:t xml:space="preserve">, </w:t>
      </w:r>
      <w:r w:rsidR="00906BB2">
        <w:rPr>
          <w:rFonts w:ascii="Arial" w:hAnsi="Arial" w:cs="Arial"/>
        </w:rPr>
        <w:t xml:space="preserve">given this circumstance, KuasaNas has </w:t>
      </w:r>
      <w:r w:rsidR="006A5997">
        <w:rPr>
          <w:rFonts w:ascii="Arial" w:hAnsi="Arial" w:cs="Arial"/>
        </w:rPr>
        <w:t>requested an additional pre-condition fo</w:t>
      </w:r>
      <w:r w:rsidR="005B0AAB">
        <w:rPr>
          <w:rFonts w:ascii="Arial" w:hAnsi="Arial" w:cs="Arial"/>
        </w:rPr>
        <w:t>r the sponsorship agreement to be executed</w:t>
      </w:r>
      <w:r w:rsidR="00440631">
        <w:rPr>
          <w:rFonts w:ascii="Arial" w:hAnsi="Arial" w:cs="Arial"/>
        </w:rPr>
        <w:t>, subject to the Malaysian Government’s approval,</w:t>
      </w:r>
      <w:r w:rsidR="005B0AAB">
        <w:rPr>
          <w:rFonts w:ascii="Arial" w:hAnsi="Arial" w:cs="Arial"/>
        </w:rPr>
        <w:t xml:space="preserve"> that </w:t>
      </w:r>
      <w:r w:rsidR="00440631">
        <w:rPr>
          <w:rFonts w:ascii="Arial" w:hAnsi="Arial" w:cs="Arial"/>
        </w:rPr>
        <w:t xml:space="preserve">the insolvency issues affecting the companies in the </w:t>
      </w:r>
      <w:r w:rsidR="005A6099">
        <w:rPr>
          <w:rFonts w:ascii="Arial" w:hAnsi="Arial" w:cs="Arial"/>
        </w:rPr>
        <w:t>Efwon Group are to be dealt with promptly.</w:t>
      </w:r>
    </w:p>
    <w:p w14:paraId="468CD0D0" w14:textId="1671A85A" w:rsidR="005A6099" w:rsidRDefault="00B91E43" w:rsidP="009F78F1">
      <w:pPr>
        <w:spacing w:line="240" w:lineRule="auto"/>
        <w:jc w:val="both"/>
        <w:rPr>
          <w:rFonts w:ascii="Arial" w:hAnsi="Arial" w:cs="Arial"/>
        </w:rPr>
      </w:pPr>
      <w:r>
        <w:rPr>
          <w:rFonts w:ascii="Arial" w:hAnsi="Arial" w:cs="Arial"/>
        </w:rPr>
        <w:t xml:space="preserve">Given the current situation, it appears that </w:t>
      </w:r>
      <w:r w:rsidR="00C037C3">
        <w:rPr>
          <w:rFonts w:ascii="Arial" w:hAnsi="Arial" w:cs="Arial"/>
        </w:rPr>
        <w:t xml:space="preserve">the </w:t>
      </w:r>
      <w:r>
        <w:rPr>
          <w:rFonts w:ascii="Arial" w:hAnsi="Arial" w:cs="Arial"/>
        </w:rPr>
        <w:t xml:space="preserve">Efwon Group is </w:t>
      </w:r>
      <w:r w:rsidR="00CF49F9">
        <w:rPr>
          <w:rFonts w:ascii="Arial" w:hAnsi="Arial" w:cs="Arial"/>
        </w:rPr>
        <w:t>in need for additional source of funds</w:t>
      </w:r>
      <w:r w:rsidR="005A24B6">
        <w:rPr>
          <w:rFonts w:ascii="Arial" w:hAnsi="Arial" w:cs="Arial"/>
        </w:rPr>
        <w:t xml:space="preserve"> given the withdrawal of sponsorship by Kretek and the potential </w:t>
      </w:r>
      <w:r w:rsidR="007026D6">
        <w:rPr>
          <w:rFonts w:ascii="Arial" w:hAnsi="Arial" w:cs="Arial"/>
        </w:rPr>
        <w:t xml:space="preserve">adverse costs in the Romanian litigation.  While </w:t>
      </w:r>
      <w:r w:rsidR="0042787F">
        <w:rPr>
          <w:rFonts w:ascii="Arial" w:hAnsi="Arial" w:cs="Arial"/>
        </w:rPr>
        <w:t xml:space="preserve">the new sponsorship agreement with KuasaNas may resolve the issue of funding, </w:t>
      </w:r>
      <w:r w:rsidR="00AF3B92">
        <w:rPr>
          <w:rFonts w:ascii="Arial" w:hAnsi="Arial" w:cs="Arial"/>
        </w:rPr>
        <w:t xml:space="preserve">the insolvency issues within </w:t>
      </w:r>
      <w:r w:rsidR="00C037C3">
        <w:rPr>
          <w:rFonts w:ascii="Arial" w:hAnsi="Arial" w:cs="Arial"/>
        </w:rPr>
        <w:t xml:space="preserve">the </w:t>
      </w:r>
      <w:r w:rsidR="00AF3B92">
        <w:rPr>
          <w:rFonts w:ascii="Arial" w:hAnsi="Arial" w:cs="Arial"/>
        </w:rPr>
        <w:t xml:space="preserve">Efwon Group </w:t>
      </w:r>
      <w:r w:rsidR="00B94D9B">
        <w:rPr>
          <w:rFonts w:ascii="Arial" w:hAnsi="Arial" w:cs="Arial"/>
        </w:rPr>
        <w:t>are required to be dealt with</w:t>
      </w:r>
      <w:r w:rsidR="00BA6032">
        <w:rPr>
          <w:rFonts w:ascii="Arial" w:hAnsi="Arial" w:cs="Arial"/>
        </w:rPr>
        <w:t xml:space="preserve"> as a pre-condition to secure the sponsorship from KuasaNas</w:t>
      </w:r>
      <w:r w:rsidR="00B94D9B">
        <w:rPr>
          <w:rFonts w:ascii="Arial" w:hAnsi="Arial" w:cs="Arial"/>
        </w:rPr>
        <w:t>.</w:t>
      </w:r>
    </w:p>
    <w:p w14:paraId="161F9B53" w14:textId="1A8BD105" w:rsidR="008C4F88" w:rsidRPr="00AF5928" w:rsidRDefault="008C4F88" w:rsidP="009F78F1">
      <w:pPr>
        <w:spacing w:line="240" w:lineRule="auto"/>
        <w:jc w:val="both"/>
        <w:rPr>
          <w:rFonts w:ascii="Arial" w:hAnsi="Arial" w:cs="Arial"/>
          <w:b/>
          <w:bCs/>
          <w:caps/>
        </w:rPr>
      </w:pPr>
      <w:r w:rsidRPr="00AF5928">
        <w:rPr>
          <w:rFonts w:ascii="Arial" w:hAnsi="Arial" w:cs="Arial"/>
          <w:b/>
          <w:bCs/>
          <w:caps/>
        </w:rPr>
        <w:t>Romanian insolvency proce</w:t>
      </w:r>
      <w:r w:rsidR="000465D5">
        <w:rPr>
          <w:rFonts w:ascii="Arial" w:hAnsi="Arial" w:cs="Arial"/>
          <w:b/>
          <w:bCs/>
          <w:caps/>
        </w:rPr>
        <w:t>edings</w:t>
      </w:r>
    </w:p>
    <w:p w14:paraId="1EA97289" w14:textId="277C98A7" w:rsidR="000465D5" w:rsidRPr="000465D5" w:rsidRDefault="000465D5" w:rsidP="009F78F1">
      <w:pPr>
        <w:spacing w:line="240" w:lineRule="auto"/>
        <w:jc w:val="both"/>
        <w:rPr>
          <w:rFonts w:ascii="Arial" w:hAnsi="Arial" w:cs="Arial"/>
          <w:u w:val="single"/>
        </w:rPr>
      </w:pPr>
      <w:r w:rsidRPr="000465D5">
        <w:rPr>
          <w:rFonts w:ascii="Arial" w:hAnsi="Arial" w:cs="Arial"/>
          <w:u w:val="single"/>
        </w:rPr>
        <w:t>Facts</w:t>
      </w:r>
    </w:p>
    <w:p w14:paraId="6C95A980" w14:textId="17D862B6" w:rsidR="00730B97" w:rsidRDefault="008A0E6F" w:rsidP="009F78F1">
      <w:pPr>
        <w:spacing w:line="240" w:lineRule="auto"/>
        <w:jc w:val="both"/>
        <w:rPr>
          <w:rFonts w:ascii="Arial" w:hAnsi="Arial" w:cs="Arial"/>
        </w:rPr>
      </w:pPr>
      <w:r>
        <w:rPr>
          <w:rFonts w:ascii="Arial" w:hAnsi="Arial" w:cs="Arial"/>
        </w:rPr>
        <w:t>T</w:t>
      </w:r>
      <w:r w:rsidR="002A0529">
        <w:rPr>
          <w:rFonts w:ascii="Arial" w:hAnsi="Arial" w:cs="Arial"/>
        </w:rPr>
        <w:t xml:space="preserve">he </w:t>
      </w:r>
      <w:r w:rsidR="00535FF6">
        <w:rPr>
          <w:rFonts w:ascii="Arial" w:hAnsi="Arial" w:cs="Arial"/>
        </w:rPr>
        <w:t xml:space="preserve">claims brought by the </w:t>
      </w:r>
      <w:r w:rsidR="009E305C">
        <w:rPr>
          <w:rFonts w:ascii="Arial" w:hAnsi="Arial" w:cs="Arial"/>
        </w:rPr>
        <w:t>D</w:t>
      </w:r>
      <w:r w:rsidR="00535FF6">
        <w:rPr>
          <w:rFonts w:ascii="Arial" w:hAnsi="Arial" w:cs="Arial"/>
        </w:rPr>
        <w:t xml:space="preserve">rivers </w:t>
      </w:r>
      <w:r>
        <w:rPr>
          <w:rFonts w:ascii="Arial" w:hAnsi="Arial" w:cs="Arial"/>
        </w:rPr>
        <w:t>against Efwon Romania</w:t>
      </w:r>
      <w:r w:rsidR="00553BBB">
        <w:rPr>
          <w:rFonts w:ascii="Arial" w:hAnsi="Arial" w:cs="Arial"/>
        </w:rPr>
        <w:t xml:space="preserve"> </w:t>
      </w:r>
      <w:r>
        <w:rPr>
          <w:rFonts w:ascii="Arial" w:hAnsi="Arial" w:cs="Arial"/>
        </w:rPr>
        <w:t>ha</w:t>
      </w:r>
      <w:r w:rsidR="009E4089">
        <w:rPr>
          <w:rFonts w:ascii="Arial" w:hAnsi="Arial" w:cs="Arial"/>
        </w:rPr>
        <w:t>ve</w:t>
      </w:r>
      <w:r>
        <w:rPr>
          <w:rFonts w:ascii="Arial" w:hAnsi="Arial" w:cs="Arial"/>
        </w:rPr>
        <w:t xml:space="preserve"> </w:t>
      </w:r>
      <w:r w:rsidR="00553BBB">
        <w:rPr>
          <w:rFonts w:ascii="Arial" w:hAnsi="Arial" w:cs="Arial"/>
        </w:rPr>
        <w:t>give</w:t>
      </w:r>
      <w:r>
        <w:rPr>
          <w:rFonts w:ascii="Arial" w:hAnsi="Arial" w:cs="Arial"/>
        </w:rPr>
        <w:t>n</w:t>
      </w:r>
      <w:r w:rsidR="00553BBB">
        <w:rPr>
          <w:rFonts w:ascii="Arial" w:hAnsi="Arial" w:cs="Arial"/>
        </w:rPr>
        <w:t xml:space="preserve"> rise to threats to </w:t>
      </w:r>
      <w:r w:rsidR="00662120">
        <w:rPr>
          <w:rFonts w:ascii="Arial" w:hAnsi="Arial" w:cs="Arial"/>
        </w:rPr>
        <w:t xml:space="preserve">Efwon Romania’s </w:t>
      </w:r>
      <w:r w:rsidR="00553BBB">
        <w:rPr>
          <w:rFonts w:ascii="Arial" w:hAnsi="Arial" w:cs="Arial"/>
        </w:rPr>
        <w:t xml:space="preserve">ability to </w:t>
      </w:r>
      <w:r w:rsidR="007B799D">
        <w:rPr>
          <w:rFonts w:ascii="Arial" w:hAnsi="Arial" w:cs="Arial"/>
        </w:rPr>
        <w:t xml:space="preserve">pay </w:t>
      </w:r>
      <w:r w:rsidR="001C0205">
        <w:rPr>
          <w:rFonts w:ascii="Arial" w:hAnsi="Arial" w:cs="Arial"/>
        </w:rPr>
        <w:t>the</w:t>
      </w:r>
      <w:r w:rsidR="007B799D">
        <w:rPr>
          <w:rFonts w:ascii="Arial" w:hAnsi="Arial" w:cs="Arial"/>
        </w:rPr>
        <w:t xml:space="preserve"> debt owed to Efwon Trading unless appropriate measures are taken </w:t>
      </w:r>
      <w:r w:rsidR="00D51FC1">
        <w:rPr>
          <w:rFonts w:ascii="Arial" w:hAnsi="Arial" w:cs="Arial"/>
        </w:rPr>
        <w:t xml:space="preserve">now.  </w:t>
      </w:r>
      <w:r w:rsidR="00861403">
        <w:rPr>
          <w:rFonts w:ascii="Arial" w:hAnsi="Arial" w:cs="Arial"/>
        </w:rPr>
        <w:t xml:space="preserve">I have also been informed that if the </w:t>
      </w:r>
      <w:r w:rsidR="00CB2E0D">
        <w:rPr>
          <w:rFonts w:ascii="Arial" w:hAnsi="Arial" w:cs="Arial"/>
        </w:rPr>
        <w:t>Drivers succeed in their claims, substantial compensations awarded against Efwon Romania are likely.</w:t>
      </w:r>
      <w:r w:rsidR="00B651DC">
        <w:rPr>
          <w:rFonts w:ascii="Arial" w:hAnsi="Arial" w:cs="Arial"/>
        </w:rPr>
        <w:t xml:space="preserve">  In addition, </w:t>
      </w:r>
      <w:r w:rsidR="00662120">
        <w:rPr>
          <w:rFonts w:ascii="Arial" w:hAnsi="Arial" w:cs="Arial"/>
        </w:rPr>
        <w:t xml:space="preserve">Efwon </w:t>
      </w:r>
      <w:r w:rsidR="00B651DC">
        <w:rPr>
          <w:rFonts w:ascii="Arial" w:hAnsi="Arial" w:cs="Arial"/>
        </w:rPr>
        <w:t>Trading has lent a total of USD450 million as operating capital to Efwon Romania which is secured by the racing team’s share of the broadcasting revenue.</w:t>
      </w:r>
    </w:p>
    <w:p w14:paraId="489F5B20" w14:textId="194A84D2" w:rsidR="000465D5" w:rsidRPr="000465D5" w:rsidRDefault="00B1333D" w:rsidP="004448AF">
      <w:pPr>
        <w:keepNext/>
        <w:spacing w:line="240" w:lineRule="auto"/>
        <w:jc w:val="both"/>
        <w:rPr>
          <w:rFonts w:ascii="Arial" w:hAnsi="Arial" w:cs="Arial"/>
          <w:u w:val="single"/>
        </w:rPr>
      </w:pPr>
      <w:r>
        <w:rPr>
          <w:rFonts w:ascii="Arial" w:hAnsi="Arial" w:cs="Arial"/>
          <w:u w:val="single"/>
        </w:rPr>
        <w:t>Procedures and outcomes</w:t>
      </w:r>
    </w:p>
    <w:p w14:paraId="3DB0D606" w14:textId="6D68DEAC" w:rsidR="008341AF" w:rsidRDefault="008341AF" w:rsidP="009F78F1">
      <w:pPr>
        <w:spacing w:line="240" w:lineRule="auto"/>
        <w:jc w:val="both"/>
        <w:rPr>
          <w:rFonts w:ascii="Arial" w:hAnsi="Arial" w:cs="Arial"/>
        </w:rPr>
      </w:pPr>
      <w:r>
        <w:rPr>
          <w:rFonts w:ascii="Arial" w:hAnsi="Arial" w:cs="Arial"/>
        </w:rPr>
        <w:t xml:space="preserve">In accordance with </w:t>
      </w:r>
      <w:r w:rsidR="005B6684">
        <w:rPr>
          <w:rFonts w:ascii="Arial" w:hAnsi="Arial" w:cs="Arial"/>
        </w:rPr>
        <w:t>Article 5(2</w:t>
      </w:r>
      <w:r w:rsidR="00F01D3C">
        <w:rPr>
          <w:rFonts w:ascii="Arial" w:hAnsi="Arial" w:cs="Arial"/>
        </w:rPr>
        <w:t>9</w:t>
      </w:r>
      <w:r w:rsidR="005B6684">
        <w:rPr>
          <w:rFonts w:ascii="Arial" w:hAnsi="Arial" w:cs="Arial"/>
        </w:rPr>
        <w:t xml:space="preserve">) of </w:t>
      </w:r>
      <w:r>
        <w:rPr>
          <w:rFonts w:ascii="Arial" w:hAnsi="Arial" w:cs="Arial"/>
        </w:rPr>
        <w:t>the Romania Law No 85/2014 on insolvency prevention and insolvency proceedings</w:t>
      </w:r>
      <w:r w:rsidR="0083091F">
        <w:rPr>
          <w:rFonts w:ascii="Arial" w:hAnsi="Arial" w:cs="Arial"/>
        </w:rPr>
        <w:t xml:space="preserve"> </w:t>
      </w:r>
      <w:r w:rsidR="0083091F">
        <w:rPr>
          <w:rFonts w:ascii="Arial" w:hAnsi="Arial" w:cs="Arial"/>
          <w:i/>
          <w:iCs/>
        </w:rPr>
        <w:t>(</w:t>
      </w:r>
      <w:r w:rsidR="0083091F" w:rsidRPr="0083091F">
        <w:rPr>
          <w:rFonts w:ascii="Arial" w:hAnsi="Arial" w:cs="Arial"/>
          <w:i/>
          <w:iCs/>
        </w:rPr>
        <w:t>privind procedurile de prevenire a insolvenței și de insolvență</w:t>
      </w:r>
      <w:r w:rsidR="0083091F">
        <w:rPr>
          <w:rFonts w:ascii="Arial" w:hAnsi="Arial" w:cs="Arial"/>
          <w:i/>
          <w:iCs/>
        </w:rPr>
        <w:t>)</w:t>
      </w:r>
      <w:r w:rsidR="005B6684">
        <w:rPr>
          <w:rFonts w:ascii="Arial" w:hAnsi="Arial" w:cs="Arial"/>
          <w:i/>
          <w:iCs/>
        </w:rPr>
        <w:t xml:space="preserve"> </w:t>
      </w:r>
      <w:r w:rsidR="005B6684">
        <w:rPr>
          <w:rFonts w:ascii="Arial" w:hAnsi="Arial" w:cs="Arial"/>
        </w:rPr>
        <w:t xml:space="preserve">(the </w:t>
      </w:r>
      <w:r w:rsidR="005B6684" w:rsidRPr="007A5AC4">
        <w:rPr>
          <w:rFonts w:ascii="Arial" w:hAnsi="Arial" w:cs="Arial"/>
          <w:b/>
          <w:bCs/>
        </w:rPr>
        <w:lastRenderedPageBreak/>
        <w:t xml:space="preserve">Romanian </w:t>
      </w:r>
      <w:r w:rsidR="007A5AC4" w:rsidRPr="007A5AC4">
        <w:rPr>
          <w:rFonts w:ascii="Arial" w:hAnsi="Arial" w:cs="Arial"/>
          <w:b/>
          <w:bCs/>
        </w:rPr>
        <w:t>IA</w:t>
      </w:r>
      <w:r w:rsidR="007A5AC4">
        <w:rPr>
          <w:rFonts w:ascii="Arial" w:hAnsi="Arial" w:cs="Arial"/>
        </w:rPr>
        <w:t>)</w:t>
      </w:r>
      <w:r>
        <w:rPr>
          <w:rFonts w:ascii="Arial" w:hAnsi="Arial" w:cs="Arial"/>
        </w:rPr>
        <w:t xml:space="preserve">, </w:t>
      </w:r>
      <w:r w:rsidR="00F01D3C">
        <w:rPr>
          <w:rFonts w:ascii="Arial" w:hAnsi="Arial" w:cs="Arial"/>
        </w:rPr>
        <w:t xml:space="preserve">insolvency </w:t>
      </w:r>
      <w:r w:rsidR="00543F2B">
        <w:rPr>
          <w:rFonts w:ascii="Arial" w:hAnsi="Arial" w:cs="Arial"/>
        </w:rPr>
        <w:t>is imminent when it is proven that the debtor will not be able to pay the due debts committed at maturity</w:t>
      </w:r>
      <w:r w:rsidR="00FE7E2B">
        <w:rPr>
          <w:rFonts w:ascii="Arial" w:hAnsi="Arial" w:cs="Arial"/>
        </w:rPr>
        <w:t xml:space="preserve"> with the funds available at the maturity date.  </w:t>
      </w:r>
      <w:r w:rsidR="008572DD">
        <w:rPr>
          <w:rFonts w:ascii="Arial" w:hAnsi="Arial" w:cs="Arial"/>
        </w:rPr>
        <w:t xml:space="preserve">Given the </w:t>
      </w:r>
      <w:r w:rsidR="00662120">
        <w:rPr>
          <w:rFonts w:ascii="Arial" w:hAnsi="Arial" w:cs="Arial"/>
        </w:rPr>
        <w:t>insolvency of Efwon Romania</w:t>
      </w:r>
      <w:r w:rsidR="00260DF8">
        <w:rPr>
          <w:rFonts w:ascii="Arial" w:hAnsi="Arial" w:cs="Arial"/>
        </w:rPr>
        <w:t xml:space="preserve">, </w:t>
      </w:r>
      <w:r w:rsidR="00662120">
        <w:rPr>
          <w:rFonts w:ascii="Arial" w:hAnsi="Arial" w:cs="Arial"/>
        </w:rPr>
        <w:t xml:space="preserve">it </w:t>
      </w:r>
      <w:r w:rsidR="00EA3B22">
        <w:rPr>
          <w:rFonts w:ascii="Arial" w:hAnsi="Arial" w:cs="Arial"/>
        </w:rPr>
        <w:t xml:space="preserve">is entitled to </w:t>
      </w:r>
      <w:r w:rsidR="00E221D9">
        <w:rPr>
          <w:rFonts w:ascii="Arial" w:hAnsi="Arial" w:cs="Arial"/>
        </w:rPr>
        <w:t>commence the insolvency procedure under Title II of the Romanian IA</w:t>
      </w:r>
      <w:r w:rsidR="0077158E">
        <w:rPr>
          <w:rFonts w:ascii="Arial" w:hAnsi="Arial" w:cs="Arial"/>
        </w:rPr>
        <w:t>.</w:t>
      </w:r>
      <w:r w:rsidR="00BC17EC">
        <w:rPr>
          <w:rStyle w:val="FootnoteReference"/>
          <w:rFonts w:ascii="Arial" w:hAnsi="Arial" w:cs="Arial"/>
        </w:rPr>
        <w:footnoteReference w:id="2"/>
      </w:r>
      <w:r w:rsidR="00BC237E">
        <w:rPr>
          <w:rFonts w:ascii="Arial" w:hAnsi="Arial" w:cs="Arial"/>
        </w:rPr>
        <w:t xml:space="preserve">  </w:t>
      </w:r>
      <w:r w:rsidR="00662120">
        <w:rPr>
          <w:rFonts w:ascii="Arial" w:hAnsi="Arial" w:cs="Arial"/>
        </w:rPr>
        <w:t xml:space="preserve">While </w:t>
      </w:r>
      <w:r w:rsidR="00417A27">
        <w:rPr>
          <w:rFonts w:ascii="Arial" w:hAnsi="Arial" w:cs="Arial"/>
        </w:rPr>
        <w:t>Efwon Rom</w:t>
      </w:r>
      <w:r w:rsidR="004C558E">
        <w:rPr>
          <w:rFonts w:ascii="Arial" w:hAnsi="Arial" w:cs="Arial"/>
        </w:rPr>
        <w:t>a</w:t>
      </w:r>
      <w:r w:rsidR="00417A27">
        <w:rPr>
          <w:rFonts w:ascii="Arial" w:hAnsi="Arial" w:cs="Arial"/>
        </w:rPr>
        <w:t>n</w:t>
      </w:r>
      <w:r w:rsidR="004C558E">
        <w:rPr>
          <w:rFonts w:ascii="Arial" w:hAnsi="Arial" w:cs="Arial"/>
        </w:rPr>
        <w:t>i</w:t>
      </w:r>
      <w:r w:rsidR="00417A27">
        <w:rPr>
          <w:rFonts w:ascii="Arial" w:hAnsi="Arial" w:cs="Arial"/>
        </w:rPr>
        <w:t>a</w:t>
      </w:r>
      <w:r w:rsidR="008B3DBB">
        <w:rPr>
          <w:rFonts w:ascii="Arial" w:hAnsi="Arial" w:cs="Arial"/>
        </w:rPr>
        <w:t xml:space="preserve"> is obliged to address a request of the commencement of the insolvency procedure </w:t>
      </w:r>
      <w:r w:rsidR="00D061B7">
        <w:rPr>
          <w:rFonts w:ascii="Arial" w:hAnsi="Arial" w:cs="Arial"/>
        </w:rPr>
        <w:t xml:space="preserve">within a maximum of 30 days from the appearance of the state of insolvency, </w:t>
      </w:r>
      <w:r w:rsidR="00F015C3">
        <w:rPr>
          <w:rFonts w:ascii="Arial" w:hAnsi="Arial" w:cs="Arial"/>
        </w:rPr>
        <w:t xml:space="preserve">it should be caution that the premature introduction of such request </w:t>
      </w:r>
      <w:r w:rsidR="001C7640">
        <w:rPr>
          <w:rFonts w:ascii="Arial" w:hAnsi="Arial" w:cs="Arial"/>
        </w:rPr>
        <w:t xml:space="preserve">attracts liability of </w:t>
      </w:r>
      <w:r w:rsidR="00662120">
        <w:rPr>
          <w:rFonts w:ascii="Arial" w:hAnsi="Arial" w:cs="Arial"/>
        </w:rPr>
        <w:t>Efwon Romania</w:t>
      </w:r>
      <w:r w:rsidR="001C7640">
        <w:rPr>
          <w:rFonts w:ascii="Arial" w:hAnsi="Arial" w:cs="Arial"/>
        </w:rPr>
        <w:t xml:space="preserve"> fo</w:t>
      </w:r>
      <w:r w:rsidR="004C558E">
        <w:rPr>
          <w:rFonts w:ascii="Arial" w:hAnsi="Arial" w:cs="Arial"/>
        </w:rPr>
        <w:t>r the damages caused</w:t>
      </w:r>
      <w:r w:rsidR="00133AE7">
        <w:rPr>
          <w:rFonts w:ascii="Arial" w:hAnsi="Arial" w:cs="Arial"/>
        </w:rPr>
        <w:t>.</w:t>
      </w:r>
      <w:r w:rsidR="00133AE7">
        <w:rPr>
          <w:rStyle w:val="FootnoteReference"/>
          <w:rFonts w:ascii="Arial" w:hAnsi="Arial" w:cs="Arial"/>
        </w:rPr>
        <w:footnoteReference w:id="3"/>
      </w:r>
      <w:r w:rsidR="004C558E">
        <w:rPr>
          <w:rFonts w:ascii="Arial" w:hAnsi="Arial" w:cs="Arial"/>
        </w:rPr>
        <w:t xml:space="preserve"> </w:t>
      </w:r>
      <w:r w:rsidR="00133AE7">
        <w:rPr>
          <w:rFonts w:ascii="Arial" w:hAnsi="Arial" w:cs="Arial"/>
        </w:rPr>
        <w:t xml:space="preserve"> </w:t>
      </w:r>
      <w:r w:rsidR="004C558E">
        <w:rPr>
          <w:rFonts w:ascii="Arial" w:hAnsi="Arial" w:cs="Arial"/>
        </w:rPr>
        <w:t xml:space="preserve">Therefore, Efwon Romania </w:t>
      </w:r>
      <w:r w:rsidR="00034AC8">
        <w:rPr>
          <w:rFonts w:ascii="Arial" w:hAnsi="Arial" w:cs="Arial"/>
        </w:rPr>
        <w:t xml:space="preserve">must make </w:t>
      </w:r>
      <w:r w:rsidR="00034AC8" w:rsidRPr="00A7606F">
        <w:rPr>
          <w:rFonts w:ascii="Arial" w:hAnsi="Arial" w:cs="Arial"/>
        </w:rPr>
        <w:t xml:space="preserve">immediate assessment as to whether it </w:t>
      </w:r>
      <w:r w:rsidR="007B7D69" w:rsidRPr="00A7606F">
        <w:rPr>
          <w:rFonts w:ascii="Arial" w:hAnsi="Arial" w:cs="Arial"/>
        </w:rPr>
        <w:t>is insolvent within the meaning of Article 5(29)</w:t>
      </w:r>
      <w:r w:rsidR="002112DF" w:rsidRPr="00A7606F">
        <w:rPr>
          <w:rFonts w:ascii="Arial" w:hAnsi="Arial" w:cs="Arial"/>
        </w:rPr>
        <w:t xml:space="preserve"> of the Romanian IA</w:t>
      </w:r>
      <w:r w:rsidR="006D630B" w:rsidRPr="00A7606F">
        <w:rPr>
          <w:rFonts w:ascii="Arial" w:hAnsi="Arial" w:cs="Arial"/>
        </w:rPr>
        <w:t xml:space="preserve">, particularly if </w:t>
      </w:r>
      <w:r w:rsidR="00662120">
        <w:rPr>
          <w:rFonts w:ascii="Arial" w:hAnsi="Arial" w:cs="Arial"/>
        </w:rPr>
        <w:t xml:space="preserve">it will fail or has failed to satisfy </w:t>
      </w:r>
      <w:r w:rsidR="006D630B" w:rsidRPr="00A7606F">
        <w:rPr>
          <w:rFonts w:ascii="Arial" w:hAnsi="Arial" w:cs="Arial"/>
        </w:rPr>
        <w:t>its</w:t>
      </w:r>
      <w:r w:rsidR="00BC169A" w:rsidRPr="00A7606F">
        <w:rPr>
          <w:rFonts w:ascii="Arial" w:hAnsi="Arial" w:cs="Arial"/>
        </w:rPr>
        <w:t xml:space="preserve"> current or future debt </w:t>
      </w:r>
      <w:r w:rsidR="00593795">
        <w:rPr>
          <w:rFonts w:ascii="Arial" w:hAnsi="Arial" w:cs="Arial"/>
        </w:rPr>
        <w:t xml:space="preserve">that </w:t>
      </w:r>
      <w:r w:rsidR="00BC169A" w:rsidRPr="00A7606F">
        <w:rPr>
          <w:rFonts w:ascii="Arial" w:hAnsi="Arial" w:cs="Arial"/>
        </w:rPr>
        <w:t>exceeds the threshold of RON50,000</w:t>
      </w:r>
      <w:r w:rsidR="00133AE7">
        <w:rPr>
          <w:rFonts w:ascii="Arial" w:hAnsi="Arial" w:cs="Arial"/>
        </w:rPr>
        <w:t xml:space="preserve"> (approximately USD12,500 as at the end of 2018)</w:t>
      </w:r>
      <w:r w:rsidR="007B7D69" w:rsidRPr="00A7606F">
        <w:rPr>
          <w:rFonts w:ascii="Arial" w:hAnsi="Arial" w:cs="Arial"/>
        </w:rPr>
        <w:t>.</w:t>
      </w:r>
    </w:p>
    <w:p w14:paraId="5C67436B" w14:textId="1B44E277" w:rsidR="00DC6417" w:rsidRDefault="007B7D69" w:rsidP="009F78F1">
      <w:pPr>
        <w:spacing w:line="240" w:lineRule="auto"/>
        <w:jc w:val="both"/>
        <w:rPr>
          <w:rFonts w:ascii="Arial" w:hAnsi="Arial" w:cs="Arial"/>
        </w:rPr>
      </w:pPr>
      <w:r>
        <w:rPr>
          <w:rFonts w:ascii="Arial" w:hAnsi="Arial" w:cs="Arial"/>
        </w:rPr>
        <w:t xml:space="preserve">Assuming </w:t>
      </w:r>
      <w:r w:rsidR="00AD1219">
        <w:rPr>
          <w:rFonts w:ascii="Arial" w:hAnsi="Arial" w:cs="Arial"/>
        </w:rPr>
        <w:t xml:space="preserve">Efwon Romania is insolvent, it can </w:t>
      </w:r>
      <w:r w:rsidR="00755C2F">
        <w:rPr>
          <w:rFonts w:ascii="Arial" w:hAnsi="Arial" w:cs="Arial"/>
        </w:rPr>
        <w:t xml:space="preserve">request the court for the opening of insolvency procedure </w:t>
      </w:r>
      <w:r w:rsidR="002112DF">
        <w:rPr>
          <w:rFonts w:ascii="Arial" w:hAnsi="Arial" w:cs="Arial"/>
        </w:rPr>
        <w:t>accompanied by a set of documents listed in Article 67 of the Romania IA.  Among these documents is a list of creditors</w:t>
      </w:r>
      <w:r w:rsidR="002F6C05">
        <w:rPr>
          <w:rFonts w:ascii="Arial" w:hAnsi="Arial" w:cs="Arial"/>
        </w:rPr>
        <w:t xml:space="preserve"> regardl</w:t>
      </w:r>
      <w:r w:rsidR="00741BFB">
        <w:rPr>
          <w:rFonts w:ascii="Arial" w:hAnsi="Arial" w:cs="Arial"/>
        </w:rPr>
        <w:t xml:space="preserve">ess of the certainty of their claims.  Therefore, the list of creditors should include </w:t>
      </w:r>
      <w:r w:rsidR="009D5B89">
        <w:rPr>
          <w:rFonts w:ascii="Arial" w:hAnsi="Arial" w:cs="Arial"/>
        </w:rPr>
        <w:t xml:space="preserve">the Drivers.  In addition, Efwon Romania is entitled to submit a declaration </w:t>
      </w:r>
      <w:r w:rsidR="00CB3B90">
        <w:rPr>
          <w:rFonts w:ascii="Arial" w:hAnsi="Arial" w:cs="Arial"/>
        </w:rPr>
        <w:t xml:space="preserve">of its intention to </w:t>
      </w:r>
      <w:r w:rsidR="00145B05">
        <w:rPr>
          <w:rFonts w:ascii="Arial" w:hAnsi="Arial" w:cs="Arial"/>
        </w:rPr>
        <w:t>enter</w:t>
      </w:r>
      <w:r w:rsidR="00CB3B90">
        <w:rPr>
          <w:rFonts w:ascii="Arial" w:hAnsi="Arial" w:cs="Arial"/>
        </w:rPr>
        <w:t xml:space="preserve"> </w:t>
      </w:r>
      <w:r w:rsidR="00145B05">
        <w:rPr>
          <w:rFonts w:ascii="Arial" w:hAnsi="Arial" w:cs="Arial"/>
        </w:rPr>
        <w:t>judicial reorganisation</w:t>
      </w:r>
      <w:r w:rsidR="00CB3B90">
        <w:rPr>
          <w:rFonts w:ascii="Arial" w:hAnsi="Arial" w:cs="Arial"/>
        </w:rPr>
        <w:t>.</w:t>
      </w:r>
      <w:r w:rsidR="003559BD">
        <w:rPr>
          <w:rStyle w:val="FootnoteReference"/>
          <w:rFonts w:ascii="Arial" w:hAnsi="Arial" w:cs="Arial"/>
        </w:rPr>
        <w:footnoteReference w:id="4"/>
      </w:r>
      <w:r w:rsidR="007E3614">
        <w:rPr>
          <w:rFonts w:ascii="Arial" w:hAnsi="Arial" w:cs="Arial"/>
        </w:rPr>
        <w:t xml:space="preserve">  Subject to the </w:t>
      </w:r>
      <w:r w:rsidR="002F72B3">
        <w:rPr>
          <w:rFonts w:ascii="Arial" w:hAnsi="Arial" w:cs="Arial"/>
        </w:rPr>
        <w:t xml:space="preserve">satisfaction of the requirements under the Romanian IA, the syndic judge will </w:t>
      </w:r>
      <w:r w:rsidR="00016CB1">
        <w:rPr>
          <w:rFonts w:ascii="Arial" w:hAnsi="Arial" w:cs="Arial"/>
        </w:rPr>
        <w:t xml:space="preserve">pronounce a decision opening the insolvency procedure and order </w:t>
      </w:r>
      <w:r w:rsidR="00450E20">
        <w:rPr>
          <w:rFonts w:ascii="Arial" w:hAnsi="Arial" w:cs="Arial"/>
        </w:rPr>
        <w:t>the appointment of the provisional judicial administrator</w:t>
      </w:r>
      <w:r w:rsidR="006F054E">
        <w:rPr>
          <w:rFonts w:ascii="Arial" w:hAnsi="Arial" w:cs="Arial"/>
        </w:rPr>
        <w:t xml:space="preserve"> </w:t>
      </w:r>
      <w:r w:rsidR="005F6B22">
        <w:rPr>
          <w:rFonts w:ascii="Arial" w:hAnsi="Arial" w:cs="Arial"/>
        </w:rPr>
        <w:t xml:space="preserve">while </w:t>
      </w:r>
      <w:proofErr w:type="gramStart"/>
      <w:r w:rsidR="005F6B22">
        <w:rPr>
          <w:rFonts w:ascii="Arial" w:hAnsi="Arial" w:cs="Arial"/>
        </w:rPr>
        <w:t>subsequent</w:t>
      </w:r>
      <w:r w:rsidR="00662120">
        <w:rPr>
          <w:rFonts w:ascii="Arial" w:hAnsi="Arial" w:cs="Arial"/>
        </w:rPr>
        <w:t xml:space="preserve"> to</w:t>
      </w:r>
      <w:proofErr w:type="gramEnd"/>
      <w:r w:rsidR="00662120">
        <w:rPr>
          <w:rFonts w:ascii="Arial" w:hAnsi="Arial" w:cs="Arial"/>
        </w:rPr>
        <w:t xml:space="preserve"> which</w:t>
      </w:r>
      <w:r w:rsidR="005F6B22">
        <w:rPr>
          <w:rFonts w:ascii="Arial" w:hAnsi="Arial" w:cs="Arial"/>
        </w:rPr>
        <w:t>, the creditors can decide to appoint a judicial administrator</w:t>
      </w:r>
      <w:r w:rsidR="00C71B8B">
        <w:rPr>
          <w:rFonts w:ascii="Arial" w:hAnsi="Arial" w:cs="Arial"/>
        </w:rPr>
        <w:t xml:space="preserve"> at the first meeting of creditors</w:t>
      </w:r>
      <w:r w:rsidR="00450E20">
        <w:rPr>
          <w:rFonts w:ascii="Arial" w:hAnsi="Arial" w:cs="Arial"/>
        </w:rPr>
        <w:t xml:space="preserve">.  </w:t>
      </w:r>
      <w:r w:rsidR="002A72D5">
        <w:rPr>
          <w:rFonts w:ascii="Arial" w:hAnsi="Arial" w:cs="Arial"/>
        </w:rPr>
        <w:t xml:space="preserve">In the meantime, </w:t>
      </w:r>
      <w:r w:rsidR="00DB0AF9">
        <w:rPr>
          <w:rFonts w:ascii="Arial" w:hAnsi="Arial" w:cs="Arial"/>
        </w:rPr>
        <w:t xml:space="preserve">Efwon Trading, as the sole shareholder of Efwon Romania, can appoint </w:t>
      </w:r>
      <w:r w:rsidR="0094376A">
        <w:rPr>
          <w:rFonts w:ascii="Arial" w:hAnsi="Arial" w:cs="Arial"/>
        </w:rPr>
        <w:t>a special administrator who will administer</w:t>
      </w:r>
      <w:r w:rsidR="001232CA">
        <w:rPr>
          <w:rFonts w:ascii="Arial" w:hAnsi="Arial" w:cs="Arial"/>
        </w:rPr>
        <w:t xml:space="preserve"> the activity of Efwon Romania</w:t>
      </w:r>
      <w:r w:rsidR="00644B6B">
        <w:rPr>
          <w:rFonts w:ascii="Arial" w:hAnsi="Arial" w:cs="Arial"/>
        </w:rPr>
        <w:t xml:space="preserve"> under the supervision of the judicial administrator. After the </w:t>
      </w:r>
      <w:r w:rsidR="008B2E3C">
        <w:rPr>
          <w:rFonts w:ascii="Arial" w:hAnsi="Arial" w:cs="Arial"/>
        </w:rPr>
        <w:t>syndic judge pronounce the opening of the insolvency procedure,</w:t>
      </w:r>
      <w:r w:rsidR="00DB0AF9">
        <w:rPr>
          <w:rFonts w:ascii="Arial" w:hAnsi="Arial" w:cs="Arial"/>
        </w:rPr>
        <w:t xml:space="preserve"> </w:t>
      </w:r>
      <w:r w:rsidR="00DC6417">
        <w:rPr>
          <w:rFonts w:ascii="Arial" w:hAnsi="Arial" w:cs="Arial"/>
        </w:rPr>
        <w:t xml:space="preserve">Efwon Romania will immediately enter the observation period which </w:t>
      </w:r>
      <w:r w:rsidR="000A7C7A">
        <w:rPr>
          <w:rFonts w:ascii="Arial" w:hAnsi="Arial" w:cs="Arial"/>
        </w:rPr>
        <w:t xml:space="preserve">will end when the reorganisation plan is confirmed or </w:t>
      </w:r>
      <w:r w:rsidR="00F9421F">
        <w:rPr>
          <w:rFonts w:ascii="Arial" w:hAnsi="Arial" w:cs="Arial"/>
        </w:rPr>
        <w:t xml:space="preserve">when it enters bankruptcy procedure.  </w:t>
      </w:r>
    </w:p>
    <w:p w14:paraId="4EAD359A" w14:textId="35A96726" w:rsidR="00C30501" w:rsidRDefault="00C62918" w:rsidP="009F78F1">
      <w:pPr>
        <w:spacing w:line="240" w:lineRule="auto"/>
        <w:jc w:val="both"/>
        <w:rPr>
          <w:rFonts w:ascii="Arial" w:hAnsi="Arial" w:cs="Arial"/>
        </w:rPr>
      </w:pPr>
      <w:r>
        <w:rPr>
          <w:rFonts w:ascii="Arial" w:hAnsi="Arial" w:cs="Arial"/>
        </w:rPr>
        <w:t>In accordance with Section 6</w:t>
      </w:r>
      <w:r w:rsidR="00ED4E61">
        <w:rPr>
          <w:rFonts w:ascii="Arial" w:hAnsi="Arial" w:cs="Arial"/>
        </w:rPr>
        <w:t xml:space="preserve">, Chapter I of Title II of the Romanian IA, </w:t>
      </w:r>
      <w:r w:rsidR="00710723">
        <w:rPr>
          <w:rFonts w:ascii="Arial" w:hAnsi="Arial" w:cs="Arial"/>
        </w:rPr>
        <w:t>Efwon Romania</w:t>
      </w:r>
      <w:r w:rsidR="00BC7D5C">
        <w:rPr>
          <w:rFonts w:ascii="Arial" w:hAnsi="Arial" w:cs="Arial"/>
        </w:rPr>
        <w:t xml:space="preserve"> can </w:t>
      </w:r>
      <w:r w:rsidR="00F74C52">
        <w:rPr>
          <w:rFonts w:ascii="Arial" w:hAnsi="Arial" w:cs="Arial"/>
        </w:rPr>
        <w:t>enter judicial reorg</w:t>
      </w:r>
      <w:r w:rsidR="00B00742">
        <w:rPr>
          <w:rFonts w:ascii="Arial" w:hAnsi="Arial" w:cs="Arial"/>
        </w:rPr>
        <w:t>a</w:t>
      </w:r>
      <w:r w:rsidR="00F74C52">
        <w:rPr>
          <w:rFonts w:ascii="Arial" w:hAnsi="Arial" w:cs="Arial"/>
        </w:rPr>
        <w:t xml:space="preserve">nisation and </w:t>
      </w:r>
      <w:r w:rsidR="00FD0D4D">
        <w:rPr>
          <w:rFonts w:ascii="Arial" w:hAnsi="Arial" w:cs="Arial"/>
        </w:rPr>
        <w:t>propose a reorganisation plan</w:t>
      </w:r>
      <w:r w:rsidR="00ED4E61">
        <w:rPr>
          <w:rFonts w:ascii="Arial" w:hAnsi="Arial" w:cs="Arial"/>
        </w:rPr>
        <w:t xml:space="preserve"> </w:t>
      </w:r>
      <w:r w:rsidR="00540A8E">
        <w:rPr>
          <w:rFonts w:ascii="Arial" w:hAnsi="Arial" w:cs="Arial"/>
        </w:rPr>
        <w:t>within 30 days</w:t>
      </w:r>
      <w:r w:rsidR="00FC3821">
        <w:rPr>
          <w:rFonts w:ascii="Arial" w:hAnsi="Arial" w:cs="Arial"/>
        </w:rPr>
        <w:t xml:space="preserve"> </w:t>
      </w:r>
      <w:r w:rsidR="00540A8E">
        <w:rPr>
          <w:rFonts w:ascii="Arial" w:hAnsi="Arial" w:cs="Arial"/>
        </w:rPr>
        <w:t>from the publication of the definitive table of claims.</w:t>
      </w:r>
      <w:r w:rsidR="00540A8E">
        <w:rPr>
          <w:rStyle w:val="FootnoteReference"/>
          <w:rFonts w:ascii="Arial" w:hAnsi="Arial" w:cs="Arial"/>
        </w:rPr>
        <w:footnoteReference w:id="5"/>
      </w:r>
      <w:r w:rsidR="00ED4E61">
        <w:rPr>
          <w:rFonts w:ascii="Arial" w:hAnsi="Arial" w:cs="Arial"/>
        </w:rPr>
        <w:t xml:space="preserve">  </w:t>
      </w:r>
      <w:r w:rsidR="008660B1">
        <w:rPr>
          <w:rFonts w:ascii="Arial" w:hAnsi="Arial" w:cs="Arial"/>
        </w:rPr>
        <w:t xml:space="preserve">The </w:t>
      </w:r>
      <w:r w:rsidR="00297506">
        <w:rPr>
          <w:rFonts w:ascii="Arial" w:hAnsi="Arial" w:cs="Arial"/>
        </w:rPr>
        <w:t xml:space="preserve">purpose of </w:t>
      </w:r>
      <w:r w:rsidR="00345145">
        <w:rPr>
          <w:rFonts w:ascii="Arial" w:hAnsi="Arial" w:cs="Arial"/>
        </w:rPr>
        <w:t>a</w:t>
      </w:r>
      <w:r w:rsidR="00297506">
        <w:rPr>
          <w:rFonts w:ascii="Arial" w:hAnsi="Arial" w:cs="Arial"/>
        </w:rPr>
        <w:t xml:space="preserve"> </w:t>
      </w:r>
      <w:r w:rsidR="008660B1">
        <w:rPr>
          <w:rFonts w:ascii="Arial" w:hAnsi="Arial" w:cs="Arial"/>
        </w:rPr>
        <w:t xml:space="preserve">reorganisation plan </w:t>
      </w:r>
      <w:r w:rsidR="00297506">
        <w:rPr>
          <w:rFonts w:ascii="Arial" w:hAnsi="Arial" w:cs="Arial"/>
        </w:rPr>
        <w:t xml:space="preserve">is to </w:t>
      </w:r>
      <w:r w:rsidR="00345145">
        <w:rPr>
          <w:rFonts w:ascii="Arial" w:hAnsi="Arial" w:cs="Arial"/>
        </w:rPr>
        <w:t>restructure and continue debtor’s (i.e. Efwon Romania’s) activity</w:t>
      </w:r>
      <w:r w:rsidR="001C2108">
        <w:rPr>
          <w:rFonts w:ascii="Arial" w:hAnsi="Arial" w:cs="Arial"/>
        </w:rPr>
        <w:t xml:space="preserve">, or liquidate some of its assets, or a combination of </w:t>
      </w:r>
      <w:r w:rsidR="009C1543">
        <w:rPr>
          <w:rFonts w:ascii="Arial" w:hAnsi="Arial" w:cs="Arial"/>
        </w:rPr>
        <w:t>both</w:t>
      </w:r>
      <w:r w:rsidR="001C2108">
        <w:rPr>
          <w:rFonts w:ascii="Arial" w:hAnsi="Arial" w:cs="Arial"/>
        </w:rPr>
        <w:t>.  T</w:t>
      </w:r>
      <w:r w:rsidR="00345145">
        <w:rPr>
          <w:rFonts w:ascii="Arial" w:hAnsi="Arial" w:cs="Arial"/>
        </w:rPr>
        <w:t xml:space="preserve">he </w:t>
      </w:r>
      <w:r w:rsidR="001C2108">
        <w:rPr>
          <w:rFonts w:ascii="Arial" w:hAnsi="Arial" w:cs="Arial"/>
        </w:rPr>
        <w:t xml:space="preserve">reorganisation plan that Efwon Romania may propose </w:t>
      </w:r>
      <w:r w:rsidR="00297506">
        <w:rPr>
          <w:rFonts w:ascii="Arial" w:hAnsi="Arial" w:cs="Arial"/>
        </w:rPr>
        <w:t xml:space="preserve">must include </w:t>
      </w:r>
      <w:r w:rsidR="006F20EB">
        <w:rPr>
          <w:rFonts w:ascii="Arial" w:hAnsi="Arial" w:cs="Arial"/>
        </w:rPr>
        <w:t xml:space="preserve">a debt payment schedule </w:t>
      </w:r>
      <w:r w:rsidR="00586543">
        <w:rPr>
          <w:rFonts w:ascii="Arial" w:hAnsi="Arial" w:cs="Arial"/>
        </w:rPr>
        <w:t xml:space="preserve">which may contain </w:t>
      </w:r>
      <w:r w:rsidR="00A31A6D">
        <w:rPr>
          <w:rFonts w:ascii="Arial" w:hAnsi="Arial" w:cs="Arial"/>
        </w:rPr>
        <w:t xml:space="preserve">reductions, deferrals of payments and/or payment in instalments of the registered receivables and must not exceed </w:t>
      </w:r>
      <w:r w:rsidR="00A318E4">
        <w:rPr>
          <w:rFonts w:ascii="Arial" w:hAnsi="Arial" w:cs="Arial"/>
        </w:rPr>
        <w:t>three years from the date of the confirmation of the reorganisation plan.</w:t>
      </w:r>
      <w:r w:rsidR="00F6191E">
        <w:rPr>
          <w:rFonts w:ascii="Arial" w:hAnsi="Arial" w:cs="Arial"/>
        </w:rPr>
        <w:t xml:space="preserve">  The reorganisation plan will also be evaluated by the judicial administ</w:t>
      </w:r>
      <w:r w:rsidR="0014287A">
        <w:rPr>
          <w:rFonts w:ascii="Arial" w:hAnsi="Arial" w:cs="Arial"/>
        </w:rPr>
        <w:t xml:space="preserve">rator </w:t>
      </w:r>
      <w:r w:rsidR="002E60A0">
        <w:rPr>
          <w:rFonts w:ascii="Arial" w:hAnsi="Arial" w:cs="Arial"/>
        </w:rPr>
        <w:t xml:space="preserve">who will publish </w:t>
      </w:r>
      <w:r w:rsidR="00B411A3">
        <w:rPr>
          <w:rFonts w:ascii="Arial" w:hAnsi="Arial" w:cs="Arial"/>
        </w:rPr>
        <w:t xml:space="preserve">same in the </w:t>
      </w:r>
      <w:r w:rsidR="00B30252">
        <w:rPr>
          <w:rFonts w:ascii="Arial" w:hAnsi="Arial" w:cs="Arial"/>
        </w:rPr>
        <w:t>insolvency proceedings bulletin</w:t>
      </w:r>
      <w:r w:rsidR="0014287A">
        <w:rPr>
          <w:rFonts w:ascii="Arial" w:hAnsi="Arial" w:cs="Arial"/>
        </w:rPr>
        <w:t>.</w:t>
      </w:r>
      <w:r w:rsidR="00B30252">
        <w:rPr>
          <w:rStyle w:val="FootnoteReference"/>
          <w:rFonts w:ascii="Arial" w:hAnsi="Arial" w:cs="Arial"/>
        </w:rPr>
        <w:footnoteReference w:id="6"/>
      </w:r>
      <w:r w:rsidR="008611EA">
        <w:rPr>
          <w:rFonts w:ascii="Arial" w:hAnsi="Arial" w:cs="Arial"/>
        </w:rPr>
        <w:t xml:space="preserve"> </w:t>
      </w:r>
    </w:p>
    <w:p w14:paraId="7D82C6D1" w14:textId="7DA6D2DC" w:rsidR="00C30501" w:rsidRDefault="00B411A3" w:rsidP="009F78F1">
      <w:pPr>
        <w:spacing w:line="240" w:lineRule="auto"/>
        <w:jc w:val="both"/>
        <w:rPr>
          <w:rFonts w:ascii="Arial" w:hAnsi="Arial" w:cs="Arial"/>
        </w:rPr>
      </w:pPr>
      <w:r>
        <w:rPr>
          <w:rFonts w:ascii="Arial" w:hAnsi="Arial" w:cs="Arial"/>
        </w:rPr>
        <w:t xml:space="preserve">The meeting of creditors </w:t>
      </w:r>
      <w:r w:rsidR="0027677D">
        <w:rPr>
          <w:rFonts w:ascii="Arial" w:hAnsi="Arial" w:cs="Arial"/>
        </w:rPr>
        <w:t>to vote on the reorganisation plan will be held within 20 to 30 days from its publication.</w:t>
      </w:r>
      <w:r w:rsidR="00B7564F">
        <w:rPr>
          <w:rFonts w:ascii="Arial" w:hAnsi="Arial" w:cs="Arial"/>
        </w:rPr>
        <w:t xml:space="preserve">  </w:t>
      </w:r>
      <w:r w:rsidR="00B7564F" w:rsidRPr="00A7606F">
        <w:rPr>
          <w:rFonts w:ascii="Arial" w:hAnsi="Arial" w:cs="Arial"/>
        </w:rPr>
        <w:t>The creditors are divided into five categories</w:t>
      </w:r>
      <w:r w:rsidR="003559BD">
        <w:rPr>
          <w:rFonts w:ascii="Arial" w:hAnsi="Arial" w:cs="Arial"/>
        </w:rPr>
        <w:t>.</w:t>
      </w:r>
      <w:r w:rsidR="003559BD">
        <w:rPr>
          <w:rStyle w:val="FootnoteReference"/>
          <w:rFonts w:ascii="Arial" w:hAnsi="Arial" w:cs="Arial"/>
        </w:rPr>
        <w:footnoteReference w:id="7"/>
      </w:r>
      <w:r w:rsidR="0095584C" w:rsidRPr="00A7606F">
        <w:rPr>
          <w:rFonts w:ascii="Arial" w:hAnsi="Arial" w:cs="Arial"/>
        </w:rPr>
        <w:t xml:space="preserve">  </w:t>
      </w:r>
      <w:r w:rsidR="00A80BD2" w:rsidRPr="00A7606F">
        <w:rPr>
          <w:rFonts w:ascii="Arial" w:hAnsi="Arial" w:cs="Arial"/>
        </w:rPr>
        <w:t xml:space="preserve">The reorganisation plan </w:t>
      </w:r>
      <w:proofErr w:type="gramStart"/>
      <w:r w:rsidR="009348FC">
        <w:rPr>
          <w:rFonts w:ascii="Arial" w:hAnsi="Arial" w:cs="Arial"/>
        </w:rPr>
        <w:t>is</w:t>
      </w:r>
      <w:r w:rsidR="00A80BD2" w:rsidRPr="00A7606F">
        <w:rPr>
          <w:rFonts w:ascii="Arial" w:hAnsi="Arial" w:cs="Arial"/>
        </w:rPr>
        <w:t xml:space="preserve"> considered to be</w:t>
      </w:r>
      <w:proofErr w:type="gramEnd"/>
      <w:r w:rsidR="00A80BD2" w:rsidRPr="00A7606F">
        <w:rPr>
          <w:rFonts w:ascii="Arial" w:hAnsi="Arial" w:cs="Arial"/>
        </w:rPr>
        <w:t xml:space="preserve"> accepted by a category if </w:t>
      </w:r>
      <w:r w:rsidR="00DF27CA" w:rsidRPr="00A7606F">
        <w:rPr>
          <w:rFonts w:ascii="Arial" w:hAnsi="Arial" w:cs="Arial"/>
        </w:rPr>
        <w:t>the absolute majority (i.e. more than 50%) of the value of the claims accepted it.</w:t>
      </w:r>
      <w:r w:rsidR="00E71503" w:rsidRPr="00A7606F">
        <w:rPr>
          <w:rFonts w:ascii="Arial" w:hAnsi="Arial" w:cs="Arial"/>
        </w:rPr>
        <w:t xml:space="preserve">  </w:t>
      </w:r>
      <w:r w:rsidR="007D6B43" w:rsidRPr="00A7606F">
        <w:rPr>
          <w:rFonts w:ascii="Arial" w:hAnsi="Arial" w:cs="Arial"/>
        </w:rPr>
        <w:t>The reorganisation plan will then be confirmed by the syndic</w:t>
      </w:r>
      <w:r w:rsidR="007D6B43">
        <w:rPr>
          <w:rFonts w:ascii="Arial" w:hAnsi="Arial" w:cs="Arial"/>
        </w:rPr>
        <w:t xml:space="preserve"> judge within 15 days</w:t>
      </w:r>
      <w:r w:rsidR="007B3E03">
        <w:rPr>
          <w:rFonts w:ascii="Arial" w:hAnsi="Arial" w:cs="Arial"/>
        </w:rPr>
        <w:t xml:space="preserve"> of the submission of the minutes of the meeting of creditors by the judicial administrator</w:t>
      </w:r>
      <w:r w:rsidR="00A21913">
        <w:rPr>
          <w:rFonts w:ascii="Arial" w:hAnsi="Arial" w:cs="Arial"/>
        </w:rPr>
        <w:t xml:space="preserve">.  </w:t>
      </w:r>
      <w:proofErr w:type="gramStart"/>
      <w:r w:rsidR="00A21913">
        <w:rPr>
          <w:rFonts w:ascii="Arial" w:hAnsi="Arial" w:cs="Arial"/>
        </w:rPr>
        <w:t>In order for</w:t>
      </w:r>
      <w:proofErr w:type="gramEnd"/>
      <w:r w:rsidR="00A21913">
        <w:rPr>
          <w:rFonts w:ascii="Arial" w:hAnsi="Arial" w:cs="Arial"/>
        </w:rPr>
        <w:t xml:space="preserve"> the syndic judge to confirm a reorganisation plan, </w:t>
      </w:r>
      <w:r w:rsidR="00AE23B5">
        <w:rPr>
          <w:rFonts w:ascii="Arial" w:hAnsi="Arial" w:cs="Arial"/>
        </w:rPr>
        <w:t xml:space="preserve">more than </w:t>
      </w:r>
      <w:r w:rsidR="00A26B52">
        <w:rPr>
          <w:rFonts w:ascii="Arial" w:hAnsi="Arial" w:cs="Arial"/>
        </w:rPr>
        <w:t xml:space="preserve">half of the categories </w:t>
      </w:r>
      <w:r w:rsidR="00B93B31">
        <w:rPr>
          <w:rFonts w:ascii="Arial" w:hAnsi="Arial" w:cs="Arial"/>
        </w:rPr>
        <w:t xml:space="preserve">have to accept the reorganisation plan, provided that at least one of the disadvantaged categories </w:t>
      </w:r>
      <w:r w:rsidR="0074069F">
        <w:rPr>
          <w:rFonts w:ascii="Arial" w:hAnsi="Arial" w:cs="Arial"/>
        </w:rPr>
        <w:t xml:space="preserve">and at least 30% of the total value of the claims </w:t>
      </w:r>
      <w:r w:rsidR="00D13257">
        <w:rPr>
          <w:rFonts w:ascii="Arial" w:hAnsi="Arial" w:cs="Arial"/>
        </w:rPr>
        <w:t>have also accepted.</w:t>
      </w:r>
    </w:p>
    <w:p w14:paraId="7B50AEDA" w14:textId="1D0F9170" w:rsidR="000465D5" w:rsidRPr="000465D5" w:rsidRDefault="000465D5" w:rsidP="00D53EED">
      <w:pPr>
        <w:keepNext/>
        <w:spacing w:line="240" w:lineRule="auto"/>
        <w:jc w:val="both"/>
        <w:rPr>
          <w:rFonts w:ascii="Arial" w:hAnsi="Arial" w:cs="Arial"/>
          <w:u w:val="single"/>
        </w:rPr>
      </w:pPr>
      <w:r>
        <w:rPr>
          <w:rFonts w:ascii="Arial" w:hAnsi="Arial" w:cs="Arial"/>
          <w:u w:val="single"/>
        </w:rPr>
        <w:lastRenderedPageBreak/>
        <w:t>B</w:t>
      </w:r>
      <w:r w:rsidRPr="000465D5">
        <w:rPr>
          <w:rFonts w:ascii="Arial" w:hAnsi="Arial" w:cs="Arial"/>
          <w:u w:val="single"/>
        </w:rPr>
        <w:t>enefits</w:t>
      </w:r>
      <w:r>
        <w:rPr>
          <w:rFonts w:ascii="Arial" w:hAnsi="Arial" w:cs="Arial"/>
          <w:u w:val="single"/>
        </w:rPr>
        <w:t xml:space="preserve"> and disadvantages</w:t>
      </w:r>
    </w:p>
    <w:p w14:paraId="632B3270" w14:textId="66E9B599" w:rsidR="00904C33" w:rsidRDefault="00FA2905" w:rsidP="009F78F1">
      <w:pPr>
        <w:spacing w:line="240" w:lineRule="auto"/>
        <w:jc w:val="both"/>
        <w:rPr>
          <w:rFonts w:ascii="Arial" w:hAnsi="Arial" w:cs="Arial"/>
        </w:rPr>
      </w:pPr>
      <w:r>
        <w:rPr>
          <w:rFonts w:ascii="Arial" w:hAnsi="Arial" w:cs="Arial"/>
        </w:rPr>
        <w:t xml:space="preserve">Subject to </w:t>
      </w:r>
      <w:r w:rsidR="00237301">
        <w:rPr>
          <w:rFonts w:ascii="Arial" w:hAnsi="Arial" w:cs="Arial"/>
        </w:rPr>
        <w:t>its</w:t>
      </w:r>
      <w:r>
        <w:rPr>
          <w:rFonts w:ascii="Arial" w:hAnsi="Arial" w:cs="Arial"/>
        </w:rPr>
        <w:t xml:space="preserve"> confirmation, </w:t>
      </w:r>
      <w:r w:rsidR="00577A21">
        <w:rPr>
          <w:rFonts w:ascii="Arial" w:hAnsi="Arial" w:cs="Arial"/>
        </w:rPr>
        <w:t>the claims and rights of creditors</w:t>
      </w:r>
      <w:r w:rsidR="00FD7E85">
        <w:rPr>
          <w:rFonts w:ascii="Arial" w:hAnsi="Arial" w:cs="Arial"/>
        </w:rPr>
        <w:t xml:space="preserve"> </w:t>
      </w:r>
      <w:r w:rsidR="00237301">
        <w:rPr>
          <w:rFonts w:ascii="Arial" w:hAnsi="Arial" w:cs="Arial"/>
        </w:rPr>
        <w:t xml:space="preserve">will be </w:t>
      </w:r>
      <w:r w:rsidR="00FD7E85">
        <w:rPr>
          <w:rFonts w:ascii="Arial" w:hAnsi="Arial" w:cs="Arial"/>
        </w:rPr>
        <w:t xml:space="preserve">modified in accordance with the reorganisation plan.  </w:t>
      </w:r>
      <w:r>
        <w:rPr>
          <w:rFonts w:ascii="Arial" w:hAnsi="Arial" w:cs="Arial"/>
        </w:rPr>
        <w:t xml:space="preserve">Efwon Romania </w:t>
      </w:r>
      <w:r w:rsidR="00FD7E85">
        <w:rPr>
          <w:rFonts w:ascii="Arial" w:hAnsi="Arial" w:cs="Arial"/>
        </w:rPr>
        <w:t xml:space="preserve">can </w:t>
      </w:r>
      <w:r w:rsidR="00823761">
        <w:rPr>
          <w:rFonts w:ascii="Arial" w:hAnsi="Arial" w:cs="Arial"/>
        </w:rPr>
        <w:t>c</w:t>
      </w:r>
      <w:r w:rsidR="00237301">
        <w:rPr>
          <w:rFonts w:ascii="Arial" w:hAnsi="Arial" w:cs="Arial"/>
        </w:rPr>
        <w:t>ontinue to c</w:t>
      </w:r>
      <w:r w:rsidR="00823761">
        <w:rPr>
          <w:rFonts w:ascii="Arial" w:hAnsi="Arial" w:cs="Arial"/>
        </w:rPr>
        <w:t>onduct its activity under the supervision of the judicial administrator.</w:t>
      </w:r>
      <w:r w:rsidR="00674EDD">
        <w:rPr>
          <w:rFonts w:ascii="Arial" w:hAnsi="Arial" w:cs="Arial"/>
        </w:rPr>
        <w:t xml:space="preserve">  </w:t>
      </w:r>
      <w:r w:rsidR="00CD384F">
        <w:rPr>
          <w:rFonts w:ascii="Arial" w:hAnsi="Arial" w:cs="Arial"/>
        </w:rPr>
        <w:t>Should no events under Article 145</w:t>
      </w:r>
      <w:r w:rsidR="004B1213">
        <w:rPr>
          <w:rFonts w:ascii="Arial" w:hAnsi="Arial" w:cs="Arial"/>
        </w:rPr>
        <w:t>(1)</w:t>
      </w:r>
      <w:r w:rsidR="000F1E7E">
        <w:rPr>
          <w:rFonts w:ascii="Arial" w:hAnsi="Arial" w:cs="Arial"/>
        </w:rPr>
        <w:t>C to E</w:t>
      </w:r>
      <w:r w:rsidR="00CD384F">
        <w:rPr>
          <w:rFonts w:ascii="Arial" w:hAnsi="Arial" w:cs="Arial"/>
        </w:rPr>
        <w:t xml:space="preserve"> of the Romanian IA occur, </w:t>
      </w:r>
      <w:r w:rsidR="004831BB">
        <w:rPr>
          <w:rFonts w:ascii="Arial" w:hAnsi="Arial" w:cs="Arial"/>
        </w:rPr>
        <w:t xml:space="preserve">and </w:t>
      </w:r>
      <w:r w:rsidR="00206F02">
        <w:rPr>
          <w:rFonts w:ascii="Arial" w:hAnsi="Arial" w:cs="Arial"/>
        </w:rPr>
        <w:t xml:space="preserve">after the judicial administrator </w:t>
      </w:r>
      <w:r w:rsidR="00237301">
        <w:rPr>
          <w:rFonts w:ascii="Arial" w:hAnsi="Arial" w:cs="Arial"/>
        </w:rPr>
        <w:t xml:space="preserve">has </w:t>
      </w:r>
      <w:r w:rsidR="00206F02">
        <w:rPr>
          <w:rFonts w:ascii="Arial" w:hAnsi="Arial" w:cs="Arial"/>
        </w:rPr>
        <w:t>submit</w:t>
      </w:r>
      <w:r w:rsidR="00237301">
        <w:rPr>
          <w:rFonts w:ascii="Arial" w:hAnsi="Arial" w:cs="Arial"/>
        </w:rPr>
        <w:t>ted</w:t>
      </w:r>
      <w:r w:rsidR="00206F02">
        <w:rPr>
          <w:rFonts w:ascii="Arial" w:hAnsi="Arial" w:cs="Arial"/>
        </w:rPr>
        <w:t xml:space="preserve"> a report confirming the fulfillment of </w:t>
      </w:r>
      <w:r w:rsidR="00BA0227">
        <w:rPr>
          <w:rFonts w:ascii="Arial" w:hAnsi="Arial" w:cs="Arial"/>
        </w:rPr>
        <w:t>the reorganisation plan, the reorganisation procedure will come to an end.</w:t>
      </w:r>
      <w:r w:rsidR="002C016E">
        <w:rPr>
          <w:rFonts w:ascii="Arial" w:hAnsi="Arial" w:cs="Arial"/>
        </w:rPr>
        <w:t xml:space="preserve">  Efwon Romanian will be relieved </w:t>
      </w:r>
      <w:r w:rsidR="00C60D55">
        <w:rPr>
          <w:rFonts w:ascii="Arial" w:hAnsi="Arial" w:cs="Arial"/>
        </w:rPr>
        <w:t>from any comprised debt pursuant to the reorganisation plan.</w:t>
      </w:r>
    </w:p>
    <w:p w14:paraId="3D67F171" w14:textId="55ED5342" w:rsidR="00BA0227" w:rsidRPr="008D04D2" w:rsidRDefault="00BA4DB0" w:rsidP="009F78F1">
      <w:pPr>
        <w:spacing w:line="240" w:lineRule="auto"/>
        <w:jc w:val="both"/>
        <w:rPr>
          <w:rFonts w:ascii="Arial" w:hAnsi="Arial" w:cs="Arial"/>
        </w:rPr>
      </w:pPr>
      <w:r>
        <w:rPr>
          <w:rFonts w:ascii="Arial" w:hAnsi="Arial" w:cs="Arial"/>
        </w:rPr>
        <w:t xml:space="preserve">Given the </w:t>
      </w:r>
      <w:r w:rsidR="00034D5A">
        <w:rPr>
          <w:rFonts w:ascii="Arial" w:hAnsi="Arial" w:cs="Arial"/>
        </w:rPr>
        <w:t xml:space="preserve">threats arose from the </w:t>
      </w:r>
      <w:r w:rsidR="0043784E">
        <w:rPr>
          <w:rFonts w:ascii="Arial" w:hAnsi="Arial" w:cs="Arial"/>
        </w:rPr>
        <w:t>claims brought by the Drivers and the potential defaults on its payments to Efwon Trading,</w:t>
      </w:r>
      <w:r w:rsidR="008C2FE2">
        <w:rPr>
          <w:rFonts w:ascii="Arial" w:hAnsi="Arial" w:cs="Arial"/>
        </w:rPr>
        <w:t xml:space="preserve"> </w:t>
      </w:r>
      <w:r w:rsidR="0043784E">
        <w:rPr>
          <w:rFonts w:ascii="Arial" w:hAnsi="Arial" w:cs="Arial"/>
        </w:rPr>
        <w:t xml:space="preserve">entering </w:t>
      </w:r>
      <w:r w:rsidR="008C2FE2">
        <w:rPr>
          <w:rFonts w:ascii="Arial" w:hAnsi="Arial" w:cs="Arial"/>
        </w:rPr>
        <w:t xml:space="preserve">insolvency </w:t>
      </w:r>
      <w:r w:rsidR="008B4E30">
        <w:rPr>
          <w:rFonts w:ascii="Arial" w:hAnsi="Arial" w:cs="Arial"/>
        </w:rPr>
        <w:t xml:space="preserve">proceedings </w:t>
      </w:r>
      <w:r w:rsidR="008C2FE2">
        <w:rPr>
          <w:rFonts w:ascii="Arial" w:hAnsi="Arial" w:cs="Arial"/>
        </w:rPr>
        <w:t>of Efwon Romania affords cer</w:t>
      </w:r>
      <w:r w:rsidR="002507A0">
        <w:rPr>
          <w:rFonts w:ascii="Arial" w:hAnsi="Arial" w:cs="Arial"/>
        </w:rPr>
        <w:t>tain benefits</w:t>
      </w:r>
      <w:r w:rsidR="003559BD">
        <w:rPr>
          <w:rFonts w:ascii="Arial" w:hAnsi="Arial" w:cs="Arial"/>
        </w:rPr>
        <w:t xml:space="preserve"> including that </w:t>
      </w:r>
      <w:r w:rsidR="00990FE9">
        <w:rPr>
          <w:rFonts w:ascii="Arial" w:hAnsi="Arial" w:cs="Arial"/>
        </w:rPr>
        <w:t xml:space="preserve">all enforcement measures against Efwon Romania </w:t>
      </w:r>
      <w:r w:rsidR="00345DF1">
        <w:rPr>
          <w:rFonts w:ascii="Arial" w:hAnsi="Arial" w:cs="Arial"/>
        </w:rPr>
        <w:t xml:space="preserve">are automatically suspended from the date of the opening of the </w:t>
      </w:r>
      <w:r w:rsidR="00237301">
        <w:rPr>
          <w:rFonts w:ascii="Arial" w:hAnsi="Arial" w:cs="Arial"/>
        </w:rPr>
        <w:t>insolvency proceedings</w:t>
      </w:r>
      <w:r w:rsidR="00345DF1">
        <w:rPr>
          <w:rFonts w:ascii="Arial" w:hAnsi="Arial" w:cs="Arial"/>
        </w:rPr>
        <w:t>.</w:t>
      </w:r>
      <w:r w:rsidR="003559BD">
        <w:rPr>
          <w:rStyle w:val="FootnoteReference"/>
          <w:rFonts w:ascii="Arial" w:hAnsi="Arial" w:cs="Arial"/>
        </w:rPr>
        <w:footnoteReference w:id="8"/>
      </w:r>
      <w:r w:rsidR="00345DF1">
        <w:rPr>
          <w:rFonts w:ascii="Arial" w:hAnsi="Arial" w:cs="Arial"/>
        </w:rPr>
        <w:t xml:space="preserve">  </w:t>
      </w:r>
      <w:r w:rsidR="002D57C6">
        <w:rPr>
          <w:rFonts w:ascii="Arial" w:hAnsi="Arial" w:cs="Arial"/>
        </w:rPr>
        <w:t xml:space="preserve">Further, </w:t>
      </w:r>
      <w:r w:rsidR="007D1B01">
        <w:rPr>
          <w:rFonts w:ascii="Arial" w:hAnsi="Arial" w:cs="Arial"/>
        </w:rPr>
        <w:t>no interest or penalty may be added to the claims arose before the date of the opening of the insolvency proceeding</w:t>
      </w:r>
      <w:r w:rsidR="004B3D15">
        <w:rPr>
          <w:rFonts w:ascii="Arial" w:hAnsi="Arial" w:cs="Arial"/>
        </w:rPr>
        <w:t>.</w:t>
      </w:r>
      <w:r w:rsidR="004B3D15">
        <w:rPr>
          <w:rStyle w:val="FootnoteReference"/>
          <w:rFonts w:ascii="Arial" w:hAnsi="Arial" w:cs="Arial"/>
        </w:rPr>
        <w:footnoteReference w:id="9"/>
      </w:r>
      <w:r w:rsidR="00B61710">
        <w:rPr>
          <w:rFonts w:ascii="Arial" w:hAnsi="Arial" w:cs="Arial"/>
        </w:rPr>
        <w:t xml:space="preserve">  During the observation period</w:t>
      </w:r>
      <w:r w:rsidR="001D54B5">
        <w:rPr>
          <w:rFonts w:ascii="Arial" w:hAnsi="Arial" w:cs="Arial"/>
        </w:rPr>
        <w:t xml:space="preserve"> and the reorganisation period</w:t>
      </w:r>
      <w:r w:rsidR="00B61710">
        <w:rPr>
          <w:rFonts w:ascii="Arial" w:hAnsi="Arial" w:cs="Arial"/>
        </w:rPr>
        <w:t xml:space="preserve">, Efwon Romania will be able to </w:t>
      </w:r>
      <w:r w:rsidR="000247F2">
        <w:rPr>
          <w:rFonts w:ascii="Arial" w:hAnsi="Arial" w:cs="Arial"/>
        </w:rPr>
        <w:t xml:space="preserve">continue </w:t>
      </w:r>
      <w:r w:rsidR="00237301">
        <w:rPr>
          <w:rFonts w:ascii="Arial" w:hAnsi="Arial" w:cs="Arial"/>
        </w:rPr>
        <w:t xml:space="preserve">to </w:t>
      </w:r>
      <w:r w:rsidR="000247F2">
        <w:rPr>
          <w:rFonts w:ascii="Arial" w:hAnsi="Arial" w:cs="Arial"/>
        </w:rPr>
        <w:t xml:space="preserve">carry out </w:t>
      </w:r>
      <w:r w:rsidR="00FB29D3">
        <w:rPr>
          <w:rFonts w:ascii="Arial" w:hAnsi="Arial" w:cs="Arial"/>
        </w:rPr>
        <w:t>current activities</w:t>
      </w:r>
      <w:r w:rsidR="003D1844">
        <w:rPr>
          <w:rFonts w:ascii="Arial" w:hAnsi="Arial" w:cs="Arial"/>
        </w:rPr>
        <w:t xml:space="preserve"> under the supervision of the judicial administrator assuming </w:t>
      </w:r>
      <w:r w:rsidR="00237301">
        <w:rPr>
          <w:rFonts w:ascii="Arial" w:hAnsi="Arial" w:cs="Arial"/>
        </w:rPr>
        <w:t xml:space="preserve">that </w:t>
      </w:r>
      <w:r w:rsidR="003D1844">
        <w:rPr>
          <w:rFonts w:ascii="Arial" w:hAnsi="Arial" w:cs="Arial"/>
        </w:rPr>
        <w:t xml:space="preserve">the right of administration </w:t>
      </w:r>
      <w:r w:rsidR="007A391D">
        <w:rPr>
          <w:rFonts w:ascii="Arial" w:hAnsi="Arial" w:cs="Arial"/>
        </w:rPr>
        <w:t>has not been revoked.</w:t>
      </w:r>
      <w:r w:rsidR="002E481B" w:rsidRPr="002E481B">
        <w:rPr>
          <w:rStyle w:val="FootnoteReference"/>
          <w:rFonts w:ascii="Arial" w:hAnsi="Arial" w:cs="Arial"/>
        </w:rPr>
        <w:t xml:space="preserve"> </w:t>
      </w:r>
      <w:r w:rsidR="002E481B">
        <w:rPr>
          <w:rStyle w:val="FootnoteReference"/>
          <w:rFonts w:ascii="Arial" w:hAnsi="Arial" w:cs="Arial"/>
        </w:rPr>
        <w:footnoteReference w:id="10"/>
      </w:r>
      <w:r w:rsidR="007A391D">
        <w:rPr>
          <w:rFonts w:ascii="Arial" w:hAnsi="Arial" w:cs="Arial"/>
        </w:rPr>
        <w:t xml:space="preserve">  </w:t>
      </w:r>
      <w:r w:rsidR="00BE3898">
        <w:rPr>
          <w:rFonts w:ascii="Arial" w:hAnsi="Arial" w:cs="Arial"/>
        </w:rPr>
        <w:t xml:space="preserve">Efwon Romania </w:t>
      </w:r>
      <w:r w:rsidR="00321286">
        <w:rPr>
          <w:rFonts w:ascii="Arial" w:hAnsi="Arial" w:cs="Arial"/>
        </w:rPr>
        <w:t xml:space="preserve">will also benefit from the </w:t>
      </w:r>
      <w:r w:rsidR="00ED4E68">
        <w:rPr>
          <w:rFonts w:ascii="Arial" w:hAnsi="Arial" w:cs="Arial"/>
        </w:rPr>
        <w:t xml:space="preserve">access of </w:t>
      </w:r>
      <w:r w:rsidR="00321286">
        <w:rPr>
          <w:rFonts w:ascii="Arial" w:hAnsi="Arial" w:cs="Arial"/>
        </w:rPr>
        <w:t>financing obtained during the observation period</w:t>
      </w:r>
      <w:r w:rsidR="00ED4E68">
        <w:rPr>
          <w:rFonts w:ascii="Arial" w:hAnsi="Arial" w:cs="Arial"/>
        </w:rPr>
        <w:t xml:space="preserve">.  </w:t>
      </w:r>
      <w:r w:rsidR="003559BD">
        <w:rPr>
          <w:rFonts w:ascii="Arial" w:hAnsi="Arial" w:cs="Arial"/>
        </w:rPr>
        <w:t>S</w:t>
      </w:r>
      <w:r w:rsidR="00C94CE4">
        <w:rPr>
          <w:rFonts w:ascii="Arial" w:hAnsi="Arial" w:cs="Arial"/>
        </w:rPr>
        <w:t xml:space="preserve">uch financing </w:t>
      </w:r>
      <w:r w:rsidR="00626854">
        <w:rPr>
          <w:rFonts w:ascii="Arial" w:hAnsi="Arial" w:cs="Arial"/>
        </w:rPr>
        <w:t>enjoys priority with the guarantee of assets or rights which are not subject to preferential cl</w:t>
      </w:r>
      <w:r w:rsidR="00626854" w:rsidRPr="008D04D2">
        <w:rPr>
          <w:rFonts w:ascii="Arial" w:hAnsi="Arial" w:cs="Arial"/>
        </w:rPr>
        <w:t>aims</w:t>
      </w:r>
      <w:r w:rsidR="004D6128" w:rsidRPr="008D04D2">
        <w:rPr>
          <w:rFonts w:ascii="Arial" w:hAnsi="Arial" w:cs="Arial"/>
        </w:rPr>
        <w:t>.</w:t>
      </w:r>
      <w:r w:rsidR="003559BD" w:rsidRPr="008D04D2">
        <w:rPr>
          <w:rStyle w:val="FootnoteReference"/>
          <w:rFonts w:ascii="Arial" w:hAnsi="Arial" w:cs="Arial"/>
        </w:rPr>
        <w:footnoteReference w:id="11"/>
      </w:r>
      <w:r w:rsidR="004D6128" w:rsidRPr="008D04D2">
        <w:rPr>
          <w:rFonts w:ascii="Arial" w:hAnsi="Arial" w:cs="Arial"/>
        </w:rPr>
        <w:t xml:space="preserve">  </w:t>
      </w:r>
      <w:r w:rsidR="00022607" w:rsidRPr="008D04D2">
        <w:rPr>
          <w:rFonts w:ascii="Arial" w:hAnsi="Arial" w:cs="Arial"/>
        </w:rPr>
        <w:t xml:space="preserve">The </w:t>
      </w:r>
      <w:proofErr w:type="gramStart"/>
      <w:r w:rsidR="00022607" w:rsidRPr="008D04D2">
        <w:rPr>
          <w:rFonts w:ascii="Arial" w:hAnsi="Arial" w:cs="Arial"/>
        </w:rPr>
        <w:t>last but not least</w:t>
      </w:r>
      <w:proofErr w:type="gramEnd"/>
      <w:r w:rsidR="00022607" w:rsidRPr="008D04D2">
        <w:rPr>
          <w:rFonts w:ascii="Arial" w:hAnsi="Arial" w:cs="Arial"/>
        </w:rPr>
        <w:t xml:space="preserve">, </w:t>
      </w:r>
      <w:r w:rsidR="00E236D6" w:rsidRPr="008D04D2">
        <w:rPr>
          <w:rFonts w:ascii="Arial" w:hAnsi="Arial" w:cs="Arial"/>
        </w:rPr>
        <w:t xml:space="preserve">the reorganisation plan </w:t>
      </w:r>
      <w:r w:rsidR="00603E7E" w:rsidRPr="008D04D2">
        <w:rPr>
          <w:rFonts w:ascii="Arial" w:hAnsi="Arial" w:cs="Arial"/>
        </w:rPr>
        <w:t xml:space="preserve">allows restructuring of debt </w:t>
      </w:r>
      <w:r w:rsidR="00781178" w:rsidRPr="008D04D2">
        <w:rPr>
          <w:rFonts w:ascii="Arial" w:hAnsi="Arial" w:cs="Arial"/>
        </w:rPr>
        <w:t xml:space="preserve">in which payments can be deferred or </w:t>
      </w:r>
      <w:r w:rsidR="00725B08" w:rsidRPr="008D04D2">
        <w:rPr>
          <w:rFonts w:ascii="Arial" w:hAnsi="Arial" w:cs="Arial"/>
        </w:rPr>
        <w:t>reduced.</w:t>
      </w:r>
    </w:p>
    <w:p w14:paraId="62409D3A" w14:textId="0943270C" w:rsidR="00A7606F" w:rsidRDefault="00DF463B" w:rsidP="00A7606F">
      <w:pPr>
        <w:spacing w:line="240" w:lineRule="auto"/>
        <w:jc w:val="both"/>
        <w:rPr>
          <w:rFonts w:ascii="Arial" w:hAnsi="Arial" w:cs="Arial"/>
        </w:rPr>
      </w:pPr>
      <w:r w:rsidRPr="008D04D2">
        <w:rPr>
          <w:rFonts w:ascii="Arial" w:hAnsi="Arial" w:cs="Arial"/>
        </w:rPr>
        <w:t xml:space="preserve">Commencing of the insolvency proceeding by </w:t>
      </w:r>
      <w:r w:rsidR="008D04D2" w:rsidRPr="008D04D2">
        <w:rPr>
          <w:rFonts w:ascii="Arial" w:hAnsi="Arial" w:cs="Arial"/>
        </w:rPr>
        <w:t xml:space="preserve">Efwon Romania with the view to propose a reorganisation plan provides moratorium on enforcement actions against Efwon Romania.  Should the reorganisation plan be approved by the creditors, </w:t>
      </w:r>
      <w:r w:rsidR="002557DC">
        <w:rPr>
          <w:rFonts w:ascii="Arial" w:hAnsi="Arial" w:cs="Arial"/>
        </w:rPr>
        <w:t>Efwon Romania</w:t>
      </w:r>
      <w:r w:rsidR="008D04D2" w:rsidRPr="008D04D2">
        <w:rPr>
          <w:rFonts w:ascii="Arial" w:hAnsi="Arial" w:cs="Arial"/>
        </w:rPr>
        <w:t xml:space="preserve"> </w:t>
      </w:r>
      <w:r w:rsidR="002557DC">
        <w:rPr>
          <w:rFonts w:ascii="Arial" w:hAnsi="Arial" w:cs="Arial"/>
        </w:rPr>
        <w:t>will have</w:t>
      </w:r>
      <w:r w:rsidR="008D04D2" w:rsidRPr="008D04D2">
        <w:rPr>
          <w:rFonts w:ascii="Arial" w:hAnsi="Arial" w:cs="Arial"/>
        </w:rPr>
        <w:t xml:space="preserve"> the opportunity to resolve its liquidity issues with a duration of three years while</w:t>
      </w:r>
      <w:r w:rsidR="00237301">
        <w:rPr>
          <w:rFonts w:ascii="Arial" w:hAnsi="Arial" w:cs="Arial"/>
        </w:rPr>
        <w:t xml:space="preserve"> the</w:t>
      </w:r>
      <w:r w:rsidR="008D04D2" w:rsidRPr="008D04D2">
        <w:rPr>
          <w:rFonts w:ascii="Arial" w:hAnsi="Arial" w:cs="Arial"/>
        </w:rPr>
        <w:t xml:space="preserve"> Efwon Group seeks to obtain new </w:t>
      </w:r>
      <w:r w:rsidR="00297E45">
        <w:rPr>
          <w:rFonts w:ascii="Arial" w:hAnsi="Arial" w:cs="Arial"/>
        </w:rPr>
        <w:t xml:space="preserve">debt and/or </w:t>
      </w:r>
      <w:r w:rsidR="008D04D2" w:rsidRPr="008D04D2">
        <w:rPr>
          <w:rFonts w:ascii="Arial" w:hAnsi="Arial" w:cs="Arial"/>
        </w:rPr>
        <w:t>capital.  Furthermore, the management of Efwon Romania continues to operate and manage the business and affairs via the special administrator with the supervision of the judicial administrator.</w:t>
      </w:r>
    </w:p>
    <w:p w14:paraId="53126675" w14:textId="3CA727A8" w:rsidR="000465D5" w:rsidRPr="000465D5" w:rsidRDefault="000465D5" w:rsidP="00A7606F">
      <w:pPr>
        <w:spacing w:line="240" w:lineRule="auto"/>
        <w:jc w:val="both"/>
        <w:rPr>
          <w:rFonts w:ascii="Arial" w:hAnsi="Arial" w:cs="Arial"/>
          <w:u w:val="single"/>
        </w:rPr>
      </w:pPr>
      <w:r w:rsidRPr="000465D5">
        <w:rPr>
          <w:rFonts w:ascii="Arial" w:hAnsi="Arial" w:cs="Arial"/>
          <w:u w:val="single"/>
        </w:rPr>
        <w:t>Further information required</w:t>
      </w:r>
    </w:p>
    <w:p w14:paraId="74DC46F6" w14:textId="210C665C" w:rsidR="00B651DC" w:rsidRDefault="001D6732" w:rsidP="009F78F1">
      <w:pPr>
        <w:spacing w:line="240" w:lineRule="auto"/>
        <w:jc w:val="both"/>
        <w:rPr>
          <w:rFonts w:ascii="Arial" w:hAnsi="Arial" w:cs="Arial"/>
        </w:rPr>
      </w:pPr>
      <w:r>
        <w:rPr>
          <w:rFonts w:ascii="Arial" w:hAnsi="Arial" w:cs="Arial"/>
        </w:rPr>
        <w:t xml:space="preserve">As can be seen from the above, </w:t>
      </w:r>
      <w:r w:rsidR="00D667B9">
        <w:rPr>
          <w:rFonts w:ascii="Arial" w:hAnsi="Arial" w:cs="Arial"/>
        </w:rPr>
        <w:t xml:space="preserve">the commencement of the insolvency procedure and the confirmation of the reorganisation plan rely heavily on the </w:t>
      </w:r>
      <w:r w:rsidR="000F60F9">
        <w:rPr>
          <w:rFonts w:ascii="Arial" w:hAnsi="Arial" w:cs="Arial"/>
        </w:rPr>
        <w:t xml:space="preserve">state of insolvency of Efwon Romania and the acceptance of the reorganisation plan by the creditors.  </w:t>
      </w:r>
      <w:r w:rsidR="00157074">
        <w:rPr>
          <w:rFonts w:ascii="Arial" w:hAnsi="Arial" w:cs="Arial"/>
        </w:rPr>
        <w:t xml:space="preserve">Efwon Romania </w:t>
      </w:r>
      <w:r w:rsidR="009A0B97">
        <w:rPr>
          <w:rFonts w:ascii="Arial" w:hAnsi="Arial" w:cs="Arial"/>
        </w:rPr>
        <w:t xml:space="preserve">must determine </w:t>
      </w:r>
      <w:r w:rsidR="00CC3BC7">
        <w:rPr>
          <w:rFonts w:ascii="Arial" w:hAnsi="Arial" w:cs="Arial"/>
        </w:rPr>
        <w:t xml:space="preserve">whether it is insolvent </w:t>
      </w:r>
      <w:proofErr w:type="gramStart"/>
      <w:r w:rsidR="00CC3BC7">
        <w:rPr>
          <w:rFonts w:ascii="Arial" w:hAnsi="Arial" w:cs="Arial"/>
        </w:rPr>
        <w:t>so as to</w:t>
      </w:r>
      <w:proofErr w:type="gramEnd"/>
      <w:r w:rsidR="00CC3BC7">
        <w:rPr>
          <w:rFonts w:ascii="Arial" w:hAnsi="Arial" w:cs="Arial"/>
        </w:rPr>
        <w:t xml:space="preserve"> </w:t>
      </w:r>
      <w:r w:rsidR="003D63CD">
        <w:rPr>
          <w:rFonts w:ascii="Arial" w:hAnsi="Arial" w:cs="Arial"/>
        </w:rPr>
        <w:t xml:space="preserve">be </w:t>
      </w:r>
      <w:r w:rsidR="00CC3BC7">
        <w:rPr>
          <w:rFonts w:ascii="Arial" w:hAnsi="Arial" w:cs="Arial"/>
        </w:rPr>
        <w:t>entitle</w:t>
      </w:r>
      <w:r w:rsidR="003D63CD">
        <w:rPr>
          <w:rFonts w:ascii="Arial" w:hAnsi="Arial" w:cs="Arial"/>
        </w:rPr>
        <w:t xml:space="preserve">d to commence insolvency </w:t>
      </w:r>
      <w:r w:rsidR="00237301">
        <w:rPr>
          <w:rFonts w:ascii="Arial" w:hAnsi="Arial" w:cs="Arial"/>
        </w:rPr>
        <w:t>proceedings</w:t>
      </w:r>
      <w:r w:rsidR="003D63CD">
        <w:rPr>
          <w:rFonts w:ascii="Arial" w:hAnsi="Arial" w:cs="Arial"/>
        </w:rPr>
        <w:t xml:space="preserve">. </w:t>
      </w:r>
      <w:r w:rsidR="009B4BC8">
        <w:rPr>
          <w:rFonts w:ascii="Arial" w:hAnsi="Arial" w:cs="Arial"/>
        </w:rPr>
        <w:t xml:space="preserve"> </w:t>
      </w:r>
      <w:r w:rsidR="00B651DC">
        <w:rPr>
          <w:rFonts w:ascii="Arial" w:hAnsi="Arial" w:cs="Arial"/>
        </w:rPr>
        <w:t xml:space="preserve">Apart from the contingent claim by the Drivers, it is </w:t>
      </w:r>
      <w:r w:rsidR="00237301">
        <w:rPr>
          <w:rFonts w:ascii="Arial" w:hAnsi="Arial" w:cs="Arial"/>
        </w:rPr>
        <w:t xml:space="preserve">also </w:t>
      </w:r>
      <w:r w:rsidR="00B651DC">
        <w:rPr>
          <w:rFonts w:ascii="Arial" w:hAnsi="Arial" w:cs="Arial"/>
        </w:rPr>
        <w:t xml:space="preserve">unclear as to the terms and maturity of the loan payable to Efwon Trading which </w:t>
      </w:r>
      <w:r w:rsidR="00237301">
        <w:rPr>
          <w:rFonts w:ascii="Arial" w:hAnsi="Arial" w:cs="Arial"/>
        </w:rPr>
        <w:t xml:space="preserve">both </w:t>
      </w:r>
      <w:r w:rsidR="00B651DC">
        <w:rPr>
          <w:rFonts w:ascii="Arial" w:hAnsi="Arial" w:cs="Arial"/>
        </w:rPr>
        <w:t xml:space="preserve">affect the assessment on Efwon Romania’s solvency. </w:t>
      </w:r>
      <w:r w:rsidR="003D63CD">
        <w:rPr>
          <w:rFonts w:ascii="Arial" w:hAnsi="Arial" w:cs="Arial"/>
        </w:rPr>
        <w:t xml:space="preserve"> </w:t>
      </w:r>
      <w:r w:rsidR="00237301">
        <w:rPr>
          <w:rFonts w:ascii="Arial" w:hAnsi="Arial" w:cs="Arial"/>
        </w:rPr>
        <w:t>Efwon Romania</w:t>
      </w:r>
      <w:r w:rsidR="003D63CD">
        <w:rPr>
          <w:rFonts w:ascii="Arial" w:hAnsi="Arial" w:cs="Arial"/>
        </w:rPr>
        <w:t xml:space="preserve"> also needs to consider the composition of its </w:t>
      </w:r>
      <w:r w:rsidR="00237301">
        <w:rPr>
          <w:rFonts w:ascii="Arial" w:hAnsi="Arial" w:cs="Arial"/>
        </w:rPr>
        <w:t xml:space="preserve">creditors’ </w:t>
      </w:r>
      <w:r w:rsidR="000167FB">
        <w:rPr>
          <w:rFonts w:ascii="Arial" w:hAnsi="Arial" w:cs="Arial"/>
        </w:rPr>
        <w:t>claim</w:t>
      </w:r>
      <w:r w:rsidR="003D63CD">
        <w:rPr>
          <w:rFonts w:ascii="Arial" w:hAnsi="Arial" w:cs="Arial"/>
        </w:rPr>
        <w:t>s</w:t>
      </w:r>
      <w:r w:rsidR="00032942">
        <w:rPr>
          <w:rFonts w:ascii="Arial" w:hAnsi="Arial" w:cs="Arial"/>
        </w:rPr>
        <w:t xml:space="preserve"> </w:t>
      </w:r>
      <w:r w:rsidR="001816D4">
        <w:rPr>
          <w:rFonts w:ascii="Arial" w:hAnsi="Arial" w:cs="Arial"/>
        </w:rPr>
        <w:t>wh</w:t>
      </w:r>
      <w:r w:rsidR="00F97FE7">
        <w:rPr>
          <w:rFonts w:ascii="Arial" w:hAnsi="Arial" w:cs="Arial"/>
        </w:rPr>
        <w:t>ich</w:t>
      </w:r>
      <w:r w:rsidR="001816D4">
        <w:rPr>
          <w:rFonts w:ascii="Arial" w:hAnsi="Arial" w:cs="Arial"/>
        </w:rPr>
        <w:t xml:space="preserve"> will be </w:t>
      </w:r>
      <w:r w:rsidR="00127188">
        <w:rPr>
          <w:rFonts w:ascii="Arial" w:hAnsi="Arial" w:cs="Arial"/>
        </w:rPr>
        <w:t>divided into five categories</w:t>
      </w:r>
      <w:r w:rsidR="003559BD">
        <w:rPr>
          <w:rFonts w:ascii="Arial" w:hAnsi="Arial" w:cs="Arial"/>
        </w:rPr>
        <w:t>.</w:t>
      </w:r>
      <w:r w:rsidR="003559BD">
        <w:rPr>
          <w:rStyle w:val="FootnoteReference"/>
          <w:rFonts w:ascii="Arial" w:hAnsi="Arial" w:cs="Arial"/>
        </w:rPr>
        <w:footnoteReference w:id="12"/>
      </w:r>
      <w:r w:rsidR="00127188">
        <w:rPr>
          <w:rFonts w:ascii="Arial" w:hAnsi="Arial" w:cs="Arial"/>
        </w:rPr>
        <w:t xml:space="preserve">  </w:t>
      </w:r>
      <w:r w:rsidR="00194082">
        <w:rPr>
          <w:rFonts w:ascii="Arial" w:hAnsi="Arial" w:cs="Arial"/>
        </w:rPr>
        <w:t xml:space="preserve">In order </w:t>
      </w:r>
      <w:r w:rsidR="007764D7">
        <w:rPr>
          <w:rFonts w:ascii="Arial" w:hAnsi="Arial" w:cs="Arial"/>
        </w:rPr>
        <w:t xml:space="preserve">for the reorganisation plan to be confirmed by the syndic judge, Efwon Romania </w:t>
      </w:r>
      <w:r w:rsidR="007F5178">
        <w:rPr>
          <w:rFonts w:ascii="Arial" w:hAnsi="Arial" w:cs="Arial"/>
        </w:rPr>
        <w:t xml:space="preserve">is required to consider </w:t>
      </w:r>
      <w:r w:rsidR="00F671BD">
        <w:rPr>
          <w:rFonts w:ascii="Arial" w:hAnsi="Arial" w:cs="Arial"/>
        </w:rPr>
        <w:t xml:space="preserve">what and </w:t>
      </w:r>
      <w:r w:rsidR="007F5178">
        <w:rPr>
          <w:rFonts w:ascii="Arial" w:hAnsi="Arial" w:cs="Arial"/>
        </w:rPr>
        <w:t xml:space="preserve">how </w:t>
      </w:r>
      <w:r w:rsidR="00F671BD">
        <w:rPr>
          <w:rFonts w:ascii="Arial" w:hAnsi="Arial" w:cs="Arial"/>
        </w:rPr>
        <w:t xml:space="preserve">a reorganisation plan should be proposed </w:t>
      </w:r>
      <w:proofErr w:type="gramStart"/>
      <w:r w:rsidR="00F671BD">
        <w:rPr>
          <w:rFonts w:ascii="Arial" w:hAnsi="Arial" w:cs="Arial"/>
        </w:rPr>
        <w:t xml:space="preserve">so as </w:t>
      </w:r>
      <w:r w:rsidR="007F5178">
        <w:rPr>
          <w:rFonts w:ascii="Arial" w:hAnsi="Arial" w:cs="Arial"/>
        </w:rPr>
        <w:t>to</w:t>
      </w:r>
      <w:proofErr w:type="gramEnd"/>
      <w:r w:rsidR="007F5178">
        <w:rPr>
          <w:rFonts w:ascii="Arial" w:hAnsi="Arial" w:cs="Arial"/>
        </w:rPr>
        <w:t xml:space="preserve"> secure sufficient voting from </w:t>
      </w:r>
      <w:r w:rsidR="000167FB">
        <w:rPr>
          <w:rFonts w:ascii="Arial" w:hAnsi="Arial" w:cs="Arial"/>
        </w:rPr>
        <w:t xml:space="preserve">creditors under </w:t>
      </w:r>
      <w:r w:rsidR="007F5178">
        <w:rPr>
          <w:rFonts w:ascii="Arial" w:hAnsi="Arial" w:cs="Arial"/>
        </w:rPr>
        <w:t xml:space="preserve">different categories of </w:t>
      </w:r>
      <w:r w:rsidR="000167FB">
        <w:rPr>
          <w:rFonts w:ascii="Arial" w:hAnsi="Arial" w:cs="Arial"/>
        </w:rPr>
        <w:t>claims</w:t>
      </w:r>
      <w:r w:rsidR="00867F92">
        <w:rPr>
          <w:rFonts w:ascii="Arial" w:hAnsi="Arial" w:cs="Arial"/>
        </w:rPr>
        <w:t xml:space="preserve"> in favour of the reorganisation plan.</w:t>
      </w:r>
      <w:r w:rsidR="00B651DC">
        <w:rPr>
          <w:rFonts w:ascii="Arial" w:hAnsi="Arial" w:cs="Arial"/>
        </w:rPr>
        <w:t xml:space="preserve">  The above advice ha</w:t>
      </w:r>
      <w:r w:rsidR="002E481B">
        <w:rPr>
          <w:rFonts w:ascii="Arial" w:hAnsi="Arial" w:cs="Arial"/>
        </w:rPr>
        <w:t>s</w:t>
      </w:r>
      <w:r w:rsidR="00B651DC">
        <w:rPr>
          <w:rFonts w:ascii="Arial" w:hAnsi="Arial" w:cs="Arial"/>
        </w:rPr>
        <w:t xml:space="preserve"> </w:t>
      </w:r>
      <w:r w:rsidR="00283528">
        <w:rPr>
          <w:rFonts w:ascii="Arial" w:hAnsi="Arial" w:cs="Arial"/>
        </w:rPr>
        <w:t xml:space="preserve">only </w:t>
      </w:r>
      <w:r w:rsidR="00B651DC">
        <w:rPr>
          <w:rFonts w:ascii="Arial" w:hAnsi="Arial" w:cs="Arial"/>
        </w:rPr>
        <w:t>been given</w:t>
      </w:r>
      <w:r w:rsidR="002E481B">
        <w:rPr>
          <w:rFonts w:ascii="Arial" w:hAnsi="Arial" w:cs="Arial"/>
        </w:rPr>
        <w:t>, despite that they have filed for the insolvency of Efwon Romania,</w:t>
      </w:r>
      <w:r w:rsidR="00B651DC">
        <w:rPr>
          <w:rFonts w:ascii="Arial" w:hAnsi="Arial" w:cs="Arial"/>
        </w:rPr>
        <w:t xml:space="preserve"> </w:t>
      </w:r>
      <w:proofErr w:type="gramStart"/>
      <w:r w:rsidR="00B651DC">
        <w:rPr>
          <w:rFonts w:ascii="Arial" w:hAnsi="Arial" w:cs="Arial"/>
        </w:rPr>
        <w:t>assuming that</w:t>
      </w:r>
      <w:proofErr w:type="gramEnd"/>
      <w:r w:rsidR="00B651DC">
        <w:rPr>
          <w:rFonts w:ascii="Arial" w:hAnsi="Arial" w:cs="Arial"/>
        </w:rPr>
        <w:t xml:space="preserve"> the Drivers </w:t>
      </w:r>
      <w:r w:rsidR="002E481B">
        <w:rPr>
          <w:rFonts w:ascii="Arial" w:hAnsi="Arial" w:cs="Arial"/>
        </w:rPr>
        <w:t xml:space="preserve">actually </w:t>
      </w:r>
      <w:r w:rsidR="00B651DC">
        <w:rPr>
          <w:rFonts w:ascii="Arial" w:hAnsi="Arial" w:cs="Arial"/>
        </w:rPr>
        <w:t xml:space="preserve">have jurisdiction to </w:t>
      </w:r>
      <w:r w:rsidR="002E481B">
        <w:rPr>
          <w:rFonts w:ascii="Arial" w:hAnsi="Arial" w:cs="Arial"/>
        </w:rPr>
        <w:t>file for insolvency proceedings against Efwon Romania.  Should the Drivers not have jurisdiction to file same as their debts are contingent, further consideration is required as to whether aggressive protection strategy o</w:t>
      </w:r>
      <w:r w:rsidR="00237301">
        <w:rPr>
          <w:rFonts w:ascii="Arial" w:hAnsi="Arial" w:cs="Arial"/>
        </w:rPr>
        <w:t>n</w:t>
      </w:r>
      <w:r w:rsidR="002E481B">
        <w:rPr>
          <w:rFonts w:ascii="Arial" w:hAnsi="Arial" w:cs="Arial"/>
        </w:rPr>
        <w:t xml:space="preserve"> Efwon Romania</w:t>
      </w:r>
      <w:r w:rsidR="00237301">
        <w:rPr>
          <w:rFonts w:ascii="Arial" w:hAnsi="Arial" w:cs="Arial"/>
        </w:rPr>
        <w:t xml:space="preserve">’s business </w:t>
      </w:r>
      <w:r w:rsidR="002E481B">
        <w:rPr>
          <w:rFonts w:ascii="Arial" w:hAnsi="Arial" w:cs="Arial"/>
        </w:rPr>
        <w:t>and assets should be taken.</w:t>
      </w:r>
    </w:p>
    <w:p w14:paraId="32709E2E" w14:textId="331BEA43" w:rsidR="00C30501" w:rsidRPr="000465D5" w:rsidRDefault="00BC291E" w:rsidP="002E481B">
      <w:pPr>
        <w:keepNext/>
        <w:spacing w:line="240" w:lineRule="auto"/>
        <w:jc w:val="both"/>
        <w:rPr>
          <w:rFonts w:ascii="Arial" w:hAnsi="Arial" w:cs="Arial"/>
          <w:b/>
          <w:bCs/>
          <w:caps/>
        </w:rPr>
      </w:pPr>
      <w:r>
        <w:rPr>
          <w:rFonts w:ascii="Arial" w:hAnsi="Arial" w:cs="Arial"/>
          <w:b/>
          <w:bCs/>
          <w:caps/>
        </w:rPr>
        <w:lastRenderedPageBreak/>
        <w:t xml:space="preserve">UK </w:t>
      </w:r>
      <w:r w:rsidR="000465D5" w:rsidRPr="000465D5">
        <w:rPr>
          <w:rFonts w:ascii="Arial" w:hAnsi="Arial" w:cs="Arial"/>
          <w:b/>
          <w:bCs/>
          <w:caps/>
        </w:rPr>
        <w:t xml:space="preserve">insolvency </w:t>
      </w:r>
      <w:r w:rsidR="00165C16" w:rsidRPr="000465D5">
        <w:rPr>
          <w:rFonts w:ascii="Arial" w:hAnsi="Arial" w:cs="Arial"/>
          <w:b/>
          <w:bCs/>
          <w:caps/>
        </w:rPr>
        <w:t>PROCEEDING</w:t>
      </w:r>
      <w:r w:rsidR="000465D5">
        <w:rPr>
          <w:rFonts w:ascii="Arial" w:hAnsi="Arial" w:cs="Arial"/>
          <w:b/>
          <w:bCs/>
          <w:caps/>
        </w:rPr>
        <w:t>s</w:t>
      </w:r>
    </w:p>
    <w:p w14:paraId="3B4A3C70" w14:textId="76D13157" w:rsidR="000465D5" w:rsidRPr="000465D5" w:rsidRDefault="000465D5" w:rsidP="004448AF">
      <w:pPr>
        <w:keepNext/>
        <w:spacing w:line="240" w:lineRule="auto"/>
        <w:jc w:val="both"/>
        <w:rPr>
          <w:rFonts w:ascii="Arial" w:hAnsi="Arial" w:cs="Arial"/>
          <w:u w:val="single"/>
        </w:rPr>
      </w:pPr>
      <w:r w:rsidRPr="000465D5">
        <w:rPr>
          <w:rFonts w:ascii="Arial" w:hAnsi="Arial" w:cs="Arial"/>
          <w:u w:val="single"/>
        </w:rPr>
        <w:t>Facts</w:t>
      </w:r>
    </w:p>
    <w:p w14:paraId="395CD107" w14:textId="5DA091D3" w:rsidR="00A7606F" w:rsidRDefault="00007352" w:rsidP="009F78F1">
      <w:pPr>
        <w:spacing w:line="240" w:lineRule="auto"/>
        <w:jc w:val="both"/>
        <w:rPr>
          <w:rFonts w:ascii="Arial" w:hAnsi="Arial" w:cs="Arial"/>
        </w:rPr>
      </w:pPr>
      <w:r>
        <w:rPr>
          <w:rFonts w:ascii="Arial" w:hAnsi="Arial" w:cs="Arial"/>
        </w:rPr>
        <w:t xml:space="preserve">The </w:t>
      </w:r>
      <w:r w:rsidR="006313D7">
        <w:rPr>
          <w:rFonts w:ascii="Arial" w:hAnsi="Arial" w:cs="Arial"/>
        </w:rPr>
        <w:t xml:space="preserve">liquidity </w:t>
      </w:r>
      <w:r w:rsidR="0085052A">
        <w:rPr>
          <w:rFonts w:ascii="Arial" w:hAnsi="Arial" w:cs="Arial"/>
        </w:rPr>
        <w:t xml:space="preserve">issue </w:t>
      </w:r>
      <w:r w:rsidR="006313D7">
        <w:rPr>
          <w:rFonts w:ascii="Arial" w:hAnsi="Arial" w:cs="Arial"/>
        </w:rPr>
        <w:t xml:space="preserve">of Efwon Romania </w:t>
      </w:r>
      <w:r w:rsidR="0028149B">
        <w:rPr>
          <w:rFonts w:ascii="Arial" w:hAnsi="Arial" w:cs="Arial"/>
        </w:rPr>
        <w:t xml:space="preserve">may </w:t>
      </w:r>
      <w:r w:rsidR="000549F3">
        <w:rPr>
          <w:rFonts w:ascii="Arial" w:hAnsi="Arial" w:cs="Arial"/>
        </w:rPr>
        <w:t>lead to the default of payment to</w:t>
      </w:r>
      <w:r w:rsidR="00760113">
        <w:rPr>
          <w:rFonts w:ascii="Arial" w:hAnsi="Arial" w:cs="Arial"/>
        </w:rPr>
        <w:t xml:space="preserve"> Efwon Trading</w:t>
      </w:r>
      <w:r w:rsidR="00ED2931">
        <w:rPr>
          <w:rFonts w:ascii="Arial" w:hAnsi="Arial" w:cs="Arial"/>
        </w:rPr>
        <w:t xml:space="preserve"> </w:t>
      </w:r>
      <w:r w:rsidR="002C0E5D">
        <w:rPr>
          <w:rFonts w:ascii="Arial" w:hAnsi="Arial" w:cs="Arial"/>
        </w:rPr>
        <w:t xml:space="preserve">and may in turn </w:t>
      </w:r>
      <w:r w:rsidR="00050404">
        <w:rPr>
          <w:rFonts w:ascii="Arial" w:hAnsi="Arial" w:cs="Arial"/>
        </w:rPr>
        <w:t>result in</w:t>
      </w:r>
      <w:r w:rsidR="00F97FE7">
        <w:rPr>
          <w:rFonts w:ascii="Arial" w:hAnsi="Arial" w:cs="Arial"/>
        </w:rPr>
        <w:t xml:space="preserve"> the</w:t>
      </w:r>
      <w:r w:rsidR="00050404">
        <w:rPr>
          <w:rFonts w:ascii="Arial" w:hAnsi="Arial" w:cs="Arial"/>
        </w:rPr>
        <w:t xml:space="preserve"> default of payment to the Monaco </w:t>
      </w:r>
      <w:r w:rsidR="004067E1">
        <w:rPr>
          <w:rFonts w:ascii="Arial" w:hAnsi="Arial" w:cs="Arial"/>
        </w:rPr>
        <w:t xml:space="preserve">based </w:t>
      </w:r>
      <w:r w:rsidR="00050404">
        <w:rPr>
          <w:rFonts w:ascii="Arial" w:hAnsi="Arial" w:cs="Arial"/>
        </w:rPr>
        <w:t>lender</w:t>
      </w:r>
      <w:r w:rsidR="004067E1">
        <w:rPr>
          <w:rFonts w:ascii="Arial" w:hAnsi="Arial" w:cs="Arial"/>
        </w:rPr>
        <w:t xml:space="preserve"> </w:t>
      </w:r>
      <w:r w:rsidR="00C014C4">
        <w:rPr>
          <w:rFonts w:ascii="Arial" w:hAnsi="Arial" w:cs="Arial"/>
        </w:rPr>
        <w:t xml:space="preserve">(the </w:t>
      </w:r>
      <w:r w:rsidR="00C014C4" w:rsidRPr="00C014C4">
        <w:rPr>
          <w:rFonts w:ascii="Arial" w:hAnsi="Arial" w:cs="Arial"/>
          <w:b/>
          <w:bCs/>
        </w:rPr>
        <w:t>Monaco Lender</w:t>
      </w:r>
      <w:r w:rsidR="00C014C4">
        <w:rPr>
          <w:rFonts w:ascii="Arial" w:hAnsi="Arial" w:cs="Arial"/>
        </w:rPr>
        <w:t xml:space="preserve">) </w:t>
      </w:r>
      <w:r w:rsidR="004067E1">
        <w:rPr>
          <w:rFonts w:ascii="Arial" w:hAnsi="Arial" w:cs="Arial"/>
        </w:rPr>
        <w:t xml:space="preserve">which has lent </w:t>
      </w:r>
      <w:r w:rsidR="00522C66">
        <w:rPr>
          <w:rFonts w:ascii="Arial" w:hAnsi="Arial" w:cs="Arial"/>
        </w:rPr>
        <w:t xml:space="preserve">USD100 million to Efwon Trading </w:t>
      </w:r>
      <w:r w:rsidR="004100F3">
        <w:rPr>
          <w:rFonts w:ascii="Arial" w:hAnsi="Arial" w:cs="Arial"/>
        </w:rPr>
        <w:t xml:space="preserve">to further advance to Efwon Romania as budget for the </w:t>
      </w:r>
      <w:r w:rsidR="00C014C4">
        <w:rPr>
          <w:rFonts w:ascii="Arial" w:hAnsi="Arial" w:cs="Arial"/>
        </w:rPr>
        <w:t>2014 season</w:t>
      </w:r>
      <w:r w:rsidR="00760113">
        <w:rPr>
          <w:rFonts w:ascii="Arial" w:hAnsi="Arial" w:cs="Arial"/>
        </w:rPr>
        <w:t>.</w:t>
      </w:r>
      <w:r w:rsidR="00C070BF">
        <w:rPr>
          <w:rFonts w:ascii="Arial" w:hAnsi="Arial" w:cs="Arial"/>
        </w:rPr>
        <w:t xml:space="preserve">  </w:t>
      </w:r>
      <w:r w:rsidR="0099338C">
        <w:rPr>
          <w:rFonts w:ascii="Arial" w:hAnsi="Arial" w:cs="Arial"/>
        </w:rPr>
        <w:t>T</w:t>
      </w:r>
      <w:r w:rsidR="00C014C4">
        <w:rPr>
          <w:rFonts w:ascii="Arial" w:hAnsi="Arial" w:cs="Arial"/>
        </w:rPr>
        <w:t>he loan from the Monaco Lender</w:t>
      </w:r>
      <w:r w:rsidR="0050286B">
        <w:rPr>
          <w:rFonts w:ascii="Arial" w:hAnsi="Arial" w:cs="Arial"/>
        </w:rPr>
        <w:t xml:space="preserve"> is secured by Efwon Trading’s revenue.  </w:t>
      </w:r>
      <w:r w:rsidR="00291FFD">
        <w:rPr>
          <w:rFonts w:ascii="Arial" w:hAnsi="Arial" w:cs="Arial"/>
        </w:rPr>
        <w:t xml:space="preserve">Another </w:t>
      </w:r>
      <w:r w:rsidR="00A72A47">
        <w:rPr>
          <w:rFonts w:ascii="Arial" w:hAnsi="Arial" w:cs="Arial"/>
        </w:rPr>
        <w:t>lender of Efwon Trading is Efwon Investment</w:t>
      </w:r>
      <w:r w:rsidR="005F3EBB">
        <w:rPr>
          <w:rFonts w:ascii="Arial" w:hAnsi="Arial" w:cs="Arial"/>
        </w:rPr>
        <w:t>s</w:t>
      </w:r>
      <w:r w:rsidR="00A72A47">
        <w:rPr>
          <w:rFonts w:ascii="Arial" w:hAnsi="Arial" w:cs="Arial"/>
        </w:rPr>
        <w:t xml:space="preserve"> which has lent USD350 million with security on future revenue of Efwon Trading’s trading activities.  </w:t>
      </w:r>
      <w:r w:rsidR="0099338C">
        <w:rPr>
          <w:rFonts w:ascii="Arial" w:hAnsi="Arial" w:cs="Arial"/>
        </w:rPr>
        <w:t>Based on the information available</w:t>
      </w:r>
      <w:r w:rsidR="004E5065">
        <w:rPr>
          <w:rFonts w:ascii="Arial" w:hAnsi="Arial" w:cs="Arial"/>
        </w:rPr>
        <w:t xml:space="preserve">, the role of Efwon Trading appears to be the </w:t>
      </w:r>
      <w:r w:rsidR="001B0D7B">
        <w:rPr>
          <w:rFonts w:ascii="Arial" w:hAnsi="Arial" w:cs="Arial"/>
        </w:rPr>
        <w:t>provision of financing facilities for other companies within the Efwon Group.</w:t>
      </w:r>
      <w:r w:rsidR="00623BEB">
        <w:rPr>
          <w:rFonts w:ascii="Arial" w:hAnsi="Arial" w:cs="Arial"/>
        </w:rPr>
        <w:t xml:space="preserve">  </w:t>
      </w:r>
    </w:p>
    <w:p w14:paraId="63B70944" w14:textId="48C68815" w:rsidR="00CB4DDF" w:rsidRDefault="00065081" w:rsidP="009F78F1">
      <w:pPr>
        <w:spacing w:line="240" w:lineRule="auto"/>
        <w:jc w:val="both"/>
        <w:rPr>
          <w:rFonts w:ascii="Arial" w:hAnsi="Arial" w:cs="Arial"/>
        </w:rPr>
      </w:pPr>
      <w:proofErr w:type="gramStart"/>
      <w:r>
        <w:rPr>
          <w:rFonts w:ascii="Arial" w:hAnsi="Arial" w:cs="Arial"/>
        </w:rPr>
        <w:t>In the event that</w:t>
      </w:r>
      <w:proofErr w:type="gramEnd"/>
      <w:r>
        <w:rPr>
          <w:rFonts w:ascii="Arial" w:hAnsi="Arial" w:cs="Arial"/>
        </w:rPr>
        <w:t xml:space="preserve"> Efwon Trading is at risk of insolvency</w:t>
      </w:r>
      <w:r w:rsidR="00C32E94">
        <w:rPr>
          <w:rFonts w:ascii="Arial" w:hAnsi="Arial" w:cs="Arial"/>
        </w:rPr>
        <w:t xml:space="preserve"> and</w:t>
      </w:r>
      <w:r w:rsidR="000C4978">
        <w:rPr>
          <w:rFonts w:ascii="Arial" w:hAnsi="Arial" w:cs="Arial"/>
        </w:rPr>
        <w:t>/or</w:t>
      </w:r>
      <w:r w:rsidR="00C32E94">
        <w:rPr>
          <w:rFonts w:ascii="Arial" w:hAnsi="Arial" w:cs="Arial"/>
        </w:rPr>
        <w:t xml:space="preserve"> winding</w:t>
      </w:r>
      <w:r w:rsidR="00996026">
        <w:rPr>
          <w:rFonts w:ascii="Arial" w:hAnsi="Arial" w:cs="Arial"/>
        </w:rPr>
        <w:t xml:space="preserve"> up</w:t>
      </w:r>
      <w:r w:rsidR="00C32E94">
        <w:rPr>
          <w:rFonts w:ascii="Arial" w:hAnsi="Arial" w:cs="Arial"/>
        </w:rPr>
        <w:t xml:space="preserve"> proceeding</w:t>
      </w:r>
      <w:r w:rsidR="000C4978">
        <w:rPr>
          <w:rFonts w:ascii="Arial" w:hAnsi="Arial" w:cs="Arial"/>
        </w:rPr>
        <w:t xml:space="preserve"> by creditor(s)</w:t>
      </w:r>
      <w:r w:rsidR="00C32E94">
        <w:rPr>
          <w:rFonts w:ascii="Arial" w:hAnsi="Arial" w:cs="Arial"/>
        </w:rPr>
        <w:t xml:space="preserve"> is </w:t>
      </w:r>
      <w:r w:rsidR="000C4978">
        <w:rPr>
          <w:rFonts w:ascii="Arial" w:hAnsi="Arial" w:cs="Arial"/>
        </w:rPr>
        <w:t>anticipated</w:t>
      </w:r>
      <w:r w:rsidR="00C32E94">
        <w:rPr>
          <w:rFonts w:ascii="Arial" w:hAnsi="Arial" w:cs="Arial"/>
        </w:rPr>
        <w:t xml:space="preserve">, </w:t>
      </w:r>
      <w:r w:rsidR="00136ED3">
        <w:rPr>
          <w:rFonts w:ascii="Arial" w:hAnsi="Arial" w:cs="Arial"/>
        </w:rPr>
        <w:t>the U</w:t>
      </w:r>
      <w:r w:rsidR="00476A4E">
        <w:rPr>
          <w:rFonts w:ascii="Arial" w:hAnsi="Arial" w:cs="Arial"/>
        </w:rPr>
        <w:t xml:space="preserve">nited </w:t>
      </w:r>
      <w:r w:rsidR="00136ED3">
        <w:rPr>
          <w:rFonts w:ascii="Arial" w:hAnsi="Arial" w:cs="Arial"/>
        </w:rPr>
        <w:t>K</w:t>
      </w:r>
      <w:r w:rsidR="00476A4E">
        <w:rPr>
          <w:rFonts w:ascii="Arial" w:hAnsi="Arial" w:cs="Arial"/>
        </w:rPr>
        <w:t>ingdom</w:t>
      </w:r>
      <w:r w:rsidR="00136ED3">
        <w:rPr>
          <w:rFonts w:ascii="Arial" w:hAnsi="Arial" w:cs="Arial"/>
        </w:rPr>
        <w:t xml:space="preserve"> Insolvency Act 1986 (the </w:t>
      </w:r>
      <w:r w:rsidR="00136ED3" w:rsidRPr="00136ED3">
        <w:rPr>
          <w:rFonts w:ascii="Arial" w:hAnsi="Arial" w:cs="Arial"/>
          <w:b/>
          <w:bCs/>
        </w:rPr>
        <w:t>UK IA</w:t>
      </w:r>
      <w:r w:rsidR="00136ED3">
        <w:rPr>
          <w:rFonts w:ascii="Arial" w:hAnsi="Arial" w:cs="Arial"/>
        </w:rPr>
        <w:t>)</w:t>
      </w:r>
      <w:r w:rsidR="00476A4E">
        <w:rPr>
          <w:rFonts w:ascii="Arial" w:hAnsi="Arial" w:cs="Arial"/>
        </w:rPr>
        <w:t xml:space="preserve"> affords two regimes for the protection of a compa</w:t>
      </w:r>
      <w:r w:rsidR="00101832">
        <w:rPr>
          <w:rFonts w:ascii="Arial" w:hAnsi="Arial" w:cs="Arial"/>
        </w:rPr>
        <w:t>ny</w:t>
      </w:r>
      <w:r w:rsidR="001D4CCD">
        <w:rPr>
          <w:rFonts w:ascii="Arial" w:hAnsi="Arial" w:cs="Arial"/>
        </w:rPr>
        <w:t xml:space="preserve">’s business and assets and </w:t>
      </w:r>
      <w:r w:rsidR="00F97FE7">
        <w:rPr>
          <w:rFonts w:ascii="Arial" w:hAnsi="Arial" w:cs="Arial"/>
        </w:rPr>
        <w:t xml:space="preserve">to </w:t>
      </w:r>
      <w:r w:rsidR="001D4CCD">
        <w:rPr>
          <w:rFonts w:ascii="Arial" w:hAnsi="Arial" w:cs="Arial"/>
        </w:rPr>
        <w:t xml:space="preserve">potentially facilitate </w:t>
      </w:r>
      <w:r w:rsidR="00BA1AD4">
        <w:rPr>
          <w:rFonts w:ascii="Arial" w:hAnsi="Arial" w:cs="Arial"/>
        </w:rPr>
        <w:t>a debt restructuring</w:t>
      </w:r>
      <w:r w:rsidR="00F97FE7">
        <w:rPr>
          <w:rFonts w:ascii="Arial" w:hAnsi="Arial" w:cs="Arial"/>
        </w:rPr>
        <w:t xml:space="preserve"> which are</w:t>
      </w:r>
      <w:r w:rsidR="00B36A3E">
        <w:rPr>
          <w:rFonts w:ascii="Arial" w:hAnsi="Arial" w:cs="Arial"/>
        </w:rPr>
        <w:t xml:space="preserve">: </w:t>
      </w:r>
    </w:p>
    <w:p w14:paraId="18DB40CC" w14:textId="3EA5EF36" w:rsidR="00CB4DDF" w:rsidRDefault="00F97FE7" w:rsidP="00864D5C">
      <w:pPr>
        <w:pStyle w:val="ListParagraph"/>
        <w:numPr>
          <w:ilvl w:val="0"/>
          <w:numId w:val="14"/>
        </w:numPr>
        <w:spacing w:line="240" w:lineRule="auto"/>
        <w:ind w:hanging="436"/>
        <w:jc w:val="both"/>
        <w:rPr>
          <w:rFonts w:ascii="Arial" w:hAnsi="Arial" w:cs="Arial"/>
        </w:rPr>
      </w:pPr>
      <w:r>
        <w:rPr>
          <w:rFonts w:ascii="Arial" w:hAnsi="Arial" w:cs="Arial"/>
        </w:rPr>
        <w:t xml:space="preserve">the </w:t>
      </w:r>
      <w:r w:rsidR="00B36A3E" w:rsidRPr="00CB4DDF">
        <w:rPr>
          <w:rFonts w:ascii="Arial" w:hAnsi="Arial" w:cs="Arial"/>
        </w:rPr>
        <w:t>company voluntary arrangements under Part I of the UK IA</w:t>
      </w:r>
      <w:r w:rsidR="00421A20" w:rsidRPr="00CB4DDF">
        <w:rPr>
          <w:rFonts w:ascii="Arial" w:hAnsi="Arial" w:cs="Arial"/>
        </w:rPr>
        <w:t xml:space="preserve"> (the </w:t>
      </w:r>
      <w:r w:rsidR="00421A20" w:rsidRPr="00CB4DDF">
        <w:rPr>
          <w:rFonts w:ascii="Arial" w:hAnsi="Arial" w:cs="Arial"/>
          <w:b/>
          <w:bCs/>
        </w:rPr>
        <w:t>CVA</w:t>
      </w:r>
      <w:r w:rsidR="00421A20" w:rsidRPr="00CB4DDF">
        <w:rPr>
          <w:rFonts w:ascii="Arial" w:hAnsi="Arial" w:cs="Arial"/>
        </w:rPr>
        <w:t>);</w:t>
      </w:r>
      <w:r w:rsidR="00B36A3E" w:rsidRPr="00CB4DDF">
        <w:rPr>
          <w:rFonts w:ascii="Arial" w:hAnsi="Arial" w:cs="Arial"/>
        </w:rPr>
        <w:t xml:space="preserve"> and </w:t>
      </w:r>
    </w:p>
    <w:p w14:paraId="39B40BA6" w14:textId="18E3365A" w:rsidR="004B7E07" w:rsidRDefault="00F97FE7" w:rsidP="00864D5C">
      <w:pPr>
        <w:pStyle w:val="ListParagraph"/>
        <w:numPr>
          <w:ilvl w:val="0"/>
          <w:numId w:val="14"/>
        </w:numPr>
        <w:spacing w:line="240" w:lineRule="auto"/>
        <w:ind w:hanging="436"/>
        <w:jc w:val="both"/>
        <w:rPr>
          <w:rFonts w:ascii="Arial" w:hAnsi="Arial" w:cs="Arial"/>
        </w:rPr>
      </w:pPr>
      <w:r>
        <w:rPr>
          <w:rFonts w:ascii="Arial" w:hAnsi="Arial" w:cs="Arial"/>
        </w:rPr>
        <w:t xml:space="preserve">the </w:t>
      </w:r>
      <w:r w:rsidR="00864D5C">
        <w:rPr>
          <w:rFonts w:ascii="Arial" w:hAnsi="Arial" w:cs="Arial"/>
        </w:rPr>
        <w:t>a</w:t>
      </w:r>
      <w:r w:rsidR="00A25480" w:rsidRPr="00CB4DDF">
        <w:rPr>
          <w:rFonts w:ascii="Arial" w:hAnsi="Arial" w:cs="Arial"/>
        </w:rPr>
        <w:t xml:space="preserve">dministration under </w:t>
      </w:r>
      <w:r>
        <w:rPr>
          <w:rFonts w:ascii="Arial" w:hAnsi="Arial" w:cs="Arial"/>
        </w:rPr>
        <w:t>Schedule B1</w:t>
      </w:r>
      <w:r w:rsidR="00A25480" w:rsidRPr="00CB4DDF">
        <w:rPr>
          <w:rFonts w:ascii="Arial" w:hAnsi="Arial" w:cs="Arial"/>
        </w:rPr>
        <w:t xml:space="preserve"> of the UK IA</w:t>
      </w:r>
      <w:r w:rsidR="004B7E07">
        <w:rPr>
          <w:rFonts w:ascii="Arial" w:hAnsi="Arial" w:cs="Arial"/>
        </w:rPr>
        <w:t xml:space="preserve"> (the </w:t>
      </w:r>
      <w:r w:rsidR="004B7E07" w:rsidRPr="004B7E07">
        <w:rPr>
          <w:rFonts w:ascii="Arial" w:hAnsi="Arial" w:cs="Arial"/>
          <w:b/>
          <w:bCs/>
        </w:rPr>
        <w:t>Administration</w:t>
      </w:r>
      <w:r w:rsidR="004B7E07">
        <w:rPr>
          <w:rFonts w:ascii="Arial" w:hAnsi="Arial" w:cs="Arial"/>
        </w:rPr>
        <w:t>)</w:t>
      </w:r>
      <w:r w:rsidR="00A25480" w:rsidRPr="00CB4DDF">
        <w:rPr>
          <w:rFonts w:ascii="Arial" w:hAnsi="Arial" w:cs="Arial"/>
        </w:rPr>
        <w:t xml:space="preserve">.  </w:t>
      </w:r>
    </w:p>
    <w:p w14:paraId="4531AA0F" w14:textId="4B2FA7FC" w:rsidR="00CB30DA" w:rsidRPr="004B7E07" w:rsidRDefault="001970BB" w:rsidP="004B7E07">
      <w:pPr>
        <w:spacing w:line="240" w:lineRule="auto"/>
        <w:jc w:val="both"/>
        <w:rPr>
          <w:rFonts w:ascii="Arial" w:hAnsi="Arial" w:cs="Arial"/>
        </w:rPr>
      </w:pPr>
      <w:r w:rsidRPr="004B7E07">
        <w:rPr>
          <w:rFonts w:ascii="Arial" w:hAnsi="Arial" w:cs="Arial"/>
        </w:rPr>
        <w:t xml:space="preserve">Both </w:t>
      </w:r>
      <w:r w:rsidR="00FA4B5A" w:rsidRPr="004B7E07">
        <w:rPr>
          <w:rFonts w:ascii="Arial" w:hAnsi="Arial" w:cs="Arial"/>
        </w:rPr>
        <w:t>procedures can be initiated by the director of Efwon Trading.</w:t>
      </w:r>
    </w:p>
    <w:p w14:paraId="19752B31" w14:textId="6633D55A" w:rsidR="000465D5" w:rsidRPr="000465D5" w:rsidRDefault="00B1333D" w:rsidP="009F78F1">
      <w:pPr>
        <w:spacing w:line="240" w:lineRule="auto"/>
        <w:jc w:val="both"/>
        <w:rPr>
          <w:rFonts w:ascii="Arial" w:hAnsi="Arial" w:cs="Arial"/>
          <w:u w:val="single"/>
        </w:rPr>
      </w:pPr>
      <w:r>
        <w:rPr>
          <w:rFonts w:ascii="Arial" w:hAnsi="Arial" w:cs="Arial"/>
          <w:u w:val="single"/>
        </w:rPr>
        <w:t>Procedures and outcomes</w:t>
      </w:r>
    </w:p>
    <w:p w14:paraId="490C6EB3" w14:textId="70FE0D99" w:rsidR="000465D5" w:rsidRPr="000465D5" w:rsidRDefault="000465D5" w:rsidP="009F78F1">
      <w:pPr>
        <w:spacing w:line="240" w:lineRule="auto"/>
        <w:jc w:val="both"/>
        <w:rPr>
          <w:rFonts w:ascii="Arial" w:hAnsi="Arial" w:cs="Arial"/>
          <w:i/>
          <w:iCs/>
        </w:rPr>
      </w:pPr>
      <w:r w:rsidRPr="000465D5">
        <w:rPr>
          <w:rFonts w:ascii="Arial" w:hAnsi="Arial" w:cs="Arial"/>
          <w:i/>
          <w:iCs/>
        </w:rPr>
        <w:t xml:space="preserve">Company voluntary arrangements </w:t>
      </w:r>
    </w:p>
    <w:p w14:paraId="67DEF646" w14:textId="14F1BAB7" w:rsidR="009D39A9" w:rsidRDefault="00FD10EB" w:rsidP="009F78F1">
      <w:pPr>
        <w:spacing w:line="240" w:lineRule="auto"/>
        <w:jc w:val="both"/>
        <w:rPr>
          <w:rFonts w:ascii="Arial" w:hAnsi="Arial" w:cs="Arial"/>
        </w:rPr>
      </w:pPr>
      <w:r>
        <w:rPr>
          <w:rFonts w:ascii="Arial" w:hAnsi="Arial" w:cs="Arial"/>
        </w:rPr>
        <w:t>The CVA can be initiated by the director.</w:t>
      </w:r>
      <w:r w:rsidR="00291940" w:rsidRPr="00291940">
        <w:rPr>
          <w:rStyle w:val="FootnoteReference"/>
          <w:rFonts w:ascii="Arial" w:hAnsi="Arial" w:cs="Arial"/>
        </w:rPr>
        <w:t xml:space="preserve"> </w:t>
      </w:r>
      <w:r w:rsidR="00291940">
        <w:rPr>
          <w:rStyle w:val="FootnoteReference"/>
          <w:rFonts w:ascii="Arial" w:hAnsi="Arial" w:cs="Arial"/>
        </w:rPr>
        <w:footnoteReference w:id="13"/>
      </w:r>
      <w:r>
        <w:rPr>
          <w:rFonts w:ascii="Arial" w:hAnsi="Arial" w:cs="Arial"/>
        </w:rPr>
        <w:t xml:space="preserve">  </w:t>
      </w:r>
      <w:r w:rsidR="007F23E6">
        <w:rPr>
          <w:rFonts w:ascii="Arial" w:hAnsi="Arial" w:cs="Arial"/>
        </w:rPr>
        <w:t xml:space="preserve">The purpose of </w:t>
      </w:r>
      <w:r w:rsidR="00634D3D">
        <w:rPr>
          <w:rFonts w:ascii="Arial" w:hAnsi="Arial" w:cs="Arial"/>
        </w:rPr>
        <w:t xml:space="preserve">the CVA </w:t>
      </w:r>
      <w:r w:rsidR="008E52C7">
        <w:rPr>
          <w:rFonts w:ascii="Arial" w:hAnsi="Arial" w:cs="Arial"/>
        </w:rPr>
        <w:t xml:space="preserve">is that the director </w:t>
      </w:r>
      <w:r w:rsidR="001911C2">
        <w:rPr>
          <w:rFonts w:ascii="Arial" w:hAnsi="Arial" w:cs="Arial"/>
        </w:rPr>
        <w:t xml:space="preserve">can </w:t>
      </w:r>
      <w:r w:rsidR="008E52C7">
        <w:rPr>
          <w:rFonts w:ascii="Arial" w:hAnsi="Arial" w:cs="Arial"/>
        </w:rPr>
        <w:t xml:space="preserve">propose a proposal </w:t>
      </w:r>
      <w:r w:rsidR="00DB01B0">
        <w:rPr>
          <w:rFonts w:ascii="Arial" w:hAnsi="Arial" w:cs="Arial"/>
        </w:rPr>
        <w:t xml:space="preserve">to the satisfaction of </w:t>
      </w:r>
      <w:r w:rsidR="008E52C7">
        <w:rPr>
          <w:rFonts w:ascii="Arial" w:hAnsi="Arial" w:cs="Arial"/>
        </w:rPr>
        <w:t xml:space="preserve">the company and </w:t>
      </w:r>
      <w:r w:rsidR="00DB01B0">
        <w:rPr>
          <w:rFonts w:ascii="Arial" w:hAnsi="Arial" w:cs="Arial"/>
        </w:rPr>
        <w:t xml:space="preserve">of </w:t>
      </w:r>
      <w:r w:rsidR="00FF00B0">
        <w:rPr>
          <w:rFonts w:ascii="Arial" w:hAnsi="Arial" w:cs="Arial"/>
        </w:rPr>
        <w:t xml:space="preserve">its </w:t>
      </w:r>
      <w:r w:rsidR="008E52C7">
        <w:rPr>
          <w:rFonts w:ascii="Arial" w:hAnsi="Arial" w:cs="Arial"/>
        </w:rPr>
        <w:t>c</w:t>
      </w:r>
      <w:r w:rsidR="00FF00B0">
        <w:rPr>
          <w:rFonts w:ascii="Arial" w:hAnsi="Arial" w:cs="Arial"/>
        </w:rPr>
        <w:t xml:space="preserve">reditors to restructure </w:t>
      </w:r>
      <w:r w:rsidR="00E06F02">
        <w:rPr>
          <w:rFonts w:ascii="Arial" w:hAnsi="Arial" w:cs="Arial"/>
        </w:rPr>
        <w:t>its affairs and debts</w:t>
      </w:r>
      <w:r w:rsidR="00DB01B0">
        <w:rPr>
          <w:rFonts w:ascii="Arial" w:hAnsi="Arial" w:cs="Arial"/>
        </w:rPr>
        <w:t>.</w:t>
      </w:r>
      <w:r w:rsidR="001B2E97">
        <w:rPr>
          <w:rStyle w:val="FootnoteReference"/>
          <w:rFonts w:ascii="Arial" w:hAnsi="Arial" w:cs="Arial"/>
        </w:rPr>
        <w:footnoteReference w:id="14"/>
      </w:r>
      <w:r w:rsidR="00DB01B0">
        <w:rPr>
          <w:rFonts w:ascii="Arial" w:hAnsi="Arial" w:cs="Arial"/>
        </w:rPr>
        <w:t xml:space="preserve">  </w:t>
      </w:r>
      <w:r w:rsidR="00421A20">
        <w:rPr>
          <w:rFonts w:ascii="Arial" w:hAnsi="Arial" w:cs="Arial"/>
        </w:rPr>
        <w:t xml:space="preserve">Under the CVA, </w:t>
      </w:r>
      <w:r w:rsidR="00313C49">
        <w:rPr>
          <w:rFonts w:ascii="Arial" w:hAnsi="Arial" w:cs="Arial"/>
        </w:rPr>
        <w:t>the director of a company makes a proposal</w:t>
      </w:r>
      <w:r w:rsidR="006373BA">
        <w:rPr>
          <w:rFonts w:ascii="Arial" w:hAnsi="Arial" w:cs="Arial"/>
        </w:rPr>
        <w:t xml:space="preserve"> </w:t>
      </w:r>
      <w:r w:rsidR="00313C49">
        <w:rPr>
          <w:rFonts w:ascii="Arial" w:hAnsi="Arial" w:cs="Arial"/>
        </w:rPr>
        <w:t>and</w:t>
      </w:r>
      <w:r w:rsidR="004E7CBE">
        <w:rPr>
          <w:rFonts w:ascii="Arial" w:hAnsi="Arial" w:cs="Arial"/>
        </w:rPr>
        <w:t xml:space="preserve"> nominates a nominee</w:t>
      </w:r>
      <w:r w:rsidR="006D23E9">
        <w:rPr>
          <w:rFonts w:ascii="Arial" w:hAnsi="Arial" w:cs="Arial"/>
        </w:rPr>
        <w:t xml:space="preserve">, </w:t>
      </w:r>
      <w:r w:rsidR="00ED01D7">
        <w:rPr>
          <w:rFonts w:ascii="Arial" w:hAnsi="Arial" w:cs="Arial"/>
        </w:rPr>
        <w:t>a qualified insolvency practitioner,</w:t>
      </w:r>
      <w:r w:rsidR="004E7CBE">
        <w:rPr>
          <w:rFonts w:ascii="Arial" w:hAnsi="Arial" w:cs="Arial"/>
        </w:rPr>
        <w:t xml:space="preserve"> who will evaluate </w:t>
      </w:r>
      <w:r w:rsidR="008A4AFC">
        <w:rPr>
          <w:rFonts w:ascii="Arial" w:hAnsi="Arial" w:cs="Arial"/>
        </w:rPr>
        <w:t>the proposal and</w:t>
      </w:r>
      <w:r w:rsidR="00BB4ABF">
        <w:rPr>
          <w:rFonts w:ascii="Arial" w:hAnsi="Arial" w:cs="Arial"/>
        </w:rPr>
        <w:t>,</w:t>
      </w:r>
      <w:r w:rsidR="008A4AFC">
        <w:rPr>
          <w:rFonts w:ascii="Arial" w:hAnsi="Arial" w:cs="Arial"/>
        </w:rPr>
        <w:t xml:space="preserve"> </w:t>
      </w:r>
      <w:r w:rsidR="00BB4ABF">
        <w:rPr>
          <w:rFonts w:ascii="Arial" w:hAnsi="Arial" w:cs="Arial"/>
        </w:rPr>
        <w:t>by submitting a report to the court</w:t>
      </w:r>
      <w:r w:rsidR="00BB4ABF">
        <w:rPr>
          <w:rFonts w:ascii="Arial" w:hAnsi="Arial" w:cs="Arial"/>
        </w:rPr>
        <w:t xml:space="preserve">, </w:t>
      </w:r>
      <w:r w:rsidR="00027B36">
        <w:rPr>
          <w:rFonts w:ascii="Arial" w:hAnsi="Arial" w:cs="Arial"/>
        </w:rPr>
        <w:t xml:space="preserve">recommend to the </w:t>
      </w:r>
      <w:r w:rsidR="00857BD4">
        <w:rPr>
          <w:rFonts w:ascii="Arial" w:hAnsi="Arial" w:cs="Arial"/>
        </w:rPr>
        <w:t>company and the creditors whether the proposal should be considered.</w:t>
      </w:r>
      <w:r w:rsidR="00500B64">
        <w:rPr>
          <w:rStyle w:val="FootnoteReference"/>
          <w:rFonts w:ascii="Arial" w:hAnsi="Arial" w:cs="Arial"/>
        </w:rPr>
        <w:footnoteReference w:id="15"/>
      </w:r>
      <w:r w:rsidR="00857BD4">
        <w:rPr>
          <w:rFonts w:ascii="Arial" w:hAnsi="Arial" w:cs="Arial"/>
        </w:rPr>
        <w:t xml:space="preserve">  </w:t>
      </w:r>
      <w:r w:rsidR="001B2E97">
        <w:rPr>
          <w:rFonts w:ascii="Arial" w:hAnsi="Arial" w:cs="Arial"/>
        </w:rPr>
        <w:t xml:space="preserve">If it is of the opinion that the proposal should be considered, the nominee will summon </w:t>
      </w:r>
      <w:r w:rsidR="00417FA2">
        <w:rPr>
          <w:rFonts w:ascii="Arial" w:hAnsi="Arial" w:cs="Arial"/>
        </w:rPr>
        <w:t xml:space="preserve">a meeting of the company to </w:t>
      </w:r>
      <w:r w:rsidR="00372239">
        <w:rPr>
          <w:rFonts w:ascii="Arial" w:hAnsi="Arial" w:cs="Arial"/>
        </w:rPr>
        <w:t xml:space="preserve">consider the proposal and to seek decision from the creditors as to whether they approve the </w:t>
      </w:r>
      <w:r w:rsidR="001200C9">
        <w:rPr>
          <w:rFonts w:ascii="Arial" w:hAnsi="Arial" w:cs="Arial"/>
        </w:rPr>
        <w:t>proposal.</w:t>
      </w:r>
      <w:r w:rsidR="001200C9" w:rsidRPr="001200C9">
        <w:rPr>
          <w:rStyle w:val="FootnoteReference"/>
          <w:rFonts w:ascii="Arial" w:hAnsi="Arial" w:cs="Arial"/>
        </w:rPr>
        <w:t xml:space="preserve"> </w:t>
      </w:r>
      <w:r w:rsidR="001200C9">
        <w:rPr>
          <w:rStyle w:val="FootnoteReference"/>
          <w:rFonts w:ascii="Arial" w:hAnsi="Arial" w:cs="Arial"/>
        </w:rPr>
        <w:footnoteReference w:id="16"/>
      </w:r>
      <w:r w:rsidR="00E240E8">
        <w:rPr>
          <w:rFonts w:ascii="Arial" w:hAnsi="Arial" w:cs="Arial"/>
        </w:rPr>
        <w:t xml:space="preserve">  If the proposal is so approved</w:t>
      </w:r>
      <w:r w:rsidR="007A0B7A">
        <w:rPr>
          <w:rFonts w:ascii="Arial" w:hAnsi="Arial" w:cs="Arial"/>
        </w:rPr>
        <w:t xml:space="preserve"> by </w:t>
      </w:r>
      <w:r w:rsidR="00B939A6">
        <w:rPr>
          <w:rFonts w:ascii="Arial" w:hAnsi="Arial" w:cs="Arial"/>
        </w:rPr>
        <w:t>more than 75% in value of the creditors</w:t>
      </w:r>
      <w:r w:rsidR="00E240E8">
        <w:rPr>
          <w:rFonts w:ascii="Arial" w:hAnsi="Arial" w:cs="Arial"/>
        </w:rPr>
        <w:t xml:space="preserve">, </w:t>
      </w:r>
      <w:r w:rsidR="00AA5F66">
        <w:rPr>
          <w:rFonts w:ascii="Arial" w:hAnsi="Arial" w:cs="Arial"/>
        </w:rPr>
        <w:t xml:space="preserve">the voluntary arrangement will take effect and bind </w:t>
      </w:r>
      <w:r w:rsidR="00AD4E59">
        <w:rPr>
          <w:rFonts w:ascii="Arial" w:hAnsi="Arial" w:cs="Arial"/>
        </w:rPr>
        <w:t>all creditors</w:t>
      </w:r>
      <w:r w:rsidR="00672A34">
        <w:rPr>
          <w:rFonts w:ascii="Arial" w:hAnsi="Arial" w:cs="Arial"/>
        </w:rPr>
        <w:t>.</w:t>
      </w:r>
      <w:r w:rsidR="00DA00A1">
        <w:rPr>
          <w:rStyle w:val="FootnoteReference"/>
          <w:rFonts w:ascii="Arial" w:hAnsi="Arial" w:cs="Arial"/>
        </w:rPr>
        <w:footnoteReference w:id="17"/>
      </w:r>
      <w:r w:rsidR="00672A34">
        <w:rPr>
          <w:rFonts w:ascii="Arial" w:hAnsi="Arial" w:cs="Arial"/>
        </w:rPr>
        <w:t xml:space="preserve">  </w:t>
      </w:r>
    </w:p>
    <w:p w14:paraId="1C7BDD8F" w14:textId="5A6DE654" w:rsidR="00435DBB" w:rsidRDefault="00F13F7D" w:rsidP="009F78F1">
      <w:pPr>
        <w:spacing w:line="240" w:lineRule="auto"/>
        <w:jc w:val="both"/>
        <w:rPr>
          <w:rFonts w:ascii="Arial" w:hAnsi="Arial" w:cs="Arial"/>
        </w:rPr>
      </w:pPr>
      <w:r>
        <w:rPr>
          <w:rFonts w:ascii="Arial" w:hAnsi="Arial" w:cs="Arial"/>
        </w:rPr>
        <w:t xml:space="preserve">However, the CVA </w:t>
      </w:r>
      <w:r w:rsidRPr="00FD3F90">
        <w:rPr>
          <w:rFonts w:ascii="Arial" w:hAnsi="Arial" w:cs="Arial"/>
        </w:rPr>
        <w:t>may not offer su</w:t>
      </w:r>
      <w:r w:rsidR="0097745F" w:rsidRPr="00FD3F90">
        <w:rPr>
          <w:rFonts w:ascii="Arial" w:hAnsi="Arial" w:cs="Arial"/>
        </w:rPr>
        <w:t xml:space="preserve">fficient protection to Efwon Trading in its current circumstances.  </w:t>
      </w:r>
      <w:r w:rsidR="00A378FD" w:rsidRPr="00FD3F90">
        <w:rPr>
          <w:rFonts w:ascii="Arial" w:hAnsi="Arial" w:cs="Arial"/>
        </w:rPr>
        <w:t xml:space="preserve">A </w:t>
      </w:r>
      <w:r w:rsidR="00D563DF" w:rsidRPr="00FD3F90">
        <w:rPr>
          <w:rFonts w:ascii="Arial" w:hAnsi="Arial" w:cs="Arial"/>
        </w:rPr>
        <w:t>proposal</w:t>
      </w:r>
      <w:r w:rsidR="00E47974" w:rsidRPr="00FD3F90">
        <w:rPr>
          <w:rFonts w:ascii="Arial" w:hAnsi="Arial" w:cs="Arial"/>
        </w:rPr>
        <w:t xml:space="preserve"> which affects the right of a secure creditor to enforce its security cannot be approved </w:t>
      </w:r>
      <w:r w:rsidR="003E4E87" w:rsidRPr="00FD3F90">
        <w:rPr>
          <w:rFonts w:ascii="Arial" w:hAnsi="Arial" w:cs="Arial"/>
        </w:rPr>
        <w:t xml:space="preserve">except </w:t>
      </w:r>
      <w:r w:rsidR="00F97FE7">
        <w:rPr>
          <w:rFonts w:ascii="Arial" w:hAnsi="Arial" w:cs="Arial"/>
        </w:rPr>
        <w:t>that</w:t>
      </w:r>
      <w:r w:rsidR="00866A20" w:rsidRPr="00FD3F90">
        <w:rPr>
          <w:rFonts w:ascii="Arial" w:hAnsi="Arial" w:cs="Arial"/>
        </w:rPr>
        <w:t xml:space="preserve"> </w:t>
      </w:r>
      <w:r w:rsidR="003E4E87" w:rsidRPr="00FD3F90">
        <w:rPr>
          <w:rFonts w:ascii="Arial" w:hAnsi="Arial" w:cs="Arial"/>
        </w:rPr>
        <w:t>the secured creditor concerned concurs.</w:t>
      </w:r>
      <w:bookmarkStart w:id="0" w:name="_Ref142488000"/>
      <w:r w:rsidR="00866A20" w:rsidRPr="00FD3F90">
        <w:rPr>
          <w:rStyle w:val="FootnoteReference"/>
          <w:rFonts w:ascii="Arial" w:hAnsi="Arial" w:cs="Arial"/>
        </w:rPr>
        <w:footnoteReference w:id="18"/>
      </w:r>
      <w:bookmarkEnd w:id="0"/>
      <w:r w:rsidR="001A5E1D" w:rsidRPr="00FD3F90">
        <w:rPr>
          <w:rFonts w:ascii="Arial" w:hAnsi="Arial" w:cs="Arial"/>
        </w:rPr>
        <w:t xml:space="preserve">  </w:t>
      </w:r>
      <w:r w:rsidR="00976A23" w:rsidRPr="00FD3F90">
        <w:rPr>
          <w:rFonts w:ascii="Arial" w:hAnsi="Arial" w:cs="Arial"/>
        </w:rPr>
        <w:t xml:space="preserve">Therefore, unless the Monaco Lender consents, it </w:t>
      </w:r>
      <w:r w:rsidR="00A903E6" w:rsidRPr="00FD3F90">
        <w:rPr>
          <w:rFonts w:ascii="Arial" w:hAnsi="Arial" w:cs="Arial"/>
        </w:rPr>
        <w:t xml:space="preserve">can still enforce its security even if Efwon Trading has entered </w:t>
      </w:r>
      <w:r w:rsidR="00CC59A2" w:rsidRPr="00FD3F90">
        <w:rPr>
          <w:rFonts w:ascii="Arial" w:hAnsi="Arial" w:cs="Arial"/>
        </w:rPr>
        <w:t xml:space="preserve">the CVA procedure.  In addition, </w:t>
      </w:r>
      <w:r w:rsidR="001A5E1D" w:rsidRPr="00FD3F90">
        <w:rPr>
          <w:rFonts w:ascii="Arial" w:hAnsi="Arial" w:cs="Arial"/>
        </w:rPr>
        <w:t xml:space="preserve">automatic moratorium is </w:t>
      </w:r>
      <w:r w:rsidR="004B1A58" w:rsidRPr="00FD3F90">
        <w:rPr>
          <w:rFonts w:ascii="Arial" w:hAnsi="Arial" w:cs="Arial"/>
        </w:rPr>
        <w:t xml:space="preserve">not </w:t>
      </w:r>
      <w:r w:rsidR="005E64A7" w:rsidRPr="00FD3F90">
        <w:rPr>
          <w:rFonts w:ascii="Arial" w:hAnsi="Arial" w:cs="Arial"/>
        </w:rPr>
        <w:t>availab</w:t>
      </w:r>
      <w:r w:rsidR="004B1A58" w:rsidRPr="00FD3F90">
        <w:rPr>
          <w:rFonts w:ascii="Arial" w:hAnsi="Arial" w:cs="Arial"/>
        </w:rPr>
        <w:t>le</w:t>
      </w:r>
      <w:r w:rsidR="001A5E1D" w:rsidRPr="00FD3F90">
        <w:rPr>
          <w:rFonts w:ascii="Arial" w:hAnsi="Arial" w:cs="Arial"/>
        </w:rPr>
        <w:t xml:space="preserve"> under the CVA</w:t>
      </w:r>
      <w:r w:rsidR="005E64A7" w:rsidRPr="00FD3F90">
        <w:rPr>
          <w:rFonts w:ascii="Arial" w:hAnsi="Arial" w:cs="Arial"/>
        </w:rPr>
        <w:t xml:space="preserve"> </w:t>
      </w:r>
      <w:r w:rsidR="004B1A58" w:rsidRPr="00FD3F90">
        <w:rPr>
          <w:rFonts w:ascii="Arial" w:hAnsi="Arial" w:cs="Arial"/>
        </w:rPr>
        <w:t xml:space="preserve">unless </w:t>
      </w:r>
      <w:r w:rsidR="00F97FE7">
        <w:rPr>
          <w:rFonts w:ascii="Arial" w:hAnsi="Arial" w:cs="Arial"/>
        </w:rPr>
        <w:t>the company</w:t>
      </w:r>
      <w:r w:rsidR="00777DED" w:rsidRPr="00FD3F90">
        <w:rPr>
          <w:rFonts w:ascii="Arial" w:hAnsi="Arial" w:cs="Arial"/>
        </w:rPr>
        <w:t xml:space="preserve"> </w:t>
      </w:r>
      <w:r w:rsidR="00B9012E" w:rsidRPr="00FD3F90">
        <w:rPr>
          <w:rFonts w:ascii="Arial" w:hAnsi="Arial" w:cs="Arial"/>
        </w:rPr>
        <w:t xml:space="preserve">satisfies two or more of the requirements for being a small company </w:t>
      </w:r>
      <w:r w:rsidR="00F97FE7">
        <w:rPr>
          <w:rFonts w:ascii="Arial" w:hAnsi="Arial" w:cs="Arial"/>
        </w:rPr>
        <w:t xml:space="preserve">pursuant to </w:t>
      </w:r>
      <w:r w:rsidR="002D2A51" w:rsidRPr="00FD3F90">
        <w:rPr>
          <w:rFonts w:ascii="Arial" w:hAnsi="Arial" w:cs="Arial"/>
        </w:rPr>
        <w:t>section 382(3) of the UK Companies Act 2006</w:t>
      </w:r>
      <w:r w:rsidR="00E15E60" w:rsidRPr="00FD3F90">
        <w:rPr>
          <w:rFonts w:ascii="Arial" w:hAnsi="Arial" w:cs="Arial"/>
        </w:rPr>
        <w:t xml:space="preserve"> (the </w:t>
      </w:r>
      <w:r w:rsidR="00E15E60" w:rsidRPr="00FD3F90">
        <w:rPr>
          <w:rFonts w:ascii="Arial" w:hAnsi="Arial" w:cs="Arial"/>
          <w:b/>
          <w:bCs/>
        </w:rPr>
        <w:t>UK CA</w:t>
      </w:r>
      <w:r w:rsidR="00E15E60" w:rsidRPr="00FD3F90">
        <w:rPr>
          <w:rFonts w:ascii="Arial" w:hAnsi="Arial" w:cs="Arial"/>
        </w:rPr>
        <w:t>)</w:t>
      </w:r>
      <w:r w:rsidR="00F97FE7">
        <w:rPr>
          <w:rFonts w:ascii="Arial" w:hAnsi="Arial" w:cs="Arial"/>
        </w:rPr>
        <w:t>.</w:t>
      </w:r>
      <w:r w:rsidR="00F97FE7" w:rsidRPr="00F97FE7">
        <w:rPr>
          <w:rStyle w:val="FootnoteReference"/>
          <w:rFonts w:ascii="Arial" w:hAnsi="Arial" w:cs="Arial"/>
        </w:rPr>
        <w:t xml:space="preserve"> </w:t>
      </w:r>
      <w:r w:rsidR="00F97FE7" w:rsidRPr="00FD3F90">
        <w:rPr>
          <w:rStyle w:val="FootnoteReference"/>
          <w:rFonts w:ascii="Arial" w:hAnsi="Arial" w:cs="Arial"/>
        </w:rPr>
        <w:footnoteReference w:id="19"/>
      </w:r>
      <w:r w:rsidR="00F97FE7">
        <w:rPr>
          <w:rFonts w:ascii="Arial" w:hAnsi="Arial" w:cs="Arial"/>
        </w:rPr>
        <w:t xml:space="preserve">  Based on the information available,</w:t>
      </w:r>
      <w:r w:rsidR="001701DC" w:rsidRPr="00FD3F90">
        <w:rPr>
          <w:rFonts w:ascii="Arial" w:hAnsi="Arial" w:cs="Arial"/>
        </w:rPr>
        <w:t xml:space="preserve"> Efwon Trading </w:t>
      </w:r>
      <w:r w:rsidR="00F97FE7">
        <w:rPr>
          <w:rFonts w:ascii="Arial" w:hAnsi="Arial" w:cs="Arial"/>
        </w:rPr>
        <w:t xml:space="preserve">is </w:t>
      </w:r>
      <w:r w:rsidR="00F96FDC" w:rsidRPr="00FD3F90">
        <w:rPr>
          <w:rFonts w:ascii="Arial" w:hAnsi="Arial" w:cs="Arial"/>
        </w:rPr>
        <w:t xml:space="preserve">not </w:t>
      </w:r>
      <w:r w:rsidR="00F97FE7">
        <w:rPr>
          <w:rFonts w:ascii="Arial" w:hAnsi="Arial" w:cs="Arial"/>
        </w:rPr>
        <w:t>qualified as a small company</w:t>
      </w:r>
      <w:r w:rsidR="00976A23" w:rsidRPr="00FD3F90">
        <w:rPr>
          <w:rFonts w:ascii="Arial" w:hAnsi="Arial" w:cs="Arial"/>
        </w:rPr>
        <w:t xml:space="preserve">.  </w:t>
      </w:r>
      <w:r w:rsidR="006D471B" w:rsidRPr="00FD3F90">
        <w:rPr>
          <w:rFonts w:ascii="Arial" w:hAnsi="Arial" w:cs="Arial"/>
        </w:rPr>
        <w:t xml:space="preserve">Furthermore, the 75% threshold </w:t>
      </w:r>
      <w:r w:rsidR="00C550F2" w:rsidRPr="00FD3F90">
        <w:rPr>
          <w:rFonts w:ascii="Arial" w:hAnsi="Arial" w:cs="Arial"/>
        </w:rPr>
        <w:lastRenderedPageBreak/>
        <w:t>to secure creditors’ approval is not low and</w:t>
      </w:r>
      <w:r w:rsidR="00C550F2">
        <w:rPr>
          <w:rFonts w:ascii="Arial" w:hAnsi="Arial" w:cs="Arial"/>
        </w:rPr>
        <w:t xml:space="preserve"> the creditors have the right </w:t>
      </w:r>
      <w:r w:rsidR="00E21859">
        <w:rPr>
          <w:rFonts w:ascii="Arial" w:hAnsi="Arial" w:cs="Arial"/>
        </w:rPr>
        <w:t>to challenge the decision in the court.</w:t>
      </w:r>
      <w:bookmarkStart w:id="1" w:name="_Ref142488414"/>
      <w:r w:rsidR="00E21859">
        <w:rPr>
          <w:rStyle w:val="FootnoteReference"/>
          <w:rFonts w:ascii="Arial" w:hAnsi="Arial" w:cs="Arial"/>
        </w:rPr>
        <w:footnoteReference w:id="20"/>
      </w:r>
      <w:bookmarkEnd w:id="1"/>
      <w:r w:rsidR="00E21859">
        <w:rPr>
          <w:rFonts w:ascii="Arial" w:hAnsi="Arial" w:cs="Arial"/>
        </w:rPr>
        <w:t xml:space="preserve">  </w:t>
      </w:r>
    </w:p>
    <w:p w14:paraId="466BBF49" w14:textId="0DEFFE4C" w:rsidR="000465D5" w:rsidRPr="000465D5" w:rsidRDefault="000465D5" w:rsidP="000465D5">
      <w:pPr>
        <w:keepNext/>
        <w:spacing w:line="240" w:lineRule="auto"/>
        <w:jc w:val="both"/>
        <w:rPr>
          <w:rFonts w:ascii="Arial" w:hAnsi="Arial" w:cs="Arial"/>
          <w:i/>
          <w:iCs/>
        </w:rPr>
      </w:pPr>
      <w:r w:rsidRPr="000465D5">
        <w:rPr>
          <w:rFonts w:ascii="Arial" w:hAnsi="Arial" w:cs="Arial"/>
          <w:i/>
          <w:iCs/>
        </w:rPr>
        <w:t>Administration</w:t>
      </w:r>
    </w:p>
    <w:p w14:paraId="5DCE2776" w14:textId="71C8DD34" w:rsidR="00FD3F1D" w:rsidRDefault="006512E8" w:rsidP="002F08C5">
      <w:pPr>
        <w:spacing w:line="240" w:lineRule="auto"/>
        <w:jc w:val="both"/>
        <w:rPr>
          <w:rFonts w:ascii="Arial" w:hAnsi="Arial" w:cs="Arial"/>
        </w:rPr>
      </w:pPr>
      <w:r>
        <w:rPr>
          <w:rFonts w:ascii="Arial" w:hAnsi="Arial" w:cs="Arial"/>
        </w:rPr>
        <w:t xml:space="preserve">The </w:t>
      </w:r>
      <w:r w:rsidR="00CC649D">
        <w:rPr>
          <w:rFonts w:ascii="Arial" w:hAnsi="Arial" w:cs="Arial"/>
        </w:rPr>
        <w:t xml:space="preserve">objectives </w:t>
      </w:r>
      <w:r>
        <w:rPr>
          <w:rFonts w:ascii="Arial" w:hAnsi="Arial" w:cs="Arial"/>
        </w:rPr>
        <w:t>of the A</w:t>
      </w:r>
      <w:r w:rsidR="00F33FE4">
        <w:rPr>
          <w:rFonts w:ascii="Arial" w:hAnsi="Arial" w:cs="Arial"/>
        </w:rPr>
        <w:t>dministration</w:t>
      </w:r>
      <w:r>
        <w:rPr>
          <w:rFonts w:ascii="Arial" w:hAnsi="Arial" w:cs="Arial"/>
        </w:rPr>
        <w:t xml:space="preserve"> </w:t>
      </w:r>
      <w:r w:rsidR="00CC649D">
        <w:rPr>
          <w:rFonts w:ascii="Arial" w:hAnsi="Arial" w:cs="Arial"/>
        </w:rPr>
        <w:t xml:space="preserve">are to rescue </w:t>
      </w:r>
      <w:r w:rsidR="006530A6">
        <w:rPr>
          <w:rFonts w:ascii="Arial" w:hAnsi="Arial" w:cs="Arial"/>
        </w:rPr>
        <w:t>the</w:t>
      </w:r>
      <w:r w:rsidR="00CC649D">
        <w:rPr>
          <w:rFonts w:ascii="Arial" w:hAnsi="Arial" w:cs="Arial"/>
        </w:rPr>
        <w:t xml:space="preserve"> company as a going concern, </w:t>
      </w:r>
      <w:r w:rsidR="006530A6">
        <w:rPr>
          <w:rFonts w:ascii="Arial" w:hAnsi="Arial" w:cs="Arial"/>
        </w:rPr>
        <w:t xml:space="preserve">achieve a better result for the </w:t>
      </w:r>
      <w:r w:rsidR="003A3EEE">
        <w:rPr>
          <w:rFonts w:ascii="Arial" w:hAnsi="Arial" w:cs="Arial"/>
        </w:rPr>
        <w:t xml:space="preserve">company’s creditors as a whole than </w:t>
      </w:r>
      <w:r w:rsidR="00E0782B">
        <w:rPr>
          <w:rFonts w:ascii="Arial" w:hAnsi="Arial" w:cs="Arial"/>
        </w:rPr>
        <w:t xml:space="preserve">in liquidation, or </w:t>
      </w:r>
      <w:r w:rsidR="002F08C5">
        <w:rPr>
          <w:rFonts w:ascii="Arial" w:hAnsi="Arial" w:cs="Arial"/>
        </w:rPr>
        <w:t xml:space="preserve">realise property in order to make a distribution </w:t>
      </w:r>
      <w:r w:rsidR="007735F4">
        <w:rPr>
          <w:rFonts w:ascii="Arial" w:hAnsi="Arial" w:cs="Arial"/>
        </w:rPr>
        <w:t>to creditors.</w:t>
      </w:r>
      <w:r w:rsidR="007735F4">
        <w:rPr>
          <w:rStyle w:val="FootnoteReference"/>
          <w:rFonts w:ascii="Arial" w:hAnsi="Arial" w:cs="Arial"/>
        </w:rPr>
        <w:footnoteReference w:id="21"/>
      </w:r>
      <w:r w:rsidR="000C1DC0">
        <w:rPr>
          <w:rFonts w:ascii="Arial" w:hAnsi="Arial" w:cs="Arial"/>
        </w:rPr>
        <w:t xml:space="preserve">  </w:t>
      </w:r>
      <w:r w:rsidR="00504983">
        <w:rPr>
          <w:rFonts w:ascii="Arial" w:hAnsi="Arial" w:cs="Arial"/>
        </w:rPr>
        <w:t xml:space="preserve">A company or its directors may appoint an administrator to initiate the Administration process </w:t>
      </w:r>
      <w:r w:rsidR="003B0F34">
        <w:rPr>
          <w:rFonts w:ascii="Arial" w:hAnsi="Arial" w:cs="Arial"/>
        </w:rPr>
        <w:t>by filing a notice of appointment with the court</w:t>
      </w:r>
      <w:r w:rsidR="00504983">
        <w:rPr>
          <w:rFonts w:ascii="Arial" w:hAnsi="Arial" w:cs="Arial"/>
        </w:rPr>
        <w:t>.</w:t>
      </w:r>
      <w:r w:rsidR="00504983">
        <w:rPr>
          <w:rStyle w:val="FootnoteReference"/>
          <w:rFonts w:ascii="Arial" w:hAnsi="Arial" w:cs="Arial"/>
        </w:rPr>
        <w:footnoteReference w:id="22"/>
      </w:r>
      <w:r w:rsidR="00C0607F">
        <w:rPr>
          <w:rFonts w:ascii="Arial" w:hAnsi="Arial" w:cs="Arial"/>
        </w:rPr>
        <w:t xml:space="preserve"> </w:t>
      </w:r>
      <w:r w:rsidR="00E248DC">
        <w:rPr>
          <w:rFonts w:ascii="Arial" w:hAnsi="Arial" w:cs="Arial"/>
        </w:rPr>
        <w:t xml:space="preserve"> </w:t>
      </w:r>
      <w:r w:rsidR="0028037B">
        <w:rPr>
          <w:rFonts w:ascii="Arial" w:hAnsi="Arial" w:cs="Arial"/>
        </w:rPr>
        <w:t xml:space="preserve">The administrator </w:t>
      </w:r>
      <w:r w:rsidR="00DB77E2">
        <w:rPr>
          <w:rFonts w:ascii="Arial" w:hAnsi="Arial" w:cs="Arial"/>
        </w:rPr>
        <w:t xml:space="preserve">will make a statement setting out proposals for achieving </w:t>
      </w:r>
      <w:r w:rsidR="00D82BC6">
        <w:rPr>
          <w:rFonts w:ascii="Arial" w:hAnsi="Arial" w:cs="Arial"/>
        </w:rPr>
        <w:t xml:space="preserve">the objectives </w:t>
      </w:r>
      <w:r w:rsidR="00DB77E2">
        <w:rPr>
          <w:rFonts w:ascii="Arial" w:hAnsi="Arial" w:cs="Arial"/>
        </w:rPr>
        <w:t>of the Administration</w:t>
      </w:r>
      <w:r w:rsidR="006359A9">
        <w:rPr>
          <w:rFonts w:ascii="Arial" w:hAnsi="Arial" w:cs="Arial"/>
        </w:rPr>
        <w:t xml:space="preserve"> which may include a proposal </w:t>
      </w:r>
      <w:r w:rsidR="00455752">
        <w:rPr>
          <w:rFonts w:ascii="Arial" w:hAnsi="Arial" w:cs="Arial"/>
        </w:rPr>
        <w:t>for a CVA</w:t>
      </w:r>
      <w:r w:rsidR="00E15E60">
        <w:rPr>
          <w:rFonts w:ascii="Arial" w:hAnsi="Arial" w:cs="Arial"/>
        </w:rPr>
        <w:t xml:space="preserve"> or a compromise or arrangement under Part 26 of the UK CA</w:t>
      </w:r>
      <w:r w:rsidR="00DB77E2">
        <w:rPr>
          <w:rFonts w:ascii="Arial" w:hAnsi="Arial" w:cs="Arial"/>
        </w:rPr>
        <w:t>.</w:t>
      </w:r>
      <w:r w:rsidR="006359A9">
        <w:rPr>
          <w:rStyle w:val="FootnoteReference"/>
          <w:rFonts w:ascii="Arial" w:hAnsi="Arial" w:cs="Arial"/>
        </w:rPr>
        <w:footnoteReference w:id="23"/>
      </w:r>
      <w:r w:rsidR="00D816FD">
        <w:rPr>
          <w:rFonts w:ascii="Arial" w:hAnsi="Arial" w:cs="Arial"/>
        </w:rPr>
        <w:t xml:space="preserve">  </w:t>
      </w:r>
      <w:r w:rsidR="00EE511E">
        <w:rPr>
          <w:rFonts w:ascii="Arial" w:hAnsi="Arial" w:cs="Arial"/>
        </w:rPr>
        <w:t>The proposal will be sent to every creditor</w:t>
      </w:r>
      <w:r w:rsidR="00314064">
        <w:rPr>
          <w:rFonts w:ascii="Arial" w:hAnsi="Arial" w:cs="Arial"/>
        </w:rPr>
        <w:t xml:space="preserve"> who will decide whether the proposal is approved</w:t>
      </w:r>
      <w:r w:rsidR="00240B32">
        <w:rPr>
          <w:rFonts w:ascii="Arial" w:hAnsi="Arial" w:cs="Arial"/>
        </w:rPr>
        <w:t xml:space="preserve"> within 10 weeks from the commencement of the Administration</w:t>
      </w:r>
      <w:r w:rsidR="00314064">
        <w:rPr>
          <w:rFonts w:ascii="Arial" w:hAnsi="Arial" w:cs="Arial"/>
        </w:rPr>
        <w:t>.</w:t>
      </w:r>
      <w:r w:rsidR="00F51CC2">
        <w:rPr>
          <w:rStyle w:val="FootnoteReference"/>
          <w:rFonts w:ascii="Arial" w:hAnsi="Arial" w:cs="Arial"/>
        </w:rPr>
        <w:footnoteReference w:id="24"/>
      </w:r>
      <w:r w:rsidR="00314064">
        <w:rPr>
          <w:rFonts w:ascii="Arial" w:hAnsi="Arial" w:cs="Arial"/>
        </w:rPr>
        <w:t xml:space="preserve"> </w:t>
      </w:r>
      <w:r w:rsidR="00240B32">
        <w:rPr>
          <w:rFonts w:ascii="Arial" w:hAnsi="Arial" w:cs="Arial"/>
        </w:rPr>
        <w:t xml:space="preserve"> </w:t>
      </w:r>
      <w:r w:rsidR="001C3043">
        <w:rPr>
          <w:rFonts w:ascii="Arial" w:hAnsi="Arial" w:cs="Arial"/>
        </w:rPr>
        <w:t xml:space="preserve">If the creditors so approve, the </w:t>
      </w:r>
      <w:r w:rsidR="00745DC2">
        <w:rPr>
          <w:rFonts w:ascii="Arial" w:hAnsi="Arial" w:cs="Arial"/>
        </w:rPr>
        <w:t xml:space="preserve">administrator will administer the terms of the proposal </w:t>
      </w:r>
      <w:r w:rsidR="00FC76E6">
        <w:rPr>
          <w:rFonts w:ascii="Arial" w:hAnsi="Arial" w:cs="Arial"/>
        </w:rPr>
        <w:t xml:space="preserve">which, </w:t>
      </w:r>
      <w:r w:rsidR="0097689F">
        <w:rPr>
          <w:rFonts w:ascii="Arial" w:hAnsi="Arial" w:cs="Arial"/>
        </w:rPr>
        <w:t>when its purpose has been sufficiently achieve</w:t>
      </w:r>
      <w:r w:rsidR="00D82BC6">
        <w:rPr>
          <w:rFonts w:ascii="Arial" w:hAnsi="Arial" w:cs="Arial"/>
        </w:rPr>
        <w:t>d</w:t>
      </w:r>
      <w:r w:rsidR="0097689F">
        <w:rPr>
          <w:rFonts w:ascii="Arial" w:hAnsi="Arial" w:cs="Arial"/>
        </w:rPr>
        <w:t xml:space="preserve">, </w:t>
      </w:r>
      <w:r w:rsidR="00FC76E6">
        <w:rPr>
          <w:rFonts w:ascii="Arial" w:hAnsi="Arial" w:cs="Arial"/>
        </w:rPr>
        <w:t xml:space="preserve">will </w:t>
      </w:r>
      <w:r w:rsidR="00D82BC6">
        <w:rPr>
          <w:rFonts w:ascii="Arial" w:hAnsi="Arial" w:cs="Arial"/>
        </w:rPr>
        <w:t xml:space="preserve">come to an </w:t>
      </w:r>
      <w:r w:rsidR="00FC76E6">
        <w:rPr>
          <w:rFonts w:ascii="Arial" w:hAnsi="Arial" w:cs="Arial"/>
        </w:rPr>
        <w:t xml:space="preserve">end </w:t>
      </w:r>
      <w:r w:rsidR="00602403">
        <w:rPr>
          <w:rFonts w:ascii="Arial" w:hAnsi="Arial" w:cs="Arial"/>
        </w:rPr>
        <w:t>with a notice filed with the court by the administrator.</w:t>
      </w:r>
      <w:r w:rsidR="00602403">
        <w:rPr>
          <w:rStyle w:val="FootnoteReference"/>
          <w:rFonts w:ascii="Arial" w:hAnsi="Arial" w:cs="Arial"/>
        </w:rPr>
        <w:footnoteReference w:id="25"/>
      </w:r>
    </w:p>
    <w:p w14:paraId="73D0AC11" w14:textId="4E7438E5" w:rsidR="001A288E" w:rsidRDefault="00DC494B" w:rsidP="002F08C5">
      <w:pPr>
        <w:spacing w:line="240" w:lineRule="auto"/>
        <w:jc w:val="both"/>
        <w:rPr>
          <w:rFonts w:ascii="Arial" w:hAnsi="Arial" w:cs="Arial"/>
        </w:rPr>
      </w:pPr>
      <w:r>
        <w:rPr>
          <w:rFonts w:ascii="Arial" w:hAnsi="Arial" w:cs="Arial"/>
        </w:rPr>
        <w:t>During the proce</w:t>
      </w:r>
      <w:r w:rsidR="00EF4A40">
        <w:rPr>
          <w:rFonts w:ascii="Arial" w:hAnsi="Arial" w:cs="Arial"/>
        </w:rPr>
        <w:t xml:space="preserve">ss of the Administration, the administrator </w:t>
      </w:r>
      <w:r w:rsidR="0068681F">
        <w:rPr>
          <w:rFonts w:ascii="Arial" w:hAnsi="Arial" w:cs="Arial"/>
        </w:rPr>
        <w:t xml:space="preserve">shall </w:t>
      </w:r>
      <w:r w:rsidR="007252DD">
        <w:rPr>
          <w:rFonts w:ascii="Arial" w:hAnsi="Arial" w:cs="Arial"/>
        </w:rPr>
        <w:t>management the affairs, business and property of the company</w:t>
      </w:r>
      <w:r w:rsidR="00893D97">
        <w:rPr>
          <w:rFonts w:ascii="Arial" w:hAnsi="Arial" w:cs="Arial"/>
        </w:rPr>
        <w:t xml:space="preserve"> and</w:t>
      </w:r>
      <w:r w:rsidR="00E86E7B">
        <w:rPr>
          <w:rFonts w:ascii="Arial" w:hAnsi="Arial" w:cs="Arial"/>
        </w:rPr>
        <w:t>, if the proposal is approved,</w:t>
      </w:r>
      <w:r w:rsidR="00893D97">
        <w:rPr>
          <w:rFonts w:ascii="Arial" w:hAnsi="Arial" w:cs="Arial"/>
        </w:rPr>
        <w:t xml:space="preserve"> in accordance with the proposa</w:t>
      </w:r>
      <w:r w:rsidR="00E86E7B">
        <w:rPr>
          <w:rFonts w:ascii="Arial" w:hAnsi="Arial" w:cs="Arial"/>
        </w:rPr>
        <w:t>l.</w:t>
      </w:r>
      <w:r w:rsidR="002729F9">
        <w:rPr>
          <w:rStyle w:val="FootnoteReference"/>
          <w:rFonts w:ascii="Arial" w:hAnsi="Arial" w:cs="Arial"/>
        </w:rPr>
        <w:footnoteReference w:id="26"/>
      </w:r>
      <w:r w:rsidR="00D8659A">
        <w:rPr>
          <w:rFonts w:ascii="Arial" w:hAnsi="Arial" w:cs="Arial"/>
        </w:rPr>
        <w:t xml:space="preserve">  The administrator shall also take custody or control of all the property of the company.</w:t>
      </w:r>
      <w:r w:rsidR="00D8659A">
        <w:rPr>
          <w:rStyle w:val="FootnoteReference"/>
          <w:rFonts w:ascii="Arial" w:hAnsi="Arial" w:cs="Arial"/>
        </w:rPr>
        <w:footnoteReference w:id="27"/>
      </w:r>
      <w:r w:rsidR="00D83FD1">
        <w:rPr>
          <w:rFonts w:ascii="Arial" w:hAnsi="Arial" w:cs="Arial"/>
        </w:rPr>
        <w:t xml:space="preserve">  </w:t>
      </w:r>
      <w:r w:rsidR="00C83323">
        <w:rPr>
          <w:rFonts w:ascii="Arial" w:hAnsi="Arial" w:cs="Arial"/>
        </w:rPr>
        <w:t>In other words</w:t>
      </w:r>
      <w:r w:rsidR="00D83FD1">
        <w:rPr>
          <w:rFonts w:ascii="Arial" w:hAnsi="Arial" w:cs="Arial"/>
        </w:rPr>
        <w:t xml:space="preserve">, the company and its director cease </w:t>
      </w:r>
      <w:r w:rsidR="00C16DFB">
        <w:rPr>
          <w:rFonts w:ascii="Arial" w:hAnsi="Arial" w:cs="Arial"/>
        </w:rPr>
        <w:t>to have power to exercise management functions without the consent of the administrator.</w:t>
      </w:r>
      <w:r w:rsidR="00C16DFB">
        <w:rPr>
          <w:rStyle w:val="FootnoteReference"/>
          <w:rFonts w:ascii="Arial" w:hAnsi="Arial" w:cs="Arial"/>
        </w:rPr>
        <w:footnoteReference w:id="28"/>
      </w:r>
      <w:r w:rsidR="00C16DFB">
        <w:rPr>
          <w:rFonts w:ascii="Arial" w:hAnsi="Arial" w:cs="Arial"/>
        </w:rPr>
        <w:t xml:space="preserve">  </w:t>
      </w:r>
      <w:r w:rsidR="00415D4A">
        <w:rPr>
          <w:rFonts w:ascii="Arial" w:hAnsi="Arial" w:cs="Arial"/>
        </w:rPr>
        <w:t xml:space="preserve">Furthermore, the administrator may remove </w:t>
      </w:r>
      <w:r w:rsidR="001A02E0">
        <w:rPr>
          <w:rFonts w:ascii="Arial" w:hAnsi="Arial" w:cs="Arial"/>
        </w:rPr>
        <w:t>director</w:t>
      </w:r>
      <w:r w:rsidR="007B1EFF">
        <w:rPr>
          <w:rFonts w:ascii="Arial" w:hAnsi="Arial" w:cs="Arial"/>
        </w:rPr>
        <w:t>s</w:t>
      </w:r>
      <w:r w:rsidR="001A02E0">
        <w:rPr>
          <w:rFonts w:ascii="Arial" w:hAnsi="Arial" w:cs="Arial"/>
        </w:rPr>
        <w:t xml:space="preserve"> and/or appoint others (whether or not to fill a vaca</w:t>
      </w:r>
      <w:r w:rsidR="00C704F0">
        <w:rPr>
          <w:rFonts w:ascii="Arial" w:hAnsi="Arial" w:cs="Arial"/>
        </w:rPr>
        <w:t>n</w:t>
      </w:r>
      <w:r w:rsidR="001A02E0">
        <w:rPr>
          <w:rFonts w:ascii="Arial" w:hAnsi="Arial" w:cs="Arial"/>
        </w:rPr>
        <w:t>cy).</w:t>
      </w:r>
      <w:r w:rsidR="00B17276">
        <w:rPr>
          <w:rStyle w:val="FootnoteReference"/>
          <w:rFonts w:ascii="Arial" w:hAnsi="Arial" w:cs="Arial"/>
        </w:rPr>
        <w:footnoteReference w:id="29"/>
      </w:r>
      <w:r w:rsidR="00E61424">
        <w:rPr>
          <w:rFonts w:ascii="Arial" w:hAnsi="Arial" w:cs="Arial"/>
        </w:rPr>
        <w:t xml:space="preserve">  </w:t>
      </w:r>
      <w:r w:rsidR="00715F5B">
        <w:rPr>
          <w:rFonts w:ascii="Arial" w:hAnsi="Arial" w:cs="Arial"/>
        </w:rPr>
        <w:t xml:space="preserve">Automatic moratorium is available </w:t>
      </w:r>
      <w:r w:rsidR="00D53FCC">
        <w:rPr>
          <w:rFonts w:ascii="Arial" w:hAnsi="Arial" w:cs="Arial"/>
        </w:rPr>
        <w:t xml:space="preserve">in the Administration regime.  </w:t>
      </w:r>
      <w:r w:rsidR="00E61424">
        <w:rPr>
          <w:rFonts w:ascii="Arial" w:hAnsi="Arial" w:cs="Arial"/>
        </w:rPr>
        <w:t xml:space="preserve">Any petition for the winding up of the company </w:t>
      </w:r>
      <w:r w:rsidR="00F64A16">
        <w:rPr>
          <w:rFonts w:ascii="Arial" w:hAnsi="Arial" w:cs="Arial"/>
        </w:rPr>
        <w:t>shall be suspended or dismissed.</w:t>
      </w:r>
      <w:bookmarkStart w:id="2" w:name="_Ref142488455"/>
      <w:r w:rsidR="002F4A33">
        <w:rPr>
          <w:rStyle w:val="FootnoteReference"/>
          <w:rFonts w:ascii="Arial" w:hAnsi="Arial" w:cs="Arial"/>
        </w:rPr>
        <w:footnoteReference w:id="30"/>
      </w:r>
      <w:bookmarkEnd w:id="2"/>
      <w:r w:rsidR="004B35A3">
        <w:rPr>
          <w:rFonts w:ascii="Arial" w:hAnsi="Arial" w:cs="Arial"/>
        </w:rPr>
        <w:t xml:space="preserve">  </w:t>
      </w:r>
      <w:r w:rsidR="00874933">
        <w:rPr>
          <w:rFonts w:ascii="Arial" w:hAnsi="Arial" w:cs="Arial"/>
        </w:rPr>
        <w:t>Any</w:t>
      </w:r>
      <w:r w:rsidR="004B35A3">
        <w:rPr>
          <w:rFonts w:ascii="Arial" w:hAnsi="Arial" w:cs="Arial"/>
        </w:rPr>
        <w:t xml:space="preserve"> administrative receiver</w:t>
      </w:r>
      <w:r w:rsidR="00874933">
        <w:rPr>
          <w:rFonts w:ascii="Arial" w:hAnsi="Arial" w:cs="Arial"/>
        </w:rPr>
        <w:t xml:space="preserve"> </w:t>
      </w:r>
      <w:r w:rsidR="00716F76">
        <w:rPr>
          <w:rFonts w:ascii="Arial" w:hAnsi="Arial" w:cs="Arial"/>
        </w:rPr>
        <w:t>shall also vacate office.</w:t>
      </w:r>
      <w:r w:rsidR="00650593" w:rsidRPr="00650593">
        <w:rPr>
          <w:rStyle w:val="FootnoteReference"/>
          <w:rFonts w:ascii="Arial" w:hAnsi="Arial" w:cs="Arial"/>
        </w:rPr>
        <w:t xml:space="preserve"> </w:t>
      </w:r>
      <w:r w:rsidR="00650593">
        <w:rPr>
          <w:rStyle w:val="FootnoteReference"/>
          <w:rFonts w:ascii="Arial" w:hAnsi="Arial" w:cs="Arial"/>
        </w:rPr>
        <w:footnoteReference w:id="31"/>
      </w:r>
      <w:r w:rsidR="00716F76">
        <w:rPr>
          <w:rStyle w:val="FootnoteReference"/>
          <w:rFonts w:ascii="Arial" w:hAnsi="Arial" w:cs="Arial"/>
        </w:rPr>
        <w:footnoteReference w:id="32"/>
      </w:r>
      <w:r w:rsidR="00B523C4">
        <w:rPr>
          <w:rFonts w:ascii="Arial" w:hAnsi="Arial" w:cs="Arial"/>
        </w:rPr>
        <w:t xml:space="preserve">  The administrator may also request </w:t>
      </w:r>
      <w:r w:rsidR="00912A16">
        <w:rPr>
          <w:rFonts w:ascii="Arial" w:hAnsi="Arial" w:cs="Arial"/>
        </w:rPr>
        <w:t>any receiver appointed over part of the company’s property to vacate office.</w:t>
      </w:r>
      <w:r w:rsidR="00912A16">
        <w:rPr>
          <w:rStyle w:val="FootnoteReference"/>
          <w:rFonts w:ascii="Arial" w:hAnsi="Arial" w:cs="Arial"/>
        </w:rPr>
        <w:footnoteReference w:id="33"/>
      </w:r>
      <w:r w:rsidR="002F4A33">
        <w:rPr>
          <w:rFonts w:ascii="Arial" w:hAnsi="Arial" w:cs="Arial"/>
        </w:rPr>
        <w:t xml:space="preserve">  No </w:t>
      </w:r>
      <w:r w:rsidR="00B6016B">
        <w:rPr>
          <w:rFonts w:ascii="Arial" w:hAnsi="Arial" w:cs="Arial"/>
        </w:rPr>
        <w:t xml:space="preserve">winding up resolution shall be passed </w:t>
      </w:r>
      <w:r w:rsidR="00D82BC6">
        <w:rPr>
          <w:rFonts w:ascii="Arial" w:hAnsi="Arial" w:cs="Arial"/>
        </w:rPr>
        <w:t xml:space="preserve">or </w:t>
      </w:r>
      <w:r w:rsidR="00B6016B">
        <w:rPr>
          <w:rFonts w:ascii="Arial" w:hAnsi="Arial" w:cs="Arial"/>
        </w:rPr>
        <w:t xml:space="preserve">legal process should be executed, including </w:t>
      </w:r>
      <w:r w:rsidR="008F2606">
        <w:rPr>
          <w:rFonts w:ascii="Arial" w:hAnsi="Arial" w:cs="Arial"/>
        </w:rPr>
        <w:t xml:space="preserve">enforcement of security, repossession of goods, exercising right of forfeiture or </w:t>
      </w:r>
      <w:r w:rsidR="00031215">
        <w:rPr>
          <w:rFonts w:ascii="Arial" w:hAnsi="Arial" w:cs="Arial"/>
        </w:rPr>
        <w:t>irritancy.</w:t>
      </w:r>
      <w:r w:rsidR="00E146D4">
        <w:rPr>
          <w:rStyle w:val="FootnoteReference"/>
          <w:rFonts w:ascii="Arial" w:hAnsi="Arial" w:cs="Arial"/>
        </w:rPr>
        <w:footnoteReference w:id="34"/>
      </w:r>
      <w:r w:rsidR="000F1FC6">
        <w:rPr>
          <w:rFonts w:ascii="Arial" w:hAnsi="Arial" w:cs="Arial"/>
        </w:rPr>
        <w:t xml:space="preserve">  The administrator may </w:t>
      </w:r>
      <w:r w:rsidR="009B0D21">
        <w:rPr>
          <w:rFonts w:ascii="Arial" w:hAnsi="Arial" w:cs="Arial"/>
        </w:rPr>
        <w:t xml:space="preserve">also apply to the court for order to dispose </w:t>
      </w:r>
      <w:r w:rsidR="00093CEA">
        <w:rPr>
          <w:rFonts w:ascii="Arial" w:hAnsi="Arial" w:cs="Arial"/>
        </w:rPr>
        <w:t xml:space="preserve">of property which is subject to non-floating charge, provided that </w:t>
      </w:r>
      <w:r w:rsidR="00C419F1">
        <w:rPr>
          <w:rFonts w:ascii="Arial" w:hAnsi="Arial" w:cs="Arial"/>
        </w:rPr>
        <w:t>the proceeds will be utilised to discharge the security.</w:t>
      </w:r>
      <w:r w:rsidR="004E7CDF">
        <w:rPr>
          <w:rStyle w:val="FootnoteReference"/>
          <w:rFonts w:ascii="Arial" w:hAnsi="Arial" w:cs="Arial"/>
        </w:rPr>
        <w:footnoteReference w:id="35"/>
      </w:r>
      <w:r w:rsidR="009C34A9">
        <w:rPr>
          <w:rFonts w:ascii="Arial" w:hAnsi="Arial" w:cs="Arial"/>
        </w:rPr>
        <w:t xml:space="preserve"> </w:t>
      </w:r>
    </w:p>
    <w:p w14:paraId="71BF0E9E" w14:textId="30AFD331" w:rsidR="004C13CB" w:rsidRDefault="0056695D" w:rsidP="002F08C5">
      <w:pPr>
        <w:spacing w:line="240" w:lineRule="auto"/>
        <w:jc w:val="both"/>
        <w:rPr>
          <w:rFonts w:ascii="Arial" w:hAnsi="Arial" w:cs="Arial"/>
        </w:rPr>
      </w:pPr>
      <w:r>
        <w:rPr>
          <w:rFonts w:ascii="Arial" w:hAnsi="Arial" w:cs="Arial"/>
        </w:rPr>
        <w:t xml:space="preserve">The commencement of the Administration requires notice of intention to appoint to be </w:t>
      </w:r>
      <w:r w:rsidR="00C2651E">
        <w:rPr>
          <w:rFonts w:ascii="Arial" w:hAnsi="Arial" w:cs="Arial"/>
        </w:rPr>
        <w:t xml:space="preserve">given </w:t>
      </w:r>
      <w:r w:rsidR="00D82BC6">
        <w:rPr>
          <w:rFonts w:ascii="Arial" w:hAnsi="Arial" w:cs="Arial"/>
        </w:rPr>
        <w:t>at least five business days prior to the appointment of an administrator</w:t>
      </w:r>
      <w:r w:rsidR="00D82BC6">
        <w:rPr>
          <w:rFonts w:ascii="Arial" w:hAnsi="Arial" w:cs="Arial"/>
        </w:rPr>
        <w:t xml:space="preserve"> </w:t>
      </w:r>
      <w:r>
        <w:rPr>
          <w:rFonts w:ascii="Arial" w:hAnsi="Arial" w:cs="Arial"/>
        </w:rPr>
        <w:t xml:space="preserve">to </w:t>
      </w:r>
      <w:r w:rsidR="00DD6355">
        <w:rPr>
          <w:rFonts w:ascii="Arial" w:hAnsi="Arial" w:cs="Arial"/>
        </w:rPr>
        <w:t xml:space="preserve">any person who can appoint an administrative receiver or </w:t>
      </w:r>
      <w:r w:rsidR="00C5427C">
        <w:rPr>
          <w:rFonts w:ascii="Arial" w:hAnsi="Arial" w:cs="Arial"/>
        </w:rPr>
        <w:t>who holds qualifying floating charge</w:t>
      </w:r>
      <w:r w:rsidR="004E7CDF">
        <w:rPr>
          <w:rFonts w:ascii="Arial" w:hAnsi="Arial" w:cs="Arial"/>
        </w:rPr>
        <w:t>.</w:t>
      </w:r>
      <w:r w:rsidR="004E7CDF">
        <w:rPr>
          <w:rStyle w:val="FootnoteReference"/>
          <w:rFonts w:ascii="Arial" w:hAnsi="Arial" w:cs="Arial"/>
        </w:rPr>
        <w:footnoteReference w:id="36"/>
      </w:r>
      <w:r w:rsidR="004E7CDF">
        <w:rPr>
          <w:rFonts w:ascii="Arial" w:hAnsi="Arial" w:cs="Arial"/>
        </w:rPr>
        <w:t xml:space="preserve">  </w:t>
      </w:r>
      <w:r w:rsidR="00D82BC6">
        <w:rPr>
          <w:rFonts w:ascii="Arial" w:hAnsi="Arial" w:cs="Arial"/>
        </w:rPr>
        <w:t xml:space="preserve">In this regard, </w:t>
      </w:r>
      <w:r w:rsidR="00076CCD">
        <w:rPr>
          <w:rFonts w:ascii="Arial" w:hAnsi="Arial" w:cs="Arial"/>
        </w:rPr>
        <w:t xml:space="preserve">I </w:t>
      </w:r>
      <w:r w:rsidR="002A0DD3">
        <w:rPr>
          <w:rFonts w:ascii="Arial" w:hAnsi="Arial" w:cs="Arial"/>
        </w:rPr>
        <w:t>have been informed that the security that the Monaco Lender holds is a fixed charge security</w:t>
      </w:r>
      <w:r w:rsidR="00D82BC6">
        <w:rPr>
          <w:rFonts w:ascii="Arial" w:hAnsi="Arial" w:cs="Arial"/>
        </w:rPr>
        <w:t xml:space="preserve"> only</w:t>
      </w:r>
      <w:r w:rsidR="002A0DD3">
        <w:rPr>
          <w:rFonts w:ascii="Arial" w:hAnsi="Arial" w:cs="Arial"/>
        </w:rPr>
        <w:t xml:space="preserve"> on Efwon Trading’s income.  </w:t>
      </w:r>
      <w:r w:rsidR="00AA3B32">
        <w:rPr>
          <w:rFonts w:ascii="Arial" w:hAnsi="Arial" w:cs="Arial"/>
        </w:rPr>
        <w:t xml:space="preserve">In addition, an administration cannot be </w:t>
      </w:r>
      <w:r w:rsidR="00611622">
        <w:rPr>
          <w:rFonts w:ascii="Arial" w:hAnsi="Arial" w:cs="Arial"/>
        </w:rPr>
        <w:t xml:space="preserve">commenced under certain restrictions, including if the company was in administration in the preceding 12 </w:t>
      </w:r>
      <w:r w:rsidR="00611622">
        <w:rPr>
          <w:rFonts w:ascii="Arial" w:hAnsi="Arial" w:cs="Arial"/>
        </w:rPr>
        <w:lastRenderedPageBreak/>
        <w:t>months.</w:t>
      </w:r>
      <w:r w:rsidR="00AD2DD4">
        <w:rPr>
          <w:rStyle w:val="FootnoteReference"/>
          <w:rFonts w:ascii="Arial" w:hAnsi="Arial" w:cs="Arial"/>
        </w:rPr>
        <w:footnoteReference w:id="37"/>
      </w:r>
      <w:r w:rsidR="00AD2DD4">
        <w:rPr>
          <w:rFonts w:ascii="Arial" w:hAnsi="Arial" w:cs="Arial"/>
        </w:rPr>
        <w:t xml:space="preserve">  Based on the information available, it does not appear that </w:t>
      </w:r>
      <w:r w:rsidR="00047AD1">
        <w:rPr>
          <w:rFonts w:ascii="Arial" w:hAnsi="Arial" w:cs="Arial"/>
        </w:rPr>
        <w:t xml:space="preserve">the restriction and the additional step apply to Efwon Trading.  </w:t>
      </w:r>
      <w:r w:rsidR="004E37D3">
        <w:rPr>
          <w:rFonts w:ascii="Arial" w:hAnsi="Arial" w:cs="Arial"/>
        </w:rPr>
        <w:t>However, if this is the case, a different approach may be considered.</w:t>
      </w:r>
    </w:p>
    <w:p w14:paraId="26CA76B4" w14:textId="7DD55B4D" w:rsidR="000465D5" w:rsidRPr="000465D5" w:rsidRDefault="000465D5" w:rsidP="000465D5">
      <w:pPr>
        <w:keepNext/>
        <w:spacing w:line="240" w:lineRule="auto"/>
        <w:jc w:val="both"/>
        <w:rPr>
          <w:rFonts w:ascii="Arial" w:hAnsi="Arial" w:cs="Arial"/>
          <w:u w:val="single"/>
        </w:rPr>
      </w:pPr>
      <w:r w:rsidRPr="000465D5">
        <w:rPr>
          <w:rFonts w:ascii="Arial" w:hAnsi="Arial" w:cs="Arial"/>
          <w:u w:val="single"/>
        </w:rPr>
        <w:t>Benefits and disadvantages</w:t>
      </w:r>
    </w:p>
    <w:p w14:paraId="06E67F8A" w14:textId="67D64312" w:rsidR="00F17066" w:rsidRDefault="00E65E50" w:rsidP="009F78F1">
      <w:pPr>
        <w:spacing w:line="240" w:lineRule="auto"/>
        <w:jc w:val="both"/>
        <w:rPr>
          <w:rFonts w:ascii="Arial" w:hAnsi="Arial" w:cs="Arial"/>
        </w:rPr>
      </w:pPr>
      <w:r>
        <w:rPr>
          <w:rFonts w:ascii="Arial" w:hAnsi="Arial" w:cs="Arial"/>
        </w:rPr>
        <w:t xml:space="preserve">As can be seen from the above, both </w:t>
      </w:r>
      <w:r w:rsidR="00D82BC6">
        <w:rPr>
          <w:rFonts w:ascii="Arial" w:hAnsi="Arial" w:cs="Arial"/>
        </w:rPr>
        <w:t xml:space="preserve">the </w:t>
      </w:r>
      <w:r w:rsidR="008B2F0A">
        <w:rPr>
          <w:rFonts w:ascii="Arial" w:hAnsi="Arial" w:cs="Arial"/>
        </w:rPr>
        <w:t xml:space="preserve">CVA and </w:t>
      </w:r>
      <w:r w:rsidR="00D82BC6">
        <w:rPr>
          <w:rFonts w:ascii="Arial" w:hAnsi="Arial" w:cs="Arial"/>
        </w:rPr>
        <w:t xml:space="preserve">the </w:t>
      </w:r>
      <w:r w:rsidR="008B2F0A">
        <w:rPr>
          <w:rFonts w:ascii="Arial" w:hAnsi="Arial" w:cs="Arial"/>
        </w:rPr>
        <w:t xml:space="preserve">Administration have their own advantages and disadvantages.  In essence, the </w:t>
      </w:r>
      <w:r w:rsidR="00854129">
        <w:rPr>
          <w:rFonts w:ascii="Arial" w:hAnsi="Arial" w:cs="Arial"/>
        </w:rPr>
        <w:t xml:space="preserve">CVA allows the company and its directors to retain control of the company during the process but does not offer moratorium unless </w:t>
      </w:r>
      <w:r w:rsidR="001B0783">
        <w:rPr>
          <w:rFonts w:ascii="Arial" w:hAnsi="Arial" w:cs="Arial"/>
        </w:rPr>
        <w:t>it is a small company.  Further, it does not prevent security interest holder from enforcing its security</w:t>
      </w:r>
      <w:r w:rsidR="00BB5F82">
        <w:rPr>
          <w:rFonts w:ascii="Arial" w:hAnsi="Arial" w:cs="Arial"/>
        </w:rPr>
        <w:t xml:space="preserve"> or </w:t>
      </w:r>
      <w:r w:rsidR="00D82BC6">
        <w:rPr>
          <w:rFonts w:ascii="Arial" w:hAnsi="Arial" w:cs="Arial"/>
        </w:rPr>
        <w:t xml:space="preserve">cannot </w:t>
      </w:r>
      <w:r w:rsidR="00BB5F82">
        <w:rPr>
          <w:rFonts w:ascii="Arial" w:hAnsi="Arial" w:cs="Arial"/>
        </w:rPr>
        <w:t>alter the right of security interest holder.</w:t>
      </w:r>
      <w:r w:rsidR="00D05CD4">
        <w:rPr>
          <w:rFonts w:ascii="Arial" w:hAnsi="Arial" w:cs="Arial"/>
        </w:rPr>
        <w:t xml:space="preserve">  In contrast, the Administration offers protection under automatic moratorium</w:t>
      </w:r>
      <w:r w:rsidR="00213CE1">
        <w:rPr>
          <w:rFonts w:ascii="Arial" w:hAnsi="Arial" w:cs="Arial"/>
        </w:rPr>
        <w:t xml:space="preserve"> but takes </w:t>
      </w:r>
      <w:r w:rsidR="00656BAB">
        <w:rPr>
          <w:rFonts w:ascii="Arial" w:hAnsi="Arial" w:cs="Arial"/>
        </w:rPr>
        <w:t xml:space="preserve">control </w:t>
      </w:r>
      <w:r w:rsidR="00D82BC6">
        <w:rPr>
          <w:rFonts w:ascii="Arial" w:hAnsi="Arial" w:cs="Arial"/>
        </w:rPr>
        <w:t xml:space="preserve">away </w:t>
      </w:r>
      <w:r w:rsidR="00656BAB">
        <w:rPr>
          <w:rFonts w:ascii="Arial" w:hAnsi="Arial" w:cs="Arial"/>
        </w:rPr>
        <w:t>from the company and its directors.</w:t>
      </w:r>
      <w:r w:rsidR="00A263D5">
        <w:rPr>
          <w:rFonts w:ascii="Arial" w:hAnsi="Arial" w:cs="Arial"/>
        </w:rPr>
        <w:t xml:space="preserve">  </w:t>
      </w:r>
    </w:p>
    <w:p w14:paraId="7A824591" w14:textId="1DF96BCF" w:rsidR="003510DB" w:rsidRDefault="003C5366" w:rsidP="009F78F1">
      <w:pPr>
        <w:spacing w:line="240" w:lineRule="auto"/>
        <w:jc w:val="both"/>
        <w:rPr>
          <w:rFonts w:ascii="Arial" w:hAnsi="Arial" w:cs="Arial"/>
        </w:rPr>
      </w:pPr>
      <w:proofErr w:type="gramStart"/>
      <w:r>
        <w:rPr>
          <w:rFonts w:ascii="Arial" w:hAnsi="Arial" w:cs="Arial"/>
        </w:rPr>
        <w:t>In order for</w:t>
      </w:r>
      <w:proofErr w:type="gramEnd"/>
      <w:r>
        <w:rPr>
          <w:rFonts w:ascii="Arial" w:hAnsi="Arial" w:cs="Arial"/>
        </w:rPr>
        <w:t xml:space="preserve"> </w:t>
      </w:r>
      <w:r w:rsidR="00463B31">
        <w:rPr>
          <w:rFonts w:ascii="Arial" w:hAnsi="Arial" w:cs="Arial"/>
        </w:rPr>
        <w:t xml:space="preserve">the management of </w:t>
      </w:r>
      <w:r>
        <w:rPr>
          <w:rFonts w:ascii="Arial" w:hAnsi="Arial" w:cs="Arial"/>
        </w:rPr>
        <w:t xml:space="preserve">Efwon Trading </w:t>
      </w:r>
      <w:r w:rsidR="00D20808">
        <w:rPr>
          <w:rFonts w:ascii="Arial" w:hAnsi="Arial" w:cs="Arial"/>
        </w:rPr>
        <w:t xml:space="preserve">to retain control </w:t>
      </w:r>
      <w:r w:rsidR="00463B31">
        <w:rPr>
          <w:rFonts w:ascii="Arial" w:hAnsi="Arial" w:cs="Arial"/>
        </w:rPr>
        <w:t xml:space="preserve">of the company and its business </w:t>
      </w:r>
      <w:r w:rsidR="00FC0C9A">
        <w:rPr>
          <w:rFonts w:ascii="Arial" w:hAnsi="Arial" w:cs="Arial"/>
        </w:rPr>
        <w:t xml:space="preserve">so as </w:t>
      </w:r>
      <w:r w:rsidR="00463B31">
        <w:rPr>
          <w:rFonts w:ascii="Arial" w:hAnsi="Arial" w:cs="Arial"/>
        </w:rPr>
        <w:t>to maintain flexibility</w:t>
      </w:r>
      <w:r w:rsidR="00FC0C9A">
        <w:rPr>
          <w:rFonts w:ascii="Arial" w:hAnsi="Arial" w:cs="Arial"/>
        </w:rPr>
        <w:t xml:space="preserve"> when negotiating </w:t>
      </w:r>
      <w:r w:rsidR="00996026">
        <w:rPr>
          <w:rFonts w:ascii="Arial" w:hAnsi="Arial" w:cs="Arial"/>
        </w:rPr>
        <w:t>a debt</w:t>
      </w:r>
      <w:r w:rsidR="00BA1AD4">
        <w:rPr>
          <w:rFonts w:ascii="Arial" w:hAnsi="Arial" w:cs="Arial"/>
        </w:rPr>
        <w:t xml:space="preserve"> restructuring, </w:t>
      </w:r>
      <w:r w:rsidR="00862BF0">
        <w:rPr>
          <w:rFonts w:ascii="Arial" w:hAnsi="Arial" w:cs="Arial"/>
        </w:rPr>
        <w:t xml:space="preserve">commencing </w:t>
      </w:r>
      <w:r w:rsidR="00E005C8">
        <w:rPr>
          <w:rFonts w:ascii="Arial" w:hAnsi="Arial" w:cs="Arial"/>
        </w:rPr>
        <w:t>the CVA is a better option than the Administration.  However, g</w:t>
      </w:r>
      <w:r w:rsidR="00A263D5">
        <w:rPr>
          <w:rFonts w:ascii="Arial" w:hAnsi="Arial" w:cs="Arial"/>
        </w:rPr>
        <w:t>iven the circumstances</w:t>
      </w:r>
      <w:r w:rsidR="00E005C8">
        <w:rPr>
          <w:rFonts w:ascii="Arial" w:hAnsi="Arial" w:cs="Arial"/>
        </w:rPr>
        <w:t xml:space="preserve"> and the lack of moratorium in the CVA</w:t>
      </w:r>
      <w:r w:rsidR="00A263D5">
        <w:rPr>
          <w:rFonts w:ascii="Arial" w:hAnsi="Arial" w:cs="Arial"/>
        </w:rPr>
        <w:t xml:space="preserve">, it does not appear that it would be </w:t>
      </w:r>
      <w:r w:rsidR="003222B0">
        <w:rPr>
          <w:rFonts w:ascii="Arial" w:hAnsi="Arial" w:cs="Arial"/>
        </w:rPr>
        <w:t xml:space="preserve">of </w:t>
      </w:r>
      <w:r w:rsidR="001A668A">
        <w:rPr>
          <w:rFonts w:ascii="Arial" w:hAnsi="Arial" w:cs="Arial"/>
        </w:rPr>
        <w:t xml:space="preserve">great </w:t>
      </w:r>
      <w:r w:rsidR="00D309A7">
        <w:rPr>
          <w:rFonts w:ascii="Arial" w:hAnsi="Arial" w:cs="Arial"/>
        </w:rPr>
        <w:t>benefits</w:t>
      </w:r>
      <w:r w:rsidR="003222B0">
        <w:rPr>
          <w:rFonts w:ascii="Arial" w:hAnsi="Arial" w:cs="Arial"/>
        </w:rPr>
        <w:t xml:space="preserve"> </w:t>
      </w:r>
      <w:r w:rsidR="00D309A7">
        <w:rPr>
          <w:rFonts w:ascii="Arial" w:hAnsi="Arial" w:cs="Arial"/>
        </w:rPr>
        <w:t xml:space="preserve">for </w:t>
      </w:r>
      <w:r w:rsidR="003222B0">
        <w:rPr>
          <w:rFonts w:ascii="Arial" w:hAnsi="Arial" w:cs="Arial"/>
        </w:rPr>
        <w:t xml:space="preserve">Efwon Trading to </w:t>
      </w:r>
      <w:r w:rsidR="00CF1845">
        <w:rPr>
          <w:rFonts w:ascii="Arial" w:hAnsi="Arial" w:cs="Arial"/>
        </w:rPr>
        <w:t xml:space="preserve">immediately </w:t>
      </w:r>
      <w:r w:rsidR="00EA06F8">
        <w:rPr>
          <w:rFonts w:ascii="Arial" w:hAnsi="Arial" w:cs="Arial"/>
        </w:rPr>
        <w:t>commence</w:t>
      </w:r>
      <w:r w:rsidR="003222B0">
        <w:rPr>
          <w:rFonts w:ascii="Arial" w:hAnsi="Arial" w:cs="Arial"/>
        </w:rPr>
        <w:t xml:space="preserve"> the procedure.  </w:t>
      </w:r>
      <w:r w:rsidR="00A55383">
        <w:rPr>
          <w:rFonts w:ascii="Arial" w:hAnsi="Arial" w:cs="Arial"/>
        </w:rPr>
        <w:t xml:space="preserve">The Monaco Lender is the only known creditor in which </w:t>
      </w:r>
      <w:r w:rsidR="0001497B">
        <w:rPr>
          <w:rFonts w:ascii="Arial" w:hAnsi="Arial" w:cs="Arial"/>
        </w:rPr>
        <w:t xml:space="preserve">the loan is secured by Efwon Trading’s revenue. </w:t>
      </w:r>
      <w:r w:rsidR="00015B10">
        <w:rPr>
          <w:rFonts w:ascii="Arial" w:hAnsi="Arial" w:cs="Arial"/>
        </w:rPr>
        <w:t xml:space="preserve"> Based on the information available, the revenue of Efwon Trading include</w:t>
      </w:r>
      <w:r w:rsidR="00FF5C3D">
        <w:rPr>
          <w:rFonts w:ascii="Arial" w:hAnsi="Arial" w:cs="Arial"/>
        </w:rPr>
        <w:t>s</w:t>
      </w:r>
      <w:r w:rsidR="00015B10">
        <w:rPr>
          <w:rFonts w:ascii="Arial" w:hAnsi="Arial" w:cs="Arial"/>
        </w:rPr>
        <w:t xml:space="preserve"> dividend income from its investments in Efwon Romania and Efwon Hong Kong, and interest income from its </w:t>
      </w:r>
      <w:r w:rsidR="00511922">
        <w:rPr>
          <w:rFonts w:ascii="Arial" w:hAnsi="Arial" w:cs="Arial"/>
        </w:rPr>
        <w:t xml:space="preserve">loan to Efwon Romania.  </w:t>
      </w:r>
      <w:proofErr w:type="gramStart"/>
      <w:r w:rsidR="00AA145F">
        <w:rPr>
          <w:rFonts w:ascii="Arial" w:hAnsi="Arial" w:cs="Arial"/>
        </w:rPr>
        <w:t>In the event that</w:t>
      </w:r>
      <w:proofErr w:type="gramEnd"/>
      <w:r w:rsidR="00AA145F">
        <w:rPr>
          <w:rFonts w:ascii="Arial" w:hAnsi="Arial" w:cs="Arial"/>
        </w:rPr>
        <w:t xml:space="preserve"> Efwon Romania enters </w:t>
      </w:r>
      <w:r w:rsidR="00F67B7F">
        <w:rPr>
          <w:rFonts w:ascii="Arial" w:hAnsi="Arial" w:cs="Arial"/>
        </w:rPr>
        <w:t xml:space="preserve">judicial reorganisation </w:t>
      </w:r>
      <w:r w:rsidR="0074548B">
        <w:rPr>
          <w:rFonts w:ascii="Arial" w:hAnsi="Arial" w:cs="Arial"/>
        </w:rPr>
        <w:t xml:space="preserve">under the Romania IA, </w:t>
      </w:r>
      <w:r w:rsidR="004803A2">
        <w:rPr>
          <w:rFonts w:ascii="Arial" w:hAnsi="Arial" w:cs="Arial"/>
        </w:rPr>
        <w:t xml:space="preserve">it </w:t>
      </w:r>
      <w:r w:rsidR="0016594F">
        <w:rPr>
          <w:rFonts w:ascii="Arial" w:hAnsi="Arial" w:cs="Arial"/>
        </w:rPr>
        <w:t xml:space="preserve">is uncertain if there will still be dividend and interest incomes flow from </w:t>
      </w:r>
      <w:r w:rsidR="00DD7ACE">
        <w:rPr>
          <w:rFonts w:ascii="Arial" w:hAnsi="Arial" w:cs="Arial"/>
        </w:rPr>
        <w:t xml:space="preserve">it.  In addition, as the role of Efwon Hong Kong is to seek sponsorship and hold sponsorship agreement, it is unlikely that </w:t>
      </w:r>
      <w:r w:rsidR="00B22DF5">
        <w:rPr>
          <w:rFonts w:ascii="Arial" w:hAnsi="Arial" w:cs="Arial"/>
        </w:rPr>
        <w:t>there will be substantial dividend income.  In this regard, even if the Monaco Lender enforces its security</w:t>
      </w:r>
      <w:r w:rsidR="00076CCD">
        <w:rPr>
          <w:rFonts w:ascii="Arial" w:hAnsi="Arial" w:cs="Arial"/>
        </w:rPr>
        <w:t xml:space="preserve"> in the even</w:t>
      </w:r>
      <w:r w:rsidR="00014BC7">
        <w:rPr>
          <w:rFonts w:ascii="Arial" w:hAnsi="Arial" w:cs="Arial"/>
        </w:rPr>
        <w:t>t</w:t>
      </w:r>
      <w:r w:rsidR="00076CCD">
        <w:rPr>
          <w:rFonts w:ascii="Arial" w:hAnsi="Arial" w:cs="Arial"/>
        </w:rPr>
        <w:t xml:space="preserve"> of </w:t>
      </w:r>
      <w:r w:rsidR="00014BC7">
        <w:rPr>
          <w:rFonts w:ascii="Arial" w:hAnsi="Arial" w:cs="Arial"/>
        </w:rPr>
        <w:t xml:space="preserve">a </w:t>
      </w:r>
      <w:r w:rsidR="00076CCD">
        <w:rPr>
          <w:rFonts w:ascii="Arial" w:hAnsi="Arial" w:cs="Arial"/>
        </w:rPr>
        <w:t xml:space="preserve">default, </w:t>
      </w:r>
      <w:r w:rsidR="002A0DD3">
        <w:rPr>
          <w:rFonts w:ascii="Arial" w:hAnsi="Arial" w:cs="Arial"/>
        </w:rPr>
        <w:t xml:space="preserve">its </w:t>
      </w:r>
      <w:r w:rsidR="00076CCD">
        <w:rPr>
          <w:rFonts w:ascii="Arial" w:hAnsi="Arial" w:cs="Arial"/>
        </w:rPr>
        <w:t xml:space="preserve">ability </w:t>
      </w:r>
      <w:r w:rsidR="00014BC7">
        <w:rPr>
          <w:rFonts w:ascii="Arial" w:hAnsi="Arial" w:cs="Arial"/>
        </w:rPr>
        <w:t xml:space="preserve">to recover material interest from its security is doubtful without </w:t>
      </w:r>
      <w:r w:rsidR="00BE5FDB">
        <w:rPr>
          <w:rFonts w:ascii="Arial" w:hAnsi="Arial" w:cs="Arial"/>
        </w:rPr>
        <w:t xml:space="preserve">the cooperation from the Efwon Group.  Therefore, </w:t>
      </w:r>
      <w:r w:rsidR="00FB5AD2">
        <w:rPr>
          <w:rFonts w:ascii="Arial" w:hAnsi="Arial" w:cs="Arial"/>
        </w:rPr>
        <w:t xml:space="preserve">it </w:t>
      </w:r>
      <w:r w:rsidR="00C037C3">
        <w:rPr>
          <w:rFonts w:ascii="Arial" w:hAnsi="Arial" w:cs="Arial"/>
        </w:rPr>
        <w:t>should be</w:t>
      </w:r>
      <w:r w:rsidR="00FB5AD2">
        <w:rPr>
          <w:rFonts w:ascii="Arial" w:hAnsi="Arial" w:cs="Arial"/>
        </w:rPr>
        <w:t xml:space="preserve"> of the interest of the Monaco Lender to work with </w:t>
      </w:r>
      <w:r w:rsidR="00C037C3">
        <w:rPr>
          <w:rFonts w:ascii="Arial" w:hAnsi="Arial" w:cs="Arial"/>
        </w:rPr>
        <w:t xml:space="preserve">the </w:t>
      </w:r>
      <w:r w:rsidR="00FB5AD2">
        <w:rPr>
          <w:rFonts w:ascii="Arial" w:hAnsi="Arial" w:cs="Arial"/>
        </w:rPr>
        <w:t>Efwon Group to</w:t>
      </w:r>
      <w:r w:rsidR="000C135C">
        <w:rPr>
          <w:rFonts w:ascii="Arial" w:hAnsi="Arial" w:cs="Arial"/>
        </w:rPr>
        <w:t xml:space="preserve"> recover its outstanding loan.  </w:t>
      </w:r>
      <w:r w:rsidR="007242D9">
        <w:rPr>
          <w:rFonts w:ascii="Arial" w:hAnsi="Arial" w:cs="Arial"/>
        </w:rPr>
        <w:t xml:space="preserve">Instead of </w:t>
      </w:r>
      <w:r w:rsidR="00CF1845">
        <w:rPr>
          <w:rFonts w:ascii="Arial" w:hAnsi="Arial" w:cs="Arial"/>
        </w:rPr>
        <w:t xml:space="preserve">immediately </w:t>
      </w:r>
      <w:r w:rsidR="007242D9">
        <w:rPr>
          <w:rFonts w:ascii="Arial" w:hAnsi="Arial" w:cs="Arial"/>
        </w:rPr>
        <w:t xml:space="preserve">initiating insolvency </w:t>
      </w:r>
      <w:r w:rsidR="00B36897">
        <w:rPr>
          <w:rFonts w:ascii="Arial" w:hAnsi="Arial" w:cs="Arial"/>
        </w:rPr>
        <w:t>proceedings</w:t>
      </w:r>
      <w:r w:rsidR="007242D9">
        <w:rPr>
          <w:rFonts w:ascii="Arial" w:hAnsi="Arial" w:cs="Arial"/>
        </w:rPr>
        <w:t>, t</w:t>
      </w:r>
      <w:r w:rsidR="000C135C">
        <w:rPr>
          <w:rFonts w:ascii="Arial" w:hAnsi="Arial" w:cs="Arial"/>
        </w:rPr>
        <w:t xml:space="preserve">he more appropriate approach </w:t>
      </w:r>
      <w:r w:rsidR="00B36897">
        <w:rPr>
          <w:rFonts w:ascii="Arial" w:hAnsi="Arial" w:cs="Arial"/>
        </w:rPr>
        <w:t xml:space="preserve">for Efwon Trading </w:t>
      </w:r>
      <w:r w:rsidR="000C135C">
        <w:rPr>
          <w:rFonts w:ascii="Arial" w:hAnsi="Arial" w:cs="Arial"/>
        </w:rPr>
        <w:t xml:space="preserve">to </w:t>
      </w:r>
      <w:r w:rsidR="007242D9">
        <w:rPr>
          <w:rFonts w:ascii="Arial" w:hAnsi="Arial" w:cs="Arial"/>
        </w:rPr>
        <w:t xml:space="preserve">deal with the Monaco Lender is to invite </w:t>
      </w:r>
      <w:r w:rsidR="00A70D07">
        <w:rPr>
          <w:rFonts w:ascii="Arial" w:hAnsi="Arial" w:cs="Arial"/>
        </w:rPr>
        <w:t xml:space="preserve">it to negotiate and </w:t>
      </w:r>
      <w:r w:rsidR="00CF7963">
        <w:rPr>
          <w:rFonts w:ascii="Arial" w:hAnsi="Arial" w:cs="Arial"/>
        </w:rPr>
        <w:t xml:space="preserve">seek to </w:t>
      </w:r>
      <w:r w:rsidR="004E5FA8">
        <w:rPr>
          <w:rFonts w:ascii="Arial" w:hAnsi="Arial" w:cs="Arial"/>
        </w:rPr>
        <w:t>restructure</w:t>
      </w:r>
      <w:r w:rsidR="00A70D07">
        <w:rPr>
          <w:rFonts w:ascii="Arial" w:hAnsi="Arial" w:cs="Arial"/>
        </w:rPr>
        <w:t xml:space="preserve"> the </w:t>
      </w:r>
      <w:r w:rsidR="004E5FA8">
        <w:rPr>
          <w:rFonts w:ascii="Arial" w:hAnsi="Arial" w:cs="Arial"/>
        </w:rPr>
        <w:t>loan</w:t>
      </w:r>
      <w:r w:rsidR="00454F7E">
        <w:rPr>
          <w:rFonts w:ascii="Arial" w:hAnsi="Arial" w:cs="Arial"/>
        </w:rPr>
        <w:t xml:space="preserve">, and </w:t>
      </w:r>
      <w:r w:rsidR="00CF7963">
        <w:rPr>
          <w:rFonts w:ascii="Arial" w:hAnsi="Arial" w:cs="Arial"/>
        </w:rPr>
        <w:t xml:space="preserve">to </w:t>
      </w:r>
      <w:r w:rsidR="002E13F9">
        <w:rPr>
          <w:rFonts w:ascii="Arial" w:hAnsi="Arial" w:cs="Arial"/>
        </w:rPr>
        <w:t>manage the liquidity of Efwon Trading</w:t>
      </w:r>
      <w:r w:rsidR="009D5927">
        <w:rPr>
          <w:rFonts w:ascii="Arial" w:hAnsi="Arial" w:cs="Arial"/>
        </w:rPr>
        <w:t xml:space="preserve"> before commencing insolvency proceedings</w:t>
      </w:r>
      <w:r w:rsidR="00FF5C3D">
        <w:rPr>
          <w:rFonts w:ascii="Arial" w:hAnsi="Arial" w:cs="Arial"/>
        </w:rPr>
        <w:t xml:space="preserve"> to </w:t>
      </w:r>
      <w:r w:rsidR="00C037C3">
        <w:rPr>
          <w:rFonts w:ascii="Arial" w:hAnsi="Arial" w:cs="Arial"/>
        </w:rPr>
        <w:t xml:space="preserve">seek to </w:t>
      </w:r>
      <w:r w:rsidR="00FF5C3D">
        <w:rPr>
          <w:rFonts w:ascii="Arial" w:hAnsi="Arial" w:cs="Arial"/>
        </w:rPr>
        <w:t xml:space="preserve">confirm </w:t>
      </w:r>
      <w:r w:rsidR="00C037C3">
        <w:rPr>
          <w:rFonts w:ascii="Arial" w:hAnsi="Arial" w:cs="Arial"/>
        </w:rPr>
        <w:t xml:space="preserve">any </w:t>
      </w:r>
      <w:r w:rsidR="00FF5C3D">
        <w:rPr>
          <w:rFonts w:ascii="Arial" w:hAnsi="Arial" w:cs="Arial"/>
        </w:rPr>
        <w:t xml:space="preserve">restructure plan.  </w:t>
      </w:r>
      <w:r w:rsidR="004B6439">
        <w:rPr>
          <w:rFonts w:ascii="Arial" w:hAnsi="Arial" w:cs="Arial"/>
        </w:rPr>
        <w:t xml:space="preserve">In this regard, the potential risk arose from the lack of moratorium </w:t>
      </w:r>
      <w:r w:rsidR="00661E32">
        <w:rPr>
          <w:rFonts w:ascii="Arial" w:hAnsi="Arial" w:cs="Arial"/>
        </w:rPr>
        <w:t>in the CVA can be mitigated.</w:t>
      </w:r>
    </w:p>
    <w:p w14:paraId="38A711BD" w14:textId="7E570381" w:rsidR="000465D5" w:rsidRPr="000465D5" w:rsidRDefault="000465D5" w:rsidP="009F78F1">
      <w:pPr>
        <w:spacing w:line="240" w:lineRule="auto"/>
        <w:jc w:val="both"/>
        <w:rPr>
          <w:rFonts w:ascii="Arial" w:hAnsi="Arial" w:cs="Arial"/>
          <w:u w:val="single"/>
        </w:rPr>
      </w:pPr>
      <w:r w:rsidRPr="000465D5">
        <w:rPr>
          <w:rFonts w:ascii="Arial" w:hAnsi="Arial" w:cs="Arial"/>
          <w:u w:val="single"/>
        </w:rPr>
        <w:t>Further information required</w:t>
      </w:r>
    </w:p>
    <w:p w14:paraId="759E941F" w14:textId="37FDF631" w:rsidR="003510DB" w:rsidRDefault="00AD132B" w:rsidP="009F78F1">
      <w:pPr>
        <w:spacing w:line="240" w:lineRule="auto"/>
        <w:jc w:val="both"/>
        <w:rPr>
          <w:rFonts w:ascii="Arial" w:hAnsi="Arial" w:cs="Arial"/>
        </w:rPr>
      </w:pPr>
      <w:r>
        <w:rPr>
          <w:rFonts w:ascii="Arial" w:hAnsi="Arial" w:cs="Arial"/>
        </w:rPr>
        <w:t xml:space="preserve">The above advice in relation to Efwon Trading has been given under the assumption that </w:t>
      </w:r>
      <w:r w:rsidR="004F4CE0">
        <w:rPr>
          <w:rFonts w:ascii="Arial" w:hAnsi="Arial" w:cs="Arial"/>
        </w:rPr>
        <w:t>related creditor, Efwon Investment</w:t>
      </w:r>
      <w:r w:rsidR="002A6B08">
        <w:rPr>
          <w:rFonts w:ascii="Arial" w:hAnsi="Arial" w:cs="Arial"/>
        </w:rPr>
        <w:t>s</w:t>
      </w:r>
      <w:r w:rsidR="004F4CE0">
        <w:rPr>
          <w:rFonts w:ascii="Arial" w:hAnsi="Arial" w:cs="Arial"/>
        </w:rPr>
        <w:t xml:space="preserve">, will not take vigorous action in the event of default of its loan.  </w:t>
      </w:r>
      <w:r w:rsidR="00867DC9">
        <w:rPr>
          <w:rFonts w:ascii="Arial" w:hAnsi="Arial" w:cs="Arial"/>
        </w:rPr>
        <w:t xml:space="preserve">In addition, </w:t>
      </w:r>
      <w:r w:rsidR="001F5A71">
        <w:rPr>
          <w:rFonts w:ascii="Arial" w:hAnsi="Arial" w:cs="Arial"/>
        </w:rPr>
        <w:t xml:space="preserve">the willingness of the Monaco Lender </w:t>
      </w:r>
      <w:r w:rsidR="000029E5">
        <w:rPr>
          <w:rFonts w:ascii="Arial" w:hAnsi="Arial" w:cs="Arial"/>
        </w:rPr>
        <w:t xml:space="preserve">to negotiate is uncertain.  </w:t>
      </w:r>
      <w:proofErr w:type="gramStart"/>
      <w:r w:rsidR="000029E5">
        <w:rPr>
          <w:rFonts w:ascii="Arial" w:hAnsi="Arial" w:cs="Arial"/>
        </w:rPr>
        <w:t>In the event that</w:t>
      </w:r>
      <w:proofErr w:type="gramEnd"/>
      <w:r w:rsidR="000029E5">
        <w:rPr>
          <w:rFonts w:ascii="Arial" w:hAnsi="Arial" w:cs="Arial"/>
        </w:rPr>
        <w:t xml:space="preserve"> it is not willing to negotiate, </w:t>
      </w:r>
      <w:r w:rsidR="000C43E3">
        <w:rPr>
          <w:rFonts w:ascii="Arial" w:hAnsi="Arial" w:cs="Arial"/>
        </w:rPr>
        <w:t xml:space="preserve">immediate commencement of the Administration may </w:t>
      </w:r>
      <w:r w:rsidR="00C037C3">
        <w:rPr>
          <w:rFonts w:ascii="Arial" w:hAnsi="Arial" w:cs="Arial"/>
        </w:rPr>
        <w:t xml:space="preserve">otherwise </w:t>
      </w:r>
      <w:r w:rsidR="000C43E3">
        <w:rPr>
          <w:rFonts w:ascii="Arial" w:hAnsi="Arial" w:cs="Arial"/>
        </w:rPr>
        <w:t xml:space="preserve">be </w:t>
      </w:r>
      <w:r w:rsidR="00C037C3">
        <w:rPr>
          <w:rFonts w:ascii="Arial" w:hAnsi="Arial" w:cs="Arial"/>
        </w:rPr>
        <w:t>a better option</w:t>
      </w:r>
      <w:r w:rsidR="000C43E3">
        <w:rPr>
          <w:rFonts w:ascii="Arial" w:hAnsi="Arial" w:cs="Arial"/>
        </w:rPr>
        <w:t xml:space="preserve"> to protect the business and assets even though the management </w:t>
      </w:r>
      <w:r w:rsidR="00A17E31">
        <w:rPr>
          <w:rFonts w:ascii="Arial" w:hAnsi="Arial" w:cs="Arial"/>
        </w:rPr>
        <w:t>will lose control of the operation</w:t>
      </w:r>
      <w:r w:rsidR="00C037C3">
        <w:rPr>
          <w:rFonts w:ascii="Arial" w:hAnsi="Arial" w:cs="Arial"/>
        </w:rPr>
        <w:t xml:space="preserve"> of Efwon Trading</w:t>
      </w:r>
      <w:r w:rsidR="00A17E31">
        <w:rPr>
          <w:rFonts w:ascii="Arial" w:hAnsi="Arial" w:cs="Arial"/>
        </w:rPr>
        <w:t xml:space="preserve">.  </w:t>
      </w:r>
      <w:r w:rsidR="00F57A0C">
        <w:rPr>
          <w:rFonts w:ascii="Arial" w:hAnsi="Arial" w:cs="Arial"/>
        </w:rPr>
        <w:t xml:space="preserve">In addition, </w:t>
      </w:r>
      <w:r w:rsidR="00173E92">
        <w:rPr>
          <w:rFonts w:ascii="Arial" w:hAnsi="Arial" w:cs="Arial"/>
        </w:rPr>
        <w:t>i</w:t>
      </w:r>
      <w:r w:rsidR="001624CC">
        <w:rPr>
          <w:rFonts w:ascii="Arial" w:hAnsi="Arial" w:cs="Arial"/>
        </w:rPr>
        <w:t>t is unclear</w:t>
      </w:r>
      <w:r w:rsidR="00173E92">
        <w:rPr>
          <w:rFonts w:ascii="Arial" w:hAnsi="Arial" w:cs="Arial"/>
        </w:rPr>
        <w:t xml:space="preserve"> if </w:t>
      </w:r>
      <w:r w:rsidR="004132E5">
        <w:rPr>
          <w:rFonts w:ascii="Arial" w:hAnsi="Arial" w:cs="Arial"/>
        </w:rPr>
        <w:t>there are other creditors of Efwon Trading</w:t>
      </w:r>
      <w:r w:rsidR="002A6E40">
        <w:rPr>
          <w:rFonts w:ascii="Arial" w:hAnsi="Arial" w:cs="Arial"/>
        </w:rPr>
        <w:t xml:space="preserve"> which may complicate the nego</w:t>
      </w:r>
      <w:r w:rsidR="00B36897">
        <w:rPr>
          <w:rFonts w:ascii="Arial" w:hAnsi="Arial" w:cs="Arial"/>
        </w:rPr>
        <w:t xml:space="preserve">tiation </w:t>
      </w:r>
      <w:r w:rsidR="00382E6C">
        <w:rPr>
          <w:rFonts w:ascii="Arial" w:hAnsi="Arial" w:cs="Arial"/>
        </w:rPr>
        <w:t xml:space="preserve">with the Monaco Lender.  </w:t>
      </w:r>
      <w:r w:rsidR="00BE155F">
        <w:rPr>
          <w:rFonts w:ascii="Arial" w:hAnsi="Arial" w:cs="Arial"/>
        </w:rPr>
        <w:t>Therefore</w:t>
      </w:r>
      <w:r w:rsidR="00B633AE">
        <w:rPr>
          <w:rFonts w:ascii="Arial" w:hAnsi="Arial" w:cs="Arial"/>
        </w:rPr>
        <w:t xml:space="preserve">, immediate action is required to </w:t>
      </w:r>
      <w:r w:rsidR="00760BC9">
        <w:rPr>
          <w:rFonts w:ascii="Arial" w:hAnsi="Arial" w:cs="Arial"/>
        </w:rPr>
        <w:t xml:space="preserve">review the loan terms with the Monaco Lender </w:t>
      </w:r>
      <w:r w:rsidR="00493831">
        <w:rPr>
          <w:rFonts w:ascii="Arial" w:hAnsi="Arial" w:cs="Arial"/>
        </w:rPr>
        <w:t xml:space="preserve">to forecast the cash flow </w:t>
      </w:r>
      <w:r w:rsidR="001624CC">
        <w:rPr>
          <w:rFonts w:ascii="Arial" w:hAnsi="Arial" w:cs="Arial"/>
        </w:rPr>
        <w:t>required</w:t>
      </w:r>
      <w:r w:rsidR="00BE155F">
        <w:rPr>
          <w:rFonts w:ascii="Arial" w:hAnsi="Arial" w:cs="Arial"/>
        </w:rPr>
        <w:t xml:space="preserve"> to ne</w:t>
      </w:r>
      <w:r w:rsidR="00675A35">
        <w:rPr>
          <w:rFonts w:ascii="Arial" w:hAnsi="Arial" w:cs="Arial"/>
        </w:rPr>
        <w:t xml:space="preserve">gotiate the </w:t>
      </w:r>
      <w:r w:rsidR="00C037C3">
        <w:rPr>
          <w:rFonts w:ascii="Arial" w:hAnsi="Arial" w:cs="Arial"/>
        </w:rPr>
        <w:t xml:space="preserve">financial or </w:t>
      </w:r>
      <w:r w:rsidR="00675A35">
        <w:rPr>
          <w:rFonts w:ascii="Arial" w:hAnsi="Arial" w:cs="Arial"/>
        </w:rPr>
        <w:t>debt restructuring with it (and</w:t>
      </w:r>
      <w:r w:rsidR="00C037C3">
        <w:rPr>
          <w:rFonts w:ascii="Arial" w:hAnsi="Arial" w:cs="Arial"/>
        </w:rPr>
        <w:t>/or</w:t>
      </w:r>
      <w:r w:rsidR="00675A35">
        <w:rPr>
          <w:rFonts w:ascii="Arial" w:hAnsi="Arial" w:cs="Arial"/>
        </w:rPr>
        <w:t xml:space="preserve"> </w:t>
      </w:r>
      <w:r w:rsidR="0037005B">
        <w:rPr>
          <w:rFonts w:ascii="Arial" w:hAnsi="Arial" w:cs="Arial"/>
        </w:rPr>
        <w:t>any other creditors)</w:t>
      </w:r>
      <w:r w:rsidR="00493831">
        <w:rPr>
          <w:rFonts w:ascii="Arial" w:hAnsi="Arial" w:cs="Arial"/>
        </w:rPr>
        <w:t xml:space="preserve">.  </w:t>
      </w:r>
      <w:proofErr w:type="gramStart"/>
      <w:r w:rsidR="00762851">
        <w:rPr>
          <w:rFonts w:ascii="Arial" w:hAnsi="Arial" w:cs="Arial"/>
        </w:rPr>
        <w:t>In the event that</w:t>
      </w:r>
      <w:proofErr w:type="gramEnd"/>
      <w:r w:rsidR="00762851">
        <w:rPr>
          <w:rFonts w:ascii="Arial" w:hAnsi="Arial" w:cs="Arial"/>
        </w:rPr>
        <w:t xml:space="preserve"> these assumptions are not valid</w:t>
      </w:r>
      <w:r w:rsidR="00C037C3">
        <w:rPr>
          <w:rFonts w:ascii="Arial" w:hAnsi="Arial" w:cs="Arial"/>
        </w:rPr>
        <w:t xml:space="preserve"> or further information unfolds</w:t>
      </w:r>
      <w:r w:rsidR="00762851">
        <w:rPr>
          <w:rFonts w:ascii="Arial" w:hAnsi="Arial" w:cs="Arial"/>
        </w:rPr>
        <w:t xml:space="preserve">, the advice </w:t>
      </w:r>
      <w:r w:rsidR="00C037C3">
        <w:rPr>
          <w:rFonts w:ascii="Arial" w:hAnsi="Arial" w:cs="Arial"/>
        </w:rPr>
        <w:t>may</w:t>
      </w:r>
      <w:r w:rsidR="00762851">
        <w:rPr>
          <w:rFonts w:ascii="Arial" w:hAnsi="Arial" w:cs="Arial"/>
        </w:rPr>
        <w:t xml:space="preserve"> need to be reconsidered.</w:t>
      </w:r>
      <w:r w:rsidR="00F90479">
        <w:rPr>
          <w:rFonts w:ascii="Arial" w:hAnsi="Arial" w:cs="Arial"/>
        </w:rPr>
        <w:t xml:space="preserve">  </w:t>
      </w:r>
    </w:p>
    <w:p w14:paraId="70368B6F" w14:textId="1B1BD0D1" w:rsidR="000465D5" w:rsidRPr="000465D5" w:rsidRDefault="00BC291E" w:rsidP="009F78F1">
      <w:pPr>
        <w:spacing w:line="240" w:lineRule="auto"/>
        <w:jc w:val="both"/>
        <w:rPr>
          <w:rFonts w:ascii="Arial" w:hAnsi="Arial" w:cs="Arial"/>
          <w:b/>
          <w:caps/>
        </w:rPr>
      </w:pPr>
      <w:r>
        <w:rPr>
          <w:rFonts w:ascii="Arial" w:hAnsi="Arial" w:cs="Arial"/>
          <w:b/>
          <w:caps/>
        </w:rPr>
        <w:t>EU</w:t>
      </w:r>
      <w:r w:rsidR="000465D5" w:rsidRPr="000465D5">
        <w:rPr>
          <w:rFonts w:ascii="Arial" w:hAnsi="Arial" w:cs="Arial"/>
          <w:b/>
          <w:caps/>
        </w:rPr>
        <w:t xml:space="preserve"> Regulation on Insolvency Proceedings</w:t>
      </w:r>
    </w:p>
    <w:p w14:paraId="179D42F1" w14:textId="32FB59C1" w:rsidR="005B3F9A" w:rsidRDefault="00A147E8" w:rsidP="009F78F1">
      <w:pPr>
        <w:spacing w:line="240" w:lineRule="auto"/>
        <w:jc w:val="both"/>
        <w:rPr>
          <w:rFonts w:ascii="Arial" w:hAnsi="Arial" w:cs="Arial"/>
        </w:rPr>
      </w:pPr>
      <w:r>
        <w:rPr>
          <w:rFonts w:ascii="Arial" w:hAnsi="Arial" w:cs="Arial"/>
        </w:rPr>
        <w:t xml:space="preserve">While it may not be in the </w:t>
      </w:r>
      <w:r w:rsidR="000E7F5A">
        <w:rPr>
          <w:rFonts w:ascii="Arial" w:hAnsi="Arial" w:cs="Arial"/>
        </w:rPr>
        <w:t xml:space="preserve">great </w:t>
      </w:r>
      <w:r>
        <w:rPr>
          <w:rFonts w:ascii="Arial" w:hAnsi="Arial" w:cs="Arial"/>
        </w:rPr>
        <w:t xml:space="preserve">interest of Efwon Trading to </w:t>
      </w:r>
      <w:r w:rsidR="008B3DB8">
        <w:rPr>
          <w:rFonts w:ascii="Arial" w:hAnsi="Arial" w:cs="Arial"/>
        </w:rPr>
        <w:t xml:space="preserve">immediately </w:t>
      </w:r>
      <w:r>
        <w:rPr>
          <w:rFonts w:ascii="Arial" w:hAnsi="Arial" w:cs="Arial"/>
        </w:rPr>
        <w:t>commence insolvenc</w:t>
      </w:r>
      <w:r w:rsidR="0028394D">
        <w:rPr>
          <w:rFonts w:ascii="Arial" w:hAnsi="Arial" w:cs="Arial"/>
        </w:rPr>
        <w:t>y proceedings, it is not completely without benefits</w:t>
      </w:r>
      <w:r w:rsidR="00EB3BC1">
        <w:rPr>
          <w:rFonts w:ascii="Arial" w:hAnsi="Arial" w:cs="Arial"/>
        </w:rPr>
        <w:t xml:space="preserve"> for doing so.  </w:t>
      </w:r>
      <w:proofErr w:type="gramStart"/>
      <w:r w:rsidR="003D3239">
        <w:rPr>
          <w:rFonts w:ascii="Arial" w:hAnsi="Arial" w:cs="Arial"/>
        </w:rPr>
        <w:t>In the event that</w:t>
      </w:r>
      <w:proofErr w:type="gramEnd"/>
      <w:r w:rsidR="002B0549">
        <w:rPr>
          <w:rFonts w:ascii="Arial" w:hAnsi="Arial" w:cs="Arial"/>
        </w:rPr>
        <w:t xml:space="preserve"> Efwon Trading commences</w:t>
      </w:r>
      <w:r w:rsidR="00B81524">
        <w:rPr>
          <w:rFonts w:ascii="Arial" w:hAnsi="Arial" w:cs="Arial"/>
        </w:rPr>
        <w:t xml:space="preserve"> insolvency proceedings in the </w:t>
      </w:r>
      <w:r w:rsidR="00B81524" w:rsidRPr="00C42E9A">
        <w:rPr>
          <w:rFonts w:ascii="Arial" w:hAnsi="Arial" w:cs="Arial"/>
        </w:rPr>
        <w:t>U</w:t>
      </w:r>
      <w:r w:rsidR="001B58EF" w:rsidRPr="00C42E9A">
        <w:rPr>
          <w:rFonts w:ascii="Arial" w:hAnsi="Arial" w:cs="Arial"/>
        </w:rPr>
        <w:t xml:space="preserve">nited Kingdom (the </w:t>
      </w:r>
      <w:r w:rsidR="001B58EF" w:rsidRPr="00C42E9A">
        <w:rPr>
          <w:rFonts w:ascii="Arial" w:hAnsi="Arial" w:cs="Arial"/>
          <w:b/>
          <w:bCs/>
        </w:rPr>
        <w:t>UK</w:t>
      </w:r>
      <w:r w:rsidR="001B58EF" w:rsidRPr="00C42E9A">
        <w:rPr>
          <w:rFonts w:ascii="Arial" w:hAnsi="Arial" w:cs="Arial"/>
        </w:rPr>
        <w:t>)</w:t>
      </w:r>
      <w:r w:rsidR="00C60079" w:rsidRPr="00C42E9A">
        <w:rPr>
          <w:rFonts w:ascii="Arial" w:hAnsi="Arial" w:cs="Arial"/>
        </w:rPr>
        <w:t xml:space="preserve">, Efwon Trading will enjoy the protection </w:t>
      </w:r>
      <w:r w:rsidR="00B83FD9" w:rsidRPr="00C42E9A">
        <w:rPr>
          <w:rFonts w:ascii="Arial" w:hAnsi="Arial" w:cs="Arial"/>
        </w:rPr>
        <w:t xml:space="preserve">in the </w:t>
      </w:r>
      <w:r w:rsidR="00C42E9A" w:rsidRPr="00C42E9A">
        <w:rPr>
          <w:rFonts w:ascii="Arial" w:hAnsi="Arial" w:cs="Arial"/>
        </w:rPr>
        <w:t>other member states</w:t>
      </w:r>
      <w:r w:rsidR="0016352D">
        <w:rPr>
          <w:rFonts w:ascii="Arial" w:hAnsi="Arial" w:cs="Arial"/>
        </w:rPr>
        <w:t xml:space="preserve"> (the </w:t>
      </w:r>
      <w:r w:rsidR="0016352D" w:rsidRPr="0016352D">
        <w:rPr>
          <w:rFonts w:ascii="Arial" w:hAnsi="Arial" w:cs="Arial"/>
          <w:b/>
          <w:bCs/>
        </w:rPr>
        <w:t>Member States</w:t>
      </w:r>
      <w:r w:rsidR="0016352D">
        <w:rPr>
          <w:rFonts w:ascii="Arial" w:hAnsi="Arial" w:cs="Arial"/>
        </w:rPr>
        <w:t>)</w:t>
      </w:r>
      <w:r w:rsidR="00C42E9A" w:rsidRPr="00C42E9A">
        <w:rPr>
          <w:rFonts w:ascii="Arial" w:hAnsi="Arial" w:cs="Arial"/>
        </w:rPr>
        <w:t xml:space="preserve"> of </w:t>
      </w:r>
      <w:r w:rsidR="00B83FD9" w:rsidRPr="00C42E9A">
        <w:rPr>
          <w:rFonts w:ascii="Arial" w:hAnsi="Arial" w:cs="Arial"/>
        </w:rPr>
        <w:t>the European Union</w:t>
      </w:r>
      <w:r w:rsidR="00C42E9A">
        <w:rPr>
          <w:rFonts w:ascii="Arial" w:hAnsi="Arial" w:cs="Arial"/>
        </w:rPr>
        <w:t xml:space="preserve"> (the </w:t>
      </w:r>
      <w:r w:rsidR="00C42E9A" w:rsidRPr="00C42E9A">
        <w:rPr>
          <w:rFonts w:ascii="Arial" w:hAnsi="Arial" w:cs="Arial"/>
          <w:b/>
          <w:bCs/>
        </w:rPr>
        <w:lastRenderedPageBreak/>
        <w:t>EU</w:t>
      </w:r>
      <w:r w:rsidR="00C42E9A">
        <w:rPr>
          <w:rFonts w:ascii="Arial" w:hAnsi="Arial" w:cs="Arial"/>
        </w:rPr>
        <w:t>)</w:t>
      </w:r>
      <w:r w:rsidR="00B83FD9" w:rsidRPr="00C42E9A">
        <w:rPr>
          <w:rFonts w:ascii="Arial" w:hAnsi="Arial" w:cs="Arial"/>
        </w:rPr>
        <w:t>.</w:t>
      </w:r>
      <w:bookmarkStart w:id="3" w:name="_Ref142493760"/>
      <w:r w:rsidR="0013374E">
        <w:rPr>
          <w:rStyle w:val="FootnoteReference"/>
          <w:rFonts w:ascii="Arial" w:hAnsi="Arial" w:cs="Arial"/>
        </w:rPr>
        <w:footnoteReference w:id="38"/>
      </w:r>
      <w:bookmarkEnd w:id="3"/>
      <w:r w:rsidR="00B83FD9" w:rsidRPr="00C42E9A">
        <w:rPr>
          <w:rFonts w:ascii="Arial" w:hAnsi="Arial" w:cs="Arial"/>
        </w:rPr>
        <w:t xml:space="preserve">  This also applies to the </w:t>
      </w:r>
      <w:r w:rsidR="00506F53" w:rsidRPr="00C42E9A">
        <w:rPr>
          <w:rFonts w:ascii="Arial" w:hAnsi="Arial" w:cs="Arial"/>
        </w:rPr>
        <w:t>insolvency proceedings commenced by Efwon Romania in Romania.</w:t>
      </w:r>
      <w:r w:rsidR="00CB3D47">
        <w:rPr>
          <w:rFonts w:ascii="Arial" w:hAnsi="Arial" w:cs="Arial"/>
        </w:rPr>
        <w:t xml:space="preserve">  </w:t>
      </w:r>
    </w:p>
    <w:p w14:paraId="0CA3F401" w14:textId="593E26B6" w:rsidR="000465D5" w:rsidRPr="000465D5" w:rsidRDefault="00BC291E" w:rsidP="009F78F1">
      <w:pPr>
        <w:spacing w:line="240" w:lineRule="auto"/>
        <w:jc w:val="both"/>
        <w:rPr>
          <w:rFonts w:ascii="Arial" w:hAnsi="Arial" w:cs="Arial"/>
          <w:u w:val="single"/>
        </w:rPr>
      </w:pPr>
      <w:r>
        <w:rPr>
          <w:rFonts w:ascii="Arial" w:hAnsi="Arial" w:cs="Arial"/>
          <w:u w:val="single"/>
        </w:rPr>
        <w:t>COMI</w:t>
      </w:r>
    </w:p>
    <w:p w14:paraId="27A25FFD" w14:textId="0CE4353F" w:rsidR="00F259D2" w:rsidRDefault="00CB3D47" w:rsidP="009F78F1">
      <w:pPr>
        <w:spacing w:line="240" w:lineRule="auto"/>
        <w:jc w:val="both"/>
        <w:rPr>
          <w:rFonts w:ascii="Arial" w:hAnsi="Arial" w:cs="Arial"/>
        </w:rPr>
      </w:pPr>
      <w:r>
        <w:rPr>
          <w:rFonts w:ascii="Arial" w:hAnsi="Arial" w:cs="Arial"/>
        </w:rPr>
        <w:t xml:space="preserve">Provided that the </w:t>
      </w:r>
      <w:r w:rsidR="000F697B">
        <w:rPr>
          <w:rFonts w:ascii="Arial" w:hAnsi="Arial" w:cs="Arial"/>
        </w:rPr>
        <w:t>cent</w:t>
      </w:r>
      <w:r w:rsidR="005129E5">
        <w:rPr>
          <w:rFonts w:ascii="Arial" w:hAnsi="Arial" w:cs="Arial"/>
        </w:rPr>
        <w:t>re</w:t>
      </w:r>
      <w:r w:rsidR="000F697B">
        <w:rPr>
          <w:rFonts w:ascii="Arial" w:hAnsi="Arial" w:cs="Arial"/>
        </w:rPr>
        <w:t xml:space="preserve"> of main interest</w:t>
      </w:r>
      <w:r w:rsidR="00A7309D">
        <w:rPr>
          <w:rFonts w:ascii="Arial" w:hAnsi="Arial" w:cs="Arial"/>
        </w:rPr>
        <w:t>s (</w:t>
      </w:r>
      <w:r w:rsidR="00A7309D" w:rsidRPr="00A7309D">
        <w:rPr>
          <w:rFonts w:ascii="Arial" w:hAnsi="Arial" w:cs="Arial"/>
          <w:b/>
          <w:bCs/>
        </w:rPr>
        <w:t>COMI</w:t>
      </w:r>
      <w:r w:rsidR="00A7309D">
        <w:rPr>
          <w:rFonts w:ascii="Arial" w:hAnsi="Arial" w:cs="Arial"/>
        </w:rPr>
        <w:t>)</w:t>
      </w:r>
      <w:r w:rsidR="000F697B">
        <w:rPr>
          <w:rFonts w:ascii="Arial" w:hAnsi="Arial" w:cs="Arial"/>
        </w:rPr>
        <w:t xml:space="preserve"> requirement is satisfied, according to the </w:t>
      </w:r>
      <w:r w:rsidR="00020A04">
        <w:rPr>
          <w:rFonts w:ascii="Arial" w:hAnsi="Arial" w:cs="Arial"/>
        </w:rPr>
        <w:t xml:space="preserve">Regulation (EU) 2015/848 </w:t>
      </w:r>
      <w:r w:rsidR="00690821">
        <w:rPr>
          <w:rFonts w:ascii="Arial" w:hAnsi="Arial" w:cs="Arial"/>
        </w:rPr>
        <w:t>of the European Parliame</w:t>
      </w:r>
      <w:r w:rsidR="008F2422">
        <w:rPr>
          <w:rFonts w:ascii="Arial" w:hAnsi="Arial" w:cs="Arial"/>
        </w:rPr>
        <w:t>nt</w:t>
      </w:r>
      <w:r w:rsidR="00690821">
        <w:rPr>
          <w:rFonts w:ascii="Arial" w:hAnsi="Arial" w:cs="Arial"/>
        </w:rPr>
        <w:t xml:space="preserve"> and of the Council of 20 May 2015 on insolvency proceedings </w:t>
      </w:r>
      <w:r w:rsidR="008F2422">
        <w:rPr>
          <w:rFonts w:ascii="Arial" w:hAnsi="Arial" w:cs="Arial"/>
        </w:rPr>
        <w:t>(recast) (</w:t>
      </w:r>
      <w:r w:rsidR="008F2422" w:rsidRPr="008F2422">
        <w:rPr>
          <w:rFonts w:ascii="Arial" w:hAnsi="Arial" w:cs="Arial"/>
          <w:b/>
          <w:bCs/>
        </w:rPr>
        <w:t>EIR Recast</w:t>
      </w:r>
      <w:r w:rsidR="008F2422">
        <w:rPr>
          <w:rFonts w:ascii="Arial" w:hAnsi="Arial" w:cs="Arial"/>
        </w:rPr>
        <w:t>)</w:t>
      </w:r>
      <w:r w:rsidR="000F697B">
        <w:rPr>
          <w:rFonts w:ascii="Arial" w:hAnsi="Arial" w:cs="Arial"/>
        </w:rPr>
        <w:t xml:space="preserve">, </w:t>
      </w:r>
      <w:r w:rsidR="00D858B8">
        <w:rPr>
          <w:rFonts w:ascii="Arial" w:hAnsi="Arial" w:cs="Arial"/>
        </w:rPr>
        <w:t>a</w:t>
      </w:r>
      <w:r w:rsidR="0043579E">
        <w:rPr>
          <w:rFonts w:ascii="Arial" w:hAnsi="Arial" w:cs="Arial"/>
        </w:rPr>
        <w:t xml:space="preserve">ny judgement opening insolvency proceedings </w:t>
      </w:r>
      <w:r w:rsidR="00E0130F">
        <w:rPr>
          <w:rFonts w:ascii="Arial" w:hAnsi="Arial" w:cs="Arial"/>
        </w:rPr>
        <w:t xml:space="preserve">by a court of a </w:t>
      </w:r>
      <w:r w:rsidR="0094336C">
        <w:rPr>
          <w:rFonts w:ascii="Arial" w:hAnsi="Arial" w:cs="Arial"/>
        </w:rPr>
        <w:t>M</w:t>
      </w:r>
      <w:r w:rsidR="00E0130F">
        <w:rPr>
          <w:rFonts w:ascii="Arial" w:hAnsi="Arial" w:cs="Arial"/>
        </w:rPr>
        <w:t xml:space="preserve">ember </w:t>
      </w:r>
      <w:r w:rsidR="0094336C">
        <w:rPr>
          <w:rFonts w:ascii="Arial" w:hAnsi="Arial" w:cs="Arial"/>
        </w:rPr>
        <w:t>S</w:t>
      </w:r>
      <w:r w:rsidR="00E0130F">
        <w:rPr>
          <w:rFonts w:ascii="Arial" w:hAnsi="Arial" w:cs="Arial"/>
        </w:rPr>
        <w:t xml:space="preserve">tate </w:t>
      </w:r>
      <w:r w:rsidR="00476260">
        <w:rPr>
          <w:rFonts w:ascii="Arial" w:hAnsi="Arial" w:cs="Arial"/>
        </w:rPr>
        <w:t xml:space="preserve">shall be recognised in all other </w:t>
      </w:r>
      <w:r w:rsidR="00547477">
        <w:rPr>
          <w:rFonts w:ascii="Arial" w:hAnsi="Arial" w:cs="Arial"/>
        </w:rPr>
        <w:t>M</w:t>
      </w:r>
      <w:r w:rsidR="00476260">
        <w:rPr>
          <w:rFonts w:ascii="Arial" w:hAnsi="Arial" w:cs="Arial"/>
        </w:rPr>
        <w:t xml:space="preserve">ember </w:t>
      </w:r>
      <w:r w:rsidR="00547477">
        <w:rPr>
          <w:rFonts w:ascii="Arial" w:hAnsi="Arial" w:cs="Arial"/>
        </w:rPr>
        <w:t>S</w:t>
      </w:r>
      <w:r w:rsidR="00476260">
        <w:rPr>
          <w:rFonts w:ascii="Arial" w:hAnsi="Arial" w:cs="Arial"/>
        </w:rPr>
        <w:t>tates.</w:t>
      </w:r>
      <w:bookmarkStart w:id="4" w:name="_Ref142489457"/>
      <w:r w:rsidR="00476260">
        <w:rPr>
          <w:rStyle w:val="FootnoteReference"/>
          <w:rFonts w:ascii="Arial" w:hAnsi="Arial" w:cs="Arial"/>
        </w:rPr>
        <w:footnoteReference w:id="39"/>
      </w:r>
      <w:bookmarkEnd w:id="4"/>
      <w:r w:rsidR="00813809">
        <w:rPr>
          <w:rFonts w:ascii="Arial" w:hAnsi="Arial" w:cs="Arial"/>
        </w:rPr>
        <w:t xml:space="preserve">  </w:t>
      </w:r>
      <w:r w:rsidR="00081F56">
        <w:rPr>
          <w:rFonts w:ascii="Arial" w:hAnsi="Arial" w:cs="Arial"/>
        </w:rPr>
        <w:t xml:space="preserve">The </w:t>
      </w:r>
      <w:r w:rsidR="00B35FC4">
        <w:rPr>
          <w:rFonts w:ascii="Arial" w:hAnsi="Arial" w:cs="Arial"/>
        </w:rPr>
        <w:t xml:space="preserve">judicial </w:t>
      </w:r>
      <w:r w:rsidR="00081F56">
        <w:rPr>
          <w:rFonts w:ascii="Arial" w:hAnsi="Arial" w:cs="Arial"/>
        </w:rPr>
        <w:t>reorganisation</w:t>
      </w:r>
      <w:r w:rsidR="00091D8A">
        <w:rPr>
          <w:rFonts w:ascii="Arial" w:hAnsi="Arial" w:cs="Arial"/>
        </w:rPr>
        <w:t xml:space="preserve"> (r</w:t>
      </w:r>
      <w:r w:rsidR="00091D8A" w:rsidRPr="00091D8A">
        <w:rPr>
          <w:rFonts w:ascii="Arial" w:hAnsi="Arial" w:cs="Arial"/>
        </w:rPr>
        <w:t>eorganizarea judiciară</w:t>
      </w:r>
      <w:r w:rsidR="00091D8A">
        <w:rPr>
          <w:rFonts w:ascii="Arial" w:hAnsi="Arial" w:cs="Arial"/>
        </w:rPr>
        <w:t>)</w:t>
      </w:r>
      <w:r w:rsidR="00081F56">
        <w:rPr>
          <w:rFonts w:ascii="Arial" w:hAnsi="Arial" w:cs="Arial"/>
        </w:rPr>
        <w:t xml:space="preserve"> </w:t>
      </w:r>
      <w:r w:rsidR="00EE5B4A">
        <w:rPr>
          <w:rFonts w:ascii="Arial" w:hAnsi="Arial" w:cs="Arial"/>
        </w:rPr>
        <w:t xml:space="preserve">under the Romanian IA, and the CVA and the Administration under the UK IA, are </w:t>
      </w:r>
      <w:r w:rsidR="00743216">
        <w:rPr>
          <w:rFonts w:ascii="Arial" w:hAnsi="Arial" w:cs="Arial"/>
        </w:rPr>
        <w:t xml:space="preserve">all public collective proceedings </w:t>
      </w:r>
      <w:r w:rsidR="00691F9C">
        <w:rPr>
          <w:rFonts w:ascii="Arial" w:hAnsi="Arial" w:cs="Arial"/>
        </w:rPr>
        <w:t>listed in Annex A</w:t>
      </w:r>
      <w:r w:rsidR="00743216">
        <w:rPr>
          <w:rFonts w:ascii="Arial" w:hAnsi="Arial" w:cs="Arial"/>
        </w:rPr>
        <w:t>.</w:t>
      </w:r>
      <w:bookmarkStart w:id="5" w:name="_Ref142511230"/>
      <w:r w:rsidR="00C037C3">
        <w:rPr>
          <w:rStyle w:val="FootnoteReference"/>
          <w:rFonts w:ascii="Arial" w:hAnsi="Arial" w:cs="Arial"/>
        </w:rPr>
        <w:footnoteReference w:id="40"/>
      </w:r>
      <w:bookmarkEnd w:id="5"/>
      <w:r w:rsidR="00B86168">
        <w:rPr>
          <w:rFonts w:ascii="Arial" w:hAnsi="Arial" w:cs="Arial"/>
        </w:rPr>
        <w:t xml:space="preserve"> </w:t>
      </w:r>
      <w:r w:rsidR="00691F9C">
        <w:rPr>
          <w:rFonts w:ascii="Arial" w:hAnsi="Arial" w:cs="Arial"/>
        </w:rPr>
        <w:t xml:space="preserve"> </w:t>
      </w:r>
      <w:r w:rsidR="007B14DF">
        <w:rPr>
          <w:rFonts w:ascii="Arial" w:hAnsi="Arial" w:cs="Arial"/>
        </w:rPr>
        <w:t>Accordingly, the</w:t>
      </w:r>
      <w:r w:rsidR="00AC0871">
        <w:rPr>
          <w:rFonts w:ascii="Arial" w:hAnsi="Arial" w:cs="Arial"/>
        </w:rPr>
        <w:t xml:space="preserve">se proceedings, if </w:t>
      </w:r>
      <w:r w:rsidR="00A75363">
        <w:rPr>
          <w:rFonts w:ascii="Arial" w:hAnsi="Arial" w:cs="Arial"/>
        </w:rPr>
        <w:t xml:space="preserve">being properly opened at the company’s COMI, </w:t>
      </w:r>
      <w:r w:rsidR="00C573E3">
        <w:rPr>
          <w:rFonts w:ascii="Arial" w:hAnsi="Arial" w:cs="Arial"/>
        </w:rPr>
        <w:t xml:space="preserve">shall be recognised </w:t>
      </w:r>
      <w:r w:rsidR="007F2B9F">
        <w:rPr>
          <w:rFonts w:ascii="Arial" w:hAnsi="Arial" w:cs="Arial"/>
        </w:rPr>
        <w:t>as the main insolvency proceedings</w:t>
      </w:r>
      <w:r w:rsidR="007F2B9F">
        <w:rPr>
          <w:rFonts w:ascii="Arial" w:hAnsi="Arial" w:cs="Arial"/>
        </w:rPr>
        <w:t xml:space="preserve"> </w:t>
      </w:r>
      <w:r w:rsidR="00C573E3">
        <w:rPr>
          <w:rFonts w:ascii="Arial" w:hAnsi="Arial" w:cs="Arial"/>
        </w:rPr>
        <w:t xml:space="preserve">in other </w:t>
      </w:r>
      <w:r w:rsidR="0094336C">
        <w:rPr>
          <w:rFonts w:ascii="Arial" w:hAnsi="Arial" w:cs="Arial"/>
        </w:rPr>
        <w:t>M</w:t>
      </w:r>
      <w:r w:rsidR="00C573E3">
        <w:rPr>
          <w:rFonts w:ascii="Arial" w:hAnsi="Arial" w:cs="Arial"/>
        </w:rPr>
        <w:t xml:space="preserve">ember </w:t>
      </w:r>
      <w:r w:rsidR="0094336C">
        <w:rPr>
          <w:rFonts w:ascii="Arial" w:hAnsi="Arial" w:cs="Arial"/>
        </w:rPr>
        <w:t>S</w:t>
      </w:r>
      <w:r w:rsidR="00C573E3">
        <w:rPr>
          <w:rFonts w:ascii="Arial" w:hAnsi="Arial" w:cs="Arial"/>
        </w:rPr>
        <w:t>tates.</w:t>
      </w:r>
      <w:r w:rsidR="00AB112F">
        <w:rPr>
          <w:rFonts w:ascii="Arial" w:hAnsi="Arial" w:cs="Arial"/>
        </w:rPr>
        <w:t xml:space="preserve">  </w:t>
      </w:r>
    </w:p>
    <w:p w14:paraId="369A0668" w14:textId="00B39DB8" w:rsidR="005B3F9A" w:rsidRDefault="00E25F2C" w:rsidP="005B3F9A">
      <w:pPr>
        <w:spacing w:line="240" w:lineRule="auto"/>
        <w:jc w:val="both"/>
        <w:rPr>
          <w:rFonts w:ascii="Arial" w:hAnsi="Arial" w:cs="Arial"/>
        </w:rPr>
      </w:pPr>
      <w:r>
        <w:rPr>
          <w:rFonts w:ascii="Arial" w:hAnsi="Arial" w:cs="Arial"/>
        </w:rPr>
        <w:t xml:space="preserve">Article 3 of the EIR Recast </w:t>
      </w:r>
      <w:r w:rsidR="00D82E06">
        <w:rPr>
          <w:rFonts w:ascii="Arial" w:hAnsi="Arial" w:cs="Arial"/>
        </w:rPr>
        <w:t xml:space="preserve">governs </w:t>
      </w:r>
      <w:r w:rsidR="00643D60">
        <w:rPr>
          <w:rFonts w:ascii="Arial" w:hAnsi="Arial" w:cs="Arial"/>
        </w:rPr>
        <w:t>that if</w:t>
      </w:r>
      <w:r w:rsidR="00022DE7">
        <w:rPr>
          <w:rFonts w:ascii="Arial" w:hAnsi="Arial" w:cs="Arial"/>
        </w:rPr>
        <w:t xml:space="preserve"> an insolvency proceeding </w:t>
      </w:r>
      <w:r w:rsidR="005264C3">
        <w:rPr>
          <w:rFonts w:ascii="Arial" w:hAnsi="Arial" w:cs="Arial"/>
        </w:rPr>
        <w:t xml:space="preserve">is opened </w:t>
      </w:r>
      <w:r w:rsidR="00D94DF6">
        <w:rPr>
          <w:rFonts w:ascii="Arial" w:hAnsi="Arial" w:cs="Arial"/>
        </w:rPr>
        <w:t xml:space="preserve">of which the company’s COMI is situated, it </w:t>
      </w:r>
      <w:r w:rsidR="00022DE7">
        <w:rPr>
          <w:rFonts w:ascii="Arial" w:hAnsi="Arial" w:cs="Arial"/>
        </w:rPr>
        <w:t>is the main insolvency proceeding</w:t>
      </w:r>
      <w:r w:rsidR="00643D60">
        <w:rPr>
          <w:rFonts w:ascii="Arial" w:hAnsi="Arial" w:cs="Arial"/>
        </w:rPr>
        <w:t xml:space="preserve">.  </w:t>
      </w:r>
      <w:r w:rsidR="00CC2B53">
        <w:rPr>
          <w:rFonts w:ascii="Arial" w:hAnsi="Arial" w:cs="Arial"/>
        </w:rPr>
        <w:t xml:space="preserve">The COMI shall be the place where the company conducts the administration of its interests on a regular </w:t>
      </w:r>
      <w:r w:rsidR="00615501">
        <w:rPr>
          <w:rFonts w:ascii="Arial" w:hAnsi="Arial" w:cs="Arial"/>
        </w:rPr>
        <w:t>basis,</w:t>
      </w:r>
      <w:r w:rsidR="00CC2B53">
        <w:rPr>
          <w:rFonts w:ascii="Arial" w:hAnsi="Arial" w:cs="Arial"/>
        </w:rPr>
        <w:t xml:space="preserve"> and which is ascertainable by third parties.  </w:t>
      </w:r>
      <w:r w:rsidR="00B2177A">
        <w:rPr>
          <w:rFonts w:ascii="Arial" w:hAnsi="Arial" w:cs="Arial"/>
        </w:rPr>
        <w:t>The place of the registered office shall be presumed to be the COMI in the absence of proof to the contrary.</w:t>
      </w:r>
    </w:p>
    <w:p w14:paraId="0185A79B" w14:textId="62450026" w:rsidR="008368D8" w:rsidRDefault="00DB3B2C" w:rsidP="00630773">
      <w:pPr>
        <w:spacing w:line="240" w:lineRule="auto"/>
        <w:jc w:val="both"/>
        <w:rPr>
          <w:rFonts w:ascii="Arial" w:hAnsi="Arial" w:cs="Arial"/>
        </w:rPr>
      </w:pPr>
      <w:r>
        <w:rPr>
          <w:rFonts w:ascii="Arial" w:hAnsi="Arial" w:cs="Arial"/>
        </w:rPr>
        <w:t xml:space="preserve">Efwon Trading and Efwon </w:t>
      </w:r>
      <w:r w:rsidR="00163253">
        <w:rPr>
          <w:rFonts w:ascii="Arial" w:hAnsi="Arial" w:cs="Arial"/>
        </w:rPr>
        <w:t xml:space="preserve">Romania are incorporated in </w:t>
      </w:r>
      <w:r w:rsidR="00C32007">
        <w:rPr>
          <w:rFonts w:ascii="Arial" w:hAnsi="Arial" w:cs="Arial"/>
        </w:rPr>
        <w:t xml:space="preserve">England and Wales and Romania respectively.  </w:t>
      </w:r>
      <w:r w:rsidR="0093458F">
        <w:rPr>
          <w:rFonts w:ascii="Arial" w:hAnsi="Arial" w:cs="Arial"/>
        </w:rPr>
        <w:t xml:space="preserve">The </w:t>
      </w:r>
      <w:r w:rsidR="000465D5">
        <w:rPr>
          <w:rFonts w:ascii="Arial" w:hAnsi="Arial" w:cs="Arial"/>
        </w:rPr>
        <w:t xml:space="preserve">rebuttable </w:t>
      </w:r>
      <w:r w:rsidR="0093458F">
        <w:rPr>
          <w:rFonts w:ascii="Arial" w:hAnsi="Arial" w:cs="Arial"/>
        </w:rPr>
        <w:t xml:space="preserve">presumption is that the COMI of Efwon Trading and Efwon Romania </w:t>
      </w:r>
      <w:r w:rsidR="00CE17A9">
        <w:rPr>
          <w:rFonts w:ascii="Arial" w:hAnsi="Arial" w:cs="Arial"/>
        </w:rPr>
        <w:t>are</w:t>
      </w:r>
      <w:r w:rsidR="00697190">
        <w:rPr>
          <w:rFonts w:ascii="Arial" w:hAnsi="Arial" w:cs="Arial"/>
        </w:rPr>
        <w:t xml:space="preserve"> in England and Wales and Romania respectively.  Accordingly, the </w:t>
      </w:r>
      <w:r w:rsidR="00D20E36">
        <w:rPr>
          <w:rFonts w:ascii="Arial" w:hAnsi="Arial" w:cs="Arial"/>
        </w:rPr>
        <w:t xml:space="preserve">insolvency proceedings opened in the UK and Romania </w:t>
      </w:r>
      <w:r w:rsidR="003D3239">
        <w:rPr>
          <w:rFonts w:ascii="Arial" w:hAnsi="Arial" w:cs="Arial"/>
        </w:rPr>
        <w:t xml:space="preserve">against Efwon Trading and Efwon Romania </w:t>
      </w:r>
      <w:r w:rsidR="002B0549">
        <w:rPr>
          <w:rFonts w:ascii="Arial" w:hAnsi="Arial" w:cs="Arial"/>
        </w:rPr>
        <w:t xml:space="preserve">respectively </w:t>
      </w:r>
      <w:r w:rsidR="00D21AD7">
        <w:rPr>
          <w:rFonts w:ascii="Arial" w:hAnsi="Arial" w:cs="Arial"/>
        </w:rPr>
        <w:t>are</w:t>
      </w:r>
      <w:r w:rsidR="002B0549">
        <w:rPr>
          <w:rFonts w:ascii="Arial" w:hAnsi="Arial" w:cs="Arial"/>
        </w:rPr>
        <w:t xml:space="preserve"> </w:t>
      </w:r>
      <w:r w:rsidR="00974705">
        <w:rPr>
          <w:rFonts w:ascii="Arial" w:hAnsi="Arial" w:cs="Arial"/>
        </w:rPr>
        <w:t xml:space="preserve">the main insolvency proceedings.  This presumption is rebuttable </w:t>
      </w:r>
      <w:r w:rsidR="009E6D4A">
        <w:rPr>
          <w:rFonts w:ascii="Arial" w:hAnsi="Arial" w:cs="Arial"/>
        </w:rPr>
        <w:t xml:space="preserve">if it is demonstrated that Efwon Trading or Efwon Romania </w:t>
      </w:r>
      <w:r w:rsidR="00DB578A">
        <w:rPr>
          <w:rFonts w:ascii="Arial" w:hAnsi="Arial" w:cs="Arial"/>
        </w:rPr>
        <w:t xml:space="preserve">has conducted its administration of its interests </w:t>
      </w:r>
      <w:r w:rsidR="00A055EC">
        <w:rPr>
          <w:rFonts w:ascii="Arial" w:hAnsi="Arial" w:cs="Arial"/>
        </w:rPr>
        <w:t xml:space="preserve">ascertainable by third parties </w:t>
      </w:r>
      <w:r w:rsidR="00DB578A">
        <w:rPr>
          <w:rFonts w:ascii="Arial" w:hAnsi="Arial" w:cs="Arial"/>
        </w:rPr>
        <w:t>on a regular basis</w:t>
      </w:r>
      <w:r w:rsidR="00A055EC">
        <w:rPr>
          <w:rFonts w:ascii="Arial" w:hAnsi="Arial" w:cs="Arial"/>
        </w:rPr>
        <w:t xml:space="preserve"> in </w:t>
      </w:r>
      <w:r w:rsidR="00224E84">
        <w:rPr>
          <w:rFonts w:ascii="Arial" w:hAnsi="Arial" w:cs="Arial"/>
        </w:rPr>
        <w:t>a place other than its registered office.</w:t>
      </w:r>
      <w:r w:rsidR="00831E9B">
        <w:rPr>
          <w:rFonts w:ascii="Arial" w:hAnsi="Arial" w:cs="Arial"/>
        </w:rPr>
        <w:t xml:space="preserve">  </w:t>
      </w:r>
    </w:p>
    <w:p w14:paraId="298DFFC0" w14:textId="2719CF55" w:rsidR="00A34149" w:rsidRDefault="003926D1" w:rsidP="00630773">
      <w:pPr>
        <w:spacing w:line="240" w:lineRule="auto"/>
        <w:jc w:val="both"/>
        <w:rPr>
          <w:rFonts w:ascii="Arial" w:hAnsi="Arial" w:cs="Arial"/>
        </w:rPr>
      </w:pPr>
      <w:r>
        <w:rPr>
          <w:rFonts w:ascii="Arial" w:hAnsi="Arial" w:cs="Arial"/>
        </w:rPr>
        <w:t>One of t</w:t>
      </w:r>
      <w:r w:rsidR="00831E9B">
        <w:rPr>
          <w:rFonts w:ascii="Arial" w:hAnsi="Arial" w:cs="Arial"/>
        </w:rPr>
        <w:t>he contrary argument</w:t>
      </w:r>
      <w:r>
        <w:rPr>
          <w:rFonts w:ascii="Arial" w:hAnsi="Arial" w:cs="Arial"/>
        </w:rPr>
        <w:t>s</w:t>
      </w:r>
      <w:r w:rsidR="00831E9B">
        <w:rPr>
          <w:rFonts w:ascii="Arial" w:hAnsi="Arial" w:cs="Arial"/>
        </w:rPr>
        <w:t xml:space="preserve"> is that </w:t>
      </w:r>
      <w:r w:rsidR="00A34149">
        <w:rPr>
          <w:rFonts w:ascii="Arial" w:hAnsi="Arial" w:cs="Arial"/>
        </w:rPr>
        <w:t xml:space="preserve">whether a COMI is located where the managerial decisions are taken (i.e. the “head function” argument).  </w:t>
      </w:r>
      <w:r w:rsidR="003B1D25">
        <w:rPr>
          <w:rFonts w:ascii="Arial" w:hAnsi="Arial" w:cs="Arial"/>
        </w:rPr>
        <w:t xml:space="preserve">In </w:t>
      </w:r>
      <w:r w:rsidR="003B1D25" w:rsidRPr="00541DFD">
        <w:rPr>
          <w:rFonts w:ascii="Arial" w:hAnsi="Arial" w:cs="Arial"/>
          <w:i/>
          <w:iCs/>
        </w:rPr>
        <w:t>Re Eurofood IFSC Ltd (Case C-341/04) [2006] Ch 508</w:t>
      </w:r>
      <w:r w:rsidR="003B1D25">
        <w:rPr>
          <w:rFonts w:ascii="Arial" w:hAnsi="Arial" w:cs="Arial"/>
        </w:rPr>
        <w:t xml:space="preserve">, </w:t>
      </w:r>
      <w:r w:rsidR="00556D45">
        <w:rPr>
          <w:rFonts w:ascii="Arial" w:hAnsi="Arial" w:cs="Arial"/>
        </w:rPr>
        <w:t xml:space="preserve">the principal activity of </w:t>
      </w:r>
      <w:r w:rsidR="00541DFD">
        <w:rPr>
          <w:rFonts w:ascii="Arial" w:hAnsi="Arial" w:cs="Arial"/>
        </w:rPr>
        <w:t>Eurofood IFSC Ltd</w:t>
      </w:r>
      <w:r w:rsidR="00911279">
        <w:rPr>
          <w:rFonts w:ascii="Arial" w:hAnsi="Arial" w:cs="Arial"/>
        </w:rPr>
        <w:t xml:space="preserve"> (</w:t>
      </w:r>
      <w:r w:rsidR="00911279" w:rsidRPr="00911279">
        <w:rPr>
          <w:rFonts w:ascii="Arial" w:hAnsi="Arial" w:cs="Arial"/>
          <w:b/>
          <w:bCs/>
        </w:rPr>
        <w:t>Eurofood</w:t>
      </w:r>
      <w:r w:rsidR="00911279">
        <w:rPr>
          <w:rFonts w:ascii="Arial" w:hAnsi="Arial" w:cs="Arial"/>
        </w:rPr>
        <w:t xml:space="preserve">) </w:t>
      </w:r>
      <w:r w:rsidR="00556D45">
        <w:rPr>
          <w:rFonts w:ascii="Arial" w:hAnsi="Arial" w:cs="Arial"/>
        </w:rPr>
        <w:t xml:space="preserve">was the provision of financing facilities for other companies within the group, </w:t>
      </w:r>
      <w:proofErr w:type="gramStart"/>
      <w:r w:rsidR="00556D45">
        <w:rPr>
          <w:rFonts w:ascii="Arial" w:hAnsi="Arial" w:cs="Arial"/>
        </w:rPr>
        <w:t>similar to</w:t>
      </w:r>
      <w:proofErr w:type="gramEnd"/>
      <w:r w:rsidR="00106477">
        <w:rPr>
          <w:rFonts w:ascii="Arial" w:hAnsi="Arial" w:cs="Arial"/>
        </w:rPr>
        <w:t xml:space="preserve"> that of</w:t>
      </w:r>
      <w:r w:rsidR="00556D45">
        <w:rPr>
          <w:rFonts w:ascii="Arial" w:hAnsi="Arial" w:cs="Arial"/>
        </w:rPr>
        <w:t xml:space="preserve"> Efwon Trading.</w:t>
      </w:r>
      <w:r w:rsidR="00B730EB">
        <w:rPr>
          <w:rFonts w:ascii="Arial" w:hAnsi="Arial" w:cs="Arial"/>
        </w:rPr>
        <w:t xml:space="preserve">  </w:t>
      </w:r>
      <w:r w:rsidR="00911279">
        <w:rPr>
          <w:rFonts w:ascii="Arial" w:hAnsi="Arial" w:cs="Arial"/>
        </w:rPr>
        <w:t xml:space="preserve">It </w:t>
      </w:r>
      <w:r w:rsidR="003E6FD3">
        <w:rPr>
          <w:rFonts w:ascii="Arial" w:hAnsi="Arial" w:cs="Arial"/>
        </w:rPr>
        <w:t>wa</w:t>
      </w:r>
      <w:r w:rsidR="00911279">
        <w:rPr>
          <w:rFonts w:ascii="Arial" w:hAnsi="Arial" w:cs="Arial"/>
        </w:rPr>
        <w:t>s a wholly owned subsidiary of Parmalat SpA</w:t>
      </w:r>
      <w:r w:rsidR="00F275FD">
        <w:rPr>
          <w:rFonts w:ascii="Arial" w:hAnsi="Arial" w:cs="Arial"/>
        </w:rPr>
        <w:t xml:space="preserve"> (</w:t>
      </w:r>
      <w:r w:rsidR="00F275FD" w:rsidRPr="00F275FD">
        <w:rPr>
          <w:rFonts w:ascii="Arial" w:hAnsi="Arial" w:cs="Arial"/>
          <w:b/>
          <w:bCs/>
        </w:rPr>
        <w:t>Parmalat</w:t>
      </w:r>
      <w:r w:rsidR="00F275FD">
        <w:rPr>
          <w:rFonts w:ascii="Arial" w:hAnsi="Arial" w:cs="Arial"/>
        </w:rPr>
        <w:t>)</w:t>
      </w:r>
      <w:r w:rsidR="00D47EB3">
        <w:rPr>
          <w:rFonts w:ascii="Arial" w:hAnsi="Arial" w:cs="Arial"/>
        </w:rPr>
        <w:t xml:space="preserve">, a company incorporated in Italy, and </w:t>
      </w:r>
      <w:r w:rsidR="003E6FD3">
        <w:rPr>
          <w:rFonts w:ascii="Arial" w:hAnsi="Arial" w:cs="Arial"/>
        </w:rPr>
        <w:t>wa</w:t>
      </w:r>
      <w:r w:rsidR="00076AB7">
        <w:rPr>
          <w:rFonts w:ascii="Arial" w:hAnsi="Arial" w:cs="Arial"/>
        </w:rPr>
        <w:t xml:space="preserve">s </w:t>
      </w:r>
      <w:r w:rsidR="00911279">
        <w:rPr>
          <w:rFonts w:ascii="Arial" w:hAnsi="Arial" w:cs="Arial"/>
        </w:rPr>
        <w:t>registered in Ireland with its registered office in the International Financial Services Centre in Dublin</w:t>
      </w:r>
      <w:r w:rsidR="006E1310">
        <w:rPr>
          <w:rFonts w:ascii="Arial" w:hAnsi="Arial" w:cs="Arial"/>
        </w:rPr>
        <w:t>, Ireland</w:t>
      </w:r>
      <w:r w:rsidR="0091342D">
        <w:rPr>
          <w:rFonts w:ascii="Arial" w:hAnsi="Arial" w:cs="Arial"/>
        </w:rPr>
        <w:t>.</w:t>
      </w:r>
      <w:r w:rsidR="0091342D">
        <w:rPr>
          <w:rStyle w:val="FootnoteReference"/>
          <w:rFonts w:ascii="Arial" w:hAnsi="Arial" w:cs="Arial"/>
        </w:rPr>
        <w:footnoteReference w:id="41"/>
      </w:r>
      <w:r w:rsidR="00B21CF0">
        <w:rPr>
          <w:rFonts w:ascii="Arial" w:hAnsi="Arial" w:cs="Arial"/>
        </w:rPr>
        <w:t xml:space="preserve">  </w:t>
      </w:r>
      <w:r w:rsidR="005234A4">
        <w:rPr>
          <w:rFonts w:ascii="Arial" w:hAnsi="Arial" w:cs="Arial"/>
        </w:rPr>
        <w:t>Eurofood conducted</w:t>
      </w:r>
      <w:r w:rsidR="00353065">
        <w:rPr>
          <w:rFonts w:ascii="Arial" w:hAnsi="Arial" w:cs="Arial"/>
        </w:rPr>
        <w:t xml:space="preserve"> its </w:t>
      </w:r>
      <w:r w:rsidR="001524D2">
        <w:rPr>
          <w:rFonts w:ascii="Arial" w:hAnsi="Arial" w:cs="Arial"/>
        </w:rPr>
        <w:t xml:space="preserve">activity with no offices in Italy.  </w:t>
      </w:r>
      <w:r w:rsidR="00F275FD">
        <w:rPr>
          <w:rFonts w:ascii="Arial" w:hAnsi="Arial" w:cs="Arial"/>
        </w:rPr>
        <w:t xml:space="preserve">Parmalat, by virtue of its shareholding and power to appoint directors, </w:t>
      </w:r>
      <w:r w:rsidR="00416731">
        <w:rPr>
          <w:rFonts w:ascii="Arial" w:hAnsi="Arial" w:cs="Arial"/>
        </w:rPr>
        <w:t>control</w:t>
      </w:r>
      <w:r w:rsidR="009F0FBB">
        <w:rPr>
          <w:rFonts w:ascii="Arial" w:hAnsi="Arial" w:cs="Arial"/>
        </w:rPr>
        <w:t>led</w:t>
      </w:r>
      <w:r w:rsidR="00416731">
        <w:rPr>
          <w:rFonts w:ascii="Arial" w:hAnsi="Arial" w:cs="Arial"/>
        </w:rPr>
        <w:t xml:space="preserve"> the policy of Eurofood</w:t>
      </w:r>
      <w:r w:rsidR="00B21CF0">
        <w:rPr>
          <w:rFonts w:ascii="Arial" w:hAnsi="Arial" w:cs="Arial"/>
        </w:rPr>
        <w:t xml:space="preserve">.  </w:t>
      </w:r>
      <w:r w:rsidR="00CB5794">
        <w:rPr>
          <w:rFonts w:ascii="Arial" w:hAnsi="Arial" w:cs="Arial"/>
        </w:rPr>
        <w:t xml:space="preserve">The </w:t>
      </w:r>
      <w:r w:rsidR="00B02255">
        <w:rPr>
          <w:rFonts w:ascii="Arial" w:hAnsi="Arial" w:cs="Arial"/>
        </w:rPr>
        <w:t>Court of Justic of the European Union</w:t>
      </w:r>
      <w:r w:rsidR="0075341D">
        <w:rPr>
          <w:rFonts w:ascii="Arial" w:hAnsi="Arial" w:cs="Arial"/>
        </w:rPr>
        <w:t xml:space="preserve"> (the </w:t>
      </w:r>
      <w:r w:rsidR="0075341D" w:rsidRPr="0075341D">
        <w:rPr>
          <w:rFonts w:ascii="Arial" w:hAnsi="Arial" w:cs="Arial"/>
          <w:b/>
          <w:bCs/>
        </w:rPr>
        <w:t>CJEU</w:t>
      </w:r>
      <w:r w:rsidR="0075341D">
        <w:rPr>
          <w:rFonts w:ascii="Arial" w:hAnsi="Arial" w:cs="Arial"/>
        </w:rPr>
        <w:t>)</w:t>
      </w:r>
      <w:r w:rsidR="00CB5794">
        <w:rPr>
          <w:rFonts w:ascii="Arial" w:hAnsi="Arial" w:cs="Arial"/>
        </w:rPr>
        <w:t xml:space="preserve"> held that </w:t>
      </w:r>
      <w:r w:rsidR="00685958">
        <w:rPr>
          <w:rFonts w:ascii="Arial" w:hAnsi="Arial" w:cs="Arial"/>
        </w:rPr>
        <w:t xml:space="preserve">Recital 13 </w:t>
      </w:r>
      <w:r w:rsidR="001C4731">
        <w:rPr>
          <w:rFonts w:ascii="Arial" w:hAnsi="Arial" w:cs="Arial"/>
        </w:rPr>
        <w:t xml:space="preserve">of the </w:t>
      </w:r>
      <w:r w:rsidR="00821919">
        <w:rPr>
          <w:rFonts w:ascii="Arial" w:hAnsi="Arial" w:cs="Arial"/>
        </w:rPr>
        <w:t xml:space="preserve">Council </w:t>
      </w:r>
      <w:r w:rsidR="001C4731" w:rsidRPr="001C4731">
        <w:rPr>
          <w:rFonts w:ascii="Arial" w:hAnsi="Arial" w:cs="Arial"/>
        </w:rPr>
        <w:t xml:space="preserve">Regulation (EC) No 1346/2000 of 29 May 2000 on insolvency </w:t>
      </w:r>
      <w:r w:rsidR="001C4731" w:rsidRPr="00380C75">
        <w:rPr>
          <w:rFonts w:ascii="Arial" w:hAnsi="Arial" w:cs="Arial"/>
        </w:rPr>
        <w:t>proceedings (</w:t>
      </w:r>
      <w:r w:rsidR="000E7B75" w:rsidRPr="00380C75">
        <w:rPr>
          <w:rFonts w:ascii="Arial" w:hAnsi="Arial" w:cs="Arial"/>
          <w:b/>
          <w:bCs/>
        </w:rPr>
        <w:t>EIR 2000</w:t>
      </w:r>
      <w:r w:rsidR="000E7B75" w:rsidRPr="00380C75">
        <w:rPr>
          <w:rFonts w:ascii="Arial" w:hAnsi="Arial" w:cs="Arial"/>
        </w:rPr>
        <w:t>)</w:t>
      </w:r>
      <w:r w:rsidR="00380C75">
        <w:rPr>
          <w:rFonts w:ascii="Arial" w:hAnsi="Arial" w:cs="Arial"/>
        </w:rPr>
        <w:t xml:space="preserve">, the predecessor of </w:t>
      </w:r>
      <w:r w:rsidR="001F0F33">
        <w:rPr>
          <w:rFonts w:ascii="Arial" w:hAnsi="Arial" w:cs="Arial"/>
        </w:rPr>
        <w:t>the EIR Recast,</w:t>
      </w:r>
      <w:r w:rsidR="00A670EB">
        <w:rPr>
          <w:rFonts w:ascii="Arial" w:hAnsi="Arial" w:cs="Arial"/>
        </w:rPr>
        <w:t xml:space="preserve"> </w:t>
      </w:r>
      <w:r w:rsidR="00554D79">
        <w:rPr>
          <w:rFonts w:ascii="Arial" w:hAnsi="Arial" w:cs="Arial"/>
        </w:rPr>
        <w:t>describe</w:t>
      </w:r>
      <w:r w:rsidR="00AD6962">
        <w:rPr>
          <w:rFonts w:ascii="Arial" w:hAnsi="Arial" w:cs="Arial"/>
        </w:rPr>
        <w:t>s</w:t>
      </w:r>
      <w:r w:rsidR="00554D79">
        <w:rPr>
          <w:rFonts w:ascii="Arial" w:hAnsi="Arial" w:cs="Arial"/>
        </w:rPr>
        <w:t xml:space="preserve"> </w:t>
      </w:r>
      <w:r w:rsidR="00A670EB">
        <w:rPr>
          <w:rFonts w:ascii="Arial" w:hAnsi="Arial" w:cs="Arial"/>
        </w:rPr>
        <w:t xml:space="preserve">that the </w:t>
      </w:r>
      <w:r w:rsidR="004B424F">
        <w:rPr>
          <w:rFonts w:ascii="Arial" w:hAnsi="Arial" w:cs="Arial"/>
        </w:rPr>
        <w:t>COMI</w:t>
      </w:r>
      <w:r w:rsidR="00A670EB">
        <w:rPr>
          <w:rFonts w:ascii="Arial" w:hAnsi="Arial" w:cs="Arial"/>
        </w:rPr>
        <w:t xml:space="preserve"> must be identified by reference to criteria that are both objective and ascertainable by third parties.</w:t>
      </w:r>
      <w:r w:rsidR="00D423D2">
        <w:rPr>
          <w:rStyle w:val="FootnoteReference"/>
          <w:rFonts w:ascii="Arial" w:hAnsi="Arial" w:cs="Arial"/>
        </w:rPr>
        <w:footnoteReference w:id="42"/>
      </w:r>
      <w:r w:rsidR="0065495E">
        <w:rPr>
          <w:rFonts w:ascii="Arial" w:hAnsi="Arial" w:cs="Arial"/>
        </w:rPr>
        <w:t xml:space="preserve">  The simple </w:t>
      </w:r>
      <w:r w:rsidR="0065495E" w:rsidRPr="00726D61">
        <w:rPr>
          <w:rFonts w:ascii="Arial" w:hAnsi="Arial" w:cs="Arial"/>
        </w:rPr>
        <w:t xml:space="preserve">presumption </w:t>
      </w:r>
      <w:r w:rsidR="00630773" w:rsidRPr="00726D61">
        <w:rPr>
          <w:rFonts w:ascii="Arial" w:hAnsi="Arial" w:cs="Arial"/>
        </w:rPr>
        <w:t xml:space="preserve">in favour of the registered office can be rebutted only </w:t>
      </w:r>
      <w:r w:rsidR="001951FB" w:rsidRPr="00726D61">
        <w:rPr>
          <w:rFonts w:ascii="Arial" w:hAnsi="Arial" w:cs="Arial"/>
        </w:rPr>
        <w:t xml:space="preserve">if factors which are both objective and ascertainable by third parties enable it to be established </w:t>
      </w:r>
      <w:r w:rsidR="00726D61" w:rsidRPr="00726D61">
        <w:rPr>
          <w:rFonts w:ascii="Arial" w:hAnsi="Arial" w:cs="Arial"/>
        </w:rPr>
        <w:t>differently</w:t>
      </w:r>
      <w:r w:rsidR="00427083" w:rsidRPr="00726D61">
        <w:rPr>
          <w:rFonts w:ascii="Arial" w:hAnsi="Arial" w:cs="Arial"/>
        </w:rPr>
        <w:t>.</w:t>
      </w:r>
      <w:r w:rsidR="00726D61" w:rsidRPr="00726D61">
        <w:rPr>
          <w:rStyle w:val="FootnoteReference"/>
          <w:rFonts w:ascii="Arial" w:hAnsi="Arial" w:cs="Arial"/>
        </w:rPr>
        <w:footnoteReference w:id="43"/>
      </w:r>
      <w:r w:rsidR="00D423D2">
        <w:rPr>
          <w:rFonts w:ascii="Arial" w:hAnsi="Arial" w:cs="Arial"/>
        </w:rPr>
        <w:t xml:space="preserve"> </w:t>
      </w:r>
      <w:r w:rsidR="00712D66">
        <w:rPr>
          <w:rFonts w:ascii="Arial" w:hAnsi="Arial" w:cs="Arial"/>
        </w:rPr>
        <w:t xml:space="preserve"> </w:t>
      </w:r>
      <w:r w:rsidR="00E45462">
        <w:rPr>
          <w:rFonts w:ascii="Arial" w:hAnsi="Arial" w:cs="Arial"/>
        </w:rPr>
        <w:t xml:space="preserve">In other words, where a company carries on its business in the </w:t>
      </w:r>
      <w:r w:rsidR="006D4C01">
        <w:rPr>
          <w:rFonts w:ascii="Arial" w:hAnsi="Arial" w:cs="Arial"/>
        </w:rPr>
        <w:t>territory</w:t>
      </w:r>
      <w:r w:rsidR="00547477">
        <w:rPr>
          <w:rFonts w:ascii="Arial" w:hAnsi="Arial" w:cs="Arial"/>
        </w:rPr>
        <w:t xml:space="preserve"> of the Member State</w:t>
      </w:r>
      <w:r w:rsidR="006D4C01">
        <w:rPr>
          <w:rFonts w:ascii="Arial" w:hAnsi="Arial" w:cs="Arial"/>
        </w:rPr>
        <w:t xml:space="preserve"> where is registered office is situated, the mere fact that its economic choices are or can be controlled by a parent company in another </w:t>
      </w:r>
      <w:r w:rsidR="00547477">
        <w:rPr>
          <w:rFonts w:ascii="Arial" w:hAnsi="Arial" w:cs="Arial"/>
        </w:rPr>
        <w:t xml:space="preserve">Member State is not </w:t>
      </w:r>
      <w:r w:rsidR="00135312">
        <w:rPr>
          <w:rFonts w:ascii="Arial" w:hAnsi="Arial" w:cs="Arial"/>
        </w:rPr>
        <w:t xml:space="preserve">sufficient </w:t>
      </w:r>
      <w:r w:rsidR="00547477">
        <w:rPr>
          <w:rFonts w:ascii="Arial" w:hAnsi="Arial" w:cs="Arial"/>
        </w:rPr>
        <w:t>to rebut the presumption.</w:t>
      </w:r>
      <w:bookmarkStart w:id="6" w:name="_Ref142489903"/>
      <w:r w:rsidR="00494F50">
        <w:rPr>
          <w:rStyle w:val="FootnoteReference"/>
          <w:rFonts w:ascii="Arial" w:hAnsi="Arial" w:cs="Arial"/>
        </w:rPr>
        <w:footnoteReference w:id="44"/>
      </w:r>
      <w:bookmarkEnd w:id="6"/>
    </w:p>
    <w:p w14:paraId="0E03120D" w14:textId="040C1C57" w:rsidR="001D589B" w:rsidRPr="00545486" w:rsidRDefault="007209BF" w:rsidP="005B3F9A">
      <w:pPr>
        <w:spacing w:line="240" w:lineRule="auto"/>
        <w:jc w:val="both"/>
        <w:rPr>
          <w:rFonts w:ascii="Arial" w:hAnsi="Arial" w:cs="Arial"/>
        </w:rPr>
      </w:pPr>
      <w:r>
        <w:rPr>
          <w:rFonts w:ascii="Arial" w:hAnsi="Arial" w:cs="Arial"/>
        </w:rPr>
        <w:lastRenderedPageBreak/>
        <w:t xml:space="preserve">In </w:t>
      </w:r>
      <w:r w:rsidR="00AB592C" w:rsidRPr="005E48FD">
        <w:rPr>
          <w:rFonts w:ascii="Arial" w:hAnsi="Arial" w:cs="Arial"/>
          <w:i/>
          <w:iCs/>
        </w:rPr>
        <w:t>Interedil Srl v Fallimento Interedil Srl (Case C-396/09) [2012] Bus LR 1582</w:t>
      </w:r>
      <w:r w:rsidR="00AB592C">
        <w:rPr>
          <w:rFonts w:ascii="Arial" w:hAnsi="Arial" w:cs="Arial"/>
        </w:rPr>
        <w:t>,</w:t>
      </w:r>
      <w:r w:rsidR="00644D20">
        <w:rPr>
          <w:rFonts w:ascii="Arial" w:hAnsi="Arial" w:cs="Arial"/>
        </w:rPr>
        <w:t xml:space="preserve"> the interpretation for the purposes of determining the COMI </w:t>
      </w:r>
      <w:r w:rsidR="000A0A42">
        <w:rPr>
          <w:rFonts w:ascii="Arial" w:hAnsi="Arial" w:cs="Arial"/>
        </w:rPr>
        <w:t xml:space="preserve">was </w:t>
      </w:r>
      <w:r w:rsidR="004D4CD3">
        <w:rPr>
          <w:rFonts w:ascii="Arial" w:hAnsi="Arial" w:cs="Arial"/>
        </w:rPr>
        <w:t>ruled</w:t>
      </w:r>
      <w:r w:rsidR="00866613">
        <w:rPr>
          <w:rFonts w:ascii="Arial" w:hAnsi="Arial" w:cs="Arial"/>
        </w:rPr>
        <w:t xml:space="preserve"> on</w:t>
      </w:r>
      <w:r w:rsidR="00B936E6">
        <w:rPr>
          <w:rFonts w:ascii="Arial" w:hAnsi="Arial" w:cs="Arial"/>
        </w:rPr>
        <w:t xml:space="preserve">.  </w:t>
      </w:r>
      <w:r w:rsidR="00B936E6" w:rsidRPr="00B936E6">
        <w:rPr>
          <w:rFonts w:ascii="Arial" w:hAnsi="Arial" w:cs="Arial"/>
        </w:rPr>
        <w:t>Interedil Srl</w:t>
      </w:r>
      <w:r w:rsidR="00B936E6">
        <w:rPr>
          <w:rFonts w:ascii="Arial" w:hAnsi="Arial" w:cs="Arial"/>
        </w:rPr>
        <w:t xml:space="preserve"> </w:t>
      </w:r>
      <w:r w:rsidR="00636EEE">
        <w:rPr>
          <w:rFonts w:ascii="Arial" w:hAnsi="Arial" w:cs="Arial"/>
        </w:rPr>
        <w:t>(</w:t>
      </w:r>
      <w:r w:rsidR="00636EEE" w:rsidRPr="00636EEE">
        <w:rPr>
          <w:rFonts w:ascii="Arial" w:hAnsi="Arial" w:cs="Arial"/>
          <w:b/>
          <w:bCs/>
        </w:rPr>
        <w:t>Interedil</w:t>
      </w:r>
      <w:r w:rsidR="00636EEE">
        <w:rPr>
          <w:rFonts w:ascii="Arial" w:hAnsi="Arial" w:cs="Arial"/>
        </w:rPr>
        <w:t xml:space="preserve">) </w:t>
      </w:r>
      <w:r w:rsidR="00B936E6">
        <w:rPr>
          <w:rFonts w:ascii="Arial" w:hAnsi="Arial" w:cs="Arial"/>
        </w:rPr>
        <w:t xml:space="preserve">was </w:t>
      </w:r>
      <w:r w:rsidR="006E1310">
        <w:rPr>
          <w:rFonts w:ascii="Arial" w:hAnsi="Arial" w:cs="Arial"/>
        </w:rPr>
        <w:t>constituted under Italian law and had its registered office in Monopoli, Italy</w:t>
      </w:r>
      <w:r w:rsidR="00732C9D">
        <w:rPr>
          <w:rFonts w:ascii="Arial" w:hAnsi="Arial" w:cs="Arial"/>
        </w:rPr>
        <w:t xml:space="preserve"> </w:t>
      </w:r>
      <w:r w:rsidR="00287FCC">
        <w:rPr>
          <w:rFonts w:ascii="Arial" w:hAnsi="Arial" w:cs="Arial"/>
        </w:rPr>
        <w:t xml:space="preserve">which was </w:t>
      </w:r>
      <w:r w:rsidR="00DC6D5C">
        <w:rPr>
          <w:rFonts w:ascii="Arial" w:hAnsi="Arial" w:cs="Arial"/>
        </w:rPr>
        <w:t xml:space="preserve">subsequently </w:t>
      </w:r>
      <w:r w:rsidR="00287FCC">
        <w:rPr>
          <w:rFonts w:ascii="Arial" w:hAnsi="Arial" w:cs="Arial"/>
        </w:rPr>
        <w:t>transferred to London, United Kingdom</w:t>
      </w:r>
      <w:r w:rsidR="00636EEE">
        <w:rPr>
          <w:rFonts w:ascii="Arial" w:hAnsi="Arial" w:cs="Arial"/>
        </w:rPr>
        <w:t xml:space="preserve"> and </w:t>
      </w:r>
      <w:r w:rsidR="00EA5A7B">
        <w:rPr>
          <w:rFonts w:ascii="Arial" w:hAnsi="Arial" w:cs="Arial"/>
        </w:rPr>
        <w:t xml:space="preserve">at around the same time, </w:t>
      </w:r>
      <w:r w:rsidR="00636EEE">
        <w:rPr>
          <w:rFonts w:ascii="Arial" w:hAnsi="Arial" w:cs="Arial"/>
        </w:rPr>
        <w:t>Interedil</w:t>
      </w:r>
      <w:r w:rsidR="00F67614">
        <w:rPr>
          <w:rFonts w:ascii="Arial" w:hAnsi="Arial" w:cs="Arial"/>
        </w:rPr>
        <w:t xml:space="preserve"> was registered with the UK register of companies as a foreign company.</w:t>
      </w:r>
      <w:r w:rsidR="0075341D">
        <w:rPr>
          <w:rFonts w:ascii="Arial" w:hAnsi="Arial" w:cs="Arial"/>
        </w:rPr>
        <w:t xml:space="preserve">  The CJEU ruled that </w:t>
      </w:r>
      <w:r w:rsidR="002B0375">
        <w:rPr>
          <w:rFonts w:ascii="Arial" w:hAnsi="Arial" w:cs="Arial"/>
        </w:rPr>
        <w:t xml:space="preserve">the requirement </w:t>
      </w:r>
      <w:r w:rsidR="00DF0B9F">
        <w:rPr>
          <w:rFonts w:ascii="Arial" w:hAnsi="Arial" w:cs="Arial"/>
        </w:rPr>
        <w:t xml:space="preserve">for </w:t>
      </w:r>
      <w:r w:rsidR="00B04BCD">
        <w:rPr>
          <w:rFonts w:ascii="Arial" w:hAnsi="Arial" w:cs="Arial"/>
        </w:rPr>
        <w:t xml:space="preserve">the </w:t>
      </w:r>
      <w:r w:rsidR="002B0375">
        <w:rPr>
          <w:rFonts w:ascii="Arial" w:hAnsi="Arial" w:cs="Arial"/>
        </w:rPr>
        <w:t xml:space="preserve">objectivity and </w:t>
      </w:r>
      <w:r w:rsidR="00B04BCD">
        <w:rPr>
          <w:rFonts w:ascii="Arial" w:hAnsi="Arial" w:cs="Arial"/>
        </w:rPr>
        <w:t>t</w:t>
      </w:r>
      <w:r w:rsidR="00545486">
        <w:rPr>
          <w:rFonts w:ascii="Arial" w:hAnsi="Arial" w:cs="Arial"/>
        </w:rPr>
        <w:t xml:space="preserve">he ascertainment by third parties, as laid down in </w:t>
      </w:r>
      <w:r w:rsidR="00545486">
        <w:rPr>
          <w:rFonts w:ascii="Arial" w:hAnsi="Arial" w:cs="Arial"/>
          <w:i/>
          <w:iCs/>
        </w:rPr>
        <w:t>Re Eurofood</w:t>
      </w:r>
      <w:r w:rsidR="00545486">
        <w:rPr>
          <w:rFonts w:ascii="Arial" w:hAnsi="Arial" w:cs="Arial"/>
        </w:rPr>
        <w:t xml:space="preserve"> may be considered to be met</w:t>
      </w:r>
      <w:r w:rsidR="00444002">
        <w:rPr>
          <w:rFonts w:ascii="Arial" w:hAnsi="Arial" w:cs="Arial"/>
        </w:rPr>
        <w:t xml:space="preserve"> where the material factors have been made public or, at the very least, made sufficiently accessi</w:t>
      </w:r>
      <w:r w:rsidR="00D05263">
        <w:rPr>
          <w:rFonts w:ascii="Arial" w:hAnsi="Arial" w:cs="Arial"/>
        </w:rPr>
        <w:t>b</w:t>
      </w:r>
      <w:r w:rsidR="00444002">
        <w:rPr>
          <w:rFonts w:ascii="Arial" w:hAnsi="Arial" w:cs="Arial"/>
        </w:rPr>
        <w:t>l</w:t>
      </w:r>
      <w:r w:rsidR="00D05263">
        <w:rPr>
          <w:rFonts w:ascii="Arial" w:hAnsi="Arial" w:cs="Arial"/>
        </w:rPr>
        <w:t>e</w:t>
      </w:r>
      <w:r w:rsidR="00444002">
        <w:rPr>
          <w:rFonts w:ascii="Arial" w:hAnsi="Arial" w:cs="Arial"/>
        </w:rPr>
        <w:t xml:space="preserve"> to enable third parties, particular</w:t>
      </w:r>
      <w:r w:rsidR="00D05263">
        <w:rPr>
          <w:rFonts w:ascii="Arial" w:hAnsi="Arial" w:cs="Arial"/>
        </w:rPr>
        <w:t>ly the company’s creditors, to be aware of them.</w:t>
      </w:r>
      <w:r w:rsidR="00D05263">
        <w:rPr>
          <w:rStyle w:val="FootnoteReference"/>
          <w:rFonts w:ascii="Arial" w:hAnsi="Arial" w:cs="Arial"/>
        </w:rPr>
        <w:footnoteReference w:id="45"/>
      </w:r>
      <w:r w:rsidR="00867B45">
        <w:rPr>
          <w:rFonts w:ascii="Arial" w:hAnsi="Arial" w:cs="Arial"/>
        </w:rPr>
        <w:t xml:space="preserve">  </w:t>
      </w:r>
      <w:r w:rsidR="00066C65">
        <w:rPr>
          <w:rFonts w:ascii="Arial" w:hAnsi="Arial" w:cs="Arial"/>
        </w:rPr>
        <w:t>Where the bodies responsible for the management and su</w:t>
      </w:r>
      <w:r w:rsidR="00A80B6D">
        <w:rPr>
          <w:rFonts w:ascii="Arial" w:hAnsi="Arial" w:cs="Arial"/>
        </w:rPr>
        <w:t>per</w:t>
      </w:r>
      <w:r w:rsidR="00066C65">
        <w:rPr>
          <w:rFonts w:ascii="Arial" w:hAnsi="Arial" w:cs="Arial"/>
        </w:rPr>
        <w:t>vision of a company are in the same place as its registered office</w:t>
      </w:r>
      <w:r w:rsidR="00A80B6D">
        <w:rPr>
          <w:rFonts w:ascii="Arial" w:hAnsi="Arial" w:cs="Arial"/>
        </w:rPr>
        <w:t xml:space="preserve"> </w:t>
      </w:r>
      <w:r w:rsidR="00B14540">
        <w:rPr>
          <w:rFonts w:ascii="Arial" w:hAnsi="Arial" w:cs="Arial"/>
        </w:rPr>
        <w:t>where</w:t>
      </w:r>
      <w:r w:rsidR="00A80B6D">
        <w:rPr>
          <w:rFonts w:ascii="Arial" w:hAnsi="Arial" w:cs="Arial"/>
        </w:rPr>
        <w:t xml:space="preserve"> the management decisions are taken</w:t>
      </w:r>
      <w:r w:rsidR="00B14540">
        <w:rPr>
          <w:rFonts w:ascii="Arial" w:hAnsi="Arial" w:cs="Arial"/>
        </w:rPr>
        <w:t>, it is not possible that the company’s COMI is located elsewhere.</w:t>
      </w:r>
      <w:r w:rsidR="00B14540">
        <w:rPr>
          <w:rStyle w:val="FootnoteReference"/>
          <w:rFonts w:ascii="Arial" w:hAnsi="Arial" w:cs="Arial"/>
        </w:rPr>
        <w:footnoteReference w:id="46"/>
      </w:r>
      <w:r w:rsidR="00380C75">
        <w:rPr>
          <w:rFonts w:ascii="Arial" w:hAnsi="Arial" w:cs="Arial"/>
        </w:rPr>
        <w:t xml:space="preserve">  The presumption under Article 3(1) of the EIR 2000 may be rebutted</w:t>
      </w:r>
      <w:r w:rsidR="0071607B">
        <w:rPr>
          <w:rFonts w:ascii="Arial" w:hAnsi="Arial" w:cs="Arial"/>
        </w:rPr>
        <w:t xml:space="preserve"> where, from the viewpoint of third parties, the place in which a company’s central administration is located is not the same as that of its registered office.</w:t>
      </w:r>
      <w:r w:rsidR="0071607B">
        <w:rPr>
          <w:rStyle w:val="FootnoteReference"/>
          <w:rFonts w:ascii="Arial" w:hAnsi="Arial" w:cs="Arial"/>
        </w:rPr>
        <w:footnoteReference w:id="47"/>
      </w:r>
      <w:r w:rsidR="00C7501C">
        <w:rPr>
          <w:rFonts w:ascii="Arial" w:hAnsi="Arial" w:cs="Arial"/>
        </w:rPr>
        <w:t xml:space="preserve">  </w:t>
      </w:r>
      <w:r w:rsidR="00B71E32">
        <w:rPr>
          <w:rFonts w:ascii="Arial" w:hAnsi="Arial" w:cs="Arial"/>
        </w:rPr>
        <w:t>The location of immovable prope</w:t>
      </w:r>
      <w:r w:rsidR="00E42BAE">
        <w:rPr>
          <w:rFonts w:ascii="Arial" w:hAnsi="Arial" w:cs="Arial"/>
        </w:rPr>
        <w:t>rty</w:t>
      </w:r>
      <w:r w:rsidR="00B97F84">
        <w:rPr>
          <w:rFonts w:ascii="Arial" w:hAnsi="Arial" w:cs="Arial"/>
        </w:rPr>
        <w:t>,</w:t>
      </w:r>
      <w:r w:rsidR="00306545">
        <w:rPr>
          <w:rFonts w:ascii="Arial" w:hAnsi="Arial" w:cs="Arial"/>
        </w:rPr>
        <w:t xml:space="preserve"> where the company has concluded lease agreements</w:t>
      </w:r>
      <w:r w:rsidR="001C1758">
        <w:rPr>
          <w:rFonts w:ascii="Arial" w:hAnsi="Arial" w:cs="Arial"/>
        </w:rPr>
        <w:t xml:space="preserve"> </w:t>
      </w:r>
      <w:r w:rsidR="00B97F84">
        <w:rPr>
          <w:rFonts w:ascii="Arial" w:hAnsi="Arial" w:cs="Arial"/>
        </w:rPr>
        <w:t xml:space="preserve">and </w:t>
      </w:r>
      <w:r w:rsidR="001C1758">
        <w:rPr>
          <w:rFonts w:ascii="Arial" w:hAnsi="Arial" w:cs="Arial"/>
        </w:rPr>
        <w:t xml:space="preserve">where </w:t>
      </w:r>
      <w:r w:rsidR="00E42BAE">
        <w:rPr>
          <w:rFonts w:ascii="Arial" w:hAnsi="Arial" w:cs="Arial"/>
        </w:rPr>
        <w:t>a c</w:t>
      </w:r>
      <w:r w:rsidR="00B97F84">
        <w:rPr>
          <w:rFonts w:ascii="Arial" w:hAnsi="Arial" w:cs="Arial"/>
        </w:rPr>
        <w:t xml:space="preserve">ontract was concluded with a financial institution, </w:t>
      </w:r>
      <w:r w:rsidR="00CD6897">
        <w:rPr>
          <w:rFonts w:ascii="Arial" w:hAnsi="Arial" w:cs="Arial"/>
        </w:rPr>
        <w:t xml:space="preserve">being in the same place as the company’s registered office </w:t>
      </w:r>
      <w:r w:rsidR="00B97F84">
        <w:rPr>
          <w:rFonts w:ascii="Arial" w:hAnsi="Arial" w:cs="Arial"/>
        </w:rPr>
        <w:t>may be regarded as objective fa</w:t>
      </w:r>
      <w:r w:rsidR="00EE1083">
        <w:rPr>
          <w:rFonts w:ascii="Arial" w:hAnsi="Arial" w:cs="Arial"/>
        </w:rPr>
        <w:t xml:space="preserve">ctors and, as these are likely to be matters in the public domain, </w:t>
      </w:r>
      <w:r w:rsidR="00005965">
        <w:rPr>
          <w:rFonts w:ascii="Arial" w:hAnsi="Arial" w:cs="Arial"/>
        </w:rPr>
        <w:t>factors that are ascertainable by third parties.</w:t>
      </w:r>
      <w:bookmarkStart w:id="7" w:name="_Ref142489939"/>
      <w:r w:rsidR="00AE0D19">
        <w:rPr>
          <w:rStyle w:val="FootnoteReference"/>
          <w:rFonts w:ascii="Arial" w:hAnsi="Arial" w:cs="Arial"/>
        </w:rPr>
        <w:footnoteReference w:id="48"/>
      </w:r>
      <w:bookmarkEnd w:id="7"/>
    </w:p>
    <w:p w14:paraId="3B74CD58" w14:textId="26D83E49" w:rsidR="005B3F9A" w:rsidRPr="000465D5" w:rsidRDefault="00C13D9C" w:rsidP="005B3F9A">
      <w:pPr>
        <w:spacing w:line="240" w:lineRule="auto"/>
        <w:jc w:val="both"/>
        <w:rPr>
          <w:rFonts w:ascii="Arial" w:hAnsi="Arial" w:cs="Arial"/>
          <w:u w:val="single"/>
        </w:rPr>
      </w:pPr>
      <w:r w:rsidRPr="000465D5">
        <w:rPr>
          <w:rFonts w:ascii="Arial" w:hAnsi="Arial" w:cs="Arial"/>
          <w:u w:val="single"/>
        </w:rPr>
        <w:t>Why is COMI important?</w:t>
      </w:r>
    </w:p>
    <w:p w14:paraId="15582F6B" w14:textId="77777777" w:rsidR="000D7667" w:rsidRDefault="00DB2B81" w:rsidP="00B62ABD">
      <w:pPr>
        <w:spacing w:line="240" w:lineRule="auto"/>
        <w:jc w:val="both"/>
        <w:rPr>
          <w:rFonts w:ascii="Arial" w:hAnsi="Arial" w:cs="Arial"/>
        </w:rPr>
      </w:pPr>
      <w:r>
        <w:rPr>
          <w:rFonts w:ascii="Arial" w:hAnsi="Arial" w:cs="Arial"/>
        </w:rPr>
        <w:t xml:space="preserve">The purpose of the </w:t>
      </w:r>
      <w:r w:rsidR="007B48A9">
        <w:rPr>
          <w:rFonts w:ascii="Arial" w:hAnsi="Arial" w:cs="Arial"/>
        </w:rPr>
        <w:t>EIR Recast</w:t>
      </w:r>
      <w:r>
        <w:rPr>
          <w:rFonts w:ascii="Arial" w:hAnsi="Arial" w:cs="Arial"/>
        </w:rPr>
        <w:t xml:space="preserve"> is to provide a single set of insolvency proceedings across the EU</w:t>
      </w:r>
      <w:r w:rsidR="00394217">
        <w:rPr>
          <w:rFonts w:ascii="Arial" w:hAnsi="Arial" w:cs="Arial"/>
        </w:rPr>
        <w:t xml:space="preserve">.  </w:t>
      </w:r>
      <w:r>
        <w:rPr>
          <w:rFonts w:ascii="Arial" w:hAnsi="Arial" w:cs="Arial"/>
        </w:rPr>
        <w:t xml:space="preserve">The opening of an insolvency proceeding in one </w:t>
      </w:r>
      <w:r w:rsidR="00F34BB0">
        <w:rPr>
          <w:rFonts w:ascii="Arial" w:hAnsi="Arial" w:cs="Arial"/>
        </w:rPr>
        <w:t>M</w:t>
      </w:r>
      <w:r>
        <w:rPr>
          <w:rFonts w:ascii="Arial" w:hAnsi="Arial" w:cs="Arial"/>
        </w:rPr>
        <w:t xml:space="preserve">ember </w:t>
      </w:r>
      <w:r w:rsidR="00F34BB0">
        <w:rPr>
          <w:rFonts w:ascii="Arial" w:hAnsi="Arial" w:cs="Arial"/>
        </w:rPr>
        <w:t>S</w:t>
      </w:r>
      <w:r>
        <w:rPr>
          <w:rFonts w:ascii="Arial" w:hAnsi="Arial" w:cs="Arial"/>
        </w:rPr>
        <w:t xml:space="preserve">tate of the European Union prevents same in all other </w:t>
      </w:r>
      <w:r w:rsidR="00F34BB0">
        <w:rPr>
          <w:rFonts w:ascii="Arial" w:hAnsi="Arial" w:cs="Arial"/>
        </w:rPr>
        <w:t>M</w:t>
      </w:r>
      <w:r>
        <w:rPr>
          <w:rFonts w:ascii="Arial" w:hAnsi="Arial" w:cs="Arial"/>
        </w:rPr>
        <w:t xml:space="preserve">ember </w:t>
      </w:r>
      <w:r w:rsidR="00F34BB0">
        <w:rPr>
          <w:rFonts w:ascii="Arial" w:hAnsi="Arial" w:cs="Arial"/>
        </w:rPr>
        <w:t>S</w:t>
      </w:r>
      <w:r>
        <w:rPr>
          <w:rFonts w:ascii="Arial" w:hAnsi="Arial" w:cs="Arial"/>
        </w:rPr>
        <w:t xml:space="preserve">tates.  As </w:t>
      </w:r>
      <w:r w:rsidR="00394217">
        <w:rPr>
          <w:rFonts w:ascii="Arial" w:hAnsi="Arial" w:cs="Arial"/>
        </w:rPr>
        <w:t xml:space="preserve">mentioned above, </w:t>
      </w:r>
      <w:r>
        <w:rPr>
          <w:rFonts w:ascii="Arial" w:hAnsi="Arial" w:cs="Arial"/>
        </w:rPr>
        <w:t xml:space="preserve">the </w:t>
      </w:r>
      <w:r w:rsidRPr="003C09BE">
        <w:rPr>
          <w:rFonts w:ascii="Arial" w:hAnsi="Arial" w:cs="Arial"/>
          <w:i/>
          <w:iCs/>
        </w:rPr>
        <w:t>lex concursus</w:t>
      </w:r>
      <w:r>
        <w:rPr>
          <w:rFonts w:ascii="Arial" w:hAnsi="Arial" w:cs="Arial"/>
        </w:rPr>
        <w:t xml:space="preserve"> </w:t>
      </w:r>
      <w:r w:rsidR="00B62ABD">
        <w:rPr>
          <w:rFonts w:ascii="Arial" w:hAnsi="Arial" w:cs="Arial"/>
        </w:rPr>
        <w:t xml:space="preserve">(i.e. </w:t>
      </w:r>
      <w:r w:rsidR="00CB60CB">
        <w:rPr>
          <w:rFonts w:ascii="Arial" w:hAnsi="Arial" w:cs="Arial"/>
        </w:rPr>
        <w:t>t</w:t>
      </w:r>
      <w:r w:rsidR="00B62ABD" w:rsidRPr="00B62ABD">
        <w:rPr>
          <w:rFonts w:ascii="Arial" w:hAnsi="Arial" w:cs="Arial"/>
        </w:rPr>
        <w:t>he law of the state of the insolvency</w:t>
      </w:r>
      <w:r w:rsidR="00CB60CB">
        <w:rPr>
          <w:rFonts w:ascii="Arial" w:hAnsi="Arial" w:cs="Arial"/>
        </w:rPr>
        <w:t xml:space="preserve"> p</w:t>
      </w:r>
      <w:r w:rsidR="00B62ABD" w:rsidRPr="00B62ABD">
        <w:rPr>
          <w:rFonts w:ascii="Arial" w:hAnsi="Arial" w:cs="Arial"/>
        </w:rPr>
        <w:t>roceedings</w:t>
      </w:r>
      <w:r w:rsidR="00CB60CB">
        <w:rPr>
          <w:rFonts w:ascii="Arial" w:hAnsi="Arial" w:cs="Arial"/>
        </w:rPr>
        <w:t xml:space="preserve">) </w:t>
      </w:r>
      <w:r>
        <w:rPr>
          <w:rFonts w:ascii="Arial" w:hAnsi="Arial" w:cs="Arial"/>
        </w:rPr>
        <w:t xml:space="preserve">determines the effects of </w:t>
      </w:r>
      <w:r w:rsidR="003C09BE">
        <w:rPr>
          <w:rFonts w:ascii="Arial" w:hAnsi="Arial" w:cs="Arial"/>
        </w:rPr>
        <w:t xml:space="preserve">the </w:t>
      </w:r>
      <w:r>
        <w:rPr>
          <w:rFonts w:ascii="Arial" w:hAnsi="Arial" w:cs="Arial"/>
        </w:rPr>
        <w:t>procee</w:t>
      </w:r>
      <w:r w:rsidR="003C09BE">
        <w:rPr>
          <w:rFonts w:ascii="Arial" w:hAnsi="Arial" w:cs="Arial"/>
        </w:rPr>
        <w:t>d</w:t>
      </w:r>
      <w:r>
        <w:rPr>
          <w:rFonts w:ascii="Arial" w:hAnsi="Arial" w:cs="Arial"/>
        </w:rPr>
        <w:t>ings</w:t>
      </w:r>
      <w:r w:rsidR="00B6560C">
        <w:rPr>
          <w:rFonts w:ascii="Arial" w:hAnsi="Arial" w:cs="Arial"/>
        </w:rPr>
        <w:t>.</w:t>
      </w:r>
      <w:r w:rsidR="00B6560C">
        <w:rPr>
          <w:rStyle w:val="FootnoteReference"/>
          <w:rFonts w:ascii="Arial" w:hAnsi="Arial" w:cs="Arial"/>
        </w:rPr>
        <w:footnoteReference w:id="49"/>
      </w:r>
      <w:r>
        <w:rPr>
          <w:rFonts w:ascii="Arial" w:hAnsi="Arial" w:cs="Arial"/>
        </w:rPr>
        <w:t xml:space="preserve"> </w:t>
      </w:r>
      <w:r w:rsidR="007B48A9">
        <w:rPr>
          <w:rFonts w:ascii="Arial" w:hAnsi="Arial" w:cs="Arial"/>
        </w:rPr>
        <w:t xml:space="preserve"> </w:t>
      </w:r>
      <w:r w:rsidR="006F56B0">
        <w:rPr>
          <w:rFonts w:ascii="Arial" w:hAnsi="Arial" w:cs="Arial"/>
        </w:rPr>
        <w:t>However, the EIR Recast applies only to insolvency proceed</w:t>
      </w:r>
      <w:r w:rsidR="00297915">
        <w:rPr>
          <w:rFonts w:ascii="Arial" w:hAnsi="Arial" w:cs="Arial"/>
        </w:rPr>
        <w:t>ings in respect of a company whose COMI is located in the EU.</w:t>
      </w:r>
      <w:r w:rsidR="00297915">
        <w:rPr>
          <w:rStyle w:val="FootnoteReference"/>
          <w:rFonts w:ascii="Arial" w:hAnsi="Arial" w:cs="Arial"/>
        </w:rPr>
        <w:footnoteReference w:id="50"/>
      </w:r>
      <w:r w:rsidR="00297915">
        <w:rPr>
          <w:rFonts w:ascii="Arial" w:hAnsi="Arial" w:cs="Arial"/>
        </w:rPr>
        <w:t xml:space="preserve">  Further, the </w:t>
      </w:r>
      <w:r w:rsidR="0005497C">
        <w:rPr>
          <w:rFonts w:ascii="Arial" w:hAnsi="Arial" w:cs="Arial"/>
        </w:rPr>
        <w:t xml:space="preserve">competent court will examine whether a COMI </w:t>
      </w:r>
      <w:r w:rsidR="001B204F">
        <w:rPr>
          <w:rFonts w:ascii="Arial" w:hAnsi="Arial" w:cs="Arial"/>
        </w:rPr>
        <w:t>is actually located within its jurisdiction before opening the insolvency proceedings.</w:t>
      </w:r>
      <w:bookmarkStart w:id="8" w:name="_Ref142489999"/>
      <w:r w:rsidR="001B204F">
        <w:rPr>
          <w:rStyle w:val="FootnoteReference"/>
          <w:rFonts w:ascii="Arial" w:hAnsi="Arial" w:cs="Arial"/>
        </w:rPr>
        <w:footnoteReference w:id="51"/>
      </w:r>
      <w:bookmarkEnd w:id="8"/>
      <w:r w:rsidR="001B204F">
        <w:rPr>
          <w:rFonts w:ascii="Arial" w:hAnsi="Arial" w:cs="Arial"/>
        </w:rPr>
        <w:t xml:space="preserve">  </w:t>
      </w:r>
      <w:r w:rsidR="007B48A9">
        <w:rPr>
          <w:rFonts w:ascii="Arial" w:hAnsi="Arial" w:cs="Arial"/>
        </w:rPr>
        <w:t xml:space="preserve">In this regard, </w:t>
      </w:r>
      <w:r w:rsidR="00253624">
        <w:rPr>
          <w:rFonts w:ascii="Arial" w:hAnsi="Arial" w:cs="Arial"/>
        </w:rPr>
        <w:t xml:space="preserve">the </w:t>
      </w:r>
      <w:r w:rsidR="00425B86">
        <w:rPr>
          <w:rFonts w:ascii="Arial" w:hAnsi="Arial" w:cs="Arial"/>
        </w:rPr>
        <w:t xml:space="preserve">determination of the </w:t>
      </w:r>
      <w:r w:rsidR="00253624">
        <w:rPr>
          <w:rFonts w:ascii="Arial" w:hAnsi="Arial" w:cs="Arial"/>
        </w:rPr>
        <w:t xml:space="preserve">COMI of Efwon Trading and Efwon Romania is of importance.  </w:t>
      </w:r>
      <w:r w:rsidR="00425B86">
        <w:rPr>
          <w:rFonts w:ascii="Arial" w:hAnsi="Arial" w:cs="Arial"/>
        </w:rPr>
        <w:t xml:space="preserve">Based on the information available, it does not appear that </w:t>
      </w:r>
      <w:r w:rsidR="00D4292C">
        <w:rPr>
          <w:rFonts w:ascii="Arial" w:hAnsi="Arial" w:cs="Arial"/>
        </w:rPr>
        <w:t xml:space="preserve">the presumption of the COMI of Efwon Trading and Efwon Romania being in the UK and Romania respectively </w:t>
      </w:r>
      <w:r w:rsidR="007152C5">
        <w:rPr>
          <w:rFonts w:ascii="Arial" w:hAnsi="Arial" w:cs="Arial"/>
        </w:rPr>
        <w:t xml:space="preserve">can be rebutted.  </w:t>
      </w:r>
      <w:r w:rsidR="00A9474E">
        <w:rPr>
          <w:rFonts w:ascii="Arial" w:hAnsi="Arial" w:cs="Arial"/>
        </w:rPr>
        <w:t xml:space="preserve">Should factors that are </w:t>
      </w:r>
      <w:r w:rsidR="002442C1">
        <w:rPr>
          <w:rFonts w:ascii="Arial" w:hAnsi="Arial" w:cs="Arial"/>
        </w:rPr>
        <w:t xml:space="preserve">objective and ascertainable by third parties </w:t>
      </w:r>
      <w:r w:rsidR="00C52C20">
        <w:rPr>
          <w:rFonts w:ascii="Arial" w:hAnsi="Arial" w:cs="Arial"/>
        </w:rPr>
        <w:t xml:space="preserve">exist which </w:t>
      </w:r>
      <w:r w:rsidR="00C10C86">
        <w:rPr>
          <w:rFonts w:ascii="Arial" w:hAnsi="Arial" w:cs="Arial"/>
        </w:rPr>
        <w:t xml:space="preserve">may rebut the </w:t>
      </w:r>
      <w:r w:rsidR="00C10C86" w:rsidRPr="007A7364">
        <w:rPr>
          <w:rFonts w:ascii="Arial" w:hAnsi="Arial" w:cs="Arial"/>
        </w:rPr>
        <w:t>presumption of the COMI of Efwon Trading and Efwon Romania</w:t>
      </w:r>
      <w:r w:rsidR="009E41FB" w:rsidRPr="007A7364">
        <w:rPr>
          <w:rFonts w:ascii="Arial" w:hAnsi="Arial" w:cs="Arial"/>
        </w:rPr>
        <w:t xml:space="preserve">, the above advice should be reconsidered.  </w:t>
      </w:r>
    </w:p>
    <w:p w14:paraId="4394FF70" w14:textId="589A0B60" w:rsidR="000C7086" w:rsidRDefault="009E41FB" w:rsidP="00B62ABD">
      <w:pPr>
        <w:spacing w:line="240" w:lineRule="auto"/>
        <w:jc w:val="both"/>
        <w:rPr>
          <w:rFonts w:ascii="Arial" w:hAnsi="Arial" w:cs="Arial"/>
        </w:rPr>
      </w:pPr>
      <w:r w:rsidRPr="007A7364">
        <w:rPr>
          <w:rFonts w:ascii="Arial" w:hAnsi="Arial" w:cs="Arial"/>
        </w:rPr>
        <w:t>That could be so in particular in the case of a company not carrying out any business in the territory of the Member State in which its registered office is situated.</w:t>
      </w:r>
      <w:r w:rsidR="00800F81" w:rsidRPr="007A7364">
        <w:rPr>
          <w:rStyle w:val="FootnoteReference"/>
          <w:rFonts w:ascii="Arial" w:hAnsi="Arial" w:cs="Arial"/>
        </w:rPr>
        <w:footnoteReference w:id="52"/>
      </w:r>
      <w:r w:rsidRPr="007A7364">
        <w:rPr>
          <w:rFonts w:ascii="Arial" w:hAnsi="Arial" w:cs="Arial"/>
        </w:rPr>
        <w:t xml:space="preserve"> </w:t>
      </w:r>
      <w:r w:rsidR="00361C84" w:rsidRPr="007A7364">
        <w:rPr>
          <w:rFonts w:ascii="Arial" w:hAnsi="Arial" w:cs="Arial"/>
        </w:rPr>
        <w:t xml:space="preserve"> </w:t>
      </w:r>
      <w:r w:rsidR="00046D76" w:rsidRPr="007A7364">
        <w:rPr>
          <w:rFonts w:ascii="Arial" w:hAnsi="Arial" w:cs="Arial"/>
        </w:rPr>
        <w:t xml:space="preserve">Should </w:t>
      </w:r>
      <w:r w:rsidR="00386408" w:rsidRPr="007A7364">
        <w:rPr>
          <w:rFonts w:ascii="Arial" w:hAnsi="Arial" w:cs="Arial"/>
        </w:rPr>
        <w:t>factors exist that, for example</w:t>
      </w:r>
      <w:r w:rsidR="005D2394" w:rsidRPr="007A7364">
        <w:rPr>
          <w:rFonts w:ascii="Arial" w:hAnsi="Arial" w:cs="Arial"/>
        </w:rPr>
        <w:t>,</w:t>
      </w:r>
      <w:r w:rsidR="00C72B6C" w:rsidRPr="007A7364">
        <w:rPr>
          <w:rFonts w:ascii="Arial" w:hAnsi="Arial" w:cs="Arial"/>
        </w:rPr>
        <w:t xml:space="preserve"> the presence of company’s assets and the existence of contracts for the financial</w:t>
      </w:r>
      <w:r w:rsidR="00C72B6C">
        <w:rPr>
          <w:rFonts w:ascii="Arial" w:hAnsi="Arial" w:cs="Arial"/>
        </w:rPr>
        <w:t xml:space="preserve"> exploitation of those assets in a Member State other than that in which the registered office is situated</w:t>
      </w:r>
      <w:r w:rsidR="00E13BF6">
        <w:rPr>
          <w:rFonts w:ascii="Arial" w:hAnsi="Arial" w:cs="Arial"/>
        </w:rPr>
        <w:t xml:space="preserve">, </w:t>
      </w:r>
      <w:r w:rsidR="005D2394">
        <w:rPr>
          <w:rFonts w:ascii="Arial" w:hAnsi="Arial" w:cs="Arial"/>
        </w:rPr>
        <w:t xml:space="preserve">a comprehensive assessment of all the relevant factors </w:t>
      </w:r>
      <w:r w:rsidR="00046D76">
        <w:rPr>
          <w:rFonts w:ascii="Arial" w:hAnsi="Arial" w:cs="Arial"/>
        </w:rPr>
        <w:t xml:space="preserve">are required to determine whether these factors make </w:t>
      </w:r>
      <w:r w:rsidR="00FD2A0F">
        <w:rPr>
          <w:rFonts w:ascii="Arial" w:hAnsi="Arial" w:cs="Arial"/>
        </w:rPr>
        <w:t xml:space="preserve">it possible to establish that the company’s actual </w:t>
      </w:r>
      <w:r w:rsidR="007E2710">
        <w:rPr>
          <w:rFonts w:ascii="Arial" w:hAnsi="Arial" w:cs="Arial"/>
        </w:rPr>
        <w:t>c</w:t>
      </w:r>
      <w:r w:rsidR="00FD2A0F">
        <w:rPr>
          <w:rFonts w:ascii="Arial" w:hAnsi="Arial" w:cs="Arial"/>
        </w:rPr>
        <w:t xml:space="preserve">entre of management and supervision </w:t>
      </w:r>
      <w:r w:rsidR="00B774D9">
        <w:rPr>
          <w:rFonts w:ascii="Arial" w:hAnsi="Arial" w:cs="Arial"/>
        </w:rPr>
        <w:t>is</w:t>
      </w:r>
      <w:r w:rsidR="00FD2A0F">
        <w:rPr>
          <w:rFonts w:ascii="Arial" w:hAnsi="Arial" w:cs="Arial"/>
        </w:rPr>
        <w:t xml:space="preserve"> located in </w:t>
      </w:r>
      <w:r w:rsidR="007A7364">
        <w:rPr>
          <w:rFonts w:ascii="Arial" w:hAnsi="Arial" w:cs="Arial"/>
        </w:rPr>
        <w:t>that other Member State.</w:t>
      </w:r>
      <w:bookmarkStart w:id="9" w:name="_Ref142490072"/>
      <w:r w:rsidR="007A7364">
        <w:rPr>
          <w:rStyle w:val="FootnoteReference"/>
          <w:rFonts w:ascii="Arial" w:hAnsi="Arial" w:cs="Arial"/>
        </w:rPr>
        <w:footnoteReference w:id="53"/>
      </w:r>
      <w:bookmarkEnd w:id="9"/>
      <w:r w:rsidR="00322EFA">
        <w:rPr>
          <w:rFonts w:ascii="Arial" w:hAnsi="Arial" w:cs="Arial"/>
        </w:rPr>
        <w:t xml:space="preserve">  </w:t>
      </w:r>
    </w:p>
    <w:p w14:paraId="5C917048" w14:textId="17F59655" w:rsidR="009E41FB" w:rsidRDefault="0055773D" w:rsidP="00B62ABD">
      <w:pPr>
        <w:spacing w:line="240" w:lineRule="auto"/>
        <w:jc w:val="both"/>
        <w:rPr>
          <w:rFonts w:ascii="Arial" w:hAnsi="Arial" w:cs="Arial"/>
        </w:rPr>
      </w:pPr>
      <w:r>
        <w:rPr>
          <w:rFonts w:ascii="Arial" w:hAnsi="Arial" w:cs="Arial"/>
        </w:rPr>
        <w:t xml:space="preserve">Lastly, </w:t>
      </w:r>
      <w:r w:rsidR="009E334F">
        <w:rPr>
          <w:rFonts w:ascii="Arial" w:hAnsi="Arial" w:cs="Arial"/>
        </w:rPr>
        <w:t xml:space="preserve">should the registered offices of Efwon Trading and Efwon Romania </w:t>
      </w:r>
      <w:r w:rsidR="00B84B03">
        <w:rPr>
          <w:rFonts w:ascii="Arial" w:hAnsi="Arial" w:cs="Arial"/>
        </w:rPr>
        <w:t>be</w:t>
      </w:r>
      <w:r w:rsidR="009E334F">
        <w:rPr>
          <w:rFonts w:ascii="Arial" w:hAnsi="Arial" w:cs="Arial"/>
        </w:rPr>
        <w:t xml:space="preserve"> moved</w:t>
      </w:r>
      <w:r w:rsidR="00B84B03">
        <w:rPr>
          <w:rFonts w:ascii="Arial" w:hAnsi="Arial" w:cs="Arial"/>
        </w:rPr>
        <w:t xml:space="preserve"> within </w:t>
      </w:r>
      <w:r w:rsidR="00425B86">
        <w:rPr>
          <w:rFonts w:ascii="Arial" w:hAnsi="Arial" w:cs="Arial"/>
        </w:rPr>
        <w:t>a 3-month period prior to the opening of the insolvency proceedings, the presumption shall not apply.</w:t>
      </w:r>
    </w:p>
    <w:p w14:paraId="5D403B63" w14:textId="59AB4C26" w:rsidR="00B1333D" w:rsidRPr="00B1333D" w:rsidRDefault="00B1333D" w:rsidP="0052703E">
      <w:pPr>
        <w:keepNext/>
        <w:spacing w:line="240" w:lineRule="auto"/>
        <w:jc w:val="both"/>
        <w:rPr>
          <w:rFonts w:ascii="Arial" w:hAnsi="Arial" w:cs="Arial"/>
          <w:u w:val="single"/>
        </w:rPr>
      </w:pPr>
      <w:r>
        <w:rPr>
          <w:rFonts w:ascii="Arial" w:hAnsi="Arial" w:cs="Arial"/>
          <w:u w:val="single"/>
        </w:rPr>
        <w:lastRenderedPageBreak/>
        <w:t>Establishment</w:t>
      </w:r>
    </w:p>
    <w:p w14:paraId="14850008" w14:textId="4A640BDC" w:rsidR="00EF573B" w:rsidRDefault="001E5518" w:rsidP="009F78F1">
      <w:pPr>
        <w:spacing w:line="240" w:lineRule="auto"/>
        <w:jc w:val="both"/>
        <w:rPr>
          <w:rFonts w:ascii="Arial" w:hAnsi="Arial" w:cs="Arial"/>
        </w:rPr>
      </w:pPr>
      <w:r>
        <w:rPr>
          <w:rFonts w:ascii="Arial" w:hAnsi="Arial" w:cs="Arial"/>
        </w:rPr>
        <w:t xml:space="preserve">The opening of </w:t>
      </w:r>
      <w:r w:rsidR="008C17BD">
        <w:rPr>
          <w:rFonts w:ascii="Arial" w:hAnsi="Arial" w:cs="Arial"/>
        </w:rPr>
        <w:t xml:space="preserve">a main </w:t>
      </w:r>
      <w:r>
        <w:rPr>
          <w:rFonts w:ascii="Arial" w:hAnsi="Arial" w:cs="Arial"/>
        </w:rPr>
        <w:t xml:space="preserve">insolvency proceeding does not prevent the courts of another Member State </w:t>
      </w:r>
      <w:r w:rsidR="00BB7722">
        <w:rPr>
          <w:rFonts w:ascii="Arial" w:hAnsi="Arial" w:cs="Arial"/>
        </w:rPr>
        <w:t xml:space="preserve">from opening insolvency proceeding against the same company if the company has an establishment </w:t>
      </w:r>
      <w:r w:rsidR="00240EC4">
        <w:rPr>
          <w:rFonts w:ascii="Arial" w:hAnsi="Arial" w:cs="Arial"/>
        </w:rPr>
        <w:t>in that other Member State.</w:t>
      </w:r>
      <w:r w:rsidR="006D607E">
        <w:rPr>
          <w:rFonts w:ascii="Arial" w:hAnsi="Arial" w:cs="Arial"/>
        </w:rPr>
        <w:t xml:space="preserve">  </w:t>
      </w:r>
      <w:r w:rsidR="00A058D1">
        <w:rPr>
          <w:rFonts w:ascii="Arial" w:hAnsi="Arial" w:cs="Arial"/>
        </w:rPr>
        <w:t xml:space="preserve">The effects of such </w:t>
      </w:r>
      <w:r w:rsidR="00701021">
        <w:rPr>
          <w:rFonts w:ascii="Arial" w:hAnsi="Arial" w:cs="Arial"/>
        </w:rPr>
        <w:t xml:space="preserve">insolvency </w:t>
      </w:r>
      <w:r w:rsidR="00A058D1">
        <w:rPr>
          <w:rFonts w:ascii="Arial" w:hAnsi="Arial" w:cs="Arial"/>
        </w:rPr>
        <w:t xml:space="preserve">proceeding shall be restricted to the assets of the company situated in </w:t>
      </w:r>
      <w:r w:rsidR="00701021">
        <w:rPr>
          <w:rFonts w:ascii="Arial" w:hAnsi="Arial" w:cs="Arial"/>
        </w:rPr>
        <w:t>that other Member State</w:t>
      </w:r>
      <w:r w:rsidR="00644170">
        <w:rPr>
          <w:rFonts w:ascii="Arial" w:hAnsi="Arial" w:cs="Arial"/>
        </w:rPr>
        <w:t xml:space="preserve"> only</w:t>
      </w:r>
      <w:r w:rsidR="00701021">
        <w:rPr>
          <w:rFonts w:ascii="Arial" w:hAnsi="Arial" w:cs="Arial"/>
        </w:rPr>
        <w:t>.  Such insolvency proceeding shall be referred as the secondary insolvency proceeding.</w:t>
      </w:r>
      <w:r w:rsidR="00701021">
        <w:rPr>
          <w:rStyle w:val="FootnoteReference"/>
          <w:rFonts w:ascii="Arial" w:hAnsi="Arial" w:cs="Arial"/>
        </w:rPr>
        <w:footnoteReference w:id="54"/>
      </w:r>
      <w:r w:rsidR="00AB1619">
        <w:rPr>
          <w:rFonts w:ascii="Arial" w:hAnsi="Arial" w:cs="Arial"/>
        </w:rPr>
        <w:t xml:space="preserve">  An establishment </w:t>
      </w:r>
      <w:r w:rsidR="009655FD">
        <w:rPr>
          <w:rFonts w:ascii="Arial" w:hAnsi="Arial" w:cs="Arial"/>
        </w:rPr>
        <w:t>means any place of operations where a debtor carries out</w:t>
      </w:r>
      <w:r w:rsidR="007A280C">
        <w:rPr>
          <w:rFonts w:ascii="Arial" w:hAnsi="Arial" w:cs="Arial"/>
        </w:rPr>
        <w:t>,</w:t>
      </w:r>
      <w:r w:rsidR="009655FD">
        <w:rPr>
          <w:rFonts w:ascii="Arial" w:hAnsi="Arial" w:cs="Arial"/>
        </w:rPr>
        <w:t xml:space="preserve"> or has carried out in the 3-month period </w:t>
      </w:r>
      <w:r w:rsidR="00170884">
        <w:rPr>
          <w:rFonts w:ascii="Arial" w:hAnsi="Arial" w:cs="Arial"/>
        </w:rPr>
        <w:t>prior to the opening of the main insolvency proceeding</w:t>
      </w:r>
      <w:r w:rsidR="007A280C">
        <w:rPr>
          <w:rFonts w:ascii="Arial" w:hAnsi="Arial" w:cs="Arial"/>
        </w:rPr>
        <w:t>,</w:t>
      </w:r>
      <w:r w:rsidR="00170884">
        <w:rPr>
          <w:rFonts w:ascii="Arial" w:hAnsi="Arial" w:cs="Arial"/>
        </w:rPr>
        <w:t xml:space="preserve"> a non-transitory economic activity with human means and assets.</w:t>
      </w:r>
      <w:bookmarkStart w:id="10" w:name="_Ref142491318"/>
      <w:r w:rsidR="00B20D79">
        <w:rPr>
          <w:rStyle w:val="FootnoteReference"/>
          <w:rFonts w:ascii="Arial" w:hAnsi="Arial" w:cs="Arial"/>
        </w:rPr>
        <w:footnoteReference w:id="55"/>
      </w:r>
      <w:bookmarkEnd w:id="10"/>
      <w:r w:rsidR="00FB7042">
        <w:rPr>
          <w:rFonts w:ascii="Arial" w:hAnsi="Arial" w:cs="Arial"/>
        </w:rPr>
        <w:t xml:space="preserve">  </w:t>
      </w:r>
      <w:r w:rsidR="00136A2E">
        <w:rPr>
          <w:rFonts w:ascii="Arial" w:hAnsi="Arial" w:cs="Arial"/>
        </w:rPr>
        <w:t xml:space="preserve">In </w:t>
      </w:r>
      <w:r w:rsidR="00515DE4" w:rsidRPr="00515DE4">
        <w:rPr>
          <w:rFonts w:ascii="Arial" w:hAnsi="Arial" w:cs="Arial"/>
          <w:i/>
          <w:iCs/>
        </w:rPr>
        <w:t>Interedil</w:t>
      </w:r>
      <w:r w:rsidR="00515DE4">
        <w:rPr>
          <w:rFonts w:ascii="Arial" w:hAnsi="Arial" w:cs="Arial"/>
        </w:rPr>
        <w:t>, it was determined that</w:t>
      </w:r>
      <w:r w:rsidR="00CA5CDB">
        <w:rPr>
          <w:rFonts w:ascii="Arial" w:hAnsi="Arial" w:cs="Arial"/>
        </w:rPr>
        <w:t xml:space="preserve"> </w:t>
      </w:r>
      <w:r w:rsidR="000834AC">
        <w:rPr>
          <w:rFonts w:ascii="Arial" w:hAnsi="Arial" w:cs="Arial"/>
        </w:rPr>
        <w:t xml:space="preserve">the wordings of </w:t>
      </w:r>
      <w:r w:rsidR="000834AC" w:rsidRPr="000834AC">
        <w:rPr>
          <w:rFonts w:ascii="Arial" w:hAnsi="Arial" w:cs="Arial"/>
          <w:i/>
          <w:iCs/>
        </w:rPr>
        <w:t>“</w:t>
      </w:r>
      <w:r w:rsidR="00CA5CDB" w:rsidRPr="000834AC">
        <w:rPr>
          <w:rFonts w:ascii="Arial" w:hAnsi="Arial" w:cs="Arial"/>
          <w:i/>
          <w:iCs/>
        </w:rPr>
        <w:t xml:space="preserve">an economic activity </w:t>
      </w:r>
      <w:r w:rsidR="00FB7042" w:rsidRPr="000834AC">
        <w:rPr>
          <w:rFonts w:ascii="Arial" w:hAnsi="Arial" w:cs="Arial"/>
          <w:i/>
          <w:iCs/>
        </w:rPr>
        <w:t xml:space="preserve">of </w:t>
      </w:r>
      <w:r w:rsidR="00E8195A" w:rsidRPr="000834AC">
        <w:rPr>
          <w:rFonts w:ascii="Arial" w:hAnsi="Arial" w:cs="Arial"/>
          <w:i/>
          <w:iCs/>
        </w:rPr>
        <w:t xml:space="preserve">human </w:t>
      </w:r>
      <w:r w:rsidR="00FB7042" w:rsidRPr="000834AC">
        <w:rPr>
          <w:rFonts w:ascii="Arial" w:hAnsi="Arial" w:cs="Arial"/>
          <w:i/>
          <w:iCs/>
        </w:rPr>
        <w:t>resource</w:t>
      </w:r>
      <w:r w:rsidR="009F3F45" w:rsidRPr="000834AC">
        <w:rPr>
          <w:rFonts w:ascii="Arial" w:hAnsi="Arial" w:cs="Arial"/>
          <w:i/>
          <w:iCs/>
        </w:rPr>
        <w:t>s</w:t>
      </w:r>
      <w:r w:rsidR="000834AC" w:rsidRPr="000834AC">
        <w:rPr>
          <w:rFonts w:ascii="Arial" w:hAnsi="Arial" w:cs="Arial"/>
          <w:i/>
          <w:iCs/>
        </w:rPr>
        <w:t>”</w:t>
      </w:r>
      <w:r w:rsidR="009F3F45">
        <w:rPr>
          <w:rFonts w:ascii="Arial" w:hAnsi="Arial" w:cs="Arial"/>
        </w:rPr>
        <w:t xml:space="preserve"> </w:t>
      </w:r>
      <w:r w:rsidR="001A6F28">
        <w:rPr>
          <w:rFonts w:ascii="Arial" w:hAnsi="Arial" w:cs="Arial"/>
        </w:rPr>
        <w:t>suggest</w:t>
      </w:r>
      <w:r w:rsidR="009F3F45">
        <w:rPr>
          <w:rFonts w:ascii="Arial" w:hAnsi="Arial" w:cs="Arial"/>
        </w:rPr>
        <w:t xml:space="preserve"> that a minimum level of organisation and a degree of stability are required.</w:t>
      </w:r>
      <w:r w:rsidR="0007290C">
        <w:rPr>
          <w:rStyle w:val="FootnoteReference"/>
          <w:rFonts w:ascii="Arial" w:hAnsi="Arial" w:cs="Arial"/>
        </w:rPr>
        <w:footnoteReference w:id="56"/>
      </w:r>
      <w:r w:rsidR="009F3F45">
        <w:rPr>
          <w:rFonts w:ascii="Arial" w:hAnsi="Arial" w:cs="Arial"/>
        </w:rPr>
        <w:t xml:space="preserve">  </w:t>
      </w:r>
      <w:r w:rsidR="00545967">
        <w:rPr>
          <w:rFonts w:ascii="Arial" w:hAnsi="Arial" w:cs="Arial"/>
        </w:rPr>
        <w:t xml:space="preserve">It was also held that </w:t>
      </w:r>
      <w:r w:rsidR="00222E8F">
        <w:rPr>
          <w:rFonts w:ascii="Arial" w:hAnsi="Arial" w:cs="Arial"/>
        </w:rPr>
        <w:t>the existence of an establishment must be determined, in the same way as the location of the COMI, on the basis of objective factors which are ascertainable by third parties.</w:t>
      </w:r>
      <w:r w:rsidR="00212E86">
        <w:rPr>
          <w:rStyle w:val="FootnoteReference"/>
          <w:rFonts w:ascii="Arial" w:hAnsi="Arial" w:cs="Arial"/>
        </w:rPr>
        <w:footnoteReference w:id="57"/>
      </w:r>
    </w:p>
    <w:p w14:paraId="453869F0" w14:textId="2BC59B87" w:rsidR="00B1333D" w:rsidRPr="00BC291E" w:rsidRDefault="00B1333D" w:rsidP="00BB4666">
      <w:pPr>
        <w:keepNext/>
        <w:spacing w:line="240" w:lineRule="auto"/>
        <w:jc w:val="both"/>
        <w:rPr>
          <w:rFonts w:ascii="Arial" w:hAnsi="Arial" w:cs="Arial"/>
          <w:i/>
          <w:iCs/>
        </w:rPr>
      </w:pPr>
      <w:r w:rsidRPr="00BC291E">
        <w:rPr>
          <w:rFonts w:ascii="Arial" w:hAnsi="Arial" w:cs="Arial"/>
          <w:i/>
          <w:iCs/>
        </w:rPr>
        <w:t>Efwon Trading</w:t>
      </w:r>
    </w:p>
    <w:p w14:paraId="02638649" w14:textId="67F90942" w:rsidR="007D7A63" w:rsidRDefault="0022112D" w:rsidP="009F78F1">
      <w:pPr>
        <w:spacing w:line="240" w:lineRule="auto"/>
        <w:jc w:val="both"/>
        <w:rPr>
          <w:rFonts w:ascii="Arial" w:hAnsi="Arial" w:cs="Arial"/>
        </w:rPr>
      </w:pPr>
      <w:r>
        <w:rPr>
          <w:rFonts w:ascii="Arial" w:hAnsi="Arial" w:cs="Arial"/>
        </w:rPr>
        <w:t xml:space="preserve">Efwon Trading’s assets are its investment </w:t>
      </w:r>
      <w:r w:rsidRPr="00FD3F90">
        <w:rPr>
          <w:rFonts w:ascii="Arial" w:hAnsi="Arial" w:cs="Arial"/>
        </w:rPr>
        <w:t>holding in Efwon Hong Kong and Efwon Romania</w:t>
      </w:r>
      <w:r w:rsidR="003B1F09" w:rsidRPr="00FD3F90">
        <w:rPr>
          <w:rFonts w:ascii="Arial" w:hAnsi="Arial" w:cs="Arial"/>
        </w:rPr>
        <w:t>,</w:t>
      </w:r>
      <w:r w:rsidR="00BB6F48" w:rsidRPr="00FD3F90">
        <w:rPr>
          <w:rFonts w:ascii="Arial" w:hAnsi="Arial" w:cs="Arial"/>
        </w:rPr>
        <w:t xml:space="preserve"> and the loan receivable from Efwon Romania</w:t>
      </w:r>
      <w:r w:rsidRPr="00FD3F90">
        <w:rPr>
          <w:rFonts w:ascii="Arial" w:hAnsi="Arial" w:cs="Arial"/>
        </w:rPr>
        <w:t xml:space="preserve">.  </w:t>
      </w:r>
      <w:r w:rsidR="00637BB1" w:rsidRPr="00FD3F90">
        <w:rPr>
          <w:rFonts w:ascii="Arial" w:hAnsi="Arial" w:cs="Arial"/>
        </w:rPr>
        <w:t>It is</w:t>
      </w:r>
      <w:r w:rsidR="00637BB1">
        <w:rPr>
          <w:rFonts w:ascii="Arial" w:hAnsi="Arial" w:cs="Arial"/>
        </w:rPr>
        <w:t xml:space="preserve"> common </w:t>
      </w:r>
      <w:r w:rsidR="007C26F1">
        <w:rPr>
          <w:rFonts w:ascii="Arial" w:hAnsi="Arial" w:cs="Arial"/>
        </w:rPr>
        <w:t xml:space="preserve">theme that the </w:t>
      </w:r>
      <w:r w:rsidR="00891829">
        <w:rPr>
          <w:rFonts w:ascii="Arial" w:hAnsi="Arial" w:cs="Arial"/>
        </w:rPr>
        <w:t xml:space="preserve">situs of the </w:t>
      </w:r>
      <w:r w:rsidR="007C26F1">
        <w:rPr>
          <w:rFonts w:ascii="Arial" w:hAnsi="Arial" w:cs="Arial"/>
        </w:rPr>
        <w:t>s</w:t>
      </w:r>
      <w:r w:rsidR="007C26F1" w:rsidRPr="007C26F1">
        <w:rPr>
          <w:rFonts w:ascii="Arial" w:hAnsi="Arial" w:cs="Arial"/>
        </w:rPr>
        <w:t xml:space="preserve">hares issued by </w:t>
      </w:r>
      <w:r w:rsidR="007C26F1">
        <w:rPr>
          <w:rFonts w:ascii="Arial" w:hAnsi="Arial" w:cs="Arial"/>
        </w:rPr>
        <w:t xml:space="preserve">a company incorporated </w:t>
      </w:r>
      <w:r w:rsidR="00891829">
        <w:rPr>
          <w:rFonts w:ascii="Arial" w:hAnsi="Arial" w:cs="Arial"/>
        </w:rPr>
        <w:t xml:space="preserve">under the law of a jurisdiction </w:t>
      </w:r>
      <w:r w:rsidR="00BA64EF">
        <w:rPr>
          <w:rFonts w:ascii="Arial" w:hAnsi="Arial" w:cs="Arial"/>
        </w:rPr>
        <w:t>shall be regarded as in that jurisdiction</w:t>
      </w:r>
      <w:r w:rsidR="007C26F1" w:rsidRPr="007C26F1">
        <w:rPr>
          <w:rFonts w:ascii="Arial" w:hAnsi="Arial" w:cs="Arial"/>
        </w:rPr>
        <w:t>.</w:t>
      </w:r>
      <w:bookmarkStart w:id="11" w:name="_Ref142385194"/>
      <w:r w:rsidR="008F7386">
        <w:rPr>
          <w:rStyle w:val="FootnoteReference"/>
          <w:rFonts w:ascii="Arial" w:hAnsi="Arial" w:cs="Arial"/>
        </w:rPr>
        <w:footnoteReference w:id="58"/>
      </w:r>
      <w:bookmarkStart w:id="12" w:name="_Ref142493133"/>
      <w:bookmarkEnd w:id="11"/>
      <w:r w:rsidR="003A58CD">
        <w:rPr>
          <w:rStyle w:val="FootnoteReference"/>
          <w:rFonts w:ascii="Arial" w:hAnsi="Arial" w:cs="Arial"/>
        </w:rPr>
        <w:footnoteReference w:id="59"/>
      </w:r>
      <w:bookmarkEnd w:id="12"/>
      <w:r w:rsidR="00BA64EF">
        <w:rPr>
          <w:rFonts w:ascii="Arial" w:hAnsi="Arial" w:cs="Arial"/>
        </w:rPr>
        <w:t xml:space="preserve">  However, </w:t>
      </w:r>
      <w:r w:rsidR="00540CD3">
        <w:rPr>
          <w:rFonts w:ascii="Arial" w:hAnsi="Arial" w:cs="Arial"/>
        </w:rPr>
        <w:t xml:space="preserve">the </w:t>
      </w:r>
      <w:r w:rsidR="006634ED">
        <w:rPr>
          <w:rFonts w:ascii="Arial" w:hAnsi="Arial" w:cs="Arial"/>
        </w:rPr>
        <w:t>mere presence of a property</w:t>
      </w:r>
      <w:r w:rsidR="00BB736B">
        <w:rPr>
          <w:rFonts w:ascii="Arial" w:hAnsi="Arial" w:cs="Arial"/>
        </w:rPr>
        <w:t xml:space="preserve"> with</w:t>
      </w:r>
      <w:r w:rsidR="00FF6A52">
        <w:rPr>
          <w:rFonts w:ascii="Arial" w:hAnsi="Arial" w:cs="Arial"/>
        </w:rPr>
        <w:t>out an organisation with people does not constitute an establishment.</w:t>
      </w:r>
      <w:r w:rsidR="006C7852">
        <w:rPr>
          <w:rStyle w:val="FootnoteReference"/>
          <w:rFonts w:ascii="Arial" w:hAnsi="Arial" w:cs="Arial"/>
        </w:rPr>
        <w:footnoteReference w:id="60"/>
      </w:r>
      <w:r w:rsidR="00D64BD2">
        <w:rPr>
          <w:rStyle w:val="FootnoteReference"/>
          <w:rFonts w:ascii="Arial" w:hAnsi="Arial" w:cs="Arial"/>
        </w:rPr>
        <w:footnoteReference w:id="61"/>
      </w:r>
      <w:r w:rsidR="00FF6A52">
        <w:rPr>
          <w:rFonts w:ascii="Arial" w:hAnsi="Arial" w:cs="Arial"/>
        </w:rPr>
        <w:t xml:space="preserve">  </w:t>
      </w:r>
      <w:r w:rsidR="00E47BFC">
        <w:rPr>
          <w:rFonts w:ascii="Arial" w:hAnsi="Arial" w:cs="Arial"/>
        </w:rPr>
        <w:t>In other words, t</w:t>
      </w:r>
      <w:r w:rsidR="002877D6">
        <w:rPr>
          <w:rFonts w:ascii="Arial" w:hAnsi="Arial" w:cs="Arial"/>
        </w:rPr>
        <w:t>he shareholding in Efwon Romania</w:t>
      </w:r>
      <w:r w:rsidR="00565DBC">
        <w:rPr>
          <w:rFonts w:ascii="Arial" w:hAnsi="Arial" w:cs="Arial"/>
        </w:rPr>
        <w:t xml:space="preserve"> does not cons</w:t>
      </w:r>
      <w:r w:rsidR="000140EA">
        <w:rPr>
          <w:rFonts w:ascii="Arial" w:hAnsi="Arial" w:cs="Arial"/>
        </w:rPr>
        <w:t xml:space="preserve">titute an establishment of Efwon Trading in Romania.  </w:t>
      </w:r>
      <w:r w:rsidR="00B4531B">
        <w:rPr>
          <w:rFonts w:ascii="Arial" w:hAnsi="Arial" w:cs="Arial"/>
        </w:rPr>
        <w:t xml:space="preserve">Therefore, </w:t>
      </w:r>
      <w:proofErr w:type="gramStart"/>
      <w:r w:rsidR="00B4531B">
        <w:rPr>
          <w:rFonts w:ascii="Arial" w:hAnsi="Arial" w:cs="Arial"/>
        </w:rPr>
        <w:t>in order for</w:t>
      </w:r>
      <w:proofErr w:type="gramEnd"/>
      <w:r w:rsidR="00B4531B">
        <w:rPr>
          <w:rFonts w:ascii="Arial" w:hAnsi="Arial" w:cs="Arial"/>
        </w:rPr>
        <w:t xml:space="preserve"> a secondary insolvency proceeding to be capable of being opened in </w:t>
      </w:r>
      <w:r w:rsidR="00BD71E5">
        <w:rPr>
          <w:rFonts w:ascii="Arial" w:hAnsi="Arial" w:cs="Arial"/>
        </w:rPr>
        <w:t xml:space="preserve">Romania, there must be at least </w:t>
      </w:r>
      <w:r w:rsidR="0091614F">
        <w:rPr>
          <w:rFonts w:ascii="Arial" w:hAnsi="Arial" w:cs="Arial"/>
        </w:rPr>
        <w:t>the presence of a structure</w:t>
      </w:r>
      <w:r w:rsidR="000364E3">
        <w:rPr>
          <w:rFonts w:ascii="Arial" w:hAnsi="Arial" w:cs="Arial"/>
        </w:rPr>
        <w:t xml:space="preserve"> with </w:t>
      </w:r>
      <w:r w:rsidR="001D6FF7">
        <w:rPr>
          <w:rFonts w:ascii="Arial" w:hAnsi="Arial" w:cs="Arial"/>
        </w:rPr>
        <w:t xml:space="preserve">pursuit of </w:t>
      </w:r>
      <w:r w:rsidR="00EB6A4F">
        <w:rPr>
          <w:rFonts w:ascii="Arial" w:hAnsi="Arial" w:cs="Arial"/>
        </w:rPr>
        <w:t>economic activity to the presence of human resources</w:t>
      </w:r>
      <w:r w:rsidR="00CF6CB4">
        <w:rPr>
          <w:rFonts w:ascii="Arial" w:hAnsi="Arial" w:cs="Arial"/>
        </w:rPr>
        <w:t>, an</w:t>
      </w:r>
      <w:r w:rsidR="0017224F">
        <w:rPr>
          <w:rFonts w:ascii="Arial" w:hAnsi="Arial" w:cs="Arial"/>
        </w:rPr>
        <w:t xml:space="preserve">d which are ascertainable by third parties.  </w:t>
      </w:r>
    </w:p>
    <w:p w14:paraId="64250E56" w14:textId="6DA8DE42" w:rsidR="00816E4F" w:rsidRDefault="00FD3F90" w:rsidP="009F78F1">
      <w:pPr>
        <w:spacing w:line="240" w:lineRule="auto"/>
        <w:jc w:val="both"/>
        <w:rPr>
          <w:rFonts w:ascii="Arial" w:hAnsi="Arial" w:cs="Arial"/>
        </w:rPr>
      </w:pPr>
      <w:r>
        <w:rPr>
          <w:rFonts w:ascii="Arial" w:hAnsi="Arial" w:cs="Arial"/>
        </w:rPr>
        <w:t xml:space="preserve">In addition, it is uncertain as to the governing law of the loan advanced from Efwon Trading to Efwon Romania.  </w:t>
      </w:r>
      <w:r w:rsidR="00C558E8">
        <w:rPr>
          <w:rFonts w:ascii="Arial" w:hAnsi="Arial" w:cs="Arial"/>
        </w:rPr>
        <w:t>At this stage, it does not appear that Efwon Trading has an establishment in Romania</w:t>
      </w:r>
      <w:r w:rsidR="00B5187B">
        <w:rPr>
          <w:rFonts w:ascii="Arial" w:hAnsi="Arial" w:cs="Arial"/>
        </w:rPr>
        <w:t xml:space="preserve">.  If </w:t>
      </w:r>
      <w:r w:rsidR="0045588A">
        <w:rPr>
          <w:rFonts w:ascii="Arial" w:hAnsi="Arial" w:cs="Arial"/>
        </w:rPr>
        <w:t xml:space="preserve">this is not the case, </w:t>
      </w:r>
      <w:r w:rsidR="001554FB">
        <w:rPr>
          <w:rFonts w:ascii="Arial" w:hAnsi="Arial" w:cs="Arial"/>
        </w:rPr>
        <w:t xml:space="preserve">further assessment will be required.  </w:t>
      </w:r>
    </w:p>
    <w:p w14:paraId="78B5981C" w14:textId="79B33019" w:rsidR="00B71BCF" w:rsidRDefault="0031648E" w:rsidP="009F78F1">
      <w:pPr>
        <w:spacing w:line="240" w:lineRule="auto"/>
        <w:jc w:val="both"/>
        <w:rPr>
          <w:rFonts w:ascii="Arial" w:hAnsi="Arial" w:cs="Arial"/>
        </w:rPr>
      </w:pPr>
      <w:r>
        <w:rPr>
          <w:rFonts w:ascii="Arial" w:hAnsi="Arial" w:cs="Arial"/>
        </w:rPr>
        <w:t xml:space="preserve">Efwon Hong Kong was incorporated in Hong Kong where EIR Recast does not apply.  In addition, </w:t>
      </w:r>
      <w:r w:rsidR="00B646ED">
        <w:rPr>
          <w:rFonts w:ascii="Arial" w:hAnsi="Arial" w:cs="Arial"/>
        </w:rPr>
        <w:t>Hong Kong has not adopted the UNCITRAL Model Law on Cross-Border Inso</w:t>
      </w:r>
      <w:r w:rsidR="00286B10">
        <w:rPr>
          <w:rFonts w:ascii="Arial" w:hAnsi="Arial" w:cs="Arial"/>
        </w:rPr>
        <w:t>lv</w:t>
      </w:r>
      <w:r w:rsidR="00B646ED">
        <w:rPr>
          <w:rFonts w:ascii="Arial" w:hAnsi="Arial" w:cs="Arial"/>
        </w:rPr>
        <w:t>ency</w:t>
      </w:r>
      <w:r w:rsidR="00A5041F">
        <w:rPr>
          <w:rFonts w:ascii="Arial" w:hAnsi="Arial" w:cs="Arial"/>
        </w:rPr>
        <w:t xml:space="preserve"> (1997)</w:t>
      </w:r>
      <w:r w:rsidR="008B35A4">
        <w:rPr>
          <w:rFonts w:ascii="Arial" w:hAnsi="Arial" w:cs="Arial"/>
        </w:rPr>
        <w:t xml:space="preserve"> (the </w:t>
      </w:r>
      <w:r w:rsidR="008B35A4" w:rsidRPr="008B35A4">
        <w:rPr>
          <w:rFonts w:ascii="Arial" w:hAnsi="Arial" w:cs="Arial"/>
          <w:b/>
          <w:bCs/>
        </w:rPr>
        <w:t>Model Law</w:t>
      </w:r>
      <w:r w:rsidR="008B35A4">
        <w:rPr>
          <w:rFonts w:ascii="Arial" w:hAnsi="Arial" w:cs="Arial"/>
        </w:rPr>
        <w:t>)</w:t>
      </w:r>
      <w:r w:rsidR="000736E7">
        <w:rPr>
          <w:rFonts w:ascii="Arial" w:hAnsi="Arial" w:cs="Arial"/>
        </w:rPr>
        <w:t xml:space="preserve">.  Any recognition of </w:t>
      </w:r>
      <w:r w:rsidR="005675E5">
        <w:rPr>
          <w:rFonts w:ascii="Arial" w:hAnsi="Arial" w:cs="Arial"/>
        </w:rPr>
        <w:t xml:space="preserve">a foreign insolvency proceeding </w:t>
      </w:r>
      <w:r w:rsidR="00BF289A">
        <w:rPr>
          <w:rFonts w:ascii="Arial" w:hAnsi="Arial" w:cs="Arial"/>
        </w:rPr>
        <w:t xml:space="preserve">sought in Hong Kong </w:t>
      </w:r>
      <w:r w:rsidR="005675E5">
        <w:rPr>
          <w:rFonts w:ascii="Arial" w:hAnsi="Arial" w:cs="Arial"/>
        </w:rPr>
        <w:t xml:space="preserve">is made based on common law.  </w:t>
      </w:r>
      <w:r w:rsidR="000D3D4A">
        <w:rPr>
          <w:rFonts w:ascii="Arial" w:hAnsi="Arial" w:cs="Arial"/>
        </w:rPr>
        <w:t xml:space="preserve">Nevertheless, as the role of Efwon Hong Kong is to seek sponsorship and hold sponsorship agreement, it is not apparent that </w:t>
      </w:r>
      <w:r w:rsidR="00C268CF">
        <w:rPr>
          <w:rFonts w:ascii="Arial" w:hAnsi="Arial" w:cs="Arial"/>
        </w:rPr>
        <w:t xml:space="preserve">Efwon Hong Kong </w:t>
      </w:r>
      <w:r w:rsidR="00BA531C">
        <w:rPr>
          <w:rFonts w:ascii="Arial" w:hAnsi="Arial" w:cs="Arial"/>
        </w:rPr>
        <w:t xml:space="preserve">would </w:t>
      </w:r>
      <w:r w:rsidR="00C268CF">
        <w:rPr>
          <w:rFonts w:ascii="Arial" w:hAnsi="Arial" w:cs="Arial"/>
        </w:rPr>
        <w:t>ha</w:t>
      </w:r>
      <w:r w:rsidR="00BA531C">
        <w:rPr>
          <w:rFonts w:ascii="Arial" w:hAnsi="Arial" w:cs="Arial"/>
        </w:rPr>
        <w:t>ve</w:t>
      </w:r>
      <w:r w:rsidR="00C268CF">
        <w:rPr>
          <w:rFonts w:ascii="Arial" w:hAnsi="Arial" w:cs="Arial"/>
        </w:rPr>
        <w:t xml:space="preserve"> any realisable assets</w:t>
      </w:r>
      <w:r w:rsidR="004D20EA">
        <w:rPr>
          <w:rFonts w:ascii="Arial" w:hAnsi="Arial" w:cs="Arial"/>
        </w:rPr>
        <w:t xml:space="preserve"> and accordingly, </w:t>
      </w:r>
      <w:r w:rsidR="002D59F6">
        <w:rPr>
          <w:rFonts w:ascii="Arial" w:hAnsi="Arial" w:cs="Arial"/>
        </w:rPr>
        <w:t>the chance that</w:t>
      </w:r>
      <w:r w:rsidR="004D20EA">
        <w:rPr>
          <w:rFonts w:ascii="Arial" w:hAnsi="Arial" w:cs="Arial"/>
        </w:rPr>
        <w:t xml:space="preserve"> any creditors </w:t>
      </w:r>
      <w:r w:rsidR="00F24A6C">
        <w:rPr>
          <w:rFonts w:ascii="Arial" w:hAnsi="Arial" w:cs="Arial"/>
        </w:rPr>
        <w:t xml:space="preserve">would </w:t>
      </w:r>
      <w:r w:rsidR="004D20EA">
        <w:rPr>
          <w:rFonts w:ascii="Arial" w:hAnsi="Arial" w:cs="Arial"/>
        </w:rPr>
        <w:t xml:space="preserve">take actions against Efwon Hong Kong </w:t>
      </w:r>
      <w:r w:rsidR="0015776E">
        <w:rPr>
          <w:rFonts w:ascii="Arial" w:hAnsi="Arial" w:cs="Arial"/>
        </w:rPr>
        <w:t>to realise Efwon Trading’s investment interest in Efwon Hong Kong</w:t>
      </w:r>
      <w:r w:rsidR="002D59F6">
        <w:rPr>
          <w:rFonts w:ascii="Arial" w:hAnsi="Arial" w:cs="Arial"/>
        </w:rPr>
        <w:t xml:space="preserve"> would be minimal</w:t>
      </w:r>
      <w:r w:rsidR="0015776E">
        <w:rPr>
          <w:rFonts w:ascii="Arial" w:hAnsi="Arial" w:cs="Arial"/>
        </w:rPr>
        <w:t xml:space="preserve">.  </w:t>
      </w:r>
      <w:r w:rsidR="00B6653A">
        <w:rPr>
          <w:rFonts w:ascii="Arial" w:hAnsi="Arial" w:cs="Arial"/>
        </w:rPr>
        <w:t xml:space="preserve">Therefore, a detailed assessment has not been made in this regard.  </w:t>
      </w:r>
      <w:r w:rsidR="003F7402">
        <w:rPr>
          <w:rFonts w:ascii="Arial" w:hAnsi="Arial" w:cs="Arial"/>
        </w:rPr>
        <w:t xml:space="preserve">However, </w:t>
      </w:r>
      <w:r w:rsidR="00420C74">
        <w:rPr>
          <w:rFonts w:ascii="Arial" w:hAnsi="Arial" w:cs="Arial"/>
        </w:rPr>
        <w:t xml:space="preserve">should </w:t>
      </w:r>
      <w:r w:rsidR="003F7402">
        <w:rPr>
          <w:rFonts w:ascii="Arial" w:hAnsi="Arial" w:cs="Arial"/>
        </w:rPr>
        <w:t>Efwon Hong Kong ha</w:t>
      </w:r>
      <w:r w:rsidR="00420C74">
        <w:rPr>
          <w:rFonts w:ascii="Arial" w:hAnsi="Arial" w:cs="Arial"/>
        </w:rPr>
        <w:t>ve</w:t>
      </w:r>
      <w:r w:rsidR="003F7402">
        <w:rPr>
          <w:rFonts w:ascii="Arial" w:hAnsi="Arial" w:cs="Arial"/>
        </w:rPr>
        <w:t xml:space="preserve"> any material assets </w:t>
      </w:r>
      <w:r w:rsidR="006B1196">
        <w:rPr>
          <w:rFonts w:ascii="Arial" w:hAnsi="Arial" w:cs="Arial"/>
        </w:rPr>
        <w:t xml:space="preserve">so </w:t>
      </w:r>
      <w:r w:rsidR="003F7402">
        <w:rPr>
          <w:rFonts w:ascii="Arial" w:hAnsi="Arial" w:cs="Arial"/>
        </w:rPr>
        <w:t xml:space="preserve">that </w:t>
      </w:r>
      <w:r w:rsidR="00D4187A">
        <w:rPr>
          <w:rFonts w:ascii="Arial" w:hAnsi="Arial" w:cs="Arial"/>
        </w:rPr>
        <w:t xml:space="preserve">the </w:t>
      </w:r>
      <w:r w:rsidR="007A0414">
        <w:rPr>
          <w:rFonts w:ascii="Arial" w:hAnsi="Arial" w:cs="Arial"/>
        </w:rPr>
        <w:t>protection</w:t>
      </w:r>
      <w:r w:rsidR="00420C74">
        <w:rPr>
          <w:rFonts w:ascii="Arial" w:hAnsi="Arial" w:cs="Arial"/>
        </w:rPr>
        <w:t xml:space="preserve"> of Efwon Trading’s </w:t>
      </w:r>
      <w:r w:rsidR="006B1196">
        <w:rPr>
          <w:rFonts w:ascii="Arial" w:hAnsi="Arial" w:cs="Arial"/>
        </w:rPr>
        <w:t>equity interest</w:t>
      </w:r>
      <w:r w:rsidR="007A0414">
        <w:rPr>
          <w:rFonts w:ascii="Arial" w:hAnsi="Arial" w:cs="Arial"/>
        </w:rPr>
        <w:t xml:space="preserve"> is required, further assessment will be </w:t>
      </w:r>
      <w:r w:rsidR="002969C7">
        <w:rPr>
          <w:rFonts w:ascii="Arial" w:hAnsi="Arial" w:cs="Arial"/>
        </w:rPr>
        <w:t>necessary</w:t>
      </w:r>
      <w:r w:rsidR="007A0414">
        <w:rPr>
          <w:rFonts w:ascii="Arial" w:hAnsi="Arial" w:cs="Arial"/>
        </w:rPr>
        <w:t>.</w:t>
      </w:r>
    </w:p>
    <w:p w14:paraId="68569A17" w14:textId="4B63043B" w:rsidR="00B1333D" w:rsidRPr="00BC291E" w:rsidRDefault="00B1333D" w:rsidP="001F6FD6">
      <w:pPr>
        <w:keepNext/>
        <w:spacing w:line="240" w:lineRule="auto"/>
        <w:jc w:val="both"/>
        <w:rPr>
          <w:rFonts w:ascii="Arial" w:hAnsi="Arial" w:cs="Arial"/>
          <w:i/>
          <w:iCs/>
        </w:rPr>
      </w:pPr>
      <w:r w:rsidRPr="00BC291E">
        <w:rPr>
          <w:rFonts w:ascii="Arial" w:hAnsi="Arial" w:cs="Arial"/>
          <w:i/>
          <w:iCs/>
        </w:rPr>
        <w:lastRenderedPageBreak/>
        <w:t>Efwon Romania</w:t>
      </w:r>
    </w:p>
    <w:p w14:paraId="1F08D2FB" w14:textId="56F49283" w:rsidR="001554FB" w:rsidRDefault="001554FB" w:rsidP="009F78F1">
      <w:pPr>
        <w:spacing w:line="240" w:lineRule="auto"/>
        <w:jc w:val="both"/>
        <w:rPr>
          <w:rFonts w:ascii="Arial" w:hAnsi="Arial" w:cs="Arial"/>
        </w:rPr>
      </w:pPr>
      <w:r>
        <w:rPr>
          <w:rFonts w:ascii="Arial" w:hAnsi="Arial" w:cs="Arial"/>
        </w:rPr>
        <w:t>Efwon Romani</w:t>
      </w:r>
      <w:r w:rsidR="0045688D">
        <w:rPr>
          <w:rFonts w:ascii="Arial" w:hAnsi="Arial" w:cs="Arial"/>
        </w:rPr>
        <w:t xml:space="preserve">a </w:t>
      </w:r>
      <w:r w:rsidR="0060223A">
        <w:rPr>
          <w:rFonts w:ascii="Arial" w:hAnsi="Arial" w:cs="Arial"/>
        </w:rPr>
        <w:t xml:space="preserve">was established to </w:t>
      </w:r>
      <w:r w:rsidR="00A9629E">
        <w:rPr>
          <w:rFonts w:ascii="Arial" w:hAnsi="Arial" w:cs="Arial"/>
        </w:rPr>
        <w:t xml:space="preserve">acquire the </w:t>
      </w:r>
      <w:r w:rsidR="000C06E1">
        <w:rPr>
          <w:rFonts w:ascii="Arial" w:hAnsi="Arial" w:cs="Arial"/>
        </w:rPr>
        <w:t xml:space="preserve">racing team </w:t>
      </w:r>
      <w:r w:rsidR="00303024">
        <w:rPr>
          <w:rFonts w:ascii="Arial" w:hAnsi="Arial" w:cs="Arial"/>
        </w:rPr>
        <w:t>and to hold the FIA licences</w:t>
      </w:r>
      <w:r w:rsidR="00933CCF">
        <w:rPr>
          <w:rFonts w:ascii="Arial" w:hAnsi="Arial" w:cs="Arial"/>
        </w:rPr>
        <w:t>, together with the racing machines</w:t>
      </w:r>
      <w:r w:rsidR="00303024">
        <w:rPr>
          <w:rFonts w:ascii="Arial" w:hAnsi="Arial" w:cs="Arial"/>
        </w:rPr>
        <w:t xml:space="preserve">.  </w:t>
      </w:r>
      <w:r w:rsidR="00361508">
        <w:rPr>
          <w:rFonts w:ascii="Arial" w:hAnsi="Arial" w:cs="Arial"/>
        </w:rPr>
        <w:t xml:space="preserve">It serves as the operating subsidiary in the Efwon Group </w:t>
      </w:r>
      <w:r w:rsidR="00EB4C68">
        <w:rPr>
          <w:rFonts w:ascii="Arial" w:hAnsi="Arial" w:cs="Arial"/>
        </w:rPr>
        <w:t xml:space="preserve">and holds the contracts with the Drivers.  </w:t>
      </w:r>
      <w:r w:rsidR="00982D86">
        <w:rPr>
          <w:rFonts w:ascii="Arial" w:hAnsi="Arial" w:cs="Arial"/>
        </w:rPr>
        <w:t xml:space="preserve">While the racing team </w:t>
      </w:r>
      <w:r w:rsidR="00753BA6">
        <w:rPr>
          <w:rFonts w:ascii="Arial" w:hAnsi="Arial" w:cs="Arial"/>
        </w:rPr>
        <w:t xml:space="preserve">participates in series of races all over the world, it is not apparent </w:t>
      </w:r>
      <w:r w:rsidR="004A0D5E">
        <w:rPr>
          <w:rFonts w:ascii="Arial" w:hAnsi="Arial" w:cs="Arial"/>
        </w:rPr>
        <w:t xml:space="preserve">whether Efwon Romania has </w:t>
      </w:r>
      <w:r w:rsidR="009F7EA7">
        <w:rPr>
          <w:rFonts w:ascii="Arial" w:hAnsi="Arial" w:cs="Arial"/>
        </w:rPr>
        <w:t xml:space="preserve">an establishment </w:t>
      </w:r>
      <w:r w:rsidR="00CB629F">
        <w:rPr>
          <w:rFonts w:ascii="Arial" w:hAnsi="Arial" w:cs="Arial"/>
        </w:rPr>
        <w:t>outside Romania</w:t>
      </w:r>
      <w:r w:rsidR="009F7EA7">
        <w:rPr>
          <w:rFonts w:ascii="Arial" w:hAnsi="Arial" w:cs="Arial"/>
        </w:rPr>
        <w:t xml:space="preserve"> wh</w:t>
      </w:r>
      <w:r w:rsidR="00DE5F77">
        <w:rPr>
          <w:rFonts w:ascii="Arial" w:hAnsi="Arial" w:cs="Arial"/>
        </w:rPr>
        <w:t xml:space="preserve">ere economic activity </w:t>
      </w:r>
      <w:r w:rsidR="000034A7">
        <w:rPr>
          <w:rFonts w:ascii="Arial" w:hAnsi="Arial" w:cs="Arial"/>
        </w:rPr>
        <w:t xml:space="preserve">is conducted </w:t>
      </w:r>
      <w:r w:rsidR="00220F69">
        <w:rPr>
          <w:rFonts w:ascii="Arial" w:hAnsi="Arial" w:cs="Arial"/>
        </w:rPr>
        <w:t xml:space="preserve">which is objective </w:t>
      </w:r>
      <w:r w:rsidR="000034A7">
        <w:rPr>
          <w:rFonts w:ascii="Arial" w:hAnsi="Arial" w:cs="Arial"/>
        </w:rPr>
        <w:t>and ascertainable by third parties</w:t>
      </w:r>
      <w:r w:rsidR="00D65537">
        <w:rPr>
          <w:rFonts w:ascii="Arial" w:hAnsi="Arial" w:cs="Arial"/>
        </w:rPr>
        <w:t xml:space="preserve"> on a regular basis</w:t>
      </w:r>
      <w:r w:rsidR="000034A7">
        <w:rPr>
          <w:rFonts w:ascii="Arial" w:hAnsi="Arial" w:cs="Arial"/>
        </w:rPr>
        <w:t>.  Furthermore, b</w:t>
      </w:r>
      <w:r w:rsidR="004A0D5E">
        <w:rPr>
          <w:rFonts w:ascii="Arial" w:hAnsi="Arial" w:cs="Arial"/>
        </w:rPr>
        <w:t xml:space="preserve">ased on the information available, it appears that all assets of Efwon Romania are situated in Romania.  </w:t>
      </w:r>
      <w:r w:rsidR="000034A7">
        <w:rPr>
          <w:rFonts w:ascii="Arial" w:hAnsi="Arial" w:cs="Arial"/>
        </w:rPr>
        <w:t xml:space="preserve">Therefore, </w:t>
      </w:r>
      <w:r w:rsidR="004E4A40">
        <w:rPr>
          <w:rFonts w:ascii="Arial" w:hAnsi="Arial" w:cs="Arial"/>
        </w:rPr>
        <w:t>even if a secondary insolvency proceeding is commenced</w:t>
      </w:r>
      <w:r w:rsidR="007E513F">
        <w:rPr>
          <w:rFonts w:ascii="Arial" w:hAnsi="Arial" w:cs="Arial"/>
        </w:rPr>
        <w:t xml:space="preserve"> in other Member States</w:t>
      </w:r>
      <w:r w:rsidR="00C647BF">
        <w:rPr>
          <w:rFonts w:ascii="Arial" w:hAnsi="Arial" w:cs="Arial"/>
        </w:rPr>
        <w:t xml:space="preserve"> by successfully demonstrating an establishment</w:t>
      </w:r>
      <w:r w:rsidR="00661834">
        <w:rPr>
          <w:rFonts w:ascii="Arial" w:hAnsi="Arial" w:cs="Arial"/>
        </w:rPr>
        <w:t xml:space="preserve">, it would have </w:t>
      </w:r>
      <w:r w:rsidR="000531F1">
        <w:rPr>
          <w:rFonts w:ascii="Arial" w:hAnsi="Arial" w:cs="Arial"/>
        </w:rPr>
        <w:t xml:space="preserve">minimal </w:t>
      </w:r>
      <w:r w:rsidR="00661834">
        <w:rPr>
          <w:rFonts w:ascii="Arial" w:hAnsi="Arial" w:cs="Arial"/>
        </w:rPr>
        <w:t xml:space="preserve">benefits as it would have </w:t>
      </w:r>
      <w:r w:rsidR="007E513F">
        <w:rPr>
          <w:rFonts w:ascii="Arial" w:hAnsi="Arial" w:cs="Arial"/>
        </w:rPr>
        <w:t xml:space="preserve">restricted to the assets </w:t>
      </w:r>
      <w:r w:rsidR="00871311">
        <w:rPr>
          <w:rFonts w:ascii="Arial" w:hAnsi="Arial" w:cs="Arial"/>
        </w:rPr>
        <w:t xml:space="preserve">in that Member State only.  </w:t>
      </w:r>
      <w:proofErr w:type="gramStart"/>
      <w:r w:rsidR="00871311">
        <w:rPr>
          <w:rFonts w:ascii="Arial" w:hAnsi="Arial" w:cs="Arial"/>
        </w:rPr>
        <w:t>In the event that</w:t>
      </w:r>
      <w:proofErr w:type="gramEnd"/>
      <w:r w:rsidR="00871311">
        <w:rPr>
          <w:rFonts w:ascii="Arial" w:hAnsi="Arial" w:cs="Arial"/>
        </w:rPr>
        <w:t xml:space="preserve"> Efwon Romania has assets in </w:t>
      </w:r>
      <w:r w:rsidR="000531F1">
        <w:rPr>
          <w:rFonts w:ascii="Arial" w:hAnsi="Arial" w:cs="Arial"/>
        </w:rPr>
        <w:t xml:space="preserve">somewhere else </w:t>
      </w:r>
      <w:r w:rsidR="00871311">
        <w:rPr>
          <w:rFonts w:ascii="Arial" w:hAnsi="Arial" w:cs="Arial"/>
        </w:rPr>
        <w:t xml:space="preserve">to Romania, </w:t>
      </w:r>
      <w:r w:rsidR="00915BC6">
        <w:rPr>
          <w:rFonts w:ascii="Arial" w:hAnsi="Arial" w:cs="Arial"/>
        </w:rPr>
        <w:t>the above advice should be reconsidered.</w:t>
      </w:r>
    </w:p>
    <w:p w14:paraId="71105EAD" w14:textId="38F20690" w:rsidR="00B1333D" w:rsidRPr="00B1333D" w:rsidRDefault="00B1333D" w:rsidP="009F78F1">
      <w:pPr>
        <w:spacing w:line="240" w:lineRule="auto"/>
        <w:jc w:val="both"/>
        <w:rPr>
          <w:rFonts w:ascii="Arial" w:hAnsi="Arial" w:cs="Arial"/>
          <w:u w:val="single"/>
        </w:rPr>
      </w:pPr>
      <w:r w:rsidRPr="00B1333D">
        <w:rPr>
          <w:rFonts w:ascii="Arial" w:hAnsi="Arial" w:cs="Arial"/>
          <w:u w:val="single"/>
        </w:rPr>
        <w:t>Undertaking</w:t>
      </w:r>
    </w:p>
    <w:p w14:paraId="5A5F367A" w14:textId="77777777" w:rsidR="00116722" w:rsidRDefault="00952270" w:rsidP="009F78F1">
      <w:pPr>
        <w:spacing w:line="240" w:lineRule="auto"/>
        <w:jc w:val="both"/>
        <w:rPr>
          <w:rFonts w:ascii="Arial" w:hAnsi="Arial" w:cs="Arial"/>
        </w:rPr>
      </w:pPr>
      <w:r>
        <w:rPr>
          <w:rFonts w:ascii="Arial" w:hAnsi="Arial" w:cs="Arial"/>
        </w:rPr>
        <w:t xml:space="preserve">Even if </w:t>
      </w:r>
      <w:r w:rsidR="00BB723F">
        <w:rPr>
          <w:rFonts w:ascii="Arial" w:hAnsi="Arial" w:cs="Arial"/>
        </w:rPr>
        <w:t xml:space="preserve">the opening of secondary insolvency proceedings is made in </w:t>
      </w:r>
      <w:r w:rsidR="000B146F">
        <w:rPr>
          <w:rFonts w:ascii="Arial" w:hAnsi="Arial" w:cs="Arial"/>
        </w:rPr>
        <w:t xml:space="preserve">other Member States </w:t>
      </w:r>
      <w:r w:rsidR="00AB3352">
        <w:rPr>
          <w:rFonts w:ascii="Arial" w:hAnsi="Arial" w:cs="Arial"/>
        </w:rPr>
        <w:t>than the COMI</w:t>
      </w:r>
      <w:r w:rsidR="00BB723F">
        <w:rPr>
          <w:rFonts w:ascii="Arial" w:hAnsi="Arial" w:cs="Arial"/>
        </w:rPr>
        <w:t xml:space="preserve">, </w:t>
      </w:r>
      <w:r w:rsidR="001C08E1">
        <w:rPr>
          <w:rFonts w:ascii="Arial" w:hAnsi="Arial" w:cs="Arial"/>
        </w:rPr>
        <w:t xml:space="preserve">it can be avoided by giving a unilateral undertaking.  </w:t>
      </w:r>
      <w:r w:rsidR="00282EC9">
        <w:rPr>
          <w:rFonts w:ascii="Arial" w:hAnsi="Arial" w:cs="Arial"/>
        </w:rPr>
        <w:t xml:space="preserve">Should </w:t>
      </w:r>
      <w:r w:rsidR="007D153C">
        <w:rPr>
          <w:rFonts w:ascii="Arial" w:hAnsi="Arial" w:cs="Arial"/>
        </w:rPr>
        <w:t>the insolvency practitioner in the main insolvency proceedings request</w:t>
      </w:r>
      <w:r w:rsidR="00571884">
        <w:rPr>
          <w:rFonts w:ascii="Arial" w:hAnsi="Arial" w:cs="Arial"/>
        </w:rPr>
        <w:t>, the court shall not open the secondary proceeding if it is satisfied that the undertaking adequately protects the general interests of local creditors.</w:t>
      </w:r>
      <w:r w:rsidR="00571884">
        <w:rPr>
          <w:rStyle w:val="FootnoteReference"/>
          <w:rFonts w:ascii="Arial" w:hAnsi="Arial" w:cs="Arial"/>
        </w:rPr>
        <w:footnoteReference w:id="62"/>
      </w:r>
      <w:r w:rsidR="00B67B5B">
        <w:rPr>
          <w:rFonts w:ascii="Arial" w:hAnsi="Arial" w:cs="Arial"/>
        </w:rPr>
        <w:t xml:space="preserve">  </w:t>
      </w:r>
      <w:r w:rsidR="0090130B">
        <w:rPr>
          <w:rFonts w:ascii="Arial" w:hAnsi="Arial" w:cs="Arial"/>
        </w:rPr>
        <w:t>According to Article 36 of the EIR Recast, t</w:t>
      </w:r>
      <w:r w:rsidR="00B67B5B">
        <w:rPr>
          <w:rFonts w:ascii="Arial" w:hAnsi="Arial" w:cs="Arial"/>
        </w:rPr>
        <w:t>he unilateral undertaking may be given by the insolvency pra</w:t>
      </w:r>
      <w:r w:rsidR="005D123A">
        <w:rPr>
          <w:rFonts w:ascii="Arial" w:hAnsi="Arial" w:cs="Arial"/>
        </w:rPr>
        <w:t>ctitioner</w:t>
      </w:r>
      <w:r w:rsidR="003126D8">
        <w:rPr>
          <w:rFonts w:ascii="Arial" w:hAnsi="Arial" w:cs="Arial"/>
        </w:rPr>
        <w:t>,</w:t>
      </w:r>
      <w:r w:rsidR="005D123A">
        <w:rPr>
          <w:rFonts w:ascii="Arial" w:hAnsi="Arial" w:cs="Arial"/>
        </w:rPr>
        <w:t xml:space="preserve"> in respect of the assets located in the Member State where secondary insolvency proceedings could be opened</w:t>
      </w:r>
      <w:r w:rsidR="0031570F">
        <w:rPr>
          <w:rFonts w:ascii="Arial" w:hAnsi="Arial" w:cs="Arial"/>
        </w:rPr>
        <w:t>, that when distributing those assets</w:t>
      </w:r>
      <w:r w:rsidR="00AD55B3">
        <w:rPr>
          <w:rFonts w:ascii="Arial" w:hAnsi="Arial" w:cs="Arial"/>
        </w:rPr>
        <w:t xml:space="preserve"> or the proceeds from their realisation, it will comply with the distribution and the priority right</w:t>
      </w:r>
      <w:r w:rsidR="00BE138B">
        <w:rPr>
          <w:rFonts w:ascii="Arial" w:hAnsi="Arial" w:cs="Arial"/>
        </w:rPr>
        <w:t>s under the national law of that Member State.</w:t>
      </w:r>
      <w:r w:rsidR="00095EFD">
        <w:rPr>
          <w:rFonts w:ascii="Arial" w:hAnsi="Arial" w:cs="Arial"/>
        </w:rPr>
        <w:t xml:space="preserve">  The undertaking shall be made in the official lan</w:t>
      </w:r>
      <w:r w:rsidR="00E43B86">
        <w:rPr>
          <w:rFonts w:ascii="Arial" w:hAnsi="Arial" w:cs="Arial"/>
        </w:rPr>
        <w:t xml:space="preserve">guage of the </w:t>
      </w:r>
      <w:r w:rsidR="00A11789">
        <w:rPr>
          <w:rFonts w:ascii="Arial" w:hAnsi="Arial" w:cs="Arial"/>
        </w:rPr>
        <w:t xml:space="preserve">secondary </w:t>
      </w:r>
      <w:r w:rsidR="00E43B86">
        <w:rPr>
          <w:rFonts w:ascii="Arial" w:hAnsi="Arial" w:cs="Arial"/>
        </w:rPr>
        <w:t>Member State</w:t>
      </w:r>
      <w:r w:rsidR="00A11789">
        <w:rPr>
          <w:rFonts w:ascii="Arial" w:hAnsi="Arial" w:cs="Arial"/>
        </w:rPr>
        <w:t xml:space="preserve"> specifying factual assumption</w:t>
      </w:r>
      <w:r w:rsidR="00826FD2">
        <w:rPr>
          <w:rFonts w:ascii="Arial" w:hAnsi="Arial" w:cs="Arial"/>
        </w:rPr>
        <w:t xml:space="preserve"> particularly to the value of the assets located in the secondary Member State</w:t>
      </w:r>
      <w:r w:rsidR="005D749A">
        <w:rPr>
          <w:rFonts w:ascii="Arial" w:hAnsi="Arial" w:cs="Arial"/>
        </w:rPr>
        <w:t xml:space="preserve"> and the options available to realise such assets.  </w:t>
      </w:r>
      <w:r w:rsidR="00965E15">
        <w:rPr>
          <w:rFonts w:ascii="Arial" w:hAnsi="Arial" w:cs="Arial"/>
        </w:rPr>
        <w:t xml:space="preserve">In addition, the undertaking must be approved by known local </w:t>
      </w:r>
      <w:r w:rsidR="00C13A38">
        <w:rPr>
          <w:rFonts w:ascii="Arial" w:hAnsi="Arial" w:cs="Arial"/>
        </w:rPr>
        <w:t xml:space="preserve">creditors.  </w:t>
      </w:r>
    </w:p>
    <w:p w14:paraId="75416D29" w14:textId="09386CC1" w:rsidR="006B0030" w:rsidRDefault="00C13A38" w:rsidP="009F78F1">
      <w:pPr>
        <w:spacing w:line="240" w:lineRule="auto"/>
        <w:jc w:val="both"/>
        <w:rPr>
          <w:rFonts w:ascii="Arial" w:hAnsi="Arial" w:cs="Arial"/>
        </w:rPr>
      </w:pPr>
      <w:r>
        <w:rPr>
          <w:rFonts w:ascii="Arial" w:hAnsi="Arial" w:cs="Arial"/>
        </w:rPr>
        <w:t xml:space="preserve">The undertaking </w:t>
      </w:r>
      <w:r w:rsidR="00837346">
        <w:rPr>
          <w:rFonts w:ascii="Arial" w:hAnsi="Arial" w:cs="Arial"/>
        </w:rPr>
        <w:t xml:space="preserve">is a more complicated and costly process than </w:t>
      </w:r>
      <w:r w:rsidR="00D06EEE">
        <w:rPr>
          <w:rFonts w:ascii="Arial" w:hAnsi="Arial" w:cs="Arial"/>
        </w:rPr>
        <w:t xml:space="preserve">a request </w:t>
      </w:r>
      <w:r w:rsidR="001301A8">
        <w:rPr>
          <w:rFonts w:ascii="Arial" w:hAnsi="Arial" w:cs="Arial"/>
        </w:rPr>
        <w:t>to the court for a temporary stay of individual enforcement proceedings</w:t>
      </w:r>
      <w:r w:rsidR="00EA430D">
        <w:rPr>
          <w:rFonts w:ascii="Arial" w:hAnsi="Arial" w:cs="Arial"/>
        </w:rPr>
        <w:t xml:space="preserve"> which does not require creditors’ approval</w:t>
      </w:r>
      <w:r w:rsidR="001301A8">
        <w:rPr>
          <w:rFonts w:ascii="Arial" w:hAnsi="Arial" w:cs="Arial"/>
        </w:rPr>
        <w:t xml:space="preserve">.  </w:t>
      </w:r>
      <w:r w:rsidR="00373387">
        <w:rPr>
          <w:rFonts w:ascii="Arial" w:hAnsi="Arial" w:cs="Arial"/>
        </w:rPr>
        <w:t xml:space="preserve">However, it offers better protection </w:t>
      </w:r>
      <w:r w:rsidR="00C25493">
        <w:rPr>
          <w:rFonts w:ascii="Arial" w:hAnsi="Arial" w:cs="Arial"/>
        </w:rPr>
        <w:t>as the court shall not open secondary insolvency proceeding</w:t>
      </w:r>
      <w:r w:rsidR="00BD231D">
        <w:rPr>
          <w:rFonts w:ascii="Arial" w:hAnsi="Arial" w:cs="Arial"/>
        </w:rPr>
        <w:t xml:space="preserve">s as long as there is adequate undertaking, as opposed to a temporary stay </w:t>
      </w:r>
      <w:r w:rsidR="00BF6679">
        <w:rPr>
          <w:rFonts w:ascii="Arial" w:hAnsi="Arial" w:cs="Arial"/>
        </w:rPr>
        <w:t>of the opening of secondary insolvency proceeding</w:t>
      </w:r>
      <w:r w:rsidR="00C22640">
        <w:rPr>
          <w:rFonts w:ascii="Arial" w:hAnsi="Arial" w:cs="Arial"/>
        </w:rPr>
        <w:t xml:space="preserve"> for a period </w:t>
      </w:r>
      <w:r w:rsidR="00E21456">
        <w:rPr>
          <w:rFonts w:ascii="Arial" w:hAnsi="Arial" w:cs="Arial"/>
        </w:rPr>
        <w:t xml:space="preserve">of </w:t>
      </w:r>
      <w:r w:rsidR="00C22640">
        <w:rPr>
          <w:rFonts w:ascii="Arial" w:hAnsi="Arial" w:cs="Arial"/>
        </w:rPr>
        <w:t>not exceeding three months.</w:t>
      </w:r>
      <w:r w:rsidR="00C22640">
        <w:rPr>
          <w:rStyle w:val="FootnoteReference"/>
          <w:rFonts w:ascii="Arial" w:hAnsi="Arial" w:cs="Arial"/>
        </w:rPr>
        <w:footnoteReference w:id="63"/>
      </w:r>
      <w:r w:rsidR="00DD7C64">
        <w:rPr>
          <w:rFonts w:ascii="Arial" w:hAnsi="Arial" w:cs="Arial"/>
        </w:rPr>
        <w:t xml:space="preserve">  The temporary stay of the opening of the secondary insolvency proceeding </w:t>
      </w:r>
      <w:r w:rsidR="00756023">
        <w:rPr>
          <w:rFonts w:ascii="Arial" w:hAnsi="Arial" w:cs="Arial"/>
        </w:rPr>
        <w:t xml:space="preserve">is discretionary whereas the </w:t>
      </w:r>
      <w:r w:rsidR="00054B7D">
        <w:rPr>
          <w:rFonts w:ascii="Arial" w:hAnsi="Arial" w:cs="Arial"/>
        </w:rPr>
        <w:t xml:space="preserve">discretion is very limited </w:t>
      </w:r>
      <w:r w:rsidR="001E2DB7">
        <w:rPr>
          <w:rFonts w:ascii="Arial" w:hAnsi="Arial" w:cs="Arial"/>
        </w:rPr>
        <w:t>if there is adequate undertaking.</w:t>
      </w:r>
      <w:r w:rsidR="00391E37">
        <w:rPr>
          <w:rStyle w:val="FootnoteReference"/>
          <w:rFonts w:ascii="Arial" w:hAnsi="Arial" w:cs="Arial"/>
        </w:rPr>
        <w:footnoteReference w:id="64"/>
      </w:r>
      <w:r w:rsidR="00733075">
        <w:rPr>
          <w:rFonts w:ascii="Arial" w:hAnsi="Arial" w:cs="Arial"/>
        </w:rPr>
        <w:t xml:space="preserve">  Nonetheless, based on the information currently available, it is unlikely that </w:t>
      </w:r>
      <w:r w:rsidR="00707C26">
        <w:rPr>
          <w:rFonts w:ascii="Arial" w:hAnsi="Arial" w:cs="Arial"/>
        </w:rPr>
        <w:t xml:space="preserve">a secondary insolvency proceeding of Efwon Trading or Efwon Romania </w:t>
      </w:r>
      <w:r w:rsidR="00A56C8E">
        <w:rPr>
          <w:rFonts w:ascii="Arial" w:hAnsi="Arial" w:cs="Arial"/>
        </w:rPr>
        <w:t>will be requested</w:t>
      </w:r>
      <w:r w:rsidR="008B0543">
        <w:rPr>
          <w:rFonts w:ascii="Arial" w:hAnsi="Arial" w:cs="Arial"/>
        </w:rPr>
        <w:t xml:space="preserve"> as it does not appear that </w:t>
      </w:r>
      <w:r w:rsidR="008474E5">
        <w:rPr>
          <w:rFonts w:ascii="Arial" w:hAnsi="Arial" w:cs="Arial"/>
        </w:rPr>
        <w:t>Efwon Trading or Efwon Romania has an establishment in other Member States</w:t>
      </w:r>
      <w:r w:rsidR="00A56C8E">
        <w:rPr>
          <w:rFonts w:ascii="Arial" w:hAnsi="Arial" w:cs="Arial"/>
        </w:rPr>
        <w:t xml:space="preserve">.  </w:t>
      </w:r>
      <w:proofErr w:type="gramStart"/>
      <w:r w:rsidR="00A56C8E">
        <w:rPr>
          <w:rFonts w:ascii="Arial" w:hAnsi="Arial" w:cs="Arial"/>
        </w:rPr>
        <w:t>In the event that</w:t>
      </w:r>
      <w:proofErr w:type="gramEnd"/>
      <w:r w:rsidR="00A56C8E">
        <w:rPr>
          <w:rFonts w:ascii="Arial" w:hAnsi="Arial" w:cs="Arial"/>
        </w:rPr>
        <w:t xml:space="preserve"> Efwon Trading or Efwon Romania has an establishment </w:t>
      </w:r>
      <w:r w:rsidR="00A55626">
        <w:rPr>
          <w:rFonts w:ascii="Arial" w:hAnsi="Arial" w:cs="Arial"/>
        </w:rPr>
        <w:t>with assets in another Member State, further detailed assessment must be undertaken.</w:t>
      </w:r>
    </w:p>
    <w:p w14:paraId="6E77B734" w14:textId="0603B1B5" w:rsidR="00B1333D" w:rsidRPr="00B1333D" w:rsidRDefault="00BC291E" w:rsidP="002131C9">
      <w:pPr>
        <w:spacing w:line="240" w:lineRule="auto"/>
        <w:jc w:val="both"/>
        <w:rPr>
          <w:rFonts w:ascii="Arial" w:hAnsi="Arial" w:cs="Arial"/>
          <w:b/>
          <w:caps/>
        </w:rPr>
      </w:pPr>
      <w:r>
        <w:rPr>
          <w:rFonts w:ascii="Arial" w:hAnsi="Arial" w:cs="Arial"/>
          <w:b/>
          <w:caps/>
        </w:rPr>
        <w:t>US</w:t>
      </w:r>
      <w:r w:rsidR="00B1333D" w:rsidRPr="00B1333D">
        <w:rPr>
          <w:rFonts w:ascii="Arial" w:hAnsi="Arial" w:cs="Arial"/>
          <w:b/>
          <w:caps/>
        </w:rPr>
        <w:t xml:space="preserve"> insolvency proceedings</w:t>
      </w:r>
    </w:p>
    <w:p w14:paraId="4CF57599" w14:textId="1F535848" w:rsidR="00B1333D" w:rsidRPr="00B1333D" w:rsidRDefault="00B1333D" w:rsidP="002131C9">
      <w:pPr>
        <w:spacing w:line="240" w:lineRule="auto"/>
        <w:jc w:val="both"/>
        <w:rPr>
          <w:rFonts w:ascii="Arial" w:hAnsi="Arial" w:cs="Arial"/>
          <w:u w:val="single"/>
        </w:rPr>
      </w:pPr>
      <w:r w:rsidRPr="00B1333D">
        <w:rPr>
          <w:rFonts w:ascii="Arial" w:hAnsi="Arial" w:cs="Arial"/>
          <w:u w:val="single"/>
        </w:rPr>
        <w:t>Facts</w:t>
      </w:r>
    </w:p>
    <w:p w14:paraId="758FA8A4" w14:textId="51DEE0EB" w:rsidR="008841C3" w:rsidRDefault="00CD4DDA" w:rsidP="002131C9">
      <w:pPr>
        <w:spacing w:line="240" w:lineRule="auto"/>
        <w:jc w:val="both"/>
        <w:rPr>
          <w:rFonts w:ascii="Arial" w:hAnsi="Arial" w:cs="Arial"/>
        </w:rPr>
      </w:pPr>
      <w:r>
        <w:rPr>
          <w:rFonts w:ascii="Arial" w:hAnsi="Arial" w:cs="Arial"/>
        </w:rPr>
        <w:t xml:space="preserve">Regardless of the approach </w:t>
      </w:r>
      <w:r w:rsidR="004775AB">
        <w:rPr>
          <w:rFonts w:ascii="Arial" w:hAnsi="Arial" w:cs="Arial"/>
        </w:rPr>
        <w:t xml:space="preserve">to be taken by Efwon Trading, there is potential risk that </w:t>
      </w:r>
      <w:r w:rsidR="00741D62">
        <w:rPr>
          <w:rFonts w:ascii="Arial" w:hAnsi="Arial" w:cs="Arial"/>
        </w:rPr>
        <w:t xml:space="preserve">it may default on its payment obligations which include </w:t>
      </w:r>
      <w:r w:rsidR="00FB336E">
        <w:rPr>
          <w:rFonts w:ascii="Arial" w:hAnsi="Arial" w:cs="Arial"/>
        </w:rPr>
        <w:t>those to Efwon Investment</w:t>
      </w:r>
      <w:r w:rsidR="00861373">
        <w:rPr>
          <w:rFonts w:ascii="Arial" w:hAnsi="Arial" w:cs="Arial"/>
        </w:rPr>
        <w:t>s</w:t>
      </w:r>
      <w:r w:rsidR="00564628">
        <w:rPr>
          <w:rFonts w:ascii="Arial" w:hAnsi="Arial" w:cs="Arial"/>
        </w:rPr>
        <w:t xml:space="preserve">, and in turn impact </w:t>
      </w:r>
      <w:r w:rsidR="00483403">
        <w:rPr>
          <w:rFonts w:ascii="Arial" w:hAnsi="Arial" w:cs="Arial"/>
        </w:rPr>
        <w:t>the payment obligations of Efwon Investment</w:t>
      </w:r>
      <w:r w:rsidR="00861373">
        <w:rPr>
          <w:rFonts w:ascii="Arial" w:hAnsi="Arial" w:cs="Arial"/>
        </w:rPr>
        <w:t>s</w:t>
      </w:r>
      <w:r w:rsidR="00483403">
        <w:rPr>
          <w:rFonts w:ascii="Arial" w:hAnsi="Arial" w:cs="Arial"/>
        </w:rPr>
        <w:t xml:space="preserve"> </w:t>
      </w:r>
      <w:r w:rsidR="00D34A75">
        <w:rPr>
          <w:rFonts w:ascii="Arial" w:hAnsi="Arial" w:cs="Arial"/>
        </w:rPr>
        <w:t>on its syndicated loan to the nine banks</w:t>
      </w:r>
      <w:r w:rsidR="00A643CB">
        <w:rPr>
          <w:rFonts w:ascii="Arial" w:hAnsi="Arial" w:cs="Arial"/>
        </w:rPr>
        <w:t xml:space="preserve"> (the </w:t>
      </w:r>
      <w:r w:rsidR="00A643CB" w:rsidRPr="00A643CB">
        <w:rPr>
          <w:rFonts w:ascii="Arial" w:hAnsi="Arial" w:cs="Arial"/>
          <w:b/>
          <w:bCs/>
        </w:rPr>
        <w:t>Banks</w:t>
      </w:r>
      <w:r w:rsidR="00A643CB">
        <w:rPr>
          <w:rFonts w:ascii="Arial" w:hAnsi="Arial" w:cs="Arial"/>
        </w:rPr>
        <w:t>)</w:t>
      </w:r>
      <w:r w:rsidR="001B5C45">
        <w:rPr>
          <w:rFonts w:ascii="Arial" w:hAnsi="Arial" w:cs="Arial"/>
        </w:rPr>
        <w:t xml:space="preserve"> in the amount of USD250 million</w:t>
      </w:r>
      <w:r w:rsidR="00D34A75">
        <w:rPr>
          <w:rFonts w:ascii="Arial" w:hAnsi="Arial" w:cs="Arial"/>
        </w:rPr>
        <w:t>.</w:t>
      </w:r>
      <w:r w:rsidR="00450F1F">
        <w:rPr>
          <w:rFonts w:ascii="Arial" w:hAnsi="Arial" w:cs="Arial"/>
        </w:rPr>
        <w:t xml:space="preserve">  </w:t>
      </w:r>
      <w:r w:rsidR="00454A2F">
        <w:rPr>
          <w:rFonts w:ascii="Arial" w:hAnsi="Arial" w:cs="Arial"/>
        </w:rPr>
        <w:t xml:space="preserve">The </w:t>
      </w:r>
      <w:r w:rsidR="0053404E">
        <w:rPr>
          <w:rFonts w:ascii="Arial" w:hAnsi="Arial" w:cs="Arial"/>
        </w:rPr>
        <w:t xml:space="preserve">syndicated loan is </w:t>
      </w:r>
      <w:r w:rsidR="00534D8A">
        <w:rPr>
          <w:rFonts w:ascii="Arial" w:hAnsi="Arial" w:cs="Arial"/>
        </w:rPr>
        <w:t xml:space="preserve">pledged on </w:t>
      </w:r>
      <w:r w:rsidR="0053404E">
        <w:rPr>
          <w:rFonts w:ascii="Arial" w:hAnsi="Arial" w:cs="Arial"/>
        </w:rPr>
        <w:t xml:space="preserve">the projected revenue from resulting </w:t>
      </w:r>
      <w:r w:rsidR="00534D8A">
        <w:rPr>
          <w:rFonts w:ascii="Arial" w:hAnsi="Arial" w:cs="Arial"/>
        </w:rPr>
        <w:t xml:space="preserve">investment and participation in the sport and over shares of Efwon </w:t>
      </w:r>
      <w:r w:rsidR="00534D8A">
        <w:rPr>
          <w:rFonts w:ascii="Arial" w:hAnsi="Arial" w:cs="Arial"/>
        </w:rPr>
        <w:lastRenderedPageBreak/>
        <w:t xml:space="preserve">Investments.  </w:t>
      </w:r>
      <w:r w:rsidR="006D09E3">
        <w:rPr>
          <w:rFonts w:ascii="Arial" w:hAnsi="Arial" w:cs="Arial"/>
        </w:rPr>
        <w:t xml:space="preserve">It is also secured by </w:t>
      </w:r>
      <w:proofErr w:type="gramStart"/>
      <w:r w:rsidR="002371CE">
        <w:rPr>
          <w:rFonts w:ascii="Arial" w:hAnsi="Arial" w:cs="Arial"/>
        </w:rPr>
        <w:t>a number of</w:t>
      </w:r>
      <w:proofErr w:type="gramEnd"/>
      <w:r w:rsidR="002371CE">
        <w:rPr>
          <w:rFonts w:ascii="Arial" w:hAnsi="Arial" w:cs="Arial"/>
        </w:rPr>
        <w:t xml:space="preserve"> homes of yours across the world.</w:t>
      </w:r>
      <w:r w:rsidR="00611E70">
        <w:rPr>
          <w:rFonts w:ascii="Arial" w:hAnsi="Arial" w:cs="Arial"/>
        </w:rPr>
        <w:t xml:space="preserve">  Based on the information available, Efwon Investments does not have any assets</w:t>
      </w:r>
      <w:r w:rsidR="000E361E">
        <w:rPr>
          <w:rFonts w:ascii="Arial" w:hAnsi="Arial" w:cs="Arial"/>
        </w:rPr>
        <w:t xml:space="preserve"> apart from its loan to Efwon Trading</w:t>
      </w:r>
      <w:r w:rsidR="00611E70">
        <w:rPr>
          <w:rFonts w:ascii="Arial" w:hAnsi="Arial" w:cs="Arial"/>
        </w:rPr>
        <w:t>.</w:t>
      </w:r>
      <w:r w:rsidR="00E37688">
        <w:rPr>
          <w:rFonts w:ascii="Arial" w:hAnsi="Arial" w:cs="Arial"/>
        </w:rPr>
        <w:t xml:space="preserve">  </w:t>
      </w:r>
      <w:r w:rsidR="00FF2A33">
        <w:rPr>
          <w:rFonts w:ascii="Arial" w:hAnsi="Arial" w:cs="Arial"/>
        </w:rPr>
        <w:t xml:space="preserve"> </w:t>
      </w:r>
    </w:p>
    <w:p w14:paraId="3BC849CE" w14:textId="68DB6C7F" w:rsidR="00B1333D" w:rsidRPr="00B1333D" w:rsidRDefault="00B1333D" w:rsidP="009F78F1">
      <w:pPr>
        <w:spacing w:line="240" w:lineRule="auto"/>
        <w:jc w:val="both"/>
        <w:rPr>
          <w:rFonts w:ascii="Arial" w:hAnsi="Arial" w:cs="Arial"/>
          <w:u w:val="single"/>
        </w:rPr>
      </w:pPr>
      <w:r w:rsidRPr="00B1333D">
        <w:rPr>
          <w:rFonts w:ascii="Arial" w:hAnsi="Arial" w:cs="Arial"/>
          <w:u w:val="single"/>
        </w:rPr>
        <w:t>Procedure</w:t>
      </w:r>
      <w:r>
        <w:rPr>
          <w:rFonts w:ascii="Arial" w:hAnsi="Arial" w:cs="Arial"/>
          <w:u w:val="single"/>
        </w:rPr>
        <w:t>s</w:t>
      </w:r>
      <w:r w:rsidRPr="00B1333D">
        <w:rPr>
          <w:rFonts w:ascii="Arial" w:hAnsi="Arial" w:cs="Arial"/>
          <w:u w:val="single"/>
        </w:rPr>
        <w:t xml:space="preserve"> and outcome</w:t>
      </w:r>
      <w:r>
        <w:rPr>
          <w:rFonts w:ascii="Arial" w:hAnsi="Arial" w:cs="Arial"/>
          <w:u w:val="single"/>
        </w:rPr>
        <w:t>s</w:t>
      </w:r>
    </w:p>
    <w:p w14:paraId="4E9147A4" w14:textId="5B6E9147" w:rsidR="00506F53" w:rsidRDefault="002807F1" w:rsidP="009F78F1">
      <w:pPr>
        <w:spacing w:line="240" w:lineRule="auto"/>
        <w:jc w:val="both"/>
        <w:rPr>
          <w:rFonts w:ascii="Arial" w:hAnsi="Arial" w:cs="Arial"/>
        </w:rPr>
      </w:pPr>
      <w:r>
        <w:rPr>
          <w:rFonts w:ascii="Arial" w:hAnsi="Arial" w:cs="Arial"/>
        </w:rPr>
        <w:t xml:space="preserve">Efwon Investments </w:t>
      </w:r>
      <w:r w:rsidR="00681281">
        <w:rPr>
          <w:rFonts w:ascii="Arial" w:hAnsi="Arial" w:cs="Arial"/>
        </w:rPr>
        <w:t xml:space="preserve">may elect to </w:t>
      </w:r>
      <w:r w:rsidR="00B960CC">
        <w:rPr>
          <w:rFonts w:ascii="Arial" w:hAnsi="Arial" w:cs="Arial"/>
        </w:rPr>
        <w:t xml:space="preserve">commence the reorganisation procedure </w:t>
      </w:r>
      <w:r w:rsidR="00CD2601">
        <w:rPr>
          <w:rFonts w:ascii="Arial" w:hAnsi="Arial" w:cs="Arial"/>
        </w:rPr>
        <w:t xml:space="preserve">under Chapter 11 of the </w:t>
      </w:r>
      <w:r w:rsidR="0055077D">
        <w:rPr>
          <w:rFonts w:ascii="Arial" w:hAnsi="Arial" w:cs="Arial"/>
        </w:rPr>
        <w:t>U</w:t>
      </w:r>
      <w:r w:rsidR="0082695D">
        <w:rPr>
          <w:rFonts w:ascii="Arial" w:hAnsi="Arial" w:cs="Arial"/>
        </w:rPr>
        <w:t xml:space="preserve">nited </w:t>
      </w:r>
      <w:r w:rsidR="0055077D">
        <w:rPr>
          <w:rFonts w:ascii="Arial" w:hAnsi="Arial" w:cs="Arial"/>
        </w:rPr>
        <w:t>S</w:t>
      </w:r>
      <w:r w:rsidR="0082695D">
        <w:rPr>
          <w:rFonts w:ascii="Arial" w:hAnsi="Arial" w:cs="Arial"/>
        </w:rPr>
        <w:t>tates</w:t>
      </w:r>
      <w:r w:rsidR="0055077D">
        <w:rPr>
          <w:rFonts w:ascii="Arial" w:hAnsi="Arial" w:cs="Arial"/>
        </w:rPr>
        <w:t xml:space="preserve"> Bankruptcy Code</w:t>
      </w:r>
      <w:r w:rsidR="001C738A">
        <w:rPr>
          <w:rFonts w:ascii="Arial" w:hAnsi="Arial" w:cs="Arial"/>
        </w:rPr>
        <w:t xml:space="preserve"> (</w:t>
      </w:r>
      <w:r w:rsidR="001C738A" w:rsidRPr="001C738A">
        <w:rPr>
          <w:rFonts w:ascii="Arial" w:hAnsi="Arial" w:cs="Arial"/>
          <w:b/>
          <w:bCs/>
        </w:rPr>
        <w:t>Chapter 11</w:t>
      </w:r>
      <w:r w:rsidR="00345EDC">
        <w:rPr>
          <w:rFonts w:ascii="Arial" w:hAnsi="Arial" w:cs="Arial"/>
          <w:b/>
          <w:bCs/>
        </w:rPr>
        <w:t xml:space="preserve"> </w:t>
      </w:r>
      <w:r w:rsidR="00345EDC" w:rsidRPr="00345EDC">
        <w:rPr>
          <w:rFonts w:ascii="Arial" w:hAnsi="Arial" w:cs="Arial"/>
        </w:rPr>
        <w:t>of the</w:t>
      </w:r>
      <w:r w:rsidR="00345EDC">
        <w:rPr>
          <w:rFonts w:ascii="Arial" w:hAnsi="Arial" w:cs="Arial"/>
          <w:b/>
          <w:bCs/>
        </w:rPr>
        <w:t xml:space="preserve"> Code</w:t>
      </w:r>
      <w:r w:rsidR="001C738A">
        <w:rPr>
          <w:rFonts w:ascii="Arial" w:hAnsi="Arial" w:cs="Arial"/>
        </w:rPr>
        <w:t>)</w:t>
      </w:r>
      <w:r w:rsidR="00E37688">
        <w:rPr>
          <w:rFonts w:ascii="Arial" w:hAnsi="Arial" w:cs="Arial"/>
        </w:rPr>
        <w:t xml:space="preserve"> to protect its position</w:t>
      </w:r>
      <w:r w:rsidR="0055077D">
        <w:rPr>
          <w:rFonts w:ascii="Arial" w:hAnsi="Arial" w:cs="Arial"/>
        </w:rPr>
        <w:t>.</w:t>
      </w:r>
      <w:r w:rsidR="008841C3">
        <w:rPr>
          <w:rFonts w:ascii="Arial" w:hAnsi="Arial" w:cs="Arial"/>
        </w:rPr>
        <w:t xml:space="preserve">  </w:t>
      </w:r>
      <w:r w:rsidR="001773ED">
        <w:rPr>
          <w:rFonts w:ascii="Arial" w:hAnsi="Arial" w:cs="Arial"/>
        </w:rPr>
        <w:t xml:space="preserve">The purpose of Chapter 11 </w:t>
      </w:r>
      <w:r w:rsidR="004A1162">
        <w:rPr>
          <w:rFonts w:ascii="Arial" w:hAnsi="Arial" w:cs="Arial"/>
        </w:rPr>
        <w:t xml:space="preserve">is for a company to preserve and protect its business by encouraging a financial </w:t>
      </w:r>
      <w:r w:rsidR="00C80E93">
        <w:rPr>
          <w:rFonts w:ascii="Arial" w:hAnsi="Arial" w:cs="Arial"/>
        </w:rPr>
        <w:t>restructuring</w:t>
      </w:r>
      <w:r w:rsidR="002D2805">
        <w:rPr>
          <w:rFonts w:ascii="Arial" w:hAnsi="Arial" w:cs="Arial"/>
        </w:rPr>
        <w:t>.  It provides a breathing space for the company a</w:t>
      </w:r>
      <w:r w:rsidR="007E7B02">
        <w:rPr>
          <w:rFonts w:ascii="Arial" w:hAnsi="Arial" w:cs="Arial"/>
        </w:rPr>
        <w:t xml:space="preserve">nd the management to reassess its business plan and negotiate </w:t>
      </w:r>
      <w:r w:rsidR="00BF14C1">
        <w:rPr>
          <w:rFonts w:ascii="Arial" w:hAnsi="Arial" w:cs="Arial"/>
        </w:rPr>
        <w:t xml:space="preserve">a restructuring with creditors and shareholders.  </w:t>
      </w:r>
      <w:r w:rsidR="008841C3">
        <w:rPr>
          <w:rFonts w:ascii="Arial" w:hAnsi="Arial" w:cs="Arial"/>
        </w:rPr>
        <w:t xml:space="preserve">If the process is so commenced, Efwon Investments </w:t>
      </w:r>
      <w:r w:rsidR="009A6DBE">
        <w:rPr>
          <w:rFonts w:ascii="Arial" w:hAnsi="Arial" w:cs="Arial"/>
        </w:rPr>
        <w:t>will have the chance to negotiate and restr</w:t>
      </w:r>
      <w:r w:rsidR="00D30C74">
        <w:rPr>
          <w:rFonts w:ascii="Arial" w:hAnsi="Arial" w:cs="Arial"/>
        </w:rPr>
        <w:t>ucture its debts with the Banks.</w:t>
      </w:r>
      <w:r w:rsidR="00B4342D">
        <w:rPr>
          <w:rFonts w:ascii="Arial" w:hAnsi="Arial" w:cs="Arial"/>
        </w:rPr>
        <w:t xml:space="preserve">  </w:t>
      </w:r>
    </w:p>
    <w:p w14:paraId="06AFEFD8" w14:textId="1A90650F" w:rsidR="00D30C74" w:rsidRDefault="00C75E65" w:rsidP="009F78F1">
      <w:pPr>
        <w:spacing w:line="240" w:lineRule="auto"/>
        <w:jc w:val="both"/>
        <w:rPr>
          <w:rFonts w:ascii="Arial" w:hAnsi="Arial" w:cs="Arial"/>
        </w:rPr>
      </w:pPr>
      <w:r>
        <w:rPr>
          <w:rFonts w:ascii="Arial" w:hAnsi="Arial" w:cs="Arial"/>
        </w:rPr>
        <w:t xml:space="preserve">Efwon Investments </w:t>
      </w:r>
      <w:r w:rsidR="00BF777E">
        <w:rPr>
          <w:rFonts w:ascii="Arial" w:hAnsi="Arial" w:cs="Arial"/>
        </w:rPr>
        <w:t>can commence the process by the filing with the bankruptcy court of a petition</w:t>
      </w:r>
      <w:r w:rsidR="00747F09">
        <w:rPr>
          <w:rFonts w:ascii="Arial" w:hAnsi="Arial" w:cs="Arial"/>
        </w:rPr>
        <w:t>,</w:t>
      </w:r>
      <w:r w:rsidR="000C5F8F">
        <w:rPr>
          <w:rFonts w:ascii="Arial" w:hAnsi="Arial" w:cs="Arial"/>
        </w:rPr>
        <w:t xml:space="preserve"> </w:t>
      </w:r>
      <w:r w:rsidR="00487662">
        <w:rPr>
          <w:rFonts w:ascii="Arial" w:hAnsi="Arial" w:cs="Arial"/>
        </w:rPr>
        <w:t>and the commencement of which will constitute an order for relief</w:t>
      </w:r>
      <w:r w:rsidR="00BF777E">
        <w:rPr>
          <w:rFonts w:ascii="Arial" w:hAnsi="Arial" w:cs="Arial"/>
        </w:rPr>
        <w:t>.</w:t>
      </w:r>
      <w:r w:rsidR="00C84B40">
        <w:rPr>
          <w:rStyle w:val="FootnoteReference"/>
          <w:rFonts w:ascii="Arial" w:hAnsi="Arial" w:cs="Arial"/>
        </w:rPr>
        <w:footnoteReference w:id="65"/>
      </w:r>
      <w:r w:rsidR="00B85E35">
        <w:rPr>
          <w:rFonts w:ascii="Arial" w:hAnsi="Arial" w:cs="Arial"/>
        </w:rPr>
        <w:t xml:space="preserve">  </w:t>
      </w:r>
      <w:r w:rsidR="005F4794">
        <w:rPr>
          <w:rFonts w:ascii="Arial" w:hAnsi="Arial" w:cs="Arial"/>
        </w:rPr>
        <w:t xml:space="preserve">An estate </w:t>
      </w:r>
      <w:r w:rsidR="00D00CCB">
        <w:rPr>
          <w:rFonts w:ascii="Arial" w:hAnsi="Arial" w:cs="Arial"/>
        </w:rPr>
        <w:t xml:space="preserve">comprising all property of Efwon Investments </w:t>
      </w:r>
      <w:r w:rsidR="004B6FC3">
        <w:rPr>
          <w:rFonts w:ascii="Arial" w:hAnsi="Arial" w:cs="Arial"/>
        </w:rPr>
        <w:t xml:space="preserve">at the time of </w:t>
      </w:r>
      <w:r w:rsidR="00264490">
        <w:rPr>
          <w:rFonts w:ascii="Arial" w:hAnsi="Arial" w:cs="Arial"/>
        </w:rPr>
        <w:t xml:space="preserve">filing of the petition </w:t>
      </w:r>
      <w:r w:rsidR="00784997">
        <w:rPr>
          <w:rFonts w:ascii="Arial" w:hAnsi="Arial" w:cs="Arial"/>
        </w:rPr>
        <w:t xml:space="preserve">will be </w:t>
      </w:r>
      <w:r w:rsidR="00D00CCB">
        <w:rPr>
          <w:rFonts w:ascii="Arial" w:hAnsi="Arial" w:cs="Arial"/>
        </w:rPr>
        <w:t>created</w:t>
      </w:r>
      <w:r w:rsidR="00AF153F">
        <w:rPr>
          <w:rFonts w:ascii="Arial" w:hAnsi="Arial" w:cs="Arial"/>
        </w:rPr>
        <w:t xml:space="preserve"> which can be utilised under going concern or sold separately</w:t>
      </w:r>
      <w:r w:rsidR="009B3170">
        <w:rPr>
          <w:rFonts w:ascii="Arial" w:hAnsi="Arial" w:cs="Arial"/>
        </w:rPr>
        <w:t xml:space="preserve"> and will serve as the basis for recover</w:t>
      </w:r>
      <w:r w:rsidR="00755659">
        <w:rPr>
          <w:rFonts w:ascii="Arial" w:hAnsi="Arial" w:cs="Arial"/>
        </w:rPr>
        <w:t xml:space="preserve">y for creditors under </w:t>
      </w:r>
      <w:r w:rsidR="000072AB">
        <w:rPr>
          <w:rFonts w:ascii="Arial" w:hAnsi="Arial" w:cs="Arial"/>
        </w:rPr>
        <w:t xml:space="preserve">the </w:t>
      </w:r>
      <w:r w:rsidR="00EE688C">
        <w:rPr>
          <w:rFonts w:ascii="Arial" w:hAnsi="Arial" w:cs="Arial"/>
        </w:rPr>
        <w:t xml:space="preserve">financial restructuring </w:t>
      </w:r>
      <w:r w:rsidR="000072AB">
        <w:rPr>
          <w:rFonts w:ascii="Arial" w:hAnsi="Arial" w:cs="Arial"/>
        </w:rPr>
        <w:t>plan</w:t>
      </w:r>
      <w:r w:rsidR="00EE688C">
        <w:rPr>
          <w:rFonts w:ascii="Arial" w:hAnsi="Arial" w:cs="Arial"/>
        </w:rPr>
        <w:t xml:space="preserve"> (the </w:t>
      </w:r>
      <w:r w:rsidR="00EE688C" w:rsidRPr="00EE688C">
        <w:rPr>
          <w:rFonts w:ascii="Arial" w:hAnsi="Arial" w:cs="Arial"/>
          <w:b/>
          <w:bCs/>
        </w:rPr>
        <w:t>Plan</w:t>
      </w:r>
      <w:r w:rsidR="00EE688C">
        <w:rPr>
          <w:rFonts w:ascii="Arial" w:hAnsi="Arial" w:cs="Arial"/>
        </w:rPr>
        <w:t>)</w:t>
      </w:r>
      <w:r w:rsidR="000072AB">
        <w:rPr>
          <w:rFonts w:ascii="Arial" w:hAnsi="Arial" w:cs="Arial"/>
        </w:rPr>
        <w:t>.</w:t>
      </w:r>
      <w:r w:rsidR="000072AB">
        <w:rPr>
          <w:rStyle w:val="FootnoteReference"/>
          <w:rFonts w:ascii="Arial" w:hAnsi="Arial" w:cs="Arial"/>
        </w:rPr>
        <w:footnoteReference w:id="66"/>
      </w:r>
      <w:r w:rsidR="00EE688C" w:rsidRPr="00EE688C">
        <w:rPr>
          <w:rFonts w:ascii="Arial" w:hAnsi="Arial" w:cs="Arial"/>
        </w:rPr>
        <w:t xml:space="preserve"> </w:t>
      </w:r>
      <w:r w:rsidR="00EE688C">
        <w:rPr>
          <w:rFonts w:ascii="Arial" w:hAnsi="Arial" w:cs="Arial"/>
        </w:rPr>
        <w:t xml:space="preserve"> Within the first 120 days, Efwon Investment</w:t>
      </w:r>
      <w:r w:rsidR="00CD4496">
        <w:rPr>
          <w:rFonts w:ascii="Arial" w:hAnsi="Arial" w:cs="Arial"/>
        </w:rPr>
        <w:t>s</w:t>
      </w:r>
      <w:r w:rsidR="00EE688C">
        <w:rPr>
          <w:rFonts w:ascii="Arial" w:hAnsi="Arial" w:cs="Arial"/>
        </w:rPr>
        <w:t xml:space="preserve"> has the exclusive right to propose and file the </w:t>
      </w:r>
      <w:r w:rsidR="00EE688C" w:rsidRPr="008E0C2E">
        <w:rPr>
          <w:rFonts w:ascii="Arial" w:hAnsi="Arial" w:cs="Arial"/>
        </w:rPr>
        <w:t>Plan</w:t>
      </w:r>
      <w:r w:rsidR="002828E0" w:rsidRPr="008E0C2E">
        <w:rPr>
          <w:rFonts w:ascii="Arial" w:hAnsi="Arial" w:cs="Arial"/>
        </w:rPr>
        <w:t xml:space="preserve"> which </w:t>
      </w:r>
      <w:r w:rsidR="00F0596F" w:rsidRPr="008E0C2E">
        <w:rPr>
          <w:rFonts w:ascii="Arial" w:hAnsi="Arial" w:cs="Arial"/>
        </w:rPr>
        <w:t xml:space="preserve">can be extended by the court </w:t>
      </w:r>
      <w:r w:rsidR="00CF4172" w:rsidRPr="008E0C2E">
        <w:rPr>
          <w:rFonts w:ascii="Arial" w:hAnsi="Arial" w:cs="Arial"/>
        </w:rPr>
        <w:t>for cause</w:t>
      </w:r>
      <w:r w:rsidR="00D07050" w:rsidRPr="008E0C2E">
        <w:rPr>
          <w:rFonts w:ascii="Arial" w:hAnsi="Arial" w:cs="Arial"/>
        </w:rPr>
        <w:t xml:space="preserve"> </w:t>
      </w:r>
      <w:r w:rsidR="00A11039" w:rsidRPr="008E0C2E">
        <w:rPr>
          <w:rFonts w:ascii="Arial" w:hAnsi="Arial" w:cs="Arial"/>
        </w:rPr>
        <w:t xml:space="preserve">but </w:t>
      </w:r>
      <w:r w:rsidR="000078E2" w:rsidRPr="008E0C2E">
        <w:rPr>
          <w:rFonts w:ascii="Arial" w:hAnsi="Arial" w:cs="Arial"/>
        </w:rPr>
        <w:t xml:space="preserve">in any event </w:t>
      </w:r>
      <w:r w:rsidR="0069678B" w:rsidRPr="008E0C2E">
        <w:rPr>
          <w:rFonts w:ascii="Arial" w:hAnsi="Arial" w:cs="Arial"/>
        </w:rPr>
        <w:t xml:space="preserve">not exceeding </w:t>
      </w:r>
      <w:r w:rsidR="008E0C2E" w:rsidRPr="008E0C2E">
        <w:rPr>
          <w:rFonts w:ascii="Arial" w:hAnsi="Arial" w:cs="Arial"/>
        </w:rPr>
        <w:t>18 months</w:t>
      </w:r>
      <w:r w:rsidR="00D07050" w:rsidRPr="008E0C2E">
        <w:rPr>
          <w:rFonts w:ascii="Arial" w:hAnsi="Arial" w:cs="Arial"/>
        </w:rPr>
        <w:t>.</w:t>
      </w:r>
      <w:r w:rsidR="003B330B">
        <w:rPr>
          <w:rStyle w:val="FootnoteReference"/>
          <w:rFonts w:ascii="Arial" w:hAnsi="Arial" w:cs="Arial"/>
        </w:rPr>
        <w:footnoteReference w:id="67"/>
      </w:r>
      <w:r w:rsidR="008E0C2E">
        <w:rPr>
          <w:rFonts w:ascii="Arial" w:hAnsi="Arial" w:cs="Arial"/>
        </w:rPr>
        <w:t xml:space="preserve">  </w:t>
      </w:r>
      <w:r w:rsidR="00610C5C">
        <w:rPr>
          <w:rFonts w:ascii="Arial" w:hAnsi="Arial" w:cs="Arial"/>
        </w:rPr>
        <w:t xml:space="preserve">The Plan </w:t>
      </w:r>
      <w:r w:rsidR="003F4D86">
        <w:rPr>
          <w:rFonts w:ascii="Arial" w:hAnsi="Arial" w:cs="Arial"/>
        </w:rPr>
        <w:t>may provide intensive modifications of Efwon Investments’ debts and secured debts</w:t>
      </w:r>
      <w:r w:rsidR="003B2D7B">
        <w:rPr>
          <w:rFonts w:ascii="Arial" w:hAnsi="Arial" w:cs="Arial"/>
        </w:rPr>
        <w:t xml:space="preserve">, including </w:t>
      </w:r>
      <w:r w:rsidR="00FD019C">
        <w:rPr>
          <w:rFonts w:ascii="Arial" w:hAnsi="Arial" w:cs="Arial"/>
        </w:rPr>
        <w:t xml:space="preserve">changes in </w:t>
      </w:r>
      <w:r w:rsidR="003B2D7B">
        <w:rPr>
          <w:rFonts w:ascii="Arial" w:hAnsi="Arial" w:cs="Arial"/>
        </w:rPr>
        <w:t>security</w:t>
      </w:r>
      <w:r w:rsidR="00FD019C">
        <w:rPr>
          <w:rFonts w:ascii="Arial" w:hAnsi="Arial" w:cs="Arial"/>
        </w:rPr>
        <w:t>, amount, interest</w:t>
      </w:r>
      <w:r w:rsidR="00322DF7">
        <w:rPr>
          <w:rFonts w:ascii="Arial" w:hAnsi="Arial" w:cs="Arial"/>
        </w:rPr>
        <w:t xml:space="preserve"> rate and maturity, etc. </w:t>
      </w:r>
      <w:r w:rsidR="00C3547F">
        <w:rPr>
          <w:rFonts w:ascii="Arial" w:hAnsi="Arial" w:cs="Arial"/>
        </w:rPr>
        <w:t>and even their cancellation.</w:t>
      </w:r>
      <w:r w:rsidR="008D075A">
        <w:rPr>
          <w:rFonts w:ascii="Arial" w:hAnsi="Arial" w:cs="Arial"/>
        </w:rPr>
        <w:t xml:space="preserve">  </w:t>
      </w:r>
      <w:r w:rsidR="004570A8">
        <w:rPr>
          <w:rFonts w:ascii="Arial" w:hAnsi="Arial" w:cs="Arial"/>
        </w:rPr>
        <w:t>Additionally</w:t>
      </w:r>
      <w:r w:rsidR="008D075A">
        <w:rPr>
          <w:rFonts w:ascii="Arial" w:hAnsi="Arial" w:cs="Arial"/>
        </w:rPr>
        <w:t>, the Plan may also introduce new debt or equity.</w:t>
      </w:r>
      <w:r w:rsidR="00C3547F">
        <w:rPr>
          <w:rFonts w:ascii="Arial" w:hAnsi="Arial" w:cs="Arial"/>
        </w:rPr>
        <w:t xml:space="preserve">  </w:t>
      </w:r>
    </w:p>
    <w:p w14:paraId="61317A81" w14:textId="52C757CB" w:rsidR="00B925E3" w:rsidRDefault="00712757" w:rsidP="009F78F1">
      <w:pPr>
        <w:spacing w:line="240" w:lineRule="auto"/>
        <w:jc w:val="both"/>
        <w:rPr>
          <w:rFonts w:ascii="Arial" w:hAnsi="Arial" w:cs="Arial"/>
        </w:rPr>
      </w:pPr>
      <w:r>
        <w:rPr>
          <w:rFonts w:ascii="Arial" w:hAnsi="Arial" w:cs="Arial"/>
        </w:rPr>
        <w:t xml:space="preserve">The Plan will then be voted by all creditors (and shareholders) who are adversely affected by its terms.  </w:t>
      </w:r>
      <w:r w:rsidR="008E1B40">
        <w:rPr>
          <w:rFonts w:ascii="Arial" w:hAnsi="Arial" w:cs="Arial"/>
        </w:rPr>
        <w:t xml:space="preserve">The claims of the creditors </w:t>
      </w:r>
      <w:r w:rsidR="009B648A">
        <w:rPr>
          <w:rFonts w:ascii="Arial" w:hAnsi="Arial" w:cs="Arial"/>
        </w:rPr>
        <w:t>are grouped into classes</w:t>
      </w:r>
      <w:r w:rsidR="00682DA5">
        <w:rPr>
          <w:rFonts w:ascii="Arial" w:hAnsi="Arial" w:cs="Arial"/>
        </w:rPr>
        <w:t xml:space="preserve">, which will separately vote </w:t>
      </w:r>
      <w:r w:rsidR="008F3D6D">
        <w:rPr>
          <w:rFonts w:ascii="Arial" w:hAnsi="Arial" w:cs="Arial"/>
        </w:rPr>
        <w:t>upon the Plan,</w:t>
      </w:r>
      <w:r w:rsidR="009B648A">
        <w:rPr>
          <w:rFonts w:ascii="Arial" w:hAnsi="Arial" w:cs="Arial"/>
        </w:rPr>
        <w:t xml:space="preserve"> according to </w:t>
      </w:r>
      <w:r w:rsidR="005C4CC3">
        <w:rPr>
          <w:rFonts w:ascii="Arial" w:hAnsi="Arial" w:cs="Arial"/>
        </w:rPr>
        <w:t xml:space="preserve">their </w:t>
      </w:r>
      <w:r w:rsidR="009B648A">
        <w:rPr>
          <w:rFonts w:ascii="Arial" w:hAnsi="Arial" w:cs="Arial"/>
        </w:rPr>
        <w:t>nature</w:t>
      </w:r>
      <w:r w:rsidR="005C4CC3">
        <w:rPr>
          <w:rFonts w:ascii="Arial" w:hAnsi="Arial" w:cs="Arial"/>
        </w:rPr>
        <w:t xml:space="preserve"> and similarity in which the Plan must provide the same treatment for each claim or equity interest within a particular class.</w:t>
      </w:r>
      <w:r w:rsidR="00F5696E">
        <w:rPr>
          <w:rStyle w:val="FootnoteReference"/>
          <w:rFonts w:ascii="Arial" w:hAnsi="Arial" w:cs="Arial"/>
        </w:rPr>
        <w:footnoteReference w:id="68"/>
      </w:r>
      <w:r w:rsidR="00682DA5">
        <w:rPr>
          <w:rFonts w:ascii="Arial" w:hAnsi="Arial" w:cs="Arial"/>
        </w:rPr>
        <w:t xml:space="preserve">  </w:t>
      </w:r>
      <w:r w:rsidR="00626E25">
        <w:rPr>
          <w:rFonts w:ascii="Arial" w:hAnsi="Arial" w:cs="Arial"/>
        </w:rPr>
        <w:t xml:space="preserve">A class of claims </w:t>
      </w:r>
      <w:r w:rsidR="00CD7026">
        <w:rPr>
          <w:rFonts w:ascii="Arial" w:hAnsi="Arial" w:cs="Arial"/>
        </w:rPr>
        <w:t>acc</w:t>
      </w:r>
      <w:r w:rsidR="00673CB3">
        <w:rPr>
          <w:rFonts w:ascii="Arial" w:hAnsi="Arial" w:cs="Arial"/>
        </w:rPr>
        <w:t xml:space="preserve">epts the Plan if </w:t>
      </w:r>
      <w:r w:rsidR="003B5B5C">
        <w:rPr>
          <w:rFonts w:ascii="Arial" w:hAnsi="Arial" w:cs="Arial"/>
        </w:rPr>
        <w:t xml:space="preserve">at least two-thirds in amount and more than one-half </w:t>
      </w:r>
      <w:r w:rsidR="00A53C10">
        <w:rPr>
          <w:rFonts w:ascii="Arial" w:hAnsi="Arial" w:cs="Arial"/>
        </w:rPr>
        <w:t xml:space="preserve">in number </w:t>
      </w:r>
      <w:r w:rsidR="00D163AB">
        <w:rPr>
          <w:rFonts w:ascii="Arial" w:hAnsi="Arial" w:cs="Arial"/>
        </w:rPr>
        <w:t>of the claims</w:t>
      </w:r>
      <w:r w:rsidR="00850036">
        <w:rPr>
          <w:rFonts w:ascii="Arial" w:hAnsi="Arial" w:cs="Arial"/>
        </w:rPr>
        <w:t xml:space="preserve"> </w:t>
      </w:r>
      <w:r w:rsidR="00A53A92">
        <w:rPr>
          <w:rFonts w:ascii="Arial" w:hAnsi="Arial" w:cs="Arial"/>
        </w:rPr>
        <w:t xml:space="preserve">within the class </w:t>
      </w:r>
      <w:r w:rsidR="00850036">
        <w:rPr>
          <w:rFonts w:ascii="Arial" w:hAnsi="Arial" w:cs="Arial"/>
        </w:rPr>
        <w:t>accept</w:t>
      </w:r>
      <w:r w:rsidR="00A53A92">
        <w:rPr>
          <w:rFonts w:ascii="Arial" w:hAnsi="Arial" w:cs="Arial"/>
        </w:rPr>
        <w:t xml:space="preserve"> the Plan.</w:t>
      </w:r>
      <w:bookmarkStart w:id="13" w:name="_Ref142492101"/>
      <w:r w:rsidR="00A53A92">
        <w:rPr>
          <w:rStyle w:val="FootnoteReference"/>
          <w:rFonts w:ascii="Arial" w:hAnsi="Arial" w:cs="Arial"/>
        </w:rPr>
        <w:footnoteReference w:id="69"/>
      </w:r>
      <w:bookmarkEnd w:id="13"/>
      <w:r w:rsidR="00C1607A">
        <w:rPr>
          <w:rFonts w:ascii="Arial" w:hAnsi="Arial" w:cs="Arial"/>
        </w:rPr>
        <w:t xml:space="preserve">  The </w:t>
      </w:r>
      <w:r>
        <w:rPr>
          <w:rFonts w:ascii="Arial" w:hAnsi="Arial" w:cs="Arial"/>
        </w:rPr>
        <w:t xml:space="preserve">bankruptcy court will </w:t>
      </w:r>
      <w:r w:rsidR="00B774D7">
        <w:rPr>
          <w:rFonts w:ascii="Arial" w:hAnsi="Arial" w:cs="Arial"/>
        </w:rPr>
        <w:t>confirm the Plan which will then be binding on all parties</w:t>
      </w:r>
      <w:r w:rsidR="000F699C">
        <w:rPr>
          <w:rFonts w:ascii="Arial" w:hAnsi="Arial" w:cs="Arial"/>
        </w:rPr>
        <w:t xml:space="preserve"> provided that </w:t>
      </w:r>
      <w:r w:rsidR="00BF59A7">
        <w:rPr>
          <w:rFonts w:ascii="Arial" w:hAnsi="Arial" w:cs="Arial"/>
        </w:rPr>
        <w:t xml:space="preserve">the requirements under </w:t>
      </w:r>
      <w:r w:rsidR="00D722B9" w:rsidRPr="00D722B9">
        <w:rPr>
          <w:rFonts w:ascii="Arial" w:hAnsi="Arial" w:cs="Arial"/>
        </w:rPr>
        <w:t>11 U.S. Code § 11</w:t>
      </w:r>
      <w:r w:rsidR="00D722B9">
        <w:rPr>
          <w:rFonts w:ascii="Arial" w:hAnsi="Arial" w:cs="Arial"/>
        </w:rPr>
        <w:t xml:space="preserve">29 are satisfied, particularly the “Best Interest of Creditors Test” </w:t>
      </w:r>
      <w:r w:rsidR="009D302D">
        <w:rPr>
          <w:rFonts w:ascii="Arial" w:hAnsi="Arial" w:cs="Arial"/>
        </w:rPr>
        <w:t xml:space="preserve">under </w:t>
      </w:r>
      <w:r w:rsidR="0021228B" w:rsidRPr="00D722B9">
        <w:rPr>
          <w:rFonts w:ascii="Arial" w:hAnsi="Arial" w:cs="Arial"/>
        </w:rPr>
        <w:t>11 U.S. Code § 11</w:t>
      </w:r>
      <w:r w:rsidR="0021228B">
        <w:rPr>
          <w:rFonts w:ascii="Arial" w:hAnsi="Arial" w:cs="Arial"/>
        </w:rPr>
        <w:t>29(a)(7)</w:t>
      </w:r>
      <w:r w:rsidR="00BE5C0A">
        <w:rPr>
          <w:rFonts w:ascii="Arial" w:hAnsi="Arial" w:cs="Arial"/>
        </w:rPr>
        <w:t xml:space="preserve"> and </w:t>
      </w:r>
      <w:r w:rsidR="0021228B">
        <w:rPr>
          <w:rFonts w:ascii="Arial" w:hAnsi="Arial" w:cs="Arial"/>
        </w:rPr>
        <w:t xml:space="preserve">the </w:t>
      </w:r>
      <w:r w:rsidR="00D722B9">
        <w:rPr>
          <w:rFonts w:ascii="Arial" w:hAnsi="Arial" w:cs="Arial"/>
        </w:rPr>
        <w:t>“Fair and Equitable Test”</w:t>
      </w:r>
      <w:r w:rsidR="0021228B">
        <w:rPr>
          <w:rFonts w:ascii="Arial" w:hAnsi="Arial" w:cs="Arial"/>
        </w:rPr>
        <w:t xml:space="preserve"> under </w:t>
      </w:r>
      <w:r w:rsidR="0021228B" w:rsidRPr="00D722B9">
        <w:rPr>
          <w:rFonts w:ascii="Arial" w:hAnsi="Arial" w:cs="Arial"/>
        </w:rPr>
        <w:t>11 U.S. Code § 11</w:t>
      </w:r>
      <w:r w:rsidR="0021228B">
        <w:rPr>
          <w:rFonts w:ascii="Arial" w:hAnsi="Arial" w:cs="Arial"/>
        </w:rPr>
        <w:t>29(b)(1)</w:t>
      </w:r>
      <w:r w:rsidR="009D302D">
        <w:rPr>
          <w:rFonts w:ascii="Arial" w:hAnsi="Arial" w:cs="Arial"/>
        </w:rPr>
        <w:t>.</w:t>
      </w:r>
      <w:r w:rsidR="000824EF">
        <w:rPr>
          <w:rStyle w:val="FootnoteReference"/>
          <w:rFonts w:ascii="Arial" w:hAnsi="Arial" w:cs="Arial"/>
        </w:rPr>
        <w:footnoteReference w:id="70"/>
      </w:r>
      <w:r w:rsidR="004A69DF">
        <w:rPr>
          <w:rFonts w:ascii="Arial" w:hAnsi="Arial" w:cs="Arial"/>
        </w:rPr>
        <w:t xml:space="preserve">  Accordingly, </w:t>
      </w:r>
      <w:r w:rsidR="00AA0BD6">
        <w:rPr>
          <w:rFonts w:ascii="Arial" w:hAnsi="Arial" w:cs="Arial"/>
        </w:rPr>
        <w:t xml:space="preserve">it also means that </w:t>
      </w:r>
      <w:r w:rsidR="004A69DF">
        <w:rPr>
          <w:rFonts w:ascii="Arial" w:hAnsi="Arial" w:cs="Arial"/>
        </w:rPr>
        <w:t xml:space="preserve">the mechanism allows </w:t>
      </w:r>
      <w:r w:rsidR="00A719DC">
        <w:rPr>
          <w:rFonts w:ascii="Arial" w:hAnsi="Arial" w:cs="Arial"/>
        </w:rPr>
        <w:t xml:space="preserve">cramdown </w:t>
      </w:r>
      <w:r w:rsidR="005053B6">
        <w:rPr>
          <w:rFonts w:ascii="Arial" w:hAnsi="Arial" w:cs="Arial"/>
        </w:rPr>
        <w:t>of objecting classes.</w:t>
      </w:r>
    </w:p>
    <w:p w14:paraId="4E12EA48" w14:textId="07932278" w:rsidR="00B1333D" w:rsidRPr="00B1333D" w:rsidRDefault="00B1333D" w:rsidP="00274680">
      <w:pPr>
        <w:spacing w:line="240" w:lineRule="auto"/>
        <w:jc w:val="both"/>
        <w:rPr>
          <w:rFonts w:ascii="Arial" w:hAnsi="Arial" w:cs="Arial"/>
          <w:u w:val="single"/>
        </w:rPr>
      </w:pPr>
      <w:r w:rsidRPr="00B1333D">
        <w:rPr>
          <w:rFonts w:ascii="Arial" w:hAnsi="Arial" w:cs="Arial"/>
          <w:u w:val="single"/>
        </w:rPr>
        <w:t>Benefits and disadvantages</w:t>
      </w:r>
    </w:p>
    <w:p w14:paraId="3603E9B2" w14:textId="7879B2E9" w:rsidR="005053B6" w:rsidRDefault="00770048" w:rsidP="00274680">
      <w:pPr>
        <w:spacing w:line="240" w:lineRule="auto"/>
        <w:jc w:val="both"/>
        <w:rPr>
          <w:rFonts w:ascii="Arial" w:hAnsi="Arial" w:cs="Arial"/>
        </w:rPr>
      </w:pPr>
      <w:r>
        <w:rPr>
          <w:rFonts w:ascii="Arial" w:hAnsi="Arial" w:cs="Arial"/>
        </w:rPr>
        <w:t>The greatest benefit for Efwon Investment</w:t>
      </w:r>
      <w:r w:rsidR="00CD4496">
        <w:rPr>
          <w:rFonts w:ascii="Arial" w:hAnsi="Arial" w:cs="Arial"/>
        </w:rPr>
        <w:t>s</w:t>
      </w:r>
      <w:r>
        <w:rPr>
          <w:rFonts w:ascii="Arial" w:hAnsi="Arial" w:cs="Arial"/>
        </w:rPr>
        <w:t xml:space="preserve"> </w:t>
      </w:r>
      <w:r w:rsidR="00AE3DA8">
        <w:rPr>
          <w:rFonts w:ascii="Arial" w:hAnsi="Arial" w:cs="Arial"/>
        </w:rPr>
        <w:t>to commence</w:t>
      </w:r>
      <w:r>
        <w:rPr>
          <w:rFonts w:ascii="Arial" w:hAnsi="Arial" w:cs="Arial"/>
        </w:rPr>
        <w:t xml:space="preserve"> Chapter 11 is that </w:t>
      </w:r>
      <w:r w:rsidR="00AE3DA8">
        <w:rPr>
          <w:rFonts w:ascii="Arial" w:hAnsi="Arial" w:cs="Arial"/>
        </w:rPr>
        <w:t xml:space="preserve">the existing management </w:t>
      </w:r>
      <w:r w:rsidR="00F75088">
        <w:rPr>
          <w:rFonts w:ascii="Arial" w:hAnsi="Arial" w:cs="Arial"/>
        </w:rPr>
        <w:t>will continue to operate the business which commonly known as debtor in possession.</w:t>
      </w:r>
      <w:r w:rsidR="00F75088">
        <w:rPr>
          <w:rStyle w:val="FootnoteReference"/>
          <w:rFonts w:ascii="Arial" w:hAnsi="Arial" w:cs="Arial"/>
        </w:rPr>
        <w:footnoteReference w:id="71"/>
      </w:r>
      <w:r w:rsidR="0058348F">
        <w:rPr>
          <w:rFonts w:ascii="Arial" w:hAnsi="Arial" w:cs="Arial"/>
        </w:rPr>
        <w:t xml:space="preserve">  Only in rare circumstances </w:t>
      </w:r>
      <w:r w:rsidR="00274657">
        <w:rPr>
          <w:rFonts w:ascii="Arial" w:hAnsi="Arial" w:cs="Arial"/>
        </w:rPr>
        <w:t>such as frau</w:t>
      </w:r>
      <w:r w:rsidR="00755DE1">
        <w:rPr>
          <w:rFonts w:ascii="Arial" w:hAnsi="Arial" w:cs="Arial"/>
        </w:rPr>
        <w:t xml:space="preserve">d, dishonesty, incompetence, or gross mismanagement of the company’s affairs </w:t>
      </w:r>
      <w:r w:rsidR="006E2065">
        <w:rPr>
          <w:rFonts w:ascii="Arial" w:hAnsi="Arial" w:cs="Arial"/>
        </w:rPr>
        <w:t xml:space="preserve">a trustee would be appointed </w:t>
      </w:r>
      <w:r w:rsidR="00AE7303">
        <w:rPr>
          <w:rFonts w:ascii="Arial" w:hAnsi="Arial" w:cs="Arial"/>
        </w:rPr>
        <w:t>to operate the company’s business.</w:t>
      </w:r>
      <w:r w:rsidR="00AE7303">
        <w:rPr>
          <w:rStyle w:val="FootnoteReference"/>
          <w:rFonts w:ascii="Arial" w:hAnsi="Arial" w:cs="Arial"/>
        </w:rPr>
        <w:footnoteReference w:id="72"/>
      </w:r>
      <w:r w:rsidR="00CF2E97">
        <w:rPr>
          <w:rFonts w:ascii="Arial" w:hAnsi="Arial" w:cs="Arial"/>
        </w:rPr>
        <w:t xml:space="preserve">  Efwon </w:t>
      </w:r>
      <w:r w:rsidR="00CD4496">
        <w:rPr>
          <w:rFonts w:ascii="Arial" w:hAnsi="Arial" w:cs="Arial"/>
        </w:rPr>
        <w:t xml:space="preserve">Investments </w:t>
      </w:r>
      <w:r w:rsidR="00CD1923">
        <w:rPr>
          <w:rFonts w:ascii="Arial" w:hAnsi="Arial" w:cs="Arial"/>
        </w:rPr>
        <w:t xml:space="preserve">may </w:t>
      </w:r>
      <w:r w:rsidR="00BC093C">
        <w:rPr>
          <w:rFonts w:ascii="Arial" w:hAnsi="Arial" w:cs="Arial"/>
        </w:rPr>
        <w:t>continue to sell</w:t>
      </w:r>
      <w:r w:rsidR="00EF066F">
        <w:rPr>
          <w:rFonts w:ascii="Arial" w:hAnsi="Arial" w:cs="Arial"/>
        </w:rPr>
        <w:t>,</w:t>
      </w:r>
      <w:r w:rsidR="00BC093C">
        <w:rPr>
          <w:rFonts w:ascii="Arial" w:hAnsi="Arial" w:cs="Arial"/>
        </w:rPr>
        <w:t xml:space="preserve"> lease </w:t>
      </w:r>
      <w:r w:rsidR="00EF066F">
        <w:rPr>
          <w:rFonts w:ascii="Arial" w:hAnsi="Arial" w:cs="Arial"/>
        </w:rPr>
        <w:t xml:space="preserve">and use </w:t>
      </w:r>
      <w:r w:rsidR="00BC093C">
        <w:rPr>
          <w:rFonts w:ascii="Arial" w:hAnsi="Arial" w:cs="Arial"/>
        </w:rPr>
        <w:t xml:space="preserve">its property in </w:t>
      </w:r>
      <w:r w:rsidR="00BC093C">
        <w:rPr>
          <w:rFonts w:ascii="Arial" w:hAnsi="Arial" w:cs="Arial"/>
        </w:rPr>
        <w:lastRenderedPageBreak/>
        <w:t xml:space="preserve">the ordinary course of business without </w:t>
      </w:r>
      <w:r w:rsidR="00EF066F">
        <w:rPr>
          <w:rFonts w:ascii="Arial" w:hAnsi="Arial" w:cs="Arial"/>
        </w:rPr>
        <w:t>notice or hearing by the bankruptcy court.</w:t>
      </w:r>
      <w:r w:rsidR="00EF066F">
        <w:rPr>
          <w:rStyle w:val="FootnoteReference"/>
          <w:rFonts w:ascii="Arial" w:hAnsi="Arial" w:cs="Arial"/>
        </w:rPr>
        <w:footnoteReference w:id="73"/>
      </w:r>
      <w:r w:rsidR="00C121A0">
        <w:rPr>
          <w:rFonts w:ascii="Arial" w:hAnsi="Arial" w:cs="Arial"/>
        </w:rPr>
        <w:t xml:space="preserve">  </w:t>
      </w:r>
      <w:r w:rsidR="00E53D7C">
        <w:rPr>
          <w:rFonts w:ascii="Arial" w:hAnsi="Arial" w:cs="Arial"/>
        </w:rPr>
        <w:t>In contrast, t</w:t>
      </w:r>
      <w:r w:rsidR="00C55EAE">
        <w:rPr>
          <w:rFonts w:ascii="Arial" w:hAnsi="Arial" w:cs="Arial"/>
        </w:rPr>
        <w:t xml:space="preserve">he sale of property outside of the ordinary course of business </w:t>
      </w:r>
      <w:r w:rsidR="0075539A">
        <w:rPr>
          <w:rFonts w:ascii="Arial" w:hAnsi="Arial" w:cs="Arial"/>
        </w:rPr>
        <w:t xml:space="preserve">will require </w:t>
      </w:r>
      <w:r w:rsidR="00A512CE">
        <w:rPr>
          <w:rFonts w:ascii="Arial" w:hAnsi="Arial" w:cs="Arial"/>
        </w:rPr>
        <w:t>the approval from the bankruptcy court.</w:t>
      </w:r>
      <w:r w:rsidR="00E36E6E">
        <w:rPr>
          <w:rFonts w:ascii="Arial" w:hAnsi="Arial" w:cs="Arial"/>
        </w:rPr>
        <w:t xml:space="preserve">  Even if the property </w:t>
      </w:r>
      <w:r w:rsidR="00D018A8">
        <w:rPr>
          <w:rFonts w:ascii="Arial" w:hAnsi="Arial" w:cs="Arial"/>
        </w:rPr>
        <w:t xml:space="preserve">is subject </w:t>
      </w:r>
      <w:r w:rsidR="005323E6">
        <w:rPr>
          <w:rFonts w:ascii="Arial" w:hAnsi="Arial" w:cs="Arial"/>
        </w:rPr>
        <w:t>to security interest, it can be s</w:t>
      </w:r>
      <w:r w:rsidR="000614B3">
        <w:rPr>
          <w:rFonts w:ascii="Arial" w:hAnsi="Arial" w:cs="Arial"/>
        </w:rPr>
        <w:t>o</w:t>
      </w:r>
      <w:r w:rsidR="005323E6">
        <w:rPr>
          <w:rFonts w:ascii="Arial" w:hAnsi="Arial" w:cs="Arial"/>
        </w:rPr>
        <w:t xml:space="preserve">ld free and clear </w:t>
      </w:r>
      <w:r w:rsidR="000614B3">
        <w:rPr>
          <w:rFonts w:ascii="Arial" w:hAnsi="Arial" w:cs="Arial"/>
        </w:rPr>
        <w:t xml:space="preserve">of such interest provided that </w:t>
      </w:r>
      <w:r w:rsidR="003B5350">
        <w:rPr>
          <w:rFonts w:ascii="Arial" w:hAnsi="Arial" w:cs="Arial"/>
        </w:rPr>
        <w:t xml:space="preserve">the secured creditor consents or the </w:t>
      </w:r>
      <w:r w:rsidR="002836FC">
        <w:rPr>
          <w:rFonts w:ascii="Arial" w:hAnsi="Arial" w:cs="Arial"/>
        </w:rPr>
        <w:t xml:space="preserve">sale proceed is greater than the </w:t>
      </w:r>
      <w:r w:rsidR="003A49B1">
        <w:rPr>
          <w:rFonts w:ascii="Arial" w:hAnsi="Arial" w:cs="Arial"/>
        </w:rPr>
        <w:t>value of the security interest.</w:t>
      </w:r>
      <w:r w:rsidR="003A49B1">
        <w:rPr>
          <w:rStyle w:val="FootnoteReference"/>
          <w:rFonts w:ascii="Arial" w:hAnsi="Arial" w:cs="Arial"/>
        </w:rPr>
        <w:footnoteReference w:id="74"/>
      </w:r>
      <w:r w:rsidR="003A49B1">
        <w:rPr>
          <w:rFonts w:ascii="Arial" w:hAnsi="Arial" w:cs="Arial"/>
        </w:rPr>
        <w:t xml:space="preserve">  </w:t>
      </w:r>
      <w:r w:rsidR="006E3496">
        <w:rPr>
          <w:rFonts w:ascii="Arial" w:hAnsi="Arial" w:cs="Arial"/>
        </w:rPr>
        <w:t xml:space="preserve">However, the cash received </w:t>
      </w:r>
      <w:r w:rsidR="00433926">
        <w:rPr>
          <w:rFonts w:ascii="Arial" w:hAnsi="Arial" w:cs="Arial"/>
        </w:rPr>
        <w:t xml:space="preserve">from Efwon Trading as revenue </w:t>
      </w:r>
      <w:r w:rsidR="00D8172E">
        <w:rPr>
          <w:rFonts w:ascii="Arial" w:hAnsi="Arial" w:cs="Arial"/>
        </w:rPr>
        <w:t xml:space="preserve">resulting from investment and participation in the sport </w:t>
      </w:r>
      <w:r w:rsidR="00433926">
        <w:rPr>
          <w:rFonts w:ascii="Arial" w:hAnsi="Arial" w:cs="Arial"/>
        </w:rPr>
        <w:t xml:space="preserve">may constitute </w:t>
      </w:r>
      <w:r w:rsidR="00D8172E">
        <w:rPr>
          <w:rFonts w:ascii="Arial" w:hAnsi="Arial" w:cs="Arial"/>
        </w:rPr>
        <w:t>cash collateral.</w:t>
      </w:r>
      <w:r w:rsidR="00D8172E">
        <w:rPr>
          <w:rStyle w:val="FootnoteReference"/>
          <w:rFonts w:ascii="Arial" w:hAnsi="Arial" w:cs="Arial"/>
        </w:rPr>
        <w:footnoteReference w:id="75"/>
      </w:r>
      <w:r w:rsidR="00400AAC">
        <w:rPr>
          <w:rFonts w:ascii="Arial" w:hAnsi="Arial" w:cs="Arial"/>
        </w:rPr>
        <w:t xml:space="preserve">  If that is the case, Efwon Investments cannot use </w:t>
      </w:r>
      <w:r w:rsidR="00A54E5F">
        <w:rPr>
          <w:rFonts w:ascii="Arial" w:hAnsi="Arial" w:cs="Arial"/>
        </w:rPr>
        <w:t xml:space="preserve">such cash collateral unless the Banks consent.  Alternatively, </w:t>
      </w:r>
      <w:r w:rsidR="00532CD9">
        <w:rPr>
          <w:rFonts w:ascii="Arial" w:hAnsi="Arial" w:cs="Arial"/>
        </w:rPr>
        <w:t xml:space="preserve">Efwon Investments </w:t>
      </w:r>
      <w:r w:rsidR="00804922">
        <w:rPr>
          <w:rFonts w:ascii="Arial" w:hAnsi="Arial" w:cs="Arial"/>
        </w:rPr>
        <w:t xml:space="preserve">may elect to provide </w:t>
      </w:r>
      <w:r w:rsidR="007A19B2">
        <w:rPr>
          <w:rFonts w:ascii="Arial" w:hAnsi="Arial" w:cs="Arial"/>
        </w:rPr>
        <w:t>adequate protection for the use of the cash collateral.</w:t>
      </w:r>
      <w:r w:rsidR="002A62ED">
        <w:rPr>
          <w:rFonts w:ascii="Arial" w:hAnsi="Arial" w:cs="Arial"/>
        </w:rPr>
        <w:t xml:space="preserve">  The Code provides mechanisms to protect the </w:t>
      </w:r>
      <w:r w:rsidR="008063D7">
        <w:rPr>
          <w:rFonts w:ascii="Arial" w:hAnsi="Arial" w:cs="Arial"/>
        </w:rPr>
        <w:t xml:space="preserve">secured </w:t>
      </w:r>
      <w:r w:rsidR="002A62ED">
        <w:rPr>
          <w:rFonts w:ascii="Arial" w:hAnsi="Arial" w:cs="Arial"/>
        </w:rPr>
        <w:t>interest of secured creditor</w:t>
      </w:r>
      <w:r w:rsidR="008063D7">
        <w:rPr>
          <w:rFonts w:ascii="Arial" w:hAnsi="Arial" w:cs="Arial"/>
        </w:rPr>
        <w:t xml:space="preserve">s.  </w:t>
      </w:r>
      <w:r w:rsidR="00B9344E">
        <w:rPr>
          <w:rFonts w:ascii="Arial" w:hAnsi="Arial" w:cs="Arial"/>
        </w:rPr>
        <w:t xml:space="preserve">While </w:t>
      </w:r>
      <w:r w:rsidR="00C922F3">
        <w:rPr>
          <w:rFonts w:ascii="Arial" w:hAnsi="Arial" w:cs="Arial"/>
        </w:rPr>
        <w:t xml:space="preserve">there is an automatic stay pursuant to </w:t>
      </w:r>
      <w:r w:rsidR="00C922F3" w:rsidRPr="00D722B9">
        <w:rPr>
          <w:rFonts w:ascii="Arial" w:hAnsi="Arial" w:cs="Arial"/>
        </w:rPr>
        <w:t xml:space="preserve">11 U.S. Code § </w:t>
      </w:r>
      <w:r w:rsidR="00C922F3">
        <w:rPr>
          <w:rFonts w:ascii="Arial" w:hAnsi="Arial" w:cs="Arial"/>
        </w:rPr>
        <w:t>362(a)</w:t>
      </w:r>
      <w:r w:rsidR="00CC12CD">
        <w:rPr>
          <w:rFonts w:ascii="Arial" w:hAnsi="Arial" w:cs="Arial"/>
        </w:rPr>
        <w:t xml:space="preserve"> that holder of </w:t>
      </w:r>
      <w:r w:rsidR="00E9379B">
        <w:rPr>
          <w:rFonts w:ascii="Arial" w:hAnsi="Arial" w:cs="Arial"/>
        </w:rPr>
        <w:t xml:space="preserve">security interest in the company’s property may not </w:t>
      </w:r>
      <w:r w:rsidR="00BC0AF5">
        <w:rPr>
          <w:rFonts w:ascii="Arial" w:hAnsi="Arial" w:cs="Arial"/>
        </w:rPr>
        <w:t xml:space="preserve">commence actions to </w:t>
      </w:r>
      <w:r w:rsidR="00E9379B">
        <w:rPr>
          <w:rFonts w:ascii="Arial" w:hAnsi="Arial" w:cs="Arial"/>
        </w:rPr>
        <w:t>repossess</w:t>
      </w:r>
      <w:r w:rsidR="0012395C">
        <w:rPr>
          <w:rFonts w:ascii="Arial" w:hAnsi="Arial" w:cs="Arial"/>
        </w:rPr>
        <w:t xml:space="preserve"> or foreclose</w:t>
      </w:r>
      <w:r w:rsidR="008344C7">
        <w:rPr>
          <w:rFonts w:ascii="Arial" w:hAnsi="Arial" w:cs="Arial"/>
        </w:rPr>
        <w:t>,</w:t>
      </w:r>
      <w:r w:rsidR="00C922F3">
        <w:rPr>
          <w:rFonts w:ascii="Arial" w:hAnsi="Arial" w:cs="Arial"/>
        </w:rPr>
        <w:t xml:space="preserve"> </w:t>
      </w:r>
      <w:r w:rsidR="00BC0AF5">
        <w:rPr>
          <w:rFonts w:ascii="Arial" w:hAnsi="Arial" w:cs="Arial"/>
        </w:rPr>
        <w:t xml:space="preserve">they </w:t>
      </w:r>
      <w:r w:rsidR="008063D7">
        <w:rPr>
          <w:rFonts w:ascii="Arial" w:hAnsi="Arial" w:cs="Arial"/>
        </w:rPr>
        <w:t>may apply for relief</w:t>
      </w:r>
      <w:r w:rsidR="00FE709D">
        <w:rPr>
          <w:rFonts w:ascii="Arial" w:hAnsi="Arial" w:cs="Arial"/>
        </w:rPr>
        <w:t xml:space="preserve"> </w:t>
      </w:r>
      <w:r w:rsidR="008344C7">
        <w:rPr>
          <w:rFonts w:ascii="Arial" w:hAnsi="Arial" w:cs="Arial"/>
        </w:rPr>
        <w:t xml:space="preserve">from automatic stay </w:t>
      </w:r>
      <w:r w:rsidR="00CD2FF2">
        <w:rPr>
          <w:rFonts w:ascii="Arial" w:hAnsi="Arial" w:cs="Arial"/>
        </w:rPr>
        <w:t>unless adequate protection is provided by the company</w:t>
      </w:r>
      <w:r w:rsidR="00CE3923">
        <w:rPr>
          <w:rFonts w:ascii="Arial" w:hAnsi="Arial" w:cs="Arial"/>
        </w:rPr>
        <w:t xml:space="preserve"> which carries the burden </w:t>
      </w:r>
      <w:r w:rsidR="00F47A01">
        <w:rPr>
          <w:rFonts w:ascii="Arial" w:hAnsi="Arial" w:cs="Arial"/>
        </w:rPr>
        <w:t xml:space="preserve">to show that </w:t>
      </w:r>
      <w:r w:rsidR="0071239C">
        <w:rPr>
          <w:rFonts w:ascii="Arial" w:hAnsi="Arial" w:cs="Arial"/>
        </w:rPr>
        <w:t>protection is adequate</w:t>
      </w:r>
      <w:r w:rsidR="00CD2FF2">
        <w:rPr>
          <w:rFonts w:ascii="Arial" w:hAnsi="Arial" w:cs="Arial"/>
        </w:rPr>
        <w:t>.</w:t>
      </w:r>
      <w:r w:rsidR="0071239C">
        <w:rPr>
          <w:rStyle w:val="FootnoteReference"/>
          <w:rFonts w:ascii="Arial" w:hAnsi="Arial" w:cs="Arial"/>
        </w:rPr>
        <w:footnoteReference w:id="76"/>
      </w:r>
      <w:r w:rsidR="001B07F2">
        <w:rPr>
          <w:rFonts w:ascii="Arial" w:hAnsi="Arial" w:cs="Arial"/>
        </w:rPr>
        <w:t xml:space="preserve">  </w:t>
      </w:r>
      <w:r w:rsidR="001B07F2" w:rsidRPr="001B07F2">
        <w:rPr>
          <w:rFonts w:ascii="Arial" w:hAnsi="Arial" w:cs="Arial"/>
        </w:rPr>
        <w:t>11 U.S. Code § 36</w:t>
      </w:r>
      <w:r w:rsidR="001B07F2">
        <w:rPr>
          <w:rFonts w:ascii="Arial" w:hAnsi="Arial" w:cs="Arial"/>
        </w:rPr>
        <w:t>1 sets out how adequate protection may be provided</w:t>
      </w:r>
      <w:r w:rsidR="00824A27">
        <w:rPr>
          <w:rFonts w:ascii="Arial" w:hAnsi="Arial" w:cs="Arial"/>
        </w:rPr>
        <w:t xml:space="preserve">.  Therefore, while there is automatic stay </w:t>
      </w:r>
      <w:r w:rsidR="00E6132E">
        <w:rPr>
          <w:rFonts w:ascii="Arial" w:hAnsi="Arial" w:cs="Arial"/>
        </w:rPr>
        <w:t xml:space="preserve">in Chapter 11, the Banks can apply for relief from the stay and proceed with enforcement action.  In such event, Efwon Investments will need to demonstrate that adequate protection </w:t>
      </w:r>
      <w:r w:rsidR="002D629F">
        <w:rPr>
          <w:rFonts w:ascii="Arial" w:hAnsi="Arial" w:cs="Arial"/>
        </w:rPr>
        <w:t>is provided to oppose such relief</w:t>
      </w:r>
      <w:r w:rsidR="00670A9B">
        <w:rPr>
          <w:rFonts w:ascii="Arial" w:hAnsi="Arial" w:cs="Arial"/>
        </w:rPr>
        <w:t xml:space="preserve"> sought</w:t>
      </w:r>
      <w:r w:rsidR="002D629F">
        <w:rPr>
          <w:rFonts w:ascii="Arial" w:hAnsi="Arial" w:cs="Arial"/>
        </w:rPr>
        <w:t xml:space="preserve">.  </w:t>
      </w:r>
      <w:r w:rsidR="00341EA5">
        <w:rPr>
          <w:rFonts w:ascii="Arial" w:hAnsi="Arial" w:cs="Arial"/>
        </w:rPr>
        <w:t xml:space="preserve">If the protection ultimately proves to be inadequate, </w:t>
      </w:r>
      <w:r w:rsidR="00044C53">
        <w:rPr>
          <w:rFonts w:ascii="Arial" w:hAnsi="Arial" w:cs="Arial"/>
        </w:rPr>
        <w:t>th</w:t>
      </w:r>
      <w:r w:rsidR="001A0A2A">
        <w:rPr>
          <w:rFonts w:ascii="Arial" w:hAnsi="Arial" w:cs="Arial"/>
        </w:rPr>
        <w:t xml:space="preserve">e </w:t>
      </w:r>
      <w:r w:rsidR="00357F6B">
        <w:rPr>
          <w:rFonts w:ascii="Arial" w:hAnsi="Arial" w:cs="Arial"/>
        </w:rPr>
        <w:t xml:space="preserve">loss in the value of the Banks’ security interests will have </w:t>
      </w:r>
      <w:r w:rsidR="00B34A8F">
        <w:rPr>
          <w:rFonts w:ascii="Arial" w:hAnsi="Arial" w:cs="Arial"/>
        </w:rPr>
        <w:t xml:space="preserve">priority over </w:t>
      </w:r>
      <w:r w:rsidR="002A6DDD">
        <w:rPr>
          <w:rFonts w:ascii="Arial" w:hAnsi="Arial" w:cs="Arial"/>
        </w:rPr>
        <w:t xml:space="preserve">all administrative expenses under </w:t>
      </w:r>
      <w:r w:rsidR="002A6DDD" w:rsidRPr="002A6DDD">
        <w:rPr>
          <w:rFonts w:ascii="Arial" w:hAnsi="Arial" w:cs="Arial"/>
        </w:rPr>
        <w:t xml:space="preserve">11 U.S. Code § </w:t>
      </w:r>
      <w:r w:rsidR="002A6DDD">
        <w:rPr>
          <w:rFonts w:ascii="Arial" w:hAnsi="Arial" w:cs="Arial"/>
        </w:rPr>
        <w:t>507</w:t>
      </w:r>
      <w:r w:rsidR="002A6DDD" w:rsidRPr="002A6DDD">
        <w:rPr>
          <w:rFonts w:ascii="Arial" w:hAnsi="Arial" w:cs="Arial"/>
        </w:rPr>
        <w:t>(a)</w:t>
      </w:r>
      <w:r w:rsidR="002A6DDD">
        <w:rPr>
          <w:rFonts w:ascii="Arial" w:hAnsi="Arial" w:cs="Arial"/>
        </w:rPr>
        <w:t>(2)</w:t>
      </w:r>
      <w:r w:rsidR="002A6DDD" w:rsidRPr="002A6DDD">
        <w:rPr>
          <w:rFonts w:ascii="Arial" w:hAnsi="Arial" w:cs="Arial"/>
        </w:rPr>
        <w:t>.</w:t>
      </w:r>
      <w:r w:rsidR="002A6DDD">
        <w:rPr>
          <w:rStyle w:val="FootnoteReference"/>
          <w:rFonts w:ascii="Arial" w:hAnsi="Arial" w:cs="Arial"/>
        </w:rPr>
        <w:footnoteReference w:id="77"/>
      </w:r>
    </w:p>
    <w:p w14:paraId="7585D2ED" w14:textId="4FAE6ACD" w:rsidR="005053B6" w:rsidRDefault="0042770A" w:rsidP="00274680">
      <w:pPr>
        <w:spacing w:line="240" w:lineRule="auto"/>
        <w:jc w:val="both"/>
        <w:rPr>
          <w:rFonts w:ascii="Arial" w:hAnsi="Arial" w:cs="Arial"/>
        </w:rPr>
      </w:pPr>
      <w:r>
        <w:rPr>
          <w:rFonts w:ascii="Arial" w:hAnsi="Arial" w:cs="Arial"/>
        </w:rPr>
        <w:t xml:space="preserve">Other benefits of Chapter 11 include </w:t>
      </w:r>
      <w:r w:rsidR="008A37C5">
        <w:rPr>
          <w:rFonts w:ascii="Arial" w:hAnsi="Arial" w:cs="Arial"/>
        </w:rPr>
        <w:t xml:space="preserve">the suspension of </w:t>
      </w:r>
      <w:r w:rsidR="00EB6C16">
        <w:rPr>
          <w:rFonts w:ascii="Arial" w:hAnsi="Arial" w:cs="Arial"/>
        </w:rPr>
        <w:t>the commencement of litigation out</w:t>
      </w:r>
      <w:r w:rsidR="00FA4B55">
        <w:rPr>
          <w:rFonts w:ascii="Arial" w:hAnsi="Arial" w:cs="Arial"/>
        </w:rPr>
        <w:t>si</w:t>
      </w:r>
      <w:r w:rsidR="00EB6C16">
        <w:rPr>
          <w:rFonts w:ascii="Arial" w:hAnsi="Arial" w:cs="Arial"/>
        </w:rPr>
        <w:t>de the bankruptcy court</w:t>
      </w:r>
      <w:r w:rsidR="00DE0EA6">
        <w:rPr>
          <w:rFonts w:ascii="Arial" w:hAnsi="Arial" w:cs="Arial"/>
        </w:rPr>
        <w:t xml:space="preserve">, and the temporary relief </w:t>
      </w:r>
      <w:r w:rsidR="0038324B">
        <w:rPr>
          <w:rFonts w:ascii="Arial" w:hAnsi="Arial" w:cs="Arial"/>
        </w:rPr>
        <w:t>from paying pre-petition debts</w:t>
      </w:r>
      <w:r w:rsidR="0000233E">
        <w:rPr>
          <w:rFonts w:ascii="Arial" w:hAnsi="Arial" w:cs="Arial"/>
        </w:rPr>
        <w:t xml:space="preserve"> which will relief Efwon Investments from cashflow issue while </w:t>
      </w:r>
      <w:r w:rsidR="00AB4F0E">
        <w:rPr>
          <w:rFonts w:ascii="Arial" w:hAnsi="Arial" w:cs="Arial"/>
        </w:rPr>
        <w:t xml:space="preserve">preparing the Plan.  </w:t>
      </w:r>
      <w:r w:rsidR="00004A15">
        <w:rPr>
          <w:rFonts w:ascii="Arial" w:hAnsi="Arial" w:cs="Arial"/>
        </w:rPr>
        <w:t xml:space="preserve">In the event of severe cash shortage, </w:t>
      </w:r>
      <w:r w:rsidR="005047E7">
        <w:rPr>
          <w:rFonts w:ascii="Arial" w:hAnsi="Arial" w:cs="Arial"/>
        </w:rPr>
        <w:t xml:space="preserve">the Code allows </w:t>
      </w:r>
      <w:r w:rsidR="00E13307">
        <w:rPr>
          <w:rFonts w:ascii="Arial" w:hAnsi="Arial" w:cs="Arial"/>
        </w:rPr>
        <w:t>obtaining new unsecured credit and incurring unsecured debt in the ordinary course of business</w:t>
      </w:r>
      <w:r w:rsidR="00024A3B">
        <w:rPr>
          <w:rFonts w:ascii="Arial" w:hAnsi="Arial" w:cs="Arial"/>
        </w:rPr>
        <w:t xml:space="preserve"> a</w:t>
      </w:r>
      <w:r w:rsidR="00A4173C">
        <w:rPr>
          <w:rFonts w:ascii="Arial" w:hAnsi="Arial" w:cs="Arial"/>
        </w:rPr>
        <w:t>s an administrative expense</w:t>
      </w:r>
      <w:r w:rsidR="00B93DD1">
        <w:rPr>
          <w:rFonts w:ascii="Arial" w:hAnsi="Arial" w:cs="Arial"/>
        </w:rPr>
        <w:t xml:space="preserve"> which will provide priority of this debt</w:t>
      </w:r>
      <w:r w:rsidR="004272DC">
        <w:rPr>
          <w:rFonts w:ascii="Arial" w:hAnsi="Arial" w:cs="Arial"/>
        </w:rPr>
        <w:t xml:space="preserve"> over all pre-petition claims</w:t>
      </w:r>
      <w:r w:rsidR="004F0388">
        <w:rPr>
          <w:rFonts w:ascii="Arial" w:hAnsi="Arial" w:cs="Arial"/>
        </w:rPr>
        <w:t xml:space="preserve"> to strengthen the chance for a company to </w:t>
      </w:r>
      <w:r w:rsidR="00E06737">
        <w:rPr>
          <w:rFonts w:ascii="Arial" w:hAnsi="Arial" w:cs="Arial"/>
        </w:rPr>
        <w:t>continue to operate</w:t>
      </w:r>
      <w:r w:rsidR="004272DC">
        <w:rPr>
          <w:rFonts w:ascii="Arial" w:hAnsi="Arial" w:cs="Arial"/>
        </w:rPr>
        <w:t>.</w:t>
      </w:r>
      <w:r w:rsidR="004272DC">
        <w:rPr>
          <w:rStyle w:val="FootnoteReference"/>
          <w:rFonts w:ascii="Arial" w:hAnsi="Arial" w:cs="Arial"/>
        </w:rPr>
        <w:footnoteReference w:id="78"/>
      </w:r>
      <w:r w:rsidR="004272DC">
        <w:rPr>
          <w:rFonts w:ascii="Arial" w:hAnsi="Arial" w:cs="Arial"/>
        </w:rPr>
        <w:t xml:space="preserve">  </w:t>
      </w:r>
      <w:r w:rsidR="00E06737">
        <w:rPr>
          <w:rFonts w:ascii="Arial" w:hAnsi="Arial" w:cs="Arial"/>
        </w:rPr>
        <w:t xml:space="preserve">In the event that </w:t>
      </w:r>
      <w:r w:rsidR="00E85F4A">
        <w:rPr>
          <w:rFonts w:ascii="Arial" w:hAnsi="Arial" w:cs="Arial"/>
        </w:rPr>
        <w:t>the inability to obtain unsecured credit is proven</w:t>
      </w:r>
      <w:r w:rsidR="00403D9B">
        <w:rPr>
          <w:rFonts w:ascii="Arial" w:hAnsi="Arial" w:cs="Arial"/>
        </w:rPr>
        <w:t xml:space="preserve">, the bankruptcy court may </w:t>
      </w:r>
      <w:r w:rsidR="00646F74">
        <w:rPr>
          <w:rFonts w:ascii="Arial" w:hAnsi="Arial" w:cs="Arial"/>
        </w:rPr>
        <w:t xml:space="preserve">authorise the obtaining of credit or the incurring of debt with </w:t>
      </w:r>
      <w:r w:rsidR="00387C25">
        <w:rPr>
          <w:rFonts w:ascii="Arial" w:hAnsi="Arial" w:cs="Arial"/>
        </w:rPr>
        <w:t xml:space="preserve">priority over all administrative expenses, </w:t>
      </w:r>
      <w:r w:rsidR="00C75BEE">
        <w:rPr>
          <w:rFonts w:ascii="Arial" w:hAnsi="Arial" w:cs="Arial"/>
        </w:rPr>
        <w:t xml:space="preserve">by granting lien on unencumbered property, or by granting junior lien </w:t>
      </w:r>
      <w:r w:rsidR="0073358A">
        <w:rPr>
          <w:rFonts w:ascii="Arial" w:hAnsi="Arial" w:cs="Arial"/>
        </w:rPr>
        <w:t>on encumbered property.</w:t>
      </w:r>
      <w:r w:rsidR="0073358A">
        <w:rPr>
          <w:rStyle w:val="FootnoteReference"/>
          <w:rFonts w:ascii="Arial" w:hAnsi="Arial" w:cs="Arial"/>
        </w:rPr>
        <w:footnoteReference w:id="79"/>
      </w:r>
      <w:r w:rsidR="00FD134E">
        <w:rPr>
          <w:rFonts w:ascii="Arial" w:hAnsi="Arial" w:cs="Arial"/>
        </w:rPr>
        <w:t xml:space="preserve">  In special circumstances, the bankruptcy court may even </w:t>
      </w:r>
      <w:r w:rsidR="00B64115">
        <w:rPr>
          <w:rFonts w:ascii="Arial" w:hAnsi="Arial" w:cs="Arial"/>
        </w:rPr>
        <w:t>grant lien more senior or equal to the existing lien</w:t>
      </w:r>
      <w:r w:rsidR="0060557D">
        <w:rPr>
          <w:rFonts w:ascii="Arial" w:hAnsi="Arial" w:cs="Arial"/>
        </w:rPr>
        <w:t xml:space="preserve"> provided that there is adequate protection of the interests of the existing lien holder.</w:t>
      </w:r>
      <w:bookmarkStart w:id="14" w:name="_Ref142492852"/>
      <w:r w:rsidR="007C418B">
        <w:rPr>
          <w:rStyle w:val="FootnoteReference"/>
          <w:rFonts w:ascii="Arial" w:hAnsi="Arial" w:cs="Arial"/>
        </w:rPr>
        <w:footnoteReference w:id="80"/>
      </w:r>
      <w:bookmarkEnd w:id="14"/>
    </w:p>
    <w:p w14:paraId="5D905CF8" w14:textId="2E8E1310" w:rsidR="00B26044" w:rsidRDefault="00686B0F" w:rsidP="009F78F1">
      <w:pPr>
        <w:spacing w:line="240" w:lineRule="auto"/>
        <w:jc w:val="both"/>
        <w:rPr>
          <w:rFonts w:ascii="Arial" w:hAnsi="Arial" w:cs="Arial"/>
        </w:rPr>
      </w:pPr>
      <w:r>
        <w:rPr>
          <w:rFonts w:ascii="Arial" w:hAnsi="Arial" w:cs="Arial"/>
        </w:rPr>
        <w:t xml:space="preserve">It must be noted that </w:t>
      </w:r>
      <w:r w:rsidR="00397C4C">
        <w:rPr>
          <w:rFonts w:ascii="Arial" w:hAnsi="Arial" w:cs="Arial"/>
        </w:rPr>
        <w:t xml:space="preserve">the automatic stay does not extend to </w:t>
      </w:r>
      <w:r w:rsidR="001363E6">
        <w:rPr>
          <w:rFonts w:ascii="Arial" w:hAnsi="Arial" w:cs="Arial"/>
        </w:rPr>
        <w:t xml:space="preserve">guarantors.  </w:t>
      </w:r>
      <w:r w:rsidR="0086008C">
        <w:rPr>
          <w:rFonts w:ascii="Arial" w:hAnsi="Arial" w:cs="Arial"/>
        </w:rPr>
        <w:t xml:space="preserve">In other words, the Banks may continue to enforce its security held over your </w:t>
      </w:r>
      <w:r w:rsidR="001B11D0">
        <w:rPr>
          <w:rFonts w:ascii="Arial" w:hAnsi="Arial" w:cs="Arial"/>
        </w:rPr>
        <w:t xml:space="preserve">homes and </w:t>
      </w:r>
      <w:r w:rsidR="003056C1">
        <w:rPr>
          <w:rFonts w:ascii="Arial" w:hAnsi="Arial" w:cs="Arial"/>
        </w:rPr>
        <w:t>your investment holding in Efwon Investments</w:t>
      </w:r>
      <w:r w:rsidR="00EA224A">
        <w:rPr>
          <w:rFonts w:ascii="Arial" w:hAnsi="Arial" w:cs="Arial"/>
        </w:rPr>
        <w:t xml:space="preserve"> regardless of adequate protection has been provided by Efwon Investments.  </w:t>
      </w:r>
      <w:r w:rsidR="0002329F">
        <w:rPr>
          <w:rFonts w:ascii="Arial" w:hAnsi="Arial" w:cs="Arial"/>
        </w:rPr>
        <w:t xml:space="preserve">Notwithstanding, injunction relief may be available </w:t>
      </w:r>
      <w:r w:rsidR="00760F05">
        <w:rPr>
          <w:rFonts w:ascii="Arial" w:hAnsi="Arial" w:cs="Arial"/>
        </w:rPr>
        <w:t xml:space="preserve">for stay of enforcement actions against yourself.  However, </w:t>
      </w:r>
      <w:r w:rsidR="00B961BD">
        <w:rPr>
          <w:rFonts w:ascii="Arial" w:hAnsi="Arial" w:cs="Arial"/>
        </w:rPr>
        <w:t xml:space="preserve">the assessment of which is out of the Scope.  </w:t>
      </w:r>
      <w:r w:rsidR="004D746E">
        <w:rPr>
          <w:rFonts w:ascii="Arial" w:hAnsi="Arial" w:cs="Arial"/>
        </w:rPr>
        <w:t xml:space="preserve">Such assessment may include </w:t>
      </w:r>
      <w:r w:rsidR="00D96461">
        <w:rPr>
          <w:rFonts w:ascii="Arial" w:hAnsi="Arial" w:cs="Arial"/>
        </w:rPr>
        <w:t xml:space="preserve">the possibility of utilising </w:t>
      </w:r>
      <w:r w:rsidR="003B0C37">
        <w:rPr>
          <w:rFonts w:ascii="Arial" w:hAnsi="Arial" w:cs="Arial"/>
        </w:rPr>
        <w:t xml:space="preserve">the Chapter 11 procedure or other applicable laws in other jurisdictions, </w:t>
      </w:r>
      <w:r w:rsidR="003F4E9B">
        <w:rPr>
          <w:rFonts w:ascii="Arial" w:hAnsi="Arial" w:cs="Arial"/>
        </w:rPr>
        <w:t xml:space="preserve">and </w:t>
      </w:r>
      <w:r w:rsidR="00BE3A19">
        <w:rPr>
          <w:rFonts w:ascii="Arial" w:hAnsi="Arial" w:cs="Arial"/>
        </w:rPr>
        <w:t xml:space="preserve">the jurisdiction of </w:t>
      </w:r>
      <w:r w:rsidR="003F4E9B">
        <w:rPr>
          <w:rFonts w:ascii="Arial" w:hAnsi="Arial" w:cs="Arial"/>
        </w:rPr>
        <w:t xml:space="preserve">your habitual residence </w:t>
      </w:r>
      <w:r w:rsidR="001A4C1B">
        <w:rPr>
          <w:rFonts w:ascii="Arial" w:hAnsi="Arial" w:cs="Arial"/>
        </w:rPr>
        <w:t>or domicile</w:t>
      </w:r>
      <w:r w:rsidR="00BE3A19">
        <w:rPr>
          <w:rFonts w:ascii="Arial" w:hAnsi="Arial" w:cs="Arial"/>
        </w:rPr>
        <w:t>.</w:t>
      </w:r>
      <w:r w:rsidR="001A4C1B">
        <w:rPr>
          <w:rFonts w:ascii="Arial" w:hAnsi="Arial" w:cs="Arial"/>
        </w:rPr>
        <w:t xml:space="preserve"> </w:t>
      </w:r>
      <w:r w:rsidR="003F4E9B">
        <w:rPr>
          <w:rFonts w:ascii="Arial" w:hAnsi="Arial" w:cs="Arial"/>
        </w:rPr>
        <w:t xml:space="preserve"> </w:t>
      </w:r>
      <w:proofErr w:type="gramStart"/>
      <w:r w:rsidR="00B961BD">
        <w:rPr>
          <w:rFonts w:ascii="Arial" w:hAnsi="Arial" w:cs="Arial"/>
        </w:rPr>
        <w:t>In the event</w:t>
      </w:r>
      <w:r w:rsidR="0064550A">
        <w:rPr>
          <w:rFonts w:ascii="Arial" w:hAnsi="Arial" w:cs="Arial"/>
        </w:rPr>
        <w:t xml:space="preserve"> that</w:t>
      </w:r>
      <w:proofErr w:type="gramEnd"/>
      <w:r w:rsidR="0064550A">
        <w:rPr>
          <w:rFonts w:ascii="Arial" w:hAnsi="Arial" w:cs="Arial"/>
        </w:rPr>
        <w:t xml:space="preserve"> separate assessment is required </w:t>
      </w:r>
      <w:r w:rsidR="00721477">
        <w:rPr>
          <w:rFonts w:ascii="Arial" w:hAnsi="Arial" w:cs="Arial"/>
        </w:rPr>
        <w:t>in relation to</w:t>
      </w:r>
      <w:r w:rsidR="0064550A">
        <w:rPr>
          <w:rFonts w:ascii="Arial" w:hAnsi="Arial" w:cs="Arial"/>
        </w:rPr>
        <w:t xml:space="preserve"> the protection of your personal interests, </w:t>
      </w:r>
      <w:r w:rsidR="002B5EA7">
        <w:rPr>
          <w:rFonts w:ascii="Arial" w:hAnsi="Arial" w:cs="Arial"/>
        </w:rPr>
        <w:t>a further advice will be prepared.</w:t>
      </w:r>
    </w:p>
    <w:p w14:paraId="3C861C64" w14:textId="2482AA6F" w:rsidR="002F7184" w:rsidRPr="00326400" w:rsidRDefault="002F7184" w:rsidP="009F78F1">
      <w:pPr>
        <w:spacing w:line="240" w:lineRule="auto"/>
        <w:jc w:val="both"/>
        <w:rPr>
          <w:rFonts w:ascii="Arial" w:hAnsi="Arial" w:cs="Arial"/>
          <w:u w:val="single"/>
        </w:rPr>
      </w:pPr>
      <w:r w:rsidRPr="00326400">
        <w:rPr>
          <w:rFonts w:ascii="Arial" w:hAnsi="Arial" w:cs="Arial"/>
          <w:u w:val="single"/>
        </w:rPr>
        <w:t xml:space="preserve">Further information </w:t>
      </w:r>
      <w:r w:rsidR="00326400" w:rsidRPr="00326400">
        <w:rPr>
          <w:rFonts w:ascii="Arial" w:hAnsi="Arial" w:cs="Arial"/>
          <w:u w:val="single"/>
        </w:rPr>
        <w:t>required</w:t>
      </w:r>
    </w:p>
    <w:p w14:paraId="02B8141D" w14:textId="46828852" w:rsidR="002F7184" w:rsidRDefault="007B0F4A" w:rsidP="009F78F1">
      <w:pPr>
        <w:spacing w:line="240" w:lineRule="auto"/>
        <w:jc w:val="both"/>
        <w:rPr>
          <w:rFonts w:ascii="Arial" w:hAnsi="Arial" w:cs="Arial"/>
        </w:rPr>
      </w:pPr>
      <w:r w:rsidRPr="00D676BD">
        <w:rPr>
          <w:rFonts w:ascii="Arial" w:hAnsi="Arial" w:cs="Arial"/>
        </w:rPr>
        <w:t xml:space="preserve">I have been informed that Efwon Trading is solely </w:t>
      </w:r>
      <w:r w:rsidR="00B176ED" w:rsidRPr="00D676BD">
        <w:rPr>
          <w:rFonts w:ascii="Arial" w:hAnsi="Arial" w:cs="Arial"/>
        </w:rPr>
        <w:t xml:space="preserve">and directly </w:t>
      </w:r>
      <w:r w:rsidRPr="00D676BD">
        <w:rPr>
          <w:rFonts w:ascii="Arial" w:hAnsi="Arial" w:cs="Arial"/>
        </w:rPr>
        <w:t xml:space="preserve">owned by </w:t>
      </w:r>
      <w:r w:rsidR="00F43D79" w:rsidRPr="00D676BD">
        <w:rPr>
          <w:rFonts w:ascii="Arial" w:hAnsi="Arial" w:cs="Arial"/>
        </w:rPr>
        <w:t>yourself,</w:t>
      </w:r>
      <w:r w:rsidR="00B176ED" w:rsidRPr="00D676BD">
        <w:rPr>
          <w:rFonts w:ascii="Arial" w:hAnsi="Arial" w:cs="Arial"/>
        </w:rPr>
        <w:t xml:space="preserve"> and t</w:t>
      </w:r>
      <w:r w:rsidR="00E86F64" w:rsidRPr="00D676BD">
        <w:rPr>
          <w:rFonts w:ascii="Arial" w:hAnsi="Arial" w:cs="Arial"/>
        </w:rPr>
        <w:t xml:space="preserve">he above advice has been given on </w:t>
      </w:r>
      <w:r w:rsidR="00CD0636" w:rsidRPr="00D676BD">
        <w:rPr>
          <w:rFonts w:ascii="Arial" w:hAnsi="Arial" w:cs="Arial"/>
        </w:rPr>
        <w:t xml:space="preserve">this basis.  In addition, </w:t>
      </w:r>
      <w:r w:rsidR="0099193E" w:rsidRPr="00D676BD">
        <w:rPr>
          <w:rFonts w:ascii="Arial" w:hAnsi="Arial" w:cs="Arial"/>
        </w:rPr>
        <w:t xml:space="preserve">it is unclear as to the terms of the syndicate loan, </w:t>
      </w:r>
      <w:proofErr w:type="gramStart"/>
      <w:r w:rsidR="0099193E" w:rsidRPr="00D676BD">
        <w:rPr>
          <w:rFonts w:ascii="Arial" w:hAnsi="Arial" w:cs="Arial"/>
        </w:rPr>
        <w:t xml:space="preserve">in particular </w:t>
      </w:r>
      <w:r w:rsidR="008921B3" w:rsidRPr="00D676BD">
        <w:rPr>
          <w:rFonts w:ascii="Arial" w:hAnsi="Arial" w:cs="Arial"/>
        </w:rPr>
        <w:t>whether</w:t>
      </w:r>
      <w:proofErr w:type="gramEnd"/>
      <w:r w:rsidR="008921B3" w:rsidRPr="00D676BD">
        <w:rPr>
          <w:rFonts w:ascii="Arial" w:hAnsi="Arial" w:cs="Arial"/>
        </w:rPr>
        <w:t xml:space="preserve"> the borrower is Efwon Investments or yourself.  </w:t>
      </w:r>
      <w:r w:rsidR="00930E1B" w:rsidRPr="00D676BD">
        <w:rPr>
          <w:rFonts w:ascii="Arial" w:hAnsi="Arial" w:cs="Arial"/>
        </w:rPr>
        <w:t xml:space="preserve">The above </w:t>
      </w:r>
      <w:r w:rsidR="00930E1B" w:rsidRPr="00D676BD">
        <w:rPr>
          <w:rFonts w:ascii="Arial" w:hAnsi="Arial" w:cs="Arial"/>
        </w:rPr>
        <w:lastRenderedPageBreak/>
        <w:t xml:space="preserve">advice has been given under </w:t>
      </w:r>
      <w:r w:rsidR="00E86F64" w:rsidRPr="00D676BD">
        <w:rPr>
          <w:rFonts w:ascii="Arial" w:hAnsi="Arial" w:cs="Arial"/>
        </w:rPr>
        <w:t xml:space="preserve">the assumption that </w:t>
      </w:r>
      <w:r w:rsidR="00930E1B" w:rsidRPr="00D676BD">
        <w:rPr>
          <w:rFonts w:ascii="Arial" w:hAnsi="Arial" w:cs="Arial"/>
        </w:rPr>
        <w:t>Efwon Investments is the borrower</w:t>
      </w:r>
      <w:r w:rsidRPr="00D676BD">
        <w:rPr>
          <w:rFonts w:ascii="Arial" w:hAnsi="Arial" w:cs="Arial"/>
        </w:rPr>
        <w:t xml:space="preserve">.  </w:t>
      </w:r>
      <w:r w:rsidR="004A3923" w:rsidRPr="00D676BD">
        <w:rPr>
          <w:rFonts w:ascii="Arial" w:hAnsi="Arial" w:cs="Arial"/>
        </w:rPr>
        <w:t>If these bas</w:t>
      </w:r>
      <w:r w:rsidR="007B1175">
        <w:rPr>
          <w:rFonts w:ascii="Arial" w:hAnsi="Arial" w:cs="Arial"/>
        </w:rPr>
        <w:t>e</w:t>
      </w:r>
      <w:r w:rsidR="004A3923" w:rsidRPr="00D676BD">
        <w:rPr>
          <w:rFonts w:ascii="Arial" w:hAnsi="Arial" w:cs="Arial"/>
        </w:rPr>
        <w:t>s and assumption</w:t>
      </w:r>
      <w:r w:rsidR="00751CF5">
        <w:rPr>
          <w:rFonts w:ascii="Arial" w:hAnsi="Arial" w:cs="Arial"/>
        </w:rPr>
        <w:t>s</w:t>
      </w:r>
      <w:r w:rsidR="004A3923" w:rsidRPr="00D676BD">
        <w:rPr>
          <w:rFonts w:ascii="Arial" w:hAnsi="Arial" w:cs="Arial"/>
        </w:rPr>
        <w:t xml:space="preserve"> are not valid, the </w:t>
      </w:r>
      <w:r w:rsidR="00D676BD" w:rsidRPr="00D676BD">
        <w:rPr>
          <w:rFonts w:ascii="Arial" w:hAnsi="Arial" w:cs="Arial"/>
        </w:rPr>
        <w:t xml:space="preserve">above </w:t>
      </w:r>
      <w:r w:rsidR="004A3923" w:rsidRPr="00D676BD">
        <w:rPr>
          <w:rFonts w:ascii="Arial" w:hAnsi="Arial" w:cs="Arial"/>
        </w:rPr>
        <w:t xml:space="preserve">advice may need to be reconsidered.  </w:t>
      </w:r>
      <w:r w:rsidR="00775200" w:rsidRPr="00D676BD">
        <w:rPr>
          <w:rFonts w:ascii="Arial" w:hAnsi="Arial" w:cs="Arial"/>
        </w:rPr>
        <w:t>Furthermore, the payment terms of the syndicate loan may affect the assessment</w:t>
      </w:r>
      <w:r w:rsidR="00D676BD" w:rsidRPr="00D676BD">
        <w:rPr>
          <w:rFonts w:ascii="Arial" w:hAnsi="Arial" w:cs="Arial"/>
        </w:rPr>
        <w:t>.  Should further information unfold with the detailed terms of the syndicate loan, reassessment may be required.</w:t>
      </w:r>
    </w:p>
    <w:p w14:paraId="746CE218" w14:textId="3AC3E1C8" w:rsidR="00B1333D" w:rsidRPr="00B1333D" w:rsidRDefault="00E660BC" w:rsidP="009F78F1">
      <w:pPr>
        <w:spacing w:line="240" w:lineRule="auto"/>
        <w:jc w:val="both"/>
        <w:rPr>
          <w:rFonts w:ascii="Arial" w:hAnsi="Arial" w:cs="Arial"/>
          <w:b/>
          <w:caps/>
        </w:rPr>
      </w:pPr>
      <w:r>
        <w:rPr>
          <w:rFonts w:ascii="Arial" w:hAnsi="Arial" w:cs="Arial"/>
          <w:b/>
          <w:caps/>
        </w:rPr>
        <w:t xml:space="preserve">recognition in the uk </w:t>
      </w:r>
    </w:p>
    <w:p w14:paraId="173FF36E" w14:textId="3742C139" w:rsidR="00B26044" w:rsidRDefault="008C391C" w:rsidP="009F78F1">
      <w:pPr>
        <w:spacing w:line="240" w:lineRule="auto"/>
        <w:jc w:val="both"/>
        <w:rPr>
          <w:rFonts w:ascii="Arial" w:hAnsi="Arial" w:cs="Arial"/>
        </w:rPr>
      </w:pPr>
      <w:r>
        <w:rPr>
          <w:rFonts w:ascii="Arial" w:hAnsi="Arial" w:cs="Arial"/>
        </w:rPr>
        <w:t xml:space="preserve">Based on the </w:t>
      </w:r>
      <w:r w:rsidR="003B369B">
        <w:rPr>
          <w:rFonts w:ascii="Arial" w:hAnsi="Arial" w:cs="Arial"/>
        </w:rPr>
        <w:t xml:space="preserve">information available, it does not appear that Efwon </w:t>
      </w:r>
      <w:r w:rsidR="00AD1BFA">
        <w:rPr>
          <w:rFonts w:ascii="Arial" w:hAnsi="Arial" w:cs="Arial"/>
        </w:rPr>
        <w:t xml:space="preserve">Investments </w:t>
      </w:r>
      <w:r w:rsidR="003B369B">
        <w:rPr>
          <w:rFonts w:ascii="Arial" w:hAnsi="Arial" w:cs="Arial"/>
        </w:rPr>
        <w:t>has any assets</w:t>
      </w:r>
      <w:r w:rsidR="00AD1BFA">
        <w:rPr>
          <w:rFonts w:ascii="Arial" w:hAnsi="Arial" w:cs="Arial"/>
        </w:rPr>
        <w:t xml:space="preserve"> apart from </w:t>
      </w:r>
      <w:r w:rsidR="00AD1BFA" w:rsidRPr="00623E52">
        <w:rPr>
          <w:rFonts w:ascii="Arial" w:hAnsi="Arial" w:cs="Arial"/>
        </w:rPr>
        <w:t>its loan to Efwon Trading.</w:t>
      </w:r>
      <w:r w:rsidR="00AD1BFA">
        <w:rPr>
          <w:rFonts w:ascii="Arial" w:hAnsi="Arial" w:cs="Arial"/>
        </w:rPr>
        <w:t xml:space="preserve">  </w:t>
      </w:r>
      <w:r w:rsidR="00F87DB9">
        <w:rPr>
          <w:rFonts w:ascii="Arial" w:hAnsi="Arial" w:cs="Arial"/>
        </w:rPr>
        <w:t>Should Efwon In</w:t>
      </w:r>
      <w:r w:rsidR="000C06E8">
        <w:rPr>
          <w:rFonts w:ascii="Arial" w:hAnsi="Arial" w:cs="Arial"/>
        </w:rPr>
        <w:t xml:space="preserve">vestments have assets in other jurisdictions </w:t>
      </w:r>
      <w:r w:rsidR="00481846">
        <w:rPr>
          <w:rFonts w:ascii="Arial" w:hAnsi="Arial" w:cs="Arial"/>
        </w:rPr>
        <w:t>and/or wish to</w:t>
      </w:r>
      <w:r w:rsidR="00BC3B24">
        <w:rPr>
          <w:rFonts w:ascii="Arial" w:hAnsi="Arial" w:cs="Arial"/>
        </w:rPr>
        <w:t xml:space="preserve"> avoid </w:t>
      </w:r>
      <w:r w:rsidR="008B267C">
        <w:rPr>
          <w:rFonts w:ascii="Arial" w:hAnsi="Arial" w:cs="Arial"/>
        </w:rPr>
        <w:t xml:space="preserve">separate insolvency proceedings being opened against Efwon Investments in other jurisdictions, </w:t>
      </w:r>
      <w:r w:rsidR="004A1C75">
        <w:rPr>
          <w:rFonts w:ascii="Arial" w:hAnsi="Arial" w:cs="Arial"/>
        </w:rPr>
        <w:t>a recognition of the Chapter 11 of Efwon Investments in other jurisdictions</w:t>
      </w:r>
      <w:r w:rsidR="003E0E54">
        <w:rPr>
          <w:rFonts w:ascii="Arial" w:hAnsi="Arial" w:cs="Arial"/>
        </w:rPr>
        <w:t xml:space="preserve"> as a foreign proceeding may be required</w:t>
      </w:r>
      <w:r w:rsidR="009B6F04">
        <w:rPr>
          <w:rFonts w:ascii="Arial" w:hAnsi="Arial" w:cs="Arial"/>
        </w:rPr>
        <w:t xml:space="preserve"> which can be </w:t>
      </w:r>
      <w:r w:rsidR="007013F6">
        <w:rPr>
          <w:rFonts w:ascii="Arial" w:hAnsi="Arial" w:cs="Arial"/>
        </w:rPr>
        <w:t xml:space="preserve">achieved </w:t>
      </w:r>
      <w:r w:rsidR="00F2737E">
        <w:rPr>
          <w:rFonts w:ascii="Arial" w:hAnsi="Arial" w:cs="Arial"/>
        </w:rPr>
        <w:t xml:space="preserve">utilising the </w:t>
      </w:r>
      <w:r w:rsidR="00490E3D">
        <w:rPr>
          <w:rFonts w:ascii="Arial" w:hAnsi="Arial" w:cs="Arial"/>
        </w:rPr>
        <w:t>Model Law</w:t>
      </w:r>
      <w:r w:rsidR="00F2737E">
        <w:rPr>
          <w:rFonts w:ascii="Arial" w:hAnsi="Arial" w:cs="Arial"/>
        </w:rPr>
        <w:t>.</w:t>
      </w:r>
      <w:r w:rsidR="00021961">
        <w:rPr>
          <w:rFonts w:ascii="Arial" w:hAnsi="Arial" w:cs="Arial"/>
        </w:rPr>
        <w:t xml:space="preserve">  </w:t>
      </w:r>
    </w:p>
    <w:p w14:paraId="1F67F207" w14:textId="4ADF3D4D" w:rsidR="008525FD" w:rsidRDefault="008525FD" w:rsidP="009F78F1">
      <w:pPr>
        <w:spacing w:line="240" w:lineRule="auto"/>
        <w:jc w:val="both"/>
        <w:rPr>
          <w:rFonts w:ascii="Arial" w:hAnsi="Arial" w:cs="Arial"/>
        </w:rPr>
      </w:pPr>
      <w:r>
        <w:rPr>
          <w:rFonts w:ascii="Arial" w:hAnsi="Arial" w:cs="Arial"/>
        </w:rPr>
        <w:t xml:space="preserve">The UK adopted the </w:t>
      </w:r>
      <w:r w:rsidR="00490E3D">
        <w:rPr>
          <w:rFonts w:ascii="Arial" w:hAnsi="Arial" w:cs="Arial"/>
        </w:rPr>
        <w:t xml:space="preserve">Model Law </w:t>
      </w:r>
      <w:r w:rsidR="001A0CE3">
        <w:rPr>
          <w:rFonts w:ascii="Arial" w:hAnsi="Arial" w:cs="Arial"/>
        </w:rPr>
        <w:t xml:space="preserve">in </w:t>
      </w:r>
      <w:r w:rsidR="00D365AB">
        <w:rPr>
          <w:rFonts w:ascii="Arial" w:hAnsi="Arial" w:cs="Arial"/>
        </w:rPr>
        <w:t xml:space="preserve">Schedule 1 </w:t>
      </w:r>
      <w:r w:rsidR="00E41CC1">
        <w:rPr>
          <w:rFonts w:ascii="Arial" w:hAnsi="Arial" w:cs="Arial"/>
        </w:rPr>
        <w:t xml:space="preserve">to </w:t>
      </w:r>
      <w:r w:rsidR="001A0CE3">
        <w:rPr>
          <w:rFonts w:ascii="Arial" w:hAnsi="Arial" w:cs="Arial"/>
        </w:rPr>
        <w:t>its Cross Border Insolvency Rules 2006</w:t>
      </w:r>
      <w:r w:rsidR="00BD5748">
        <w:rPr>
          <w:rFonts w:ascii="Arial" w:hAnsi="Arial" w:cs="Arial"/>
        </w:rPr>
        <w:t xml:space="preserve"> (the </w:t>
      </w:r>
      <w:r w:rsidR="008B35A4" w:rsidRPr="008B35A4">
        <w:rPr>
          <w:rFonts w:ascii="Arial" w:hAnsi="Arial" w:cs="Arial"/>
          <w:b/>
          <w:bCs/>
        </w:rPr>
        <w:t>UK</w:t>
      </w:r>
      <w:r w:rsidR="008B35A4">
        <w:rPr>
          <w:rFonts w:ascii="Arial" w:hAnsi="Arial" w:cs="Arial"/>
        </w:rPr>
        <w:t xml:space="preserve"> </w:t>
      </w:r>
      <w:r w:rsidR="00861C37">
        <w:rPr>
          <w:rFonts w:ascii="Arial" w:hAnsi="Arial" w:cs="Arial"/>
          <w:b/>
          <w:bCs/>
        </w:rPr>
        <w:t>Model Law</w:t>
      </w:r>
      <w:r w:rsidR="00BD5748">
        <w:rPr>
          <w:rFonts w:ascii="Arial" w:hAnsi="Arial" w:cs="Arial"/>
        </w:rPr>
        <w:t>)</w:t>
      </w:r>
      <w:r w:rsidR="001531A2">
        <w:rPr>
          <w:rFonts w:ascii="Arial" w:hAnsi="Arial" w:cs="Arial"/>
        </w:rPr>
        <w:t xml:space="preserve"> which </w:t>
      </w:r>
      <w:r w:rsidR="00520791">
        <w:rPr>
          <w:rFonts w:ascii="Arial" w:hAnsi="Arial" w:cs="Arial"/>
        </w:rPr>
        <w:t xml:space="preserve">provides </w:t>
      </w:r>
      <w:r w:rsidR="00F86748">
        <w:rPr>
          <w:rFonts w:ascii="Arial" w:hAnsi="Arial" w:cs="Arial"/>
        </w:rPr>
        <w:t xml:space="preserve">foreign representative </w:t>
      </w:r>
      <w:r w:rsidR="00A35E44">
        <w:rPr>
          <w:rFonts w:ascii="Arial" w:hAnsi="Arial" w:cs="Arial"/>
        </w:rPr>
        <w:t>access</w:t>
      </w:r>
      <w:r w:rsidR="00F86748">
        <w:rPr>
          <w:rFonts w:ascii="Arial" w:hAnsi="Arial" w:cs="Arial"/>
        </w:rPr>
        <w:t xml:space="preserve"> to local insolvency proceedings, </w:t>
      </w:r>
      <w:r w:rsidR="008C262A">
        <w:rPr>
          <w:rFonts w:ascii="Arial" w:hAnsi="Arial" w:cs="Arial"/>
        </w:rPr>
        <w:t xml:space="preserve">recognition of the foreign insolvency proceeding and the foreign representative to </w:t>
      </w:r>
      <w:r w:rsidR="00C523F2">
        <w:rPr>
          <w:rFonts w:ascii="Arial" w:hAnsi="Arial" w:cs="Arial"/>
        </w:rPr>
        <w:t xml:space="preserve">represent estate’s interests, </w:t>
      </w:r>
      <w:r w:rsidR="00965908">
        <w:rPr>
          <w:rFonts w:ascii="Arial" w:hAnsi="Arial" w:cs="Arial"/>
        </w:rPr>
        <w:t>and relief from separate enforcement actions.</w:t>
      </w:r>
      <w:r w:rsidR="00315C06">
        <w:rPr>
          <w:rFonts w:ascii="Arial" w:hAnsi="Arial" w:cs="Arial"/>
        </w:rPr>
        <w:t xml:space="preserve">  </w:t>
      </w:r>
      <w:r w:rsidR="00185097">
        <w:rPr>
          <w:rFonts w:ascii="Arial" w:hAnsi="Arial" w:cs="Arial"/>
        </w:rPr>
        <w:t xml:space="preserve">Should </w:t>
      </w:r>
      <w:r w:rsidR="001D5372">
        <w:rPr>
          <w:rFonts w:ascii="Arial" w:hAnsi="Arial" w:cs="Arial"/>
        </w:rPr>
        <w:t xml:space="preserve">Efwon Investments </w:t>
      </w:r>
      <w:r w:rsidR="00F43D79">
        <w:rPr>
          <w:rFonts w:ascii="Arial" w:hAnsi="Arial" w:cs="Arial"/>
        </w:rPr>
        <w:t>require</w:t>
      </w:r>
      <w:r w:rsidR="00185097">
        <w:rPr>
          <w:rFonts w:ascii="Arial" w:hAnsi="Arial" w:cs="Arial"/>
        </w:rPr>
        <w:t xml:space="preserve"> </w:t>
      </w:r>
      <w:r w:rsidR="00CD5A88">
        <w:rPr>
          <w:rFonts w:ascii="Arial" w:hAnsi="Arial" w:cs="Arial"/>
        </w:rPr>
        <w:t xml:space="preserve">such provisions </w:t>
      </w:r>
      <w:r w:rsidR="00185097">
        <w:rPr>
          <w:rFonts w:ascii="Arial" w:hAnsi="Arial" w:cs="Arial"/>
        </w:rPr>
        <w:t xml:space="preserve">to be </w:t>
      </w:r>
      <w:r w:rsidR="00BD5748">
        <w:rPr>
          <w:rFonts w:ascii="Arial" w:hAnsi="Arial" w:cs="Arial"/>
        </w:rPr>
        <w:t xml:space="preserve">obtained in the UK, application can be made </w:t>
      </w:r>
      <w:r w:rsidR="00CE3A83">
        <w:rPr>
          <w:rFonts w:ascii="Arial" w:hAnsi="Arial" w:cs="Arial"/>
        </w:rPr>
        <w:t xml:space="preserve">for recognition of </w:t>
      </w:r>
      <w:r w:rsidR="00CD5A88">
        <w:rPr>
          <w:rFonts w:ascii="Arial" w:hAnsi="Arial" w:cs="Arial"/>
        </w:rPr>
        <w:t xml:space="preserve">its </w:t>
      </w:r>
      <w:r w:rsidR="00CE3A83">
        <w:rPr>
          <w:rFonts w:ascii="Arial" w:hAnsi="Arial" w:cs="Arial"/>
        </w:rPr>
        <w:t xml:space="preserve">Chapter 11 proceeding </w:t>
      </w:r>
      <w:r w:rsidR="004827B0">
        <w:rPr>
          <w:rFonts w:ascii="Arial" w:hAnsi="Arial" w:cs="Arial"/>
        </w:rPr>
        <w:t>as foreign main proc</w:t>
      </w:r>
      <w:r w:rsidR="00006AFA">
        <w:rPr>
          <w:rFonts w:ascii="Arial" w:hAnsi="Arial" w:cs="Arial"/>
        </w:rPr>
        <w:t>e</w:t>
      </w:r>
      <w:r w:rsidR="004827B0">
        <w:rPr>
          <w:rFonts w:ascii="Arial" w:hAnsi="Arial" w:cs="Arial"/>
        </w:rPr>
        <w:t>edings</w:t>
      </w:r>
      <w:r w:rsidR="00006AFA">
        <w:rPr>
          <w:rFonts w:ascii="Arial" w:hAnsi="Arial" w:cs="Arial"/>
        </w:rPr>
        <w:t xml:space="preserve"> </w:t>
      </w:r>
      <w:r w:rsidR="00DC5D91">
        <w:rPr>
          <w:rFonts w:ascii="Arial" w:hAnsi="Arial" w:cs="Arial"/>
        </w:rPr>
        <w:t xml:space="preserve">and </w:t>
      </w:r>
      <w:r w:rsidR="00845E9C">
        <w:rPr>
          <w:rFonts w:ascii="Arial" w:hAnsi="Arial" w:cs="Arial"/>
        </w:rPr>
        <w:t xml:space="preserve">for </w:t>
      </w:r>
      <w:r w:rsidR="003C4F9C">
        <w:rPr>
          <w:rFonts w:ascii="Arial" w:hAnsi="Arial" w:cs="Arial"/>
        </w:rPr>
        <w:t xml:space="preserve">other </w:t>
      </w:r>
      <w:r w:rsidR="00BD1201">
        <w:rPr>
          <w:rFonts w:ascii="Arial" w:hAnsi="Arial" w:cs="Arial"/>
        </w:rPr>
        <w:t>discretionary reliefs</w:t>
      </w:r>
      <w:r w:rsidR="004827B0">
        <w:rPr>
          <w:rFonts w:ascii="Arial" w:hAnsi="Arial" w:cs="Arial"/>
        </w:rPr>
        <w:t>.</w:t>
      </w:r>
      <w:r w:rsidR="00845E9C">
        <w:rPr>
          <w:rStyle w:val="FootnoteReference"/>
          <w:rFonts w:ascii="Arial" w:hAnsi="Arial" w:cs="Arial"/>
        </w:rPr>
        <w:footnoteReference w:id="81"/>
      </w:r>
    </w:p>
    <w:p w14:paraId="0FDB2684" w14:textId="46E3AE34" w:rsidR="00B26044" w:rsidRDefault="00B75FE2" w:rsidP="009F78F1">
      <w:pPr>
        <w:spacing w:line="240" w:lineRule="auto"/>
        <w:jc w:val="both"/>
        <w:rPr>
          <w:rFonts w:ascii="Arial" w:hAnsi="Arial" w:cs="Arial"/>
        </w:rPr>
      </w:pPr>
      <w:r>
        <w:rPr>
          <w:rFonts w:ascii="Arial" w:hAnsi="Arial" w:cs="Arial"/>
        </w:rPr>
        <w:t xml:space="preserve">The foreign representative </w:t>
      </w:r>
      <w:r w:rsidR="00601595">
        <w:rPr>
          <w:rFonts w:ascii="Arial" w:hAnsi="Arial" w:cs="Arial"/>
        </w:rPr>
        <w:t xml:space="preserve">of </w:t>
      </w:r>
      <w:r w:rsidR="007317AF">
        <w:rPr>
          <w:rFonts w:ascii="Arial" w:hAnsi="Arial" w:cs="Arial"/>
        </w:rPr>
        <w:t xml:space="preserve">Efwon </w:t>
      </w:r>
      <w:r w:rsidR="00601595">
        <w:rPr>
          <w:rFonts w:ascii="Arial" w:hAnsi="Arial" w:cs="Arial"/>
        </w:rPr>
        <w:t xml:space="preserve">Investments </w:t>
      </w:r>
      <w:r w:rsidR="001D4CE3">
        <w:rPr>
          <w:rFonts w:ascii="Arial" w:hAnsi="Arial" w:cs="Arial"/>
        </w:rPr>
        <w:t xml:space="preserve">will need to make an application to the court for </w:t>
      </w:r>
      <w:r w:rsidR="008D70AE">
        <w:rPr>
          <w:rFonts w:ascii="Arial" w:hAnsi="Arial" w:cs="Arial"/>
        </w:rPr>
        <w:t xml:space="preserve">the </w:t>
      </w:r>
      <w:r w:rsidR="001D4CE3">
        <w:rPr>
          <w:rFonts w:ascii="Arial" w:hAnsi="Arial" w:cs="Arial"/>
        </w:rPr>
        <w:t xml:space="preserve">recognition of the </w:t>
      </w:r>
      <w:r w:rsidR="008D70AE">
        <w:rPr>
          <w:rFonts w:ascii="Arial" w:hAnsi="Arial" w:cs="Arial"/>
        </w:rPr>
        <w:t>Chapter 11</w:t>
      </w:r>
      <w:r w:rsidR="00FE23B4">
        <w:rPr>
          <w:rFonts w:ascii="Arial" w:hAnsi="Arial" w:cs="Arial"/>
        </w:rPr>
        <w:t xml:space="preserve"> procedure</w:t>
      </w:r>
      <w:r w:rsidR="001D4CE3">
        <w:rPr>
          <w:rFonts w:ascii="Arial" w:hAnsi="Arial" w:cs="Arial"/>
        </w:rPr>
        <w:t>.</w:t>
      </w:r>
      <w:r w:rsidR="008D70AE">
        <w:rPr>
          <w:rStyle w:val="FootnoteReference"/>
          <w:rFonts w:ascii="Arial" w:hAnsi="Arial" w:cs="Arial"/>
        </w:rPr>
        <w:footnoteReference w:id="82"/>
      </w:r>
      <w:r w:rsidR="00845E9C">
        <w:rPr>
          <w:rFonts w:ascii="Arial" w:hAnsi="Arial" w:cs="Arial"/>
        </w:rPr>
        <w:t xml:space="preserve">  </w:t>
      </w:r>
      <w:r w:rsidR="002B1728">
        <w:rPr>
          <w:rFonts w:ascii="Arial" w:hAnsi="Arial" w:cs="Arial"/>
        </w:rPr>
        <w:t>The foreign representative m</w:t>
      </w:r>
      <w:r w:rsidR="00FE23B4">
        <w:rPr>
          <w:rFonts w:ascii="Arial" w:hAnsi="Arial" w:cs="Arial"/>
        </w:rPr>
        <w:t>eans a person authorised in the Chapter 11 procedure to administer the reor</w:t>
      </w:r>
      <w:r w:rsidR="008B202B">
        <w:rPr>
          <w:rFonts w:ascii="Arial" w:hAnsi="Arial" w:cs="Arial"/>
        </w:rPr>
        <w:t>ganisation of Efwon Investments’ assets or affairs.</w:t>
      </w:r>
      <w:bookmarkStart w:id="15" w:name="_Ref142492408"/>
      <w:r w:rsidR="008B202B">
        <w:rPr>
          <w:rStyle w:val="FootnoteReference"/>
          <w:rFonts w:ascii="Arial" w:hAnsi="Arial" w:cs="Arial"/>
        </w:rPr>
        <w:footnoteReference w:id="83"/>
      </w:r>
      <w:bookmarkEnd w:id="15"/>
      <w:r w:rsidR="008B202B">
        <w:rPr>
          <w:rFonts w:ascii="Arial" w:hAnsi="Arial" w:cs="Arial"/>
        </w:rPr>
        <w:t xml:space="preserve">  Given that </w:t>
      </w:r>
      <w:r w:rsidR="005B1B54">
        <w:rPr>
          <w:rFonts w:ascii="Arial" w:hAnsi="Arial" w:cs="Arial"/>
        </w:rPr>
        <w:t xml:space="preserve">Chapter 11 is a procedure where the </w:t>
      </w:r>
      <w:r w:rsidR="009C131C">
        <w:rPr>
          <w:rFonts w:ascii="Arial" w:hAnsi="Arial" w:cs="Arial"/>
        </w:rPr>
        <w:t>management continues to operate the business, the director of Efwon Investments can be the foreign representative.</w:t>
      </w:r>
      <w:r w:rsidR="00D410D8">
        <w:rPr>
          <w:rFonts w:ascii="Arial" w:hAnsi="Arial" w:cs="Arial"/>
        </w:rPr>
        <w:t xml:space="preserve">  </w:t>
      </w:r>
      <w:r w:rsidR="006A5DC9">
        <w:rPr>
          <w:rFonts w:ascii="Arial" w:hAnsi="Arial" w:cs="Arial"/>
        </w:rPr>
        <w:t xml:space="preserve">It has been established in </w:t>
      </w:r>
      <w:r w:rsidR="00D54666">
        <w:rPr>
          <w:rFonts w:ascii="Arial" w:hAnsi="Arial" w:cs="Arial"/>
        </w:rPr>
        <w:t xml:space="preserve">common law that </w:t>
      </w:r>
      <w:r w:rsidR="00BD006B">
        <w:rPr>
          <w:rFonts w:ascii="Arial" w:hAnsi="Arial" w:cs="Arial"/>
        </w:rPr>
        <w:t xml:space="preserve">Chapter 11 </w:t>
      </w:r>
      <w:r w:rsidR="00725A0F">
        <w:rPr>
          <w:rFonts w:ascii="Arial" w:hAnsi="Arial" w:cs="Arial"/>
        </w:rPr>
        <w:t xml:space="preserve">is within the meaning of foreign proceeding under Article 2(i) of the </w:t>
      </w:r>
      <w:r w:rsidR="008B35A4">
        <w:rPr>
          <w:rFonts w:ascii="Arial" w:hAnsi="Arial" w:cs="Arial"/>
        </w:rPr>
        <w:t xml:space="preserve">UK </w:t>
      </w:r>
      <w:r w:rsidR="00725A0F">
        <w:rPr>
          <w:rFonts w:ascii="Arial" w:hAnsi="Arial" w:cs="Arial"/>
        </w:rPr>
        <w:t>Model Law</w:t>
      </w:r>
      <w:r w:rsidR="0079103F">
        <w:rPr>
          <w:rFonts w:ascii="Arial" w:hAnsi="Arial" w:cs="Arial"/>
        </w:rPr>
        <w:t xml:space="preserve"> </w:t>
      </w:r>
      <w:r w:rsidR="007625E8">
        <w:rPr>
          <w:rFonts w:ascii="Arial" w:hAnsi="Arial" w:cs="Arial"/>
        </w:rPr>
        <w:t>and that the debtor and its management in Chapter 11 can be the foreign representative under Article 2(j)</w:t>
      </w:r>
      <w:r w:rsidR="00A175B0">
        <w:rPr>
          <w:rFonts w:ascii="Arial" w:hAnsi="Arial" w:cs="Arial"/>
        </w:rPr>
        <w:t xml:space="preserve"> of the </w:t>
      </w:r>
      <w:r w:rsidR="008B35A4">
        <w:rPr>
          <w:rFonts w:ascii="Arial" w:hAnsi="Arial" w:cs="Arial"/>
        </w:rPr>
        <w:t xml:space="preserve">UK </w:t>
      </w:r>
      <w:r w:rsidR="00A175B0">
        <w:rPr>
          <w:rFonts w:ascii="Arial" w:hAnsi="Arial" w:cs="Arial"/>
        </w:rPr>
        <w:t>Model Law</w:t>
      </w:r>
      <w:r w:rsidR="00725A0F">
        <w:rPr>
          <w:rFonts w:ascii="Arial" w:hAnsi="Arial" w:cs="Arial"/>
        </w:rPr>
        <w:t>.</w:t>
      </w:r>
      <w:bookmarkStart w:id="16" w:name="_Ref142492602"/>
      <w:r w:rsidR="00725A0F">
        <w:rPr>
          <w:rStyle w:val="FootnoteReference"/>
          <w:rFonts w:ascii="Arial" w:hAnsi="Arial" w:cs="Arial"/>
        </w:rPr>
        <w:footnoteReference w:id="84"/>
      </w:r>
      <w:bookmarkEnd w:id="16"/>
      <w:r w:rsidR="004777FF">
        <w:rPr>
          <w:rFonts w:ascii="Arial" w:hAnsi="Arial" w:cs="Arial"/>
        </w:rPr>
        <w:t xml:space="preserve">  This leaves the question on whether </w:t>
      </w:r>
      <w:r w:rsidR="00E0243F">
        <w:rPr>
          <w:rFonts w:ascii="Arial" w:hAnsi="Arial" w:cs="Arial"/>
        </w:rPr>
        <w:t>the Chapter 11 procedure of Efwon Investments should be recognised as foreign main proceeding or foreign non-main proceeding.</w:t>
      </w:r>
    </w:p>
    <w:p w14:paraId="1CF8B115" w14:textId="03837253" w:rsidR="00AD5AE8" w:rsidRPr="00AD5AE8" w:rsidRDefault="00BC291E" w:rsidP="00A95EE0">
      <w:pPr>
        <w:keepNext/>
        <w:spacing w:line="240" w:lineRule="auto"/>
        <w:jc w:val="both"/>
        <w:rPr>
          <w:rFonts w:ascii="Arial" w:hAnsi="Arial" w:cs="Arial"/>
          <w:u w:val="single"/>
        </w:rPr>
      </w:pPr>
      <w:r>
        <w:rPr>
          <w:rFonts w:ascii="Arial" w:hAnsi="Arial" w:cs="Arial"/>
          <w:u w:val="single"/>
        </w:rPr>
        <w:t>COMI</w:t>
      </w:r>
    </w:p>
    <w:p w14:paraId="613C47C5" w14:textId="5BAF2041" w:rsidR="00B26044" w:rsidRDefault="00F2186A" w:rsidP="009F78F1">
      <w:pPr>
        <w:spacing w:line="240" w:lineRule="auto"/>
        <w:jc w:val="both"/>
        <w:rPr>
          <w:rFonts w:ascii="Arial" w:hAnsi="Arial" w:cs="Arial"/>
        </w:rPr>
      </w:pPr>
      <w:r>
        <w:rPr>
          <w:rFonts w:ascii="Arial" w:hAnsi="Arial" w:cs="Arial"/>
        </w:rPr>
        <w:t xml:space="preserve">A foreign main proceeding is </w:t>
      </w:r>
      <w:r w:rsidR="00646F5A">
        <w:rPr>
          <w:rFonts w:ascii="Arial" w:hAnsi="Arial" w:cs="Arial"/>
        </w:rPr>
        <w:t xml:space="preserve">recognised to be </w:t>
      </w:r>
      <w:r w:rsidR="000D7ADE">
        <w:rPr>
          <w:rFonts w:ascii="Arial" w:hAnsi="Arial" w:cs="Arial"/>
        </w:rPr>
        <w:t xml:space="preserve">a </w:t>
      </w:r>
      <w:r w:rsidR="00A01420">
        <w:rPr>
          <w:rFonts w:ascii="Arial" w:hAnsi="Arial" w:cs="Arial"/>
        </w:rPr>
        <w:t xml:space="preserve">foreign </w:t>
      </w:r>
      <w:r w:rsidR="00157E50">
        <w:rPr>
          <w:rFonts w:ascii="Arial" w:hAnsi="Arial" w:cs="Arial"/>
        </w:rPr>
        <w:t xml:space="preserve">proceeding that is taking place in </w:t>
      </w:r>
      <w:r w:rsidR="001B4360">
        <w:rPr>
          <w:rFonts w:ascii="Arial" w:hAnsi="Arial" w:cs="Arial"/>
        </w:rPr>
        <w:t xml:space="preserve">a jurisdiction </w:t>
      </w:r>
      <w:r w:rsidR="00157E50">
        <w:rPr>
          <w:rFonts w:ascii="Arial" w:hAnsi="Arial" w:cs="Arial"/>
        </w:rPr>
        <w:t xml:space="preserve">where the company has the </w:t>
      </w:r>
      <w:r w:rsidR="00C3322E">
        <w:rPr>
          <w:rFonts w:ascii="Arial" w:hAnsi="Arial" w:cs="Arial"/>
        </w:rPr>
        <w:t>COMI</w:t>
      </w:r>
      <w:r w:rsidR="00157E50">
        <w:rPr>
          <w:rFonts w:ascii="Arial" w:hAnsi="Arial" w:cs="Arial"/>
        </w:rPr>
        <w:t>.</w:t>
      </w:r>
      <w:bookmarkStart w:id="18" w:name="_Ref142492465"/>
      <w:r w:rsidR="00E113E9">
        <w:rPr>
          <w:rStyle w:val="FootnoteReference"/>
          <w:rFonts w:ascii="Arial" w:hAnsi="Arial" w:cs="Arial"/>
        </w:rPr>
        <w:footnoteReference w:id="85"/>
      </w:r>
      <w:bookmarkEnd w:id="18"/>
      <w:r w:rsidR="000951DD">
        <w:rPr>
          <w:rFonts w:ascii="Arial" w:hAnsi="Arial" w:cs="Arial"/>
        </w:rPr>
        <w:t xml:space="preserve">  </w:t>
      </w:r>
      <w:r w:rsidR="000951DD" w:rsidRPr="000951DD">
        <w:rPr>
          <w:rFonts w:ascii="Arial" w:hAnsi="Arial" w:cs="Arial"/>
        </w:rPr>
        <w:t>In</w:t>
      </w:r>
      <w:r w:rsidR="00156505">
        <w:rPr>
          <w:rFonts w:ascii="Arial" w:hAnsi="Arial" w:cs="Arial"/>
        </w:rPr>
        <w:t xml:space="preserve"> </w:t>
      </w:r>
      <w:r w:rsidR="00156505" w:rsidRPr="00156505">
        <w:rPr>
          <w:rFonts w:ascii="Arial" w:hAnsi="Arial" w:cs="Arial"/>
          <w:i/>
          <w:iCs/>
        </w:rPr>
        <w:t>Re Stanford International Bank Ltd [2011] Ch 33</w:t>
      </w:r>
      <w:r w:rsidR="000951DD" w:rsidRPr="000951DD">
        <w:rPr>
          <w:rFonts w:ascii="Arial" w:hAnsi="Arial" w:cs="Arial"/>
        </w:rPr>
        <w:t>,</w:t>
      </w:r>
      <w:r w:rsidR="000951DD">
        <w:rPr>
          <w:rFonts w:ascii="Arial" w:hAnsi="Arial" w:cs="Arial"/>
        </w:rPr>
        <w:t xml:space="preserve"> </w:t>
      </w:r>
      <w:r w:rsidR="00156505">
        <w:rPr>
          <w:rFonts w:ascii="Arial" w:hAnsi="Arial" w:cs="Arial"/>
        </w:rPr>
        <w:t xml:space="preserve">it </w:t>
      </w:r>
      <w:r w:rsidR="002D6D6B">
        <w:rPr>
          <w:rFonts w:ascii="Arial" w:hAnsi="Arial" w:cs="Arial"/>
        </w:rPr>
        <w:t xml:space="preserve">was held that the court in England should apply the </w:t>
      </w:r>
      <w:r w:rsidR="00C3322E">
        <w:rPr>
          <w:rFonts w:ascii="Arial" w:hAnsi="Arial" w:cs="Arial"/>
        </w:rPr>
        <w:t xml:space="preserve">test applied by </w:t>
      </w:r>
      <w:r w:rsidR="00403104">
        <w:rPr>
          <w:rFonts w:ascii="Arial" w:hAnsi="Arial" w:cs="Arial"/>
        </w:rPr>
        <w:t xml:space="preserve">the </w:t>
      </w:r>
      <w:r w:rsidR="002D6D6B">
        <w:rPr>
          <w:rFonts w:ascii="Arial" w:hAnsi="Arial" w:cs="Arial"/>
        </w:rPr>
        <w:t>CJEU</w:t>
      </w:r>
      <w:r w:rsidR="00C3322E">
        <w:rPr>
          <w:rFonts w:ascii="Arial" w:hAnsi="Arial" w:cs="Arial"/>
        </w:rPr>
        <w:t xml:space="preserve"> to determine the COMI.</w:t>
      </w:r>
      <w:r w:rsidR="006F07DB">
        <w:rPr>
          <w:rStyle w:val="FootnoteReference"/>
          <w:rFonts w:ascii="Arial" w:hAnsi="Arial" w:cs="Arial"/>
        </w:rPr>
        <w:footnoteReference w:id="86"/>
      </w:r>
      <w:r w:rsidR="00C16F1F">
        <w:rPr>
          <w:rFonts w:ascii="Arial" w:hAnsi="Arial" w:cs="Arial"/>
        </w:rPr>
        <w:t xml:space="preserve">  </w:t>
      </w:r>
      <w:r w:rsidR="001F7B96">
        <w:rPr>
          <w:rFonts w:ascii="Arial" w:hAnsi="Arial" w:cs="Arial"/>
        </w:rPr>
        <w:t>As mentioned above, the COMI of a company</w:t>
      </w:r>
      <w:r w:rsidR="00344114">
        <w:rPr>
          <w:rFonts w:ascii="Arial" w:hAnsi="Arial" w:cs="Arial"/>
        </w:rPr>
        <w:t xml:space="preserve"> est</w:t>
      </w:r>
      <w:r w:rsidR="00822BF3">
        <w:rPr>
          <w:rFonts w:ascii="Arial" w:hAnsi="Arial" w:cs="Arial"/>
        </w:rPr>
        <w:t xml:space="preserve">ablished by the EIR Recast and applied by </w:t>
      </w:r>
      <w:r w:rsidR="00403104">
        <w:rPr>
          <w:rFonts w:ascii="Arial" w:hAnsi="Arial" w:cs="Arial"/>
        </w:rPr>
        <w:t xml:space="preserve">the </w:t>
      </w:r>
      <w:r w:rsidR="00822BF3">
        <w:rPr>
          <w:rFonts w:ascii="Arial" w:hAnsi="Arial" w:cs="Arial"/>
        </w:rPr>
        <w:t>CJEU</w:t>
      </w:r>
      <w:r w:rsidR="001F7B96">
        <w:rPr>
          <w:rFonts w:ascii="Arial" w:hAnsi="Arial" w:cs="Arial"/>
        </w:rPr>
        <w:t xml:space="preserve"> is </w:t>
      </w:r>
      <w:r w:rsidR="007D3E5B">
        <w:rPr>
          <w:rFonts w:ascii="Arial" w:hAnsi="Arial" w:cs="Arial"/>
        </w:rPr>
        <w:t xml:space="preserve">presumed to be </w:t>
      </w:r>
      <w:r w:rsidR="001F7B96">
        <w:rPr>
          <w:rFonts w:ascii="Arial" w:hAnsi="Arial" w:cs="Arial"/>
        </w:rPr>
        <w:t>at its registered office</w:t>
      </w:r>
      <w:r w:rsidR="007D3E5B">
        <w:rPr>
          <w:rFonts w:ascii="Arial" w:hAnsi="Arial" w:cs="Arial"/>
        </w:rPr>
        <w:t xml:space="preserve"> unless the presumption is rebutted</w:t>
      </w:r>
      <w:r w:rsidR="00DB1FA5">
        <w:rPr>
          <w:rFonts w:ascii="Arial" w:hAnsi="Arial" w:cs="Arial"/>
        </w:rPr>
        <w:t xml:space="preserve"> in which </w:t>
      </w:r>
      <w:r w:rsidR="00F53DA6">
        <w:rPr>
          <w:rFonts w:ascii="Arial" w:hAnsi="Arial" w:cs="Arial"/>
        </w:rPr>
        <w:t xml:space="preserve">factors to be relied on to rebut the presumption </w:t>
      </w:r>
      <w:r w:rsidR="00FB6EA4">
        <w:rPr>
          <w:rFonts w:ascii="Arial" w:hAnsi="Arial" w:cs="Arial"/>
        </w:rPr>
        <w:t xml:space="preserve">must be objective and </w:t>
      </w:r>
      <w:r w:rsidR="00AB7DA0">
        <w:rPr>
          <w:rFonts w:ascii="Arial" w:hAnsi="Arial" w:cs="Arial"/>
        </w:rPr>
        <w:t>ascertainable by third parties.</w:t>
      </w:r>
      <w:r w:rsidR="005D501E">
        <w:rPr>
          <w:rFonts w:ascii="Arial" w:hAnsi="Arial" w:cs="Arial"/>
        </w:rPr>
        <w:t xml:space="preserve">  In the absence of other information </w:t>
      </w:r>
      <w:r w:rsidR="00160CCB">
        <w:rPr>
          <w:rFonts w:ascii="Arial" w:hAnsi="Arial" w:cs="Arial"/>
        </w:rPr>
        <w:t xml:space="preserve">to demonstrate that Efwon Investments has </w:t>
      </w:r>
      <w:r w:rsidR="00905541">
        <w:rPr>
          <w:rFonts w:ascii="Arial" w:hAnsi="Arial" w:cs="Arial"/>
        </w:rPr>
        <w:t xml:space="preserve">administered its business and affairs </w:t>
      </w:r>
      <w:r w:rsidR="00CF667A">
        <w:rPr>
          <w:rFonts w:ascii="Arial" w:hAnsi="Arial" w:cs="Arial"/>
        </w:rPr>
        <w:t>in another jurisdiction other than the place of its registered office</w:t>
      </w:r>
      <w:r w:rsidR="00011B16">
        <w:rPr>
          <w:rFonts w:ascii="Arial" w:hAnsi="Arial" w:cs="Arial"/>
        </w:rPr>
        <w:t xml:space="preserve"> (i.e. Delaware)</w:t>
      </w:r>
      <w:r w:rsidR="00CF667A">
        <w:rPr>
          <w:rFonts w:ascii="Arial" w:hAnsi="Arial" w:cs="Arial"/>
        </w:rPr>
        <w:t xml:space="preserve">, </w:t>
      </w:r>
      <w:r w:rsidR="00A822B1">
        <w:rPr>
          <w:rFonts w:ascii="Arial" w:hAnsi="Arial" w:cs="Arial"/>
        </w:rPr>
        <w:t xml:space="preserve">the presumption is </w:t>
      </w:r>
      <w:r w:rsidR="00CF667A">
        <w:rPr>
          <w:rFonts w:ascii="Arial" w:hAnsi="Arial" w:cs="Arial"/>
        </w:rPr>
        <w:t xml:space="preserve">that the COMI of Efwon Investments is in the US.  Therefore, </w:t>
      </w:r>
      <w:r w:rsidR="009D2E84">
        <w:rPr>
          <w:rFonts w:ascii="Arial" w:hAnsi="Arial" w:cs="Arial"/>
        </w:rPr>
        <w:t xml:space="preserve">the Chapter 11 procedure of Efwon Investments </w:t>
      </w:r>
      <w:r w:rsidR="00642941">
        <w:rPr>
          <w:rFonts w:ascii="Arial" w:hAnsi="Arial" w:cs="Arial"/>
        </w:rPr>
        <w:t xml:space="preserve">will be recognised in the UK, and similarly in other jurisdictions where the Model Law </w:t>
      </w:r>
      <w:r w:rsidR="00103C7E">
        <w:rPr>
          <w:rFonts w:ascii="Arial" w:hAnsi="Arial" w:cs="Arial"/>
        </w:rPr>
        <w:t>is</w:t>
      </w:r>
      <w:r w:rsidR="00642941">
        <w:rPr>
          <w:rFonts w:ascii="Arial" w:hAnsi="Arial" w:cs="Arial"/>
        </w:rPr>
        <w:t xml:space="preserve"> adopted, </w:t>
      </w:r>
      <w:r w:rsidR="00FE28DE">
        <w:rPr>
          <w:rFonts w:ascii="Arial" w:hAnsi="Arial" w:cs="Arial"/>
        </w:rPr>
        <w:t xml:space="preserve">as foreign main proceeding.  </w:t>
      </w:r>
    </w:p>
    <w:p w14:paraId="7318CE00" w14:textId="31F77918" w:rsidR="00AD5AE8" w:rsidRPr="00AD5AE8" w:rsidRDefault="00AD5AE8" w:rsidP="009F78F1">
      <w:pPr>
        <w:spacing w:line="240" w:lineRule="auto"/>
        <w:jc w:val="both"/>
        <w:rPr>
          <w:rFonts w:ascii="Arial" w:hAnsi="Arial" w:cs="Arial"/>
          <w:u w:val="single"/>
        </w:rPr>
      </w:pPr>
      <w:r w:rsidRPr="00AD5AE8">
        <w:rPr>
          <w:rFonts w:ascii="Arial" w:hAnsi="Arial" w:cs="Arial"/>
          <w:u w:val="single"/>
        </w:rPr>
        <w:t>Relief</w:t>
      </w:r>
    </w:p>
    <w:p w14:paraId="14F8737B" w14:textId="50AC62B6" w:rsidR="00FE28DE" w:rsidRDefault="00FE28DE" w:rsidP="009F78F1">
      <w:pPr>
        <w:spacing w:line="240" w:lineRule="auto"/>
        <w:jc w:val="both"/>
        <w:rPr>
          <w:rFonts w:ascii="Arial" w:hAnsi="Arial" w:cs="Arial"/>
        </w:rPr>
      </w:pPr>
      <w:r>
        <w:rPr>
          <w:rFonts w:ascii="Arial" w:hAnsi="Arial" w:cs="Arial"/>
        </w:rPr>
        <w:lastRenderedPageBreak/>
        <w:t xml:space="preserve">Accordingly, </w:t>
      </w:r>
      <w:r w:rsidR="0069149D">
        <w:rPr>
          <w:rFonts w:ascii="Arial" w:hAnsi="Arial" w:cs="Arial"/>
        </w:rPr>
        <w:t xml:space="preserve">Efwon Investments </w:t>
      </w:r>
      <w:r w:rsidR="00B460FB">
        <w:rPr>
          <w:rFonts w:ascii="Arial" w:hAnsi="Arial" w:cs="Arial"/>
        </w:rPr>
        <w:t xml:space="preserve">is entitled to the automatic stay under Article 20 of the </w:t>
      </w:r>
      <w:r w:rsidR="008B35A4">
        <w:rPr>
          <w:rFonts w:ascii="Arial" w:hAnsi="Arial" w:cs="Arial"/>
        </w:rPr>
        <w:t xml:space="preserve">UK </w:t>
      </w:r>
      <w:r w:rsidR="00B460FB">
        <w:rPr>
          <w:rFonts w:ascii="Arial" w:hAnsi="Arial" w:cs="Arial"/>
        </w:rPr>
        <w:t>Model Law</w:t>
      </w:r>
      <w:r w:rsidR="0052652E">
        <w:rPr>
          <w:rFonts w:ascii="Arial" w:hAnsi="Arial" w:cs="Arial"/>
        </w:rPr>
        <w:t>, including the stay of commencement of actions concerning its assets or liabilities</w:t>
      </w:r>
      <w:r w:rsidR="00EC397C">
        <w:rPr>
          <w:rFonts w:ascii="Arial" w:hAnsi="Arial" w:cs="Arial"/>
        </w:rPr>
        <w:t xml:space="preserve"> and execution against its assets, and the suspension of the right to transfer</w:t>
      </w:r>
      <w:r w:rsidR="0009130F">
        <w:rPr>
          <w:rFonts w:ascii="Arial" w:hAnsi="Arial" w:cs="Arial"/>
        </w:rPr>
        <w:t xml:space="preserve">, encumber or dispose of its assets.  </w:t>
      </w:r>
      <w:r w:rsidR="00B5239A">
        <w:rPr>
          <w:rFonts w:ascii="Arial" w:hAnsi="Arial" w:cs="Arial"/>
        </w:rPr>
        <w:t xml:space="preserve">However, the </w:t>
      </w:r>
      <w:r w:rsidR="00D33CE5">
        <w:rPr>
          <w:rFonts w:ascii="Arial" w:hAnsi="Arial" w:cs="Arial"/>
        </w:rPr>
        <w:t xml:space="preserve">automatic stay does not </w:t>
      </w:r>
      <w:r w:rsidR="001D327D">
        <w:rPr>
          <w:rFonts w:ascii="Arial" w:hAnsi="Arial" w:cs="Arial"/>
        </w:rPr>
        <w:t>prevent the commencement of an insolvency proceeding.</w:t>
      </w:r>
      <w:bookmarkStart w:id="19" w:name="_Ref142492744"/>
      <w:r w:rsidR="007B3384">
        <w:rPr>
          <w:rStyle w:val="FootnoteReference"/>
          <w:rFonts w:ascii="Arial" w:hAnsi="Arial" w:cs="Arial"/>
        </w:rPr>
        <w:footnoteReference w:id="87"/>
      </w:r>
      <w:bookmarkEnd w:id="19"/>
      <w:r w:rsidR="001D327D">
        <w:rPr>
          <w:rFonts w:ascii="Arial" w:hAnsi="Arial" w:cs="Arial"/>
        </w:rPr>
        <w:t xml:space="preserve">  As such, </w:t>
      </w:r>
      <w:r w:rsidR="00A62D49">
        <w:rPr>
          <w:rFonts w:ascii="Arial" w:hAnsi="Arial" w:cs="Arial"/>
        </w:rPr>
        <w:t xml:space="preserve">discretionary relief </w:t>
      </w:r>
      <w:r w:rsidR="00CA3BE7">
        <w:rPr>
          <w:rFonts w:ascii="Arial" w:hAnsi="Arial" w:cs="Arial"/>
        </w:rPr>
        <w:t xml:space="preserve">under Articles 20(6) and 21(1)(g) </w:t>
      </w:r>
      <w:r w:rsidR="00A8330E">
        <w:rPr>
          <w:rFonts w:ascii="Arial" w:hAnsi="Arial" w:cs="Arial"/>
        </w:rPr>
        <w:t>may be</w:t>
      </w:r>
      <w:r w:rsidR="00CA3BE7">
        <w:rPr>
          <w:rFonts w:ascii="Arial" w:hAnsi="Arial" w:cs="Arial"/>
        </w:rPr>
        <w:t xml:space="preserve"> required</w:t>
      </w:r>
      <w:r w:rsidR="009F0B29">
        <w:rPr>
          <w:rFonts w:ascii="Arial" w:hAnsi="Arial" w:cs="Arial"/>
        </w:rPr>
        <w:t xml:space="preserve">.  </w:t>
      </w:r>
      <w:r w:rsidR="00624865">
        <w:rPr>
          <w:rFonts w:ascii="Arial" w:hAnsi="Arial" w:cs="Arial"/>
        </w:rPr>
        <w:t>The effect</w:t>
      </w:r>
      <w:r w:rsidR="00427F76">
        <w:rPr>
          <w:rFonts w:ascii="Arial" w:hAnsi="Arial" w:cs="Arial"/>
        </w:rPr>
        <w:t>, if the discretionary relief is successfully granted,</w:t>
      </w:r>
      <w:r w:rsidR="00624865">
        <w:rPr>
          <w:rFonts w:ascii="Arial" w:hAnsi="Arial" w:cs="Arial"/>
        </w:rPr>
        <w:t xml:space="preserve"> </w:t>
      </w:r>
      <w:r w:rsidR="00C32494">
        <w:rPr>
          <w:rFonts w:ascii="Arial" w:hAnsi="Arial" w:cs="Arial"/>
        </w:rPr>
        <w:t xml:space="preserve">is that the stay </w:t>
      </w:r>
      <w:r w:rsidR="009040E6">
        <w:rPr>
          <w:rFonts w:ascii="Arial" w:hAnsi="Arial" w:cs="Arial"/>
        </w:rPr>
        <w:t xml:space="preserve">and suspension </w:t>
      </w:r>
      <w:r w:rsidR="00C32494">
        <w:rPr>
          <w:rFonts w:ascii="Arial" w:hAnsi="Arial" w:cs="Arial"/>
        </w:rPr>
        <w:t xml:space="preserve">will extend to </w:t>
      </w:r>
      <w:r w:rsidR="009040E6">
        <w:rPr>
          <w:rFonts w:ascii="Arial" w:hAnsi="Arial" w:cs="Arial"/>
        </w:rPr>
        <w:t xml:space="preserve">the actions, </w:t>
      </w:r>
      <w:proofErr w:type="gramStart"/>
      <w:r w:rsidR="009040E6">
        <w:rPr>
          <w:rFonts w:ascii="Arial" w:hAnsi="Arial" w:cs="Arial"/>
        </w:rPr>
        <w:t>proceedings</w:t>
      </w:r>
      <w:proofErr w:type="gramEnd"/>
      <w:r w:rsidR="009040E6">
        <w:rPr>
          <w:rFonts w:ascii="Arial" w:hAnsi="Arial" w:cs="Arial"/>
        </w:rPr>
        <w:t xml:space="preserve"> and execution against Efwon Investments.</w:t>
      </w:r>
      <w:r w:rsidR="002C3198">
        <w:rPr>
          <w:rFonts w:ascii="Arial" w:hAnsi="Arial" w:cs="Arial"/>
        </w:rPr>
        <w:t xml:space="preserve">  </w:t>
      </w:r>
      <w:r w:rsidR="009C665C">
        <w:rPr>
          <w:rFonts w:ascii="Arial" w:hAnsi="Arial" w:cs="Arial"/>
        </w:rPr>
        <w:t>Efwon Inv</w:t>
      </w:r>
      <w:r w:rsidR="000A3AF2">
        <w:rPr>
          <w:rFonts w:ascii="Arial" w:hAnsi="Arial" w:cs="Arial"/>
        </w:rPr>
        <w:t>estments is required to demonstrate</w:t>
      </w:r>
      <w:r w:rsidR="009727F9">
        <w:rPr>
          <w:rFonts w:ascii="Arial" w:hAnsi="Arial" w:cs="Arial"/>
        </w:rPr>
        <w:t xml:space="preserve"> that</w:t>
      </w:r>
      <w:r w:rsidR="000A3AF2">
        <w:rPr>
          <w:rFonts w:ascii="Arial" w:hAnsi="Arial" w:cs="Arial"/>
        </w:rPr>
        <w:t xml:space="preserve"> </w:t>
      </w:r>
      <w:r w:rsidR="00915B30">
        <w:rPr>
          <w:rFonts w:ascii="Arial" w:hAnsi="Arial" w:cs="Arial"/>
        </w:rPr>
        <w:t xml:space="preserve">its </w:t>
      </w:r>
      <w:r w:rsidR="000A3AF2">
        <w:rPr>
          <w:rFonts w:ascii="Arial" w:hAnsi="Arial" w:cs="Arial"/>
        </w:rPr>
        <w:t xml:space="preserve">Chapter 11 </w:t>
      </w:r>
      <w:r w:rsidR="00915B30">
        <w:rPr>
          <w:rFonts w:ascii="Arial" w:hAnsi="Arial" w:cs="Arial"/>
        </w:rPr>
        <w:t xml:space="preserve">procedure is aiming to restructure its business and affairs and that </w:t>
      </w:r>
      <w:r w:rsidR="00517B7D">
        <w:rPr>
          <w:rFonts w:ascii="Arial" w:hAnsi="Arial" w:cs="Arial"/>
        </w:rPr>
        <w:t>a separate proceeding will give rise to unnecessary costs and burden to deal with any of the business and assets in the UK.</w:t>
      </w:r>
      <w:bookmarkStart w:id="20" w:name="_Ref142493318"/>
      <w:r w:rsidR="00F932EE">
        <w:rPr>
          <w:rStyle w:val="FootnoteReference"/>
          <w:rFonts w:ascii="Arial" w:hAnsi="Arial" w:cs="Arial"/>
        </w:rPr>
        <w:footnoteReference w:id="88"/>
      </w:r>
      <w:bookmarkEnd w:id="20"/>
      <w:r w:rsidR="004F150A">
        <w:rPr>
          <w:rFonts w:ascii="Arial" w:hAnsi="Arial" w:cs="Arial"/>
        </w:rPr>
        <w:t xml:space="preserve">  Furthermore, </w:t>
      </w:r>
      <w:r w:rsidR="00395532">
        <w:rPr>
          <w:rFonts w:ascii="Arial" w:hAnsi="Arial" w:cs="Arial"/>
        </w:rPr>
        <w:t xml:space="preserve">should there be a need for urgent relief for stay after the filing of the application for recognition and before the application is decided upon, </w:t>
      </w:r>
      <w:r w:rsidR="000414A6">
        <w:rPr>
          <w:rFonts w:ascii="Arial" w:hAnsi="Arial" w:cs="Arial"/>
        </w:rPr>
        <w:t>Efwon Investments may apply for interim relief.</w:t>
      </w:r>
      <w:bookmarkStart w:id="21" w:name="_Ref142493224"/>
      <w:r w:rsidR="005413AF">
        <w:rPr>
          <w:rStyle w:val="FootnoteReference"/>
          <w:rFonts w:ascii="Arial" w:hAnsi="Arial" w:cs="Arial"/>
        </w:rPr>
        <w:footnoteReference w:id="89"/>
      </w:r>
      <w:bookmarkEnd w:id="21"/>
    </w:p>
    <w:p w14:paraId="1668B91C" w14:textId="4BD7E015" w:rsidR="00AD5AE8" w:rsidRPr="00AD5AE8" w:rsidRDefault="00AD5AE8" w:rsidP="009F78F1">
      <w:pPr>
        <w:spacing w:line="240" w:lineRule="auto"/>
        <w:jc w:val="both"/>
        <w:rPr>
          <w:rFonts w:ascii="Arial" w:hAnsi="Arial" w:cs="Arial"/>
          <w:u w:val="single"/>
        </w:rPr>
      </w:pPr>
      <w:r w:rsidRPr="00AD5AE8">
        <w:rPr>
          <w:rFonts w:ascii="Arial" w:hAnsi="Arial" w:cs="Arial"/>
          <w:u w:val="single"/>
        </w:rPr>
        <w:t>Further information required</w:t>
      </w:r>
    </w:p>
    <w:p w14:paraId="1525EBC9" w14:textId="7DED5F2A" w:rsidR="00B26044" w:rsidRPr="00C55A62" w:rsidRDefault="007C58EA" w:rsidP="009F78F1">
      <w:pPr>
        <w:spacing w:line="240" w:lineRule="auto"/>
        <w:jc w:val="both"/>
        <w:rPr>
          <w:rFonts w:ascii="Arial" w:hAnsi="Arial" w:cs="Arial"/>
        </w:rPr>
      </w:pPr>
      <w:r>
        <w:rPr>
          <w:rFonts w:ascii="Arial" w:hAnsi="Arial" w:cs="Arial"/>
        </w:rPr>
        <w:t xml:space="preserve">The above </w:t>
      </w:r>
      <w:r w:rsidR="000E0367">
        <w:rPr>
          <w:rFonts w:ascii="Arial" w:hAnsi="Arial" w:cs="Arial"/>
        </w:rPr>
        <w:t xml:space="preserve">advice has been given under the assumption that Efwon Investments has assets in other jurisdictions that require protection or </w:t>
      </w:r>
      <w:r w:rsidR="009740EE">
        <w:rPr>
          <w:rFonts w:ascii="Arial" w:hAnsi="Arial" w:cs="Arial"/>
        </w:rPr>
        <w:t xml:space="preserve">that </w:t>
      </w:r>
      <w:r w:rsidR="00437F4E">
        <w:rPr>
          <w:rFonts w:ascii="Arial" w:hAnsi="Arial" w:cs="Arial"/>
        </w:rPr>
        <w:t xml:space="preserve">there are creditors of </w:t>
      </w:r>
      <w:r w:rsidR="009740EE">
        <w:rPr>
          <w:rFonts w:ascii="Arial" w:hAnsi="Arial" w:cs="Arial"/>
        </w:rPr>
        <w:t xml:space="preserve">Efwon Investments </w:t>
      </w:r>
      <w:r w:rsidR="009443D0">
        <w:rPr>
          <w:rFonts w:ascii="Arial" w:hAnsi="Arial" w:cs="Arial"/>
        </w:rPr>
        <w:t xml:space="preserve">which may commence insolvency proceedings in other jurisdictions.  </w:t>
      </w:r>
      <w:r w:rsidR="004D5B25">
        <w:rPr>
          <w:rFonts w:ascii="Arial" w:hAnsi="Arial" w:cs="Arial"/>
        </w:rPr>
        <w:t xml:space="preserve">Based on information available, the only asset of Efwon Investments is the </w:t>
      </w:r>
      <w:r w:rsidR="007D7E79">
        <w:rPr>
          <w:rFonts w:ascii="Arial" w:hAnsi="Arial" w:cs="Arial"/>
        </w:rPr>
        <w:t xml:space="preserve">loan receivable from Efwon Trading.  Further assessment </w:t>
      </w:r>
      <w:r w:rsidR="007D7E79" w:rsidRPr="00C55A62">
        <w:rPr>
          <w:rFonts w:ascii="Arial" w:hAnsi="Arial" w:cs="Arial"/>
        </w:rPr>
        <w:t xml:space="preserve">will be required if Efwon Investments has other assets.  For example, </w:t>
      </w:r>
      <w:r w:rsidR="002926F5" w:rsidRPr="00C55A62">
        <w:rPr>
          <w:rFonts w:ascii="Arial" w:hAnsi="Arial" w:cs="Arial"/>
        </w:rPr>
        <w:t xml:space="preserve">if Efwon Trading is owned by Efwon Investments instead of yourself.  </w:t>
      </w:r>
      <w:r w:rsidR="0021625D" w:rsidRPr="00C55A62">
        <w:rPr>
          <w:rFonts w:ascii="Arial" w:hAnsi="Arial" w:cs="Arial"/>
        </w:rPr>
        <w:t xml:space="preserve">In addition, I have not been informed with the </w:t>
      </w:r>
      <w:r w:rsidR="002B4370" w:rsidRPr="00C55A62">
        <w:rPr>
          <w:rFonts w:ascii="Arial" w:hAnsi="Arial" w:cs="Arial"/>
        </w:rPr>
        <w:t>governing law of the syndicated loan</w:t>
      </w:r>
      <w:r w:rsidR="00BA42C1" w:rsidRPr="00C55A62">
        <w:rPr>
          <w:rFonts w:ascii="Arial" w:hAnsi="Arial" w:cs="Arial"/>
        </w:rPr>
        <w:t xml:space="preserve"> which may affect the above advice.</w:t>
      </w:r>
    </w:p>
    <w:p w14:paraId="29F69BC4" w14:textId="158AE5FF" w:rsidR="00AD5AE8" w:rsidRPr="00BC291E" w:rsidRDefault="00BC291E" w:rsidP="009F78F1">
      <w:pPr>
        <w:spacing w:line="240" w:lineRule="auto"/>
        <w:jc w:val="both"/>
        <w:rPr>
          <w:rFonts w:ascii="Arial" w:hAnsi="Arial" w:cs="Arial"/>
          <w:b/>
          <w:caps/>
        </w:rPr>
      </w:pPr>
      <w:r w:rsidRPr="00BC291E">
        <w:rPr>
          <w:rFonts w:ascii="Arial" w:hAnsi="Arial" w:cs="Arial"/>
          <w:b/>
          <w:caps/>
        </w:rPr>
        <w:t>Efwon Trading to commence Chapter 11</w:t>
      </w:r>
      <w:r>
        <w:rPr>
          <w:rFonts w:ascii="Arial" w:hAnsi="Arial" w:cs="Arial"/>
          <w:b/>
          <w:caps/>
        </w:rPr>
        <w:t xml:space="preserve"> and seek recognition in the uk</w:t>
      </w:r>
    </w:p>
    <w:p w14:paraId="6B030E54" w14:textId="469D1CEA" w:rsidR="00264901" w:rsidRDefault="001969C7" w:rsidP="009F78F1">
      <w:pPr>
        <w:spacing w:line="240" w:lineRule="auto"/>
        <w:jc w:val="both"/>
        <w:rPr>
          <w:rFonts w:ascii="Arial" w:hAnsi="Arial" w:cs="Arial"/>
        </w:rPr>
      </w:pPr>
      <w:r w:rsidRPr="00C55A62">
        <w:rPr>
          <w:rFonts w:ascii="Arial" w:hAnsi="Arial" w:cs="Arial"/>
        </w:rPr>
        <w:t xml:space="preserve">As mentioned above, </w:t>
      </w:r>
      <w:r w:rsidR="00C76540" w:rsidRPr="00C55A62">
        <w:rPr>
          <w:rFonts w:ascii="Arial" w:hAnsi="Arial" w:cs="Arial"/>
        </w:rPr>
        <w:t>it does</w:t>
      </w:r>
      <w:r w:rsidR="00C76540">
        <w:rPr>
          <w:rFonts w:ascii="Arial" w:hAnsi="Arial" w:cs="Arial"/>
        </w:rPr>
        <w:t xml:space="preserve"> not appear that it would be of </w:t>
      </w:r>
      <w:r w:rsidR="00A32E89">
        <w:rPr>
          <w:rFonts w:ascii="Arial" w:hAnsi="Arial" w:cs="Arial"/>
        </w:rPr>
        <w:t xml:space="preserve">great </w:t>
      </w:r>
      <w:r w:rsidR="00C76540">
        <w:rPr>
          <w:rFonts w:ascii="Arial" w:hAnsi="Arial" w:cs="Arial"/>
        </w:rPr>
        <w:t xml:space="preserve">benefits for Efwon Trading to </w:t>
      </w:r>
      <w:r w:rsidR="00E310F3">
        <w:rPr>
          <w:rFonts w:ascii="Arial" w:hAnsi="Arial" w:cs="Arial"/>
        </w:rPr>
        <w:t xml:space="preserve">immediately </w:t>
      </w:r>
      <w:r w:rsidR="00EA06F8">
        <w:rPr>
          <w:rFonts w:ascii="Arial" w:hAnsi="Arial" w:cs="Arial"/>
        </w:rPr>
        <w:t xml:space="preserve">commence </w:t>
      </w:r>
      <w:r w:rsidR="00746F20">
        <w:rPr>
          <w:rFonts w:ascii="Arial" w:hAnsi="Arial" w:cs="Arial"/>
        </w:rPr>
        <w:t xml:space="preserve">insolvency proceedings </w:t>
      </w:r>
      <w:r w:rsidR="00EA06F8">
        <w:rPr>
          <w:rFonts w:ascii="Arial" w:hAnsi="Arial" w:cs="Arial"/>
        </w:rPr>
        <w:t xml:space="preserve">either </w:t>
      </w:r>
      <w:r w:rsidR="00746F20">
        <w:rPr>
          <w:rFonts w:ascii="Arial" w:hAnsi="Arial" w:cs="Arial"/>
        </w:rPr>
        <w:t xml:space="preserve">in accordance with </w:t>
      </w:r>
      <w:r w:rsidR="00EA06F8">
        <w:rPr>
          <w:rFonts w:ascii="Arial" w:hAnsi="Arial" w:cs="Arial"/>
        </w:rPr>
        <w:t>the CVA or the Administration</w:t>
      </w:r>
      <w:r w:rsidR="00746F20">
        <w:rPr>
          <w:rFonts w:ascii="Arial" w:hAnsi="Arial" w:cs="Arial"/>
        </w:rPr>
        <w:t xml:space="preserve"> in the UK</w:t>
      </w:r>
      <w:r w:rsidR="00EA06F8">
        <w:rPr>
          <w:rFonts w:ascii="Arial" w:hAnsi="Arial" w:cs="Arial"/>
        </w:rPr>
        <w:t xml:space="preserve">.  </w:t>
      </w:r>
      <w:r w:rsidR="00CA4266">
        <w:rPr>
          <w:rFonts w:ascii="Arial" w:hAnsi="Arial" w:cs="Arial"/>
        </w:rPr>
        <w:t xml:space="preserve">However, </w:t>
      </w:r>
      <w:r w:rsidR="0089632E">
        <w:rPr>
          <w:rFonts w:ascii="Arial" w:hAnsi="Arial" w:cs="Arial"/>
        </w:rPr>
        <w:t xml:space="preserve">Efwon Trading may </w:t>
      </w:r>
      <w:r w:rsidR="00FF2A33">
        <w:rPr>
          <w:rFonts w:ascii="Arial" w:hAnsi="Arial" w:cs="Arial"/>
        </w:rPr>
        <w:t xml:space="preserve">elect to commence </w:t>
      </w:r>
      <w:r w:rsidR="00EE198B">
        <w:rPr>
          <w:rFonts w:ascii="Arial" w:hAnsi="Arial" w:cs="Arial"/>
        </w:rPr>
        <w:t>Chapter 11 together with Efwon Investments</w:t>
      </w:r>
      <w:r w:rsidR="00663D5A">
        <w:rPr>
          <w:rFonts w:ascii="Arial" w:hAnsi="Arial" w:cs="Arial"/>
        </w:rPr>
        <w:t xml:space="preserve"> and seek to have it recognise</w:t>
      </w:r>
      <w:r w:rsidR="00A61DE6">
        <w:rPr>
          <w:rFonts w:ascii="Arial" w:hAnsi="Arial" w:cs="Arial"/>
        </w:rPr>
        <w:t>d</w:t>
      </w:r>
      <w:r w:rsidR="00663D5A">
        <w:rPr>
          <w:rFonts w:ascii="Arial" w:hAnsi="Arial" w:cs="Arial"/>
        </w:rPr>
        <w:t xml:space="preserve"> in other jurisd</w:t>
      </w:r>
      <w:r w:rsidR="00B9172B">
        <w:rPr>
          <w:rFonts w:ascii="Arial" w:hAnsi="Arial" w:cs="Arial"/>
        </w:rPr>
        <w:t>ictions as a foreign proceeding under the Model Law</w:t>
      </w:r>
      <w:r w:rsidR="00EE198B">
        <w:rPr>
          <w:rFonts w:ascii="Arial" w:hAnsi="Arial" w:cs="Arial"/>
        </w:rPr>
        <w:t xml:space="preserve">.  </w:t>
      </w:r>
      <w:r w:rsidR="00DE6EF9">
        <w:rPr>
          <w:rFonts w:ascii="Arial" w:hAnsi="Arial" w:cs="Arial"/>
        </w:rPr>
        <w:t xml:space="preserve">The </w:t>
      </w:r>
      <w:r w:rsidR="00455BC9">
        <w:rPr>
          <w:rFonts w:ascii="Arial" w:hAnsi="Arial" w:cs="Arial"/>
        </w:rPr>
        <w:t xml:space="preserve">benefits </w:t>
      </w:r>
      <w:r w:rsidR="00F7000D">
        <w:rPr>
          <w:rFonts w:ascii="Arial" w:hAnsi="Arial" w:cs="Arial"/>
        </w:rPr>
        <w:t xml:space="preserve">and disadvantages </w:t>
      </w:r>
      <w:r w:rsidR="00455BC9">
        <w:rPr>
          <w:rFonts w:ascii="Arial" w:hAnsi="Arial" w:cs="Arial"/>
        </w:rPr>
        <w:t xml:space="preserve">of commencing the Chapter 11 process </w:t>
      </w:r>
      <w:r w:rsidR="00B9172B">
        <w:rPr>
          <w:rFonts w:ascii="Arial" w:hAnsi="Arial" w:cs="Arial"/>
        </w:rPr>
        <w:t xml:space="preserve">and </w:t>
      </w:r>
      <w:r w:rsidR="000558FE">
        <w:rPr>
          <w:rFonts w:ascii="Arial" w:hAnsi="Arial" w:cs="Arial"/>
        </w:rPr>
        <w:t xml:space="preserve">recognition in other jurisdictions as a foreign proceeding </w:t>
      </w:r>
      <w:r w:rsidR="00455BC9">
        <w:rPr>
          <w:rFonts w:ascii="Arial" w:hAnsi="Arial" w:cs="Arial"/>
        </w:rPr>
        <w:t>have been discussed above</w:t>
      </w:r>
      <w:r w:rsidR="002A4C4B">
        <w:rPr>
          <w:rFonts w:ascii="Arial" w:hAnsi="Arial" w:cs="Arial"/>
        </w:rPr>
        <w:t xml:space="preserve">, </w:t>
      </w:r>
      <w:proofErr w:type="gramStart"/>
      <w:r w:rsidR="002A4C4B">
        <w:rPr>
          <w:rFonts w:ascii="Arial" w:hAnsi="Arial" w:cs="Arial"/>
        </w:rPr>
        <w:t>similar to</w:t>
      </w:r>
      <w:proofErr w:type="gramEnd"/>
      <w:r w:rsidR="002A4C4B">
        <w:rPr>
          <w:rFonts w:ascii="Arial" w:hAnsi="Arial" w:cs="Arial"/>
        </w:rPr>
        <w:t xml:space="preserve"> that of Efwon Investments</w:t>
      </w:r>
      <w:r w:rsidR="00156C88">
        <w:rPr>
          <w:rFonts w:ascii="Arial" w:hAnsi="Arial" w:cs="Arial"/>
        </w:rPr>
        <w:t>, though a</w:t>
      </w:r>
      <w:r w:rsidR="00316AE7">
        <w:rPr>
          <w:rFonts w:ascii="Arial" w:hAnsi="Arial" w:cs="Arial"/>
        </w:rPr>
        <w:t>s Efwon Trading</w:t>
      </w:r>
      <w:r w:rsidR="00D10197">
        <w:rPr>
          <w:rFonts w:ascii="Arial" w:hAnsi="Arial" w:cs="Arial"/>
        </w:rPr>
        <w:t xml:space="preserve"> was incorporated in England &amp; Wales, further consideration </w:t>
      </w:r>
      <w:r w:rsidR="0016605D">
        <w:rPr>
          <w:rFonts w:ascii="Arial" w:hAnsi="Arial" w:cs="Arial"/>
        </w:rPr>
        <w:t>on taking such approach is required.</w:t>
      </w:r>
    </w:p>
    <w:p w14:paraId="2CB1C2CE" w14:textId="2F8A0715" w:rsidR="00BC291E" w:rsidRPr="00BC291E" w:rsidRDefault="00BC291E" w:rsidP="009F78F1">
      <w:pPr>
        <w:spacing w:line="240" w:lineRule="auto"/>
        <w:jc w:val="both"/>
        <w:rPr>
          <w:rFonts w:ascii="Arial" w:hAnsi="Arial" w:cs="Arial"/>
          <w:u w:val="single"/>
        </w:rPr>
      </w:pPr>
      <w:r>
        <w:rPr>
          <w:rFonts w:ascii="Arial" w:hAnsi="Arial" w:cs="Arial"/>
          <w:u w:val="single"/>
        </w:rPr>
        <w:t>Eligibility</w:t>
      </w:r>
      <w:r w:rsidR="00424B05">
        <w:rPr>
          <w:rFonts w:ascii="Arial" w:hAnsi="Arial" w:cs="Arial"/>
          <w:u w:val="single"/>
        </w:rPr>
        <w:t xml:space="preserve"> to commence Chapter 11</w:t>
      </w:r>
    </w:p>
    <w:p w14:paraId="740F373F" w14:textId="442872B7" w:rsidR="00A95EE0" w:rsidRDefault="00366409" w:rsidP="009F78F1">
      <w:pPr>
        <w:spacing w:line="240" w:lineRule="auto"/>
        <w:jc w:val="both"/>
        <w:rPr>
          <w:rFonts w:ascii="Arial" w:hAnsi="Arial" w:cs="Arial"/>
        </w:rPr>
      </w:pPr>
      <w:r>
        <w:rPr>
          <w:rFonts w:ascii="Arial" w:hAnsi="Arial" w:cs="Arial"/>
        </w:rPr>
        <w:t xml:space="preserve">The first question is whether </w:t>
      </w:r>
      <w:r w:rsidR="00845725">
        <w:rPr>
          <w:rFonts w:ascii="Arial" w:hAnsi="Arial" w:cs="Arial"/>
        </w:rPr>
        <w:t>Efwon Trading is eligible to commence Chapter 11.</w:t>
      </w:r>
      <w:r w:rsidR="004A23EC">
        <w:rPr>
          <w:rFonts w:ascii="Arial" w:hAnsi="Arial" w:cs="Arial"/>
        </w:rPr>
        <w:t xml:space="preserve">  </w:t>
      </w:r>
      <w:r w:rsidR="00864887">
        <w:rPr>
          <w:rFonts w:ascii="Arial" w:hAnsi="Arial" w:cs="Arial"/>
        </w:rPr>
        <w:t xml:space="preserve">In </w:t>
      </w:r>
      <w:r w:rsidR="00864887" w:rsidRPr="00864887">
        <w:rPr>
          <w:rFonts w:ascii="Arial" w:hAnsi="Arial" w:cs="Arial"/>
          <w:i/>
          <w:iCs/>
        </w:rPr>
        <w:t>Re Global Ocean Carriers Ltd., 251 B.R. 31 (Bankr. D. Del. 2000)</w:t>
      </w:r>
      <w:r w:rsidR="00864887">
        <w:rPr>
          <w:rFonts w:ascii="Arial" w:hAnsi="Arial" w:cs="Arial"/>
        </w:rPr>
        <w:t xml:space="preserve">, it </w:t>
      </w:r>
      <w:r w:rsidR="00F91360">
        <w:rPr>
          <w:rFonts w:ascii="Arial" w:hAnsi="Arial" w:cs="Arial"/>
        </w:rPr>
        <w:t xml:space="preserve">has been established that the test for eligibility </w:t>
      </w:r>
      <w:r w:rsidR="001A58F9">
        <w:rPr>
          <w:rFonts w:ascii="Arial" w:hAnsi="Arial" w:cs="Arial"/>
        </w:rPr>
        <w:t xml:space="preserve">should be taken </w:t>
      </w:r>
      <w:r w:rsidR="002729D5">
        <w:rPr>
          <w:rFonts w:ascii="Arial" w:hAnsi="Arial" w:cs="Arial"/>
        </w:rPr>
        <w:t xml:space="preserve">with regards to </w:t>
      </w:r>
      <w:r w:rsidR="007B3D48">
        <w:rPr>
          <w:rFonts w:ascii="Arial" w:hAnsi="Arial" w:cs="Arial"/>
        </w:rPr>
        <w:t xml:space="preserve">the date the petition is filed.  Even where </w:t>
      </w:r>
      <w:r w:rsidR="0089093C">
        <w:rPr>
          <w:rFonts w:ascii="Arial" w:hAnsi="Arial" w:cs="Arial"/>
        </w:rPr>
        <w:t xml:space="preserve">Efwon Investments </w:t>
      </w:r>
      <w:r w:rsidR="001D0973">
        <w:rPr>
          <w:rFonts w:ascii="Arial" w:hAnsi="Arial" w:cs="Arial"/>
        </w:rPr>
        <w:t>is eligible to file, the eligi</w:t>
      </w:r>
      <w:r w:rsidR="009B4CA9">
        <w:rPr>
          <w:rFonts w:ascii="Arial" w:hAnsi="Arial" w:cs="Arial"/>
        </w:rPr>
        <w:t xml:space="preserve">bility of Efwon Trading must be tested separately, and the burden of </w:t>
      </w:r>
      <w:r w:rsidR="008E4196">
        <w:rPr>
          <w:rFonts w:ascii="Arial" w:hAnsi="Arial" w:cs="Arial"/>
        </w:rPr>
        <w:t>establishing which is on Efwon Trading</w:t>
      </w:r>
      <w:r w:rsidR="006020BA">
        <w:rPr>
          <w:rFonts w:ascii="Arial" w:hAnsi="Arial" w:cs="Arial"/>
        </w:rPr>
        <w:t xml:space="preserve">.  </w:t>
      </w:r>
      <w:r w:rsidR="00BD7F01">
        <w:rPr>
          <w:rFonts w:ascii="Arial" w:hAnsi="Arial" w:cs="Arial"/>
        </w:rPr>
        <w:t xml:space="preserve">Therefore, </w:t>
      </w:r>
      <w:proofErr w:type="gramStart"/>
      <w:r w:rsidR="00BD7F01">
        <w:rPr>
          <w:rFonts w:ascii="Arial" w:hAnsi="Arial" w:cs="Arial"/>
        </w:rPr>
        <w:t>in order for</w:t>
      </w:r>
      <w:proofErr w:type="gramEnd"/>
      <w:r w:rsidR="00BD7F01">
        <w:rPr>
          <w:rFonts w:ascii="Arial" w:hAnsi="Arial" w:cs="Arial"/>
        </w:rPr>
        <w:t xml:space="preserve"> Efwon Trading </w:t>
      </w:r>
      <w:r w:rsidR="00D00D4D">
        <w:rPr>
          <w:rFonts w:ascii="Arial" w:hAnsi="Arial" w:cs="Arial"/>
        </w:rPr>
        <w:t xml:space="preserve">to be eligible to commence Chapter 11, it needs to establish that it resides </w:t>
      </w:r>
      <w:r w:rsidR="001F4FE8">
        <w:rPr>
          <w:rFonts w:ascii="Arial" w:hAnsi="Arial" w:cs="Arial"/>
        </w:rPr>
        <w:t>or has a domicile, a place of business, or property in the US.</w:t>
      </w:r>
      <w:bookmarkStart w:id="22" w:name="_Ref142493663"/>
      <w:r w:rsidR="001F4FE8">
        <w:rPr>
          <w:rStyle w:val="FootnoteReference"/>
          <w:rFonts w:ascii="Arial" w:hAnsi="Arial" w:cs="Arial"/>
        </w:rPr>
        <w:footnoteReference w:id="90"/>
      </w:r>
      <w:bookmarkEnd w:id="22"/>
      <w:r w:rsidR="001F4FE8">
        <w:rPr>
          <w:rFonts w:ascii="Arial" w:hAnsi="Arial" w:cs="Arial"/>
        </w:rPr>
        <w:t xml:space="preserve">  </w:t>
      </w:r>
      <w:r w:rsidR="0045232A">
        <w:rPr>
          <w:rFonts w:ascii="Arial" w:hAnsi="Arial" w:cs="Arial"/>
        </w:rPr>
        <w:t xml:space="preserve">Based on the current information available, it does not appear that Efwon Trading </w:t>
      </w:r>
      <w:r w:rsidR="008727D6">
        <w:rPr>
          <w:rFonts w:ascii="Arial" w:hAnsi="Arial" w:cs="Arial"/>
        </w:rPr>
        <w:t>resides or has a domicile or a place of business in the US.  However, t</w:t>
      </w:r>
      <w:r w:rsidR="00D11087">
        <w:rPr>
          <w:rFonts w:ascii="Arial" w:hAnsi="Arial" w:cs="Arial"/>
        </w:rPr>
        <w:t xml:space="preserve">he test </w:t>
      </w:r>
      <w:r w:rsidR="00902015">
        <w:rPr>
          <w:rFonts w:ascii="Arial" w:hAnsi="Arial" w:cs="Arial"/>
        </w:rPr>
        <w:t xml:space="preserve">may </w:t>
      </w:r>
      <w:r w:rsidR="008727D6">
        <w:rPr>
          <w:rFonts w:ascii="Arial" w:hAnsi="Arial" w:cs="Arial"/>
        </w:rPr>
        <w:t xml:space="preserve">still </w:t>
      </w:r>
      <w:r w:rsidR="00902015">
        <w:rPr>
          <w:rFonts w:ascii="Arial" w:hAnsi="Arial" w:cs="Arial"/>
        </w:rPr>
        <w:t xml:space="preserve">be satisfied if Efwon Trading has </w:t>
      </w:r>
      <w:r w:rsidR="008727D6">
        <w:rPr>
          <w:rFonts w:ascii="Arial" w:hAnsi="Arial" w:cs="Arial"/>
        </w:rPr>
        <w:t xml:space="preserve">property in the US.  </w:t>
      </w:r>
      <w:r w:rsidR="003733DF">
        <w:rPr>
          <w:rFonts w:ascii="Arial" w:hAnsi="Arial" w:cs="Arial"/>
        </w:rPr>
        <w:t xml:space="preserve">As it has been established in </w:t>
      </w:r>
      <w:r w:rsidR="003733DF" w:rsidRPr="003733DF">
        <w:rPr>
          <w:rFonts w:ascii="Arial" w:hAnsi="Arial" w:cs="Arial"/>
          <w:i/>
          <w:iCs/>
        </w:rPr>
        <w:t>Re Global Ocean</w:t>
      </w:r>
      <w:r w:rsidR="003733DF">
        <w:rPr>
          <w:rFonts w:ascii="Arial" w:hAnsi="Arial" w:cs="Arial"/>
        </w:rPr>
        <w:t>, s</w:t>
      </w:r>
      <w:r w:rsidR="0092750B">
        <w:rPr>
          <w:rFonts w:ascii="Arial" w:hAnsi="Arial" w:cs="Arial"/>
        </w:rPr>
        <w:t xml:space="preserve">uch property </w:t>
      </w:r>
      <w:r w:rsidR="00AB355E">
        <w:rPr>
          <w:rFonts w:ascii="Arial" w:hAnsi="Arial" w:cs="Arial"/>
        </w:rPr>
        <w:t xml:space="preserve">in the US </w:t>
      </w:r>
      <w:r w:rsidR="0092750B">
        <w:rPr>
          <w:rFonts w:ascii="Arial" w:hAnsi="Arial" w:cs="Arial"/>
        </w:rPr>
        <w:t>may include</w:t>
      </w:r>
      <w:r w:rsidR="00A95EE0">
        <w:rPr>
          <w:rFonts w:ascii="Arial" w:hAnsi="Arial" w:cs="Arial"/>
        </w:rPr>
        <w:t>:</w:t>
      </w:r>
      <w:r w:rsidR="0092750B">
        <w:rPr>
          <w:rFonts w:ascii="Arial" w:hAnsi="Arial" w:cs="Arial"/>
        </w:rPr>
        <w:t xml:space="preserve"> </w:t>
      </w:r>
    </w:p>
    <w:p w14:paraId="7FBEBD8D" w14:textId="1C615958" w:rsidR="00A95EE0" w:rsidRDefault="0092750B" w:rsidP="00A95EE0">
      <w:pPr>
        <w:pStyle w:val="ListParagraph"/>
        <w:numPr>
          <w:ilvl w:val="0"/>
          <w:numId w:val="16"/>
        </w:numPr>
        <w:spacing w:line="240" w:lineRule="auto"/>
        <w:ind w:hanging="436"/>
        <w:jc w:val="both"/>
        <w:rPr>
          <w:rFonts w:ascii="Arial" w:hAnsi="Arial" w:cs="Arial"/>
        </w:rPr>
      </w:pPr>
      <w:r w:rsidRPr="00A95EE0">
        <w:rPr>
          <w:rFonts w:ascii="Arial" w:hAnsi="Arial" w:cs="Arial"/>
        </w:rPr>
        <w:lastRenderedPageBreak/>
        <w:t xml:space="preserve">shareholding in </w:t>
      </w:r>
      <w:r w:rsidR="00CA6E7B" w:rsidRPr="00A95EE0">
        <w:rPr>
          <w:rFonts w:ascii="Arial" w:hAnsi="Arial" w:cs="Arial"/>
        </w:rPr>
        <w:t>a company incorporated under the laws of the US</w:t>
      </w:r>
      <w:r w:rsidR="00D275AB" w:rsidRPr="00A95EE0">
        <w:rPr>
          <w:rFonts w:ascii="Arial" w:hAnsi="Arial" w:cs="Arial"/>
        </w:rPr>
        <w:t>;</w:t>
      </w:r>
      <w:r w:rsidR="0010593C">
        <w:rPr>
          <w:rStyle w:val="FootnoteReference"/>
          <w:rFonts w:ascii="Arial" w:hAnsi="Arial" w:cs="Arial"/>
        </w:rPr>
        <w:footnoteReference w:id="91"/>
      </w:r>
      <w:r w:rsidR="00D275AB" w:rsidRPr="00A95EE0">
        <w:rPr>
          <w:rFonts w:ascii="Arial" w:hAnsi="Arial" w:cs="Arial"/>
        </w:rPr>
        <w:t xml:space="preserve"> </w:t>
      </w:r>
    </w:p>
    <w:p w14:paraId="2C0E5EC0" w14:textId="77777777" w:rsidR="00A95EE0" w:rsidRDefault="00D028DA" w:rsidP="00A95EE0">
      <w:pPr>
        <w:pStyle w:val="ListParagraph"/>
        <w:numPr>
          <w:ilvl w:val="0"/>
          <w:numId w:val="16"/>
        </w:numPr>
        <w:spacing w:line="240" w:lineRule="auto"/>
        <w:ind w:hanging="436"/>
        <w:jc w:val="both"/>
        <w:rPr>
          <w:rFonts w:ascii="Arial" w:hAnsi="Arial" w:cs="Arial"/>
        </w:rPr>
      </w:pPr>
      <w:r w:rsidRPr="00A95EE0">
        <w:rPr>
          <w:rFonts w:ascii="Arial" w:hAnsi="Arial" w:cs="Arial"/>
        </w:rPr>
        <w:t xml:space="preserve">original books </w:t>
      </w:r>
      <w:r w:rsidR="006A7D12" w:rsidRPr="00A95EE0">
        <w:rPr>
          <w:rFonts w:ascii="Arial" w:hAnsi="Arial" w:cs="Arial"/>
        </w:rPr>
        <w:t>and records</w:t>
      </w:r>
      <w:r w:rsidR="00C206D3" w:rsidRPr="00A95EE0">
        <w:rPr>
          <w:rFonts w:ascii="Arial" w:hAnsi="Arial" w:cs="Arial"/>
        </w:rPr>
        <w:t xml:space="preserve"> of Efwon Trading</w:t>
      </w:r>
      <w:r w:rsidR="00D275AB" w:rsidRPr="00A95EE0">
        <w:rPr>
          <w:rFonts w:ascii="Arial" w:hAnsi="Arial" w:cs="Arial"/>
        </w:rPr>
        <w:t xml:space="preserve">; </w:t>
      </w:r>
    </w:p>
    <w:p w14:paraId="09F6321D" w14:textId="7327FF6B" w:rsidR="00E63034" w:rsidRDefault="00C206D3" w:rsidP="00A95EE0">
      <w:pPr>
        <w:pStyle w:val="ListParagraph"/>
        <w:numPr>
          <w:ilvl w:val="0"/>
          <w:numId w:val="16"/>
        </w:numPr>
        <w:spacing w:line="240" w:lineRule="auto"/>
        <w:ind w:hanging="436"/>
        <w:jc w:val="both"/>
        <w:rPr>
          <w:rFonts w:ascii="Arial" w:hAnsi="Arial" w:cs="Arial"/>
        </w:rPr>
      </w:pPr>
      <w:r w:rsidRPr="00A95EE0">
        <w:rPr>
          <w:rFonts w:ascii="Arial" w:hAnsi="Arial" w:cs="Arial"/>
        </w:rPr>
        <w:t xml:space="preserve">bank accounts maintained </w:t>
      </w:r>
      <w:r w:rsidR="00DC279B" w:rsidRPr="00A95EE0">
        <w:rPr>
          <w:rFonts w:ascii="Arial" w:hAnsi="Arial" w:cs="Arial"/>
        </w:rPr>
        <w:t>by Efwon Trading</w:t>
      </w:r>
      <w:r w:rsidR="00671C25" w:rsidRPr="00A95EE0">
        <w:rPr>
          <w:rFonts w:ascii="Arial" w:hAnsi="Arial" w:cs="Arial"/>
        </w:rPr>
        <w:t xml:space="preserve"> regardless of how much money </w:t>
      </w:r>
      <w:r w:rsidR="000C10DF" w:rsidRPr="00A95EE0">
        <w:rPr>
          <w:rFonts w:ascii="Arial" w:hAnsi="Arial" w:cs="Arial"/>
        </w:rPr>
        <w:t>is actually maintained</w:t>
      </w:r>
      <w:r w:rsidR="00D275AB" w:rsidRPr="00A95EE0">
        <w:rPr>
          <w:rFonts w:ascii="Arial" w:hAnsi="Arial" w:cs="Arial"/>
        </w:rPr>
        <w:t xml:space="preserve">; </w:t>
      </w:r>
    </w:p>
    <w:p w14:paraId="2AECF574" w14:textId="285C3EF1" w:rsidR="00E63034" w:rsidRDefault="00D275AB" w:rsidP="00A95EE0">
      <w:pPr>
        <w:pStyle w:val="ListParagraph"/>
        <w:numPr>
          <w:ilvl w:val="0"/>
          <w:numId w:val="16"/>
        </w:numPr>
        <w:spacing w:line="240" w:lineRule="auto"/>
        <w:ind w:hanging="436"/>
        <w:jc w:val="both"/>
        <w:rPr>
          <w:rFonts w:ascii="Arial" w:hAnsi="Arial" w:cs="Arial"/>
        </w:rPr>
      </w:pPr>
      <w:r w:rsidRPr="00A95EE0">
        <w:rPr>
          <w:rFonts w:ascii="Arial" w:hAnsi="Arial" w:cs="Arial"/>
        </w:rPr>
        <w:t xml:space="preserve">any claims by Efwon Trading </w:t>
      </w:r>
      <w:r w:rsidR="002B4014">
        <w:rPr>
          <w:rFonts w:ascii="Arial" w:hAnsi="Arial" w:cs="Arial"/>
        </w:rPr>
        <w:t>against</w:t>
      </w:r>
      <w:r w:rsidRPr="00A95EE0">
        <w:rPr>
          <w:rFonts w:ascii="Arial" w:hAnsi="Arial" w:cs="Arial"/>
        </w:rPr>
        <w:t xml:space="preserve"> </w:t>
      </w:r>
      <w:r w:rsidR="00AB355E" w:rsidRPr="00A95EE0">
        <w:rPr>
          <w:rFonts w:ascii="Arial" w:hAnsi="Arial" w:cs="Arial"/>
        </w:rPr>
        <w:t>the funds in the bank accounts maintained by Efwon Investments in the US</w:t>
      </w:r>
      <w:r w:rsidR="002F22DD" w:rsidRPr="00A95EE0">
        <w:rPr>
          <w:rFonts w:ascii="Arial" w:hAnsi="Arial" w:cs="Arial"/>
        </w:rPr>
        <w:t xml:space="preserve">; </w:t>
      </w:r>
      <w:r w:rsidR="00E63034">
        <w:rPr>
          <w:rFonts w:ascii="Arial" w:hAnsi="Arial" w:cs="Arial"/>
        </w:rPr>
        <w:t>and</w:t>
      </w:r>
    </w:p>
    <w:p w14:paraId="3350298E" w14:textId="4D963402" w:rsidR="00E63034" w:rsidRDefault="00A30130" w:rsidP="00A95EE0">
      <w:pPr>
        <w:pStyle w:val="ListParagraph"/>
        <w:numPr>
          <w:ilvl w:val="0"/>
          <w:numId w:val="16"/>
        </w:numPr>
        <w:spacing w:line="240" w:lineRule="auto"/>
        <w:ind w:hanging="436"/>
        <w:jc w:val="both"/>
        <w:rPr>
          <w:rFonts w:ascii="Arial" w:hAnsi="Arial" w:cs="Arial"/>
        </w:rPr>
      </w:pPr>
      <w:r w:rsidRPr="00A95EE0">
        <w:rPr>
          <w:rFonts w:ascii="Arial" w:hAnsi="Arial" w:cs="Arial"/>
        </w:rPr>
        <w:t xml:space="preserve">retainers held </w:t>
      </w:r>
      <w:r w:rsidR="001D6EF2" w:rsidRPr="00A95EE0">
        <w:rPr>
          <w:rFonts w:ascii="Arial" w:hAnsi="Arial" w:cs="Arial"/>
        </w:rPr>
        <w:t xml:space="preserve">in the escrow funds </w:t>
      </w:r>
      <w:r w:rsidR="00B00EE8" w:rsidRPr="00A95EE0">
        <w:rPr>
          <w:rFonts w:ascii="Arial" w:hAnsi="Arial" w:cs="Arial"/>
        </w:rPr>
        <w:t xml:space="preserve">by </w:t>
      </w:r>
      <w:r w:rsidR="000177FB" w:rsidRPr="00A95EE0">
        <w:rPr>
          <w:rFonts w:ascii="Arial" w:hAnsi="Arial" w:cs="Arial"/>
        </w:rPr>
        <w:t xml:space="preserve">US counsel </w:t>
      </w:r>
      <w:r w:rsidR="00B00EE8" w:rsidRPr="00A95EE0">
        <w:rPr>
          <w:rFonts w:ascii="Arial" w:hAnsi="Arial" w:cs="Arial"/>
        </w:rPr>
        <w:t xml:space="preserve">which </w:t>
      </w:r>
      <w:r w:rsidR="0084047C" w:rsidRPr="00A95EE0">
        <w:rPr>
          <w:rFonts w:ascii="Arial" w:hAnsi="Arial" w:cs="Arial"/>
        </w:rPr>
        <w:t>Efwon Trading has an interest in regardless of who paid the retainer</w:t>
      </w:r>
      <w:r w:rsidR="00786DFD" w:rsidRPr="00A95EE0">
        <w:rPr>
          <w:rFonts w:ascii="Arial" w:hAnsi="Arial" w:cs="Arial"/>
        </w:rPr>
        <w:t>.</w:t>
      </w:r>
      <w:r w:rsidR="003733DF" w:rsidRPr="00A95EE0">
        <w:rPr>
          <w:rFonts w:ascii="Arial" w:hAnsi="Arial" w:cs="Arial"/>
        </w:rPr>
        <w:t xml:space="preserve">  </w:t>
      </w:r>
    </w:p>
    <w:p w14:paraId="3E20386C" w14:textId="4EAFEF02" w:rsidR="0016605D" w:rsidRPr="00E63034" w:rsidRDefault="008C77FC" w:rsidP="00E63034">
      <w:pPr>
        <w:spacing w:line="240" w:lineRule="auto"/>
        <w:jc w:val="both"/>
        <w:rPr>
          <w:rFonts w:ascii="Arial" w:hAnsi="Arial" w:cs="Arial"/>
        </w:rPr>
      </w:pPr>
      <w:r w:rsidRPr="00E63034">
        <w:rPr>
          <w:rFonts w:ascii="Arial" w:hAnsi="Arial" w:cs="Arial"/>
        </w:rPr>
        <w:t>It is unclear if Efwon Trading has such property in the US.  If it does, it is eligible to commence Chapter 11.</w:t>
      </w:r>
      <w:r w:rsidR="004D5E8E" w:rsidRPr="004D5E8E">
        <w:rPr>
          <w:rFonts w:ascii="Arial" w:hAnsi="Arial" w:cs="Arial"/>
        </w:rPr>
        <w:t xml:space="preserve"> </w:t>
      </w:r>
      <w:r w:rsidR="004D5E8E">
        <w:rPr>
          <w:rFonts w:ascii="Arial" w:hAnsi="Arial" w:cs="Arial"/>
        </w:rPr>
        <w:t xml:space="preserve"> </w:t>
      </w:r>
      <w:r w:rsidR="004D5E8E">
        <w:rPr>
          <w:rFonts w:ascii="Arial" w:hAnsi="Arial" w:cs="Arial"/>
        </w:rPr>
        <w:t xml:space="preserve">Assuming Efwon Trading is eligible to commence Chapter 11, it </w:t>
      </w:r>
      <w:r w:rsidR="00314F15">
        <w:rPr>
          <w:rFonts w:ascii="Arial" w:hAnsi="Arial" w:cs="Arial"/>
        </w:rPr>
        <w:t xml:space="preserve">may </w:t>
      </w:r>
      <w:r w:rsidR="004D5E8E">
        <w:rPr>
          <w:rFonts w:ascii="Arial" w:hAnsi="Arial" w:cs="Arial"/>
        </w:rPr>
        <w:t xml:space="preserve">then </w:t>
      </w:r>
      <w:r w:rsidR="00314F15">
        <w:rPr>
          <w:rFonts w:ascii="Arial" w:hAnsi="Arial" w:cs="Arial"/>
        </w:rPr>
        <w:t xml:space="preserve">elect to </w:t>
      </w:r>
      <w:r w:rsidR="004D5E8E">
        <w:rPr>
          <w:rFonts w:ascii="Arial" w:hAnsi="Arial" w:cs="Arial"/>
        </w:rPr>
        <w:t xml:space="preserve">seek recognition in other jurisdictions as a foreign proceeding.  </w:t>
      </w:r>
    </w:p>
    <w:p w14:paraId="0AA0621C" w14:textId="4047B849" w:rsidR="00BC291E" w:rsidRPr="00BC291E" w:rsidRDefault="00BC291E" w:rsidP="009F78F1">
      <w:pPr>
        <w:spacing w:line="240" w:lineRule="auto"/>
        <w:jc w:val="both"/>
        <w:rPr>
          <w:rFonts w:ascii="Arial" w:hAnsi="Arial" w:cs="Arial"/>
          <w:u w:val="single"/>
        </w:rPr>
      </w:pPr>
      <w:r w:rsidRPr="00BC291E">
        <w:rPr>
          <w:rFonts w:ascii="Arial" w:hAnsi="Arial" w:cs="Arial"/>
          <w:u w:val="single"/>
        </w:rPr>
        <w:t xml:space="preserve">Recognition in </w:t>
      </w:r>
      <w:r>
        <w:rPr>
          <w:rFonts w:ascii="Arial" w:hAnsi="Arial" w:cs="Arial"/>
          <w:u w:val="single"/>
        </w:rPr>
        <w:t xml:space="preserve">the </w:t>
      </w:r>
      <w:r w:rsidRPr="00BC291E">
        <w:rPr>
          <w:rFonts w:ascii="Arial" w:hAnsi="Arial" w:cs="Arial"/>
          <w:u w:val="single"/>
        </w:rPr>
        <w:t>UK</w:t>
      </w:r>
    </w:p>
    <w:p w14:paraId="52A9AC1F" w14:textId="4997C226" w:rsidR="00BC291E" w:rsidRPr="00BC291E" w:rsidRDefault="00BC291E" w:rsidP="009F78F1">
      <w:pPr>
        <w:spacing w:line="240" w:lineRule="auto"/>
        <w:jc w:val="both"/>
        <w:rPr>
          <w:rFonts w:ascii="Arial" w:hAnsi="Arial" w:cs="Arial"/>
          <w:i/>
          <w:iCs/>
        </w:rPr>
      </w:pPr>
      <w:r w:rsidRPr="00BC291E">
        <w:rPr>
          <w:rFonts w:ascii="Arial" w:hAnsi="Arial" w:cs="Arial"/>
          <w:i/>
          <w:iCs/>
        </w:rPr>
        <w:t>COMI</w:t>
      </w:r>
      <w:r>
        <w:rPr>
          <w:rFonts w:ascii="Arial" w:hAnsi="Arial" w:cs="Arial"/>
          <w:i/>
          <w:iCs/>
        </w:rPr>
        <w:t xml:space="preserve"> </w:t>
      </w:r>
    </w:p>
    <w:p w14:paraId="5DEDC488" w14:textId="122246AC" w:rsidR="000F127E" w:rsidRDefault="00EF44C1" w:rsidP="009F78F1">
      <w:pPr>
        <w:spacing w:line="240" w:lineRule="auto"/>
        <w:jc w:val="both"/>
        <w:rPr>
          <w:rFonts w:ascii="Arial" w:hAnsi="Arial" w:cs="Arial"/>
        </w:rPr>
      </w:pPr>
      <w:r>
        <w:rPr>
          <w:rFonts w:ascii="Arial" w:hAnsi="Arial" w:cs="Arial"/>
        </w:rPr>
        <w:t>T</w:t>
      </w:r>
      <w:r w:rsidR="000F66F7">
        <w:rPr>
          <w:rFonts w:ascii="Arial" w:hAnsi="Arial" w:cs="Arial"/>
        </w:rPr>
        <w:t xml:space="preserve">he second question is whether </w:t>
      </w:r>
      <w:r w:rsidR="00392A4B">
        <w:rPr>
          <w:rFonts w:ascii="Arial" w:hAnsi="Arial" w:cs="Arial"/>
        </w:rPr>
        <w:t>the Chapter 11 of Efwon Trading</w:t>
      </w:r>
      <w:r>
        <w:rPr>
          <w:rFonts w:ascii="Arial" w:hAnsi="Arial" w:cs="Arial"/>
        </w:rPr>
        <w:t xml:space="preserve"> can be recognised as a foreign main proceeding or foreign non-main proceeding.</w:t>
      </w:r>
      <w:r w:rsidR="00DE17C0">
        <w:rPr>
          <w:rFonts w:ascii="Arial" w:hAnsi="Arial" w:cs="Arial"/>
        </w:rPr>
        <w:t xml:space="preserve">  </w:t>
      </w:r>
      <w:r w:rsidR="003559BD">
        <w:rPr>
          <w:rFonts w:ascii="Arial" w:hAnsi="Arial" w:cs="Arial"/>
        </w:rPr>
        <w:t>A</w:t>
      </w:r>
      <w:r w:rsidR="00F841A3">
        <w:rPr>
          <w:rFonts w:ascii="Arial" w:hAnsi="Arial" w:cs="Arial"/>
        </w:rPr>
        <w:t xml:space="preserve"> </w:t>
      </w:r>
      <w:r w:rsidR="00513975">
        <w:rPr>
          <w:rFonts w:ascii="Arial" w:hAnsi="Arial" w:cs="Arial"/>
        </w:rPr>
        <w:t xml:space="preserve">foreign proceeding is a </w:t>
      </w:r>
      <w:r w:rsidR="00F841A3">
        <w:rPr>
          <w:rFonts w:ascii="Arial" w:hAnsi="Arial" w:cs="Arial"/>
        </w:rPr>
        <w:t xml:space="preserve">foreign main proceeding if </w:t>
      </w:r>
      <w:r w:rsidR="00513975">
        <w:rPr>
          <w:rFonts w:ascii="Arial" w:hAnsi="Arial" w:cs="Arial"/>
        </w:rPr>
        <w:t xml:space="preserve">it is commenced in the jurisdiction where the </w:t>
      </w:r>
      <w:r w:rsidR="008A69E1">
        <w:rPr>
          <w:rFonts w:ascii="Arial" w:hAnsi="Arial" w:cs="Arial"/>
        </w:rPr>
        <w:t xml:space="preserve">company has the COMI or is a foreign non-main proceeding if </w:t>
      </w:r>
      <w:r w:rsidR="00404B86">
        <w:rPr>
          <w:rFonts w:ascii="Arial" w:hAnsi="Arial" w:cs="Arial"/>
        </w:rPr>
        <w:t xml:space="preserve">it is commenced in the jurisdiction where </w:t>
      </w:r>
      <w:r w:rsidR="00C475F7">
        <w:rPr>
          <w:rFonts w:ascii="Arial" w:hAnsi="Arial" w:cs="Arial"/>
        </w:rPr>
        <w:t>the company has an establishment</w:t>
      </w:r>
      <w:r w:rsidR="00465E94">
        <w:rPr>
          <w:rFonts w:ascii="Arial" w:hAnsi="Arial" w:cs="Arial"/>
        </w:rPr>
        <w:t>.</w:t>
      </w:r>
      <w:bookmarkStart w:id="23" w:name="_Ref142493354"/>
      <w:r w:rsidR="003559BD">
        <w:rPr>
          <w:rStyle w:val="FootnoteReference"/>
          <w:rFonts w:ascii="Arial" w:hAnsi="Arial" w:cs="Arial"/>
        </w:rPr>
        <w:footnoteReference w:id="92"/>
      </w:r>
      <w:bookmarkEnd w:id="23"/>
      <w:r w:rsidR="00E9758D">
        <w:rPr>
          <w:rFonts w:ascii="Arial" w:hAnsi="Arial" w:cs="Arial"/>
        </w:rPr>
        <w:t xml:space="preserve">  The determination of the COMI by the UK courts has been discussed above</w:t>
      </w:r>
      <w:r w:rsidR="00E32956">
        <w:rPr>
          <w:rFonts w:ascii="Arial" w:hAnsi="Arial" w:cs="Arial"/>
        </w:rPr>
        <w:t xml:space="preserve"> where it should be noted that the de</w:t>
      </w:r>
      <w:r w:rsidR="00F13B82">
        <w:rPr>
          <w:rFonts w:ascii="Arial" w:hAnsi="Arial" w:cs="Arial"/>
        </w:rPr>
        <w:t xml:space="preserve">termination of the COMI by the UK courts is different to the eligibility of commencing Chapter 11 in the US.  </w:t>
      </w:r>
      <w:r w:rsidR="001C01BD">
        <w:rPr>
          <w:rFonts w:ascii="Arial" w:hAnsi="Arial" w:cs="Arial"/>
        </w:rPr>
        <w:t xml:space="preserve">Being eligible to commence Chapter 11 does not necessarily mean that the COMI is in the US when seeking recognition </w:t>
      </w:r>
      <w:r w:rsidR="00C45BFE">
        <w:rPr>
          <w:rFonts w:ascii="Arial" w:hAnsi="Arial" w:cs="Arial"/>
        </w:rPr>
        <w:t>as a foreign main proceeding in the UK courts.</w:t>
      </w:r>
      <w:r w:rsidR="006D4E13">
        <w:rPr>
          <w:rFonts w:ascii="Arial" w:hAnsi="Arial" w:cs="Arial"/>
        </w:rPr>
        <w:t xml:space="preserve">  </w:t>
      </w:r>
      <w:proofErr w:type="gramStart"/>
      <w:r w:rsidR="00071921">
        <w:rPr>
          <w:rFonts w:ascii="Arial" w:hAnsi="Arial" w:cs="Arial"/>
        </w:rPr>
        <w:t>In order for</w:t>
      </w:r>
      <w:proofErr w:type="gramEnd"/>
      <w:r w:rsidR="00071921">
        <w:rPr>
          <w:rFonts w:ascii="Arial" w:hAnsi="Arial" w:cs="Arial"/>
        </w:rPr>
        <w:t xml:space="preserve"> Efwon Trading to establish that its COMI is in the US, </w:t>
      </w:r>
      <w:r w:rsidR="00F42467">
        <w:rPr>
          <w:rFonts w:ascii="Arial" w:hAnsi="Arial" w:cs="Arial"/>
        </w:rPr>
        <w:t xml:space="preserve">it will need to demonstrate factors </w:t>
      </w:r>
      <w:r w:rsidR="008653E9">
        <w:rPr>
          <w:rFonts w:ascii="Arial" w:hAnsi="Arial" w:cs="Arial"/>
        </w:rPr>
        <w:t xml:space="preserve">that are </w:t>
      </w:r>
      <w:r w:rsidR="00F42467">
        <w:rPr>
          <w:rFonts w:ascii="Arial" w:hAnsi="Arial" w:cs="Arial"/>
        </w:rPr>
        <w:t xml:space="preserve">objective and ascertainable by third parties that </w:t>
      </w:r>
      <w:r w:rsidR="00D0111D">
        <w:rPr>
          <w:rFonts w:ascii="Arial" w:hAnsi="Arial" w:cs="Arial"/>
        </w:rPr>
        <w:t xml:space="preserve">it administers its </w:t>
      </w:r>
      <w:r w:rsidR="00D0111D" w:rsidRPr="00441716">
        <w:rPr>
          <w:rFonts w:ascii="Arial" w:hAnsi="Arial" w:cs="Arial"/>
        </w:rPr>
        <w:t xml:space="preserve">business and affairs </w:t>
      </w:r>
      <w:r w:rsidR="00684922" w:rsidRPr="00441716">
        <w:rPr>
          <w:rFonts w:ascii="Arial" w:hAnsi="Arial" w:cs="Arial"/>
        </w:rPr>
        <w:t>at a place</w:t>
      </w:r>
      <w:r w:rsidR="00C61935">
        <w:rPr>
          <w:rFonts w:ascii="Arial" w:hAnsi="Arial" w:cs="Arial"/>
        </w:rPr>
        <w:t xml:space="preserve"> (i.e. the US)</w:t>
      </w:r>
      <w:r w:rsidR="00684922" w:rsidRPr="00441716">
        <w:rPr>
          <w:rFonts w:ascii="Arial" w:hAnsi="Arial" w:cs="Arial"/>
        </w:rPr>
        <w:t xml:space="preserve"> other than its registered office (i.e. England &amp; Wales) to rebut the presumption that its COMI is in the UK.</w:t>
      </w:r>
      <w:r w:rsidR="00EE12CD" w:rsidRPr="00441716">
        <w:rPr>
          <w:rFonts w:ascii="Arial" w:hAnsi="Arial" w:cs="Arial"/>
        </w:rPr>
        <w:t xml:space="preserve">  </w:t>
      </w:r>
      <w:r w:rsidR="00F50A1A" w:rsidRPr="00441716">
        <w:rPr>
          <w:rFonts w:ascii="Arial" w:hAnsi="Arial" w:cs="Arial"/>
        </w:rPr>
        <w:t xml:space="preserve">Based on the information available, it is uncertain whether such factors exist.  </w:t>
      </w:r>
      <w:r w:rsidR="00226AB5">
        <w:rPr>
          <w:rFonts w:ascii="Arial" w:hAnsi="Arial" w:cs="Arial"/>
        </w:rPr>
        <w:t xml:space="preserve">As established in </w:t>
      </w:r>
      <w:r w:rsidR="00226AB5" w:rsidRPr="00C04E08">
        <w:rPr>
          <w:rFonts w:ascii="Arial" w:hAnsi="Arial" w:cs="Arial"/>
          <w:i/>
          <w:iCs/>
        </w:rPr>
        <w:t>Videology Ltd, Re Cross-Border Insolvency Regulations 2006 [2018] EWHC 2186 (Ch)</w:t>
      </w:r>
      <w:r w:rsidR="00226AB5">
        <w:rPr>
          <w:rFonts w:ascii="Arial" w:hAnsi="Arial" w:cs="Arial"/>
          <w:i/>
          <w:iCs/>
        </w:rPr>
        <w:t>, s</w:t>
      </w:r>
      <w:r w:rsidR="000956B8" w:rsidRPr="00441716">
        <w:rPr>
          <w:rFonts w:ascii="Arial" w:hAnsi="Arial" w:cs="Arial"/>
        </w:rPr>
        <w:t>uch factors</w:t>
      </w:r>
      <w:r w:rsidR="002C3534" w:rsidRPr="00441716">
        <w:rPr>
          <w:rFonts w:ascii="Arial" w:hAnsi="Arial" w:cs="Arial"/>
        </w:rPr>
        <w:t>, which should be visible and immediately ascertainable by Efwon Trading’s customer</w:t>
      </w:r>
      <w:r w:rsidR="00794357" w:rsidRPr="00441716">
        <w:rPr>
          <w:rFonts w:ascii="Arial" w:hAnsi="Arial" w:cs="Arial"/>
        </w:rPr>
        <w:t xml:space="preserve">, and </w:t>
      </w:r>
      <w:proofErr w:type="gramStart"/>
      <w:r w:rsidR="00794357" w:rsidRPr="00441716">
        <w:rPr>
          <w:rFonts w:ascii="Arial" w:hAnsi="Arial" w:cs="Arial"/>
        </w:rPr>
        <w:t>in particular by</w:t>
      </w:r>
      <w:proofErr w:type="gramEnd"/>
      <w:r w:rsidR="00794357" w:rsidRPr="00441716">
        <w:rPr>
          <w:rFonts w:ascii="Arial" w:hAnsi="Arial" w:cs="Arial"/>
        </w:rPr>
        <w:t xml:space="preserve"> the trade creditors,</w:t>
      </w:r>
      <w:r w:rsidR="000956B8" w:rsidRPr="00441716">
        <w:rPr>
          <w:rFonts w:ascii="Arial" w:hAnsi="Arial" w:cs="Arial"/>
        </w:rPr>
        <w:t xml:space="preserve"> may include</w:t>
      </w:r>
      <w:r w:rsidR="000F127E">
        <w:rPr>
          <w:rFonts w:ascii="Arial" w:hAnsi="Arial" w:cs="Arial"/>
        </w:rPr>
        <w:t>:</w:t>
      </w:r>
      <w:r w:rsidR="00794357" w:rsidRPr="00441716">
        <w:rPr>
          <w:rFonts w:ascii="Arial" w:hAnsi="Arial" w:cs="Arial"/>
        </w:rPr>
        <w:t xml:space="preserve"> </w:t>
      </w:r>
    </w:p>
    <w:p w14:paraId="74A9439D" w14:textId="77777777" w:rsidR="000F127E" w:rsidRDefault="00C5310E" w:rsidP="000F127E">
      <w:pPr>
        <w:pStyle w:val="ListParagraph"/>
        <w:numPr>
          <w:ilvl w:val="0"/>
          <w:numId w:val="18"/>
        </w:numPr>
        <w:spacing w:line="240" w:lineRule="auto"/>
        <w:ind w:hanging="436"/>
        <w:jc w:val="both"/>
        <w:rPr>
          <w:rFonts w:ascii="Arial" w:hAnsi="Arial" w:cs="Arial"/>
        </w:rPr>
      </w:pPr>
      <w:r w:rsidRPr="000F127E">
        <w:rPr>
          <w:rFonts w:ascii="Arial" w:hAnsi="Arial" w:cs="Arial"/>
        </w:rPr>
        <w:t xml:space="preserve">the location of Efwon Trading’s trading premises </w:t>
      </w:r>
      <w:r w:rsidR="005A2DD8" w:rsidRPr="000F127E">
        <w:rPr>
          <w:rFonts w:ascii="Arial" w:hAnsi="Arial" w:cs="Arial"/>
        </w:rPr>
        <w:t>and staff</w:t>
      </w:r>
      <w:r w:rsidR="00794357" w:rsidRPr="000F127E">
        <w:rPr>
          <w:rFonts w:ascii="Arial" w:hAnsi="Arial" w:cs="Arial"/>
        </w:rPr>
        <w:t xml:space="preserve">; </w:t>
      </w:r>
    </w:p>
    <w:p w14:paraId="11AED2B1" w14:textId="77777777" w:rsidR="000F127E" w:rsidRDefault="008653E9" w:rsidP="000F127E">
      <w:pPr>
        <w:pStyle w:val="ListParagraph"/>
        <w:numPr>
          <w:ilvl w:val="0"/>
          <w:numId w:val="18"/>
        </w:numPr>
        <w:spacing w:line="240" w:lineRule="auto"/>
        <w:ind w:hanging="436"/>
        <w:jc w:val="both"/>
        <w:rPr>
          <w:rFonts w:ascii="Arial" w:hAnsi="Arial" w:cs="Arial"/>
        </w:rPr>
      </w:pPr>
      <w:r w:rsidRPr="000F127E">
        <w:rPr>
          <w:rFonts w:ascii="Arial" w:hAnsi="Arial" w:cs="Arial"/>
        </w:rPr>
        <w:t>where Efwon Trading’s customer and creditor relationships are established</w:t>
      </w:r>
      <w:r w:rsidR="00794357" w:rsidRPr="000F127E">
        <w:rPr>
          <w:rFonts w:ascii="Arial" w:hAnsi="Arial" w:cs="Arial"/>
        </w:rPr>
        <w:t xml:space="preserve">; </w:t>
      </w:r>
    </w:p>
    <w:p w14:paraId="27DE4F23" w14:textId="77777777" w:rsidR="000F127E" w:rsidRDefault="008653E9" w:rsidP="000F127E">
      <w:pPr>
        <w:pStyle w:val="ListParagraph"/>
        <w:numPr>
          <w:ilvl w:val="0"/>
          <w:numId w:val="18"/>
        </w:numPr>
        <w:spacing w:line="240" w:lineRule="auto"/>
        <w:ind w:hanging="436"/>
        <w:jc w:val="both"/>
        <w:rPr>
          <w:rFonts w:ascii="Arial" w:hAnsi="Arial" w:cs="Arial"/>
        </w:rPr>
      </w:pPr>
      <w:r w:rsidRPr="000F127E">
        <w:rPr>
          <w:rFonts w:ascii="Arial" w:hAnsi="Arial" w:cs="Arial"/>
        </w:rPr>
        <w:t>where Efwon Trading administers</w:t>
      </w:r>
      <w:r w:rsidR="005A2DD8" w:rsidRPr="000F127E">
        <w:rPr>
          <w:rFonts w:ascii="Arial" w:hAnsi="Arial" w:cs="Arial"/>
        </w:rPr>
        <w:t xml:space="preserve"> its relations with its trade creditors on a day-to-day basis using </w:t>
      </w:r>
      <w:r w:rsidR="00794357" w:rsidRPr="000F127E">
        <w:rPr>
          <w:rFonts w:ascii="Arial" w:hAnsi="Arial" w:cs="Arial"/>
        </w:rPr>
        <w:t>such</w:t>
      </w:r>
      <w:r w:rsidR="005A2DD8" w:rsidRPr="000F127E">
        <w:rPr>
          <w:rFonts w:ascii="Arial" w:hAnsi="Arial" w:cs="Arial"/>
        </w:rPr>
        <w:t xml:space="preserve"> </w:t>
      </w:r>
      <w:r w:rsidR="003A72FA" w:rsidRPr="000F127E">
        <w:rPr>
          <w:rFonts w:ascii="Arial" w:hAnsi="Arial" w:cs="Arial"/>
        </w:rPr>
        <w:t>trading premises and local staff</w:t>
      </w:r>
      <w:r w:rsidR="00794357" w:rsidRPr="000F127E">
        <w:rPr>
          <w:rFonts w:ascii="Arial" w:hAnsi="Arial" w:cs="Arial"/>
        </w:rPr>
        <w:t xml:space="preserve">; and </w:t>
      </w:r>
    </w:p>
    <w:p w14:paraId="6CEA5431" w14:textId="77777777" w:rsidR="000F127E" w:rsidRDefault="003A72FA" w:rsidP="000F127E">
      <w:pPr>
        <w:pStyle w:val="ListParagraph"/>
        <w:numPr>
          <w:ilvl w:val="0"/>
          <w:numId w:val="18"/>
        </w:numPr>
        <w:spacing w:line="240" w:lineRule="auto"/>
        <w:ind w:hanging="436"/>
        <w:jc w:val="both"/>
        <w:rPr>
          <w:rFonts w:ascii="Arial" w:hAnsi="Arial" w:cs="Arial"/>
        </w:rPr>
      </w:pPr>
      <w:r w:rsidRPr="000F127E">
        <w:rPr>
          <w:rFonts w:ascii="Arial" w:hAnsi="Arial" w:cs="Arial"/>
        </w:rPr>
        <w:t xml:space="preserve">where </w:t>
      </w:r>
      <w:r w:rsidR="00795866" w:rsidRPr="000F127E">
        <w:rPr>
          <w:rFonts w:ascii="Arial" w:hAnsi="Arial" w:cs="Arial"/>
        </w:rPr>
        <w:t xml:space="preserve">Efwon Trading’s </w:t>
      </w:r>
      <w:r w:rsidRPr="000F127E">
        <w:rPr>
          <w:rFonts w:ascii="Arial" w:hAnsi="Arial" w:cs="Arial"/>
        </w:rPr>
        <w:t>main assets are located.</w:t>
      </w:r>
      <w:bookmarkStart w:id="24" w:name="_Ref142493409"/>
      <w:r w:rsidR="00795866">
        <w:rPr>
          <w:rStyle w:val="FootnoteReference"/>
          <w:rFonts w:ascii="Arial" w:hAnsi="Arial" w:cs="Arial"/>
        </w:rPr>
        <w:footnoteReference w:id="93"/>
      </w:r>
      <w:bookmarkEnd w:id="24"/>
      <w:r w:rsidR="008653E9" w:rsidRPr="000F127E">
        <w:rPr>
          <w:rFonts w:ascii="Arial" w:hAnsi="Arial" w:cs="Arial"/>
        </w:rPr>
        <w:t xml:space="preserve"> </w:t>
      </w:r>
      <w:r w:rsidR="00663ED6" w:rsidRPr="000F127E">
        <w:rPr>
          <w:rFonts w:ascii="Arial" w:hAnsi="Arial" w:cs="Arial"/>
        </w:rPr>
        <w:t xml:space="preserve"> </w:t>
      </w:r>
    </w:p>
    <w:p w14:paraId="6B6AAACB" w14:textId="6EAFFB2C" w:rsidR="008C77FC" w:rsidRPr="000F127E" w:rsidRDefault="00EE12CD" w:rsidP="00F549AB">
      <w:pPr>
        <w:spacing w:line="240" w:lineRule="auto"/>
        <w:jc w:val="both"/>
        <w:rPr>
          <w:rFonts w:ascii="Arial" w:hAnsi="Arial" w:cs="Arial"/>
        </w:rPr>
      </w:pPr>
      <w:r w:rsidRPr="000F127E">
        <w:rPr>
          <w:rFonts w:ascii="Arial" w:hAnsi="Arial" w:cs="Arial"/>
        </w:rPr>
        <w:t xml:space="preserve">Failing </w:t>
      </w:r>
      <w:r w:rsidR="005D1A96" w:rsidRPr="000F127E">
        <w:rPr>
          <w:rFonts w:ascii="Arial" w:hAnsi="Arial" w:cs="Arial"/>
        </w:rPr>
        <w:t xml:space="preserve">to </w:t>
      </w:r>
      <w:r w:rsidR="000D361B" w:rsidRPr="000F127E">
        <w:rPr>
          <w:rFonts w:ascii="Arial" w:hAnsi="Arial" w:cs="Arial"/>
        </w:rPr>
        <w:t>demonstrate such factors</w:t>
      </w:r>
      <w:r w:rsidRPr="000F127E">
        <w:rPr>
          <w:rFonts w:ascii="Arial" w:hAnsi="Arial" w:cs="Arial"/>
        </w:rPr>
        <w:t xml:space="preserve">, Efwon Trading may </w:t>
      </w:r>
      <w:r w:rsidR="00944D1E" w:rsidRPr="000F127E">
        <w:rPr>
          <w:rFonts w:ascii="Arial" w:hAnsi="Arial" w:cs="Arial"/>
        </w:rPr>
        <w:t xml:space="preserve">still </w:t>
      </w:r>
      <w:r w:rsidRPr="000F127E">
        <w:rPr>
          <w:rFonts w:ascii="Arial" w:hAnsi="Arial" w:cs="Arial"/>
        </w:rPr>
        <w:t xml:space="preserve">seek to </w:t>
      </w:r>
      <w:r w:rsidR="00944D1E" w:rsidRPr="000F127E">
        <w:rPr>
          <w:rFonts w:ascii="Arial" w:hAnsi="Arial" w:cs="Arial"/>
        </w:rPr>
        <w:t>have the Chapter 11 recognise</w:t>
      </w:r>
      <w:r w:rsidR="00FE57F7">
        <w:rPr>
          <w:rFonts w:ascii="Arial" w:hAnsi="Arial" w:cs="Arial"/>
        </w:rPr>
        <w:t>d</w:t>
      </w:r>
      <w:r w:rsidR="00944D1E" w:rsidRPr="000F127E">
        <w:rPr>
          <w:rFonts w:ascii="Arial" w:hAnsi="Arial" w:cs="Arial"/>
        </w:rPr>
        <w:t xml:space="preserve"> as a foreign non-main proceeding</w:t>
      </w:r>
      <w:r w:rsidR="00A14C11" w:rsidRPr="000F127E">
        <w:rPr>
          <w:rFonts w:ascii="Arial" w:hAnsi="Arial" w:cs="Arial"/>
        </w:rPr>
        <w:t xml:space="preserve"> if </w:t>
      </w:r>
      <w:r w:rsidR="00B4131F">
        <w:rPr>
          <w:rFonts w:ascii="Arial" w:hAnsi="Arial" w:cs="Arial"/>
        </w:rPr>
        <w:t xml:space="preserve">it has </w:t>
      </w:r>
      <w:r w:rsidR="00A14C11" w:rsidRPr="000F127E">
        <w:rPr>
          <w:rFonts w:ascii="Arial" w:hAnsi="Arial" w:cs="Arial"/>
        </w:rPr>
        <w:t>an establishment</w:t>
      </w:r>
      <w:r w:rsidR="009547B8" w:rsidRPr="000F127E">
        <w:rPr>
          <w:rFonts w:ascii="Arial" w:hAnsi="Arial" w:cs="Arial"/>
        </w:rPr>
        <w:t xml:space="preserve"> in the US</w:t>
      </w:r>
      <w:r w:rsidR="00944D1E" w:rsidRPr="000F127E">
        <w:rPr>
          <w:rFonts w:ascii="Arial" w:hAnsi="Arial" w:cs="Arial"/>
        </w:rPr>
        <w:t>.</w:t>
      </w:r>
      <w:r w:rsidR="0097290D">
        <w:rPr>
          <w:rStyle w:val="FootnoteReference"/>
          <w:rFonts w:ascii="Arial" w:hAnsi="Arial" w:cs="Arial"/>
        </w:rPr>
        <w:footnoteReference w:id="94"/>
      </w:r>
    </w:p>
    <w:p w14:paraId="451E577F" w14:textId="5D6C75BF" w:rsidR="00507834" w:rsidRPr="00507834" w:rsidRDefault="00507834" w:rsidP="009F78F1">
      <w:pPr>
        <w:spacing w:line="240" w:lineRule="auto"/>
        <w:jc w:val="both"/>
        <w:rPr>
          <w:rFonts w:ascii="Arial" w:hAnsi="Arial" w:cs="Arial"/>
          <w:i/>
          <w:iCs/>
        </w:rPr>
      </w:pPr>
      <w:r>
        <w:rPr>
          <w:rFonts w:ascii="Arial" w:hAnsi="Arial" w:cs="Arial"/>
          <w:i/>
          <w:iCs/>
        </w:rPr>
        <w:t>Establishment</w:t>
      </w:r>
    </w:p>
    <w:p w14:paraId="053766DB" w14:textId="327C3CDB" w:rsidR="00557D55" w:rsidRDefault="00EC649A" w:rsidP="009F78F1">
      <w:pPr>
        <w:spacing w:line="240" w:lineRule="auto"/>
        <w:jc w:val="both"/>
        <w:rPr>
          <w:rFonts w:ascii="Arial" w:hAnsi="Arial" w:cs="Arial"/>
        </w:rPr>
      </w:pPr>
      <w:r>
        <w:rPr>
          <w:rFonts w:ascii="Arial" w:hAnsi="Arial" w:cs="Arial"/>
        </w:rPr>
        <w:t>Establishment means any place of operations where the debtor carries out a non-transitory economic activity with human means and assets or services.</w:t>
      </w:r>
      <w:r w:rsidR="00C70445">
        <w:rPr>
          <w:rStyle w:val="FootnoteReference"/>
          <w:rFonts w:ascii="Arial" w:hAnsi="Arial" w:cs="Arial"/>
        </w:rPr>
        <w:footnoteReference w:id="95"/>
      </w:r>
      <w:r w:rsidR="00C70445">
        <w:rPr>
          <w:rFonts w:ascii="Arial" w:hAnsi="Arial" w:cs="Arial"/>
        </w:rPr>
        <w:t xml:space="preserve">  It should be noted that </w:t>
      </w:r>
      <w:r w:rsidR="00E2466F">
        <w:rPr>
          <w:rFonts w:ascii="Arial" w:hAnsi="Arial" w:cs="Arial"/>
        </w:rPr>
        <w:t xml:space="preserve">the definition of establishment under the </w:t>
      </w:r>
      <w:r w:rsidR="00A5041F">
        <w:rPr>
          <w:rFonts w:ascii="Arial" w:hAnsi="Arial" w:cs="Arial"/>
        </w:rPr>
        <w:t xml:space="preserve">UK </w:t>
      </w:r>
      <w:r w:rsidR="00E2466F">
        <w:rPr>
          <w:rFonts w:ascii="Arial" w:hAnsi="Arial" w:cs="Arial"/>
        </w:rPr>
        <w:t>Model Law is</w:t>
      </w:r>
      <w:r w:rsidR="00507834">
        <w:rPr>
          <w:rFonts w:ascii="Arial" w:hAnsi="Arial" w:cs="Arial"/>
        </w:rPr>
        <w:t xml:space="preserve"> slightly</w:t>
      </w:r>
      <w:r w:rsidR="00E2466F">
        <w:rPr>
          <w:rFonts w:ascii="Arial" w:hAnsi="Arial" w:cs="Arial"/>
        </w:rPr>
        <w:t xml:space="preserve"> different to that under the EIR Recast</w:t>
      </w:r>
      <w:r w:rsidR="00C116A2">
        <w:rPr>
          <w:rFonts w:ascii="Arial" w:hAnsi="Arial" w:cs="Arial"/>
        </w:rPr>
        <w:t xml:space="preserve">, as described above when discussing whether Efwon Trading has an establishment in other Member States.  </w:t>
      </w:r>
      <w:r w:rsidR="000D361B">
        <w:rPr>
          <w:rFonts w:ascii="Arial" w:hAnsi="Arial" w:cs="Arial"/>
        </w:rPr>
        <w:t>The difference</w:t>
      </w:r>
      <w:r w:rsidR="005D663B">
        <w:rPr>
          <w:rFonts w:ascii="Arial" w:hAnsi="Arial" w:cs="Arial"/>
        </w:rPr>
        <w:t>s</w:t>
      </w:r>
      <w:r w:rsidR="000D361B">
        <w:rPr>
          <w:rFonts w:ascii="Arial" w:hAnsi="Arial" w:cs="Arial"/>
        </w:rPr>
        <w:t xml:space="preserve"> between </w:t>
      </w:r>
      <w:r w:rsidR="005D663B">
        <w:rPr>
          <w:rFonts w:ascii="Arial" w:hAnsi="Arial" w:cs="Arial"/>
        </w:rPr>
        <w:t xml:space="preserve">the </w:t>
      </w:r>
      <w:r w:rsidR="000D361B">
        <w:rPr>
          <w:rFonts w:ascii="Arial" w:hAnsi="Arial" w:cs="Arial"/>
        </w:rPr>
        <w:t xml:space="preserve">two definitions </w:t>
      </w:r>
      <w:r w:rsidR="00592B93">
        <w:rPr>
          <w:rFonts w:ascii="Arial" w:hAnsi="Arial" w:cs="Arial"/>
        </w:rPr>
        <w:t>are</w:t>
      </w:r>
      <w:r w:rsidR="000D361B">
        <w:rPr>
          <w:rFonts w:ascii="Arial" w:hAnsi="Arial" w:cs="Arial"/>
        </w:rPr>
        <w:t xml:space="preserve"> the </w:t>
      </w:r>
      <w:r w:rsidR="00D579A9" w:rsidRPr="000A31CA">
        <w:rPr>
          <w:rFonts w:ascii="Arial" w:hAnsi="Arial" w:cs="Arial"/>
          <w:i/>
          <w:iCs/>
        </w:rPr>
        <w:t>“human means and assets or services”</w:t>
      </w:r>
      <w:r w:rsidR="00D579A9">
        <w:rPr>
          <w:rFonts w:ascii="Arial" w:hAnsi="Arial" w:cs="Arial"/>
        </w:rPr>
        <w:t xml:space="preserve"> under the </w:t>
      </w:r>
      <w:r w:rsidR="00A5041F">
        <w:rPr>
          <w:rFonts w:ascii="Arial" w:hAnsi="Arial" w:cs="Arial"/>
        </w:rPr>
        <w:t xml:space="preserve">UK </w:t>
      </w:r>
      <w:r w:rsidR="00D579A9">
        <w:rPr>
          <w:rFonts w:ascii="Arial" w:hAnsi="Arial" w:cs="Arial"/>
        </w:rPr>
        <w:t xml:space="preserve">Model Law and the </w:t>
      </w:r>
      <w:r w:rsidR="00D579A9" w:rsidRPr="000A31CA">
        <w:rPr>
          <w:rFonts w:ascii="Arial" w:hAnsi="Arial" w:cs="Arial"/>
          <w:i/>
          <w:iCs/>
        </w:rPr>
        <w:t>“human means and assets”</w:t>
      </w:r>
      <w:r w:rsidR="00D579A9">
        <w:rPr>
          <w:rFonts w:ascii="Arial" w:hAnsi="Arial" w:cs="Arial"/>
        </w:rPr>
        <w:t xml:space="preserve"> under the EIR Recast</w:t>
      </w:r>
      <w:r w:rsidR="005D663B">
        <w:rPr>
          <w:rFonts w:ascii="Arial" w:hAnsi="Arial" w:cs="Arial"/>
        </w:rPr>
        <w:t xml:space="preserve">, and that the EIR Recast </w:t>
      </w:r>
      <w:r w:rsidR="005404F4">
        <w:rPr>
          <w:rFonts w:ascii="Arial" w:hAnsi="Arial" w:cs="Arial"/>
        </w:rPr>
        <w:t>gives a</w:t>
      </w:r>
      <w:r w:rsidR="00AA54F2">
        <w:rPr>
          <w:rFonts w:ascii="Arial" w:hAnsi="Arial" w:cs="Arial"/>
        </w:rPr>
        <w:t xml:space="preserve"> time</w:t>
      </w:r>
      <w:r w:rsidR="00081159">
        <w:rPr>
          <w:rFonts w:ascii="Arial" w:hAnsi="Arial" w:cs="Arial"/>
        </w:rPr>
        <w:t xml:space="preserve"> extension to cover the 3-month period prior </w:t>
      </w:r>
      <w:r w:rsidR="00081159">
        <w:rPr>
          <w:rFonts w:ascii="Arial" w:hAnsi="Arial" w:cs="Arial"/>
        </w:rPr>
        <w:lastRenderedPageBreak/>
        <w:t>to the opening of the insolvency proceedings.</w:t>
      </w:r>
      <w:r w:rsidR="00963447">
        <w:rPr>
          <w:rFonts w:ascii="Arial" w:hAnsi="Arial" w:cs="Arial"/>
        </w:rPr>
        <w:t xml:space="preserve">  In </w:t>
      </w:r>
      <w:r w:rsidR="00C04E08" w:rsidRPr="00C04E08">
        <w:rPr>
          <w:rFonts w:ascii="Arial" w:hAnsi="Arial" w:cs="Arial"/>
          <w:i/>
          <w:iCs/>
        </w:rPr>
        <w:t>Videology</w:t>
      </w:r>
      <w:r w:rsidR="00963447">
        <w:rPr>
          <w:rFonts w:ascii="Arial" w:hAnsi="Arial" w:cs="Arial"/>
        </w:rPr>
        <w:t xml:space="preserve">, </w:t>
      </w:r>
      <w:r w:rsidR="00C74802">
        <w:rPr>
          <w:rFonts w:ascii="Arial" w:hAnsi="Arial" w:cs="Arial"/>
        </w:rPr>
        <w:t xml:space="preserve">reference was made to the Guide to </w:t>
      </w:r>
      <w:r w:rsidR="00EA2BDE">
        <w:rPr>
          <w:rFonts w:ascii="Arial" w:hAnsi="Arial" w:cs="Arial"/>
        </w:rPr>
        <w:t>Enactmen</w:t>
      </w:r>
      <w:r w:rsidR="00C50024">
        <w:rPr>
          <w:rFonts w:ascii="Arial" w:hAnsi="Arial" w:cs="Arial"/>
        </w:rPr>
        <w:t>t</w:t>
      </w:r>
      <w:r w:rsidR="00EA2BDE">
        <w:rPr>
          <w:rFonts w:ascii="Arial" w:hAnsi="Arial" w:cs="Arial"/>
        </w:rPr>
        <w:t xml:space="preserve"> and Interpretation of the </w:t>
      </w:r>
      <w:r w:rsidR="00C74802">
        <w:rPr>
          <w:rFonts w:ascii="Arial" w:hAnsi="Arial" w:cs="Arial"/>
        </w:rPr>
        <w:t>Model Law</w:t>
      </w:r>
      <w:r w:rsidR="00EA2BDE">
        <w:rPr>
          <w:rFonts w:ascii="Arial" w:hAnsi="Arial" w:cs="Arial"/>
        </w:rPr>
        <w:t xml:space="preserve"> (2013)</w:t>
      </w:r>
      <w:r w:rsidR="009E0083">
        <w:rPr>
          <w:rFonts w:ascii="Arial" w:hAnsi="Arial" w:cs="Arial"/>
        </w:rPr>
        <w:t xml:space="preserve"> and </w:t>
      </w:r>
      <w:r w:rsidR="001E76D2" w:rsidRPr="00DE6F86">
        <w:rPr>
          <w:rFonts w:ascii="Arial" w:hAnsi="Arial" w:cs="Arial"/>
          <w:i/>
          <w:iCs/>
        </w:rPr>
        <w:t>In Trustees of the Olympic Airlines SA Pension &amp; Life Assurance Scheme v Olympic Airlines SA [2015] 1 WLR 2399</w:t>
      </w:r>
      <w:r w:rsidR="00DE6F86">
        <w:rPr>
          <w:rFonts w:ascii="Arial" w:hAnsi="Arial" w:cs="Arial"/>
        </w:rPr>
        <w:t xml:space="preserve"> to de</w:t>
      </w:r>
      <w:r w:rsidR="00592B93">
        <w:rPr>
          <w:rFonts w:ascii="Arial" w:hAnsi="Arial" w:cs="Arial"/>
        </w:rPr>
        <w:t>termine whether the company ha</w:t>
      </w:r>
      <w:r w:rsidR="009A0989">
        <w:rPr>
          <w:rFonts w:ascii="Arial" w:hAnsi="Arial" w:cs="Arial"/>
        </w:rPr>
        <w:t>d</w:t>
      </w:r>
      <w:r w:rsidR="00592B93">
        <w:rPr>
          <w:rFonts w:ascii="Arial" w:hAnsi="Arial" w:cs="Arial"/>
        </w:rPr>
        <w:t xml:space="preserve"> an establishment in the US.</w:t>
      </w:r>
      <w:r w:rsidR="00C60FAB" w:rsidRPr="00C60FAB">
        <w:rPr>
          <w:rStyle w:val="FootnoteReference"/>
          <w:rFonts w:ascii="Arial" w:hAnsi="Arial" w:cs="Arial"/>
        </w:rPr>
        <w:t xml:space="preserve"> </w:t>
      </w:r>
      <w:r w:rsidR="00C60FAB" w:rsidRPr="00441716">
        <w:rPr>
          <w:rStyle w:val="FootnoteReference"/>
          <w:rFonts w:ascii="Arial" w:hAnsi="Arial" w:cs="Arial"/>
        </w:rPr>
        <w:footnoteReference w:id="96"/>
      </w:r>
      <w:r w:rsidR="00DA4C06">
        <w:rPr>
          <w:rFonts w:ascii="Arial" w:hAnsi="Arial" w:cs="Arial"/>
        </w:rPr>
        <w:t xml:space="preserve">  In essence, Efwon Trading will need to demonstrate that </w:t>
      </w:r>
      <w:r w:rsidR="006E7A3A">
        <w:rPr>
          <w:rFonts w:ascii="Arial" w:hAnsi="Arial" w:cs="Arial"/>
        </w:rPr>
        <w:t>it has a fixed</w:t>
      </w:r>
      <w:r w:rsidR="00302C07">
        <w:rPr>
          <w:rFonts w:ascii="Arial" w:hAnsi="Arial" w:cs="Arial"/>
        </w:rPr>
        <w:t>, as opposed to occasional,</w:t>
      </w:r>
      <w:r w:rsidR="006E7A3A">
        <w:rPr>
          <w:rFonts w:ascii="Arial" w:hAnsi="Arial" w:cs="Arial"/>
        </w:rPr>
        <w:t xml:space="preserve"> place of business </w:t>
      </w:r>
      <w:r w:rsidR="00302C07">
        <w:rPr>
          <w:rFonts w:ascii="Arial" w:hAnsi="Arial" w:cs="Arial"/>
        </w:rPr>
        <w:t>o</w:t>
      </w:r>
      <w:r w:rsidR="00942303">
        <w:rPr>
          <w:rFonts w:ascii="Arial" w:hAnsi="Arial" w:cs="Arial"/>
        </w:rPr>
        <w:t>r</w:t>
      </w:r>
      <w:r w:rsidR="00302C07">
        <w:rPr>
          <w:rFonts w:ascii="Arial" w:hAnsi="Arial" w:cs="Arial"/>
        </w:rPr>
        <w:t xml:space="preserve"> operations </w:t>
      </w:r>
      <w:r w:rsidR="006E7A3A">
        <w:rPr>
          <w:rFonts w:ascii="Arial" w:hAnsi="Arial" w:cs="Arial"/>
        </w:rPr>
        <w:t>in the US</w:t>
      </w:r>
      <w:r w:rsidR="00361430">
        <w:rPr>
          <w:rFonts w:ascii="Arial" w:hAnsi="Arial" w:cs="Arial"/>
        </w:rPr>
        <w:t xml:space="preserve"> </w:t>
      </w:r>
      <w:r w:rsidR="00EE4473">
        <w:rPr>
          <w:rFonts w:ascii="Arial" w:hAnsi="Arial" w:cs="Arial"/>
        </w:rPr>
        <w:t>with</w:t>
      </w:r>
      <w:r w:rsidR="007436B8">
        <w:rPr>
          <w:rFonts w:ascii="Arial" w:hAnsi="Arial" w:cs="Arial"/>
        </w:rPr>
        <w:t xml:space="preserve"> external, as opposed to internal, activities </w:t>
      </w:r>
      <w:r w:rsidR="008A08C3">
        <w:rPr>
          <w:rFonts w:ascii="Arial" w:hAnsi="Arial" w:cs="Arial"/>
        </w:rPr>
        <w:t xml:space="preserve">carried on with its assets and human agents.  Such </w:t>
      </w:r>
      <w:r w:rsidR="006A15AE">
        <w:rPr>
          <w:rFonts w:ascii="Arial" w:hAnsi="Arial" w:cs="Arial"/>
        </w:rPr>
        <w:t>activities should consist of dealings with third parties but not pure acts of internal administration</w:t>
      </w:r>
      <w:r w:rsidR="00CF0102">
        <w:rPr>
          <w:rFonts w:ascii="Arial" w:hAnsi="Arial" w:cs="Arial"/>
        </w:rPr>
        <w:t xml:space="preserve"> and </w:t>
      </w:r>
      <w:r w:rsidR="00CF0102" w:rsidRPr="00441716">
        <w:rPr>
          <w:rFonts w:ascii="Arial" w:hAnsi="Arial" w:cs="Arial"/>
        </w:rPr>
        <w:t xml:space="preserve">should </w:t>
      </w:r>
      <w:r w:rsidR="00EF099D" w:rsidRPr="00441716">
        <w:rPr>
          <w:rFonts w:ascii="Arial" w:hAnsi="Arial" w:cs="Arial"/>
        </w:rPr>
        <w:t xml:space="preserve">appear externally but not pure intention of Efwon Trading.  Based on information available, it is uncertain whether such </w:t>
      </w:r>
      <w:r w:rsidR="00942303" w:rsidRPr="00441716">
        <w:rPr>
          <w:rFonts w:ascii="Arial" w:hAnsi="Arial" w:cs="Arial"/>
        </w:rPr>
        <w:t>place of business or operations and activities exist</w:t>
      </w:r>
      <w:r w:rsidR="003B75ED">
        <w:rPr>
          <w:rFonts w:ascii="Arial" w:hAnsi="Arial" w:cs="Arial"/>
        </w:rPr>
        <w:t xml:space="preserve"> in the US</w:t>
      </w:r>
      <w:r w:rsidR="00942303" w:rsidRPr="00441716">
        <w:rPr>
          <w:rFonts w:ascii="Arial" w:hAnsi="Arial" w:cs="Arial"/>
        </w:rPr>
        <w:t xml:space="preserve">.  </w:t>
      </w:r>
      <w:proofErr w:type="gramStart"/>
      <w:r w:rsidR="006A085B" w:rsidRPr="00441716">
        <w:rPr>
          <w:rFonts w:ascii="Arial" w:hAnsi="Arial" w:cs="Arial"/>
        </w:rPr>
        <w:t>In order for</w:t>
      </w:r>
      <w:proofErr w:type="gramEnd"/>
      <w:r w:rsidR="006A085B" w:rsidRPr="00441716">
        <w:rPr>
          <w:rFonts w:ascii="Arial" w:hAnsi="Arial" w:cs="Arial"/>
        </w:rPr>
        <w:t xml:space="preserve"> the Chapter 11 of Efwon Trading to be recognised as a foreign non-main proceeding</w:t>
      </w:r>
      <w:r w:rsidR="00ED4308" w:rsidRPr="00441716">
        <w:rPr>
          <w:rFonts w:ascii="Arial" w:hAnsi="Arial" w:cs="Arial"/>
        </w:rPr>
        <w:t xml:space="preserve"> in other</w:t>
      </w:r>
      <w:r w:rsidR="00ED4308">
        <w:rPr>
          <w:rFonts w:ascii="Arial" w:hAnsi="Arial" w:cs="Arial"/>
        </w:rPr>
        <w:t xml:space="preserve"> jurisdictions, </w:t>
      </w:r>
      <w:r w:rsidR="000E2320">
        <w:rPr>
          <w:rFonts w:ascii="Arial" w:hAnsi="Arial" w:cs="Arial"/>
        </w:rPr>
        <w:t xml:space="preserve">it will need to consider </w:t>
      </w:r>
      <w:r w:rsidR="00E93DBA">
        <w:rPr>
          <w:rFonts w:ascii="Arial" w:hAnsi="Arial" w:cs="Arial"/>
        </w:rPr>
        <w:t xml:space="preserve">if its business relationships </w:t>
      </w:r>
      <w:r w:rsidR="00C76264">
        <w:rPr>
          <w:rFonts w:ascii="Arial" w:hAnsi="Arial" w:cs="Arial"/>
        </w:rPr>
        <w:t xml:space="preserve">with customers and creditors </w:t>
      </w:r>
      <w:r w:rsidR="00FE6789">
        <w:rPr>
          <w:rFonts w:ascii="Arial" w:hAnsi="Arial" w:cs="Arial"/>
        </w:rPr>
        <w:t xml:space="preserve">have been </w:t>
      </w:r>
      <w:r w:rsidR="00C76264">
        <w:rPr>
          <w:rFonts w:ascii="Arial" w:hAnsi="Arial" w:cs="Arial"/>
        </w:rPr>
        <w:t>regularly managed</w:t>
      </w:r>
      <w:r w:rsidR="00ED6A46">
        <w:rPr>
          <w:rFonts w:ascii="Arial" w:hAnsi="Arial" w:cs="Arial"/>
        </w:rPr>
        <w:t xml:space="preserve">, and external activities </w:t>
      </w:r>
      <w:r w:rsidR="00325C0B">
        <w:rPr>
          <w:rFonts w:ascii="Arial" w:hAnsi="Arial" w:cs="Arial"/>
        </w:rPr>
        <w:t xml:space="preserve">have been carried on, </w:t>
      </w:r>
      <w:r w:rsidR="00574298">
        <w:rPr>
          <w:rFonts w:ascii="Arial" w:hAnsi="Arial" w:cs="Arial"/>
        </w:rPr>
        <w:t xml:space="preserve">at a place of business </w:t>
      </w:r>
      <w:r w:rsidR="00252B3E">
        <w:rPr>
          <w:rFonts w:ascii="Arial" w:hAnsi="Arial" w:cs="Arial"/>
        </w:rPr>
        <w:t xml:space="preserve">or operations </w:t>
      </w:r>
      <w:r w:rsidR="00574298">
        <w:rPr>
          <w:rFonts w:ascii="Arial" w:hAnsi="Arial" w:cs="Arial"/>
        </w:rPr>
        <w:t xml:space="preserve">by </w:t>
      </w:r>
      <w:r w:rsidR="009C5307">
        <w:rPr>
          <w:rFonts w:ascii="Arial" w:hAnsi="Arial" w:cs="Arial"/>
        </w:rPr>
        <w:t xml:space="preserve">its assets and </w:t>
      </w:r>
      <w:r w:rsidR="00574298">
        <w:rPr>
          <w:rFonts w:ascii="Arial" w:hAnsi="Arial" w:cs="Arial"/>
        </w:rPr>
        <w:t>human agency</w:t>
      </w:r>
      <w:r w:rsidR="003D2D0F">
        <w:rPr>
          <w:rFonts w:ascii="Arial" w:hAnsi="Arial" w:cs="Arial"/>
        </w:rPr>
        <w:t xml:space="preserve"> </w:t>
      </w:r>
      <w:r w:rsidR="00574298">
        <w:rPr>
          <w:rFonts w:ascii="Arial" w:hAnsi="Arial" w:cs="Arial"/>
        </w:rPr>
        <w:t>in the US</w:t>
      </w:r>
      <w:r w:rsidR="00FE6789">
        <w:rPr>
          <w:rFonts w:ascii="Arial" w:hAnsi="Arial" w:cs="Arial"/>
        </w:rPr>
        <w:t xml:space="preserve"> as being </w:t>
      </w:r>
      <w:r w:rsidR="001512FE">
        <w:rPr>
          <w:rFonts w:ascii="Arial" w:hAnsi="Arial" w:cs="Arial"/>
        </w:rPr>
        <w:t>seen by external third parties.</w:t>
      </w:r>
    </w:p>
    <w:p w14:paraId="2796DCE9" w14:textId="353D88A2" w:rsidR="00396CED" w:rsidRDefault="00396CED" w:rsidP="009F78F1">
      <w:pPr>
        <w:spacing w:line="240" w:lineRule="auto"/>
        <w:jc w:val="both"/>
        <w:rPr>
          <w:rFonts w:ascii="Arial" w:hAnsi="Arial" w:cs="Arial"/>
        </w:rPr>
      </w:pPr>
      <w:r>
        <w:rPr>
          <w:rFonts w:ascii="Arial" w:hAnsi="Arial" w:cs="Arial"/>
        </w:rPr>
        <w:t xml:space="preserve">The above analysis </w:t>
      </w:r>
      <w:r w:rsidR="00021277">
        <w:rPr>
          <w:rFonts w:ascii="Arial" w:hAnsi="Arial" w:cs="Arial"/>
        </w:rPr>
        <w:t xml:space="preserve">on establishment </w:t>
      </w:r>
      <w:r>
        <w:rPr>
          <w:rFonts w:ascii="Arial" w:hAnsi="Arial" w:cs="Arial"/>
        </w:rPr>
        <w:t>also applies to Efwon Investments</w:t>
      </w:r>
      <w:r w:rsidR="00231D98">
        <w:rPr>
          <w:rFonts w:ascii="Arial" w:hAnsi="Arial" w:cs="Arial"/>
        </w:rPr>
        <w:t>,</w:t>
      </w:r>
      <w:r>
        <w:rPr>
          <w:rFonts w:ascii="Arial" w:hAnsi="Arial" w:cs="Arial"/>
        </w:rPr>
        <w:t xml:space="preserve"> </w:t>
      </w:r>
      <w:r w:rsidR="00021277">
        <w:rPr>
          <w:rFonts w:ascii="Arial" w:hAnsi="Arial" w:cs="Arial"/>
        </w:rPr>
        <w:t xml:space="preserve">should it fail to </w:t>
      </w:r>
      <w:r w:rsidR="00613D84">
        <w:rPr>
          <w:rFonts w:ascii="Arial" w:hAnsi="Arial" w:cs="Arial"/>
        </w:rPr>
        <w:t>demonstrate that its COMI is in the US</w:t>
      </w:r>
      <w:r w:rsidR="00231D98">
        <w:rPr>
          <w:rFonts w:ascii="Arial" w:hAnsi="Arial" w:cs="Arial"/>
        </w:rPr>
        <w:t>,</w:t>
      </w:r>
      <w:r w:rsidR="00613D84">
        <w:rPr>
          <w:rFonts w:ascii="Arial" w:hAnsi="Arial" w:cs="Arial"/>
        </w:rPr>
        <w:t xml:space="preserve"> when seeking recognition</w:t>
      </w:r>
      <w:r w:rsidR="00B1489E">
        <w:rPr>
          <w:rFonts w:ascii="Arial" w:hAnsi="Arial" w:cs="Arial"/>
        </w:rPr>
        <w:t xml:space="preserve"> as a</w:t>
      </w:r>
      <w:r w:rsidR="00231D98">
        <w:rPr>
          <w:rFonts w:ascii="Arial" w:hAnsi="Arial" w:cs="Arial"/>
        </w:rPr>
        <w:t xml:space="preserve"> foreign non-main proceeding</w:t>
      </w:r>
      <w:r w:rsidR="00613D84">
        <w:rPr>
          <w:rFonts w:ascii="Arial" w:hAnsi="Arial" w:cs="Arial"/>
        </w:rPr>
        <w:t xml:space="preserve"> </w:t>
      </w:r>
      <w:r w:rsidR="00424B05">
        <w:rPr>
          <w:rFonts w:ascii="Arial" w:hAnsi="Arial" w:cs="Arial"/>
        </w:rPr>
        <w:t>under the Model Law.</w:t>
      </w:r>
    </w:p>
    <w:p w14:paraId="72B4A20B" w14:textId="0226B28F" w:rsidR="00BC291E" w:rsidRPr="00BC291E" w:rsidRDefault="00BC291E" w:rsidP="00834613">
      <w:pPr>
        <w:keepNext/>
        <w:spacing w:line="240" w:lineRule="auto"/>
        <w:jc w:val="both"/>
        <w:rPr>
          <w:rFonts w:ascii="Arial" w:hAnsi="Arial" w:cs="Arial"/>
          <w:i/>
          <w:iCs/>
        </w:rPr>
      </w:pPr>
      <w:r w:rsidRPr="00BC291E">
        <w:rPr>
          <w:rFonts w:ascii="Arial" w:hAnsi="Arial" w:cs="Arial"/>
          <w:i/>
          <w:iCs/>
        </w:rPr>
        <w:t>Relief</w:t>
      </w:r>
    </w:p>
    <w:p w14:paraId="20250981" w14:textId="3ACE369E" w:rsidR="001512FE" w:rsidRDefault="004D61E3" w:rsidP="009F78F1">
      <w:pPr>
        <w:spacing w:line="240" w:lineRule="auto"/>
        <w:jc w:val="both"/>
        <w:rPr>
          <w:rFonts w:ascii="Arial" w:hAnsi="Arial" w:cs="Arial"/>
        </w:rPr>
      </w:pPr>
      <w:r>
        <w:rPr>
          <w:rFonts w:ascii="Arial" w:hAnsi="Arial" w:cs="Arial"/>
        </w:rPr>
        <w:t xml:space="preserve">Should the Chapter 11 of Efwon Trading be recognised as a foreign non-main proceeding, the relief </w:t>
      </w:r>
      <w:r w:rsidR="00B919BE">
        <w:rPr>
          <w:rFonts w:ascii="Arial" w:hAnsi="Arial" w:cs="Arial"/>
        </w:rPr>
        <w:t xml:space="preserve">available is different to that of Efwon Investments </w:t>
      </w:r>
      <w:r w:rsidR="00F75CBC">
        <w:rPr>
          <w:rFonts w:ascii="Arial" w:hAnsi="Arial" w:cs="Arial"/>
        </w:rPr>
        <w:t xml:space="preserve">in </w:t>
      </w:r>
      <w:r w:rsidR="00B919BE">
        <w:rPr>
          <w:rFonts w:ascii="Arial" w:hAnsi="Arial" w:cs="Arial"/>
        </w:rPr>
        <w:t xml:space="preserve">which </w:t>
      </w:r>
      <w:r w:rsidR="00F75CBC">
        <w:rPr>
          <w:rFonts w:ascii="Arial" w:hAnsi="Arial" w:cs="Arial"/>
        </w:rPr>
        <w:t xml:space="preserve">its Chapter 11 </w:t>
      </w:r>
      <w:r w:rsidR="00B919BE">
        <w:rPr>
          <w:rFonts w:ascii="Arial" w:hAnsi="Arial" w:cs="Arial"/>
        </w:rPr>
        <w:t xml:space="preserve">can be recognised as </w:t>
      </w:r>
      <w:r w:rsidR="00F75CBC">
        <w:rPr>
          <w:rFonts w:ascii="Arial" w:hAnsi="Arial" w:cs="Arial"/>
        </w:rPr>
        <w:t xml:space="preserve">a foreign main proceeding.  </w:t>
      </w:r>
      <w:r w:rsidR="00003E6D">
        <w:rPr>
          <w:rFonts w:ascii="Arial" w:hAnsi="Arial" w:cs="Arial"/>
        </w:rPr>
        <w:t xml:space="preserve">As a foreign proceeding being recognised as a foreign main proceeding, </w:t>
      </w:r>
      <w:r w:rsidR="00106B0C">
        <w:rPr>
          <w:rFonts w:ascii="Arial" w:hAnsi="Arial" w:cs="Arial"/>
        </w:rPr>
        <w:t xml:space="preserve">automatic </w:t>
      </w:r>
      <w:r w:rsidR="00106B0C" w:rsidRPr="00106B0C">
        <w:rPr>
          <w:rFonts w:ascii="Arial" w:hAnsi="Arial" w:cs="Arial"/>
        </w:rPr>
        <w:t>stay of commencement of actions concerning its assets or liabilities and execution against its assets, and the suspension of the right to transfer, encumber or dispose of its assets</w:t>
      </w:r>
      <w:r w:rsidR="009B6716">
        <w:rPr>
          <w:rFonts w:ascii="Arial" w:hAnsi="Arial" w:cs="Arial"/>
        </w:rPr>
        <w:t xml:space="preserve"> </w:t>
      </w:r>
      <w:r w:rsidR="00F12F72">
        <w:rPr>
          <w:rFonts w:ascii="Arial" w:hAnsi="Arial" w:cs="Arial"/>
        </w:rPr>
        <w:t>are</w:t>
      </w:r>
      <w:r w:rsidR="009B6716">
        <w:rPr>
          <w:rFonts w:ascii="Arial" w:hAnsi="Arial" w:cs="Arial"/>
        </w:rPr>
        <w:t xml:space="preserve"> available under Article 20 of the </w:t>
      </w:r>
      <w:r w:rsidR="00A5041F">
        <w:rPr>
          <w:rFonts w:ascii="Arial" w:hAnsi="Arial" w:cs="Arial"/>
        </w:rPr>
        <w:t xml:space="preserve">UK </w:t>
      </w:r>
      <w:r w:rsidR="009B6716">
        <w:rPr>
          <w:rFonts w:ascii="Arial" w:hAnsi="Arial" w:cs="Arial"/>
        </w:rPr>
        <w:t xml:space="preserve">Model Law.  </w:t>
      </w:r>
      <w:r w:rsidR="008D6E9F">
        <w:rPr>
          <w:rFonts w:ascii="Arial" w:hAnsi="Arial" w:cs="Arial"/>
        </w:rPr>
        <w:t xml:space="preserve">Recognition of </w:t>
      </w:r>
      <w:r w:rsidR="007962CB">
        <w:rPr>
          <w:rFonts w:ascii="Arial" w:hAnsi="Arial" w:cs="Arial"/>
        </w:rPr>
        <w:t xml:space="preserve">the Chapter 11 of </w:t>
      </w:r>
      <w:r w:rsidR="008D6E9F">
        <w:rPr>
          <w:rFonts w:ascii="Arial" w:hAnsi="Arial" w:cs="Arial"/>
        </w:rPr>
        <w:t xml:space="preserve">Efwon Trading </w:t>
      </w:r>
      <w:r w:rsidR="007962CB">
        <w:rPr>
          <w:rFonts w:ascii="Arial" w:hAnsi="Arial" w:cs="Arial"/>
        </w:rPr>
        <w:t xml:space="preserve">as </w:t>
      </w:r>
      <w:r w:rsidR="00D63E9D">
        <w:rPr>
          <w:rFonts w:ascii="Arial" w:hAnsi="Arial" w:cs="Arial"/>
        </w:rPr>
        <w:t xml:space="preserve">a </w:t>
      </w:r>
      <w:r w:rsidR="007962CB">
        <w:rPr>
          <w:rFonts w:ascii="Arial" w:hAnsi="Arial" w:cs="Arial"/>
        </w:rPr>
        <w:t xml:space="preserve">foreign non-main proceeding does not bring such </w:t>
      </w:r>
      <w:r w:rsidR="005861BC">
        <w:rPr>
          <w:rFonts w:ascii="Arial" w:hAnsi="Arial" w:cs="Arial"/>
        </w:rPr>
        <w:t xml:space="preserve">automatic stay.  Efwon Trading will need to apply for </w:t>
      </w:r>
      <w:r w:rsidR="00445106">
        <w:rPr>
          <w:rFonts w:ascii="Arial" w:hAnsi="Arial" w:cs="Arial"/>
        </w:rPr>
        <w:t xml:space="preserve">discretionary relief under Article 21 of the </w:t>
      </w:r>
      <w:r w:rsidR="00A5041F">
        <w:rPr>
          <w:rFonts w:ascii="Arial" w:hAnsi="Arial" w:cs="Arial"/>
        </w:rPr>
        <w:t xml:space="preserve">UK </w:t>
      </w:r>
      <w:r w:rsidR="00445106">
        <w:rPr>
          <w:rFonts w:ascii="Arial" w:hAnsi="Arial" w:cs="Arial"/>
        </w:rPr>
        <w:t xml:space="preserve">Model Law.  </w:t>
      </w:r>
      <w:r w:rsidR="008F6066">
        <w:rPr>
          <w:rFonts w:ascii="Arial" w:hAnsi="Arial" w:cs="Arial"/>
        </w:rPr>
        <w:t xml:space="preserve">The general assumption is that the </w:t>
      </w:r>
      <w:r w:rsidR="00AB433E">
        <w:rPr>
          <w:rFonts w:ascii="Arial" w:hAnsi="Arial" w:cs="Arial"/>
        </w:rPr>
        <w:t xml:space="preserve">main insolvency proceedings </w:t>
      </w:r>
      <w:r w:rsidR="00777095">
        <w:rPr>
          <w:rFonts w:ascii="Arial" w:hAnsi="Arial" w:cs="Arial"/>
        </w:rPr>
        <w:t xml:space="preserve">of a company </w:t>
      </w:r>
      <w:r w:rsidR="00AB433E">
        <w:rPr>
          <w:rFonts w:ascii="Arial" w:hAnsi="Arial" w:cs="Arial"/>
        </w:rPr>
        <w:t xml:space="preserve">should be </w:t>
      </w:r>
      <w:r w:rsidR="00777095">
        <w:rPr>
          <w:rFonts w:ascii="Arial" w:hAnsi="Arial" w:cs="Arial"/>
        </w:rPr>
        <w:t>in the UK where the COMI of that company is in the UK.</w:t>
      </w:r>
      <w:r w:rsidR="00777095">
        <w:rPr>
          <w:rStyle w:val="FootnoteReference"/>
          <w:rFonts w:ascii="Arial" w:hAnsi="Arial" w:cs="Arial"/>
        </w:rPr>
        <w:footnoteReference w:id="97"/>
      </w:r>
      <w:r w:rsidR="00777095">
        <w:rPr>
          <w:rFonts w:ascii="Arial" w:hAnsi="Arial" w:cs="Arial"/>
        </w:rPr>
        <w:t xml:space="preserve">  </w:t>
      </w:r>
      <w:r w:rsidR="00991498">
        <w:rPr>
          <w:rFonts w:ascii="Arial" w:hAnsi="Arial" w:cs="Arial"/>
        </w:rPr>
        <w:t xml:space="preserve">In essence, even if </w:t>
      </w:r>
      <w:r w:rsidR="00983008">
        <w:rPr>
          <w:rFonts w:ascii="Arial" w:hAnsi="Arial" w:cs="Arial"/>
        </w:rPr>
        <w:t>Efwon Trading commences Chapter 11 in the US, local insolvency proceeding</w:t>
      </w:r>
      <w:r w:rsidR="002C05E6">
        <w:rPr>
          <w:rFonts w:ascii="Arial" w:hAnsi="Arial" w:cs="Arial"/>
        </w:rPr>
        <w:t xml:space="preserve">s against </w:t>
      </w:r>
      <w:r w:rsidR="00827837">
        <w:rPr>
          <w:rFonts w:ascii="Arial" w:hAnsi="Arial" w:cs="Arial"/>
        </w:rPr>
        <w:t>Efwon Trading</w:t>
      </w:r>
      <w:r w:rsidR="00983008">
        <w:rPr>
          <w:rFonts w:ascii="Arial" w:hAnsi="Arial" w:cs="Arial"/>
        </w:rPr>
        <w:t xml:space="preserve"> can still be commenced in the UK.  </w:t>
      </w:r>
      <w:r w:rsidR="00DD2566">
        <w:rPr>
          <w:rFonts w:ascii="Arial" w:hAnsi="Arial" w:cs="Arial"/>
        </w:rPr>
        <w:t xml:space="preserve">There must be </w:t>
      </w:r>
      <w:r w:rsidR="00CE5352">
        <w:rPr>
          <w:rFonts w:ascii="Arial" w:hAnsi="Arial" w:cs="Arial"/>
        </w:rPr>
        <w:t xml:space="preserve">obvious benefits to creditors as a whole, coupled with appropriate protections for </w:t>
      </w:r>
      <w:r w:rsidR="00AB373F">
        <w:rPr>
          <w:rFonts w:ascii="Arial" w:hAnsi="Arial" w:cs="Arial"/>
        </w:rPr>
        <w:t xml:space="preserve">the creditors, for the UK courts to restrict or prohibit creditors </w:t>
      </w:r>
      <w:r w:rsidR="007056CD">
        <w:rPr>
          <w:rFonts w:ascii="Arial" w:hAnsi="Arial" w:cs="Arial"/>
        </w:rPr>
        <w:t xml:space="preserve">from seeking to commence main insolvency proceedings in the UK but to entrust the restructuring </w:t>
      </w:r>
      <w:r w:rsidR="009B034E">
        <w:rPr>
          <w:rFonts w:ascii="Arial" w:hAnsi="Arial" w:cs="Arial"/>
        </w:rPr>
        <w:t>of the company and its business to the Chapter 11.</w:t>
      </w:r>
      <w:r w:rsidR="00F02CDA">
        <w:rPr>
          <w:rStyle w:val="FootnoteReference"/>
          <w:rFonts w:ascii="Arial" w:hAnsi="Arial" w:cs="Arial"/>
        </w:rPr>
        <w:footnoteReference w:id="98"/>
      </w:r>
      <w:r w:rsidR="009B034E">
        <w:rPr>
          <w:rFonts w:ascii="Arial" w:hAnsi="Arial" w:cs="Arial"/>
        </w:rPr>
        <w:t xml:space="preserve">  </w:t>
      </w:r>
      <w:r w:rsidR="00735A2B">
        <w:rPr>
          <w:rFonts w:ascii="Arial" w:hAnsi="Arial" w:cs="Arial"/>
        </w:rPr>
        <w:t xml:space="preserve">Efwon Trading </w:t>
      </w:r>
      <w:r w:rsidR="00D830F3">
        <w:rPr>
          <w:rFonts w:ascii="Arial" w:hAnsi="Arial" w:cs="Arial"/>
        </w:rPr>
        <w:t xml:space="preserve">will need to demonstrate </w:t>
      </w:r>
      <w:r w:rsidR="00301235">
        <w:rPr>
          <w:rFonts w:ascii="Arial" w:hAnsi="Arial" w:cs="Arial"/>
        </w:rPr>
        <w:t>synergy</w:t>
      </w:r>
      <w:r w:rsidR="009570E7">
        <w:rPr>
          <w:rFonts w:ascii="Arial" w:hAnsi="Arial" w:cs="Arial"/>
        </w:rPr>
        <w:t xml:space="preserve"> and value creation</w:t>
      </w:r>
      <w:r w:rsidR="00301235">
        <w:rPr>
          <w:rFonts w:ascii="Arial" w:hAnsi="Arial" w:cs="Arial"/>
        </w:rPr>
        <w:t xml:space="preserve"> for </w:t>
      </w:r>
      <w:r w:rsidR="00531F74">
        <w:rPr>
          <w:rFonts w:ascii="Arial" w:hAnsi="Arial" w:cs="Arial"/>
        </w:rPr>
        <w:t>the insolvency proceeding</w:t>
      </w:r>
      <w:r w:rsidR="00545D0A">
        <w:rPr>
          <w:rFonts w:ascii="Arial" w:hAnsi="Arial" w:cs="Arial"/>
        </w:rPr>
        <w:t>s</w:t>
      </w:r>
      <w:r w:rsidR="009570E7">
        <w:rPr>
          <w:rFonts w:ascii="Arial" w:hAnsi="Arial" w:cs="Arial"/>
        </w:rPr>
        <w:t xml:space="preserve"> being managed under Chapter 11, </w:t>
      </w:r>
      <w:r w:rsidR="002407A0">
        <w:rPr>
          <w:rFonts w:ascii="Arial" w:hAnsi="Arial" w:cs="Arial"/>
        </w:rPr>
        <w:t xml:space="preserve">that </w:t>
      </w:r>
      <w:r w:rsidR="004560D3">
        <w:rPr>
          <w:rFonts w:ascii="Arial" w:hAnsi="Arial" w:cs="Arial"/>
        </w:rPr>
        <w:t xml:space="preserve">unnecessary </w:t>
      </w:r>
      <w:r w:rsidR="002407A0">
        <w:rPr>
          <w:rFonts w:ascii="Arial" w:hAnsi="Arial" w:cs="Arial"/>
        </w:rPr>
        <w:t xml:space="preserve">additional costs </w:t>
      </w:r>
      <w:r w:rsidR="004560D3">
        <w:rPr>
          <w:rFonts w:ascii="Arial" w:hAnsi="Arial" w:cs="Arial"/>
        </w:rPr>
        <w:t xml:space="preserve">will be incurred </w:t>
      </w:r>
      <w:r w:rsidR="002407A0">
        <w:rPr>
          <w:rFonts w:ascii="Arial" w:hAnsi="Arial" w:cs="Arial"/>
        </w:rPr>
        <w:t xml:space="preserve">and delay will be created </w:t>
      </w:r>
      <w:r w:rsidR="00986FD5">
        <w:rPr>
          <w:rFonts w:ascii="Arial" w:hAnsi="Arial" w:cs="Arial"/>
        </w:rPr>
        <w:t xml:space="preserve">at the detriment of the creditors </w:t>
      </w:r>
      <w:r w:rsidR="002407A0">
        <w:rPr>
          <w:rFonts w:ascii="Arial" w:hAnsi="Arial" w:cs="Arial"/>
        </w:rPr>
        <w:t xml:space="preserve">should separate insolvency </w:t>
      </w:r>
      <w:r w:rsidR="00986FD5">
        <w:rPr>
          <w:rFonts w:ascii="Arial" w:hAnsi="Arial" w:cs="Arial"/>
        </w:rPr>
        <w:t xml:space="preserve">proceeding </w:t>
      </w:r>
      <w:r w:rsidR="00B11676">
        <w:rPr>
          <w:rFonts w:ascii="Arial" w:hAnsi="Arial" w:cs="Arial"/>
        </w:rPr>
        <w:t>be</w:t>
      </w:r>
      <w:r w:rsidR="00986FD5">
        <w:rPr>
          <w:rFonts w:ascii="Arial" w:hAnsi="Arial" w:cs="Arial"/>
        </w:rPr>
        <w:t xml:space="preserve"> commenced in the UK, and </w:t>
      </w:r>
      <w:r w:rsidR="00462965">
        <w:rPr>
          <w:rFonts w:ascii="Arial" w:hAnsi="Arial" w:cs="Arial"/>
        </w:rPr>
        <w:t xml:space="preserve">that it is guaranteed that </w:t>
      </w:r>
      <w:r w:rsidR="00A47C33">
        <w:rPr>
          <w:rFonts w:ascii="Arial" w:hAnsi="Arial" w:cs="Arial"/>
        </w:rPr>
        <w:t xml:space="preserve">creditors </w:t>
      </w:r>
      <w:r w:rsidR="004D7D30">
        <w:rPr>
          <w:rFonts w:ascii="Arial" w:hAnsi="Arial" w:cs="Arial"/>
        </w:rPr>
        <w:t xml:space="preserve">as a whole </w:t>
      </w:r>
      <w:r w:rsidR="00247EB3">
        <w:rPr>
          <w:rFonts w:ascii="Arial" w:hAnsi="Arial" w:cs="Arial"/>
        </w:rPr>
        <w:t xml:space="preserve">have an active and influential voice for the </w:t>
      </w:r>
      <w:r w:rsidR="00B64BDB">
        <w:rPr>
          <w:rFonts w:ascii="Arial" w:hAnsi="Arial" w:cs="Arial"/>
        </w:rPr>
        <w:t>protection of the</w:t>
      </w:r>
      <w:r w:rsidR="00247EB3">
        <w:rPr>
          <w:rFonts w:ascii="Arial" w:hAnsi="Arial" w:cs="Arial"/>
        </w:rPr>
        <w:t>ir</w:t>
      </w:r>
      <w:r w:rsidR="00B64BDB">
        <w:rPr>
          <w:rFonts w:ascii="Arial" w:hAnsi="Arial" w:cs="Arial"/>
        </w:rPr>
        <w:t xml:space="preserve"> interests under the Chapter 11 process</w:t>
      </w:r>
      <w:r w:rsidR="00D60EFE">
        <w:rPr>
          <w:rFonts w:ascii="Arial" w:hAnsi="Arial" w:cs="Arial"/>
        </w:rPr>
        <w:t xml:space="preserve">, in order for the UK courts to exercise its power to grant discretionary relief under Article 21 of the </w:t>
      </w:r>
      <w:r w:rsidR="00A5041F">
        <w:rPr>
          <w:rFonts w:ascii="Arial" w:hAnsi="Arial" w:cs="Arial"/>
        </w:rPr>
        <w:t xml:space="preserve">UK </w:t>
      </w:r>
      <w:r w:rsidR="00D60EFE">
        <w:rPr>
          <w:rFonts w:ascii="Arial" w:hAnsi="Arial" w:cs="Arial"/>
        </w:rPr>
        <w:t>Model Law.</w:t>
      </w:r>
    </w:p>
    <w:p w14:paraId="164C10C0" w14:textId="064B46D8" w:rsidR="00BC291E" w:rsidRPr="00BC291E" w:rsidRDefault="00BC291E" w:rsidP="009F78F1">
      <w:pPr>
        <w:spacing w:line="240" w:lineRule="auto"/>
        <w:jc w:val="both"/>
        <w:rPr>
          <w:rFonts w:ascii="Arial" w:hAnsi="Arial" w:cs="Arial"/>
          <w:u w:val="single"/>
        </w:rPr>
      </w:pPr>
      <w:r w:rsidRPr="00BC291E">
        <w:rPr>
          <w:rFonts w:ascii="Arial" w:hAnsi="Arial" w:cs="Arial"/>
          <w:u w:val="single"/>
        </w:rPr>
        <w:t>Rule in Gibbs</w:t>
      </w:r>
    </w:p>
    <w:p w14:paraId="39FF5A0A" w14:textId="3234AD17" w:rsidR="00462965" w:rsidRDefault="00D5728C" w:rsidP="009F78F1">
      <w:pPr>
        <w:spacing w:line="240" w:lineRule="auto"/>
        <w:jc w:val="both"/>
        <w:rPr>
          <w:rFonts w:ascii="Arial" w:hAnsi="Arial" w:cs="Arial"/>
        </w:rPr>
      </w:pPr>
      <w:r>
        <w:rPr>
          <w:rFonts w:ascii="Arial" w:hAnsi="Arial" w:cs="Arial"/>
        </w:rPr>
        <w:t xml:space="preserve">Consideration is also required </w:t>
      </w:r>
      <w:r w:rsidR="00BD20B3">
        <w:rPr>
          <w:rFonts w:ascii="Arial" w:hAnsi="Arial" w:cs="Arial"/>
        </w:rPr>
        <w:t xml:space="preserve">to be given to the </w:t>
      </w:r>
      <w:r w:rsidR="005A5304">
        <w:rPr>
          <w:rFonts w:ascii="Arial" w:hAnsi="Arial" w:cs="Arial"/>
        </w:rPr>
        <w:t>“</w:t>
      </w:r>
      <w:r w:rsidR="00BD20B3">
        <w:rPr>
          <w:rFonts w:ascii="Arial" w:hAnsi="Arial" w:cs="Arial"/>
        </w:rPr>
        <w:t>rule in Gibbs</w:t>
      </w:r>
      <w:r w:rsidR="005A5304">
        <w:rPr>
          <w:rFonts w:ascii="Arial" w:hAnsi="Arial" w:cs="Arial"/>
        </w:rPr>
        <w:t>”</w:t>
      </w:r>
      <w:r w:rsidR="00BD20B3">
        <w:rPr>
          <w:rFonts w:ascii="Arial" w:hAnsi="Arial" w:cs="Arial"/>
        </w:rPr>
        <w:t xml:space="preserve"> </w:t>
      </w:r>
      <w:r w:rsidR="003461E3">
        <w:rPr>
          <w:rFonts w:ascii="Arial" w:hAnsi="Arial" w:cs="Arial"/>
        </w:rPr>
        <w:t xml:space="preserve">for Efwon Trading to participate in the </w:t>
      </w:r>
      <w:r w:rsidR="004C1592">
        <w:rPr>
          <w:rFonts w:ascii="Arial" w:hAnsi="Arial" w:cs="Arial"/>
        </w:rPr>
        <w:t>reorganisation procedure</w:t>
      </w:r>
      <w:r w:rsidR="003461E3">
        <w:rPr>
          <w:rFonts w:ascii="Arial" w:hAnsi="Arial" w:cs="Arial"/>
        </w:rPr>
        <w:t xml:space="preserve"> under Chapter 11.  </w:t>
      </w:r>
      <w:r w:rsidR="009860FA">
        <w:rPr>
          <w:rFonts w:ascii="Arial" w:hAnsi="Arial" w:cs="Arial"/>
        </w:rPr>
        <w:t xml:space="preserve">The rule in Gibbs is a </w:t>
      </w:r>
      <w:r w:rsidR="005F6D70">
        <w:rPr>
          <w:rFonts w:ascii="Arial" w:hAnsi="Arial" w:cs="Arial"/>
        </w:rPr>
        <w:t>long-established</w:t>
      </w:r>
      <w:r w:rsidR="009860FA">
        <w:rPr>
          <w:rFonts w:ascii="Arial" w:hAnsi="Arial" w:cs="Arial"/>
        </w:rPr>
        <w:t xml:space="preserve"> ruling in </w:t>
      </w:r>
      <w:r w:rsidR="005F6D70" w:rsidRPr="005F6D70">
        <w:rPr>
          <w:rFonts w:ascii="Arial" w:hAnsi="Arial" w:cs="Arial"/>
          <w:i/>
          <w:iCs/>
        </w:rPr>
        <w:t>Gibbs &amp; Sons v Sociětě Industrielle et Commerciale des Mětaux (1890) 25 QBD 399</w:t>
      </w:r>
      <w:r w:rsidR="005F6D70">
        <w:rPr>
          <w:rFonts w:ascii="Arial" w:hAnsi="Arial" w:cs="Arial"/>
        </w:rPr>
        <w:t xml:space="preserve"> that </w:t>
      </w:r>
      <w:r w:rsidR="004D396E">
        <w:rPr>
          <w:rFonts w:ascii="Arial" w:hAnsi="Arial" w:cs="Arial"/>
        </w:rPr>
        <w:t xml:space="preserve">a debt governed by English law may only be discharged under English law.  </w:t>
      </w:r>
      <w:r w:rsidR="003B49E9">
        <w:rPr>
          <w:rFonts w:ascii="Arial" w:hAnsi="Arial" w:cs="Arial"/>
        </w:rPr>
        <w:t xml:space="preserve">In essence, </w:t>
      </w:r>
      <w:r w:rsidR="0088061F">
        <w:rPr>
          <w:rFonts w:ascii="Arial" w:hAnsi="Arial" w:cs="Arial"/>
        </w:rPr>
        <w:t xml:space="preserve">restructuring plan under </w:t>
      </w:r>
      <w:r w:rsidR="006F6E5E">
        <w:rPr>
          <w:rFonts w:ascii="Arial" w:hAnsi="Arial" w:cs="Arial"/>
        </w:rPr>
        <w:t>non-English law will not extinguish English law debt</w:t>
      </w:r>
      <w:r w:rsidR="00BA50FF">
        <w:rPr>
          <w:rFonts w:ascii="Arial" w:hAnsi="Arial" w:cs="Arial"/>
        </w:rPr>
        <w:t xml:space="preserve"> unless the </w:t>
      </w:r>
      <w:r w:rsidR="0067099B">
        <w:rPr>
          <w:rFonts w:ascii="Arial" w:hAnsi="Arial" w:cs="Arial"/>
        </w:rPr>
        <w:t xml:space="preserve">English law </w:t>
      </w:r>
      <w:r w:rsidR="00542C31">
        <w:rPr>
          <w:rFonts w:ascii="Arial" w:hAnsi="Arial" w:cs="Arial"/>
        </w:rPr>
        <w:t xml:space="preserve">creditors voluntarily </w:t>
      </w:r>
      <w:r w:rsidR="00B4512C">
        <w:rPr>
          <w:rFonts w:ascii="Arial" w:hAnsi="Arial" w:cs="Arial"/>
        </w:rPr>
        <w:t xml:space="preserve">submitted </w:t>
      </w:r>
      <w:r w:rsidR="00542C31">
        <w:rPr>
          <w:rFonts w:ascii="Arial" w:hAnsi="Arial" w:cs="Arial"/>
        </w:rPr>
        <w:t>in it</w:t>
      </w:r>
      <w:r w:rsidR="00E92A5C">
        <w:rPr>
          <w:rFonts w:ascii="Arial" w:hAnsi="Arial" w:cs="Arial"/>
        </w:rPr>
        <w:t xml:space="preserve">.  The UK Court of Appeal upheld the High Court’s decision </w:t>
      </w:r>
      <w:r w:rsidR="00E6134C">
        <w:rPr>
          <w:rFonts w:ascii="Arial" w:hAnsi="Arial" w:cs="Arial"/>
        </w:rPr>
        <w:t xml:space="preserve">on the operation of the rule in Gibbs in </w:t>
      </w:r>
      <w:r w:rsidR="00C03A24" w:rsidRPr="00C03A24">
        <w:rPr>
          <w:rFonts w:ascii="Arial" w:hAnsi="Arial" w:cs="Arial"/>
          <w:i/>
          <w:iCs/>
        </w:rPr>
        <w:t xml:space="preserve">Re OJSC International Bank of Azerbaijan </w:t>
      </w:r>
      <w:r w:rsidR="00C03A24" w:rsidRPr="00C03A24">
        <w:rPr>
          <w:rFonts w:ascii="Arial" w:hAnsi="Arial" w:cs="Arial"/>
          <w:i/>
          <w:iCs/>
        </w:rPr>
        <w:lastRenderedPageBreak/>
        <w:t>[2018] EWCA Civ 2802</w:t>
      </w:r>
      <w:r w:rsidR="00C03A24">
        <w:rPr>
          <w:rFonts w:ascii="Arial" w:hAnsi="Arial" w:cs="Arial"/>
        </w:rPr>
        <w:t xml:space="preserve"> and refused to grant </w:t>
      </w:r>
      <w:r w:rsidR="00BC741E">
        <w:rPr>
          <w:rFonts w:ascii="Arial" w:hAnsi="Arial" w:cs="Arial"/>
        </w:rPr>
        <w:t>relief for indefinite stay under Article 21</w:t>
      </w:r>
      <w:r w:rsidR="00DC30F7">
        <w:rPr>
          <w:rFonts w:ascii="Arial" w:hAnsi="Arial" w:cs="Arial"/>
        </w:rPr>
        <w:t xml:space="preserve">(1)(a) and (b) of the </w:t>
      </w:r>
      <w:r w:rsidR="00A5041F">
        <w:rPr>
          <w:rFonts w:ascii="Arial" w:hAnsi="Arial" w:cs="Arial"/>
        </w:rPr>
        <w:t xml:space="preserve">UK </w:t>
      </w:r>
      <w:r w:rsidR="00DC30F7">
        <w:rPr>
          <w:rFonts w:ascii="Arial" w:hAnsi="Arial" w:cs="Arial"/>
        </w:rPr>
        <w:t>Model Law to prevent English law creditors from enforc</w:t>
      </w:r>
      <w:r w:rsidR="00C65621">
        <w:rPr>
          <w:rFonts w:ascii="Arial" w:hAnsi="Arial" w:cs="Arial"/>
        </w:rPr>
        <w:t xml:space="preserve">ing their </w:t>
      </w:r>
      <w:r w:rsidR="00CF7637">
        <w:rPr>
          <w:rFonts w:ascii="Arial" w:hAnsi="Arial" w:cs="Arial"/>
        </w:rPr>
        <w:t xml:space="preserve">English law </w:t>
      </w:r>
      <w:r w:rsidR="00C65621">
        <w:rPr>
          <w:rFonts w:ascii="Arial" w:hAnsi="Arial" w:cs="Arial"/>
        </w:rPr>
        <w:t xml:space="preserve">rights that </w:t>
      </w:r>
      <w:r w:rsidR="00CF7637">
        <w:rPr>
          <w:rFonts w:ascii="Arial" w:hAnsi="Arial" w:cs="Arial"/>
        </w:rPr>
        <w:t xml:space="preserve">may </w:t>
      </w:r>
      <w:r w:rsidR="00C65621">
        <w:rPr>
          <w:rFonts w:ascii="Arial" w:hAnsi="Arial" w:cs="Arial"/>
        </w:rPr>
        <w:t xml:space="preserve">have been discharged by a </w:t>
      </w:r>
      <w:r w:rsidR="0009318F">
        <w:rPr>
          <w:rFonts w:ascii="Arial" w:hAnsi="Arial" w:cs="Arial"/>
        </w:rPr>
        <w:t xml:space="preserve">non-English law </w:t>
      </w:r>
      <w:r w:rsidR="00C65621">
        <w:rPr>
          <w:rFonts w:ascii="Arial" w:hAnsi="Arial" w:cs="Arial"/>
        </w:rPr>
        <w:t>restructuring plan.</w:t>
      </w:r>
      <w:r w:rsidR="0009578B">
        <w:rPr>
          <w:rStyle w:val="FootnoteReference"/>
          <w:rFonts w:ascii="Arial" w:hAnsi="Arial" w:cs="Arial"/>
        </w:rPr>
        <w:footnoteReference w:id="99"/>
      </w:r>
      <w:r w:rsidR="00542C31">
        <w:rPr>
          <w:rFonts w:ascii="Arial" w:hAnsi="Arial" w:cs="Arial"/>
        </w:rPr>
        <w:t xml:space="preserve">  Th</w:t>
      </w:r>
      <w:r w:rsidR="00EB7007">
        <w:rPr>
          <w:rFonts w:ascii="Arial" w:hAnsi="Arial" w:cs="Arial"/>
        </w:rPr>
        <w:t xml:space="preserve">erefore, the effectiveness for Efwon Trading to commence Chapter 11 </w:t>
      </w:r>
      <w:r w:rsidR="00EE056A">
        <w:rPr>
          <w:rFonts w:ascii="Arial" w:hAnsi="Arial" w:cs="Arial"/>
        </w:rPr>
        <w:t xml:space="preserve">depends on if the rule in Gibbs applies.  Based on the information available, it is unclear </w:t>
      </w:r>
      <w:r w:rsidR="00FE223A">
        <w:rPr>
          <w:rFonts w:ascii="Arial" w:hAnsi="Arial" w:cs="Arial"/>
        </w:rPr>
        <w:t xml:space="preserve">whether the debt of the Monaco Lender is governed by English law.  </w:t>
      </w:r>
      <w:r w:rsidR="00ED0EA9">
        <w:rPr>
          <w:rFonts w:ascii="Arial" w:hAnsi="Arial" w:cs="Arial"/>
        </w:rPr>
        <w:t>The approach suggested in the a</w:t>
      </w:r>
      <w:r w:rsidR="00631CA8">
        <w:rPr>
          <w:rFonts w:ascii="Arial" w:hAnsi="Arial" w:cs="Arial"/>
        </w:rPr>
        <w:t>dvice given above may need to be reconsidered should further information come to light.</w:t>
      </w:r>
    </w:p>
    <w:p w14:paraId="681DA140" w14:textId="30FB4B63" w:rsidR="00BC291E" w:rsidRPr="00BC291E" w:rsidRDefault="00BC291E" w:rsidP="009F78F1">
      <w:pPr>
        <w:spacing w:line="240" w:lineRule="auto"/>
        <w:jc w:val="both"/>
        <w:rPr>
          <w:rFonts w:ascii="Arial" w:hAnsi="Arial" w:cs="Arial"/>
          <w:b/>
          <w:caps/>
        </w:rPr>
      </w:pPr>
      <w:r w:rsidRPr="00BC291E">
        <w:rPr>
          <w:rFonts w:ascii="Arial" w:hAnsi="Arial" w:cs="Arial"/>
          <w:b/>
          <w:caps/>
        </w:rPr>
        <w:t>Efwon Romania and Efwon Trading to seek recognition in the US</w:t>
      </w:r>
    </w:p>
    <w:p w14:paraId="06409927" w14:textId="4A06EA37" w:rsidR="001512FE" w:rsidRDefault="00F30F2E" w:rsidP="009F78F1">
      <w:pPr>
        <w:spacing w:line="240" w:lineRule="auto"/>
        <w:jc w:val="both"/>
        <w:rPr>
          <w:rFonts w:ascii="Arial" w:hAnsi="Arial" w:cs="Arial"/>
        </w:rPr>
      </w:pPr>
      <w:r>
        <w:rPr>
          <w:rFonts w:ascii="Arial" w:hAnsi="Arial" w:cs="Arial"/>
        </w:rPr>
        <w:t xml:space="preserve">With Efwon Romania commencing </w:t>
      </w:r>
      <w:r w:rsidR="00491E3B">
        <w:rPr>
          <w:rFonts w:ascii="Arial" w:hAnsi="Arial" w:cs="Arial"/>
        </w:rPr>
        <w:t>insolvency proceeding</w:t>
      </w:r>
      <w:r w:rsidR="00664CEA">
        <w:rPr>
          <w:rFonts w:ascii="Arial" w:hAnsi="Arial" w:cs="Arial"/>
        </w:rPr>
        <w:t xml:space="preserve"> in Romania, and if Efwon Trading commencing insolvency proceeding in the UK, question </w:t>
      </w:r>
      <w:r w:rsidR="00B87B94">
        <w:rPr>
          <w:rFonts w:ascii="Arial" w:hAnsi="Arial" w:cs="Arial"/>
        </w:rPr>
        <w:t xml:space="preserve">as to whether </w:t>
      </w:r>
      <w:r w:rsidR="001D0984">
        <w:rPr>
          <w:rFonts w:ascii="Arial" w:hAnsi="Arial" w:cs="Arial"/>
        </w:rPr>
        <w:t xml:space="preserve">there is jurisdiction for </w:t>
      </w:r>
      <w:r w:rsidR="00B87B94">
        <w:rPr>
          <w:rFonts w:ascii="Arial" w:hAnsi="Arial" w:cs="Arial"/>
        </w:rPr>
        <w:t xml:space="preserve">recognition </w:t>
      </w:r>
      <w:r w:rsidR="00CB179B">
        <w:rPr>
          <w:rFonts w:ascii="Arial" w:hAnsi="Arial" w:cs="Arial"/>
        </w:rPr>
        <w:t xml:space="preserve">of them to </w:t>
      </w:r>
      <w:r w:rsidR="00B87B94">
        <w:rPr>
          <w:rFonts w:ascii="Arial" w:hAnsi="Arial" w:cs="Arial"/>
        </w:rPr>
        <w:t>be sought as foreign proceeding</w:t>
      </w:r>
      <w:r w:rsidR="00854B93">
        <w:rPr>
          <w:rFonts w:ascii="Arial" w:hAnsi="Arial" w:cs="Arial"/>
        </w:rPr>
        <w:t>s</w:t>
      </w:r>
      <w:r w:rsidR="00B87B94">
        <w:rPr>
          <w:rFonts w:ascii="Arial" w:hAnsi="Arial" w:cs="Arial"/>
        </w:rPr>
        <w:t xml:space="preserve"> </w:t>
      </w:r>
      <w:r w:rsidR="006A63A0">
        <w:rPr>
          <w:rFonts w:ascii="Arial" w:hAnsi="Arial" w:cs="Arial"/>
        </w:rPr>
        <w:t xml:space="preserve">in the US </w:t>
      </w:r>
      <w:r w:rsidR="00B87B94">
        <w:rPr>
          <w:rFonts w:ascii="Arial" w:hAnsi="Arial" w:cs="Arial"/>
        </w:rPr>
        <w:t xml:space="preserve">may arise.  </w:t>
      </w:r>
      <w:r w:rsidR="005D1A7D">
        <w:rPr>
          <w:rFonts w:ascii="Arial" w:hAnsi="Arial" w:cs="Arial"/>
        </w:rPr>
        <w:t xml:space="preserve">The US adopted </w:t>
      </w:r>
      <w:r w:rsidR="00A228CA">
        <w:rPr>
          <w:rFonts w:ascii="Arial" w:hAnsi="Arial" w:cs="Arial"/>
        </w:rPr>
        <w:t xml:space="preserve">the Model Law in </w:t>
      </w:r>
      <w:r w:rsidR="00BD4CEB">
        <w:rPr>
          <w:rFonts w:ascii="Arial" w:hAnsi="Arial" w:cs="Arial"/>
        </w:rPr>
        <w:t>its Chapter 15 of the US Code</w:t>
      </w:r>
      <w:r w:rsidR="00186002">
        <w:rPr>
          <w:rFonts w:ascii="Arial" w:hAnsi="Arial" w:cs="Arial"/>
        </w:rPr>
        <w:t xml:space="preserve"> (the </w:t>
      </w:r>
      <w:r w:rsidR="00186002" w:rsidRPr="00186002">
        <w:rPr>
          <w:rFonts w:ascii="Arial" w:hAnsi="Arial" w:cs="Arial"/>
          <w:b/>
          <w:bCs/>
        </w:rPr>
        <w:t>US Model Law</w:t>
      </w:r>
      <w:r w:rsidR="00186002">
        <w:rPr>
          <w:rFonts w:ascii="Arial" w:hAnsi="Arial" w:cs="Arial"/>
        </w:rPr>
        <w:t>)</w:t>
      </w:r>
      <w:r w:rsidR="00BD4CEB">
        <w:rPr>
          <w:rFonts w:ascii="Arial" w:hAnsi="Arial" w:cs="Arial"/>
        </w:rPr>
        <w:t xml:space="preserve"> which is intended to promote co</w:t>
      </w:r>
      <w:r w:rsidR="00B62AF4">
        <w:rPr>
          <w:rFonts w:ascii="Arial" w:hAnsi="Arial" w:cs="Arial"/>
        </w:rPr>
        <w:t>operation between the US courts and the foreign courts</w:t>
      </w:r>
      <w:r w:rsidR="00853E47">
        <w:rPr>
          <w:rFonts w:ascii="Arial" w:hAnsi="Arial" w:cs="Arial"/>
        </w:rPr>
        <w:t xml:space="preserve"> for a fair and efficient administration of cross-border insolvency to protect the interests of all creditors and other interested entities.</w:t>
      </w:r>
      <w:r w:rsidR="00085E13">
        <w:rPr>
          <w:rFonts w:ascii="Arial" w:hAnsi="Arial" w:cs="Arial"/>
        </w:rPr>
        <w:t xml:space="preserve">  The </w:t>
      </w:r>
      <w:r w:rsidR="00881809">
        <w:rPr>
          <w:rFonts w:ascii="Arial" w:hAnsi="Arial" w:cs="Arial"/>
        </w:rPr>
        <w:t xml:space="preserve">process and </w:t>
      </w:r>
      <w:r w:rsidR="002C7AE5">
        <w:rPr>
          <w:rFonts w:ascii="Arial" w:hAnsi="Arial" w:cs="Arial"/>
        </w:rPr>
        <w:t xml:space="preserve">grounds for granting </w:t>
      </w:r>
      <w:r w:rsidR="00FB41F2">
        <w:rPr>
          <w:rFonts w:ascii="Arial" w:hAnsi="Arial" w:cs="Arial"/>
        </w:rPr>
        <w:t>the</w:t>
      </w:r>
      <w:r w:rsidR="002C7AE5">
        <w:rPr>
          <w:rFonts w:ascii="Arial" w:hAnsi="Arial" w:cs="Arial"/>
        </w:rPr>
        <w:t xml:space="preserve"> recognition as a foreign proceeding </w:t>
      </w:r>
      <w:r w:rsidR="00881809">
        <w:rPr>
          <w:rFonts w:ascii="Arial" w:hAnsi="Arial" w:cs="Arial"/>
        </w:rPr>
        <w:t xml:space="preserve">is similar to that of </w:t>
      </w:r>
      <w:r w:rsidR="00C816A8">
        <w:rPr>
          <w:rFonts w:ascii="Arial" w:hAnsi="Arial" w:cs="Arial"/>
        </w:rPr>
        <w:t>Article 17</w:t>
      </w:r>
      <w:r w:rsidR="009E5AFA">
        <w:rPr>
          <w:rFonts w:ascii="Arial" w:hAnsi="Arial" w:cs="Arial"/>
        </w:rPr>
        <w:t>(1) of the UK Model Law</w:t>
      </w:r>
      <w:r w:rsidR="00F06C9B">
        <w:rPr>
          <w:rFonts w:ascii="Arial" w:hAnsi="Arial" w:cs="Arial"/>
        </w:rPr>
        <w:t xml:space="preserve"> whereas </w:t>
      </w:r>
      <w:r w:rsidR="009E1AD5">
        <w:rPr>
          <w:rFonts w:ascii="Arial" w:hAnsi="Arial" w:cs="Arial"/>
        </w:rPr>
        <w:t xml:space="preserve">the foreign representative </w:t>
      </w:r>
      <w:r w:rsidR="000B06E4">
        <w:rPr>
          <w:rFonts w:ascii="Arial" w:hAnsi="Arial" w:cs="Arial"/>
        </w:rPr>
        <w:t xml:space="preserve">under the US Model Law would be the </w:t>
      </w:r>
      <w:r w:rsidR="00E34893">
        <w:rPr>
          <w:rFonts w:ascii="Arial" w:hAnsi="Arial" w:cs="Arial"/>
        </w:rPr>
        <w:t>judicial a</w:t>
      </w:r>
      <w:r w:rsidR="00035B96">
        <w:rPr>
          <w:rFonts w:ascii="Arial" w:hAnsi="Arial" w:cs="Arial"/>
        </w:rPr>
        <w:t>dministrator</w:t>
      </w:r>
      <w:r w:rsidR="004907FC">
        <w:rPr>
          <w:rFonts w:ascii="Arial" w:hAnsi="Arial" w:cs="Arial"/>
        </w:rPr>
        <w:t xml:space="preserve"> of Efwon Romania, </w:t>
      </w:r>
      <w:r w:rsidR="00F87ED3">
        <w:rPr>
          <w:rFonts w:ascii="Arial" w:hAnsi="Arial" w:cs="Arial"/>
        </w:rPr>
        <w:t xml:space="preserve">and </w:t>
      </w:r>
      <w:r w:rsidR="004907FC">
        <w:rPr>
          <w:rFonts w:ascii="Arial" w:hAnsi="Arial" w:cs="Arial"/>
        </w:rPr>
        <w:t xml:space="preserve">the </w:t>
      </w:r>
      <w:r w:rsidR="00BF35A4">
        <w:rPr>
          <w:rFonts w:ascii="Arial" w:hAnsi="Arial" w:cs="Arial"/>
        </w:rPr>
        <w:t xml:space="preserve">board of directors </w:t>
      </w:r>
      <w:r w:rsidR="00F87ED3">
        <w:rPr>
          <w:rFonts w:ascii="Arial" w:hAnsi="Arial" w:cs="Arial"/>
        </w:rPr>
        <w:t xml:space="preserve">of Efwon Trading under the CVA or the administrator </w:t>
      </w:r>
      <w:r w:rsidR="00920134">
        <w:rPr>
          <w:rFonts w:ascii="Arial" w:hAnsi="Arial" w:cs="Arial"/>
        </w:rPr>
        <w:t>under the Administration</w:t>
      </w:r>
      <w:r w:rsidR="009E5AFA">
        <w:rPr>
          <w:rFonts w:ascii="Arial" w:hAnsi="Arial" w:cs="Arial"/>
        </w:rPr>
        <w:t>.</w:t>
      </w:r>
      <w:r w:rsidR="009E5AFA">
        <w:rPr>
          <w:rStyle w:val="FootnoteReference"/>
          <w:rFonts w:ascii="Arial" w:hAnsi="Arial" w:cs="Arial"/>
        </w:rPr>
        <w:footnoteReference w:id="100"/>
      </w:r>
      <w:r w:rsidR="00881809">
        <w:rPr>
          <w:rFonts w:ascii="Arial" w:hAnsi="Arial" w:cs="Arial"/>
        </w:rPr>
        <w:t xml:space="preserve"> </w:t>
      </w:r>
      <w:r w:rsidR="00F06C9B">
        <w:rPr>
          <w:rFonts w:ascii="Arial" w:hAnsi="Arial" w:cs="Arial"/>
        </w:rPr>
        <w:t xml:space="preserve"> </w:t>
      </w:r>
      <w:r w:rsidR="00120AC7">
        <w:rPr>
          <w:rFonts w:ascii="Arial" w:hAnsi="Arial" w:cs="Arial"/>
        </w:rPr>
        <w:t xml:space="preserve">Similarly, the distinguishment </w:t>
      </w:r>
      <w:r w:rsidR="00F0068E">
        <w:rPr>
          <w:rFonts w:ascii="Arial" w:hAnsi="Arial" w:cs="Arial"/>
        </w:rPr>
        <w:t>between</w:t>
      </w:r>
      <w:r w:rsidR="00120AC7">
        <w:rPr>
          <w:rFonts w:ascii="Arial" w:hAnsi="Arial" w:cs="Arial"/>
        </w:rPr>
        <w:t xml:space="preserve"> a foreign main proceeding and a foreign non-main proceeding </w:t>
      </w:r>
      <w:r w:rsidR="005108FD">
        <w:rPr>
          <w:rFonts w:ascii="Arial" w:hAnsi="Arial" w:cs="Arial"/>
        </w:rPr>
        <w:t xml:space="preserve">is governed by </w:t>
      </w:r>
      <w:r w:rsidR="005108FD" w:rsidRPr="005108FD">
        <w:rPr>
          <w:rFonts w:ascii="Arial" w:hAnsi="Arial" w:cs="Arial"/>
        </w:rPr>
        <w:t xml:space="preserve">11 U.S. Code § </w:t>
      </w:r>
      <w:r w:rsidR="005108FD">
        <w:rPr>
          <w:rFonts w:ascii="Arial" w:hAnsi="Arial" w:cs="Arial"/>
        </w:rPr>
        <w:t>1517(b)</w:t>
      </w:r>
      <w:r w:rsidR="00884C48">
        <w:rPr>
          <w:rFonts w:ascii="Arial" w:hAnsi="Arial" w:cs="Arial"/>
        </w:rPr>
        <w:t xml:space="preserve"> compared to</w:t>
      </w:r>
      <w:r w:rsidR="00186002">
        <w:rPr>
          <w:rFonts w:ascii="Arial" w:hAnsi="Arial" w:cs="Arial"/>
        </w:rPr>
        <w:t xml:space="preserve"> Article 17(2) of the UK Model Law.  </w:t>
      </w:r>
      <w:r w:rsidR="00D31D5A">
        <w:rPr>
          <w:rFonts w:ascii="Arial" w:hAnsi="Arial" w:cs="Arial"/>
        </w:rPr>
        <w:t xml:space="preserve">Therefore, the rebuttable assumption </w:t>
      </w:r>
      <w:r w:rsidR="00537561">
        <w:rPr>
          <w:rFonts w:ascii="Arial" w:hAnsi="Arial" w:cs="Arial"/>
        </w:rPr>
        <w:t xml:space="preserve">that the COMI of Efwon Romania and Efwon Trading </w:t>
      </w:r>
      <w:r w:rsidR="009151C9">
        <w:rPr>
          <w:rFonts w:ascii="Arial" w:hAnsi="Arial" w:cs="Arial"/>
        </w:rPr>
        <w:t xml:space="preserve">are </w:t>
      </w:r>
      <w:r w:rsidR="00537561">
        <w:rPr>
          <w:rFonts w:ascii="Arial" w:hAnsi="Arial" w:cs="Arial"/>
        </w:rPr>
        <w:t>at th</w:t>
      </w:r>
      <w:r w:rsidR="0096460B">
        <w:rPr>
          <w:rFonts w:ascii="Arial" w:hAnsi="Arial" w:cs="Arial"/>
        </w:rPr>
        <w:t xml:space="preserve">eir </w:t>
      </w:r>
      <w:r w:rsidR="00C56C47">
        <w:rPr>
          <w:rFonts w:ascii="Arial" w:hAnsi="Arial" w:cs="Arial"/>
        </w:rPr>
        <w:t xml:space="preserve">respective </w:t>
      </w:r>
      <w:r w:rsidR="0096460B">
        <w:rPr>
          <w:rFonts w:ascii="Arial" w:hAnsi="Arial" w:cs="Arial"/>
        </w:rPr>
        <w:t>registered offices applies.</w:t>
      </w:r>
      <w:r w:rsidR="00CD1B56">
        <w:rPr>
          <w:rFonts w:ascii="Arial" w:hAnsi="Arial" w:cs="Arial"/>
        </w:rPr>
        <w:t xml:space="preserve">  However, </w:t>
      </w:r>
      <w:r w:rsidR="00342F6D">
        <w:rPr>
          <w:rFonts w:ascii="Arial" w:hAnsi="Arial" w:cs="Arial"/>
        </w:rPr>
        <w:t xml:space="preserve">the US courts consider the </w:t>
      </w:r>
      <w:r w:rsidR="00342F6D" w:rsidRPr="00C56C47">
        <w:rPr>
          <w:rFonts w:ascii="Arial" w:hAnsi="Arial" w:cs="Arial"/>
          <w:i/>
          <w:iCs/>
        </w:rPr>
        <w:t>“factors that indicate regularity and ascertainability”</w:t>
      </w:r>
      <w:r w:rsidR="00342F6D">
        <w:rPr>
          <w:rFonts w:ascii="Arial" w:hAnsi="Arial" w:cs="Arial"/>
        </w:rPr>
        <w:t xml:space="preserve"> </w:t>
      </w:r>
      <w:r w:rsidR="00D87939">
        <w:rPr>
          <w:rFonts w:ascii="Arial" w:hAnsi="Arial" w:cs="Arial"/>
        </w:rPr>
        <w:t xml:space="preserve">to rebut the presumption </w:t>
      </w:r>
      <w:r w:rsidR="00FA0BCC">
        <w:rPr>
          <w:rFonts w:ascii="Arial" w:hAnsi="Arial" w:cs="Arial"/>
        </w:rPr>
        <w:t>differently to that of the UK courts and the CJEU</w:t>
      </w:r>
      <w:r w:rsidR="00BE3405">
        <w:rPr>
          <w:rFonts w:ascii="Arial" w:hAnsi="Arial" w:cs="Arial"/>
        </w:rPr>
        <w:t xml:space="preserve"> and </w:t>
      </w:r>
      <w:proofErr w:type="gramStart"/>
      <w:r w:rsidR="00D16111">
        <w:rPr>
          <w:rFonts w:ascii="Arial" w:hAnsi="Arial" w:cs="Arial"/>
        </w:rPr>
        <w:t xml:space="preserve">make </w:t>
      </w:r>
      <w:r w:rsidR="00BE3405">
        <w:rPr>
          <w:rFonts w:ascii="Arial" w:hAnsi="Arial" w:cs="Arial"/>
        </w:rPr>
        <w:t>reference</w:t>
      </w:r>
      <w:proofErr w:type="gramEnd"/>
      <w:r w:rsidR="00BE3405">
        <w:rPr>
          <w:rFonts w:ascii="Arial" w:hAnsi="Arial" w:cs="Arial"/>
        </w:rPr>
        <w:t xml:space="preserve"> to the principle of </w:t>
      </w:r>
      <w:r w:rsidR="00BE3405" w:rsidRPr="003C67E8">
        <w:rPr>
          <w:rFonts w:ascii="Arial" w:hAnsi="Arial" w:cs="Arial"/>
          <w:i/>
          <w:iCs/>
        </w:rPr>
        <w:t>“nerve cent</w:t>
      </w:r>
      <w:r w:rsidR="005E59D5" w:rsidRPr="003C67E8">
        <w:rPr>
          <w:rFonts w:ascii="Arial" w:hAnsi="Arial" w:cs="Arial"/>
          <w:i/>
          <w:iCs/>
        </w:rPr>
        <w:t>re</w:t>
      </w:r>
      <w:r w:rsidR="00BE3405" w:rsidRPr="003C67E8">
        <w:rPr>
          <w:rFonts w:ascii="Arial" w:hAnsi="Arial" w:cs="Arial"/>
          <w:i/>
          <w:iCs/>
        </w:rPr>
        <w:t>”</w:t>
      </w:r>
      <w:r w:rsidR="00162C3E" w:rsidRPr="003C67E8">
        <w:rPr>
          <w:rFonts w:ascii="Arial" w:hAnsi="Arial" w:cs="Arial"/>
          <w:i/>
          <w:iCs/>
        </w:rPr>
        <w:t xml:space="preserve"> </w:t>
      </w:r>
      <w:r w:rsidR="00EE31C1">
        <w:rPr>
          <w:rFonts w:ascii="Arial" w:hAnsi="Arial" w:cs="Arial"/>
        </w:rPr>
        <w:t xml:space="preserve">and </w:t>
      </w:r>
      <w:r w:rsidR="00EE31C1" w:rsidRPr="003C67E8">
        <w:rPr>
          <w:rFonts w:ascii="Arial" w:hAnsi="Arial" w:cs="Arial"/>
          <w:i/>
          <w:iCs/>
        </w:rPr>
        <w:t>“headquarter</w:t>
      </w:r>
      <w:r w:rsidR="003C67E8" w:rsidRPr="003C67E8">
        <w:rPr>
          <w:rFonts w:ascii="Arial" w:hAnsi="Arial" w:cs="Arial"/>
          <w:i/>
          <w:iCs/>
        </w:rPr>
        <w:t>s</w:t>
      </w:r>
      <w:r w:rsidR="00EE31C1" w:rsidRPr="003C67E8">
        <w:rPr>
          <w:rFonts w:ascii="Arial" w:hAnsi="Arial" w:cs="Arial"/>
          <w:i/>
          <w:iCs/>
        </w:rPr>
        <w:t>”</w:t>
      </w:r>
      <w:r w:rsidR="00EE31C1">
        <w:rPr>
          <w:rFonts w:ascii="Arial" w:hAnsi="Arial" w:cs="Arial"/>
        </w:rPr>
        <w:t xml:space="preserve"> </w:t>
      </w:r>
      <w:r w:rsidR="00162C3E">
        <w:rPr>
          <w:rFonts w:ascii="Arial" w:hAnsi="Arial" w:cs="Arial"/>
        </w:rPr>
        <w:t xml:space="preserve">to consider </w:t>
      </w:r>
      <w:r w:rsidR="00201830">
        <w:rPr>
          <w:rFonts w:ascii="Arial" w:hAnsi="Arial" w:cs="Arial"/>
        </w:rPr>
        <w:t xml:space="preserve">where the debtor’s activities are directed and controlled </w:t>
      </w:r>
      <w:r w:rsidR="003C67E8">
        <w:rPr>
          <w:rFonts w:ascii="Arial" w:hAnsi="Arial" w:cs="Arial"/>
        </w:rPr>
        <w:t>when</w:t>
      </w:r>
      <w:r w:rsidR="00201830">
        <w:rPr>
          <w:rFonts w:ascii="Arial" w:hAnsi="Arial" w:cs="Arial"/>
        </w:rPr>
        <w:t xml:space="preserve"> determining the debtor’s COMI.</w:t>
      </w:r>
    </w:p>
    <w:p w14:paraId="7EB93F56" w14:textId="26AA5C4F" w:rsidR="00BC291E" w:rsidRPr="00BC291E" w:rsidRDefault="00BC291E" w:rsidP="009F78F1">
      <w:pPr>
        <w:spacing w:line="240" w:lineRule="auto"/>
        <w:jc w:val="both"/>
        <w:rPr>
          <w:rFonts w:ascii="Arial" w:hAnsi="Arial" w:cs="Arial"/>
          <w:u w:val="single"/>
        </w:rPr>
      </w:pPr>
      <w:r w:rsidRPr="00BC291E">
        <w:rPr>
          <w:rFonts w:ascii="Arial" w:hAnsi="Arial" w:cs="Arial"/>
          <w:u w:val="single"/>
        </w:rPr>
        <w:t>COMI</w:t>
      </w:r>
    </w:p>
    <w:p w14:paraId="255B8685" w14:textId="66590632" w:rsidR="00323287" w:rsidRPr="00323287" w:rsidRDefault="00784EF0" w:rsidP="009F78F1">
      <w:pPr>
        <w:spacing w:line="240" w:lineRule="auto"/>
        <w:jc w:val="both"/>
        <w:rPr>
          <w:rFonts w:ascii="Arial" w:hAnsi="Arial" w:cs="Arial"/>
        </w:rPr>
      </w:pPr>
      <w:r w:rsidRPr="00784EF0">
        <w:rPr>
          <w:rFonts w:ascii="Arial" w:hAnsi="Arial" w:cs="Arial"/>
        </w:rPr>
        <w:t xml:space="preserve">In </w:t>
      </w:r>
      <w:r w:rsidR="00323287" w:rsidRPr="00323287">
        <w:rPr>
          <w:rFonts w:ascii="Arial" w:hAnsi="Arial" w:cs="Arial"/>
          <w:i/>
          <w:iCs/>
        </w:rPr>
        <w:t>In re OAS S.A., 533 B.R. 83 (</w:t>
      </w:r>
      <w:r w:rsidR="006F7180" w:rsidRPr="006F7180">
        <w:rPr>
          <w:rFonts w:ascii="Arial" w:hAnsi="Arial" w:cs="Arial"/>
          <w:i/>
          <w:iCs/>
        </w:rPr>
        <w:t xml:space="preserve">Bankr. S.D.N.Y. </w:t>
      </w:r>
      <w:r w:rsidR="00323287" w:rsidRPr="00323287">
        <w:rPr>
          <w:rFonts w:ascii="Arial" w:hAnsi="Arial" w:cs="Arial"/>
          <w:i/>
          <w:iCs/>
        </w:rPr>
        <w:t>2015)</w:t>
      </w:r>
      <w:r w:rsidR="00323287">
        <w:rPr>
          <w:rFonts w:ascii="Arial" w:hAnsi="Arial" w:cs="Arial"/>
        </w:rPr>
        <w:t xml:space="preserve">, </w:t>
      </w:r>
      <w:r w:rsidR="009F6FDD">
        <w:rPr>
          <w:rFonts w:ascii="Arial" w:hAnsi="Arial" w:cs="Arial"/>
        </w:rPr>
        <w:t xml:space="preserve">OAS Investments GmbH </w:t>
      </w:r>
      <w:r w:rsidR="00270D4A">
        <w:rPr>
          <w:rFonts w:ascii="Arial" w:hAnsi="Arial" w:cs="Arial"/>
        </w:rPr>
        <w:t>(</w:t>
      </w:r>
      <w:r w:rsidR="00270D4A" w:rsidRPr="00270D4A">
        <w:rPr>
          <w:rFonts w:ascii="Arial" w:hAnsi="Arial" w:cs="Arial"/>
          <w:b/>
          <w:bCs/>
        </w:rPr>
        <w:t>OAS Investments</w:t>
      </w:r>
      <w:r w:rsidR="00270D4A">
        <w:rPr>
          <w:rFonts w:ascii="Arial" w:hAnsi="Arial" w:cs="Arial"/>
        </w:rPr>
        <w:t xml:space="preserve">) </w:t>
      </w:r>
      <w:r w:rsidR="000E575F">
        <w:rPr>
          <w:rFonts w:ascii="Arial" w:hAnsi="Arial" w:cs="Arial"/>
        </w:rPr>
        <w:t>is an entity incorporated in Austria with its registered office in Vienna, Austria</w:t>
      </w:r>
      <w:r w:rsidR="00811F60">
        <w:rPr>
          <w:rFonts w:ascii="Arial" w:hAnsi="Arial" w:cs="Arial"/>
        </w:rPr>
        <w:t xml:space="preserve">, and its principal corporate purpose is the financing of the operations of the OAS </w:t>
      </w:r>
      <w:r w:rsidR="005E7E45">
        <w:rPr>
          <w:rFonts w:ascii="Arial" w:hAnsi="Arial" w:cs="Arial"/>
        </w:rPr>
        <w:t>g</w:t>
      </w:r>
      <w:r w:rsidR="00811F60">
        <w:rPr>
          <w:rFonts w:ascii="Arial" w:hAnsi="Arial" w:cs="Arial"/>
        </w:rPr>
        <w:t>roup</w:t>
      </w:r>
      <w:r w:rsidR="002E13F5">
        <w:rPr>
          <w:rFonts w:ascii="Arial" w:hAnsi="Arial" w:cs="Arial"/>
        </w:rPr>
        <w:t xml:space="preserve">, particularly by the issuance of </w:t>
      </w:r>
      <w:r w:rsidR="000C6304">
        <w:rPr>
          <w:rFonts w:ascii="Arial" w:hAnsi="Arial" w:cs="Arial"/>
        </w:rPr>
        <w:t xml:space="preserve">senior notes guaranteed by </w:t>
      </w:r>
      <w:r w:rsidR="00B41471">
        <w:rPr>
          <w:rFonts w:ascii="Arial" w:hAnsi="Arial" w:cs="Arial"/>
        </w:rPr>
        <w:t>related entities</w:t>
      </w:r>
      <w:r w:rsidR="0010410B">
        <w:rPr>
          <w:rFonts w:ascii="Arial" w:hAnsi="Arial" w:cs="Arial"/>
        </w:rPr>
        <w:t xml:space="preserve">.  In this regard, </w:t>
      </w:r>
      <w:r w:rsidR="00270D4A">
        <w:rPr>
          <w:rFonts w:ascii="Arial" w:hAnsi="Arial" w:cs="Arial"/>
        </w:rPr>
        <w:t xml:space="preserve">the function of OAS Investments </w:t>
      </w:r>
      <w:r w:rsidR="00104128">
        <w:rPr>
          <w:rFonts w:ascii="Arial" w:hAnsi="Arial" w:cs="Arial"/>
        </w:rPr>
        <w:t>is</w:t>
      </w:r>
      <w:r w:rsidR="00270D4A">
        <w:rPr>
          <w:rFonts w:ascii="Arial" w:hAnsi="Arial" w:cs="Arial"/>
        </w:rPr>
        <w:t xml:space="preserve"> substantially </w:t>
      </w:r>
      <w:proofErr w:type="gramStart"/>
      <w:r w:rsidR="00270D4A">
        <w:rPr>
          <w:rFonts w:ascii="Arial" w:hAnsi="Arial" w:cs="Arial"/>
        </w:rPr>
        <w:t>similar to</w:t>
      </w:r>
      <w:proofErr w:type="gramEnd"/>
      <w:r w:rsidR="00270D4A">
        <w:rPr>
          <w:rFonts w:ascii="Arial" w:hAnsi="Arial" w:cs="Arial"/>
        </w:rPr>
        <w:t xml:space="preserve"> that of Efwon Trading.</w:t>
      </w:r>
      <w:r w:rsidR="009527CD">
        <w:rPr>
          <w:rFonts w:ascii="Arial" w:hAnsi="Arial" w:cs="Arial"/>
        </w:rPr>
        <w:t xml:space="preserve">  It was established in </w:t>
      </w:r>
      <w:r w:rsidR="009527CD" w:rsidRPr="009527CD">
        <w:rPr>
          <w:rFonts w:ascii="Arial" w:hAnsi="Arial" w:cs="Arial"/>
          <w:i/>
          <w:iCs/>
        </w:rPr>
        <w:t>Re OAS</w:t>
      </w:r>
      <w:r w:rsidR="009527CD">
        <w:rPr>
          <w:rFonts w:ascii="Arial" w:hAnsi="Arial" w:cs="Arial"/>
        </w:rPr>
        <w:t xml:space="preserve"> that the COMI analysis permits consideration of any relevant activities, including liquidation activities and administrative functions.</w:t>
      </w:r>
      <w:r w:rsidR="00D9135E">
        <w:rPr>
          <w:rFonts w:ascii="Arial" w:hAnsi="Arial" w:cs="Arial"/>
        </w:rPr>
        <w:t xml:space="preserve">  The court found that </w:t>
      </w:r>
      <w:r w:rsidR="007669CE">
        <w:rPr>
          <w:rFonts w:ascii="Arial" w:hAnsi="Arial" w:cs="Arial"/>
        </w:rPr>
        <w:t>OAS Investments’ nerve cent</w:t>
      </w:r>
      <w:r w:rsidR="00556DFD">
        <w:rPr>
          <w:rFonts w:ascii="Arial" w:hAnsi="Arial" w:cs="Arial"/>
        </w:rPr>
        <w:t xml:space="preserve">re and headquarters </w:t>
      </w:r>
      <w:r w:rsidR="00B41A7A">
        <w:rPr>
          <w:rFonts w:ascii="Arial" w:hAnsi="Arial" w:cs="Arial"/>
        </w:rPr>
        <w:t xml:space="preserve">was </w:t>
      </w:r>
      <w:r w:rsidR="00556DFD">
        <w:rPr>
          <w:rFonts w:ascii="Arial" w:hAnsi="Arial" w:cs="Arial"/>
        </w:rPr>
        <w:t xml:space="preserve">in Brazil where </w:t>
      </w:r>
      <w:r w:rsidR="005E7E45">
        <w:rPr>
          <w:rFonts w:ascii="Arial" w:hAnsi="Arial" w:cs="Arial"/>
        </w:rPr>
        <w:t>the OAS group</w:t>
      </w:r>
      <w:r w:rsidR="00B41A7A">
        <w:rPr>
          <w:rFonts w:ascii="Arial" w:hAnsi="Arial" w:cs="Arial"/>
        </w:rPr>
        <w:t xml:space="preserve"> operated its business</w:t>
      </w:r>
      <w:r w:rsidR="005C118E">
        <w:rPr>
          <w:rFonts w:ascii="Arial" w:hAnsi="Arial" w:cs="Arial"/>
        </w:rPr>
        <w:t xml:space="preserve">, all of </w:t>
      </w:r>
      <w:r w:rsidR="009C53CB">
        <w:rPr>
          <w:rFonts w:ascii="Arial" w:hAnsi="Arial" w:cs="Arial"/>
        </w:rPr>
        <w:t>OAS Investments’ directors and OAS group’s officers resided,</w:t>
      </w:r>
      <w:r w:rsidR="00470D22">
        <w:rPr>
          <w:rFonts w:ascii="Arial" w:hAnsi="Arial" w:cs="Arial"/>
        </w:rPr>
        <w:t xml:space="preserve"> and the foreign </w:t>
      </w:r>
      <w:r w:rsidR="001B5830">
        <w:rPr>
          <w:rFonts w:ascii="Arial" w:hAnsi="Arial" w:cs="Arial"/>
        </w:rPr>
        <w:t xml:space="preserve">insolvency </w:t>
      </w:r>
      <w:r w:rsidR="00470D22">
        <w:rPr>
          <w:rFonts w:ascii="Arial" w:hAnsi="Arial" w:cs="Arial"/>
        </w:rPr>
        <w:t xml:space="preserve">proceedings </w:t>
      </w:r>
      <w:r w:rsidR="001B5830">
        <w:rPr>
          <w:rFonts w:ascii="Arial" w:hAnsi="Arial" w:cs="Arial"/>
        </w:rPr>
        <w:t xml:space="preserve">of the OAS group </w:t>
      </w:r>
      <w:r w:rsidR="00A906B2">
        <w:rPr>
          <w:rFonts w:ascii="Arial" w:hAnsi="Arial" w:cs="Arial"/>
        </w:rPr>
        <w:t>we</w:t>
      </w:r>
      <w:r w:rsidR="001B5830">
        <w:rPr>
          <w:rFonts w:ascii="Arial" w:hAnsi="Arial" w:cs="Arial"/>
        </w:rPr>
        <w:t xml:space="preserve">re </w:t>
      </w:r>
      <w:r w:rsidR="00470D22">
        <w:rPr>
          <w:rFonts w:ascii="Arial" w:hAnsi="Arial" w:cs="Arial"/>
        </w:rPr>
        <w:t>administered.</w:t>
      </w:r>
      <w:r w:rsidR="001B5830">
        <w:rPr>
          <w:rFonts w:ascii="Arial" w:hAnsi="Arial" w:cs="Arial"/>
        </w:rPr>
        <w:t xml:space="preserve">  </w:t>
      </w:r>
      <w:r w:rsidR="0031069D">
        <w:rPr>
          <w:rFonts w:ascii="Arial" w:hAnsi="Arial" w:cs="Arial"/>
        </w:rPr>
        <w:t>The sole shareholder, a Brazilian entity, of OAS Investments</w:t>
      </w:r>
      <w:r w:rsidR="005710B4">
        <w:rPr>
          <w:rFonts w:ascii="Arial" w:hAnsi="Arial" w:cs="Arial"/>
        </w:rPr>
        <w:t xml:space="preserve"> had the power to elect OAS Investments’ executive officers and </w:t>
      </w:r>
      <w:r w:rsidR="006A2678">
        <w:rPr>
          <w:rFonts w:ascii="Arial" w:hAnsi="Arial" w:cs="Arial"/>
        </w:rPr>
        <w:t>determine the outcome of any action and transactions requiring shareho</w:t>
      </w:r>
      <w:r w:rsidR="00562ED4">
        <w:rPr>
          <w:rFonts w:ascii="Arial" w:hAnsi="Arial" w:cs="Arial"/>
        </w:rPr>
        <w:t xml:space="preserve">lder’s approval according to the Brazilian Corporation Law.  </w:t>
      </w:r>
      <w:r w:rsidR="0076556A">
        <w:rPr>
          <w:rFonts w:ascii="Arial" w:hAnsi="Arial" w:cs="Arial"/>
        </w:rPr>
        <w:t xml:space="preserve">In this regard, </w:t>
      </w:r>
      <w:r w:rsidR="00F53A4E">
        <w:rPr>
          <w:rFonts w:ascii="Arial" w:hAnsi="Arial" w:cs="Arial"/>
        </w:rPr>
        <w:t xml:space="preserve">it was concluded that Brazil </w:t>
      </w:r>
      <w:r w:rsidR="000C0D76">
        <w:rPr>
          <w:rFonts w:ascii="Arial" w:hAnsi="Arial" w:cs="Arial"/>
        </w:rPr>
        <w:t xml:space="preserve">being </w:t>
      </w:r>
      <w:r w:rsidR="00F53A4E">
        <w:rPr>
          <w:rFonts w:ascii="Arial" w:hAnsi="Arial" w:cs="Arial"/>
        </w:rPr>
        <w:t>the nerve centre and headquarters of OAS Investments</w:t>
      </w:r>
      <w:r w:rsidR="000C0D76">
        <w:rPr>
          <w:rFonts w:ascii="Arial" w:hAnsi="Arial" w:cs="Arial"/>
        </w:rPr>
        <w:t xml:space="preserve"> was consistent with the expectation of the creditors.  In addition, the </w:t>
      </w:r>
      <w:r w:rsidR="005B72D3">
        <w:rPr>
          <w:rFonts w:ascii="Arial" w:hAnsi="Arial" w:cs="Arial"/>
        </w:rPr>
        <w:t xml:space="preserve">risk factors that the senior note purchasers considered before deciding to purchase the notes </w:t>
      </w:r>
      <w:r w:rsidR="00F50A28">
        <w:rPr>
          <w:rFonts w:ascii="Arial" w:hAnsi="Arial" w:cs="Arial"/>
        </w:rPr>
        <w:t>described the risk associated with the business of the OAS group</w:t>
      </w:r>
      <w:r w:rsidR="008C5515">
        <w:rPr>
          <w:rFonts w:ascii="Arial" w:hAnsi="Arial" w:cs="Arial"/>
        </w:rPr>
        <w:t xml:space="preserve"> but</w:t>
      </w:r>
      <w:r w:rsidR="00F50A28">
        <w:rPr>
          <w:rFonts w:ascii="Arial" w:hAnsi="Arial" w:cs="Arial"/>
        </w:rPr>
        <w:t xml:space="preserve"> not OAS Investments alone</w:t>
      </w:r>
      <w:r w:rsidR="00282167">
        <w:rPr>
          <w:rFonts w:ascii="Arial" w:hAnsi="Arial" w:cs="Arial"/>
        </w:rPr>
        <w:t xml:space="preserve">.  </w:t>
      </w:r>
      <w:r w:rsidR="000B1162">
        <w:rPr>
          <w:rFonts w:ascii="Arial" w:hAnsi="Arial" w:cs="Arial"/>
        </w:rPr>
        <w:t>Furthermore, the senior note purchasers understood that they were investing in the Br</w:t>
      </w:r>
      <w:r w:rsidR="00C902A3">
        <w:rPr>
          <w:rFonts w:ascii="Arial" w:hAnsi="Arial" w:cs="Arial"/>
        </w:rPr>
        <w:t xml:space="preserve">azilian-based business and </w:t>
      </w:r>
      <w:r w:rsidR="00A27F16">
        <w:rPr>
          <w:rFonts w:ascii="Arial" w:hAnsi="Arial" w:cs="Arial"/>
        </w:rPr>
        <w:t xml:space="preserve">expected </w:t>
      </w:r>
      <w:r w:rsidR="001550A6">
        <w:rPr>
          <w:rFonts w:ascii="Arial" w:hAnsi="Arial" w:cs="Arial"/>
        </w:rPr>
        <w:t xml:space="preserve">to </w:t>
      </w:r>
      <w:r w:rsidR="00267E89">
        <w:rPr>
          <w:rFonts w:ascii="Arial" w:hAnsi="Arial" w:cs="Arial"/>
        </w:rPr>
        <w:t>receive repayment from the cash generated by the operations of the OAS group</w:t>
      </w:r>
      <w:r w:rsidR="004664F2">
        <w:rPr>
          <w:rFonts w:ascii="Arial" w:hAnsi="Arial" w:cs="Arial"/>
        </w:rPr>
        <w:t>.</w:t>
      </w:r>
      <w:r w:rsidR="00C902A3">
        <w:rPr>
          <w:rFonts w:ascii="Arial" w:hAnsi="Arial" w:cs="Arial"/>
        </w:rPr>
        <w:t xml:space="preserve">  Therefore, </w:t>
      </w:r>
      <w:r w:rsidR="003A121F">
        <w:rPr>
          <w:rFonts w:ascii="Arial" w:hAnsi="Arial" w:cs="Arial"/>
        </w:rPr>
        <w:t xml:space="preserve">the </w:t>
      </w:r>
      <w:r w:rsidR="003A121F" w:rsidRPr="003A121F">
        <w:rPr>
          <w:rFonts w:ascii="Arial" w:hAnsi="Arial" w:cs="Arial"/>
        </w:rPr>
        <w:t>OAS Investments’ place of incorporation</w:t>
      </w:r>
      <w:r w:rsidR="00ED69BD">
        <w:rPr>
          <w:rFonts w:ascii="Arial" w:hAnsi="Arial" w:cs="Arial"/>
        </w:rPr>
        <w:t>,</w:t>
      </w:r>
      <w:r w:rsidR="003A121F">
        <w:rPr>
          <w:rFonts w:ascii="Arial" w:hAnsi="Arial" w:cs="Arial"/>
        </w:rPr>
        <w:t xml:space="preserve"> </w:t>
      </w:r>
      <w:r w:rsidR="003A121F" w:rsidRPr="003A121F">
        <w:rPr>
          <w:rFonts w:ascii="Arial" w:hAnsi="Arial" w:cs="Arial"/>
        </w:rPr>
        <w:t xml:space="preserve">or </w:t>
      </w:r>
      <w:r w:rsidR="00ED69BD">
        <w:rPr>
          <w:rFonts w:ascii="Arial" w:hAnsi="Arial" w:cs="Arial"/>
        </w:rPr>
        <w:t>for that matter its very</w:t>
      </w:r>
      <w:r w:rsidR="003A121F" w:rsidRPr="003A121F">
        <w:rPr>
          <w:rFonts w:ascii="Arial" w:hAnsi="Arial" w:cs="Arial"/>
        </w:rPr>
        <w:t xml:space="preserve"> existence</w:t>
      </w:r>
      <w:r w:rsidR="00ED69BD">
        <w:rPr>
          <w:rFonts w:ascii="Arial" w:hAnsi="Arial" w:cs="Arial"/>
        </w:rPr>
        <w:t>,</w:t>
      </w:r>
      <w:r w:rsidR="003A121F" w:rsidRPr="003A121F">
        <w:rPr>
          <w:rFonts w:ascii="Arial" w:hAnsi="Arial" w:cs="Arial"/>
        </w:rPr>
        <w:t xml:space="preserve"> was immaterial to </w:t>
      </w:r>
      <w:r w:rsidR="00AC3243">
        <w:rPr>
          <w:rFonts w:ascii="Arial" w:hAnsi="Arial" w:cs="Arial"/>
        </w:rPr>
        <w:t>the senior note purchasers</w:t>
      </w:r>
      <w:r w:rsidR="00AC3243">
        <w:rPr>
          <w:rFonts w:ascii="Arial" w:hAnsi="Arial" w:cs="Arial"/>
        </w:rPr>
        <w:t>’</w:t>
      </w:r>
      <w:r w:rsidR="003A121F" w:rsidRPr="003A121F">
        <w:rPr>
          <w:rFonts w:ascii="Arial" w:hAnsi="Arial" w:cs="Arial"/>
        </w:rPr>
        <w:t xml:space="preserve"> decision to purchase the notes.</w:t>
      </w:r>
    </w:p>
    <w:p w14:paraId="6229F457" w14:textId="2BF15102" w:rsidR="00BC291E" w:rsidRPr="00BC291E" w:rsidRDefault="00BC291E" w:rsidP="00D516F9">
      <w:pPr>
        <w:keepNext/>
        <w:spacing w:line="240" w:lineRule="auto"/>
        <w:jc w:val="both"/>
        <w:rPr>
          <w:rFonts w:ascii="Arial" w:hAnsi="Arial" w:cs="Arial"/>
          <w:u w:val="single"/>
        </w:rPr>
      </w:pPr>
      <w:r w:rsidRPr="00BC291E">
        <w:rPr>
          <w:rFonts w:ascii="Arial" w:hAnsi="Arial" w:cs="Arial"/>
          <w:u w:val="single"/>
        </w:rPr>
        <w:lastRenderedPageBreak/>
        <w:t>Further information required</w:t>
      </w:r>
    </w:p>
    <w:p w14:paraId="587D160E" w14:textId="447E137F" w:rsidR="000558FE" w:rsidRDefault="001B2428" w:rsidP="009F78F1">
      <w:pPr>
        <w:spacing w:line="240" w:lineRule="auto"/>
        <w:jc w:val="both"/>
        <w:rPr>
          <w:rFonts w:ascii="Arial" w:hAnsi="Arial" w:cs="Arial"/>
        </w:rPr>
      </w:pPr>
      <w:r>
        <w:rPr>
          <w:rFonts w:ascii="Arial" w:hAnsi="Arial" w:cs="Arial"/>
        </w:rPr>
        <w:t>Based on the information available, i</w:t>
      </w:r>
      <w:r w:rsidR="003A121F">
        <w:rPr>
          <w:rFonts w:ascii="Arial" w:hAnsi="Arial" w:cs="Arial"/>
        </w:rPr>
        <w:t>t was u</w:t>
      </w:r>
      <w:r w:rsidR="00511C72">
        <w:rPr>
          <w:rFonts w:ascii="Arial" w:hAnsi="Arial" w:cs="Arial"/>
        </w:rPr>
        <w:t>nclear</w:t>
      </w:r>
      <w:r w:rsidR="003A121F">
        <w:rPr>
          <w:rFonts w:ascii="Arial" w:hAnsi="Arial" w:cs="Arial"/>
        </w:rPr>
        <w:t xml:space="preserve"> </w:t>
      </w:r>
      <w:r w:rsidR="00D11497">
        <w:rPr>
          <w:rFonts w:ascii="Arial" w:hAnsi="Arial" w:cs="Arial"/>
        </w:rPr>
        <w:t xml:space="preserve">how the </w:t>
      </w:r>
      <w:r w:rsidR="005003B7">
        <w:rPr>
          <w:rFonts w:ascii="Arial" w:hAnsi="Arial" w:cs="Arial"/>
        </w:rPr>
        <w:t xml:space="preserve">Monaco Lender considered the risks and rewards </w:t>
      </w:r>
      <w:r w:rsidR="000B0BE9">
        <w:rPr>
          <w:rFonts w:ascii="Arial" w:hAnsi="Arial" w:cs="Arial"/>
        </w:rPr>
        <w:t xml:space="preserve">on its lending to Efwon Trading.  In addition, it was </w:t>
      </w:r>
      <w:r w:rsidR="00511C72">
        <w:rPr>
          <w:rFonts w:ascii="Arial" w:hAnsi="Arial" w:cs="Arial"/>
        </w:rPr>
        <w:t xml:space="preserve">unclear </w:t>
      </w:r>
      <w:r w:rsidR="000B0BE9">
        <w:rPr>
          <w:rFonts w:ascii="Arial" w:hAnsi="Arial" w:cs="Arial"/>
        </w:rPr>
        <w:t xml:space="preserve">how Efwon Trading </w:t>
      </w:r>
      <w:r w:rsidR="00511C72">
        <w:rPr>
          <w:rFonts w:ascii="Arial" w:hAnsi="Arial" w:cs="Arial"/>
        </w:rPr>
        <w:t>administers its business</w:t>
      </w:r>
      <w:r w:rsidR="00ED68CF">
        <w:rPr>
          <w:rFonts w:ascii="Arial" w:hAnsi="Arial" w:cs="Arial"/>
        </w:rPr>
        <w:t>,</w:t>
      </w:r>
      <w:r w:rsidR="00511C72">
        <w:rPr>
          <w:rFonts w:ascii="Arial" w:hAnsi="Arial" w:cs="Arial"/>
        </w:rPr>
        <w:t xml:space="preserve"> and </w:t>
      </w:r>
      <w:r w:rsidR="005C17E8">
        <w:rPr>
          <w:rFonts w:ascii="Arial" w:hAnsi="Arial" w:cs="Arial"/>
        </w:rPr>
        <w:t xml:space="preserve">how </w:t>
      </w:r>
      <w:r w:rsidR="00ED68CF">
        <w:rPr>
          <w:rFonts w:ascii="Arial" w:hAnsi="Arial" w:cs="Arial"/>
        </w:rPr>
        <w:t xml:space="preserve">and where </w:t>
      </w:r>
      <w:r w:rsidR="004E7AE7">
        <w:rPr>
          <w:rFonts w:ascii="Arial" w:hAnsi="Arial" w:cs="Arial"/>
        </w:rPr>
        <w:t>it conducts other activities than the pure provision of finance to other entities in the Efwon Group</w:t>
      </w:r>
      <w:r w:rsidR="00755486">
        <w:rPr>
          <w:rFonts w:ascii="Arial" w:hAnsi="Arial" w:cs="Arial"/>
        </w:rPr>
        <w:t xml:space="preserve"> given </w:t>
      </w:r>
      <w:r w:rsidR="002E7304">
        <w:rPr>
          <w:rFonts w:ascii="Arial" w:hAnsi="Arial" w:cs="Arial"/>
        </w:rPr>
        <w:t xml:space="preserve">the unknow identity of its board of directors and </w:t>
      </w:r>
      <w:r w:rsidR="00755486">
        <w:rPr>
          <w:rFonts w:ascii="Arial" w:hAnsi="Arial" w:cs="Arial"/>
        </w:rPr>
        <w:t>that you are the sole shareholder</w:t>
      </w:r>
      <w:r w:rsidR="002E7304">
        <w:rPr>
          <w:rFonts w:ascii="Arial" w:hAnsi="Arial" w:cs="Arial"/>
        </w:rPr>
        <w:t xml:space="preserve">.  </w:t>
      </w:r>
      <w:r w:rsidR="00E86BA0">
        <w:rPr>
          <w:rFonts w:ascii="Arial" w:hAnsi="Arial" w:cs="Arial"/>
        </w:rPr>
        <w:t xml:space="preserve">In the absence of other </w:t>
      </w:r>
      <w:r w:rsidR="00061EAF">
        <w:rPr>
          <w:rFonts w:ascii="Arial" w:hAnsi="Arial" w:cs="Arial"/>
        </w:rPr>
        <w:t>factors</w:t>
      </w:r>
      <w:r w:rsidR="00E86BA0">
        <w:rPr>
          <w:rFonts w:ascii="Arial" w:hAnsi="Arial" w:cs="Arial"/>
        </w:rPr>
        <w:t xml:space="preserve">, it would </w:t>
      </w:r>
      <w:r w:rsidR="00061EAF">
        <w:rPr>
          <w:rFonts w:ascii="Arial" w:hAnsi="Arial" w:cs="Arial"/>
        </w:rPr>
        <w:t xml:space="preserve">even </w:t>
      </w:r>
      <w:r w:rsidR="00E82EEB">
        <w:rPr>
          <w:rFonts w:ascii="Arial" w:hAnsi="Arial" w:cs="Arial"/>
        </w:rPr>
        <w:t>appear that the US courts may consider</w:t>
      </w:r>
      <w:r w:rsidR="0048052D">
        <w:rPr>
          <w:rFonts w:ascii="Arial" w:hAnsi="Arial" w:cs="Arial"/>
        </w:rPr>
        <w:t xml:space="preserve">, as </w:t>
      </w:r>
      <w:r w:rsidR="007F7C08">
        <w:rPr>
          <w:rFonts w:ascii="Arial" w:hAnsi="Arial" w:cs="Arial"/>
        </w:rPr>
        <w:t xml:space="preserve">has been </w:t>
      </w:r>
      <w:r w:rsidR="0048052D">
        <w:rPr>
          <w:rFonts w:ascii="Arial" w:hAnsi="Arial" w:cs="Arial"/>
        </w:rPr>
        <w:t xml:space="preserve">established </w:t>
      </w:r>
      <w:r w:rsidR="007F7C08">
        <w:rPr>
          <w:rFonts w:ascii="Arial" w:hAnsi="Arial" w:cs="Arial"/>
        </w:rPr>
        <w:t xml:space="preserve">in </w:t>
      </w:r>
      <w:r w:rsidR="007F7C08" w:rsidRPr="007F7C08">
        <w:rPr>
          <w:rFonts w:ascii="Arial" w:hAnsi="Arial" w:cs="Arial"/>
          <w:i/>
          <w:iCs/>
        </w:rPr>
        <w:t>Re OAS</w:t>
      </w:r>
      <w:r w:rsidR="007F7C08">
        <w:rPr>
          <w:rFonts w:ascii="Arial" w:hAnsi="Arial" w:cs="Arial"/>
        </w:rPr>
        <w:t>,</w:t>
      </w:r>
      <w:r w:rsidR="00E82EEB">
        <w:rPr>
          <w:rFonts w:ascii="Arial" w:hAnsi="Arial" w:cs="Arial"/>
        </w:rPr>
        <w:t xml:space="preserve"> the COMI of Efwon Trading is in Romania based on the </w:t>
      </w:r>
      <w:r w:rsidR="00C256BA">
        <w:rPr>
          <w:rFonts w:ascii="Arial" w:hAnsi="Arial" w:cs="Arial"/>
        </w:rPr>
        <w:t>mere</w:t>
      </w:r>
      <w:r w:rsidR="00E82EEB">
        <w:rPr>
          <w:rFonts w:ascii="Arial" w:hAnsi="Arial" w:cs="Arial"/>
        </w:rPr>
        <w:t xml:space="preserve"> view</w:t>
      </w:r>
      <w:r w:rsidR="008664B5">
        <w:rPr>
          <w:rFonts w:ascii="Arial" w:hAnsi="Arial" w:cs="Arial"/>
        </w:rPr>
        <w:t xml:space="preserve"> </w:t>
      </w:r>
      <w:r w:rsidR="004A3266">
        <w:rPr>
          <w:rFonts w:ascii="Arial" w:hAnsi="Arial" w:cs="Arial"/>
        </w:rPr>
        <w:t xml:space="preserve">in relation to </w:t>
      </w:r>
      <w:r w:rsidR="00A84931">
        <w:rPr>
          <w:rFonts w:ascii="Arial" w:hAnsi="Arial" w:cs="Arial"/>
        </w:rPr>
        <w:t>the purpose of the loan</w:t>
      </w:r>
      <w:r w:rsidR="00C641D8">
        <w:rPr>
          <w:rFonts w:ascii="Arial" w:hAnsi="Arial" w:cs="Arial"/>
        </w:rPr>
        <w:t>s</w:t>
      </w:r>
      <w:r w:rsidR="008664B5">
        <w:rPr>
          <w:rFonts w:ascii="Arial" w:hAnsi="Arial" w:cs="Arial"/>
        </w:rPr>
        <w:t xml:space="preserve"> from the Monaco Lender and Efwon Investments </w:t>
      </w:r>
      <w:r w:rsidR="00C641D8">
        <w:rPr>
          <w:rFonts w:ascii="Arial" w:hAnsi="Arial" w:cs="Arial"/>
        </w:rPr>
        <w:t>that they were utilised as capital to finance the operations of Efwon Romania</w:t>
      </w:r>
      <w:r w:rsidR="00F249D9">
        <w:rPr>
          <w:rFonts w:ascii="Arial" w:hAnsi="Arial" w:cs="Arial"/>
        </w:rPr>
        <w:t>.  Nonetheless, it is uncertain at this stage whether Efwon Romania and/or Efwon Trading</w:t>
      </w:r>
      <w:r w:rsidR="007C1E69">
        <w:rPr>
          <w:rFonts w:ascii="Arial" w:hAnsi="Arial" w:cs="Arial"/>
        </w:rPr>
        <w:t xml:space="preserve">, should they commence local insolvency proceedings, are required to seek recognition under Chapter 15 of the Code.  Should </w:t>
      </w:r>
      <w:r w:rsidR="00323F35">
        <w:rPr>
          <w:rFonts w:ascii="Arial" w:hAnsi="Arial" w:cs="Arial"/>
        </w:rPr>
        <w:t>they</w:t>
      </w:r>
      <w:r w:rsidR="00E93A56">
        <w:rPr>
          <w:rFonts w:ascii="Arial" w:hAnsi="Arial" w:cs="Arial"/>
        </w:rPr>
        <w:t xml:space="preserve"> be required, further detailed assessment </w:t>
      </w:r>
      <w:r w:rsidR="00D41492">
        <w:rPr>
          <w:rFonts w:ascii="Arial" w:hAnsi="Arial" w:cs="Arial"/>
        </w:rPr>
        <w:t>is</w:t>
      </w:r>
      <w:r w:rsidR="00E93A56">
        <w:rPr>
          <w:rFonts w:ascii="Arial" w:hAnsi="Arial" w:cs="Arial"/>
        </w:rPr>
        <w:t xml:space="preserve"> </w:t>
      </w:r>
      <w:r w:rsidR="00323F35">
        <w:rPr>
          <w:rFonts w:ascii="Arial" w:hAnsi="Arial" w:cs="Arial"/>
        </w:rPr>
        <w:t>necessary</w:t>
      </w:r>
      <w:r w:rsidR="00E93A56">
        <w:rPr>
          <w:rFonts w:ascii="Arial" w:hAnsi="Arial" w:cs="Arial"/>
        </w:rPr>
        <w:t xml:space="preserve"> to consider </w:t>
      </w:r>
      <w:r w:rsidR="007E7DC0">
        <w:rPr>
          <w:rFonts w:ascii="Arial" w:hAnsi="Arial" w:cs="Arial"/>
        </w:rPr>
        <w:t xml:space="preserve">the COMI under the US Model Law, </w:t>
      </w:r>
      <w:r w:rsidR="00E93A56">
        <w:rPr>
          <w:rFonts w:ascii="Arial" w:hAnsi="Arial" w:cs="Arial"/>
        </w:rPr>
        <w:t xml:space="preserve">the approach of recognition and accordingly, the relief </w:t>
      </w:r>
      <w:r w:rsidR="0055146E">
        <w:rPr>
          <w:rFonts w:ascii="Arial" w:hAnsi="Arial" w:cs="Arial"/>
        </w:rPr>
        <w:t>available from the recognition and to be sought from the US courts.</w:t>
      </w:r>
    </w:p>
    <w:p w14:paraId="7AE152B3" w14:textId="5E49C1AD" w:rsidR="00BC291E" w:rsidRPr="00BC291E" w:rsidRDefault="00BC291E" w:rsidP="00BC291E">
      <w:pPr>
        <w:keepNext/>
        <w:spacing w:line="240" w:lineRule="auto"/>
        <w:jc w:val="both"/>
        <w:rPr>
          <w:rFonts w:ascii="Arial" w:hAnsi="Arial" w:cs="Arial"/>
          <w:b/>
          <w:caps/>
        </w:rPr>
      </w:pPr>
      <w:r w:rsidRPr="00BC291E">
        <w:rPr>
          <w:rFonts w:ascii="Arial" w:hAnsi="Arial" w:cs="Arial"/>
          <w:b/>
          <w:caps/>
        </w:rPr>
        <w:t>Brexit</w:t>
      </w:r>
    </w:p>
    <w:p w14:paraId="2A937BE7" w14:textId="3E54B1F6" w:rsidR="003A121F" w:rsidRDefault="00B4512C" w:rsidP="00D30CD7">
      <w:pPr>
        <w:keepLines/>
        <w:spacing w:line="240" w:lineRule="auto"/>
        <w:jc w:val="both"/>
        <w:rPr>
          <w:rFonts w:ascii="Arial" w:hAnsi="Arial" w:cs="Arial"/>
        </w:rPr>
      </w:pPr>
      <w:r>
        <w:rPr>
          <w:rFonts w:ascii="Arial" w:hAnsi="Arial" w:cs="Arial"/>
        </w:rPr>
        <w:t>At present, the UK is a Member State.  By 31 January 2020, the UK will withdraw from the EU and stop being a Member State</w:t>
      </w:r>
      <w:r w:rsidR="008B35A4">
        <w:rPr>
          <w:rFonts w:ascii="Arial" w:hAnsi="Arial" w:cs="Arial"/>
        </w:rPr>
        <w:t xml:space="preserve"> (</w:t>
      </w:r>
      <w:r w:rsidR="008B35A4" w:rsidRPr="008B35A4">
        <w:rPr>
          <w:rFonts w:ascii="Arial" w:hAnsi="Arial" w:cs="Arial"/>
          <w:b/>
          <w:bCs/>
        </w:rPr>
        <w:t>Brexit</w:t>
      </w:r>
      <w:r w:rsidR="008B35A4">
        <w:rPr>
          <w:rFonts w:ascii="Arial" w:hAnsi="Arial" w:cs="Arial"/>
        </w:rPr>
        <w:t>)</w:t>
      </w:r>
      <w:r>
        <w:rPr>
          <w:rFonts w:ascii="Arial" w:hAnsi="Arial" w:cs="Arial"/>
        </w:rPr>
        <w:t xml:space="preserve">.  The withdrawal </w:t>
      </w:r>
      <w:r w:rsidR="00415DDF">
        <w:rPr>
          <w:rFonts w:ascii="Arial" w:hAnsi="Arial" w:cs="Arial"/>
        </w:rPr>
        <w:t xml:space="preserve">agreement between the UK and the EU </w:t>
      </w:r>
      <w:r w:rsidR="002E7955">
        <w:rPr>
          <w:rFonts w:ascii="Arial" w:hAnsi="Arial" w:cs="Arial"/>
        </w:rPr>
        <w:t xml:space="preserve">(the </w:t>
      </w:r>
      <w:r w:rsidR="002E7955" w:rsidRPr="00415DDF">
        <w:rPr>
          <w:rFonts w:ascii="Arial" w:hAnsi="Arial" w:cs="Arial"/>
          <w:b/>
          <w:bCs/>
        </w:rPr>
        <w:t>Withdrawal Agreement</w:t>
      </w:r>
      <w:r w:rsidR="002E7955">
        <w:rPr>
          <w:rFonts w:ascii="Arial" w:hAnsi="Arial" w:cs="Arial"/>
        </w:rPr>
        <w:t xml:space="preserve">) </w:t>
      </w:r>
      <w:r w:rsidR="00415DDF">
        <w:rPr>
          <w:rFonts w:ascii="Arial" w:hAnsi="Arial" w:cs="Arial"/>
        </w:rPr>
        <w:t>provides a transition period until 31 December 2020</w:t>
      </w:r>
      <w:r w:rsidR="002E7955">
        <w:rPr>
          <w:rFonts w:ascii="Arial" w:hAnsi="Arial" w:cs="Arial"/>
        </w:rPr>
        <w:t xml:space="preserve"> (the </w:t>
      </w:r>
      <w:r w:rsidR="002E7955" w:rsidRPr="002E7955">
        <w:rPr>
          <w:rFonts w:ascii="Arial" w:hAnsi="Arial" w:cs="Arial"/>
          <w:b/>
          <w:bCs/>
        </w:rPr>
        <w:t>Transition Period</w:t>
      </w:r>
      <w:r w:rsidR="002E7955">
        <w:rPr>
          <w:rFonts w:ascii="Arial" w:hAnsi="Arial" w:cs="Arial"/>
        </w:rPr>
        <w:t>)</w:t>
      </w:r>
      <w:r w:rsidR="00415DDF">
        <w:rPr>
          <w:rFonts w:ascii="Arial" w:hAnsi="Arial" w:cs="Arial"/>
        </w:rPr>
        <w:t>.</w:t>
      </w:r>
      <w:r w:rsidR="00415DDF">
        <w:rPr>
          <w:rStyle w:val="FootnoteReference"/>
          <w:rFonts w:ascii="Arial" w:hAnsi="Arial" w:cs="Arial"/>
        </w:rPr>
        <w:footnoteReference w:id="101"/>
      </w:r>
      <w:r w:rsidR="00415DDF">
        <w:rPr>
          <w:rFonts w:ascii="Arial" w:hAnsi="Arial" w:cs="Arial"/>
        </w:rPr>
        <w:t xml:space="preserve">  </w:t>
      </w:r>
      <w:r w:rsidR="00207BA6">
        <w:rPr>
          <w:rFonts w:ascii="Arial" w:hAnsi="Arial" w:cs="Arial"/>
        </w:rPr>
        <w:t xml:space="preserve">Prior to 1 January 2021 (i.e. before the end of the </w:t>
      </w:r>
      <w:r w:rsidR="00DE59B1">
        <w:rPr>
          <w:rFonts w:ascii="Arial" w:hAnsi="Arial" w:cs="Arial"/>
        </w:rPr>
        <w:t>T</w:t>
      </w:r>
      <w:r w:rsidR="00207BA6">
        <w:rPr>
          <w:rFonts w:ascii="Arial" w:hAnsi="Arial" w:cs="Arial"/>
        </w:rPr>
        <w:t xml:space="preserve">ransition </w:t>
      </w:r>
      <w:r w:rsidR="00DE59B1">
        <w:rPr>
          <w:rFonts w:ascii="Arial" w:hAnsi="Arial" w:cs="Arial"/>
        </w:rPr>
        <w:t>P</w:t>
      </w:r>
      <w:r w:rsidR="00207BA6">
        <w:rPr>
          <w:rFonts w:ascii="Arial" w:hAnsi="Arial" w:cs="Arial"/>
        </w:rPr>
        <w:t xml:space="preserve">eriod), </w:t>
      </w:r>
      <w:r w:rsidR="00F037C9">
        <w:rPr>
          <w:rFonts w:ascii="Arial" w:hAnsi="Arial" w:cs="Arial"/>
        </w:rPr>
        <w:t>in accordance with the Withdrawal Agreement</w:t>
      </w:r>
      <w:r w:rsidR="00977920">
        <w:rPr>
          <w:rFonts w:ascii="Arial" w:hAnsi="Arial" w:cs="Arial"/>
        </w:rPr>
        <w:t>,</w:t>
      </w:r>
      <w:r w:rsidR="00F037C9">
        <w:rPr>
          <w:rFonts w:ascii="Arial" w:hAnsi="Arial" w:cs="Arial"/>
        </w:rPr>
        <w:t xml:space="preserve"> </w:t>
      </w:r>
      <w:r w:rsidR="00207BA6">
        <w:rPr>
          <w:rFonts w:ascii="Arial" w:hAnsi="Arial" w:cs="Arial"/>
        </w:rPr>
        <w:t>the EIR Recast will continue to apply on the UK and other Member States in relation to the recognition and enforcement of insolvency proceedings, particularly the automatic recognition.  In addition</w:t>
      </w:r>
      <w:r w:rsidR="00415DDF">
        <w:rPr>
          <w:rFonts w:ascii="Arial" w:hAnsi="Arial" w:cs="Arial"/>
        </w:rPr>
        <w:t xml:space="preserve">, the EIR Recast will continue to apply to insolvency proceedings provided that the main </w:t>
      </w:r>
      <w:r w:rsidR="00733F2B">
        <w:rPr>
          <w:rFonts w:ascii="Arial" w:hAnsi="Arial" w:cs="Arial"/>
        </w:rPr>
        <w:t xml:space="preserve">insolvency </w:t>
      </w:r>
      <w:r w:rsidR="00415DDF">
        <w:rPr>
          <w:rFonts w:ascii="Arial" w:hAnsi="Arial" w:cs="Arial"/>
        </w:rPr>
        <w:t xml:space="preserve">proceedings have been opened before </w:t>
      </w:r>
      <w:r w:rsidR="00F037C9">
        <w:rPr>
          <w:rFonts w:ascii="Arial" w:hAnsi="Arial" w:cs="Arial"/>
        </w:rPr>
        <w:t>the end of the Transition Period</w:t>
      </w:r>
      <w:r w:rsidR="00415DDF">
        <w:rPr>
          <w:rFonts w:ascii="Arial" w:hAnsi="Arial" w:cs="Arial"/>
        </w:rPr>
        <w:t>.</w:t>
      </w:r>
      <w:r w:rsidR="00207BA6">
        <w:rPr>
          <w:rFonts w:ascii="Arial" w:hAnsi="Arial" w:cs="Arial"/>
        </w:rPr>
        <w:t xml:space="preserve">  Should Efwon Romania and Efwon Trading commence </w:t>
      </w:r>
      <w:r w:rsidR="007D5621">
        <w:rPr>
          <w:rFonts w:ascii="Arial" w:hAnsi="Arial" w:cs="Arial"/>
        </w:rPr>
        <w:t>the insolvency proceeding</w:t>
      </w:r>
      <w:r w:rsidR="002E7955">
        <w:rPr>
          <w:rFonts w:ascii="Arial" w:hAnsi="Arial" w:cs="Arial"/>
        </w:rPr>
        <w:t>s</w:t>
      </w:r>
      <w:r w:rsidR="007D5621">
        <w:rPr>
          <w:rFonts w:ascii="Arial" w:hAnsi="Arial" w:cs="Arial"/>
        </w:rPr>
        <w:t xml:space="preserve"> in Romania and the UK </w:t>
      </w:r>
      <w:r w:rsidR="002E7955">
        <w:rPr>
          <w:rFonts w:ascii="Arial" w:hAnsi="Arial" w:cs="Arial"/>
        </w:rPr>
        <w:t xml:space="preserve">respectively </w:t>
      </w:r>
      <w:r w:rsidR="00F037C9">
        <w:rPr>
          <w:rFonts w:ascii="Arial" w:hAnsi="Arial" w:cs="Arial"/>
        </w:rPr>
        <w:t>now (i.e. before the end of the Transition Period), the EIR Recast will continue to apply on both insolvency proceedings even after the end of the Transition Period, given that, as mentioned above, both Efwon Romania and Efwon Trading are likely to have the COMI in Romania and the UK respectively and hence, the</w:t>
      </w:r>
      <w:r w:rsidR="004A7DD3">
        <w:rPr>
          <w:rFonts w:ascii="Arial" w:hAnsi="Arial" w:cs="Arial"/>
        </w:rPr>
        <w:t>ir</w:t>
      </w:r>
      <w:r w:rsidR="00F037C9">
        <w:rPr>
          <w:rFonts w:ascii="Arial" w:hAnsi="Arial" w:cs="Arial"/>
        </w:rPr>
        <w:t xml:space="preserve"> respective insolvency proceedings are both main insolvency proceedings.</w:t>
      </w:r>
      <w:r w:rsidR="00381639" w:rsidRPr="00381639">
        <w:rPr>
          <w:rFonts w:ascii="Arial" w:hAnsi="Arial" w:cs="Arial"/>
        </w:rPr>
        <w:t xml:space="preserve"> </w:t>
      </w:r>
      <w:r w:rsidR="00381639">
        <w:rPr>
          <w:rFonts w:ascii="Arial" w:hAnsi="Arial" w:cs="Arial"/>
        </w:rPr>
        <w:t xml:space="preserve"> </w:t>
      </w:r>
      <w:proofErr w:type="gramStart"/>
      <w:r w:rsidR="00381639">
        <w:rPr>
          <w:rFonts w:ascii="Arial" w:hAnsi="Arial" w:cs="Arial"/>
        </w:rPr>
        <w:t>In the event that</w:t>
      </w:r>
      <w:proofErr w:type="gramEnd"/>
      <w:r w:rsidR="00381639">
        <w:rPr>
          <w:rFonts w:ascii="Arial" w:hAnsi="Arial" w:cs="Arial"/>
        </w:rPr>
        <w:t xml:space="preserve"> Efwon Romania or Efwon Trading does not commence insolvency proceedings respectively in Romania and the UK before the end of the Transition Period, further considerations are required.  </w:t>
      </w:r>
    </w:p>
    <w:p w14:paraId="370905F3" w14:textId="72D55CE0" w:rsidR="00BC291E" w:rsidRPr="00BC291E" w:rsidRDefault="00BC291E" w:rsidP="009F78F1">
      <w:pPr>
        <w:spacing w:line="240" w:lineRule="auto"/>
        <w:jc w:val="both"/>
        <w:rPr>
          <w:rFonts w:ascii="Arial" w:hAnsi="Arial" w:cs="Arial"/>
          <w:i/>
          <w:iCs/>
        </w:rPr>
      </w:pPr>
      <w:r w:rsidRPr="00BC291E">
        <w:rPr>
          <w:rFonts w:ascii="Arial" w:hAnsi="Arial" w:cs="Arial"/>
          <w:i/>
          <w:iCs/>
        </w:rPr>
        <w:t>Efwon Romania</w:t>
      </w:r>
    </w:p>
    <w:p w14:paraId="335E50AA" w14:textId="4CDCF62E" w:rsidR="00F037C9" w:rsidRDefault="006F7FA9" w:rsidP="009F78F1">
      <w:pPr>
        <w:spacing w:line="240" w:lineRule="auto"/>
        <w:jc w:val="both"/>
        <w:rPr>
          <w:rFonts w:ascii="Arial" w:hAnsi="Arial" w:cs="Arial"/>
        </w:rPr>
      </w:pPr>
      <w:r>
        <w:rPr>
          <w:rFonts w:ascii="Arial" w:hAnsi="Arial" w:cs="Arial"/>
        </w:rPr>
        <w:t>If Efwon Romania commences insolvency proceedings in Romania after the end of the Transition Period, the insolvency proceedings remain to be recognised as a main insolvency proceeding in the Member States.</w:t>
      </w:r>
      <w:r>
        <w:rPr>
          <w:rStyle w:val="FootnoteReference"/>
          <w:rFonts w:ascii="Arial" w:hAnsi="Arial" w:cs="Arial"/>
        </w:rPr>
        <w:footnoteReference w:id="102"/>
      </w:r>
      <w:r>
        <w:rPr>
          <w:rFonts w:ascii="Arial" w:hAnsi="Arial" w:cs="Arial"/>
        </w:rPr>
        <w:t xml:space="preserve">  For the insolvency proceeding of Efwon Romania to be recognised in the UK as a foreign proceeding, the UK Model Law is to be utilised to achieve same</w:t>
      </w:r>
      <w:r w:rsidR="00840195">
        <w:rPr>
          <w:rFonts w:ascii="Arial" w:hAnsi="Arial" w:cs="Arial"/>
        </w:rPr>
        <w:t xml:space="preserve"> as the EIR Recast will not be applicable</w:t>
      </w:r>
      <w:r>
        <w:rPr>
          <w:rFonts w:ascii="Arial" w:hAnsi="Arial" w:cs="Arial"/>
        </w:rPr>
        <w:t xml:space="preserve">.  The mechanism, benefits, disadvantages and whether the foreign proceeding is to be recognised as a foreign main proceeding or foreign non-main proceeding for Efwon Romania to seek recognition in the UK under the UK Model Law are </w:t>
      </w:r>
      <w:proofErr w:type="gramStart"/>
      <w:r>
        <w:rPr>
          <w:rFonts w:ascii="Arial" w:hAnsi="Arial" w:cs="Arial"/>
        </w:rPr>
        <w:t>similar to</w:t>
      </w:r>
      <w:proofErr w:type="gramEnd"/>
      <w:r>
        <w:rPr>
          <w:rFonts w:ascii="Arial" w:hAnsi="Arial" w:cs="Arial"/>
        </w:rPr>
        <w:t xml:space="preserve"> those in relation to the Chapter 11 of Efwon Investments </w:t>
      </w:r>
      <w:r w:rsidR="008B35A4">
        <w:rPr>
          <w:rFonts w:ascii="Arial" w:hAnsi="Arial" w:cs="Arial"/>
        </w:rPr>
        <w:t xml:space="preserve">seeking </w:t>
      </w:r>
      <w:r>
        <w:rPr>
          <w:rFonts w:ascii="Arial" w:hAnsi="Arial" w:cs="Arial"/>
        </w:rPr>
        <w:t xml:space="preserve">recognition in the UK under </w:t>
      </w:r>
      <w:r w:rsidR="008B35A4">
        <w:rPr>
          <w:rFonts w:ascii="Arial" w:hAnsi="Arial" w:cs="Arial"/>
        </w:rPr>
        <w:t>the UK Model Law</w:t>
      </w:r>
      <w:r>
        <w:rPr>
          <w:rFonts w:ascii="Arial" w:hAnsi="Arial" w:cs="Arial"/>
        </w:rPr>
        <w:t>, as described above.</w:t>
      </w:r>
    </w:p>
    <w:p w14:paraId="329B5257" w14:textId="47544215" w:rsidR="00BC291E" w:rsidRPr="00BC291E" w:rsidRDefault="00BC291E" w:rsidP="009F78F1">
      <w:pPr>
        <w:spacing w:line="240" w:lineRule="auto"/>
        <w:jc w:val="both"/>
        <w:rPr>
          <w:rFonts w:ascii="Arial" w:hAnsi="Arial" w:cs="Arial"/>
          <w:i/>
          <w:iCs/>
        </w:rPr>
      </w:pPr>
      <w:r w:rsidRPr="00BC291E">
        <w:rPr>
          <w:rFonts w:ascii="Arial" w:hAnsi="Arial" w:cs="Arial"/>
          <w:i/>
          <w:iCs/>
        </w:rPr>
        <w:t>Efwon Trading</w:t>
      </w:r>
    </w:p>
    <w:p w14:paraId="6CAAD7B9" w14:textId="77777777" w:rsidR="0055769E" w:rsidRDefault="00840195" w:rsidP="009F78F1">
      <w:pPr>
        <w:spacing w:line="240" w:lineRule="auto"/>
        <w:jc w:val="both"/>
        <w:rPr>
          <w:rFonts w:ascii="Arial" w:hAnsi="Arial" w:cs="Arial"/>
        </w:rPr>
      </w:pPr>
      <w:r>
        <w:rPr>
          <w:rFonts w:ascii="Arial" w:hAnsi="Arial" w:cs="Arial"/>
        </w:rPr>
        <w:t>If Efwon Trading commences insolvency proceedings in the UK after the end of the Transition Period, the insolvency proceedings will not be automatically recognised in the Member States</w:t>
      </w:r>
      <w:r w:rsidR="008B35A4">
        <w:rPr>
          <w:rFonts w:ascii="Arial" w:hAnsi="Arial" w:cs="Arial"/>
        </w:rPr>
        <w:t xml:space="preserve"> </w:t>
      </w:r>
      <w:r w:rsidR="008B35A4">
        <w:rPr>
          <w:rFonts w:ascii="Arial" w:hAnsi="Arial" w:cs="Arial"/>
        </w:rPr>
        <w:lastRenderedPageBreak/>
        <w:t>as it will not be recognised as the main insolvency proceedings by the Member States even if the COMI of Efwon Trading is in the UK</w:t>
      </w:r>
      <w:r>
        <w:rPr>
          <w:rFonts w:ascii="Arial" w:hAnsi="Arial" w:cs="Arial"/>
        </w:rPr>
        <w:t xml:space="preserve">.  </w:t>
      </w:r>
      <w:proofErr w:type="gramStart"/>
      <w:r>
        <w:rPr>
          <w:rFonts w:ascii="Arial" w:hAnsi="Arial" w:cs="Arial"/>
        </w:rPr>
        <w:t>In order to</w:t>
      </w:r>
      <w:proofErr w:type="gramEnd"/>
      <w:r>
        <w:rPr>
          <w:rFonts w:ascii="Arial" w:hAnsi="Arial" w:cs="Arial"/>
        </w:rPr>
        <w:t xml:space="preserve"> seek recognition of its insolvency proceedings</w:t>
      </w:r>
      <w:r w:rsidR="008624B0">
        <w:rPr>
          <w:rFonts w:ascii="Arial" w:hAnsi="Arial" w:cs="Arial"/>
        </w:rPr>
        <w:t xml:space="preserve"> as foreign proceedings</w:t>
      </w:r>
      <w:r>
        <w:rPr>
          <w:rFonts w:ascii="Arial" w:hAnsi="Arial" w:cs="Arial"/>
        </w:rPr>
        <w:t xml:space="preserve"> in the Member States, Efwon Trading will need to apply to each relevant court of the Member States on the bas</w:t>
      </w:r>
      <w:r w:rsidR="00412576">
        <w:rPr>
          <w:rFonts w:ascii="Arial" w:hAnsi="Arial" w:cs="Arial"/>
        </w:rPr>
        <w:t>e</w:t>
      </w:r>
      <w:r>
        <w:rPr>
          <w:rFonts w:ascii="Arial" w:hAnsi="Arial" w:cs="Arial"/>
        </w:rPr>
        <w:t xml:space="preserve">s of the international treaties </w:t>
      </w:r>
      <w:r w:rsidR="00412576">
        <w:rPr>
          <w:rFonts w:ascii="Arial" w:hAnsi="Arial" w:cs="Arial"/>
        </w:rPr>
        <w:t>and/</w:t>
      </w:r>
      <w:r>
        <w:rPr>
          <w:rFonts w:ascii="Arial" w:hAnsi="Arial" w:cs="Arial"/>
        </w:rPr>
        <w:t>or national laws of the relevant jurisdiction of the Member States.</w:t>
      </w:r>
      <w:r w:rsidR="00CD444C">
        <w:rPr>
          <w:rFonts w:ascii="Arial" w:hAnsi="Arial" w:cs="Arial"/>
        </w:rPr>
        <w:t xml:space="preserve">  This may create disparity between different jurisdictions and uncertainty subject to the context of each international treaty </w:t>
      </w:r>
      <w:r w:rsidR="0055769E">
        <w:rPr>
          <w:rFonts w:ascii="Arial" w:hAnsi="Arial" w:cs="Arial"/>
        </w:rPr>
        <w:t>and/</w:t>
      </w:r>
      <w:r w:rsidR="00CD444C">
        <w:rPr>
          <w:rFonts w:ascii="Arial" w:hAnsi="Arial" w:cs="Arial"/>
        </w:rPr>
        <w:t xml:space="preserve">or national law.  </w:t>
      </w:r>
    </w:p>
    <w:p w14:paraId="2F95D261" w14:textId="77777777" w:rsidR="00867CF9" w:rsidRDefault="00FC7623" w:rsidP="009F78F1">
      <w:pPr>
        <w:spacing w:line="240" w:lineRule="auto"/>
        <w:jc w:val="both"/>
        <w:rPr>
          <w:rFonts w:ascii="Arial" w:hAnsi="Arial" w:cs="Arial"/>
        </w:rPr>
      </w:pPr>
      <w:r>
        <w:rPr>
          <w:rFonts w:ascii="Arial" w:hAnsi="Arial" w:cs="Arial"/>
        </w:rPr>
        <w:t>Nonetheless</w:t>
      </w:r>
      <w:r w:rsidR="00CD444C">
        <w:rPr>
          <w:rFonts w:ascii="Arial" w:hAnsi="Arial" w:cs="Arial"/>
        </w:rPr>
        <w:t xml:space="preserve">, as mentioned above, it does not appear that it would be of </w:t>
      </w:r>
      <w:r w:rsidR="00E310F3">
        <w:rPr>
          <w:rFonts w:ascii="Arial" w:hAnsi="Arial" w:cs="Arial"/>
        </w:rPr>
        <w:t xml:space="preserve">great </w:t>
      </w:r>
      <w:r w:rsidR="00CD444C">
        <w:rPr>
          <w:rFonts w:ascii="Arial" w:hAnsi="Arial" w:cs="Arial"/>
        </w:rPr>
        <w:t xml:space="preserve">benefits for Efwon Trading to </w:t>
      </w:r>
      <w:r w:rsidR="00E310F3">
        <w:rPr>
          <w:rFonts w:ascii="Arial" w:hAnsi="Arial" w:cs="Arial"/>
        </w:rPr>
        <w:t xml:space="preserve">immediately </w:t>
      </w:r>
      <w:r w:rsidR="00CD444C">
        <w:rPr>
          <w:rFonts w:ascii="Arial" w:hAnsi="Arial" w:cs="Arial"/>
        </w:rPr>
        <w:t>commence either the CVA or the Administration</w:t>
      </w:r>
      <w:r w:rsidR="00867CD0">
        <w:rPr>
          <w:rFonts w:ascii="Arial" w:hAnsi="Arial" w:cs="Arial"/>
        </w:rPr>
        <w:t xml:space="preserve"> in the UK</w:t>
      </w:r>
      <w:r w:rsidR="00CD444C">
        <w:rPr>
          <w:rFonts w:ascii="Arial" w:hAnsi="Arial" w:cs="Arial"/>
        </w:rPr>
        <w:t>.  The considerable benefit for Efwon Trading to commence insolvency proceedings in the UK prior to the end of the Transition Period is the automatic recognition of the insolvency proceedings in the Member States.  If the automatic recognition is not available after the end of the Transition Period, it will be of even little benefits for Efwon Trading to commence insolvency proceedings in the UK.  In this regard, based on the information available, it appears to be more desirable for Efwon Trading to commence only the Chapter 11</w:t>
      </w:r>
      <w:r w:rsidR="0010569E">
        <w:rPr>
          <w:rFonts w:ascii="Arial" w:hAnsi="Arial" w:cs="Arial"/>
        </w:rPr>
        <w:t xml:space="preserve"> </w:t>
      </w:r>
      <w:r w:rsidR="00870B5B">
        <w:rPr>
          <w:rFonts w:ascii="Arial" w:hAnsi="Arial" w:cs="Arial"/>
        </w:rPr>
        <w:t xml:space="preserve">if it has not commenced insolvency proceedings in the UK before </w:t>
      </w:r>
      <w:r w:rsidR="00CD444C">
        <w:rPr>
          <w:rFonts w:ascii="Arial" w:hAnsi="Arial" w:cs="Arial"/>
        </w:rPr>
        <w:t xml:space="preserve">the end of the Transition Period.  </w:t>
      </w:r>
      <w:r w:rsidR="008624B0">
        <w:rPr>
          <w:rFonts w:ascii="Arial" w:hAnsi="Arial" w:cs="Arial"/>
        </w:rPr>
        <w:t xml:space="preserve">Further consideration and detailed reassessment will be required on whether Efwon Trading should commence insolvency proceedings in the UK after the end of the Transition Period.  </w:t>
      </w:r>
    </w:p>
    <w:p w14:paraId="7998F4DD" w14:textId="25EDD1C9" w:rsidR="006F7FA9" w:rsidRDefault="008624B0" w:rsidP="009F78F1">
      <w:pPr>
        <w:spacing w:line="240" w:lineRule="auto"/>
        <w:jc w:val="both"/>
        <w:rPr>
          <w:rFonts w:ascii="Arial" w:hAnsi="Arial" w:cs="Arial"/>
        </w:rPr>
      </w:pPr>
      <w:r>
        <w:rPr>
          <w:rFonts w:ascii="Arial" w:hAnsi="Arial" w:cs="Arial"/>
        </w:rPr>
        <w:t>Notwithstanding the above, the commencement of the insolvency proceedings by Efwon Trading in the UK</w:t>
      </w:r>
      <w:r w:rsidR="00243B32">
        <w:rPr>
          <w:rFonts w:ascii="Arial" w:hAnsi="Arial" w:cs="Arial"/>
        </w:rPr>
        <w:t xml:space="preserve"> after the end of the Transition Period</w:t>
      </w:r>
      <w:r>
        <w:rPr>
          <w:rFonts w:ascii="Arial" w:hAnsi="Arial" w:cs="Arial"/>
        </w:rPr>
        <w:t xml:space="preserve"> may not affect it to seek recognition as foreign proceedings in Romania.  Romania </w:t>
      </w:r>
      <w:r w:rsidR="00EF7D7C">
        <w:rPr>
          <w:rFonts w:ascii="Arial" w:hAnsi="Arial" w:cs="Arial"/>
        </w:rPr>
        <w:t xml:space="preserve">has adopted </w:t>
      </w:r>
      <w:r w:rsidR="00144181">
        <w:rPr>
          <w:rFonts w:ascii="Arial" w:hAnsi="Arial" w:cs="Arial"/>
        </w:rPr>
        <w:t xml:space="preserve">the Model Law </w:t>
      </w:r>
      <w:r w:rsidR="00103C7E">
        <w:rPr>
          <w:rFonts w:ascii="Arial" w:hAnsi="Arial" w:cs="Arial"/>
        </w:rPr>
        <w:t xml:space="preserve">in its Romania Law No 637/2002 (as amended) </w:t>
      </w:r>
      <w:r w:rsidR="00103C7E" w:rsidRPr="00103C7E">
        <w:rPr>
          <w:rFonts w:ascii="Arial" w:hAnsi="Arial" w:cs="Arial"/>
        </w:rPr>
        <w:t>regarding the regulation of private international law relations in the field of insolvency</w:t>
      </w:r>
      <w:r w:rsidR="008B35A4">
        <w:rPr>
          <w:rFonts w:ascii="Arial" w:hAnsi="Arial" w:cs="Arial"/>
        </w:rPr>
        <w:t xml:space="preserve"> (the </w:t>
      </w:r>
      <w:r w:rsidR="008B35A4" w:rsidRPr="008B35A4">
        <w:rPr>
          <w:rFonts w:ascii="Arial" w:hAnsi="Arial" w:cs="Arial"/>
          <w:b/>
          <w:bCs/>
        </w:rPr>
        <w:t>Romanian Model Law</w:t>
      </w:r>
      <w:r w:rsidR="008B35A4">
        <w:rPr>
          <w:rFonts w:ascii="Arial" w:hAnsi="Arial" w:cs="Arial"/>
        </w:rPr>
        <w:t>)</w:t>
      </w:r>
      <w:r w:rsidR="00103C7E">
        <w:rPr>
          <w:rFonts w:ascii="Arial" w:hAnsi="Arial" w:cs="Arial"/>
        </w:rPr>
        <w:t>.  The mechanism, benefits, disadvantages and whether the foreign proceeding is to be recognised as a foreign main proceeding or foreign non-main proceeding for Efwon Trading to seek recognition in Romania under the Romanian Model Law</w:t>
      </w:r>
      <w:r w:rsidR="008B35A4">
        <w:rPr>
          <w:rFonts w:ascii="Arial" w:hAnsi="Arial" w:cs="Arial"/>
        </w:rPr>
        <w:t xml:space="preserve"> are </w:t>
      </w:r>
      <w:proofErr w:type="gramStart"/>
      <w:r w:rsidR="008B35A4">
        <w:rPr>
          <w:rFonts w:ascii="Arial" w:hAnsi="Arial" w:cs="Arial"/>
        </w:rPr>
        <w:t>similar to</w:t>
      </w:r>
      <w:proofErr w:type="gramEnd"/>
      <w:r w:rsidR="008B35A4">
        <w:rPr>
          <w:rFonts w:ascii="Arial" w:hAnsi="Arial" w:cs="Arial"/>
        </w:rPr>
        <w:t xml:space="preserve"> those in relation to those other insolvency proceedings seeking recognition in other jurisdictions under </w:t>
      </w:r>
      <w:r w:rsidR="00AF3738">
        <w:rPr>
          <w:rFonts w:ascii="Arial" w:hAnsi="Arial" w:cs="Arial"/>
        </w:rPr>
        <w:t xml:space="preserve">the </w:t>
      </w:r>
      <w:r w:rsidR="008B35A4">
        <w:rPr>
          <w:rFonts w:ascii="Arial" w:hAnsi="Arial" w:cs="Arial"/>
        </w:rPr>
        <w:t>Model Law, as described above.</w:t>
      </w:r>
    </w:p>
    <w:p w14:paraId="2F7E4741" w14:textId="6634C2E2" w:rsidR="008B35A4" w:rsidRDefault="008B35A4" w:rsidP="009F78F1">
      <w:pPr>
        <w:spacing w:line="240" w:lineRule="auto"/>
        <w:jc w:val="both"/>
        <w:rPr>
          <w:rFonts w:ascii="Arial" w:hAnsi="Arial" w:cs="Arial"/>
        </w:rPr>
      </w:pPr>
      <w:r>
        <w:rPr>
          <w:rFonts w:ascii="Arial" w:hAnsi="Arial" w:cs="Arial"/>
        </w:rPr>
        <w:t>Brexit does not affect other insolvency proceedings described above in which EIR Recast does not originally apply.</w:t>
      </w:r>
    </w:p>
    <w:p w14:paraId="05D539EE" w14:textId="02C98E18" w:rsidR="008D04D2" w:rsidRPr="00AC1954" w:rsidRDefault="00AC1954" w:rsidP="00311960">
      <w:pPr>
        <w:keepNext/>
        <w:spacing w:line="240" w:lineRule="auto"/>
        <w:jc w:val="both"/>
        <w:rPr>
          <w:rFonts w:ascii="Arial" w:hAnsi="Arial" w:cs="Arial"/>
          <w:b/>
          <w:caps/>
        </w:rPr>
      </w:pPr>
      <w:r w:rsidRPr="00AC1954">
        <w:rPr>
          <w:rFonts w:ascii="Arial" w:hAnsi="Arial" w:cs="Arial"/>
          <w:b/>
          <w:caps/>
        </w:rPr>
        <w:t>The deal with KuasaNas</w:t>
      </w:r>
    </w:p>
    <w:p w14:paraId="4973C8A0" w14:textId="0753AAD5" w:rsidR="00C55A62" w:rsidRDefault="00B84F9A" w:rsidP="009F78F1">
      <w:pPr>
        <w:spacing w:line="240" w:lineRule="auto"/>
        <w:jc w:val="both"/>
        <w:rPr>
          <w:rFonts w:ascii="Arial" w:hAnsi="Arial" w:cs="Arial"/>
        </w:rPr>
      </w:pPr>
      <w:r>
        <w:rPr>
          <w:rFonts w:ascii="Arial" w:hAnsi="Arial" w:cs="Arial"/>
        </w:rPr>
        <w:t xml:space="preserve">The above insolvency proceedings provide the mechanism </w:t>
      </w:r>
      <w:r w:rsidR="00B027FA">
        <w:rPr>
          <w:rFonts w:ascii="Arial" w:hAnsi="Arial" w:cs="Arial"/>
        </w:rPr>
        <w:t xml:space="preserve">for financial and/or debt restructuring that may facilitate </w:t>
      </w:r>
      <w:r w:rsidR="00434254">
        <w:rPr>
          <w:rFonts w:ascii="Arial" w:hAnsi="Arial" w:cs="Arial"/>
        </w:rPr>
        <w:t xml:space="preserve">the sale of the respective company’s </w:t>
      </w:r>
      <w:r w:rsidR="000C5FEC">
        <w:rPr>
          <w:rFonts w:ascii="Arial" w:hAnsi="Arial" w:cs="Arial"/>
        </w:rPr>
        <w:t>shareholding in its subsidiary</w:t>
      </w:r>
      <w:r w:rsidR="00434254">
        <w:rPr>
          <w:rFonts w:ascii="Arial" w:hAnsi="Arial" w:cs="Arial"/>
        </w:rPr>
        <w:t xml:space="preserve"> or the introduction of new </w:t>
      </w:r>
      <w:r w:rsidR="00297E45">
        <w:rPr>
          <w:rFonts w:ascii="Arial" w:hAnsi="Arial" w:cs="Arial"/>
        </w:rPr>
        <w:t xml:space="preserve">debt and/or </w:t>
      </w:r>
      <w:r w:rsidR="00434254">
        <w:rPr>
          <w:rFonts w:ascii="Arial" w:hAnsi="Arial" w:cs="Arial"/>
        </w:rPr>
        <w:t xml:space="preserve">capital </w:t>
      </w:r>
      <w:r w:rsidR="009700E3">
        <w:rPr>
          <w:rFonts w:ascii="Arial" w:hAnsi="Arial" w:cs="Arial"/>
        </w:rPr>
        <w:t xml:space="preserve">by issuing new shares </w:t>
      </w:r>
      <w:r w:rsidR="00434254">
        <w:rPr>
          <w:rFonts w:ascii="Arial" w:hAnsi="Arial" w:cs="Arial"/>
        </w:rPr>
        <w:t xml:space="preserve">pursuant to </w:t>
      </w:r>
      <w:r w:rsidR="00195EDE">
        <w:rPr>
          <w:rFonts w:ascii="Arial" w:hAnsi="Arial" w:cs="Arial"/>
        </w:rPr>
        <w:t xml:space="preserve">respective appliable law.  Subject to further information provided, </w:t>
      </w:r>
      <w:r w:rsidR="00773B70">
        <w:rPr>
          <w:rFonts w:ascii="Arial" w:hAnsi="Arial" w:cs="Arial"/>
        </w:rPr>
        <w:t xml:space="preserve">the deal to transfer </w:t>
      </w:r>
      <w:r w:rsidR="00D67E07">
        <w:rPr>
          <w:rFonts w:ascii="Arial" w:hAnsi="Arial" w:cs="Arial"/>
        </w:rPr>
        <w:t xml:space="preserve">of </w:t>
      </w:r>
      <w:r w:rsidR="00773B70">
        <w:rPr>
          <w:rFonts w:ascii="Arial" w:hAnsi="Arial" w:cs="Arial"/>
        </w:rPr>
        <w:t xml:space="preserve">or sell the 51% stake of </w:t>
      </w:r>
      <w:r w:rsidR="006E7B9D">
        <w:rPr>
          <w:rFonts w:ascii="Arial" w:hAnsi="Arial" w:cs="Arial"/>
        </w:rPr>
        <w:t xml:space="preserve">the racing team can be achieved </w:t>
      </w:r>
      <w:r w:rsidR="003938EA">
        <w:rPr>
          <w:rFonts w:ascii="Arial" w:hAnsi="Arial" w:cs="Arial"/>
        </w:rPr>
        <w:t xml:space="preserve">from the financial and/or debt restructuring proposal </w:t>
      </w:r>
      <w:r w:rsidR="0083048B">
        <w:rPr>
          <w:rFonts w:ascii="Arial" w:hAnsi="Arial" w:cs="Arial"/>
        </w:rPr>
        <w:t xml:space="preserve">under the respective insolvency proceeding </w:t>
      </w:r>
      <w:r w:rsidR="003938EA">
        <w:rPr>
          <w:rFonts w:ascii="Arial" w:hAnsi="Arial" w:cs="Arial"/>
        </w:rPr>
        <w:t xml:space="preserve">by </w:t>
      </w:r>
      <w:r w:rsidR="0083048B">
        <w:rPr>
          <w:rFonts w:ascii="Arial" w:hAnsi="Arial" w:cs="Arial"/>
        </w:rPr>
        <w:t xml:space="preserve">any company in the Efwon Group.  </w:t>
      </w:r>
    </w:p>
    <w:p w14:paraId="0E605FEE" w14:textId="04505AEF" w:rsidR="009700E3" w:rsidRDefault="00A868C0" w:rsidP="009F78F1">
      <w:pPr>
        <w:spacing w:line="240" w:lineRule="auto"/>
        <w:jc w:val="both"/>
        <w:rPr>
          <w:rFonts w:ascii="Arial" w:hAnsi="Arial" w:cs="Arial"/>
        </w:rPr>
      </w:pPr>
      <w:r>
        <w:rPr>
          <w:rFonts w:ascii="Arial" w:hAnsi="Arial" w:cs="Arial"/>
        </w:rPr>
        <w:t xml:space="preserve">As mentioned above, </w:t>
      </w:r>
      <w:r w:rsidR="00CF367F">
        <w:rPr>
          <w:rFonts w:ascii="Arial" w:hAnsi="Arial" w:cs="Arial"/>
        </w:rPr>
        <w:t xml:space="preserve">I have been informed that </w:t>
      </w:r>
      <w:r w:rsidR="00A93492">
        <w:rPr>
          <w:rFonts w:ascii="Arial" w:hAnsi="Arial" w:cs="Arial"/>
        </w:rPr>
        <w:t xml:space="preserve">Efwon Trading is solely and directly owned by yourself.  </w:t>
      </w:r>
      <w:r w:rsidR="00E548E8">
        <w:rPr>
          <w:rFonts w:ascii="Arial" w:hAnsi="Arial" w:cs="Arial"/>
        </w:rPr>
        <w:t>As an example, t</w:t>
      </w:r>
      <w:r w:rsidR="00BD5287">
        <w:rPr>
          <w:rFonts w:ascii="Arial" w:hAnsi="Arial" w:cs="Arial"/>
        </w:rPr>
        <w:t xml:space="preserve">o facilitate the transfer </w:t>
      </w:r>
      <w:r w:rsidR="00D67E07">
        <w:rPr>
          <w:rFonts w:ascii="Arial" w:hAnsi="Arial" w:cs="Arial"/>
        </w:rPr>
        <w:t xml:space="preserve">of </w:t>
      </w:r>
      <w:r w:rsidR="00BD5287">
        <w:rPr>
          <w:rFonts w:ascii="Arial" w:hAnsi="Arial" w:cs="Arial"/>
        </w:rPr>
        <w:t xml:space="preserve">or sell the 51% stake of the racing team, one of the options </w:t>
      </w:r>
      <w:r w:rsidR="0057792C">
        <w:rPr>
          <w:rFonts w:ascii="Arial" w:hAnsi="Arial" w:cs="Arial"/>
        </w:rPr>
        <w:t xml:space="preserve">that may be adopted </w:t>
      </w:r>
      <w:r w:rsidR="00BD5287">
        <w:rPr>
          <w:rFonts w:ascii="Arial" w:hAnsi="Arial" w:cs="Arial"/>
        </w:rPr>
        <w:t xml:space="preserve">is </w:t>
      </w:r>
      <w:r w:rsidR="0008436B">
        <w:rPr>
          <w:rFonts w:ascii="Arial" w:hAnsi="Arial" w:cs="Arial"/>
        </w:rPr>
        <w:t xml:space="preserve">for you to transfer </w:t>
      </w:r>
      <w:r w:rsidR="00CE0EE5">
        <w:rPr>
          <w:rFonts w:ascii="Arial" w:hAnsi="Arial" w:cs="Arial"/>
        </w:rPr>
        <w:t>your entire ownership in Efwon Trading to Efwon Investments</w:t>
      </w:r>
      <w:r w:rsidR="00F6088F">
        <w:rPr>
          <w:rFonts w:ascii="Arial" w:hAnsi="Arial" w:cs="Arial"/>
        </w:rPr>
        <w:t xml:space="preserve"> then for KuasaNas to acquire 51% of your shareholding in Efwon Investments</w:t>
      </w:r>
      <w:r w:rsidR="00C55E00">
        <w:rPr>
          <w:rFonts w:ascii="Arial" w:hAnsi="Arial" w:cs="Arial"/>
        </w:rPr>
        <w:t xml:space="preserve"> by terms in the financial </w:t>
      </w:r>
      <w:r w:rsidR="005B56CE">
        <w:rPr>
          <w:rFonts w:ascii="Arial" w:hAnsi="Arial" w:cs="Arial"/>
        </w:rPr>
        <w:t>and/</w:t>
      </w:r>
      <w:r w:rsidR="00C55E00">
        <w:rPr>
          <w:rFonts w:ascii="Arial" w:hAnsi="Arial" w:cs="Arial"/>
        </w:rPr>
        <w:t xml:space="preserve">or debt restructuring plan of Efwon Investments and Efwon Trading respectively.  </w:t>
      </w:r>
      <w:r w:rsidR="00FD7CBF">
        <w:rPr>
          <w:rFonts w:ascii="Arial" w:hAnsi="Arial" w:cs="Arial"/>
        </w:rPr>
        <w:t xml:space="preserve">Alternative options may be available to facilitate the deal with KuasaNas subject to the provision of further information </w:t>
      </w:r>
      <w:r w:rsidR="002E0E8C">
        <w:rPr>
          <w:rFonts w:ascii="Arial" w:hAnsi="Arial" w:cs="Arial"/>
        </w:rPr>
        <w:t xml:space="preserve">to confirm the most appropriate approach to resolve the insolvency issues </w:t>
      </w:r>
      <w:r w:rsidR="002E7012">
        <w:rPr>
          <w:rFonts w:ascii="Arial" w:hAnsi="Arial" w:cs="Arial"/>
        </w:rPr>
        <w:t xml:space="preserve">affecting the companies in the Efwon Group.  Once </w:t>
      </w:r>
      <w:r w:rsidR="004F5BAD">
        <w:rPr>
          <w:rFonts w:ascii="Arial" w:hAnsi="Arial" w:cs="Arial"/>
        </w:rPr>
        <w:t>the most</w:t>
      </w:r>
      <w:r w:rsidR="00531132">
        <w:rPr>
          <w:rFonts w:ascii="Arial" w:hAnsi="Arial" w:cs="Arial"/>
        </w:rPr>
        <w:t xml:space="preserve"> appropriate approach is confirmed, further assessment and analysis can be undertaken to outline the appropriate strategy to facilitate the de</w:t>
      </w:r>
      <w:r w:rsidR="008A6273">
        <w:rPr>
          <w:rFonts w:ascii="Arial" w:hAnsi="Arial" w:cs="Arial"/>
        </w:rPr>
        <w:t>al in relation to the sponsorship and the acquisition of the 51% stake by KuasaNas.</w:t>
      </w:r>
    </w:p>
    <w:p w14:paraId="4986FF0C" w14:textId="5CACE6BC" w:rsidR="00AC1954" w:rsidRPr="00A110A5" w:rsidRDefault="00A110A5" w:rsidP="009F78F1">
      <w:pPr>
        <w:spacing w:line="240" w:lineRule="auto"/>
        <w:jc w:val="both"/>
        <w:rPr>
          <w:rFonts w:ascii="Arial" w:hAnsi="Arial" w:cs="Arial"/>
          <w:b/>
          <w:caps/>
        </w:rPr>
      </w:pPr>
      <w:r w:rsidRPr="00A110A5">
        <w:rPr>
          <w:rFonts w:ascii="Arial" w:hAnsi="Arial" w:cs="Arial"/>
          <w:b/>
          <w:caps/>
        </w:rPr>
        <w:t>Conclusion</w:t>
      </w:r>
    </w:p>
    <w:p w14:paraId="67A1262A" w14:textId="65BE70E9" w:rsidR="0072299D" w:rsidRDefault="00E868DC" w:rsidP="009F78F1">
      <w:pPr>
        <w:spacing w:line="240" w:lineRule="auto"/>
        <w:jc w:val="both"/>
        <w:rPr>
          <w:rFonts w:ascii="Arial" w:hAnsi="Arial" w:cs="Arial"/>
        </w:rPr>
      </w:pPr>
      <w:r>
        <w:rPr>
          <w:rFonts w:ascii="Arial" w:hAnsi="Arial" w:cs="Arial"/>
        </w:rPr>
        <w:t xml:space="preserve">There are different </w:t>
      </w:r>
      <w:r w:rsidR="00711F58">
        <w:rPr>
          <w:rFonts w:ascii="Arial" w:hAnsi="Arial" w:cs="Arial"/>
        </w:rPr>
        <w:t xml:space="preserve">options and approaches </w:t>
      </w:r>
      <w:proofErr w:type="gramStart"/>
      <w:r w:rsidR="00711F58">
        <w:rPr>
          <w:rFonts w:ascii="Arial" w:hAnsi="Arial" w:cs="Arial"/>
        </w:rPr>
        <w:t>in order to</w:t>
      </w:r>
      <w:proofErr w:type="gramEnd"/>
      <w:r w:rsidR="00711F58">
        <w:rPr>
          <w:rFonts w:ascii="Arial" w:hAnsi="Arial" w:cs="Arial"/>
        </w:rPr>
        <w:t xml:space="preserve"> resolve the insolvency issues by comm</w:t>
      </w:r>
      <w:r w:rsidR="00D27971">
        <w:rPr>
          <w:rFonts w:ascii="Arial" w:hAnsi="Arial" w:cs="Arial"/>
        </w:rPr>
        <w:t xml:space="preserve">encing different insolvency proceedings and seeking recognition as and when required </w:t>
      </w:r>
      <w:r w:rsidR="007F40C0">
        <w:rPr>
          <w:rFonts w:ascii="Arial" w:hAnsi="Arial" w:cs="Arial"/>
        </w:rPr>
        <w:lastRenderedPageBreak/>
        <w:t xml:space="preserve">for each of the company in the Efwon Group.  The above advice is </w:t>
      </w:r>
      <w:r w:rsidR="0065743D">
        <w:rPr>
          <w:rFonts w:ascii="Arial" w:hAnsi="Arial" w:cs="Arial"/>
        </w:rPr>
        <w:t xml:space="preserve">the most </w:t>
      </w:r>
      <w:r w:rsidR="003D25D1">
        <w:rPr>
          <w:rFonts w:ascii="Arial" w:hAnsi="Arial" w:cs="Arial"/>
        </w:rPr>
        <w:t xml:space="preserve">suitable </w:t>
      </w:r>
      <w:r w:rsidR="0065743D">
        <w:rPr>
          <w:rFonts w:ascii="Arial" w:hAnsi="Arial" w:cs="Arial"/>
        </w:rPr>
        <w:t xml:space="preserve">strategy </w:t>
      </w:r>
      <w:r w:rsidR="00DC5052">
        <w:rPr>
          <w:rFonts w:ascii="Arial" w:hAnsi="Arial" w:cs="Arial"/>
        </w:rPr>
        <w:t xml:space="preserve">to achieve the goal </w:t>
      </w:r>
      <w:r w:rsidR="001B2D9F">
        <w:rPr>
          <w:rFonts w:ascii="Arial" w:hAnsi="Arial" w:cs="Arial"/>
        </w:rPr>
        <w:t xml:space="preserve">of selling the majority stake in the Efwon Group to KuasaNas </w:t>
      </w:r>
      <w:r w:rsidR="0065743D">
        <w:rPr>
          <w:rFonts w:ascii="Arial" w:hAnsi="Arial" w:cs="Arial"/>
        </w:rPr>
        <w:t xml:space="preserve">based on the information currently available.  </w:t>
      </w:r>
      <w:proofErr w:type="gramStart"/>
      <w:r w:rsidR="00DC5052">
        <w:rPr>
          <w:rFonts w:ascii="Arial" w:hAnsi="Arial" w:cs="Arial"/>
        </w:rPr>
        <w:t>In order to</w:t>
      </w:r>
      <w:proofErr w:type="gramEnd"/>
      <w:r w:rsidR="00DC5052">
        <w:rPr>
          <w:rFonts w:ascii="Arial" w:hAnsi="Arial" w:cs="Arial"/>
        </w:rPr>
        <w:t xml:space="preserve"> </w:t>
      </w:r>
      <w:r w:rsidR="00041729">
        <w:rPr>
          <w:rFonts w:ascii="Arial" w:hAnsi="Arial" w:cs="Arial"/>
        </w:rPr>
        <w:t>complete the assessment</w:t>
      </w:r>
      <w:r w:rsidR="004D6238">
        <w:rPr>
          <w:rFonts w:ascii="Arial" w:hAnsi="Arial" w:cs="Arial"/>
        </w:rPr>
        <w:t xml:space="preserve"> and achieve</w:t>
      </w:r>
      <w:r w:rsidR="003D25D1">
        <w:rPr>
          <w:rFonts w:ascii="Arial" w:hAnsi="Arial" w:cs="Arial"/>
        </w:rPr>
        <w:t xml:space="preserve"> the goal</w:t>
      </w:r>
      <w:r w:rsidR="00041729">
        <w:rPr>
          <w:rFonts w:ascii="Arial" w:hAnsi="Arial" w:cs="Arial"/>
        </w:rPr>
        <w:t xml:space="preserve">, </w:t>
      </w:r>
      <w:r w:rsidR="00C86704">
        <w:rPr>
          <w:rFonts w:ascii="Arial" w:hAnsi="Arial" w:cs="Arial"/>
        </w:rPr>
        <w:t xml:space="preserve">further </w:t>
      </w:r>
      <w:r w:rsidR="00041729">
        <w:rPr>
          <w:rFonts w:ascii="Arial" w:hAnsi="Arial" w:cs="Arial"/>
        </w:rPr>
        <w:t xml:space="preserve">information </w:t>
      </w:r>
      <w:r w:rsidR="00C86704">
        <w:rPr>
          <w:rFonts w:ascii="Arial" w:hAnsi="Arial" w:cs="Arial"/>
        </w:rPr>
        <w:t xml:space="preserve">is required </w:t>
      </w:r>
      <w:r w:rsidR="00FD1BA6">
        <w:rPr>
          <w:rFonts w:ascii="Arial" w:hAnsi="Arial" w:cs="Arial"/>
        </w:rPr>
        <w:t xml:space="preserve">to determine </w:t>
      </w:r>
      <w:r w:rsidR="00977A2E">
        <w:rPr>
          <w:rFonts w:ascii="Arial" w:hAnsi="Arial" w:cs="Arial"/>
        </w:rPr>
        <w:t>and assess</w:t>
      </w:r>
      <w:r w:rsidR="0072299D">
        <w:rPr>
          <w:rFonts w:ascii="Arial" w:hAnsi="Arial" w:cs="Arial"/>
        </w:rPr>
        <w:t>:</w:t>
      </w:r>
    </w:p>
    <w:p w14:paraId="56FD8573" w14:textId="77777777" w:rsidR="001F1FD5" w:rsidRDefault="00977A2E" w:rsidP="0072299D">
      <w:pPr>
        <w:pStyle w:val="ListParagraph"/>
        <w:numPr>
          <w:ilvl w:val="0"/>
          <w:numId w:val="22"/>
        </w:numPr>
        <w:spacing w:line="240" w:lineRule="auto"/>
        <w:ind w:left="709" w:hanging="425"/>
        <w:jc w:val="both"/>
        <w:rPr>
          <w:rFonts w:ascii="Arial" w:hAnsi="Arial" w:cs="Arial"/>
        </w:rPr>
      </w:pPr>
      <w:r w:rsidRPr="0072299D">
        <w:rPr>
          <w:rFonts w:ascii="Arial" w:hAnsi="Arial" w:cs="Arial"/>
        </w:rPr>
        <w:t xml:space="preserve">the governing law of the </w:t>
      </w:r>
      <w:r w:rsidR="001F744D">
        <w:rPr>
          <w:rFonts w:ascii="Arial" w:hAnsi="Arial" w:cs="Arial"/>
        </w:rPr>
        <w:t xml:space="preserve">various </w:t>
      </w:r>
      <w:r w:rsidRPr="0072299D">
        <w:rPr>
          <w:rFonts w:ascii="Arial" w:hAnsi="Arial" w:cs="Arial"/>
        </w:rPr>
        <w:t>loans</w:t>
      </w:r>
      <w:r w:rsidR="001F1FD5">
        <w:rPr>
          <w:rFonts w:ascii="Arial" w:hAnsi="Arial" w:cs="Arial"/>
        </w:rPr>
        <w:t>;</w:t>
      </w:r>
    </w:p>
    <w:p w14:paraId="415DD1CD" w14:textId="2FF4D90A" w:rsidR="001F744D" w:rsidRDefault="001F1FD5" w:rsidP="0072299D">
      <w:pPr>
        <w:pStyle w:val="ListParagraph"/>
        <w:numPr>
          <w:ilvl w:val="0"/>
          <w:numId w:val="22"/>
        </w:numPr>
        <w:spacing w:line="240" w:lineRule="auto"/>
        <w:ind w:left="709" w:hanging="425"/>
        <w:jc w:val="both"/>
        <w:rPr>
          <w:rFonts w:ascii="Arial" w:hAnsi="Arial" w:cs="Arial"/>
        </w:rPr>
      </w:pPr>
      <w:r>
        <w:rPr>
          <w:rFonts w:ascii="Arial" w:hAnsi="Arial" w:cs="Arial"/>
        </w:rPr>
        <w:t xml:space="preserve">the </w:t>
      </w:r>
      <w:r w:rsidR="0030744C" w:rsidRPr="0072299D">
        <w:rPr>
          <w:rFonts w:ascii="Arial" w:hAnsi="Arial" w:cs="Arial"/>
        </w:rPr>
        <w:t xml:space="preserve">situs of </w:t>
      </w:r>
      <w:r w:rsidR="005604C0">
        <w:rPr>
          <w:rFonts w:ascii="Arial" w:hAnsi="Arial" w:cs="Arial"/>
        </w:rPr>
        <w:t xml:space="preserve">any other </w:t>
      </w:r>
      <w:r w:rsidR="0030744C" w:rsidRPr="0072299D">
        <w:rPr>
          <w:rFonts w:ascii="Arial" w:hAnsi="Arial" w:cs="Arial"/>
        </w:rPr>
        <w:t>assets and property</w:t>
      </w:r>
      <w:r w:rsidR="005604C0">
        <w:rPr>
          <w:rFonts w:ascii="Arial" w:hAnsi="Arial" w:cs="Arial"/>
        </w:rPr>
        <w:t>;</w:t>
      </w:r>
    </w:p>
    <w:p w14:paraId="00C49439" w14:textId="204AB0F4" w:rsidR="00EC080C" w:rsidRDefault="003F1639" w:rsidP="0072299D">
      <w:pPr>
        <w:pStyle w:val="ListParagraph"/>
        <w:numPr>
          <w:ilvl w:val="0"/>
          <w:numId w:val="22"/>
        </w:numPr>
        <w:spacing w:line="240" w:lineRule="auto"/>
        <w:ind w:left="709" w:hanging="425"/>
        <w:jc w:val="both"/>
        <w:rPr>
          <w:rFonts w:ascii="Arial" w:hAnsi="Arial" w:cs="Arial"/>
        </w:rPr>
      </w:pPr>
      <w:r w:rsidRPr="0072299D">
        <w:rPr>
          <w:rFonts w:ascii="Arial" w:hAnsi="Arial" w:cs="Arial"/>
        </w:rPr>
        <w:t>the COMI</w:t>
      </w:r>
      <w:r w:rsidR="001F744D">
        <w:rPr>
          <w:rFonts w:ascii="Arial" w:hAnsi="Arial" w:cs="Arial"/>
        </w:rPr>
        <w:t xml:space="preserve"> </w:t>
      </w:r>
      <w:r w:rsidR="00AE02F5">
        <w:rPr>
          <w:rFonts w:ascii="Arial" w:hAnsi="Arial" w:cs="Arial"/>
        </w:rPr>
        <w:t xml:space="preserve">of each company and </w:t>
      </w:r>
      <w:r w:rsidRPr="0072299D">
        <w:rPr>
          <w:rFonts w:ascii="Arial" w:hAnsi="Arial" w:cs="Arial"/>
        </w:rPr>
        <w:t xml:space="preserve">whether </w:t>
      </w:r>
      <w:r w:rsidR="00A17FA6">
        <w:rPr>
          <w:rFonts w:ascii="Arial" w:hAnsi="Arial" w:cs="Arial"/>
        </w:rPr>
        <w:t xml:space="preserve">factors that are objective and ascertainable by third parties </w:t>
      </w:r>
      <w:r w:rsidR="00164163">
        <w:rPr>
          <w:rFonts w:ascii="Arial" w:hAnsi="Arial" w:cs="Arial"/>
        </w:rPr>
        <w:t xml:space="preserve">exist </w:t>
      </w:r>
      <w:r w:rsidR="00F96C08">
        <w:rPr>
          <w:rFonts w:ascii="Arial" w:hAnsi="Arial" w:cs="Arial"/>
        </w:rPr>
        <w:t xml:space="preserve">that may </w:t>
      </w:r>
      <w:r w:rsidR="006C4D2D">
        <w:rPr>
          <w:rFonts w:ascii="Arial" w:hAnsi="Arial" w:cs="Arial"/>
        </w:rPr>
        <w:t xml:space="preserve">rebut </w:t>
      </w:r>
      <w:r w:rsidR="00AE02F5">
        <w:rPr>
          <w:rFonts w:ascii="Arial" w:hAnsi="Arial" w:cs="Arial"/>
        </w:rPr>
        <w:t xml:space="preserve">the </w:t>
      </w:r>
      <w:r w:rsidRPr="0072299D">
        <w:rPr>
          <w:rFonts w:ascii="Arial" w:hAnsi="Arial" w:cs="Arial"/>
        </w:rPr>
        <w:t>rebuttable</w:t>
      </w:r>
      <w:r w:rsidR="00AE02F5">
        <w:rPr>
          <w:rFonts w:ascii="Arial" w:hAnsi="Arial" w:cs="Arial"/>
        </w:rPr>
        <w:t xml:space="preserve"> presumption </w:t>
      </w:r>
      <w:r w:rsidR="006C4D2D">
        <w:rPr>
          <w:rFonts w:ascii="Arial" w:hAnsi="Arial" w:cs="Arial"/>
        </w:rPr>
        <w:t xml:space="preserve">that </w:t>
      </w:r>
      <w:r w:rsidR="00A17FA6">
        <w:rPr>
          <w:rFonts w:ascii="Arial" w:hAnsi="Arial" w:cs="Arial"/>
        </w:rPr>
        <w:t>the COMI of each company is at its registered office</w:t>
      </w:r>
      <w:r w:rsidR="00F96C08">
        <w:rPr>
          <w:rFonts w:ascii="Arial" w:hAnsi="Arial" w:cs="Arial"/>
        </w:rPr>
        <w:t xml:space="preserve">.  </w:t>
      </w:r>
      <w:r w:rsidR="008C0ADC">
        <w:rPr>
          <w:rFonts w:ascii="Arial" w:hAnsi="Arial" w:cs="Arial"/>
        </w:rPr>
        <w:t>In essence, t</w:t>
      </w:r>
      <w:r w:rsidR="00F96C08">
        <w:rPr>
          <w:rFonts w:ascii="Arial" w:hAnsi="Arial" w:cs="Arial"/>
        </w:rPr>
        <w:t>h</w:t>
      </w:r>
      <w:r w:rsidR="008C0ADC">
        <w:rPr>
          <w:rFonts w:ascii="Arial" w:hAnsi="Arial" w:cs="Arial"/>
        </w:rPr>
        <w:t>is</w:t>
      </w:r>
      <w:r w:rsidR="00F96C08">
        <w:rPr>
          <w:rFonts w:ascii="Arial" w:hAnsi="Arial" w:cs="Arial"/>
        </w:rPr>
        <w:t xml:space="preserve"> analysis </w:t>
      </w:r>
      <w:r w:rsidR="002D0CB0">
        <w:rPr>
          <w:rFonts w:ascii="Arial" w:hAnsi="Arial" w:cs="Arial"/>
        </w:rPr>
        <w:t xml:space="preserve">may result in different </w:t>
      </w:r>
      <w:r w:rsidR="008E3DB6">
        <w:rPr>
          <w:rFonts w:ascii="Arial" w:hAnsi="Arial" w:cs="Arial"/>
        </w:rPr>
        <w:t xml:space="preserve">COMI </w:t>
      </w:r>
      <w:r w:rsidR="000E7548">
        <w:rPr>
          <w:rFonts w:ascii="Arial" w:hAnsi="Arial" w:cs="Arial"/>
        </w:rPr>
        <w:t xml:space="preserve">of the same company </w:t>
      </w:r>
      <w:r w:rsidR="009B4A28">
        <w:rPr>
          <w:rFonts w:ascii="Arial" w:hAnsi="Arial" w:cs="Arial"/>
        </w:rPr>
        <w:t xml:space="preserve">when seeking recognition </w:t>
      </w:r>
      <w:r w:rsidR="002D0CB0">
        <w:rPr>
          <w:rFonts w:ascii="Arial" w:hAnsi="Arial" w:cs="Arial"/>
        </w:rPr>
        <w:t>in different jurisdiction</w:t>
      </w:r>
      <w:r w:rsidR="006C4D2D">
        <w:rPr>
          <w:rFonts w:ascii="Arial" w:hAnsi="Arial" w:cs="Arial"/>
        </w:rPr>
        <w:t>;</w:t>
      </w:r>
    </w:p>
    <w:p w14:paraId="602A2B2D" w14:textId="31ADA89D" w:rsidR="00A51AFD" w:rsidRDefault="004D78DA" w:rsidP="0072299D">
      <w:pPr>
        <w:pStyle w:val="ListParagraph"/>
        <w:numPr>
          <w:ilvl w:val="0"/>
          <w:numId w:val="22"/>
        </w:numPr>
        <w:spacing w:line="240" w:lineRule="auto"/>
        <w:ind w:left="709" w:hanging="425"/>
        <w:jc w:val="both"/>
        <w:rPr>
          <w:rFonts w:ascii="Arial" w:hAnsi="Arial" w:cs="Arial"/>
        </w:rPr>
      </w:pPr>
      <w:r>
        <w:rPr>
          <w:rFonts w:ascii="Arial" w:hAnsi="Arial" w:cs="Arial"/>
        </w:rPr>
        <w:t xml:space="preserve">whether there is place of </w:t>
      </w:r>
      <w:r w:rsidR="00F03E39">
        <w:rPr>
          <w:rFonts w:ascii="Arial" w:hAnsi="Arial" w:cs="Arial"/>
        </w:rPr>
        <w:t>business</w:t>
      </w:r>
      <w:r w:rsidR="003E2336">
        <w:rPr>
          <w:rFonts w:ascii="Arial" w:hAnsi="Arial" w:cs="Arial"/>
        </w:rPr>
        <w:t xml:space="preserve"> or</w:t>
      </w:r>
      <w:r w:rsidR="00F03E39">
        <w:rPr>
          <w:rFonts w:ascii="Arial" w:hAnsi="Arial" w:cs="Arial"/>
        </w:rPr>
        <w:t xml:space="preserve"> operations</w:t>
      </w:r>
      <w:r w:rsidR="003E2336">
        <w:rPr>
          <w:rFonts w:ascii="Arial" w:hAnsi="Arial" w:cs="Arial"/>
        </w:rPr>
        <w:t xml:space="preserve"> </w:t>
      </w:r>
      <w:r w:rsidR="001D6D9F">
        <w:rPr>
          <w:rFonts w:ascii="Arial" w:hAnsi="Arial" w:cs="Arial"/>
        </w:rPr>
        <w:t>that non-t</w:t>
      </w:r>
      <w:r w:rsidR="00DE18D8">
        <w:rPr>
          <w:rFonts w:ascii="Arial" w:hAnsi="Arial" w:cs="Arial"/>
        </w:rPr>
        <w:t xml:space="preserve">ransitory economic activity is carried </w:t>
      </w:r>
      <w:r w:rsidR="009B0482">
        <w:rPr>
          <w:rFonts w:ascii="Arial" w:hAnsi="Arial" w:cs="Arial"/>
        </w:rPr>
        <w:t xml:space="preserve">out </w:t>
      </w:r>
      <w:r w:rsidR="00DE18D8">
        <w:rPr>
          <w:rFonts w:ascii="Arial" w:hAnsi="Arial" w:cs="Arial"/>
        </w:rPr>
        <w:t>with or with</w:t>
      </w:r>
      <w:r w:rsidR="00BA1928">
        <w:rPr>
          <w:rFonts w:ascii="Arial" w:hAnsi="Arial" w:cs="Arial"/>
        </w:rPr>
        <w:t>out</w:t>
      </w:r>
      <w:r w:rsidR="00DE18D8">
        <w:rPr>
          <w:rFonts w:ascii="Arial" w:hAnsi="Arial" w:cs="Arial"/>
        </w:rPr>
        <w:t xml:space="preserve"> human means</w:t>
      </w:r>
      <w:r w:rsidR="009B0482">
        <w:rPr>
          <w:rFonts w:ascii="Arial" w:hAnsi="Arial" w:cs="Arial"/>
        </w:rPr>
        <w:t xml:space="preserve"> to demonstrate e</w:t>
      </w:r>
      <w:r w:rsidR="003F1639" w:rsidRPr="0072299D">
        <w:rPr>
          <w:rFonts w:ascii="Arial" w:hAnsi="Arial" w:cs="Arial"/>
        </w:rPr>
        <w:t>stablishment</w:t>
      </w:r>
      <w:r w:rsidR="00A51AFD">
        <w:rPr>
          <w:rFonts w:ascii="Arial" w:hAnsi="Arial" w:cs="Arial"/>
        </w:rPr>
        <w:t>;</w:t>
      </w:r>
    </w:p>
    <w:p w14:paraId="1B3376ED" w14:textId="008AB0E8" w:rsidR="004D6238" w:rsidRDefault="00A51AFD" w:rsidP="0072299D">
      <w:pPr>
        <w:pStyle w:val="ListParagraph"/>
        <w:numPr>
          <w:ilvl w:val="0"/>
          <w:numId w:val="22"/>
        </w:numPr>
        <w:spacing w:line="240" w:lineRule="auto"/>
        <w:ind w:left="709" w:hanging="425"/>
        <w:jc w:val="both"/>
        <w:rPr>
          <w:rFonts w:ascii="Arial" w:hAnsi="Arial" w:cs="Arial"/>
        </w:rPr>
      </w:pPr>
      <w:r>
        <w:rPr>
          <w:rFonts w:ascii="Arial" w:hAnsi="Arial" w:cs="Arial"/>
        </w:rPr>
        <w:t xml:space="preserve">whether </w:t>
      </w:r>
      <w:r w:rsidR="00352F21" w:rsidRPr="0072299D">
        <w:rPr>
          <w:rFonts w:ascii="Arial" w:hAnsi="Arial" w:cs="Arial"/>
        </w:rPr>
        <w:t xml:space="preserve">automatic relief </w:t>
      </w:r>
      <w:r>
        <w:rPr>
          <w:rFonts w:ascii="Arial" w:hAnsi="Arial" w:cs="Arial"/>
        </w:rPr>
        <w:t xml:space="preserve">and/or </w:t>
      </w:r>
      <w:r w:rsidR="0072299D" w:rsidRPr="0072299D">
        <w:rPr>
          <w:rFonts w:ascii="Arial" w:hAnsi="Arial" w:cs="Arial"/>
        </w:rPr>
        <w:t>discretionary relief</w:t>
      </w:r>
      <w:r>
        <w:rPr>
          <w:rFonts w:ascii="Arial" w:hAnsi="Arial" w:cs="Arial"/>
        </w:rPr>
        <w:t xml:space="preserve"> exist and/or </w:t>
      </w:r>
      <w:r w:rsidR="004D6238">
        <w:rPr>
          <w:rFonts w:ascii="Arial" w:hAnsi="Arial" w:cs="Arial"/>
        </w:rPr>
        <w:t>can be sought</w:t>
      </w:r>
      <w:r w:rsidR="002D74E7">
        <w:rPr>
          <w:rFonts w:ascii="Arial" w:hAnsi="Arial" w:cs="Arial"/>
        </w:rPr>
        <w:t>;</w:t>
      </w:r>
    </w:p>
    <w:p w14:paraId="4379719C" w14:textId="43FB0DD5" w:rsidR="00AC1954" w:rsidRDefault="0072299D" w:rsidP="0072299D">
      <w:pPr>
        <w:pStyle w:val="ListParagraph"/>
        <w:numPr>
          <w:ilvl w:val="0"/>
          <w:numId w:val="22"/>
        </w:numPr>
        <w:spacing w:line="240" w:lineRule="auto"/>
        <w:ind w:left="709" w:hanging="425"/>
        <w:jc w:val="both"/>
        <w:rPr>
          <w:rFonts w:ascii="Arial" w:hAnsi="Arial" w:cs="Arial"/>
        </w:rPr>
      </w:pPr>
      <w:r w:rsidRPr="0072299D">
        <w:rPr>
          <w:rFonts w:ascii="Arial" w:hAnsi="Arial" w:cs="Arial"/>
        </w:rPr>
        <w:t xml:space="preserve">the </w:t>
      </w:r>
      <w:r w:rsidR="004D6238">
        <w:rPr>
          <w:rFonts w:ascii="Arial" w:hAnsi="Arial" w:cs="Arial"/>
        </w:rPr>
        <w:t xml:space="preserve">most appropriate </w:t>
      </w:r>
      <w:r w:rsidRPr="0072299D">
        <w:rPr>
          <w:rFonts w:ascii="Arial" w:hAnsi="Arial" w:cs="Arial"/>
        </w:rPr>
        <w:t>financial</w:t>
      </w:r>
      <w:r w:rsidR="004D6238">
        <w:rPr>
          <w:rFonts w:ascii="Arial" w:hAnsi="Arial" w:cs="Arial"/>
        </w:rPr>
        <w:t xml:space="preserve"> and/or </w:t>
      </w:r>
      <w:r w:rsidRPr="0072299D">
        <w:rPr>
          <w:rFonts w:ascii="Arial" w:hAnsi="Arial" w:cs="Arial"/>
        </w:rPr>
        <w:t>debt restructuring</w:t>
      </w:r>
      <w:r w:rsidR="002D74E7">
        <w:rPr>
          <w:rFonts w:ascii="Arial" w:hAnsi="Arial" w:cs="Arial"/>
        </w:rPr>
        <w:t xml:space="preserve"> plan</w:t>
      </w:r>
      <w:r w:rsidRPr="0072299D">
        <w:rPr>
          <w:rFonts w:ascii="Arial" w:hAnsi="Arial" w:cs="Arial"/>
        </w:rPr>
        <w:t xml:space="preserve">. </w:t>
      </w:r>
    </w:p>
    <w:p w14:paraId="6AB3AD5D" w14:textId="0F682ADD" w:rsidR="004D6238" w:rsidRPr="004D6238" w:rsidRDefault="00EF0E90" w:rsidP="004D6238">
      <w:pPr>
        <w:spacing w:line="240" w:lineRule="auto"/>
        <w:jc w:val="both"/>
        <w:rPr>
          <w:rFonts w:ascii="Arial" w:hAnsi="Arial" w:cs="Arial"/>
        </w:rPr>
      </w:pPr>
      <w:r>
        <w:rPr>
          <w:rFonts w:ascii="Arial" w:hAnsi="Arial" w:cs="Arial"/>
        </w:rPr>
        <w:t>Further information required includes but not limited to:</w:t>
      </w:r>
    </w:p>
    <w:p w14:paraId="4A2C4BB5" w14:textId="454E532C" w:rsidR="009F0F84" w:rsidRPr="000B5769" w:rsidRDefault="000B5769" w:rsidP="009F78F1">
      <w:pPr>
        <w:spacing w:line="240" w:lineRule="auto"/>
        <w:jc w:val="both"/>
        <w:rPr>
          <w:rFonts w:ascii="Arial" w:hAnsi="Arial" w:cs="Arial"/>
          <w:u w:val="single"/>
        </w:rPr>
      </w:pPr>
      <w:r w:rsidRPr="000B5769">
        <w:rPr>
          <w:rFonts w:ascii="Arial" w:hAnsi="Arial" w:cs="Arial"/>
          <w:u w:val="single"/>
        </w:rPr>
        <w:t>Efwon Investments</w:t>
      </w:r>
    </w:p>
    <w:p w14:paraId="7065D691" w14:textId="0BE2754B" w:rsidR="006A3A27" w:rsidRDefault="002D74E7" w:rsidP="000B5769">
      <w:pPr>
        <w:pStyle w:val="ListParagraph"/>
        <w:numPr>
          <w:ilvl w:val="0"/>
          <w:numId w:val="21"/>
        </w:numPr>
        <w:spacing w:line="240" w:lineRule="auto"/>
        <w:ind w:hanging="436"/>
        <w:jc w:val="both"/>
        <w:rPr>
          <w:rFonts w:ascii="Arial" w:hAnsi="Arial" w:cs="Arial"/>
        </w:rPr>
      </w:pPr>
      <w:r>
        <w:rPr>
          <w:rFonts w:ascii="Arial" w:hAnsi="Arial" w:cs="Arial"/>
        </w:rPr>
        <w:t>T</w:t>
      </w:r>
      <w:r w:rsidR="000B5769">
        <w:rPr>
          <w:rFonts w:ascii="Arial" w:hAnsi="Arial" w:cs="Arial"/>
        </w:rPr>
        <w:t xml:space="preserve">he </w:t>
      </w:r>
      <w:r w:rsidR="00097A28">
        <w:rPr>
          <w:rFonts w:ascii="Arial" w:hAnsi="Arial" w:cs="Arial"/>
        </w:rPr>
        <w:t>governing law, repayment terms and maturity of the syndicate loan</w:t>
      </w:r>
      <w:r w:rsidR="00135312">
        <w:rPr>
          <w:rFonts w:ascii="Arial" w:hAnsi="Arial" w:cs="Arial"/>
        </w:rPr>
        <w:t>.</w:t>
      </w:r>
    </w:p>
    <w:p w14:paraId="2278DF38" w14:textId="68FDA4B4" w:rsidR="009512E7" w:rsidRDefault="009512E7" w:rsidP="000B5769">
      <w:pPr>
        <w:pStyle w:val="ListParagraph"/>
        <w:numPr>
          <w:ilvl w:val="0"/>
          <w:numId w:val="21"/>
        </w:numPr>
        <w:spacing w:line="240" w:lineRule="auto"/>
        <w:ind w:hanging="436"/>
        <w:jc w:val="both"/>
        <w:rPr>
          <w:rFonts w:ascii="Arial" w:hAnsi="Arial" w:cs="Arial"/>
        </w:rPr>
      </w:pPr>
      <w:r>
        <w:rPr>
          <w:rFonts w:ascii="Arial" w:hAnsi="Arial" w:cs="Arial"/>
        </w:rPr>
        <w:t xml:space="preserve">Details of the negative pledge </w:t>
      </w:r>
      <w:r w:rsidR="005F4F3B">
        <w:rPr>
          <w:rFonts w:ascii="Arial" w:hAnsi="Arial" w:cs="Arial"/>
        </w:rPr>
        <w:t>in accordance with the syndicate loan.</w:t>
      </w:r>
    </w:p>
    <w:p w14:paraId="03C02FF5" w14:textId="59E788D3" w:rsidR="00097A28" w:rsidRDefault="00D367F8" w:rsidP="000B5769">
      <w:pPr>
        <w:pStyle w:val="ListParagraph"/>
        <w:numPr>
          <w:ilvl w:val="0"/>
          <w:numId w:val="21"/>
        </w:numPr>
        <w:spacing w:line="240" w:lineRule="auto"/>
        <w:ind w:hanging="436"/>
        <w:jc w:val="both"/>
        <w:rPr>
          <w:rFonts w:ascii="Arial" w:hAnsi="Arial" w:cs="Arial"/>
        </w:rPr>
      </w:pPr>
      <w:r>
        <w:rPr>
          <w:rFonts w:ascii="Arial" w:hAnsi="Arial" w:cs="Arial"/>
        </w:rPr>
        <w:t>Confirmation as to the borrower of the syndicate loan</w:t>
      </w:r>
      <w:r w:rsidR="00135312">
        <w:rPr>
          <w:rFonts w:ascii="Arial" w:hAnsi="Arial" w:cs="Arial"/>
        </w:rPr>
        <w:t>.</w:t>
      </w:r>
    </w:p>
    <w:p w14:paraId="14959F5E" w14:textId="7E550532" w:rsidR="00D367F8" w:rsidRDefault="00770C88" w:rsidP="000B5769">
      <w:pPr>
        <w:pStyle w:val="ListParagraph"/>
        <w:numPr>
          <w:ilvl w:val="0"/>
          <w:numId w:val="21"/>
        </w:numPr>
        <w:spacing w:line="240" w:lineRule="auto"/>
        <w:ind w:hanging="436"/>
        <w:jc w:val="both"/>
        <w:rPr>
          <w:rFonts w:ascii="Arial" w:hAnsi="Arial" w:cs="Arial"/>
        </w:rPr>
      </w:pPr>
      <w:r>
        <w:rPr>
          <w:rFonts w:ascii="Arial" w:hAnsi="Arial" w:cs="Arial"/>
        </w:rPr>
        <w:t>Confirmation as to the shareholder of Efwon Trading</w:t>
      </w:r>
      <w:r w:rsidR="00135312">
        <w:rPr>
          <w:rFonts w:ascii="Arial" w:hAnsi="Arial" w:cs="Arial"/>
        </w:rPr>
        <w:t>.</w:t>
      </w:r>
    </w:p>
    <w:p w14:paraId="60B3348B" w14:textId="63464D11" w:rsidR="00E20C3E" w:rsidRDefault="00E20C3E" w:rsidP="000B5769">
      <w:pPr>
        <w:pStyle w:val="ListParagraph"/>
        <w:numPr>
          <w:ilvl w:val="0"/>
          <w:numId w:val="21"/>
        </w:numPr>
        <w:spacing w:line="240" w:lineRule="auto"/>
        <w:ind w:hanging="436"/>
        <w:jc w:val="both"/>
        <w:rPr>
          <w:rFonts w:ascii="Arial" w:hAnsi="Arial" w:cs="Arial"/>
        </w:rPr>
      </w:pPr>
      <w:r>
        <w:rPr>
          <w:rFonts w:ascii="Arial" w:hAnsi="Arial" w:cs="Arial"/>
        </w:rPr>
        <w:t xml:space="preserve">Details of any </w:t>
      </w:r>
      <w:r w:rsidR="003B7FF4">
        <w:rPr>
          <w:rFonts w:ascii="Arial" w:hAnsi="Arial" w:cs="Arial"/>
        </w:rPr>
        <w:t>unencumbered property to secure debtor in possession financing</w:t>
      </w:r>
      <w:r w:rsidR="009C0337">
        <w:rPr>
          <w:rFonts w:ascii="Arial" w:hAnsi="Arial" w:cs="Arial"/>
        </w:rPr>
        <w:t>.</w:t>
      </w:r>
    </w:p>
    <w:p w14:paraId="08238B10" w14:textId="52BE1186" w:rsidR="00770C88" w:rsidRDefault="001A1907" w:rsidP="000B5769">
      <w:pPr>
        <w:pStyle w:val="ListParagraph"/>
        <w:numPr>
          <w:ilvl w:val="0"/>
          <w:numId w:val="21"/>
        </w:numPr>
        <w:spacing w:line="240" w:lineRule="auto"/>
        <w:ind w:hanging="436"/>
        <w:jc w:val="both"/>
        <w:rPr>
          <w:rFonts w:ascii="Arial" w:hAnsi="Arial" w:cs="Arial"/>
        </w:rPr>
      </w:pPr>
      <w:r>
        <w:rPr>
          <w:rFonts w:ascii="Arial" w:hAnsi="Arial" w:cs="Arial"/>
        </w:rPr>
        <w:t xml:space="preserve">Details of </w:t>
      </w:r>
      <w:r w:rsidR="006803D0">
        <w:rPr>
          <w:rFonts w:ascii="Arial" w:hAnsi="Arial" w:cs="Arial"/>
        </w:rPr>
        <w:t xml:space="preserve">any </w:t>
      </w:r>
      <w:r>
        <w:rPr>
          <w:rFonts w:ascii="Arial" w:hAnsi="Arial" w:cs="Arial"/>
        </w:rPr>
        <w:t>assets situated in jurisdictions</w:t>
      </w:r>
      <w:r w:rsidR="003F7A65">
        <w:rPr>
          <w:rFonts w:ascii="Arial" w:hAnsi="Arial" w:cs="Arial"/>
        </w:rPr>
        <w:t xml:space="preserve"> outside the US</w:t>
      </w:r>
      <w:r w:rsidR="00135312">
        <w:rPr>
          <w:rFonts w:ascii="Arial" w:hAnsi="Arial" w:cs="Arial"/>
        </w:rPr>
        <w:t>.</w:t>
      </w:r>
    </w:p>
    <w:p w14:paraId="59BA24A0" w14:textId="77777777" w:rsidR="005F422A" w:rsidRDefault="003F7A65" w:rsidP="005F422A">
      <w:pPr>
        <w:pStyle w:val="ListParagraph"/>
        <w:numPr>
          <w:ilvl w:val="0"/>
          <w:numId w:val="21"/>
        </w:numPr>
        <w:spacing w:line="240" w:lineRule="auto"/>
        <w:jc w:val="both"/>
        <w:rPr>
          <w:rFonts w:ascii="Arial" w:hAnsi="Arial" w:cs="Arial"/>
        </w:rPr>
      </w:pPr>
      <w:r>
        <w:rPr>
          <w:rFonts w:ascii="Arial" w:hAnsi="Arial" w:cs="Arial"/>
        </w:rPr>
        <w:t xml:space="preserve">Confirmation </w:t>
      </w:r>
      <w:r w:rsidRPr="00311960">
        <w:rPr>
          <w:rFonts w:ascii="Arial" w:hAnsi="Arial" w:cs="Arial"/>
        </w:rPr>
        <w:t xml:space="preserve">as to </w:t>
      </w:r>
      <w:r w:rsidR="00095097" w:rsidRPr="00311960">
        <w:rPr>
          <w:rFonts w:ascii="Arial" w:hAnsi="Arial" w:cs="Arial"/>
        </w:rPr>
        <w:t>whether there is place of business or operations outside the US</w:t>
      </w:r>
      <w:r w:rsidR="00135312" w:rsidRPr="00311960">
        <w:rPr>
          <w:rFonts w:ascii="Arial" w:hAnsi="Arial" w:cs="Arial"/>
        </w:rPr>
        <w:t>.</w:t>
      </w:r>
      <w:r w:rsidR="005F422A" w:rsidRPr="005F422A">
        <w:rPr>
          <w:rFonts w:ascii="Arial" w:hAnsi="Arial" w:cs="Arial"/>
        </w:rPr>
        <w:t xml:space="preserve"> </w:t>
      </w:r>
    </w:p>
    <w:p w14:paraId="1A2C0A97" w14:textId="31094A46" w:rsidR="005F422A" w:rsidRDefault="005F422A" w:rsidP="005F422A">
      <w:pPr>
        <w:pStyle w:val="ListParagraph"/>
        <w:numPr>
          <w:ilvl w:val="0"/>
          <w:numId w:val="21"/>
        </w:numPr>
        <w:spacing w:line="240" w:lineRule="auto"/>
        <w:jc w:val="both"/>
        <w:rPr>
          <w:rFonts w:ascii="Arial" w:hAnsi="Arial" w:cs="Arial"/>
        </w:rPr>
      </w:pPr>
      <w:r>
        <w:rPr>
          <w:rFonts w:ascii="Arial" w:hAnsi="Arial" w:cs="Arial"/>
        </w:rPr>
        <w:t>Whether factors</w:t>
      </w:r>
      <w:r>
        <w:rPr>
          <w:rFonts w:ascii="Arial" w:hAnsi="Arial" w:cs="Arial"/>
        </w:rPr>
        <w:t xml:space="preserve"> </w:t>
      </w:r>
      <w:r w:rsidR="00A443C7">
        <w:rPr>
          <w:rFonts w:ascii="Arial" w:hAnsi="Arial" w:cs="Arial"/>
        </w:rPr>
        <w:t>which</w:t>
      </w:r>
      <w:r>
        <w:rPr>
          <w:rFonts w:ascii="Arial" w:hAnsi="Arial" w:cs="Arial"/>
        </w:rPr>
        <w:t xml:space="preserve"> are </w:t>
      </w:r>
      <w:r w:rsidR="00C81D54">
        <w:rPr>
          <w:rFonts w:ascii="Arial" w:hAnsi="Arial" w:cs="Arial"/>
        </w:rPr>
        <w:t xml:space="preserve">both </w:t>
      </w:r>
      <w:r>
        <w:rPr>
          <w:rFonts w:ascii="Arial" w:hAnsi="Arial" w:cs="Arial"/>
        </w:rPr>
        <w:t xml:space="preserve">objective and ascertainable by </w:t>
      </w:r>
      <w:r w:rsidR="00C81D54">
        <w:rPr>
          <w:rFonts w:ascii="Arial" w:hAnsi="Arial" w:cs="Arial"/>
        </w:rPr>
        <w:t xml:space="preserve">third parties </w:t>
      </w:r>
      <w:r>
        <w:rPr>
          <w:rFonts w:ascii="Arial" w:hAnsi="Arial" w:cs="Arial"/>
        </w:rPr>
        <w:t xml:space="preserve">exist </w:t>
      </w:r>
      <w:r w:rsidR="002B5904">
        <w:rPr>
          <w:rFonts w:ascii="Arial" w:hAnsi="Arial" w:cs="Arial"/>
        </w:rPr>
        <w:t>that</w:t>
      </w:r>
      <w:r>
        <w:rPr>
          <w:rFonts w:ascii="Arial" w:hAnsi="Arial" w:cs="Arial"/>
        </w:rPr>
        <w:t xml:space="preserve"> can be relied on to rebut the presumption that the COMI is in the U</w:t>
      </w:r>
      <w:r w:rsidR="00C81D54">
        <w:rPr>
          <w:rFonts w:ascii="Arial" w:hAnsi="Arial" w:cs="Arial"/>
        </w:rPr>
        <w:t>S</w:t>
      </w:r>
      <w:r>
        <w:rPr>
          <w:rFonts w:ascii="Arial" w:hAnsi="Arial" w:cs="Arial"/>
        </w:rPr>
        <w:t xml:space="preserve">, and </w:t>
      </w:r>
      <w:r w:rsidR="00A443C7">
        <w:rPr>
          <w:rFonts w:ascii="Arial" w:hAnsi="Arial" w:cs="Arial"/>
        </w:rPr>
        <w:t xml:space="preserve">which </w:t>
      </w:r>
      <w:r w:rsidR="005267DF">
        <w:rPr>
          <w:rFonts w:ascii="Arial" w:hAnsi="Arial" w:cs="Arial"/>
        </w:rPr>
        <w:t xml:space="preserve">may potentially obstruct the recognition </w:t>
      </w:r>
      <w:r w:rsidR="00C82DA5">
        <w:rPr>
          <w:rFonts w:ascii="Arial" w:hAnsi="Arial" w:cs="Arial"/>
        </w:rPr>
        <w:t xml:space="preserve">of its Chapter 11 </w:t>
      </w:r>
      <w:r w:rsidR="005267DF">
        <w:rPr>
          <w:rFonts w:ascii="Arial" w:hAnsi="Arial" w:cs="Arial"/>
        </w:rPr>
        <w:t xml:space="preserve">as </w:t>
      </w:r>
      <w:r w:rsidR="005267DF">
        <w:rPr>
          <w:rFonts w:ascii="Arial" w:hAnsi="Arial" w:cs="Arial"/>
        </w:rPr>
        <w:t xml:space="preserve">foreign </w:t>
      </w:r>
      <w:r w:rsidR="005267DF">
        <w:rPr>
          <w:rFonts w:ascii="Arial" w:hAnsi="Arial" w:cs="Arial"/>
        </w:rPr>
        <w:t xml:space="preserve">main proceeding by the </w:t>
      </w:r>
      <w:r w:rsidR="00597420">
        <w:rPr>
          <w:rFonts w:ascii="Arial" w:hAnsi="Arial" w:cs="Arial"/>
        </w:rPr>
        <w:t>UK</w:t>
      </w:r>
      <w:r w:rsidR="00F3184D">
        <w:rPr>
          <w:rFonts w:ascii="Arial" w:hAnsi="Arial" w:cs="Arial"/>
        </w:rPr>
        <w:t xml:space="preserve"> courts</w:t>
      </w:r>
      <w:r>
        <w:rPr>
          <w:rFonts w:ascii="Arial" w:hAnsi="Arial" w:cs="Arial"/>
        </w:rPr>
        <w:t xml:space="preserve">.   </w:t>
      </w:r>
    </w:p>
    <w:p w14:paraId="622894C2" w14:textId="087B1504" w:rsidR="00F26B2D" w:rsidRPr="002F602E" w:rsidRDefault="002F602E" w:rsidP="009F78F1">
      <w:pPr>
        <w:spacing w:line="240" w:lineRule="auto"/>
        <w:jc w:val="both"/>
        <w:rPr>
          <w:rFonts w:ascii="Arial" w:hAnsi="Arial" w:cs="Arial"/>
          <w:u w:val="single"/>
        </w:rPr>
      </w:pPr>
      <w:r w:rsidRPr="00311960">
        <w:rPr>
          <w:rFonts w:ascii="Arial" w:hAnsi="Arial" w:cs="Arial"/>
          <w:u w:val="single"/>
        </w:rPr>
        <w:t>Efwon Trading</w:t>
      </w:r>
      <w:r w:rsidR="00F13AE7">
        <w:rPr>
          <w:rFonts w:ascii="Arial" w:hAnsi="Arial" w:cs="Arial"/>
          <w:u w:val="single"/>
        </w:rPr>
        <w:t xml:space="preserve"> </w:t>
      </w:r>
    </w:p>
    <w:p w14:paraId="62B9932F" w14:textId="41611FF6" w:rsidR="00C3155C" w:rsidRDefault="009C0337" w:rsidP="00AB374E">
      <w:pPr>
        <w:pStyle w:val="ListParagraph"/>
        <w:numPr>
          <w:ilvl w:val="0"/>
          <w:numId w:val="21"/>
        </w:numPr>
        <w:spacing w:line="240" w:lineRule="auto"/>
        <w:jc w:val="both"/>
        <w:rPr>
          <w:rFonts w:ascii="Arial" w:hAnsi="Arial" w:cs="Arial"/>
        </w:rPr>
      </w:pPr>
      <w:r>
        <w:rPr>
          <w:rFonts w:ascii="Arial" w:hAnsi="Arial" w:cs="Arial"/>
        </w:rPr>
        <w:t>T</w:t>
      </w:r>
      <w:r w:rsidR="00C3155C">
        <w:rPr>
          <w:rFonts w:ascii="Arial" w:hAnsi="Arial" w:cs="Arial"/>
        </w:rPr>
        <w:t>he governing law, repayment terms and maturity of the loan payable to the Monaco Lender</w:t>
      </w:r>
      <w:r w:rsidR="00135312">
        <w:rPr>
          <w:rFonts w:ascii="Arial" w:hAnsi="Arial" w:cs="Arial"/>
        </w:rPr>
        <w:t>.</w:t>
      </w:r>
    </w:p>
    <w:p w14:paraId="472DFA4E" w14:textId="52B852E1" w:rsidR="00AB374E" w:rsidRPr="006803D0" w:rsidRDefault="00AB374E" w:rsidP="00AB374E">
      <w:pPr>
        <w:pStyle w:val="ListParagraph"/>
        <w:numPr>
          <w:ilvl w:val="0"/>
          <w:numId w:val="21"/>
        </w:numPr>
        <w:spacing w:line="240" w:lineRule="auto"/>
        <w:jc w:val="both"/>
        <w:rPr>
          <w:rFonts w:ascii="Arial" w:hAnsi="Arial" w:cs="Arial"/>
        </w:rPr>
      </w:pPr>
      <w:r>
        <w:rPr>
          <w:rFonts w:ascii="Arial" w:hAnsi="Arial" w:cs="Arial"/>
        </w:rPr>
        <w:t>Attitude and willingness of the Monaco Lender to engage in negotiation to restructure the debt</w:t>
      </w:r>
      <w:r w:rsidR="00135312">
        <w:rPr>
          <w:rFonts w:ascii="Arial" w:hAnsi="Arial" w:cs="Arial"/>
        </w:rPr>
        <w:t>.</w:t>
      </w:r>
    </w:p>
    <w:p w14:paraId="300F52DC" w14:textId="6FACE760" w:rsidR="008D04D2" w:rsidRDefault="00CE5C7C" w:rsidP="006803D0">
      <w:pPr>
        <w:pStyle w:val="ListParagraph"/>
        <w:numPr>
          <w:ilvl w:val="0"/>
          <w:numId w:val="21"/>
        </w:numPr>
        <w:spacing w:line="240" w:lineRule="auto"/>
        <w:jc w:val="both"/>
        <w:rPr>
          <w:rFonts w:ascii="Arial" w:hAnsi="Arial" w:cs="Arial"/>
        </w:rPr>
      </w:pPr>
      <w:r>
        <w:rPr>
          <w:rFonts w:ascii="Arial" w:hAnsi="Arial" w:cs="Arial"/>
        </w:rPr>
        <w:t xml:space="preserve">Details of any other creditors other than the Monaco Lender </w:t>
      </w:r>
      <w:r w:rsidR="00387B37">
        <w:rPr>
          <w:rFonts w:ascii="Arial" w:hAnsi="Arial" w:cs="Arial"/>
        </w:rPr>
        <w:t xml:space="preserve">for the purpose of </w:t>
      </w:r>
      <w:r w:rsidR="00164F6B">
        <w:rPr>
          <w:rFonts w:ascii="Arial" w:hAnsi="Arial" w:cs="Arial"/>
        </w:rPr>
        <w:t>determin</w:t>
      </w:r>
      <w:r w:rsidR="00387B37">
        <w:rPr>
          <w:rFonts w:ascii="Arial" w:hAnsi="Arial" w:cs="Arial"/>
        </w:rPr>
        <w:t>ing</w:t>
      </w:r>
      <w:r w:rsidR="00164F6B">
        <w:rPr>
          <w:rFonts w:ascii="Arial" w:hAnsi="Arial" w:cs="Arial"/>
        </w:rPr>
        <w:t xml:space="preserve"> the complexity of any negotiation proce</w:t>
      </w:r>
      <w:r w:rsidR="00692F5C">
        <w:rPr>
          <w:rFonts w:ascii="Arial" w:hAnsi="Arial" w:cs="Arial"/>
        </w:rPr>
        <w:t>s</w:t>
      </w:r>
      <w:r w:rsidR="00164F6B">
        <w:rPr>
          <w:rFonts w:ascii="Arial" w:hAnsi="Arial" w:cs="Arial"/>
        </w:rPr>
        <w:t>s</w:t>
      </w:r>
      <w:r w:rsidR="00135312">
        <w:rPr>
          <w:rFonts w:ascii="Arial" w:hAnsi="Arial" w:cs="Arial"/>
        </w:rPr>
        <w:t>.</w:t>
      </w:r>
    </w:p>
    <w:p w14:paraId="5A9945C5" w14:textId="26FE64AF" w:rsidR="00AB374E" w:rsidRDefault="00AB374E" w:rsidP="006803D0">
      <w:pPr>
        <w:pStyle w:val="ListParagraph"/>
        <w:numPr>
          <w:ilvl w:val="0"/>
          <w:numId w:val="21"/>
        </w:numPr>
        <w:spacing w:line="240" w:lineRule="auto"/>
        <w:jc w:val="both"/>
        <w:rPr>
          <w:rFonts w:ascii="Arial" w:hAnsi="Arial" w:cs="Arial"/>
        </w:rPr>
      </w:pPr>
      <w:r>
        <w:rPr>
          <w:rFonts w:ascii="Arial" w:hAnsi="Arial" w:cs="Arial"/>
        </w:rPr>
        <w:t xml:space="preserve">Whether </w:t>
      </w:r>
      <w:r w:rsidR="00C3155C">
        <w:rPr>
          <w:rFonts w:ascii="Arial" w:hAnsi="Arial" w:cs="Arial"/>
        </w:rPr>
        <w:t xml:space="preserve">creditors’ approval of </w:t>
      </w:r>
      <w:r>
        <w:rPr>
          <w:rFonts w:ascii="Arial" w:hAnsi="Arial" w:cs="Arial"/>
        </w:rPr>
        <w:t xml:space="preserve">75% threshold can be achieved </w:t>
      </w:r>
      <w:r w:rsidR="00C3155C">
        <w:rPr>
          <w:rFonts w:ascii="Arial" w:hAnsi="Arial" w:cs="Arial"/>
        </w:rPr>
        <w:t>i</w:t>
      </w:r>
      <w:r w:rsidR="007D0B95">
        <w:rPr>
          <w:rFonts w:ascii="Arial" w:hAnsi="Arial" w:cs="Arial"/>
        </w:rPr>
        <w:t>f</w:t>
      </w:r>
      <w:r w:rsidR="00C3155C">
        <w:rPr>
          <w:rFonts w:ascii="Arial" w:hAnsi="Arial" w:cs="Arial"/>
        </w:rPr>
        <w:t xml:space="preserve"> a plan is proposed under the CVA</w:t>
      </w:r>
      <w:r w:rsidR="00135312">
        <w:rPr>
          <w:rFonts w:ascii="Arial" w:hAnsi="Arial" w:cs="Arial"/>
        </w:rPr>
        <w:t>.</w:t>
      </w:r>
    </w:p>
    <w:p w14:paraId="2BE2FFD1" w14:textId="02058DC8" w:rsidR="001443E0" w:rsidRDefault="00466936" w:rsidP="006803D0">
      <w:pPr>
        <w:pStyle w:val="ListParagraph"/>
        <w:numPr>
          <w:ilvl w:val="0"/>
          <w:numId w:val="21"/>
        </w:numPr>
        <w:spacing w:line="240" w:lineRule="auto"/>
        <w:jc w:val="both"/>
        <w:rPr>
          <w:rFonts w:ascii="Arial" w:hAnsi="Arial" w:cs="Arial"/>
        </w:rPr>
      </w:pPr>
      <w:r>
        <w:rPr>
          <w:rFonts w:ascii="Arial" w:hAnsi="Arial" w:cs="Arial"/>
        </w:rPr>
        <w:t xml:space="preserve">Whether </w:t>
      </w:r>
      <w:r w:rsidR="00652C09">
        <w:rPr>
          <w:rFonts w:ascii="Arial" w:hAnsi="Arial" w:cs="Arial"/>
        </w:rPr>
        <w:t xml:space="preserve">factors, as described in </w:t>
      </w:r>
      <w:r w:rsidR="00652C09" w:rsidRPr="00652C09">
        <w:rPr>
          <w:rFonts w:ascii="Arial" w:hAnsi="Arial" w:cs="Arial"/>
          <w:i/>
          <w:iCs/>
        </w:rPr>
        <w:t>Eurofood</w:t>
      </w:r>
      <w:r w:rsidR="00652C09">
        <w:rPr>
          <w:rFonts w:ascii="Arial" w:hAnsi="Arial" w:cs="Arial"/>
        </w:rPr>
        <w:t xml:space="preserve">, </w:t>
      </w:r>
      <w:r w:rsidR="007C6D01">
        <w:rPr>
          <w:rFonts w:ascii="Arial" w:hAnsi="Arial" w:cs="Arial"/>
        </w:rPr>
        <w:t xml:space="preserve">which </w:t>
      </w:r>
      <w:r w:rsidR="00652C09">
        <w:rPr>
          <w:rFonts w:ascii="Arial" w:hAnsi="Arial" w:cs="Arial"/>
        </w:rPr>
        <w:t xml:space="preserve">are </w:t>
      </w:r>
      <w:r w:rsidR="00C33402">
        <w:rPr>
          <w:rFonts w:ascii="Arial" w:hAnsi="Arial" w:cs="Arial"/>
        </w:rPr>
        <w:t xml:space="preserve">both objective and ascertainable by third parties </w:t>
      </w:r>
      <w:r w:rsidR="00CE2DED">
        <w:rPr>
          <w:rFonts w:ascii="Arial" w:hAnsi="Arial" w:cs="Arial"/>
        </w:rPr>
        <w:t xml:space="preserve">on a regular basis exist that </w:t>
      </w:r>
      <w:r w:rsidR="00C27CDE">
        <w:rPr>
          <w:rFonts w:ascii="Arial" w:hAnsi="Arial" w:cs="Arial"/>
        </w:rPr>
        <w:t xml:space="preserve">can be </w:t>
      </w:r>
      <w:r w:rsidR="003A743A">
        <w:rPr>
          <w:rFonts w:ascii="Arial" w:hAnsi="Arial" w:cs="Arial"/>
        </w:rPr>
        <w:t>relied on</w:t>
      </w:r>
      <w:r w:rsidR="00C27CDE">
        <w:rPr>
          <w:rFonts w:ascii="Arial" w:hAnsi="Arial" w:cs="Arial"/>
        </w:rPr>
        <w:t xml:space="preserve"> to rebut the presumption that </w:t>
      </w:r>
      <w:r w:rsidR="002B5904">
        <w:rPr>
          <w:rFonts w:ascii="Arial" w:hAnsi="Arial" w:cs="Arial"/>
        </w:rPr>
        <w:t>the</w:t>
      </w:r>
      <w:r w:rsidR="00C27CDE">
        <w:rPr>
          <w:rFonts w:ascii="Arial" w:hAnsi="Arial" w:cs="Arial"/>
        </w:rPr>
        <w:t xml:space="preserve"> COMI is in the </w:t>
      </w:r>
      <w:r w:rsidR="00994DD7">
        <w:rPr>
          <w:rFonts w:ascii="Arial" w:hAnsi="Arial" w:cs="Arial"/>
        </w:rPr>
        <w:t>UK,</w:t>
      </w:r>
      <w:r w:rsidR="00C27CDE">
        <w:rPr>
          <w:rFonts w:ascii="Arial" w:hAnsi="Arial" w:cs="Arial"/>
        </w:rPr>
        <w:t xml:space="preserve"> </w:t>
      </w:r>
      <w:r w:rsidR="00AB4B9D">
        <w:rPr>
          <w:rFonts w:ascii="Arial" w:hAnsi="Arial" w:cs="Arial"/>
        </w:rPr>
        <w:t xml:space="preserve">and </w:t>
      </w:r>
      <w:r w:rsidR="007C6D01">
        <w:rPr>
          <w:rFonts w:ascii="Arial" w:hAnsi="Arial" w:cs="Arial"/>
        </w:rPr>
        <w:t xml:space="preserve">which </w:t>
      </w:r>
      <w:r w:rsidR="006D2D02">
        <w:rPr>
          <w:rFonts w:ascii="Arial" w:hAnsi="Arial" w:cs="Arial"/>
        </w:rPr>
        <w:t xml:space="preserve">may potentially obstruct </w:t>
      </w:r>
      <w:r w:rsidR="009F7A59">
        <w:rPr>
          <w:rFonts w:ascii="Arial" w:hAnsi="Arial" w:cs="Arial"/>
        </w:rPr>
        <w:t xml:space="preserve">the automatic recognition </w:t>
      </w:r>
      <w:r w:rsidR="00027D06">
        <w:rPr>
          <w:rFonts w:ascii="Arial" w:hAnsi="Arial" w:cs="Arial"/>
        </w:rPr>
        <w:t xml:space="preserve">of its insolvency proceedings </w:t>
      </w:r>
      <w:r w:rsidR="009F7A59">
        <w:rPr>
          <w:rFonts w:ascii="Arial" w:hAnsi="Arial" w:cs="Arial"/>
        </w:rPr>
        <w:t xml:space="preserve">as </w:t>
      </w:r>
      <w:r w:rsidR="00BB3D99">
        <w:rPr>
          <w:rFonts w:ascii="Arial" w:hAnsi="Arial" w:cs="Arial"/>
        </w:rPr>
        <w:t>main insolvency proceeding</w:t>
      </w:r>
      <w:r w:rsidR="0023073E">
        <w:rPr>
          <w:rFonts w:ascii="Arial" w:hAnsi="Arial" w:cs="Arial"/>
        </w:rPr>
        <w:t>s</w:t>
      </w:r>
      <w:r w:rsidR="00BB3D99">
        <w:rPr>
          <w:rFonts w:ascii="Arial" w:hAnsi="Arial" w:cs="Arial"/>
        </w:rPr>
        <w:t xml:space="preserve"> </w:t>
      </w:r>
      <w:r w:rsidR="00691A80">
        <w:rPr>
          <w:rFonts w:ascii="Arial" w:hAnsi="Arial" w:cs="Arial"/>
        </w:rPr>
        <w:t xml:space="preserve">by </w:t>
      </w:r>
      <w:r w:rsidR="00BB3D99">
        <w:rPr>
          <w:rFonts w:ascii="Arial" w:hAnsi="Arial" w:cs="Arial"/>
        </w:rPr>
        <w:t xml:space="preserve">the Member States.  In </w:t>
      </w:r>
      <w:r w:rsidR="00691A80">
        <w:rPr>
          <w:rFonts w:ascii="Arial" w:hAnsi="Arial" w:cs="Arial"/>
        </w:rPr>
        <w:t>essence</w:t>
      </w:r>
      <w:r w:rsidR="00BB3D99">
        <w:rPr>
          <w:rFonts w:ascii="Arial" w:hAnsi="Arial" w:cs="Arial"/>
        </w:rPr>
        <w:t xml:space="preserve">, the mere </w:t>
      </w:r>
      <w:r w:rsidR="00C11490">
        <w:rPr>
          <w:rFonts w:ascii="Arial" w:hAnsi="Arial" w:cs="Arial"/>
        </w:rPr>
        <w:t>fact that its economic choices are or can be controlled by yourself</w:t>
      </w:r>
      <w:r w:rsidR="00DC58D8">
        <w:rPr>
          <w:rFonts w:ascii="Arial" w:hAnsi="Arial" w:cs="Arial"/>
        </w:rPr>
        <w:t xml:space="preserve"> (or Efwon Investments if it is the sole shareholder) in another jurisdiction</w:t>
      </w:r>
      <w:r w:rsidR="00670E9B">
        <w:rPr>
          <w:rFonts w:ascii="Arial" w:hAnsi="Arial" w:cs="Arial"/>
        </w:rPr>
        <w:t xml:space="preserve"> outside the UK</w:t>
      </w:r>
      <w:r w:rsidR="00DC58D8">
        <w:rPr>
          <w:rFonts w:ascii="Arial" w:hAnsi="Arial" w:cs="Arial"/>
        </w:rPr>
        <w:t xml:space="preserve"> is not sufficient to rebut the presumption.</w:t>
      </w:r>
    </w:p>
    <w:p w14:paraId="28EEDED2" w14:textId="697328F0" w:rsidR="0098317E" w:rsidRDefault="0098317E" w:rsidP="006803D0">
      <w:pPr>
        <w:pStyle w:val="ListParagraph"/>
        <w:numPr>
          <w:ilvl w:val="0"/>
          <w:numId w:val="21"/>
        </w:numPr>
        <w:spacing w:line="240" w:lineRule="auto"/>
        <w:jc w:val="both"/>
        <w:rPr>
          <w:rFonts w:ascii="Arial" w:hAnsi="Arial" w:cs="Arial"/>
        </w:rPr>
      </w:pPr>
      <w:r>
        <w:rPr>
          <w:rFonts w:ascii="Arial" w:hAnsi="Arial" w:cs="Arial"/>
        </w:rPr>
        <w:t xml:space="preserve">Whether non-transitory economic activity with human means and assets </w:t>
      </w:r>
      <w:r w:rsidR="00FD6122">
        <w:rPr>
          <w:rFonts w:ascii="Arial" w:hAnsi="Arial" w:cs="Arial"/>
        </w:rPr>
        <w:t xml:space="preserve">is carried out or has been carried out </w:t>
      </w:r>
      <w:r w:rsidR="00B73E8A">
        <w:rPr>
          <w:rFonts w:ascii="Arial" w:hAnsi="Arial" w:cs="Arial"/>
        </w:rPr>
        <w:t xml:space="preserve">at a </w:t>
      </w:r>
      <w:r w:rsidRPr="0098317E">
        <w:rPr>
          <w:rFonts w:ascii="Arial" w:hAnsi="Arial" w:cs="Arial"/>
        </w:rPr>
        <w:t>place of operations</w:t>
      </w:r>
      <w:r w:rsidR="00F13AE7">
        <w:rPr>
          <w:rFonts w:ascii="Arial" w:hAnsi="Arial" w:cs="Arial"/>
        </w:rPr>
        <w:t>, outside the UK,</w:t>
      </w:r>
      <w:r w:rsidRPr="0098317E">
        <w:rPr>
          <w:rFonts w:ascii="Arial" w:hAnsi="Arial" w:cs="Arial"/>
        </w:rPr>
        <w:t xml:space="preserve"> </w:t>
      </w:r>
      <w:r w:rsidR="00B73E8A">
        <w:rPr>
          <w:rFonts w:ascii="Arial" w:hAnsi="Arial" w:cs="Arial"/>
        </w:rPr>
        <w:t xml:space="preserve">so that establishment </w:t>
      </w:r>
      <w:r w:rsidR="005B1361">
        <w:rPr>
          <w:rFonts w:ascii="Arial" w:hAnsi="Arial" w:cs="Arial"/>
        </w:rPr>
        <w:t>can be</w:t>
      </w:r>
      <w:r w:rsidR="00B73E8A">
        <w:rPr>
          <w:rFonts w:ascii="Arial" w:hAnsi="Arial" w:cs="Arial"/>
        </w:rPr>
        <w:t xml:space="preserve"> demonstrated</w:t>
      </w:r>
      <w:r w:rsidR="00F63D83">
        <w:rPr>
          <w:rFonts w:ascii="Arial" w:hAnsi="Arial" w:cs="Arial"/>
        </w:rPr>
        <w:t xml:space="preserve"> </w:t>
      </w:r>
      <w:r w:rsidR="002427F1">
        <w:rPr>
          <w:rFonts w:ascii="Arial" w:hAnsi="Arial" w:cs="Arial"/>
        </w:rPr>
        <w:t xml:space="preserve">for the purpose of </w:t>
      </w:r>
      <w:r w:rsidR="00F63D83">
        <w:rPr>
          <w:rFonts w:ascii="Arial" w:hAnsi="Arial" w:cs="Arial"/>
        </w:rPr>
        <w:t>determin</w:t>
      </w:r>
      <w:r w:rsidR="002427F1">
        <w:rPr>
          <w:rFonts w:ascii="Arial" w:hAnsi="Arial" w:cs="Arial"/>
        </w:rPr>
        <w:t>ing</w:t>
      </w:r>
      <w:r w:rsidR="00F63D83">
        <w:rPr>
          <w:rFonts w:ascii="Arial" w:hAnsi="Arial" w:cs="Arial"/>
        </w:rPr>
        <w:t xml:space="preserve"> the possibility that assets, if any, in other Member States may be enforced.</w:t>
      </w:r>
    </w:p>
    <w:p w14:paraId="001019F6" w14:textId="7797C691" w:rsidR="006A4548" w:rsidRDefault="006A4548" w:rsidP="006803D0">
      <w:pPr>
        <w:pStyle w:val="ListParagraph"/>
        <w:numPr>
          <w:ilvl w:val="0"/>
          <w:numId w:val="21"/>
        </w:numPr>
        <w:spacing w:line="240" w:lineRule="auto"/>
        <w:jc w:val="both"/>
        <w:rPr>
          <w:rFonts w:ascii="Arial" w:hAnsi="Arial" w:cs="Arial"/>
        </w:rPr>
      </w:pPr>
      <w:r>
        <w:rPr>
          <w:rFonts w:ascii="Arial" w:hAnsi="Arial" w:cs="Arial"/>
        </w:rPr>
        <w:t xml:space="preserve">Whether undertaking can be provided to avoid the opening of </w:t>
      </w:r>
      <w:r w:rsidR="00B81C3D">
        <w:rPr>
          <w:rFonts w:ascii="Arial" w:hAnsi="Arial" w:cs="Arial"/>
        </w:rPr>
        <w:t>secondary insolvency proceedings in other Member States</w:t>
      </w:r>
      <w:r w:rsidR="00F13AE7">
        <w:rPr>
          <w:rFonts w:ascii="Arial" w:hAnsi="Arial" w:cs="Arial"/>
        </w:rPr>
        <w:t xml:space="preserve"> outside the UK</w:t>
      </w:r>
    </w:p>
    <w:p w14:paraId="13958DB6" w14:textId="6F2E0603" w:rsidR="00C3155C" w:rsidRDefault="006532E5" w:rsidP="006803D0">
      <w:pPr>
        <w:pStyle w:val="ListParagraph"/>
        <w:numPr>
          <w:ilvl w:val="0"/>
          <w:numId w:val="21"/>
        </w:numPr>
        <w:spacing w:line="240" w:lineRule="auto"/>
        <w:jc w:val="both"/>
        <w:rPr>
          <w:rFonts w:ascii="Arial" w:hAnsi="Arial" w:cs="Arial"/>
        </w:rPr>
      </w:pPr>
      <w:r>
        <w:rPr>
          <w:rFonts w:ascii="Arial" w:hAnsi="Arial" w:cs="Arial"/>
        </w:rPr>
        <w:t>Whether there is property</w:t>
      </w:r>
      <w:r w:rsidR="00E95C97">
        <w:rPr>
          <w:rFonts w:ascii="Arial" w:hAnsi="Arial" w:cs="Arial"/>
        </w:rPr>
        <w:t xml:space="preserve">, as described in </w:t>
      </w:r>
      <w:r w:rsidR="00E95C97" w:rsidRPr="00E95C97">
        <w:rPr>
          <w:rFonts w:ascii="Arial" w:hAnsi="Arial" w:cs="Arial"/>
          <w:i/>
          <w:iCs/>
        </w:rPr>
        <w:t>Re Global Ocean</w:t>
      </w:r>
      <w:r w:rsidR="00E95C97">
        <w:rPr>
          <w:rFonts w:ascii="Arial" w:hAnsi="Arial" w:cs="Arial"/>
        </w:rPr>
        <w:t>,</w:t>
      </w:r>
      <w:r>
        <w:rPr>
          <w:rFonts w:ascii="Arial" w:hAnsi="Arial" w:cs="Arial"/>
        </w:rPr>
        <w:t xml:space="preserve"> </w:t>
      </w:r>
      <w:r w:rsidR="002A62AD">
        <w:rPr>
          <w:rFonts w:ascii="Arial" w:hAnsi="Arial" w:cs="Arial"/>
        </w:rPr>
        <w:t xml:space="preserve">in the US </w:t>
      </w:r>
      <w:r w:rsidR="00913481">
        <w:rPr>
          <w:rFonts w:ascii="Arial" w:hAnsi="Arial" w:cs="Arial"/>
        </w:rPr>
        <w:t xml:space="preserve">for the purpose of </w:t>
      </w:r>
      <w:r w:rsidR="002A62AD">
        <w:rPr>
          <w:rFonts w:ascii="Arial" w:hAnsi="Arial" w:cs="Arial"/>
        </w:rPr>
        <w:t>establish</w:t>
      </w:r>
      <w:r w:rsidR="00913481">
        <w:rPr>
          <w:rFonts w:ascii="Arial" w:hAnsi="Arial" w:cs="Arial"/>
        </w:rPr>
        <w:t>ing</w:t>
      </w:r>
      <w:r w:rsidR="002A62AD">
        <w:rPr>
          <w:rFonts w:ascii="Arial" w:hAnsi="Arial" w:cs="Arial"/>
        </w:rPr>
        <w:t xml:space="preserve"> jurisdiction to commence Chapter 11</w:t>
      </w:r>
      <w:r w:rsidR="00135312">
        <w:rPr>
          <w:rFonts w:ascii="Arial" w:hAnsi="Arial" w:cs="Arial"/>
        </w:rPr>
        <w:t>.</w:t>
      </w:r>
    </w:p>
    <w:p w14:paraId="75EFEF13" w14:textId="53B1875D" w:rsidR="006B370E" w:rsidRDefault="00DF3747" w:rsidP="006803D0">
      <w:pPr>
        <w:pStyle w:val="ListParagraph"/>
        <w:numPr>
          <w:ilvl w:val="0"/>
          <w:numId w:val="21"/>
        </w:numPr>
        <w:spacing w:line="240" w:lineRule="auto"/>
        <w:jc w:val="both"/>
        <w:rPr>
          <w:rFonts w:ascii="Arial" w:hAnsi="Arial" w:cs="Arial"/>
        </w:rPr>
      </w:pPr>
      <w:r>
        <w:rPr>
          <w:rFonts w:ascii="Arial" w:hAnsi="Arial" w:cs="Arial"/>
        </w:rPr>
        <w:lastRenderedPageBreak/>
        <w:t>Whether factors</w:t>
      </w:r>
      <w:r w:rsidR="00C77026">
        <w:rPr>
          <w:rFonts w:ascii="Arial" w:hAnsi="Arial" w:cs="Arial"/>
        </w:rPr>
        <w:t xml:space="preserve">, as described in </w:t>
      </w:r>
      <w:r w:rsidR="00C77026" w:rsidRPr="00C77026">
        <w:rPr>
          <w:rFonts w:ascii="Arial" w:hAnsi="Arial" w:cs="Arial"/>
          <w:i/>
          <w:iCs/>
        </w:rPr>
        <w:t>Videology</w:t>
      </w:r>
      <w:r w:rsidR="00C77026">
        <w:rPr>
          <w:rFonts w:ascii="Arial" w:hAnsi="Arial" w:cs="Arial"/>
        </w:rPr>
        <w:t>,</w:t>
      </w:r>
      <w:r>
        <w:rPr>
          <w:rFonts w:ascii="Arial" w:hAnsi="Arial" w:cs="Arial"/>
        </w:rPr>
        <w:t xml:space="preserve"> </w:t>
      </w:r>
      <w:r w:rsidR="00795BAD">
        <w:rPr>
          <w:rFonts w:ascii="Arial" w:hAnsi="Arial" w:cs="Arial"/>
        </w:rPr>
        <w:t xml:space="preserve">which </w:t>
      </w:r>
      <w:r>
        <w:rPr>
          <w:rFonts w:ascii="Arial" w:hAnsi="Arial" w:cs="Arial"/>
        </w:rPr>
        <w:t xml:space="preserve">are </w:t>
      </w:r>
      <w:r w:rsidR="003309A1">
        <w:rPr>
          <w:rFonts w:ascii="Arial" w:hAnsi="Arial" w:cs="Arial"/>
        </w:rPr>
        <w:t xml:space="preserve">visible and </w:t>
      </w:r>
      <w:r w:rsidR="00024CC0">
        <w:rPr>
          <w:rFonts w:ascii="Arial" w:hAnsi="Arial" w:cs="Arial"/>
        </w:rPr>
        <w:t xml:space="preserve">both objective and ascertainable by </w:t>
      </w:r>
      <w:r w:rsidR="0033129F">
        <w:rPr>
          <w:rFonts w:ascii="Arial" w:hAnsi="Arial" w:cs="Arial"/>
        </w:rPr>
        <w:t>the customers and trade creditors</w:t>
      </w:r>
      <w:r w:rsidR="00024CC0">
        <w:rPr>
          <w:rFonts w:ascii="Arial" w:hAnsi="Arial" w:cs="Arial"/>
        </w:rPr>
        <w:t xml:space="preserve">, </w:t>
      </w:r>
      <w:r w:rsidR="000E1953">
        <w:rPr>
          <w:rFonts w:ascii="Arial" w:hAnsi="Arial" w:cs="Arial"/>
        </w:rPr>
        <w:t xml:space="preserve">exist </w:t>
      </w:r>
      <w:r w:rsidR="00A5514A">
        <w:rPr>
          <w:rFonts w:ascii="Arial" w:hAnsi="Arial" w:cs="Arial"/>
        </w:rPr>
        <w:t xml:space="preserve">that </w:t>
      </w:r>
      <w:r w:rsidR="000E1953">
        <w:rPr>
          <w:rFonts w:ascii="Arial" w:hAnsi="Arial" w:cs="Arial"/>
        </w:rPr>
        <w:t xml:space="preserve">can be relied on to rebut the presumption </w:t>
      </w:r>
      <w:r w:rsidR="0033129F">
        <w:rPr>
          <w:rFonts w:ascii="Arial" w:hAnsi="Arial" w:cs="Arial"/>
        </w:rPr>
        <w:t xml:space="preserve">that </w:t>
      </w:r>
      <w:r w:rsidR="000E1953">
        <w:rPr>
          <w:rFonts w:ascii="Arial" w:hAnsi="Arial" w:cs="Arial"/>
        </w:rPr>
        <w:t>the COMI is in the UK</w:t>
      </w:r>
      <w:r w:rsidR="009D103A">
        <w:rPr>
          <w:rFonts w:ascii="Arial" w:hAnsi="Arial" w:cs="Arial"/>
        </w:rPr>
        <w:t xml:space="preserve">, </w:t>
      </w:r>
      <w:r w:rsidR="009A1690">
        <w:rPr>
          <w:rFonts w:ascii="Arial" w:hAnsi="Arial" w:cs="Arial"/>
        </w:rPr>
        <w:t xml:space="preserve">for the purpose of </w:t>
      </w:r>
      <w:r w:rsidR="009D103A">
        <w:rPr>
          <w:rFonts w:ascii="Arial" w:hAnsi="Arial" w:cs="Arial"/>
        </w:rPr>
        <w:t>demonstrat</w:t>
      </w:r>
      <w:r w:rsidR="009A1690">
        <w:rPr>
          <w:rFonts w:ascii="Arial" w:hAnsi="Arial" w:cs="Arial"/>
        </w:rPr>
        <w:t>ing</w:t>
      </w:r>
      <w:r w:rsidR="009D103A">
        <w:rPr>
          <w:rFonts w:ascii="Arial" w:hAnsi="Arial" w:cs="Arial"/>
        </w:rPr>
        <w:t xml:space="preserve"> that </w:t>
      </w:r>
      <w:r w:rsidR="00666E76">
        <w:rPr>
          <w:rFonts w:ascii="Arial" w:hAnsi="Arial" w:cs="Arial"/>
        </w:rPr>
        <w:t xml:space="preserve">Efwon Trading has </w:t>
      </w:r>
      <w:r w:rsidR="00553AA1">
        <w:rPr>
          <w:rFonts w:ascii="Arial" w:hAnsi="Arial" w:cs="Arial"/>
        </w:rPr>
        <w:t xml:space="preserve">COMI in </w:t>
      </w:r>
      <w:r w:rsidR="006058C3">
        <w:rPr>
          <w:rFonts w:ascii="Arial" w:hAnsi="Arial" w:cs="Arial"/>
        </w:rPr>
        <w:t>the US</w:t>
      </w:r>
      <w:r w:rsidR="00D706F4">
        <w:rPr>
          <w:rFonts w:ascii="Arial" w:hAnsi="Arial" w:cs="Arial"/>
        </w:rPr>
        <w:t xml:space="preserve"> for its Chapter 11 to be recognised in the UK</w:t>
      </w:r>
      <w:r w:rsidR="003F562D">
        <w:rPr>
          <w:rFonts w:ascii="Arial" w:hAnsi="Arial" w:cs="Arial"/>
        </w:rPr>
        <w:t xml:space="preserve"> as foreign main proceeding</w:t>
      </w:r>
      <w:r w:rsidR="006B370E">
        <w:rPr>
          <w:rFonts w:ascii="Arial" w:hAnsi="Arial" w:cs="Arial"/>
        </w:rPr>
        <w:t xml:space="preserve">. </w:t>
      </w:r>
      <w:r w:rsidR="006F1B41">
        <w:rPr>
          <w:rFonts w:ascii="Arial" w:hAnsi="Arial" w:cs="Arial"/>
        </w:rPr>
        <w:t xml:space="preserve"> </w:t>
      </w:r>
      <w:r w:rsidR="006058C3">
        <w:rPr>
          <w:rFonts w:ascii="Arial" w:hAnsi="Arial" w:cs="Arial"/>
        </w:rPr>
        <w:t xml:space="preserve"> </w:t>
      </w:r>
    </w:p>
    <w:p w14:paraId="58E6CDA8" w14:textId="5F488C07" w:rsidR="006B370E" w:rsidRDefault="00507834" w:rsidP="006803D0">
      <w:pPr>
        <w:pStyle w:val="ListParagraph"/>
        <w:numPr>
          <w:ilvl w:val="0"/>
          <w:numId w:val="21"/>
        </w:numPr>
        <w:spacing w:line="240" w:lineRule="auto"/>
        <w:jc w:val="both"/>
        <w:rPr>
          <w:rFonts w:ascii="Arial" w:hAnsi="Arial" w:cs="Arial"/>
        </w:rPr>
      </w:pPr>
      <w:r>
        <w:rPr>
          <w:rFonts w:ascii="Arial" w:hAnsi="Arial" w:cs="Arial"/>
        </w:rPr>
        <w:t xml:space="preserve">Whether </w:t>
      </w:r>
      <w:r w:rsidR="00553AA1">
        <w:rPr>
          <w:rFonts w:ascii="Arial" w:hAnsi="Arial" w:cs="Arial"/>
        </w:rPr>
        <w:t>a fixed place of business or operations in the US</w:t>
      </w:r>
      <w:r w:rsidR="00D706F4">
        <w:rPr>
          <w:rFonts w:ascii="Arial" w:hAnsi="Arial" w:cs="Arial"/>
        </w:rPr>
        <w:t xml:space="preserve"> </w:t>
      </w:r>
      <w:r w:rsidR="005E289C">
        <w:rPr>
          <w:rFonts w:ascii="Arial" w:hAnsi="Arial" w:cs="Arial"/>
        </w:rPr>
        <w:t xml:space="preserve">exists </w:t>
      </w:r>
      <w:r w:rsidR="00D706F4">
        <w:rPr>
          <w:rFonts w:ascii="Arial" w:hAnsi="Arial" w:cs="Arial"/>
        </w:rPr>
        <w:t xml:space="preserve">with external activities carried on </w:t>
      </w:r>
      <w:r w:rsidR="00766A35">
        <w:rPr>
          <w:rFonts w:ascii="Arial" w:hAnsi="Arial" w:cs="Arial"/>
        </w:rPr>
        <w:t xml:space="preserve">with its human means and assets or services, </w:t>
      </w:r>
      <w:r w:rsidR="001C7228">
        <w:rPr>
          <w:rFonts w:ascii="Arial" w:hAnsi="Arial" w:cs="Arial"/>
        </w:rPr>
        <w:t xml:space="preserve">as described in </w:t>
      </w:r>
      <w:r w:rsidR="001C7228" w:rsidRPr="001C7228">
        <w:rPr>
          <w:rFonts w:ascii="Arial" w:hAnsi="Arial" w:cs="Arial"/>
          <w:i/>
          <w:iCs/>
        </w:rPr>
        <w:t>Videology</w:t>
      </w:r>
      <w:r w:rsidR="001C7228">
        <w:rPr>
          <w:rFonts w:ascii="Arial" w:hAnsi="Arial" w:cs="Arial"/>
        </w:rPr>
        <w:t xml:space="preserve">, </w:t>
      </w:r>
      <w:r w:rsidR="008F2BDB">
        <w:rPr>
          <w:rFonts w:ascii="Arial" w:hAnsi="Arial" w:cs="Arial"/>
        </w:rPr>
        <w:t>and consist</w:t>
      </w:r>
      <w:r w:rsidR="00717DDB">
        <w:rPr>
          <w:rFonts w:ascii="Arial" w:hAnsi="Arial" w:cs="Arial"/>
        </w:rPr>
        <w:t>ed</w:t>
      </w:r>
      <w:r w:rsidR="008F2BDB">
        <w:rPr>
          <w:rFonts w:ascii="Arial" w:hAnsi="Arial" w:cs="Arial"/>
        </w:rPr>
        <w:t xml:space="preserve"> </w:t>
      </w:r>
      <w:r w:rsidR="003F562D">
        <w:rPr>
          <w:rFonts w:ascii="Arial" w:hAnsi="Arial" w:cs="Arial"/>
        </w:rPr>
        <w:t>of dealing with third parties</w:t>
      </w:r>
      <w:r w:rsidR="006D75C2">
        <w:rPr>
          <w:rFonts w:ascii="Arial" w:hAnsi="Arial" w:cs="Arial"/>
        </w:rPr>
        <w:t xml:space="preserve"> </w:t>
      </w:r>
      <w:r w:rsidR="00717DDB">
        <w:rPr>
          <w:rFonts w:ascii="Arial" w:hAnsi="Arial" w:cs="Arial"/>
        </w:rPr>
        <w:t xml:space="preserve">for the purpose of </w:t>
      </w:r>
      <w:r w:rsidR="006D75C2">
        <w:rPr>
          <w:rFonts w:ascii="Arial" w:hAnsi="Arial" w:cs="Arial"/>
        </w:rPr>
        <w:t>demonstrat</w:t>
      </w:r>
      <w:r w:rsidR="00717DDB">
        <w:rPr>
          <w:rFonts w:ascii="Arial" w:hAnsi="Arial" w:cs="Arial"/>
        </w:rPr>
        <w:t>ing</w:t>
      </w:r>
      <w:r w:rsidR="006D75C2">
        <w:rPr>
          <w:rFonts w:ascii="Arial" w:hAnsi="Arial" w:cs="Arial"/>
        </w:rPr>
        <w:t xml:space="preserve"> establi</w:t>
      </w:r>
      <w:r w:rsidR="00E54117">
        <w:rPr>
          <w:rFonts w:ascii="Arial" w:hAnsi="Arial" w:cs="Arial"/>
        </w:rPr>
        <w:t>shment</w:t>
      </w:r>
      <w:r w:rsidR="00A175C7">
        <w:rPr>
          <w:rFonts w:ascii="Arial" w:hAnsi="Arial" w:cs="Arial"/>
        </w:rPr>
        <w:t xml:space="preserve"> in the US</w:t>
      </w:r>
      <w:r w:rsidR="003F562D">
        <w:rPr>
          <w:rFonts w:ascii="Arial" w:hAnsi="Arial" w:cs="Arial"/>
        </w:rPr>
        <w:t xml:space="preserve"> for its Chapter 11 to be recognised in the UK as foreign non-main proceeding</w:t>
      </w:r>
      <w:r w:rsidR="00D45761">
        <w:rPr>
          <w:rFonts w:ascii="Arial" w:hAnsi="Arial" w:cs="Arial"/>
        </w:rPr>
        <w:t>,</w:t>
      </w:r>
      <w:r w:rsidR="003F562D">
        <w:rPr>
          <w:rFonts w:ascii="Arial" w:hAnsi="Arial" w:cs="Arial"/>
        </w:rPr>
        <w:t xml:space="preserve"> should </w:t>
      </w:r>
      <w:r w:rsidR="00983100">
        <w:rPr>
          <w:rFonts w:ascii="Arial" w:hAnsi="Arial" w:cs="Arial"/>
        </w:rPr>
        <w:t xml:space="preserve">the argument </w:t>
      </w:r>
      <w:r w:rsidR="00266CA2">
        <w:rPr>
          <w:rFonts w:ascii="Arial" w:hAnsi="Arial" w:cs="Arial"/>
        </w:rPr>
        <w:t>over</w:t>
      </w:r>
      <w:r w:rsidR="00E54117">
        <w:rPr>
          <w:rFonts w:ascii="Arial" w:hAnsi="Arial" w:cs="Arial"/>
        </w:rPr>
        <w:t xml:space="preserve"> </w:t>
      </w:r>
      <w:r w:rsidR="004603E6">
        <w:rPr>
          <w:rFonts w:ascii="Arial" w:hAnsi="Arial" w:cs="Arial"/>
        </w:rPr>
        <w:t xml:space="preserve">the </w:t>
      </w:r>
      <w:r w:rsidR="00E54117">
        <w:rPr>
          <w:rFonts w:ascii="Arial" w:hAnsi="Arial" w:cs="Arial"/>
        </w:rPr>
        <w:t>COMI</w:t>
      </w:r>
      <w:r w:rsidR="00983100">
        <w:rPr>
          <w:rFonts w:ascii="Arial" w:hAnsi="Arial" w:cs="Arial"/>
        </w:rPr>
        <w:t xml:space="preserve"> fail.</w:t>
      </w:r>
    </w:p>
    <w:p w14:paraId="02C3E448" w14:textId="77D0E9B4" w:rsidR="00135312" w:rsidRDefault="00E15A67" w:rsidP="00F95615">
      <w:pPr>
        <w:pStyle w:val="ListParagraph"/>
        <w:numPr>
          <w:ilvl w:val="0"/>
          <w:numId w:val="21"/>
        </w:numPr>
        <w:spacing w:line="240" w:lineRule="auto"/>
        <w:jc w:val="both"/>
        <w:rPr>
          <w:rFonts w:ascii="Arial" w:hAnsi="Arial" w:cs="Arial"/>
        </w:rPr>
      </w:pPr>
      <w:r>
        <w:rPr>
          <w:rFonts w:ascii="Arial" w:hAnsi="Arial" w:cs="Arial"/>
        </w:rPr>
        <w:t xml:space="preserve">Details of nerve centre and headquarters, as described in </w:t>
      </w:r>
      <w:r w:rsidRPr="00E15A67">
        <w:rPr>
          <w:rFonts w:ascii="Arial" w:hAnsi="Arial" w:cs="Arial"/>
          <w:i/>
          <w:iCs/>
        </w:rPr>
        <w:t>Re OAS</w:t>
      </w:r>
      <w:r>
        <w:rPr>
          <w:rFonts w:ascii="Arial" w:hAnsi="Arial" w:cs="Arial"/>
        </w:rPr>
        <w:t xml:space="preserve">, </w:t>
      </w:r>
      <w:r w:rsidR="00383465">
        <w:rPr>
          <w:rFonts w:ascii="Arial" w:hAnsi="Arial" w:cs="Arial"/>
        </w:rPr>
        <w:t>for the purpose of</w:t>
      </w:r>
      <w:r w:rsidR="000E5CD9">
        <w:rPr>
          <w:rFonts w:ascii="Arial" w:hAnsi="Arial" w:cs="Arial"/>
        </w:rPr>
        <w:t xml:space="preserve"> determin</w:t>
      </w:r>
      <w:r w:rsidR="00383465">
        <w:rPr>
          <w:rFonts w:ascii="Arial" w:hAnsi="Arial" w:cs="Arial"/>
        </w:rPr>
        <w:t>ing</w:t>
      </w:r>
      <w:r w:rsidR="000E5CD9">
        <w:rPr>
          <w:rFonts w:ascii="Arial" w:hAnsi="Arial" w:cs="Arial"/>
        </w:rPr>
        <w:t xml:space="preserve"> </w:t>
      </w:r>
      <w:r w:rsidR="004603E6">
        <w:rPr>
          <w:rFonts w:ascii="Arial" w:hAnsi="Arial" w:cs="Arial"/>
        </w:rPr>
        <w:t xml:space="preserve">the </w:t>
      </w:r>
      <w:r w:rsidR="000E5CD9">
        <w:rPr>
          <w:rFonts w:ascii="Arial" w:hAnsi="Arial" w:cs="Arial"/>
        </w:rPr>
        <w:t xml:space="preserve">COMI should recognition of insolvency proceedings </w:t>
      </w:r>
      <w:r w:rsidR="00383465">
        <w:rPr>
          <w:rFonts w:ascii="Arial" w:hAnsi="Arial" w:cs="Arial"/>
        </w:rPr>
        <w:t xml:space="preserve">be </w:t>
      </w:r>
      <w:r w:rsidR="000E5CD9">
        <w:rPr>
          <w:rFonts w:ascii="Arial" w:hAnsi="Arial" w:cs="Arial"/>
        </w:rPr>
        <w:t>required in the US.</w:t>
      </w:r>
    </w:p>
    <w:p w14:paraId="1046983A" w14:textId="4A32CCA7" w:rsidR="00E652B9" w:rsidRPr="00E652B9" w:rsidRDefault="00E652B9" w:rsidP="00E652B9">
      <w:pPr>
        <w:pStyle w:val="ListParagraph"/>
        <w:numPr>
          <w:ilvl w:val="0"/>
          <w:numId w:val="21"/>
        </w:numPr>
        <w:spacing w:line="240" w:lineRule="auto"/>
        <w:jc w:val="both"/>
        <w:rPr>
          <w:rFonts w:ascii="Arial" w:hAnsi="Arial" w:cs="Arial"/>
        </w:rPr>
      </w:pPr>
      <w:r>
        <w:rPr>
          <w:rFonts w:ascii="Arial" w:hAnsi="Arial" w:cs="Arial"/>
        </w:rPr>
        <w:t xml:space="preserve">Details of how the loan advanced from </w:t>
      </w:r>
      <w:r>
        <w:rPr>
          <w:rFonts w:ascii="Arial" w:hAnsi="Arial" w:cs="Arial"/>
        </w:rPr>
        <w:t>the Monaco Lender</w:t>
      </w:r>
      <w:r>
        <w:rPr>
          <w:rFonts w:ascii="Arial" w:hAnsi="Arial" w:cs="Arial"/>
        </w:rPr>
        <w:t xml:space="preserve"> is administered </w:t>
      </w:r>
      <w:r w:rsidR="00754C0B">
        <w:rPr>
          <w:rFonts w:ascii="Arial" w:hAnsi="Arial" w:cs="Arial"/>
        </w:rPr>
        <w:t xml:space="preserve">and whether the Monaco Lender understood that the </w:t>
      </w:r>
      <w:r w:rsidR="000813D5">
        <w:rPr>
          <w:rFonts w:ascii="Arial" w:hAnsi="Arial" w:cs="Arial"/>
        </w:rPr>
        <w:t xml:space="preserve">loan was to finance the working capital </w:t>
      </w:r>
      <w:r w:rsidR="006A285F">
        <w:rPr>
          <w:rFonts w:ascii="Arial" w:hAnsi="Arial" w:cs="Arial"/>
        </w:rPr>
        <w:t xml:space="preserve">of Efwon Romania </w:t>
      </w:r>
      <w:r>
        <w:rPr>
          <w:rFonts w:ascii="Arial" w:hAnsi="Arial" w:cs="Arial"/>
        </w:rPr>
        <w:t xml:space="preserve">for the purpose of determining the COMI should recognition of insolvency proceedings </w:t>
      </w:r>
      <w:r w:rsidR="00383465">
        <w:rPr>
          <w:rFonts w:ascii="Arial" w:hAnsi="Arial" w:cs="Arial"/>
        </w:rPr>
        <w:t>be</w:t>
      </w:r>
      <w:r>
        <w:rPr>
          <w:rFonts w:ascii="Arial" w:hAnsi="Arial" w:cs="Arial"/>
        </w:rPr>
        <w:t xml:space="preserve"> required in the US.</w:t>
      </w:r>
    </w:p>
    <w:p w14:paraId="3FC00E37" w14:textId="14A70B36" w:rsidR="00D964B0" w:rsidRPr="00F95615" w:rsidRDefault="00F95615" w:rsidP="00F2288A">
      <w:pPr>
        <w:keepNext/>
        <w:spacing w:line="240" w:lineRule="auto"/>
        <w:jc w:val="both"/>
        <w:rPr>
          <w:rFonts w:ascii="Arial" w:hAnsi="Arial" w:cs="Arial"/>
          <w:u w:val="single"/>
        </w:rPr>
      </w:pPr>
      <w:r w:rsidRPr="00F95615">
        <w:rPr>
          <w:rFonts w:ascii="Arial" w:hAnsi="Arial" w:cs="Arial"/>
          <w:u w:val="single"/>
        </w:rPr>
        <w:t>Efwon Romania</w:t>
      </w:r>
    </w:p>
    <w:p w14:paraId="586E73C0" w14:textId="08CE0945" w:rsidR="00F50B4E" w:rsidRDefault="009C0337" w:rsidP="00F50B4E">
      <w:pPr>
        <w:pStyle w:val="ListParagraph"/>
        <w:numPr>
          <w:ilvl w:val="0"/>
          <w:numId w:val="21"/>
        </w:numPr>
        <w:spacing w:line="240" w:lineRule="auto"/>
        <w:jc w:val="both"/>
        <w:rPr>
          <w:rFonts w:ascii="Arial" w:hAnsi="Arial" w:cs="Arial"/>
        </w:rPr>
      </w:pPr>
      <w:r>
        <w:rPr>
          <w:rFonts w:ascii="Arial" w:hAnsi="Arial" w:cs="Arial"/>
        </w:rPr>
        <w:t>T</w:t>
      </w:r>
      <w:r w:rsidR="00F50B4E">
        <w:rPr>
          <w:rFonts w:ascii="Arial" w:hAnsi="Arial" w:cs="Arial"/>
        </w:rPr>
        <w:t>he governing law, repayment terms and maturity of the loan payable to Efwon Trading.</w:t>
      </w:r>
    </w:p>
    <w:p w14:paraId="66A967C7" w14:textId="68C1EEC7" w:rsidR="00F50B4E" w:rsidRDefault="00EC4CD6" w:rsidP="00F13AE7">
      <w:pPr>
        <w:pStyle w:val="ListParagraph"/>
        <w:numPr>
          <w:ilvl w:val="0"/>
          <w:numId w:val="21"/>
        </w:numPr>
        <w:spacing w:line="240" w:lineRule="auto"/>
        <w:jc w:val="both"/>
        <w:rPr>
          <w:rFonts w:ascii="Arial" w:hAnsi="Arial" w:cs="Arial"/>
        </w:rPr>
      </w:pPr>
      <w:r>
        <w:rPr>
          <w:rFonts w:ascii="Arial" w:hAnsi="Arial" w:cs="Arial"/>
        </w:rPr>
        <w:t xml:space="preserve">Whether the Drivers have jurisdiction to file </w:t>
      </w:r>
      <w:r w:rsidR="002F3DA0">
        <w:rPr>
          <w:rFonts w:ascii="Arial" w:hAnsi="Arial" w:cs="Arial"/>
        </w:rPr>
        <w:t xml:space="preserve">for insolvency proceedings </w:t>
      </w:r>
      <w:r w:rsidR="00F97322">
        <w:rPr>
          <w:rFonts w:ascii="Arial" w:hAnsi="Arial" w:cs="Arial"/>
        </w:rPr>
        <w:t xml:space="preserve">and whether that </w:t>
      </w:r>
      <w:r w:rsidR="009A55B2">
        <w:rPr>
          <w:rFonts w:ascii="Arial" w:hAnsi="Arial" w:cs="Arial"/>
        </w:rPr>
        <w:t>would be admitted by the court, despite that their claims may be contingent.</w:t>
      </w:r>
    </w:p>
    <w:p w14:paraId="62A80B63" w14:textId="2D7EE2CA" w:rsidR="00662120" w:rsidRDefault="00862889" w:rsidP="00F13AE7">
      <w:pPr>
        <w:pStyle w:val="ListParagraph"/>
        <w:numPr>
          <w:ilvl w:val="0"/>
          <w:numId w:val="21"/>
        </w:numPr>
        <w:spacing w:line="240" w:lineRule="auto"/>
        <w:jc w:val="both"/>
        <w:rPr>
          <w:rFonts w:ascii="Arial" w:hAnsi="Arial" w:cs="Arial"/>
        </w:rPr>
      </w:pPr>
      <w:r>
        <w:rPr>
          <w:rFonts w:ascii="Arial" w:hAnsi="Arial" w:cs="Arial"/>
        </w:rPr>
        <w:t>Probability</w:t>
      </w:r>
      <w:r w:rsidR="00662120">
        <w:rPr>
          <w:rFonts w:ascii="Arial" w:hAnsi="Arial" w:cs="Arial"/>
        </w:rPr>
        <w:t xml:space="preserve"> that the Romanian courts will grant compensation order against </w:t>
      </w:r>
      <w:r w:rsidR="00B46480">
        <w:rPr>
          <w:rFonts w:ascii="Arial" w:hAnsi="Arial" w:cs="Arial"/>
        </w:rPr>
        <w:t>Efwon Romania</w:t>
      </w:r>
      <w:r w:rsidR="00F97FE7">
        <w:rPr>
          <w:rFonts w:ascii="Arial" w:hAnsi="Arial" w:cs="Arial"/>
        </w:rPr>
        <w:t xml:space="preserve"> </w:t>
      </w:r>
      <w:r w:rsidR="00662120">
        <w:rPr>
          <w:rFonts w:ascii="Arial" w:hAnsi="Arial" w:cs="Arial"/>
        </w:rPr>
        <w:t>in favour the Drivers.</w:t>
      </w:r>
    </w:p>
    <w:p w14:paraId="1385E4C6" w14:textId="7B3DEA43" w:rsidR="005929F0" w:rsidRDefault="005929F0" w:rsidP="00F13AE7">
      <w:pPr>
        <w:pStyle w:val="ListParagraph"/>
        <w:numPr>
          <w:ilvl w:val="0"/>
          <w:numId w:val="21"/>
        </w:numPr>
        <w:spacing w:line="240" w:lineRule="auto"/>
        <w:jc w:val="both"/>
        <w:rPr>
          <w:rFonts w:ascii="Arial" w:hAnsi="Arial" w:cs="Arial"/>
        </w:rPr>
      </w:pPr>
      <w:r>
        <w:rPr>
          <w:rFonts w:ascii="Arial" w:hAnsi="Arial" w:cs="Arial"/>
        </w:rPr>
        <w:t xml:space="preserve">Detail assessment to its solvency </w:t>
      </w:r>
      <w:proofErr w:type="gramStart"/>
      <w:r>
        <w:rPr>
          <w:rFonts w:ascii="Arial" w:hAnsi="Arial" w:cs="Arial"/>
        </w:rPr>
        <w:t>taken into account</w:t>
      </w:r>
      <w:proofErr w:type="gramEnd"/>
      <w:r>
        <w:rPr>
          <w:rFonts w:ascii="Arial" w:hAnsi="Arial" w:cs="Arial"/>
        </w:rPr>
        <w:t xml:space="preserve"> the </w:t>
      </w:r>
      <w:r w:rsidR="00620C58">
        <w:rPr>
          <w:rFonts w:ascii="Arial" w:hAnsi="Arial" w:cs="Arial"/>
        </w:rPr>
        <w:t xml:space="preserve">repayment terms on the </w:t>
      </w:r>
      <w:r>
        <w:rPr>
          <w:rFonts w:ascii="Arial" w:hAnsi="Arial" w:cs="Arial"/>
        </w:rPr>
        <w:t xml:space="preserve">loan payable to Efwon Trading </w:t>
      </w:r>
      <w:r w:rsidR="00620C58">
        <w:rPr>
          <w:rFonts w:ascii="Arial" w:hAnsi="Arial" w:cs="Arial"/>
        </w:rPr>
        <w:t>and the contingent claim of the Drivers</w:t>
      </w:r>
      <w:r w:rsidR="00590B56">
        <w:rPr>
          <w:rFonts w:ascii="Arial" w:hAnsi="Arial" w:cs="Arial"/>
        </w:rPr>
        <w:t xml:space="preserve">, </w:t>
      </w:r>
      <w:r w:rsidR="00C72CCC">
        <w:rPr>
          <w:rFonts w:ascii="Arial" w:hAnsi="Arial" w:cs="Arial"/>
        </w:rPr>
        <w:t xml:space="preserve">in </w:t>
      </w:r>
      <w:r w:rsidR="00590B56">
        <w:rPr>
          <w:rFonts w:ascii="Arial" w:hAnsi="Arial" w:cs="Arial"/>
        </w:rPr>
        <w:t>particular</w:t>
      </w:r>
      <w:r w:rsidR="00C72CCC">
        <w:rPr>
          <w:rFonts w:ascii="Arial" w:hAnsi="Arial" w:cs="Arial"/>
        </w:rPr>
        <w:t xml:space="preserve"> to</w:t>
      </w:r>
      <w:r w:rsidR="007327E8">
        <w:rPr>
          <w:rFonts w:ascii="Arial" w:hAnsi="Arial" w:cs="Arial"/>
        </w:rPr>
        <w:t xml:space="preserve"> any </w:t>
      </w:r>
      <w:r w:rsidR="00463C81">
        <w:rPr>
          <w:rFonts w:ascii="Arial" w:hAnsi="Arial" w:cs="Arial"/>
        </w:rPr>
        <w:t xml:space="preserve">current or future </w:t>
      </w:r>
      <w:r w:rsidR="007327E8">
        <w:rPr>
          <w:rFonts w:ascii="Arial" w:hAnsi="Arial" w:cs="Arial"/>
        </w:rPr>
        <w:t xml:space="preserve">debt </w:t>
      </w:r>
      <w:r w:rsidR="00D157C4">
        <w:rPr>
          <w:rFonts w:ascii="Arial" w:hAnsi="Arial" w:cs="Arial"/>
        </w:rPr>
        <w:t xml:space="preserve">that </w:t>
      </w:r>
      <w:r w:rsidR="007327E8">
        <w:rPr>
          <w:rFonts w:ascii="Arial" w:hAnsi="Arial" w:cs="Arial"/>
        </w:rPr>
        <w:t>exceeds the threshold of RON50,000</w:t>
      </w:r>
      <w:r w:rsidR="00463C81">
        <w:rPr>
          <w:rFonts w:ascii="Arial" w:hAnsi="Arial" w:cs="Arial"/>
        </w:rPr>
        <w:t xml:space="preserve"> </w:t>
      </w:r>
      <w:r w:rsidR="00D157C4">
        <w:rPr>
          <w:rFonts w:ascii="Arial" w:hAnsi="Arial" w:cs="Arial"/>
        </w:rPr>
        <w:t xml:space="preserve">which </w:t>
      </w:r>
      <w:r w:rsidR="00463C81">
        <w:rPr>
          <w:rFonts w:ascii="Arial" w:hAnsi="Arial" w:cs="Arial"/>
        </w:rPr>
        <w:t xml:space="preserve">has been or will be due </w:t>
      </w:r>
      <w:r w:rsidR="00D157C4">
        <w:rPr>
          <w:rFonts w:ascii="Arial" w:hAnsi="Arial" w:cs="Arial"/>
        </w:rPr>
        <w:t xml:space="preserve">for </w:t>
      </w:r>
      <w:r w:rsidR="00E804A9">
        <w:rPr>
          <w:rFonts w:ascii="Arial" w:hAnsi="Arial" w:cs="Arial"/>
        </w:rPr>
        <w:t>over 60 days.</w:t>
      </w:r>
    </w:p>
    <w:p w14:paraId="5A052DD3" w14:textId="3FAB52D3" w:rsidR="00237301" w:rsidRDefault="00237301" w:rsidP="00F13AE7">
      <w:pPr>
        <w:pStyle w:val="ListParagraph"/>
        <w:numPr>
          <w:ilvl w:val="0"/>
          <w:numId w:val="21"/>
        </w:numPr>
        <w:spacing w:line="240" w:lineRule="auto"/>
        <w:jc w:val="both"/>
        <w:rPr>
          <w:rFonts w:ascii="Arial" w:hAnsi="Arial" w:cs="Arial"/>
        </w:rPr>
      </w:pPr>
      <w:r>
        <w:rPr>
          <w:rFonts w:ascii="Arial" w:hAnsi="Arial" w:cs="Arial"/>
        </w:rPr>
        <w:t xml:space="preserve">Details of the composition of its </w:t>
      </w:r>
      <w:r w:rsidR="00F97FE7">
        <w:rPr>
          <w:rFonts w:ascii="Arial" w:hAnsi="Arial" w:cs="Arial"/>
        </w:rPr>
        <w:t>creditors’ claims and their attitude</w:t>
      </w:r>
      <w:r w:rsidR="00D82CE6">
        <w:rPr>
          <w:rFonts w:ascii="Arial" w:hAnsi="Arial" w:cs="Arial"/>
        </w:rPr>
        <w:t>s</w:t>
      </w:r>
      <w:r w:rsidR="00F97FE7">
        <w:rPr>
          <w:rFonts w:ascii="Arial" w:hAnsi="Arial" w:cs="Arial"/>
        </w:rPr>
        <w:t xml:space="preserve"> towards a reorganisation plan.</w:t>
      </w:r>
    </w:p>
    <w:p w14:paraId="64BBE6A4" w14:textId="61282B90" w:rsidR="00F13AE7" w:rsidRDefault="00F13AE7" w:rsidP="00F13AE7">
      <w:pPr>
        <w:pStyle w:val="ListParagraph"/>
        <w:numPr>
          <w:ilvl w:val="0"/>
          <w:numId w:val="21"/>
        </w:numPr>
        <w:spacing w:line="240" w:lineRule="auto"/>
        <w:jc w:val="both"/>
        <w:rPr>
          <w:rFonts w:ascii="Arial" w:hAnsi="Arial" w:cs="Arial"/>
        </w:rPr>
      </w:pPr>
      <w:r>
        <w:rPr>
          <w:rFonts w:ascii="Arial" w:hAnsi="Arial" w:cs="Arial"/>
        </w:rPr>
        <w:t xml:space="preserve">Whether non-transitory economic activity with human means and assets is carried out or has been carried out at a </w:t>
      </w:r>
      <w:r w:rsidRPr="0098317E">
        <w:rPr>
          <w:rFonts w:ascii="Arial" w:hAnsi="Arial" w:cs="Arial"/>
        </w:rPr>
        <w:t>place of operations</w:t>
      </w:r>
      <w:r>
        <w:rPr>
          <w:rFonts w:ascii="Arial" w:hAnsi="Arial" w:cs="Arial"/>
        </w:rPr>
        <w:t>, outside Romania,</w:t>
      </w:r>
      <w:r w:rsidRPr="0098317E">
        <w:rPr>
          <w:rFonts w:ascii="Arial" w:hAnsi="Arial" w:cs="Arial"/>
        </w:rPr>
        <w:t xml:space="preserve"> </w:t>
      </w:r>
      <w:r>
        <w:rPr>
          <w:rFonts w:ascii="Arial" w:hAnsi="Arial" w:cs="Arial"/>
        </w:rPr>
        <w:t xml:space="preserve">so that establishment </w:t>
      </w:r>
      <w:r w:rsidR="00667E91">
        <w:rPr>
          <w:rFonts w:ascii="Arial" w:hAnsi="Arial" w:cs="Arial"/>
        </w:rPr>
        <w:t>can be</w:t>
      </w:r>
      <w:r>
        <w:rPr>
          <w:rFonts w:ascii="Arial" w:hAnsi="Arial" w:cs="Arial"/>
        </w:rPr>
        <w:t xml:space="preserve"> demonstrated </w:t>
      </w:r>
      <w:r w:rsidR="00D17CAF">
        <w:rPr>
          <w:rFonts w:ascii="Arial" w:hAnsi="Arial" w:cs="Arial"/>
        </w:rPr>
        <w:t>for the purpose of</w:t>
      </w:r>
      <w:r>
        <w:rPr>
          <w:rFonts w:ascii="Arial" w:hAnsi="Arial" w:cs="Arial"/>
        </w:rPr>
        <w:t xml:space="preserve"> determin</w:t>
      </w:r>
      <w:r w:rsidR="00D17CAF">
        <w:rPr>
          <w:rFonts w:ascii="Arial" w:hAnsi="Arial" w:cs="Arial"/>
        </w:rPr>
        <w:t>ing</w:t>
      </w:r>
      <w:r>
        <w:rPr>
          <w:rFonts w:ascii="Arial" w:hAnsi="Arial" w:cs="Arial"/>
        </w:rPr>
        <w:t xml:space="preserve"> the possibility that assets, if any, in other Member States may be enforced.</w:t>
      </w:r>
    </w:p>
    <w:p w14:paraId="178C0503" w14:textId="38C8C716" w:rsidR="00F13AE7" w:rsidRDefault="00F13AE7" w:rsidP="00F13AE7">
      <w:pPr>
        <w:pStyle w:val="ListParagraph"/>
        <w:numPr>
          <w:ilvl w:val="0"/>
          <w:numId w:val="21"/>
        </w:numPr>
        <w:spacing w:line="240" w:lineRule="auto"/>
        <w:jc w:val="both"/>
        <w:rPr>
          <w:rFonts w:ascii="Arial" w:hAnsi="Arial" w:cs="Arial"/>
        </w:rPr>
      </w:pPr>
      <w:r>
        <w:rPr>
          <w:rFonts w:ascii="Arial" w:hAnsi="Arial" w:cs="Arial"/>
        </w:rPr>
        <w:t>Whether undertaking can be provided to avoid the opening of secondary insolvency proceedings in other Member States outside Romania</w:t>
      </w:r>
    </w:p>
    <w:p w14:paraId="3A30E666" w14:textId="63B9D727" w:rsidR="003379AC" w:rsidRDefault="003379AC" w:rsidP="003379AC">
      <w:pPr>
        <w:pStyle w:val="ListParagraph"/>
        <w:numPr>
          <w:ilvl w:val="0"/>
          <w:numId w:val="21"/>
        </w:numPr>
        <w:spacing w:line="240" w:lineRule="auto"/>
        <w:jc w:val="both"/>
        <w:rPr>
          <w:rFonts w:ascii="Arial" w:hAnsi="Arial" w:cs="Arial"/>
        </w:rPr>
      </w:pPr>
      <w:r>
        <w:rPr>
          <w:rFonts w:ascii="Arial" w:hAnsi="Arial" w:cs="Arial"/>
        </w:rPr>
        <w:t xml:space="preserve">Details of nerve centre and headquarters, as described in </w:t>
      </w:r>
      <w:r w:rsidRPr="00E15A67">
        <w:rPr>
          <w:rFonts w:ascii="Arial" w:hAnsi="Arial" w:cs="Arial"/>
          <w:i/>
          <w:iCs/>
        </w:rPr>
        <w:t>Re OAS</w:t>
      </w:r>
      <w:r>
        <w:rPr>
          <w:rFonts w:ascii="Arial" w:hAnsi="Arial" w:cs="Arial"/>
        </w:rPr>
        <w:t xml:space="preserve">, </w:t>
      </w:r>
      <w:r w:rsidR="000D674E">
        <w:rPr>
          <w:rFonts w:ascii="Arial" w:hAnsi="Arial" w:cs="Arial"/>
        </w:rPr>
        <w:t xml:space="preserve">for the purpose of </w:t>
      </w:r>
      <w:r>
        <w:rPr>
          <w:rFonts w:ascii="Arial" w:hAnsi="Arial" w:cs="Arial"/>
        </w:rPr>
        <w:t>determin</w:t>
      </w:r>
      <w:r w:rsidR="000D674E">
        <w:rPr>
          <w:rFonts w:ascii="Arial" w:hAnsi="Arial" w:cs="Arial"/>
        </w:rPr>
        <w:t>ing</w:t>
      </w:r>
      <w:r>
        <w:rPr>
          <w:rFonts w:ascii="Arial" w:hAnsi="Arial" w:cs="Arial"/>
        </w:rPr>
        <w:t xml:space="preserve"> the COMI should recognition of insolvency proceedings </w:t>
      </w:r>
      <w:r w:rsidR="00383465">
        <w:rPr>
          <w:rFonts w:ascii="Arial" w:hAnsi="Arial" w:cs="Arial"/>
        </w:rPr>
        <w:t>be</w:t>
      </w:r>
      <w:r>
        <w:rPr>
          <w:rFonts w:ascii="Arial" w:hAnsi="Arial" w:cs="Arial"/>
        </w:rPr>
        <w:t xml:space="preserve"> required in the US.</w:t>
      </w:r>
    </w:p>
    <w:p w14:paraId="309D6C96" w14:textId="07BD66A2" w:rsidR="004E248C" w:rsidRPr="003379AC" w:rsidRDefault="004E248C" w:rsidP="003379AC">
      <w:pPr>
        <w:pStyle w:val="ListParagraph"/>
        <w:numPr>
          <w:ilvl w:val="0"/>
          <w:numId w:val="21"/>
        </w:numPr>
        <w:spacing w:line="240" w:lineRule="auto"/>
        <w:jc w:val="both"/>
        <w:rPr>
          <w:rFonts w:ascii="Arial" w:hAnsi="Arial" w:cs="Arial"/>
        </w:rPr>
      </w:pPr>
      <w:r>
        <w:rPr>
          <w:rFonts w:ascii="Arial" w:hAnsi="Arial" w:cs="Arial"/>
        </w:rPr>
        <w:t xml:space="preserve">Details of </w:t>
      </w:r>
      <w:r w:rsidR="00B01804">
        <w:rPr>
          <w:rFonts w:ascii="Arial" w:hAnsi="Arial" w:cs="Arial"/>
        </w:rPr>
        <w:t>how the loan advanced from Efwon Trading is administered</w:t>
      </w:r>
      <w:r w:rsidR="00E652B9">
        <w:rPr>
          <w:rFonts w:ascii="Arial" w:hAnsi="Arial" w:cs="Arial"/>
        </w:rPr>
        <w:t xml:space="preserve"> for the purpose of determining </w:t>
      </w:r>
      <w:r w:rsidR="00E652B9">
        <w:rPr>
          <w:rFonts w:ascii="Arial" w:hAnsi="Arial" w:cs="Arial"/>
        </w:rPr>
        <w:t xml:space="preserve">the COMI should recognition of insolvency proceedings </w:t>
      </w:r>
      <w:r w:rsidR="00383465">
        <w:rPr>
          <w:rFonts w:ascii="Arial" w:hAnsi="Arial" w:cs="Arial"/>
        </w:rPr>
        <w:t>be</w:t>
      </w:r>
      <w:r w:rsidR="00E652B9">
        <w:rPr>
          <w:rFonts w:ascii="Arial" w:hAnsi="Arial" w:cs="Arial"/>
        </w:rPr>
        <w:t xml:space="preserve"> required in the US.</w:t>
      </w:r>
    </w:p>
    <w:p w14:paraId="795FACE0" w14:textId="5AB17BE8" w:rsidR="002F602E" w:rsidRPr="00D964B0" w:rsidRDefault="002F602E" w:rsidP="009F78F1">
      <w:pPr>
        <w:spacing w:line="240" w:lineRule="auto"/>
        <w:jc w:val="both"/>
        <w:rPr>
          <w:rFonts w:ascii="Arial" w:hAnsi="Arial" w:cs="Arial"/>
          <w:u w:val="single"/>
        </w:rPr>
      </w:pPr>
      <w:r w:rsidRPr="00D964B0">
        <w:rPr>
          <w:rFonts w:ascii="Arial" w:hAnsi="Arial" w:cs="Arial"/>
          <w:u w:val="single"/>
        </w:rPr>
        <w:t>Efwon Hong Kong</w:t>
      </w:r>
    </w:p>
    <w:p w14:paraId="127867B7" w14:textId="717A6A76" w:rsidR="002F602E" w:rsidRPr="002F602E" w:rsidRDefault="00D964B0" w:rsidP="002F602E">
      <w:pPr>
        <w:pStyle w:val="ListParagraph"/>
        <w:numPr>
          <w:ilvl w:val="0"/>
          <w:numId w:val="21"/>
        </w:numPr>
        <w:spacing w:line="240" w:lineRule="auto"/>
        <w:jc w:val="both"/>
        <w:rPr>
          <w:rFonts w:ascii="Arial" w:hAnsi="Arial" w:cs="Arial"/>
        </w:rPr>
      </w:pPr>
      <w:r>
        <w:rPr>
          <w:rFonts w:ascii="Arial" w:hAnsi="Arial" w:cs="Arial"/>
        </w:rPr>
        <w:t xml:space="preserve">Details of </w:t>
      </w:r>
      <w:r w:rsidR="006803D0">
        <w:rPr>
          <w:rFonts w:ascii="Arial" w:hAnsi="Arial" w:cs="Arial"/>
        </w:rPr>
        <w:t xml:space="preserve">any </w:t>
      </w:r>
      <w:r>
        <w:rPr>
          <w:rFonts w:ascii="Arial" w:hAnsi="Arial" w:cs="Arial"/>
        </w:rPr>
        <w:t>assets and their location</w:t>
      </w:r>
    </w:p>
    <w:p w14:paraId="1A14998A" w14:textId="77777777" w:rsidR="00F2288A" w:rsidRDefault="00F2288A" w:rsidP="009F78F1">
      <w:pPr>
        <w:spacing w:line="240" w:lineRule="auto"/>
        <w:jc w:val="both"/>
        <w:rPr>
          <w:rFonts w:ascii="Arial" w:hAnsi="Arial" w:cs="Arial"/>
        </w:rPr>
      </w:pPr>
    </w:p>
    <w:p w14:paraId="78B03DCC" w14:textId="18DE0FE6" w:rsidR="00264901" w:rsidRDefault="00B30252" w:rsidP="009F78F1">
      <w:pPr>
        <w:spacing w:line="240" w:lineRule="auto"/>
        <w:jc w:val="both"/>
        <w:rPr>
          <w:rFonts w:ascii="Arial" w:hAnsi="Arial" w:cs="Arial"/>
        </w:rPr>
      </w:pPr>
      <w:r>
        <w:rPr>
          <w:rFonts w:ascii="Arial" w:hAnsi="Arial" w:cs="Arial"/>
        </w:rPr>
        <w:t>Yours sincerely</w:t>
      </w:r>
    </w:p>
    <w:p w14:paraId="0A8449CF" w14:textId="6DE05E27" w:rsidR="00B30252" w:rsidRDefault="00B30252" w:rsidP="009F78F1">
      <w:pPr>
        <w:spacing w:line="240" w:lineRule="auto"/>
        <w:jc w:val="both"/>
        <w:rPr>
          <w:rFonts w:ascii="Arial" w:hAnsi="Arial" w:cs="Arial"/>
        </w:rPr>
      </w:pPr>
      <w:r>
        <w:rPr>
          <w:rFonts w:ascii="Arial" w:hAnsi="Arial" w:cs="Arial"/>
        </w:rPr>
        <w:t>Johnny Law</w:t>
      </w:r>
    </w:p>
    <w:sectPr w:rsidR="00B30252" w:rsidSect="00851CA5">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C8D2D" w14:textId="77777777" w:rsidR="001B5666" w:rsidRDefault="001B5666" w:rsidP="007E459E">
      <w:pPr>
        <w:spacing w:after="0" w:line="240" w:lineRule="auto"/>
      </w:pPr>
      <w:r>
        <w:separator/>
      </w:r>
    </w:p>
  </w:endnote>
  <w:endnote w:type="continuationSeparator" w:id="0">
    <w:p w14:paraId="3BE61578" w14:textId="77777777" w:rsidR="001B5666" w:rsidRDefault="001B5666" w:rsidP="007E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97DB" w14:textId="77777777" w:rsidR="001B5666" w:rsidRDefault="001B5666" w:rsidP="007E459E">
      <w:pPr>
        <w:spacing w:after="0" w:line="240" w:lineRule="auto"/>
      </w:pPr>
      <w:r>
        <w:separator/>
      </w:r>
    </w:p>
  </w:footnote>
  <w:footnote w:type="continuationSeparator" w:id="0">
    <w:p w14:paraId="64D39C20" w14:textId="77777777" w:rsidR="001B5666" w:rsidRDefault="001B5666" w:rsidP="007E459E">
      <w:pPr>
        <w:spacing w:after="0" w:line="240" w:lineRule="auto"/>
      </w:pPr>
      <w:r>
        <w:continuationSeparator/>
      </w:r>
    </w:p>
  </w:footnote>
  <w:footnote w:id="1">
    <w:p w14:paraId="5A1BC14B" w14:textId="7A8B65B3" w:rsidR="002A6D79" w:rsidRDefault="002A6D79" w:rsidP="002A6D79">
      <w:pPr>
        <w:pStyle w:val="FootnoteText"/>
      </w:pPr>
      <w:r>
        <w:rPr>
          <w:rStyle w:val="FootnoteReference"/>
        </w:rPr>
        <w:footnoteRef/>
      </w:r>
      <w:r>
        <w:t xml:space="preserve"> Abbreviations </w:t>
      </w:r>
      <w:r w:rsidR="008852EA">
        <w:t xml:space="preserve">used </w:t>
      </w:r>
      <w:r>
        <w:t>in the executive summary are defined throughout the context of this letter of advice.</w:t>
      </w:r>
    </w:p>
  </w:footnote>
  <w:footnote w:id="2">
    <w:p w14:paraId="7B8EBD03" w14:textId="7507A109" w:rsidR="00BC17EC" w:rsidRDefault="00BC17EC" w:rsidP="001A6A68">
      <w:pPr>
        <w:pStyle w:val="FootnoteText"/>
        <w:tabs>
          <w:tab w:val="left" w:pos="284"/>
        </w:tabs>
        <w:ind w:left="284" w:hanging="284"/>
        <w:jc w:val="both"/>
      </w:pPr>
      <w:r>
        <w:rPr>
          <w:rStyle w:val="FootnoteReference"/>
        </w:rPr>
        <w:footnoteRef/>
      </w:r>
      <w:r>
        <w:t xml:space="preserve"> </w:t>
      </w:r>
      <w:r w:rsidR="001A6A68">
        <w:tab/>
      </w:r>
      <w:r>
        <w:t xml:space="preserve">Although under certain circumstances, </w:t>
      </w:r>
      <w:r w:rsidR="00BF0617">
        <w:t xml:space="preserve">simplified procedure under Article 38 of the Romanian IA may apply, based on the information available, it does not appear that Efwon Romania </w:t>
      </w:r>
      <w:r w:rsidR="00BC237E">
        <w:t>is qualified for the simplified procedure.</w:t>
      </w:r>
    </w:p>
  </w:footnote>
  <w:footnote w:id="3">
    <w:p w14:paraId="5B0B86CC" w14:textId="5AA12CC1" w:rsidR="00133AE7" w:rsidRDefault="00133AE7" w:rsidP="00C55A62">
      <w:pPr>
        <w:pStyle w:val="FootnoteText"/>
        <w:tabs>
          <w:tab w:val="left" w:pos="284"/>
        </w:tabs>
        <w:ind w:left="284" w:hanging="284"/>
        <w:jc w:val="both"/>
      </w:pPr>
      <w:r>
        <w:rPr>
          <w:rStyle w:val="FootnoteReference"/>
        </w:rPr>
        <w:footnoteRef/>
      </w:r>
      <w:r>
        <w:t xml:space="preserve"> </w:t>
      </w:r>
      <w:r w:rsidR="001A6A68">
        <w:tab/>
      </w:r>
      <w:r w:rsidR="00F4644D" w:rsidRPr="00F4644D">
        <w:rPr>
          <w:i/>
          <w:iCs/>
        </w:rPr>
        <w:t>Law No 85/2014 on insolvency prevention and insolvency proceedings</w:t>
      </w:r>
      <w:r w:rsidR="001E63CE">
        <w:t>,</w:t>
      </w:r>
      <w:r w:rsidR="00F4644D" w:rsidRPr="00F4644D">
        <w:rPr>
          <w:i/>
          <w:iCs/>
        </w:rPr>
        <w:t xml:space="preserve"> </w:t>
      </w:r>
      <w:r w:rsidR="00DC6C7D">
        <w:t>a</w:t>
      </w:r>
      <w:r>
        <w:t>rt 66(1) and (9).</w:t>
      </w:r>
    </w:p>
  </w:footnote>
  <w:footnote w:id="4">
    <w:p w14:paraId="0B58249A" w14:textId="3AB12DFD" w:rsidR="003559BD" w:rsidRDefault="003559BD" w:rsidP="00C55A62">
      <w:pPr>
        <w:pStyle w:val="FootnoteText"/>
        <w:tabs>
          <w:tab w:val="left" w:pos="284"/>
        </w:tabs>
        <w:ind w:left="284" w:hanging="284"/>
        <w:jc w:val="both"/>
      </w:pPr>
      <w:r>
        <w:rPr>
          <w:rStyle w:val="FootnoteReference"/>
        </w:rPr>
        <w:footnoteRef/>
      </w:r>
      <w:r>
        <w:t xml:space="preserve"> </w:t>
      </w:r>
      <w:r w:rsidR="001A6A68">
        <w:tab/>
      </w:r>
      <w:r w:rsidR="00EC143E" w:rsidRPr="00EC143E">
        <w:rPr>
          <w:i/>
          <w:iCs/>
        </w:rPr>
        <w:t>Ibid</w:t>
      </w:r>
      <w:r w:rsidR="00EC143E">
        <w:t>, a</w:t>
      </w:r>
      <w:r>
        <w:t>rt 67(1)(g).</w:t>
      </w:r>
    </w:p>
  </w:footnote>
  <w:footnote w:id="5">
    <w:p w14:paraId="0038212D" w14:textId="194A9A6D" w:rsidR="00540A8E" w:rsidRDefault="00540A8E" w:rsidP="00C55A62">
      <w:pPr>
        <w:pStyle w:val="FootnoteText"/>
        <w:tabs>
          <w:tab w:val="left" w:pos="284"/>
        </w:tabs>
        <w:ind w:left="284" w:hanging="284"/>
        <w:jc w:val="both"/>
      </w:pPr>
      <w:r>
        <w:rPr>
          <w:rStyle w:val="FootnoteReference"/>
        </w:rPr>
        <w:footnoteRef/>
      </w:r>
      <w:r>
        <w:t xml:space="preserve"> </w:t>
      </w:r>
      <w:r w:rsidR="001A6A68">
        <w:tab/>
      </w:r>
      <w:r w:rsidR="0057774D">
        <w:rPr>
          <w:i/>
          <w:iCs/>
        </w:rPr>
        <w:t>I</w:t>
      </w:r>
      <w:r w:rsidR="0057774D" w:rsidRPr="00DB5F28">
        <w:rPr>
          <w:i/>
          <w:iCs/>
        </w:rPr>
        <w:t>bid</w:t>
      </w:r>
      <w:r w:rsidR="0057774D">
        <w:t>, art 5(67).</w:t>
      </w:r>
      <w:r w:rsidR="0060301C">
        <w:t xml:space="preserve">  </w:t>
      </w:r>
      <w:r w:rsidR="00B30252">
        <w:t xml:space="preserve">Definitive table of claims is the table that includes all the claims on the debtor’s assets at the date of the opening of the procedure.  </w:t>
      </w:r>
    </w:p>
  </w:footnote>
  <w:footnote w:id="6">
    <w:p w14:paraId="432AFC8F" w14:textId="6C75500E" w:rsidR="00B30252" w:rsidRDefault="00B30252" w:rsidP="00C55A62">
      <w:pPr>
        <w:pStyle w:val="FootnoteText"/>
        <w:tabs>
          <w:tab w:val="left" w:pos="284"/>
        </w:tabs>
        <w:ind w:left="284" w:hanging="284"/>
        <w:jc w:val="both"/>
      </w:pPr>
      <w:r>
        <w:rPr>
          <w:rStyle w:val="FootnoteReference"/>
        </w:rPr>
        <w:footnoteRef/>
      </w:r>
      <w:r>
        <w:t xml:space="preserve"> </w:t>
      </w:r>
      <w:r w:rsidR="001A6A68">
        <w:tab/>
      </w:r>
      <w:r w:rsidR="0060301C" w:rsidRPr="0060301C">
        <w:rPr>
          <w:i/>
          <w:iCs/>
        </w:rPr>
        <w:t>Ibid</w:t>
      </w:r>
      <w:r w:rsidR="0060301C">
        <w:t>, a</w:t>
      </w:r>
      <w:r>
        <w:t>rt 58(1)(d).</w:t>
      </w:r>
    </w:p>
  </w:footnote>
  <w:footnote w:id="7">
    <w:p w14:paraId="58A6A894" w14:textId="6A62F2C4" w:rsidR="003559BD" w:rsidRDefault="003559BD" w:rsidP="00C55A62">
      <w:pPr>
        <w:pStyle w:val="FootnoteText"/>
        <w:tabs>
          <w:tab w:val="left" w:pos="284"/>
        </w:tabs>
        <w:ind w:left="284" w:hanging="284"/>
        <w:jc w:val="both"/>
      </w:pPr>
      <w:r>
        <w:rPr>
          <w:rStyle w:val="FootnoteReference"/>
        </w:rPr>
        <w:footnoteRef/>
      </w:r>
      <w:r>
        <w:t xml:space="preserve"> </w:t>
      </w:r>
      <w:r w:rsidR="001A6A68">
        <w:tab/>
      </w:r>
      <w:r w:rsidR="0060301C" w:rsidRPr="0060301C">
        <w:rPr>
          <w:i/>
          <w:iCs/>
        </w:rPr>
        <w:t>Ibid</w:t>
      </w:r>
      <w:r w:rsidR="0060301C">
        <w:t>, a</w:t>
      </w:r>
      <w:r>
        <w:t>rt 138.</w:t>
      </w:r>
    </w:p>
  </w:footnote>
  <w:footnote w:id="8">
    <w:p w14:paraId="7C14C422" w14:textId="05848A05" w:rsidR="003559BD" w:rsidRPr="002E481B" w:rsidRDefault="003559BD" w:rsidP="00C55A62">
      <w:pPr>
        <w:pStyle w:val="FootnoteText"/>
        <w:tabs>
          <w:tab w:val="left" w:pos="284"/>
        </w:tabs>
        <w:ind w:left="284" w:hanging="284"/>
        <w:jc w:val="both"/>
      </w:pPr>
      <w:r>
        <w:rPr>
          <w:rStyle w:val="FootnoteReference"/>
        </w:rPr>
        <w:footnoteRef/>
      </w:r>
      <w:r>
        <w:t xml:space="preserve"> </w:t>
      </w:r>
      <w:r w:rsidR="001A6A68">
        <w:tab/>
      </w:r>
      <w:r w:rsidR="0060301C" w:rsidRPr="0060301C">
        <w:rPr>
          <w:i/>
          <w:iCs/>
        </w:rPr>
        <w:t>Ibid</w:t>
      </w:r>
      <w:r w:rsidR="0060301C">
        <w:t>, art</w:t>
      </w:r>
      <w:r w:rsidR="0060301C" w:rsidRPr="002E481B">
        <w:t xml:space="preserve"> </w:t>
      </w:r>
      <w:r w:rsidRPr="002E481B">
        <w:t>75.</w:t>
      </w:r>
    </w:p>
  </w:footnote>
  <w:footnote w:id="9">
    <w:p w14:paraId="46EB534B" w14:textId="37CF674A" w:rsidR="004B3D15" w:rsidRPr="002E481B" w:rsidRDefault="004B3D15" w:rsidP="00C55A62">
      <w:pPr>
        <w:pStyle w:val="FootnoteText"/>
        <w:tabs>
          <w:tab w:val="left" w:pos="284"/>
        </w:tabs>
        <w:ind w:left="284" w:hanging="284"/>
        <w:jc w:val="both"/>
      </w:pPr>
      <w:r w:rsidRPr="002E481B">
        <w:rPr>
          <w:rStyle w:val="FootnoteReference"/>
        </w:rPr>
        <w:footnoteRef/>
      </w:r>
      <w:r w:rsidRPr="002E481B">
        <w:t xml:space="preserve"> </w:t>
      </w:r>
      <w:r w:rsidR="001A6A68">
        <w:tab/>
      </w:r>
      <w:r w:rsidR="0060301C" w:rsidRPr="0060301C">
        <w:rPr>
          <w:i/>
          <w:iCs/>
        </w:rPr>
        <w:t>Ibid</w:t>
      </w:r>
      <w:r w:rsidR="0060301C">
        <w:t>, art</w:t>
      </w:r>
      <w:r w:rsidR="0060301C" w:rsidRPr="002E481B">
        <w:t xml:space="preserve"> </w:t>
      </w:r>
      <w:r w:rsidRPr="002E481B">
        <w:t>80.</w:t>
      </w:r>
    </w:p>
  </w:footnote>
  <w:footnote w:id="10">
    <w:p w14:paraId="5EB8A372" w14:textId="7CB9F6A2" w:rsidR="002E481B" w:rsidRDefault="002E481B" w:rsidP="00C55A62">
      <w:pPr>
        <w:pStyle w:val="FootnoteText"/>
        <w:tabs>
          <w:tab w:val="left" w:pos="284"/>
        </w:tabs>
        <w:ind w:left="284" w:hanging="284"/>
        <w:jc w:val="both"/>
      </w:pPr>
      <w:r w:rsidRPr="002E481B">
        <w:rPr>
          <w:rStyle w:val="FootnoteReference"/>
        </w:rPr>
        <w:footnoteRef/>
      </w:r>
      <w:r w:rsidRPr="002E481B">
        <w:t xml:space="preserve"> </w:t>
      </w:r>
      <w:r w:rsidR="001A6A68">
        <w:tab/>
      </w:r>
      <w:r w:rsidR="0060301C" w:rsidRPr="0060301C">
        <w:rPr>
          <w:i/>
          <w:iCs/>
        </w:rPr>
        <w:t>Ibid</w:t>
      </w:r>
      <w:r w:rsidR="0060301C">
        <w:t>, arts</w:t>
      </w:r>
      <w:r w:rsidR="0060301C" w:rsidRPr="002E481B">
        <w:t xml:space="preserve"> </w:t>
      </w:r>
      <w:r w:rsidRPr="002E481B">
        <w:t>87 and 141.</w:t>
      </w:r>
    </w:p>
  </w:footnote>
  <w:footnote w:id="11">
    <w:p w14:paraId="6A46B6E3" w14:textId="42FD593F" w:rsidR="003559BD" w:rsidRDefault="003559BD" w:rsidP="00C55A62">
      <w:pPr>
        <w:pStyle w:val="FootnoteText"/>
        <w:tabs>
          <w:tab w:val="left" w:pos="284"/>
        </w:tabs>
        <w:ind w:left="284" w:hanging="284"/>
        <w:jc w:val="both"/>
      </w:pPr>
      <w:r>
        <w:rPr>
          <w:rStyle w:val="FootnoteReference"/>
        </w:rPr>
        <w:footnoteRef/>
      </w:r>
      <w:r>
        <w:t xml:space="preserve"> </w:t>
      </w:r>
      <w:r w:rsidR="001A6A68">
        <w:tab/>
      </w:r>
      <w:r w:rsidR="0060301C" w:rsidRPr="0060301C">
        <w:rPr>
          <w:i/>
          <w:iCs/>
        </w:rPr>
        <w:t>Ibid</w:t>
      </w:r>
      <w:r w:rsidR="0060301C">
        <w:t>, art</w:t>
      </w:r>
      <w:r>
        <w:t xml:space="preserve"> 87(4).</w:t>
      </w:r>
    </w:p>
  </w:footnote>
  <w:footnote w:id="12">
    <w:p w14:paraId="6DC9A43A" w14:textId="4BFD12D2" w:rsidR="003559BD" w:rsidRDefault="003559BD" w:rsidP="00C55A62">
      <w:pPr>
        <w:pStyle w:val="FootnoteText"/>
        <w:tabs>
          <w:tab w:val="left" w:pos="284"/>
        </w:tabs>
        <w:ind w:left="284" w:hanging="284"/>
        <w:jc w:val="both"/>
      </w:pPr>
      <w:r>
        <w:rPr>
          <w:rStyle w:val="FootnoteReference"/>
        </w:rPr>
        <w:footnoteRef/>
      </w:r>
      <w:r>
        <w:t xml:space="preserve"> </w:t>
      </w:r>
      <w:r w:rsidR="001A6A68">
        <w:tab/>
      </w:r>
      <w:r w:rsidR="0060301C" w:rsidRPr="0060301C">
        <w:rPr>
          <w:i/>
          <w:iCs/>
        </w:rPr>
        <w:t>Ibid</w:t>
      </w:r>
      <w:r w:rsidR="0060301C">
        <w:t>, art</w:t>
      </w:r>
      <w:r>
        <w:t xml:space="preserve"> 138.</w:t>
      </w:r>
    </w:p>
  </w:footnote>
  <w:footnote w:id="13">
    <w:p w14:paraId="105570C8" w14:textId="6571D264" w:rsidR="00291940" w:rsidRDefault="00291940" w:rsidP="00C55A62">
      <w:pPr>
        <w:pStyle w:val="FootnoteText"/>
        <w:tabs>
          <w:tab w:val="left" w:pos="284"/>
        </w:tabs>
        <w:ind w:left="284" w:hanging="284"/>
        <w:jc w:val="both"/>
      </w:pPr>
      <w:r>
        <w:rPr>
          <w:rStyle w:val="FootnoteReference"/>
        </w:rPr>
        <w:footnoteRef/>
      </w:r>
      <w:r>
        <w:t xml:space="preserve"> </w:t>
      </w:r>
      <w:r w:rsidR="009F0F84">
        <w:tab/>
      </w:r>
      <w:r w:rsidR="00426EF3" w:rsidRPr="00426EF3">
        <w:rPr>
          <w:i/>
          <w:iCs/>
        </w:rPr>
        <w:t>Insolvency Act 1986</w:t>
      </w:r>
      <w:r w:rsidR="00F4644D">
        <w:rPr>
          <w:i/>
          <w:iCs/>
        </w:rPr>
        <w:t xml:space="preserve"> (UK)</w:t>
      </w:r>
      <w:r w:rsidR="001E63CE">
        <w:t xml:space="preserve">, </w:t>
      </w:r>
      <w:r w:rsidR="00DE46D5">
        <w:t>s</w:t>
      </w:r>
      <w:r>
        <w:t xml:space="preserve"> 1(1).</w:t>
      </w:r>
    </w:p>
  </w:footnote>
  <w:footnote w:id="14">
    <w:p w14:paraId="2C337660" w14:textId="183FE9B6" w:rsidR="001B2E97" w:rsidRDefault="001B2E97" w:rsidP="00C55A62">
      <w:pPr>
        <w:pStyle w:val="FootnoteText"/>
        <w:tabs>
          <w:tab w:val="left" w:pos="284"/>
        </w:tabs>
        <w:ind w:left="284" w:hanging="284"/>
        <w:jc w:val="both"/>
      </w:pPr>
      <w:r>
        <w:rPr>
          <w:rStyle w:val="FootnoteReference"/>
        </w:rPr>
        <w:footnoteRef/>
      </w:r>
      <w:r>
        <w:t xml:space="preserve"> </w:t>
      </w:r>
      <w:r w:rsidR="009F0F84">
        <w:tab/>
      </w:r>
      <w:r w:rsidR="008C61B4" w:rsidRPr="008C61B4">
        <w:rPr>
          <w:i/>
          <w:iCs/>
        </w:rPr>
        <w:t>Ibid</w:t>
      </w:r>
      <w:r w:rsidR="004C369C">
        <w:t>.</w:t>
      </w:r>
    </w:p>
  </w:footnote>
  <w:footnote w:id="15">
    <w:p w14:paraId="7E719CB6" w14:textId="5A046F76" w:rsidR="00500B64" w:rsidRDefault="00500B64" w:rsidP="00C55A62">
      <w:pPr>
        <w:pStyle w:val="FootnoteText"/>
        <w:tabs>
          <w:tab w:val="left" w:pos="284"/>
        </w:tabs>
        <w:ind w:left="284" w:hanging="284"/>
        <w:jc w:val="both"/>
      </w:pPr>
      <w:r>
        <w:rPr>
          <w:rStyle w:val="FootnoteReference"/>
        </w:rPr>
        <w:footnoteRef/>
      </w:r>
      <w:r>
        <w:t xml:space="preserve"> </w:t>
      </w:r>
      <w:r w:rsidR="009F0F84">
        <w:tab/>
      </w:r>
      <w:r w:rsidR="00076387" w:rsidRPr="00076387">
        <w:rPr>
          <w:i/>
          <w:iCs/>
        </w:rPr>
        <w:t>Ibid</w:t>
      </w:r>
      <w:r w:rsidR="00076387">
        <w:t xml:space="preserve">, s </w:t>
      </w:r>
      <w:r>
        <w:t>2(2).</w:t>
      </w:r>
    </w:p>
  </w:footnote>
  <w:footnote w:id="16">
    <w:p w14:paraId="7B2E3A08" w14:textId="04CF34E1" w:rsidR="001200C9" w:rsidRDefault="001200C9" w:rsidP="00C55A62">
      <w:pPr>
        <w:pStyle w:val="FootnoteText"/>
        <w:tabs>
          <w:tab w:val="left" w:pos="284"/>
        </w:tabs>
        <w:ind w:left="284" w:hanging="284"/>
        <w:jc w:val="both"/>
      </w:pPr>
      <w:r>
        <w:rPr>
          <w:rStyle w:val="FootnoteReference"/>
        </w:rPr>
        <w:footnoteRef/>
      </w:r>
      <w:r>
        <w:t xml:space="preserve"> </w:t>
      </w:r>
      <w:r w:rsidR="009F0F84">
        <w:tab/>
      </w:r>
      <w:r w:rsidR="00076387" w:rsidRPr="00076387">
        <w:rPr>
          <w:i/>
          <w:iCs/>
        </w:rPr>
        <w:t>Ibid</w:t>
      </w:r>
      <w:r w:rsidR="00076387">
        <w:t xml:space="preserve">, s </w:t>
      </w:r>
      <w:r>
        <w:t>(3).</w:t>
      </w:r>
    </w:p>
  </w:footnote>
  <w:footnote w:id="17">
    <w:p w14:paraId="7855FD95" w14:textId="1BFBB023" w:rsidR="00DA00A1" w:rsidRDefault="00DA00A1" w:rsidP="00C55A62">
      <w:pPr>
        <w:pStyle w:val="FootnoteText"/>
        <w:tabs>
          <w:tab w:val="left" w:pos="284"/>
        </w:tabs>
        <w:ind w:left="284" w:hanging="284"/>
        <w:jc w:val="both"/>
      </w:pPr>
      <w:r>
        <w:rPr>
          <w:rStyle w:val="FootnoteReference"/>
        </w:rPr>
        <w:footnoteRef/>
      </w:r>
      <w:r>
        <w:t xml:space="preserve"> </w:t>
      </w:r>
      <w:r w:rsidR="009F0F84">
        <w:tab/>
      </w:r>
      <w:r w:rsidR="004939AC" w:rsidRPr="00076387">
        <w:rPr>
          <w:i/>
          <w:iCs/>
        </w:rPr>
        <w:t>Ibid</w:t>
      </w:r>
      <w:r w:rsidR="004939AC">
        <w:t xml:space="preserve">, s </w:t>
      </w:r>
      <w:r>
        <w:t>(5).</w:t>
      </w:r>
    </w:p>
  </w:footnote>
  <w:footnote w:id="18">
    <w:p w14:paraId="3B31D3EA" w14:textId="6EF9309C" w:rsidR="00866A20" w:rsidRDefault="00866A20" w:rsidP="00C55A62">
      <w:pPr>
        <w:pStyle w:val="FootnoteText"/>
        <w:tabs>
          <w:tab w:val="left" w:pos="284"/>
        </w:tabs>
        <w:ind w:left="284" w:hanging="284"/>
        <w:jc w:val="both"/>
      </w:pPr>
      <w:r>
        <w:rPr>
          <w:rStyle w:val="FootnoteReference"/>
        </w:rPr>
        <w:footnoteRef/>
      </w:r>
      <w:r>
        <w:t xml:space="preserve"> </w:t>
      </w:r>
      <w:r w:rsidR="009F0F84">
        <w:tab/>
      </w:r>
      <w:r w:rsidR="004939AC" w:rsidRPr="00076387">
        <w:rPr>
          <w:i/>
          <w:iCs/>
        </w:rPr>
        <w:t>Ibid</w:t>
      </w:r>
      <w:r w:rsidR="004939AC">
        <w:t xml:space="preserve">, s </w:t>
      </w:r>
      <w:r>
        <w:t>4(3).</w:t>
      </w:r>
    </w:p>
  </w:footnote>
  <w:footnote w:id="19">
    <w:p w14:paraId="2A927B37" w14:textId="443EE588" w:rsidR="00F97FE7" w:rsidRDefault="00F97FE7" w:rsidP="00F97FE7">
      <w:pPr>
        <w:pStyle w:val="FootnoteText"/>
        <w:tabs>
          <w:tab w:val="left" w:pos="284"/>
        </w:tabs>
        <w:ind w:left="284" w:hanging="284"/>
        <w:jc w:val="both"/>
      </w:pPr>
      <w:r>
        <w:rPr>
          <w:rStyle w:val="FootnoteReference"/>
        </w:rPr>
        <w:footnoteRef/>
      </w:r>
      <w:r>
        <w:t xml:space="preserve"> </w:t>
      </w:r>
      <w:r>
        <w:tab/>
        <w:t>A small company is one which, in a year, satisfi</w:t>
      </w:r>
      <w:r>
        <w:t>es</w:t>
      </w:r>
      <w:r>
        <w:t xml:space="preserve"> two or more of the requirements, being</w:t>
      </w:r>
      <w:r>
        <w:t>:</w:t>
      </w:r>
      <w:r>
        <w:t xml:space="preserve"> </w:t>
      </w:r>
    </w:p>
    <w:p w14:paraId="508DAC72" w14:textId="77777777" w:rsidR="00F97FE7" w:rsidRDefault="00F97FE7" w:rsidP="00F97FE7">
      <w:pPr>
        <w:pStyle w:val="FootnoteText"/>
        <w:numPr>
          <w:ilvl w:val="0"/>
          <w:numId w:val="12"/>
        </w:numPr>
        <w:tabs>
          <w:tab w:val="left" w:pos="284"/>
        </w:tabs>
        <w:ind w:left="709" w:hanging="425"/>
        <w:jc w:val="both"/>
      </w:pPr>
      <w:r>
        <w:t xml:space="preserve">turnover not more than GBP10.2 million; </w:t>
      </w:r>
    </w:p>
    <w:p w14:paraId="661D657B" w14:textId="77777777" w:rsidR="00F97FE7" w:rsidRDefault="00F97FE7" w:rsidP="00F97FE7">
      <w:pPr>
        <w:pStyle w:val="FootnoteText"/>
        <w:numPr>
          <w:ilvl w:val="0"/>
          <w:numId w:val="12"/>
        </w:numPr>
        <w:tabs>
          <w:tab w:val="left" w:pos="284"/>
        </w:tabs>
        <w:ind w:left="709" w:hanging="425"/>
        <w:jc w:val="both"/>
      </w:pPr>
      <w:r>
        <w:t xml:space="preserve">balance sheet total not more than GBP5.1 million; or </w:t>
      </w:r>
    </w:p>
    <w:p w14:paraId="10CB183F" w14:textId="77777777" w:rsidR="00F97FE7" w:rsidRDefault="00F97FE7" w:rsidP="00F97FE7">
      <w:pPr>
        <w:pStyle w:val="FootnoteText"/>
        <w:numPr>
          <w:ilvl w:val="0"/>
          <w:numId w:val="12"/>
        </w:numPr>
        <w:tabs>
          <w:tab w:val="left" w:pos="284"/>
        </w:tabs>
        <w:ind w:left="709" w:hanging="425"/>
        <w:jc w:val="both"/>
      </w:pPr>
      <w:r>
        <w:t xml:space="preserve">number of employees not more than 50. </w:t>
      </w:r>
    </w:p>
  </w:footnote>
  <w:footnote w:id="20">
    <w:p w14:paraId="1B60B971" w14:textId="086FB232" w:rsidR="00E21859" w:rsidRDefault="00E21859" w:rsidP="00C55A62">
      <w:pPr>
        <w:pStyle w:val="FootnoteText"/>
        <w:tabs>
          <w:tab w:val="left" w:pos="284"/>
        </w:tabs>
        <w:ind w:left="284" w:hanging="284"/>
        <w:jc w:val="both"/>
      </w:pPr>
      <w:r>
        <w:rPr>
          <w:rStyle w:val="FootnoteReference"/>
        </w:rPr>
        <w:footnoteRef/>
      </w:r>
      <w:r>
        <w:t xml:space="preserve"> </w:t>
      </w:r>
      <w:r w:rsidR="009F0F84">
        <w:tab/>
      </w:r>
      <w:r w:rsidR="00D16D8F" w:rsidRPr="002E44BE">
        <w:rPr>
          <w:i/>
          <w:iCs/>
        </w:rPr>
        <w:t>Supra</w:t>
      </w:r>
      <w:r w:rsidR="00D16D8F">
        <w:t xml:space="preserve">, </w:t>
      </w:r>
      <w:r w:rsidR="002E44BE">
        <w:t xml:space="preserve">note </w:t>
      </w:r>
      <w:r w:rsidR="002E44BE">
        <w:fldChar w:fldCharType="begin"/>
      </w:r>
      <w:r w:rsidR="002E44BE">
        <w:instrText xml:space="preserve"> NOTEREF _Ref142488000 \h </w:instrText>
      </w:r>
      <w:r w:rsidR="002E44BE">
        <w:fldChar w:fldCharType="separate"/>
      </w:r>
      <w:r w:rsidR="00BC04D7">
        <w:t>18</w:t>
      </w:r>
      <w:r w:rsidR="002E44BE">
        <w:fldChar w:fldCharType="end"/>
      </w:r>
      <w:r w:rsidR="002E44BE">
        <w:t xml:space="preserve">, s </w:t>
      </w:r>
      <w:r>
        <w:t>6.</w:t>
      </w:r>
    </w:p>
  </w:footnote>
  <w:footnote w:id="21">
    <w:p w14:paraId="36C6F7D5" w14:textId="077F0E21" w:rsidR="007735F4" w:rsidRDefault="007735F4" w:rsidP="00C55A62">
      <w:pPr>
        <w:pStyle w:val="FootnoteText"/>
        <w:tabs>
          <w:tab w:val="left" w:pos="284"/>
        </w:tabs>
        <w:ind w:left="284" w:hanging="284"/>
        <w:jc w:val="both"/>
      </w:pPr>
      <w:r>
        <w:rPr>
          <w:rStyle w:val="FootnoteReference"/>
        </w:rPr>
        <w:footnoteRef/>
      </w:r>
      <w:r>
        <w:t xml:space="preserve"> </w:t>
      </w:r>
      <w:r w:rsidR="009F0F84">
        <w:tab/>
      </w:r>
      <w:r w:rsidR="00534432" w:rsidRPr="00380B60">
        <w:rPr>
          <w:i/>
          <w:iCs/>
        </w:rPr>
        <w:t>Ibid</w:t>
      </w:r>
      <w:r w:rsidR="00534432">
        <w:t>, s</w:t>
      </w:r>
      <w:r>
        <w:t xml:space="preserve">ch B1, </w:t>
      </w:r>
      <w:r w:rsidR="007134ED">
        <w:t>p</w:t>
      </w:r>
      <w:r>
        <w:t>ara 3(1).</w:t>
      </w:r>
    </w:p>
  </w:footnote>
  <w:footnote w:id="22">
    <w:p w14:paraId="320B01B5" w14:textId="19216B33" w:rsidR="00504983" w:rsidRDefault="00504983" w:rsidP="00C55A62">
      <w:pPr>
        <w:pStyle w:val="FootnoteText"/>
        <w:tabs>
          <w:tab w:val="left" w:pos="284"/>
        </w:tabs>
        <w:ind w:left="284" w:hanging="284"/>
        <w:jc w:val="both"/>
      </w:pPr>
      <w:r>
        <w:rPr>
          <w:rStyle w:val="FootnoteReference"/>
        </w:rPr>
        <w:footnoteRef/>
      </w:r>
      <w:r>
        <w:t xml:space="preserve"> </w:t>
      </w:r>
      <w:r w:rsidR="009F0F84">
        <w:tab/>
      </w:r>
      <w:r w:rsidR="00380B60" w:rsidRPr="00380B60">
        <w:rPr>
          <w:i/>
          <w:iCs/>
        </w:rPr>
        <w:t>Ibid</w:t>
      </w:r>
      <w:r w:rsidR="00380B60">
        <w:t>, p</w:t>
      </w:r>
      <w:r w:rsidRPr="00697757">
        <w:t>ara</w:t>
      </w:r>
      <w:r w:rsidR="00380B60">
        <w:t>s</w:t>
      </w:r>
      <w:r w:rsidRPr="00697757">
        <w:t xml:space="preserve"> 2</w:t>
      </w:r>
      <w:r>
        <w:t>2</w:t>
      </w:r>
      <w:r w:rsidR="003B0F34">
        <w:t xml:space="preserve"> and 29</w:t>
      </w:r>
      <w:r w:rsidRPr="00697757">
        <w:t xml:space="preserve">.  </w:t>
      </w:r>
    </w:p>
  </w:footnote>
  <w:footnote w:id="23">
    <w:p w14:paraId="53CC2E00" w14:textId="2BDA7F07" w:rsidR="006359A9" w:rsidRDefault="006359A9" w:rsidP="00C55A62">
      <w:pPr>
        <w:pStyle w:val="FootnoteText"/>
        <w:tabs>
          <w:tab w:val="left" w:pos="284"/>
        </w:tabs>
        <w:ind w:left="284" w:hanging="284"/>
        <w:jc w:val="both"/>
      </w:pPr>
      <w:r>
        <w:rPr>
          <w:rStyle w:val="FootnoteReference"/>
        </w:rPr>
        <w:footnoteRef/>
      </w:r>
      <w:r>
        <w:t xml:space="preserve"> </w:t>
      </w:r>
      <w:r w:rsidR="009F0F84">
        <w:tab/>
      </w:r>
      <w:r w:rsidR="00A86E10" w:rsidRPr="00380B60">
        <w:rPr>
          <w:i/>
          <w:iCs/>
        </w:rPr>
        <w:t>Ibid</w:t>
      </w:r>
      <w:r w:rsidR="00A86E10">
        <w:t>, p</w:t>
      </w:r>
      <w:r w:rsidR="00A86E10" w:rsidRPr="00697757">
        <w:t>ara</w:t>
      </w:r>
      <w:r>
        <w:t xml:space="preserve"> 49.</w:t>
      </w:r>
    </w:p>
  </w:footnote>
  <w:footnote w:id="24">
    <w:p w14:paraId="423C1529" w14:textId="7A38D8D6" w:rsidR="00F51CC2" w:rsidRDefault="00F51CC2" w:rsidP="00C55A62">
      <w:pPr>
        <w:pStyle w:val="FootnoteText"/>
        <w:tabs>
          <w:tab w:val="left" w:pos="284"/>
        </w:tabs>
        <w:ind w:left="284" w:hanging="284"/>
        <w:jc w:val="both"/>
      </w:pPr>
      <w:r>
        <w:rPr>
          <w:rStyle w:val="FootnoteReference"/>
        </w:rPr>
        <w:footnoteRef/>
      </w:r>
      <w:r>
        <w:t xml:space="preserve"> </w:t>
      </w:r>
      <w:r w:rsidR="009F0F84">
        <w:tab/>
      </w:r>
      <w:r w:rsidR="00A86E10" w:rsidRPr="00380B60">
        <w:rPr>
          <w:i/>
          <w:iCs/>
        </w:rPr>
        <w:t>Ibid</w:t>
      </w:r>
      <w:r w:rsidR="00A86E10">
        <w:t>, p</w:t>
      </w:r>
      <w:r w:rsidR="00A86E10" w:rsidRPr="00697757">
        <w:t>ara</w:t>
      </w:r>
      <w:r>
        <w:t xml:space="preserve"> 51.</w:t>
      </w:r>
    </w:p>
  </w:footnote>
  <w:footnote w:id="25">
    <w:p w14:paraId="58854A78" w14:textId="115552F9" w:rsidR="00602403" w:rsidRDefault="00602403" w:rsidP="00C55A62">
      <w:pPr>
        <w:pStyle w:val="FootnoteText"/>
        <w:tabs>
          <w:tab w:val="left" w:pos="284"/>
        </w:tabs>
        <w:ind w:left="284" w:hanging="284"/>
        <w:jc w:val="both"/>
      </w:pPr>
      <w:r>
        <w:rPr>
          <w:rStyle w:val="FootnoteReference"/>
        </w:rPr>
        <w:footnoteRef/>
      </w:r>
      <w:r>
        <w:t xml:space="preserve"> </w:t>
      </w:r>
      <w:r w:rsidR="009F0F84">
        <w:tab/>
      </w:r>
      <w:r w:rsidR="00D87111" w:rsidRPr="00380B60">
        <w:rPr>
          <w:i/>
          <w:iCs/>
        </w:rPr>
        <w:t>Ibid</w:t>
      </w:r>
      <w:r w:rsidR="00D87111">
        <w:t>, p</w:t>
      </w:r>
      <w:r w:rsidR="00D87111" w:rsidRPr="00697757">
        <w:t>ara</w:t>
      </w:r>
      <w:r w:rsidR="00D87111">
        <w:t xml:space="preserve"> </w:t>
      </w:r>
      <w:r>
        <w:t>80.</w:t>
      </w:r>
    </w:p>
  </w:footnote>
  <w:footnote w:id="26">
    <w:p w14:paraId="30B09552" w14:textId="7025DD16" w:rsidR="002729F9" w:rsidRDefault="002729F9" w:rsidP="00C55A62">
      <w:pPr>
        <w:pStyle w:val="FootnoteText"/>
        <w:tabs>
          <w:tab w:val="left" w:pos="284"/>
        </w:tabs>
        <w:ind w:left="284" w:hanging="284"/>
        <w:jc w:val="both"/>
      </w:pPr>
      <w:r>
        <w:rPr>
          <w:rStyle w:val="FootnoteReference"/>
        </w:rPr>
        <w:footnoteRef/>
      </w:r>
      <w:r>
        <w:t xml:space="preserve"> </w:t>
      </w:r>
      <w:r w:rsidR="009F0F84">
        <w:tab/>
      </w:r>
      <w:r w:rsidR="00CC1F14" w:rsidRPr="00380B60">
        <w:rPr>
          <w:i/>
          <w:iCs/>
        </w:rPr>
        <w:t>Ibid</w:t>
      </w:r>
      <w:r w:rsidR="00CC1F14">
        <w:t>, p</w:t>
      </w:r>
      <w:r w:rsidR="00CC1F14" w:rsidRPr="00697757">
        <w:t>ara</w:t>
      </w:r>
      <w:r w:rsidR="00CC1F14">
        <w:t xml:space="preserve">s </w:t>
      </w:r>
      <w:r>
        <w:t>59 and 68.</w:t>
      </w:r>
    </w:p>
  </w:footnote>
  <w:footnote w:id="27">
    <w:p w14:paraId="723E28A5" w14:textId="0516A9A4" w:rsidR="00D8659A" w:rsidRDefault="00D8659A" w:rsidP="00C55A62">
      <w:pPr>
        <w:pStyle w:val="FootnoteText"/>
        <w:tabs>
          <w:tab w:val="left" w:pos="284"/>
        </w:tabs>
        <w:ind w:left="284" w:hanging="284"/>
        <w:jc w:val="both"/>
      </w:pPr>
      <w:r>
        <w:rPr>
          <w:rStyle w:val="FootnoteReference"/>
        </w:rPr>
        <w:footnoteRef/>
      </w:r>
      <w:r>
        <w:t xml:space="preserve"> </w:t>
      </w:r>
      <w:r w:rsidR="009F0F84">
        <w:tab/>
      </w:r>
      <w:r w:rsidR="00CC1F14" w:rsidRPr="00380B60">
        <w:rPr>
          <w:i/>
          <w:iCs/>
        </w:rPr>
        <w:t>Ibid</w:t>
      </w:r>
      <w:r w:rsidR="00CC1F14">
        <w:t>, p</w:t>
      </w:r>
      <w:r w:rsidR="00CC1F14" w:rsidRPr="00697757">
        <w:t>ara</w:t>
      </w:r>
      <w:r w:rsidR="00CC1F14">
        <w:t xml:space="preserve"> </w:t>
      </w:r>
      <w:r>
        <w:t>67.</w:t>
      </w:r>
    </w:p>
  </w:footnote>
  <w:footnote w:id="28">
    <w:p w14:paraId="580A308E" w14:textId="118DCBE9" w:rsidR="00C16DFB" w:rsidRDefault="00C16DFB" w:rsidP="00C55A62">
      <w:pPr>
        <w:pStyle w:val="FootnoteText"/>
        <w:tabs>
          <w:tab w:val="left" w:pos="284"/>
        </w:tabs>
        <w:ind w:left="284" w:hanging="284"/>
        <w:jc w:val="both"/>
      </w:pPr>
      <w:r>
        <w:rPr>
          <w:rStyle w:val="FootnoteReference"/>
        </w:rPr>
        <w:footnoteRef/>
      </w:r>
      <w:r>
        <w:t xml:space="preserve"> </w:t>
      </w:r>
      <w:r w:rsidR="009F0F84">
        <w:tab/>
      </w:r>
      <w:r w:rsidR="00524978" w:rsidRPr="00380B60">
        <w:rPr>
          <w:i/>
          <w:iCs/>
        </w:rPr>
        <w:t>Ibid</w:t>
      </w:r>
      <w:r w:rsidR="00524978">
        <w:t>, p</w:t>
      </w:r>
      <w:r w:rsidR="00524978" w:rsidRPr="00697757">
        <w:t>ara</w:t>
      </w:r>
      <w:r w:rsidR="00524978">
        <w:t xml:space="preserve"> </w:t>
      </w:r>
      <w:r>
        <w:t>64.</w:t>
      </w:r>
    </w:p>
  </w:footnote>
  <w:footnote w:id="29">
    <w:p w14:paraId="74BDBB56" w14:textId="776A326D" w:rsidR="00B17276" w:rsidRDefault="00B17276" w:rsidP="00C55A62">
      <w:pPr>
        <w:pStyle w:val="FootnoteText"/>
        <w:tabs>
          <w:tab w:val="left" w:pos="284"/>
        </w:tabs>
        <w:ind w:left="284" w:hanging="284"/>
        <w:jc w:val="both"/>
      </w:pPr>
      <w:r>
        <w:rPr>
          <w:rStyle w:val="FootnoteReference"/>
        </w:rPr>
        <w:footnoteRef/>
      </w:r>
      <w:r>
        <w:t xml:space="preserve"> </w:t>
      </w:r>
      <w:r w:rsidR="009F0F84">
        <w:tab/>
      </w:r>
      <w:r w:rsidR="00524978" w:rsidRPr="00380B60">
        <w:rPr>
          <w:i/>
          <w:iCs/>
        </w:rPr>
        <w:t>Ibid</w:t>
      </w:r>
      <w:r w:rsidR="00524978">
        <w:t>, p</w:t>
      </w:r>
      <w:r w:rsidR="00524978" w:rsidRPr="00697757">
        <w:t>ara</w:t>
      </w:r>
      <w:r>
        <w:t xml:space="preserve"> 61.</w:t>
      </w:r>
    </w:p>
  </w:footnote>
  <w:footnote w:id="30">
    <w:p w14:paraId="7F5475C2" w14:textId="42FF785C" w:rsidR="002F4A33" w:rsidRDefault="002F4A33" w:rsidP="00C55A62">
      <w:pPr>
        <w:pStyle w:val="FootnoteText"/>
        <w:tabs>
          <w:tab w:val="left" w:pos="284"/>
        </w:tabs>
        <w:ind w:left="284" w:hanging="284"/>
        <w:jc w:val="both"/>
      </w:pPr>
      <w:r>
        <w:rPr>
          <w:rStyle w:val="FootnoteReference"/>
        </w:rPr>
        <w:footnoteRef/>
      </w:r>
      <w:r>
        <w:t xml:space="preserve"> </w:t>
      </w:r>
      <w:r w:rsidR="009F0F84">
        <w:tab/>
      </w:r>
      <w:r w:rsidR="00524978" w:rsidRPr="00380B60">
        <w:rPr>
          <w:i/>
          <w:iCs/>
        </w:rPr>
        <w:t>Ibid</w:t>
      </w:r>
      <w:r w:rsidR="00524978">
        <w:t>, p</w:t>
      </w:r>
      <w:r w:rsidR="00524978" w:rsidRPr="00697757">
        <w:t>ara</w:t>
      </w:r>
      <w:r>
        <w:t xml:space="preserve"> 40.</w:t>
      </w:r>
    </w:p>
  </w:footnote>
  <w:footnote w:id="31">
    <w:p w14:paraId="4EB906BC" w14:textId="23780B13" w:rsidR="00650593" w:rsidRDefault="00650593" w:rsidP="00650593">
      <w:pPr>
        <w:pStyle w:val="FootnoteText"/>
        <w:tabs>
          <w:tab w:val="left" w:pos="284"/>
        </w:tabs>
        <w:ind w:left="284" w:hanging="284"/>
        <w:jc w:val="both"/>
      </w:pPr>
      <w:r>
        <w:rPr>
          <w:rStyle w:val="FootnoteReference"/>
        </w:rPr>
        <w:footnoteRef/>
      </w:r>
      <w:r>
        <w:t xml:space="preserve"> </w:t>
      </w:r>
      <w:r>
        <w:tab/>
      </w:r>
      <w:r w:rsidR="007F6D43" w:rsidRPr="002E44BE">
        <w:rPr>
          <w:i/>
          <w:iCs/>
        </w:rPr>
        <w:t>Supra</w:t>
      </w:r>
      <w:r w:rsidR="007F6D43">
        <w:t xml:space="preserve">, note </w:t>
      </w:r>
      <w:r w:rsidR="00F70EC7">
        <w:fldChar w:fldCharType="begin"/>
      </w:r>
      <w:r w:rsidR="00F70EC7">
        <w:instrText xml:space="preserve"> NOTEREF _Ref142488414 \h </w:instrText>
      </w:r>
      <w:r w:rsidR="00F70EC7">
        <w:fldChar w:fldCharType="separate"/>
      </w:r>
      <w:r w:rsidR="00BC04D7">
        <w:t>20</w:t>
      </w:r>
      <w:r w:rsidR="00F70EC7">
        <w:fldChar w:fldCharType="end"/>
      </w:r>
      <w:r w:rsidR="00F70EC7">
        <w:t xml:space="preserve">, s 29.  </w:t>
      </w:r>
      <w:r>
        <w:t xml:space="preserve">An administrative receiver is </w:t>
      </w:r>
      <w:r w:rsidR="00D50A21">
        <w:t>the</w:t>
      </w:r>
      <w:r>
        <w:t xml:space="preserve"> receiver or manager </w:t>
      </w:r>
      <w:r w:rsidR="00D50A21">
        <w:t>appointed over</w:t>
      </w:r>
      <w:r>
        <w:t xml:space="preserve"> the whole or substantially the whole of a company’s property which was created as a floating charge.  </w:t>
      </w:r>
    </w:p>
  </w:footnote>
  <w:footnote w:id="32">
    <w:p w14:paraId="42CFAEFB" w14:textId="20B0BA1A" w:rsidR="00716F76" w:rsidRDefault="00716F76" w:rsidP="00C55A62">
      <w:pPr>
        <w:pStyle w:val="FootnoteText"/>
        <w:tabs>
          <w:tab w:val="left" w:pos="284"/>
        </w:tabs>
        <w:ind w:left="284" w:hanging="284"/>
        <w:jc w:val="both"/>
      </w:pPr>
      <w:r>
        <w:rPr>
          <w:rStyle w:val="FootnoteReference"/>
        </w:rPr>
        <w:footnoteRef/>
      </w:r>
      <w:r>
        <w:t xml:space="preserve"> </w:t>
      </w:r>
      <w:r w:rsidR="009F0F84">
        <w:tab/>
      </w:r>
      <w:r w:rsidR="00997042" w:rsidRPr="002E44BE">
        <w:rPr>
          <w:i/>
          <w:iCs/>
        </w:rPr>
        <w:t>Supra</w:t>
      </w:r>
      <w:r w:rsidR="00997042">
        <w:t xml:space="preserve">, note </w:t>
      </w:r>
      <w:r w:rsidR="00997042">
        <w:fldChar w:fldCharType="begin"/>
      </w:r>
      <w:r w:rsidR="00997042">
        <w:instrText xml:space="preserve"> NOTEREF _Ref142488455 \h </w:instrText>
      </w:r>
      <w:r w:rsidR="00997042">
        <w:fldChar w:fldCharType="separate"/>
      </w:r>
      <w:r w:rsidR="00BC04D7">
        <w:t>30</w:t>
      </w:r>
      <w:r w:rsidR="00997042">
        <w:fldChar w:fldCharType="end"/>
      </w:r>
      <w:r w:rsidR="00997042">
        <w:t>, p</w:t>
      </w:r>
      <w:r>
        <w:t>ara 41(1).</w:t>
      </w:r>
    </w:p>
  </w:footnote>
  <w:footnote w:id="33">
    <w:p w14:paraId="15ADDD6A" w14:textId="498F81CB" w:rsidR="00912A16" w:rsidRDefault="00912A16" w:rsidP="00C55A62">
      <w:pPr>
        <w:pStyle w:val="FootnoteText"/>
        <w:tabs>
          <w:tab w:val="left" w:pos="284"/>
        </w:tabs>
        <w:ind w:left="284" w:hanging="284"/>
        <w:jc w:val="both"/>
      </w:pPr>
      <w:r>
        <w:rPr>
          <w:rStyle w:val="FootnoteReference"/>
        </w:rPr>
        <w:footnoteRef/>
      </w:r>
      <w:r>
        <w:t xml:space="preserve"> </w:t>
      </w:r>
      <w:r w:rsidR="009F0F84">
        <w:tab/>
      </w:r>
      <w:r w:rsidR="00046E15" w:rsidRPr="00046E15">
        <w:rPr>
          <w:i/>
          <w:iCs/>
        </w:rPr>
        <w:t>Ibid</w:t>
      </w:r>
      <w:r w:rsidR="00046E15">
        <w:t>, para</w:t>
      </w:r>
      <w:r>
        <w:t xml:space="preserve"> 41(2).</w:t>
      </w:r>
    </w:p>
  </w:footnote>
  <w:footnote w:id="34">
    <w:p w14:paraId="59E8BA09" w14:textId="2D57CB3F" w:rsidR="00E146D4" w:rsidRDefault="00E146D4" w:rsidP="00C55A62">
      <w:pPr>
        <w:pStyle w:val="FootnoteText"/>
        <w:tabs>
          <w:tab w:val="left" w:pos="284"/>
        </w:tabs>
        <w:ind w:left="284" w:hanging="284"/>
        <w:jc w:val="both"/>
      </w:pPr>
      <w:r>
        <w:rPr>
          <w:rStyle w:val="FootnoteReference"/>
        </w:rPr>
        <w:footnoteRef/>
      </w:r>
      <w:r>
        <w:t xml:space="preserve"> </w:t>
      </w:r>
      <w:r w:rsidR="009F0F84">
        <w:tab/>
      </w:r>
      <w:r w:rsidR="00CD5255" w:rsidRPr="00046E15">
        <w:rPr>
          <w:i/>
          <w:iCs/>
        </w:rPr>
        <w:t>Ibid</w:t>
      </w:r>
      <w:r w:rsidR="00CD5255">
        <w:t>, paras</w:t>
      </w:r>
      <w:r>
        <w:t xml:space="preserve"> 42 and 43.</w:t>
      </w:r>
    </w:p>
  </w:footnote>
  <w:footnote w:id="35">
    <w:p w14:paraId="0016B49A" w14:textId="1CA428F1" w:rsidR="004E7CDF" w:rsidRDefault="004E7CDF" w:rsidP="00C55A62">
      <w:pPr>
        <w:pStyle w:val="FootnoteText"/>
        <w:tabs>
          <w:tab w:val="left" w:pos="284"/>
        </w:tabs>
        <w:ind w:left="284" w:hanging="284"/>
        <w:jc w:val="both"/>
      </w:pPr>
      <w:r>
        <w:rPr>
          <w:rStyle w:val="FootnoteReference"/>
        </w:rPr>
        <w:footnoteRef/>
      </w:r>
      <w:r>
        <w:t xml:space="preserve"> </w:t>
      </w:r>
      <w:r w:rsidR="009F0F84">
        <w:tab/>
      </w:r>
      <w:r w:rsidR="00CD5255" w:rsidRPr="00046E15">
        <w:rPr>
          <w:i/>
          <w:iCs/>
        </w:rPr>
        <w:t>Ibid</w:t>
      </w:r>
      <w:r w:rsidR="00CD5255">
        <w:t xml:space="preserve">, para </w:t>
      </w:r>
      <w:r>
        <w:t>71.</w:t>
      </w:r>
    </w:p>
  </w:footnote>
  <w:footnote w:id="36">
    <w:p w14:paraId="7630E394" w14:textId="1043502D" w:rsidR="004E7CDF" w:rsidRDefault="004E7CDF" w:rsidP="00C55A62">
      <w:pPr>
        <w:pStyle w:val="FootnoteText"/>
        <w:tabs>
          <w:tab w:val="left" w:pos="284"/>
        </w:tabs>
        <w:ind w:left="284" w:hanging="284"/>
        <w:jc w:val="both"/>
      </w:pPr>
      <w:r>
        <w:rPr>
          <w:rStyle w:val="FootnoteReference"/>
        </w:rPr>
        <w:footnoteRef/>
      </w:r>
      <w:r>
        <w:t xml:space="preserve"> </w:t>
      </w:r>
      <w:r w:rsidR="009F0F84">
        <w:tab/>
      </w:r>
      <w:r w:rsidR="00CC017A" w:rsidRPr="00046E15">
        <w:rPr>
          <w:i/>
          <w:iCs/>
        </w:rPr>
        <w:t>Ibid</w:t>
      </w:r>
      <w:r w:rsidR="00CC017A">
        <w:t>, para</w:t>
      </w:r>
      <w:r>
        <w:t>s 14 and 26.</w:t>
      </w:r>
    </w:p>
  </w:footnote>
  <w:footnote w:id="37">
    <w:p w14:paraId="259567DF" w14:textId="56276FF9" w:rsidR="00AD2DD4" w:rsidRDefault="00AD2DD4" w:rsidP="00C55A62">
      <w:pPr>
        <w:pStyle w:val="FootnoteText"/>
        <w:tabs>
          <w:tab w:val="left" w:pos="284"/>
        </w:tabs>
        <w:ind w:left="284" w:hanging="284"/>
        <w:jc w:val="both"/>
      </w:pPr>
      <w:r>
        <w:rPr>
          <w:rStyle w:val="FootnoteReference"/>
        </w:rPr>
        <w:footnoteRef/>
      </w:r>
      <w:r>
        <w:t xml:space="preserve"> </w:t>
      </w:r>
      <w:r w:rsidR="009F0F84">
        <w:tab/>
      </w:r>
      <w:r w:rsidR="00A066A5" w:rsidRPr="00046E15">
        <w:rPr>
          <w:i/>
          <w:iCs/>
        </w:rPr>
        <w:t>Ibid</w:t>
      </w:r>
      <w:r w:rsidR="00A066A5">
        <w:t>, paras</w:t>
      </w:r>
      <w:r>
        <w:t xml:space="preserve"> 23</w:t>
      </w:r>
      <w:r w:rsidR="000D6D42">
        <w:t xml:space="preserve"> to 25, 39</w:t>
      </w:r>
      <w:r>
        <w:t>.</w:t>
      </w:r>
    </w:p>
  </w:footnote>
  <w:footnote w:id="38">
    <w:p w14:paraId="4806B385" w14:textId="1DF7B088" w:rsidR="0013374E" w:rsidRDefault="0013374E" w:rsidP="00C55A62">
      <w:pPr>
        <w:pStyle w:val="FootnoteText"/>
        <w:tabs>
          <w:tab w:val="left" w:pos="284"/>
        </w:tabs>
        <w:ind w:left="284" w:hanging="284"/>
        <w:jc w:val="both"/>
      </w:pPr>
      <w:r>
        <w:rPr>
          <w:rStyle w:val="FootnoteReference"/>
        </w:rPr>
        <w:footnoteRef/>
      </w:r>
      <w:r>
        <w:t xml:space="preserve"> </w:t>
      </w:r>
      <w:r w:rsidR="009F0F84">
        <w:tab/>
      </w:r>
      <w:r>
        <w:t>Reference to the Member States shall exclude Denmark for the purpose of this letter of advice.</w:t>
      </w:r>
    </w:p>
  </w:footnote>
  <w:footnote w:id="39">
    <w:p w14:paraId="5E109A95" w14:textId="7ED902EC" w:rsidR="00476260" w:rsidRDefault="00476260" w:rsidP="00C55A62">
      <w:pPr>
        <w:pStyle w:val="FootnoteText"/>
        <w:tabs>
          <w:tab w:val="left" w:pos="284"/>
        </w:tabs>
        <w:ind w:left="284" w:hanging="284"/>
        <w:jc w:val="both"/>
      </w:pPr>
      <w:r>
        <w:rPr>
          <w:rStyle w:val="FootnoteReference"/>
        </w:rPr>
        <w:footnoteRef/>
      </w:r>
      <w:r>
        <w:t xml:space="preserve"> </w:t>
      </w:r>
      <w:r w:rsidR="009F0F84">
        <w:tab/>
      </w:r>
      <w:r w:rsidR="00AA577F" w:rsidRPr="00AA577F">
        <w:rPr>
          <w:i/>
          <w:iCs/>
        </w:rPr>
        <w:t>Regulation (EU) 2015/848 of the European Parliament and of the Council of 20 May 2015 on insolvency proceedings (recast)</w:t>
      </w:r>
      <w:r w:rsidR="001E63CE">
        <w:t>,</w:t>
      </w:r>
      <w:r w:rsidR="00AA577F" w:rsidRPr="00AA577F">
        <w:rPr>
          <w:i/>
          <w:iCs/>
        </w:rPr>
        <w:t xml:space="preserve"> </w:t>
      </w:r>
      <w:r w:rsidR="007509E0">
        <w:t>a</w:t>
      </w:r>
      <w:r>
        <w:t>rt 19.</w:t>
      </w:r>
    </w:p>
  </w:footnote>
  <w:footnote w:id="40">
    <w:p w14:paraId="1E57AE75" w14:textId="1143B046" w:rsidR="00C037C3" w:rsidRDefault="00C037C3" w:rsidP="00C037C3">
      <w:pPr>
        <w:pStyle w:val="FootnoteText"/>
        <w:ind w:left="284" w:hanging="284"/>
      </w:pPr>
      <w:r>
        <w:rPr>
          <w:rStyle w:val="FootnoteReference"/>
        </w:rPr>
        <w:footnoteRef/>
      </w:r>
      <w:r>
        <w:t xml:space="preserve"> </w:t>
      </w:r>
      <w:r>
        <w:tab/>
      </w:r>
      <w:r w:rsidRPr="00C037C3">
        <w:rPr>
          <w:i/>
          <w:iCs/>
        </w:rPr>
        <w:t>Ibid</w:t>
      </w:r>
      <w:r>
        <w:t>, art 1.</w:t>
      </w:r>
    </w:p>
  </w:footnote>
  <w:footnote w:id="41">
    <w:p w14:paraId="0F568768" w14:textId="3DCF2298" w:rsidR="0091342D" w:rsidRDefault="0091342D" w:rsidP="00C55A62">
      <w:pPr>
        <w:pStyle w:val="FootnoteText"/>
        <w:tabs>
          <w:tab w:val="left" w:pos="284"/>
        </w:tabs>
        <w:ind w:left="284" w:hanging="284"/>
        <w:jc w:val="both"/>
      </w:pPr>
      <w:r>
        <w:rPr>
          <w:rStyle w:val="FootnoteReference"/>
        </w:rPr>
        <w:footnoteRef/>
      </w:r>
      <w:r>
        <w:t xml:space="preserve"> </w:t>
      </w:r>
      <w:r w:rsidR="009F0F84">
        <w:tab/>
      </w:r>
      <w:r w:rsidR="001E63CE" w:rsidRPr="001E63CE">
        <w:rPr>
          <w:i/>
          <w:iCs/>
        </w:rPr>
        <w:t>Re Eurofood IFSC Ltd (Case C-341/04) [2006] Ch 508</w:t>
      </w:r>
      <w:r>
        <w:t>, para 17.</w:t>
      </w:r>
    </w:p>
  </w:footnote>
  <w:footnote w:id="42">
    <w:p w14:paraId="2645E83A" w14:textId="70CCF43C" w:rsidR="00D423D2" w:rsidRDefault="00D423D2" w:rsidP="00C55A62">
      <w:pPr>
        <w:pStyle w:val="FootnoteText"/>
        <w:tabs>
          <w:tab w:val="left" w:pos="284"/>
        </w:tabs>
        <w:ind w:left="284" w:hanging="284"/>
        <w:jc w:val="both"/>
      </w:pPr>
      <w:r>
        <w:rPr>
          <w:rStyle w:val="FootnoteReference"/>
        </w:rPr>
        <w:footnoteRef/>
      </w:r>
      <w:r>
        <w:t xml:space="preserve"> </w:t>
      </w:r>
      <w:r w:rsidR="009F0F84">
        <w:tab/>
      </w:r>
      <w:r w:rsidR="005E1AB5" w:rsidRPr="005E1AB5">
        <w:rPr>
          <w:i/>
          <w:iCs/>
        </w:rPr>
        <w:t>Ibid</w:t>
      </w:r>
      <w:r w:rsidR="005E1AB5">
        <w:t xml:space="preserve">, </w:t>
      </w:r>
      <w:r w:rsidR="00926028">
        <w:t>p</w:t>
      </w:r>
      <w:r>
        <w:t>ara</w:t>
      </w:r>
      <w:r w:rsidR="00926028">
        <w:t>s</w:t>
      </w:r>
      <w:r>
        <w:t xml:space="preserve"> 32 and 33.</w:t>
      </w:r>
    </w:p>
  </w:footnote>
  <w:footnote w:id="43">
    <w:p w14:paraId="27DCD4FA" w14:textId="699220BA" w:rsidR="00726D61" w:rsidRDefault="00726D61" w:rsidP="00C55A62">
      <w:pPr>
        <w:pStyle w:val="FootnoteText"/>
        <w:tabs>
          <w:tab w:val="left" w:pos="284"/>
        </w:tabs>
        <w:ind w:left="284" w:hanging="284"/>
        <w:jc w:val="both"/>
      </w:pPr>
      <w:r>
        <w:rPr>
          <w:rStyle w:val="FootnoteReference"/>
        </w:rPr>
        <w:footnoteRef/>
      </w:r>
      <w:r>
        <w:t xml:space="preserve"> </w:t>
      </w:r>
      <w:r w:rsidR="009F0F84">
        <w:tab/>
      </w:r>
      <w:r w:rsidR="00926028" w:rsidRPr="00926028">
        <w:rPr>
          <w:i/>
          <w:iCs/>
        </w:rPr>
        <w:t>Ibid</w:t>
      </w:r>
      <w:r w:rsidR="00926028">
        <w:t>, p</w:t>
      </w:r>
      <w:r>
        <w:t>ara 34.</w:t>
      </w:r>
    </w:p>
  </w:footnote>
  <w:footnote w:id="44">
    <w:p w14:paraId="461E37F8" w14:textId="65B121F1" w:rsidR="00494F50" w:rsidRDefault="00494F50" w:rsidP="00C55A62">
      <w:pPr>
        <w:pStyle w:val="FootnoteText"/>
        <w:tabs>
          <w:tab w:val="left" w:pos="284"/>
        </w:tabs>
        <w:ind w:left="284" w:hanging="284"/>
        <w:jc w:val="both"/>
      </w:pPr>
      <w:r>
        <w:rPr>
          <w:rStyle w:val="FootnoteReference"/>
        </w:rPr>
        <w:footnoteRef/>
      </w:r>
      <w:r>
        <w:t xml:space="preserve"> </w:t>
      </w:r>
      <w:r w:rsidR="009F0F84">
        <w:tab/>
      </w:r>
      <w:r w:rsidR="00560166" w:rsidRPr="00926028">
        <w:rPr>
          <w:i/>
          <w:iCs/>
        </w:rPr>
        <w:t>Ibid</w:t>
      </w:r>
      <w:r w:rsidR="00560166">
        <w:t xml:space="preserve">, para </w:t>
      </w:r>
      <w:r>
        <w:t>37.</w:t>
      </w:r>
    </w:p>
  </w:footnote>
  <w:footnote w:id="45">
    <w:p w14:paraId="05B5837B" w14:textId="35C181A9" w:rsidR="00D05263" w:rsidRDefault="00D05263" w:rsidP="00C55A62">
      <w:pPr>
        <w:pStyle w:val="FootnoteText"/>
        <w:tabs>
          <w:tab w:val="left" w:pos="284"/>
        </w:tabs>
        <w:ind w:left="284" w:hanging="284"/>
        <w:jc w:val="both"/>
      </w:pPr>
      <w:r>
        <w:rPr>
          <w:rStyle w:val="FootnoteReference"/>
        </w:rPr>
        <w:footnoteRef/>
      </w:r>
      <w:r>
        <w:t xml:space="preserve"> </w:t>
      </w:r>
      <w:r w:rsidR="009F0F84">
        <w:tab/>
      </w:r>
      <w:r w:rsidR="00CF2A33" w:rsidRPr="00CF2A33">
        <w:rPr>
          <w:i/>
          <w:iCs/>
        </w:rPr>
        <w:t>Interedil Srl v Fallimento Interedil Srl (Case C-396/09) [2012] Bus LR 1582</w:t>
      </w:r>
      <w:r>
        <w:t xml:space="preserve">, </w:t>
      </w:r>
      <w:r w:rsidR="00CF2A33">
        <w:t>p</w:t>
      </w:r>
      <w:r>
        <w:t>ara 49.</w:t>
      </w:r>
    </w:p>
  </w:footnote>
  <w:footnote w:id="46">
    <w:p w14:paraId="16DBD462" w14:textId="1F0049DE" w:rsidR="00B14540" w:rsidRDefault="00B14540" w:rsidP="00C55A62">
      <w:pPr>
        <w:pStyle w:val="FootnoteText"/>
        <w:tabs>
          <w:tab w:val="left" w:pos="284"/>
        </w:tabs>
        <w:ind w:left="284" w:hanging="284"/>
        <w:jc w:val="both"/>
      </w:pPr>
      <w:r>
        <w:rPr>
          <w:rStyle w:val="FootnoteReference"/>
        </w:rPr>
        <w:footnoteRef/>
      </w:r>
      <w:r>
        <w:t xml:space="preserve"> </w:t>
      </w:r>
      <w:r w:rsidR="009F0F84">
        <w:tab/>
      </w:r>
      <w:r w:rsidR="00B07489" w:rsidRPr="00B07489">
        <w:rPr>
          <w:i/>
          <w:iCs/>
        </w:rPr>
        <w:t>Ibid</w:t>
      </w:r>
      <w:r w:rsidR="00B07489">
        <w:t>, p</w:t>
      </w:r>
      <w:r>
        <w:t>ara 50.</w:t>
      </w:r>
    </w:p>
  </w:footnote>
  <w:footnote w:id="47">
    <w:p w14:paraId="3013104A" w14:textId="1951F087" w:rsidR="0071607B" w:rsidRDefault="0071607B" w:rsidP="00C55A62">
      <w:pPr>
        <w:pStyle w:val="FootnoteText"/>
        <w:tabs>
          <w:tab w:val="left" w:pos="284"/>
        </w:tabs>
        <w:ind w:left="284" w:hanging="284"/>
        <w:jc w:val="both"/>
      </w:pPr>
      <w:r>
        <w:rPr>
          <w:rStyle w:val="FootnoteReference"/>
        </w:rPr>
        <w:footnoteRef/>
      </w:r>
      <w:r>
        <w:t xml:space="preserve"> </w:t>
      </w:r>
      <w:r w:rsidR="009F0F84">
        <w:tab/>
      </w:r>
      <w:r w:rsidR="00B07489" w:rsidRPr="00B07489">
        <w:rPr>
          <w:i/>
          <w:iCs/>
        </w:rPr>
        <w:t>Ibid</w:t>
      </w:r>
      <w:r w:rsidR="00B07489">
        <w:t>, para</w:t>
      </w:r>
      <w:r>
        <w:t xml:space="preserve"> 51.</w:t>
      </w:r>
    </w:p>
  </w:footnote>
  <w:footnote w:id="48">
    <w:p w14:paraId="5EBFF977" w14:textId="67DE89B5" w:rsidR="00AE0D19" w:rsidRDefault="00AE0D19" w:rsidP="00C55A62">
      <w:pPr>
        <w:pStyle w:val="FootnoteText"/>
        <w:tabs>
          <w:tab w:val="left" w:pos="284"/>
        </w:tabs>
        <w:ind w:left="284" w:hanging="284"/>
        <w:jc w:val="both"/>
      </w:pPr>
      <w:r>
        <w:rPr>
          <w:rStyle w:val="FootnoteReference"/>
        </w:rPr>
        <w:footnoteRef/>
      </w:r>
      <w:r>
        <w:t xml:space="preserve"> </w:t>
      </w:r>
      <w:r w:rsidR="009F0F84">
        <w:tab/>
      </w:r>
      <w:r w:rsidR="003977F5" w:rsidRPr="00B07489">
        <w:rPr>
          <w:i/>
          <w:iCs/>
        </w:rPr>
        <w:t>Ibid</w:t>
      </w:r>
      <w:r w:rsidR="003977F5">
        <w:t xml:space="preserve">, para </w:t>
      </w:r>
      <w:r>
        <w:t>5</w:t>
      </w:r>
      <w:r w:rsidR="00244A97">
        <w:t>3</w:t>
      </w:r>
      <w:r>
        <w:t>.</w:t>
      </w:r>
    </w:p>
  </w:footnote>
  <w:footnote w:id="49">
    <w:p w14:paraId="6A2DC45C" w14:textId="520663F5" w:rsidR="00B6560C" w:rsidRDefault="00B6560C" w:rsidP="00C55A62">
      <w:pPr>
        <w:pStyle w:val="FootnoteText"/>
        <w:tabs>
          <w:tab w:val="left" w:pos="284"/>
        </w:tabs>
        <w:ind w:left="284" w:hanging="284"/>
        <w:jc w:val="both"/>
      </w:pPr>
      <w:r>
        <w:rPr>
          <w:rStyle w:val="FootnoteReference"/>
        </w:rPr>
        <w:footnoteRef/>
      </w:r>
      <w:r>
        <w:t xml:space="preserve"> </w:t>
      </w:r>
      <w:r w:rsidR="009F0F84">
        <w:tab/>
      </w:r>
      <w:r w:rsidR="00664F4E" w:rsidRPr="00664F4E">
        <w:rPr>
          <w:i/>
          <w:iCs/>
        </w:rPr>
        <w:t>Supra</w:t>
      </w:r>
      <w:r w:rsidR="00664F4E">
        <w:t xml:space="preserve">, note </w:t>
      </w:r>
      <w:r w:rsidR="0023010C">
        <w:fldChar w:fldCharType="begin"/>
      </w:r>
      <w:r w:rsidR="0023010C">
        <w:instrText xml:space="preserve"> NOTEREF _Ref142511230 \h </w:instrText>
      </w:r>
      <w:r w:rsidR="0023010C">
        <w:fldChar w:fldCharType="separate"/>
      </w:r>
      <w:r w:rsidR="00BC04D7">
        <w:t>40</w:t>
      </w:r>
      <w:r w:rsidR="0023010C">
        <w:fldChar w:fldCharType="end"/>
      </w:r>
      <w:r w:rsidR="00D7508D">
        <w:t xml:space="preserve">, </w:t>
      </w:r>
      <w:r w:rsidR="00664F4E">
        <w:t>a</w:t>
      </w:r>
      <w:r w:rsidR="00D7508D">
        <w:t>rt 7.</w:t>
      </w:r>
    </w:p>
  </w:footnote>
  <w:footnote w:id="50">
    <w:p w14:paraId="6B92D2A9" w14:textId="77E6CAF0" w:rsidR="00297915" w:rsidRDefault="00297915" w:rsidP="00C55A62">
      <w:pPr>
        <w:pStyle w:val="FootnoteText"/>
        <w:tabs>
          <w:tab w:val="left" w:pos="284"/>
        </w:tabs>
        <w:ind w:left="284" w:hanging="284"/>
        <w:jc w:val="both"/>
      </w:pPr>
      <w:r>
        <w:rPr>
          <w:rStyle w:val="FootnoteReference"/>
        </w:rPr>
        <w:footnoteRef/>
      </w:r>
      <w:r>
        <w:t xml:space="preserve"> </w:t>
      </w:r>
      <w:r w:rsidR="009F0F84">
        <w:tab/>
      </w:r>
      <w:r w:rsidR="00DD0001" w:rsidRPr="00DD0001">
        <w:rPr>
          <w:i/>
          <w:iCs/>
        </w:rPr>
        <w:t>Ibid</w:t>
      </w:r>
      <w:r w:rsidR="00DD0001">
        <w:t>, r</w:t>
      </w:r>
      <w:r>
        <w:t>ecital 25.</w:t>
      </w:r>
    </w:p>
  </w:footnote>
  <w:footnote w:id="51">
    <w:p w14:paraId="7AFEF0CF" w14:textId="5DC5B712" w:rsidR="001B204F" w:rsidRDefault="001B204F" w:rsidP="00C55A62">
      <w:pPr>
        <w:pStyle w:val="FootnoteText"/>
        <w:tabs>
          <w:tab w:val="left" w:pos="284"/>
        </w:tabs>
        <w:ind w:left="284" w:hanging="284"/>
        <w:jc w:val="both"/>
      </w:pPr>
      <w:r>
        <w:rPr>
          <w:rStyle w:val="FootnoteReference"/>
        </w:rPr>
        <w:footnoteRef/>
      </w:r>
      <w:r>
        <w:t xml:space="preserve"> </w:t>
      </w:r>
      <w:r w:rsidR="009F0F84">
        <w:tab/>
      </w:r>
      <w:r w:rsidR="00DD0001" w:rsidRPr="00DD0001">
        <w:rPr>
          <w:i/>
          <w:iCs/>
        </w:rPr>
        <w:t>Ibid</w:t>
      </w:r>
      <w:r w:rsidR="00DD0001">
        <w:t>, r</w:t>
      </w:r>
      <w:r w:rsidR="00202FD1">
        <w:t>ecital 27.</w:t>
      </w:r>
    </w:p>
  </w:footnote>
  <w:footnote w:id="52">
    <w:p w14:paraId="07D501D9" w14:textId="519B074C" w:rsidR="00800F81" w:rsidRDefault="00800F81" w:rsidP="00C55A62">
      <w:pPr>
        <w:pStyle w:val="FootnoteText"/>
        <w:tabs>
          <w:tab w:val="left" w:pos="284"/>
        </w:tabs>
        <w:ind w:left="284" w:hanging="284"/>
        <w:jc w:val="both"/>
      </w:pPr>
      <w:r>
        <w:rPr>
          <w:rStyle w:val="FootnoteReference"/>
        </w:rPr>
        <w:footnoteRef/>
      </w:r>
      <w:r>
        <w:t xml:space="preserve"> </w:t>
      </w:r>
      <w:r w:rsidR="009F0F84">
        <w:tab/>
      </w:r>
      <w:r w:rsidR="00942DB9" w:rsidRPr="00942DB9">
        <w:rPr>
          <w:i/>
          <w:iCs/>
        </w:rPr>
        <w:t>Supra</w:t>
      </w:r>
      <w:r w:rsidR="00942DB9">
        <w:t xml:space="preserve">, note </w:t>
      </w:r>
      <w:r w:rsidR="00942DB9">
        <w:fldChar w:fldCharType="begin"/>
      </w:r>
      <w:r w:rsidR="00942DB9">
        <w:instrText xml:space="preserve"> NOTEREF _Ref142489903 \h </w:instrText>
      </w:r>
      <w:r w:rsidR="00942DB9">
        <w:fldChar w:fldCharType="separate"/>
      </w:r>
      <w:r w:rsidR="00BC04D7">
        <w:t>44</w:t>
      </w:r>
      <w:r w:rsidR="00942DB9">
        <w:fldChar w:fldCharType="end"/>
      </w:r>
      <w:r w:rsidR="00361C84">
        <w:t>, para 37.</w:t>
      </w:r>
    </w:p>
  </w:footnote>
  <w:footnote w:id="53">
    <w:p w14:paraId="22A55EBC" w14:textId="4C5C2FC2" w:rsidR="007A7364" w:rsidRDefault="007A7364" w:rsidP="00C55A62">
      <w:pPr>
        <w:pStyle w:val="FootnoteText"/>
        <w:tabs>
          <w:tab w:val="left" w:pos="284"/>
        </w:tabs>
        <w:ind w:left="284" w:hanging="284"/>
        <w:jc w:val="both"/>
      </w:pPr>
      <w:r>
        <w:rPr>
          <w:rStyle w:val="FootnoteReference"/>
        </w:rPr>
        <w:footnoteRef/>
      </w:r>
      <w:r>
        <w:t xml:space="preserve"> </w:t>
      </w:r>
      <w:r w:rsidR="009F0F84">
        <w:tab/>
      </w:r>
      <w:r w:rsidR="00942DB9" w:rsidRPr="00942DB9">
        <w:rPr>
          <w:i/>
          <w:iCs/>
        </w:rPr>
        <w:t>Supra</w:t>
      </w:r>
      <w:r w:rsidR="00942DB9">
        <w:t xml:space="preserve">, note </w:t>
      </w:r>
      <w:r w:rsidR="00942DB9">
        <w:fldChar w:fldCharType="begin"/>
      </w:r>
      <w:r w:rsidR="00942DB9">
        <w:instrText xml:space="preserve"> NOTEREF _Ref142489939 \h </w:instrText>
      </w:r>
      <w:r w:rsidR="00942DB9">
        <w:fldChar w:fldCharType="separate"/>
      </w:r>
      <w:r w:rsidR="00BC04D7">
        <w:t>48</w:t>
      </w:r>
      <w:r w:rsidR="00942DB9">
        <w:fldChar w:fldCharType="end"/>
      </w:r>
      <w:r>
        <w:t>, para 59.</w:t>
      </w:r>
    </w:p>
  </w:footnote>
  <w:footnote w:id="54">
    <w:p w14:paraId="6C0939DF" w14:textId="47F0C6C5" w:rsidR="00701021" w:rsidRDefault="00701021" w:rsidP="00C55A62">
      <w:pPr>
        <w:pStyle w:val="FootnoteText"/>
        <w:tabs>
          <w:tab w:val="left" w:pos="284"/>
        </w:tabs>
        <w:ind w:left="284" w:hanging="284"/>
        <w:jc w:val="both"/>
      </w:pPr>
      <w:r>
        <w:rPr>
          <w:rStyle w:val="FootnoteReference"/>
        </w:rPr>
        <w:footnoteRef/>
      </w:r>
      <w:r>
        <w:t xml:space="preserve"> </w:t>
      </w:r>
      <w:r w:rsidR="009F0F84">
        <w:tab/>
      </w:r>
      <w:r w:rsidR="00C85B5E" w:rsidRPr="00942DB9">
        <w:rPr>
          <w:i/>
          <w:iCs/>
        </w:rPr>
        <w:t>Supra</w:t>
      </w:r>
      <w:r w:rsidR="00C85B5E">
        <w:t xml:space="preserve">, note </w:t>
      </w:r>
      <w:r w:rsidR="007A2DF0">
        <w:fldChar w:fldCharType="begin"/>
      </w:r>
      <w:r w:rsidR="007A2DF0">
        <w:instrText xml:space="preserve"> NOTEREF _Ref142489999 \h </w:instrText>
      </w:r>
      <w:r w:rsidR="007A2DF0">
        <w:fldChar w:fldCharType="separate"/>
      </w:r>
      <w:r w:rsidR="00BC04D7">
        <w:t>51</w:t>
      </w:r>
      <w:r w:rsidR="007A2DF0">
        <w:fldChar w:fldCharType="end"/>
      </w:r>
      <w:r w:rsidR="007A2DF0">
        <w:t>, a</w:t>
      </w:r>
      <w:r w:rsidR="00CF318A">
        <w:t>rt 3(2) and (3).</w:t>
      </w:r>
    </w:p>
  </w:footnote>
  <w:footnote w:id="55">
    <w:p w14:paraId="6DF698A0" w14:textId="088418C3" w:rsidR="00B20D79" w:rsidRDefault="00B20D79" w:rsidP="00C55A62">
      <w:pPr>
        <w:pStyle w:val="FootnoteText"/>
        <w:tabs>
          <w:tab w:val="left" w:pos="284"/>
        </w:tabs>
        <w:ind w:left="284" w:hanging="284"/>
        <w:jc w:val="both"/>
      </w:pPr>
      <w:r>
        <w:rPr>
          <w:rStyle w:val="FootnoteReference"/>
        </w:rPr>
        <w:footnoteRef/>
      </w:r>
      <w:r>
        <w:t xml:space="preserve"> </w:t>
      </w:r>
      <w:r w:rsidR="009F0F84">
        <w:tab/>
      </w:r>
      <w:r w:rsidR="007A2DF0" w:rsidRPr="007A2DF0">
        <w:rPr>
          <w:i/>
          <w:iCs/>
        </w:rPr>
        <w:t>Ibid</w:t>
      </w:r>
      <w:r w:rsidR="007A2DF0">
        <w:t>, a</w:t>
      </w:r>
      <w:r>
        <w:t>rt 2(10).</w:t>
      </w:r>
    </w:p>
  </w:footnote>
  <w:footnote w:id="56">
    <w:p w14:paraId="14AD1C55" w14:textId="397E7B5B" w:rsidR="0007290C" w:rsidRDefault="0007290C" w:rsidP="00C55A62">
      <w:pPr>
        <w:pStyle w:val="FootnoteText"/>
        <w:tabs>
          <w:tab w:val="left" w:pos="284"/>
        </w:tabs>
        <w:ind w:left="284" w:hanging="284"/>
        <w:jc w:val="both"/>
      </w:pPr>
      <w:r>
        <w:rPr>
          <w:rStyle w:val="FootnoteReference"/>
        </w:rPr>
        <w:footnoteRef/>
      </w:r>
      <w:r>
        <w:t xml:space="preserve"> </w:t>
      </w:r>
      <w:r w:rsidR="009F0F84">
        <w:tab/>
      </w:r>
      <w:r w:rsidR="007A2DF0" w:rsidRPr="007A2DF0">
        <w:rPr>
          <w:i/>
          <w:iCs/>
        </w:rPr>
        <w:t>Supra</w:t>
      </w:r>
      <w:r w:rsidR="007A2DF0">
        <w:t xml:space="preserve">, note </w:t>
      </w:r>
      <w:r w:rsidR="007A2DF0">
        <w:fldChar w:fldCharType="begin"/>
      </w:r>
      <w:r w:rsidR="007A2DF0">
        <w:instrText xml:space="preserve"> NOTEREF _Ref142490072 \h </w:instrText>
      </w:r>
      <w:r w:rsidR="007A2DF0">
        <w:fldChar w:fldCharType="separate"/>
      </w:r>
      <w:r w:rsidR="00BC04D7">
        <w:t>53</w:t>
      </w:r>
      <w:r w:rsidR="007A2DF0">
        <w:fldChar w:fldCharType="end"/>
      </w:r>
      <w:r w:rsidR="007A2DF0">
        <w:t>, p</w:t>
      </w:r>
      <w:r>
        <w:t>ara 62.</w:t>
      </w:r>
    </w:p>
  </w:footnote>
  <w:footnote w:id="57">
    <w:p w14:paraId="63C73BE1" w14:textId="227FBE91" w:rsidR="00212E86" w:rsidRDefault="00212E86" w:rsidP="00C55A62">
      <w:pPr>
        <w:pStyle w:val="FootnoteText"/>
        <w:tabs>
          <w:tab w:val="left" w:pos="284"/>
        </w:tabs>
        <w:ind w:left="284" w:hanging="284"/>
        <w:jc w:val="both"/>
      </w:pPr>
      <w:r>
        <w:rPr>
          <w:rStyle w:val="FootnoteReference"/>
        </w:rPr>
        <w:footnoteRef/>
      </w:r>
      <w:r>
        <w:t xml:space="preserve"> </w:t>
      </w:r>
      <w:r w:rsidR="009F0F84">
        <w:tab/>
      </w:r>
      <w:r w:rsidR="005A1AD1" w:rsidRPr="005A1AD1">
        <w:rPr>
          <w:i/>
          <w:iCs/>
        </w:rPr>
        <w:t>Ibid</w:t>
      </w:r>
      <w:r w:rsidR="005A1AD1">
        <w:t>, p</w:t>
      </w:r>
      <w:r>
        <w:t>ara 63.</w:t>
      </w:r>
    </w:p>
  </w:footnote>
  <w:footnote w:id="58">
    <w:p w14:paraId="7D3E18D2" w14:textId="11F1CF1F" w:rsidR="008F7386" w:rsidRDefault="008F7386" w:rsidP="00C55A62">
      <w:pPr>
        <w:pStyle w:val="FootnoteText"/>
        <w:tabs>
          <w:tab w:val="left" w:pos="284"/>
        </w:tabs>
        <w:ind w:left="284" w:hanging="284"/>
        <w:jc w:val="both"/>
      </w:pPr>
      <w:r>
        <w:rPr>
          <w:rStyle w:val="FootnoteReference"/>
        </w:rPr>
        <w:footnoteRef/>
      </w:r>
      <w:r>
        <w:t xml:space="preserve"> </w:t>
      </w:r>
      <w:r w:rsidR="009F0F84">
        <w:tab/>
      </w:r>
      <w:r w:rsidR="003A51C2">
        <w:t xml:space="preserve">HMRC internal manual Capital Gains Manual, </w:t>
      </w:r>
      <w:r w:rsidR="0076487E" w:rsidRPr="005747D5">
        <w:rPr>
          <w:i/>
          <w:iCs/>
        </w:rPr>
        <w:t>CG12440 - Location of assets: types of asset (2): shares and securities etc.</w:t>
      </w:r>
      <w:r w:rsidR="005747D5">
        <w:t xml:space="preserve">, </w:t>
      </w:r>
      <w:r w:rsidR="00B27A07">
        <w:t>at &lt;&lt;</w:t>
      </w:r>
      <w:r w:rsidR="00B27A07" w:rsidRPr="00B27A07">
        <w:t xml:space="preserve"> https://www.gov.uk/hmrc-internal-manuals/capital-gains-manual/cg12440</w:t>
      </w:r>
      <w:r w:rsidR="00B27A07">
        <w:t xml:space="preserve">&gt;&gt;, accessed on </w:t>
      </w:r>
      <w:r w:rsidR="003A58CD">
        <w:t>6 August 2023.</w:t>
      </w:r>
    </w:p>
  </w:footnote>
  <w:footnote w:id="59">
    <w:p w14:paraId="4515F8A2" w14:textId="63AE5F08" w:rsidR="003A58CD" w:rsidRDefault="003A58CD" w:rsidP="003A58CD">
      <w:pPr>
        <w:pStyle w:val="FootnoteText"/>
        <w:tabs>
          <w:tab w:val="left" w:pos="284"/>
        </w:tabs>
      </w:pPr>
      <w:r>
        <w:rPr>
          <w:rStyle w:val="FootnoteReference"/>
        </w:rPr>
        <w:footnoteRef/>
      </w:r>
      <w:r>
        <w:t xml:space="preserve"> </w:t>
      </w:r>
      <w:r>
        <w:tab/>
      </w:r>
      <w:r w:rsidR="009B7A3E" w:rsidRPr="004165B7">
        <w:rPr>
          <w:i/>
          <w:iCs/>
        </w:rPr>
        <w:t>8 Del. C. 1953</w:t>
      </w:r>
      <w:r w:rsidR="009B7A3E" w:rsidRPr="009B7A3E">
        <w:t>, § 169</w:t>
      </w:r>
      <w:r>
        <w:t>.</w:t>
      </w:r>
    </w:p>
  </w:footnote>
  <w:footnote w:id="60">
    <w:p w14:paraId="24A991B4" w14:textId="0F2579DA" w:rsidR="006C7852" w:rsidRDefault="006C7852" w:rsidP="00C55A62">
      <w:pPr>
        <w:pStyle w:val="FootnoteText"/>
        <w:tabs>
          <w:tab w:val="left" w:pos="284"/>
        </w:tabs>
        <w:ind w:left="284" w:hanging="284"/>
        <w:jc w:val="both"/>
      </w:pPr>
      <w:r>
        <w:rPr>
          <w:rStyle w:val="FootnoteReference"/>
        </w:rPr>
        <w:footnoteRef/>
      </w:r>
      <w:r>
        <w:t xml:space="preserve"> </w:t>
      </w:r>
      <w:r w:rsidR="009F0F84">
        <w:tab/>
      </w:r>
      <w:r w:rsidR="005924D0">
        <w:t xml:space="preserve">M </w:t>
      </w:r>
      <w:r w:rsidRPr="006C7852">
        <w:t xml:space="preserve">Virgós and </w:t>
      </w:r>
      <w:r w:rsidR="00CD4794">
        <w:t xml:space="preserve">F </w:t>
      </w:r>
      <w:r w:rsidRPr="006C7852">
        <w:t>Garcimartín</w:t>
      </w:r>
      <w:r w:rsidR="00CD4794">
        <w:t xml:space="preserve">, </w:t>
      </w:r>
      <w:r w:rsidR="00CD4794">
        <w:rPr>
          <w:i/>
          <w:iCs/>
        </w:rPr>
        <w:t>The European Insolvency Regulation</w:t>
      </w:r>
      <w:r w:rsidR="00CF6931">
        <w:rPr>
          <w:i/>
          <w:iCs/>
        </w:rPr>
        <w:t>: Law and Practice</w:t>
      </w:r>
      <w:r w:rsidR="00CF6931">
        <w:t xml:space="preserve">, Kluwer Law International, </w:t>
      </w:r>
      <w:r w:rsidRPr="006C7852">
        <w:t>2004</w:t>
      </w:r>
      <w:r w:rsidR="00CF6931">
        <w:t>, p</w:t>
      </w:r>
      <w:r w:rsidRPr="006C7852">
        <w:t xml:space="preserve"> 300.</w:t>
      </w:r>
    </w:p>
  </w:footnote>
  <w:footnote w:id="61">
    <w:p w14:paraId="7C62DFA0" w14:textId="2497B9AA" w:rsidR="00D64BD2" w:rsidRDefault="00D64BD2" w:rsidP="007278A0">
      <w:pPr>
        <w:pStyle w:val="FootnoteText"/>
        <w:tabs>
          <w:tab w:val="left" w:pos="284"/>
        </w:tabs>
        <w:ind w:left="284" w:hanging="284"/>
        <w:jc w:val="both"/>
      </w:pPr>
      <w:r>
        <w:rPr>
          <w:rStyle w:val="FootnoteReference"/>
        </w:rPr>
        <w:footnoteRef/>
      </w:r>
      <w:r>
        <w:t xml:space="preserve"> </w:t>
      </w:r>
      <w:r w:rsidR="00B94A58">
        <w:tab/>
        <w:t>B</w:t>
      </w:r>
      <w:r w:rsidR="00B94A58" w:rsidRPr="006C7852">
        <w:t xml:space="preserve"> Wessels</w:t>
      </w:r>
      <w:r w:rsidR="00B81A13">
        <w:t xml:space="preserve">, </w:t>
      </w:r>
      <w:r w:rsidR="00B81A13">
        <w:rPr>
          <w:i/>
          <w:iCs/>
        </w:rPr>
        <w:t>International Insolvency Law Part II</w:t>
      </w:r>
      <w:r w:rsidR="00B81A13">
        <w:t xml:space="preserve">, </w:t>
      </w:r>
      <w:r w:rsidR="00FB3757">
        <w:t>European Insolvency Law Series</w:t>
      </w:r>
      <w:r w:rsidR="00691FEA">
        <w:t>, Wessels Insolvency Law Volume X, Deventer: Wolters Kluwer, 4</w:t>
      </w:r>
      <w:r w:rsidR="00691FEA" w:rsidRPr="00691FEA">
        <w:rPr>
          <w:vertAlign w:val="superscript"/>
        </w:rPr>
        <w:t>th</w:t>
      </w:r>
      <w:r w:rsidR="00691FEA">
        <w:t xml:space="preserve"> ed., </w:t>
      </w:r>
      <w:r w:rsidR="00B94A58" w:rsidRPr="006C7852">
        <w:t>2017</w:t>
      </w:r>
      <w:r w:rsidR="008322A9">
        <w:t>, p</w:t>
      </w:r>
      <w:r w:rsidR="00B94A58" w:rsidRPr="006C7852">
        <w:t xml:space="preserve"> 10533-10537</w:t>
      </w:r>
      <w:r w:rsidR="008322A9">
        <w:t>.</w:t>
      </w:r>
    </w:p>
  </w:footnote>
  <w:footnote w:id="62">
    <w:p w14:paraId="160A9C36" w14:textId="28829433" w:rsidR="00571884" w:rsidRDefault="00571884" w:rsidP="00C55A62">
      <w:pPr>
        <w:pStyle w:val="FootnoteText"/>
        <w:tabs>
          <w:tab w:val="left" w:pos="284"/>
        </w:tabs>
        <w:ind w:left="284" w:hanging="284"/>
        <w:jc w:val="both"/>
      </w:pPr>
      <w:r>
        <w:rPr>
          <w:rStyle w:val="FootnoteReference"/>
        </w:rPr>
        <w:footnoteRef/>
      </w:r>
      <w:r>
        <w:t xml:space="preserve"> </w:t>
      </w:r>
      <w:r w:rsidR="009F0F84">
        <w:tab/>
      </w:r>
      <w:r w:rsidR="00C53462" w:rsidRPr="00C53462">
        <w:rPr>
          <w:i/>
          <w:iCs/>
        </w:rPr>
        <w:t>Supra</w:t>
      </w:r>
      <w:r w:rsidR="00C53462">
        <w:t xml:space="preserve">, note </w:t>
      </w:r>
      <w:r w:rsidR="00C53462">
        <w:fldChar w:fldCharType="begin"/>
      </w:r>
      <w:r w:rsidR="00C53462">
        <w:instrText xml:space="preserve"> NOTEREF _Ref142491318 \h </w:instrText>
      </w:r>
      <w:r w:rsidR="00C53462">
        <w:fldChar w:fldCharType="separate"/>
      </w:r>
      <w:r w:rsidR="00BC04D7">
        <w:t>55</w:t>
      </w:r>
      <w:r w:rsidR="00C53462">
        <w:fldChar w:fldCharType="end"/>
      </w:r>
      <w:r>
        <w:t xml:space="preserve">, </w:t>
      </w:r>
      <w:r w:rsidR="00C53462">
        <w:t>ar</w:t>
      </w:r>
      <w:r>
        <w:t xml:space="preserve">t 38(2). </w:t>
      </w:r>
    </w:p>
  </w:footnote>
  <w:footnote w:id="63">
    <w:p w14:paraId="5E424B18" w14:textId="3CC2FB70" w:rsidR="00C22640" w:rsidRDefault="00C22640" w:rsidP="00C55A62">
      <w:pPr>
        <w:pStyle w:val="FootnoteText"/>
        <w:tabs>
          <w:tab w:val="left" w:pos="284"/>
        </w:tabs>
        <w:ind w:left="284" w:hanging="284"/>
        <w:jc w:val="both"/>
      </w:pPr>
      <w:r>
        <w:rPr>
          <w:rStyle w:val="FootnoteReference"/>
        </w:rPr>
        <w:footnoteRef/>
      </w:r>
      <w:r>
        <w:t xml:space="preserve"> </w:t>
      </w:r>
      <w:r w:rsidR="009F0F84">
        <w:tab/>
      </w:r>
      <w:r w:rsidR="00FF3629" w:rsidRPr="00FF3629">
        <w:rPr>
          <w:i/>
          <w:iCs/>
        </w:rPr>
        <w:t>Ibid</w:t>
      </w:r>
      <w:r w:rsidR="00FF3629">
        <w:t>, a</w:t>
      </w:r>
      <w:r>
        <w:t>rt 38(3).</w:t>
      </w:r>
    </w:p>
  </w:footnote>
  <w:footnote w:id="64">
    <w:p w14:paraId="2E4737E3" w14:textId="36AF29B2" w:rsidR="00391E37" w:rsidRDefault="00391E37" w:rsidP="00C55A62">
      <w:pPr>
        <w:pStyle w:val="FootnoteText"/>
        <w:tabs>
          <w:tab w:val="left" w:pos="284"/>
        </w:tabs>
        <w:ind w:left="284" w:hanging="284"/>
        <w:jc w:val="both"/>
      </w:pPr>
      <w:r>
        <w:rPr>
          <w:rStyle w:val="FootnoteReference"/>
        </w:rPr>
        <w:footnoteRef/>
      </w:r>
      <w:r>
        <w:t xml:space="preserve"> </w:t>
      </w:r>
      <w:r w:rsidR="009F0F84">
        <w:tab/>
      </w:r>
      <w:r w:rsidR="00CF02C6" w:rsidRPr="00CF02C6">
        <w:rPr>
          <w:i/>
          <w:iCs/>
        </w:rPr>
        <w:t>Ibid</w:t>
      </w:r>
      <w:r w:rsidR="00CF02C6">
        <w:t>, recital 45 and art</w:t>
      </w:r>
      <w:r w:rsidR="003923FF">
        <w:t>s 38(2) and</w:t>
      </w:r>
      <w:r w:rsidR="00CF02C6">
        <w:t xml:space="preserve"> 38(3). </w:t>
      </w:r>
      <w:r w:rsidR="00B120C2">
        <w:t xml:space="preserve"> The wordings </w:t>
      </w:r>
      <w:r w:rsidR="0036457C">
        <w:t xml:space="preserve">for a temporary stay </w:t>
      </w:r>
      <w:r w:rsidR="001355CE">
        <w:t xml:space="preserve">in Article 38(3) </w:t>
      </w:r>
      <w:r w:rsidR="0036457C">
        <w:t>are</w:t>
      </w:r>
      <w:r w:rsidR="001355CE">
        <w:t xml:space="preserve"> that </w:t>
      </w:r>
      <w:r w:rsidRPr="00391E37">
        <w:t>“</w:t>
      </w:r>
      <w:r w:rsidR="004D608D" w:rsidRPr="00EF3275">
        <w:rPr>
          <w:i/>
          <w:iCs/>
        </w:rPr>
        <w:t>…</w:t>
      </w:r>
      <w:r w:rsidRPr="00EF3275">
        <w:rPr>
          <w:i/>
          <w:iCs/>
        </w:rPr>
        <w:t>the court…may stay</w:t>
      </w:r>
      <w:r w:rsidR="004D608D" w:rsidRPr="00EF3275">
        <w:rPr>
          <w:i/>
          <w:iCs/>
        </w:rPr>
        <w:t xml:space="preserve"> the opening of insolvency proceedings…</w:t>
      </w:r>
      <w:r w:rsidRPr="00391E37">
        <w:t>”</w:t>
      </w:r>
      <w:r w:rsidR="00370A3C">
        <w:t xml:space="preserve"> </w:t>
      </w:r>
      <w:r w:rsidR="00C77FBA">
        <w:t>where</w:t>
      </w:r>
      <w:r w:rsidR="00370A3C">
        <w:t xml:space="preserve"> </w:t>
      </w:r>
      <w:r w:rsidR="004D608D">
        <w:t>i</w:t>
      </w:r>
      <w:r w:rsidRPr="00391E37">
        <w:t>t is within the court’s discretion to do so</w:t>
      </w:r>
      <w:r w:rsidR="00370A3C">
        <w:t>.  A</w:t>
      </w:r>
      <w:r w:rsidR="00576EDE">
        <w:t xml:space="preserve">s opposed to </w:t>
      </w:r>
      <w:r w:rsidR="0083230B">
        <w:t xml:space="preserve">those </w:t>
      </w:r>
      <w:r w:rsidR="0036457C">
        <w:t>in Ar</w:t>
      </w:r>
      <w:r w:rsidR="0083230B">
        <w:t>ticle 38(2) that “</w:t>
      </w:r>
      <w:r w:rsidR="004D608D" w:rsidRPr="00EF3275">
        <w:rPr>
          <w:i/>
          <w:iCs/>
        </w:rPr>
        <w:t>…</w:t>
      </w:r>
      <w:r w:rsidR="0083230B" w:rsidRPr="00EF3275">
        <w:rPr>
          <w:i/>
          <w:iCs/>
        </w:rPr>
        <w:t>the court shall…not open</w:t>
      </w:r>
      <w:r w:rsidR="00756F73" w:rsidRPr="00EF3275">
        <w:rPr>
          <w:i/>
          <w:iCs/>
        </w:rPr>
        <w:t xml:space="preserve"> secondary insolvency proceedings…</w:t>
      </w:r>
      <w:r w:rsidR="0069270B" w:rsidRPr="00EF3275">
        <w:rPr>
          <w:i/>
          <w:iCs/>
        </w:rPr>
        <w:t>if it is satisfied that</w:t>
      </w:r>
      <w:r w:rsidR="003923FF" w:rsidRPr="00EF3275">
        <w:rPr>
          <w:i/>
          <w:iCs/>
        </w:rPr>
        <w:t xml:space="preserve"> the undertaking adequately protects…</w:t>
      </w:r>
      <w:r w:rsidR="003923FF">
        <w:t>”</w:t>
      </w:r>
      <w:r w:rsidR="00370A3C">
        <w:t xml:space="preserve"> </w:t>
      </w:r>
      <w:r w:rsidR="00C77FBA">
        <w:t>where</w:t>
      </w:r>
      <w:r w:rsidR="00370A3C">
        <w:t xml:space="preserve"> </w:t>
      </w:r>
      <w:r w:rsidR="00EF3275">
        <w:t>discretion is limited.</w:t>
      </w:r>
      <w:r w:rsidR="0069270B">
        <w:t xml:space="preserve"> </w:t>
      </w:r>
    </w:p>
  </w:footnote>
  <w:footnote w:id="65">
    <w:p w14:paraId="1C232CBD" w14:textId="5066E0E4" w:rsidR="00C84B40" w:rsidRDefault="00C84B40" w:rsidP="00C55A62">
      <w:pPr>
        <w:pStyle w:val="FootnoteText"/>
        <w:tabs>
          <w:tab w:val="left" w:pos="284"/>
        </w:tabs>
        <w:ind w:left="284" w:hanging="284"/>
        <w:jc w:val="both"/>
      </w:pPr>
      <w:r>
        <w:rPr>
          <w:rStyle w:val="FootnoteReference"/>
        </w:rPr>
        <w:footnoteRef/>
      </w:r>
      <w:r>
        <w:t xml:space="preserve"> </w:t>
      </w:r>
      <w:r w:rsidR="009F0F84">
        <w:tab/>
      </w:r>
      <w:r w:rsidRPr="00D24447">
        <w:rPr>
          <w:i/>
          <w:iCs/>
        </w:rPr>
        <w:t xml:space="preserve">11 U.S. Code § </w:t>
      </w:r>
      <w:r w:rsidR="00D24447" w:rsidRPr="00D24447">
        <w:rPr>
          <w:i/>
          <w:iCs/>
        </w:rPr>
        <w:t>301</w:t>
      </w:r>
      <w:r w:rsidRPr="00C84B40">
        <w:t>.</w:t>
      </w:r>
    </w:p>
  </w:footnote>
  <w:footnote w:id="66">
    <w:p w14:paraId="51302FE2" w14:textId="1B9E261A" w:rsidR="000072AB" w:rsidRDefault="000072AB" w:rsidP="00C55A62">
      <w:pPr>
        <w:pStyle w:val="FootnoteText"/>
        <w:tabs>
          <w:tab w:val="left" w:pos="284"/>
        </w:tabs>
        <w:ind w:left="284" w:hanging="284"/>
        <w:jc w:val="both"/>
      </w:pPr>
      <w:r>
        <w:rPr>
          <w:rStyle w:val="FootnoteReference"/>
        </w:rPr>
        <w:footnoteRef/>
      </w:r>
      <w:r>
        <w:t xml:space="preserve"> </w:t>
      </w:r>
      <w:r w:rsidR="009F0F84">
        <w:tab/>
      </w:r>
      <w:r w:rsidR="008C70EF">
        <w:rPr>
          <w:i/>
          <w:iCs/>
        </w:rPr>
        <w:t>Ibid</w:t>
      </w:r>
      <w:r w:rsidRPr="00D24447">
        <w:rPr>
          <w:i/>
          <w:iCs/>
        </w:rPr>
        <w:t xml:space="preserve"> § </w:t>
      </w:r>
      <w:r>
        <w:rPr>
          <w:i/>
          <w:iCs/>
        </w:rPr>
        <w:t>54</w:t>
      </w:r>
      <w:r w:rsidRPr="00D24447">
        <w:rPr>
          <w:i/>
          <w:iCs/>
        </w:rPr>
        <w:t>1</w:t>
      </w:r>
      <w:r w:rsidRPr="00C84B40">
        <w:t>.</w:t>
      </w:r>
    </w:p>
  </w:footnote>
  <w:footnote w:id="67">
    <w:p w14:paraId="611C5B1B" w14:textId="58A0A4C5" w:rsidR="003B330B" w:rsidRDefault="003B330B" w:rsidP="00C55A62">
      <w:pPr>
        <w:pStyle w:val="FootnoteText"/>
        <w:tabs>
          <w:tab w:val="left" w:pos="284"/>
        </w:tabs>
        <w:ind w:left="284" w:hanging="284"/>
        <w:jc w:val="both"/>
      </w:pPr>
      <w:r>
        <w:rPr>
          <w:rStyle w:val="FootnoteReference"/>
        </w:rPr>
        <w:footnoteRef/>
      </w:r>
      <w:r>
        <w:t xml:space="preserve"> </w:t>
      </w:r>
      <w:r w:rsidR="009F0F84">
        <w:tab/>
      </w:r>
      <w:r w:rsidR="008C70EF">
        <w:rPr>
          <w:i/>
          <w:iCs/>
        </w:rPr>
        <w:t>Ibid</w:t>
      </w:r>
      <w:r w:rsidR="008C70EF" w:rsidRPr="00D24447">
        <w:rPr>
          <w:i/>
          <w:iCs/>
        </w:rPr>
        <w:t xml:space="preserve"> </w:t>
      </w:r>
      <w:r w:rsidRPr="00D24447">
        <w:rPr>
          <w:i/>
          <w:iCs/>
        </w:rPr>
        <w:t xml:space="preserve">§ </w:t>
      </w:r>
      <w:r w:rsidR="00610C5C">
        <w:rPr>
          <w:i/>
          <w:iCs/>
        </w:rPr>
        <w:t>1121</w:t>
      </w:r>
      <w:r w:rsidRPr="00C84B40">
        <w:t>.</w:t>
      </w:r>
    </w:p>
  </w:footnote>
  <w:footnote w:id="68">
    <w:p w14:paraId="682E4370" w14:textId="0687CE16" w:rsidR="00F5696E" w:rsidRDefault="00F5696E" w:rsidP="00C55A62">
      <w:pPr>
        <w:pStyle w:val="FootnoteText"/>
        <w:tabs>
          <w:tab w:val="left" w:pos="284"/>
        </w:tabs>
        <w:ind w:left="284" w:hanging="284"/>
        <w:jc w:val="both"/>
      </w:pPr>
      <w:r>
        <w:rPr>
          <w:rStyle w:val="FootnoteReference"/>
        </w:rPr>
        <w:footnoteRef/>
      </w:r>
      <w:r>
        <w:t xml:space="preserve"> </w:t>
      </w:r>
      <w:r w:rsidR="009F0F84">
        <w:tab/>
      </w:r>
      <w:r w:rsidR="008C70EF">
        <w:rPr>
          <w:i/>
          <w:iCs/>
        </w:rPr>
        <w:t>Ibid</w:t>
      </w:r>
      <w:r w:rsidRPr="00D24447">
        <w:rPr>
          <w:i/>
          <w:iCs/>
        </w:rPr>
        <w:t xml:space="preserve"> § </w:t>
      </w:r>
      <w:r>
        <w:rPr>
          <w:i/>
          <w:iCs/>
        </w:rPr>
        <w:t>1122(a), 1123(a)(1) and 1123(a)(4)</w:t>
      </w:r>
      <w:r w:rsidRPr="00C84B40">
        <w:t>.</w:t>
      </w:r>
    </w:p>
  </w:footnote>
  <w:footnote w:id="69">
    <w:p w14:paraId="04A3E7F2" w14:textId="3EDD3456" w:rsidR="00A53A92" w:rsidRDefault="00A53A92" w:rsidP="00C55A62">
      <w:pPr>
        <w:pStyle w:val="FootnoteText"/>
        <w:tabs>
          <w:tab w:val="left" w:pos="284"/>
        </w:tabs>
        <w:ind w:left="284" w:hanging="284"/>
        <w:jc w:val="both"/>
      </w:pPr>
      <w:r>
        <w:rPr>
          <w:rStyle w:val="FootnoteReference"/>
        </w:rPr>
        <w:footnoteRef/>
      </w:r>
      <w:r>
        <w:t xml:space="preserve"> </w:t>
      </w:r>
      <w:r w:rsidR="009F0F84">
        <w:tab/>
      </w:r>
      <w:r w:rsidR="00082061">
        <w:rPr>
          <w:i/>
          <w:iCs/>
        </w:rPr>
        <w:t>Ibid</w:t>
      </w:r>
      <w:r w:rsidR="00082061" w:rsidRPr="00D24447">
        <w:rPr>
          <w:i/>
          <w:iCs/>
        </w:rPr>
        <w:t xml:space="preserve"> </w:t>
      </w:r>
      <w:r w:rsidRPr="00D24447">
        <w:rPr>
          <w:i/>
          <w:iCs/>
        </w:rPr>
        <w:t xml:space="preserve">§ </w:t>
      </w:r>
      <w:r>
        <w:rPr>
          <w:i/>
          <w:iCs/>
        </w:rPr>
        <w:t>1126(c)</w:t>
      </w:r>
      <w:r w:rsidRPr="00C84B40">
        <w:t>.</w:t>
      </w:r>
      <w:r w:rsidR="00B774D7">
        <w:t xml:space="preserve">  </w:t>
      </w:r>
      <w:r w:rsidR="008E7CFE">
        <w:t>In addition, c</w:t>
      </w:r>
      <w:r w:rsidR="00E33E81">
        <w:t xml:space="preserve">laims or equity interests which are not impaired by the Plan </w:t>
      </w:r>
      <w:r w:rsidR="00201068">
        <w:t xml:space="preserve">are not entitled to vote </w:t>
      </w:r>
      <w:r w:rsidR="008E7CFE">
        <w:t xml:space="preserve">while claims or equity interests which </w:t>
      </w:r>
      <w:r w:rsidR="00E551CC">
        <w:t xml:space="preserve">will </w:t>
      </w:r>
      <w:r w:rsidR="008E7CFE">
        <w:t>recover no distribution under the Plan are deemed to have rejected the Plan.</w:t>
      </w:r>
    </w:p>
  </w:footnote>
  <w:footnote w:id="70">
    <w:p w14:paraId="1A829417" w14:textId="375CFD8A" w:rsidR="000824EF" w:rsidRDefault="000824EF" w:rsidP="00C55A62">
      <w:pPr>
        <w:pStyle w:val="FootnoteText"/>
        <w:tabs>
          <w:tab w:val="left" w:pos="284"/>
        </w:tabs>
        <w:ind w:left="284" w:hanging="284"/>
        <w:jc w:val="both"/>
      </w:pPr>
      <w:r>
        <w:rPr>
          <w:rStyle w:val="FootnoteReference"/>
        </w:rPr>
        <w:footnoteRef/>
      </w:r>
      <w:r>
        <w:t xml:space="preserve"> </w:t>
      </w:r>
      <w:r w:rsidR="009F0F84">
        <w:tab/>
      </w:r>
      <w:r>
        <w:t>The “Best Interests of Creditors Test”</w:t>
      </w:r>
      <w:r w:rsidR="001F7DFA">
        <w:t xml:space="preserve"> provides that no claims or interests will receive under the Plan less that </w:t>
      </w:r>
      <w:r w:rsidR="000F0868">
        <w:t xml:space="preserve">they would receive </w:t>
      </w:r>
      <w:r w:rsidR="009516AA">
        <w:t xml:space="preserve">in </w:t>
      </w:r>
      <w:r w:rsidR="000F0868">
        <w:t>liquidation</w:t>
      </w:r>
      <w:r w:rsidR="009516AA">
        <w:t xml:space="preserve"> under Chapter 7 </w:t>
      </w:r>
      <w:r w:rsidR="009738A2">
        <w:t>of the Code</w:t>
      </w:r>
      <w:r w:rsidR="000F0868">
        <w:t>.</w:t>
      </w:r>
      <w:r w:rsidR="004B1B0D">
        <w:t xml:space="preserve">  The “Fair and Equitable Test” provides that </w:t>
      </w:r>
      <w:r w:rsidR="00E27164">
        <w:t xml:space="preserve">if at least one impaired class accepts the Plan and the bankruptcy court finds that </w:t>
      </w:r>
      <w:r w:rsidR="000B69A7">
        <w:t>the treatment under the Plan does not discriminate unfairly and is fair and equitab</w:t>
      </w:r>
      <w:r w:rsidR="003A5C77">
        <w:t xml:space="preserve">le, the bankruptcy court </w:t>
      </w:r>
      <w:r w:rsidR="00FC2542">
        <w:t>shall confirm the Plan.</w:t>
      </w:r>
    </w:p>
  </w:footnote>
  <w:footnote w:id="71">
    <w:p w14:paraId="1312B600" w14:textId="1B3C4228" w:rsidR="00F75088" w:rsidRDefault="00F75088" w:rsidP="00C55A62">
      <w:pPr>
        <w:pStyle w:val="FootnoteText"/>
        <w:tabs>
          <w:tab w:val="left" w:pos="284"/>
        </w:tabs>
        <w:ind w:left="284" w:hanging="284"/>
        <w:jc w:val="both"/>
      </w:pPr>
      <w:r>
        <w:rPr>
          <w:rStyle w:val="FootnoteReference"/>
        </w:rPr>
        <w:footnoteRef/>
      </w:r>
      <w:r>
        <w:t xml:space="preserve"> </w:t>
      </w:r>
      <w:r w:rsidR="009F0F84">
        <w:tab/>
      </w:r>
      <w:r w:rsidR="00082061" w:rsidRPr="00082061">
        <w:rPr>
          <w:i/>
          <w:iCs/>
        </w:rPr>
        <w:t>Supra</w:t>
      </w:r>
      <w:r w:rsidR="00082061">
        <w:t xml:space="preserve">, note </w:t>
      </w:r>
      <w:r w:rsidR="00082061">
        <w:fldChar w:fldCharType="begin"/>
      </w:r>
      <w:r w:rsidR="00082061">
        <w:instrText xml:space="preserve"> NOTEREF _Ref142492101 \h </w:instrText>
      </w:r>
      <w:r w:rsidR="00082061">
        <w:fldChar w:fldCharType="separate"/>
      </w:r>
      <w:r w:rsidR="00BC04D7">
        <w:t>69</w:t>
      </w:r>
      <w:r w:rsidR="00082061">
        <w:fldChar w:fldCharType="end"/>
      </w:r>
      <w:r w:rsidR="00082061">
        <w:t xml:space="preserve">, </w:t>
      </w:r>
      <w:r w:rsidRPr="00D24447">
        <w:rPr>
          <w:i/>
          <w:iCs/>
        </w:rPr>
        <w:t xml:space="preserve">§ </w:t>
      </w:r>
      <w:r>
        <w:rPr>
          <w:i/>
          <w:iCs/>
        </w:rPr>
        <w:t>1107</w:t>
      </w:r>
      <w:r w:rsidRPr="00C84B40">
        <w:t>.</w:t>
      </w:r>
      <w:r>
        <w:t xml:space="preserve">  </w:t>
      </w:r>
    </w:p>
  </w:footnote>
  <w:footnote w:id="72">
    <w:p w14:paraId="7E3A9E73" w14:textId="5C379FB5" w:rsidR="00AE7303" w:rsidRDefault="00AE7303" w:rsidP="00C55A62">
      <w:pPr>
        <w:pStyle w:val="FootnoteText"/>
        <w:tabs>
          <w:tab w:val="left" w:pos="284"/>
        </w:tabs>
        <w:ind w:left="284" w:hanging="284"/>
        <w:jc w:val="both"/>
      </w:pPr>
      <w:r>
        <w:rPr>
          <w:rStyle w:val="FootnoteReference"/>
        </w:rPr>
        <w:footnoteRef/>
      </w:r>
      <w:r>
        <w:t xml:space="preserve"> </w:t>
      </w:r>
      <w:r w:rsidR="009F0F84">
        <w:tab/>
      </w:r>
      <w:r w:rsidR="00082061">
        <w:rPr>
          <w:i/>
          <w:iCs/>
        </w:rPr>
        <w:t>Ibid</w:t>
      </w:r>
      <w:r w:rsidRPr="00D24447">
        <w:rPr>
          <w:i/>
          <w:iCs/>
        </w:rPr>
        <w:t xml:space="preserve"> § </w:t>
      </w:r>
      <w:r>
        <w:rPr>
          <w:i/>
          <w:iCs/>
        </w:rPr>
        <w:t>1104 and 1108</w:t>
      </w:r>
      <w:r w:rsidRPr="00C84B40">
        <w:t>.</w:t>
      </w:r>
      <w:r>
        <w:t xml:space="preserve">  </w:t>
      </w:r>
    </w:p>
  </w:footnote>
  <w:footnote w:id="73">
    <w:p w14:paraId="4EF54B97" w14:textId="6D4A3333" w:rsidR="00EF066F" w:rsidRDefault="00EF066F" w:rsidP="00C55A62">
      <w:pPr>
        <w:pStyle w:val="FootnoteText"/>
        <w:tabs>
          <w:tab w:val="left" w:pos="284"/>
        </w:tabs>
        <w:ind w:left="284" w:hanging="284"/>
        <w:jc w:val="both"/>
      </w:pPr>
      <w:r>
        <w:rPr>
          <w:rStyle w:val="FootnoteReference"/>
        </w:rPr>
        <w:footnoteRef/>
      </w:r>
      <w:r>
        <w:t xml:space="preserve"> </w:t>
      </w:r>
      <w:r w:rsidR="009F0F84">
        <w:tab/>
      </w:r>
      <w:r w:rsidR="00082061">
        <w:rPr>
          <w:i/>
          <w:iCs/>
        </w:rPr>
        <w:t>Ibid</w:t>
      </w:r>
      <w:r w:rsidR="00082061" w:rsidRPr="00D24447">
        <w:rPr>
          <w:i/>
          <w:iCs/>
        </w:rPr>
        <w:t xml:space="preserve"> </w:t>
      </w:r>
      <w:r w:rsidRPr="00D24447">
        <w:rPr>
          <w:i/>
          <w:iCs/>
        </w:rPr>
        <w:t xml:space="preserve">§ </w:t>
      </w:r>
      <w:r>
        <w:rPr>
          <w:i/>
          <w:iCs/>
        </w:rPr>
        <w:t>363(c)(1)</w:t>
      </w:r>
      <w:r w:rsidRPr="00C84B40">
        <w:t>.</w:t>
      </w:r>
    </w:p>
  </w:footnote>
  <w:footnote w:id="74">
    <w:p w14:paraId="5DDDF0E8" w14:textId="39F8E8E0" w:rsidR="003A49B1" w:rsidRDefault="003A49B1" w:rsidP="00C55A62">
      <w:pPr>
        <w:pStyle w:val="FootnoteText"/>
        <w:tabs>
          <w:tab w:val="left" w:pos="284"/>
        </w:tabs>
        <w:ind w:left="284" w:hanging="284"/>
        <w:jc w:val="both"/>
      </w:pPr>
      <w:r>
        <w:rPr>
          <w:rStyle w:val="FootnoteReference"/>
        </w:rPr>
        <w:footnoteRef/>
      </w:r>
      <w:r>
        <w:t xml:space="preserve"> </w:t>
      </w:r>
      <w:r w:rsidR="009F0F84">
        <w:tab/>
      </w:r>
      <w:r w:rsidR="00082061">
        <w:rPr>
          <w:i/>
          <w:iCs/>
        </w:rPr>
        <w:t>Ibid</w:t>
      </w:r>
      <w:r w:rsidRPr="00D24447">
        <w:rPr>
          <w:i/>
          <w:iCs/>
        </w:rPr>
        <w:t xml:space="preserve"> § </w:t>
      </w:r>
      <w:r>
        <w:rPr>
          <w:i/>
          <w:iCs/>
        </w:rPr>
        <w:t>363(f)</w:t>
      </w:r>
      <w:r w:rsidRPr="00C84B40">
        <w:t>.</w:t>
      </w:r>
    </w:p>
  </w:footnote>
  <w:footnote w:id="75">
    <w:p w14:paraId="6DD9B55B" w14:textId="6DEF0597" w:rsidR="00D8172E" w:rsidRDefault="00D8172E" w:rsidP="00C55A62">
      <w:pPr>
        <w:pStyle w:val="FootnoteText"/>
        <w:tabs>
          <w:tab w:val="left" w:pos="284"/>
        </w:tabs>
        <w:ind w:left="284" w:hanging="284"/>
        <w:jc w:val="both"/>
      </w:pPr>
      <w:r>
        <w:rPr>
          <w:rStyle w:val="FootnoteReference"/>
        </w:rPr>
        <w:footnoteRef/>
      </w:r>
      <w:r>
        <w:t xml:space="preserve"> </w:t>
      </w:r>
      <w:r w:rsidR="009F0F84">
        <w:tab/>
      </w:r>
      <w:r w:rsidR="00082061">
        <w:rPr>
          <w:i/>
          <w:iCs/>
        </w:rPr>
        <w:t>Ibid</w:t>
      </w:r>
      <w:r w:rsidR="00082061" w:rsidRPr="00D24447">
        <w:rPr>
          <w:i/>
          <w:iCs/>
        </w:rPr>
        <w:t xml:space="preserve"> </w:t>
      </w:r>
      <w:r w:rsidRPr="00D24447">
        <w:rPr>
          <w:i/>
          <w:iCs/>
        </w:rPr>
        <w:t xml:space="preserve">§ </w:t>
      </w:r>
      <w:r>
        <w:rPr>
          <w:i/>
          <w:iCs/>
        </w:rPr>
        <w:t>363(a)</w:t>
      </w:r>
      <w:r w:rsidRPr="00C84B40">
        <w:t>.</w:t>
      </w:r>
    </w:p>
  </w:footnote>
  <w:footnote w:id="76">
    <w:p w14:paraId="798325C5" w14:textId="1FD1CE00" w:rsidR="0071239C" w:rsidRDefault="0071239C" w:rsidP="00C55A62">
      <w:pPr>
        <w:pStyle w:val="FootnoteText"/>
        <w:tabs>
          <w:tab w:val="left" w:pos="284"/>
        </w:tabs>
        <w:ind w:left="284" w:hanging="284"/>
        <w:jc w:val="both"/>
      </w:pPr>
      <w:r>
        <w:rPr>
          <w:rStyle w:val="FootnoteReference"/>
        </w:rPr>
        <w:footnoteRef/>
      </w:r>
      <w:r>
        <w:t xml:space="preserve"> </w:t>
      </w:r>
      <w:r w:rsidR="009F0F84">
        <w:tab/>
      </w:r>
      <w:r w:rsidR="00082061">
        <w:rPr>
          <w:i/>
          <w:iCs/>
        </w:rPr>
        <w:t>Ibid</w:t>
      </w:r>
      <w:r w:rsidR="00082061" w:rsidRPr="00D24447">
        <w:rPr>
          <w:i/>
          <w:iCs/>
        </w:rPr>
        <w:t xml:space="preserve"> </w:t>
      </w:r>
      <w:r w:rsidRPr="00D24447">
        <w:rPr>
          <w:i/>
          <w:iCs/>
        </w:rPr>
        <w:t xml:space="preserve">§ </w:t>
      </w:r>
      <w:r>
        <w:rPr>
          <w:i/>
          <w:iCs/>
        </w:rPr>
        <w:t>362(d)(1) and 362(g)</w:t>
      </w:r>
      <w:r w:rsidRPr="00C84B40">
        <w:t>.</w:t>
      </w:r>
    </w:p>
  </w:footnote>
  <w:footnote w:id="77">
    <w:p w14:paraId="7A8C3C7A" w14:textId="5D101EC1" w:rsidR="002A6DDD" w:rsidRDefault="002A6DDD" w:rsidP="00C55A62">
      <w:pPr>
        <w:pStyle w:val="FootnoteText"/>
        <w:tabs>
          <w:tab w:val="left" w:pos="284"/>
        </w:tabs>
        <w:ind w:left="284" w:hanging="284"/>
        <w:jc w:val="both"/>
      </w:pPr>
      <w:r>
        <w:rPr>
          <w:rStyle w:val="FootnoteReference"/>
        </w:rPr>
        <w:footnoteRef/>
      </w:r>
      <w:r>
        <w:t xml:space="preserve"> </w:t>
      </w:r>
      <w:r w:rsidR="009F0F84">
        <w:tab/>
      </w:r>
      <w:r w:rsidR="00082061">
        <w:rPr>
          <w:i/>
          <w:iCs/>
        </w:rPr>
        <w:t>Ibid</w:t>
      </w:r>
      <w:r w:rsidR="00082061" w:rsidRPr="002A6DDD">
        <w:rPr>
          <w:i/>
          <w:iCs/>
        </w:rPr>
        <w:t xml:space="preserve"> </w:t>
      </w:r>
      <w:r w:rsidRPr="002A6DDD">
        <w:rPr>
          <w:i/>
          <w:iCs/>
        </w:rPr>
        <w:t>§ 507(b)</w:t>
      </w:r>
      <w:r w:rsidRPr="002A6DDD">
        <w:t>.</w:t>
      </w:r>
    </w:p>
  </w:footnote>
  <w:footnote w:id="78">
    <w:p w14:paraId="42B96951" w14:textId="2BC8FC4A" w:rsidR="004272DC" w:rsidRDefault="004272DC" w:rsidP="00C55A62">
      <w:pPr>
        <w:pStyle w:val="FootnoteText"/>
        <w:tabs>
          <w:tab w:val="left" w:pos="284"/>
        </w:tabs>
        <w:ind w:left="284" w:hanging="284"/>
        <w:jc w:val="both"/>
      </w:pPr>
      <w:r>
        <w:rPr>
          <w:rStyle w:val="FootnoteReference"/>
        </w:rPr>
        <w:footnoteRef/>
      </w:r>
      <w:r>
        <w:t xml:space="preserve"> </w:t>
      </w:r>
      <w:r w:rsidR="009F0F84">
        <w:tab/>
      </w:r>
      <w:r w:rsidR="00082061">
        <w:rPr>
          <w:i/>
          <w:iCs/>
        </w:rPr>
        <w:t>Ibid</w:t>
      </w:r>
      <w:r w:rsidR="00082061" w:rsidRPr="004272DC">
        <w:rPr>
          <w:i/>
          <w:iCs/>
        </w:rPr>
        <w:t xml:space="preserve"> </w:t>
      </w:r>
      <w:r w:rsidRPr="004272DC">
        <w:rPr>
          <w:i/>
          <w:iCs/>
        </w:rPr>
        <w:t>§ 364(a)</w:t>
      </w:r>
      <w:r w:rsidRPr="004272DC">
        <w:t>.</w:t>
      </w:r>
    </w:p>
  </w:footnote>
  <w:footnote w:id="79">
    <w:p w14:paraId="1B7E7DF6" w14:textId="233DFB64" w:rsidR="0073358A" w:rsidRDefault="0073358A" w:rsidP="00C55A62">
      <w:pPr>
        <w:pStyle w:val="FootnoteText"/>
        <w:tabs>
          <w:tab w:val="left" w:pos="284"/>
        </w:tabs>
        <w:ind w:left="284" w:hanging="284"/>
        <w:jc w:val="both"/>
      </w:pPr>
      <w:r>
        <w:rPr>
          <w:rStyle w:val="FootnoteReference"/>
        </w:rPr>
        <w:footnoteRef/>
      </w:r>
      <w:r>
        <w:t xml:space="preserve"> </w:t>
      </w:r>
      <w:r w:rsidR="009F0F84">
        <w:tab/>
      </w:r>
      <w:r w:rsidR="00082061">
        <w:rPr>
          <w:i/>
          <w:iCs/>
        </w:rPr>
        <w:t>Ibid</w:t>
      </w:r>
      <w:r w:rsidR="00082061" w:rsidRPr="0073358A">
        <w:rPr>
          <w:i/>
          <w:iCs/>
        </w:rPr>
        <w:t xml:space="preserve"> </w:t>
      </w:r>
      <w:r w:rsidRPr="0073358A">
        <w:rPr>
          <w:i/>
          <w:iCs/>
        </w:rPr>
        <w:t>§ 364(c)</w:t>
      </w:r>
      <w:r w:rsidRPr="0073358A">
        <w:t>.</w:t>
      </w:r>
    </w:p>
  </w:footnote>
  <w:footnote w:id="80">
    <w:p w14:paraId="44342157" w14:textId="13942C85" w:rsidR="007C418B" w:rsidRDefault="007C418B" w:rsidP="00C55A62">
      <w:pPr>
        <w:pStyle w:val="FootnoteText"/>
        <w:tabs>
          <w:tab w:val="left" w:pos="284"/>
        </w:tabs>
        <w:ind w:left="284" w:hanging="284"/>
        <w:jc w:val="both"/>
      </w:pPr>
      <w:r>
        <w:rPr>
          <w:rStyle w:val="FootnoteReference"/>
        </w:rPr>
        <w:footnoteRef/>
      </w:r>
      <w:r>
        <w:t xml:space="preserve"> </w:t>
      </w:r>
      <w:r w:rsidR="009F0F84">
        <w:tab/>
      </w:r>
      <w:r w:rsidR="00082061">
        <w:rPr>
          <w:i/>
          <w:iCs/>
        </w:rPr>
        <w:t>Ibid</w:t>
      </w:r>
      <w:r w:rsidR="00082061" w:rsidRPr="0073358A">
        <w:rPr>
          <w:i/>
          <w:iCs/>
        </w:rPr>
        <w:t xml:space="preserve"> </w:t>
      </w:r>
      <w:r w:rsidRPr="0073358A">
        <w:rPr>
          <w:i/>
          <w:iCs/>
        </w:rPr>
        <w:t>§ 364(</w:t>
      </w:r>
      <w:r>
        <w:rPr>
          <w:i/>
          <w:iCs/>
        </w:rPr>
        <w:t>d</w:t>
      </w:r>
      <w:r w:rsidRPr="0073358A">
        <w:rPr>
          <w:i/>
          <w:iCs/>
        </w:rPr>
        <w:t>)</w:t>
      </w:r>
      <w:r w:rsidRPr="0073358A">
        <w:t>.</w:t>
      </w:r>
    </w:p>
  </w:footnote>
  <w:footnote w:id="81">
    <w:p w14:paraId="30EF404A" w14:textId="3A669395" w:rsidR="00845E9C" w:rsidRDefault="00845E9C" w:rsidP="00C55A62">
      <w:pPr>
        <w:pStyle w:val="FootnoteText"/>
        <w:tabs>
          <w:tab w:val="left" w:pos="284"/>
        </w:tabs>
        <w:ind w:left="284" w:hanging="284"/>
        <w:jc w:val="both"/>
      </w:pPr>
      <w:r>
        <w:rPr>
          <w:rStyle w:val="FootnoteReference"/>
        </w:rPr>
        <w:footnoteRef/>
      </w:r>
      <w:r>
        <w:t xml:space="preserve"> </w:t>
      </w:r>
      <w:r w:rsidR="009F0F84">
        <w:tab/>
      </w:r>
      <w:r w:rsidR="00366B11" w:rsidRPr="00DF69AC">
        <w:rPr>
          <w:i/>
          <w:iCs/>
        </w:rPr>
        <w:t>Cross Border Insolvency R</w:t>
      </w:r>
      <w:r w:rsidR="005C6F72">
        <w:rPr>
          <w:i/>
          <w:iCs/>
        </w:rPr>
        <w:t>egulation</w:t>
      </w:r>
      <w:r w:rsidR="00366B11" w:rsidRPr="00DF69AC">
        <w:rPr>
          <w:i/>
          <w:iCs/>
        </w:rPr>
        <w:t>s 2006 (UK)</w:t>
      </w:r>
      <w:r w:rsidR="00366B11">
        <w:t xml:space="preserve">, </w:t>
      </w:r>
      <w:r w:rsidR="00491D4E">
        <w:t>s</w:t>
      </w:r>
      <w:r w:rsidR="00366B11">
        <w:t>ch 1</w:t>
      </w:r>
      <w:r w:rsidR="00DF69AC">
        <w:t>,</w:t>
      </w:r>
      <w:r w:rsidR="00366B11" w:rsidRPr="00366B11">
        <w:t xml:space="preserve"> </w:t>
      </w:r>
      <w:r w:rsidR="00491D4E">
        <w:t>a</w:t>
      </w:r>
      <w:r>
        <w:t>rt</w:t>
      </w:r>
      <w:r w:rsidR="00E84A37">
        <w:t>s</w:t>
      </w:r>
      <w:r>
        <w:t xml:space="preserve"> 17 and 21.</w:t>
      </w:r>
    </w:p>
  </w:footnote>
  <w:footnote w:id="82">
    <w:p w14:paraId="32144D12" w14:textId="52F695CE" w:rsidR="008D70AE" w:rsidRDefault="008D70AE" w:rsidP="00C55A62">
      <w:pPr>
        <w:pStyle w:val="FootnoteText"/>
        <w:tabs>
          <w:tab w:val="left" w:pos="284"/>
        </w:tabs>
        <w:ind w:left="284" w:hanging="284"/>
        <w:jc w:val="both"/>
      </w:pPr>
      <w:r>
        <w:rPr>
          <w:rStyle w:val="FootnoteReference"/>
        </w:rPr>
        <w:footnoteRef/>
      </w:r>
      <w:r>
        <w:t xml:space="preserve"> </w:t>
      </w:r>
      <w:r w:rsidR="009F0F84">
        <w:tab/>
      </w:r>
      <w:r w:rsidR="00E376F2" w:rsidRPr="00E376F2">
        <w:rPr>
          <w:i/>
          <w:iCs/>
        </w:rPr>
        <w:t>Ibid</w:t>
      </w:r>
      <w:r w:rsidR="00E376F2">
        <w:t>, art</w:t>
      </w:r>
      <w:r>
        <w:t xml:space="preserve"> 15.</w:t>
      </w:r>
    </w:p>
  </w:footnote>
  <w:footnote w:id="83">
    <w:p w14:paraId="12C4BDA0" w14:textId="44115930" w:rsidR="008B202B" w:rsidRDefault="008B202B" w:rsidP="00C55A62">
      <w:pPr>
        <w:pStyle w:val="FootnoteText"/>
        <w:tabs>
          <w:tab w:val="left" w:pos="284"/>
        </w:tabs>
        <w:ind w:left="284" w:hanging="284"/>
        <w:jc w:val="both"/>
      </w:pPr>
      <w:r>
        <w:rPr>
          <w:rStyle w:val="FootnoteReference"/>
        </w:rPr>
        <w:footnoteRef/>
      </w:r>
      <w:r>
        <w:t xml:space="preserve"> </w:t>
      </w:r>
      <w:r w:rsidR="009F0F84">
        <w:tab/>
      </w:r>
      <w:r w:rsidR="00E376F2" w:rsidRPr="00E376F2">
        <w:rPr>
          <w:i/>
          <w:iCs/>
        </w:rPr>
        <w:t>Ibid</w:t>
      </w:r>
      <w:r w:rsidR="00E376F2">
        <w:t xml:space="preserve">, art </w:t>
      </w:r>
      <w:r>
        <w:t>2</w:t>
      </w:r>
      <w:r w:rsidR="005B1B54">
        <w:t>(j).</w:t>
      </w:r>
    </w:p>
  </w:footnote>
  <w:footnote w:id="84">
    <w:p w14:paraId="0ED5676C" w14:textId="3E5B11AC" w:rsidR="00725A0F" w:rsidRPr="00D54666" w:rsidRDefault="00725A0F" w:rsidP="00C55A62">
      <w:pPr>
        <w:pStyle w:val="FootnoteText"/>
        <w:tabs>
          <w:tab w:val="left" w:pos="284"/>
        </w:tabs>
        <w:ind w:left="284" w:hanging="284"/>
        <w:jc w:val="both"/>
      </w:pPr>
      <w:r>
        <w:rPr>
          <w:rStyle w:val="FootnoteReference"/>
        </w:rPr>
        <w:footnoteRef/>
      </w:r>
      <w:r>
        <w:t xml:space="preserve"> </w:t>
      </w:r>
      <w:bookmarkStart w:id="17" w:name="_Hlk142341947"/>
      <w:r w:rsidR="009F0F84">
        <w:tab/>
      </w:r>
      <w:r w:rsidR="00D54666" w:rsidRPr="00D54666">
        <w:rPr>
          <w:i/>
          <w:iCs/>
        </w:rPr>
        <w:t>Videology Ltd, Re Cross-Border Insolvency Regulations 2006 [2018] EWHC 2186 (Ch)</w:t>
      </w:r>
      <w:r w:rsidR="00D54666">
        <w:t>,</w:t>
      </w:r>
      <w:bookmarkEnd w:id="17"/>
      <w:r w:rsidR="00D54666">
        <w:t xml:space="preserve"> para</w:t>
      </w:r>
      <w:r w:rsidR="00C2696A">
        <w:t>s 17 and</w:t>
      </w:r>
      <w:r w:rsidR="00D54666">
        <w:t xml:space="preserve"> 25.</w:t>
      </w:r>
    </w:p>
  </w:footnote>
  <w:footnote w:id="85">
    <w:p w14:paraId="3013F0DF" w14:textId="5367A4BE" w:rsidR="00E113E9" w:rsidRDefault="00E113E9" w:rsidP="00C55A62">
      <w:pPr>
        <w:pStyle w:val="FootnoteText"/>
        <w:tabs>
          <w:tab w:val="left" w:pos="284"/>
        </w:tabs>
        <w:ind w:left="284" w:hanging="284"/>
        <w:jc w:val="both"/>
      </w:pPr>
      <w:r>
        <w:rPr>
          <w:rStyle w:val="FootnoteReference"/>
        </w:rPr>
        <w:footnoteRef/>
      </w:r>
      <w:r>
        <w:t xml:space="preserve"> </w:t>
      </w:r>
      <w:r w:rsidR="009F0F84">
        <w:tab/>
      </w:r>
      <w:r w:rsidR="00E376F2" w:rsidRPr="00E84A37">
        <w:rPr>
          <w:i/>
          <w:iCs/>
        </w:rPr>
        <w:t>Supra</w:t>
      </w:r>
      <w:r w:rsidR="00E376F2">
        <w:t>, note</w:t>
      </w:r>
      <w:r w:rsidR="00E84A37">
        <w:t xml:space="preserve"> </w:t>
      </w:r>
      <w:r w:rsidR="00E84A37">
        <w:fldChar w:fldCharType="begin"/>
      </w:r>
      <w:r w:rsidR="00E84A37">
        <w:instrText xml:space="preserve"> NOTEREF _Ref142492408 \h </w:instrText>
      </w:r>
      <w:r w:rsidR="00E84A37">
        <w:fldChar w:fldCharType="separate"/>
      </w:r>
      <w:r w:rsidR="00BC04D7">
        <w:t>83</w:t>
      </w:r>
      <w:r w:rsidR="00E84A37">
        <w:fldChar w:fldCharType="end"/>
      </w:r>
      <w:r w:rsidR="00E84A37">
        <w:t>,</w:t>
      </w:r>
      <w:r w:rsidR="00E376F2">
        <w:t xml:space="preserve"> </w:t>
      </w:r>
      <w:r w:rsidR="00E84A37">
        <w:t>a</w:t>
      </w:r>
      <w:r>
        <w:t>rt</w:t>
      </w:r>
      <w:r w:rsidR="003142AA">
        <w:t>s 2(g) and</w:t>
      </w:r>
      <w:r>
        <w:t xml:space="preserve"> 17(2)(a)</w:t>
      </w:r>
      <w:r w:rsidR="003142AA">
        <w:t>.</w:t>
      </w:r>
    </w:p>
  </w:footnote>
  <w:footnote w:id="86">
    <w:p w14:paraId="797145F9" w14:textId="10AE2F2C" w:rsidR="006F07DB" w:rsidRDefault="006F07DB" w:rsidP="00C55A62">
      <w:pPr>
        <w:pStyle w:val="FootnoteText"/>
        <w:tabs>
          <w:tab w:val="left" w:pos="284"/>
        </w:tabs>
        <w:ind w:left="284" w:hanging="284"/>
        <w:jc w:val="both"/>
      </w:pPr>
      <w:r>
        <w:rPr>
          <w:rStyle w:val="FootnoteReference"/>
        </w:rPr>
        <w:footnoteRef/>
      </w:r>
      <w:r>
        <w:t xml:space="preserve"> </w:t>
      </w:r>
      <w:r w:rsidR="009F0F84">
        <w:tab/>
      </w:r>
      <w:r w:rsidR="00AB1230" w:rsidRPr="00AB1230">
        <w:rPr>
          <w:i/>
          <w:iCs/>
        </w:rPr>
        <w:t>Re Stanford International Bank Ltd [2011] Ch 33</w:t>
      </w:r>
      <w:r w:rsidR="00AB1230">
        <w:rPr>
          <w:i/>
          <w:iCs/>
        </w:rPr>
        <w:t xml:space="preserve">, </w:t>
      </w:r>
      <w:r w:rsidR="00AB1230" w:rsidRPr="004D403F">
        <w:t>paras 53 to 54</w:t>
      </w:r>
      <w:r w:rsidR="00AB1230">
        <w:rPr>
          <w:i/>
          <w:iCs/>
        </w:rPr>
        <w:t>.</w:t>
      </w:r>
    </w:p>
  </w:footnote>
  <w:footnote w:id="87">
    <w:p w14:paraId="49B40137" w14:textId="7B2ED728" w:rsidR="007B3384" w:rsidRDefault="007B3384" w:rsidP="00C55A62">
      <w:pPr>
        <w:pStyle w:val="FootnoteText"/>
        <w:tabs>
          <w:tab w:val="left" w:pos="284"/>
        </w:tabs>
        <w:ind w:left="284" w:hanging="284"/>
        <w:jc w:val="both"/>
      </w:pPr>
      <w:r>
        <w:rPr>
          <w:rStyle w:val="FootnoteReference"/>
        </w:rPr>
        <w:footnoteRef/>
      </w:r>
      <w:r>
        <w:t xml:space="preserve"> </w:t>
      </w:r>
      <w:r w:rsidR="009F0F84">
        <w:tab/>
      </w:r>
      <w:r w:rsidR="00370796" w:rsidRPr="00370796">
        <w:rPr>
          <w:i/>
          <w:iCs/>
        </w:rPr>
        <w:t>Supra</w:t>
      </w:r>
      <w:r w:rsidR="00370796">
        <w:t xml:space="preserve">, note </w:t>
      </w:r>
      <w:r w:rsidR="00370796">
        <w:fldChar w:fldCharType="begin"/>
      </w:r>
      <w:r w:rsidR="00370796">
        <w:instrText xml:space="preserve"> NOTEREF _Ref142492465 \h </w:instrText>
      </w:r>
      <w:r w:rsidR="00370796">
        <w:fldChar w:fldCharType="separate"/>
      </w:r>
      <w:r w:rsidR="00BC04D7">
        <w:t>85</w:t>
      </w:r>
      <w:r w:rsidR="00370796">
        <w:fldChar w:fldCharType="end"/>
      </w:r>
      <w:r w:rsidR="00370796">
        <w:t>, a</w:t>
      </w:r>
      <w:r>
        <w:t>rt 20(5).</w:t>
      </w:r>
    </w:p>
  </w:footnote>
  <w:footnote w:id="88">
    <w:p w14:paraId="37BF0856" w14:textId="57C60921" w:rsidR="00F932EE" w:rsidRDefault="00F932EE" w:rsidP="004D403F">
      <w:pPr>
        <w:pStyle w:val="FootnoteText"/>
        <w:keepLines/>
        <w:tabs>
          <w:tab w:val="left" w:pos="284"/>
        </w:tabs>
        <w:ind w:left="284" w:hanging="284"/>
        <w:jc w:val="both"/>
      </w:pPr>
      <w:r>
        <w:rPr>
          <w:rStyle w:val="FootnoteReference"/>
        </w:rPr>
        <w:footnoteRef/>
      </w:r>
      <w:r>
        <w:t xml:space="preserve"> </w:t>
      </w:r>
      <w:r w:rsidR="009F0F84">
        <w:tab/>
      </w:r>
      <w:r w:rsidR="00FC6F81" w:rsidRPr="004D403F">
        <w:rPr>
          <w:i/>
          <w:iCs/>
        </w:rPr>
        <w:t>Supra</w:t>
      </w:r>
      <w:r w:rsidR="00FC6F81">
        <w:t xml:space="preserve">, note </w:t>
      </w:r>
      <w:r w:rsidR="004D403F">
        <w:fldChar w:fldCharType="begin"/>
      </w:r>
      <w:r w:rsidR="004D403F">
        <w:instrText xml:space="preserve"> NOTEREF _Ref142492602 \h </w:instrText>
      </w:r>
      <w:r w:rsidR="004D403F">
        <w:fldChar w:fldCharType="separate"/>
      </w:r>
      <w:r w:rsidR="00BC04D7">
        <w:t>84</w:t>
      </w:r>
      <w:r w:rsidR="004D403F">
        <w:fldChar w:fldCharType="end"/>
      </w:r>
      <w:r w:rsidR="004D403F">
        <w:t xml:space="preserve">, paras 82 to 83.  </w:t>
      </w:r>
      <w:r w:rsidR="00840B5C" w:rsidRPr="00840B5C">
        <w:t xml:space="preserve">As it has </w:t>
      </w:r>
      <w:r w:rsidR="00370796">
        <w:t xml:space="preserve">been </w:t>
      </w:r>
      <w:r w:rsidR="00840B5C" w:rsidRPr="00840B5C">
        <w:t xml:space="preserve">established in </w:t>
      </w:r>
      <w:r w:rsidR="00840B5C" w:rsidRPr="00840B5C">
        <w:rPr>
          <w:i/>
          <w:iCs/>
        </w:rPr>
        <w:t>Videology</w:t>
      </w:r>
      <w:r w:rsidR="00840B5C" w:rsidRPr="00840B5C">
        <w:t xml:space="preserve">, </w:t>
      </w:r>
      <w:r w:rsidR="00840B5C">
        <w:t xml:space="preserve">while </w:t>
      </w:r>
      <w:r w:rsidR="00840B5C" w:rsidRPr="00840B5C">
        <w:t xml:space="preserve">the extension of the moratorium to the prohibition of collective insolvency proceedings in the UK is not automatic, the English courts have been willing to use their powers under Article 21(1) of the </w:t>
      </w:r>
      <w:r w:rsidR="008B35A4">
        <w:t xml:space="preserve">UK </w:t>
      </w:r>
      <w:r w:rsidR="00840B5C" w:rsidRPr="00840B5C">
        <w:t>Model Law to replicate the moratorium against individual actions under paragraph 43</w:t>
      </w:r>
      <w:r w:rsidR="00E61CB9">
        <w:t>(6)</w:t>
      </w:r>
      <w:r w:rsidR="00840B5C" w:rsidRPr="00840B5C">
        <w:t xml:space="preserve"> of Schedule B1 </w:t>
      </w:r>
      <w:r w:rsidR="00E56107">
        <w:t xml:space="preserve">of the UK IA </w:t>
      </w:r>
      <w:r w:rsidR="00840B5C" w:rsidRPr="00840B5C">
        <w:t>where recognition is accorded to a foreign main proceeding which has as its purpose the restructuring of the debtor rather than its winding-up</w:t>
      </w:r>
      <w:r w:rsidR="004F150A">
        <w:t xml:space="preserve">.  </w:t>
      </w:r>
    </w:p>
  </w:footnote>
  <w:footnote w:id="89">
    <w:p w14:paraId="25825D2A" w14:textId="1F29CD6D" w:rsidR="005413AF" w:rsidRDefault="005413AF" w:rsidP="00C55A62">
      <w:pPr>
        <w:pStyle w:val="FootnoteText"/>
        <w:tabs>
          <w:tab w:val="left" w:pos="284"/>
        </w:tabs>
        <w:ind w:left="284" w:hanging="284"/>
        <w:jc w:val="both"/>
      </w:pPr>
      <w:r>
        <w:rPr>
          <w:rStyle w:val="FootnoteReference"/>
        </w:rPr>
        <w:footnoteRef/>
      </w:r>
      <w:r>
        <w:t xml:space="preserve"> </w:t>
      </w:r>
      <w:r w:rsidR="009F0F84">
        <w:tab/>
      </w:r>
      <w:r w:rsidR="00E967C8" w:rsidRPr="00E967C8">
        <w:rPr>
          <w:i/>
          <w:iCs/>
        </w:rPr>
        <w:t>Supra</w:t>
      </w:r>
      <w:r w:rsidR="00E967C8">
        <w:t xml:space="preserve">, note </w:t>
      </w:r>
      <w:r w:rsidR="00E967C8">
        <w:fldChar w:fldCharType="begin"/>
      </w:r>
      <w:r w:rsidR="00E967C8">
        <w:instrText xml:space="preserve"> NOTEREF _Ref142492744 \h </w:instrText>
      </w:r>
      <w:r w:rsidR="00E967C8">
        <w:fldChar w:fldCharType="separate"/>
      </w:r>
      <w:r w:rsidR="00BC04D7">
        <w:t>87</w:t>
      </w:r>
      <w:r w:rsidR="00E967C8">
        <w:fldChar w:fldCharType="end"/>
      </w:r>
      <w:r w:rsidR="00E967C8">
        <w:t>, a</w:t>
      </w:r>
      <w:r>
        <w:t>rt 19.</w:t>
      </w:r>
    </w:p>
  </w:footnote>
  <w:footnote w:id="90">
    <w:p w14:paraId="1FB0690C" w14:textId="0FF6ACB5" w:rsidR="001F4FE8" w:rsidRDefault="001F4FE8" w:rsidP="00C55A62">
      <w:pPr>
        <w:pStyle w:val="FootnoteText"/>
        <w:tabs>
          <w:tab w:val="left" w:pos="284"/>
        </w:tabs>
        <w:ind w:left="284" w:hanging="284"/>
        <w:jc w:val="both"/>
      </w:pPr>
      <w:r>
        <w:rPr>
          <w:rStyle w:val="FootnoteReference"/>
        </w:rPr>
        <w:footnoteRef/>
      </w:r>
      <w:r>
        <w:t xml:space="preserve"> </w:t>
      </w:r>
      <w:r w:rsidR="009F0F84">
        <w:tab/>
      </w:r>
      <w:r w:rsidR="00711E88" w:rsidRPr="00E967C8">
        <w:rPr>
          <w:i/>
          <w:iCs/>
        </w:rPr>
        <w:t>Supra</w:t>
      </w:r>
      <w:r w:rsidR="00711E88">
        <w:t xml:space="preserve">, note </w:t>
      </w:r>
      <w:r w:rsidR="00711E88">
        <w:fldChar w:fldCharType="begin"/>
      </w:r>
      <w:r w:rsidR="00711E88">
        <w:instrText xml:space="preserve"> NOTEREF _Ref142492852 \h </w:instrText>
      </w:r>
      <w:r w:rsidR="00711E88">
        <w:fldChar w:fldCharType="separate"/>
      </w:r>
      <w:r w:rsidR="00BC04D7">
        <w:t>80</w:t>
      </w:r>
      <w:r w:rsidR="00711E88">
        <w:fldChar w:fldCharType="end"/>
      </w:r>
      <w:r w:rsidR="00711E88">
        <w:t xml:space="preserve">, </w:t>
      </w:r>
      <w:r w:rsidR="005C5D3E" w:rsidRPr="005C5D3E">
        <w:t xml:space="preserve">§ </w:t>
      </w:r>
      <w:r w:rsidRPr="005C5D3E">
        <w:t>109</w:t>
      </w:r>
      <w:r>
        <w:t>.</w:t>
      </w:r>
    </w:p>
  </w:footnote>
  <w:footnote w:id="91">
    <w:p w14:paraId="5DAD5451" w14:textId="77073C2D" w:rsidR="0010593C" w:rsidRDefault="0010593C" w:rsidP="0010593C">
      <w:pPr>
        <w:pStyle w:val="FootnoteText"/>
        <w:tabs>
          <w:tab w:val="left" w:pos="284"/>
        </w:tabs>
        <w:ind w:left="284" w:hanging="284"/>
      </w:pPr>
      <w:r>
        <w:rPr>
          <w:rStyle w:val="FootnoteReference"/>
        </w:rPr>
        <w:footnoteRef/>
      </w:r>
      <w:r>
        <w:t xml:space="preserve"> </w:t>
      </w:r>
      <w:r>
        <w:tab/>
      </w:r>
      <w:r w:rsidRPr="003C7B52">
        <w:rPr>
          <w:i/>
          <w:iCs/>
        </w:rPr>
        <w:t>Supra</w:t>
      </w:r>
      <w:r w:rsidR="003C7B52">
        <w:t xml:space="preserve">, notes </w:t>
      </w:r>
      <w:r w:rsidR="003C7B52">
        <w:fldChar w:fldCharType="begin"/>
      </w:r>
      <w:r w:rsidR="003C7B52">
        <w:instrText xml:space="preserve"> NOTEREF _Ref142385194 \h  \* MERGEFORMAT </w:instrText>
      </w:r>
      <w:r w:rsidR="003C7B52">
        <w:fldChar w:fldCharType="separate"/>
      </w:r>
      <w:r w:rsidR="00BC04D7">
        <w:t>58</w:t>
      </w:r>
      <w:r w:rsidR="003C7B52">
        <w:fldChar w:fldCharType="end"/>
      </w:r>
      <w:r w:rsidR="003C7B52">
        <w:t xml:space="preserve"> and </w:t>
      </w:r>
      <w:r w:rsidR="00E430AB">
        <w:fldChar w:fldCharType="begin"/>
      </w:r>
      <w:r w:rsidR="00E430AB">
        <w:instrText xml:space="preserve"> NOTEREF _Ref142493133 \h </w:instrText>
      </w:r>
      <w:r w:rsidR="00E430AB">
        <w:fldChar w:fldCharType="separate"/>
      </w:r>
      <w:r w:rsidR="00BC04D7">
        <w:t>59</w:t>
      </w:r>
      <w:r w:rsidR="00E430AB">
        <w:fldChar w:fldCharType="end"/>
      </w:r>
      <w:r w:rsidR="003C7B52">
        <w:t>.</w:t>
      </w:r>
    </w:p>
  </w:footnote>
  <w:footnote w:id="92">
    <w:p w14:paraId="7D723BC6" w14:textId="6B5A448F" w:rsidR="003559BD" w:rsidRDefault="003559BD" w:rsidP="00C55A62">
      <w:pPr>
        <w:pStyle w:val="FootnoteText"/>
        <w:tabs>
          <w:tab w:val="left" w:pos="284"/>
        </w:tabs>
        <w:ind w:left="284" w:hanging="284"/>
        <w:jc w:val="both"/>
      </w:pPr>
      <w:r>
        <w:rPr>
          <w:rStyle w:val="FootnoteReference"/>
        </w:rPr>
        <w:footnoteRef/>
      </w:r>
      <w:r>
        <w:t xml:space="preserve"> </w:t>
      </w:r>
      <w:r w:rsidR="009F0F84">
        <w:tab/>
      </w:r>
      <w:r w:rsidR="00DF0A24" w:rsidRPr="00DF0A24">
        <w:rPr>
          <w:i/>
          <w:iCs/>
        </w:rPr>
        <w:t>Supra</w:t>
      </w:r>
      <w:r w:rsidR="00DF0A24">
        <w:t xml:space="preserve">, note </w:t>
      </w:r>
      <w:r w:rsidR="00DF0A24">
        <w:fldChar w:fldCharType="begin"/>
      </w:r>
      <w:r w:rsidR="00DF0A24">
        <w:instrText xml:space="preserve"> NOTEREF _Ref142493224 \h </w:instrText>
      </w:r>
      <w:r w:rsidR="00DF0A24">
        <w:fldChar w:fldCharType="separate"/>
      </w:r>
      <w:r w:rsidR="00BC04D7">
        <w:t>89</w:t>
      </w:r>
      <w:r w:rsidR="00DF0A24">
        <w:fldChar w:fldCharType="end"/>
      </w:r>
      <w:r w:rsidR="00DF0A24">
        <w:t>, a</w:t>
      </w:r>
      <w:r>
        <w:t>rt 17.</w:t>
      </w:r>
    </w:p>
  </w:footnote>
  <w:footnote w:id="93">
    <w:p w14:paraId="18513BD1" w14:textId="3B471793" w:rsidR="00795866" w:rsidRDefault="00795866" w:rsidP="00C55A62">
      <w:pPr>
        <w:pStyle w:val="FootnoteText"/>
        <w:tabs>
          <w:tab w:val="left" w:pos="284"/>
        </w:tabs>
        <w:ind w:left="284" w:hanging="284"/>
        <w:jc w:val="both"/>
      </w:pPr>
      <w:r>
        <w:rPr>
          <w:rStyle w:val="FootnoteReference"/>
        </w:rPr>
        <w:footnoteRef/>
      </w:r>
      <w:r>
        <w:t xml:space="preserve"> </w:t>
      </w:r>
      <w:r w:rsidR="009F0F84">
        <w:tab/>
      </w:r>
      <w:r w:rsidR="00834613" w:rsidRPr="00DF0A24">
        <w:rPr>
          <w:i/>
          <w:iCs/>
        </w:rPr>
        <w:t>Supra</w:t>
      </w:r>
      <w:r w:rsidR="00834613">
        <w:t xml:space="preserve">, note </w:t>
      </w:r>
      <w:r w:rsidR="00834613">
        <w:fldChar w:fldCharType="begin"/>
      </w:r>
      <w:r w:rsidR="00834613">
        <w:instrText xml:space="preserve"> NOTEREF _Ref142493318 \h </w:instrText>
      </w:r>
      <w:r w:rsidR="00834613">
        <w:fldChar w:fldCharType="separate"/>
      </w:r>
      <w:r w:rsidR="00BC04D7">
        <w:t>88</w:t>
      </w:r>
      <w:r w:rsidR="00834613">
        <w:fldChar w:fldCharType="end"/>
      </w:r>
      <w:r w:rsidR="00834613">
        <w:t>, p</w:t>
      </w:r>
      <w:r w:rsidR="007134C3">
        <w:t>ara 72.</w:t>
      </w:r>
    </w:p>
  </w:footnote>
  <w:footnote w:id="94">
    <w:p w14:paraId="0AE05A6E" w14:textId="511134E5" w:rsidR="0097290D" w:rsidRDefault="0097290D" w:rsidP="00C55A62">
      <w:pPr>
        <w:pStyle w:val="FootnoteText"/>
        <w:tabs>
          <w:tab w:val="left" w:pos="284"/>
        </w:tabs>
        <w:ind w:left="284" w:hanging="284"/>
        <w:jc w:val="both"/>
      </w:pPr>
      <w:r>
        <w:rPr>
          <w:rStyle w:val="FootnoteReference"/>
        </w:rPr>
        <w:footnoteRef/>
      </w:r>
      <w:r>
        <w:t xml:space="preserve"> </w:t>
      </w:r>
      <w:r w:rsidR="009F0F84">
        <w:tab/>
      </w:r>
      <w:r w:rsidR="0072287B" w:rsidRPr="0072287B">
        <w:rPr>
          <w:i/>
          <w:iCs/>
        </w:rPr>
        <w:t>Supra</w:t>
      </w:r>
      <w:r w:rsidR="0072287B">
        <w:t xml:space="preserve">, note </w:t>
      </w:r>
      <w:r w:rsidR="0072287B">
        <w:fldChar w:fldCharType="begin"/>
      </w:r>
      <w:r w:rsidR="0072287B">
        <w:instrText xml:space="preserve"> NOTEREF _Ref142493354 \h </w:instrText>
      </w:r>
      <w:r w:rsidR="0072287B">
        <w:fldChar w:fldCharType="separate"/>
      </w:r>
      <w:r w:rsidR="00BC04D7">
        <w:t>92</w:t>
      </w:r>
      <w:r w:rsidR="0072287B">
        <w:fldChar w:fldCharType="end"/>
      </w:r>
      <w:r w:rsidR="0072287B">
        <w:t>, a</w:t>
      </w:r>
      <w:r>
        <w:t>rt 17(2)(b).</w:t>
      </w:r>
    </w:p>
  </w:footnote>
  <w:footnote w:id="95">
    <w:p w14:paraId="1B6A2CD8" w14:textId="32F7F3FE" w:rsidR="00C70445" w:rsidRDefault="00C70445" w:rsidP="00C55A62">
      <w:pPr>
        <w:pStyle w:val="FootnoteText"/>
        <w:tabs>
          <w:tab w:val="left" w:pos="284"/>
        </w:tabs>
        <w:ind w:left="284" w:hanging="284"/>
        <w:jc w:val="both"/>
      </w:pPr>
      <w:r>
        <w:rPr>
          <w:rStyle w:val="FootnoteReference"/>
        </w:rPr>
        <w:footnoteRef/>
      </w:r>
      <w:r>
        <w:t xml:space="preserve"> </w:t>
      </w:r>
      <w:r w:rsidR="009F0F84">
        <w:tab/>
      </w:r>
      <w:r w:rsidR="0072287B" w:rsidRPr="0072287B">
        <w:rPr>
          <w:i/>
          <w:iCs/>
        </w:rPr>
        <w:t>Ibid</w:t>
      </w:r>
      <w:r w:rsidR="0072287B">
        <w:t>, a</w:t>
      </w:r>
      <w:r>
        <w:t>rt 2(e).</w:t>
      </w:r>
    </w:p>
  </w:footnote>
  <w:footnote w:id="96">
    <w:p w14:paraId="03524EAF" w14:textId="46C425F9" w:rsidR="00C60FAB" w:rsidRDefault="00C60FAB" w:rsidP="00C60FAB">
      <w:pPr>
        <w:pStyle w:val="FootnoteText"/>
        <w:tabs>
          <w:tab w:val="left" w:pos="284"/>
        </w:tabs>
        <w:ind w:left="284" w:hanging="284"/>
        <w:jc w:val="both"/>
      </w:pPr>
      <w:r>
        <w:rPr>
          <w:rStyle w:val="FootnoteReference"/>
        </w:rPr>
        <w:footnoteRef/>
      </w:r>
      <w:r>
        <w:t xml:space="preserve"> </w:t>
      </w:r>
      <w:r>
        <w:tab/>
      </w:r>
      <w:r w:rsidRPr="00E171B0">
        <w:rPr>
          <w:i/>
          <w:iCs/>
        </w:rPr>
        <w:t>Supra</w:t>
      </w:r>
      <w:r>
        <w:t xml:space="preserve">, note </w:t>
      </w:r>
      <w:r>
        <w:fldChar w:fldCharType="begin"/>
      </w:r>
      <w:r>
        <w:instrText xml:space="preserve"> NOTEREF _Ref142493409 \h </w:instrText>
      </w:r>
      <w:r>
        <w:fldChar w:fldCharType="separate"/>
      </w:r>
      <w:r w:rsidR="00FA3FC0">
        <w:t>93</w:t>
      </w:r>
      <w:r>
        <w:fldChar w:fldCharType="end"/>
      </w:r>
      <w:r>
        <w:t>, paras 78 and 79.</w:t>
      </w:r>
    </w:p>
  </w:footnote>
  <w:footnote w:id="97">
    <w:p w14:paraId="23C50576" w14:textId="0220D1EC" w:rsidR="00777095" w:rsidRDefault="00777095" w:rsidP="00C55A62">
      <w:pPr>
        <w:pStyle w:val="FootnoteText"/>
        <w:tabs>
          <w:tab w:val="left" w:pos="284"/>
        </w:tabs>
        <w:ind w:left="284" w:hanging="284"/>
        <w:jc w:val="both"/>
      </w:pPr>
      <w:r>
        <w:rPr>
          <w:rStyle w:val="FootnoteReference"/>
        </w:rPr>
        <w:footnoteRef/>
      </w:r>
      <w:r>
        <w:t xml:space="preserve"> </w:t>
      </w:r>
      <w:r w:rsidR="009F0F84">
        <w:tab/>
      </w:r>
      <w:r w:rsidR="00960404" w:rsidRPr="00960404">
        <w:rPr>
          <w:i/>
          <w:iCs/>
        </w:rPr>
        <w:t>Ibid</w:t>
      </w:r>
      <w:r w:rsidR="00960404">
        <w:t>, p</w:t>
      </w:r>
      <w:r>
        <w:t>ara 85.</w:t>
      </w:r>
    </w:p>
  </w:footnote>
  <w:footnote w:id="98">
    <w:p w14:paraId="2BA76D3B" w14:textId="4021F67E" w:rsidR="00F02CDA" w:rsidRDefault="00F02CDA" w:rsidP="00C55A62">
      <w:pPr>
        <w:pStyle w:val="FootnoteText"/>
        <w:tabs>
          <w:tab w:val="left" w:pos="284"/>
        </w:tabs>
        <w:ind w:left="284" w:hanging="284"/>
        <w:jc w:val="both"/>
      </w:pPr>
      <w:r>
        <w:rPr>
          <w:rStyle w:val="FootnoteReference"/>
        </w:rPr>
        <w:footnoteRef/>
      </w:r>
      <w:r>
        <w:t xml:space="preserve"> </w:t>
      </w:r>
      <w:r w:rsidR="009F0F84">
        <w:tab/>
      </w:r>
      <w:r w:rsidRPr="00960404">
        <w:rPr>
          <w:i/>
          <w:iCs/>
        </w:rPr>
        <w:t>Ibid</w:t>
      </w:r>
      <w:r>
        <w:t>.</w:t>
      </w:r>
    </w:p>
  </w:footnote>
  <w:footnote w:id="99">
    <w:p w14:paraId="711E7F20" w14:textId="0239D6C6" w:rsidR="0009578B" w:rsidRDefault="0009578B" w:rsidP="00C55A62">
      <w:pPr>
        <w:pStyle w:val="FootnoteText"/>
        <w:tabs>
          <w:tab w:val="left" w:pos="284"/>
        </w:tabs>
        <w:ind w:left="284" w:hanging="284"/>
        <w:jc w:val="both"/>
      </w:pPr>
      <w:r>
        <w:rPr>
          <w:rStyle w:val="FootnoteReference"/>
        </w:rPr>
        <w:footnoteRef/>
      </w:r>
      <w:r>
        <w:t xml:space="preserve"> </w:t>
      </w:r>
      <w:r w:rsidR="009F0F84">
        <w:tab/>
      </w:r>
      <w:r w:rsidR="00C96B4B" w:rsidRPr="00C96B4B">
        <w:rPr>
          <w:i/>
          <w:iCs/>
        </w:rPr>
        <w:t>Re OJSC International Bank of Azerbaijan [2018] EWCA Civ 2802</w:t>
      </w:r>
      <w:r w:rsidR="00C96B4B" w:rsidRPr="00C96B4B">
        <w:t>,</w:t>
      </w:r>
      <w:r w:rsidR="00487F60">
        <w:t xml:space="preserve"> para 95.</w:t>
      </w:r>
    </w:p>
  </w:footnote>
  <w:footnote w:id="100">
    <w:p w14:paraId="78ECCFCF" w14:textId="374CCEE8" w:rsidR="009E5AFA" w:rsidRDefault="009E5AFA" w:rsidP="00C55A62">
      <w:pPr>
        <w:pStyle w:val="FootnoteText"/>
        <w:tabs>
          <w:tab w:val="left" w:pos="284"/>
        </w:tabs>
        <w:ind w:left="284" w:hanging="284"/>
        <w:jc w:val="both"/>
      </w:pPr>
      <w:r>
        <w:rPr>
          <w:rStyle w:val="FootnoteReference"/>
        </w:rPr>
        <w:footnoteRef/>
      </w:r>
      <w:r>
        <w:t xml:space="preserve"> </w:t>
      </w:r>
      <w:r w:rsidR="009F0F84">
        <w:tab/>
      </w:r>
      <w:r w:rsidR="00C96B4B" w:rsidRPr="002D3CCE">
        <w:rPr>
          <w:i/>
          <w:iCs/>
        </w:rPr>
        <w:t>Supra</w:t>
      </w:r>
      <w:r w:rsidR="00C96B4B">
        <w:t xml:space="preserve">, note </w:t>
      </w:r>
      <w:r w:rsidR="00C96B4B">
        <w:fldChar w:fldCharType="begin"/>
      </w:r>
      <w:r w:rsidR="00C96B4B">
        <w:instrText xml:space="preserve"> NOTEREF _Ref142493663 \h </w:instrText>
      </w:r>
      <w:r w:rsidR="00C96B4B">
        <w:fldChar w:fldCharType="separate"/>
      </w:r>
      <w:r w:rsidR="00BC04D7">
        <w:t>90</w:t>
      </w:r>
      <w:r w:rsidR="00C96B4B">
        <w:fldChar w:fldCharType="end"/>
      </w:r>
      <w:r w:rsidR="00C96B4B">
        <w:t xml:space="preserve">, </w:t>
      </w:r>
      <w:r w:rsidRPr="004272DC">
        <w:rPr>
          <w:i/>
          <w:iCs/>
        </w:rPr>
        <w:t xml:space="preserve">§ </w:t>
      </w:r>
      <w:r w:rsidR="00F06C9B">
        <w:rPr>
          <w:i/>
          <w:iCs/>
        </w:rPr>
        <w:t>1517</w:t>
      </w:r>
      <w:r w:rsidR="005108FD">
        <w:rPr>
          <w:i/>
          <w:iCs/>
        </w:rPr>
        <w:t>(a)</w:t>
      </w:r>
      <w:r w:rsidRPr="004272DC">
        <w:t>.</w:t>
      </w:r>
    </w:p>
  </w:footnote>
  <w:footnote w:id="101">
    <w:p w14:paraId="1FA5B450" w14:textId="29B94CB3" w:rsidR="00415DDF" w:rsidRDefault="00415DDF" w:rsidP="001A6A68">
      <w:pPr>
        <w:pStyle w:val="FootnoteText"/>
        <w:tabs>
          <w:tab w:val="left" w:pos="284"/>
        </w:tabs>
        <w:ind w:left="284" w:hanging="284"/>
        <w:jc w:val="both"/>
      </w:pPr>
      <w:r>
        <w:rPr>
          <w:rStyle w:val="FootnoteReference"/>
        </w:rPr>
        <w:footnoteRef/>
      </w:r>
      <w:r>
        <w:t xml:space="preserve"> </w:t>
      </w:r>
      <w:r w:rsidR="00C55A62">
        <w:tab/>
      </w:r>
      <w:r>
        <w:t>The Withdrawal Agreement was endorsed by the EU leaders in its original form on 25 November 2018 and in its revised form on 17 October 2019.</w:t>
      </w:r>
    </w:p>
  </w:footnote>
  <w:footnote w:id="102">
    <w:p w14:paraId="68345169" w14:textId="5B1C3EA0" w:rsidR="006F7FA9" w:rsidRDefault="006F7FA9" w:rsidP="00C55A62">
      <w:pPr>
        <w:pStyle w:val="FootnoteText"/>
        <w:tabs>
          <w:tab w:val="left" w:pos="284"/>
        </w:tabs>
        <w:ind w:left="284" w:hanging="284"/>
        <w:jc w:val="both"/>
      </w:pPr>
      <w:r>
        <w:rPr>
          <w:rStyle w:val="FootnoteReference"/>
        </w:rPr>
        <w:footnoteRef/>
      </w:r>
      <w:r>
        <w:t xml:space="preserve"> </w:t>
      </w:r>
      <w:r w:rsidR="00C55A62">
        <w:tab/>
      </w:r>
      <w:r>
        <w:t>Reference to the Member States exclude Denmark and the UK for the period after the end of the Transition Period.</w:t>
      </w:r>
      <w:r w:rsidR="0013374E">
        <w:t xml:space="preserve">  </w:t>
      </w:r>
      <w:r w:rsidR="00FC183D">
        <w:t>See a</w:t>
      </w:r>
      <w:r w:rsidR="0013374E">
        <w:t xml:space="preserve">lso </w:t>
      </w:r>
      <w:r w:rsidR="00FC183D">
        <w:t xml:space="preserve">note </w:t>
      </w:r>
      <w:r w:rsidR="00FC183D">
        <w:fldChar w:fldCharType="begin"/>
      </w:r>
      <w:r w:rsidR="00FC183D">
        <w:instrText xml:space="preserve"> NOTEREF _Ref142493760 \h </w:instrText>
      </w:r>
      <w:r w:rsidR="00FC183D">
        <w:fldChar w:fldCharType="separate"/>
      </w:r>
      <w:r w:rsidR="00BC04D7">
        <w:t>38</w:t>
      </w:r>
      <w:r w:rsidR="00FC183D">
        <w:fldChar w:fldCharType="end"/>
      </w:r>
      <w:r w:rsidR="0013374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5695"/>
    <w:multiLevelType w:val="hybridMultilevel"/>
    <w:tmpl w:val="15AA6EFE"/>
    <w:lvl w:ilvl="0" w:tplc="899EE7C6">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407A7"/>
    <w:multiLevelType w:val="hybridMultilevel"/>
    <w:tmpl w:val="7ADA68B6"/>
    <w:lvl w:ilvl="0" w:tplc="E42C11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66302"/>
    <w:multiLevelType w:val="hybridMultilevel"/>
    <w:tmpl w:val="36F8405C"/>
    <w:lvl w:ilvl="0" w:tplc="E42C11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D501B"/>
    <w:multiLevelType w:val="hybridMultilevel"/>
    <w:tmpl w:val="85409142"/>
    <w:lvl w:ilvl="0" w:tplc="192868C4">
      <w:start w:val="1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0702B"/>
    <w:multiLevelType w:val="hybridMultilevel"/>
    <w:tmpl w:val="AECC59B6"/>
    <w:lvl w:ilvl="0" w:tplc="25BC12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85CA1"/>
    <w:multiLevelType w:val="hybridMultilevel"/>
    <w:tmpl w:val="15C44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2E1539"/>
    <w:multiLevelType w:val="hybridMultilevel"/>
    <w:tmpl w:val="A77E0A66"/>
    <w:lvl w:ilvl="0" w:tplc="F3C0D6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E859D2"/>
    <w:multiLevelType w:val="hybridMultilevel"/>
    <w:tmpl w:val="EAD22974"/>
    <w:lvl w:ilvl="0" w:tplc="14C07A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2A1D6D"/>
    <w:multiLevelType w:val="hybridMultilevel"/>
    <w:tmpl w:val="E01E73CC"/>
    <w:lvl w:ilvl="0" w:tplc="9CB2FCF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64D6F"/>
    <w:multiLevelType w:val="hybridMultilevel"/>
    <w:tmpl w:val="D778AF6A"/>
    <w:lvl w:ilvl="0" w:tplc="0D360B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0B6F08"/>
    <w:multiLevelType w:val="hybridMultilevel"/>
    <w:tmpl w:val="E9B679AE"/>
    <w:lvl w:ilvl="0" w:tplc="0C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7D3F9E"/>
    <w:multiLevelType w:val="hybridMultilevel"/>
    <w:tmpl w:val="EEE2FF5C"/>
    <w:lvl w:ilvl="0" w:tplc="E42C11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2118F4"/>
    <w:multiLevelType w:val="hybridMultilevel"/>
    <w:tmpl w:val="03D673F4"/>
    <w:lvl w:ilvl="0" w:tplc="0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D76A71"/>
    <w:multiLevelType w:val="hybridMultilevel"/>
    <w:tmpl w:val="70EED7B0"/>
    <w:lvl w:ilvl="0" w:tplc="E42C11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2A19A1"/>
    <w:multiLevelType w:val="hybridMultilevel"/>
    <w:tmpl w:val="D096BEC0"/>
    <w:lvl w:ilvl="0" w:tplc="1F321AD6">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413AED"/>
    <w:multiLevelType w:val="hybridMultilevel"/>
    <w:tmpl w:val="682CEF56"/>
    <w:lvl w:ilvl="0" w:tplc="9D184B6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7036C"/>
    <w:multiLevelType w:val="hybridMultilevel"/>
    <w:tmpl w:val="9A065BA2"/>
    <w:lvl w:ilvl="0" w:tplc="A07ADF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E54F5E"/>
    <w:multiLevelType w:val="hybridMultilevel"/>
    <w:tmpl w:val="5C580904"/>
    <w:lvl w:ilvl="0" w:tplc="9E0A69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272D55"/>
    <w:multiLevelType w:val="hybridMultilevel"/>
    <w:tmpl w:val="35B84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1D1997"/>
    <w:multiLevelType w:val="hybridMultilevel"/>
    <w:tmpl w:val="3B84BBBC"/>
    <w:lvl w:ilvl="0" w:tplc="03788B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D0326F"/>
    <w:multiLevelType w:val="hybridMultilevel"/>
    <w:tmpl w:val="490CA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BF0040"/>
    <w:multiLevelType w:val="hybridMultilevel"/>
    <w:tmpl w:val="C08C5E34"/>
    <w:lvl w:ilvl="0" w:tplc="F95CF7E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2636224">
    <w:abstractNumId w:val="14"/>
  </w:num>
  <w:num w:numId="2" w16cid:durableId="249656711">
    <w:abstractNumId w:val="3"/>
  </w:num>
  <w:num w:numId="3" w16cid:durableId="1977176499">
    <w:abstractNumId w:val="21"/>
  </w:num>
  <w:num w:numId="4" w16cid:durableId="994529717">
    <w:abstractNumId w:val="15"/>
  </w:num>
  <w:num w:numId="5" w16cid:durableId="899249647">
    <w:abstractNumId w:val="20"/>
  </w:num>
  <w:num w:numId="6" w16cid:durableId="1037657001">
    <w:abstractNumId w:val="18"/>
  </w:num>
  <w:num w:numId="7" w16cid:durableId="1741177853">
    <w:abstractNumId w:val="5"/>
  </w:num>
  <w:num w:numId="8" w16cid:durableId="937056950">
    <w:abstractNumId w:val="8"/>
  </w:num>
  <w:num w:numId="9" w16cid:durableId="1164006440">
    <w:abstractNumId w:val="12"/>
  </w:num>
  <w:num w:numId="10" w16cid:durableId="1297178737">
    <w:abstractNumId w:val="4"/>
  </w:num>
  <w:num w:numId="11" w16cid:durableId="1374618396">
    <w:abstractNumId w:val="10"/>
  </w:num>
  <w:num w:numId="12" w16cid:durableId="923950177">
    <w:abstractNumId w:val="11"/>
  </w:num>
  <w:num w:numId="13" w16cid:durableId="1278176122">
    <w:abstractNumId w:val="19"/>
  </w:num>
  <w:num w:numId="14" w16cid:durableId="1542671439">
    <w:abstractNumId w:val="13"/>
  </w:num>
  <w:num w:numId="15" w16cid:durableId="449053370">
    <w:abstractNumId w:val="16"/>
  </w:num>
  <w:num w:numId="16" w16cid:durableId="501358904">
    <w:abstractNumId w:val="1"/>
  </w:num>
  <w:num w:numId="17" w16cid:durableId="811680201">
    <w:abstractNumId w:val="7"/>
  </w:num>
  <w:num w:numId="18" w16cid:durableId="1497912702">
    <w:abstractNumId w:val="2"/>
  </w:num>
  <w:num w:numId="19" w16cid:durableId="2123105152">
    <w:abstractNumId w:val="9"/>
  </w:num>
  <w:num w:numId="20" w16cid:durableId="1862010668">
    <w:abstractNumId w:val="17"/>
  </w:num>
  <w:num w:numId="21" w16cid:durableId="350453599">
    <w:abstractNumId w:val="0"/>
  </w:num>
  <w:num w:numId="22" w16cid:durableId="7311246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A5"/>
    <w:rsid w:val="00000634"/>
    <w:rsid w:val="000010B9"/>
    <w:rsid w:val="00001E79"/>
    <w:rsid w:val="000022AF"/>
    <w:rsid w:val="0000233E"/>
    <w:rsid w:val="000026C8"/>
    <w:rsid w:val="000029E5"/>
    <w:rsid w:val="00002B52"/>
    <w:rsid w:val="00002D6E"/>
    <w:rsid w:val="0000310E"/>
    <w:rsid w:val="00003135"/>
    <w:rsid w:val="000033E6"/>
    <w:rsid w:val="000034A7"/>
    <w:rsid w:val="0000368F"/>
    <w:rsid w:val="00003E6D"/>
    <w:rsid w:val="000040DA"/>
    <w:rsid w:val="00004718"/>
    <w:rsid w:val="00004725"/>
    <w:rsid w:val="00004771"/>
    <w:rsid w:val="00004A14"/>
    <w:rsid w:val="00004A15"/>
    <w:rsid w:val="00004E05"/>
    <w:rsid w:val="00005965"/>
    <w:rsid w:val="00005BB1"/>
    <w:rsid w:val="00005F3E"/>
    <w:rsid w:val="000064AB"/>
    <w:rsid w:val="000065C7"/>
    <w:rsid w:val="00006845"/>
    <w:rsid w:val="00006AFA"/>
    <w:rsid w:val="000072AB"/>
    <w:rsid w:val="00007352"/>
    <w:rsid w:val="000078E2"/>
    <w:rsid w:val="000078EE"/>
    <w:rsid w:val="00011B16"/>
    <w:rsid w:val="00011DCF"/>
    <w:rsid w:val="00012F0D"/>
    <w:rsid w:val="00013FCF"/>
    <w:rsid w:val="000140EA"/>
    <w:rsid w:val="0001497B"/>
    <w:rsid w:val="00014BC7"/>
    <w:rsid w:val="00014FBC"/>
    <w:rsid w:val="0001502A"/>
    <w:rsid w:val="00015B10"/>
    <w:rsid w:val="000167FB"/>
    <w:rsid w:val="00016CB1"/>
    <w:rsid w:val="000173D3"/>
    <w:rsid w:val="000177FB"/>
    <w:rsid w:val="00017F34"/>
    <w:rsid w:val="0002063B"/>
    <w:rsid w:val="00020A04"/>
    <w:rsid w:val="00020DAB"/>
    <w:rsid w:val="00021277"/>
    <w:rsid w:val="00021961"/>
    <w:rsid w:val="00021DD7"/>
    <w:rsid w:val="00022607"/>
    <w:rsid w:val="00022DE7"/>
    <w:rsid w:val="000231A6"/>
    <w:rsid w:val="0002329F"/>
    <w:rsid w:val="000240E4"/>
    <w:rsid w:val="000247F2"/>
    <w:rsid w:val="00024A3B"/>
    <w:rsid w:val="00024CC0"/>
    <w:rsid w:val="000259C2"/>
    <w:rsid w:val="000279F7"/>
    <w:rsid w:val="00027B36"/>
    <w:rsid w:val="00027C6E"/>
    <w:rsid w:val="00027D06"/>
    <w:rsid w:val="00030443"/>
    <w:rsid w:val="00031215"/>
    <w:rsid w:val="00031673"/>
    <w:rsid w:val="000326EC"/>
    <w:rsid w:val="00032942"/>
    <w:rsid w:val="00032B6F"/>
    <w:rsid w:val="00033E30"/>
    <w:rsid w:val="00034AC8"/>
    <w:rsid w:val="00034D5A"/>
    <w:rsid w:val="00035B96"/>
    <w:rsid w:val="00036134"/>
    <w:rsid w:val="000364E3"/>
    <w:rsid w:val="00036EE2"/>
    <w:rsid w:val="0003703A"/>
    <w:rsid w:val="00040B44"/>
    <w:rsid w:val="00041202"/>
    <w:rsid w:val="000414A6"/>
    <w:rsid w:val="00041729"/>
    <w:rsid w:val="000419E0"/>
    <w:rsid w:val="00042623"/>
    <w:rsid w:val="00044764"/>
    <w:rsid w:val="00044C53"/>
    <w:rsid w:val="00046207"/>
    <w:rsid w:val="000465D5"/>
    <w:rsid w:val="0004667F"/>
    <w:rsid w:val="00046D76"/>
    <w:rsid w:val="00046E15"/>
    <w:rsid w:val="00047AD1"/>
    <w:rsid w:val="00050404"/>
    <w:rsid w:val="00051EC9"/>
    <w:rsid w:val="0005200C"/>
    <w:rsid w:val="00052262"/>
    <w:rsid w:val="00052706"/>
    <w:rsid w:val="00053125"/>
    <w:rsid w:val="000531F1"/>
    <w:rsid w:val="00053DB4"/>
    <w:rsid w:val="0005497C"/>
    <w:rsid w:val="000549F3"/>
    <w:rsid w:val="00054B7D"/>
    <w:rsid w:val="000553DB"/>
    <w:rsid w:val="0005544A"/>
    <w:rsid w:val="000558E6"/>
    <w:rsid w:val="000558FE"/>
    <w:rsid w:val="000566F8"/>
    <w:rsid w:val="000611BE"/>
    <w:rsid w:val="0006124C"/>
    <w:rsid w:val="000614B3"/>
    <w:rsid w:val="00061EAF"/>
    <w:rsid w:val="000627B5"/>
    <w:rsid w:val="000642F8"/>
    <w:rsid w:val="00065081"/>
    <w:rsid w:val="0006532B"/>
    <w:rsid w:val="000664AB"/>
    <w:rsid w:val="000665A9"/>
    <w:rsid w:val="00066C65"/>
    <w:rsid w:val="000674BC"/>
    <w:rsid w:val="00067B76"/>
    <w:rsid w:val="00067BEC"/>
    <w:rsid w:val="00070411"/>
    <w:rsid w:val="0007092C"/>
    <w:rsid w:val="00071341"/>
    <w:rsid w:val="0007138A"/>
    <w:rsid w:val="00071921"/>
    <w:rsid w:val="00071B1C"/>
    <w:rsid w:val="0007290C"/>
    <w:rsid w:val="0007311D"/>
    <w:rsid w:val="000736E7"/>
    <w:rsid w:val="00074003"/>
    <w:rsid w:val="0007477A"/>
    <w:rsid w:val="00074BBA"/>
    <w:rsid w:val="00075022"/>
    <w:rsid w:val="000752EF"/>
    <w:rsid w:val="00076387"/>
    <w:rsid w:val="0007695B"/>
    <w:rsid w:val="00076AB7"/>
    <w:rsid w:val="00076AB9"/>
    <w:rsid w:val="00076CCD"/>
    <w:rsid w:val="00076D80"/>
    <w:rsid w:val="00080A07"/>
    <w:rsid w:val="00080A98"/>
    <w:rsid w:val="00081159"/>
    <w:rsid w:val="000813D5"/>
    <w:rsid w:val="00081F56"/>
    <w:rsid w:val="00082061"/>
    <w:rsid w:val="000824EF"/>
    <w:rsid w:val="00082754"/>
    <w:rsid w:val="000834AC"/>
    <w:rsid w:val="00083A16"/>
    <w:rsid w:val="0008436B"/>
    <w:rsid w:val="0008525F"/>
    <w:rsid w:val="00085E13"/>
    <w:rsid w:val="00086C59"/>
    <w:rsid w:val="000876CF"/>
    <w:rsid w:val="000903A2"/>
    <w:rsid w:val="000904FE"/>
    <w:rsid w:val="0009124C"/>
    <w:rsid w:val="0009130F"/>
    <w:rsid w:val="00091807"/>
    <w:rsid w:val="00091B30"/>
    <w:rsid w:val="00091D8A"/>
    <w:rsid w:val="00092503"/>
    <w:rsid w:val="00092EAF"/>
    <w:rsid w:val="0009318F"/>
    <w:rsid w:val="00093C42"/>
    <w:rsid w:val="00093CEA"/>
    <w:rsid w:val="00093FFC"/>
    <w:rsid w:val="000945DF"/>
    <w:rsid w:val="00095097"/>
    <w:rsid w:val="000951DD"/>
    <w:rsid w:val="000956B8"/>
    <w:rsid w:val="0009578B"/>
    <w:rsid w:val="00095EFD"/>
    <w:rsid w:val="00096573"/>
    <w:rsid w:val="00097711"/>
    <w:rsid w:val="00097A28"/>
    <w:rsid w:val="00097AEF"/>
    <w:rsid w:val="000A0A42"/>
    <w:rsid w:val="000A0FE9"/>
    <w:rsid w:val="000A1727"/>
    <w:rsid w:val="000A3039"/>
    <w:rsid w:val="000A31CA"/>
    <w:rsid w:val="000A3AF2"/>
    <w:rsid w:val="000A4F40"/>
    <w:rsid w:val="000A4F89"/>
    <w:rsid w:val="000A5C10"/>
    <w:rsid w:val="000A60C2"/>
    <w:rsid w:val="000A7C7A"/>
    <w:rsid w:val="000B06E4"/>
    <w:rsid w:val="000B0BE9"/>
    <w:rsid w:val="000B1162"/>
    <w:rsid w:val="000B146F"/>
    <w:rsid w:val="000B270E"/>
    <w:rsid w:val="000B2851"/>
    <w:rsid w:val="000B2863"/>
    <w:rsid w:val="000B3B99"/>
    <w:rsid w:val="000B3E56"/>
    <w:rsid w:val="000B5769"/>
    <w:rsid w:val="000B6863"/>
    <w:rsid w:val="000B69A7"/>
    <w:rsid w:val="000B6E04"/>
    <w:rsid w:val="000B76BB"/>
    <w:rsid w:val="000B7D31"/>
    <w:rsid w:val="000C0082"/>
    <w:rsid w:val="000C0622"/>
    <w:rsid w:val="000C06E1"/>
    <w:rsid w:val="000C06E8"/>
    <w:rsid w:val="000C07ED"/>
    <w:rsid w:val="000C0D76"/>
    <w:rsid w:val="000C10DF"/>
    <w:rsid w:val="000C135C"/>
    <w:rsid w:val="000C1458"/>
    <w:rsid w:val="000C15EB"/>
    <w:rsid w:val="000C1D2E"/>
    <w:rsid w:val="000C1DC0"/>
    <w:rsid w:val="000C2878"/>
    <w:rsid w:val="000C29A2"/>
    <w:rsid w:val="000C2B1C"/>
    <w:rsid w:val="000C2E7D"/>
    <w:rsid w:val="000C3F0D"/>
    <w:rsid w:val="000C43E3"/>
    <w:rsid w:val="000C4978"/>
    <w:rsid w:val="000C5F8F"/>
    <w:rsid w:val="000C5FEC"/>
    <w:rsid w:val="000C6304"/>
    <w:rsid w:val="000C7086"/>
    <w:rsid w:val="000C7A82"/>
    <w:rsid w:val="000D0BFE"/>
    <w:rsid w:val="000D14D8"/>
    <w:rsid w:val="000D2089"/>
    <w:rsid w:val="000D2F4E"/>
    <w:rsid w:val="000D361B"/>
    <w:rsid w:val="000D3D4A"/>
    <w:rsid w:val="000D4A61"/>
    <w:rsid w:val="000D4AFA"/>
    <w:rsid w:val="000D4BDB"/>
    <w:rsid w:val="000D53A9"/>
    <w:rsid w:val="000D674E"/>
    <w:rsid w:val="000D6D42"/>
    <w:rsid w:val="000D7667"/>
    <w:rsid w:val="000D7ADE"/>
    <w:rsid w:val="000E0367"/>
    <w:rsid w:val="000E06BD"/>
    <w:rsid w:val="000E1953"/>
    <w:rsid w:val="000E2320"/>
    <w:rsid w:val="000E3506"/>
    <w:rsid w:val="000E361E"/>
    <w:rsid w:val="000E4140"/>
    <w:rsid w:val="000E458D"/>
    <w:rsid w:val="000E47D2"/>
    <w:rsid w:val="000E4B45"/>
    <w:rsid w:val="000E4C82"/>
    <w:rsid w:val="000E575F"/>
    <w:rsid w:val="000E5CD9"/>
    <w:rsid w:val="000E62C2"/>
    <w:rsid w:val="000E636B"/>
    <w:rsid w:val="000E63B3"/>
    <w:rsid w:val="000E6674"/>
    <w:rsid w:val="000E7548"/>
    <w:rsid w:val="000E7B75"/>
    <w:rsid w:val="000E7D07"/>
    <w:rsid w:val="000E7EC6"/>
    <w:rsid w:val="000E7F5A"/>
    <w:rsid w:val="000F0534"/>
    <w:rsid w:val="000F0868"/>
    <w:rsid w:val="000F0CDB"/>
    <w:rsid w:val="000F11C8"/>
    <w:rsid w:val="000F127E"/>
    <w:rsid w:val="000F1E7E"/>
    <w:rsid w:val="000F1FC6"/>
    <w:rsid w:val="000F2378"/>
    <w:rsid w:val="000F4023"/>
    <w:rsid w:val="000F41D5"/>
    <w:rsid w:val="000F54CB"/>
    <w:rsid w:val="000F5FB3"/>
    <w:rsid w:val="000F60F9"/>
    <w:rsid w:val="000F66F7"/>
    <w:rsid w:val="000F697B"/>
    <w:rsid w:val="000F699C"/>
    <w:rsid w:val="000F736E"/>
    <w:rsid w:val="0010157C"/>
    <w:rsid w:val="0010158D"/>
    <w:rsid w:val="00101832"/>
    <w:rsid w:val="00102AF3"/>
    <w:rsid w:val="00103086"/>
    <w:rsid w:val="00103C7E"/>
    <w:rsid w:val="0010410B"/>
    <w:rsid w:val="00104128"/>
    <w:rsid w:val="00104450"/>
    <w:rsid w:val="001049DD"/>
    <w:rsid w:val="00105465"/>
    <w:rsid w:val="0010569E"/>
    <w:rsid w:val="0010593C"/>
    <w:rsid w:val="00105C4E"/>
    <w:rsid w:val="001061D4"/>
    <w:rsid w:val="00106477"/>
    <w:rsid w:val="00106B0C"/>
    <w:rsid w:val="00107593"/>
    <w:rsid w:val="00110465"/>
    <w:rsid w:val="0011152C"/>
    <w:rsid w:val="001115B3"/>
    <w:rsid w:val="00111910"/>
    <w:rsid w:val="00112043"/>
    <w:rsid w:val="001121B0"/>
    <w:rsid w:val="00112B51"/>
    <w:rsid w:val="001165CC"/>
    <w:rsid w:val="00116722"/>
    <w:rsid w:val="0011748E"/>
    <w:rsid w:val="00117BB5"/>
    <w:rsid w:val="001200C9"/>
    <w:rsid w:val="0012019E"/>
    <w:rsid w:val="00120AC7"/>
    <w:rsid w:val="001226BB"/>
    <w:rsid w:val="00122712"/>
    <w:rsid w:val="0012292E"/>
    <w:rsid w:val="00122D81"/>
    <w:rsid w:val="001230B3"/>
    <w:rsid w:val="001232CA"/>
    <w:rsid w:val="0012395C"/>
    <w:rsid w:val="00124C4F"/>
    <w:rsid w:val="00124DEC"/>
    <w:rsid w:val="00125441"/>
    <w:rsid w:val="00125809"/>
    <w:rsid w:val="00125854"/>
    <w:rsid w:val="00125D58"/>
    <w:rsid w:val="0012656C"/>
    <w:rsid w:val="00126910"/>
    <w:rsid w:val="00127188"/>
    <w:rsid w:val="00130153"/>
    <w:rsid w:val="001301A8"/>
    <w:rsid w:val="00130393"/>
    <w:rsid w:val="001312E6"/>
    <w:rsid w:val="00131C0E"/>
    <w:rsid w:val="0013219F"/>
    <w:rsid w:val="00132F15"/>
    <w:rsid w:val="0013374E"/>
    <w:rsid w:val="00133AE7"/>
    <w:rsid w:val="00133CCD"/>
    <w:rsid w:val="0013468A"/>
    <w:rsid w:val="001351A0"/>
    <w:rsid w:val="001351CE"/>
    <w:rsid w:val="00135312"/>
    <w:rsid w:val="001355CE"/>
    <w:rsid w:val="00136252"/>
    <w:rsid w:val="001363E6"/>
    <w:rsid w:val="00136A2E"/>
    <w:rsid w:val="00136ED3"/>
    <w:rsid w:val="001370FC"/>
    <w:rsid w:val="0013735D"/>
    <w:rsid w:val="0014073A"/>
    <w:rsid w:val="00140982"/>
    <w:rsid w:val="00141739"/>
    <w:rsid w:val="0014287A"/>
    <w:rsid w:val="00144166"/>
    <w:rsid w:val="00144181"/>
    <w:rsid w:val="001443E0"/>
    <w:rsid w:val="001446F2"/>
    <w:rsid w:val="001452B0"/>
    <w:rsid w:val="00145A59"/>
    <w:rsid w:val="00145B05"/>
    <w:rsid w:val="00145E5F"/>
    <w:rsid w:val="00147B8C"/>
    <w:rsid w:val="001512FE"/>
    <w:rsid w:val="001524D2"/>
    <w:rsid w:val="00152ACF"/>
    <w:rsid w:val="001531A2"/>
    <w:rsid w:val="001540B0"/>
    <w:rsid w:val="00154E59"/>
    <w:rsid w:val="001550A6"/>
    <w:rsid w:val="001554FB"/>
    <w:rsid w:val="001556E6"/>
    <w:rsid w:val="001556F7"/>
    <w:rsid w:val="00155F9E"/>
    <w:rsid w:val="00156505"/>
    <w:rsid w:val="00156543"/>
    <w:rsid w:val="00156583"/>
    <w:rsid w:val="00156C88"/>
    <w:rsid w:val="00157074"/>
    <w:rsid w:val="0015776E"/>
    <w:rsid w:val="00157E50"/>
    <w:rsid w:val="00160CCB"/>
    <w:rsid w:val="00160D71"/>
    <w:rsid w:val="001624CC"/>
    <w:rsid w:val="001629BE"/>
    <w:rsid w:val="00162C3E"/>
    <w:rsid w:val="00163253"/>
    <w:rsid w:val="001633DE"/>
    <w:rsid w:val="0016352D"/>
    <w:rsid w:val="00164163"/>
    <w:rsid w:val="00164A24"/>
    <w:rsid w:val="00164F6B"/>
    <w:rsid w:val="0016594F"/>
    <w:rsid w:val="00165C16"/>
    <w:rsid w:val="00165DD5"/>
    <w:rsid w:val="0016605D"/>
    <w:rsid w:val="00166745"/>
    <w:rsid w:val="0016696D"/>
    <w:rsid w:val="0016749A"/>
    <w:rsid w:val="001701DC"/>
    <w:rsid w:val="00170884"/>
    <w:rsid w:val="0017178F"/>
    <w:rsid w:val="0017224F"/>
    <w:rsid w:val="00173D6D"/>
    <w:rsid w:val="00173E92"/>
    <w:rsid w:val="0017490F"/>
    <w:rsid w:val="00174D03"/>
    <w:rsid w:val="0017502B"/>
    <w:rsid w:val="00175135"/>
    <w:rsid w:val="001753E7"/>
    <w:rsid w:val="00175CE1"/>
    <w:rsid w:val="001772FE"/>
    <w:rsid w:val="001773ED"/>
    <w:rsid w:val="001816D4"/>
    <w:rsid w:val="001817FF"/>
    <w:rsid w:val="00182435"/>
    <w:rsid w:val="00182821"/>
    <w:rsid w:val="001831B2"/>
    <w:rsid w:val="00183C60"/>
    <w:rsid w:val="00185097"/>
    <w:rsid w:val="00186002"/>
    <w:rsid w:val="001872B7"/>
    <w:rsid w:val="00190B59"/>
    <w:rsid w:val="001911C2"/>
    <w:rsid w:val="001911EA"/>
    <w:rsid w:val="00192265"/>
    <w:rsid w:val="00192C6E"/>
    <w:rsid w:val="001932FF"/>
    <w:rsid w:val="0019365A"/>
    <w:rsid w:val="00193A29"/>
    <w:rsid w:val="00193DE8"/>
    <w:rsid w:val="00194082"/>
    <w:rsid w:val="0019439E"/>
    <w:rsid w:val="001951FB"/>
    <w:rsid w:val="00195810"/>
    <w:rsid w:val="00195EDE"/>
    <w:rsid w:val="001960A6"/>
    <w:rsid w:val="001969C7"/>
    <w:rsid w:val="00196A91"/>
    <w:rsid w:val="0019709E"/>
    <w:rsid w:val="001970BB"/>
    <w:rsid w:val="001970C7"/>
    <w:rsid w:val="00197321"/>
    <w:rsid w:val="001A02E0"/>
    <w:rsid w:val="001A0648"/>
    <w:rsid w:val="001A07F0"/>
    <w:rsid w:val="001A0A2A"/>
    <w:rsid w:val="001A0CE3"/>
    <w:rsid w:val="001A1306"/>
    <w:rsid w:val="001A1907"/>
    <w:rsid w:val="001A20D1"/>
    <w:rsid w:val="001A22E3"/>
    <w:rsid w:val="001A239A"/>
    <w:rsid w:val="001A288E"/>
    <w:rsid w:val="001A4105"/>
    <w:rsid w:val="001A41C4"/>
    <w:rsid w:val="001A4C1B"/>
    <w:rsid w:val="001A58F9"/>
    <w:rsid w:val="001A5925"/>
    <w:rsid w:val="001A5E1D"/>
    <w:rsid w:val="001A5FFC"/>
    <w:rsid w:val="001A6596"/>
    <w:rsid w:val="001A668A"/>
    <w:rsid w:val="001A6A68"/>
    <w:rsid w:val="001A6F28"/>
    <w:rsid w:val="001A71B3"/>
    <w:rsid w:val="001A7AB8"/>
    <w:rsid w:val="001A7BAE"/>
    <w:rsid w:val="001A7CBE"/>
    <w:rsid w:val="001B0783"/>
    <w:rsid w:val="001B07F2"/>
    <w:rsid w:val="001B0D7B"/>
    <w:rsid w:val="001B11D0"/>
    <w:rsid w:val="001B1866"/>
    <w:rsid w:val="001B1C21"/>
    <w:rsid w:val="001B204F"/>
    <w:rsid w:val="001B2428"/>
    <w:rsid w:val="001B2D9F"/>
    <w:rsid w:val="001B2E97"/>
    <w:rsid w:val="001B2F36"/>
    <w:rsid w:val="001B3253"/>
    <w:rsid w:val="001B34E1"/>
    <w:rsid w:val="001B3C10"/>
    <w:rsid w:val="001B3F43"/>
    <w:rsid w:val="001B4360"/>
    <w:rsid w:val="001B4667"/>
    <w:rsid w:val="001B490D"/>
    <w:rsid w:val="001B5666"/>
    <w:rsid w:val="001B5830"/>
    <w:rsid w:val="001B58EF"/>
    <w:rsid w:val="001B5C45"/>
    <w:rsid w:val="001B5D13"/>
    <w:rsid w:val="001B704F"/>
    <w:rsid w:val="001B7C10"/>
    <w:rsid w:val="001B7E69"/>
    <w:rsid w:val="001C01BD"/>
    <w:rsid w:val="001C0205"/>
    <w:rsid w:val="001C08E1"/>
    <w:rsid w:val="001C0C88"/>
    <w:rsid w:val="001C0F10"/>
    <w:rsid w:val="001C1758"/>
    <w:rsid w:val="001C2108"/>
    <w:rsid w:val="001C2F86"/>
    <w:rsid w:val="001C3043"/>
    <w:rsid w:val="001C34DB"/>
    <w:rsid w:val="001C3BB4"/>
    <w:rsid w:val="001C4731"/>
    <w:rsid w:val="001C48E3"/>
    <w:rsid w:val="001C65D0"/>
    <w:rsid w:val="001C7228"/>
    <w:rsid w:val="001C738A"/>
    <w:rsid w:val="001C7640"/>
    <w:rsid w:val="001D0973"/>
    <w:rsid w:val="001D0984"/>
    <w:rsid w:val="001D13D5"/>
    <w:rsid w:val="001D14A4"/>
    <w:rsid w:val="001D1D6B"/>
    <w:rsid w:val="001D327D"/>
    <w:rsid w:val="001D4CCD"/>
    <w:rsid w:val="001D4CE3"/>
    <w:rsid w:val="001D5372"/>
    <w:rsid w:val="001D54B5"/>
    <w:rsid w:val="001D589B"/>
    <w:rsid w:val="001D5B0F"/>
    <w:rsid w:val="001D6732"/>
    <w:rsid w:val="001D6D9F"/>
    <w:rsid w:val="001D6EF2"/>
    <w:rsid w:val="001D6FF5"/>
    <w:rsid w:val="001D6FF7"/>
    <w:rsid w:val="001D775C"/>
    <w:rsid w:val="001E0249"/>
    <w:rsid w:val="001E1823"/>
    <w:rsid w:val="001E1D2A"/>
    <w:rsid w:val="001E2DB7"/>
    <w:rsid w:val="001E3FD7"/>
    <w:rsid w:val="001E4312"/>
    <w:rsid w:val="001E4572"/>
    <w:rsid w:val="001E5363"/>
    <w:rsid w:val="001E5518"/>
    <w:rsid w:val="001E5DFD"/>
    <w:rsid w:val="001E63CE"/>
    <w:rsid w:val="001E6B67"/>
    <w:rsid w:val="001E6CDC"/>
    <w:rsid w:val="001E76D2"/>
    <w:rsid w:val="001F0D18"/>
    <w:rsid w:val="001F0F33"/>
    <w:rsid w:val="001F1FD5"/>
    <w:rsid w:val="001F262B"/>
    <w:rsid w:val="001F3840"/>
    <w:rsid w:val="001F3DE7"/>
    <w:rsid w:val="001F4124"/>
    <w:rsid w:val="001F4FE8"/>
    <w:rsid w:val="001F58F6"/>
    <w:rsid w:val="001F5A71"/>
    <w:rsid w:val="001F5C29"/>
    <w:rsid w:val="001F6562"/>
    <w:rsid w:val="001F6B0E"/>
    <w:rsid w:val="001F6FD6"/>
    <w:rsid w:val="001F744D"/>
    <w:rsid w:val="001F7B96"/>
    <w:rsid w:val="001F7DFA"/>
    <w:rsid w:val="00201068"/>
    <w:rsid w:val="00201830"/>
    <w:rsid w:val="00202FD1"/>
    <w:rsid w:val="00202FF0"/>
    <w:rsid w:val="002030BB"/>
    <w:rsid w:val="00203A71"/>
    <w:rsid w:val="00203B2D"/>
    <w:rsid w:val="00203B84"/>
    <w:rsid w:val="00204B17"/>
    <w:rsid w:val="002063F2"/>
    <w:rsid w:val="00206A93"/>
    <w:rsid w:val="00206F02"/>
    <w:rsid w:val="00207BA6"/>
    <w:rsid w:val="00207D67"/>
    <w:rsid w:val="00210C00"/>
    <w:rsid w:val="002111DC"/>
    <w:rsid w:val="002112DF"/>
    <w:rsid w:val="00211B54"/>
    <w:rsid w:val="00211D4B"/>
    <w:rsid w:val="00211F09"/>
    <w:rsid w:val="0021228B"/>
    <w:rsid w:val="00212320"/>
    <w:rsid w:val="00212E86"/>
    <w:rsid w:val="002131C9"/>
    <w:rsid w:val="00213CE1"/>
    <w:rsid w:val="00215614"/>
    <w:rsid w:val="00215EA9"/>
    <w:rsid w:val="0021625D"/>
    <w:rsid w:val="0021709D"/>
    <w:rsid w:val="00217452"/>
    <w:rsid w:val="002202A0"/>
    <w:rsid w:val="00220F69"/>
    <w:rsid w:val="0022112D"/>
    <w:rsid w:val="00221AC7"/>
    <w:rsid w:val="00221F6B"/>
    <w:rsid w:val="00222E8F"/>
    <w:rsid w:val="0022462A"/>
    <w:rsid w:val="00224E84"/>
    <w:rsid w:val="00226620"/>
    <w:rsid w:val="00226AB5"/>
    <w:rsid w:val="00226FC9"/>
    <w:rsid w:val="00226FF6"/>
    <w:rsid w:val="0023010C"/>
    <w:rsid w:val="002303A7"/>
    <w:rsid w:val="0023073E"/>
    <w:rsid w:val="002307EE"/>
    <w:rsid w:val="00231D98"/>
    <w:rsid w:val="00232A68"/>
    <w:rsid w:val="00233547"/>
    <w:rsid w:val="0023456B"/>
    <w:rsid w:val="00234D32"/>
    <w:rsid w:val="002359C6"/>
    <w:rsid w:val="002371CE"/>
    <w:rsid w:val="00237301"/>
    <w:rsid w:val="002403EC"/>
    <w:rsid w:val="002407A0"/>
    <w:rsid w:val="00240B32"/>
    <w:rsid w:val="00240EC4"/>
    <w:rsid w:val="00241360"/>
    <w:rsid w:val="002419E6"/>
    <w:rsid w:val="00241CEC"/>
    <w:rsid w:val="002427F1"/>
    <w:rsid w:val="00242EAD"/>
    <w:rsid w:val="00242F0C"/>
    <w:rsid w:val="00243803"/>
    <w:rsid w:val="0024385F"/>
    <w:rsid w:val="00243884"/>
    <w:rsid w:val="00243B32"/>
    <w:rsid w:val="002442C1"/>
    <w:rsid w:val="00244A97"/>
    <w:rsid w:val="00244F0B"/>
    <w:rsid w:val="0024595A"/>
    <w:rsid w:val="00246AD2"/>
    <w:rsid w:val="00247EB3"/>
    <w:rsid w:val="00247F20"/>
    <w:rsid w:val="002501D0"/>
    <w:rsid w:val="002505B1"/>
    <w:rsid w:val="002507A0"/>
    <w:rsid w:val="00250FE7"/>
    <w:rsid w:val="0025110D"/>
    <w:rsid w:val="00251A6F"/>
    <w:rsid w:val="00251B04"/>
    <w:rsid w:val="0025257D"/>
    <w:rsid w:val="002529C3"/>
    <w:rsid w:val="00252B3E"/>
    <w:rsid w:val="00253624"/>
    <w:rsid w:val="00253FA5"/>
    <w:rsid w:val="002543FC"/>
    <w:rsid w:val="00254A33"/>
    <w:rsid w:val="002557DC"/>
    <w:rsid w:val="00255DBC"/>
    <w:rsid w:val="00256320"/>
    <w:rsid w:val="00257F02"/>
    <w:rsid w:val="002604F8"/>
    <w:rsid w:val="002605BE"/>
    <w:rsid w:val="002606EC"/>
    <w:rsid w:val="00260DF8"/>
    <w:rsid w:val="00261127"/>
    <w:rsid w:val="0026152D"/>
    <w:rsid w:val="00261806"/>
    <w:rsid w:val="00262839"/>
    <w:rsid w:val="00262DD9"/>
    <w:rsid w:val="00262F89"/>
    <w:rsid w:val="002640EA"/>
    <w:rsid w:val="00264490"/>
    <w:rsid w:val="00264901"/>
    <w:rsid w:val="002651F2"/>
    <w:rsid w:val="002652EA"/>
    <w:rsid w:val="00266CA2"/>
    <w:rsid w:val="00266EA8"/>
    <w:rsid w:val="002673CC"/>
    <w:rsid w:val="00267E89"/>
    <w:rsid w:val="0027021C"/>
    <w:rsid w:val="00270AA9"/>
    <w:rsid w:val="00270D4A"/>
    <w:rsid w:val="00271864"/>
    <w:rsid w:val="00271936"/>
    <w:rsid w:val="00271BD4"/>
    <w:rsid w:val="002729D5"/>
    <w:rsid w:val="002729F9"/>
    <w:rsid w:val="00273758"/>
    <w:rsid w:val="00273CF4"/>
    <w:rsid w:val="00273E32"/>
    <w:rsid w:val="00274657"/>
    <w:rsid w:val="00274680"/>
    <w:rsid w:val="00274862"/>
    <w:rsid w:val="00274B42"/>
    <w:rsid w:val="00275DF4"/>
    <w:rsid w:val="0027677D"/>
    <w:rsid w:val="0028037B"/>
    <w:rsid w:val="002807F1"/>
    <w:rsid w:val="00280887"/>
    <w:rsid w:val="0028149B"/>
    <w:rsid w:val="00282167"/>
    <w:rsid w:val="002828E0"/>
    <w:rsid w:val="00282EC9"/>
    <w:rsid w:val="0028312B"/>
    <w:rsid w:val="0028312D"/>
    <w:rsid w:val="00283528"/>
    <w:rsid w:val="002836FC"/>
    <w:rsid w:val="0028394D"/>
    <w:rsid w:val="00283AF6"/>
    <w:rsid w:val="0028440B"/>
    <w:rsid w:val="00284F26"/>
    <w:rsid w:val="00285A67"/>
    <w:rsid w:val="0028636A"/>
    <w:rsid w:val="00286B10"/>
    <w:rsid w:val="00286F48"/>
    <w:rsid w:val="00287261"/>
    <w:rsid w:val="002877D6"/>
    <w:rsid w:val="00287FCC"/>
    <w:rsid w:val="0029177D"/>
    <w:rsid w:val="00291940"/>
    <w:rsid w:val="00291EA0"/>
    <w:rsid w:val="00291FFD"/>
    <w:rsid w:val="00292604"/>
    <w:rsid w:val="002926F5"/>
    <w:rsid w:val="00292D6B"/>
    <w:rsid w:val="00293418"/>
    <w:rsid w:val="00293BC2"/>
    <w:rsid w:val="002945C6"/>
    <w:rsid w:val="0029492F"/>
    <w:rsid w:val="00294D5B"/>
    <w:rsid w:val="002950E1"/>
    <w:rsid w:val="002969C7"/>
    <w:rsid w:val="00297506"/>
    <w:rsid w:val="00297812"/>
    <w:rsid w:val="00297915"/>
    <w:rsid w:val="00297C1A"/>
    <w:rsid w:val="00297E45"/>
    <w:rsid w:val="002A0529"/>
    <w:rsid w:val="002A08F2"/>
    <w:rsid w:val="002A0DD3"/>
    <w:rsid w:val="002A142E"/>
    <w:rsid w:val="002A1819"/>
    <w:rsid w:val="002A1A00"/>
    <w:rsid w:val="002A2236"/>
    <w:rsid w:val="002A454C"/>
    <w:rsid w:val="002A4886"/>
    <w:rsid w:val="002A4B84"/>
    <w:rsid w:val="002A4B8F"/>
    <w:rsid w:val="002A4C4B"/>
    <w:rsid w:val="002A62AD"/>
    <w:rsid w:val="002A62ED"/>
    <w:rsid w:val="002A6B08"/>
    <w:rsid w:val="002A6D79"/>
    <w:rsid w:val="002A6DDD"/>
    <w:rsid w:val="002A6E40"/>
    <w:rsid w:val="002A72D5"/>
    <w:rsid w:val="002B02D8"/>
    <w:rsid w:val="002B0375"/>
    <w:rsid w:val="002B0549"/>
    <w:rsid w:val="002B1728"/>
    <w:rsid w:val="002B1DA1"/>
    <w:rsid w:val="002B2E1B"/>
    <w:rsid w:val="002B2E2A"/>
    <w:rsid w:val="002B33D2"/>
    <w:rsid w:val="002B36CB"/>
    <w:rsid w:val="002B4014"/>
    <w:rsid w:val="002B4370"/>
    <w:rsid w:val="002B438E"/>
    <w:rsid w:val="002B5904"/>
    <w:rsid w:val="002B5EA7"/>
    <w:rsid w:val="002B73F9"/>
    <w:rsid w:val="002B7762"/>
    <w:rsid w:val="002C016E"/>
    <w:rsid w:val="002C0453"/>
    <w:rsid w:val="002C05E6"/>
    <w:rsid w:val="002C0B13"/>
    <w:rsid w:val="002C0C24"/>
    <w:rsid w:val="002C0E5D"/>
    <w:rsid w:val="002C1BB5"/>
    <w:rsid w:val="002C22D3"/>
    <w:rsid w:val="002C2310"/>
    <w:rsid w:val="002C2981"/>
    <w:rsid w:val="002C2A85"/>
    <w:rsid w:val="002C3198"/>
    <w:rsid w:val="002C3534"/>
    <w:rsid w:val="002C3EAD"/>
    <w:rsid w:val="002C423F"/>
    <w:rsid w:val="002C4E1C"/>
    <w:rsid w:val="002C556D"/>
    <w:rsid w:val="002C5D93"/>
    <w:rsid w:val="002C63D5"/>
    <w:rsid w:val="002C64E1"/>
    <w:rsid w:val="002C7797"/>
    <w:rsid w:val="002C7AE5"/>
    <w:rsid w:val="002D059A"/>
    <w:rsid w:val="002D0CB0"/>
    <w:rsid w:val="002D13EB"/>
    <w:rsid w:val="002D2805"/>
    <w:rsid w:val="002D2A51"/>
    <w:rsid w:val="002D3500"/>
    <w:rsid w:val="002D3CCE"/>
    <w:rsid w:val="002D4BF8"/>
    <w:rsid w:val="002D57C6"/>
    <w:rsid w:val="002D59F6"/>
    <w:rsid w:val="002D629F"/>
    <w:rsid w:val="002D6D6B"/>
    <w:rsid w:val="002D74E7"/>
    <w:rsid w:val="002E0E8C"/>
    <w:rsid w:val="002E13F5"/>
    <w:rsid w:val="002E13F9"/>
    <w:rsid w:val="002E17C8"/>
    <w:rsid w:val="002E1E2D"/>
    <w:rsid w:val="002E1EFC"/>
    <w:rsid w:val="002E2DB9"/>
    <w:rsid w:val="002E3F92"/>
    <w:rsid w:val="002E44BE"/>
    <w:rsid w:val="002E47E2"/>
    <w:rsid w:val="002E481B"/>
    <w:rsid w:val="002E4C83"/>
    <w:rsid w:val="002E4DF0"/>
    <w:rsid w:val="002E560E"/>
    <w:rsid w:val="002E60A0"/>
    <w:rsid w:val="002E690C"/>
    <w:rsid w:val="002E6D3E"/>
    <w:rsid w:val="002E7012"/>
    <w:rsid w:val="002E7304"/>
    <w:rsid w:val="002E73D3"/>
    <w:rsid w:val="002E7692"/>
    <w:rsid w:val="002E77D4"/>
    <w:rsid w:val="002E7944"/>
    <w:rsid w:val="002E7955"/>
    <w:rsid w:val="002E7E16"/>
    <w:rsid w:val="002F08C5"/>
    <w:rsid w:val="002F19D8"/>
    <w:rsid w:val="002F1ED7"/>
    <w:rsid w:val="002F22DD"/>
    <w:rsid w:val="002F30DA"/>
    <w:rsid w:val="002F3227"/>
    <w:rsid w:val="002F35DF"/>
    <w:rsid w:val="002F38D6"/>
    <w:rsid w:val="002F3A42"/>
    <w:rsid w:val="002F3DA0"/>
    <w:rsid w:val="002F3F65"/>
    <w:rsid w:val="002F4A33"/>
    <w:rsid w:val="002F602E"/>
    <w:rsid w:val="002F67F5"/>
    <w:rsid w:val="002F6C05"/>
    <w:rsid w:val="002F7184"/>
    <w:rsid w:val="002F72B3"/>
    <w:rsid w:val="002F77DE"/>
    <w:rsid w:val="00300573"/>
    <w:rsid w:val="00301235"/>
    <w:rsid w:val="00301BEC"/>
    <w:rsid w:val="00302C07"/>
    <w:rsid w:val="00303024"/>
    <w:rsid w:val="00303C80"/>
    <w:rsid w:val="003041F4"/>
    <w:rsid w:val="003056C1"/>
    <w:rsid w:val="00306545"/>
    <w:rsid w:val="00306760"/>
    <w:rsid w:val="00306FA4"/>
    <w:rsid w:val="0030744C"/>
    <w:rsid w:val="003100FA"/>
    <w:rsid w:val="0031069D"/>
    <w:rsid w:val="003107A7"/>
    <w:rsid w:val="003118F2"/>
    <w:rsid w:val="00311960"/>
    <w:rsid w:val="00311E05"/>
    <w:rsid w:val="003126D8"/>
    <w:rsid w:val="00313C49"/>
    <w:rsid w:val="00314064"/>
    <w:rsid w:val="003142AA"/>
    <w:rsid w:val="00314712"/>
    <w:rsid w:val="00314AB6"/>
    <w:rsid w:val="00314F15"/>
    <w:rsid w:val="00315293"/>
    <w:rsid w:val="0031570F"/>
    <w:rsid w:val="00315C06"/>
    <w:rsid w:val="0031648E"/>
    <w:rsid w:val="00316AE7"/>
    <w:rsid w:val="003173F7"/>
    <w:rsid w:val="00321286"/>
    <w:rsid w:val="00321653"/>
    <w:rsid w:val="003220D3"/>
    <w:rsid w:val="0032227C"/>
    <w:rsid w:val="003222B0"/>
    <w:rsid w:val="00322D09"/>
    <w:rsid w:val="00322DF7"/>
    <w:rsid w:val="00322EFA"/>
    <w:rsid w:val="00323287"/>
    <w:rsid w:val="00323A30"/>
    <w:rsid w:val="00323F35"/>
    <w:rsid w:val="00323F7B"/>
    <w:rsid w:val="0032519A"/>
    <w:rsid w:val="00325C0B"/>
    <w:rsid w:val="00326400"/>
    <w:rsid w:val="0032643A"/>
    <w:rsid w:val="00327A61"/>
    <w:rsid w:val="00327ABA"/>
    <w:rsid w:val="00330422"/>
    <w:rsid w:val="00330884"/>
    <w:rsid w:val="003309A1"/>
    <w:rsid w:val="0033129F"/>
    <w:rsid w:val="00331730"/>
    <w:rsid w:val="00332CA3"/>
    <w:rsid w:val="00332F09"/>
    <w:rsid w:val="00333556"/>
    <w:rsid w:val="0033421A"/>
    <w:rsid w:val="00334DFB"/>
    <w:rsid w:val="0033513E"/>
    <w:rsid w:val="003377F6"/>
    <w:rsid w:val="003379AC"/>
    <w:rsid w:val="00340758"/>
    <w:rsid w:val="00340AA3"/>
    <w:rsid w:val="003419AC"/>
    <w:rsid w:val="00341EA5"/>
    <w:rsid w:val="00342219"/>
    <w:rsid w:val="00342F6D"/>
    <w:rsid w:val="00343A47"/>
    <w:rsid w:val="00344114"/>
    <w:rsid w:val="00344C00"/>
    <w:rsid w:val="00344D61"/>
    <w:rsid w:val="00345145"/>
    <w:rsid w:val="00345DF1"/>
    <w:rsid w:val="00345EDC"/>
    <w:rsid w:val="003461E3"/>
    <w:rsid w:val="00346657"/>
    <w:rsid w:val="003468DD"/>
    <w:rsid w:val="00346B40"/>
    <w:rsid w:val="00347B29"/>
    <w:rsid w:val="00350D1F"/>
    <w:rsid w:val="00350FF6"/>
    <w:rsid w:val="00350FFD"/>
    <w:rsid w:val="003510DB"/>
    <w:rsid w:val="00352248"/>
    <w:rsid w:val="003526DA"/>
    <w:rsid w:val="00352F21"/>
    <w:rsid w:val="00353065"/>
    <w:rsid w:val="0035342F"/>
    <w:rsid w:val="00353CE0"/>
    <w:rsid w:val="00354C87"/>
    <w:rsid w:val="00355211"/>
    <w:rsid w:val="003559BD"/>
    <w:rsid w:val="00355FE4"/>
    <w:rsid w:val="003560F1"/>
    <w:rsid w:val="00357337"/>
    <w:rsid w:val="00357853"/>
    <w:rsid w:val="00357B67"/>
    <w:rsid w:val="00357F6B"/>
    <w:rsid w:val="00360E4D"/>
    <w:rsid w:val="00361107"/>
    <w:rsid w:val="00361430"/>
    <w:rsid w:val="00361508"/>
    <w:rsid w:val="00361A1F"/>
    <w:rsid w:val="00361B1F"/>
    <w:rsid w:val="00361C84"/>
    <w:rsid w:val="00361EDE"/>
    <w:rsid w:val="00361F93"/>
    <w:rsid w:val="003628A6"/>
    <w:rsid w:val="003628BC"/>
    <w:rsid w:val="0036457C"/>
    <w:rsid w:val="003655C0"/>
    <w:rsid w:val="0036621C"/>
    <w:rsid w:val="00366409"/>
    <w:rsid w:val="00366B11"/>
    <w:rsid w:val="0036757E"/>
    <w:rsid w:val="0037005B"/>
    <w:rsid w:val="00370796"/>
    <w:rsid w:val="00370A3C"/>
    <w:rsid w:val="00370C59"/>
    <w:rsid w:val="003712C6"/>
    <w:rsid w:val="003713E4"/>
    <w:rsid w:val="00371853"/>
    <w:rsid w:val="00372011"/>
    <w:rsid w:val="00372239"/>
    <w:rsid w:val="00372BF2"/>
    <w:rsid w:val="00373387"/>
    <w:rsid w:val="003733DF"/>
    <w:rsid w:val="0037428A"/>
    <w:rsid w:val="0037440E"/>
    <w:rsid w:val="003746A5"/>
    <w:rsid w:val="0037474C"/>
    <w:rsid w:val="00374A20"/>
    <w:rsid w:val="00376A23"/>
    <w:rsid w:val="00376AE8"/>
    <w:rsid w:val="00376C82"/>
    <w:rsid w:val="00377159"/>
    <w:rsid w:val="00377944"/>
    <w:rsid w:val="00380B60"/>
    <w:rsid w:val="00380C75"/>
    <w:rsid w:val="00380D81"/>
    <w:rsid w:val="00381639"/>
    <w:rsid w:val="003821ED"/>
    <w:rsid w:val="00382A11"/>
    <w:rsid w:val="00382E36"/>
    <w:rsid w:val="00382E6C"/>
    <w:rsid w:val="0038324B"/>
    <w:rsid w:val="00383250"/>
    <w:rsid w:val="00383465"/>
    <w:rsid w:val="003843FB"/>
    <w:rsid w:val="0038552A"/>
    <w:rsid w:val="00385ACD"/>
    <w:rsid w:val="00386408"/>
    <w:rsid w:val="003866D8"/>
    <w:rsid w:val="00387B37"/>
    <w:rsid w:val="00387C25"/>
    <w:rsid w:val="00391144"/>
    <w:rsid w:val="00391A8D"/>
    <w:rsid w:val="00391C97"/>
    <w:rsid w:val="00391E37"/>
    <w:rsid w:val="003923FF"/>
    <w:rsid w:val="003926D1"/>
    <w:rsid w:val="00392A4B"/>
    <w:rsid w:val="003938EA"/>
    <w:rsid w:val="003940AA"/>
    <w:rsid w:val="003940D4"/>
    <w:rsid w:val="00394217"/>
    <w:rsid w:val="00395532"/>
    <w:rsid w:val="003956DC"/>
    <w:rsid w:val="00395840"/>
    <w:rsid w:val="003959F6"/>
    <w:rsid w:val="00396587"/>
    <w:rsid w:val="00396CBE"/>
    <w:rsid w:val="00396CED"/>
    <w:rsid w:val="003977EE"/>
    <w:rsid w:val="003977F5"/>
    <w:rsid w:val="00397C4C"/>
    <w:rsid w:val="00397E90"/>
    <w:rsid w:val="003A01B2"/>
    <w:rsid w:val="003A0307"/>
    <w:rsid w:val="003A11AC"/>
    <w:rsid w:val="003A121F"/>
    <w:rsid w:val="003A190F"/>
    <w:rsid w:val="003A195C"/>
    <w:rsid w:val="003A1AD6"/>
    <w:rsid w:val="003A2EC5"/>
    <w:rsid w:val="003A3079"/>
    <w:rsid w:val="003A3153"/>
    <w:rsid w:val="003A3EEE"/>
    <w:rsid w:val="003A4185"/>
    <w:rsid w:val="003A49B1"/>
    <w:rsid w:val="003A4A58"/>
    <w:rsid w:val="003A51C2"/>
    <w:rsid w:val="003A574C"/>
    <w:rsid w:val="003A58CD"/>
    <w:rsid w:val="003A5C77"/>
    <w:rsid w:val="003A5F79"/>
    <w:rsid w:val="003A6130"/>
    <w:rsid w:val="003A695C"/>
    <w:rsid w:val="003A7108"/>
    <w:rsid w:val="003A72FA"/>
    <w:rsid w:val="003A742B"/>
    <w:rsid w:val="003A743A"/>
    <w:rsid w:val="003B092A"/>
    <w:rsid w:val="003B0C37"/>
    <w:rsid w:val="003B0F34"/>
    <w:rsid w:val="003B0F4D"/>
    <w:rsid w:val="003B10E1"/>
    <w:rsid w:val="003B14F0"/>
    <w:rsid w:val="003B178C"/>
    <w:rsid w:val="003B1D25"/>
    <w:rsid w:val="003B1F09"/>
    <w:rsid w:val="003B28C0"/>
    <w:rsid w:val="003B2D28"/>
    <w:rsid w:val="003B2D7B"/>
    <w:rsid w:val="003B2E25"/>
    <w:rsid w:val="003B32E9"/>
    <w:rsid w:val="003B330B"/>
    <w:rsid w:val="003B369B"/>
    <w:rsid w:val="003B3B40"/>
    <w:rsid w:val="003B4541"/>
    <w:rsid w:val="003B49E9"/>
    <w:rsid w:val="003B5350"/>
    <w:rsid w:val="003B5B5C"/>
    <w:rsid w:val="003B677B"/>
    <w:rsid w:val="003B7347"/>
    <w:rsid w:val="003B75CE"/>
    <w:rsid w:val="003B75ED"/>
    <w:rsid w:val="003B7FF4"/>
    <w:rsid w:val="003C06BF"/>
    <w:rsid w:val="003C09BE"/>
    <w:rsid w:val="003C113F"/>
    <w:rsid w:val="003C1FDA"/>
    <w:rsid w:val="003C4397"/>
    <w:rsid w:val="003C445F"/>
    <w:rsid w:val="003C4B65"/>
    <w:rsid w:val="003C4F9C"/>
    <w:rsid w:val="003C5039"/>
    <w:rsid w:val="003C5366"/>
    <w:rsid w:val="003C5C3C"/>
    <w:rsid w:val="003C6710"/>
    <w:rsid w:val="003C67E8"/>
    <w:rsid w:val="003C79C4"/>
    <w:rsid w:val="003C79EF"/>
    <w:rsid w:val="003C7B52"/>
    <w:rsid w:val="003D0F87"/>
    <w:rsid w:val="003D0FFD"/>
    <w:rsid w:val="003D11BC"/>
    <w:rsid w:val="003D1844"/>
    <w:rsid w:val="003D1913"/>
    <w:rsid w:val="003D25D1"/>
    <w:rsid w:val="003D2D0F"/>
    <w:rsid w:val="003D3239"/>
    <w:rsid w:val="003D363A"/>
    <w:rsid w:val="003D63CD"/>
    <w:rsid w:val="003D6A40"/>
    <w:rsid w:val="003E0A96"/>
    <w:rsid w:val="003E0C0D"/>
    <w:rsid w:val="003E0E54"/>
    <w:rsid w:val="003E0FC7"/>
    <w:rsid w:val="003E1D70"/>
    <w:rsid w:val="003E2336"/>
    <w:rsid w:val="003E4691"/>
    <w:rsid w:val="003E4953"/>
    <w:rsid w:val="003E4E87"/>
    <w:rsid w:val="003E5711"/>
    <w:rsid w:val="003E5EDB"/>
    <w:rsid w:val="003E6572"/>
    <w:rsid w:val="003E6FD3"/>
    <w:rsid w:val="003F0CAD"/>
    <w:rsid w:val="003F1024"/>
    <w:rsid w:val="003F1639"/>
    <w:rsid w:val="003F1D75"/>
    <w:rsid w:val="003F2C5E"/>
    <w:rsid w:val="003F4D86"/>
    <w:rsid w:val="003F4E9B"/>
    <w:rsid w:val="003F5629"/>
    <w:rsid w:val="003F562D"/>
    <w:rsid w:val="003F6549"/>
    <w:rsid w:val="003F7402"/>
    <w:rsid w:val="003F7A65"/>
    <w:rsid w:val="0040013D"/>
    <w:rsid w:val="004004A7"/>
    <w:rsid w:val="00400AAC"/>
    <w:rsid w:val="0040137D"/>
    <w:rsid w:val="00401ADD"/>
    <w:rsid w:val="004025C9"/>
    <w:rsid w:val="00402D38"/>
    <w:rsid w:val="00403104"/>
    <w:rsid w:val="004033F3"/>
    <w:rsid w:val="0040342C"/>
    <w:rsid w:val="004039B4"/>
    <w:rsid w:val="00403D9B"/>
    <w:rsid w:val="00403EAE"/>
    <w:rsid w:val="00404907"/>
    <w:rsid w:val="00404928"/>
    <w:rsid w:val="00404B86"/>
    <w:rsid w:val="00406632"/>
    <w:rsid w:val="004067E1"/>
    <w:rsid w:val="004070E1"/>
    <w:rsid w:val="004100F3"/>
    <w:rsid w:val="004110E8"/>
    <w:rsid w:val="00411C30"/>
    <w:rsid w:val="00411CCC"/>
    <w:rsid w:val="00412576"/>
    <w:rsid w:val="004132E5"/>
    <w:rsid w:val="00413786"/>
    <w:rsid w:val="00413EAC"/>
    <w:rsid w:val="00414245"/>
    <w:rsid w:val="0041429A"/>
    <w:rsid w:val="00414ADB"/>
    <w:rsid w:val="00414F38"/>
    <w:rsid w:val="00415986"/>
    <w:rsid w:val="00415A0B"/>
    <w:rsid w:val="00415B0D"/>
    <w:rsid w:val="00415D4A"/>
    <w:rsid w:val="00415DDF"/>
    <w:rsid w:val="004165B7"/>
    <w:rsid w:val="004165BE"/>
    <w:rsid w:val="00416731"/>
    <w:rsid w:val="0041673C"/>
    <w:rsid w:val="00416A86"/>
    <w:rsid w:val="004171DE"/>
    <w:rsid w:val="00417A27"/>
    <w:rsid w:val="00417FA2"/>
    <w:rsid w:val="00420C74"/>
    <w:rsid w:val="00420C85"/>
    <w:rsid w:val="00420E16"/>
    <w:rsid w:val="00421821"/>
    <w:rsid w:val="00421A20"/>
    <w:rsid w:val="00422273"/>
    <w:rsid w:val="00422FDF"/>
    <w:rsid w:val="00423626"/>
    <w:rsid w:val="004242AE"/>
    <w:rsid w:val="00424B05"/>
    <w:rsid w:val="00425B86"/>
    <w:rsid w:val="00425E0F"/>
    <w:rsid w:val="00426EF3"/>
    <w:rsid w:val="00427083"/>
    <w:rsid w:val="004272DC"/>
    <w:rsid w:val="0042770A"/>
    <w:rsid w:val="0042787F"/>
    <w:rsid w:val="00427F76"/>
    <w:rsid w:val="004309D1"/>
    <w:rsid w:val="00430F08"/>
    <w:rsid w:val="004314B2"/>
    <w:rsid w:val="0043198F"/>
    <w:rsid w:val="00431C33"/>
    <w:rsid w:val="00432137"/>
    <w:rsid w:val="00432774"/>
    <w:rsid w:val="00433926"/>
    <w:rsid w:val="00433A02"/>
    <w:rsid w:val="0043414D"/>
    <w:rsid w:val="00434254"/>
    <w:rsid w:val="00434EB0"/>
    <w:rsid w:val="004350B4"/>
    <w:rsid w:val="004352E0"/>
    <w:rsid w:val="0043579E"/>
    <w:rsid w:val="00435DBB"/>
    <w:rsid w:val="004362D9"/>
    <w:rsid w:val="00436D7B"/>
    <w:rsid w:val="0043784E"/>
    <w:rsid w:val="00437F4E"/>
    <w:rsid w:val="0044003A"/>
    <w:rsid w:val="004403A4"/>
    <w:rsid w:val="00440631"/>
    <w:rsid w:val="00441037"/>
    <w:rsid w:val="00441716"/>
    <w:rsid w:val="00442CCD"/>
    <w:rsid w:val="00443D63"/>
    <w:rsid w:val="00444002"/>
    <w:rsid w:val="004446D9"/>
    <w:rsid w:val="004448AF"/>
    <w:rsid w:val="00444BC7"/>
    <w:rsid w:val="00444F12"/>
    <w:rsid w:val="00445106"/>
    <w:rsid w:val="004477DA"/>
    <w:rsid w:val="0044780D"/>
    <w:rsid w:val="0045029A"/>
    <w:rsid w:val="0045089A"/>
    <w:rsid w:val="004508C7"/>
    <w:rsid w:val="00450E20"/>
    <w:rsid w:val="00450E93"/>
    <w:rsid w:val="00450F1F"/>
    <w:rsid w:val="00450F7B"/>
    <w:rsid w:val="0045166E"/>
    <w:rsid w:val="0045232A"/>
    <w:rsid w:val="004530F2"/>
    <w:rsid w:val="0045331D"/>
    <w:rsid w:val="00454A2F"/>
    <w:rsid w:val="00454A4A"/>
    <w:rsid w:val="00454F7E"/>
    <w:rsid w:val="00455752"/>
    <w:rsid w:val="0045588A"/>
    <w:rsid w:val="00455AD9"/>
    <w:rsid w:val="00455BC9"/>
    <w:rsid w:val="00455DFB"/>
    <w:rsid w:val="004560D3"/>
    <w:rsid w:val="0045688D"/>
    <w:rsid w:val="004570A8"/>
    <w:rsid w:val="004600C1"/>
    <w:rsid w:val="004603E6"/>
    <w:rsid w:val="0046087D"/>
    <w:rsid w:val="004608FC"/>
    <w:rsid w:val="00460C88"/>
    <w:rsid w:val="00461479"/>
    <w:rsid w:val="004620C7"/>
    <w:rsid w:val="004626B1"/>
    <w:rsid w:val="00462965"/>
    <w:rsid w:val="00463B31"/>
    <w:rsid w:val="00463C81"/>
    <w:rsid w:val="004645FD"/>
    <w:rsid w:val="004650CC"/>
    <w:rsid w:val="00465E94"/>
    <w:rsid w:val="004664F2"/>
    <w:rsid w:val="00466936"/>
    <w:rsid w:val="004674F4"/>
    <w:rsid w:val="00467657"/>
    <w:rsid w:val="00470D22"/>
    <w:rsid w:val="004716B6"/>
    <w:rsid w:val="00472360"/>
    <w:rsid w:val="00472D36"/>
    <w:rsid w:val="00476260"/>
    <w:rsid w:val="0047667D"/>
    <w:rsid w:val="00476A4E"/>
    <w:rsid w:val="004775AB"/>
    <w:rsid w:val="004777FF"/>
    <w:rsid w:val="00477801"/>
    <w:rsid w:val="004803A2"/>
    <w:rsid w:val="0048052D"/>
    <w:rsid w:val="004806AD"/>
    <w:rsid w:val="0048171E"/>
    <w:rsid w:val="00481846"/>
    <w:rsid w:val="00482366"/>
    <w:rsid w:val="004827B0"/>
    <w:rsid w:val="00482D21"/>
    <w:rsid w:val="004831BB"/>
    <w:rsid w:val="00483403"/>
    <w:rsid w:val="00483EB0"/>
    <w:rsid w:val="004840F3"/>
    <w:rsid w:val="0048434C"/>
    <w:rsid w:val="00484981"/>
    <w:rsid w:val="004858AD"/>
    <w:rsid w:val="00486E23"/>
    <w:rsid w:val="00487662"/>
    <w:rsid w:val="004878FC"/>
    <w:rsid w:val="00487998"/>
    <w:rsid w:val="00487A7A"/>
    <w:rsid w:val="00487F60"/>
    <w:rsid w:val="004907FC"/>
    <w:rsid w:val="00490A6D"/>
    <w:rsid w:val="00490E3D"/>
    <w:rsid w:val="00491D4E"/>
    <w:rsid w:val="00491E3B"/>
    <w:rsid w:val="0049251E"/>
    <w:rsid w:val="00492829"/>
    <w:rsid w:val="00492A09"/>
    <w:rsid w:val="00493831"/>
    <w:rsid w:val="004939AC"/>
    <w:rsid w:val="00494E61"/>
    <w:rsid w:val="00494F50"/>
    <w:rsid w:val="00495EC7"/>
    <w:rsid w:val="0049640C"/>
    <w:rsid w:val="0049727C"/>
    <w:rsid w:val="004A0D5E"/>
    <w:rsid w:val="004A1162"/>
    <w:rsid w:val="004A1C75"/>
    <w:rsid w:val="004A23EC"/>
    <w:rsid w:val="004A26F8"/>
    <w:rsid w:val="004A3266"/>
    <w:rsid w:val="004A375B"/>
    <w:rsid w:val="004A3923"/>
    <w:rsid w:val="004A3A69"/>
    <w:rsid w:val="004A3C77"/>
    <w:rsid w:val="004A4428"/>
    <w:rsid w:val="004A4EDD"/>
    <w:rsid w:val="004A6932"/>
    <w:rsid w:val="004A69DF"/>
    <w:rsid w:val="004A6ED1"/>
    <w:rsid w:val="004A7076"/>
    <w:rsid w:val="004A7348"/>
    <w:rsid w:val="004A7DD3"/>
    <w:rsid w:val="004B0439"/>
    <w:rsid w:val="004B0780"/>
    <w:rsid w:val="004B1213"/>
    <w:rsid w:val="004B1751"/>
    <w:rsid w:val="004B1A58"/>
    <w:rsid w:val="004B1B0D"/>
    <w:rsid w:val="004B1BFC"/>
    <w:rsid w:val="004B21A3"/>
    <w:rsid w:val="004B35A3"/>
    <w:rsid w:val="004B3D15"/>
    <w:rsid w:val="004B4068"/>
    <w:rsid w:val="004B424F"/>
    <w:rsid w:val="004B49D9"/>
    <w:rsid w:val="004B567A"/>
    <w:rsid w:val="004B6439"/>
    <w:rsid w:val="004B6FC3"/>
    <w:rsid w:val="004B7E07"/>
    <w:rsid w:val="004C0373"/>
    <w:rsid w:val="004C0418"/>
    <w:rsid w:val="004C0575"/>
    <w:rsid w:val="004C13CB"/>
    <w:rsid w:val="004C153D"/>
    <w:rsid w:val="004C1592"/>
    <w:rsid w:val="004C369C"/>
    <w:rsid w:val="004C3FFD"/>
    <w:rsid w:val="004C4091"/>
    <w:rsid w:val="004C452E"/>
    <w:rsid w:val="004C4BEE"/>
    <w:rsid w:val="004C50C5"/>
    <w:rsid w:val="004C558E"/>
    <w:rsid w:val="004C6CA9"/>
    <w:rsid w:val="004C71BC"/>
    <w:rsid w:val="004C7658"/>
    <w:rsid w:val="004C7C95"/>
    <w:rsid w:val="004D03BF"/>
    <w:rsid w:val="004D0782"/>
    <w:rsid w:val="004D08E3"/>
    <w:rsid w:val="004D12F0"/>
    <w:rsid w:val="004D20EA"/>
    <w:rsid w:val="004D22CD"/>
    <w:rsid w:val="004D3220"/>
    <w:rsid w:val="004D35A1"/>
    <w:rsid w:val="004D396E"/>
    <w:rsid w:val="004D3D26"/>
    <w:rsid w:val="004D403F"/>
    <w:rsid w:val="004D429A"/>
    <w:rsid w:val="004D42C4"/>
    <w:rsid w:val="004D4B89"/>
    <w:rsid w:val="004D4CD3"/>
    <w:rsid w:val="004D4DD4"/>
    <w:rsid w:val="004D4E36"/>
    <w:rsid w:val="004D53DA"/>
    <w:rsid w:val="004D5528"/>
    <w:rsid w:val="004D565B"/>
    <w:rsid w:val="004D5B25"/>
    <w:rsid w:val="004D5E8E"/>
    <w:rsid w:val="004D608D"/>
    <w:rsid w:val="004D6128"/>
    <w:rsid w:val="004D61E3"/>
    <w:rsid w:val="004D6238"/>
    <w:rsid w:val="004D6B59"/>
    <w:rsid w:val="004D6F35"/>
    <w:rsid w:val="004D746E"/>
    <w:rsid w:val="004D78DA"/>
    <w:rsid w:val="004D7CF0"/>
    <w:rsid w:val="004D7D30"/>
    <w:rsid w:val="004E0109"/>
    <w:rsid w:val="004E02BF"/>
    <w:rsid w:val="004E248C"/>
    <w:rsid w:val="004E30BA"/>
    <w:rsid w:val="004E37D3"/>
    <w:rsid w:val="004E4043"/>
    <w:rsid w:val="004E4A40"/>
    <w:rsid w:val="004E4CAA"/>
    <w:rsid w:val="004E5065"/>
    <w:rsid w:val="004E58BC"/>
    <w:rsid w:val="004E5FA8"/>
    <w:rsid w:val="004E6EC6"/>
    <w:rsid w:val="004E6F6F"/>
    <w:rsid w:val="004E7759"/>
    <w:rsid w:val="004E7AE7"/>
    <w:rsid w:val="004E7CBE"/>
    <w:rsid w:val="004E7CDF"/>
    <w:rsid w:val="004F0388"/>
    <w:rsid w:val="004F150A"/>
    <w:rsid w:val="004F1B2D"/>
    <w:rsid w:val="004F1C2A"/>
    <w:rsid w:val="004F229A"/>
    <w:rsid w:val="004F2E36"/>
    <w:rsid w:val="004F3022"/>
    <w:rsid w:val="004F3769"/>
    <w:rsid w:val="004F4799"/>
    <w:rsid w:val="004F4A59"/>
    <w:rsid w:val="004F4CE0"/>
    <w:rsid w:val="004F5264"/>
    <w:rsid w:val="004F5BAD"/>
    <w:rsid w:val="004F6589"/>
    <w:rsid w:val="004F70E7"/>
    <w:rsid w:val="004F7A58"/>
    <w:rsid w:val="004F7D11"/>
    <w:rsid w:val="005003B7"/>
    <w:rsid w:val="005006F1"/>
    <w:rsid w:val="00500B64"/>
    <w:rsid w:val="0050147E"/>
    <w:rsid w:val="00501D3F"/>
    <w:rsid w:val="0050224E"/>
    <w:rsid w:val="0050286B"/>
    <w:rsid w:val="0050388F"/>
    <w:rsid w:val="005039A9"/>
    <w:rsid w:val="005047E7"/>
    <w:rsid w:val="00504983"/>
    <w:rsid w:val="005053B6"/>
    <w:rsid w:val="00505DDD"/>
    <w:rsid w:val="0050657C"/>
    <w:rsid w:val="00506F53"/>
    <w:rsid w:val="005075DC"/>
    <w:rsid w:val="00507834"/>
    <w:rsid w:val="00507BDB"/>
    <w:rsid w:val="00510041"/>
    <w:rsid w:val="005106FE"/>
    <w:rsid w:val="005108FD"/>
    <w:rsid w:val="00511922"/>
    <w:rsid w:val="00511A30"/>
    <w:rsid w:val="00511A5C"/>
    <w:rsid w:val="00511C72"/>
    <w:rsid w:val="005129E5"/>
    <w:rsid w:val="00512DFE"/>
    <w:rsid w:val="00512FB6"/>
    <w:rsid w:val="005132BE"/>
    <w:rsid w:val="00513975"/>
    <w:rsid w:val="00514CD4"/>
    <w:rsid w:val="00515DE4"/>
    <w:rsid w:val="00515F86"/>
    <w:rsid w:val="00516CD1"/>
    <w:rsid w:val="0051771D"/>
    <w:rsid w:val="00517B7D"/>
    <w:rsid w:val="00517DE0"/>
    <w:rsid w:val="005205F6"/>
    <w:rsid w:val="00520791"/>
    <w:rsid w:val="00520D2A"/>
    <w:rsid w:val="00521768"/>
    <w:rsid w:val="00522336"/>
    <w:rsid w:val="005223A3"/>
    <w:rsid w:val="00522411"/>
    <w:rsid w:val="005224C4"/>
    <w:rsid w:val="00522624"/>
    <w:rsid w:val="00522C66"/>
    <w:rsid w:val="005234A4"/>
    <w:rsid w:val="005239B2"/>
    <w:rsid w:val="0052416D"/>
    <w:rsid w:val="0052464C"/>
    <w:rsid w:val="00524978"/>
    <w:rsid w:val="00524B40"/>
    <w:rsid w:val="005255C7"/>
    <w:rsid w:val="00525C66"/>
    <w:rsid w:val="00526456"/>
    <w:rsid w:val="005264C3"/>
    <w:rsid w:val="0052652E"/>
    <w:rsid w:val="005267DF"/>
    <w:rsid w:val="0052703E"/>
    <w:rsid w:val="005271F2"/>
    <w:rsid w:val="005273E5"/>
    <w:rsid w:val="00527E76"/>
    <w:rsid w:val="00531108"/>
    <w:rsid w:val="00531132"/>
    <w:rsid w:val="00531981"/>
    <w:rsid w:val="00531B4B"/>
    <w:rsid w:val="00531CE7"/>
    <w:rsid w:val="00531F74"/>
    <w:rsid w:val="005323E6"/>
    <w:rsid w:val="00532462"/>
    <w:rsid w:val="00532CD9"/>
    <w:rsid w:val="00533769"/>
    <w:rsid w:val="0053404E"/>
    <w:rsid w:val="00534202"/>
    <w:rsid w:val="00534432"/>
    <w:rsid w:val="00534D8A"/>
    <w:rsid w:val="00535BA1"/>
    <w:rsid w:val="00535FF6"/>
    <w:rsid w:val="00536449"/>
    <w:rsid w:val="005369A8"/>
    <w:rsid w:val="00537067"/>
    <w:rsid w:val="005371EE"/>
    <w:rsid w:val="00537561"/>
    <w:rsid w:val="005379A4"/>
    <w:rsid w:val="00537B3A"/>
    <w:rsid w:val="005404F4"/>
    <w:rsid w:val="005406F4"/>
    <w:rsid w:val="00540A8E"/>
    <w:rsid w:val="00540CD3"/>
    <w:rsid w:val="005413AF"/>
    <w:rsid w:val="00541DFD"/>
    <w:rsid w:val="00541E79"/>
    <w:rsid w:val="00541E7F"/>
    <w:rsid w:val="00541F79"/>
    <w:rsid w:val="00542C31"/>
    <w:rsid w:val="0054339A"/>
    <w:rsid w:val="00543F2B"/>
    <w:rsid w:val="00544B37"/>
    <w:rsid w:val="00545486"/>
    <w:rsid w:val="0054595D"/>
    <w:rsid w:val="00545967"/>
    <w:rsid w:val="00545A1E"/>
    <w:rsid w:val="00545D0A"/>
    <w:rsid w:val="00547477"/>
    <w:rsid w:val="0055077D"/>
    <w:rsid w:val="0055146E"/>
    <w:rsid w:val="00552B23"/>
    <w:rsid w:val="00552E4E"/>
    <w:rsid w:val="00552F17"/>
    <w:rsid w:val="00553820"/>
    <w:rsid w:val="00553AA1"/>
    <w:rsid w:val="00553BBB"/>
    <w:rsid w:val="00553D5B"/>
    <w:rsid w:val="00554D79"/>
    <w:rsid w:val="0055527F"/>
    <w:rsid w:val="0055620D"/>
    <w:rsid w:val="005562F9"/>
    <w:rsid w:val="0055697F"/>
    <w:rsid w:val="00556D45"/>
    <w:rsid w:val="00556DFD"/>
    <w:rsid w:val="005570A9"/>
    <w:rsid w:val="0055751E"/>
    <w:rsid w:val="00557652"/>
    <w:rsid w:val="0055769E"/>
    <w:rsid w:val="0055773D"/>
    <w:rsid w:val="00557D55"/>
    <w:rsid w:val="00560166"/>
    <w:rsid w:val="005604A6"/>
    <w:rsid w:val="005604C0"/>
    <w:rsid w:val="00560C7A"/>
    <w:rsid w:val="00560E5F"/>
    <w:rsid w:val="00562ED4"/>
    <w:rsid w:val="00564628"/>
    <w:rsid w:val="0056465C"/>
    <w:rsid w:val="005649A1"/>
    <w:rsid w:val="00564CA1"/>
    <w:rsid w:val="005651DF"/>
    <w:rsid w:val="00565DBC"/>
    <w:rsid w:val="0056695D"/>
    <w:rsid w:val="005675E5"/>
    <w:rsid w:val="005707BC"/>
    <w:rsid w:val="00570B38"/>
    <w:rsid w:val="005710B4"/>
    <w:rsid w:val="00571605"/>
    <w:rsid w:val="00571884"/>
    <w:rsid w:val="005723C6"/>
    <w:rsid w:val="0057259A"/>
    <w:rsid w:val="00573171"/>
    <w:rsid w:val="00573CA4"/>
    <w:rsid w:val="00574298"/>
    <w:rsid w:val="00574718"/>
    <w:rsid w:val="005747D5"/>
    <w:rsid w:val="00574E18"/>
    <w:rsid w:val="005758D5"/>
    <w:rsid w:val="005759D3"/>
    <w:rsid w:val="005759D5"/>
    <w:rsid w:val="00576EDE"/>
    <w:rsid w:val="0057774D"/>
    <w:rsid w:val="0057792C"/>
    <w:rsid w:val="00577A21"/>
    <w:rsid w:val="00577B2C"/>
    <w:rsid w:val="005805A6"/>
    <w:rsid w:val="00580613"/>
    <w:rsid w:val="00580F74"/>
    <w:rsid w:val="0058201A"/>
    <w:rsid w:val="00582066"/>
    <w:rsid w:val="00582EDC"/>
    <w:rsid w:val="005831EC"/>
    <w:rsid w:val="00583243"/>
    <w:rsid w:val="0058348F"/>
    <w:rsid w:val="00584A1C"/>
    <w:rsid w:val="00584DCD"/>
    <w:rsid w:val="00584EC4"/>
    <w:rsid w:val="00585949"/>
    <w:rsid w:val="00585CA9"/>
    <w:rsid w:val="00585CAD"/>
    <w:rsid w:val="00585E4B"/>
    <w:rsid w:val="005861BC"/>
    <w:rsid w:val="00586543"/>
    <w:rsid w:val="005868E5"/>
    <w:rsid w:val="00590B56"/>
    <w:rsid w:val="005924D0"/>
    <w:rsid w:val="005929F0"/>
    <w:rsid w:val="00592B93"/>
    <w:rsid w:val="00593795"/>
    <w:rsid w:val="00593CE9"/>
    <w:rsid w:val="005941A4"/>
    <w:rsid w:val="005955F0"/>
    <w:rsid w:val="00595645"/>
    <w:rsid w:val="00597420"/>
    <w:rsid w:val="00597840"/>
    <w:rsid w:val="00597D50"/>
    <w:rsid w:val="00597E99"/>
    <w:rsid w:val="005A00DB"/>
    <w:rsid w:val="005A1AD1"/>
    <w:rsid w:val="005A24B6"/>
    <w:rsid w:val="005A2DD8"/>
    <w:rsid w:val="005A2E3B"/>
    <w:rsid w:val="005A373E"/>
    <w:rsid w:val="005A471F"/>
    <w:rsid w:val="005A4DBD"/>
    <w:rsid w:val="005A5304"/>
    <w:rsid w:val="005A55AB"/>
    <w:rsid w:val="005A6099"/>
    <w:rsid w:val="005A6E42"/>
    <w:rsid w:val="005A6F3C"/>
    <w:rsid w:val="005A74E6"/>
    <w:rsid w:val="005A7D95"/>
    <w:rsid w:val="005B0340"/>
    <w:rsid w:val="005B0620"/>
    <w:rsid w:val="005B0AAB"/>
    <w:rsid w:val="005B1361"/>
    <w:rsid w:val="005B1B54"/>
    <w:rsid w:val="005B20FD"/>
    <w:rsid w:val="005B2667"/>
    <w:rsid w:val="005B2BB8"/>
    <w:rsid w:val="005B2DFD"/>
    <w:rsid w:val="005B32C0"/>
    <w:rsid w:val="005B331C"/>
    <w:rsid w:val="005B3F9A"/>
    <w:rsid w:val="005B4510"/>
    <w:rsid w:val="005B56CE"/>
    <w:rsid w:val="005B6327"/>
    <w:rsid w:val="005B6684"/>
    <w:rsid w:val="005B6991"/>
    <w:rsid w:val="005B72D3"/>
    <w:rsid w:val="005B76C6"/>
    <w:rsid w:val="005B7890"/>
    <w:rsid w:val="005B78D7"/>
    <w:rsid w:val="005B7AA7"/>
    <w:rsid w:val="005B7F6E"/>
    <w:rsid w:val="005C118E"/>
    <w:rsid w:val="005C17E8"/>
    <w:rsid w:val="005C208E"/>
    <w:rsid w:val="005C2F41"/>
    <w:rsid w:val="005C3513"/>
    <w:rsid w:val="005C3725"/>
    <w:rsid w:val="005C3DA7"/>
    <w:rsid w:val="005C496F"/>
    <w:rsid w:val="005C497A"/>
    <w:rsid w:val="005C4C00"/>
    <w:rsid w:val="005C4CC3"/>
    <w:rsid w:val="005C5D3E"/>
    <w:rsid w:val="005C5EDD"/>
    <w:rsid w:val="005C6F72"/>
    <w:rsid w:val="005C7390"/>
    <w:rsid w:val="005C7541"/>
    <w:rsid w:val="005D01C9"/>
    <w:rsid w:val="005D123A"/>
    <w:rsid w:val="005D1A7D"/>
    <w:rsid w:val="005D1A96"/>
    <w:rsid w:val="005D2394"/>
    <w:rsid w:val="005D2F41"/>
    <w:rsid w:val="005D37C2"/>
    <w:rsid w:val="005D501E"/>
    <w:rsid w:val="005D56D7"/>
    <w:rsid w:val="005D5ECF"/>
    <w:rsid w:val="005D60E1"/>
    <w:rsid w:val="005D663B"/>
    <w:rsid w:val="005D6B46"/>
    <w:rsid w:val="005D709D"/>
    <w:rsid w:val="005D749A"/>
    <w:rsid w:val="005D7512"/>
    <w:rsid w:val="005E0C46"/>
    <w:rsid w:val="005E1736"/>
    <w:rsid w:val="005E1AB5"/>
    <w:rsid w:val="005E2755"/>
    <w:rsid w:val="005E289C"/>
    <w:rsid w:val="005E302F"/>
    <w:rsid w:val="005E33D7"/>
    <w:rsid w:val="005E46B7"/>
    <w:rsid w:val="005E48FD"/>
    <w:rsid w:val="005E4993"/>
    <w:rsid w:val="005E4B42"/>
    <w:rsid w:val="005E59D5"/>
    <w:rsid w:val="005E5F0A"/>
    <w:rsid w:val="005E64A7"/>
    <w:rsid w:val="005E6DA2"/>
    <w:rsid w:val="005E7255"/>
    <w:rsid w:val="005E72FB"/>
    <w:rsid w:val="005E7E45"/>
    <w:rsid w:val="005E7F7B"/>
    <w:rsid w:val="005F0822"/>
    <w:rsid w:val="005F1A27"/>
    <w:rsid w:val="005F1BE4"/>
    <w:rsid w:val="005F318B"/>
    <w:rsid w:val="005F3549"/>
    <w:rsid w:val="005F39C9"/>
    <w:rsid w:val="005F3EBB"/>
    <w:rsid w:val="005F422A"/>
    <w:rsid w:val="005F4794"/>
    <w:rsid w:val="005F4C94"/>
    <w:rsid w:val="005F4F3B"/>
    <w:rsid w:val="005F5BE9"/>
    <w:rsid w:val="005F6B22"/>
    <w:rsid w:val="005F6D70"/>
    <w:rsid w:val="005F7894"/>
    <w:rsid w:val="005F7D10"/>
    <w:rsid w:val="006009FD"/>
    <w:rsid w:val="00601595"/>
    <w:rsid w:val="006020B1"/>
    <w:rsid w:val="006020BA"/>
    <w:rsid w:val="0060223A"/>
    <w:rsid w:val="00602281"/>
    <w:rsid w:val="00602403"/>
    <w:rsid w:val="006028E8"/>
    <w:rsid w:val="0060301C"/>
    <w:rsid w:val="006030A7"/>
    <w:rsid w:val="006038DF"/>
    <w:rsid w:val="00603E7E"/>
    <w:rsid w:val="0060557D"/>
    <w:rsid w:val="006058C3"/>
    <w:rsid w:val="00606AA4"/>
    <w:rsid w:val="006072D8"/>
    <w:rsid w:val="00610C5C"/>
    <w:rsid w:val="00611622"/>
    <w:rsid w:val="00611E70"/>
    <w:rsid w:val="00612831"/>
    <w:rsid w:val="00612B1C"/>
    <w:rsid w:val="00612D03"/>
    <w:rsid w:val="0061303E"/>
    <w:rsid w:val="00613523"/>
    <w:rsid w:val="00613D84"/>
    <w:rsid w:val="00613F31"/>
    <w:rsid w:val="006146E2"/>
    <w:rsid w:val="00614875"/>
    <w:rsid w:val="00615501"/>
    <w:rsid w:val="00615C19"/>
    <w:rsid w:val="006160EB"/>
    <w:rsid w:val="0061618A"/>
    <w:rsid w:val="006165E8"/>
    <w:rsid w:val="00616986"/>
    <w:rsid w:val="00616DF3"/>
    <w:rsid w:val="0061715E"/>
    <w:rsid w:val="006171C9"/>
    <w:rsid w:val="00617A0D"/>
    <w:rsid w:val="00617DB1"/>
    <w:rsid w:val="006202B9"/>
    <w:rsid w:val="006202C7"/>
    <w:rsid w:val="00620A54"/>
    <w:rsid w:val="00620C58"/>
    <w:rsid w:val="00620D7F"/>
    <w:rsid w:val="006219E4"/>
    <w:rsid w:val="00621ED6"/>
    <w:rsid w:val="00622463"/>
    <w:rsid w:val="006225A9"/>
    <w:rsid w:val="00622C4F"/>
    <w:rsid w:val="00623A11"/>
    <w:rsid w:val="00623BEB"/>
    <w:rsid w:val="00623E52"/>
    <w:rsid w:val="00624803"/>
    <w:rsid w:val="00624865"/>
    <w:rsid w:val="00626854"/>
    <w:rsid w:val="00626BB4"/>
    <w:rsid w:val="00626E25"/>
    <w:rsid w:val="00627FDF"/>
    <w:rsid w:val="00630773"/>
    <w:rsid w:val="006313D7"/>
    <w:rsid w:val="006315C6"/>
    <w:rsid w:val="00631CA8"/>
    <w:rsid w:val="00632CC2"/>
    <w:rsid w:val="00633E30"/>
    <w:rsid w:val="00634C3B"/>
    <w:rsid w:val="00634D3D"/>
    <w:rsid w:val="006359A9"/>
    <w:rsid w:val="00635CA2"/>
    <w:rsid w:val="00635F65"/>
    <w:rsid w:val="0063662E"/>
    <w:rsid w:val="00636EEE"/>
    <w:rsid w:val="006373BA"/>
    <w:rsid w:val="006375CC"/>
    <w:rsid w:val="00637BB1"/>
    <w:rsid w:val="006403B6"/>
    <w:rsid w:val="0064097E"/>
    <w:rsid w:val="00641BB6"/>
    <w:rsid w:val="0064227E"/>
    <w:rsid w:val="00642774"/>
    <w:rsid w:val="006428AC"/>
    <w:rsid w:val="00642941"/>
    <w:rsid w:val="0064328A"/>
    <w:rsid w:val="00643D60"/>
    <w:rsid w:val="00644170"/>
    <w:rsid w:val="00644B53"/>
    <w:rsid w:val="00644B6B"/>
    <w:rsid w:val="00644D20"/>
    <w:rsid w:val="0064550A"/>
    <w:rsid w:val="00645E65"/>
    <w:rsid w:val="00646C65"/>
    <w:rsid w:val="00646E26"/>
    <w:rsid w:val="00646F5A"/>
    <w:rsid w:val="00646F74"/>
    <w:rsid w:val="00650593"/>
    <w:rsid w:val="00650D4F"/>
    <w:rsid w:val="00650F45"/>
    <w:rsid w:val="006512E8"/>
    <w:rsid w:val="00652074"/>
    <w:rsid w:val="006525DF"/>
    <w:rsid w:val="00652C09"/>
    <w:rsid w:val="006530A6"/>
    <w:rsid w:val="006532E5"/>
    <w:rsid w:val="0065341D"/>
    <w:rsid w:val="006543FE"/>
    <w:rsid w:val="00654954"/>
    <w:rsid w:val="0065495E"/>
    <w:rsid w:val="00654D81"/>
    <w:rsid w:val="00654E72"/>
    <w:rsid w:val="006562E9"/>
    <w:rsid w:val="006568DA"/>
    <w:rsid w:val="006568F2"/>
    <w:rsid w:val="00656BAB"/>
    <w:rsid w:val="0065743D"/>
    <w:rsid w:val="0065746B"/>
    <w:rsid w:val="00657571"/>
    <w:rsid w:val="00657851"/>
    <w:rsid w:val="00657B94"/>
    <w:rsid w:val="0066031E"/>
    <w:rsid w:val="00661834"/>
    <w:rsid w:val="00661E32"/>
    <w:rsid w:val="00661F2A"/>
    <w:rsid w:val="00662120"/>
    <w:rsid w:val="006634ED"/>
    <w:rsid w:val="00663D2F"/>
    <w:rsid w:val="00663D5A"/>
    <w:rsid w:val="00663ED6"/>
    <w:rsid w:val="00664CEA"/>
    <w:rsid w:val="00664F4E"/>
    <w:rsid w:val="00665C8E"/>
    <w:rsid w:val="00666E76"/>
    <w:rsid w:val="006679B5"/>
    <w:rsid w:val="00667ACC"/>
    <w:rsid w:val="00667E91"/>
    <w:rsid w:val="0067099B"/>
    <w:rsid w:val="00670A9B"/>
    <w:rsid w:val="00670E9B"/>
    <w:rsid w:val="006714C6"/>
    <w:rsid w:val="00671C25"/>
    <w:rsid w:val="00671DB4"/>
    <w:rsid w:val="00672A34"/>
    <w:rsid w:val="006734F6"/>
    <w:rsid w:val="00673CB3"/>
    <w:rsid w:val="00673FCF"/>
    <w:rsid w:val="0067447B"/>
    <w:rsid w:val="00674C66"/>
    <w:rsid w:val="00674EDD"/>
    <w:rsid w:val="006752AE"/>
    <w:rsid w:val="006753E3"/>
    <w:rsid w:val="00675A35"/>
    <w:rsid w:val="00675C99"/>
    <w:rsid w:val="00675D3F"/>
    <w:rsid w:val="00675F1E"/>
    <w:rsid w:val="00677B6C"/>
    <w:rsid w:val="006803D0"/>
    <w:rsid w:val="006806AC"/>
    <w:rsid w:val="006806DE"/>
    <w:rsid w:val="00681067"/>
    <w:rsid w:val="00681281"/>
    <w:rsid w:val="006817C1"/>
    <w:rsid w:val="00682322"/>
    <w:rsid w:val="00682DA5"/>
    <w:rsid w:val="00684922"/>
    <w:rsid w:val="006854EE"/>
    <w:rsid w:val="00685958"/>
    <w:rsid w:val="00686415"/>
    <w:rsid w:val="0068681F"/>
    <w:rsid w:val="00686B0F"/>
    <w:rsid w:val="006874FD"/>
    <w:rsid w:val="00690601"/>
    <w:rsid w:val="00690821"/>
    <w:rsid w:val="00691242"/>
    <w:rsid w:val="0069149D"/>
    <w:rsid w:val="00691A0D"/>
    <w:rsid w:val="00691A80"/>
    <w:rsid w:val="00691F9C"/>
    <w:rsid w:val="00691FEA"/>
    <w:rsid w:val="0069270B"/>
    <w:rsid w:val="00692D8E"/>
    <w:rsid w:val="00692F5C"/>
    <w:rsid w:val="00692F91"/>
    <w:rsid w:val="00693623"/>
    <w:rsid w:val="0069498C"/>
    <w:rsid w:val="006949EA"/>
    <w:rsid w:val="00694B00"/>
    <w:rsid w:val="00695C51"/>
    <w:rsid w:val="0069678B"/>
    <w:rsid w:val="00697190"/>
    <w:rsid w:val="00697757"/>
    <w:rsid w:val="0069787E"/>
    <w:rsid w:val="006A0192"/>
    <w:rsid w:val="006A073F"/>
    <w:rsid w:val="006A085B"/>
    <w:rsid w:val="006A0EB2"/>
    <w:rsid w:val="006A0EBA"/>
    <w:rsid w:val="006A1213"/>
    <w:rsid w:val="006A15AE"/>
    <w:rsid w:val="006A1ED9"/>
    <w:rsid w:val="006A2678"/>
    <w:rsid w:val="006A285F"/>
    <w:rsid w:val="006A3A27"/>
    <w:rsid w:val="006A3F1C"/>
    <w:rsid w:val="006A4548"/>
    <w:rsid w:val="006A469C"/>
    <w:rsid w:val="006A475F"/>
    <w:rsid w:val="006A5997"/>
    <w:rsid w:val="006A5C4D"/>
    <w:rsid w:val="006A5D95"/>
    <w:rsid w:val="006A5DC9"/>
    <w:rsid w:val="006A6263"/>
    <w:rsid w:val="006A63A0"/>
    <w:rsid w:val="006A6833"/>
    <w:rsid w:val="006A77A8"/>
    <w:rsid w:val="006A7D12"/>
    <w:rsid w:val="006B0030"/>
    <w:rsid w:val="006B09FF"/>
    <w:rsid w:val="006B0CF0"/>
    <w:rsid w:val="006B1196"/>
    <w:rsid w:val="006B370E"/>
    <w:rsid w:val="006B4F78"/>
    <w:rsid w:val="006B53F5"/>
    <w:rsid w:val="006B5886"/>
    <w:rsid w:val="006B63ED"/>
    <w:rsid w:val="006B6627"/>
    <w:rsid w:val="006B6991"/>
    <w:rsid w:val="006B7219"/>
    <w:rsid w:val="006C0097"/>
    <w:rsid w:val="006C033C"/>
    <w:rsid w:val="006C1298"/>
    <w:rsid w:val="006C37E1"/>
    <w:rsid w:val="006C3DC2"/>
    <w:rsid w:val="006C401C"/>
    <w:rsid w:val="006C4904"/>
    <w:rsid w:val="006C4D2D"/>
    <w:rsid w:val="006C6714"/>
    <w:rsid w:val="006C6D68"/>
    <w:rsid w:val="006C7852"/>
    <w:rsid w:val="006C7B9C"/>
    <w:rsid w:val="006D09E3"/>
    <w:rsid w:val="006D1737"/>
    <w:rsid w:val="006D1C18"/>
    <w:rsid w:val="006D23E9"/>
    <w:rsid w:val="006D2D02"/>
    <w:rsid w:val="006D2DDF"/>
    <w:rsid w:val="006D2EC9"/>
    <w:rsid w:val="006D2FB9"/>
    <w:rsid w:val="006D4078"/>
    <w:rsid w:val="006D409C"/>
    <w:rsid w:val="006D4239"/>
    <w:rsid w:val="006D471B"/>
    <w:rsid w:val="006D4C01"/>
    <w:rsid w:val="006D4E13"/>
    <w:rsid w:val="006D5457"/>
    <w:rsid w:val="006D5817"/>
    <w:rsid w:val="006D607E"/>
    <w:rsid w:val="006D630B"/>
    <w:rsid w:val="006D720F"/>
    <w:rsid w:val="006D7596"/>
    <w:rsid w:val="006D75C2"/>
    <w:rsid w:val="006D76E9"/>
    <w:rsid w:val="006E1310"/>
    <w:rsid w:val="006E17F6"/>
    <w:rsid w:val="006E1C8C"/>
    <w:rsid w:val="006E2065"/>
    <w:rsid w:val="006E24A6"/>
    <w:rsid w:val="006E3376"/>
    <w:rsid w:val="006E3496"/>
    <w:rsid w:val="006E3536"/>
    <w:rsid w:val="006E3A4D"/>
    <w:rsid w:val="006E3C3A"/>
    <w:rsid w:val="006E4A48"/>
    <w:rsid w:val="006E5A8E"/>
    <w:rsid w:val="006E5E4D"/>
    <w:rsid w:val="006E66B8"/>
    <w:rsid w:val="006E6801"/>
    <w:rsid w:val="006E7A3A"/>
    <w:rsid w:val="006E7B9D"/>
    <w:rsid w:val="006E7FE4"/>
    <w:rsid w:val="006F054E"/>
    <w:rsid w:val="006F07DB"/>
    <w:rsid w:val="006F0CEC"/>
    <w:rsid w:val="006F1B1E"/>
    <w:rsid w:val="006F1B41"/>
    <w:rsid w:val="006F200E"/>
    <w:rsid w:val="006F20EB"/>
    <w:rsid w:val="006F2FEE"/>
    <w:rsid w:val="006F3BC8"/>
    <w:rsid w:val="006F3BF5"/>
    <w:rsid w:val="006F537F"/>
    <w:rsid w:val="006F56B0"/>
    <w:rsid w:val="006F5838"/>
    <w:rsid w:val="006F605C"/>
    <w:rsid w:val="006F6082"/>
    <w:rsid w:val="006F676E"/>
    <w:rsid w:val="006F6E5E"/>
    <w:rsid w:val="006F6FA1"/>
    <w:rsid w:val="006F7180"/>
    <w:rsid w:val="006F784D"/>
    <w:rsid w:val="006F7FA9"/>
    <w:rsid w:val="0070044D"/>
    <w:rsid w:val="0070063C"/>
    <w:rsid w:val="0070079F"/>
    <w:rsid w:val="00700F23"/>
    <w:rsid w:val="00700F47"/>
    <w:rsid w:val="00701021"/>
    <w:rsid w:val="007013F6"/>
    <w:rsid w:val="0070223C"/>
    <w:rsid w:val="007022DE"/>
    <w:rsid w:val="007026D6"/>
    <w:rsid w:val="00702FC8"/>
    <w:rsid w:val="00703CC3"/>
    <w:rsid w:val="007056CD"/>
    <w:rsid w:val="0070601F"/>
    <w:rsid w:val="00706206"/>
    <w:rsid w:val="007063E4"/>
    <w:rsid w:val="00706626"/>
    <w:rsid w:val="00706647"/>
    <w:rsid w:val="0070746B"/>
    <w:rsid w:val="00707C26"/>
    <w:rsid w:val="007102CB"/>
    <w:rsid w:val="00710723"/>
    <w:rsid w:val="00710DB2"/>
    <w:rsid w:val="00711E88"/>
    <w:rsid w:val="00711F58"/>
    <w:rsid w:val="0071239C"/>
    <w:rsid w:val="00712757"/>
    <w:rsid w:val="0071287F"/>
    <w:rsid w:val="00712D66"/>
    <w:rsid w:val="007134C3"/>
    <w:rsid w:val="007134ED"/>
    <w:rsid w:val="00713807"/>
    <w:rsid w:val="007144F2"/>
    <w:rsid w:val="007148AD"/>
    <w:rsid w:val="007152C5"/>
    <w:rsid w:val="00715520"/>
    <w:rsid w:val="00715F5B"/>
    <w:rsid w:val="0071607B"/>
    <w:rsid w:val="00716F76"/>
    <w:rsid w:val="00717DDB"/>
    <w:rsid w:val="007209BF"/>
    <w:rsid w:val="00721477"/>
    <w:rsid w:val="00721593"/>
    <w:rsid w:val="007215E8"/>
    <w:rsid w:val="00721C55"/>
    <w:rsid w:val="0072287B"/>
    <w:rsid w:val="0072299D"/>
    <w:rsid w:val="00722BF8"/>
    <w:rsid w:val="00722EE8"/>
    <w:rsid w:val="007233A3"/>
    <w:rsid w:val="00723601"/>
    <w:rsid w:val="007242D9"/>
    <w:rsid w:val="00724953"/>
    <w:rsid w:val="007252DD"/>
    <w:rsid w:val="00725A0F"/>
    <w:rsid w:val="00725B08"/>
    <w:rsid w:val="00726D61"/>
    <w:rsid w:val="00727603"/>
    <w:rsid w:val="00727891"/>
    <w:rsid w:val="007278A0"/>
    <w:rsid w:val="007279A4"/>
    <w:rsid w:val="00727F04"/>
    <w:rsid w:val="0073066C"/>
    <w:rsid w:val="00730B97"/>
    <w:rsid w:val="007317AF"/>
    <w:rsid w:val="00731B80"/>
    <w:rsid w:val="007327E8"/>
    <w:rsid w:val="00732C9D"/>
    <w:rsid w:val="00732FDE"/>
    <w:rsid w:val="00733075"/>
    <w:rsid w:val="0073358A"/>
    <w:rsid w:val="00733F2B"/>
    <w:rsid w:val="007344BD"/>
    <w:rsid w:val="00734CF3"/>
    <w:rsid w:val="007352CF"/>
    <w:rsid w:val="00735A2B"/>
    <w:rsid w:val="00735ED8"/>
    <w:rsid w:val="00736C31"/>
    <w:rsid w:val="00737CAE"/>
    <w:rsid w:val="0074069F"/>
    <w:rsid w:val="00740DE0"/>
    <w:rsid w:val="00741237"/>
    <w:rsid w:val="00741BFB"/>
    <w:rsid w:val="00741D62"/>
    <w:rsid w:val="00743216"/>
    <w:rsid w:val="0074326F"/>
    <w:rsid w:val="007436B8"/>
    <w:rsid w:val="0074387B"/>
    <w:rsid w:val="00743887"/>
    <w:rsid w:val="00744467"/>
    <w:rsid w:val="00744595"/>
    <w:rsid w:val="0074489C"/>
    <w:rsid w:val="0074548B"/>
    <w:rsid w:val="00745AC9"/>
    <w:rsid w:val="00745DC2"/>
    <w:rsid w:val="00746AC1"/>
    <w:rsid w:val="00746F20"/>
    <w:rsid w:val="007471A2"/>
    <w:rsid w:val="00747481"/>
    <w:rsid w:val="00747F09"/>
    <w:rsid w:val="007509E0"/>
    <w:rsid w:val="00751CF5"/>
    <w:rsid w:val="00752C11"/>
    <w:rsid w:val="00752D76"/>
    <w:rsid w:val="00752E6F"/>
    <w:rsid w:val="007531F0"/>
    <w:rsid w:val="0075341D"/>
    <w:rsid w:val="00753522"/>
    <w:rsid w:val="00753BA6"/>
    <w:rsid w:val="0075460D"/>
    <w:rsid w:val="007549EC"/>
    <w:rsid w:val="00754C0B"/>
    <w:rsid w:val="0075539A"/>
    <w:rsid w:val="00755486"/>
    <w:rsid w:val="00755659"/>
    <w:rsid w:val="00755C2F"/>
    <w:rsid w:val="00755DE1"/>
    <w:rsid w:val="00756023"/>
    <w:rsid w:val="00756196"/>
    <w:rsid w:val="007563CE"/>
    <w:rsid w:val="0075691D"/>
    <w:rsid w:val="00756EC2"/>
    <w:rsid w:val="00756F73"/>
    <w:rsid w:val="00757956"/>
    <w:rsid w:val="00760113"/>
    <w:rsid w:val="00760619"/>
    <w:rsid w:val="00760BC9"/>
    <w:rsid w:val="00760C54"/>
    <w:rsid w:val="00760C85"/>
    <w:rsid w:val="00760F05"/>
    <w:rsid w:val="007625E8"/>
    <w:rsid w:val="00762851"/>
    <w:rsid w:val="00762C28"/>
    <w:rsid w:val="00763F9F"/>
    <w:rsid w:val="0076487E"/>
    <w:rsid w:val="00764DE5"/>
    <w:rsid w:val="0076556A"/>
    <w:rsid w:val="00765C38"/>
    <w:rsid w:val="00766121"/>
    <w:rsid w:val="0076666C"/>
    <w:rsid w:val="007667B9"/>
    <w:rsid w:val="007669CE"/>
    <w:rsid w:val="00766A35"/>
    <w:rsid w:val="00766CEB"/>
    <w:rsid w:val="00770048"/>
    <w:rsid w:val="007701C7"/>
    <w:rsid w:val="00770C88"/>
    <w:rsid w:val="00770DC4"/>
    <w:rsid w:val="0077158E"/>
    <w:rsid w:val="00771E9A"/>
    <w:rsid w:val="007722AA"/>
    <w:rsid w:val="007735B3"/>
    <w:rsid w:val="007735F4"/>
    <w:rsid w:val="00773B70"/>
    <w:rsid w:val="00774A01"/>
    <w:rsid w:val="00774DF9"/>
    <w:rsid w:val="00775200"/>
    <w:rsid w:val="00776295"/>
    <w:rsid w:val="007764D7"/>
    <w:rsid w:val="00777095"/>
    <w:rsid w:val="00777DED"/>
    <w:rsid w:val="00780106"/>
    <w:rsid w:val="007803B1"/>
    <w:rsid w:val="00780ABB"/>
    <w:rsid w:val="00780E79"/>
    <w:rsid w:val="00781178"/>
    <w:rsid w:val="00781B80"/>
    <w:rsid w:val="007820ED"/>
    <w:rsid w:val="00782832"/>
    <w:rsid w:val="00784345"/>
    <w:rsid w:val="00784383"/>
    <w:rsid w:val="00784997"/>
    <w:rsid w:val="00784EF0"/>
    <w:rsid w:val="0078506A"/>
    <w:rsid w:val="00785993"/>
    <w:rsid w:val="00786DFD"/>
    <w:rsid w:val="00786F84"/>
    <w:rsid w:val="00787C2E"/>
    <w:rsid w:val="00790437"/>
    <w:rsid w:val="00790C59"/>
    <w:rsid w:val="0079103F"/>
    <w:rsid w:val="00794357"/>
    <w:rsid w:val="007944E2"/>
    <w:rsid w:val="00794691"/>
    <w:rsid w:val="00795866"/>
    <w:rsid w:val="00795BAD"/>
    <w:rsid w:val="00795C3D"/>
    <w:rsid w:val="007962CB"/>
    <w:rsid w:val="007968C7"/>
    <w:rsid w:val="007970CA"/>
    <w:rsid w:val="0079798B"/>
    <w:rsid w:val="007A0414"/>
    <w:rsid w:val="007A0634"/>
    <w:rsid w:val="007A0B7A"/>
    <w:rsid w:val="007A1335"/>
    <w:rsid w:val="007A15FD"/>
    <w:rsid w:val="007A19B2"/>
    <w:rsid w:val="007A2480"/>
    <w:rsid w:val="007A280C"/>
    <w:rsid w:val="007A2DF0"/>
    <w:rsid w:val="007A2FC9"/>
    <w:rsid w:val="007A391D"/>
    <w:rsid w:val="007A3B4D"/>
    <w:rsid w:val="007A44E0"/>
    <w:rsid w:val="007A5001"/>
    <w:rsid w:val="007A50F3"/>
    <w:rsid w:val="007A5AC4"/>
    <w:rsid w:val="007A5B06"/>
    <w:rsid w:val="007A6CEA"/>
    <w:rsid w:val="007A7034"/>
    <w:rsid w:val="007A7364"/>
    <w:rsid w:val="007B0541"/>
    <w:rsid w:val="007B0E15"/>
    <w:rsid w:val="007B0F4A"/>
    <w:rsid w:val="007B1175"/>
    <w:rsid w:val="007B14DF"/>
    <w:rsid w:val="007B1BBE"/>
    <w:rsid w:val="007B1EFF"/>
    <w:rsid w:val="007B2B0E"/>
    <w:rsid w:val="007B3384"/>
    <w:rsid w:val="007B3D48"/>
    <w:rsid w:val="007B3E03"/>
    <w:rsid w:val="007B4334"/>
    <w:rsid w:val="007B48A9"/>
    <w:rsid w:val="007B6420"/>
    <w:rsid w:val="007B6717"/>
    <w:rsid w:val="007B73BA"/>
    <w:rsid w:val="007B799D"/>
    <w:rsid w:val="007B7D69"/>
    <w:rsid w:val="007B7DB4"/>
    <w:rsid w:val="007C07B1"/>
    <w:rsid w:val="007C1E69"/>
    <w:rsid w:val="007C26F1"/>
    <w:rsid w:val="007C39F0"/>
    <w:rsid w:val="007C418B"/>
    <w:rsid w:val="007C4672"/>
    <w:rsid w:val="007C4CC2"/>
    <w:rsid w:val="007C58EA"/>
    <w:rsid w:val="007C59DE"/>
    <w:rsid w:val="007C66BC"/>
    <w:rsid w:val="007C6D01"/>
    <w:rsid w:val="007C6D56"/>
    <w:rsid w:val="007D0A61"/>
    <w:rsid w:val="007D0B95"/>
    <w:rsid w:val="007D153C"/>
    <w:rsid w:val="007D1B01"/>
    <w:rsid w:val="007D1FA8"/>
    <w:rsid w:val="007D25E0"/>
    <w:rsid w:val="007D38D9"/>
    <w:rsid w:val="007D3E5B"/>
    <w:rsid w:val="007D4CE1"/>
    <w:rsid w:val="007D5621"/>
    <w:rsid w:val="007D597E"/>
    <w:rsid w:val="007D5A28"/>
    <w:rsid w:val="007D5A6F"/>
    <w:rsid w:val="007D6024"/>
    <w:rsid w:val="007D6B43"/>
    <w:rsid w:val="007D728E"/>
    <w:rsid w:val="007D7A63"/>
    <w:rsid w:val="007D7E79"/>
    <w:rsid w:val="007E0262"/>
    <w:rsid w:val="007E18C5"/>
    <w:rsid w:val="007E1D66"/>
    <w:rsid w:val="007E2489"/>
    <w:rsid w:val="007E2710"/>
    <w:rsid w:val="007E2834"/>
    <w:rsid w:val="007E3614"/>
    <w:rsid w:val="007E4522"/>
    <w:rsid w:val="007E459E"/>
    <w:rsid w:val="007E513F"/>
    <w:rsid w:val="007E548E"/>
    <w:rsid w:val="007E7169"/>
    <w:rsid w:val="007E7B02"/>
    <w:rsid w:val="007E7D46"/>
    <w:rsid w:val="007E7DC0"/>
    <w:rsid w:val="007F0989"/>
    <w:rsid w:val="007F13C6"/>
    <w:rsid w:val="007F23E6"/>
    <w:rsid w:val="007F2B9F"/>
    <w:rsid w:val="007F2BF2"/>
    <w:rsid w:val="007F2F6A"/>
    <w:rsid w:val="007F37D2"/>
    <w:rsid w:val="007F40C0"/>
    <w:rsid w:val="007F4289"/>
    <w:rsid w:val="007F4E41"/>
    <w:rsid w:val="007F5178"/>
    <w:rsid w:val="007F5AF4"/>
    <w:rsid w:val="007F5EA0"/>
    <w:rsid w:val="007F5EC7"/>
    <w:rsid w:val="007F62D8"/>
    <w:rsid w:val="007F6A83"/>
    <w:rsid w:val="007F6D43"/>
    <w:rsid w:val="007F732F"/>
    <w:rsid w:val="007F7C08"/>
    <w:rsid w:val="00800F81"/>
    <w:rsid w:val="008029CB"/>
    <w:rsid w:val="00802CCB"/>
    <w:rsid w:val="00803CD5"/>
    <w:rsid w:val="008044C7"/>
    <w:rsid w:val="00804922"/>
    <w:rsid w:val="00804997"/>
    <w:rsid w:val="00805662"/>
    <w:rsid w:val="00805762"/>
    <w:rsid w:val="0080585F"/>
    <w:rsid w:val="008062E9"/>
    <w:rsid w:val="008063D7"/>
    <w:rsid w:val="00806777"/>
    <w:rsid w:val="00806DBF"/>
    <w:rsid w:val="00806E7B"/>
    <w:rsid w:val="00807147"/>
    <w:rsid w:val="008075D3"/>
    <w:rsid w:val="00810068"/>
    <w:rsid w:val="0081072A"/>
    <w:rsid w:val="0081098B"/>
    <w:rsid w:val="00811F60"/>
    <w:rsid w:val="008126B0"/>
    <w:rsid w:val="0081348D"/>
    <w:rsid w:val="00813499"/>
    <w:rsid w:val="00813809"/>
    <w:rsid w:val="00814D3D"/>
    <w:rsid w:val="008162A3"/>
    <w:rsid w:val="00816D3A"/>
    <w:rsid w:val="00816E4F"/>
    <w:rsid w:val="00817614"/>
    <w:rsid w:val="00817887"/>
    <w:rsid w:val="008178FA"/>
    <w:rsid w:val="0082047A"/>
    <w:rsid w:val="0082049E"/>
    <w:rsid w:val="0082088F"/>
    <w:rsid w:val="00821919"/>
    <w:rsid w:val="00821978"/>
    <w:rsid w:val="00821AD1"/>
    <w:rsid w:val="00822BF3"/>
    <w:rsid w:val="008233A3"/>
    <w:rsid w:val="008236BE"/>
    <w:rsid w:val="00823761"/>
    <w:rsid w:val="00824A27"/>
    <w:rsid w:val="0082615C"/>
    <w:rsid w:val="00826259"/>
    <w:rsid w:val="0082627E"/>
    <w:rsid w:val="0082695D"/>
    <w:rsid w:val="008269CC"/>
    <w:rsid w:val="00826F24"/>
    <w:rsid w:val="00826FD2"/>
    <w:rsid w:val="00827837"/>
    <w:rsid w:val="00830362"/>
    <w:rsid w:val="00830411"/>
    <w:rsid w:val="0083048B"/>
    <w:rsid w:val="0083091F"/>
    <w:rsid w:val="0083117B"/>
    <w:rsid w:val="008316F6"/>
    <w:rsid w:val="00831E9B"/>
    <w:rsid w:val="008322A9"/>
    <w:rsid w:val="0083230B"/>
    <w:rsid w:val="008323FE"/>
    <w:rsid w:val="0083274E"/>
    <w:rsid w:val="008327E3"/>
    <w:rsid w:val="008328FB"/>
    <w:rsid w:val="00832FD7"/>
    <w:rsid w:val="0083362B"/>
    <w:rsid w:val="00833CBD"/>
    <w:rsid w:val="008341AF"/>
    <w:rsid w:val="008344C7"/>
    <w:rsid w:val="00834613"/>
    <w:rsid w:val="00834D9D"/>
    <w:rsid w:val="00835956"/>
    <w:rsid w:val="008368D8"/>
    <w:rsid w:val="00837346"/>
    <w:rsid w:val="0083784E"/>
    <w:rsid w:val="00840060"/>
    <w:rsid w:val="00840195"/>
    <w:rsid w:val="0084047C"/>
    <w:rsid w:val="00840B5C"/>
    <w:rsid w:val="00840C0F"/>
    <w:rsid w:val="00840F91"/>
    <w:rsid w:val="0084108E"/>
    <w:rsid w:val="0084222D"/>
    <w:rsid w:val="00842792"/>
    <w:rsid w:val="00842D20"/>
    <w:rsid w:val="008444A5"/>
    <w:rsid w:val="0084533C"/>
    <w:rsid w:val="00845725"/>
    <w:rsid w:val="00845768"/>
    <w:rsid w:val="00845E9C"/>
    <w:rsid w:val="0084669A"/>
    <w:rsid w:val="00846D6B"/>
    <w:rsid w:val="008474E5"/>
    <w:rsid w:val="00847E0D"/>
    <w:rsid w:val="00850036"/>
    <w:rsid w:val="0085052A"/>
    <w:rsid w:val="0085086F"/>
    <w:rsid w:val="00851CA5"/>
    <w:rsid w:val="00851FA3"/>
    <w:rsid w:val="008525E7"/>
    <w:rsid w:val="008525FD"/>
    <w:rsid w:val="00853B89"/>
    <w:rsid w:val="00853E47"/>
    <w:rsid w:val="00854129"/>
    <w:rsid w:val="008541C4"/>
    <w:rsid w:val="00854B93"/>
    <w:rsid w:val="00856D36"/>
    <w:rsid w:val="008572DD"/>
    <w:rsid w:val="0085730F"/>
    <w:rsid w:val="008574F9"/>
    <w:rsid w:val="00857955"/>
    <w:rsid w:val="00857BD4"/>
    <w:rsid w:val="0086008C"/>
    <w:rsid w:val="008611EA"/>
    <w:rsid w:val="00861373"/>
    <w:rsid w:val="00861403"/>
    <w:rsid w:val="008614C9"/>
    <w:rsid w:val="00861839"/>
    <w:rsid w:val="00861C37"/>
    <w:rsid w:val="00862435"/>
    <w:rsid w:val="008624B0"/>
    <w:rsid w:val="00862889"/>
    <w:rsid w:val="00862BF0"/>
    <w:rsid w:val="00863F49"/>
    <w:rsid w:val="00863FF1"/>
    <w:rsid w:val="00864887"/>
    <w:rsid w:val="00864AF2"/>
    <w:rsid w:val="00864D5C"/>
    <w:rsid w:val="00864F9F"/>
    <w:rsid w:val="008653E9"/>
    <w:rsid w:val="008658CB"/>
    <w:rsid w:val="008660B1"/>
    <w:rsid w:val="008664B5"/>
    <w:rsid w:val="00866613"/>
    <w:rsid w:val="00866A20"/>
    <w:rsid w:val="00867B45"/>
    <w:rsid w:val="00867CD0"/>
    <w:rsid w:val="00867CF9"/>
    <w:rsid w:val="00867DC9"/>
    <w:rsid w:val="00867F92"/>
    <w:rsid w:val="00870B5B"/>
    <w:rsid w:val="00871311"/>
    <w:rsid w:val="008727D6"/>
    <w:rsid w:val="00872EFB"/>
    <w:rsid w:val="00872FE9"/>
    <w:rsid w:val="00873931"/>
    <w:rsid w:val="00874933"/>
    <w:rsid w:val="008749C4"/>
    <w:rsid w:val="00875346"/>
    <w:rsid w:val="0087543E"/>
    <w:rsid w:val="00877066"/>
    <w:rsid w:val="0087774F"/>
    <w:rsid w:val="0088061F"/>
    <w:rsid w:val="00881809"/>
    <w:rsid w:val="008841C3"/>
    <w:rsid w:val="0088472D"/>
    <w:rsid w:val="00884C48"/>
    <w:rsid w:val="008852EA"/>
    <w:rsid w:val="00885331"/>
    <w:rsid w:val="008856BF"/>
    <w:rsid w:val="008856F6"/>
    <w:rsid w:val="00885AE7"/>
    <w:rsid w:val="008868E6"/>
    <w:rsid w:val="0089093C"/>
    <w:rsid w:val="00890BC3"/>
    <w:rsid w:val="00891829"/>
    <w:rsid w:val="008921B3"/>
    <w:rsid w:val="008936CE"/>
    <w:rsid w:val="00893D97"/>
    <w:rsid w:val="0089500E"/>
    <w:rsid w:val="0089632E"/>
    <w:rsid w:val="00896F0D"/>
    <w:rsid w:val="0089749B"/>
    <w:rsid w:val="00897538"/>
    <w:rsid w:val="00897686"/>
    <w:rsid w:val="008A08C3"/>
    <w:rsid w:val="008A0E6F"/>
    <w:rsid w:val="008A2B4C"/>
    <w:rsid w:val="008A2F68"/>
    <w:rsid w:val="008A37C5"/>
    <w:rsid w:val="008A38CF"/>
    <w:rsid w:val="008A4176"/>
    <w:rsid w:val="008A4AFC"/>
    <w:rsid w:val="008A543B"/>
    <w:rsid w:val="008A5B6F"/>
    <w:rsid w:val="008A6273"/>
    <w:rsid w:val="008A69E1"/>
    <w:rsid w:val="008A6AE8"/>
    <w:rsid w:val="008A7B7D"/>
    <w:rsid w:val="008B0543"/>
    <w:rsid w:val="008B202B"/>
    <w:rsid w:val="008B267C"/>
    <w:rsid w:val="008B26E6"/>
    <w:rsid w:val="008B2A9C"/>
    <w:rsid w:val="008B2E3C"/>
    <w:rsid w:val="008B2F0A"/>
    <w:rsid w:val="008B30BC"/>
    <w:rsid w:val="008B35A4"/>
    <w:rsid w:val="008B36DF"/>
    <w:rsid w:val="008B3DB8"/>
    <w:rsid w:val="008B3DBB"/>
    <w:rsid w:val="008B47ED"/>
    <w:rsid w:val="008B4E30"/>
    <w:rsid w:val="008B4FC7"/>
    <w:rsid w:val="008B4FF3"/>
    <w:rsid w:val="008B6180"/>
    <w:rsid w:val="008B68A1"/>
    <w:rsid w:val="008B6BA5"/>
    <w:rsid w:val="008C0ADC"/>
    <w:rsid w:val="008C0C47"/>
    <w:rsid w:val="008C0CDA"/>
    <w:rsid w:val="008C17BD"/>
    <w:rsid w:val="008C262A"/>
    <w:rsid w:val="008C2FE2"/>
    <w:rsid w:val="008C391C"/>
    <w:rsid w:val="008C3C1C"/>
    <w:rsid w:val="008C4306"/>
    <w:rsid w:val="008C4F88"/>
    <w:rsid w:val="008C5166"/>
    <w:rsid w:val="008C5515"/>
    <w:rsid w:val="008C5591"/>
    <w:rsid w:val="008C5A6B"/>
    <w:rsid w:val="008C61B4"/>
    <w:rsid w:val="008C6730"/>
    <w:rsid w:val="008C6967"/>
    <w:rsid w:val="008C69AE"/>
    <w:rsid w:val="008C70EF"/>
    <w:rsid w:val="008C77FC"/>
    <w:rsid w:val="008C7DAE"/>
    <w:rsid w:val="008D0005"/>
    <w:rsid w:val="008D04D2"/>
    <w:rsid w:val="008D075A"/>
    <w:rsid w:val="008D089D"/>
    <w:rsid w:val="008D0B9C"/>
    <w:rsid w:val="008D1549"/>
    <w:rsid w:val="008D15EA"/>
    <w:rsid w:val="008D3AC3"/>
    <w:rsid w:val="008D3F78"/>
    <w:rsid w:val="008D5908"/>
    <w:rsid w:val="008D6E7E"/>
    <w:rsid w:val="008D6E9F"/>
    <w:rsid w:val="008D70AE"/>
    <w:rsid w:val="008E0C2E"/>
    <w:rsid w:val="008E1B40"/>
    <w:rsid w:val="008E1BCB"/>
    <w:rsid w:val="008E264B"/>
    <w:rsid w:val="008E3AC0"/>
    <w:rsid w:val="008E3DB6"/>
    <w:rsid w:val="008E403A"/>
    <w:rsid w:val="008E4196"/>
    <w:rsid w:val="008E4231"/>
    <w:rsid w:val="008E48A6"/>
    <w:rsid w:val="008E4CDF"/>
    <w:rsid w:val="008E52B5"/>
    <w:rsid w:val="008E52C7"/>
    <w:rsid w:val="008E5B69"/>
    <w:rsid w:val="008E6B2B"/>
    <w:rsid w:val="008E7CFE"/>
    <w:rsid w:val="008F054B"/>
    <w:rsid w:val="008F0770"/>
    <w:rsid w:val="008F0A2E"/>
    <w:rsid w:val="008F1A75"/>
    <w:rsid w:val="008F1DA0"/>
    <w:rsid w:val="008F2422"/>
    <w:rsid w:val="008F2606"/>
    <w:rsid w:val="008F2BDB"/>
    <w:rsid w:val="008F2C8A"/>
    <w:rsid w:val="008F2FF7"/>
    <w:rsid w:val="008F3AFE"/>
    <w:rsid w:val="008F3D6D"/>
    <w:rsid w:val="008F4576"/>
    <w:rsid w:val="008F4602"/>
    <w:rsid w:val="008F4C8D"/>
    <w:rsid w:val="008F529F"/>
    <w:rsid w:val="008F57DB"/>
    <w:rsid w:val="008F59E3"/>
    <w:rsid w:val="008F6066"/>
    <w:rsid w:val="008F6E0C"/>
    <w:rsid w:val="008F7386"/>
    <w:rsid w:val="008F7C08"/>
    <w:rsid w:val="00900257"/>
    <w:rsid w:val="009008AF"/>
    <w:rsid w:val="00900F8F"/>
    <w:rsid w:val="0090130B"/>
    <w:rsid w:val="00902015"/>
    <w:rsid w:val="009040E6"/>
    <w:rsid w:val="00904C33"/>
    <w:rsid w:val="00905541"/>
    <w:rsid w:val="00906806"/>
    <w:rsid w:val="009069E6"/>
    <w:rsid w:val="00906BB2"/>
    <w:rsid w:val="00906D8D"/>
    <w:rsid w:val="00906F63"/>
    <w:rsid w:val="009076CA"/>
    <w:rsid w:val="00910065"/>
    <w:rsid w:val="00910DD8"/>
    <w:rsid w:val="00910F75"/>
    <w:rsid w:val="009110D4"/>
    <w:rsid w:val="00911279"/>
    <w:rsid w:val="0091127F"/>
    <w:rsid w:val="009118A6"/>
    <w:rsid w:val="00911E6D"/>
    <w:rsid w:val="00912A16"/>
    <w:rsid w:val="00912ACA"/>
    <w:rsid w:val="0091342D"/>
    <w:rsid w:val="00913481"/>
    <w:rsid w:val="009135E2"/>
    <w:rsid w:val="009136C3"/>
    <w:rsid w:val="0091428C"/>
    <w:rsid w:val="00914317"/>
    <w:rsid w:val="00914855"/>
    <w:rsid w:val="009151C9"/>
    <w:rsid w:val="00915B30"/>
    <w:rsid w:val="00915BC6"/>
    <w:rsid w:val="0091614F"/>
    <w:rsid w:val="009162CD"/>
    <w:rsid w:val="00920134"/>
    <w:rsid w:val="00920C3F"/>
    <w:rsid w:val="009211A5"/>
    <w:rsid w:val="00921D43"/>
    <w:rsid w:val="00923057"/>
    <w:rsid w:val="009230B3"/>
    <w:rsid w:val="00924CF5"/>
    <w:rsid w:val="0092508D"/>
    <w:rsid w:val="00925CEB"/>
    <w:rsid w:val="00926028"/>
    <w:rsid w:val="00926BE5"/>
    <w:rsid w:val="0092750B"/>
    <w:rsid w:val="00927943"/>
    <w:rsid w:val="00927C44"/>
    <w:rsid w:val="00930E1B"/>
    <w:rsid w:val="0093101D"/>
    <w:rsid w:val="009313C1"/>
    <w:rsid w:val="0093193C"/>
    <w:rsid w:val="00931A12"/>
    <w:rsid w:val="00932FF5"/>
    <w:rsid w:val="009330EF"/>
    <w:rsid w:val="009337AB"/>
    <w:rsid w:val="00933912"/>
    <w:rsid w:val="00933CCF"/>
    <w:rsid w:val="00934106"/>
    <w:rsid w:val="0093458F"/>
    <w:rsid w:val="009348FC"/>
    <w:rsid w:val="00934A26"/>
    <w:rsid w:val="0093583C"/>
    <w:rsid w:val="00935D75"/>
    <w:rsid w:val="009360D8"/>
    <w:rsid w:val="0093751C"/>
    <w:rsid w:val="009379C3"/>
    <w:rsid w:val="00941A9C"/>
    <w:rsid w:val="00942303"/>
    <w:rsid w:val="00942DB9"/>
    <w:rsid w:val="0094336C"/>
    <w:rsid w:val="0094376A"/>
    <w:rsid w:val="0094394B"/>
    <w:rsid w:val="00944209"/>
    <w:rsid w:val="009443D0"/>
    <w:rsid w:val="00944C9E"/>
    <w:rsid w:val="00944D1E"/>
    <w:rsid w:val="009466F9"/>
    <w:rsid w:val="009468E6"/>
    <w:rsid w:val="00946F59"/>
    <w:rsid w:val="009476F9"/>
    <w:rsid w:val="00947A6C"/>
    <w:rsid w:val="0095045E"/>
    <w:rsid w:val="0095047C"/>
    <w:rsid w:val="00950595"/>
    <w:rsid w:val="00950846"/>
    <w:rsid w:val="009512E7"/>
    <w:rsid w:val="009514DB"/>
    <w:rsid w:val="009516AA"/>
    <w:rsid w:val="00951AC7"/>
    <w:rsid w:val="00952270"/>
    <w:rsid w:val="009527CD"/>
    <w:rsid w:val="00954024"/>
    <w:rsid w:val="009544AC"/>
    <w:rsid w:val="009547B8"/>
    <w:rsid w:val="00954965"/>
    <w:rsid w:val="00954FE9"/>
    <w:rsid w:val="0095584C"/>
    <w:rsid w:val="00955DDA"/>
    <w:rsid w:val="00955F7F"/>
    <w:rsid w:val="00956107"/>
    <w:rsid w:val="009570E7"/>
    <w:rsid w:val="00960248"/>
    <w:rsid w:val="00960404"/>
    <w:rsid w:val="0096250B"/>
    <w:rsid w:val="00962B28"/>
    <w:rsid w:val="00962E9B"/>
    <w:rsid w:val="00963193"/>
    <w:rsid w:val="00963447"/>
    <w:rsid w:val="0096460B"/>
    <w:rsid w:val="00964B42"/>
    <w:rsid w:val="009655FD"/>
    <w:rsid w:val="00965908"/>
    <w:rsid w:val="00965E15"/>
    <w:rsid w:val="00967F3E"/>
    <w:rsid w:val="009700E3"/>
    <w:rsid w:val="00970591"/>
    <w:rsid w:val="009727F9"/>
    <w:rsid w:val="0097290D"/>
    <w:rsid w:val="009738A2"/>
    <w:rsid w:val="00973D16"/>
    <w:rsid w:val="009740EE"/>
    <w:rsid w:val="00974705"/>
    <w:rsid w:val="0097531B"/>
    <w:rsid w:val="00975438"/>
    <w:rsid w:val="0097689F"/>
    <w:rsid w:val="00976A23"/>
    <w:rsid w:val="00976A39"/>
    <w:rsid w:val="0097745F"/>
    <w:rsid w:val="009777B6"/>
    <w:rsid w:val="00977920"/>
    <w:rsid w:val="00977A2E"/>
    <w:rsid w:val="00980634"/>
    <w:rsid w:val="009807EA"/>
    <w:rsid w:val="009807F9"/>
    <w:rsid w:val="009809E8"/>
    <w:rsid w:val="00980EE2"/>
    <w:rsid w:val="009810B1"/>
    <w:rsid w:val="009813F1"/>
    <w:rsid w:val="00981A25"/>
    <w:rsid w:val="00981ED3"/>
    <w:rsid w:val="00981F35"/>
    <w:rsid w:val="00981F8B"/>
    <w:rsid w:val="009829CE"/>
    <w:rsid w:val="00982D86"/>
    <w:rsid w:val="00983008"/>
    <w:rsid w:val="00983100"/>
    <w:rsid w:val="0098317E"/>
    <w:rsid w:val="0098319A"/>
    <w:rsid w:val="00983288"/>
    <w:rsid w:val="009839A7"/>
    <w:rsid w:val="00983DDA"/>
    <w:rsid w:val="00984D38"/>
    <w:rsid w:val="00984D53"/>
    <w:rsid w:val="00984FCE"/>
    <w:rsid w:val="009852D2"/>
    <w:rsid w:val="009855BD"/>
    <w:rsid w:val="009860FA"/>
    <w:rsid w:val="00986FD5"/>
    <w:rsid w:val="0098711C"/>
    <w:rsid w:val="00987283"/>
    <w:rsid w:val="00987D88"/>
    <w:rsid w:val="00987F72"/>
    <w:rsid w:val="00987FC7"/>
    <w:rsid w:val="00990FE9"/>
    <w:rsid w:val="00991231"/>
    <w:rsid w:val="00991498"/>
    <w:rsid w:val="0099193E"/>
    <w:rsid w:val="00991AB9"/>
    <w:rsid w:val="00991F60"/>
    <w:rsid w:val="0099338C"/>
    <w:rsid w:val="009937F3"/>
    <w:rsid w:val="00993F6E"/>
    <w:rsid w:val="00993FDC"/>
    <w:rsid w:val="0099458A"/>
    <w:rsid w:val="00994DD7"/>
    <w:rsid w:val="00995332"/>
    <w:rsid w:val="00996026"/>
    <w:rsid w:val="00996CA9"/>
    <w:rsid w:val="00997042"/>
    <w:rsid w:val="00997589"/>
    <w:rsid w:val="009977EB"/>
    <w:rsid w:val="00997E05"/>
    <w:rsid w:val="009A051C"/>
    <w:rsid w:val="009A0989"/>
    <w:rsid w:val="009A0B97"/>
    <w:rsid w:val="009A1690"/>
    <w:rsid w:val="009A18C5"/>
    <w:rsid w:val="009A1CFE"/>
    <w:rsid w:val="009A2CA8"/>
    <w:rsid w:val="009A3116"/>
    <w:rsid w:val="009A3408"/>
    <w:rsid w:val="009A3CAC"/>
    <w:rsid w:val="009A453E"/>
    <w:rsid w:val="009A49EE"/>
    <w:rsid w:val="009A55B2"/>
    <w:rsid w:val="009A5779"/>
    <w:rsid w:val="009A6741"/>
    <w:rsid w:val="009A692A"/>
    <w:rsid w:val="009A6976"/>
    <w:rsid w:val="009A6DBE"/>
    <w:rsid w:val="009B02E2"/>
    <w:rsid w:val="009B034E"/>
    <w:rsid w:val="009B047A"/>
    <w:rsid w:val="009B0482"/>
    <w:rsid w:val="009B04FA"/>
    <w:rsid w:val="009B0D21"/>
    <w:rsid w:val="009B3170"/>
    <w:rsid w:val="009B39C3"/>
    <w:rsid w:val="009B426F"/>
    <w:rsid w:val="009B4A28"/>
    <w:rsid w:val="009B4B7D"/>
    <w:rsid w:val="009B4BC8"/>
    <w:rsid w:val="009B4CA9"/>
    <w:rsid w:val="009B52F9"/>
    <w:rsid w:val="009B627B"/>
    <w:rsid w:val="009B648A"/>
    <w:rsid w:val="009B6716"/>
    <w:rsid w:val="009B6DDF"/>
    <w:rsid w:val="009B6F04"/>
    <w:rsid w:val="009B793D"/>
    <w:rsid w:val="009B7A3E"/>
    <w:rsid w:val="009C0337"/>
    <w:rsid w:val="009C043D"/>
    <w:rsid w:val="009C131C"/>
    <w:rsid w:val="009C1322"/>
    <w:rsid w:val="009C1543"/>
    <w:rsid w:val="009C1FC8"/>
    <w:rsid w:val="009C34A9"/>
    <w:rsid w:val="009C3E79"/>
    <w:rsid w:val="009C5098"/>
    <w:rsid w:val="009C5307"/>
    <w:rsid w:val="009C53CB"/>
    <w:rsid w:val="009C59E4"/>
    <w:rsid w:val="009C6170"/>
    <w:rsid w:val="009C665C"/>
    <w:rsid w:val="009C7548"/>
    <w:rsid w:val="009D0B8D"/>
    <w:rsid w:val="009D103A"/>
    <w:rsid w:val="009D1653"/>
    <w:rsid w:val="009D1B39"/>
    <w:rsid w:val="009D2254"/>
    <w:rsid w:val="009D2E84"/>
    <w:rsid w:val="009D3011"/>
    <w:rsid w:val="009D302D"/>
    <w:rsid w:val="009D31F5"/>
    <w:rsid w:val="009D350F"/>
    <w:rsid w:val="009D39A9"/>
    <w:rsid w:val="009D41B1"/>
    <w:rsid w:val="009D4BB4"/>
    <w:rsid w:val="009D5927"/>
    <w:rsid w:val="009D5B89"/>
    <w:rsid w:val="009D6B89"/>
    <w:rsid w:val="009D6E83"/>
    <w:rsid w:val="009D76F8"/>
    <w:rsid w:val="009D7A11"/>
    <w:rsid w:val="009E0083"/>
    <w:rsid w:val="009E0FD7"/>
    <w:rsid w:val="009E19AB"/>
    <w:rsid w:val="009E1AD5"/>
    <w:rsid w:val="009E1FAC"/>
    <w:rsid w:val="009E305C"/>
    <w:rsid w:val="009E334F"/>
    <w:rsid w:val="009E4089"/>
    <w:rsid w:val="009E41FB"/>
    <w:rsid w:val="009E427A"/>
    <w:rsid w:val="009E462B"/>
    <w:rsid w:val="009E490D"/>
    <w:rsid w:val="009E493F"/>
    <w:rsid w:val="009E4DEF"/>
    <w:rsid w:val="009E5AFA"/>
    <w:rsid w:val="009E6266"/>
    <w:rsid w:val="009E62D9"/>
    <w:rsid w:val="009E6408"/>
    <w:rsid w:val="009E6D4A"/>
    <w:rsid w:val="009E7937"/>
    <w:rsid w:val="009F0B29"/>
    <w:rsid w:val="009F0F02"/>
    <w:rsid w:val="009F0F84"/>
    <w:rsid w:val="009F0FBB"/>
    <w:rsid w:val="009F15C4"/>
    <w:rsid w:val="009F164A"/>
    <w:rsid w:val="009F1D05"/>
    <w:rsid w:val="009F1EE8"/>
    <w:rsid w:val="009F2702"/>
    <w:rsid w:val="009F3113"/>
    <w:rsid w:val="009F3867"/>
    <w:rsid w:val="009F38EE"/>
    <w:rsid w:val="009F3D7E"/>
    <w:rsid w:val="009F3EE6"/>
    <w:rsid w:val="009F3F45"/>
    <w:rsid w:val="009F4847"/>
    <w:rsid w:val="009F4B13"/>
    <w:rsid w:val="009F6FDD"/>
    <w:rsid w:val="009F78F1"/>
    <w:rsid w:val="009F7A59"/>
    <w:rsid w:val="009F7D9C"/>
    <w:rsid w:val="009F7EA7"/>
    <w:rsid w:val="00A01420"/>
    <w:rsid w:val="00A02904"/>
    <w:rsid w:val="00A03D05"/>
    <w:rsid w:val="00A043BE"/>
    <w:rsid w:val="00A0547F"/>
    <w:rsid w:val="00A055EC"/>
    <w:rsid w:val="00A0565A"/>
    <w:rsid w:val="00A058D1"/>
    <w:rsid w:val="00A05F67"/>
    <w:rsid w:val="00A066A5"/>
    <w:rsid w:val="00A06FC7"/>
    <w:rsid w:val="00A074E2"/>
    <w:rsid w:val="00A10BF4"/>
    <w:rsid w:val="00A11039"/>
    <w:rsid w:val="00A110A5"/>
    <w:rsid w:val="00A11789"/>
    <w:rsid w:val="00A121BB"/>
    <w:rsid w:val="00A1227C"/>
    <w:rsid w:val="00A126ED"/>
    <w:rsid w:val="00A12A72"/>
    <w:rsid w:val="00A147E8"/>
    <w:rsid w:val="00A14C11"/>
    <w:rsid w:val="00A150BF"/>
    <w:rsid w:val="00A15E5D"/>
    <w:rsid w:val="00A16A04"/>
    <w:rsid w:val="00A175B0"/>
    <w:rsid w:val="00A175C7"/>
    <w:rsid w:val="00A17E31"/>
    <w:rsid w:val="00A17FA6"/>
    <w:rsid w:val="00A20BA2"/>
    <w:rsid w:val="00A20BC9"/>
    <w:rsid w:val="00A21913"/>
    <w:rsid w:val="00A21BA9"/>
    <w:rsid w:val="00A21C8D"/>
    <w:rsid w:val="00A228CA"/>
    <w:rsid w:val="00A22AFD"/>
    <w:rsid w:val="00A23BD5"/>
    <w:rsid w:val="00A23E81"/>
    <w:rsid w:val="00A23FBF"/>
    <w:rsid w:val="00A240B2"/>
    <w:rsid w:val="00A25480"/>
    <w:rsid w:val="00A263D5"/>
    <w:rsid w:val="00A2682B"/>
    <w:rsid w:val="00A26B52"/>
    <w:rsid w:val="00A27303"/>
    <w:rsid w:val="00A27506"/>
    <w:rsid w:val="00A27C11"/>
    <w:rsid w:val="00A27CC5"/>
    <w:rsid w:val="00A27D51"/>
    <w:rsid w:val="00A27F16"/>
    <w:rsid w:val="00A30130"/>
    <w:rsid w:val="00A318E4"/>
    <w:rsid w:val="00A31A6D"/>
    <w:rsid w:val="00A31D17"/>
    <w:rsid w:val="00A32E89"/>
    <w:rsid w:val="00A334FF"/>
    <w:rsid w:val="00A3402E"/>
    <w:rsid w:val="00A34149"/>
    <w:rsid w:val="00A34307"/>
    <w:rsid w:val="00A345F1"/>
    <w:rsid w:val="00A3494A"/>
    <w:rsid w:val="00A35E44"/>
    <w:rsid w:val="00A374E1"/>
    <w:rsid w:val="00A378FD"/>
    <w:rsid w:val="00A37EFB"/>
    <w:rsid w:val="00A41067"/>
    <w:rsid w:val="00A414F5"/>
    <w:rsid w:val="00A4173C"/>
    <w:rsid w:val="00A423F2"/>
    <w:rsid w:val="00A43F93"/>
    <w:rsid w:val="00A443C7"/>
    <w:rsid w:val="00A4448C"/>
    <w:rsid w:val="00A44DFE"/>
    <w:rsid w:val="00A452F0"/>
    <w:rsid w:val="00A45CDD"/>
    <w:rsid w:val="00A465B3"/>
    <w:rsid w:val="00A47C33"/>
    <w:rsid w:val="00A5041F"/>
    <w:rsid w:val="00A5053F"/>
    <w:rsid w:val="00A512CE"/>
    <w:rsid w:val="00A51AFD"/>
    <w:rsid w:val="00A53A92"/>
    <w:rsid w:val="00A53C10"/>
    <w:rsid w:val="00A53F34"/>
    <w:rsid w:val="00A54DBE"/>
    <w:rsid w:val="00A54E5F"/>
    <w:rsid w:val="00A5514A"/>
    <w:rsid w:val="00A55383"/>
    <w:rsid w:val="00A55626"/>
    <w:rsid w:val="00A55C5D"/>
    <w:rsid w:val="00A56C8E"/>
    <w:rsid w:val="00A573A0"/>
    <w:rsid w:val="00A60311"/>
    <w:rsid w:val="00A61D6F"/>
    <w:rsid w:val="00A61DE6"/>
    <w:rsid w:val="00A62D49"/>
    <w:rsid w:val="00A63547"/>
    <w:rsid w:val="00A641E1"/>
    <w:rsid w:val="00A643CB"/>
    <w:rsid w:val="00A64B60"/>
    <w:rsid w:val="00A661C2"/>
    <w:rsid w:val="00A66DCA"/>
    <w:rsid w:val="00A670EB"/>
    <w:rsid w:val="00A67D8E"/>
    <w:rsid w:val="00A70180"/>
    <w:rsid w:val="00A70D07"/>
    <w:rsid w:val="00A7147B"/>
    <w:rsid w:val="00A719DC"/>
    <w:rsid w:val="00A72A47"/>
    <w:rsid w:val="00A72C8A"/>
    <w:rsid w:val="00A7309D"/>
    <w:rsid w:val="00A73988"/>
    <w:rsid w:val="00A73DD2"/>
    <w:rsid w:val="00A74B1F"/>
    <w:rsid w:val="00A75148"/>
    <w:rsid w:val="00A7516F"/>
    <w:rsid w:val="00A75363"/>
    <w:rsid w:val="00A7606F"/>
    <w:rsid w:val="00A77930"/>
    <w:rsid w:val="00A80A82"/>
    <w:rsid w:val="00A80B6D"/>
    <w:rsid w:val="00A80BD2"/>
    <w:rsid w:val="00A80E72"/>
    <w:rsid w:val="00A8142F"/>
    <w:rsid w:val="00A8170F"/>
    <w:rsid w:val="00A820EC"/>
    <w:rsid w:val="00A822B1"/>
    <w:rsid w:val="00A83003"/>
    <w:rsid w:val="00A8325F"/>
    <w:rsid w:val="00A8330E"/>
    <w:rsid w:val="00A8379E"/>
    <w:rsid w:val="00A837E4"/>
    <w:rsid w:val="00A83AF5"/>
    <w:rsid w:val="00A84931"/>
    <w:rsid w:val="00A8583D"/>
    <w:rsid w:val="00A8642F"/>
    <w:rsid w:val="00A868C0"/>
    <w:rsid w:val="00A86E10"/>
    <w:rsid w:val="00A87859"/>
    <w:rsid w:val="00A903E6"/>
    <w:rsid w:val="00A906B2"/>
    <w:rsid w:val="00A91F3F"/>
    <w:rsid w:val="00A92275"/>
    <w:rsid w:val="00A92290"/>
    <w:rsid w:val="00A92973"/>
    <w:rsid w:val="00A92C0C"/>
    <w:rsid w:val="00A93492"/>
    <w:rsid w:val="00A9381B"/>
    <w:rsid w:val="00A93A64"/>
    <w:rsid w:val="00A941ED"/>
    <w:rsid w:val="00A9474E"/>
    <w:rsid w:val="00A94B01"/>
    <w:rsid w:val="00A9549F"/>
    <w:rsid w:val="00A956CB"/>
    <w:rsid w:val="00A95B43"/>
    <w:rsid w:val="00A95D60"/>
    <w:rsid w:val="00A95EE0"/>
    <w:rsid w:val="00A9629E"/>
    <w:rsid w:val="00AA0212"/>
    <w:rsid w:val="00AA0BCC"/>
    <w:rsid w:val="00AA0BD6"/>
    <w:rsid w:val="00AA0F08"/>
    <w:rsid w:val="00AA1168"/>
    <w:rsid w:val="00AA145F"/>
    <w:rsid w:val="00AA1E0D"/>
    <w:rsid w:val="00AA2237"/>
    <w:rsid w:val="00AA28E1"/>
    <w:rsid w:val="00AA326E"/>
    <w:rsid w:val="00AA329E"/>
    <w:rsid w:val="00AA3B32"/>
    <w:rsid w:val="00AA3BD4"/>
    <w:rsid w:val="00AA3E3D"/>
    <w:rsid w:val="00AA54F2"/>
    <w:rsid w:val="00AA577F"/>
    <w:rsid w:val="00AA5F66"/>
    <w:rsid w:val="00AA7FED"/>
    <w:rsid w:val="00AB03E4"/>
    <w:rsid w:val="00AB0521"/>
    <w:rsid w:val="00AB112F"/>
    <w:rsid w:val="00AB1230"/>
    <w:rsid w:val="00AB1619"/>
    <w:rsid w:val="00AB18E6"/>
    <w:rsid w:val="00AB2B6D"/>
    <w:rsid w:val="00AB3352"/>
    <w:rsid w:val="00AB355E"/>
    <w:rsid w:val="00AB373F"/>
    <w:rsid w:val="00AB374E"/>
    <w:rsid w:val="00AB3BD7"/>
    <w:rsid w:val="00AB3C30"/>
    <w:rsid w:val="00AB3DC5"/>
    <w:rsid w:val="00AB433E"/>
    <w:rsid w:val="00AB4B9D"/>
    <w:rsid w:val="00AB4F0E"/>
    <w:rsid w:val="00AB520E"/>
    <w:rsid w:val="00AB592C"/>
    <w:rsid w:val="00AB671B"/>
    <w:rsid w:val="00AB7C26"/>
    <w:rsid w:val="00AB7DA0"/>
    <w:rsid w:val="00AC0871"/>
    <w:rsid w:val="00AC0D97"/>
    <w:rsid w:val="00AC1954"/>
    <w:rsid w:val="00AC1F59"/>
    <w:rsid w:val="00AC3243"/>
    <w:rsid w:val="00AC33CE"/>
    <w:rsid w:val="00AC37BC"/>
    <w:rsid w:val="00AC3844"/>
    <w:rsid w:val="00AC3878"/>
    <w:rsid w:val="00AC3B1F"/>
    <w:rsid w:val="00AC44A6"/>
    <w:rsid w:val="00AC4A0A"/>
    <w:rsid w:val="00AC4DDA"/>
    <w:rsid w:val="00AC6651"/>
    <w:rsid w:val="00AD00E5"/>
    <w:rsid w:val="00AD0E73"/>
    <w:rsid w:val="00AD0ED1"/>
    <w:rsid w:val="00AD1219"/>
    <w:rsid w:val="00AD132B"/>
    <w:rsid w:val="00AD13FC"/>
    <w:rsid w:val="00AD1566"/>
    <w:rsid w:val="00AD1A0A"/>
    <w:rsid w:val="00AD1BFA"/>
    <w:rsid w:val="00AD1DEC"/>
    <w:rsid w:val="00AD1E7A"/>
    <w:rsid w:val="00AD2890"/>
    <w:rsid w:val="00AD2B94"/>
    <w:rsid w:val="00AD2DB6"/>
    <w:rsid w:val="00AD2DD4"/>
    <w:rsid w:val="00AD3011"/>
    <w:rsid w:val="00AD308C"/>
    <w:rsid w:val="00AD3914"/>
    <w:rsid w:val="00AD4E59"/>
    <w:rsid w:val="00AD55B3"/>
    <w:rsid w:val="00AD5774"/>
    <w:rsid w:val="00AD5AE8"/>
    <w:rsid w:val="00AD5EB7"/>
    <w:rsid w:val="00AD6962"/>
    <w:rsid w:val="00AE02F5"/>
    <w:rsid w:val="00AE0D19"/>
    <w:rsid w:val="00AE1C6A"/>
    <w:rsid w:val="00AE1E53"/>
    <w:rsid w:val="00AE23B5"/>
    <w:rsid w:val="00AE2AF6"/>
    <w:rsid w:val="00AE3020"/>
    <w:rsid w:val="00AE397F"/>
    <w:rsid w:val="00AE3DA8"/>
    <w:rsid w:val="00AE424C"/>
    <w:rsid w:val="00AE4A91"/>
    <w:rsid w:val="00AE4D8B"/>
    <w:rsid w:val="00AE515C"/>
    <w:rsid w:val="00AE539C"/>
    <w:rsid w:val="00AE552B"/>
    <w:rsid w:val="00AE57FF"/>
    <w:rsid w:val="00AE5AE0"/>
    <w:rsid w:val="00AE5EA1"/>
    <w:rsid w:val="00AE6E66"/>
    <w:rsid w:val="00AE7303"/>
    <w:rsid w:val="00AE7D57"/>
    <w:rsid w:val="00AF153F"/>
    <w:rsid w:val="00AF3114"/>
    <w:rsid w:val="00AF371D"/>
    <w:rsid w:val="00AF3738"/>
    <w:rsid w:val="00AF3B92"/>
    <w:rsid w:val="00AF400A"/>
    <w:rsid w:val="00AF4B7E"/>
    <w:rsid w:val="00AF4C8D"/>
    <w:rsid w:val="00AF5928"/>
    <w:rsid w:val="00AF65FF"/>
    <w:rsid w:val="00AF6933"/>
    <w:rsid w:val="00AF6B36"/>
    <w:rsid w:val="00AF6BA2"/>
    <w:rsid w:val="00AF7D4B"/>
    <w:rsid w:val="00B00742"/>
    <w:rsid w:val="00B00B65"/>
    <w:rsid w:val="00B00EE8"/>
    <w:rsid w:val="00B01804"/>
    <w:rsid w:val="00B02255"/>
    <w:rsid w:val="00B027FA"/>
    <w:rsid w:val="00B0289F"/>
    <w:rsid w:val="00B02D16"/>
    <w:rsid w:val="00B03CCA"/>
    <w:rsid w:val="00B03F30"/>
    <w:rsid w:val="00B04610"/>
    <w:rsid w:val="00B046B7"/>
    <w:rsid w:val="00B04BCD"/>
    <w:rsid w:val="00B04D39"/>
    <w:rsid w:val="00B05815"/>
    <w:rsid w:val="00B07489"/>
    <w:rsid w:val="00B07AFE"/>
    <w:rsid w:val="00B10122"/>
    <w:rsid w:val="00B10E83"/>
    <w:rsid w:val="00B11676"/>
    <w:rsid w:val="00B1189C"/>
    <w:rsid w:val="00B120C2"/>
    <w:rsid w:val="00B12567"/>
    <w:rsid w:val="00B1333D"/>
    <w:rsid w:val="00B136F8"/>
    <w:rsid w:val="00B13897"/>
    <w:rsid w:val="00B14540"/>
    <w:rsid w:val="00B1489E"/>
    <w:rsid w:val="00B15F3D"/>
    <w:rsid w:val="00B16D39"/>
    <w:rsid w:val="00B16DA9"/>
    <w:rsid w:val="00B17276"/>
    <w:rsid w:val="00B176ED"/>
    <w:rsid w:val="00B17EF5"/>
    <w:rsid w:val="00B20716"/>
    <w:rsid w:val="00B20D79"/>
    <w:rsid w:val="00B2177A"/>
    <w:rsid w:val="00B2192A"/>
    <w:rsid w:val="00B21CF0"/>
    <w:rsid w:val="00B22DF5"/>
    <w:rsid w:val="00B22FD4"/>
    <w:rsid w:val="00B23728"/>
    <w:rsid w:val="00B25257"/>
    <w:rsid w:val="00B26044"/>
    <w:rsid w:val="00B27771"/>
    <w:rsid w:val="00B27A07"/>
    <w:rsid w:val="00B30252"/>
    <w:rsid w:val="00B307B3"/>
    <w:rsid w:val="00B30F1A"/>
    <w:rsid w:val="00B30F69"/>
    <w:rsid w:val="00B31921"/>
    <w:rsid w:val="00B33C6C"/>
    <w:rsid w:val="00B3459E"/>
    <w:rsid w:val="00B34A8F"/>
    <w:rsid w:val="00B35574"/>
    <w:rsid w:val="00B35FC4"/>
    <w:rsid w:val="00B363A1"/>
    <w:rsid w:val="00B365C1"/>
    <w:rsid w:val="00B36897"/>
    <w:rsid w:val="00B36A3E"/>
    <w:rsid w:val="00B36E13"/>
    <w:rsid w:val="00B37CDA"/>
    <w:rsid w:val="00B411A3"/>
    <w:rsid w:val="00B411E3"/>
    <w:rsid w:val="00B4131F"/>
    <w:rsid w:val="00B41471"/>
    <w:rsid w:val="00B4185A"/>
    <w:rsid w:val="00B41A7A"/>
    <w:rsid w:val="00B426EC"/>
    <w:rsid w:val="00B4342D"/>
    <w:rsid w:val="00B44F0F"/>
    <w:rsid w:val="00B4512C"/>
    <w:rsid w:val="00B4531B"/>
    <w:rsid w:val="00B460FB"/>
    <w:rsid w:val="00B461F1"/>
    <w:rsid w:val="00B46353"/>
    <w:rsid w:val="00B4636B"/>
    <w:rsid w:val="00B46480"/>
    <w:rsid w:val="00B46D10"/>
    <w:rsid w:val="00B47463"/>
    <w:rsid w:val="00B477D8"/>
    <w:rsid w:val="00B5187B"/>
    <w:rsid w:val="00B51B85"/>
    <w:rsid w:val="00B5239A"/>
    <w:rsid w:val="00B523C4"/>
    <w:rsid w:val="00B5272F"/>
    <w:rsid w:val="00B542C3"/>
    <w:rsid w:val="00B56B76"/>
    <w:rsid w:val="00B56CCF"/>
    <w:rsid w:val="00B56E51"/>
    <w:rsid w:val="00B56EFD"/>
    <w:rsid w:val="00B571D6"/>
    <w:rsid w:val="00B57ACF"/>
    <w:rsid w:val="00B6016B"/>
    <w:rsid w:val="00B60746"/>
    <w:rsid w:val="00B61074"/>
    <w:rsid w:val="00B611BB"/>
    <w:rsid w:val="00B61710"/>
    <w:rsid w:val="00B62042"/>
    <w:rsid w:val="00B624FF"/>
    <w:rsid w:val="00B62ABD"/>
    <w:rsid w:val="00B62AF4"/>
    <w:rsid w:val="00B633AE"/>
    <w:rsid w:val="00B63D09"/>
    <w:rsid w:val="00B64115"/>
    <w:rsid w:val="00B646ED"/>
    <w:rsid w:val="00B64BDB"/>
    <w:rsid w:val="00B6500A"/>
    <w:rsid w:val="00B651DC"/>
    <w:rsid w:val="00B6560C"/>
    <w:rsid w:val="00B658BB"/>
    <w:rsid w:val="00B6653A"/>
    <w:rsid w:val="00B668C5"/>
    <w:rsid w:val="00B6754F"/>
    <w:rsid w:val="00B67B5B"/>
    <w:rsid w:val="00B67B6F"/>
    <w:rsid w:val="00B707F3"/>
    <w:rsid w:val="00B70FEB"/>
    <w:rsid w:val="00B71294"/>
    <w:rsid w:val="00B71AF8"/>
    <w:rsid w:val="00B71BCF"/>
    <w:rsid w:val="00B71E32"/>
    <w:rsid w:val="00B72845"/>
    <w:rsid w:val="00B72FBB"/>
    <w:rsid w:val="00B730EB"/>
    <w:rsid w:val="00B73E8A"/>
    <w:rsid w:val="00B7549D"/>
    <w:rsid w:val="00B7564F"/>
    <w:rsid w:val="00B75A51"/>
    <w:rsid w:val="00B75FE2"/>
    <w:rsid w:val="00B76C2F"/>
    <w:rsid w:val="00B774D7"/>
    <w:rsid w:val="00B774D9"/>
    <w:rsid w:val="00B8137F"/>
    <w:rsid w:val="00B81524"/>
    <w:rsid w:val="00B81A13"/>
    <w:rsid w:val="00B81C3D"/>
    <w:rsid w:val="00B8339D"/>
    <w:rsid w:val="00B83FD9"/>
    <w:rsid w:val="00B84A03"/>
    <w:rsid w:val="00B84B03"/>
    <w:rsid w:val="00B84F9A"/>
    <w:rsid w:val="00B85756"/>
    <w:rsid w:val="00B85E35"/>
    <w:rsid w:val="00B86168"/>
    <w:rsid w:val="00B861EB"/>
    <w:rsid w:val="00B86D13"/>
    <w:rsid w:val="00B873EF"/>
    <w:rsid w:val="00B877D6"/>
    <w:rsid w:val="00B87AB1"/>
    <w:rsid w:val="00B87B94"/>
    <w:rsid w:val="00B9012E"/>
    <w:rsid w:val="00B90780"/>
    <w:rsid w:val="00B90AD6"/>
    <w:rsid w:val="00B91704"/>
    <w:rsid w:val="00B9172B"/>
    <w:rsid w:val="00B919BE"/>
    <w:rsid w:val="00B91E43"/>
    <w:rsid w:val="00B92202"/>
    <w:rsid w:val="00B925E3"/>
    <w:rsid w:val="00B928CF"/>
    <w:rsid w:val="00B932D9"/>
    <w:rsid w:val="00B9344E"/>
    <w:rsid w:val="00B936E6"/>
    <w:rsid w:val="00B939A6"/>
    <w:rsid w:val="00B93B31"/>
    <w:rsid w:val="00B93CBC"/>
    <w:rsid w:val="00B93DD1"/>
    <w:rsid w:val="00B94A58"/>
    <w:rsid w:val="00B94D9B"/>
    <w:rsid w:val="00B9507B"/>
    <w:rsid w:val="00B95D61"/>
    <w:rsid w:val="00B960CC"/>
    <w:rsid w:val="00B961BD"/>
    <w:rsid w:val="00B9682B"/>
    <w:rsid w:val="00B97F84"/>
    <w:rsid w:val="00BA016A"/>
    <w:rsid w:val="00BA0227"/>
    <w:rsid w:val="00BA05A3"/>
    <w:rsid w:val="00BA0A62"/>
    <w:rsid w:val="00BA0FC8"/>
    <w:rsid w:val="00BA1738"/>
    <w:rsid w:val="00BA1928"/>
    <w:rsid w:val="00BA1A1F"/>
    <w:rsid w:val="00BA1AD4"/>
    <w:rsid w:val="00BA265E"/>
    <w:rsid w:val="00BA42C1"/>
    <w:rsid w:val="00BA4DB0"/>
    <w:rsid w:val="00BA50FB"/>
    <w:rsid w:val="00BA50FF"/>
    <w:rsid w:val="00BA531C"/>
    <w:rsid w:val="00BA55B8"/>
    <w:rsid w:val="00BA564E"/>
    <w:rsid w:val="00BA5E6E"/>
    <w:rsid w:val="00BA6032"/>
    <w:rsid w:val="00BA64EF"/>
    <w:rsid w:val="00BA743E"/>
    <w:rsid w:val="00BA7D1C"/>
    <w:rsid w:val="00BB067B"/>
    <w:rsid w:val="00BB24E0"/>
    <w:rsid w:val="00BB3D99"/>
    <w:rsid w:val="00BB3F6A"/>
    <w:rsid w:val="00BB4666"/>
    <w:rsid w:val="00BB4ABF"/>
    <w:rsid w:val="00BB5F82"/>
    <w:rsid w:val="00BB6F48"/>
    <w:rsid w:val="00BB723F"/>
    <w:rsid w:val="00BB736B"/>
    <w:rsid w:val="00BB7722"/>
    <w:rsid w:val="00BB7AD5"/>
    <w:rsid w:val="00BC04D7"/>
    <w:rsid w:val="00BC093C"/>
    <w:rsid w:val="00BC0AF5"/>
    <w:rsid w:val="00BC1522"/>
    <w:rsid w:val="00BC169A"/>
    <w:rsid w:val="00BC17EC"/>
    <w:rsid w:val="00BC2160"/>
    <w:rsid w:val="00BC237E"/>
    <w:rsid w:val="00BC246A"/>
    <w:rsid w:val="00BC25A0"/>
    <w:rsid w:val="00BC291E"/>
    <w:rsid w:val="00BC31EA"/>
    <w:rsid w:val="00BC3B24"/>
    <w:rsid w:val="00BC3E89"/>
    <w:rsid w:val="00BC426B"/>
    <w:rsid w:val="00BC6248"/>
    <w:rsid w:val="00BC625B"/>
    <w:rsid w:val="00BC635B"/>
    <w:rsid w:val="00BC6726"/>
    <w:rsid w:val="00BC741E"/>
    <w:rsid w:val="00BC7D5C"/>
    <w:rsid w:val="00BD006B"/>
    <w:rsid w:val="00BD0362"/>
    <w:rsid w:val="00BD0B8F"/>
    <w:rsid w:val="00BD1201"/>
    <w:rsid w:val="00BD1362"/>
    <w:rsid w:val="00BD1AFE"/>
    <w:rsid w:val="00BD1E75"/>
    <w:rsid w:val="00BD20B3"/>
    <w:rsid w:val="00BD231D"/>
    <w:rsid w:val="00BD2799"/>
    <w:rsid w:val="00BD291D"/>
    <w:rsid w:val="00BD3AEF"/>
    <w:rsid w:val="00BD4546"/>
    <w:rsid w:val="00BD4AF0"/>
    <w:rsid w:val="00BD4CEB"/>
    <w:rsid w:val="00BD5287"/>
    <w:rsid w:val="00BD5748"/>
    <w:rsid w:val="00BD71E5"/>
    <w:rsid w:val="00BD7F01"/>
    <w:rsid w:val="00BE04AF"/>
    <w:rsid w:val="00BE138B"/>
    <w:rsid w:val="00BE155F"/>
    <w:rsid w:val="00BE19B7"/>
    <w:rsid w:val="00BE2430"/>
    <w:rsid w:val="00BE27D6"/>
    <w:rsid w:val="00BE3405"/>
    <w:rsid w:val="00BE3898"/>
    <w:rsid w:val="00BE3A19"/>
    <w:rsid w:val="00BE412F"/>
    <w:rsid w:val="00BE5C0A"/>
    <w:rsid w:val="00BE5E4E"/>
    <w:rsid w:val="00BE5FDB"/>
    <w:rsid w:val="00BE614B"/>
    <w:rsid w:val="00BE6195"/>
    <w:rsid w:val="00BE73BF"/>
    <w:rsid w:val="00BF0617"/>
    <w:rsid w:val="00BF0C9D"/>
    <w:rsid w:val="00BF14C1"/>
    <w:rsid w:val="00BF289A"/>
    <w:rsid w:val="00BF35A4"/>
    <w:rsid w:val="00BF3F28"/>
    <w:rsid w:val="00BF59A7"/>
    <w:rsid w:val="00BF62B7"/>
    <w:rsid w:val="00BF6679"/>
    <w:rsid w:val="00BF777E"/>
    <w:rsid w:val="00C0045D"/>
    <w:rsid w:val="00C008CC"/>
    <w:rsid w:val="00C009C3"/>
    <w:rsid w:val="00C01034"/>
    <w:rsid w:val="00C014C4"/>
    <w:rsid w:val="00C02886"/>
    <w:rsid w:val="00C037C3"/>
    <w:rsid w:val="00C03A24"/>
    <w:rsid w:val="00C03FB1"/>
    <w:rsid w:val="00C04905"/>
    <w:rsid w:val="00C04E08"/>
    <w:rsid w:val="00C04E36"/>
    <w:rsid w:val="00C0607F"/>
    <w:rsid w:val="00C06B0B"/>
    <w:rsid w:val="00C06B47"/>
    <w:rsid w:val="00C070BF"/>
    <w:rsid w:val="00C07A8F"/>
    <w:rsid w:val="00C10930"/>
    <w:rsid w:val="00C10C86"/>
    <w:rsid w:val="00C10F9E"/>
    <w:rsid w:val="00C11490"/>
    <w:rsid w:val="00C116A2"/>
    <w:rsid w:val="00C121A0"/>
    <w:rsid w:val="00C1291B"/>
    <w:rsid w:val="00C12A06"/>
    <w:rsid w:val="00C13A38"/>
    <w:rsid w:val="00C13D9C"/>
    <w:rsid w:val="00C1405E"/>
    <w:rsid w:val="00C151DA"/>
    <w:rsid w:val="00C1607A"/>
    <w:rsid w:val="00C167A8"/>
    <w:rsid w:val="00C16DFB"/>
    <w:rsid w:val="00C16F1F"/>
    <w:rsid w:val="00C172A7"/>
    <w:rsid w:val="00C206D3"/>
    <w:rsid w:val="00C21250"/>
    <w:rsid w:val="00C2147D"/>
    <w:rsid w:val="00C217BD"/>
    <w:rsid w:val="00C22040"/>
    <w:rsid w:val="00C22640"/>
    <w:rsid w:val="00C23291"/>
    <w:rsid w:val="00C232E6"/>
    <w:rsid w:val="00C232FE"/>
    <w:rsid w:val="00C23F70"/>
    <w:rsid w:val="00C24361"/>
    <w:rsid w:val="00C247C3"/>
    <w:rsid w:val="00C25493"/>
    <w:rsid w:val="00C256BA"/>
    <w:rsid w:val="00C25C59"/>
    <w:rsid w:val="00C2651E"/>
    <w:rsid w:val="00C268CF"/>
    <w:rsid w:val="00C26909"/>
    <w:rsid w:val="00C2696A"/>
    <w:rsid w:val="00C27CDE"/>
    <w:rsid w:val="00C27ED8"/>
    <w:rsid w:val="00C30501"/>
    <w:rsid w:val="00C31051"/>
    <w:rsid w:val="00C3155C"/>
    <w:rsid w:val="00C31595"/>
    <w:rsid w:val="00C32007"/>
    <w:rsid w:val="00C32095"/>
    <w:rsid w:val="00C32494"/>
    <w:rsid w:val="00C3260F"/>
    <w:rsid w:val="00C329D4"/>
    <w:rsid w:val="00C32E94"/>
    <w:rsid w:val="00C33092"/>
    <w:rsid w:val="00C3322E"/>
    <w:rsid w:val="00C33402"/>
    <w:rsid w:val="00C33C0B"/>
    <w:rsid w:val="00C33C8B"/>
    <w:rsid w:val="00C3547F"/>
    <w:rsid w:val="00C364B6"/>
    <w:rsid w:val="00C379DB"/>
    <w:rsid w:val="00C404B7"/>
    <w:rsid w:val="00C419F1"/>
    <w:rsid w:val="00C42E9A"/>
    <w:rsid w:val="00C4463E"/>
    <w:rsid w:val="00C447A5"/>
    <w:rsid w:val="00C45BFE"/>
    <w:rsid w:val="00C475F7"/>
    <w:rsid w:val="00C47C40"/>
    <w:rsid w:val="00C50024"/>
    <w:rsid w:val="00C5111E"/>
    <w:rsid w:val="00C519DD"/>
    <w:rsid w:val="00C523F2"/>
    <w:rsid w:val="00C52C20"/>
    <w:rsid w:val="00C5310E"/>
    <w:rsid w:val="00C53462"/>
    <w:rsid w:val="00C5427C"/>
    <w:rsid w:val="00C549BB"/>
    <w:rsid w:val="00C550F2"/>
    <w:rsid w:val="00C558E8"/>
    <w:rsid w:val="00C55A62"/>
    <w:rsid w:val="00C55E00"/>
    <w:rsid w:val="00C55EAE"/>
    <w:rsid w:val="00C5665A"/>
    <w:rsid w:val="00C56A54"/>
    <w:rsid w:val="00C56B9B"/>
    <w:rsid w:val="00C56C47"/>
    <w:rsid w:val="00C56D84"/>
    <w:rsid w:val="00C56FF0"/>
    <w:rsid w:val="00C571BD"/>
    <w:rsid w:val="00C573E3"/>
    <w:rsid w:val="00C60079"/>
    <w:rsid w:val="00C602CA"/>
    <w:rsid w:val="00C60D55"/>
    <w:rsid w:val="00C60FAB"/>
    <w:rsid w:val="00C61469"/>
    <w:rsid w:val="00C614EC"/>
    <w:rsid w:val="00C61935"/>
    <w:rsid w:val="00C622A1"/>
    <w:rsid w:val="00C62918"/>
    <w:rsid w:val="00C63607"/>
    <w:rsid w:val="00C641D8"/>
    <w:rsid w:val="00C647BF"/>
    <w:rsid w:val="00C6523F"/>
    <w:rsid w:val="00C65558"/>
    <w:rsid w:val="00C65563"/>
    <w:rsid w:val="00C65621"/>
    <w:rsid w:val="00C6587E"/>
    <w:rsid w:val="00C6631C"/>
    <w:rsid w:val="00C67450"/>
    <w:rsid w:val="00C70268"/>
    <w:rsid w:val="00C70445"/>
    <w:rsid w:val="00C704F0"/>
    <w:rsid w:val="00C70656"/>
    <w:rsid w:val="00C71B8B"/>
    <w:rsid w:val="00C72B6C"/>
    <w:rsid w:val="00C72CCC"/>
    <w:rsid w:val="00C73A44"/>
    <w:rsid w:val="00C741C7"/>
    <w:rsid w:val="00C7423A"/>
    <w:rsid w:val="00C744D2"/>
    <w:rsid w:val="00C74802"/>
    <w:rsid w:val="00C7501C"/>
    <w:rsid w:val="00C75BEE"/>
    <w:rsid w:val="00C75E65"/>
    <w:rsid w:val="00C76264"/>
    <w:rsid w:val="00C76540"/>
    <w:rsid w:val="00C77026"/>
    <w:rsid w:val="00C77D4A"/>
    <w:rsid w:val="00C77FBA"/>
    <w:rsid w:val="00C80CAB"/>
    <w:rsid w:val="00C80E93"/>
    <w:rsid w:val="00C816A8"/>
    <w:rsid w:val="00C81D54"/>
    <w:rsid w:val="00C81D5E"/>
    <w:rsid w:val="00C82840"/>
    <w:rsid w:val="00C829C2"/>
    <w:rsid w:val="00C82DA5"/>
    <w:rsid w:val="00C83323"/>
    <w:rsid w:val="00C8395A"/>
    <w:rsid w:val="00C83CF9"/>
    <w:rsid w:val="00C847C9"/>
    <w:rsid w:val="00C84B40"/>
    <w:rsid w:val="00C85B5E"/>
    <w:rsid w:val="00C85E7F"/>
    <w:rsid w:val="00C86370"/>
    <w:rsid w:val="00C86704"/>
    <w:rsid w:val="00C8766E"/>
    <w:rsid w:val="00C87834"/>
    <w:rsid w:val="00C90243"/>
    <w:rsid w:val="00C902A3"/>
    <w:rsid w:val="00C90908"/>
    <w:rsid w:val="00C91AB0"/>
    <w:rsid w:val="00C92030"/>
    <w:rsid w:val="00C922F3"/>
    <w:rsid w:val="00C92A9D"/>
    <w:rsid w:val="00C935FD"/>
    <w:rsid w:val="00C94487"/>
    <w:rsid w:val="00C94CE4"/>
    <w:rsid w:val="00C94D31"/>
    <w:rsid w:val="00C96B4B"/>
    <w:rsid w:val="00C96C6A"/>
    <w:rsid w:val="00CA0810"/>
    <w:rsid w:val="00CA0B6F"/>
    <w:rsid w:val="00CA0EA9"/>
    <w:rsid w:val="00CA0EF2"/>
    <w:rsid w:val="00CA108B"/>
    <w:rsid w:val="00CA216B"/>
    <w:rsid w:val="00CA25E7"/>
    <w:rsid w:val="00CA294B"/>
    <w:rsid w:val="00CA3BE7"/>
    <w:rsid w:val="00CA3FD0"/>
    <w:rsid w:val="00CA4027"/>
    <w:rsid w:val="00CA4266"/>
    <w:rsid w:val="00CA44F9"/>
    <w:rsid w:val="00CA5325"/>
    <w:rsid w:val="00CA55FE"/>
    <w:rsid w:val="00CA5AB2"/>
    <w:rsid w:val="00CA5CDB"/>
    <w:rsid w:val="00CA68CB"/>
    <w:rsid w:val="00CA6E7B"/>
    <w:rsid w:val="00CB0CE5"/>
    <w:rsid w:val="00CB102F"/>
    <w:rsid w:val="00CB179B"/>
    <w:rsid w:val="00CB1912"/>
    <w:rsid w:val="00CB2220"/>
    <w:rsid w:val="00CB2E0D"/>
    <w:rsid w:val="00CB2E66"/>
    <w:rsid w:val="00CB30DA"/>
    <w:rsid w:val="00CB3382"/>
    <w:rsid w:val="00CB33DD"/>
    <w:rsid w:val="00CB3B90"/>
    <w:rsid w:val="00CB3D47"/>
    <w:rsid w:val="00CB48DD"/>
    <w:rsid w:val="00CB4DDF"/>
    <w:rsid w:val="00CB4FE9"/>
    <w:rsid w:val="00CB50A7"/>
    <w:rsid w:val="00CB5794"/>
    <w:rsid w:val="00CB5C92"/>
    <w:rsid w:val="00CB60CB"/>
    <w:rsid w:val="00CB629F"/>
    <w:rsid w:val="00CC017A"/>
    <w:rsid w:val="00CC12CD"/>
    <w:rsid w:val="00CC1407"/>
    <w:rsid w:val="00CC18BC"/>
    <w:rsid w:val="00CC1F14"/>
    <w:rsid w:val="00CC2B53"/>
    <w:rsid w:val="00CC3BC7"/>
    <w:rsid w:val="00CC4620"/>
    <w:rsid w:val="00CC59A2"/>
    <w:rsid w:val="00CC649D"/>
    <w:rsid w:val="00CC6921"/>
    <w:rsid w:val="00CC6E9F"/>
    <w:rsid w:val="00CD0636"/>
    <w:rsid w:val="00CD1923"/>
    <w:rsid w:val="00CD1B56"/>
    <w:rsid w:val="00CD2601"/>
    <w:rsid w:val="00CD2788"/>
    <w:rsid w:val="00CD2FF2"/>
    <w:rsid w:val="00CD384F"/>
    <w:rsid w:val="00CD38D2"/>
    <w:rsid w:val="00CD444C"/>
    <w:rsid w:val="00CD4496"/>
    <w:rsid w:val="00CD4613"/>
    <w:rsid w:val="00CD4760"/>
    <w:rsid w:val="00CD476E"/>
    <w:rsid w:val="00CD4794"/>
    <w:rsid w:val="00CD4DDA"/>
    <w:rsid w:val="00CD5255"/>
    <w:rsid w:val="00CD574C"/>
    <w:rsid w:val="00CD5A88"/>
    <w:rsid w:val="00CD6897"/>
    <w:rsid w:val="00CD7026"/>
    <w:rsid w:val="00CE0EE5"/>
    <w:rsid w:val="00CE17A9"/>
    <w:rsid w:val="00CE18AB"/>
    <w:rsid w:val="00CE2AFE"/>
    <w:rsid w:val="00CE2C8D"/>
    <w:rsid w:val="00CE2DED"/>
    <w:rsid w:val="00CE37BF"/>
    <w:rsid w:val="00CE3923"/>
    <w:rsid w:val="00CE3A83"/>
    <w:rsid w:val="00CE4131"/>
    <w:rsid w:val="00CE49AE"/>
    <w:rsid w:val="00CE49BF"/>
    <w:rsid w:val="00CE5352"/>
    <w:rsid w:val="00CE54B3"/>
    <w:rsid w:val="00CE5A6F"/>
    <w:rsid w:val="00CE5C7C"/>
    <w:rsid w:val="00CE5CA1"/>
    <w:rsid w:val="00CE680C"/>
    <w:rsid w:val="00CE685E"/>
    <w:rsid w:val="00CE6878"/>
    <w:rsid w:val="00CE6E43"/>
    <w:rsid w:val="00CE6EB8"/>
    <w:rsid w:val="00CE7FA2"/>
    <w:rsid w:val="00CF0102"/>
    <w:rsid w:val="00CF02C6"/>
    <w:rsid w:val="00CF095E"/>
    <w:rsid w:val="00CF0DF2"/>
    <w:rsid w:val="00CF0FD6"/>
    <w:rsid w:val="00CF1845"/>
    <w:rsid w:val="00CF18AF"/>
    <w:rsid w:val="00CF2A33"/>
    <w:rsid w:val="00CF2E97"/>
    <w:rsid w:val="00CF318A"/>
    <w:rsid w:val="00CF367F"/>
    <w:rsid w:val="00CF4172"/>
    <w:rsid w:val="00CF49F9"/>
    <w:rsid w:val="00CF667A"/>
    <w:rsid w:val="00CF68E2"/>
    <w:rsid w:val="00CF6931"/>
    <w:rsid w:val="00CF6CB4"/>
    <w:rsid w:val="00CF70B6"/>
    <w:rsid w:val="00CF755C"/>
    <w:rsid w:val="00CF7637"/>
    <w:rsid w:val="00CF76A4"/>
    <w:rsid w:val="00CF7963"/>
    <w:rsid w:val="00D00CCB"/>
    <w:rsid w:val="00D00D2B"/>
    <w:rsid w:val="00D00D4D"/>
    <w:rsid w:val="00D0111D"/>
    <w:rsid w:val="00D018A8"/>
    <w:rsid w:val="00D01AF0"/>
    <w:rsid w:val="00D02567"/>
    <w:rsid w:val="00D028DA"/>
    <w:rsid w:val="00D04023"/>
    <w:rsid w:val="00D042C3"/>
    <w:rsid w:val="00D04595"/>
    <w:rsid w:val="00D04A87"/>
    <w:rsid w:val="00D05263"/>
    <w:rsid w:val="00D0577D"/>
    <w:rsid w:val="00D05CD4"/>
    <w:rsid w:val="00D061B7"/>
    <w:rsid w:val="00D0651C"/>
    <w:rsid w:val="00D06EEE"/>
    <w:rsid w:val="00D07050"/>
    <w:rsid w:val="00D07FB4"/>
    <w:rsid w:val="00D10197"/>
    <w:rsid w:val="00D11087"/>
    <w:rsid w:val="00D11497"/>
    <w:rsid w:val="00D11C66"/>
    <w:rsid w:val="00D12AE7"/>
    <w:rsid w:val="00D13257"/>
    <w:rsid w:val="00D13353"/>
    <w:rsid w:val="00D1420B"/>
    <w:rsid w:val="00D14933"/>
    <w:rsid w:val="00D153AD"/>
    <w:rsid w:val="00D157C4"/>
    <w:rsid w:val="00D15F77"/>
    <w:rsid w:val="00D16111"/>
    <w:rsid w:val="00D1626F"/>
    <w:rsid w:val="00D163AB"/>
    <w:rsid w:val="00D165D8"/>
    <w:rsid w:val="00D16D8F"/>
    <w:rsid w:val="00D17CAF"/>
    <w:rsid w:val="00D17CB7"/>
    <w:rsid w:val="00D17F3E"/>
    <w:rsid w:val="00D2028E"/>
    <w:rsid w:val="00D202FC"/>
    <w:rsid w:val="00D20808"/>
    <w:rsid w:val="00D20BC4"/>
    <w:rsid w:val="00D20E36"/>
    <w:rsid w:val="00D21AD7"/>
    <w:rsid w:val="00D24447"/>
    <w:rsid w:val="00D24FDF"/>
    <w:rsid w:val="00D26FCB"/>
    <w:rsid w:val="00D27046"/>
    <w:rsid w:val="00D270CF"/>
    <w:rsid w:val="00D275AB"/>
    <w:rsid w:val="00D27971"/>
    <w:rsid w:val="00D27D31"/>
    <w:rsid w:val="00D309A7"/>
    <w:rsid w:val="00D30C74"/>
    <w:rsid w:val="00D30CD7"/>
    <w:rsid w:val="00D31D5A"/>
    <w:rsid w:val="00D31EED"/>
    <w:rsid w:val="00D3210B"/>
    <w:rsid w:val="00D32DB1"/>
    <w:rsid w:val="00D334C7"/>
    <w:rsid w:val="00D33CE5"/>
    <w:rsid w:val="00D34017"/>
    <w:rsid w:val="00D34A75"/>
    <w:rsid w:val="00D34F9C"/>
    <w:rsid w:val="00D3514B"/>
    <w:rsid w:val="00D355B9"/>
    <w:rsid w:val="00D358BF"/>
    <w:rsid w:val="00D365AB"/>
    <w:rsid w:val="00D366BB"/>
    <w:rsid w:val="00D367F8"/>
    <w:rsid w:val="00D410C8"/>
    <w:rsid w:val="00D410D8"/>
    <w:rsid w:val="00D41327"/>
    <w:rsid w:val="00D41492"/>
    <w:rsid w:val="00D4187A"/>
    <w:rsid w:val="00D423D2"/>
    <w:rsid w:val="00D4292C"/>
    <w:rsid w:val="00D44783"/>
    <w:rsid w:val="00D45761"/>
    <w:rsid w:val="00D46268"/>
    <w:rsid w:val="00D46418"/>
    <w:rsid w:val="00D46779"/>
    <w:rsid w:val="00D47EB3"/>
    <w:rsid w:val="00D47EFC"/>
    <w:rsid w:val="00D50A21"/>
    <w:rsid w:val="00D516F9"/>
    <w:rsid w:val="00D51E38"/>
    <w:rsid w:val="00D51FC1"/>
    <w:rsid w:val="00D521AB"/>
    <w:rsid w:val="00D523A1"/>
    <w:rsid w:val="00D52DA6"/>
    <w:rsid w:val="00D52F01"/>
    <w:rsid w:val="00D53C3E"/>
    <w:rsid w:val="00D53EED"/>
    <w:rsid w:val="00D53FCC"/>
    <w:rsid w:val="00D542DE"/>
    <w:rsid w:val="00D544CC"/>
    <w:rsid w:val="00D54666"/>
    <w:rsid w:val="00D55836"/>
    <w:rsid w:val="00D55E2E"/>
    <w:rsid w:val="00D563DF"/>
    <w:rsid w:val="00D5728C"/>
    <w:rsid w:val="00D579A9"/>
    <w:rsid w:val="00D60937"/>
    <w:rsid w:val="00D60EFE"/>
    <w:rsid w:val="00D613CD"/>
    <w:rsid w:val="00D62AC1"/>
    <w:rsid w:val="00D63A63"/>
    <w:rsid w:val="00D63E9D"/>
    <w:rsid w:val="00D63FAE"/>
    <w:rsid w:val="00D64BD2"/>
    <w:rsid w:val="00D64F3A"/>
    <w:rsid w:val="00D6525F"/>
    <w:rsid w:val="00D65537"/>
    <w:rsid w:val="00D667B9"/>
    <w:rsid w:val="00D676BD"/>
    <w:rsid w:val="00D67D5E"/>
    <w:rsid w:val="00D67E07"/>
    <w:rsid w:val="00D703BB"/>
    <w:rsid w:val="00D706F4"/>
    <w:rsid w:val="00D7139C"/>
    <w:rsid w:val="00D722B9"/>
    <w:rsid w:val="00D7508D"/>
    <w:rsid w:val="00D750DF"/>
    <w:rsid w:val="00D751DD"/>
    <w:rsid w:val="00D75868"/>
    <w:rsid w:val="00D76497"/>
    <w:rsid w:val="00D77737"/>
    <w:rsid w:val="00D806BF"/>
    <w:rsid w:val="00D80DD3"/>
    <w:rsid w:val="00D80EAD"/>
    <w:rsid w:val="00D814CB"/>
    <w:rsid w:val="00D816FD"/>
    <w:rsid w:val="00D8172E"/>
    <w:rsid w:val="00D81F47"/>
    <w:rsid w:val="00D82BC6"/>
    <w:rsid w:val="00D82CE6"/>
    <w:rsid w:val="00D82E06"/>
    <w:rsid w:val="00D830F3"/>
    <w:rsid w:val="00D8310B"/>
    <w:rsid w:val="00D83FD1"/>
    <w:rsid w:val="00D84CDF"/>
    <w:rsid w:val="00D84CF3"/>
    <w:rsid w:val="00D858B8"/>
    <w:rsid w:val="00D85BF7"/>
    <w:rsid w:val="00D8659A"/>
    <w:rsid w:val="00D8668A"/>
    <w:rsid w:val="00D87111"/>
    <w:rsid w:val="00D87939"/>
    <w:rsid w:val="00D9135E"/>
    <w:rsid w:val="00D92BE5"/>
    <w:rsid w:val="00D92CE4"/>
    <w:rsid w:val="00D9340F"/>
    <w:rsid w:val="00D9444F"/>
    <w:rsid w:val="00D94A51"/>
    <w:rsid w:val="00D94DF6"/>
    <w:rsid w:val="00D954B4"/>
    <w:rsid w:val="00D95707"/>
    <w:rsid w:val="00D95AC2"/>
    <w:rsid w:val="00D95C11"/>
    <w:rsid w:val="00D96461"/>
    <w:rsid w:val="00D964B0"/>
    <w:rsid w:val="00D96E62"/>
    <w:rsid w:val="00D97B7B"/>
    <w:rsid w:val="00DA00A1"/>
    <w:rsid w:val="00DA0BC6"/>
    <w:rsid w:val="00DA0EE5"/>
    <w:rsid w:val="00DA0EE8"/>
    <w:rsid w:val="00DA13F5"/>
    <w:rsid w:val="00DA1701"/>
    <w:rsid w:val="00DA2AE7"/>
    <w:rsid w:val="00DA2F55"/>
    <w:rsid w:val="00DA3F7D"/>
    <w:rsid w:val="00DA4C06"/>
    <w:rsid w:val="00DA514D"/>
    <w:rsid w:val="00DA5460"/>
    <w:rsid w:val="00DA551E"/>
    <w:rsid w:val="00DA57B7"/>
    <w:rsid w:val="00DA5FE3"/>
    <w:rsid w:val="00DA6C9A"/>
    <w:rsid w:val="00DA7316"/>
    <w:rsid w:val="00DA7B69"/>
    <w:rsid w:val="00DB01B0"/>
    <w:rsid w:val="00DB0388"/>
    <w:rsid w:val="00DB06D4"/>
    <w:rsid w:val="00DB0AF9"/>
    <w:rsid w:val="00DB0EF8"/>
    <w:rsid w:val="00DB1FA5"/>
    <w:rsid w:val="00DB2B81"/>
    <w:rsid w:val="00DB2D5B"/>
    <w:rsid w:val="00DB3B2C"/>
    <w:rsid w:val="00DB46E6"/>
    <w:rsid w:val="00DB4E57"/>
    <w:rsid w:val="00DB50B1"/>
    <w:rsid w:val="00DB50FF"/>
    <w:rsid w:val="00DB578A"/>
    <w:rsid w:val="00DB5F28"/>
    <w:rsid w:val="00DB5F3B"/>
    <w:rsid w:val="00DB77E2"/>
    <w:rsid w:val="00DC0A53"/>
    <w:rsid w:val="00DC2421"/>
    <w:rsid w:val="00DC279B"/>
    <w:rsid w:val="00DC30F7"/>
    <w:rsid w:val="00DC390D"/>
    <w:rsid w:val="00DC494B"/>
    <w:rsid w:val="00DC5052"/>
    <w:rsid w:val="00DC5773"/>
    <w:rsid w:val="00DC58D8"/>
    <w:rsid w:val="00DC5D91"/>
    <w:rsid w:val="00DC6417"/>
    <w:rsid w:val="00DC69F2"/>
    <w:rsid w:val="00DC6C7D"/>
    <w:rsid w:val="00DC6D5C"/>
    <w:rsid w:val="00DD0001"/>
    <w:rsid w:val="00DD02DB"/>
    <w:rsid w:val="00DD160B"/>
    <w:rsid w:val="00DD1E3B"/>
    <w:rsid w:val="00DD2566"/>
    <w:rsid w:val="00DD2C3E"/>
    <w:rsid w:val="00DD40BC"/>
    <w:rsid w:val="00DD455B"/>
    <w:rsid w:val="00DD5597"/>
    <w:rsid w:val="00DD6355"/>
    <w:rsid w:val="00DD733B"/>
    <w:rsid w:val="00DD7ACE"/>
    <w:rsid w:val="00DD7B7C"/>
    <w:rsid w:val="00DD7C64"/>
    <w:rsid w:val="00DD7E35"/>
    <w:rsid w:val="00DE0EA6"/>
    <w:rsid w:val="00DE17C0"/>
    <w:rsid w:val="00DE18D8"/>
    <w:rsid w:val="00DE1DB0"/>
    <w:rsid w:val="00DE2866"/>
    <w:rsid w:val="00DE30BE"/>
    <w:rsid w:val="00DE34E3"/>
    <w:rsid w:val="00DE3C09"/>
    <w:rsid w:val="00DE46D5"/>
    <w:rsid w:val="00DE59B1"/>
    <w:rsid w:val="00DE5F77"/>
    <w:rsid w:val="00DE6EF9"/>
    <w:rsid w:val="00DE6F86"/>
    <w:rsid w:val="00DE79BE"/>
    <w:rsid w:val="00DF0A24"/>
    <w:rsid w:val="00DF0B9F"/>
    <w:rsid w:val="00DF27CA"/>
    <w:rsid w:val="00DF2D2E"/>
    <w:rsid w:val="00DF3747"/>
    <w:rsid w:val="00DF4633"/>
    <w:rsid w:val="00DF463B"/>
    <w:rsid w:val="00DF52DE"/>
    <w:rsid w:val="00DF69AC"/>
    <w:rsid w:val="00DF6C19"/>
    <w:rsid w:val="00DF7941"/>
    <w:rsid w:val="00DF7B09"/>
    <w:rsid w:val="00E0058F"/>
    <w:rsid w:val="00E005C8"/>
    <w:rsid w:val="00E00BE2"/>
    <w:rsid w:val="00E0130F"/>
    <w:rsid w:val="00E01688"/>
    <w:rsid w:val="00E01EE7"/>
    <w:rsid w:val="00E01F89"/>
    <w:rsid w:val="00E0211B"/>
    <w:rsid w:val="00E0243F"/>
    <w:rsid w:val="00E02550"/>
    <w:rsid w:val="00E03099"/>
    <w:rsid w:val="00E04F8E"/>
    <w:rsid w:val="00E06737"/>
    <w:rsid w:val="00E06F02"/>
    <w:rsid w:val="00E0782B"/>
    <w:rsid w:val="00E07D23"/>
    <w:rsid w:val="00E07D8A"/>
    <w:rsid w:val="00E103C1"/>
    <w:rsid w:val="00E113E9"/>
    <w:rsid w:val="00E117BF"/>
    <w:rsid w:val="00E12103"/>
    <w:rsid w:val="00E1293F"/>
    <w:rsid w:val="00E13307"/>
    <w:rsid w:val="00E13308"/>
    <w:rsid w:val="00E13AB4"/>
    <w:rsid w:val="00E13BF6"/>
    <w:rsid w:val="00E13CE1"/>
    <w:rsid w:val="00E13E49"/>
    <w:rsid w:val="00E146D4"/>
    <w:rsid w:val="00E147E9"/>
    <w:rsid w:val="00E15172"/>
    <w:rsid w:val="00E15A67"/>
    <w:rsid w:val="00E15B1B"/>
    <w:rsid w:val="00E15C68"/>
    <w:rsid w:val="00E15E60"/>
    <w:rsid w:val="00E16393"/>
    <w:rsid w:val="00E16F6F"/>
    <w:rsid w:val="00E171B0"/>
    <w:rsid w:val="00E17207"/>
    <w:rsid w:val="00E17B2B"/>
    <w:rsid w:val="00E20C3E"/>
    <w:rsid w:val="00E20D49"/>
    <w:rsid w:val="00E21456"/>
    <w:rsid w:val="00E21859"/>
    <w:rsid w:val="00E221D9"/>
    <w:rsid w:val="00E22F31"/>
    <w:rsid w:val="00E234D9"/>
    <w:rsid w:val="00E236D6"/>
    <w:rsid w:val="00E24085"/>
    <w:rsid w:val="00E240E8"/>
    <w:rsid w:val="00E2466F"/>
    <w:rsid w:val="00E248DC"/>
    <w:rsid w:val="00E25139"/>
    <w:rsid w:val="00E25281"/>
    <w:rsid w:val="00E25846"/>
    <w:rsid w:val="00E2590C"/>
    <w:rsid w:val="00E25D01"/>
    <w:rsid w:val="00E25D1A"/>
    <w:rsid w:val="00E25F2C"/>
    <w:rsid w:val="00E25FAB"/>
    <w:rsid w:val="00E269C7"/>
    <w:rsid w:val="00E27164"/>
    <w:rsid w:val="00E27337"/>
    <w:rsid w:val="00E310F3"/>
    <w:rsid w:val="00E32956"/>
    <w:rsid w:val="00E32E18"/>
    <w:rsid w:val="00E333D1"/>
    <w:rsid w:val="00E33598"/>
    <w:rsid w:val="00E33753"/>
    <w:rsid w:val="00E33E81"/>
    <w:rsid w:val="00E34893"/>
    <w:rsid w:val="00E34A0A"/>
    <w:rsid w:val="00E358E4"/>
    <w:rsid w:val="00E36E6E"/>
    <w:rsid w:val="00E375FB"/>
    <w:rsid w:val="00E37688"/>
    <w:rsid w:val="00E376F2"/>
    <w:rsid w:val="00E4024D"/>
    <w:rsid w:val="00E41398"/>
    <w:rsid w:val="00E413E4"/>
    <w:rsid w:val="00E41CC1"/>
    <w:rsid w:val="00E41D1E"/>
    <w:rsid w:val="00E42441"/>
    <w:rsid w:val="00E4272D"/>
    <w:rsid w:val="00E42BAE"/>
    <w:rsid w:val="00E42C1D"/>
    <w:rsid w:val="00E430AB"/>
    <w:rsid w:val="00E43320"/>
    <w:rsid w:val="00E43B86"/>
    <w:rsid w:val="00E43E7E"/>
    <w:rsid w:val="00E4402E"/>
    <w:rsid w:val="00E441CF"/>
    <w:rsid w:val="00E44E80"/>
    <w:rsid w:val="00E45462"/>
    <w:rsid w:val="00E46817"/>
    <w:rsid w:val="00E4769C"/>
    <w:rsid w:val="00E476DE"/>
    <w:rsid w:val="00E47974"/>
    <w:rsid w:val="00E47BFC"/>
    <w:rsid w:val="00E47ED4"/>
    <w:rsid w:val="00E5096A"/>
    <w:rsid w:val="00E52033"/>
    <w:rsid w:val="00E52F16"/>
    <w:rsid w:val="00E53376"/>
    <w:rsid w:val="00E53D7C"/>
    <w:rsid w:val="00E53E09"/>
    <w:rsid w:val="00E54117"/>
    <w:rsid w:val="00E5441E"/>
    <w:rsid w:val="00E548E8"/>
    <w:rsid w:val="00E551CC"/>
    <w:rsid w:val="00E56107"/>
    <w:rsid w:val="00E568A7"/>
    <w:rsid w:val="00E56C72"/>
    <w:rsid w:val="00E56CDB"/>
    <w:rsid w:val="00E6078A"/>
    <w:rsid w:val="00E61091"/>
    <w:rsid w:val="00E6132E"/>
    <w:rsid w:val="00E6134C"/>
    <w:rsid w:val="00E61424"/>
    <w:rsid w:val="00E61738"/>
    <w:rsid w:val="00E61C1B"/>
    <w:rsid w:val="00E61CB9"/>
    <w:rsid w:val="00E61EBA"/>
    <w:rsid w:val="00E63034"/>
    <w:rsid w:val="00E63C9F"/>
    <w:rsid w:val="00E63FED"/>
    <w:rsid w:val="00E641CD"/>
    <w:rsid w:val="00E64518"/>
    <w:rsid w:val="00E64A8E"/>
    <w:rsid w:val="00E64F60"/>
    <w:rsid w:val="00E652B9"/>
    <w:rsid w:val="00E6536E"/>
    <w:rsid w:val="00E65638"/>
    <w:rsid w:val="00E65E50"/>
    <w:rsid w:val="00E65EE9"/>
    <w:rsid w:val="00E65FB1"/>
    <w:rsid w:val="00E660BC"/>
    <w:rsid w:val="00E70FBA"/>
    <w:rsid w:val="00E7124E"/>
    <w:rsid w:val="00E71503"/>
    <w:rsid w:val="00E72217"/>
    <w:rsid w:val="00E723F3"/>
    <w:rsid w:val="00E724DE"/>
    <w:rsid w:val="00E72E09"/>
    <w:rsid w:val="00E7319D"/>
    <w:rsid w:val="00E73753"/>
    <w:rsid w:val="00E73F05"/>
    <w:rsid w:val="00E7450B"/>
    <w:rsid w:val="00E7536C"/>
    <w:rsid w:val="00E7682D"/>
    <w:rsid w:val="00E76AD2"/>
    <w:rsid w:val="00E776F2"/>
    <w:rsid w:val="00E77E35"/>
    <w:rsid w:val="00E80452"/>
    <w:rsid w:val="00E804A9"/>
    <w:rsid w:val="00E80FAC"/>
    <w:rsid w:val="00E8195A"/>
    <w:rsid w:val="00E8202C"/>
    <w:rsid w:val="00E82633"/>
    <w:rsid w:val="00E82EBD"/>
    <w:rsid w:val="00E82EEB"/>
    <w:rsid w:val="00E83AA7"/>
    <w:rsid w:val="00E84A37"/>
    <w:rsid w:val="00E84C10"/>
    <w:rsid w:val="00E85E4D"/>
    <w:rsid w:val="00E85F4A"/>
    <w:rsid w:val="00E868DC"/>
    <w:rsid w:val="00E86BA0"/>
    <w:rsid w:val="00E86E7B"/>
    <w:rsid w:val="00E86F64"/>
    <w:rsid w:val="00E8713E"/>
    <w:rsid w:val="00E907FA"/>
    <w:rsid w:val="00E92A5C"/>
    <w:rsid w:val="00E92CA9"/>
    <w:rsid w:val="00E92DF8"/>
    <w:rsid w:val="00E930B5"/>
    <w:rsid w:val="00E93291"/>
    <w:rsid w:val="00E935FE"/>
    <w:rsid w:val="00E9379B"/>
    <w:rsid w:val="00E93A56"/>
    <w:rsid w:val="00E93DBA"/>
    <w:rsid w:val="00E93E90"/>
    <w:rsid w:val="00E941FE"/>
    <w:rsid w:val="00E94337"/>
    <w:rsid w:val="00E94423"/>
    <w:rsid w:val="00E95C97"/>
    <w:rsid w:val="00E967C8"/>
    <w:rsid w:val="00E9758D"/>
    <w:rsid w:val="00E9766B"/>
    <w:rsid w:val="00EA00DF"/>
    <w:rsid w:val="00EA06F8"/>
    <w:rsid w:val="00EA06FC"/>
    <w:rsid w:val="00EA0C1E"/>
    <w:rsid w:val="00EA16D5"/>
    <w:rsid w:val="00EA1783"/>
    <w:rsid w:val="00EA19FD"/>
    <w:rsid w:val="00EA224A"/>
    <w:rsid w:val="00EA2BDE"/>
    <w:rsid w:val="00EA2FC2"/>
    <w:rsid w:val="00EA3B22"/>
    <w:rsid w:val="00EA3E9E"/>
    <w:rsid w:val="00EA4185"/>
    <w:rsid w:val="00EA430D"/>
    <w:rsid w:val="00EA529B"/>
    <w:rsid w:val="00EA59BD"/>
    <w:rsid w:val="00EA5A7B"/>
    <w:rsid w:val="00EA5C6B"/>
    <w:rsid w:val="00EA77FA"/>
    <w:rsid w:val="00EB1F79"/>
    <w:rsid w:val="00EB3491"/>
    <w:rsid w:val="00EB3BC1"/>
    <w:rsid w:val="00EB3CEB"/>
    <w:rsid w:val="00EB3EA1"/>
    <w:rsid w:val="00EB4A88"/>
    <w:rsid w:val="00EB4C68"/>
    <w:rsid w:val="00EB50F9"/>
    <w:rsid w:val="00EB5BB7"/>
    <w:rsid w:val="00EB5D02"/>
    <w:rsid w:val="00EB6A4F"/>
    <w:rsid w:val="00EB6ADC"/>
    <w:rsid w:val="00EB6C16"/>
    <w:rsid w:val="00EB6DFE"/>
    <w:rsid w:val="00EB7007"/>
    <w:rsid w:val="00EC0068"/>
    <w:rsid w:val="00EC080C"/>
    <w:rsid w:val="00EC0A3C"/>
    <w:rsid w:val="00EC0C7D"/>
    <w:rsid w:val="00EC143E"/>
    <w:rsid w:val="00EC2629"/>
    <w:rsid w:val="00EC328D"/>
    <w:rsid w:val="00EC397C"/>
    <w:rsid w:val="00EC4A96"/>
    <w:rsid w:val="00EC4CD6"/>
    <w:rsid w:val="00EC5E2B"/>
    <w:rsid w:val="00EC649A"/>
    <w:rsid w:val="00EC67D9"/>
    <w:rsid w:val="00ED01D7"/>
    <w:rsid w:val="00ED0292"/>
    <w:rsid w:val="00ED0906"/>
    <w:rsid w:val="00ED0EA9"/>
    <w:rsid w:val="00ED1EE8"/>
    <w:rsid w:val="00ED27E0"/>
    <w:rsid w:val="00ED2931"/>
    <w:rsid w:val="00ED3B35"/>
    <w:rsid w:val="00ED4308"/>
    <w:rsid w:val="00ED4C24"/>
    <w:rsid w:val="00ED4E61"/>
    <w:rsid w:val="00ED4E68"/>
    <w:rsid w:val="00ED4F7B"/>
    <w:rsid w:val="00ED549E"/>
    <w:rsid w:val="00ED5ADC"/>
    <w:rsid w:val="00ED68CF"/>
    <w:rsid w:val="00ED69BD"/>
    <w:rsid w:val="00ED6A46"/>
    <w:rsid w:val="00ED71B3"/>
    <w:rsid w:val="00ED7270"/>
    <w:rsid w:val="00ED7AD0"/>
    <w:rsid w:val="00EE056A"/>
    <w:rsid w:val="00EE07CD"/>
    <w:rsid w:val="00EE1083"/>
    <w:rsid w:val="00EE1299"/>
    <w:rsid w:val="00EE12CD"/>
    <w:rsid w:val="00EE1661"/>
    <w:rsid w:val="00EE198B"/>
    <w:rsid w:val="00EE2314"/>
    <w:rsid w:val="00EE31C1"/>
    <w:rsid w:val="00EE37B3"/>
    <w:rsid w:val="00EE40F0"/>
    <w:rsid w:val="00EE4473"/>
    <w:rsid w:val="00EE48AA"/>
    <w:rsid w:val="00EE511E"/>
    <w:rsid w:val="00EE5B4A"/>
    <w:rsid w:val="00EE5F39"/>
    <w:rsid w:val="00EE64A0"/>
    <w:rsid w:val="00EE688C"/>
    <w:rsid w:val="00EE7054"/>
    <w:rsid w:val="00EE7C16"/>
    <w:rsid w:val="00EE7E1B"/>
    <w:rsid w:val="00EE7F2A"/>
    <w:rsid w:val="00EE7F6E"/>
    <w:rsid w:val="00EE7F86"/>
    <w:rsid w:val="00EF066F"/>
    <w:rsid w:val="00EF099D"/>
    <w:rsid w:val="00EF0E90"/>
    <w:rsid w:val="00EF1462"/>
    <w:rsid w:val="00EF1D46"/>
    <w:rsid w:val="00EF1E81"/>
    <w:rsid w:val="00EF25D1"/>
    <w:rsid w:val="00EF2B35"/>
    <w:rsid w:val="00EF2FDA"/>
    <w:rsid w:val="00EF3275"/>
    <w:rsid w:val="00EF35DF"/>
    <w:rsid w:val="00EF44C1"/>
    <w:rsid w:val="00EF4A40"/>
    <w:rsid w:val="00EF573B"/>
    <w:rsid w:val="00EF5CC3"/>
    <w:rsid w:val="00EF70D9"/>
    <w:rsid w:val="00EF7513"/>
    <w:rsid w:val="00EF7D7C"/>
    <w:rsid w:val="00F0068E"/>
    <w:rsid w:val="00F00C3E"/>
    <w:rsid w:val="00F00FFF"/>
    <w:rsid w:val="00F011ED"/>
    <w:rsid w:val="00F0148D"/>
    <w:rsid w:val="00F015C3"/>
    <w:rsid w:val="00F01D3C"/>
    <w:rsid w:val="00F0205E"/>
    <w:rsid w:val="00F02CDA"/>
    <w:rsid w:val="00F033E2"/>
    <w:rsid w:val="00F03407"/>
    <w:rsid w:val="00F03491"/>
    <w:rsid w:val="00F037C9"/>
    <w:rsid w:val="00F03E39"/>
    <w:rsid w:val="00F04673"/>
    <w:rsid w:val="00F04B94"/>
    <w:rsid w:val="00F052C6"/>
    <w:rsid w:val="00F0596F"/>
    <w:rsid w:val="00F059E3"/>
    <w:rsid w:val="00F05D85"/>
    <w:rsid w:val="00F0600F"/>
    <w:rsid w:val="00F06247"/>
    <w:rsid w:val="00F06C9B"/>
    <w:rsid w:val="00F109F1"/>
    <w:rsid w:val="00F1138E"/>
    <w:rsid w:val="00F11B3C"/>
    <w:rsid w:val="00F11E23"/>
    <w:rsid w:val="00F1233B"/>
    <w:rsid w:val="00F12F72"/>
    <w:rsid w:val="00F13AE7"/>
    <w:rsid w:val="00F13B5A"/>
    <w:rsid w:val="00F13B82"/>
    <w:rsid w:val="00F13B9A"/>
    <w:rsid w:val="00F13F7D"/>
    <w:rsid w:val="00F160E1"/>
    <w:rsid w:val="00F16259"/>
    <w:rsid w:val="00F16268"/>
    <w:rsid w:val="00F17066"/>
    <w:rsid w:val="00F20ACC"/>
    <w:rsid w:val="00F2186A"/>
    <w:rsid w:val="00F2288A"/>
    <w:rsid w:val="00F22A9F"/>
    <w:rsid w:val="00F233FE"/>
    <w:rsid w:val="00F24076"/>
    <w:rsid w:val="00F249D9"/>
    <w:rsid w:val="00F24A6C"/>
    <w:rsid w:val="00F24FA6"/>
    <w:rsid w:val="00F2589F"/>
    <w:rsid w:val="00F259D2"/>
    <w:rsid w:val="00F26266"/>
    <w:rsid w:val="00F26B2D"/>
    <w:rsid w:val="00F2737E"/>
    <w:rsid w:val="00F275FD"/>
    <w:rsid w:val="00F301BE"/>
    <w:rsid w:val="00F30F2E"/>
    <w:rsid w:val="00F31033"/>
    <w:rsid w:val="00F3184D"/>
    <w:rsid w:val="00F3195D"/>
    <w:rsid w:val="00F32127"/>
    <w:rsid w:val="00F33AE3"/>
    <w:rsid w:val="00F33FE4"/>
    <w:rsid w:val="00F34BB0"/>
    <w:rsid w:val="00F37B7C"/>
    <w:rsid w:val="00F37F85"/>
    <w:rsid w:val="00F400CF"/>
    <w:rsid w:val="00F401D5"/>
    <w:rsid w:val="00F41C09"/>
    <w:rsid w:val="00F422B3"/>
    <w:rsid w:val="00F42467"/>
    <w:rsid w:val="00F42787"/>
    <w:rsid w:val="00F43832"/>
    <w:rsid w:val="00F43D79"/>
    <w:rsid w:val="00F44D0D"/>
    <w:rsid w:val="00F44EB5"/>
    <w:rsid w:val="00F45BE6"/>
    <w:rsid w:val="00F45D97"/>
    <w:rsid w:val="00F45DE6"/>
    <w:rsid w:val="00F46015"/>
    <w:rsid w:val="00F46326"/>
    <w:rsid w:val="00F4644D"/>
    <w:rsid w:val="00F47A01"/>
    <w:rsid w:val="00F50046"/>
    <w:rsid w:val="00F50519"/>
    <w:rsid w:val="00F50A1A"/>
    <w:rsid w:val="00F50A28"/>
    <w:rsid w:val="00F50B15"/>
    <w:rsid w:val="00F50B4E"/>
    <w:rsid w:val="00F5111C"/>
    <w:rsid w:val="00F515C8"/>
    <w:rsid w:val="00F51CC2"/>
    <w:rsid w:val="00F5346D"/>
    <w:rsid w:val="00F53A4E"/>
    <w:rsid w:val="00F53DA6"/>
    <w:rsid w:val="00F549AB"/>
    <w:rsid w:val="00F54E2A"/>
    <w:rsid w:val="00F55098"/>
    <w:rsid w:val="00F561DA"/>
    <w:rsid w:val="00F5696E"/>
    <w:rsid w:val="00F56C8E"/>
    <w:rsid w:val="00F57A0C"/>
    <w:rsid w:val="00F6040C"/>
    <w:rsid w:val="00F6088F"/>
    <w:rsid w:val="00F614DC"/>
    <w:rsid w:val="00F6191E"/>
    <w:rsid w:val="00F62071"/>
    <w:rsid w:val="00F62232"/>
    <w:rsid w:val="00F62449"/>
    <w:rsid w:val="00F62C55"/>
    <w:rsid w:val="00F6357A"/>
    <w:rsid w:val="00F63D83"/>
    <w:rsid w:val="00F63EC0"/>
    <w:rsid w:val="00F64729"/>
    <w:rsid w:val="00F64A16"/>
    <w:rsid w:val="00F64A2E"/>
    <w:rsid w:val="00F658AD"/>
    <w:rsid w:val="00F65D8E"/>
    <w:rsid w:val="00F65F68"/>
    <w:rsid w:val="00F66830"/>
    <w:rsid w:val="00F671BD"/>
    <w:rsid w:val="00F67614"/>
    <w:rsid w:val="00F6774D"/>
    <w:rsid w:val="00F67B7F"/>
    <w:rsid w:val="00F7000D"/>
    <w:rsid w:val="00F70197"/>
    <w:rsid w:val="00F70910"/>
    <w:rsid w:val="00F70EC7"/>
    <w:rsid w:val="00F71EE7"/>
    <w:rsid w:val="00F7234F"/>
    <w:rsid w:val="00F724DC"/>
    <w:rsid w:val="00F73629"/>
    <w:rsid w:val="00F745C3"/>
    <w:rsid w:val="00F74C52"/>
    <w:rsid w:val="00F74DBF"/>
    <w:rsid w:val="00F75064"/>
    <w:rsid w:val="00F75088"/>
    <w:rsid w:val="00F751FF"/>
    <w:rsid w:val="00F75CBC"/>
    <w:rsid w:val="00F76BC0"/>
    <w:rsid w:val="00F77A94"/>
    <w:rsid w:val="00F77D0B"/>
    <w:rsid w:val="00F807AC"/>
    <w:rsid w:val="00F8194C"/>
    <w:rsid w:val="00F82545"/>
    <w:rsid w:val="00F83CE5"/>
    <w:rsid w:val="00F841A3"/>
    <w:rsid w:val="00F850C0"/>
    <w:rsid w:val="00F854ED"/>
    <w:rsid w:val="00F86252"/>
    <w:rsid w:val="00F86748"/>
    <w:rsid w:val="00F869FB"/>
    <w:rsid w:val="00F87B5A"/>
    <w:rsid w:val="00F87DB9"/>
    <w:rsid w:val="00F87ED3"/>
    <w:rsid w:val="00F90479"/>
    <w:rsid w:val="00F90E45"/>
    <w:rsid w:val="00F91360"/>
    <w:rsid w:val="00F913E6"/>
    <w:rsid w:val="00F91999"/>
    <w:rsid w:val="00F932EE"/>
    <w:rsid w:val="00F93D7F"/>
    <w:rsid w:val="00F93EA5"/>
    <w:rsid w:val="00F9413B"/>
    <w:rsid w:val="00F9421F"/>
    <w:rsid w:val="00F94472"/>
    <w:rsid w:val="00F95615"/>
    <w:rsid w:val="00F96B0A"/>
    <w:rsid w:val="00F96C08"/>
    <w:rsid w:val="00F96FDC"/>
    <w:rsid w:val="00F97322"/>
    <w:rsid w:val="00F97B98"/>
    <w:rsid w:val="00F97FE7"/>
    <w:rsid w:val="00FA0BCC"/>
    <w:rsid w:val="00FA1234"/>
    <w:rsid w:val="00FA153A"/>
    <w:rsid w:val="00FA197E"/>
    <w:rsid w:val="00FA1A98"/>
    <w:rsid w:val="00FA1CD2"/>
    <w:rsid w:val="00FA2905"/>
    <w:rsid w:val="00FA2BB7"/>
    <w:rsid w:val="00FA3FC0"/>
    <w:rsid w:val="00FA4B55"/>
    <w:rsid w:val="00FA4B5A"/>
    <w:rsid w:val="00FA5153"/>
    <w:rsid w:val="00FA5B14"/>
    <w:rsid w:val="00FA5E49"/>
    <w:rsid w:val="00FA68B3"/>
    <w:rsid w:val="00FA6C25"/>
    <w:rsid w:val="00FA7510"/>
    <w:rsid w:val="00FA7B26"/>
    <w:rsid w:val="00FB08CE"/>
    <w:rsid w:val="00FB1342"/>
    <w:rsid w:val="00FB18DC"/>
    <w:rsid w:val="00FB235D"/>
    <w:rsid w:val="00FB29D3"/>
    <w:rsid w:val="00FB2ADE"/>
    <w:rsid w:val="00FB2B08"/>
    <w:rsid w:val="00FB336E"/>
    <w:rsid w:val="00FB3757"/>
    <w:rsid w:val="00FB41F2"/>
    <w:rsid w:val="00FB5076"/>
    <w:rsid w:val="00FB58FB"/>
    <w:rsid w:val="00FB5AD2"/>
    <w:rsid w:val="00FB5DC5"/>
    <w:rsid w:val="00FB6915"/>
    <w:rsid w:val="00FB6EA4"/>
    <w:rsid w:val="00FB7042"/>
    <w:rsid w:val="00FC0C9A"/>
    <w:rsid w:val="00FC183D"/>
    <w:rsid w:val="00FC2542"/>
    <w:rsid w:val="00FC332A"/>
    <w:rsid w:val="00FC3821"/>
    <w:rsid w:val="00FC386F"/>
    <w:rsid w:val="00FC38E5"/>
    <w:rsid w:val="00FC4A2F"/>
    <w:rsid w:val="00FC5135"/>
    <w:rsid w:val="00FC53DB"/>
    <w:rsid w:val="00FC5A05"/>
    <w:rsid w:val="00FC5C56"/>
    <w:rsid w:val="00FC6F81"/>
    <w:rsid w:val="00FC734E"/>
    <w:rsid w:val="00FC7623"/>
    <w:rsid w:val="00FC76E6"/>
    <w:rsid w:val="00FC7A05"/>
    <w:rsid w:val="00FD019C"/>
    <w:rsid w:val="00FD09FD"/>
    <w:rsid w:val="00FD0D4D"/>
    <w:rsid w:val="00FD10EB"/>
    <w:rsid w:val="00FD134E"/>
    <w:rsid w:val="00FD13FA"/>
    <w:rsid w:val="00FD1628"/>
    <w:rsid w:val="00FD1ABC"/>
    <w:rsid w:val="00FD1B37"/>
    <w:rsid w:val="00FD1BA6"/>
    <w:rsid w:val="00FD1ED8"/>
    <w:rsid w:val="00FD25F1"/>
    <w:rsid w:val="00FD2669"/>
    <w:rsid w:val="00FD2A0F"/>
    <w:rsid w:val="00FD351B"/>
    <w:rsid w:val="00FD3D16"/>
    <w:rsid w:val="00FD3EB6"/>
    <w:rsid w:val="00FD3F1D"/>
    <w:rsid w:val="00FD3F90"/>
    <w:rsid w:val="00FD54AB"/>
    <w:rsid w:val="00FD6122"/>
    <w:rsid w:val="00FD6BE6"/>
    <w:rsid w:val="00FD722E"/>
    <w:rsid w:val="00FD7716"/>
    <w:rsid w:val="00FD78BC"/>
    <w:rsid w:val="00FD7CBF"/>
    <w:rsid w:val="00FD7E85"/>
    <w:rsid w:val="00FE1567"/>
    <w:rsid w:val="00FE223A"/>
    <w:rsid w:val="00FE23B4"/>
    <w:rsid w:val="00FE28DE"/>
    <w:rsid w:val="00FE2C62"/>
    <w:rsid w:val="00FE316B"/>
    <w:rsid w:val="00FE478C"/>
    <w:rsid w:val="00FE4C6E"/>
    <w:rsid w:val="00FE567A"/>
    <w:rsid w:val="00FE57F7"/>
    <w:rsid w:val="00FE657E"/>
    <w:rsid w:val="00FE6789"/>
    <w:rsid w:val="00FE709D"/>
    <w:rsid w:val="00FE7E2B"/>
    <w:rsid w:val="00FF00B0"/>
    <w:rsid w:val="00FF056C"/>
    <w:rsid w:val="00FF0C17"/>
    <w:rsid w:val="00FF2A33"/>
    <w:rsid w:val="00FF3163"/>
    <w:rsid w:val="00FF3295"/>
    <w:rsid w:val="00FF3629"/>
    <w:rsid w:val="00FF5C3D"/>
    <w:rsid w:val="00FF5E33"/>
    <w:rsid w:val="00FF6981"/>
    <w:rsid w:val="00FF6A52"/>
    <w:rsid w:val="00FF7D1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8853B"/>
  <w15:chartTrackingRefBased/>
  <w15:docId w15:val="{FF20B5EF-FBAF-4A3F-8E86-86E5068C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59E"/>
  </w:style>
  <w:style w:type="paragraph" w:styleId="Footer">
    <w:name w:val="footer"/>
    <w:basedOn w:val="Normal"/>
    <w:link w:val="FooterChar"/>
    <w:uiPriority w:val="99"/>
    <w:unhideWhenUsed/>
    <w:rsid w:val="007E4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59E"/>
  </w:style>
  <w:style w:type="paragraph" w:styleId="ListParagraph">
    <w:name w:val="List Paragraph"/>
    <w:basedOn w:val="Normal"/>
    <w:uiPriority w:val="34"/>
    <w:qFormat/>
    <w:rsid w:val="001872B7"/>
    <w:pPr>
      <w:ind w:left="720"/>
      <w:contextualSpacing/>
    </w:pPr>
  </w:style>
  <w:style w:type="paragraph" w:styleId="FootnoteText">
    <w:name w:val="footnote text"/>
    <w:basedOn w:val="Normal"/>
    <w:link w:val="FootnoteTextChar"/>
    <w:uiPriority w:val="99"/>
    <w:semiHidden/>
    <w:unhideWhenUsed/>
    <w:rsid w:val="00AF40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400A"/>
    <w:rPr>
      <w:sz w:val="20"/>
      <w:szCs w:val="20"/>
    </w:rPr>
  </w:style>
  <w:style w:type="character" w:styleId="FootnoteReference">
    <w:name w:val="footnote reference"/>
    <w:basedOn w:val="DefaultParagraphFont"/>
    <w:uiPriority w:val="99"/>
    <w:semiHidden/>
    <w:unhideWhenUsed/>
    <w:rsid w:val="00AF400A"/>
    <w:rPr>
      <w:vertAlign w:val="superscript"/>
    </w:rPr>
  </w:style>
  <w:style w:type="character" w:styleId="Hyperlink">
    <w:name w:val="Hyperlink"/>
    <w:basedOn w:val="DefaultParagraphFont"/>
    <w:uiPriority w:val="99"/>
    <w:unhideWhenUsed/>
    <w:rsid w:val="00B928CF"/>
    <w:rPr>
      <w:color w:val="0563C1" w:themeColor="hyperlink"/>
      <w:u w:val="single"/>
    </w:rPr>
  </w:style>
  <w:style w:type="character" w:styleId="UnresolvedMention">
    <w:name w:val="Unresolved Mention"/>
    <w:basedOn w:val="DefaultParagraphFont"/>
    <w:uiPriority w:val="99"/>
    <w:semiHidden/>
    <w:unhideWhenUsed/>
    <w:rsid w:val="00B92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B32E3-9BB5-4D37-A79E-B10B9B64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11640</Words>
  <Characters>66350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Law</dc:creator>
  <cp:keywords/>
  <dc:description/>
  <cp:lastModifiedBy>Johnny Law</cp:lastModifiedBy>
  <cp:revision>2</cp:revision>
  <dcterms:created xsi:type="dcterms:W3CDTF">2023-08-10T07:21:00Z</dcterms:created>
  <dcterms:modified xsi:type="dcterms:W3CDTF">2023-08-10T07:21:00Z</dcterms:modified>
</cp:coreProperties>
</file>