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FF18" w14:textId="77777777" w:rsidR="00D57C66" w:rsidRDefault="00D57C66" w:rsidP="000209E8">
      <w:pPr>
        <w:pStyle w:val="Title"/>
        <w:rPr>
          <w:rFonts w:ascii="Arial" w:hAnsi="Arial" w:cs="Arial"/>
          <w:sz w:val="22"/>
          <w:szCs w:val="22"/>
        </w:rPr>
      </w:pPr>
    </w:p>
    <w:p w14:paraId="47BAF982" w14:textId="77777777" w:rsidR="00D57C66" w:rsidRDefault="00D57C66" w:rsidP="000209E8">
      <w:pPr>
        <w:pStyle w:val="Title"/>
        <w:rPr>
          <w:rFonts w:ascii="Arial" w:hAnsi="Arial" w:cs="Arial"/>
          <w:sz w:val="22"/>
          <w:szCs w:val="22"/>
        </w:rPr>
      </w:pPr>
    </w:p>
    <w:p w14:paraId="65877A6A" w14:textId="77777777" w:rsidR="00D57C66" w:rsidRDefault="00D57C66" w:rsidP="000209E8">
      <w:pPr>
        <w:pStyle w:val="Title"/>
        <w:rPr>
          <w:rFonts w:ascii="Arial" w:hAnsi="Arial" w:cs="Arial"/>
          <w:sz w:val="22"/>
          <w:szCs w:val="22"/>
        </w:rPr>
      </w:pPr>
    </w:p>
    <w:p w14:paraId="7DA09E72" w14:textId="77777777" w:rsidR="00D57C66" w:rsidRDefault="00D57C66" w:rsidP="000209E8">
      <w:pPr>
        <w:pStyle w:val="Title"/>
        <w:rPr>
          <w:rFonts w:ascii="Arial" w:hAnsi="Arial" w:cs="Arial"/>
          <w:sz w:val="22"/>
          <w:szCs w:val="22"/>
        </w:rPr>
      </w:pPr>
    </w:p>
    <w:p w14:paraId="04AA7CE4" w14:textId="77777777" w:rsidR="00D57C66" w:rsidRPr="00E94C00" w:rsidRDefault="00D57C66" w:rsidP="000209E8">
      <w:pPr>
        <w:pStyle w:val="Title"/>
        <w:rPr>
          <w:rFonts w:ascii="Arial" w:hAnsi="Arial" w:cs="Arial"/>
          <w:sz w:val="28"/>
          <w:szCs w:val="28"/>
        </w:rPr>
      </w:pPr>
    </w:p>
    <w:p w14:paraId="7DBF991C" w14:textId="1640CBE0" w:rsidR="000209E8" w:rsidRPr="00167AE9" w:rsidRDefault="000209E8" w:rsidP="00167AE9">
      <w:pPr>
        <w:jc w:val="center"/>
        <w:rPr>
          <w:rFonts w:ascii="Arial" w:hAnsi="Arial" w:cs="Arial"/>
          <w:sz w:val="32"/>
          <w:szCs w:val="32"/>
        </w:rPr>
      </w:pPr>
      <w:r w:rsidRPr="00167AE9">
        <w:rPr>
          <w:rFonts w:ascii="Arial" w:hAnsi="Arial" w:cs="Arial"/>
          <w:sz w:val="32"/>
          <w:szCs w:val="32"/>
        </w:rPr>
        <w:t>Case</w:t>
      </w:r>
      <w:r w:rsidR="00A91ED8" w:rsidRPr="00167AE9">
        <w:rPr>
          <w:rFonts w:ascii="Arial" w:hAnsi="Arial" w:cs="Arial"/>
          <w:sz w:val="32"/>
          <w:szCs w:val="32"/>
        </w:rPr>
        <w:t xml:space="preserve"> Study</w:t>
      </w:r>
      <w:r w:rsidRPr="00167AE9">
        <w:rPr>
          <w:rFonts w:ascii="Arial" w:hAnsi="Arial" w:cs="Arial"/>
          <w:sz w:val="32"/>
          <w:szCs w:val="32"/>
        </w:rPr>
        <w:t xml:space="preserve"> </w:t>
      </w:r>
      <w:r w:rsidR="0029340C" w:rsidRPr="00167AE9">
        <w:rPr>
          <w:rFonts w:ascii="Arial" w:hAnsi="Arial" w:cs="Arial"/>
          <w:sz w:val="32"/>
          <w:szCs w:val="32"/>
        </w:rPr>
        <w:t>11</w:t>
      </w:r>
    </w:p>
    <w:p w14:paraId="3A61B205" w14:textId="77777777" w:rsidR="000209E8" w:rsidRPr="00167AE9" w:rsidRDefault="000209E8" w:rsidP="00167AE9">
      <w:pPr>
        <w:jc w:val="center"/>
        <w:rPr>
          <w:rFonts w:ascii="Arial" w:hAnsi="Arial" w:cs="Arial"/>
          <w:sz w:val="32"/>
          <w:szCs w:val="32"/>
        </w:rPr>
      </w:pPr>
      <w:r w:rsidRPr="00167AE9">
        <w:rPr>
          <w:rFonts w:ascii="Arial" w:hAnsi="Arial" w:cs="Arial"/>
          <w:sz w:val="32"/>
          <w:szCs w:val="32"/>
        </w:rPr>
        <w:t>John S. Bain</w:t>
      </w:r>
    </w:p>
    <w:p w14:paraId="50F7448E" w14:textId="78D2AAE2" w:rsidR="000209E8" w:rsidRPr="00167AE9" w:rsidRDefault="000209E8" w:rsidP="00167AE9">
      <w:pPr>
        <w:jc w:val="center"/>
        <w:rPr>
          <w:rFonts w:ascii="Arial" w:hAnsi="Arial" w:cs="Arial"/>
          <w:sz w:val="32"/>
          <w:szCs w:val="32"/>
        </w:rPr>
      </w:pPr>
      <w:bookmarkStart w:id="0" w:name="bkAuthorAffil"/>
      <w:bookmarkEnd w:id="0"/>
      <w:r w:rsidRPr="00167AE9">
        <w:rPr>
          <w:rFonts w:ascii="Arial" w:hAnsi="Arial" w:cs="Arial"/>
          <w:i/>
          <w:iCs/>
          <w:sz w:val="32"/>
          <w:szCs w:val="32"/>
        </w:rPr>
        <w:t>INSOL</w:t>
      </w:r>
      <w:r w:rsidR="00A91ED8" w:rsidRPr="00167AE9">
        <w:rPr>
          <w:rFonts w:ascii="Arial" w:hAnsi="Arial" w:cs="Arial"/>
          <w:sz w:val="32"/>
          <w:szCs w:val="32"/>
        </w:rPr>
        <w:t xml:space="preserve"> Fellow (Candidate)</w:t>
      </w:r>
    </w:p>
    <w:p w14:paraId="390DD427" w14:textId="1F0E1CE2" w:rsidR="000209E8" w:rsidRPr="00167AE9" w:rsidRDefault="000209E8" w:rsidP="00167AE9">
      <w:pPr>
        <w:jc w:val="center"/>
        <w:rPr>
          <w:rFonts w:ascii="Arial" w:hAnsi="Arial" w:cs="Arial"/>
          <w:sz w:val="32"/>
          <w:szCs w:val="32"/>
        </w:rPr>
      </w:pPr>
      <w:r w:rsidRPr="00167AE9">
        <w:rPr>
          <w:rFonts w:ascii="Arial" w:hAnsi="Arial" w:cs="Arial"/>
          <w:sz w:val="32"/>
          <w:szCs w:val="32"/>
        </w:rPr>
        <w:t>A</w:t>
      </w:r>
      <w:r w:rsidR="00A91ED8" w:rsidRPr="00167AE9">
        <w:rPr>
          <w:rFonts w:ascii="Arial" w:hAnsi="Arial" w:cs="Arial"/>
          <w:sz w:val="32"/>
          <w:szCs w:val="32"/>
        </w:rPr>
        <w:t>ugust</w:t>
      </w:r>
      <w:r w:rsidRPr="00167AE9">
        <w:rPr>
          <w:rFonts w:ascii="Arial" w:hAnsi="Arial" w:cs="Arial"/>
          <w:sz w:val="32"/>
          <w:szCs w:val="32"/>
        </w:rPr>
        <w:t xml:space="preserve"> 1</w:t>
      </w:r>
      <w:r w:rsidR="00A91ED8" w:rsidRPr="00167AE9">
        <w:rPr>
          <w:rFonts w:ascii="Arial" w:hAnsi="Arial" w:cs="Arial"/>
          <w:sz w:val="32"/>
          <w:szCs w:val="32"/>
        </w:rPr>
        <w:t>0</w:t>
      </w:r>
      <w:r w:rsidRPr="00167AE9">
        <w:rPr>
          <w:rFonts w:ascii="Arial" w:hAnsi="Arial" w:cs="Arial"/>
          <w:sz w:val="32"/>
          <w:szCs w:val="32"/>
        </w:rPr>
        <w:t>, 2023</w:t>
      </w:r>
    </w:p>
    <w:p w14:paraId="6290AA77" w14:textId="77777777" w:rsidR="000209E8" w:rsidRPr="005B09A2" w:rsidRDefault="000209E8" w:rsidP="000209E8">
      <w:pPr>
        <w:tabs>
          <w:tab w:val="left" w:pos="4050"/>
        </w:tabs>
        <w:rPr>
          <w:rFonts w:ascii="Arial" w:hAnsi="Arial" w:cs="Arial"/>
        </w:rPr>
      </w:pPr>
    </w:p>
    <w:p w14:paraId="49C89CBB" w14:textId="77777777" w:rsidR="000209E8" w:rsidRDefault="000209E8" w:rsidP="000209E8">
      <w:pPr>
        <w:jc w:val="both"/>
        <w:rPr>
          <w:rFonts w:ascii="Arial" w:hAnsi="Arial" w:cs="Arial"/>
        </w:rPr>
      </w:pPr>
    </w:p>
    <w:p w14:paraId="03D1D292" w14:textId="77777777" w:rsidR="00ED0CD9" w:rsidRDefault="00ED0CD9">
      <w:pPr>
        <w:rPr>
          <w:rFonts w:ascii="Arial" w:hAnsi="Arial" w:cs="Arial"/>
        </w:rPr>
        <w:sectPr w:rsidR="00ED0CD9" w:rsidSect="000209E8">
          <w:footerReference w:type="default" r:id="rId8"/>
          <w:pgSz w:w="11906" w:h="16838" w:code="9"/>
          <w:pgMar w:top="1418" w:right="1418" w:bottom="1418" w:left="1418" w:header="720" w:footer="720" w:gutter="0"/>
          <w:cols w:space="720"/>
          <w:docGrid w:linePitch="360"/>
        </w:sectPr>
      </w:pPr>
    </w:p>
    <w:p w14:paraId="787594F8" w14:textId="05E6D6F9" w:rsidR="000209E8" w:rsidRDefault="000209E8">
      <w:pPr>
        <w:rPr>
          <w:rFonts w:ascii="Arial" w:hAnsi="Arial" w:cs="Arial"/>
        </w:rPr>
      </w:pPr>
    </w:p>
    <w:p w14:paraId="43235721" w14:textId="504BD48C" w:rsidR="005D13E6" w:rsidRDefault="005D13E6" w:rsidP="005D13E6">
      <w:pPr>
        <w:spacing w:after="240"/>
        <w:jc w:val="both"/>
        <w:rPr>
          <w:rFonts w:ascii="Arial" w:hAnsi="Arial" w:cs="Arial"/>
          <w:b/>
          <w:bCs/>
          <w:u w:val="single"/>
        </w:rPr>
      </w:pPr>
      <w:r>
        <w:rPr>
          <w:rFonts w:ascii="Arial" w:hAnsi="Arial" w:cs="Arial"/>
          <w:b/>
          <w:bCs/>
          <w:u w:val="single"/>
        </w:rPr>
        <w:t xml:space="preserve">VIA EMAIL </w:t>
      </w:r>
      <w:hyperlink r:id="rId9" w:history="1">
        <w:r w:rsidRPr="002B1061">
          <w:rPr>
            <w:rStyle w:val="Hyperlink"/>
            <w:rFonts w:ascii="Arial" w:hAnsi="Arial" w:cs="Arial"/>
            <w:b/>
            <w:bCs/>
          </w:rPr>
          <w:t>benedictmaximov@kmail.net</w:t>
        </w:r>
      </w:hyperlink>
      <w:r>
        <w:rPr>
          <w:rFonts w:ascii="Arial" w:hAnsi="Arial" w:cs="Arial"/>
          <w:b/>
          <w:bCs/>
          <w:u w:val="single"/>
        </w:rPr>
        <w:t xml:space="preserve"> </w:t>
      </w:r>
    </w:p>
    <w:p w14:paraId="1E425F24" w14:textId="3ED0C2A9" w:rsidR="005D13E6" w:rsidRDefault="005D13E6" w:rsidP="005D13E6">
      <w:pPr>
        <w:spacing w:after="240"/>
        <w:jc w:val="both"/>
        <w:rPr>
          <w:rFonts w:ascii="Arial" w:hAnsi="Arial" w:cs="Arial"/>
        </w:rPr>
      </w:pPr>
      <w:r w:rsidRPr="005D13E6">
        <w:rPr>
          <w:rFonts w:ascii="Arial" w:hAnsi="Arial" w:cs="Arial"/>
        </w:rPr>
        <w:t>August 10, 2023</w:t>
      </w:r>
    </w:p>
    <w:p w14:paraId="279349F1" w14:textId="2F2E38DF" w:rsidR="005D13E6" w:rsidRDefault="005D13E6" w:rsidP="005D13E6">
      <w:pPr>
        <w:spacing w:after="0" w:line="240" w:lineRule="auto"/>
        <w:jc w:val="both"/>
        <w:rPr>
          <w:rFonts w:ascii="Arial" w:hAnsi="Arial" w:cs="Arial"/>
        </w:rPr>
      </w:pPr>
      <w:r>
        <w:rPr>
          <w:rFonts w:ascii="Arial" w:hAnsi="Arial" w:cs="Arial"/>
        </w:rPr>
        <w:t xml:space="preserve">Mr. </w:t>
      </w:r>
      <w:r w:rsidR="00153E89">
        <w:rPr>
          <w:rFonts w:ascii="Arial" w:hAnsi="Arial" w:cs="Arial"/>
        </w:rPr>
        <w:t>Benedict</w:t>
      </w:r>
      <w:r>
        <w:rPr>
          <w:rFonts w:ascii="Arial" w:hAnsi="Arial" w:cs="Arial"/>
        </w:rPr>
        <w:t xml:space="preserve"> Maximov, CEO</w:t>
      </w:r>
    </w:p>
    <w:p w14:paraId="45D84A4F" w14:textId="78B6BE5E" w:rsidR="005D13E6" w:rsidRPr="005D13E6" w:rsidRDefault="005D13E6" w:rsidP="005D13E6">
      <w:pPr>
        <w:spacing w:after="0" w:line="240" w:lineRule="auto"/>
        <w:jc w:val="both"/>
        <w:rPr>
          <w:rFonts w:ascii="Arial" w:hAnsi="Arial" w:cs="Arial"/>
          <w:b/>
          <w:bCs/>
        </w:rPr>
      </w:pPr>
      <w:r w:rsidRPr="005D13E6">
        <w:rPr>
          <w:rFonts w:ascii="Arial" w:hAnsi="Arial" w:cs="Arial"/>
          <w:b/>
          <w:bCs/>
        </w:rPr>
        <w:t xml:space="preserve">EFWON </w:t>
      </w:r>
      <w:r w:rsidR="00E94C00">
        <w:rPr>
          <w:rFonts w:ascii="Arial" w:hAnsi="Arial" w:cs="Arial"/>
          <w:b/>
          <w:bCs/>
        </w:rPr>
        <w:t>GROUP OF COMPANIES</w:t>
      </w:r>
    </w:p>
    <w:p w14:paraId="208FD0FB" w14:textId="7CBBFB35" w:rsidR="005D13E6" w:rsidRDefault="005D13E6" w:rsidP="005D13E6">
      <w:pPr>
        <w:spacing w:after="240" w:line="240" w:lineRule="auto"/>
        <w:jc w:val="both"/>
        <w:rPr>
          <w:rFonts w:ascii="Arial" w:hAnsi="Arial" w:cs="Arial"/>
        </w:rPr>
      </w:pPr>
      <w:r>
        <w:rPr>
          <w:rFonts w:ascii="Arial" w:hAnsi="Arial" w:cs="Arial"/>
        </w:rPr>
        <w:t>Delaware, USA</w:t>
      </w:r>
    </w:p>
    <w:p w14:paraId="0775DC23" w14:textId="294D76D1" w:rsidR="005D13E6" w:rsidRDefault="005D13E6" w:rsidP="005D13E6">
      <w:pPr>
        <w:spacing w:after="240"/>
        <w:jc w:val="both"/>
        <w:rPr>
          <w:rFonts w:ascii="Arial" w:hAnsi="Arial" w:cs="Arial"/>
        </w:rPr>
      </w:pPr>
      <w:r>
        <w:rPr>
          <w:rFonts w:ascii="Arial" w:hAnsi="Arial" w:cs="Arial"/>
        </w:rPr>
        <w:t>Dear Mr. Maximov,</w:t>
      </w:r>
    </w:p>
    <w:p w14:paraId="1DC037B6" w14:textId="366C0617" w:rsidR="005D13E6" w:rsidRDefault="005D13E6" w:rsidP="005D13E6">
      <w:pPr>
        <w:spacing w:after="240" w:line="240" w:lineRule="auto"/>
        <w:jc w:val="center"/>
        <w:rPr>
          <w:rFonts w:ascii="Arial" w:hAnsi="Arial" w:cs="Arial"/>
          <w:b/>
          <w:bCs/>
          <w:u w:val="single"/>
        </w:rPr>
      </w:pPr>
      <w:r w:rsidRPr="005D13E6">
        <w:rPr>
          <w:rFonts w:ascii="Arial" w:hAnsi="Arial" w:cs="Arial"/>
          <w:b/>
          <w:bCs/>
          <w:u w:val="single"/>
        </w:rPr>
        <w:t>Re: KuasaNas Deal Facilitation</w:t>
      </w:r>
    </w:p>
    <w:p w14:paraId="08677B30" w14:textId="4CABA81E" w:rsidR="008B37F8" w:rsidRDefault="005D13E6" w:rsidP="005D6B3B">
      <w:pPr>
        <w:spacing w:after="240" w:line="360" w:lineRule="auto"/>
        <w:jc w:val="both"/>
        <w:rPr>
          <w:rFonts w:ascii="Arial" w:hAnsi="Arial" w:cs="Arial"/>
        </w:rPr>
      </w:pPr>
      <w:r>
        <w:rPr>
          <w:rFonts w:ascii="Arial" w:hAnsi="Arial" w:cs="Arial"/>
        </w:rPr>
        <w:t>Thank you for inquir</w:t>
      </w:r>
      <w:r w:rsidR="00E94C00">
        <w:rPr>
          <w:rFonts w:ascii="Arial" w:hAnsi="Arial" w:cs="Arial"/>
        </w:rPr>
        <w:t>ing about our desire</w:t>
      </w:r>
      <w:r>
        <w:rPr>
          <w:rFonts w:ascii="Arial" w:hAnsi="Arial" w:cs="Arial"/>
        </w:rPr>
        <w:t xml:space="preserve"> to provide you</w:t>
      </w:r>
      <w:r w:rsidR="00E94C00">
        <w:rPr>
          <w:rFonts w:ascii="Arial" w:hAnsi="Arial" w:cs="Arial"/>
        </w:rPr>
        <w:t xml:space="preserve"> and </w:t>
      </w:r>
      <w:r w:rsidR="00E94C00" w:rsidRPr="000209E8">
        <w:rPr>
          <w:rFonts w:ascii="Arial" w:hAnsi="Arial" w:cs="Arial"/>
        </w:rPr>
        <w:t>Efwon Investments, Efwon Trading, and Efwon Romania</w:t>
      </w:r>
      <w:r w:rsidR="00E94C00">
        <w:rPr>
          <w:rFonts w:ascii="Arial" w:hAnsi="Arial" w:cs="Arial"/>
        </w:rPr>
        <w:t xml:space="preserve"> (together, the Efwon Group or the Group)</w:t>
      </w:r>
      <w:r>
        <w:rPr>
          <w:rFonts w:ascii="Arial" w:hAnsi="Arial" w:cs="Arial"/>
        </w:rPr>
        <w:t xml:space="preserve"> with professional services. Thank you also for submitting the background information on this matter</w:t>
      </w:r>
      <w:r w:rsidR="007205D3">
        <w:rPr>
          <w:rFonts w:ascii="Arial" w:hAnsi="Arial" w:cs="Arial"/>
        </w:rPr>
        <w:t>.</w:t>
      </w:r>
    </w:p>
    <w:p w14:paraId="22D6C7C8" w14:textId="5F019A43" w:rsidR="005D13E6" w:rsidRDefault="007205D3" w:rsidP="005D6B3B">
      <w:pPr>
        <w:spacing w:after="240" w:line="360" w:lineRule="auto"/>
        <w:jc w:val="both"/>
        <w:rPr>
          <w:rFonts w:ascii="Arial" w:hAnsi="Arial" w:cs="Arial"/>
        </w:rPr>
      </w:pPr>
      <w:r>
        <w:rPr>
          <w:rFonts w:ascii="Arial" w:hAnsi="Arial" w:cs="Arial"/>
        </w:rPr>
        <w:t xml:space="preserve">We are </w:t>
      </w:r>
      <w:r w:rsidR="00132D71">
        <w:rPr>
          <w:rFonts w:ascii="Arial" w:hAnsi="Arial" w:cs="Arial"/>
        </w:rPr>
        <w:t>pleased</w:t>
      </w:r>
      <w:r>
        <w:rPr>
          <w:rFonts w:ascii="Arial" w:hAnsi="Arial" w:cs="Arial"/>
        </w:rPr>
        <w:t xml:space="preserve"> to </w:t>
      </w:r>
      <w:r w:rsidR="00B833E5">
        <w:rPr>
          <w:rFonts w:ascii="Arial" w:hAnsi="Arial" w:cs="Arial"/>
        </w:rPr>
        <w:t>provide</w:t>
      </w:r>
      <w:r w:rsidR="008B37F8">
        <w:rPr>
          <w:rFonts w:ascii="Arial" w:hAnsi="Arial" w:cs="Arial"/>
        </w:rPr>
        <w:t xml:space="preserve"> Benedict </w:t>
      </w:r>
      <w:r w:rsidR="00B833E5">
        <w:rPr>
          <w:rFonts w:ascii="Arial" w:hAnsi="Arial" w:cs="Arial"/>
        </w:rPr>
        <w:t>Maximov with</w:t>
      </w:r>
      <w:r w:rsidR="008B37F8">
        <w:rPr>
          <w:rFonts w:ascii="Arial" w:hAnsi="Arial" w:cs="Arial"/>
        </w:rPr>
        <w:t xml:space="preserve"> a proposed </w:t>
      </w:r>
      <w:r w:rsidR="00993766">
        <w:rPr>
          <w:rFonts w:ascii="Arial" w:hAnsi="Arial" w:cs="Arial"/>
        </w:rPr>
        <w:t>s</w:t>
      </w:r>
      <w:r w:rsidR="008B37F8">
        <w:rPr>
          <w:rFonts w:ascii="Arial" w:hAnsi="Arial" w:cs="Arial"/>
        </w:rPr>
        <w:t xml:space="preserve">trategy to deal with the </w:t>
      </w:r>
      <w:r w:rsidR="000507A8">
        <w:rPr>
          <w:rFonts w:ascii="Arial" w:hAnsi="Arial" w:cs="Arial"/>
        </w:rPr>
        <w:t>Efwon Group issues</w:t>
      </w:r>
      <w:r w:rsidR="005B6E6F">
        <w:rPr>
          <w:rFonts w:ascii="Arial" w:hAnsi="Arial" w:cs="Arial"/>
        </w:rPr>
        <w:t>.</w:t>
      </w:r>
    </w:p>
    <w:p w14:paraId="114BC970" w14:textId="596F4F64" w:rsidR="007205D3" w:rsidRPr="005D13E6" w:rsidRDefault="007205D3" w:rsidP="005D6B3B">
      <w:pPr>
        <w:spacing w:after="240" w:line="360" w:lineRule="auto"/>
        <w:jc w:val="both"/>
        <w:rPr>
          <w:rFonts w:ascii="Arial" w:hAnsi="Arial" w:cs="Arial"/>
        </w:rPr>
      </w:pPr>
      <w:r>
        <w:rPr>
          <w:rFonts w:ascii="Arial" w:hAnsi="Arial" w:cs="Arial"/>
        </w:rPr>
        <w:t xml:space="preserve">Please note that our </w:t>
      </w:r>
      <w:r w:rsidR="005B6E6F">
        <w:rPr>
          <w:rFonts w:ascii="Arial" w:hAnsi="Arial" w:cs="Arial"/>
        </w:rPr>
        <w:t xml:space="preserve">-proposals </w:t>
      </w:r>
      <w:r>
        <w:rPr>
          <w:rFonts w:ascii="Arial" w:hAnsi="Arial" w:cs="Arial"/>
        </w:rPr>
        <w:t>are based on the accuracy of the information supplied to us, and on various assumptions, including the assumption that all relevant and important information was provided.</w:t>
      </w:r>
      <w:r w:rsidR="00E94C00">
        <w:rPr>
          <w:rFonts w:ascii="Arial" w:hAnsi="Arial" w:cs="Arial"/>
        </w:rPr>
        <w:t xml:space="preserve"> Therefore, all suggestions are preliminary at this stage, and are provided for further discussion.</w:t>
      </w:r>
    </w:p>
    <w:p w14:paraId="7C88E40B" w14:textId="05EB4BFB" w:rsidR="00E94C00" w:rsidRDefault="007205D3" w:rsidP="005D6B3B">
      <w:pPr>
        <w:spacing w:after="240" w:line="360" w:lineRule="auto"/>
        <w:jc w:val="both"/>
        <w:rPr>
          <w:rFonts w:ascii="Arial" w:hAnsi="Arial" w:cs="Arial"/>
        </w:rPr>
      </w:pPr>
      <w:r>
        <w:rPr>
          <w:rFonts w:ascii="Arial" w:hAnsi="Arial" w:cs="Arial"/>
        </w:rPr>
        <w:t xml:space="preserve">We have provided you with </w:t>
      </w:r>
      <w:r w:rsidR="005B6E6F">
        <w:rPr>
          <w:rFonts w:ascii="Arial" w:hAnsi="Arial" w:cs="Arial"/>
        </w:rPr>
        <w:t>a proposed strategy</w:t>
      </w:r>
      <w:r>
        <w:rPr>
          <w:rFonts w:ascii="Arial" w:hAnsi="Arial" w:cs="Arial"/>
        </w:rPr>
        <w:t xml:space="preserve"> solution that we believe </w:t>
      </w:r>
      <w:r w:rsidR="00B833E5">
        <w:rPr>
          <w:rFonts w:ascii="Arial" w:hAnsi="Arial" w:cs="Arial"/>
        </w:rPr>
        <w:t>is</w:t>
      </w:r>
      <w:r>
        <w:rPr>
          <w:rFonts w:ascii="Arial" w:hAnsi="Arial" w:cs="Arial"/>
        </w:rPr>
        <w:t xml:space="preserve"> practical and </w:t>
      </w:r>
      <w:r w:rsidR="00B833E5">
        <w:rPr>
          <w:rFonts w:ascii="Arial" w:hAnsi="Arial" w:cs="Arial"/>
        </w:rPr>
        <w:t>seeks</w:t>
      </w:r>
      <w:r>
        <w:rPr>
          <w:rFonts w:ascii="Arial" w:hAnsi="Arial" w:cs="Arial"/>
        </w:rPr>
        <w:t xml:space="preserve"> to achieve </w:t>
      </w:r>
      <w:r w:rsidR="00781407">
        <w:rPr>
          <w:rFonts w:ascii="Arial" w:hAnsi="Arial" w:cs="Arial"/>
        </w:rPr>
        <w:t xml:space="preserve">your </w:t>
      </w:r>
      <w:r w:rsidR="000507A8">
        <w:rPr>
          <w:rFonts w:ascii="Arial" w:hAnsi="Arial" w:cs="Arial"/>
        </w:rPr>
        <w:t>objectives in the required</w:t>
      </w:r>
      <w:r w:rsidR="00E94C00">
        <w:rPr>
          <w:rFonts w:ascii="Arial" w:hAnsi="Arial" w:cs="Arial"/>
        </w:rPr>
        <w:t xml:space="preserve"> time</w:t>
      </w:r>
      <w:r w:rsidR="00781407">
        <w:rPr>
          <w:rFonts w:ascii="Arial" w:hAnsi="Arial" w:cs="Arial"/>
        </w:rPr>
        <w:t xml:space="preserve"> </w:t>
      </w:r>
      <w:r w:rsidR="00E94C00">
        <w:rPr>
          <w:rFonts w:ascii="Arial" w:hAnsi="Arial" w:cs="Arial"/>
        </w:rPr>
        <w:t>frame</w:t>
      </w:r>
      <w:r>
        <w:rPr>
          <w:rFonts w:ascii="Arial" w:hAnsi="Arial" w:cs="Arial"/>
        </w:rPr>
        <w:t>.</w:t>
      </w:r>
      <w:r w:rsidR="00E94C00">
        <w:rPr>
          <w:rFonts w:ascii="Arial" w:hAnsi="Arial" w:cs="Arial"/>
        </w:rPr>
        <w:t xml:space="preserve"> We note that some matters you brought to our attention are urgent, while others are still in the developmental stage.</w:t>
      </w:r>
    </w:p>
    <w:p w14:paraId="10C97762" w14:textId="2ECE8FE3" w:rsidR="005D13E6" w:rsidRDefault="00E94C00" w:rsidP="005D6B3B">
      <w:pPr>
        <w:spacing w:after="240" w:line="360" w:lineRule="auto"/>
        <w:jc w:val="both"/>
        <w:rPr>
          <w:rFonts w:ascii="Arial" w:hAnsi="Arial" w:cs="Arial"/>
        </w:rPr>
      </w:pPr>
      <w:r>
        <w:rPr>
          <w:rFonts w:ascii="Arial" w:hAnsi="Arial" w:cs="Arial"/>
        </w:rPr>
        <w:t xml:space="preserve">After </w:t>
      </w:r>
      <w:r w:rsidR="00D42164">
        <w:rPr>
          <w:rFonts w:ascii="Arial" w:hAnsi="Arial" w:cs="Arial"/>
        </w:rPr>
        <w:t>reviewing</w:t>
      </w:r>
      <w:r>
        <w:rPr>
          <w:rFonts w:ascii="Arial" w:hAnsi="Arial" w:cs="Arial"/>
        </w:rPr>
        <w:t xml:space="preserve"> our Report, p</w:t>
      </w:r>
      <w:r w:rsidR="007205D3">
        <w:rPr>
          <w:rFonts w:ascii="Arial" w:hAnsi="Arial" w:cs="Arial"/>
        </w:rPr>
        <w:t xml:space="preserve">lease contact us if you have any questions or seek </w:t>
      </w:r>
      <w:r w:rsidR="00781407">
        <w:rPr>
          <w:rFonts w:ascii="Arial" w:hAnsi="Arial" w:cs="Arial"/>
        </w:rPr>
        <w:t>further clarification</w:t>
      </w:r>
      <w:r w:rsidR="007205D3">
        <w:rPr>
          <w:rFonts w:ascii="Arial" w:hAnsi="Arial" w:cs="Arial"/>
        </w:rPr>
        <w:t>.</w:t>
      </w:r>
      <w:r>
        <w:rPr>
          <w:rFonts w:ascii="Arial" w:hAnsi="Arial" w:cs="Arial"/>
        </w:rPr>
        <w:t xml:space="preserve"> As a disclaimer, the advice suggested is not intended as legal advice but only </w:t>
      </w:r>
      <w:r w:rsidR="00781407">
        <w:rPr>
          <w:rFonts w:ascii="Arial" w:hAnsi="Arial" w:cs="Arial"/>
        </w:rPr>
        <w:t xml:space="preserve">strategic suggestions </w:t>
      </w:r>
      <w:r>
        <w:rPr>
          <w:rFonts w:ascii="Arial" w:hAnsi="Arial" w:cs="Arial"/>
        </w:rPr>
        <w:t xml:space="preserve">to begin a </w:t>
      </w:r>
      <w:r w:rsidR="00781407">
        <w:rPr>
          <w:rFonts w:ascii="Arial" w:hAnsi="Arial" w:cs="Arial"/>
        </w:rPr>
        <w:t xml:space="preserve">more detailed </w:t>
      </w:r>
      <w:r>
        <w:rPr>
          <w:rFonts w:ascii="Arial" w:hAnsi="Arial" w:cs="Arial"/>
        </w:rPr>
        <w:t xml:space="preserve">discussion. </w:t>
      </w:r>
    </w:p>
    <w:p w14:paraId="5ACD4987" w14:textId="51E88A60" w:rsidR="007205D3" w:rsidRDefault="007205D3" w:rsidP="005D6B3B">
      <w:pPr>
        <w:spacing w:after="240" w:line="360" w:lineRule="auto"/>
        <w:jc w:val="both"/>
        <w:rPr>
          <w:rFonts w:ascii="Arial" w:hAnsi="Arial" w:cs="Arial"/>
        </w:rPr>
      </w:pPr>
      <w:r>
        <w:rPr>
          <w:rFonts w:ascii="Arial" w:hAnsi="Arial" w:cs="Arial"/>
        </w:rPr>
        <w:t>With professional regards,</w:t>
      </w:r>
    </w:p>
    <w:p w14:paraId="70F2D517" w14:textId="508E921E" w:rsidR="007205D3" w:rsidRDefault="003B507D" w:rsidP="005D13E6">
      <w:pPr>
        <w:spacing w:after="240"/>
        <w:jc w:val="both"/>
        <w:rPr>
          <w:rFonts w:ascii="Arial" w:hAnsi="Arial" w:cs="Arial"/>
        </w:rPr>
      </w:pPr>
      <w:r w:rsidRPr="007B15BD">
        <w:rPr>
          <w:b/>
          <w:noProof/>
        </w:rPr>
        <w:drawing>
          <wp:inline distT="0" distB="0" distL="0" distR="0" wp14:anchorId="0508B6EF" wp14:editId="64A24AAF">
            <wp:extent cx="1578359" cy="635898"/>
            <wp:effectExtent l="0" t="0" r="3175" b="0"/>
            <wp:docPr id="34083118" name="Picture 2" descr="C:\Users\Philip C. Galanis\Documents\My Scans\scan000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 C. Galanis\Documents\My Scans\scan0001\img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6759" cy="643311"/>
                    </a:xfrm>
                    <a:prstGeom prst="rect">
                      <a:avLst/>
                    </a:prstGeom>
                    <a:noFill/>
                    <a:ln>
                      <a:noFill/>
                    </a:ln>
                  </pic:spPr>
                </pic:pic>
              </a:graphicData>
            </a:graphic>
          </wp:inline>
        </w:drawing>
      </w:r>
    </w:p>
    <w:p w14:paraId="424B02C3" w14:textId="2DD2314D" w:rsidR="007205D3" w:rsidRDefault="007205D3" w:rsidP="007205D3">
      <w:pPr>
        <w:spacing w:after="0" w:line="240" w:lineRule="auto"/>
        <w:jc w:val="both"/>
        <w:rPr>
          <w:rFonts w:ascii="Arial" w:hAnsi="Arial" w:cs="Arial"/>
        </w:rPr>
      </w:pPr>
      <w:r>
        <w:rPr>
          <w:rFonts w:ascii="Arial" w:hAnsi="Arial" w:cs="Arial"/>
        </w:rPr>
        <w:t>John S. Bain</w:t>
      </w:r>
    </w:p>
    <w:p w14:paraId="44D07CB2" w14:textId="5EF37AF4" w:rsidR="007205D3" w:rsidRDefault="007205D3" w:rsidP="007205D3">
      <w:pPr>
        <w:spacing w:after="0" w:line="240" w:lineRule="auto"/>
        <w:jc w:val="both"/>
        <w:rPr>
          <w:rFonts w:ascii="Arial" w:hAnsi="Arial" w:cs="Arial"/>
          <w:b/>
          <w:bCs/>
        </w:rPr>
      </w:pPr>
      <w:r w:rsidRPr="007205D3">
        <w:rPr>
          <w:rFonts w:ascii="Arial" w:hAnsi="Arial" w:cs="Arial"/>
          <w:b/>
          <w:bCs/>
        </w:rPr>
        <w:t>ABC &amp; ASSOCIATES</w:t>
      </w:r>
    </w:p>
    <w:p w14:paraId="4D81468C" w14:textId="77777777" w:rsidR="005D6B3B" w:rsidRDefault="005D6B3B" w:rsidP="007205D3">
      <w:pPr>
        <w:spacing w:after="0" w:line="240" w:lineRule="auto"/>
        <w:jc w:val="both"/>
        <w:rPr>
          <w:rFonts w:ascii="Arial" w:hAnsi="Arial" w:cs="Arial"/>
          <w:b/>
          <w:bCs/>
        </w:rPr>
        <w:sectPr w:rsidR="005D6B3B" w:rsidSect="005D6B3B">
          <w:headerReference w:type="default" r:id="rId11"/>
          <w:footerReference w:type="default" r:id="rId12"/>
          <w:pgSz w:w="11906" w:h="16838" w:code="9"/>
          <w:pgMar w:top="1418" w:right="1418" w:bottom="1418" w:left="1418" w:header="227" w:footer="737" w:gutter="0"/>
          <w:pgNumType w:start="1"/>
          <w:cols w:space="720"/>
          <w:docGrid w:linePitch="360"/>
        </w:sectPr>
      </w:pPr>
    </w:p>
    <w:sdt>
      <w:sdtPr>
        <w:rPr>
          <w:rFonts w:asciiTheme="minorHAnsi" w:eastAsiaTheme="minorHAnsi" w:hAnsiTheme="minorHAnsi" w:cstheme="minorBidi"/>
          <w:color w:val="auto"/>
          <w:kern w:val="2"/>
          <w:sz w:val="22"/>
          <w:szCs w:val="22"/>
          <w14:ligatures w14:val="standardContextual"/>
        </w:rPr>
        <w:id w:val="-679817442"/>
        <w:docPartObj>
          <w:docPartGallery w:val="Table of Contents"/>
          <w:docPartUnique/>
        </w:docPartObj>
      </w:sdtPr>
      <w:sdtEndPr>
        <w:rPr>
          <w:rFonts w:ascii="Arial" w:hAnsi="Arial" w:cs="Arial"/>
          <w:noProof/>
        </w:rPr>
      </w:sdtEndPr>
      <w:sdtContent>
        <w:p w14:paraId="0FF37222" w14:textId="7225FD06" w:rsidR="009E3B33" w:rsidRPr="00167AE9" w:rsidRDefault="009E3B33" w:rsidP="00167AE9">
          <w:pPr>
            <w:pStyle w:val="TOCHeading"/>
            <w:spacing w:after="240"/>
            <w:jc w:val="center"/>
            <w:rPr>
              <w:rFonts w:ascii="Arial" w:hAnsi="Arial" w:cs="Arial"/>
              <w:color w:val="auto"/>
            </w:rPr>
          </w:pPr>
          <w:r w:rsidRPr="00167AE9">
            <w:rPr>
              <w:rFonts w:ascii="Arial" w:hAnsi="Arial" w:cs="Arial"/>
              <w:color w:val="auto"/>
            </w:rPr>
            <w:t>Table of Contents</w:t>
          </w:r>
        </w:p>
        <w:p w14:paraId="0AAE1EDE" w14:textId="17DA4ADD" w:rsidR="006257ED" w:rsidRPr="006257ED" w:rsidRDefault="009E3B33" w:rsidP="006257ED">
          <w:pPr>
            <w:pStyle w:val="TOC1"/>
            <w:tabs>
              <w:tab w:val="right" w:leader="dot" w:pos="9060"/>
            </w:tabs>
            <w:spacing w:line="480" w:lineRule="auto"/>
            <w:rPr>
              <w:rFonts w:ascii="Arial" w:eastAsiaTheme="minorEastAsia" w:hAnsi="Arial" w:cs="Arial"/>
              <w:noProof/>
            </w:rPr>
          </w:pPr>
          <w:r w:rsidRPr="00F573CA">
            <w:rPr>
              <w:rFonts w:ascii="Arial" w:hAnsi="Arial" w:cs="Arial"/>
            </w:rPr>
            <w:fldChar w:fldCharType="begin"/>
          </w:r>
          <w:r w:rsidRPr="00F573CA">
            <w:rPr>
              <w:rFonts w:ascii="Arial" w:hAnsi="Arial" w:cs="Arial"/>
            </w:rPr>
            <w:instrText xml:space="preserve"> TOC \o "1-3" \h \z \u </w:instrText>
          </w:r>
          <w:r w:rsidRPr="00F573CA">
            <w:rPr>
              <w:rFonts w:ascii="Arial" w:hAnsi="Arial" w:cs="Arial"/>
            </w:rPr>
            <w:fldChar w:fldCharType="separate"/>
          </w:r>
          <w:hyperlink w:anchor="_Toc142153284" w:history="1">
            <w:r w:rsidR="006257ED" w:rsidRPr="006257ED">
              <w:rPr>
                <w:rStyle w:val="Hyperlink"/>
                <w:rFonts w:ascii="Arial" w:hAnsi="Arial" w:cs="Arial"/>
                <w:noProof/>
              </w:rPr>
              <w:t>Advice to Mr. Benedict Maximov</w:t>
            </w:r>
            <w:r w:rsidR="006257ED" w:rsidRPr="006257ED">
              <w:rPr>
                <w:rFonts w:ascii="Arial" w:hAnsi="Arial" w:cs="Arial"/>
                <w:noProof/>
                <w:webHidden/>
              </w:rPr>
              <w:tab/>
            </w:r>
            <w:r w:rsidR="006257ED" w:rsidRPr="006257ED">
              <w:rPr>
                <w:rFonts w:ascii="Arial" w:hAnsi="Arial" w:cs="Arial"/>
                <w:noProof/>
                <w:webHidden/>
              </w:rPr>
              <w:fldChar w:fldCharType="begin"/>
            </w:r>
            <w:r w:rsidR="006257ED" w:rsidRPr="006257ED">
              <w:rPr>
                <w:rFonts w:ascii="Arial" w:hAnsi="Arial" w:cs="Arial"/>
                <w:noProof/>
                <w:webHidden/>
              </w:rPr>
              <w:instrText xml:space="preserve"> PAGEREF _Toc142153284 \h </w:instrText>
            </w:r>
            <w:r w:rsidR="006257ED" w:rsidRPr="006257ED">
              <w:rPr>
                <w:rFonts w:ascii="Arial" w:hAnsi="Arial" w:cs="Arial"/>
                <w:noProof/>
                <w:webHidden/>
              </w:rPr>
            </w:r>
            <w:r w:rsidR="006257ED" w:rsidRPr="006257ED">
              <w:rPr>
                <w:rFonts w:ascii="Arial" w:hAnsi="Arial" w:cs="Arial"/>
                <w:noProof/>
                <w:webHidden/>
              </w:rPr>
              <w:fldChar w:fldCharType="separate"/>
            </w:r>
            <w:r w:rsidR="006257ED" w:rsidRPr="006257ED">
              <w:rPr>
                <w:rFonts w:ascii="Arial" w:hAnsi="Arial" w:cs="Arial"/>
                <w:noProof/>
                <w:webHidden/>
              </w:rPr>
              <w:t>3</w:t>
            </w:r>
            <w:r w:rsidR="006257ED" w:rsidRPr="006257ED">
              <w:rPr>
                <w:rFonts w:ascii="Arial" w:hAnsi="Arial" w:cs="Arial"/>
                <w:noProof/>
                <w:webHidden/>
              </w:rPr>
              <w:fldChar w:fldCharType="end"/>
            </w:r>
          </w:hyperlink>
        </w:p>
        <w:p w14:paraId="54E2E205" w14:textId="4130BCE4" w:rsidR="006257ED" w:rsidRPr="006257ED" w:rsidRDefault="006257ED" w:rsidP="006257ED">
          <w:pPr>
            <w:pStyle w:val="TOC1"/>
            <w:tabs>
              <w:tab w:val="right" w:leader="dot" w:pos="9060"/>
            </w:tabs>
            <w:spacing w:line="480" w:lineRule="auto"/>
            <w:rPr>
              <w:rFonts w:ascii="Arial" w:eastAsiaTheme="minorEastAsia" w:hAnsi="Arial" w:cs="Arial"/>
              <w:noProof/>
            </w:rPr>
          </w:pPr>
          <w:hyperlink w:anchor="_Toc142153285" w:history="1">
            <w:r w:rsidRPr="006257ED">
              <w:rPr>
                <w:rStyle w:val="Hyperlink"/>
                <w:rFonts w:ascii="Arial" w:hAnsi="Arial" w:cs="Arial"/>
                <w:noProof/>
              </w:rPr>
              <w:t>Introduction</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_Toc142153285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3</w:t>
            </w:r>
            <w:r w:rsidRPr="006257ED">
              <w:rPr>
                <w:rFonts w:ascii="Arial" w:hAnsi="Arial" w:cs="Arial"/>
                <w:noProof/>
                <w:webHidden/>
              </w:rPr>
              <w:fldChar w:fldCharType="end"/>
            </w:r>
          </w:hyperlink>
        </w:p>
        <w:p w14:paraId="1F05BC93" w14:textId="6BEDA59E" w:rsidR="006257ED" w:rsidRPr="006257ED" w:rsidRDefault="006257ED" w:rsidP="006257ED">
          <w:pPr>
            <w:pStyle w:val="TOC2"/>
            <w:tabs>
              <w:tab w:val="left" w:pos="660"/>
              <w:tab w:val="right" w:leader="dot" w:pos="9060"/>
            </w:tabs>
            <w:spacing w:line="480" w:lineRule="auto"/>
            <w:rPr>
              <w:rFonts w:ascii="Arial" w:eastAsiaTheme="minorEastAsia" w:hAnsi="Arial" w:cs="Arial"/>
              <w:noProof/>
            </w:rPr>
          </w:pPr>
          <w:hyperlink w:anchor="_Toc142153286" w:history="1">
            <w:r w:rsidRPr="006257ED">
              <w:rPr>
                <w:rStyle w:val="Hyperlink"/>
                <w:rFonts w:ascii="Arial" w:hAnsi="Arial" w:cs="Arial"/>
                <w:noProof/>
              </w:rPr>
              <w:t>a.</w:t>
            </w:r>
            <w:r w:rsidRPr="006257ED">
              <w:rPr>
                <w:rFonts w:ascii="Arial" w:eastAsiaTheme="minorEastAsia" w:hAnsi="Arial" w:cs="Arial"/>
                <w:noProof/>
              </w:rPr>
              <w:tab/>
            </w:r>
            <w:r w:rsidRPr="006257ED">
              <w:rPr>
                <w:rStyle w:val="Hyperlink"/>
                <w:rFonts w:ascii="Arial" w:hAnsi="Arial" w:cs="Arial"/>
                <w:noProof/>
              </w:rPr>
              <w:t>Proposed Strategy for Dealing with the Group</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_Toc142153286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5</w:t>
            </w:r>
            <w:r w:rsidRPr="006257ED">
              <w:rPr>
                <w:rFonts w:ascii="Arial" w:hAnsi="Arial" w:cs="Arial"/>
                <w:noProof/>
                <w:webHidden/>
              </w:rPr>
              <w:fldChar w:fldCharType="end"/>
            </w:r>
          </w:hyperlink>
        </w:p>
        <w:p w14:paraId="3A201650" w14:textId="4A401A08" w:rsidR="006257ED" w:rsidRPr="006257ED" w:rsidRDefault="006257ED" w:rsidP="006257ED">
          <w:pPr>
            <w:pStyle w:val="TOC2"/>
            <w:tabs>
              <w:tab w:val="left" w:pos="660"/>
              <w:tab w:val="right" w:leader="dot" w:pos="9060"/>
            </w:tabs>
            <w:spacing w:line="480" w:lineRule="auto"/>
            <w:rPr>
              <w:rFonts w:ascii="Arial" w:eastAsiaTheme="minorEastAsia" w:hAnsi="Arial" w:cs="Arial"/>
              <w:noProof/>
            </w:rPr>
          </w:pPr>
          <w:hyperlink w:anchor="_Toc142153287" w:history="1">
            <w:r w:rsidRPr="006257ED">
              <w:rPr>
                <w:rStyle w:val="Hyperlink"/>
                <w:rFonts w:ascii="Arial" w:hAnsi="Arial" w:cs="Arial"/>
                <w:noProof/>
              </w:rPr>
              <w:t>b.</w:t>
            </w:r>
            <w:r w:rsidRPr="006257ED">
              <w:rPr>
                <w:rFonts w:ascii="Arial" w:eastAsiaTheme="minorEastAsia" w:hAnsi="Arial" w:cs="Arial"/>
                <w:noProof/>
              </w:rPr>
              <w:tab/>
            </w:r>
            <w:r w:rsidRPr="006257ED">
              <w:rPr>
                <w:rStyle w:val="Hyperlink"/>
                <w:rFonts w:ascii="Arial" w:hAnsi="Arial" w:cs="Arial"/>
                <w:noProof/>
              </w:rPr>
              <w:t>Insolvency Proceedings</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_Toc142153287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10</w:t>
            </w:r>
            <w:r w:rsidRPr="006257ED">
              <w:rPr>
                <w:rFonts w:ascii="Arial" w:hAnsi="Arial" w:cs="Arial"/>
                <w:noProof/>
                <w:webHidden/>
              </w:rPr>
              <w:fldChar w:fldCharType="end"/>
            </w:r>
          </w:hyperlink>
        </w:p>
        <w:p w14:paraId="7C04DCC4" w14:textId="166544B0" w:rsidR="006257ED" w:rsidRPr="006257ED" w:rsidRDefault="006257ED" w:rsidP="006257ED">
          <w:pPr>
            <w:pStyle w:val="TOC2"/>
            <w:tabs>
              <w:tab w:val="left" w:pos="660"/>
              <w:tab w:val="right" w:leader="dot" w:pos="9060"/>
            </w:tabs>
            <w:spacing w:line="480" w:lineRule="auto"/>
            <w:rPr>
              <w:rFonts w:ascii="Arial" w:eastAsiaTheme="minorEastAsia" w:hAnsi="Arial" w:cs="Arial"/>
              <w:noProof/>
            </w:rPr>
          </w:pPr>
          <w:hyperlink w:anchor="_Toc142153288" w:history="1">
            <w:r w:rsidRPr="006257ED">
              <w:rPr>
                <w:rStyle w:val="Hyperlink"/>
                <w:rFonts w:ascii="Arial" w:hAnsi="Arial" w:cs="Arial"/>
                <w:noProof/>
              </w:rPr>
              <w:t>c.</w:t>
            </w:r>
            <w:r w:rsidRPr="006257ED">
              <w:rPr>
                <w:rFonts w:ascii="Arial" w:eastAsiaTheme="minorEastAsia" w:hAnsi="Arial" w:cs="Arial"/>
                <w:noProof/>
              </w:rPr>
              <w:tab/>
            </w:r>
            <w:r w:rsidRPr="006257ED">
              <w:rPr>
                <w:rStyle w:val="Hyperlink"/>
                <w:rFonts w:ascii="Arial" w:hAnsi="Arial" w:cs="Arial"/>
                <w:noProof/>
              </w:rPr>
              <w:t>Jurisdictional Considerations</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_Toc142153288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11</w:t>
            </w:r>
            <w:r w:rsidRPr="006257ED">
              <w:rPr>
                <w:rFonts w:ascii="Arial" w:hAnsi="Arial" w:cs="Arial"/>
                <w:noProof/>
                <w:webHidden/>
              </w:rPr>
              <w:fldChar w:fldCharType="end"/>
            </w:r>
          </w:hyperlink>
        </w:p>
        <w:p w14:paraId="61964602" w14:textId="13AD384A" w:rsidR="006257ED" w:rsidRPr="006257ED" w:rsidRDefault="006257ED" w:rsidP="006257ED">
          <w:pPr>
            <w:pStyle w:val="TOC2"/>
            <w:tabs>
              <w:tab w:val="left" w:pos="660"/>
              <w:tab w:val="right" w:leader="dot" w:pos="9060"/>
            </w:tabs>
            <w:spacing w:line="480" w:lineRule="auto"/>
            <w:rPr>
              <w:rFonts w:ascii="Arial" w:eastAsiaTheme="minorEastAsia" w:hAnsi="Arial" w:cs="Arial"/>
              <w:noProof/>
            </w:rPr>
          </w:pPr>
          <w:hyperlink w:anchor="_Toc142153289" w:history="1">
            <w:r w:rsidRPr="006257ED">
              <w:rPr>
                <w:rStyle w:val="Hyperlink"/>
                <w:rFonts w:ascii="Arial" w:hAnsi="Arial" w:cs="Arial"/>
                <w:noProof/>
              </w:rPr>
              <w:t>d.</w:t>
            </w:r>
            <w:r w:rsidRPr="006257ED">
              <w:rPr>
                <w:rFonts w:ascii="Arial" w:eastAsiaTheme="minorEastAsia" w:hAnsi="Arial" w:cs="Arial"/>
                <w:noProof/>
              </w:rPr>
              <w:tab/>
            </w:r>
            <w:r w:rsidRPr="006257ED">
              <w:rPr>
                <w:rStyle w:val="Hyperlink"/>
                <w:rFonts w:ascii="Arial" w:hAnsi="Arial" w:cs="Arial"/>
                <w:noProof/>
              </w:rPr>
              <w:t>Impediments to Proceedings</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_Toc142153289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12</w:t>
            </w:r>
            <w:r w:rsidRPr="006257ED">
              <w:rPr>
                <w:rFonts w:ascii="Arial" w:hAnsi="Arial" w:cs="Arial"/>
                <w:noProof/>
                <w:webHidden/>
              </w:rPr>
              <w:fldChar w:fldCharType="end"/>
            </w:r>
          </w:hyperlink>
        </w:p>
        <w:p w14:paraId="5D08AFD7" w14:textId="7FC93212" w:rsidR="006257ED" w:rsidRPr="006257ED" w:rsidRDefault="006257ED" w:rsidP="006257ED">
          <w:pPr>
            <w:pStyle w:val="TOC2"/>
            <w:tabs>
              <w:tab w:val="left" w:pos="660"/>
              <w:tab w:val="right" w:leader="dot" w:pos="9060"/>
            </w:tabs>
            <w:spacing w:line="480" w:lineRule="auto"/>
            <w:rPr>
              <w:rFonts w:ascii="Arial" w:eastAsiaTheme="minorEastAsia" w:hAnsi="Arial" w:cs="Arial"/>
              <w:noProof/>
            </w:rPr>
          </w:pPr>
          <w:hyperlink w:anchor="_Toc142153290" w:history="1">
            <w:r w:rsidRPr="006257ED">
              <w:rPr>
                <w:rStyle w:val="Hyperlink"/>
                <w:rFonts w:ascii="Arial" w:hAnsi="Arial" w:cs="Arial"/>
                <w:noProof/>
              </w:rPr>
              <w:t>e.</w:t>
            </w:r>
            <w:r w:rsidRPr="006257ED">
              <w:rPr>
                <w:rFonts w:ascii="Arial" w:eastAsiaTheme="minorEastAsia" w:hAnsi="Arial" w:cs="Arial"/>
                <w:noProof/>
              </w:rPr>
              <w:tab/>
            </w:r>
            <w:r w:rsidRPr="006257ED">
              <w:rPr>
                <w:rStyle w:val="Hyperlink"/>
                <w:rFonts w:ascii="Arial" w:hAnsi="Arial" w:cs="Arial"/>
                <w:noProof/>
              </w:rPr>
              <w:t>Advantages and Disadvantages of Proposed Proceedings</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_Toc142153290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13</w:t>
            </w:r>
            <w:r w:rsidRPr="006257ED">
              <w:rPr>
                <w:rFonts w:ascii="Arial" w:hAnsi="Arial" w:cs="Arial"/>
                <w:noProof/>
                <w:webHidden/>
              </w:rPr>
              <w:fldChar w:fldCharType="end"/>
            </w:r>
          </w:hyperlink>
        </w:p>
        <w:p w14:paraId="314EA146" w14:textId="5B1CA877" w:rsidR="006257ED" w:rsidRPr="006257ED" w:rsidRDefault="006257ED" w:rsidP="006257ED">
          <w:pPr>
            <w:pStyle w:val="TOC2"/>
            <w:tabs>
              <w:tab w:val="left" w:pos="660"/>
              <w:tab w:val="right" w:leader="dot" w:pos="9060"/>
            </w:tabs>
            <w:spacing w:line="480" w:lineRule="auto"/>
            <w:rPr>
              <w:rFonts w:ascii="Arial" w:eastAsiaTheme="minorEastAsia" w:hAnsi="Arial" w:cs="Arial"/>
              <w:noProof/>
            </w:rPr>
          </w:pPr>
          <w:hyperlink w:anchor="_Toc142153291" w:history="1">
            <w:r w:rsidRPr="006257ED">
              <w:rPr>
                <w:rStyle w:val="Hyperlink"/>
                <w:rFonts w:ascii="Arial" w:hAnsi="Arial" w:cs="Arial"/>
                <w:noProof/>
              </w:rPr>
              <w:t>f.</w:t>
            </w:r>
            <w:r w:rsidRPr="006257ED">
              <w:rPr>
                <w:rFonts w:ascii="Arial" w:eastAsiaTheme="minorEastAsia" w:hAnsi="Arial" w:cs="Arial"/>
                <w:noProof/>
              </w:rPr>
              <w:tab/>
            </w:r>
            <w:r w:rsidRPr="006257ED">
              <w:rPr>
                <w:rStyle w:val="Hyperlink"/>
                <w:rFonts w:ascii="Arial" w:hAnsi="Arial" w:cs="Arial"/>
                <w:noProof/>
              </w:rPr>
              <w:t>The Determining Factors</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_Toc142153291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14</w:t>
            </w:r>
            <w:r w:rsidRPr="006257ED">
              <w:rPr>
                <w:rFonts w:ascii="Arial" w:hAnsi="Arial" w:cs="Arial"/>
                <w:noProof/>
                <w:webHidden/>
              </w:rPr>
              <w:fldChar w:fldCharType="end"/>
            </w:r>
          </w:hyperlink>
        </w:p>
        <w:p w14:paraId="308DCFED" w14:textId="44026A48" w:rsidR="006257ED" w:rsidRPr="006257ED" w:rsidRDefault="006257ED" w:rsidP="006257ED">
          <w:pPr>
            <w:pStyle w:val="TOC2"/>
            <w:tabs>
              <w:tab w:val="left" w:pos="660"/>
              <w:tab w:val="right" w:leader="dot" w:pos="9060"/>
            </w:tabs>
            <w:spacing w:line="480" w:lineRule="auto"/>
            <w:rPr>
              <w:rFonts w:ascii="Arial" w:eastAsiaTheme="minorEastAsia" w:hAnsi="Arial" w:cs="Arial"/>
              <w:noProof/>
            </w:rPr>
          </w:pPr>
          <w:hyperlink w:anchor="_Toc142153292" w:history="1">
            <w:r w:rsidRPr="006257ED">
              <w:rPr>
                <w:rStyle w:val="Hyperlink"/>
                <w:rFonts w:ascii="Arial" w:hAnsi="Arial" w:cs="Arial"/>
                <w:noProof/>
              </w:rPr>
              <w:t>g.</w:t>
            </w:r>
            <w:r w:rsidRPr="006257ED">
              <w:rPr>
                <w:rFonts w:ascii="Arial" w:eastAsiaTheme="minorEastAsia" w:hAnsi="Arial" w:cs="Arial"/>
                <w:noProof/>
              </w:rPr>
              <w:tab/>
            </w:r>
            <w:r w:rsidRPr="006257ED">
              <w:rPr>
                <w:rStyle w:val="Hyperlink"/>
                <w:rFonts w:ascii="Arial" w:hAnsi="Arial" w:cs="Arial"/>
                <w:noProof/>
              </w:rPr>
              <w:t>Additional Information</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_Toc142153292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15</w:t>
            </w:r>
            <w:r w:rsidRPr="006257ED">
              <w:rPr>
                <w:rFonts w:ascii="Arial" w:hAnsi="Arial" w:cs="Arial"/>
                <w:noProof/>
                <w:webHidden/>
              </w:rPr>
              <w:fldChar w:fldCharType="end"/>
            </w:r>
          </w:hyperlink>
        </w:p>
        <w:p w14:paraId="4B6E743D" w14:textId="3817A650" w:rsidR="006257ED" w:rsidRPr="006257ED" w:rsidRDefault="006257ED" w:rsidP="006257ED">
          <w:pPr>
            <w:pStyle w:val="TOC2"/>
            <w:tabs>
              <w:tab w:val="left" w:pos="660"/>
              <w:tab w:val="right" w:leader="dot" w:pos="9060"/>
            </w:tabs>
            <w:spacing w:line="480" w:lineRule="auto"/>
            <w:rPr>
              <w:rFonts w:ascii="Arial" w:eastAsiaTheme="minorEastAsia" w:hAnsi="Arial" w:cs="Arial"/>
              <w:noProof/>
            </w:rPr>
          </w:pPr>
          <w:hyperlink w:anchor="_Toc142153293" w:history="1">
            <w:r w:rsidRPr="006257ED">
              <w:rPr>
                <w:rStyle w:val="Hyperlink"/>
                <w:rFonts w:ascii="Arial" w:hAnsi="Arial" w:cs="Arial"/>
                <w:noProof/>
              </w:rPr>
              <w:t>h.</w:t>
            </w:r>
            <w:r w:rsidRPr="006257ED">
              <w:rPr>
                <w:rFonts w:ascii="Arial" w:eastAsiaTheme="minorEastAsia" w:hAnsi="Arial" w:cs="Arial"/>
                <w:noProof/>
              </w:rPr>
              <w:tab/>
            </w:r>
            <w:r w:rsidRPr="006257ED">
              <w:rPr>
                <w:rStyle w:val="Hyperlink"/>
                <w:rFonts w:ascii="Arial" w:hAnsi="Arial" w:cs="Arial"/>
                <w:noProof/>
              </w:rPr>
              <w:t>Application of European Insolvency Regulation and UNCITRAL Model Law</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_Toc142153293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16</w:t>
            </w:r>
            <w:r w:rsidRPr="006257ED">
              <w:rPr>
                <w:rFonts w:ascii="Arial" w:hAnsi="Arial" w:cs="Arial"/>
                <w:noProof/>
                <w:webHidden/>
              </w:rPr>
              <w:fldChar w:fldCharType="end"/>
            </w:r>
          </w:hyperlink>
        </w:p>
        <w:p w14:paraId="676E2A64" w14:textId="45E55286" w:rsidR="006257ED" w:rsidRPr="006257ED" w:rsidRDefault="006257ED" w:rsidP="006257ED">
          <w:pPr>
            <w:pStyle w:val="TOC2"/>
            <w:tabs>
              <w:tab w:val="left" w:pos="660"/>
              <w:tab w:val="right" w:leader="dot" w:pos="9060"/>
            </w:tabs>
            <w:spacing w:line="480" w:lineRule="auto"/>
            <w:rPr>
              <w:rFonts w:ascii="Arial" w:eastAsiaTheme="minorEastAsia" w:hAnsi="Arial" w:cs="Arial"/>
              <w:noProof/>
            </w:rPr>
          </w:pPr>
          <w:hyperlink w:anchor="_Toc142153294" w:history="1">
            <w:r w:rsidRPr="006257ED">
              <w:rPr>
                <w:rStyle w:val="Hyperlink"/>
                <w:rFonts w:ascii="Arial" w:hAnsi="Arial" w:cs="Arial"/>
                <w:noProof/>
              </w:rPr>
              <w:t>i.</w:t>
            </w:r>
            <w:r w:rsidRPr="006257ED">
              <w:rPr>
                <w:rFonts w:ascii="Arial" w:eastAsiaTheme="minorEastAsia" w:hAnsi="Arial" w:cs="Arial"/>
                <w:noProof/>
              </w:rPr>
              <w:tab/>
            </w:r>
            <w:r w:rsidRPr="006257ED">
              <w:rPr>
                <w:rStyle w:val="Hyperlink"/>
                <w:rFonts w:ascii="Arial" w:hAnsi="Arial" w:cs="Arial"/>
                <w:noProof/>
              </w:rPr>
              <w:t>Impact of Brexit</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_Toc142153294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16</w:t>
            </w:r>
            <w:r w:rsidRPr="006257ED">
              <w:rPr>
                <w:rFonts w:ascii="Arial" w:hAnsi="Arial" w:cs="Arial"/>
                <w:noProof/>
                <w:webHidden/>
              </w:rPr>
              <w:fldChar w:fldCharType="end"/>
            </w:r>
          </w:hyperlink>
        </w:p>
        <w:p w14:paraId="085D1D31" w14:textId="4390586F" w:rsidR="006257ED" w:rsidRPr="006257ED" w:rsidRDefault="006257ED" w:rsidP="006257ED">
          <w:pPr>
            <w:pStyle w:val="TOC2"/>
            <w:tabs>
              <w:tab w:val="left" w:pos="660"/>
              <w:tab w:val="right" w:leader="dot" w:pos="9060"/>
            </w:tabs>
            <w:spacing w:line="480" w:lineRule="auto"/>
            <w:rPr>
              <w:rFonts w:ascii="Arial" w:eastAsiaTheme="minorEastAsia" w:hAnsi="Arial" w:cs="Arial"/>
              <w:noProof/>
            </w:rPr>
          </w:pPr>
          <w:hyperlink w:anchor="_Toc142153295" w:history="1">
            <w:r w:rsidRPr="006257ED">
              <w:rPr>
                <w:rStyle w:val="Hyperlink"/>
                <w:rFonts w:ascii="Arial" w:hAnsi="Arial" w:cs="Arial"/>
                <w:noProof/>
              </w:rPr>
              <w:t>j.</w:t>
            </w:r>
            <w:r w:rsidRPr="006257ED">
              <w:rPr>
                <w:rFonts w:ascii="Arial" w:eastAsiaTheme="minorEastAsia" w:hAnsi="Arial" w:cs="Arial"/>
                <w:noProof/>
              </w:rPr>
              <w:tab/>
            </w:r>
            <w:r w:rsidRPr="006257ED">
              <w:rPr>
                <w:rStyle w:val="Hyperlink"/>
                <w:rFonts w:ascii="Arial" w:hAnsi="Arial" w:cs="Arial"/>
                <w:noProof/>
              </w:rPr>
              <w:t>Implementation of European Directive 2019/1023</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_Toc142153295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17</w:t>
            </w:r>
            <w:r w:rsidRPr="006257ED">
              <w:rPr>
                <w:rFonts w:ascii="Arial" w:hAnsi="Arial" w:cs="Arial"/>
                <w:noProof/>
                <w:webHidden/>
              </w:rPr>
              <w:fldChar w:fldCharType="end"/>
            </w:r>
          </w:hyperlink>
        </w:p>
        <w:p w14:paraId="773592A0" w14:textId="5D51B96C" w:rsidR="006257ED" w:rsidRPr="006257ED" w:rsidRDefault="006257ED" w:rsidP="006257ED">
          <w:pPr>
            <w:pStyle w:val="TOC1"/>
            <w:tabs>
              <w:tab w:val="right" w:leader="dot" w:pos="9060"/>
            </w:tabs>
            <w:spacing w:line="480" w:lineRule="auto"/>
            <w:rPr>
              <w:rFonts w:ascii="Arial" w:eastAsiaTheme="minorEastAsia" w:hAnsi="Arial" w:cs="Arial"/>
              <w:noProof/>
            </w:rPr>
          </w:pPr>
          <w:hyperlink w:anchor="_Toc142153296" w:history="1">
            <w:r w:rsidRPr="006257ED">
              <w:rPr>
                <w:rStyle w:val="Hyperlink"/>
                <w:rFonts w:ascii="Arial" w:hAnsi="Arial" w:cs="Arial"/>
                <w:noProof/>
              </w:rPr>
              <w:t>Conclusion</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_Toc142153296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17</w:t>
            </w:r>
            <w:r w:rsidRPr="006257ED">
              <w:rPr>
                <w:rFonts w:ascii="Arial" w:hAnsi="Arial" w:cs="Arial"/>
                <w:noProof/>
                <w:webHidden/>
              </w:rPr>
              <w:fldChar w:fldCharType="end"/>
            </w:r>
          </w:hyperlink>
        </w:p>
        <w:p w14:paraId="5D46FC4F" w14:textId="267A8FA3" w:rsidR="006257ED" w:rsidRPr="006257ED" w:rsidRDefault="006257ED" w:rsidP="006257ED">
          <w:pPr>
            <w:pStyle w:val="TOC1"/>
            <w:tabs>
              <w:tab w:val="right" w:leader="dot" w:pos="9060"/>
            </w:tabs>
            <w:spacing w:line="480" w:lineRule="auto"/>
            <w:rPr>
              <w:rFonts w:ascii="Arial" w:eastAsiaTheme="minorEastAsia" w:hAnsi="Arial" w:cs="Arial"/>
              <w:noProof/>
            </w:rPr>
          </w:pPr>
          <w:hyperlink w:anchor="_Toc142153297" w:history="1">
            <w:r w:rsidRPr="006257ED">
              <w:rPr>
                <w:rStyle w:val="Hyperlink"/>
                <w:rFonts w:ascii="Arial" w:hAnsi="Arial" w:cs="Arial"/>
                <w:noProof/>
              </w:rPr>
              <w:t>APPENDICES</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_Toc142153297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19</w:t>
            </w:r>
            <w:r w:rsidRPr="006257ED">
              <w:rPr>
                <w:rFonts w:ascii="Arial" w:hAnsi="Arial" w:cs="Arial"/>
                <w:noProof/>
                <w:webHidden/>
              </w:rPr>
              <w:fldChar w:fldCharType="end"/>
            </w:r>
          </w:hyperlink>
        </w:p>
        <w:p w14:paraId="074A4A07" w14:textId="0DB99508" w:rsidR="006257ED" w:rsidRPr="006257ED" w:rsidRDefault="006257ED" w:rsidP="006257ED">
          <w:pPr>
            <w:pStyle w:val="TOC1"/>
            <w:tabs>
              <w:tab w:val="right" w:leader="dot" w:pos="9060"/>
            </w:tabs>
            <w:spacing w:line="480" w:lineRule="auto"/>
            <w:rPr>
              <w:rFonts w:ascii="Arial" w:eastAsiaTheme="minorEastAsia" w:hAnsi="Arial" w:cs="Arial"/>
              <w:noProof/>
            </w:rPr>
          </w:pPr>
          <w:hyperlink w:anchor="_Toc142153298" w:history="1">
            <w:r w:rsidRPr="006257ED">
              <w:rPr>
                <w:rStyle w:val="Hyperlink"/>
                <w:rFonts w:ascii="Arial" w:hAnsi="Arial" w:cs="Arial"/>
                <w:noProof/>
              </w:rPr>
              <w:t>APPENDIX 1 – PROPOSED STRATEGIC SOLUTION</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_Toc142153298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20</w:t>
            </w:r>
            <w:r w:rsidRPr="006257ED">
              <w:rPr>
                <w:rFonts w:ascii="Arial" w:hAnsi="Arial" w:cs="Arial"/>
                <w:noProof/>
                <w:webHidden/>
              </w:rPr>
              <w:fldChar w:fldCharType="end"/>
            </w:r>
          </w:hyperlink>
        </w:p>
        <w:p w14:paraId="4806B487" w14:textId="3FE07FA1" w:rsidR="006257ED" w:rsidRPr="006257ED" w:rsidRDefault="006257ED" w:rsidP="006257ED">
          <w:pPr>
            <w:pStyle w:val="TOC1"/>
            <w:tabs>
              <w:tab w:val="right" w:leader="dot" w:pos="9060"/>
            </w:tabs>
            <w:spacing w:line="480" w:lineRule="auto"/>
            <w:rPr>
              <w:rFonts w:ascii="Arial" w:eastAsiaTheme="minorEastAsia" w:hAnsi="Arial" w:cs="Arial"/>
              <w:noProof/>
            </w:rPr>
          </w:pPr>
          <w:hyperlink w:anchor="_Toc142153299" w:history="1">
            <w:r w:rsidRPr="006257ED">
              <w:rPr>
                <w:rStyle w:val="Hyperlink"/>
                <w:rFonts w:ascii="Arial" w:hAnsi="Arial" w:cs="Arial"/>
                <w:noProof/>
              </w:rPr>
              <w:t>APPENDIX 2 – KUANANAS DEAL</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_Toc142153299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21</w:t>
            </w:r>
            <w:r w:rsidRPr="006257ED">
              <w:rPr>
                <w:rFonts w:ascii="Arial" w:hAnsi="Arial" w:cs="Arial"/>
                <w:noProof/>
                <w:webHidden/>
              </w:rPr>
              <w:fldChar w:fldCharType="end"/>
            </w:r>
          </w:hyperlink>
        </w:p>
        <w:p w14:paraId="44486B8B" w14:textId="1CE8ACBE" w:rsidR="006257ED" w:rsidRDefault="006257ED" w:rsidP="006257ED">
          <w:pPr>
            <w:pStyle w:val="TOC1"/>
            <w:tabs>
              <w:tab w:val="right" w:leader="dot" w:pos="9060"/>
            </w:tabs>
            <w:spacing w:line="480" w:lineRule="auto"/>
            <w:rPr>
              <w:rFonts w:eastAsiaTheme="minorEastAsia"/>
              <w:noProof/>
            </w:rPr>
          </w:pPr>
          <w:hyperlink w:anchor="_Toc142153300" w:history="1">
            <w:r w:rsidRPr="006257ED">
              <w:rPr>
                <w:rStyle w:val="Hyperlink"/>
                <w:rFonts w:ascii="Arial" w:hAnsi="Arial" w:cs="Arial"/>
                <w:noProof/>
              </w:rPr>
              <w:t>Bibliography &amp; References</w:t>
            </w:r>
            <w:r w:rsidRPr="006257ED">
              <w:rPr>
                <w:rFonts w:ascii="Arial" w:hAnsi="Arial" w:cs="Arial"/>
                <w:noProof/>
                <w:webHidden/>
              </w:rPr>
              <w:tab/>
            </w:r>
            <w:r w:rsidRPr="006257ED">
              <w:rPr>
                <w:rFonts w:ascii="Arial" w:hAnsi="Arial" w:cs="Arial"/>
                <w:noProof/>
                <w:webHidden/>
              </w:rPr>
              <w:fldChar w:fldCharType="begin"/>
            </w:r>
            <w:r w:rsidRPr="006257ED">
              <w:rPr>
                <w:rFonts w:ascii="Arial" w:hAnsi="Arial" w:cs="Arial"/>
                <w:noProof/>
                <w:webHidden/>
              </w:rPr>
              <w:instrText xml:space="preserve"> PAGEREF _Toc142153300 \h </w:instrText>
            </w:r>
            <w:r w:rsidRPr="006257ED">
              <w:rPr>
                <w:rFonts w:ascii="Arial" w:hAnsi="Arial" w:cs="Arial"/>
                <w:noProof/>
                <w:webHidden/>
              </w:rPr>
            </w:r>
            <w:r w:rsidRPr="006257ED">
              <w:rPr>
                <w:rFonts w:ascii="Arial" w:hAnsi="Arial" w:cs="Arial"/>
                <w:noProof/>
                <w:webHidden/>
              </w:rPr>
              <w:fldChar w:fldCharType="separate"/>
            </w:r>
            <w:r w:rsidRPr="006257ED">
              <w:rPr>
                <w:rFonts w:ascii="Arial" w:hAnsi="Arial" w:cs="Arial"/>
                <w:noProof/>
                <w:webHidden/>
              </w:rPr>
              <w:t>22</w:t>
            </w:r>
            <w:r w:rsidRPr="006257ED">
              <w:rPr>
                <w:rFonts w:ascii="Arial" w:hAnsi="Arial" w:cs="Arial"/>
                <w:noProof/>
                <w:webHidden/>
              </w:rPr>
              <w:fldChar w:fldCharType="end"/>
            </w:r>
          </w:hyperlink>
        </w:p>
        <w:p w14:paraId="096E36A8" w14:textId="29529ECC" w:rsidR="009E3B33" w:rsidRPr="00F573CA" w:rsidRDefault="009E3B33" w:rsidP="00F573CA">
          <w:pPr>
            <w:spacing w:after="0" w:line="480" w:lineRule="auto"/>
            <w:rPr>
              <w:rFonts w:ascii="Arial" w:hAnsi="Arial" w:cs="Arial"/>
            </w:rPr>
          </w:pPr>
          <w:r w:rsidRPr="00F573CA">
            <w:rPr>
              <w:rFonts w:ascii="Arial" w:hAnsi="Arial" w:cs="Arial"/>
              <w:noProof/>
            </w:rPr>
            <w:fldChar w:fldCharType="end"/>
          </w:r>
        </w:p>
      </w:sdtContent>
    </w:sdt>
    <w:p w14:paraId="6C70F341" w14:textId="77777777" w:rsidR="00EB6400" w:rsidRDefault="00EB6400" w:rsidP="0029340C">
      <w:pPr>
        <w:jc w:val="center"/>
        <w:rPr>
          <w:rFonts w:ascii="Arial" w:hAnsi="Arial" w:cs="Arial"/>
          <w:b/>
          <w:bCs/>
          <w:u w:val="single"/>
        </w:rPr>
      </w:pPr>
    </w:p>
    <w:p w14:paraId="22AD5010" w14:textId="77777777" w:rsidR="00EB6400" w:rsidRDefault="00EB6400">
      <w:pPr>
        <w:rPr>
          <w:rFonts w:ascii="Arial" w:hAnsi="Arial" w:cs="Arial"/>
          <w:b/>
          <w:bCs/>
          <w:u w:val="single"/>
        </w:rPr>
      </w:pPr>
      <w:r>
        <w:rPr>
          <w:rFonts w:ascii="Arial" w:hAnsi="Arial" w:cs="Arial"/>
          <w:b/>
          <w:bCs/>
          <w:u w:val="single"/>
        </w:rPr>
        <w:br w:type="page"/>
      </w:r>
    </w:p>
    <w:p w14:paraId="0804A036" w14:textId="294266E9" w:rsidR="00750D3A" w:rsidRPr="00750D3A" w:rsidRDefault="00750D3A" w:rsidP="00750D3A">
      <w:pPr>
        <w:pStyle w:val="TableofFigures"/>
        <w:tabs>
          <w:tab w:val="right" w:leader="dot" w:pos="9060"/>
        </w:tabs>
        <w:spacing w:after="240"/>
        <w:jc w:val="center"/>
        <w:rPr>
          <w:rFonts w:ascii="Arial" w:hAnsi="Arial" w:cs="Arial"/>
          <w:sz w:val="32"/>
          <w:szCs w:val="32"/>
        </w:rPr>
      </w:pPr>
      <w:r w:rsidRPr="00750D3A">
        <w:rPr>
          <w:rFonts w:ascii="Arial" w:hAnsi="Arial" w:cs="Arial"/>
          <w:sz w:val="32"/>
          <w:szCs w:val="32"/>
        </w:rPr>
        <w:t>List of Figures</w:t>
      </w:r>
    </w:p>
    <w:p w14:paraId="26427403" w14:textId="0BE27DA0" w:rsidR="00F573CA" w:rsidRDefault="00750D3A" w:rsidP="00F573CA">
      <w:pPr>
        <w:pStyle w:val="TableofFigures"/>
        <w:tabs>
          <w:tab w:val="right" w:leader="dot" w:pos="9060"/>
        </w:tabs>
        <w:spacing w:line="480" w:lineRule="auto"/>
        <w:rPr>
          <w:rFonts w:eastAsiaTheme="minorEastAsia"/>
          <w:noProof/>
        </w:rPr>
      </w:pPr>
      <w:r w:rsidRPr="00750D3A">
        <w:rPr>
          <w:rFonts w:ascii="Arial" w:hAnsi="Arial" w:cs="Arial"/>
          <w:b/>
          <w:bCs/>
          <w:u w:val="single"/>
        </w:rPr>
        <w:fldChar w:fldCharType="begin"/>
      </w:r>
      <w:r w:rsidRPr="00750D3A">
        <w:rPr>
          <w:rFonts w:ascii="Arial" w:hAnsi="Arial" w:cs="Arial"/>
          <w:b/>
          <w:bCs/>
          <w:u w:val="single"/>
        </w:rPr>
        <w:instrText xml:space="preserve"> TOC \h \z \c "Figure" </w:instrText>
      </w:r>
      <w:r w:rsidRPr="00750D3A">
        <w:rPr>
          <w:rFonts w:ascii="Arial" w:hAnsi="Arial" w:cs="Arial"/>
          <w:b/>
          <w:bCs/>
          <w:u w:val="single"/>
        </w:rPr>
        <w:fldChar w:fldCharType="separate"/>
      </w:r>
      <w:hyperlink w:anchor="_Toc142149971" w:history="1">
        <w:r w:rsidR="00F573CA" w:rsidRPr="00036732">
          <w:rPr>
            <w:rStyle w:val="Hyperlink"/>
            <w:rFonts w:ascii="Arial" w:hAnsi="Arial" w:cs="Arial"/>
            <w:noProof/>
          </w:rPr>
          <w:t>Figure 1. Efwon Group – Flow of Funds</w:t>
        </w:r>
        <w:r w:rsidR="00F573CA">
          <w:rPr>
            <w:noProof/>
            <w:webHidden/>
          </w:rPr>
          <w:tab/>
        </w:r>
        <w:r w:rsidR="00F573CA">
          <w:rPr>
            <w:noProof/>
            <w:webHidden/>
          </w:rPr>
          <w:fldChar w:fldCharType="begin"/>
        </w:r>
        <w:r w:rsidR="00F573CA">
          <w:rPr>
            <w:noProof/>
            <w:webHidden/>
          </w:rPr>
          <w:instrText xml:space="preserve"> PAGEREF _Toc142149971 \h </w:instrText>
        </w:r>
        <w:r w:rsidR="00F573CA">
          <w:rPr>
            <w:noProof/>
            <w:webHidden/>
          </w:rPr>
        </w:r>
        <w:r w:rsidR="00F573CA">
          <w:rPr>
            <w:noProof/>
            <w:webHidden/>
          </w:rPr>
          <w:fldChar w:fldCharType="separate"/>
        </w:r>
        <w:r w:rsidR="006257ED">
          <w:rPr>
            <w:noProof/>
            <w:webHidden/>
          </w:rPr>
          <w:t>4</w:t>
        </w:r>
        <w:r w:rsidR="00F573CA">
          <w:rPr>
            <w:noProof/>
            <w:webHidden/>
          </w:rPr>
          <w:fldChar w:fldCharType="end"/>
        </w:r>
      </w:hyperlink>
    </w:p>
    <w:p w14:paraId="5E696C82" w14:textId="367E6C6A" w:rsidR="00F573CA" w:rsidRDefault="00F573CA" w:rsidP="00F573CA">
      <w:pPr>
        <w:pStyle w:val="TableofFigures"/>
        <w:tabs>
          <w:tab w:val="right" w:leader="dot" w:pos="9060"/>
        </w:tabs>
        <w:spacing w:line="480" w:lineRule="auto"/>
        <w:rPr>
          <w:rFonts w:eastAsiaTheme="minorEastAsia"/>
          <w:noProof/>
        </w:rPr>
      </w:pPr>
      <w:hyperlink w:anchor="_Toc142149972" w:history="1">
        <w:r w:rsidRPr="00036732">
          <w:rPr>
            <w:rStyle w:val="Hyperlink"/>
            <w:rFonts w:ascii="Arial" w:hAnsi="Arial" w:cs="Arial"/>
            <w:noProof/>
          </w:rPr>
          <w:t>Figure 2. Proposed Strategic Solution</w:t>
        </w:r>
        <w:r>
          <w:rPr>
            <w:noProof/>
            <w:webHidden/>
          </w:rPr>
          <w:tab/>
        </w:r>
        <w:r>
          <w:rPr>
            <w:noProof/>
            <w:webHidden/>
          </w:rPr>
          <w:fldChar w:fldCharType="begin"/>
        </w:r>
        <w:r>
          <w:rPr>
            <w:noProof/>
            <w:webHidden/>
          </w:rPr>
          <w:instrText xml:space="preserve"> PAGEREF _Toc142149972 \h </w:instrText>
        </w:r>
        <w:r>
          <w:rPr>
            <w:noProof/>
            <w:webHidden/>
          </w:rPr>
        </w:r>
        <w:r>
          <w:rPr>
            <w:noProof/>
            <w:webHidden/>
          </w:rPr>
          <w:fldChar w:fldCharType="separate"/>
        </w:r>
        <w:r w:rsidR="006257ED">
          <w:rPr>
            <w:noProof/>
            <w:webHidden/>
          </w:rPr>
          <w:t>20</w:t>
        </w:r>
        <w:r>
          <w:rPr>
            <w:noProof/>
            <w:webHidden/>
          </w:rPr>
          <w:fldChar w:fldCharType="end"/>
        </w:r>
      </w:hyperlink>
    </w:p>
    <w:p w14:paraId="0D7493C4" w14:textId="6760AED1" w:rsidR="00F573CA" w:rsidRDefault="00F573CA" w:rsidP="00F573CA">
      <w:pPr>
        <w:pStyle w:val="TableofFigures"/>
        <w:tabs>
          <w:tab w:val="right" w:leader="dot" w:pos="9060"/>
        </w:tabs>
        <w:spacing w:line="480" w:lineRule="auto"/>
        <w:rPr>
          <w:rFonts w:eastAsiaTheme="minorEastAsia"/>
          <w:noProof/>
        </w:rPr>
      </w:pPr>
      <w:hyperlink w:anchor="_Toc142149973" w:history="1">
        <w:r w:rsidRPr="00036732">
          <w:rPr>
            <w:rStyle w:val="Hyperlink"/>
            <w:rFonts w:ascii="Arial" w:hAnsi="Arial" w:cs="Arial"/>
            <w:noProof/>
          </w:rPr>
          <w:t>Figure 3. KuansaNas Deal</w:t>
        </w:r>
        <w:r>
          <w:rPr>
            <w:noProof/>
            <w:webHidden/>
          </w:rPr>
          <w:tab/>
        </w:r>
        <w:r>
          <w:rPr>
            <w:noProof/>
            <w:webHidden/>
          </w:rPr>
          <w:fldChar w:fldCharType="begin"/>
        </w:r>
        <w:r>
          <w:rPr>
            <w:noProof/>
            <w:webHidden/>
          </w:rPr>
          <w:instrText xml:space="preserve"> PAGEREF _Toc142149973 \h </w:instrText>
        </w:r>
        <w:r>
          <w:rPr>
            <w:noProof/>
            <w:webHidden/>
          </w:rPr>
        </w:r>
        <w:r>
          <w:rPr>
            <w:noProof/>
            <w:webHidden/>
          </w:rPr>
          <w:fldChar w:fldCharType="separate"/>
        </w:r>
        <w:r w:rsidR="006257ED">
          <w:rPr>
            <w:noProof/>
            <w:webHidden/>
          </w:rPr>
          <w:t>21</w:t>
        </w:r>
        <w:r>
          <w:rPr>
            <w:noProof/>
            <w:webHidden/>
          </w:rPr>
          <w:fldChar w:fldCharType="end"/>
        </w:r>
      </w:hyperlink>
    </w:p>
    <w:p w14:paraId="4A4F7144" w14:textId="4C558631" w:rsidR="00750D3A" w:rsidRDefault="00750D3A" w:rsidP="00F573CA">
      <w:pPr>
        <w:pStyle w:val="Heading1"/>
        <w:spacing w:before="0" w:line="480" w:lineRule="auto"/>
        <w:jc w:val="center"/>
        <w:rPr>
          <w:rFonts w:ascii="Arial" w:hAnsi="Arial" w:cs="Arial"/>
          <w:b/>
          <w:bCs/>
          <w:color w:val="auto"/>
          <w:sz w:val="22"/>
          <w:szCs w:val="22"/>
          <w:u w:val="single"/>
        </w:rPr>
      </w:pPr>
      <w:r w:rsidRPr="00750D3A">
        <w:rPr>
          <w:rFonts w:ascii="Arial" w:hAnsi="Arial" w:cs="Arial"/>
          <w:b/>
          <w:bCs/>
          <w:color w:val="auto"/>
          <w:sz w:val="22"/>
          <w:szCs w:val="22"/>
          <w:u w:val="single"/>
        </w:rPr>
        <w:fldChar w:fldCharType="end"/>
      </w:r>
    </w:p>
    <w:p w14:paraId="2ED9BDDD" w14:textId="77777777" w:rsidR="00750D3A" w:rsidRDefault="00750D3A">
      <w:pPr>
        <w:rPr>
          <w:rFonts w:ascii="Arial" w:eastAsiaTheme="majorEastAsia" w:hAnsi="Arial" w:cs="Arial"/>
          <w:b/>
          <w:bCs/>
          <w:u w:val="single"/>
        </w:rPr>
      </w:pPr>
      <w:r>
        <w:rPr>
          <w:rFonts w:ascii="Arial" w:hAnsi="Arial" w:cs="Arial"/>
          <w:b/>
          <w:bCs/>
          <w:u w:val="single"/>
        </w:rPr>
        <w:br w:type="page"/>
      </w:r>
    </w:p>
    <w:p w14:paraId="5EA9DAC3" w14:textId="4D4D0B50" w:rsidR="000209E8" w:rsidRPr="00EB6400" w:rsidRDefault="000209E8" w:rsidP="005D6B3B">
      <w:pPr>
        <w:pStyle w:val="Heading1"/>
        <w:spacing w:after="240"/>
        <w:jc w:val="center"/>
        <w:rPr>
          <w:rFonts w:ascii="Arial" w:hAnsi="Arial" w:cs="Arial"/>
          <w:b/>
          <w:bCs/>
          <w:color w:val="auto"/>
          <w:sz w:val="22"/>
          <w:szCs w:val="22"/>
          <w:u w:val="single"/>
        </w:rPr>
      </w:pPr>
      <w:bookmarkStart w:id="1" w:name="_Toc142153284"/>
      <w:r w:rsidRPr="00EB6400">
        <w:rPr>
          <w:rFonts w:ascii="Arial" w:hAnsi="Arial" w:cs="Arial"/>
          <w:b/>
          <w:bCs/>
          <w:color w:val="auto"/>
          <w:sz w:val="22"/>
          <w:szCs w:val="22"/>
          <w:u w:val="single"/>
        </w:rPr>
        <w:t>Advice to Mr. Benedict Maximov</w:t>
      </w:r>
      <w:bookmarkEnd w:id="1"/>
    </w:p>
    <w:p w14:paraId="353A497A" w14:textId="2370C969" w:rsidR="000209E8" w:rsidRPr="00F573CA" w:rsidRDefault="00937C6E" w:rsidP="00F573CA">
      <w:pPr>
        <w:pStyle w:val="Heading1"/>
        <w:spacing w:after="120"/>
        <w:rPr>
          <w:rFonts w:ascii="Arial" w:hAnsi="Arial" w:cs="Arial"/>
          <w:b/>
          <w:bCs/>
          <w:color w:val="auto"/>
          <w:sz w:val="24"/>
          <w:szCs w:val="24"/>
        </w:rPr>
      </w:pPr>
      <w:bookmarkStart w:id="2" w:name="_Toc142153285"/>
      <w:r w:rsidRPr="00F573CA">
        <w:rPr>
          <w:rFonts w:ascii="Arial" w:hAnsi="Arial" w:cs="Arial"/>
          <w:b/>
          <w:bCs/>
          <w:color w:val="auto"/>
          <w:sz w:val="24"/>
          <w:szCs w:val="24"/>
        </w:rPr>
        <w:t>Introduction</w:t>
      </w:r>
      <w:bookmarkEnd w:id="2"/>
    </w:p>
    <w:p w14:paraId="039E1C66" w14:textId="193E430A" w:rsidR="00ED0CD9" w:rsidRDefault="007205D3" w:rsidP="005D6B3B">
      <w:pPr>
        <w:spacing w:after="240" w:line="360" w:lineRule="auto"/>
        <w:jc w:val="both"/>
        <w:rPr>
          <w:rFonts w:ascii="Arial" w:hAnsi="Arial" w:cs="Arial"/>
        </w:rPr>
      </w:pPr>
      <w:r>
        <w:rPr>
          <w:rFonts w:ascii="Arial" w:hAnsi="Arial" w:cs="Arial"/>
        </w:rPr>
        <w:t xml:space="preserve">We </w:t>
      </w:r>
      <w:r w:rsidRPr="007205D3">
        <w:rPr>
          <w:rFonts w:ascii="Arial" w:hAnsi="Arial" w:cs="Arial"/>
        </w:rPr>
        <w:t xml:space="preserve">have reviewed the </w:t>
      </w:r>
      <w:r w:rsidR="00DE0F80">
        <w:rPr>
          <w:rFonts w:ascii="Arial" w:hAnsi="Arial" w:cs="Arial"/>
        </w:rPr>
        <w:t xml:space="preserve">submitted </w:t>
      </w:r>
      <w:r w:rsidRPr="007205D3">
        <w:rPr>
          <w:rFonts w:ascii="Arial" w:hAnsi="Arial" w:cs="Arial"/>
        </w:rPr>
        <w:t xml:space="preserve">facts and circumstances surrounding the Efwon </w:t>
      </w:r>
      <w:r w:rsidR="00E94C00">
        <w:rPr>
          <w:rFonts w:ascii="Arial" w:hAnsi="Arial" w:cs="Arial"/>
        </w:rPr>
        <w:t>G</w:t>
      </w:r>
      <w:r w:rsidRPr="007205D3">
        <w:rPr>
          <w:rFonts w:ascii="Arial" w:hAnsi="Arial" w:cs="Arial"/>
        </w:rPr>
        <w:t>roup's insolvency issues and the proposed deal with KuasaNas</w:t>
      </w:r>
      <w:r>
        <w:rPr>
          <w:rFonts w:ascii="Arial" w:hAnsi="Arial" w:cs="Arial"/>
        </w:rPr>
        <w:t xml:space="preserve"> as provided by your office</w:t>
      </w:r>
      <w:r w:rsidRPr="007205D3">
        <w:rPr>
          <w:rFonts w:ascii="Arial" w:hAnsi="Arial" w:cs="Arial"/>
        </w:rPr>
        <w:t xml:space="preserve">. Based on </w:t>
      </w:r>
      <w:r>
        <w:rPr>
          <w:rFonts w:ascii="Arial" w:hAnsi="Arial" w:cs="Arial"/>
        </w:rPr>
        <w:t>our</w:t>
      </w:r>
      <w:r w:rsidRPr="007205D3">
        <w:rPr>
          <w:rFonts w:ascii="Arial" w:hAnsi="Arial" w:cs="Arial"/>
        </w:rPr>
        <w:t xml:space="preserve"> analysis, </w:t>
      </w:r>
      <w:r>
        <w:rPr>
          <w:rFonts w:ascii="Arial" w:hAnsi="Arial" w:cs="Arial"/>
        </w:rPr>
        <w:t>we</w:t>
      </w:r>
      <w:r w:rsidRPr="007205D3">
        <w:rPr>
          <w:rFonts w:ascii="Arial" w:hAnsi="Arial" w:cs="Arial"/>
        </w:rPr>
        <w:t xml:space="preserve"> present </w:t>
      </w:r>
      <w:r>
        <w:rPr>
          <w:rFonts w:ascii="Arial" w:hAnsi="Arial" w:cs="Arial"/>
        </w:rPr>
        <w:t>our</w:t>
      </w:r>
      <w:r w:rsidRPr="007205D3">
        <w:rPr>
          <w:rFonts w:ascii="Arial" w:hAnsi="Arial" w:cs="Arial"/>
        </w:rPr>
        <w:t xml:space="preserve"> </w:t>
      </w:r>
      <w:r w:rsidR="003A303A">
        <w:rPr>
          <w:rFonts w:ascii="Arial" w:hAnsi="Arial" w:cs="Arial"/>
        </w:rPr>
        <w:t>strate</w:t>
      </w:r>
      <w:r w:rsidR="00CF66BA">
        <w:rPr>
          <w:rFonts w:ascii="Arial" w:hAnsi="Arial" w:cs="Arial"/>
        </w:rPr>
        <w:t>gic</w:t>
      </w:r>
      <w:r w:rsidR="003A303A">
        <w:rPr>
          <w:rFonts w:ascii="Arial" w:hAnsi="Arial" w:cs="Arial"/>
        </w:rPr>
        <w:t xml:space="preserve"> proposal</w:t>
      </w:r>
      <w:r w:rsidR="00CF66BA">
        <w:rPr>
          <w:rFonts w:ascii="Arial" w:hAnsi="Arial" w:cs="Arial"/>
        </w:rPr>
        <w:t xml:space="preserve"> </w:t>
      </w:r>
      <w:r w:rsidR="000507A8">
        <w:rPr>
          <w:rFonts w:ascii="Arial" w:hAnsi="Arial" w:cs="Arial"/>
        </w:rPr>
        <w:t>Report with</w:t>
      </w:r>
      <w:r w:rsidR="00CF66BA">
        <w:rPr>
          <w:rFonts w:ascii="Arial" w:hAnsi="Arial" w:cs="Arial"/>
        </w:rPr>
        <w:t xml:space="preserve"> our</w:t>
      </w:r>
      <w:r w:rsidR="003A303A">
        <w:rPr>
          <w:rFonts w:ascii="Arial" w:hAnsi="Arial" w:cs="Arial"/>
        </w:rPr>
        <w:t xml:space="preserve"> </w:t>
      </w:r>
      <w:r w:rsidR="00E94C00">
        <w:rPr>
          <w:rFonts w:ascii="Arial" w:hAnsi="Arial" w:cs="Arial"/>
        </w:rPr>
        <w:t xml:space="preserve">advice and </w:t>
      </w:r>
      <w:r>
        <w:rPr>
          <w:rFonts w:ascii="Arial" w:hAnsi="Arial" w:cs="Arial"/>
        </w:rPr>
        <w:t>suggestion</w:t>
      </w:r>
      <w:r w:rsidR="00E94C00">
        <w:rPr>
          <w:rFonts w:ascii="Arial" w:hAnsi="Arial" w:cs="Arial"/>
        </w:rPr>
        <w:t>s</w:t>
      </w:r>
      <w:r w:rsidRPr="007205D3">
        <w:rPr>
          <w:rFonts w:ascii="Arial" w:hAnsi="Arial" w:cs="Arial"/>
        </w:rPr>
        <w:t xml:space="preserve"> to facilitate the deal</w:t>
      </w:r>
      <w:r w:rsidR="00CF66BA">
        <w:rPr>
          <w:rFonts w:ascii="Arial" w:hAnsi="Arial" w:cs="Arial"/>
        </w:rPr>
        <w:t xml:space="preserve">. Our proposal </w:t>
      </w:r>
      <w:r w:rsidR="00B833E5">
        <w:rPr>
          <w:rFonts w:ascii="Arial" w:hAnsi="Arial" w:cs="Arial"/>
        </w:rPr>
        <w:t xml:space="preserve">also </w:t>
      </w:r>
      <w:r w:rsidRPr="007205D3">
        <w:rPr>
          <w:rFonts w:ascii="Arial" w:hAnsi="Arial" w:cs="Arial"/>
        </w:rPr>
        <w:t>address</w:t>
      </w:r>
      <w:r w:rsidR="00CF66BA">
        <w:rPr>
          <w:rFonts w:ascii="Arial" w:hAnsi="Arial" w:cs="Arial"/>
        </w:rPr>
        <w:t>es</w:t>
      </w:r>
      <w:r w:rsidRPr="007205D3">
        <w:rPr>
          <w:rFonts w:ascii="Arial" w:hAnsi="Arial" w:cs="Arial"/>
        </w:rPr>
        <w:t xml:space="preserve"> the insolvency concerns </w:t>
      </w:r>
      <w:r w:rsidR="00ED0CD9">
        <w:rPr>
          <w:rFonts w:ascii="Arial" w:hAnsi="Arial" w:cs="Arial"/>
        </w:rPr>
        <w:t xml:space="preserve">that will achieve </w:t>
      </w:r>
      <w:r w:rsidR="00E94C00">
        <w:rPr>
          <w:rFonts w:ascii="Arial" w:hAnsi="Arial" w:cs="Arial"/>
        </w:rPr>
        <w:t xml:space="preserve">satisfactory </w:t>
      </w:r>
      <w:r w:rsidR="00ED0CD9">
        <w:rPr>
          <w:rFonts w:ascii="Arial" w:hAnsi="Arial" w:cs="Arial"/>
        </w:rPr>
        <w:t>results</w:t>
      </w:r>
      <w:r w:rsidRPr="007205D3">
        <w:rPr>
          <w:rFonts w:ascii="Arial" w:hAnsi="Arial" w:cs="Arial"/>
        </w:rPr>
        <w:t>.</w:t>
      </w:r>
      <w:r w:rsidR="00ED0CD9">
        <w:rPr>
          <w:rFonts w:ascii="Arial" w:hAnsi="Arial" w:cs="Arial"/>
        </w:rPr>
        <w:t xml:space="preserve"> </w:t>
      </w:r>
      <w:r w:rsidR="00A63A57">
        <w:rPr>
          <w:rFonts w:ascii="Arial" w:hAnsi="Arial" w:cs="Arial"/>
        </w:rPr>
        <w:t>Th</w:t>
      </w:r>
      <w:r w:rsidR="000507A8">
        <w:rPr>
          <w:rFonts w:ascii="Arial" w:hAnsi="Arial" w:cs="Arial"/>
        </w:rPr>
        <w:t>is proposal aim</w:t>
      </w:r>
      <w:r w:rsidR="00A63A57">
        <w:rPr>
          <w:rFonts w:ascii="Arial" w:hAnsi="Arial" w:cs="Arial"/>
        </w:rPr>
        <w:t xml:space="preserve">s </w:t>
      </w:r>
      <w:r w:rsidR="00A63A57" w:rsidRPr="000209E8">
        <w:rPr>
          <w:rFonts w:ascii="Arial" w:hAnsi="Arial" w:cs="Arial"/>
        </w:rPr>
        <w:t xml:space="preserve">to guide </w:t>
      </w:r>
      <w:r w:rsidR="00A63A57">
        <w:rPr>
          <w:rFonts w:ascii="Arial" w:hAnsi="Arial" w:cs="Arial"/>
        </w:rPr>
        <w:t xml:space="preserve">the </w:t>
      </w:r>
      <w:r w:rsidR="002E6FDA">
        <w:rPr>
          <w:rFonts w:ascii="Arial" w:hAnsi="Arial" w:cs="Arial"/>
        </w:rPr>
        <w:t>Efwon</w:t>
      </w:r>
      <w:r w:rsidR="009768F4">
        <w:rPr>
          <w:rFonts w:ascii="Arial" w:hAnsi="Arial" w:cs="Arial"/>
        </w:rPr>
        <w:t xml:space="preserve"> </w:t>
      </w:r>
      <w:r w:rsidR="00A63A57">
        <w:rPr>
          <w:rFonts w:ascii="Arial" w:hAnsi="Arial" w:cs="Arial"/>
        </w:rPr>
        <w:t>Group</w:t>
      </w:r>
      <w:r w:rsidR="00A63A57" w:rsidRPr="000209E8">
        <w:rPr>
          <w:rFonts w:ascii="Arial" w:hAnsi="Arial" w:cs="Arial"/>
        </w:rPr>
        <w:t xml:space="preserve"> through a structured response to the complex issues facing Efwon Investments, Efwon Trading, and Efwon Romania</w:t>
      </w:r>
      <w:r w:rsidR="009768F4">
        <w:rPr>
          <w:rFonts w:ascii="Arial" w:hAnsi="Arial" w:cs="Arial"/>
        </w:rPr>
        <w:t>.</w:t>
      </w:r>
    </w:p>
    <w:p w14:paraId="606DC218" w14:textId="33BF0CAE" w:rsidR="00ED0CD9" w:rsidRDefault="00A63A57" w:rsidP="005D6B3B">
      <w:pPr>
        <w:spacing w:after="240" w:line="360" w:lineRule="auto"/>
        <w:jc w:val="both"/>
        <w:rPr>
          <w:rFonts w:ascii="Arial" w:hAnsi="Arial" w:cs="Arial"/>
        </w:rPr>
      </w:pPr>
      <w:r>
        <w:rPr>
          <w:rFonts w:ascii="Arial" w:hAnsi="Arial" w:cs="Arial"/>
        </w:rPr>
        <w:t xml:space="preserve">We were </w:t>
      </w:r>
      <w:r w:rsidR="00E94C00">
        <w:rPr>
          <w:rFonts w:ascii="Arial" w:hAnsi="Arial" w:cs="Arial"/>
        </w:rPr>
        <w:t xml:space="preserve">specifically </w:t>
      </w:r>
      <w:r>
        <w:rPr>
          <w:rFonts w:ascii="Arial" w:hAnsi="Arial" w:cs="Arial"/>
        </w:rPr>
        <w:t xml:space="preserve">requested to </w:t>
      </w:r>
      <w:r w:rsidR="00781407">
        <w:rPr>
          <w:rFonts w:ascii="Arial" w:hAnsi="Arial" w:cs="Arial"/>
        </w:rPr>
        <w:t>advise</w:t>
      </w:r>
      <w:r w:rsidRPr="00A63A57">
        <w:rPr>
          <w:rFonts w:ascii="Arial" w:hAnsi="Arial" w:cs="Arial"/>
        </w:rPr>
        <w:t xml:space="preserve"> </w:t>
      </w:r>
      <w:r w:rsidR="00E94C00">
        <w:rPr>
          <w:rFonts w:ascii="Arial" w:hAnsi="Arial" w:cs="Arial"/>
        </w:rPr>
        <w:t xml:space="preserve">Benedict Maximov, the Chief Executive Officer of </w:t>
      </w:r>
      <w:r>
        <w:rPr>
          <w:rFonts w:ascii="Arial" w:hAnsi="Arial" w:cs="Arial"/>
        </w:rPr>
        <w:t>the Efwon Group</w:t>
      </w:r>
      <w:r w:rsidR="00E94C00">
        <w:rPr>
          <w:rFonts w:ascii="Arial" w:hAnsi="Arial" w:cs="Arial"/>
        </w:rPr>
        <w:t>,</w:t>
      </w:r>
      <w:r w:rsidRPr="00A63A57">
        <w:rPr>
          <w:rFonts w:ascii="Arial" w:hAnsi="Arial" w:cs="Arial"/>
        </w:rPr>
        <w:t xml:space="preserve"> on how to facilitate the deal with</w:t>
      </w:r>
      <w:r>
        <w:rPr>
          <w:rFonts w:ascii="Arial" w:hAnsi="Arial" w:cs="Arial"/>
        </w:rPr>
        <w:t xml:space="preserve"> </w:t>
      </w:r>
      <w:r w:rsidRPr="00A63A57">
        <w:rPr>
          <w:rFonts w:ascii="Arial" w:hAnsi="Arial" w:cs="Arial"/>
        </w:rPr>
        <w:t>KuasaNas</w:t>
      </w:r>
      <w:r w:rsidR="00E94C00">
        <w:rPr>
          <w:rFonts w:ascii="Arial" w:hAnsi="Arial" w:cs="Arial"/>
        </w:rPr>
        <w:t xml:space="preserve">. We were also tasked with </w:t>
      </w:r>
      <w:r w:rsidR="00781407">
        <w:rPr>
          <w:rFonts w:ascii="Arial" w:hAnsi="Arial" w:cs="Arial"/>
        </w:rPr>
        <w:t>providing advice</w:t>
      </w:r>
      <w:r w:rsidR="00E94C00">
        <w:rPr>
          <w:rFonts w:ascii="Arial" w:hAnsi="Arial" w:cs="Arial"/>
        </w:rPr>
        <w:t xml:space="preserve"> on </w:t>
      </w:r>
      <w:r>
        <w:rPr>
          <w:rFonts w:ascii="Arial" w:hAnsi="Arial" w:cs="Arial"/>
        </w:rPr>
        <w:t>deal</w:t>
      </w:r>
      <w:r w:rsidR="00E94C00">
        <w:rPr>
          <w:rFonts w:ascii="Arial" w:hAnsi="Arial" w:cs="Arial"/>
        </w:rPr>
        <w:t>ing</w:t>
      </w:r>
      <w:r>
        <w:rPr>
          <w:rFonts w:ascii="Arial" w:hAnsi="Arial" w:cs="Arial"/>
        </w:rPr>
        <w:t xml:space="preserve"> with </w:t>
      </w:r>
      <w:r w:rsidRPr="00A63A57">
        <w:rPr>
          <w:rFonts w:ascii="Arial" w:hAnsi="Arial" w:cs="Arial"/>
        </w:rPr>
        <w:t>the insolvency issues affecting the companies in the</w:t>
      </w:r>
      <w:r>
        <w:rPr>
          <w:rFonts w:ascii="Arial" w:hAnsi="Arial" w:cs="Arial"/>
        </w:rPr>
        <w:t xml:space="preserve"> </w:t>
      </w:r>
      <w:r w:rsidRPr="00A63A57">
        <w:rPr>
          <w:rFonts w:ascii="Arial" w:hAnsi="Arial" w:cs="Arial"/>
        </w:rPr>
        <w:t xml:space="preserve">Efwon </w:t>
      </w:r>
      <w:r>
        <w:rPr>
          <w:rFonts w:ascii="Arial" w:hAnsi="Arial" w:cs="Arial"/>
        </w:rPr>
        <w:t>G</w:t>
      </w:r>
      <w:r w:rsidRPr="00A63A57">
        <w:rPr>
          <w:rFonts w:ascii="Arial" w:hAnsi="Arial" w:cs="Arial"/>
        </w:rPr>
        <w:t>roup.</w:t>
      </w:r>
      <w:r>
        <w:rPr>
          <w:rFonts w:ascii="Arial" w:hAnsi="Arial" w:cs="Arial"/>
        </w:rPr>
        <w:t xml:space="preserve"> </w:t>
      </w:r>
      <w:r w:rsidR="00CF66BA">
        <w:rPr>
          <w:rFonts w:ascii="Arial" w:hAnsi="Arial" w:cs="Arial"/>
        </w:rPr>
        <w:t>W</w:t>
      </w:r>
      <w:r w:rsidR="00ED0CD9">
        <w:rPr>
          <w:rFonts w:ascii="Arial" w:hAnsi="Arial" w:cs="Arial"/>
        </w:rPr>
        <w:t>e consider t</w:t>
      </w:r>
      <w:r w:rsidR="000209E8" w:rsidRPr="000209E8">
        <w:rPr>
          <w:rFonts w:ascii="Arial" w:hAnsi="Arial" w:cs="Arial"/>
        </w:rPr>
        <w:t xml:space="preserve">he </w:t>
      </w:r>
      <w:r w:rsidR="00ED0CD9">
        <w:rPr>
          <w:rFonts w:ascii="Arial" w:hAnsi="Arial" w:cs="Arial"/>
        </w:rPr>
        <w:t xml:space="preserve">primary </w:t>
      </w:r>
      <w:r w:rsidR="000209E8" w:rsidRPr="000209E8">
        <w:rPr>
          <w:rFonts w:ascii="Arial" w:hAnsi="Arial" w:cs="Arial"/>
        </w:rPr>
        <w:t>goal is to prepare the</w:t>
      </w:r>
      <w:r w:rsidR="00ED0CD9">
        <w:rPr>
          <w:rFonts w:ascii="Arial" w:hAnsi="Arial" w:cs="Arial"/>
        </w:rPr>
        <w:t xml:space="preserve"> Efwon Group</w:t>
      </w:r>
      <w:r w:rsidR="000209E8" w:rsidRPr="000209E8">
        <w:rPr>
          <w:rFonts w:ascii="Arial" w:hAnsi="Arial" w:cs="Arial"/>
        </w:rPr>
        <w:t xml:space="preserve"> for the sale of a majority stake to KuasaNas, while concurrently dealing with potential insolvency issues, litigation, and geopolitical concerns.</w:t>
      </w:r>
      <w:r w:rsidR="00ED0CD9">
        <w:rPr>
          <w:rFonts w:ascii="Arial" w:hAnsi="Arial" w:cs="Arial"/>
        </w:rPr>
        <w:t xml:space="preserve"> </w:t>
      </w:r>
      <w:r w:rsidR="00CF66BA">
        <w:rPr>
          <w:rFonts w:ascii="Arial" w:hAnsi="Arial" w:cs="Arial"/>
        </w:rPr>
        <w:t>T</w:t>
      </w:r>
      <w:r w:rsidR="00ED0CD9">
        <w:rPr>
          <w:rFonts w:ascii="Arial" w:hAnsi="Arial" w:cs="Arial"/>
        </w:rPr>
        <w:t xml:space="preserve">he </w:t>
      </w:r>
      <w:r w:rsidR="00CF66BA">
        <w:rPr>
          <w:rFonts w:ascii="Arial" w:hAnsi="Arial" w:cs="Arial"/>
        </w:rPr>
        <w:t xml:space="preserve">suggested </w:t>
      </w:r>
      <w:r w:rsidR="00ED0CD9">
        <w:rPr>
          <w:rFonts w:ascii="Arial" w:hAnsi="Arial" w:cs="Arial"/>
        </w:rPr>
        <w:t xml:space="preserve">advice is not mutually exclusive but </w:t>
      </w:r>
      <w:r w:rsidR="00CF66BA">
        <w:rPr>
          <w:rFonts w:ascii="Arial" w:hAnsi="Arial" w:cs="Arial"/>
        </w:rPr>
        <w:t>represents</w:t>
      </w:r>
      <w:r w:rsidR="00CF66BA">
        <w:rPr>
          <w:rFonts w:ascii="Arial" w:hAnsi="Arial" w:cs="Arial"/>
        </w:rPr>
        <w:t xml:space="preserve"> </w:t>
      </w:r>
      <w:r w:rsidR="00ED0CD9">
        <w:rPr>
          <w:rFonts w:ascii="Arial" w:hAnsi="Arial" w:cs="Arial"/>
        </w:rPr>
        <w:t xml:space="preserve">our best effort </w:t>
      </w:r>
      <w:r w:rsidR="00781407">
        <w:rPr>
          <w:rFonts w:ascii="Arial" w:hAnsi="Arial" w:cs="Arial"/>
        </w:rPr>
        <w:t>to provide</w:t>
      </w:r>
      <w:r w:rsidR="00ED0CD9">
        <w:rPr>
          <w:rFonts w:ascii="Arial" w:hAnsi="Arial" w:cs="Arial"/>
        </w:rPr>
        <w:t xml:space="preserve"> a practical yet cost</w:t>
      </w:r>
      <w:r w:rsidR="00781407">
        <w:rPr>
          <w:rFonts w:ascii="Arial" w:hAnsi="Arial" w:cs="Arial"/>
        </w:rPr>
        <w:t>-</w:t>
      </w:r>
      <w:r w:rsidR="00ED0CD9">
        <w:rPr>
          <w:rFonts w:ascii="Arial" w:hAnsi="Arial" w:cs="Arial"/>
        </w:rPr>
        <w:t>effective solution to the issues at hand.</w:t>
      </w:r>
    </w:p>
    <w:p w14:paraId="0F16DFFA" w14:textId="016E2923" w:rsidR="005F7EA2" w:rsidRDefault="005F7EA2" w:rsidP="005D6B3B">
      <w:pPr>
        <w:spacing w:after="240" w:line="360" w:lineRule="auto"/>
        <w:jc w:val="both"/>
        <w:rPr>
          <w:rFonts w:ascii="Arial" w:hAnsi="Arial" w:cs="Arial"/>
        </w:rPr>
      </w:pPr>
      <w:r>
        <w:rPr>
          <w:rFonts w:ascii="Arial" w:hAnsi="Arial" w:cs="Arial"/>
        </w:rPr>
        <w:t xml:space="preserve">A summary of the </w:t>
      </w:r>
      <w:r w:rsidR="00781407">
        <w:rPr>
          <w:rFonts w:ascii="Arial" w:hAnsi="Arial" w:cs="Arial"/>
        </w:rPr>
        <w:t>flow of funds</w:t>
      </w:r>
      <w:r>
        <w:rPr>
          <w:rFonts w:ascii="Arial" w:hAnsi="Arial" w:cs="Arial"/>
        </w:rPr>
        <w:t xml:space="preserve"> </w:t>
      </w:r>
      <w:r w:rsidR="00781407">
        <w:rPr>
          <w:rFonts w:ascii="Arial" w:hAnsi="Arial" w:cs="Arial"/>
        </w:rPr>
        <w:t>detailed in your provided information</w:t>
      </w:r>
      <w:r>
        <w:rPr>
          <w:rFonts w:ascii="Arial" w:hAnsi="Arial" w:cs="Arial"/>
        </w:rPr>
        <w:t xml:space="preserve"> has been documented in Figure 1 below. Please let us know if our understanding is correct.</w:t>
      </w:r>
    </w:p>
    <w:p w14:paraId="035BCF6E" w14:textId="2BDE2562" w:rsidR="00132D71" w:rsidRPr="00E94C00" w:rsidRDefault="00E94C00" w:rsidP="005D6B3B">
      <w:pPr>
        <w:spacing w:after="240" w:line="360" w:lineRule="auto"/>
        <w:jc w:val="both"/>
        <w:rPr>
          <w:rStyle w:val="fontstyle01"/>
          <w:rFonts w:ascii="Arial" w:hAnsi="Arial" w:cs="Arial"/>
          <w:color w:val="auto"/>
          <w:sz w:val="22"/>
          <w:szCs w:val="22"/>
        </w:rPr>
      </w:pPr>
      <w:r w:rsidRPr="00E94C00">
        <w:rPr>
          <w:rStyle w:val="fontstyle01"/>
          <w:rFonts w:ascii="Arial" w:hAnsi="Arial" w:cs="Arial"/>
          <w:color w:val="auto"/>
          <w:sz w:val="22"/>
          <w:szCs w:val="22"/>
        </w:rPr>
        <w:t>We have provided answers to the specific questions asked in the</w:t>
      </w:r>
      <w:r w:rsidR="00CF66BA">
        <w:rPr>
          <w:rStyle w:val="fontstyle01"/>
          <w:rFonts w:ascii="Arial" w:hAnsi="Arial" w:cs="Arial"/>
          <w:color w:val="auto"/>
          <w:sz w:val="22"/>
          <w:szCs w:val="22"/>
        </w:rPr>
        <w:t xml:space="preserve"> same</w:t>
      </w:r>
      <w:r w:rsidRPr="00E94C00">
        <w:rPr>
          <w:rStyle w:val="fontstyle01"/>
          <w:rFonts w:ascii="Arial" w:hAnsi="Arial" w:cs="Arial"/>
          <w:color w:val="auto"/>
          <w:sz w:val="22"/>
          <w:szCs w:val="22"/>
        </w:rPr>
        <w:t xml:space="preserve"> order. Our </w:t>
      </w:r>
      <w:r w:rsidR="009768F4">
        <w:rPr>
          <w:rStyle w:val="fontstyle01"/>
          <w:rFonts w:ascii="Arial" w:hAnsi="Arial" w:cs="Arial"/>
          <w:color w:val="auto"/>
          <w:sz w:val="22"/>
          <w:szCs w:val="22"/>
        </w:rPr>
        <w:t xml:space="preserve">proposed strategy is </w:t>
      </w:r>
      <w:r w:rsidRPr="00E94C00">
        <w:rPr>
          <w:rStyle w:val="fontstyle01"/>
          <w:rFonts w:ascii="Arial" w:hAnsi="Arial" w:cs="Arial"/>
          <w:color w:val="auto"/>
          <w:sz w:val="22"/>
          <w:szCs w:val="22"/>
        </w:rPr>
        <w:t>based on our years of experience in insolvency matters</w:t>
      </w:r>
      <w:r w:rsidR="00781407">
        <w:rPr>
          <w:rStyle w:val="fontstyle01"/>
          <w:rFonts w:ascii="Arial" w:hAnsi="Arial" w:cs="Arial"/>
          <w:color w:val="auto"/>
          <w:sz w:val="22"/>
          <w:szCs w:val="22"/>
        </w:rPr>
        <w:t xml:space="preserve"> and</w:t>
      </w:r>
      <w:r w:rsidR="0074754B">
        <w:rPr>
          <w:rStyle w:val="fontstyle01"/>
          <w:rFonts w:ascii="Arial" w:hAnsi="Arial" w:cs="Arial"/>
          <w:color w:val="auto"/>
          <w:sz w:val="22"/>
          <w:szCs w:val="22"/>
        </w:rPr>
        <w:t xml:space="preserve"> preliminary research</w:t>
      </w:r>
      <w:r w:rsidRPr="00E94C00">
        <w:rPr>
          <w:rStyle w:val="fontstyle01"/>
          <w:rFonts w:ascii="Arial" w:hAnsi="Arial" w:cs="Arial"/>
          <w:color w:val="auto"/>
          <w:sz w:val="22"/>
          <w:szCs w:val="22"/>
        </w:rPr>
        <w:t xml:space="preserve">. However, our suggestions are not the only possible suggestions, and after further discussions with you and your team, we are willing to review and revise our suggested strategies, considering this </w:t>
      </w:r>
      <w:r w:rsidR="0006580F">
        <w:rPr>
          <w:rStyle w:val="fontstyle01"/>
          <w:rFonts w:ascii="Arial" w:hAnsi="Arial" w:cs="Arial"/>
          <w:color w:val="auto"/>
          <w:sz w:val="22"/>
          <w:szCs w:val="22"/>
        </w:rPr>
        <w:t xml:space="preserve">matter is </w:t>
      </w:r>
      <w:r w:rsidRPr="00E94C00">
        <w:rPr>
          <w:rStyle w:val="fontstyle01"/>
          <w:rFonts w:ascii="Arial" w:hAnsi="Arial" w:cs="Arial"/>
          <w:color w:val="auto"/>
          <w:sz w:val="22"/>
          <w:szCs w:val="22"/>
        </w:rPr>
        <w:t>ongoing.</w:t>
      </w:r>
    </w:p>
    <w:p w14:paraId="179928A1" w14:textId="6B19D997" w:rsidR="0085580F" w:rsidRDefault="00E94C00" w:rsidP="005D6B3B">
      <w:pPr>
        <w:spacing w:after="240" w:line="360" w:lineRule="auto"/>
        <w:jc w:val="both"/>
        <w:rPr>
          <w:rStyle w:val="fontstyle01"/>
          <w:rFonts w:ascii="Arial" w:hAnsi="Arial" w:cs="Arial"/>
          <w:color w:val="auto"/>
          <w:sz w:val="22"/>
          <w:szCs w:val="22"/>
        </w:rPr>
      </w:pPr>
      <w:r w:rsidRPr="00E94C00">
        <w:rPr>
          <w:rStyle w:val="fontstyle01"/>
          <w:rFonts w:ascii="Arial" w:hAnsi="Arial" w:cs="Arial"/>
          <w:color w:val="auto"/>
          <w:sz w:val="22"/>
          <w:szCs w:val="22"/>
        </w:rPr>
        <w:t xml:space="preserve">Our </w:t>
      </w:r>
      <w:r w:rsidR="0085580F">
        <w:rPr>
          <w:rStyle w:val="fontstyle01"/>
          <w:rFonts w:ascii="Arial" w:hAnsi="Arial" w:cs="Arial"/>
          <w:color w:val="auto"/>
          <w:sz w:val="22"/>
          <w:szCs w:val="22"/>
        </w:rPr>
        <w:t xml:space="preserve">proposed </w:t>
      </w:r>
      <w:r w:rsidR="002E6FDA">
        <w:rPr>
          <w:rStyle w:val="fontstyle01"/>
          <w:rFonts w:ascii="Arial" w:hAnsi="Arial" w:cs="Arial"/>
          <w:color w:val="auto"/>
          <w:sz w:val="22"/>
          <w:szCs w:val="22"/>
        </w:rPr>
        <w:t>strategic</w:t>
      </w:r>
      <w:r w:rsidR="00CF66BA">
        <w:rPr>
          <w:rStyle w:val="fontstyle01"/>
          <w:rFonts w:ascii="Arial" w:hAnsi="Arial" w:cs="Arial"/>
          <w:color w:val="auto"/>
          <w:sz w:val="22"/>
          <w:szCs w:val="22"/>
        </w:rPr>
        <w:t xml:space="preserve"> suggestions</w:t>
      </w:r>
      <w:r w:rsidRPr="00E94C00">
        <w:rPr>
          <w:rStyle w:val="fontstyle01"/>
          <w:rFonts w:ascii="Arial" w:hAnsi="Arial" w:cs="Arial"/>
          <w:color w:val="auto"/>
          <w:sz w:val="22"/>
          <w:szCs w:val="22"/>
        </w:rPr>
        <w:t xml:space="preserve"> and recommendations are noted below</w:t>
      </w:r>
      <w:r w:rsidR="0006580F">
        <w:rPr>
          <w:rStyle w:val="fontstyle01"/>
          <w:rFonts w:ascii="Arial" w:hAnsi="Arial" w:cs="Arial"/>
          <w:color w:val="auto"/>
          <w:sz w:val="22"/>
          <w:szCs w:val="22"/>
        </w:rPr>
        <w:t xml:space="preserve">. </w:t>
      </w:r>
    </w:p>
    <w:p w14:paraId="279F9D15" w14:textId="0D086F0E" w:rsidR="00132D71" w:rsidRPr="00E94C00" w:rsidRDefault="0006580F" w:rsidP="005D6B3B">
      <w:pPr>
        <w:spacing w:after="240" w:line="360" w:lineRule="auto"/>
        <w:jc w:val="both"/>
        <w:rPr>
          <w:rStyle w:val="fontstyle01"/>
          <w:rFonts w:ascii="Arial" w:hAnsi="Arial" w:cs="Arial"/>
          <w:color w:val="auto"/>
          <w:sz w:val="22"/>
          <w:szCs w:val="22"/>
        </w:rPr>
      </w:pPr>
      <w:r>
        <w:rPr>
          <w:rStyle w:val="fontstyle01"/>
          <w:rFonts w:ascii="Arial" w:hAnsi="Arial" w:cs="Arial"/>
          <w:color w:val="auto"/>
          <w:sz w:val="22"/>
          <w:szCs w:val="22"/>
        </w:rPr>
        <w:t xml:space="preserve">Our Report </w:t>
      </w:r>
      <w:r w:rsidR="00E94C00">
        <w:rPr>
          <w:rStyle w:val="fontstyle01"/>
          <w:rFonts w:ascii="Arial" w:hAnsi="Arial" w:cs="Arial"/>
          <w:color w:val="auto"/>
          <w:sz w:val="22"/>
          <w:szCs w:val="22"/>
        </w:rPr>
        <w:t>begi</w:t>
      </w:r>
      <w:r>
        <w:rPr>
          <w:rStyle w:val="fontstyle01"/>
          <w:rFonts w:ascii="Arial" w:hAnsi="Arial" w:cs="Arial"/>
          <w:color w:val="auto"/>
          <w:sz w:val="22"/>
          <w:szCs w:val="22"/>
        </w:rPr>
        <w:t>ns</w:t>
      </w:r>
      <w:r w:rsidR="00E94C00">
        <w:rPr>
          <w:rStyle w:val="fontstyle01"/>
          <w:rFonts w:ascii="Arial" w:hAnsi="Arial" w:cs="Arial"/>
          <w:color w:val="auto"/>
          <w:sz w:val="22"/>
          <w:szCs w:val="22"/>
        </w:rPr>
        <w:t xml:space="preserve"> with a Flow of Funds flowchart to tell the insolvency story</w:t>
      </w:r>
      <w:r w:rsidR="00E94C00">
        <w:rPr>
          <w:rStyle w:val="FootnoteReference"/>
          <w:rFonts w:ascii="Arial" w:hAnsi="Arial" w:cs="Arial"/>
        </w:rPr>
        <w:footnoteReference w:id="1"/>
      </w:r>
      <w:r w:rsidR="00E94C00">
        <w:rPr>
          <w:rStyle w:val="fontstyle01"/>
          <w:rFonts w:ascii="Arial" w:hAnsi="Arial" w:cs="Arial"/>
          <w:color w:val="auto"/>
          <w:sz w:val="22"/>
          <w:szCs w:val="22"/>
        </w:rPr>
        <w:t xml:space="preserve"> of how the Group </w:t>
      </w:r>
      <w:r>
        <w:rPr>
          <w:rStyle w:val="fontstyle01"/>
          <w:rFonts w:ascii="Arial" w:hAnsi="Arial" w:cs="Arial"/>
          <w:color w:val="auto"/>
          <w:sz w:val="22"/>
          <w:szCs w:val="22"/>
        </w:rPr>
        <w:t>arrived in the current state. Later in the Report, we suggest strategies for dealing</w:t>
      </w:r>
      <w:r w:rsidR="00E94C00">
        <w:rPr>
          <w:rStyle w:val="fontstyle01"/>
          <w:rFonts w:ascii="Arial" w:hAnsi="Arial" w:cs="Arial"/>
          <w:color w:val="auto"/>
          <w:sz w:val="22"/>
          <w:szCs w:val="22"/>
        </w:rPr>
        <w:t xml:space="preserve"> with the </w:t>
      </w:r>
      <w:r>
        <w:rPr>
          <w:rStyle w:val="fontstyle01"/>
          <w:rFonts w:ascii="Arial" w:hAnsi="Arial" w:cs="Arial"/>
          <w:color w:val="auto"/>
          <w:sz w:val="22"/>
          <w:szCs w:val="22"/>
        </w:rPr>
        <w:t>various positions.</w:t>
      </w:r>
    </w:p>
    <w:p w14:paraId="6409CC06" w14:textId="77777777" w:rsidR="00132D71" w:rsidRDefault="00132D71" w:rsidP="000209E8">
      <w:pPr>
        <w:jc w:val="both"/>
        <w:rPr>
          <w:rStyle w:val="fontstyle01"/>
          <w:rFonts w:ascii="Arial" w:hAnsi="Arial" w:cs="Arial"/>
          <w:color w:val="0070C0"/>
          <w:sz w:val="22"/>
          <w:szCs w:val="22"/>
        </w:rPr>
      </w:pPr>
    </w:p>
    <w:p w14:paraId="20A96FBA" w14:textId="77777777" w:rsidR="00132D71" w:rsidRDefault="00132D71" w:rsidP="000209E8">
      <w:pPr>
        <w:jc w:val="both"/>
        <w:rPr>
          <w:rFonts w:ascii="Arial" w:hAnsi="Arial" w:cs="Arial"/>
          <w:color w:val="0070C0"/>
        </w:rPr>
        <w:sectPr w:rsidR="00132D71" w:rsidSect="00132D71">
          <w:headerReference w:type="default" r:id="rId13"/>
          <w:pgSz w:w="11906" w:h="16838" w:code="9"/>
          <w:pgMar w:top="1418" w:right="1418" w:bottom="1418" w:left="1418" w:header="720" w:footer="720" w:gutter="0"/>
          <w:pgNumType w:start="1"/>
          <w:cols w:space="720"/>
          <w:docGrid w:linePitch="360"/>
        </w:sectPr>
      </w:pPr>
    </w:p>
    <w:p w14:paraId="20C5E37A" w14:textId="38219987" w:rsidR="0024119A" w:rsidRPr="0024119A" w:rsidRDefault="00E428AC" w:rsidP="005F7EA2">
      <w:pPr>
        <w:pStyle w:val="Caption"/>
        <w:rPr>
          <w:rFonts w:ascii="Arial" w:hAnsi="Arial" w:cs="Arial"/>
          <w:i w:val="0"/>
          <w:iCs w:val="0"/>
          <w:sz w:val="20"/>
          <w:szCs w:val="20"/>
        </w:rPr>
      </w:pPr>
      <w:r w:rsidRPr="00032103">
        <w:rPr>
          <w:rFonts w:ascii="Arial" w:hAnsi="Arial" w:cs="Arial"/>
          <w:i w:val="0"/>
          <w:noProof/>
          <w:sz w:val="20"/>
          <w:szCs w:val="20"/>
        </w:rPr>
        <w:object w:dxaOrig="8286" w:dyaOrig="7256" w14:anchorId="6B5B6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7pt;height:362.45pt;mso-width-percent:0;mso-height-percent:0;mso-width-percent:0;mso-height-percent:0" o:ole="">
            <v:imagedata r:id="rId14" o:title=""/>
          </v:shape>
          <o:OLEObject Type="Embed" ProgID="RFFlow4" ShapeID="_x0000_i1025" DrawAspect="Content" ObjectID="_1752766325" r:id="rId15"/>
        </w:object>
      </w:r>
    </w:p>
    <w:p w14:paraId="3D2AF07F" w14:textId="422728B9" w:rsidR="005F7EA2" w:rsidRPr="0006580F" w:rsidRDefault="005F7EA2" w:rsidP="005F7EA2">
      <w:pPr>
        <w:pStyle w:val="Caption"/>
        <w:rPr>
          <w:rFonts w:ascii="Arial" w:hAnsi="Arial" w:cs="Arial"/>
          <w:color w:val="auto"/>
          <w:sz w:val="22"/>
          <w:szCs w:val="22"/>
          <w:u w:val="single"/>
        </w:rPr>
      </w:pPr>
      <w:bookmarkStart w:id="3" w:name="_Toc142149971"/>
      <w:r w:rsidRPr="0006580F">
        <w:rPr>
          <w:rFonts w:ascii="Arial" w:hAnsi="Arial" w:cs="Arial"/>
          <w:color w:val="auto"/>
          <w:sz w:val="22"/>
          <w:szCs w:val="22"/>
          <w:u w:val="single"/>
        </w:rPr>
        <w:t xml:space="preserve">Figure </w:t>
      </w:r>
      <w:r w:rsidRPr="0006580F">
        <w:rPr>
          <w:rFonts w:ascii="Arial" w:hAnsi="Arial" w:cs="Arial"/>
          <w:color w:val="auto"/>
          <w:sz w:val="22"/>
          <w:szCs w:val="22"/>
          <w:u w:val="single"/>
        </w:rPr>
        <w:fldChar w:fldCharType="begin"/>
      </w:r>
      <w:r w:rsidRPr="0006580F">
        <w:rPr>
          <w:rFonts w:ascii="Arial" w:hAnsi="Arial" w:cs="Arial"/>
          <w:color w:val="auto"/>
          <w:sz w:val="22"/>
          <w:szCs w:val="22"/>
          <w:u w:val="single"/>
        </w:rPr>
        <w:instrText xml:space="preserve"> SEQ Figure \* ARABIC </w:instrText>
      </w:r>
      <w:r w:rsidRPr="0006580F">
        <w:rPr>
          <w:rFonts w:ascii="Arial" w:hAnsi="Arial" w:cs="Arial"/>
          <w:color w:val="auto"/>
          <w:sz w:val="22"/>
          <w:szCs w:val="22"/>
          <w:u w:val="single"/>
        </w:rPr>
        <w:fldChar w:fldCharType="separate"/>
      </w:r>
      <w:r w:rsidR="0078675A">
        <w:rPr>
          <w:rFonts w:ascii="Arial" w:hAnsi="Arial" w:cs="Arial"/>
          <w:noProof/>
          <w:color w:val="auto"/>
          <w:sz w:val="22"/>
          <w:szCs w:val="22"/>
          <w:u w:val="single"/>
        </w:rPr>
        <w:t>1</w:t>
      </w:r>
      <w:r w:rsidRPr="0006580F">
        <w:rPr>
          <w:rFonts w:ascii="Arial" w:hAnsi="Arial" w:cs="Arial"/>
          <w:color w:val="auto"/>
          <w:sz w:val="22"/>
          <w:szCs w:val="22"/>
          <w:u w:val="single"/>
        </w:rPr>
        <w:fldChar w:fldCharType="end"/>
      </w:r>
      <w:r w:rsidRPr="0006580F">
        <w:rPr>
          <w:rFonts w:ascii="Arial" w:hAnsi="Arial" w:cs="Arial"/>
          <w:color w:val="auto"/>
          <w:sz w:val="22"/>
          <w:szCs w:val="22"/>
          <w:u w:val="single"/>
        </w:rPr>
        <w:t>. E</w:t>
      </w:r>
      <w:r w:rsidR="0078675A">
        <w:rPr>
          <w:rFonts w:ascii="Arial" w:hAnsi="Arial" w:cs="Arial"/>
          <w:color w:val="auto"/>
          <w:sz w:val="22"/>
          <w:szCs w:val="22"/>
          <w:u w:val="single"/>
        </w:rPr>
        <w:t>fwon</w:t>
      </w:r>
      <w:r w:rsidRPr="0006580F">
        <w:rPr>
          <w:rFonts w:ascii="Arial" w:hAnsi="Arial" w:cs="Arial"/>
          <w:color w:val="auto"/>
          <w:sz w:val="22"/>
          <w:szCs w:val="22"/>
          <w:u w:val="single"/>
        </w:rPr>
        <w:t xml:space="preserve"> </w:t>
      </w:r>
      <w:r w:rsidR="0078675A">
        <w:rPr>
          <w:rFonts w:ascii="Arial" w:hAnsi="Arial" w:cs="Arial"/>
          <w:color w:val="auto"/>
          <w:sz w:val="22"/>
          <w:szCs w:val="22"/>
          <w:u w:val="single"/>
        </w:rPr>
        <w:t>Group</w:t>
      </w:r>
      <w:r w:rsidRPr="0006580F">
        <w:rPr>
          <w:rFonts w:ascii="Arial" w:hAnsi="Arial" w:cs="Arial"/>
          <w:color w:val="auto"/>
          <w:sz w:val="22"/>
          <w:szCs w:val="22"/>
          <w:u w:val="single"/>
        </w:rPr>
        <w:t xml:space="preserve"> </w:t>
      </w:r>
      <w:r w:rsidR="0078675A">
        <w:rPr>
          <w:rFonts w:ascii="Arial" w:hAnsi="Arial" w:cs="Arial"/>
          <w:color w:val="auto"/>
          <w:sz w:val="22"/>
          <w:szCs w:val="22"/>
          <w:u w:val="single"/>
        </w:rPr>
        <w:t>–</w:t>
      </w:r>
      <w:r w:rsidRPr="0006580F">
        <w:rPr>
          <w:rFonts w:ascii="Arial" w:hAnsi="Arial" w:cs="Arial"/>
          <w:color w:val="auto"/>
          <w:sz w:val="22"/>
          <w:szCs w:val="22"/>
          <w:u w:val="single"/>
        </w:rPr>
        <w:t xml:space="preserve"> F</w:t>
      </w:r>
      <w:r w:rsidR="0078675A">
        <w:rPr>
          <w:rFonts w:ascii="Arial" w:hAnsi="Arial" w:cs="Arial"/>
          <w:color w:val="auto"/>
          <w:sz w:val="22"/>
          <w:szCs w:val="22"/>
          <w:u w:val="single"/>
        </w:rPr>
        <w:t>low of</w:t>
      </w:r>
      <w:r w:rsidRPr="0006580F">
        <w:rPr>
          <w:rFonts w:ascii="Arial" w:hAnsi="Arial" w:cs="Arial"/>
          <w:color w:val="auto"/>
          <w:sz w:val="22"/>
          <w:szCs w:val="22"/>
          <w:u w:val="single"/>
        </w:rPr>
        <w:t xml:space="preserve"> F</w:t>
      </w:r>
      <w:r w:rsidR="0078675A">
        <w:rPr>
          <w:rFonts w:ascii="Arial" w:hAnsi="Arial" w:cs="Arial"/>
          <w:color w:val="auto"/>
          <w:sz w:val="22"/>
          <w:szCs w:val="22"/>
          <w:u w:val="single"/>
        </w:rPr>
        <w:t>unds</w:t>
      </w:r>
      <w:r w:rsidR="003E7F24" w:rsidRPr="0006580F">
        <w:rPr>
          <w:rStyle w:val="FootnoteReference"/>
          <w:rFonts w:ascii="Arial" w:hAnsi="Arial" w:cs="Arial"/>
          <w:color w:val="auto"/>
          <w:sz w:val="22"/>
          <w:szCs w:val="22"/>
          <w:u w:val="single"/>
        </w:rPr>
        <w:footnoteReference w:id="2"/>
      </w:r>
      <w:bookmarkEnd w:id="3"/>
    </w:p>
    <w:p w14:paraId="7B559284" w14:textId="77777777" w:rsidR="005F7EA2" w:rsidRDefault="005F7EA2">
      <w:pPr>
        <w:rPr>
          <w:rFonts w:ascii="Arial" w:hAnsi="Arial" w:cs="Arial"/>
          <w:b/>
          <w:bCs/>
          <w:i/>
          <w:iCs/>
        </w:rPr>
      </w:pPr>
      <w:r>
        <w:rPr>
          <w:rFonts w:ascii="Arial" w:hAnsi="Arial" w:cs="Arial"/>
          <w:b/>
          <w:bCs/>
          <w:i/>
          <w:iCs/>
        </w:rPr>
        <w:br w:type="page"/>
      </w:r>
    </w:p>
    <w:p w14:paraId="5AB5687E" w14:textId="16EDC275" w:rsidR="000209E8" w:rsidRPr="00EB6400" w:rsidRDefault="000209E8" w:rsidP="0037226D">
      <w:pPr>
        <w:pStyle w:val="Heading2"/>
        <w:numPr>
          <w:ilvl w:val="0"/>
          <w:numId w:val="7"/>
        </w:numPr>
        <w:spacing w:after="120" w:line="240" w:lineRule="auto"/>
        <w:ind w:hanging="357"/>
        <w:rPr>
          <w:rFonts w:ascii="Arial" w:hAnsi="Arial" w:cs="Arial"/>
          <w:b/>
          <w:bCs/>
          <w:color w:val="auto"/>
          <w:sz w:val="22"/>
          <w:szCs w:val="22"/>
        </w:rPr>
      </w:pPr>
      <w:bookmarkStart w:id="4" w:name="_Toc142153286"/>
      <w:r w:rsidRPr="00EB6400">
        <w:rPr>
          <w:rFonts w:ascii="Arial" w:hAnsi="Arial" w:cs="Arial"/>
          <w:b/>
          <w:bCs/>
          <w:color w:val="auto"/>
          <w:sz w:val="22"/>
          <w:szCs w:val="22"/>
        </w:rPr>
        <w:t>Proposed Strategy for Dealing with the Group</w:t>
      </w:r>
      <w:bookmarkEnd w:id="4"/>
    </w:p>
    <w:p w14:paraId="3B5DC46E" w14:textId="15C2D8BA" w:rsidR="0074754B" w:rsidRPr="009E3B33" w:rsidRDefault="0006580F" w:rsidP="0037226D">
      <w:pPr>
        <w:spacing w:after="240" w:line="360" w:lineRule="auto"/>
        <w:jc w:val="both"/>
        <w:rPr>
          <w:rFonts w:ascii="Arial" w:hAnsi="Arial" w:cs="Arial"/>
        </w:rPr>
      </w:pPr>
      <w:r w:rsidRPr="009E3B33">
        <w:rPr>
          <w:rFonts w:ascii="Arial" w:hAnsi="Arial" w:cs="Arial"/>
        </w:rPr>
        <w:t>Figure 1 above depicts the flow of funds into the various companies</w:t>
      </w:r>
      <w:r w:rsidR="0074754B" w:rsidRPr="009E3B33">
        <w:rPr>
          <w:rFonts w:ascii="Arial" w:hAnsi="Arial" w:cs="Arial"/>
        </w:rPr>
        <w:t>. The diagram shows the investments and loans to subsidiary companies in various jurisdictions. Therefore, a cross-border insolvency approach is unavoidable.</w:t>
      </w:r>
      <w:r w:rsidR="0074754B" w:rsidRPr="009E3B33">
        <w:rPr>
          <w:rStyle w:val="FootnoteReference"/>
          <w:rFonts w:ascii="Arial" w:hAnsi="Arial" w:cs="Arial"/>
        </w:rPr>
        <w:footnoteReference w:id="3"/>
      </w:r>
    </w:p>
    <w:p w14:paraId="5D924364" w14:textId="19A973A6" w:rsidR="004D7679" w:rsidRPr="009E3B33" w:rsidRDefault="0006580F" w:rsidP="0037226D">
      <w:pPr>
        <w:spacing w:after="240" w:line="360" w:lineRule="auto"/>
        <w:jc w:val="both"/>
        <w:rPr>
          <w:rFonts w:ascii="Arial" w:hAnsi="Arial" w:cs="Arial"/>
        </w:rPr>
      </w:pPr>
      <w:r w:rsidRPr="009E3B33">
        <w:rPr>
          <w:rFonts w:ascii="Arial" w:hAnsi="Arial" w:cs="Arial"/>
        </w:rPr>
        <w:t>We recommend implementing a comprehensive restructuring strategy to navigate the insolvency issues and facilitate the deal with KuasaNas</w:t>
      </w:r>
      <w:r w:rsidR="00132D71" w:rsidRPr="009E3B33">
        <w:rPr>
          <w:rFonts w:ascii="Arial" w:hAnsi="Arial" w:cs="Arial"/>
        </w:rPr>
        <w:t>. This strategy should involve a combination of legal measures, negotiation with creditors, and potential insolvency proceedings to protect the interests of Efwon Investments and Efwon Trading.</w:t>
      </w:r>
      <w:r w:rsidR="007E209C" w:rsidRPr="009E3B33">
        <w:rPr>
          <w:rStyle w:val="FootnoteReference"/>
          <w:rFonts w:ascii="Arial" w:hAnsi="Arial" w:cs="Arial"/>
        </w:rPr>
        <w:footnoteReference w:id="4"/>
      </w:r>
      <w:r w:rsidR="00132D71" w:rsidRPr="009E3B33">
        <w:rPr>
          <w:rFonts w:ascii="Arial" w:hAnsi="Arial" w:cs="Arial"/>
        </w:rPr>
        <w:t xml:space="preserve"> </w:t>
      </w:r>
    </w:p>
    <w:p w14:paraId="20317B1F" w14:textId="246DB5FC" w:rsidR="004D7679" w:rsidRPr="009E3B33" w:rsidRDefault="004D7679" w:rsidP="0037226D">
      <w:pPr>
        <w:spacing w:after="240" w:line="360" w:lineRule="auto"/>
        <w:jc w:val="both"/>
        <w:rPr>
          <w:rFonts w:ascii="Arial" w:hAnsi="Arial" w:cs="Arial"/>
        </w:rPr>
      </w:pPr>
      <w:bookmarkStart w:id="5" w:name="_Hlk141093213"/>
      <w:r w:rsidRPr="009E3B33">
        <w:rPr>
          <w:rFonts w:ascii="Arial" w:hAnsi="Arial" w:cs="Arial"/>
        </w:rPr>
        <w:t>In order to shorten the process and follow best practice</w:t>
      </w:r>
      <w:r w:rsidR="0006580F" w:rsidRPr="009E3B33">
        <w:rPr>
          <w:rFonts w:ascii="Arial" w:hAnsi="Arial" w:cs="Arial"/>
        </w:rPr>
        <w:t>s</w:t>
      </w:r>
      <w:r w:rsidRPr="009E3B33">
        <w:rPr>
          <w:rFonts w:ascii="Arial" w:hAnsi="Arial" w:cs="Arial"/>
        </w:rPr>
        <w:t xml:space="preserve"> in insolvency proceedings, </w:t>
      </w:r>
      <w:r w:rsidR="005E786F">
        <w:rPr>
          <w:rFonts w:ascii="Arial" w:hAnsi="Arial" w:cs="Arial"/>
        </w:rPr>
        <w:t>it is recommended that we follow</w:t>
      </w:r>
      <w:r w:rsidRPr="009E3B33">
        <w:rPr>
          <w:rFonts w:ascii="Arial" w:hAnsi="Arial" w:cs="Arial"/>
        </w:rPr>
        <w:t xml:space="preserve"> </w:t>
      </w:r>
      <w:r w:rsidRPr="009E3B33">
        <w:rPr>
          <w:rFonts w:ascii="Arial" w:hAnsi="Arial" w:cs="Arial"/>
          <w:shd w:val="clear" w:color="auto" w:fill="FFFFFF"/>
        </w:rPr>
        <w:t xml:space="preserve">the principles of informal restructuring set out in the publication </w:t>
      </w:r>
      <w:r w:rsidRPr="009E3B33">
        <w:rPr>
          <w:rFonts w:ascii="Arial" w:hAnsi="Arial" w:cs="Arial"/>
          <w:i/>
          <w:iCs/>
          <w:shd w:val="clear" w:color="auto" w:fill="FFFFFF"/>
        </w:rPr>
        <w:t>Statement of Principles for a Global Approach to Multi-Creditor Workouts 11 (2017)</w:t>
      </w:r>
      <w:r w:rsidR="0006580F" w:rsidRPr="009E3B33">
        <w:rPr>
          <w:rStyle w:val="FootnoteReference"/>
          <w:rFonts w:ascii="Arial" w:hAnsi="Arial" w:cs="Arial"/>
          <w:i/>
          <w:iCs/>
          <w:shd w:val="clear" w:color="auto" w:fill="FFFFFF"/>
        </w:rPr>
        <w:footnoteReference w:id="5"/>
      </w:r>
      <w:r w:rsidRPr="009E3B33">
        <w:rPr>
          <w:rFonts w:ascii="Arial" w:hAnsi="Arial" w:cs="Arial"/>
          <w:shd w:val="clear" w:color="auto" w:fill="FFFFFF"/>
        </w:rPr>
        <w:t xml:space="preserve"> </w:t>
      </w:r>
      <w:r w:rsidR="005E786F">
        <w:rPr>
          <w:rFonts w:ascii="Arial" w:hAnsi="Arial" w:cs="Arial"/>
          <w:shd w:val="clear" w:color="auto" w:fill="FFFFFF"/>
        </w:rPr>
        <w:t xml:space="preserve">(the INSOL principles) </w:t>
      </w:r>
      <w:r w:rsidRPr="009E3B33">
        <w:rPr>
          <w:rFonts w:ascii="Arial" w:hAnsi="Arial" w:cs="Arial"/>
          <w:shd w:val="clear" w:color="auto" w:fill="FFFFFF"/>
        </w:rPr>
        <w:t>as published by INSOL International. The eight principles documented by INSOL are the authoritative document or best practices for multi-creditor workouts</w:t>
      </w:r>
      <w:r w:rsidR="00292527">
        <w:rPr>
          <w:rFonts w:ascii="Arial" w:hAnsi="Arial" w:cs="Arial"/>
          <w:shd w:val="clear" w:color="auto" w:fill="FFFFFF"/>
        </w:rPr>
        <w:t xml:space="preserve">. It is recommended that the </w:t>
      </w:r>
      <w:r w:rsidRPr="009E3B33">
        <w:rPr>
          <w:rStyle w:val="FootnoteReference"/>
          <w:rFonts w:ascii="Arial" w:hAnsi="Arial" w:cs="Arial"/>
          <w:shd w:val="clear" w:color="auto" w:fill="FFFFFF"/>
        </w:rPr>
        <w:footnoteReference w:id="6"/>
      </w:r>
      <w:r w:rsidRPr="009E3B33">
        <w:rPr>
          <w:rFonts w:ascii="Arial" w:hAnsi="Arial" w:cs="Arial"/>
          <w:shd w:val="clear" w:color="auto" w:fill="FFFFFF"/>
        </w:rPr>
        <w:t xml:space="preserve"> </w:t>
      </w:r>
      <w:r w:rsidRPr="009E3B33">
        <w:rPr>
          <w:rFonts w:ascii="Arial" w:hAnsi="Arial" w:cs="Arial"/>
        </w:rPr>
        <w:t xml:space="preserve"> INSOL principles should be referred to as soon as any sign of financial distress is recognized.</w:t>
      </w:r>
      <w:r w:rsidRPr="009E3B33">
        <w:rPr>
          <w:rStyle w:val="FootnoteReference"/>
          <w:rFonts w:ascii="Arial" w:hAnsi="Arial" w:cs="Arial"/>
        </w:rPr>
        <w:footnoteReference w:id="7"/>
      </w:r>
      <w:r w:rsidRPr="009E3B33">
        <w:rPr>
          <w:rFonts w:ascii="Arial" w:hAnsi="Arial" w:cs="Arial"/>
        </w:rPr>
        <w:t xml:space="preserve"> Some authors have documented that insolvency recovery processes have been proven shorter if the </w:t>
      </w:r>
      <w:r w:rsidR="00B833E5" w:rsidRPr="009E3B33">
        <w:rPr>
          <w:rFonts w:ascii="Arial" w:hAnsi="Arial" w:cs="Arial"/>
        </w:rPr>
        <w:t>INSOL principles</w:t>
      </w:r>
      <w:r w:rsidRPr="009E3B33">
        <w:rPr>
          <w:rFonts w:ascii="Arial" w:hAnsi="Arial" w:cs="Arial"/>
        </w:rPr>
        <w:t xml:space="preserve"> </w:t>
      </w:r>
      <w:r w:rsidR="00F52076">
        <w:rPr>
          <w:rFonts w:ascii="Arial" w:hAnsi="Arial" w:cs="Arial"/>
        </w:rPr>
        <w:t xml:space="preserve">are </w:t>
      </w:r>
      <w:r w:rsidR="0084165C">
        <w:rPr>
          <w:rFonts w:ascii="Arial" w:hAnsi="Arial" w:cs="Arial"/>
        </w:rPr>
        <w:t xml:space="preserve">initiated </w:t>
      </w:r>
      <w:r w:rsidR="00F52076">
        <w:rPr>
          <w:rFonts w:ascii="Arial" w:hAnsi="Arial" w:cs="Arial"/>
        </w:rPr>
        <w:t xml:space="preserve">as soon as there are signs of </w:t>
      </w:r>
      <w:r w:rsidRPr="009E3B33">
        <w:rPr>
          <w:rFonts w:ascii="Arial" w:hAnsi="Arial" w:cs="Arial"/>
        </w:rPr>
        <w:t>financial distress</w:t>
      </w:r>
      <w:r w:rsidR="00F52076">
        <w:rPr>
          <w:rFonts w:ascii="Arial" w:hAnsi="Arial" w:cs="Arial"/>
        </w:rPr>
        <w:t>.</w:t>
      </w:r>
    </w:p>
    <w:p w14:paraId="50A9BA66" w14:textId="42D3CDFE" w:rsidR="0084165C" w:rsidRDefault="00F52076" w:rsidP="0037226D">
      <w:pPr>
        <w:spacing w:after="240" w:line="360" w:lineRule="auto"/>
        <w:jc w:val="both"/>
        <w:rPr>
          <w:rFonts w:ascii="Arial" w:hAnsi="Arial" w:cs="Arial"/>
          <w:shd w:val="clear" w:color="auto" w:fill="FFFFFF"/>
        </w:rPr>
      </w:pPr>
      <w:r>
        <w:rPr>
          <w:rFonts w:ascii="Arial" w:hAnsi="Arial" w:cs="Arial"/>
          <w:shd w:val="clear" w:color="auto" w:fill="FFFFFF"/>
        </w:rPr>
        <w:t xml:space="preserve">The INSOL principles are summarized </w:t>
      </w:r>
      <w:r w:rsidR="004D7679" w:rsidRPr="00167AE9">
        <w:rPr>
          <w:rFonts w:ascii="Arial" w:hAnsi="Arial" w:cs="Arial"/>
          <w:shd w:val="clear" w:color="auto" w:fill="FFFFFF"/>
        </w:rPr>
        <w:t>as follows:</w:t>
      </w:r>
    </w:p>
    <w:p w14:paraId="65039C27" w14:textId="0CFDEE74" w:rsidR="00F52076" w:rsidRPr="0084165C" w:rsidRDefault="0084165C" w:rsidP="008B59AF">
      <w:pPr>
        <w:pStyle w:val="ListParagraph"/>
        <w:numPr>
          <w:ilvl w:val="0"/>
          <w:numId w:val="9"/>
        </w:numPr>
        <w:spacing w:after="240" w:line="240" w:lineRule="auto"/>
        <w:ind w:left="1134" w:hanging="567"/>
        <w:contextualSpacing w:val="0"/>
        <w:jc w:val="both"/>
        <w:rPr>
          <w:rFonts w:ascii="Arial" w:hAnsi="Arial" w:cs="Arial"/>
          <w:shd w:val="clear" w:color="auto" w:fill="FFFFFF"/>
        </w:rPr>
      </w:pPr>
      <w:r>
        <w:rPr>
          <w:rFonts w:ascii="Arial" w:hAnsi="Arial" w:cs="Arial"/>
          <w:shd w:val="clear" w:color="auto" w:fill="FFFFFF"/>
        </w:rPr>
        <w:t>A</w:t>
      </w:r>
      <w:r w:rsidR="004D7679" w:rsidRPr="0084165C">
        <w:rPr>
          <w:rFonts w:ascii="Arial" w:hAnsi="Arial" w:cs="Arial"/>
          <w:shd w:val="clear" w:color="auto" w:fill="FFFFFF"/>
        </w:rPr>
        <w:t>ll creditors should be willing to cooperate</w:t>
      </w:r>
      <w:r w:rsidR="00C617CB" w:rsidRPr="0084165C">
        <w:rPr>
          <w:rFonts w:ascii="Arial" w:hAnsi="Arial" w:cs="Arial"/>
          <w:shd w:val="clear" w:color="auto" w:fill="FFFFFF"/>
        </w:rPr>
        <w:t>;</w:t>
      </w:r>
      <w:r w:rsidR="004D7679" w:rsidRPr="0084165C">
        <w:rPr>
          <w:rFonts w:ascii="Arial" w:hAnsi="Arial" w:cs="Arial"/>
          <w:shd w:val="clear" w:color="auto" w:fill="FFFFFF"/>
        </w:rPr>
        <w:t xml:space="preserve"> </w:t>
      </w:r>
    </w:p>
    <w:p w14:paraId="759C42CD" w14:textId="191CB435" w:rsidR="00C617CB" w:rsidRDefault="004D7679" w:rsidP="008B59AF">
      <w:pPr>
        <w:pStyle w:val="ListParagraph"/>
        <w:numPr>
          <w:ilvl w:val="0"/>
          <w:numId w:val="9"/>
        </w:numPr>
        <w:spacing w:after="240" w:line="240" w:lineRule="auto"/>
        <w:ind w:left="1134" w:hanging="567"/>
        <w:contextualSpacing w:val="0"/>
        <w:jc w:val="both"/>
        <w:rPr>
          <w:rFonts w:ascii="Arial" w:hAnsi="Arial" w:cs="Arial"/>
          <w:shd w:val="clear" w:color="auto" w:fill="FFFFFF"/>
        </w:rPr>
      </w:pPr>
      <w:r w:rsidRPr="00167AE9">
        <w:rPr>
          <w:rFonts w:ascii="Arial" w:hAnsi="Arial" w:cs="Arial"/>
          <w:shd w:val="clear" w:color="auto" w:fill="FFFFFF"/>
        </w:rPr>
        <w:t>Creditors should not take any steps to enforce their claims</w:t>
      </w:r>
      <w:r w:rsidR="00C617CB">
        <w:rPr>
          <w:rFonts w:ascii="Arial" w:hAnsi="Arial" w:cs="Arial"/>
          <w:shd w:val="clear" w:color="auto" w:fill="FFFFFF"/>
        </w:rPr>
        <w:t>;</w:t>
      </w:r>
    </w:p>
    <w:p w14:paraId="134C26C8" w14:textId="7D3A202E" w:rsidR="00C617CB" w:rsidRDefault="004D7679" w:rsidP="008B59AF">
      <w:pPr>
        <w:pStyle w:val="ListParagraph"/>
        <w:numPr>
          <w:ilvl w:val="0"/>
          <w:numId w:val="9"/>
        </w:numPr>
        <w:spacing w:after="240" w:line="240" w:lineRule="auto"/>
        <w:ind w:left="1134" w:hanging="567"/>
        <w:contextualSpacing w:val="0"/>
        <w:jc w:val="both"/>
        <w:rPr>
          <w:rFonts w:ascii="Arial" w:hAnsi="Arial" w:cs="Arial"/>
          <w:shd w:val="clear" w:color="auto" w:fill="FFFFFF"/>
        </w:rPr>
      </w:pPr>
      <w:r w:rsidRPr="00167AE9">
        <w:rPr>
          <w:rFonts w:ascii="Arial" w:hAnsi="Arial" w:cs="Arial"/>
          <w:shd w:val="clear" w:color="auto" w:fill="FFFFFF"/>
        </w:rPr>
        <w:t>The debtor should not act adversely against any relevant creditor</w:t>
      </w:r>
      <w:r w:rsidR="00C617CB">
        <w:rPr>
          <w:rFonts w:ascii="Arial" w:hAnsi="Arial" w:cs="Arial"/>
          <w:shd w:val="clear" w:color="auto" w:fill="FFFFFF"/>
        </w:rPr>
        <w:t>;</w:t>
      </w:r>
    </w:p>
    <w:p w14:paraId="1075A522" w14:textId="7F73EE8C" w:rsidR="00C617CB" w:rsidRDefault="004D7679" w:rsidP="008B59AF">
      <w:pPr>
        <w:pStyle w:val="ListParagraph"/>
        <w:numPr>
          <w:ilvl w:val="0"/>
          <w:numId w:val="9"/>
        </w:numPr>
        <w:spacing w:after="240" w:line="240" w:lineRule="auto"/>
        <w:ind w:left="1134" w:hanging="567"/>
        <w:contextualSpacing w:val="0"/>
        <w:jc w:val="both"/>
        <w:rPr>
          <w:rFonts w:ascii="Arial" w:hAnsi="Arial" w:cs="Arial"/>
          <w:shd w:val="clear" w:color="auto" w:fill="FFFFFF"/>
        </w:rPr>
      </w:pPr>
      <w:r w:rsidRPr="00167AE9">
        <w:rPr>
          <w:rFonts w:ascii="Arial" w:hAnsi="Arial" w:cs="Arial"/>
          <w:shd w:val="clear" w:color="auto" w:fill="FFFFFF"/>
        </w:rPr>
        <w:t>The interest of relevant creditors is best served with a coordinated response</w:t>
      </w:r>
      <w:r w:rsidR="00C617CB">
        <w:rPr>
          <w:rFonts w:ascii="Arial" w:hAnsi="Arial" w:cs="Arial"/>
          <w:shd w:val="clear" w:color="auto" w:fill="FFFFFF"/>
        </w:rPr>
        <w:t>;</w:t>
      </w:r>
    </w:p>
    <w:p w14:paraId="0FE8ACBD" w14:textId="5CF33BC9" w:rsidR="00C617CB" w:rsidRDefault="004D7679" w:rsidP="008B59AF">
      <w:pPr>
        <w:pStyle w:val="ListParagraph"/>
        <w:numPr>
          <w:ilvl w:val="0"/>
          <w:numId w:val="9"/>
        </w:numPr>
        <w:spacing w:after="240" w:line="240" w:lineRule="auto"/>
        <w:ind w:left="1134" w:hanging="567"/>
        <w:contextualSpacing w:val="0"/>
        <w:jc w:val="both"/>
        <w:rPr>
          <w:rFonts w:ascii="Arial" w:hAnsi="Arial" w:cs="Arial"/>
          <w:shd w:val="clear" w:color="auto" w:fill="FFFFFF"/>
        </w:rPr>
      </w:pPr>
      <w:r w:rsidRPr="00167AE9">
        <w:rPr>
          <w:rFonts w:ascii="Arial" w:hAnsi="Arial" w:cs="Arial"/>
          <w:shd w:val="clear" w:color="auto" w:fill="FFFFFF"/>
        </w:rPr>
        <w:t>The debtor should provide the necessary and relevant information to the creditors and advisors for proper evaluation</w:t>
      </w:r>
      <w:r w:rsidR="00C617CB">
        <w:rPr>
          <w:rFonts w:ascii="Arial" w:hAnsi="Arial" w:cs="Arial"/>
          <w:shd w:val="clear" w:color="auto" w:fill="FFFFFF"/>
        </w:rPr>
        <w:t>.</w:t>
      </w:r>
    </w:p>
    <w:p w14:paraId="308CEDE6" w14:textId="7A496E00" w:rsidR="00F31CD8" w:rsidRDefault="004D7679" w:rsidP="008B59AF">
      <w:pPr>
        <w:pStyle w:val="ListParagraph"/>
        <w:numPr>
          <w:ilvl w:val="0"/>
          <w:numId w:val="9"/>
        </w:numPr>
        <w:spacing w:after="240" w:line="240" w:lineRule="auto"/>
        <w:ind w:left="1134" w:hanging="567"/>
        <w:contextualSpacing w:val="0"/>
        <w:jc w:val="both"/>
        <w:rPr>
          <w:rFonts w:ascii="Arial" w:hAnsi="Arial" w:cs="Arial"/>
          <w:shd w:val="clear" w:color="auto" w:fill="FFFFFF"/>
        </w:rPr>
      </w:pPr>
      <w:r w:rsidRPr="00167AE9">
        <w:rPr>
          <w:rFonts w:ascii="Arial" w:hAnsi="Arial" w:cs="Arial"/>
          <w:shd w:val="clear" w:color="auto" w:fill="FFFFFF"/>
        </w:rPr>
        <w:t>The standstill period should adhere to all relevant laws and the relative positions of the debtors at the standstill commencement date</w:t>
      </w:r>
      <w:r w:rsidR="00F31CD8">
        <w:rPr>
          <w:rFonts w:ascii="Arial" w:hAnsi="Arial" w:cs="Arial"/>
          <w:shd w:val="clear" w:color="auto" w:fill="FFFFFF"/>
        </w:rPr>
        <w:t>;</w:t>
      </w:r>
    </w:p>
    <w:p w14:paraId="5B13F221" w14:textId="6E0DE9FD" w:rsidR="00F31CD8" w:rsidRDefault="004D7679" w:rsidP="008B59AF">
      <w:pPr>
        <w:pStyle w:val="ListParagraph"/>
        <w:numPr>
          <w:ilvl w:val="0"/>
          <w:numId w:val="9"/>
        </w:numPr>
        <w:spacing w:after="240" w:line="240" w:lineRule="auto"/>
        <w:ind w:left="1134" w:hanging="567"/>
        <w:contextualSpacing w:val="0"/>
        <w:jc w:val="both"/>
        <w:rPr>
          <w:rFonts w:ascii="Arial" w:hAnsi="Arial" w:cs="Arial"/>
          <w:shd w:val="clear" w:color="auto" w:fill="FFFFFF"/>
        </w:rPr>
      </w:pPr>
      <w:r w:rsidRPr="00167AE9">
        <w:rPr>
          <w:rFonts w:ascii="Arial" w:hAnsi="Arial" w:cs="Arial"/>
          <w:shd w:val="clear" w:color="auto" w:fill="FFFFFF"/>
        </w:rPr>
        <w:t>All information provided to the creditors should be held in confidence</w:t>
      </w:r>
      <w:r w:rsidR="00F31CD8">
        <w:rPr>
          <w:rFonts w:ascii="Arial" w:hAnsi="Arial" w:cs="Arial"/>
          <w:shd w:val="clear" w:color="auto" w:fill="FFFFFF"/>
        </w:rPr>
        <w:t>;</w:t>
      </w:r>
    </w:p>
    <w:p w14:paraId="0D9E88B2" w14:textId="28137970" w:rsidR="004D7679" w:rsidRPr="00167AE9" w:rsidRDefault="004D7679" w:rsidP="005D6B3B">
      <w:pPr>
        <w:pStyle w:val="ListParagraph"/>
        <w:numPr>
          <w:ilvl w:val="0"/>
          <w:numId w:val="9"/>
        </w:numPr>
        <w:spacing w:after="240" w:line="240" w:lineRule="auto"/>
        <w:ind w:left="1134" w:hanging="567"/>
        <w:contextualSpacing w:val="0"/>
        <w:jc w:val="both"/>
        <w:rPr>
          <w:rFonts w:ascii="Arial" w:hAnsi="Arial" w:cs="Arial"/>
          <w:shd w:val="clear" w:color="auto" w:fill="FFFFFF"/>
        </w:rPr>
      </w:pPr>
      <w:r w:rsidRPr="00167AE9">
        <w:rPr>
          <w:rFonts w:ascii="Arial" w:hAnsi="Arial" w:cs="Arial"/>
          <w:shd w:val="clear" w:color="auto" w:fill="FFFFFF"/>
        </w:rPr>
        <w:t>If funding is provided, the repayment of the funding is given priority.</w:t>
      </w:r>
    </w:p>
    <w:p w14:paraId="4536EDA8" w14:textId="1FEB41C4" w:rsidR="004D7679" w:rsidRPr="00167AE9" w:rsidRDefault="008B59AF" w:rsidP="0037226D">
      <w:pPr>
        <w:spacing w:after="240" w:line="360" w:lineRule="auto"/>
        <w:rPr>
          <w:rFonts w:ascii="Arial" w:hAnsi="Arial" w:cs="Arial"/>
          <w:shd w:val="clear" w:color="auto" w:fill="FFFFFF"/>
        </w:rPr>
      </w:pPr>
      <w:r>
        <w:rPr>
          <w:rFonts w:ascii="Arial" w:hAnsi="Arial" w:cs="Arial"/>
          <w:shd w:val="clear" w:color="auto" w:fill="FFFFFF"/>
        </w:rPr>
        <w:t>In the information provided, we submit that the</w:t>
      </w:r>
      <w:r w:rsidR="004D7679" w:rsidRPr="00167AE9">
        <w:rPr>
          <w:rFonts w:ascii="Arial" w:hAnsi="Arial" w:cs="Arial"/>
          <w:shd w:val="clear" w:color="auto" w:fill="FFFFFF"/>
        </w:rPr>
        <w:t xml:space="preserve"> first two principles of informal restructuring, as advocated by INSOL International 2017, are </w:t>
      </w:r>
      <w:r>
        <w:rPr>
          <w:rFonts w:ascii="Arial" w:hAnsi="Arial" w:cs="Arial"/>
          <w:shd w:val="clear" w:color="auto" w:fill="FFFFFF"/>
        </w:rPr>
        <w:t xml:space="preserve">the most relevant. Because of the perceived relevancy, the first two principles are written in </w:t>
      </w:r>
      <w:r w:rsidR="00B833E5">
        <w:rPr>
          <w:rFonts w:ascii="Arial" w:hAnsi="Arial" w:cs="Arial"/>
          <w:shd w:val="clear" w:color="auto" w:fill="FFFFFF"/>
        </w:rPr>
        <w:t xml:space="preserve">full </w:t>
      </w:r>
      <w:r w:rsidR="00B833E5" w:rsidRPr="00167AE9">
        <w:rPr>
          <w:rFonts w:ascii="Arial" w:hAnsi="Arial" w:cs="Arial"/>
          <w:shd w:val="clear" w:color="auto" w:fill="FFFFFF"/>
        </w:rPr>
        <w:t>as</w:t>
      </w:r>
      <w:r w:rsidR="004D7679" w:rsidRPr="00167AE9">
        <w:rPr>
          <w:rFonts w:ascii="Arial" w:hAnsi="Arial" w:cs="Arial"/>
          <w:shd w:val="clear" w:color="auto" w:fill="FFFFFF"/>
        </w:rPr>
        <w:t xml:space="preserve"> follows:</w:t>
      </w:r>
    </w:p>
    <w:p w14:paraId="67481408" w14:textId="5E187A7E" w:rsidR="004D7679" w:rsidRPr="005B09A2" w:rsidRDefault="004D7679" w:rsidP="005D6B3B">
      <w:pPr>
        <w:spacing w:after="240" w:line="360" w:lineRule="auto"/>
        <w:ind w:left="1134" w:right="565"/>
        <w:jc w:val="both"/>
        <w:rPr>
          <w:rFonts w:ascii="Arial" w:hAnsi="Arial" w:cs="Arial"/>
        </w:rPr>
      </w:pPr>
      <w:r w:rsidRPr="005B09A2">
        <w:rPr>
          <w:rFonts w:ascii="Arial" w:hAnsi="Arial" w:cs="Arial"/>
          <w:b/>
          <w:bCs/>
        </w:rPr>
        <w:t xml:space="preserve">First Principle: </w:t>
      </w:r>
      <w:r w:rsidRPr="005B09A2">
        <w:rPr>
          <w:rFonts w:ascii="Arial" w:hAnsi="Arial" w:cs="Arial"/>
        </w:rPr>
        <w:t>Where a debtor is found to be in financial difficulties, all relevant creditors should be prepared to cooperate to give sufficient (though limited) time (a "Standstill Period") to the debtor for information about the debtor to be obtained and evaluated and for proposals for resolving the debtor's financial difficulties to be formulated and assessed, unless such a course is inappropriate in a particular case.</w:t>
      </w:r>
      <w:r w:rsidR="00DE0F80">
        <w:rPr>
          <w:rStyle w:val="FootnoteReference"/>
          <w:rFonts w:ascii="Arial" w:hAnsi="Arial" w:cs="Arial"/>
        </w:rPr>
        <w:footnoteReference w:id="8"/>
      </w:r>
      <w:r w:rsidRPr="005B09A2">
        <w:rPr>
          <w:rFonts w:ascii="Arial" w:hAnsi="Arial" w:cs="Arial"/>
        </w:rPr>
        <w:t xml:space="preserve"> </w:t>
      </w:r>
    </w:p>
    <w:p w14:paraId="3FE8DB3D" w14:textId="0FC94E25" w:rsidR="004D7679" w:rsidRDefault="004D7679" w:rsidP="005D6B3B">
      <w:pPr>
        <w:spacing w:after="240" w:line="360" w:lineRule="auto"/>
        <w:ind w:left="1134" w:right="565"/>
        <w:jc w:val="both"/>
        <w:rPr>
          <w:rFonts w:ascii="Arial" w:hAnsi="Arial" w:cs="Arial"/>
        </w:rPr>
      </w:pPr>
      <w:r w:rsidRPr="005B09A2">
        <w:rPr>
          <w:rFonts w:ascii="Arial" w:hAnsi="Arial" w:cs="Arial"/>
          <w:b/>
          <w:bCs/>
        </w:rPr>
        <w:t xml:space="preserve">Second Principle: </w:t>
      </w:r>
      <w:r w:rsidRPr="005B09A2">
        <w:rPr>
          <w:rFonts w:ascii="Arial" w:hAnsi="Arial" w:cs="Arial"/>
        </w:rPr>
        <w:t>During the standstill period, all relevant creditors should agree to refrain from taking any steps to enforce their claims.</w:t>
      </w:r>
      <w:r w:rsidR="00DE0F80">
        <w:rPr>
          <w:rStyle w:val="FootnoteReference"/>
          <w:rFonts w:ascii="Arial" w:hAnsi="Arial" w:cs="Arial"/>
        </w:rPr>
        <w:footnoteReference w:id="9"/>
      </w:r>
      <w:r w:rsidRPr="005B09A2">
        <w:rPr>
          <w:rFonts w:ascii="Arial" w:hAnsi="Arial" w:cs="Arial"/>
        </w:rPr>
        <w:t xml:space="preserve"> This reduces the exposure to the debtor, but creditors should expect to maintain their current position relative to other creditors. There will be no prejudice against other creditors during the standstill. Conflicts of interest in the creditor group should be identified early and dealt with </w:t>
      </w:r>
      <w:r w:rsidR="002E6FDA" w:rsidRPr="005B09A2">
        <w:rPr>
          <w:rFonts w:ascii="Arial" w:hAnsi="Arial" w:cs="Arial"/>
        </w:rPr>
        <w:t>appropriately.</w:t>
      </w:r>
      <w:r w:rsidR="00DE0F80">
        <w:rPr>
          <w:rStyle w:val="FootnoteReference"/>
          <w:rFonts w:ascii="Arial" w:hAnsi="Arial" w:cs="Arial"/>
        </w:rPr>
        <w:footnoteReference w:id="10"/>
      </w:r>
      <w:r w:rsidR="002E6FDA">
        <w:rPr>
          <w:rFonts w:ascii="Arial" w:hAnsi="Arial" w:cs="Arial"/>
        </w:rPr>
        <w:t xml:space="preserve"> It</w:t>
      </w:r>
      <w:r w:rsidR="0066188C">
        <w:rPr>
          <w:rFonts w:ascii="Arial" w:hAnsi="Arial" w:cs="Arial"/>
        </w:rPr>
        <w:t xml:space="preserve"> should </w:t>
      </w:r>
      <w:r w:rsidR="00736538">
        <w:rPr>
          <w:rFonts w:ascii="Arial" w:hAnsi="Arial" w:cs="Arial"/>
        </w:rPr>
        <w:t>b</w:t>
      </w:r>
      <w:r w:rsidR="0066188C">
        <w:rPr>
          <w:rFonts w:ascii="Arial" w:hAnsi="Arial" w:cs="Arial"/>
        </w:rPr>
        <w:t>e stresse</w:t>
      </w:r>
      <w:r w:rsidR="00890D08">
        <w:rPr>
          <w:rFonts w:ascii="Arial" w:hAnsi="Arial" w:cs="Arial"/>
        </w:rPr>
        <w:t>d</w:t>
      </w:r>
      <w:r w:rsidR="0066188C">
        <w:rPr>
          <w:rFonts w:ascii="Arial" w:hAnsi="Arial" w:cs="Arial"/>
        </w:rPr>
        <w:t xml:space="preserve"> that the </w:t>
      </w:r>
      <w:r w:rsidR="002E6FDA">
        <w:rPr>
          <w:rFonts w:ascii="Arial" w:hAnsi="Arial" w:cs="Arial"/>
        </w:rPr>
        <w:t>Efwon</w:t>
      </w:r>
      <w:r w:rsidR="0066188C">
        <w:rPr>
          <w:rFonts w:ascii="Arial" w:hAnsi="Arial" w:cs="Arial"/>
        </w:rPr>
        <w:t xml:space="preserve"> Group should make every effort to avoid publicity when implementing any </w:t>
      </w:r>
      <w:r w:rsidR="002E6FDA">
        <w:rPr>
          <w:rFonts w:ascii="Arial" w:hAnsi="Arial" w:cs="Arial"/>
        </w:rPr>
        <w:t>strategy</w:t>
      </w:r>
      <w:r w:rsidR="0066188C">
        <w:rPr>
          <w:rFonts w:ascii="Arial" w:hAnsi="Arial" w:cs="Arial"/>
        </w:rPr>
        <w:t>. I</w:t>
      </w:r>
      <w:r w:rsidR="00890D08">
        <w:rPr>
          <w:rFonts w:ascii="Arial" w:hAnsi="Arial" w:cs="Arial"/>
        </w:rPr>
        <w:t xml:space="preserve">f </w:t>
      </w:r>
      <w:r w:rsidR="002E6FDA">
        <w:rPr>
          <w:rFonts w:ascii="Arial" w:hAnsi="Arial" w:cs="Arial"/>
        </w:rPr>
        <w:t>the restructuring</w:t>
      </w:r>
      <w:r w:rsidR="00890D08">
        <w:rPr>
          <w:rFonts w:ascii="Arial" w:hAnsi="Arial" w:cs="Arial"/>
        </w:rPr>
        <w:t xml:space="preserve"> process is made public, there is </w:t>
      </w:r>
      <w:r w:rsidR="000507A8">
        <w:rPr>
          <w:rFonts w:ascii="Arial" w:hAnsi="Arial" w:cs="Arial"/>
        </w:rPr>
        <w:t xml:space="preserve">a </w:t>
      </w:r>
      <w:r w:rsidR="00890D08">
        <w:rPr>
          <w:rFonts w:ascii="Arial" w:hAnsi="Arial" w:cs="Arial"/>
        </w:rPr>
        <w:t>danger</w:t>
      </w:r>
      <w:r w:rsidR="000507A8">
        <w:rPr>
          <w:rFonts w:ascii="Arial" w:hAnsi="Arial" w:cs="Arial"/>
        </w:rPr>
        <w:t xml:space="preserve"> of</w:t>
      </w:r>
      <w:r w:rsidRPr="005B09A2">
        <w:rPr>
          <w:rFonts w:ascii="Arial" w:hAnsi="Arial" w:cs="Arial"/>
        </w:rPr>
        <w:t xml:space="preserve"> "a </w:t>
      </w:r>
      <w:r w:rsidRPr="005B09A2">
        <w:rPr>
          <w:rFonts w:ascii="Arial" w:hAnsi="Arial" w:cs="Arial"/>
          <w:i/>
          <w:iCs/>
        </w:rPr>
        <w:t>race to collect</w:t>
      </w:r>
      <w:r>
        <w:rPr>
          <w:rFonts w:ascii="Arial" w:hAnsi="Arial" w:cs="Arial"/>
          <w:i/>
          <w:iCs/>
        </w:rPr>
        <w:t>,</w:t>
      </w:r>
      <w:r w:rsidRPr="005B09A2">
        <w:rPr>
          <w:rFonts w:ascii="Arial" w:hAnsi="Arial" w:cs="Arial"/>
          <w:i/>
          <w:iCs/>
        </w:rPr>
        <w:t>"</w:t>
      </w:r>
      <w:r>
        <w:rPr>
          <w:rStyle w:val="FootnoteReference"/>
          <w:rFonts w:ascii="Arial" w:hAnsi="Arial" w:cs="Arial"/>
          <w:i/>
          <w:iCs/>
        </w:rPr>
        <w:footnoteReference w:id="11"/>
      </w:r>
      <w:r w:rsidRPr="005B09A2">
        <w:rPr>
          <w:rFonts w:ascii="Arial" w:hAnsi="Arial" w:cs="Arial"/>
          <w:i/>
          <w:iCs/>
        </w:rPr>
        <w:t xml:space="preserve"> </w:t>
      </w:r>
      <w:r w:rsidRPr="005B09A2">
        <w:rPr>
          <w:rFonts w:ascii="Arial" w:hAnsi="Arial" w:cs="Arial"/>
        </w:rPr>
        <w:t>where creditors get in each other's way as they seek to enforce their legal remedies at the expense of other creditors</w:t>
      </w:r>
      <w:r>
        <w:rPr>
          <w:rStyle w:val="FootnoteReference"/>
          <w:rFonts w:ascii="Arial" w:hAnsi="Arial" w:cs="Arial"/>
        </w:rPr>
        <w:footnoteReference w:id="12"/>
      </w:r>
      <w:r w:rsidRPr="005B09A2">
        <w:rPr>
          <w:rFonts w:ascii="Arial" w:hAnsi="Arial" w:cs="Arial"/>
        </w:rPr>
        <w:t xml:space="preserve"> This process may involve seeking formal court-supervised procedures, not in the interest of any parties.</w:t>
      </w:r>
      <w:r>
        <w:rPr>
          <w:rStyle w:val="FootnoteReference"/>
          <w:rFonts w:ascii="Arial" w:hAnsi="Arial" w:cs="Arial"/>
        </w:rPr>
        <w:footnoteReference w:id="13"/>
      </w:r>
    </w:p>
    <w:p w14:paraId="6594BE19" w14:textId="77777777" w:rsidR="00E53DE5" w:rsidRDefault="00E53DE5" w:rsidP="005D6B3B">
      <w:pPr>
        <w:spacing w:after="240" w:line="360" w:lineRule="auto"/>
        <w:ind w:left="1134" w:right="565"/>
        <w:jc w:val="both"/>
        <w:rPr>
          <w:rFonts w:ascii="Arial" w:hAnsi="Arial" w:cs="Arial"/>
        </w:rPr>
        <w:sectPr w:rsidR="00E53DE5" w:rsidSect="000A081B">
          <w:pgSz w:w="11906" w:h="16838" w:code="9"/>
          <w:pgMar w:top="1418" w:right="1418" w:bottom="1418" w:left="1418" w:header="720" w:footer="720" w:gutter="0"/>
          <w:cols w:space="720"/>
          <w:docGrid w:linePitch="360"/>
        </w:sectPr>
      </w:pPr>
    </w:p>
    <w:bookmarkEnd w:id="5"/>
    <w:p w14:paraId="766F6EAC" w14:textId="2617AA68" w:rsidR="00132D71" w:rsidRPr="0037226D" w:rsidRDefault="008B59AF" w:rsidP="005D6B3B">
      <w:pPr>
        <w:spacing w:after="240" w:line="360" w:lineRule="auto"/>
        <w:jc w:val="both"/>
        <w:rPr>
          <w:rFonts w:ascii="Arial" w:hAnsi="Arial" w:cs="Arial"/>
        </w:rPr>
      </w:pPr>
      <w:r>
        <w:rPr>
          <w:rFonts w:ascii="Arial" w:hAnsi="Arial" w:cs="Arial"/>
        </w:rPr>
        <w:t>Specifically, the p</w:t>
      </w:r>
      <w:r w:rsidR="00D05C58" w:rsidRPr="0037226D">
        <w:rPr>
          <w:rFonts w:ascii="Arial" w:hAnsi="Arial" w:cs="Arial"/>
        </w:rPr>
        <w:t xml:space="preserve">roposed </w:t>
      </w:r>
      <w:r>
        <w:rPr>
          <w:rFonts w:ascii="Arial" w:hAnsi="Arial" w:cs="Arial"/>
        </w:rPr>
        <w:t>s</w:t>
      </w:r>
      <w:r w:rsidR="00D05C58" w:rsidRPr="0037226D">
        <w:rPr>
          <w:rFonts w:ascii="Arial" w:hAnsi="Arial" w:cs="Arial"/>
        </w:rPr>
        <w:t xml:space="preserve">trategy for dealing with the </w:t>
      </w:r>
      <w:r w:rsidR="000507A8">
        <w:rPr>
          <w:rFonts w:ascii="Arial" w:hAnsi="Arial" w:cs="Arial"/>
        </w:rPr>
        <w:t>G</w:t>
      </w:r>
      <w:r w:rsidR="00D05C58" w:rsidRPr="0037226D">
        <w:rPr>
          <w:rFonts w:ascii="Arial" w:hAnsi="Arial" w:cs="Arial"/>
        </w:rPr>
        <w:t>roup</w:t>
      </w:r>
      <w:r>
        <w:rPr>
          <w:rFonts w:ascii="Arial" w:hAnsi="Arial" w:cs="Arial"/>
        </w:rPr>
        <w:t xml:space="preserve"> included the following suggestions:</w:t>
      </w:r>
    </w:p>
    <w:p w14:paraId="13C660BA" w14:textId="210203B5" w:rsidR="00D05C58" w:rsidRDefault="00132D71" w:rsidP="005D6B3B">
      <w:pPr>
        <w:pStyle w:val="ListParagraph"/>
        <w:numPr>
          <w:ilvl w:val="1"/>
          <w:numId w:val="1"/>
        </w:numPr>
        <w:spacing w:after="120" w:line="240" w:lineRule="auto"/>
        <w:ind w:left="1134" w:hanging="573"/>
        <w:contextualSpacing w:val="0"/>
        <w:jc w:val="both"/>
        <w:rPr>
          <w:rFonts w:ascii="Arial" w:hAnsi="Arial" w:cs="Arial"/>
        </w:rPr>
      </w:pPr>
      <w:r w:rsidRPr="005251DD">
        <w:rPr>
          <w:rFonts w:ascii="Arial" w:hAnsi="Arial" w:cs="Arial"/>
          <w:i/>
          <w:iCs/>
          <w:u w:val="single"/>
        </w:rPr>
        <w:t>Assess the Financial Position</w:t>
      </w:r>
    </w:p>
    <w:p w14:paraId="6BE63B6B" w14:textId="6CCF165D" w:rsidR="008038AA" w:rsidRDefault="00DF4105" w:rsidP="0037226D">
      <w:pPr>
        <w:spacing w:after="240" w:line="360" w:lineRule="auto"/>
        <w:jc w:val="both"/>
        <w:rPr>
          <w:rFonts w:ascii="Arial" w:hAnsi="Arial" w:cs="Arial"/>
        </w:rPr>
      </w:pPr>
      <w:r w:rsidRPr="0037226D">
        <w:rPr>
          <w:rFonts w:ascii="Arial" w:hAnsi="Arial" w:cs="Arial"/>
        </w:rPr>
        <w:t xml:space="preserve">We </w:t>
      </w:r>
      <w:r w:rsidR="008038AA">
        <w:rPr>
          <w:rFonts w:ascii="Arial" w:hAnsi="Arial" w:cs="Arial"/>
        </w:rPr>
        <w:t>propose t</w:t>
      </w:r>
      <w:r w:rsidR="006257ED">
        <w:rPr>
          <w:rFonts w:ascii="Arial" w:hAnsi="Arial" w:cs="Arial"/>
        </w:rPr>
        <w:t>horoughly assessing</w:t>
      </w:r>
      <w:r w:rsidR="0006580F" w:rsidRPr="0037226D">
        <w:rPr>
          <w:rFonts w:ascii="Arial" w:hAnsi="Arial" w:cs="Arial"/>
        </w:rPr>
        <w:t xml:space="preserve"> the financial position of Efwon Trading and Efwon Romania to understand</w:t>
      </w:r>
      <w:r w:rsidR="00132D71" w:rsidRPr="0037226D">
        <w:rPr>
          <w:rFonts w:ascii="Arial" w:hAnsi="Arial" w:cs="Arial"/>
        </w:rPr>
        <w:t xml:space="preserve"> their respective liabilities, assets, and cash flow. This assessment will form the basis for the subsequent restructuring plan.</w:t>
      </w:r>
      <w:r w:rsidRPr="0037226D">
        <w:rPr>
          <w:rFonts w:ascii="Arial" w:hAnsi="Arial" w:cs="Arial"/>
        </w:rPr>
        <w:t xml:space="preserve"> </w:t>
      </w:r>
    </w:p>
    <w:p w14:paraId="23A61F87" w14:textId="61E74B01" w:rsidR="00132D71" w:rsidRPr="008B59AF" w:rsidRDefault="00DF4105" w:rsidP="008B59AF">
      <w:pPr>
        <w:spacing w:after="240" w:line="360" w:lineRule="auto"/>
        <w:jc w:val="both"/>
        <w:rPr>
          <w:rFonts w:ascii="Arial" w:hAnsi="Arial" w:cs="Arial"/>
        </w:rPr>
      </w:pPr>
      <w:r w:rsidRPr="008B59AF">
        <w:rPr>
          <w:rFonts w:ascii="Arial" w:hAnsi="Arial" w:cs="Arial"/>
        </w:rPr>
        <w:t xml:space="preserve">To begin this assessment process, we </w:t>
      </w:r>
      <w:r w:rsidR="008038AA">
        <w:rPr>
          <w:rFonts w:ascii="Arial" w:hAnsi="Arial" w:cs="Arial"/>
        </w:rPr>
        <w:t>shall request</w:t>
      </w:r>
      <w:r w:rsidRPr="008B59AF">
        <w:rPr>
          <w:rFonts w:ascii="Arial" w:hAnsi="Arial" w:cs="Arial"/>
        </w:rPr>
        <w:t xml:space="preserve"> the financial statements of all of the companies in the </w:t>
      </w:r>
      <w:r w:rsidR="002E6FDA">
        <w:rPr>
          <w:rFonts w:ascii="Arial" w:hAnsi="Arial" w:cs="Arial"/>
        </w:rPr>
        <w:t>Efwon</w:t>
      </w:r>
      <w:r w:rsidR="00AD7C49">
        <w:rPr>
          <w:rFonts w:ascii="Arial" w:hAnsi="Arial" w:cs="Arial"/>
        </w:rPr>
        <w:t xml:space="preserve"> </w:t>
      </w:r>
      <w:r w:rsidRPr="008B59AF">
        <w:rPr>
          <w:rFonts w:ascii="Arial" w:hAnsi="Arial" w:cs="Arial"/>
        </w:rPr>
        <w:t xml:space="preserve">Group. </w:t>
      </w:r>
      <w:r w:rsidR="00AD7C49">
        <w:rPr>
          <w:rFonts w:ascii="Arial" w:hAnsi="Arial" w:cs="Arial"/>
        </w:rPr>
        <w:t>We prefer a</w:t>
      </w:r>
      <w:r w:rsidRPr="008B59AF">
        <w:rPr>
          <w:rFonts w:ascii="Arial" w:hAnsi="Arial" w:cs="Arial"/>
        </w:rPr>
        <w:t>udited statements</w:t>
      </w:r>
      <w:r w:rsidR="000507A8">
        <w:rPr>
          <w:rFonts w:ascii="Arial" w:hAnsi="Arial" w:cs="Arial"/>
        </w:rPr>
        <w:t>,</w:t>
      </w:r>
      <w:r w:rsidRPr="008B59AF">
        <w:rPr>
          <w:rFonts w:ascii="Arial" w:hAnsi="Arial" w:cs="Arial"/>
        </w:rPr>
        <w:t xml:space="preserve"> but internal managerial statements are acceptable</w:t>
      </w:r>
      <w:r w:rsidR="0006580F" w:rsidRPr="008B59AF">
        <w:rPr>
          <w:rFonts w:ascii="Arial" w:hAnsi="Arial" w:cs="Arial"/>
        </w:rPr>
        <w:t xml:space="preserve"> in the essence of time</w:t>
      </w:r>
      <w:r w:rsidRPr="008B59AF">
        <w:rPr>
          <w:rFonts w:ascii="Arial" w:hAnsi="Arial" w:cs="Arial"/>
        </w:rPr>
        <w:t xml:space="preserve">. We would also like to review budgets, financial projections, board minutes, and other internal information. </w:t>
      </w:r>
      <w:r w:rsidR="008263C9">
        <w:rPr>
          <w:rStyle w:val="FootnoteReference"/>
          <w:rFonts w:ascii="Arial" w:hAnsi="Arial" w:cs="Arial"/>
        </w:rPr>
        <w:footnoteReference w:id="14"/>
      </w:r>
    </w:p>
    <w:p w14:paraId="5D21C9E7" w14:textId="77777777" w:rsidR="00AD7C49" w:rsidRPr="0037226D" w:rsidRDefault="00132D71" w:rsidP="005D6B3B">
      <w:pPr>
        <w:pStyle w:val="ListParagraph"/>
        <w:numPr>
          <w:ilvl w:val="1"/>
          <w:numId w:val="1"/>
        </w:numPr>
        <w:spacing w:after="120" w:line="360" w:lineRule="auto"/>
        <w:ind w:left="1134" w:hanging="573"/>
        <w:contextualSpacing w:val="0"/>
        <w:jc w:val="both"/>
        <w:rPr>
          <w:rFonts w:ascii="Arial" w:hAnsi="Arial" w:cs="Arial"/>
        </w:rPr>
      </w:pPr>
      <w:r w:rsidRPr="005251DD">
        <w:rPr>
          <w:rFonts w:ascii="Arial" w:hAnsi="Arial" w:cs="Arial"/>
          <w:i/>
          <w:iCs/>
          <w:u w:val="single"/>
        </w:rPr>
        <w:t>Restructuring Plan:</w:t>
      </w:r>
      <w:r w:rsidRPr="005251DD">
        <w:rPr>
          <w:rFonts w:ascii="Arial" w:hAnsi="Arial" w:cs="Arial"/>
          <w:i/>
          <w:iCs/>
        </w:rPr>
        <w:t xml:space="preserve"> </w:t>
      </w:r>
    </w:p>
    <w:p w14:paraId="7FB2B459" w14:textId="0A33A9DF" w:rsidR="006366CA" w:rsidRDefault="00DF4105" w:rsidP="00056A3B">
      <w:pPr>
        <w:spacing w:after="240" w:line="360" w:lineRule="auto"/>
        <w:jc w:val="both"/>
        <w:rPr>
          <w:rFonts w:ascii="Arial" w:hAnsi="Arial" w:cs="Arial"/>
        </w:rPr>
      </w:pPr>
      <w:r w:rsidRPr="0037226D">
        <w:rPr>
          <w:rFonts w:ascii="Arial" w:hAnsi="Arial" w:cs="Arial"/>
        </w:rPr>
        <w:t xml:space="preserve">We </w:t>
      </w:r>
      <w:r w:rsidR="00AD7C49">
        <w:rPr>
          <w:rFonts w:ascii="Arial" w:hAnsi="Arial" w:cs="Arial"/>
        </w:rPr>
        <w:t>propose</w:t>
      </w:r>
      <w:r w:rsidRPr="0037226D">
        <w:rPr>
          <w:rFonts w:ascii="Arial" w:hAnsi="Arial" w:cs="Arial"/>
        </w:rPr>
        <w:t xml:space="preserve"> </w:t>
      </w:r>
      <w:r w:rsidR="0006580F" w:rsidRPr="0037226D">
        <w:rPr>
          <w:rFonts w:ascii="Arial" w:hAnsi="Arial" w:cs="Arial"/>
        </w:rPr>
        <w:t>developing</w:t>
      </w:r>
      <w:r w:rsidRPr="0037226D">
        <w:rPr>
          <w:rFonts w:ascii="Arial" w:hAnsi="Arial" w:cs="Arial"/>
        </w:rPr>
        <w:t xml:space="preserve"> </w:t>
      </w:r>
      <w:r w:rsidR="00132D71" w:rsidRPr="0037226D">
        <w:rPr>
          <w:rFonts w:ascii="Arial" w:hAnsi="Arial" w:cs="Arial"/>
        </w:rPr>
        <w:t>a comprehensive restructuring plan</w:t>
      </w:r>
      <w:r w:rsidRPr="0037226D">
        <w:rPr>
          <w:rFonts w:ascii="Arial" w:hAnsi="Arial" w:cs="Arial"/>
        </w:rPr>
        <w:t xml:space="preserve">, </w:t>
      </w:r>
      <w:r w:rsidR="008263C9" w:rsidRPr="0037226D">
        <w:rPr>
          <w:rFonts w:ascii="Arial" w:hAnsi="Arial" w:cs="Arial"/>
        </w:rPr>
        <w:t>including</w:t>
      </w:r>
      <w:r w:rsidR="00132D71" w:rsidRPr="0037226D">
        <w:rPr>
          <w:rFonts w:ascii="Arial" w:hAnsi="Arial" w:cs="Arial"/>
        </w:rPr>
        <w:t xml:space="preserve"> debt restructuring, cost </w:t>
      </w:r>
      <w:r w:rsidR="00132D71" w:rsidRPr="00056A3B">
        <w:rPr>
          <w:rFonts w:ascii="Arial" w:hAnsi="Arial" w:cs="Arial"/>
        </w:rPr>
        <w:t>reduction measures, and strategic changes to improve the financial viability and performance of the companies.</w:t>
      </w:r>
      <w:r w:rsidR="00943D8D">
        <w:rPr>
          <w:rFonts w:ascii="Arial" w:hAnsi="Arial" w:cs="Arial"/>
        </w:rPr>
        <w:t xml:space="preserve"> </w:t>
      </w:r>
      <w:r w:rsidR="00132D71" w:rsidRPr="00056A3B">
        <w:rPr>
          <w:rFonts w:ascii="Arial" w:hAnsi="Arial" w:cs="Arial"/>
        </w:rPr>
        <w:t xml:space="preserve">The plan should address the issues leading to insolvency, restore creditor confidence, and </w:t>
      </w:r>
      <w:r w:rsidR="00132D71" w:rsidRPr="0037226D">
        <w:rPr>
          <w:rFonts w:ascii="Arial" w:hAnsi="Arial" w:cs="Arial"/>
        </w:rPr>
        <w:t xml:space="preserve">enhance the attractiveness of the </w:t>
      </w:r>
      <w:r w:rsidR="00781407" w:rsidRPr="0037226D">
        <w:rPr>
          <w:rFonts w:ascii="Arial" w:hAnsi="Arial" w:cs="Arial"/>
        </w:rPr>
        <w:t>G</w:t>
      </w:r>
      <w:r w:rsidR="00132D71" w:rsidRPr="0037226D">
        <w:rPr>
          <w:rFonts w:ascii="Arial" w:hAnsi="Arial" w:cs="Arial"/>
        </w:rPr>
        <w:t>roup for potential investors like KuasaNas.</w:t>
      </w:r>
      <w:r w:rsidR="005251DD" w:rsidRPr="0037226D">
        <w:rPr>
          <w:rFonts w:ascii="Arial" w:hAnsi="Arial" w:cs="Arial"/>
        </w:rPr>
        <w:t xml:space="preserve"> </w:t>
      </w:r>
      <w:r w:rsidR="00FC36DF">
        <w:rPr>
          <w:rFonts w:ascii="Arial" w:hAnsi="Arial" w:cs="Arial"/>
        </w:rPr>
        <w:t xml:space="preserve">Once we are provided with the financial </w:t>
      </w:r>
      <w:r w:rsidR="00B833E5">
        <w:rPr>
          <w:rFonts w:ascii="Arial" w:hAnsi="Arial" w:cs="Arial"/>
        </w:rPr>
        <w:t>statements,</w:t>
      </w:r>
      <w:r w:rsidR="005251DD" w:rsidRPr="0037226D">
        <w:rPr>
          <w:rFonts w:ascii="Arial" w:hAnsi="Arial" w:cs="Arial"/>
        </w:rPr>
        <w:t xml:space="preserve"> </w:t>
      </w:r>
      <w:r w:rsidR="00943D8D" w:rsidRPr="005251DD">
        <w:rPr>
          <w:rFonts w:ascii="Arial" w:hAnsi="Arial" w:cs="Arial"/>
        </w:rPr>
        <w:t xml:space="preserve">we will be better able to create a realistic restructuring plan that will stand the best chance of success. </w:t>
      </w:r>
    </w:p>
    <w:p w14:paraId="371451D0" w14:textId="3E9F5304" w:rsidR="00132D71" w:rsidRPr="00943D8D" w:rsidRDefault="0006580F" w:rsidP="00943D8D">
      <w:pPr>
        <w:spacing w:after="240" w:line="360" w:lineRule="auto"/>
        <w:jc w:val="both"/>
        <w:rPr>
          <w:rFonts w:ascii="Arial" w:hAnsi="Arial" w:cs="Arial"/>
        </w:rPr>
      </w:pPr>
      <w:r w:rsidRPr="00943D8D">
        <w:rPr>
          <w:rFonts w:ascii="Arial" w:hAnsi="Arial" w:cs="Arial"/>
        </w:rPr>
        <w:t xml:space="preserve">Our </w:t>
      </w:r>
      <w:r w:rsidR="006366CA">
        <w:rPr>
          <w:rFonts w:ascii="Arial" w:hAnsi="Arial" w:cs="Arial"/>
        </w:rPr>
        <w:t>proposal</w:t>
      </w:r>
      <w:r w:rsidR="005251DD" w:rsidRPr="00943D8D">
        <w:rPr>
          <w:rFonts w:ascii="Arial" w:hAnsi="Arial" w:cs="Arial"/>
        </w:rPr>
        <w:t xml:space="preserve"> </w:t>
      </w:r>
      <w:r w:rsidR="006366CA">
        <w:rPr>
          <w:rFonts w:ascii="Arial" w:hAnsi="Arial" w:cs="Arial"/>
        </w:rPr>
        <w:t>may</w:t>
      </w:r>
      <w:r w:rsidR="005251DD" w:rsidRPr="00943D8D">
        <w:rPr>
          <w:rFonts w:ascii="Arial" w:hAnsi="Arial" w:cs="Arial"/>
        </w:rPr>
        <w:t xml:space="preserve"> involve debt restructuring or refinanc</w:t>
      </w:r>
      <w:r w:rsidR="00BC0FF6">
        <w:rPr>
          <w:rFonts w:ascii="Arial" w:hAnsi="Arial" w:cs="Arial"/>
        </w:rPr>
        <w:t>ing</w:t>
      </w:r>
      <w:r w:rsidR="005251DD" w:rsidRPr="00943D8D">
        <w:rPr>
          <w:rFonts w:ascii="Arial" w:hAnsi="Arial" w:cs="Arial"/>
        </w:rPr>
        <w:t xml:space="preserve"> </w:t>
      </w:r>
      <w:r w:rsidRPr="00943D8D">
        <w:rPr>
          <w:rFonts w:ascii="Arial" w:hAnsi="Arial" w:cs="Arial"/>
        </w:rPr>
        <w:t>to alleviate liquidity issues and avoid</w:t>
      </w:r>
      <w:r w:rsidR="005251DD" w:rsidRPr="00943D8D">
        <w:rPr>
          <w:rFonts w:ascii="Arial" w:hAnsi="Arial" w:cs="Arial"/>
        </w:rPr>
        <w:t xml:space="preserve"> potential insolvency. </w:t>
      </w:r>
      <w:r w:rsidR="00BC0FF6">
        <w:rPr>
          <w:rFonts w:ascii="Arial" w:hAnsi="Arial" w:cs="Arial"/>
        </w:rPr>
        <w:t>Additionally</w:t>
      </w:r>
      <w:r w:rsidR="00943D8D">
        <w:rPr>
          <w:rFonts w:ascii="Arial" w:hAnsi="Arial" w:cs="Arial"/>
        </w:rPr>
        <w:t>,</w:t>
      </w:r>
      <w:r w:rsidR="00BC0FF6">
        <w:rPr>
          <w:rFonts w:ascii="Arial" w:hAnsi="Arial" w:cs="Arial"/>
        </w:rPr>
        <w:t xml:space="preserve"> we may propose </w:t>
      </w:r>
      <w:r w:rsidR="008263C9" w:rsidRPr="00943D8D">
        <w:rPr>
          <w:rFonts w:ascii="Arial" w:hAnsi="Arial" w:cs="Arial"/>
        </w:rPr>
        <w:t>C</w:t>
      </w:r>
      <w:r w:rsidR="005251DD" w:rsidRPr="00943D8D">
        <w:rPr>
          <w:rFonts w:ascii="Arial" w:hAnsi="Arial" w:cs="Arial"/>
        </w:rPr>
        <w:t xml:space="preserve">hapter 11 filing for Efwon Investments </w:t>
      </w:r>
      <w:r w:rsidR="00C65030" w:rsidRPr="00943D8D">
        <w:rPr>
          <w:rFonts w:ascii="Arial" w:hAnsi="Arial" w:cs="Arial"/>
        </w:rPr>
        <w:t xml:space="preserve">in the US </w:t>
      </w:r>
      <w:r w:rsidR="005251DD" w:rsidRPr="00943D8D">
        <w:rPr>
          <w:rFonts w:ascii="Arial" w:hAnsi="Arial" w:cs="Arial"/>
        </w:rPr>
        <w:t xml:space="preserve">to obtain a stay of creditor enforcement actions and </w:t>
      </w:r>
      <w:r w:rsidR="00153E89" w:rsidRPr="00943D8D">
        <w:rPr>
          <w:rFonts w:ascii="Arial" w:hAnsi="Arial" w:cs="Arial"/>
        </w:rPr>
        <w:t>delay</w:t>
      </w:r>
      <w:r w:rsidR="005251DD" w:rsidRPr="00943D8D">
        <w:rPr>
          <w:rFonts w:ascii="Arial" w:hAnsi="Arial" w:cs="Arial"/>
        </w:rPr>
        <w:t xml:space="preserve"> to formulate a comprehensive restructuring plan.</w:t>
      </w:r>
    </w:p>
    <w:p w14:paraId="2148FFF0" w14:textId="77777777" w:rsidR="00BC0FF6" w:rsidRPr="0037226D" w:rsidRDefault="005251DD" w:rsidP="005D6B3B">
      <w:pPr>
        <w:pStyle w:val="ListParagraph"/>
        <w:numPr>
          <w:ilvl w:val="0"/>
          <w:numId w:val="6"/>
        </w:numPr>
        <w:spacing w:after="120" w:line="360" w:lineRule="auto"/>
        <w:ind w:left="1134"/>
        <w:contextualSpacing w:val="0"/>
        <w:jc w:val="both"/>
        <w:rPr>
          <w:rFonts w:ascii="Arial" w:hAnsi="Arial" w:cs="Arial"/>
          <w:color w:val="202124"/>
          <w:sz w:val="30"/>
          <w:szCs w:val="30"/>
          <w:shd w:val="clear" w:color="auto" w:fill="FFFFFF"/>
        </w:rPr>
      </w:pPr>
      <w:r w:rsidRPr="00C65030">
        <w:rPr>
          <w:rFonts w:ascii="Arial" w:hAnsi="Arial" w:cs="Arial"/>
          <w:i/>
          <w:iCs/>
          <w:u w:val="single"/>
        </w:rPr>
        <w:t>Addressing</w:t>
      </w:r>
      <w:r w:rsidRPr="005251DD">
        <w:rPr>
          <w:rFonts w:ascii="Arial" w:hAnsi="Arial" w:cs="Arial"/>
          <w:i/>
          <w:iCs/>
          <w:u w:val="single"/>
        </w:rPr>
        <w:t xml:space="preserve"> Litigation</w:t>
      </w:r>
      <w:r w:rsidR="00C65030">
        <w:rPr>
          <w:rFonts w:ascii="Arial" w:hAnsi="Arial" w:cs="Arial"/>
          <w:i/>
          <w:iCs/>
          <w:u w:val="single"/>
        </w:rPr>
        <w:t xml:space="preserve"> and </w:t>
      </w:r>
      <w:r w:rsidR="00C65030" w:rsidRPr="00444EEA">
        <w:rPr>
          <w:rFonts w:ascii="Arial" w:hAnsi="Arial" w:cs="Arial"/>
          <w:i/>
          <w:iCs/>
          <w:u w:val="single"/>
        </w:rPr>
        <w:t>Insolvency Proceedings in Romania</w:t>
      </w:r>
      <w:r w:rsidRPr="005251DD">
        <w:rPr>
          <w:rFonts w:ascii="Arial" w:hAnsi="Arial" w:cs="Arial"/>
          <w:i/>
          <w:iCs/>
          <w:u w:val="single"/>
        </w:rPr>
        <w:t>:</w:t>
      </w:r>
      <w:r w:rsidRPr="005251DD">
        <w:rPr>
          <w:rFonts w:ascii="Arial" w:hAnsi="Arial" w:cs="Arial"/>
        </w:rPr>
        <w:t xml:space="preserve"> </w:t>
      </w:r>
    </w:p>
    <w:p w14:paraId="48D5A21A" w14:textId="04286698" w:rsidR="0005532B" w:rsidRDefault="008263C9" w:rsidP="00943D8D">
      <w:pPr>
        <w:spacing w:after="240" w:line="360" w:lineRule="auto"/>
        <w:jc w:val="both"/>
        <w:rPr>
          <w:rFonts w:ascii="Arial" w:hAnsi="Arial" w:cs="Arial"/>
        </w:rPr>
      </w:pPr>
      <w:r w:rsidRPr="0037226D">
        <w:rPr>
          <w:rFonts w:ascii="Arial" w:hAnsi="Arial" w:cs="Arial"/>
        </w:rPr>
        <w:t xml:space="preserve">We </w:t>
      </w:r>
      <w:r w:rsidR="00032103">
        <w:rPr>
          <w:rFonts w:ascii="Arial" w:hAnsi="Arial" w:cs="Arial"/>
        </w:rPr>
        <w:t>propose to</w:t>
      </w:r>
      <w:r w:rsidRPr="0037226D">
        <w:rPr>
          <w:rFonts w:ascii="Arial" w:hAnsi="Arial" w:cs="Arial"/>
        </w:rPr>
        <w:t xml:space="preserve"> </w:t>
      </w:r>
      <w:r w:rsidR="000507A8">
        <w:rPr>
          <w:rFonts w:ascii="Arial" w:hAnsi="Arial" w:cs="Arial"/>
        </w:rPr>
        <w:t>address the pending litigation against Efwon Romania urgently</w:t>
      </w:r>
      <w:r w:rsidR="005251DD" w:rsidRPr="0037226D">
        <w:rPr>
          <w:rFonts w:ascii="Arial" w:hAnsi="Arial" w:cs="Arial"/>
        </w:rPr>
        <w:t xml:space="preserve">. </w:t>
      </w:r>
      <w:r w:rsidR="000507A8">
        <w:rPr>
          <w:rFonts w:ascii="Arial" w:hAnsi="Arial" w:cs="Arial"/>
        </w:rPr>
        <w:t>Negotiating for an out-of-court settlement is advisable</w:t>
      </w:r>
      <w:r w:rsidR="00B63FD6">
        <w:rPr>
          <w:rFonts w:ascii="Arial" w:hAnsi="Arial" w:cs="Arial"/>
        </w:rPr>
        <w:t xml:space="preserve"> to avoid protracted court proceedings</w:t>
      </w:r>
      <w:r w:rsidR="000507A8">
        <w:rPr>
          <w:rFonts w:ascii="Arial" w:hAnsi="Arial" w:cs="Arial"/>
        </w:rPr>
        <w:t>,</w:t>
      </w:r>
      <w:r w:rsidR="00B63FD6">
        <w:rPr>
          <w:rFonts w:ascii="Arial" w:hAnsi="Arial" w:cs="Arial"/>
        </w:rPr>
        <w:t xml:space="preserve"> which would be time</w:t>
      </w:r>
      <w:r w:rsidR="000507A8">
        <w:rPr>
          <w:rFonts w:ascii="Arial" w:hAnsi="Arial" w:cs="Arial"/>
        </w:rPr>
        <w:t>-</w:t>
      </w:r>
      <w:r w:rsidR="00B63FD6">
        <w:rPr>
          <w:rFonts w:ascii="Arial" w:hAnsi="Arial" w:cs="Arial"/>
        </w:rPr>
        <w:t xml:space="preserve">consuming and costly. If we </w:t>
      </w:r>
      <w:r w:rsidR="000507A8">
        <w:rPr>
          <w:rFonts w:ascii="Arial" w:hAnsi="Arial" w:cs="Arial"/>
        </w:rPr>
        <w:t>cannot</w:t>
      </w:r>
      <w:r w:rsidR="00B63FD6">
        <w:rPr>
          <w:rFonts w:ascii="Arial" w:hAnsi="Arial" w:cs="Arial"/>
        </w:rPr>
        <w:t xml:space="preserve"> negotiate an out</w:t>
      </w:r>
      <w:r w:rsidR="000507A8">
        <w:rPr>
          <w:rFonts w:ascii="Arial" w:hAnsi="Arial" w:cs="Arial"/>
        </w:rPr>
        <w:t>-of-</w:t>
      </w:r>
      <w:r w:rsidR="00B63FD6">
        <w:rPr>
          <w:rFonts w:ascii="Arial" w:hAnsi="Arial" w:cs="Arial"/>
        </w:rPr>
        <w:t>court settlem</w:t>
      </w:r>
      <w:r w:rsidR="00056A3B">
        <w:rPr>
          <w:rFonts w:ascii="Arial" w:hAnsi="Arial" w:cs="Arial"/>
        </w:rPr>
        <w:t>ent,</w:t>
      </w:r>
      <w:r w:rsidR="00B63FD6">
        <w:rPr>
          <w:rFonts w:ascii="Arial" w:hAnsi="Arial" w:cs="Arial"/>
        </w:rPr>
        <w:t xml:space="preserve"> we should develop</w:t>
      </w:r>
      <w:r w:rsidR="0005532B">
        <w:rPr>
          <w:rFonts w:ascii="Arial" w:hAnsi="Arial" w:cs="Arial"/>
        </w:rPr>
        <w:t xml:space="preserve"> a proactive litigation strategy after consultation with our </w:t>
      </w:r>
      <w:r w:rsidR="00943D8D">
        <w:rPr>
          <w:rFonts w:ascii="Arial" w:hAnsi="Arial" w:cs="Arial"/>
        </w:rPr>
        <w:t>internal legal team.</w:t>
      </w:r>
    </w:p>
    <w:p w14:paraId="0BE71929" w14:textId="317C7296" w:rsidR="005F27DA" w:rsidRDefault="00C65030" w:rsidP="00943D8D">
      <w:pPr>
        <w:spacing w:after="240" w:line="360" w:lineRule="auto"/>
        <w:jc w:val="both"/>
        <w:rPr>
          <w:rFonts w:ascii="Arial" w:hAnsi="Arial" w:cs="Arial"/>
        </w:rPr>
      </w:pPr>
      <w:r w:rsidRPr="0037226D">
        <w:rPr>
          <w:rFonts w:ascii="Arial" w:hAnsi="Arial" w:cs="Arial"/>
        </w:rPr>
        <w:t>Given the pending insolvency claim and freezing injunctions, we recommend initiating insolvency proceedings in Romania for Efwon Romania.</w:t>
      </w:r>
      <w:r>
        <w:rPr>
          <w:rStyle w:val="FootnoteReference"/>
          <w:rFonts w:ascii="Arial" w:hAnsi="Arial" w:cs="Arial"/>
        </w:rPr>
        <w:footnoteReference w:id="15"/>
      </w:r>
      <w:r w:rsidRPr="0037226D">
        <w:rPr>
          <w:rFonts w:ascii="Arial" w:hAnsi="Arial" w:cs="Arial"/>
        </w:rPr>
        <w:t xml:space="preserve"> </w:t>
      </w:r>
      <w:r w:rsidRPr="00943D8D">
        <w:rPr>
          <w:rFonts w:ascii="Arial" w:hAnsi="Arial" w:cs="Arial"/>
        </w:rPr>
        <w:t>Romani</w:t>
      </w:r>
      <w:r w:rsidR="006257ED">
        <w:rPr>
          <w:rFonts w:ascii="Arial" w:hAnsi="Arial" w:cs="Arial"/>
        </w:rPr>
        <w:t>a</w:t>
      </w:r>
      <w:r w:rsidRPr="00943D8D">
        <w:rPr>
          <w:rFonts w:ascii="Arial" w:hAnsi="Arial" w:cs="Arial"/>
        </w:rPr>
        <w:t xml:space="preserve"> </w:t>
      </w:r>
      <w:r w:rsidR="00F607B2">
        <w:rPr>
          <w:rFonts w:ascii="Arial" w:hAnsi="Arial" w:cs="Arial"/>
        </w:rPr>
        <w:t>has implemented the European Directive 2019/1023 on preven</w:t>
      </w:r>
      <w:r w:rsidR="000D01FD">
        <w:rPr>
          <w:rFonts w:ascii="Arial" w:hAnsi="Arial" w:cs="Arial"/>
        </w:rPr>
        <w:t>t</w:t>
      </w:r>
      <w:r w:rsidR="00F607B2">
        <w:rPr>
          <w:rFonts w:ascii="Arial" w:hAnsi="Arial" w:cs="Arial"/>
        </w:rPr>
        <w:t xml:space="preserve">ive restructuring </w:t>
      </w:r>
      <w:r w:rsidR="00B833E5">
        <w:rPr>
          <w:rFonts w:ascii="Arial" w:hAnsi="Arial" w:cs="Arial"/>
        </w:rPr>
        <w:t>framework.</w:t>
      </w:r>
      <w:r w:rsidR="006257ED">
        <w:rPr>
          <w:rStyle w:val="FootnoteReference"/>
          <w:rFonts w:ascii="Arial" w:hAnsi="Arial" w:cs="Arial"/>
        </w:rPr>
        <w:footnoteReference w:id="16"/>
      </w:r>
      <w:r w:rsidRPr="00943D8D">
        <w:rPr>
          <w:rFonts w:ascii="Arial" w:hAnsi="Arial" w:cs="Arial"/>
        </w:rPr>
        <w:t xml:space="preserve"> </w:t>
      </w:r>
    </w:p>
    <w:p w14:paraId="7D34583F" w14:textId="4FE0C6F2" w:rsidR="00C65030" w:rsidRPr="0037226D" w:rsidRDefault="005F27DA" w:rsidP="000507A8">
      <w:pPr>
        <w:spacing w:after="240" w:line="360" w:lineRule="auto"/>
        <w:jc w:val="both"/>
        <w:rPr>
          <w:rFonts w:ascii="Arial" w:hAnsi="Arial" w:cs="Arial"/>
          <w:color w:val="202124"/>
          <w:sz w:val="30"/>
          <w:szCs w:val="30"/>
          <w:shd w:val="clear" w:color="auto" w:fill="FFFFFF"/>
        </w:rPr>
      </w:pPr>
      <w:r>
        <w:rPr>
          <w:rFonts w:ascii="Arial" w:hAnsi="Arial" w:cs="Arial"/>
        </w:rPr>
        <w:t>The European Directive</w:t>
      </w:r>
      <w:r w:rsidR="00C65030" w:rsidRPr="00056A3B">
        <w:rPr>
          <w:rFonts w:ascii="Arial" w:hAnsi="Arial" w:cs="Arial"/>
        </w:rPr>
        <w:t xml:space="preserve"> provides a</w:t>
      </w:r>
      <w:r w:rsidR="00E94CD9">
        <w:rPr>
          <w:rFonts w:ascii="Arial" w:hAnsi="Arial" w:cs="Arial"/>
        </w:rPr>
        <w:t xml:space="preserve"> </w:t>
      </w:r>
      <w:r w:rsidR="00B833E5">
        <w:rPr>
          <w:rFonts w:ascii="Arial" w:hAnsi="Arial" w:cs="Arial"/>
        </w:rPr>
        <w:t xml:space="preserve">framework </w:t>
      </w:r>
      <w:r w:rsidR="00B833E5" w:rsidRPr="00056A3B">
        <w:rPr>
          <w:rFonts w:ascii="Arial" w:hAnsi="Arial" w:cs="Arial"/>
        </w:rPr>
        <w:t>for</w:t>
      </w:r>
      <w:r w:rsidR="00C65030" w:rsidRPr="00056A3B">
        <w:rPr>
          <w:rFonts w:ascii="Arial" w:hAnsi="Arial" w:cs="Arial"/>
        </w:rPr>
        <w:t xml:space="preserve"> a comprehensive and flexible out-of-court or hybrid procedure to restructure the</w:t>
      </w:r>
      <w:r w:rsidR="002E6FDA">
        <w:rPr>
          <w:rFonts w:ascii="Arial" w:hAnsi="Arial" w:cs="Arial"/>
        </w:rPr>
        <w:t xml:space="preserve"> Efwon</w:t>
      </w:r>
      <w:r w:rsidR="00C65030" w:rsidRPr="00056A3B">
        <w:rPr>
          <w:rFonts w:ascii="Arial" w:hAnsi="Arial" w:cs="Arial"/>
        </w:rPr>
        <w:t xml:space="preserve"> Group's debts and operations. This framework may prove beneficial in achieving the desired results while preserving the viability of the business. This Directive creates a </w:t>
      </w:r>
      <w:r w:rsidR="00C65030" w:rsidRPr="0037226D">
        <w:rPr>
          <w:rFonts w:ascii="Arial" w:hAnsi="Arial" w:cs="Arial"/>
        </w:rPr>
        <w:t>framework for pre-insolvency restructuring, thereby avoiding, if possible, unnecessary bankruptcies.</w:t>
      </w:r>
      <w:r w:rsidR="00C65030">
        <w:rPr>
          <w:rStyle w:val="FootnoteReference"/>
          <w:rFonts w:ascii="Arial" w:hAnsi="Arial" w:cs="Arial"/>
        </w:rPr>
        <w:footnoteReference w:id="17"/>
      </w:r>
    </w:p>
    <w:p w14:paraId="268833E0" w14:textId="5DA72680" w:rsidR="00E94CD9" w:rsidRDefault="00132D71" w:rsidP="000507A8">
      <w:pPr>
        <w:pStyle w:val="ListParagraph"/>
        <w:numPr>
          <w:ilvl w:val="0"/>
          <w:numId w:val="6"/>
        </w:numPr>
        <w:spacing w:after="120" w:line="360" w:lineRule="auto"/>
        <w:ind w:left="1134"/>
        <w:contextualSpacing w:val="0"/>
        <w:jc w:val="both"/>
        <w:rPr>
          <w:rFonts w:ascii="Arial" w:hAnsi="Arial" w:cs="Arial"/>
        </w:rPr>
      </w:pPr>
      <w:r w:rsidRPr="00FC5B4A">
        <w:rPr>
          <w:rFonts w:ascii="Arial" w:hAnsi="Arial" w:cs="Arial"/>
          <w:i/>
          <w:iCs/>
          <w:u w:val="single"/>
        </w:rPr>
        <w:t xml:space="preserve">Negotiate with Creditors: </w:t>
      </w:r>
    </w:p>
    <w:p w14:paraId="5E48DC42" w14:textId="0A25B392" w:rsidR="00E94CD9" w:rsidRDefault="00E94CD9" w:rsidP="0037226D">
      <w:pPr>
        <w:spacing w:after="240" w:line="360" w:lineRule="auto"/>
        <w:jc w:val="both"/>
        <w:rPr>
          <w:rFonts w:ascii="Arial" w:hAnsi="Arial" w:cs="Arial"/>
        </w:rPr>
      </w:pPr>
      <w:r>
        <w:rPr>
          <w:rFonts w:ascii="Arial" w:hAnsi="Arial" w:cs="Arial"/>
        </w:rPr>
        <w:t>We propose that th</w:t>
      </w:r>
      <w:r w:rsidRPr="00056A3B">
        <w:rPr>
          <w:rFonts w:ascii="Arial" w:hAnsi="Arial" w:cs="Arial"/>
        </w:rPr>
        <w:t xml:space="preserve">e </w:t>
      </w:r>
      <w:r w:rsidR="008263C9" w:rsidRPr="00056A3B">
        <w:rPr>
          <w:rFonts w:ascii="Arial" w:hAnsi="Arial" w:cs="Arial"/>
        </w:rPr>
        <w:t xml:space="preserve">Efwon </w:t>
      </w:r>
      <w:r w:rsidR="00B833E5" w:rsidRPr="00056A3B">
        <w:rPr>
          <w:rFonts w:ascii="Arial" w:hAnsi="Arial" w:cs="Arial"/>
        </w:rPr>
        <w:t>Group negotiate</w:t>
      </w:r>
      <w:r w:rsidR="00132D71" w:rsidRPr="00056A3B">
        <w:rPr>
          <w:rFonts w:ascii="Arial" w:hAnsi="Arial" w:cs="Arial"/>
        </w:rPr>
        <w:t xml:space="preserve"> with the various creditors, including the American bankers, Monaco lender, and other financial creditors, to reach agreements on repayment terms, potential haircuts, and debt rescheduling.</w:t>
      </w:r>
      <w:r w:rsidR="00460430">
        <w:rPr>
          <w:rStyle w:val="FootnoteReference"/>
          <w:rFonts w:ascii="Arial" w:hAnsi="Arial" w:cs="Arial"/>
        </w:rPr>
        <w:footnoteReference w:id="18"/>
      </w:r>
      <w:r w:rsidR="00132D71" w:rsidRPr="00056A3B">
        <w:rPr>
          <w:rFonts w:ascii="Arial" w:hAnsi="Arial" w:cs="Arial"/>
        </w:rPr>
        <w:t xml:space="preserve"> The objective is to secure their support for the restructuring plan and prevent immediate enforcement actions.</w:t>
      </w:r>
      <w:r w:rsidR="00FC5B4A" w:rsidRPr="00056A3B">
        <w:rPr>
          <w:rFonts w:ascii="Arial" w:hAnsi="Arial" w:cs="Arial"/>
        </w:rPr>
        <w:t xml:space="preserve"> </w:t>
      </w:r>
    </w:p>
    <w:p w14:paraId="3F8ADCFF" w14:textId="77777777" w:rsidR="006257ED" w:rsidRDefault="00E94CD9" w:rsidP="00056A3B">
      <w:pPr>
        <w:spacing w:after="240" w:line="360" w:lineRule="auto"/>
        <w:jc w:val="both"/>
        <w:rPr>
          <w:rFonts w:ascii="Arial" w:hAnsi="Arial" w:cs="Arial"/>
        </w:rPr>
        <w:sectPr w:rsidR="006257ED" w:rsidSect="000209E8">
          <w:pgSz w:w="11906" w:h="16838" w:code="9"/>
          <w:pgMar w:top="1418" w:right="1418" w:bottom="1418" w:left="1418" w:header="720" w:footer="720" w:gutter="0"/>
          <w:cols w:space="720"/>
          <w:docGrid w:linePitch="360"/>
        </w:sectPr>
      </w:pPr>
      <w:r>
        <w:rPr>
          <w:rFonts w:ascii="Arial" w:hAnsi="Arial" w:cs="Arial"/>
        </w:rPr>
        <w:t>Further</w:t>
      </w:r>
      <w:r w:rsidR="000507A8">
        <w:rPr>
          <w:rFonts w:ascii="Arial" w:hAnsi="Arial" w:cs="Arial"/>
        </w:rPr>
        <w:t>,</w:t>
      </w:r>
      <w:r>
        <w:rPr>
          <w:rFonts w:ascii="Arial" w:hAnsi="Arial" w:cs="Arial"/>
        </w:rPr>
        <w:t xml:space="preserve"> we propose the </w:t>
      </w:r>
      <w:r w:rsidR="00FC5B4A" w:rsidRPr="00056A3B">
        <w:rPr>
          <w:rFonts w:ascii="Arial" w:hAnsi="Arial" w:cs="Arial"/>
        </w:rPr>
        <w:t xml:space="preserve">commencement </w:t>
      </w:r>
      <w:r w:rsidR="00854EEB" w:rsidRPr="00056A3B">
        <w:rPr>
          <w:rFonts w:ascii="Arial" w:hAnsi="Arial" w:cs="Arial"/>
        </w:rPr>
        <w:t>of</w:t>
      </w:r>
      <w:r w:rsidR="00FC5B4A" w:rsidRPr="00056A3B">
        <w:rPr>
          <w:rFonts w:ascii="Arial" w:hAnsi="Arial" w:cs="Arial"/>
        </w:rPr>
        <w:t xml:space="preserve"> an </w:t>
      </w:r>
      <w:r w:rsidR="00F73EC0" w:rsidRPr="00056A3B">
        <w:rPr>
          <w:rFonts w:ascii="Arial" w:hAnsi="Arial" w:cs="Arial"/>
        </w:rPr>
        <w:t>immediate negotiation</w:t>
      </w:r>
      <w:r w:rsidR="00FC5B4A" w:rsidRPr="00056A3B">
        <w:rPr>
          <w:rFonts w:ascii="Arial" w:hAnsi="Arial" w:cs="Arial"/>
        </w:rPr>
        <w:t xml:space="preserve"> with the management of KuasaNas. Given the potential substantial investment from KuasaNas, it is imperative to maintain open and transparent communication with them throughout this process, assuring them of your intent to resolve all existing issues promptly.</w:t>
      </w:r>
    </w:p>
    <w:p w14:paraId="2242CE04" w14:textId="77777777" w:rsidR="00CB555B" w:rsidRDefault="00132D71" w:rsidP="005D6B3B">
      <w:pPr>
        <w:pStyle w:val="ListParagraph"/>
        <w:numPr>
          <w:ilvl w:val="0"/>
          <w:numId w:val="6"/>
        </w:numPr>
        <w:spacing w:after="120" w:line="360" w:lineRule="auto"/>
        <w:ind w:left="1134"/>
        <w:contextualSpacing w:val="0"/>
        <w:jc w:val="both"/>
        <w:rPr>
          <w:rFonts w:ascii="Arial" w:hAnsi="Arial" w:cs="Arial"/>
        </w:rPr>
      </w:pPr>
      <w:r w:rsidRPr="006410C2">
        <w:rPr>
          <w:rFonts w:ascii="Arial" w:hAnsi="Arial" w:cs="Arial"/>
          <w:i/>
          <w:iCs/>
          <w:u w:val="single"/>
        </w:rPr>
        <w:t>Chapter 11 Proceedings</w:t>
      </w:r>
      <w:r w:rsidRPr="006410C2">
        <w:rPr>
          <w:rFonts w:ascii="Arial" w:hAnsi="Arial" w:cs="Arial"/>
        </w:rPr>
        <w:t xml:space="preserve">: </w:t>
      </w:r>
    </w:p>
    <w:p w14:paraId="3105E62D" w14:textId="3CE28ED8" w:rsidR="00132D71" w:rsidRPr="00056A3B" w:rsidRDefault="00CB555B" w:rsidP="00056A3B">
      <w:pPr>
        <w:spacing w:after="240" w:line="360" w:lineRule="auto"/>
        <w:jc w:val="both"/>
        <w:rPr>
          <w:rFonts w:ascii="Arial" w:hAnsi="Arial" w:cs="Arial"/>
        </w:rPr>
      </w:pPr>
      <w:r>
        <w:rPr>
          <w:rFonts w:ascii="Arial" w:hAnsi="Arial" w:cs="Arial"/>
        </w:rPr>
        <w:t>We are considering</w:t>
      </w:r>
      <w:r w:rsidR="00A855F3">
        <w:rPr>
          <w:rFonts w:ascii="Arial" w:hAnsi="Arial" w:cs="Arial"/>
        </w:rPr>
        <w:t xml:space="preserve"> </w:t>
      </w:r>
      <w:r w:rsidR="000507A8">
        <w:rPr>
          <w:rFonts w:ascii="Arial" w:hAnsi="Arial" w:cs="Arial"/>
        </w:rPr>
        <w:t>initiating</w:t>
      </w:r>
      <w:r w:rsidR="00A855F3">
        <w:rPr>
          <w:rFonts w:ascii="Arial" w:hAnsi="Arial" w:cs="Arial"/>
        </w:rPr>
        <w:t xml:space="preserve"> </w:t>
      </w:r>
      <w:r w:rsidR="00132D71" w:rsidRPr="00056A3B">
        <w:rPr>
          <w:rFonts w:ascii="Arial" w:hAnsi="Arial" w:cs="Arial"/>
        </w:rPr>
        <w:t>Chapter 11 proceedings in the United States for Efwon Investments and Efwon Trading.</w:t>
      </w:r>
      <w:r w:rsidR="00460430">
        <w:rPr>
          <w:rStyle w:val="FootnoteReference"/>
          <w:rFonts w:ascii="Arial" w:hAnsi="Arial" w:cs="Arial"/>
        </w:rPr>
        <w:footnoteReference w:id="19"/>
      </w:r>
      <w:r w:rsidR="00132D71" w:rsidRPr="00056A3B">
        <w:rPr>
          <w:rFonts w:ascii="Arial" w:hAnsi="Arial" w:cs="Arial"/>
        </w:rPr>
        <w:t xml:space="preserve"> This process </w:t>
      </w:r>
      <w:r w:rsidR="00854EEB" w:rsidRPr="00056A3B">
        <w:rPr>
          <w:rFonts w:ascii="Arial" w:hAnsi="Arial" w:cs="Arial"/>
        </w:rPr>
        <w:t>allows for reorganizing</w:t>
      </w:r>
      <w:r w:rsidR="00132D71" w:rsidRPr="00056A3B">
        <w:rPr>
          <w:rFonts w:ascii="Arial" w:hAnsi="Arial" w:cs="Arial"/>
        </w:rPr>
        <w:t xml:space="preserve"> the companies' financial obligations while maintaining control and ownership, thus protecting the interests of all stakeholders. However, </w:t>
      </w:r>
      <w:r w:rsidR="00854EEB" w:rsidRPr="00056A3B">
        <w:rPr>
          <w:rFonts w:ascii="Arial" w:hAnsi="Arial" w:cs="Arial"/>
        </w:rPr>
        <w:t xml:space="preserve">we </w:t>
      </w:r>
      <w:r w:rsidR="00A855F3">
        <w:rPr>
          <w:rFonts w:ascii="Arial" w:hAnsi="Arial" w:cs="Arial"/>
        </w:rPr>
        <w:t xml:space="preserve">shall conduct </w:t>
      </w:r>
      <w:r w:rsidR="0041314A">
        <w:rPr>
          <w:rFonts w:ascii="Arial" w:hAnsi="Arial" w:cs="Arial"/>
        </w:rPr>
        <w:t xml:space="preserve">a </w:t>
      </w:r>
      <w:r w:rsidR="00132D71" w:rsidRPr="00056A3B">
        <w:rPr>
          <w:rFonts w:ascii="Arial" w:hAnsi="Arial" w:cs="Arial"/>
        </w:rPr>
        <w:t xml:space="preserve">careful analysis </w:t>
      </w:r>
      <w:r w:rsidR="00854EEB" w:rsidRPr="00056A3B">
        <w:rPr>
          <w:rFonts w:ascii="Arial" w:hAnsi="Arial" w:cs="Arial"/>
        </w:rPr>
        <w:t xml:space="preserve">to </w:t>
      </w:r>
      <w:r w:rsidR="00132D71" w:rsidRPr="00056A3B">
        <w:rPr>
          <w:rFonts w:ascii="Arial" w:hAnsi="Arial" w:cs="Arial"/>
        </w:rPr>
        <w:t xml:space="preserve">ensure that Chapter 11 is </w:t>
      </w:r>
      <w:r w:rsidR="00854EEB" w:rsidRPr="00056A3B">
        <w:rPr>
          <w:rFonts w:ascii="Arial" w:hAnsi="Arial" w:cs="Arial"/>
        </w:rPr>
        <w:t>appropriate based on</w:t>
      </w:r>
      <w:r w:rsidR="00132D71" w:rsidRPr="00056A3B">
        <w:rPr>
          <w:rFonts w:ascii="Arial" w:hAnsi="Arial" w:cs="Arial"/>
        </w:rPr>
        <w:t xml:space="preserve"> specific circumstances.</w:t>
      </w:r>
    </w:p>
    <w:p w14:paraId="6D383983" w14:textId="77777777" w:rsidR="0041314A" w:rsidRDefault="00132D71" w:rsidP="005D6B3B">
      <w:pPr>
        <w:pStyle w:val="ListParagraph"/>
        <w:numPr>
          <w:ilvl w:val="0"/>
          <w:numId w:val="6"/>
        </w:numPr>
        <w:spacing w:after="120" w:line="360" w:lineRule="auto"/>
        <w:ind w:left="1134"/>
        <w:contextualSpacing w:val="0"/>
        <w:jc w:val="both"/>
        <w:rPr>
          <w:rFonts w:ascii="Arial" w:hAnsi="Arial" w:cs="Arial"/>
        </w:rPr>
      </w:pPr>
      <w:r w:rsidRPr="006410C2">
        <w:rPr>
          <w:rFonts w:ascii="Arial" w:hAnsi="Arial" w:cs="Arial"/>
          <w:i/>
          <w:iCs/>
          <w:u w:val="single"/>
        </w:rPr>
        <w:t>Government Review and KuasaNas Deal</w:t>
      </w:r>
      <w:r w:rsidRPr="006410C2">
        <w:rPr>
          <w:rFonts w:ascii="Arial" w:hAnsi="Arial" w:cs="Arial"/>
        </w:rPr>
        <w:t xml:space="preserve">: </w:t>
      </w:r>
    </w:p>
    <w:p w14:paraId="4BA7D751" w14:textId="436A9A8D" w:rsidR="00132D71" w:rsidRPr="0037226D" w:rsidRDefault="005C3BD9" w:rsidP="0037226D">
      <w:pPr>
        <w:spacing w:after="240" w:line="360" w:lineRule="auto"/>
        <w:jc w:val="both"/>
        <w:rPr>
          <w:rFonts w:ascii="Arial" w:hAnsi="Arial" w:cs="Arial"/>
        </w:rPr>
      </w:pPr>
      <w:r w:rsidRPr="00056A3B">
        <w:rPr>
          <w:rFonts w:ascii="Arial" w:hAnsi="Arial" w:cs="Arial"/>
        </w:rPr>
        <w:t xml:space="preserve">We </w:t>
      </w:r>
      <w:r w:rsidR="0041314A">
        <w:rPr>
          <w:rFonts w:ascii="Arial" w:hAnsi="Arial" w:cs="Arial"/>
        </w:rPr>
        <w:t>propose to</w:t>
      </w:r>
      <w:r w:rsidR="00854EEB" w:rsidRPr="00056A3B">
        <w:rPr>
          <w:rFonts w:ascii="Arial" w:hAnsi="Arial" w:cs="Arial"/>
        </w:rPr>
        <w:t xml:space="preserve"> pursu</w:t>
      </w:r>
      <w:r w:rsidR="0041314A">
        <w:rPr>
          <w:rFonts w:ascii="Arial" w:hAnsi="Arial" w:cs="Arial"/>
        </w:rPr>
        <w:t>e</w:t>
      </w:r>
      <w:r w:rsidR="00132D71" w:rsidRPr="00056A3B">
        <w:rPr>
          <w:rFonts w:ascii="Arial" w:hAnsi="Arial" w:cs="Arial"/>
        </w:rPr>
        <w:t xml:space="preserve"> the </w:t>
      </w:r>
      <w:r w:rsidR="00854EEB" w:rsidRPr="00056A3B">
        <w:rPr>
          <w:rFonts w:ascii="Arial" w:hAnsi="Arial" w:cs="Arial"/>
        </w:rPr>
        <w:t xml:space="preserve">Malaysian </w:t>
      </w:r>
      <w:r w:rsidR="00132D71" w:rsidRPr="00056A3B">
        <w:rPr>
          <w:rFonts w:ascii="Arial" w:hAnsi="Arial" w:cs="Arial"/>
        </w:rPr>
        <w:t>Government</w:t>
      </w:r>
      <w:r w:rsidR="00854EEB" w:rsidRPr="00056A3B">
        <w:rPr>
          <w:rFonts w:ascii="Arial" w:hAnsi="Arial" w:cs="Arial"/>
        </w:rPr>
        <w:t>'s</w:t>
      </w:r>
      <w:r w:rsidR="00132D71" w:rsidRPr="00056A3B">
        <w:rPr>
          <w:rFonts w:ascii="Arial" w:hAnsi="Arial" w:cs="Arial"/>
        </w:rPr>
        <w:t xml:space="preserve"> review process for the intended contract with KuasaNas. </w:t>
      </w:r>
      <w:r w:rsidRPr="00056A3B">
        <w:rPr>
          <w:rFonts w:ascii="Arial" w:hAnsi="Arial" w:cs="Arial"/>
        </w:rPr>
        <w:t>Simultaneously, the Efwon Group should e</w:t>
      </w:r>
      <w:r w:rsidR="00132D71" w:rsidRPr="00056A3B">
        <w:rPr>
          <w:rFonts w:ascii="Arial" w:hAnsi="Arial" w:cs="Arial"/>
        </w:rPr>
        <w:t xml:space="preserve">ngage in open communication with Government officials, highlighting the potential positive impact of the deal on the economy, job creation, and the </w:t>
      </w:r>
      <w:r w:rsidRPr="00056A3B">
        <w:rPr>
          <w:rFonts w:ascii="Arial" w:hAnsi="Arial" w:cs="Arial"/>
        </w:rPr>
        <w:t>fu</w:t>
      </w:r>
      <w:r w:rsidR="00564F18" w:rsidRPr="00056A3B">
        <w:rPr>
          <w:rFonts w:ascii="Arial" w:hAnsi="Arial" w:cs="Arial"/>
        </w:rPr>
        <w:t>r</w:t>
      </w:r>
      <w:r w:rsidRPr="00056A3B">
        <w:rPr>
          <w:rFonts w:ascii="Arial" w:hAnsi="Arial" w:cs="Arial"/>
        </w:rPr>
        <w:t xml:space="preserve">ther </w:t>
      </w:r>
      <w:r w:rsidR="00132D71" w:rsidRPr="00056A3B">
        <w:rPr>
          <w:rFonts w:ascii="Arial" w:hAnsi="Arial" w:cs="Arial"/>
        </w:rPr>
        <w:t xml:space="preserve">development of </w:t>
      </w:r>
      <w:r w:rsidR="00854EEB" w:rsidRPr="00056A3B">
        <w:rPr>
          <w:rFonts w:ascii="Arial" w:hAnsi="Arial" w:cs="Arial"/>
        </w:rPr>
        <w:t xml:space="preserve">the </w:t>
      </w:r>
      <w:r w:rsidR="00132D71" w:rsidRPr="00056A3B">
        <w:rPr>
          <w:rFonts w:ascii="Arial" w:hAnsi="Arial" w:cs="Arial"/>
        </w:rPr>
        <w:t>motorsports</w:t>
      </w:r>
      <w:r w:rsidRPr="00056A3B">
        <w:rPr>
          <w:rFonts w:ascii="Arial" w:hAnsi="Arial" w:cs="Arial"/>
        </w:rPr>
        <w:t xml:space="preserve"> section of the </w:t>
      </w:r>
      <w:r w:rsidR="00564F18" w:rsidRPr="00056A3B">
        <w:rPr>
          <w:rFonts w:ascii="Arial" w:hAnsi="Arial" w:cs="Arial"/>
        </w:rPr>
        <w:t xml:space="preserve">Malaysian </w:t>
      </w:r>
      <w:r w:rsidR="00DA37DF" w:rsidRPr="00056A3B">
        <w:rPr>
          <w:rFonts w:ascii="Arial" w:hAnsi="Arial" w:cs="Arial"/>
        </w:rPr>
        <w:t>economy</w:t>
      </w:r>
      <w:r w:rsidR="00132D71" w:rsidRPr="00056A3B">
        <w:rPr>
          <w:rFonts w:ascii="Arial" w:hAnsi="Arial" w:cs="Arial"/>
        </w:rPr>
        <w:t xml:space="preserve">. </w:t>
      </w:r>
      <w:r w:rsidRPr="00056A3B">
        <w:rPr>
          <w:rFonts w:ascii="Arial" w:hAnsi="Arial" w:cs="Arial"/>
        </w:rPr>
        <w:t xml:space="preserve">All action </w:t>
      </w:r>
      <w:r w:rsidR="00D42164" w:rsidRPr="0037226D">
        <w:rPr>
          <w:rFonts w:ascii="Arial" w:hAnsi="Arial" w:cs="Arial"/>
        </w:rPr>
        <w:t>demonstrating</w:t>
      </w:r>
      <w:r w:rsidR="00854EEB" w:rsidRPr="0037226D">
        <w:rPr>
          <w:rFonts w:ascii="Arial" w:hAnsi="Arial" w:cs="Arial"/>
        </w:rPr>
        <w:t xml:space="preserve"> the steps taken to </w:t>
      </w:r>
      <w:r w:rsidR="003E2B8A" w:rsidRPr="0037226D">
        <w:rPr>
          <w:rFonts w:ascii="Arial" w:hAnsi="Arial" w:cs="Arial"/>
        </w:rPr>
        <w:t>address the insolvency issues promptly and efficiently</w:t>
      </w:r>
      <w:r w:rsidRPr="0037226D">
        <w:rPr>
          <w:rFonts w:ascii="Arial" w:hAnsi="Arial" w:cs="Arial"/>
        </w:rPr>
        <w:t xml:space="preserve"> would most likely assist in any discussions with governmental officials</w:t>
      </w:r>
      <w:r w:rsidR="00132D71" w:rsidRPr="0037226D">
        <w:rPr>
          <w:rFonts w:ascii="Arial" w:hAnsi="Arial" w:cs="Arial"/>
        </w:rPr>
        <w:t>.</w:t>
      </w:r>
    </w:p>
    <w:p w14:paraId="5A9AEBBC" w14:textId="20012A8C" w:rsidR="00224367" w:rsidRPr="00224367" w:rsidRDefault="00224367" w:rsidP="00056A3B">
      <w:pPr>
        <w:spacing w:after="240" w:line="360" w:lineRule="auto"/>
        <w:jc w:val="both"/>
        <w:rPr>
          <w:rFonts w:ascii="Arial" w:hAnsi="Arial" w:cs="Arial"/>
        </w:rPr>
      </w:pPr>
      <w:r>
        <w:rPr>
          <w:rFonts w:ascii="Arial" w:hAnsi="Arial" w:cs="Arial"/>
        </w:rPr>
        <w:t xml:space="preserve">In assessing the financial conditions of the entities in the </w:t>
      </w:r>
      <w:r w:rsidR="008678B0">
        <w:rPr>
          <w:rFonts w:ascii="Arial" w:hAnsi="Arial" w:cs="Arial"/>
        </w:rPr>
        <w:t>E</w:t>
      </w:r>
      <w:r w:rsidR="00056A3B">
        <w:rPr>
          <w:rFonts w:ascii="Arial" w:hAnsi="Arial" w:cs="Arial"/>
        </w:rPr>
        <w:t>f</w:t>
      </w:r>
      <w:r w:rsidR="008678B0">
        <w:rPr>
          <w:rFonts w:ascii="Arial" w:hAnsi="Arial" w:cs="Arial"/>
        </w:rPr>
        <w:t xml:space="preserve">won </w:t>
      </w:r>
      <w:r>
        <w:rPr>
          <w:rFonts w:ascii="Arial" w:hAnsi="Arial" w:cs="Arial"/>
        </w:rPr>
        <w:t xml:space="preserve">Group, </w:t>
      </w:r>
      <w:r w:rsidR="008678B0">
        <w:rPr>
          <w:rFonts w:ascii="Arial" w:hAnsi="Arial" w:cs="Arial"/>
        </w:rPr>
        <w:t xml:space="preserve">we have requested audited </w:t>
      </w:r>
      <w:r w:rsidR="00C65030">
        <w:rPr>
          <w:rFonts w:ascii="Arial" w:hAnsi="Arial" w:cs="Arial"/>
        </w:rPr>
        <w:t>financial statements</w:t>
      </w:r>
      <w:r w:rsidR="008678B0">
        <w:rPr>
          <w:rFonts w:ascii="Arial" w:hAnsi="Arial" w:cs="Arial"/>
        </w:rPr>
        <w:t>.</w:t>
      </w:r>
      <w:r w:rsidR="00C65030">
        <w:rPr>
          <w:rFonts w:ascii="Arial" w:hAnsi="Arial" w:cs="Arial"/>
        </w:rPr>
        <w:t xml:space="preserve"> A</w:t>
      </w:r>
      <w:r w:rsidRPr="00224367">
        <w:rPr>
          <w:rFonts w:ascii="Arial" w:hAnsi="Arial" w:cs="Arial"/>
        </w:rPr>
        <w:t>udit</w:t>
      </w:r>
      <w:r w:rsidR="00C65030">
        <w:rPr>
          <w:rFonts w:ascii="Arial" w:hAnsi="Arial" w:cs="Arial"/>
        </w:rPr>
        <w:t>ed financial statements</w:t>
      </w:r>
      <w:r w:rsidRPr="00224367">
        <w:rPr>
          <w:rFonts w:ascii="Arial" w:hAnsi="Arial" w:cs="Arial"/>
        </w:rPr>
        <w:t xml:space="preserve"> </w:t>
      </w:r>
      <w:r w:rsidR="00153E89" w:rsidRPr="00224367">
        <w:rPr>
          <w:rFonts w:ascii="Arial" w:hAnsi="Arial" w:cs="Arial"/>
        </w:rPr>
        <w:t>provide</w:t>
      </w:r>
      <w:r w:rsidRPr="00224367">
        <w:rPr>
          <w:rFonts w:ascii="Arial" w:hAnsi="Arial" w:cs="Arial"/>
        </w:rPr>
        <w:t xml:space="preserve"> a statement on material uncertainties relating to events or conditions</w:t>
      </w:r>
      <w:r w:rsidR="00854EEB">
        <w:rPr>
          <w:rFonts w:ascii="Arial" w:hAnsi="Arial" w:cs="Arial"/>
        </w:rPr>
        <w:t>,</w:t>
      </w:r>
      <w:r w:rsidRPr="00224367">
        <w:rPr>
          <w:rFonts w:ascii="Arial" w:hAnsi="Arial" w:cs="Arial"/>
        </w:rPr>
        <w:t xml:space="preserve"> casting doubt about the firm's continuing as a going concern. The going concern is a common qualification when a firm's financial viability is in doubt. Auditing standards require professional account</w:t>
      </w:r>
      <w:r w:rsidR="00854EEB">
        <w:rPr>
          <w:rFonts w:ascii="Arial" w:hAnsi="Arial" w:cs="Arial"/>
        </w:rPr>
        <w:t>ants</w:t>
      </w:r>
      <w:r w:rsidRPr="00224367">
        <w:rPr>
          <w:rFonts w:ascii="Arial" w:hAnsi="Arial" w:cs="Arial"/>
        </w:rPr>
        <w:t xml:space="preserve"> to evaluate the going concern uncertainty</w:t>
      </w:r>
      <w:r>
        <w:rPr>
          <w:rFonts w:ascii="Arial" w:hAnsi="Arial" w:cs="Arial"/>
        </w:rPr>
        <w:t>.</w:t>
      </w:r>
      <w:r>
        <w:rPr>
          <w:rStyle w:val="FootnoteReference"/>
          <w:rFonts w:ascii="Arial" w:hAnsi="Arial" w:cs="Arial"/>
        </w:rPr>
        <w:footnoteReference w:id="20"/>
      </w:r>
      <w:r w:rsidRPr="00224367">
        <w:rPr>
          <w:rFonts w:ascii="Arial" w:hAnsi="Arial" w:cs="Arial"/>
        </w:rPr>
        <w:t xml:space="preserve"> </w:t>
      </w:r>
      <w:r w:rsidR="008678B0">
        <w:rPr>
          <w:rFonts w:ascii="Arial" w:hAnsi="Arial" w:cs="Arial"/>
        </w:rPr>
        <w:t>In conducting the audit</w:t>
      </w:r>
      <w:r w:rsidR="000507A8">
        <w:rPr>
          <w:rFonts w:ascii="Arial" w:hAnsi="Arial" w:cs="Arial"/>
        </w:rPr>
        <w:t>,</w:t>
      </w:r>
      <w:r w:rsidR="008678B0">
        <w:rPr>
          <w:rFonts w:ascii="Arial" w:hAnsi="Arial" w:cs="Arial"/>
        </w:rPr>
        <w:t xml:space="preserve"> acc</w:t>
      </w:r>
      <w:r w:rsidR="00943105">
        <w:rPr>
          <w:rFonts w:ascii="Arial" w:hAnsi="Arial" w:cs="Arial"/>
        </w:rPr>
        <w:t>ou</w:t>
      </w:r>
      <w:r w:rsidR="008678B0">
        <w:rPr>
          <w:rFonts w:ascii="Arial" w:hAnsi="Arial" w:cs="Arial"/>
        </w:rPr>
        <w:t xml:space="preserve">ntants </w:t>
      </w:r>
      <w:r w:rsidR="00B833E5">
        <w:rPr>
          <w:rFonts w:ascii="Arial" w:hAnsi="Arial" w:cs="Arial"/>
        </w:rPr>
        <w:t>will</w:t>
      </w:r>
      <w:r w:rsidR="00943105">
        <w:rPr>
          <w:rFonts w:ascii="Arial" w:hAnsi="Arial" w:cs="Arial"/>
        </w:rPr>
        <w:t xml:space="preserve"> </w:t>
      </w:r>
      <w:r w:rsidRPr="00224367">
        <w:rPr>
          <w:rFonts w:ascii="Arial" w:hAnsi="Arial" w:cs="Arial"/>
        </w:rPr>
        <w:t xml:space="preserve">include </w:t>
      </w:r>
      <w:r w:rsidR="00943105">
        <w:rPr>
          <w:rFonts w:ascii="Arial" w:hAnsi="Arial" w:cs="Arial"/>
        </w:rPr>
        <w:t xml:space="preserve">a statement in their </w:t>
      </w:r>
      <w:r w:rsidR="000507A8">
        <w:rPr>
          <w:rFonts w:ascii="Arial" w:hAnsi="Arial" w:cs="Arial"/>
        </w:rPr>
        <w:t>r</w:t>
      </w:r>
      <w:r w:rsidR="00943105">
        <w:rPr>
          <w:rFonts w:ascii="Arial" w:hAnsi="Arial" w:cs="Arial"/>
        </w:rPr>
        <w:t xml:space="preserve">eports </w:t>
      </w:r>
      <w:r w:rsidRPr="00224367">
        <w:rPr>
          <w:rFonts w:ascii="Arial" w:hAnsi="Arial" w:cs="Arial"/>
        </w:rPr>
        <w:t>if they find any evidence of the risk of business failure.</w:t>
      </w:r>
      <w:r w:rsidR="00500876">
        <w:rPr>
          <w:rFonts w:ascii="Arial" w:hAnsi="Arial" w:cs="Arial"/>
        </w:rPr>
        <w:t xml:space="preserve"> Auditors must also evaluate whether </w:t>
      </w:r>
      <w:r w:rsidR="000507A8">
        <w:rPr>
          <w:rFonts w:ascii="Arial" w:hAnsi="Arial" w:cs="Arial"/>
        </w:rPr>
        <w:t>the company should</w:t>
      </w:r>
      <w:r w:rsidR="00500876">
        <w:rPr>
          <w:rFonts w:ascii="Arial" w:hAnsi="Arial" w:cs="Arial"/>
        </w:rPr>
        <w:t xml:space="preserve"> continue as a going concern. </w:t>
      </w:r>
      <w:r w:rsidR="00FE1837">
        <w:rPr>
          <w:rFonts w:ascii="Arial" w:hAnsi="Arial" w:cs="Arial"/>
        </w:rPr>
        <w:t>Standard auditing procedure</w:t>
      </w:r>
      <w:r w:rsidR="000507A8">
        <w:rPr>
          <w:rFonts w:ascii="Arial" w:hAnsi="Arial" w:cs="Arial"/>
        </w:rPr>
        <w:t>s</w:t>
      </w:r>
      <w:r w:rsidR="00FE1837">
        <w:rPr>
          <w:rFonts w:ascii="Arial" w:hAnsi="Arial" w:cs="Arial"/>
        </w:rPr>
        <w:t xml:space="preserve"> require that accountants</w:t>
      </w:r>
      <w:r w:rsidRPr="00224367">
        <w:rPr>
          <w:rFonts w:ascii="Arial" w:hAnsi="Arial" w:cs="Arial"/>
        </w:rPr>
        <w:t xml:space="preserve"> must also qualify their audit reports if there is a high risk that a business may not continue when the audit is completed. </w:t>
      </w:r>
    </w:p>
    <w:p w14:paraId="6939F020" w14:textId="4E0F4B9F" w:rsidR="0037226D" w:rsidRDefault="0037226D" w:rsidP="0037226D">
      <w:pPr>
        <w:spacing w:after="240" w:line="360" w:lineRule="auto"/>
        <w:jc w:val="both"/>
        <w:rPr>
          <w:rFonts w:ascii="Arial" w:hAnsi="Arial" w:cs="Arial"/>
        </w:rPr>
      </w:pPr>
      <w:r>
        <w:rPr>
          <w:rFonts w:ascii="Arial" w:hAnsi="Arial" w:cs="Arial"/>
        </w:rPr>
        <w:t xml:space="preserve">This Report is constructed </w:t>
      </w:r>
      <w:r w:rsidR="000507A8">
        <w:rPr>
          <w:rFonts w:ascii="Arial" w:hAnsi="Arial" w:cs="Arial"/>
        </w:rPr>
        <w:t>assuming</w:t>
      </w:r>
      <w:r>
        <w:rPr>
          <w:rFonts w:ascii="Arial" w:hAnsi="Arial" w:cs="Arial"/>
        </w:rPr>
        <w:t xml:space="preserve"> </w:t>
      </w:r>
      <w:r w:rsidRPr="00224367">
        <w:rPr>
          <w:rFonts w:ascii="Arial" w:hAnsi="Arial" w:cs="Arial"/>
        </w:rPr>
        <w:t>that the audit report produced by companies' auditors is suitable as an early indication of possible upcoming company failure. Users of financial statements, including investors, the B</w:t>
      </w:r>
      <w:r>
        <w:rPr>
          <w:rFonts w:ascii="Arial" w:hAnsi="Arial" w:cs="Arial"/>
        </w:rPr>
        <w:t>oard of Directors</w:t>
      </w:r>
      <w:r w:rsidRPr="00224367">
        <w:rPr>
          <w:rFonts w:ascii="Arial" w:hAnsi="Arial" w:cs="Arial"/>
        </w:rPr>
        <w:t>, the Courts, employees, and business analysts, rely on the audit report to evaluate firms in financial distress. The stakeholders in firms in danger of failing should be aware of going concern risks when making business and investment decisions. It is reasonable that auditors, financial advisors, and business writers are obliged to report on the statistics and markers that indicate business failure risks.</w:t>
      </w:r>
    </w:p>
    <w:p w14:paraId="6EBDDCE1" w14:textId="77777777" w:rsidR="0037226D" w:rsidRPr="00854EEB" w:rsidRDefault="0037226D" w:rsidP="0037226D">
      <w:pPr>
        <w:pStyle w:val="BodyText"/>
        <w:spacing w:after="240" w:line="360" w:lineRule="auto"/>
        <w:ind w:right="147"/>
        <w:jc w:val="both"/>
        <w:rPr>
          <w:rFonts w:ascii="Arial" w:hAnsi="Arial" w:cs="Arial"/>
          <w:sz w:val="22"/>
          <w:szCs w:val="22"/>
        </w:rPr>
      </w:pPr>
      <w:r w:rsidRPr="00854EEB">
        <w:rPr>
          <w:rFonts w:ascii="Arial" w:hAnsi="Arial" w:cs="Arial"/>
          <w:sz w:val="22"/>
          <w:szCs w:val="22"/>
        </w:rPr>
        <w:t>Informal workouts or out-of-court restructuring are negotiations and processes unrelated to judiciary intervention.</w:t>
      </w:r>
      <w:r w:rsidRPr="00854EEB">
        <w:rPr>
          <w:rStyle w:val="FootnoteReference"/>
          <w:rFonts w:ascii="Arial" w:hAnsi="Arial" w:cs="Arial"/>
          <w:sz w:val="22"/>
          <w:szCs w:val="22"/>
        </w:rPr>
        <w:footnoteReference w:id="21"/>
      </w:r>
      <w:r w:rsidRPr="00854EEB">
        <w:rPr>
          <w:rFonts w:ascii="Arial" w:hAnsi="Arial" w:cs="Arial"/>
          <w:sz w:val="22"/>
          <w:szCs w:val="22"/>
        </w:rPr>
        <w:t xml:space="preserve"> An out-of-court or informal reorganization aims to restore the Group's health within the framework of a legal entity.</w:t>
      </w:r>
      <w:r w:rsidRPr="00854EEB">
        <w:rPr>
          <w:rStyle w:val="FootnoteReference"/>
          <w:rFonts w:ascii="Arial" w:hAnsi="Arial" w:cs="Arial"/>
          <w:sz w:val="22"/>
          <w:szCs w:val="22"/>
        </w:rPr>
        <w:footnoteReference w:id="22"/>
      </w:r>
      <w:r w:rsidRPr="00854EEB">
        <w:rPr>
          <w:rFonts w:ascii="Arial" w:hAnsi="Arial" w:cs="Arial"/>
          <w:sz w:val="22"/>
          <w:szCs w:val="22"/>
        </w:rPr>
        <w:t xml:space="preserve"> Informal reorganizations occur outside the formal statutory framework. The two methods of informal reorganization include business restructuring and financial restructuring</w:t>
      </w:r>
      <w:r w:rsidRPr="00854EEB">
        <w:rPr>
          <w:rStyle w:val="FootnoteReference"/>
          <w:rFonts w:ascii="Arial" w:hAnsi="Arial" w:cs="Arial"/>
          <w:sz w:val="22"/>
          <w:szCs w:val="22"/>
        </w:rPr>
        <w:footnoteReference w:id="23"/>
      </w:r>
      <w:r w:rsidRPr="00854EEB">
        <w:rPr>
          <w:rFonts w:ascii="Arial" w:hAnsi="Arial" w:cs="Arial"/>
          <w:sz w:val="22"/>
          <w:szCs w:val="22"/>
        </w:rPr>
        <w:t xml:space="preserve">. In the US, there is a Chapter 11 bankruptcy. In the UK, we can find </w:t>
      </w:r>
      <w:r>
        <w:rPr>
          <w:rFonts w:ascii="Arial" w:hAnsi="Arial" w:cs="Arial"/>
          <w:sz w:val="22"/>
          <w:szCs w:val="22"/>
        </w:rPr>
        <w:t>a</w:t>
      </w:r>
      <w:r w:rsidRPr="00854EEB">
        <w:rPr>
          <w:rFonts w:ascii="Arial" w:hAnsi="Arial" w:cs="Arial"/>
          <w:sz w:val="22"/>
          <w:szCs w:val="22"/>
        </w:rPr>
        <w:t>dministrative efforts to restructure</w:t>
      </w:r>
      <w:r>
        <w:rPr>
          <w:rFonts w:ascii="Arial" w:hAnsi="Arial" w:cs="Arial"/>
          <w:sz w:val="22"/>
          <w:szCs w:val="22"/>
        </w:rPr>
        <w:t xml:space="preserve"> and</w:t>
      </w:r>
      <w:r w:rsidRPr="00854EEB">
        <w:rPr>
          <w:rFonts w:ascii="Arial" w:hAnsi="Arial" w:cs="Arial"/>
          <w:sz w:val="22"/>
          <w:szCs w:val="22"/>
        </w:rPr>
        <w:t xml:space="preserve"> </w:t>
      </w:r>
      <w:r>
        <w:rPr>
          <w:rFonts w:ascii="Arial" w:hAnsi="Arial" w:cs="Arial"/>
          <w:sz w:val="22"/>
          <w:szCs w:val="22"/>
        </w:rPr>
        <w:t xml:space="preserve">widespread acceptance of the guidelines included in </w:t>
      </w:r>
      <w:r w:rsidRPr="00854EEB">
        <w:rPr>
          <w:rFonts w:ascii="Arial" w:hAnsi="Arial" w:cs="Arial"/>
          <w:sz w:val="22"/>
          <w:szCs w:val="22"/>
        </w:rPr>
        <w:t>UNC</w:t>
      </w:r>
      <w:r>
        <w:rPr>
          <w:rFonts w:ascii="Arial" w:hAnsi="Arial" w:cs="Arial"/>
          <w:sz w:val="22"/>
          <w:szCs w:val="22"/>
        </w:rPr>
        <w:t>I</w:t>
      </w:r>
      <w:r w:rsidRPr="00854EEB">
        <w:rPr>
          <w:rFonts w:ascii="Arial" w:hAnsi="Arial" w:cs="Arial"/>
          <w:sz w:val="22"/>
          <w:szCs w:val="22"/>
        </w:rPr>
        <w:t>TRAL. In the EU, UNC</w:t>
      </w:r>
      <w:r>
        <w:rPr>
          <w:rFonts w:ascii="Arial" w:hAnsi="Arial" w:cs="Arial"/>
          <w:sz w:val="22"/>
          <w:szCs w:val="22"/>
        </w:rPr>
        <w:t>I</w:t>
      </w:r>
      <w:r w:rsidRPr="00854EEB">
        <w:rPr>
          <w:rFonts w:ascii="Arial" w:hAnsi="Arial" w:cs="Arial"/>
          <w:sz w:val="22"/>
          <w:szCs w:val="22"/>
        </w:rPr>
        <w:t>TRAL is an accepted method of insolvency proceedings. Romania has recently adopted the European Directive 2019/1023 on preventive restructuring frameworks. This means Romania allows an out-of-court informal procedure to deal with financially-distressed but viable businesses.</w:t>
      </w:r>
    </w:p>
    <w:p w14:paraId="51EA0711" w14:textId="49097660" w:rsidR="000209E8" w:rsidRPr="00EB6400" w:rsidRDefault="000209E8" w:rsidP="005D6B3B">
      <w:pPr>
        <w:pStyle w:val="Heading2"/>
        <w:numPr>
          <w:ilvl w:val="0"/>
          <w:numId w:val="7"/>
        </w:numPr>
        <w:spacing w:before="0" w:after="120" w:line="360" w:lineRule="auto"/>
        <w:rPr>
          <w:rFonts w:ascii="Arial" w:hAnsi="Arial" w:cs="Arial"/>
          <w:b/>
          <w:bCs/>
          <w:color w:val="auto"/>
          <w:sz w:val="22"/>
          <w:szCs w:val="22"/>
        </w:rPr>
      </w:pPr>
      <w:r w:rsidRPr="00EB6400">
        <w:rPr>
          <w:rFonts w:ascii="Arial" w:hAnsi="Arial" w:cs="Arial"/>
          <w:b/>
          <w:bCs/>
          <w:color w:val="auto"/>
          <w:sz w:val="22"/>
          <w:szCs w:val="22"/>
        </w:rPr>
        <w:t xml:space="preserve"> </w:t>
      </w:r>
      <w:bookmarkStart w:id="8" w:name="_Toc142153287"/>
      <w:r w:rsidRPr="00EB6400">
        <w:rPr>
          <w:rFonts w:ascii="Arial" w:hAnsi="Arial" w:cs="Arial"/>
          <w:b/>
          <w:bCs/>
          <w:color w:val="auto"/>
          <w:sz w:val="22"/>
          <w:szCs w:val="22"/>
        </w:rPr>
        <w:t>Insolvency Proceedings</w:t>
      </w:r>
      <w:bookmarkEnd w:id="8"/>
    </w:p>
    <w:p w14:paraId="72283E25" w14:textId="033317D2" w:rsidR="0037226D" w:rsidRPr="0037226D" w:rsidRDefault="0037226D" w:rsidP="0037226D">
      <w:pPr>
        <w:spacing w:after="240" w:line="360" w:lineRule="auto"/>
        <w:jc w:val="both"/>
        <w:rPr>
          <w:rFonts w:ascii="Arial" w:hAnsi="Arial" w:cs="Arial"/>
          <w:sz w:val="18"/>
          <w:szCs w:val="18"/>
        </w:rPr>
      </w:pPr>
      <w:r w:rsidRPr="0037226D">
        <w:rPr>
          <w:rFonts w:ascii="Arial" w:hAnsi="Arial" w:cs="Arial"/>
          <w:color w:val="000000"/>
        </w:rPr>
        <w:t xml:space="preserve">Because the Efwon Group is a </w:t>
      </w:r>
      <w:r w:rsidR="00E53DE5">
        <w:rPr>
          <w:rFonts w:ascii="Arial" w:hAnsi="Arial" w:cs="Arial"/>
          <w:color w:val="000000"/>
        </w:rPr>
        <w:t>g</w:t>
      </w:r>
      <w:r w:rsidRPr="0037226D">
        <w:rPr>
          <w:rFonts w:ascii="Arial" w:hAnsi="Arial" w:cs="Arial"/>
          <w:color w:val="000000"/>
        </w:rPr>
        <w:t>lobal enterprise, insolvency or restructuring may require multiple insolvency proceedings in different jurisdictions.</w:t>
      </w:r>
      <w:r>
        <w:rPr>
          <w:rStyle w:val="FootnoteReference"/>
          <w:rFonts w:ascii="Arial" w:hAnsi="Arial" w:cs="Arial"/>
          <w:color w:val="000000"/>
        </w:rPr>
        <w:footnoteReference w:id="24"/>
      </w:r>
      <w:r w:rsidRPr="0037226D">
        <w:rPr>
          <w:rFonts w:ascii="Arial" w:hAnsi="Arial" w:cs="Arial"/>
          <w:color w:val="000000"/>
        </w:rPr>
        <w:t xml:space="preserve"> Therefore, different rules of private international law on the jurisdiction to open insolvency proceedings may be necessary. However, for these proceedings to produce effects worldwide, questions of jurisdiction, recognition, and enforcement of other rulings in the primary jurisdictions will also need to be addressed.</w:t>
      </w:r>
      <w:r>
        <w:rPr>
          <w:rStyle w:val="FootnoteReference"/>
          <w:rFonts w:ascii="Arial" w:hAnsi="Arial" w:cs="Arial"/>
          <w:color w:val="000000"/>
        </w:rPr>
        <w:footnoteReference w:id="25"/>
      </w:r>
      <w:r w:rsidRPr="0037226D">
        <w:rPr>
          <w:rFonts w:ascii="Arial" w:hAnsi="Arial" w:cs="Arial"/>
          <w:color w:val="000000"/>
        </w:rPr>
        <w:t xml:space="preserve"> In this case, judgments concerning the confirmation of a reorganization plan, avoidance actions, or the liability of directors of insolvent companies are particularly relevant.</w:t>
      </w:r>
    </w:p>
    <w:p w14:paraId="0CE4F792" w14:textId="77777777" w:rsidR="0037226D" w:rsidRPr="0037226D" w:rsidRDefault="0037226D" w:rsidP="0037226D">
      <w:pPr>
        <w:spacing w:after="240" w:line="360" w:lineRule="auto"/>
        <w:jc w:val="both"/>
        <w:rPr>
          <w:rFonts w:ascii="Arial" w:hAnsi="Arial" w:cs="Arial"/>
        </w:rPr>
      </w:pPr>
      <w:r w:rsidRPr="0037226D">
        <w:rPr>
          <w:rFonts w:ascii="Arial" w:hAnsi="Arial" w:cs="Arial"/>
        </w:rPr>
        <w:t>Some of the jurisdictions where insolvency proceedings may be needed include the following:</w:t>
      </w:r>
    </w:p>
    <w:p w14:paraId="0CECF303" w14:textId="3E8B246F" w:rsidR="000209E8" w:rsidRPr="000209E8" w:rsidRDefault="000209E8" w:rsidP="0037226D">
      <w:pPr>
        <w:spacing w:after="240" w:line="360" w:lineRule="auto"/>
        <w:ind w:left="1701" w:hanging="567"/>
        <w:jc w:val="both"/>
        <w:rPr>
          <w:rFonts w:ascii="Arial" w:hAnsi="Arial" w:cs="Arial"/>
        </w:rPr>
      </w:pPr>
      <w:r w:rsidRPr="000209E8">
        <w:rPr>
          <w:rFonts w:ascii="Arial" w:hAnsi="Arial" w:cs="Arial"/>
        </w:rPr>
        <w:t xml:space="preserve">(a) </w:t>
      </w:r>
      <w:r w:rsidR="0024119A">
        <w:rPr>
          <w:rFonts w:ascii="Arial" w:hAnsi="Arial" w:cs="Arial"/>
        </w:rPr>
        <w:tab/>
      </w:r>
      <w:r w:rsidRPr="00564F18">
        <w:rPr>
          <w:rFonts w:ascii="Arial" w:hAnsi="Arial" w:cs="Arial"/>
          <w:i/>
          <w:iCs/>
          <w:u w:val="single"/>
        </w:rPr>
        <w:t>Efwon Investments</w:t>
      </w:r>
      <w:r w:rsidRPr="000209E8">
        <w:rPr>
          <w:rFonts w:ascii="Arial" w:hAnsi="Arial" w:cs="Arial"/>
        </w:rPr>
        <w:t xml:space="preserve">: </w:t>
      </w:r>
      <w:r w:rsidR="00564F18">
        <w:rPr>
          <w:rFonts w:ascii="Arial" w:hAnsi="Arial" w:cs="Arial"/>
        </w:rPr>
        <w:t>We recommend that a</w:t>
      </w:r>
      <w:r w:rsidRPr="000209E8">
        <w:rPr>
          <w:rFonts w:ascii="Arial" w:hAnsi="Arial" w:cs="Arial"/>
        </w:rPr>
        <w:t xml:space="preserve"> Chapter 11 bankruptcy proceeding in the United States may be necessary to restructure its debts, shield it from creditors, and allow it to continue its operations.</w:t>
      </w:r>
    </w:p>
    <w:p w14:paraId="793373A2" w14:textId="05BE4300" w:rsidR="000209E8" w:rsidRPr="000209E8" w:rsidRDefault="000209E8" w:rsidP="0037226D">
      <w:pPr>
        <w:spacing w:after="240" w:line="360" w:lineRule="auto"/>
        <w:ind w:left="1701" w:hanging="567"/>
        <w:jc w:val="both"/>
        <w:rPr>
          <w:rFonts w:ascii="Arial" w:hAnsi="Arial" w:cs="Arial"/>
        </w:rPr>
      </w:pPr>
      <w:r w:rsidRPr="000209E8">
        <w:rPr>
          <w:rFonts w:ascii="Arial" w:hAnsi="Arial" w:cs="Arial"/>
        </w:rPr>
        <w:t xml:space="preserve">(b) </w:t>
      </w:r>
      <w:r w:rsidR="0024119A">
        <w:rPr>
          <w:rFonts w:ascii="Arial" w:hAnsi="Arial" w:cs="Arial"/>
        </w:rPr>
        <w:tab/>
      </w:r>
      <w:r w:rsidRPr="00564F18">
        <w:rPr>
          <w:rFonts w:ascii="Arial" w:hAnsi="Arial" w:cs="Arial"/>
          <w:i/>
          <w:iCs/>
          <w:u w:val="single"/>
        </w:rPr>
        <w:t>Efwon Trading</w:t>
      </w:r>
      <w:r w:rsidRPr="000209E8">
        <w:rPr>
          <w:rFonts w:ascii="Arial" w:hAnsi="Arial" w:cs="Arial"/>
        </w:rPr>
        <w:t>: Insolvency proceedings in the UK could be needed</w:t>
      </w:r>
      <w:r w:rsidR="00564F18">
        <w:rPr>
          <w:rStyle w:val="FootnoteReference"/>
          <w:rFonts w:ascii="Arial" w:hAnsi="Arial" w:cs="Arial"/>
        </w:rPr>
        <w:footnoteReference w:id="26"/>
      </w:r>
      <w:r w:rsidRPr="000209E8">
        <w:rPr>
          <w:rFonts w:ascii="Arial" w:hAnsi="Arial" w:cs="Arial"/>
        </w:rPr>
        <w:t xml:space="preserve">. This would likely involve administration, </w:t>
      </w:r>
      <w:r w:rsidR="00854EEB">
        <w:rPr>
          <w:rFonts w:ascii="Arial" w:hAnsi="Arial" w:cs="Arial"/>
        </w:rPr>
        <w:t>allowing</w:t>
      </w:r>
      <w:r w:rsidRPr="000209E8">
        <w:rPr>
          <w:rFonts w:ascii="Arial" w:hAnsi="Arial" w:cs="Arial"/>
        </w:rPr>
        <w:t xml:space="preserve"> an insolvency practitioner to take control of the company to pay off its debts.</w:t>
      </w:r>
    </w:p>
    <w:p w14:paraId="45E7FADF" w14:textId="47758403" w:rsidR="000209E8" w:rsidRDefault="000209E8" w:rsidP="0037226D">
      <w:pPr>
        <w:spacing w:after="240" w:line="360" w:lineRule="auto"/>
        <w:ind w:left="1701" w:hanging="567"/>
        <w:jc w:val="both"/>
        <w:rPr>
          <w:rFonts w:ascii="Arial" w:hAnsi="Arial" w:cs="Arial"/>
        </w:rPr>
      </w:pPr>
      <w:r w:rsidRPr="000209E8">
        <w:rPr>
          <w:rFonts w:ascii="Arial" w:hAnsi="Arial" w:cs="Arial"/>
        </w:rPr>
        <w:t xml:space="preserve">(c) </w:t>
      </w:r>
      <w:r w:rsidR="0024119A">
        <w:rPr>
          <w:rFonts w:ascii="Arial" w:hAnsi="Arial" w:cs="Arial"/>
        </w:rPr>
        <w:tab/>
      </w:r>
      <w:r w:rsidRPr="00564F18">
        <w:rPr>
          <w:rFonts w:ascii="Arial" w:hAnsi="Arial" w:cs="Arial"/>
          <w:i/>
          <w:iCs/>
          <w:u w:val="single"/>
        </w:rPr>
        <w:t>Efwon Romania</w:t>
      </w:r>
      <w:r w:rsidRPr="000209E8">
        <w:rPr>
          <w:rFonts w:ascii="Arial" w:hAnsi="Arial" w:cs="Arial"/>
        </w:rPr>
        <w:t xml:space="preserve">: </w:t>
      </w:r>
      <w:r w:rsidR="00854EEB">
        <w:rPr>
          <w:rFonts w:ascii="Arial" w:hAnsi="Arial" w:cs="Arial"/>
        </w:rPr>
        <w:t>The pending litigation could trigger Romanian insolvency procedures</w:t>
      </w:r>
      <w:r w:rsidRPr="000209E8">
        <w:rPr>
          <w:rFonts w:ascii="Arial" w:hAnsi="Arial" w:cs="Arial"/>
        </w:rPr>
        <w:t>. However, Romania has a fully implemented European Directive 2019/1023, which provides a preventative restructuring framework that could help avoid formal insolvency</w:t>
      </w:r>
      <w:r w:rsidR="00564F18">
        <w:rPr>
          <w:rStyle w:val="FootnoteReference"/>
          <w:rFonts w:ascii="Arial" w:hAnsi="Arial" w:cs="Arial"/>
        </w:rPr>
        <w:footnoteReference w:id="27"/>
      </w:r>
      <w:r w:rsidRPr="000209E8">
        <w:rPr>
          <w:rFonts w:ascii="Arial" w:hAnsi="Arial" w:cs="Arial"/>
        </w:rPr>
        <w:t>.</w:t>
      </w:r>
    </w:p>
    <w:p w14:paraId="40E603EF" w14:textId="710CBF71" w:rsidR="00D2549D" w:rsidRPr="006629FF" w:rsidRDefault="00D2549D" w:rsidP="0037226D">
      <w:pPr>
        <w:spacing w:after="240" w:line="360" w:lineRule="auto"/>
        <w:jc w:val="both"/>
        <w:rPr>
          <w:rFonts w:ascii="Arial" w:hAnsi="Arial" w:cs="Arial"/>
        </w:rPr>
      </w:pPr>
      <w:r>
        <w:rPr>
          <w:rFonts w:ascii="Arial" w:hAnsi="Arial" w:cs="Arial"/>
          <w:color w:val="000000"/>
        </w:rPr>
        <w:t xml:space="preserve">Seeking Chapter 11 relief in the US continues to be an attractive alternative. </w:t>
      </w:r>
      <w:r w:rsidRPr="006629FF">
        <w:rPr>
          <w:rFonts w:ascii="Arial" w:hAnsi="Arial" w:cs="Arial"/>
          <w:color w:val="000000"/>
        </w:rPr>
        <w:t>Some reasons for seeking Chapter 11 protection include cash flow challenges, lack of access to credit, tort liabilities for defective products, unexpected financial challenges, and technological changes</w:t>
      </w:r>
      <w:r>
        <w:rPr>
          <w:rFonts w:ascii="Arial" w:hAnsi="Arial" w:cs="Arial"/>
          <w:color w:val="000000"/>
        </w:rPr>
        <w:t>.</w:t>
      </w:r>
      <w:r>
        <w:rPr>
          <w:rStyle w:val="FootnoteReference"/>
          <w:rFonts w:ascii="Arial" w:hAnsi="Arial" w:cs="Arial"/>
          <w:color w:val="000000"/>
        </w:rPr>
        <w:footnoteReference w:id="28"/>
      </w:r>
      <w:r w:rsidRPr="006629FF">
        <w:rPr>
          <w:rFonts w:ascii="Arial" w:hAnsi="Arial" w:cs="Arial"/>
          <w:color w:val="000000"/>
        </w:rPr>
        <w:t xml:space="preserve"> However, some authors warn that, despite the perceived friendliness of Chapter 11, it is not a cure for all corporate woes and should only be sought as a last resort</w:t>
      </w:r>
      <w:r>
        <w:rPr>
          <w:rFonts w:ascii="Arial" w:hAnsi="Arial" w:cs="Arial"/>
          <w:color w:val="000000"/>
        </w:rPr>
        <w:t>.</w:t>
      </w:r>
      <w:r>
        <w:rPr>
          <w:rStyle w:val="FootnoteReference"/>
          <w:rFonts w:ascii="Arial" w:hAnsi="Arial" w:cs="Arial"/>
          <w:color w:val="000000"/>
        </w:rPr>
        <w:footnoteReference w:id="29"/>
      </w:r>
      <w:r w:rsidRPr="006629FF">
        <w:rPr>
          <w:rFonts w:ascii="Arial" w:hAnsi="Arial" w:cs="Arial"/>
          <w:color w:val="000000"/>
        </w:rPr>
        <w:t xml:space="preserve"> </w:t>
      </w:r>
    </w:p>
    <w:p w14:paraId="6F9021F0" w14:textId="582CF3AD" w:rsidR="000209E8" w:rsidRPr="00EB6400" w:rsidRDefault="000209E8" w:rsidP="005D6B3B">
      <w:pPr>
        <w:pStyle w:val="Heading2"/>
        <w:numPr>
          <w:ilvl w:val="0"/>
          <w:numId w:val="7"/>
        </w:numPr>
        <w:spacing w:before="0" w:after="120" w:line="360" w:lineRule="auto"/>
        <w:rPr>
          <w:rFonts w:ascii="Arial" w:hAnsi="Arial" w:cs="Arial"/>
          <w:b/>
          <w:bCs/>
          <w:color w:val="auto"/>
          <w:sz w:val="22"/>
          <w:szCs w:val="22"/>
        </w:rPr>
      </w:pPr>
      <w:r w:rsidRPr="00EB6400">
        <w:rPr>
          <w:rFonts w:ascii="Arial" w:hAnsi="Arial" w:cs="Arial"/>
          <w:b/>
          <w:bCs/>
          <w:color w:val="auto"/>
          <w:sz w:val="22"/>
          <w:szCs w:val="22"/>
        </w:rPr>
        <w:t xml:space="preserve"> </w:t>
      </w:r>
      <w:bookmarkStart w:id="9" w:name="_Toc142153288"/>
      <w:r w:rsidRPr="00EB6400">
        <w:rPr>
          <w:rFonts w:ascii="Arial" w:hAnsi="Arial" w:cs="Arial"/>
          <w:b/>
          <w:bCs/>
          <w:color w:val="auto"/>
          <w:sz w:val="22"/>
          <w:szCs w:val="22"/>
        </w:rPr>
        <w:t>Jurisdictional Considerations</w:t>
      </w:r>
      <w:bookmarkEnd w:id="9"/>
    </w:p>
    <w:p w14:paraId="3C45183C" w14:textId="0D08D429" w:rsidR="00564F18" w:rsidRPr="00564F18" w:rsidRDefault="00564F18" w:rsidP="0037226D">
      <w:pPr>
        <w:spacing w:after="240" w:line="360" w:lineRule="auto"/>
        <w:jc w:val="both"/>
        <w:rPr>
          <w:rFonts w:ascii="Arial" w:eastAsia="Times New Roman" w:hAnsi="Arial" w:cs="Arial"/>
          <w:color w:val="000000"/>
          <w:kern w:val="0"/>
          <w14:ligatures w14:val="none"/>
        </w:rPr>
      </w:pPr>
      <w:r w:rsidRPr="00564F18">
        <w:rPr>
          <w:rFonts w:ascii="Arial" w:eastAsia="Times New Roman" w:hAnsi="Arial" w:cs="Arial"/>
          <w:color w:val="000000"/>
          <w:kern w:val="0"/>
          <w14:ligatures w14:val="none"/>
        </w:rPr>
        <w:t>Using an international law perspective, the specific and highly developed insolvency options of the European Union are not replicable anywhere else in the world.</w:t>
      </w:r>
      <w:r>
        <w:rPr>
          <w:rStyle w:val="FootnoteReference"/>
          <w:rFonts w:ascii="Arial" w:eastAsia="Times New Roman" w:hAnsi="Arial" w:cs="Arial"/>
          <w:color w:val="000000"/>
          <w:kern w:val="0"/>
          <w14:ligatures w14:val="none"/>
        </w:rPr>
        <w:footnoteReference w:id="30"/>
      </w:r>
      <w:r w:rsidRPr="00564F18">
        <w:rPr>
          <w:rFonts w:ascii="Arial" w:eastAsia="Times New Roman" w:hAnsi="Arial" w:cs="Arial"/>
          <w:color w:val="000000"/>
          <w:kern w:val="0"/>
          <w14:ligatures w14:val="none"/>
        </w:rPr>
        <w:t xml:space="preserve"> The benefits of </w:t>
      </w:r>
      <w:r w:rsidR="00854EEB">
        <w:rPr>
          <w:rFonts w:ascii="Arial" w:eastAsia="Times New Roman" w:hAnsi="Arial" w:cs="Arial"/>
          <w:color w:val="000000"/>
          <w:kern w:val="0"/>
          <w14:ligatures w14:val="none"/>
        </w:rPr>
        <w:t>facilitating</w:t>
      </w:r>
      <w:r w:rsidRPr="00564F18">
        <w:rPr>
          <w:rFonts w:ascii="Arial" w:eastAsia="Times New Roman" w:hAnsi="Arial" w:cs="Arial"/>
          <w:color w:val="000000"/>
          <w:kern w:val="0"/>
          <w14:ligatures w14:val="none"/>
        </w:rPr>
        <w:t xml:space="preserve"> international trade and investment are crucial to world order and global economics. One of the goals of UNCITRAL is to facilitate cross-border recognition in insolvency matters.</w:t>
      </w:r>
      <w:r>
        <w:rPr>
          <w:rStyle w:val="FootnoteReference"/>
          <w:rFonts w:ascii="Arial" w:eastAsia="Times New Roman" w:hAnsi="Arial" w:cs="Arial"/>
          <w:color w:val="000000"/>
          <w:kern w:val="0"/>
          <w14:ligatures w14:val="none"/>
        </w:rPr>
        <w:footnoteReference w:id="31"/>
      </w:r>
      <w:r w:rsidRPr="00564F18">
        <w:rPr>
          <w:rFonts w:ascii="Arial" w:eastAsia="Times New Roman" w:hAnsi="Arial" w:cs="Arial"/>
          <w:color w:val="000000"/>
          <w:kern w:val="0"/>
          <w14:ligatures w14:val="none"/>
        </w:rPr>
        <w:t xml:space="preserve"> Because of the sensitivities of insolvency proceedings, usually excluded from international instruments dealing with the jurisdiction and international recognition and enforcement of commercial law rulings, UNCITRAL developed a Model Law on Cross-Border Insolvency (MLCBI) in 1997.</w:t>
      </w:r>
      <w:r>
        <w:rPr>
          <w:rStyle w:val="FootnoteReference"/>
          <w:rFonts w:ascii="Arial" w:eastAsia="Times New Roman" w:hAnsi="Arial" w:cs="Arial"/>
          <w:color w:val="000000"/>
          <w:kern w:val="0"/>
          <w14:ligatures w14:val="none"/>
        </w:rPr>
        <w:footnoteReference w:id="32"/>
      </w:r>
    </w:p>
    <w:p w14:paraId="618DB909" w14:textId="40B2CFAB" w:rsidR="00007BE0" w:rsidRPr="00270964" w:rsidRDefault="00007BE0" w:rsidP="0037226D">
      <w:pPr>
        <w:spacing w:after="240" w:line="360" w:lineRule="auto"/>
        <w:jc w:val="both"/>
        <w:rPr>
          <w:rFonts w:ascii="Arial" w:hAnsi="Arial" w:cs="Arial"/>
        </w:rPr>
      </w:pPr>
      <w:r w:rsidRPr="00270964">
        <w:rPr>
          <w:rFonts w:ascii="Arial" w:hAnsi="Arial" w:cs="Arial"/>
        </w:rPr>
        <w:t xml:space="preserve">Based on the information provided, it is likely that insolvency proceedings will be required, particularly for Efwon Romania. The choice of venue for these proceedings will depend on various factors, including the jurisdiction of where the </w:t>
      </w:r>
      <w:r w:rsidR="000D6727">
        <w:rPr>
          <w:rFonts w:ascii="Arial" w:hAnsi="Arial" w:cs="Arial"/>
        </w:rPr>
        <w:t xml:space="preserve">individual </w:t>
      </w:r>
      <w:r w:rsidRPr="00270964">
        <w:rPr>
          <w:rFonts w:ascii="Arial" w:hAnsi="Arial" w:cs="Arial"/>
        </w:rPr>
        <w:t>company's center of main interests (COMI) is located and the applicable insolvency laws. In this case, as Efwon Romania is a Romanian company, initiating insolvency proceedings in Romania would be the logical course of action.</w:t>
      </w:r>
    </w:p>
    <w:p w14:paraId="0772E7BB" w14:textId="74D2E71A" w:rsidR="000209E8" w:rsidRDefault="00564F18" w:rsidP="0037226D">
      <w:pPr>
        <w:spacing w:after="240" w:line="360" w:lineRule="auto"/>
        <w:jc w:val="both"/>
        <w:rPr>
          <w:rFonts w:ascii="Arial" w:hAnsi="Arial" w:cs="Arial"/>
        </w:rPr>
      </w:pPr>
      <w:r>
        <w:rPr>
          <w:rFonts w:ascii="Arial" w:hAnsi="Arial" w:cs="Arial"/>
        </w:rPr>
        <w:t xml:space="preserve">In the final analysis, </w:t>
      </w:r>
      <w:r w:rsidR="00007BE0">
        <w:rPr>
          <w:rFonts w:ascii="Arial" w:hAnsi="Arial" w:cs="Arial"/>
        </w:rPr>
        <w:t xml:space="preserve">we submit that </w:t>
      </w:r>
      <w:r>
        <w:rPr>
          <w:rFonts w:ascii="Arial" w:hAnsi="Arial" w:cs="Arial"/>
        </w:rPr>
        <w:t>legal p</w:t>
      </w:r>
      <w:r w:rsidR="000209E8" w:rsidRPr="000209E8">
        <w:rPr>
          <w:rFonts w:ascii="Arial" w:hAnsi="Arial" w:cs="Arial"/>
        </w:rPr>
        <w:t xml:space="preserve">roceedings will </w:t>
      </w:r>
      <w:r>
        <w:rPr>
          <w:rFonts w:ascii="Arial" w:hAnsi="Arial" w:cs="Arial"/>
        </w:rPr>
        <w:t>likely occur</w:t>
      </w:r>
      <w:r w:rsidR="000209E8" w:rsidRPr="000209E8">
        <w:rPr>
          <w:rFonts w:ascii="Arial" w:hAnsi="Arial" w:cs="Arial"/>
        </w:rPr>
        <w:t xml:space="preserve"> in the respective countries where the companies are registered</w:t>
      </w:r>
      <w:r>
        <w:rPr>
          <w:rFonts w:ascii="Arial" w:hAnsi="Arial" w:cs="Arial"/>
        </w:rPr>
        <w:t>. In the present circumstances, this implies that the proceedings will occur in</w:t>
      </w:r>
      <w:r w:rsidR="000209E8" w:rsidRPr="000209E8">
        <w:rPr>
          <w:rFonts w:ascii="Arial" w:hAnsi="Arial" w:cs="Arial"/>
        </w:rPr>
        <w:t xml:space="preserve"> the United States for Efwon Investments, the United Kingdom for Efwon Trading, and Romania for Efwon Romania.</w:t>
      </w:r>
      <w:r>
        <w:rPr>
          <w:rFonts w:ascii="Arial" w:hAnsi="Arial" w:cs="Arial"/>
        </w:rPr>
        <w:t xml:space="preserve"> This is, of course, unless there are benefits in bringing </w:t>
      </w:r>
      <w:r w:rsidR="000507A8">
        <w:rPr>
          <w:rFonts w:ascii="Arial" w:hAnsi="Arial" w:cs="Arial"/>
        </w:rPr>
        <w:t>most</w:t>
      </w:r>
      <w:r>
        <w:rPr>
          <w:rFonts w:ascii="Arial" w:hAnsi="Arial" w:cs="Arial"/>
        </w:rPr>
        <w:t xml:space="preserve"> of the action </w:t>
      </w:r>
      <w:r w:rsidR="00D42164">
        <w:rPr>
          <w:rFonts w:ascii="Arial" w:hAnsi="Arial" w:cs="Arial"/>
        </w:rPr>
        <w:t>to</w:t>
      </w:r>
      <w:r>
        <w:rPr>
          <w:rFonts w:ascii="Arial" w:hAnsi="Arial" w:cs="Arial"/>
        </w:rPr>
        <w:t xml:space="preserve"> jurisdictions with well-developed insolvency regimes like the US</w:t>
      </w:r>
      <w:r w:rsidR="00C65030">
        <w:rPr>
          <w:rFonts w:ascii="Arial" w:hAnsi="Arial" w:cs="Arial"/>
        </w:rPr>
        <w:t>, EU,</w:t>
      </w:r>
      <w:r>
        <w:rPr>
          <w:rFonts w:ascii="Arial" w:hAnsi="Arial" w:cs="Arial"/>
        </w:rPr>
        <w:t xml:space="preserve"> or the UK.</w:t>
      </w:r>
    </w:p>
    <w:p w14:paraId="1AD2694A" w14:textId="1DCD6245" w:rsidR="00564F18" w:rsidRPr="00054CA6" w:rsidRDefault="000D6727" w:rsidP="0037226D">
      <w:pPr>
        <w:spacing w:after="240" w:line="360" w:lineRule="auto"/>
        <w:jc w:val="both"/>
        <w:rPr>
          <w:rFonts w:ascii="Arial" w:hAnsi="Arial" w:cs="Arial"/>
        </w:rPr>
      </w:pPr>
      <w:r>
        <w:rPr>
          <w:rFonts w:ascii="Arial" w:hAnsi="Arial" w:cs="Arial"/>
        </w:rPr>
        <w:t>Over time, the USA and UK bankruptcy proceedings have developed below the political horizon</w:t>
      </w:r>
      <w:r w:rsidR="00564F18">
        <w:rPr>
          <w:rFonts w:ascii="Arial" w:hAnsi="Arial" w:cs="Arial"/>
        </w:rPr>
        <w:t>.</w:t>
      </w:r>
      <w:r w:rsidR="0074754B">
        <w:rPr>
          <w:rStyle w:val="FootnoteReference"/>
          <w:rFonts w:ascii="Arial" w:hAnsi="Arial" w:cs="Arial"/>
        </w:rPr>
        <w:footnoteReference w:id="33"/>
      </w:r>
      <w:r w:rsidR="00564F18" w:rsidRPr="00054CA6">
        <w:rPr>
          <w:rFonts w:ascii="Arial" w:hAnsi="Arial" w:cs="Arial"/>
        </w:rPr>
        <w:t xml:space="preserve"> In both jurisdictions, professional practitioners </w:t>
      </w:r>
      <w:r w:rsidR="00854EEB">
        <w:rPr>
          <w:rFonts w:ascii="Arial" w:hAnsi="Arial" w:cs="Arial"/>
        </w:rPr>
        <w:t>can</w:t>
      </w:r>
      <w:r w:rsidR="00564F18" w:rsidRPr="00054CA6">
        <w:rPr>
          <w:rFonts w:ascii="Arial" w:hAnsi="Arial" w:cs="Arial"/>
        </w:rPr>
        <w:t xml:space="preserve"> contribute to developing insolvency proceedings. </w:t>
      </w:r>
      <w:r w:rsidR="00564F18">
        <w:rPr>
          <w:rFonts w:ascii="Arial" w:hAnsi="Arial" w:cs="Arial"/>
        </w:rPr>
        <w:t xml:space="preserve">The Efwon Group should carefully consider the present insolvency issues </w:t>
      </w:r>
      <w:r w:rsidR="00564F18" w:rsidRPr="00054CA6">
        <w:rPr>
          <w:rFonts w:ascii="Arial" w:hAnsi="Arial" w:cs="Arial"/>
        </w:rPr>
        <w:t xml:space="preserve">and choose the jurisdiction that offers the type of relief sought and the benefits of litigating in either country. </w:t>
      </w:r>
      <w:r w:rsidR="00007BE0">
        <w:rPr>
          <w:rFonts w:ascii="Arial" w:hAnsi="Arial" w:cs="Arial"/>
        </w:rPr>
        <w:t>Above, we stated o</w:t>
      </w:r>
      <w:r w:rsidR="00564F18">
        <w:rPr>
          <w:rFonts w:ascii="Arial" w:hAnsi="Arial" w:cs="Arial"/>
        </w:rPr>
        <w:t xml:space="preserve">ur </w:t>
      </w:r>
      <w:r w:rsidR="00007BE0">
        <w:rPr>
          <w:rFonts w:ascii="Arial" w:hAnsi="Arial" w:cs="Arial"/>
        </w:rPr>
        <w:t>recommendations</w:t>
      </w:r>
      <w:r w:rsidR="00564F18">
        <w:rPr>
          <w:rFonts w:ascii="Arial" w:hAnsi="Arial" w:cs="Arial"/>
        </w:rPr>
        <w:t xml:space="preserve"> of </w:t>
      </w:r>
      <w:r w:rsidR="00007BE0">
        <w:rPr>
          <w:rFonts w:ascii="Arial" w:hAnsi="Arial" w:cs="Arial"/>
        </w:rPr>
        <w:t>jurisdiction</w:t>
      </w:r>
      <w:r w:rsidR="00564F18">
        <w:rPr>
          <w:rFonts w:ascii="Arial" w:hAnsi="Arial" w:cs="Arial"/>
        </w:rPr>
        <w:t xml:space="preserve"> for the various </w:t>
      </w:r>
      <w:r w:rsidR="00007BE0">
        <w:rPr>
          <w:rFonts w:ascii="Arial" w:hAnsi="Arial" w:cs="Arial"/>
        </w:rPr>
        <w:t xml:space="preserve">insolvency </w:t>
      </w:r>
      <w:r w:rsidR="00564F18">
        <w:rPr>
          <w:rFonts w:ascii="Arial" w:hAnsi="Arial" w:cs="Arial"/>
        </w:rPr>
        <w:t>matters.</w:t>
      </w:r>
    </w:p>
    <w:p w14:paraId="5E30A801" w14:textId="581B6236" w:rsidR="000209E8" w:rsidRPr="00EB6400" w:rsidRDefault="000209E8" w:rsidP="005D6B3B">
      <w:pPr>
        <w:pStyle w:val="Heading2"/>
        <w:numPr>
          <w:ilvl w:val="0"/>
          <w:numId w:val="7"/>
        </w:numPr>
        <w:spacing w:before="0" w:after="120" w:line="360" w:lineRule="auto"/>
        <w:rPr>
          <w:rFonts w:ascii="Arial" w:hAnsi="Arial" w:cs="Arial"/>
          <w:b/>
          <w:bCs/>
          <w:color w:val="auto"/>
          <w:sz w:val="22"/>
          <w:szCs w:val="22"/>
        </w:rPr>
      </w:pPr>
      <w:r w:rsidRPr="00EB6400">
        <w:rPr>
          <w:rFonts w:ascii="Arial" w:hAnsi="Arial" w:cs="Arial"/>
          <w:b/>
          <w:bCs/>
          <w:color w:val="auto"/>
          <w:sz w:val="22"/>
          <w:szCs w:val="22"/>
        </w:rPr>
        <w:t xml:space="preserve"> </w:t>
      </w:r>
      <w:bookmarkStart w:id="10" w:name="_Toc142153289"/>
      <w:r w:rsidRPr="00EB6400">
        <w:rPr>
          <w:rFonts w:ascii="Arial" w:hAnsi="Arial" w:cs="Arial"/>
          <w:b/>
          <w:bCs/>
          <w:color w:val="auto"/>
          <w:sz w:val="22"/>
          <w:szCs w:val="22"/>
        </w:rPr>
        <w:t>Impediments to Proceedings</w:t>
      </w:r>
      <w:bookmarkEnd w:id="10"/>
    </w:p>
    <w:p w14:paraId="06E4F5BE" w14:textId="7EEBB488" w:rsidR="00007BE0" w:rsidRDefault="007B38DA" w:rsidP="0037226D">
      <w:pPr>
        <w:spacing w:after="240" w:line="360" w:lineRule="auto"/>
        <w:jc w:val="both"/>
        <w:rPr>
          <w:rFonts w:ascii="Arial" w:hAnsi="Arial" w:cs="Arial"/>
          <w:color w:val="222222"/>
          <w:shd w:val="clear" w:color="auto" w:fill="FFFFFF"/>
        </w:rPr>
      </w:pPr>
      <w:r w:rsidRPr="007B38DA">
        <w:rPr>
          <w:rFonts w:ascii="Arial" w:hAnsi="Arial" w:cs="Arial"/>
        </w:rPr>
        <w:t>Out-of-court debt restructuring involves changing or reorganizing the composition of the structure of assets and liabilities of financially distressed entities.</w:t>
      </w:r>
      <w:r>
        <w:rPr>
          <w:rStyle w:val="FootnoteReference"/>
          <w:rFonts w:ascii="Arial" w:hAnsi="Arial" w:cs="Arial"/>
        </w:rPr>
        <w:footnoteReference w:id="34"/>
      </w:r>
      <w:r w:rsidRPr="007B38DA">
        <w:rPr>
          <w:rFonts w:ascii="Arial" w:hAnsi="Arial" w:cs="Arial"/>
        </w:rPr>
        <w:t xml:space="preserve"> The objective is to restructure the assets and liabilities without judicial intervention</w:t>
      </w:r>
      <w:r>
        <w:rPr>
          <w:rStyle w:val="FootnoteReference"/>
          <w:rFonts w:ascii="Arial" w:hAnsi="Arial" w:cs="Arial"/>
        </w:rPr>
        <w:footnoteReference w:id="35"/>
      </w:r>
      <w:r w:rsidRPr="007B38DA">
        <w:rPr>
          <w:rFonts w:ascii="Arial" w:hAnsi="Arial" w:cs="Arial"/>
        </w:rPr>
        <w:t>. To this end, all parties must be interested in promoting efficiency, restoring growth, and minimizing the costs of the debtor's financial difficulties.</w:t>
      </w:r>
      <w:r>
        <w:rPr>
          <w:rStyle w:val="FootnoteReference"/>
          <w:rFonts w:ascii="Arial" w:hAnsi="Arial" w:cs="Arial"/>
        </w:rPr>
        <w:footnoteReference w:id="36"/>
      </w:r>
      <w:r w:rsidRPr="007B38DA">
        <w:rPr>
          <w:rFonts w:ascii="Arial" w:hAnsi="Arial" w:cs="Arial"/>
        </w:rPr>
        <w:t xml:space="preserve"> Informal debt restructuring is important in insolvency systems.</w:t>
      </w:r>
      <w:r>
        <w:rPr>
          <w:rStyle w:val="FootnoteReference"/>
          <w:rFonts w:ascii="Arial" w:hAnsi="Arial" w:cs="Arial"/>
        </w:rPr>
        <w:footnoteReference w:id="37"/>
      </w:r>
      <w:r w:rsidRPr="007B38DA">
        <w:rPr>
          <w:rFonts w:ascii="Arial" w:hAnsi="Arial" w:cs="Arial"/>
        </w:rPr>
        <w:t xml:space="preserve"> When </w:t>
      </w:r>
      <w:r w:rsidR="00C65030" w:rsidRPr="007B38DA">
        <w:rPr>
          <w:rFonts w:ascii="Arial" w:hAnsi="Arial" w:cs="Arial"/>
        </w:rPr>
        <w:t>an</w:t>
      </w:r>
      <w:r w:rsidRPr="007B38DA">
        <w:rPr>
          <w:rFonts w:ascii="Arial" w:hAnsi="Arial" w:cs="Arial"/>
        </w:rPr>
        <w:t xml:space="preserve"> </w:t>
      </w:r>
      <w:r w:rsidR="000D6727">
        <w:rPr>
          <w:rFonts w:ascii="Arial" w:hAnsi="Arial" w:cs="Arial"/>
        </w:rPr>
        <w:t>entity</w:t>
      </w:r>
      <w:r w:rsidRPr="007B38DA">
        <w:rPr>
          <w:rFonts w:ascii="Arial" w:hAnsi="Arial" w:cs="Arial"/>
        </w:rPr>
        <w:t xml:space="preserve"> is financially distressed, all parties can effectively protect their interests if an agreed informal solution can be negotiated. </w:t>
      </w:r>
      <w:r w:rsidR="00007BE0">
        <w:rPr>
          <w:rFonts w:ascii="Arial" w:hAnsi="Arial" w:cs="Arial"/>
        </w:rPr>
        <w:t>In SUNENERGY,</w:t>
      </w:r>
      <w:r w:rsidR="00007BE0">
        <w:rPr>
          <w:rStyle w:val="FootnoteReference"/>
          <w:rFonts w:ascii="Arial" w:hAnsi="Arial" w:cs="Arial"/>
        </w:rPr>
        <w:footnoteReference w:id="38"/>
      </w:r>
      <w:r w:rsidR="00007BE0">
        <w:rPr>
          <w:rFonts w:ascii="Arial" w:hAnsi="Arial" w:cs="Arial"/>
        </w:rPr>
        <w:t xml:space="preserve"> the recent case of the bankruptcy judge noted:</w:t>
      </w:r>
    </w:p>
    <w:p w14:paraId="18B42556" w14:textId="729EB893" w:rsidR="00007BE0" w:rsidRPr="00270964" w:rsidRDefault="00007BE0" w:rsidP="0037226D">
      <w:pPr>
        <w:spacing w:after="240" w:line="360" w:lineRule="auto"/>
        <w:ind w:left="1134" w:right="1134"/>
        <w:jc w:val="both"/>
        <w:rPr>
          <w:rFonts w:ascii="Arial" w:hAnsi="Arial" w:cs="Arial"/>
        </w:rPr>
      </w:pPr>
      <w:r w:rsidRPr="00270964">
        <w:rPr>
          <w:rFonts w:ascii="Arial" w:hAnsi="Arial" w:cs="Arial"/>
          <w:color w:val="222222"/>
          <w:shd w:val="clear" w:color="auto" w:fill="FFFFFF"/>
        </w:rPr>
        <w:t xml:space="preserve">This court ordered the appointment of a </w:t>
      </w:r>
      <w:r w:rsidR="00854EEB">
        <w:rPr>
          <w:rFonts w:ascii="Arial" w:hAnsi="Arial" w:cs="Arial"/>
          <w:color w:val="222222"/>
          <w:shd w:val="clear" w:color="auto" w:fill="FFFFFF"/>
        </w:rPr>
        <w:t>C</w:t>
      </w:r>
      <w:r w:rsidRPr="00270964">
        <w:rPr>
          <w:rFonts w:ascii="Arial" w:hAnsi="Arial" w:cs="Arial"/>
          <w:color w:val="222222"/>
          <w:shd w:val="clear" w:color="auto" w:fill="FFFFFF"/>
        </w:rPr>
        <w:t>hapter 11 trustee pursuant to 11 U</w:t>
      </w:r>
      <w:r w:rsidR="00781407">
        <w:rPr>
          <w:rFonts w:ascii="Arial" w:hAnsi="Arial" w:cs="Arial"/>
          <w:color w:val="222222"/>
          <w:shd w:val="clear" w:color="auto" w:fill="FFFFFF"/>
        </w:rPr>
        <w:t>SC</w:t>
      </w:r>
      <w:r w:rsidRPr="00270964">
        <w:rPr>
          <w:rFonts w:ascii="Arial" w:hAnsi="Arial" w:cs="Arial"/>
          <w:color w:val="222222"/>
          <w:shd w:val="clear" w:color="auto" w:fill="FFFFFF"/>
        </w:rPr>
        <w:t xml:space="preserve"> sec. [1104(a)(2)] as being in the interest of creditors, any equity security holders, and other interests of the estate.</w:t>
      </w:r>
      <w:r w:rsidR="00DE0F80">
        <w:rPr>
          <w:rStyle w:val="FootnoteReference"/>
          <w:rFonts w:ascii="Arial" w:hAnsi="Arial" w:cs="Arial"/>
          <w:color w:val="222222"/>
          <w:shd w:val="clear" w:color="auto" w:fill="FFFFFF"/>
        </w:rPr>
        <w:footnoteReference w:id="39"/>
      </w:r>
    </w:p>
    <w:p w14:paraId="64C7D057" w14:textId="27C9FB91" w:rsidR="00007BE0" w:rsidRPr="00270964" w:rsidRDefault="00007BE0" w:rsidP="0037226D">
      <w:pPr>
        <w:spacing w:after="240" w:line="360" w:lineRule="auto"/>
        <w:jc w:val="both"/>
        <w:rPr>
          <w:rFonts w:ascii="Arial" w:hAnsi="Arial" w:cs="Arial"/>
        </w:rPr>
      </w:pPr>
      <w:r w:rsidRPr="00270964">
        <w:rPr>
          <w:rFonts w:ascii="Arial" w:hAnsi="Arial" w:cs="Arial"/>
        </w:rPr>
        <w:t>While proceeding with insolvency proceedings, potential impediments may arise</w:t>
      </w:r>
      <w:r>
        <w:rPr>
          <w:rFonts w:ascii="Arial" w:hAnsi="Arial" w:cs="Arial"/>
        </w:rPr>
        <w:t>.</w:t>
      </w:r>
      <w:r w:rsidRPr="00270964">
        <w:rPr>
          <w:rFonts w:ascii="Arial" w:hAnsi="Arial" w:cs="Arial"/>
        </w:rPr>
        <w:t xml:space="preserve"> Factors such as legal requirements, procedural complexities, potential objections from creditors or stakeholders, and potential conflicts of law should be carefully evaluated. Additionally, the freezing injunctions obtained by the drivers' lawyers may pose challenges that need to be addressed within the framework of the insolvency proceedings. The involvement of multiple jurisdictions and the complexity of the Efwon </w:t>
      </w:r>
      <w:r>
        <w:rPr>
          <w:rFonts w:ascii="Arial" w:hAnsi="Arial" w:cs="Arial"/>
        </w:rPr>
        <w:t>G</w:t>
      </w:r>
      <w:r w:rsidRPr="00270964">
        <w:rPr>
          <w:rFonts w:ascii="Arial" w:hAnsi="Arial" w:cs="Arial"/>
        </w:rPr>
        <w:t xml:space="preserve">roup's structure could potentially complicate the process. It is important to </w:t>
      </w:r>
      <w:r w:rsidR="00854EEB">
        <w:rPr>
          <w:rFonts w:ascii="Arial" w:hAnsi="Arial" w:cs="Arial"/>
        </w:rPr>
        <w:t>assess and address these potential impediments during the restructuring carefully</w:t>
      </w:r>
      <w:r w:rsidRPr="00270964">
        <w:rPr>
          <w:rFonts w:ascii="Arial" w:hAnsi="Arial" w:cs="Arial"/>
        </w:rPr>
        <w:t>.</w:t>
      </w:r>
      <w:r w:rsidRPr="00007BE0">
        <w:rPr>
          <w:rFonts w:ascii="Arial" w:hAnsi="Arial" w:cs="Arial"/>
        </w:rPr>
        <w:t xml:space="preserve"> </w:t>
      </w:r>
    </w:p>
    <w:p w14:paraId="6AE1A2FD" w14:textId="11A1E5CF" w:rsidR="00637626" w:rsidRDefault="007B38DA" w:rsidP="0037226D">
      <w:pPr>
        <w:pStyle w:val="NormalWeb"/>
        <w:spacing w:before="0" w:beforeAutospacing="0" w:after="240" w:afterAutospacing="0" w:line="360" w:lineRule="auto"/>
        <w:jc w:val="both"/>
        <w:rPr>
          <w:rFonts w:ascii="Arial" w:hAnsi="Arial" w:cs="Arial"/>
          <w:sz w:val="22"/>
          <w:szCs w:val="22"/>
        </w:rPr>
      </w:pPr>
      <w:r w:rsidRPr="00553F84">
        <w:rPr>
          <w:rFonts w:ascii="Arial" w:hAnsi="Arial" w:cs="Arial"/>
          <w:sz w:val="22"/>
          <w:szCs w:val="22"/>
        </w:rPr>
        <w:t>In this engagement, m</w:t>
      </w:r>
      <w:r w:rsidR="000209E8" w:rsidRPr="00553F84">
        <w:rPr>
          <w:rFonts w:ascii="Arial" w:hAnsi="Arial" w:cs="Arial"/>
          <w:sz w:val="22"/>
          <w:szCs w:val="22"/>
        </w:rPr>
        <w:t>ajor impediments could include resistance from creditors, especially the American bankers and the Monaco lender, objections from regulators, and continued uncertainty surrounding KuasaNas' investment due to political issues in Malaysia.</w:t>
      </w:r>
      <w:r w:rsidR="00007BE0" w:rsidRPr="00553F84">
        <w:rPr>
          <w:rFonts w:ascii="Arial" w:hAnsi="Arial" w:cs="Arial"/>
          <w:sz w:val="22"/>
          <w:szCs w:val="22"/>
        </w:rPr>
        <w:t xml:space="preserve"> While initiating insolvency proceedings in Romania is recommended, it is essential to identify and assess any potential impediments to the process.</w:t>
      </w:r>
    </w:p>
    <w:p w14:paraId="17F20312" w14:textId="373BBF95" w:rsidR="000209E8" w:rsidRPr="00EB6400" w:rsidRDefault="000209E8" w:rsidP="005D6B3B">
      <w:pPr>
        <w:pStyle w:val="Heading2"/>
        <w:numPr>
          <w:ilvl w:val="0"/>
          <w:numId w:val="7"/>
        </w:numPr>
        <w:spacing w:before="0" w:after="120" w:line="360" w:lineRule="auto"/>
        <w:rPr>
          <w:rFonts w:ascii="Arial" w:hAnsi="Arial" w:cs="Arial"/>
          <w:b/>
          <w:bCs/>
          <w:color w:val="auto"/>
          <w:sz w:val="22"/>
          <w:szCs w:val="22"/>
        </w:rPr>
      </w:pPr>
      <w:r w:rsidRPr="00EB6400">
        <w:rPr>
          <w:rFonts w:ascii="Arial" w:hAnsi="Arial" w:cs="Arial"/>
          <w:b/>
          <w:bCs/>
          <w:color w:val="auto"/>
          <w:sz w:val="22"/>
          <w:szCs w:val="22"/>
        </w:rPr>
        <w:t xml:space="preserve"> </w:t>
      </w:r>
      <w:bookmarkStart w:id="11" w:name="_Toc142153290"/>
      <w:r w:rsidRPr="00EB6400">
        <w:rPr>
          <w:rFonts w:ascii="Arial" w:hAnsi="Arial" w:cs="Arial"/>
          <w:b/>
          <w:bCs/>
          <w:color w:val="auto"/>
          <w:sz w:val="22"/>
          <w:szCs w:val="22"/>
        </w:rPr>
        <w:t>Advantages</w:t>
      </w:r>
      <w:r w:rsidR="005D6B3B">
        <w:rPr>
          <w:rFonts w:ascii="Arial" w:hAnsi="Arial" w:cs="Arial"/>
          <w:b/>
          <w:bCs/>
          <w:color w:val="auto"/>
          <w:sz w:val="22"/>
          <w:szCs w:val="22"/>
        </w:rPr>
        <w:t xml:space="preserve"> and </w:t>
      </w:r>
      <w:r w:rsidRPr="00EB6400">
        <w:rPr>
          <w:rFonts w:ascii="Arial" w:hAnsi="Arial" w:cs="Arial"/>
          <w:b/>
          <w:bCs/>
          <w:color w:val="auto"/>
          <w:sz w:val="22"/>
          <w:szCs w:val="22"/>
        </w:rPr>
        <w:t>Disadvantages of Proposed Proceedings</w:t>
      </w:r>
      <w:bookmarkEnd w:id="11"/>
    </w:p>
    <w:p w14:paraId="44CA6ED2" w14:textId="51A90945" w:rsidR="00007BE0" w:rsidRPr="00007BE0" w:rsidRDefault="00007BE0" w:rsidP="0037226D">
      <w:pPr>
        <w:spacing w:after="240" w:line="360" w:lineRule="auto"/>
        <w:jc w:val="both"/>
        <w:rPr>
          <w:rFonts w:ascii="Arial" w:hAnsi="Arial" w:cs="Arial"/>
        </w:rPr>
      </w:pPr>
      <w:r w:rsidRPr="00007BE0">
        <w:rPr>
          <w:rFonts w:ascii="Arial" w:hAnsi="Arial" w:cs="Arial"/>
        </w:rPr>
        <w:t xml:space="preserve">We submit that the proposed insolvency proceedings in Romania offer several potential advantages. </w:t>
      </w:r>
      <w:r w:rsidR="00854EEB">
        <w:rPr>
          <w:rFonts w:ascii="Arial" w:hAnsi="Arial" w:cs="Arial"/>
        </w:rPr>
        <w:t>Implementing the European Directive 2019/1023 (the Directive) allows for a flexible and preventive restructuring framework</w:t>
      </w:r>
      <w:r w:rsidRPr="00007BE0">
        <w:rPr>
          <w:rFonts w:ascii="Arial" w:hAnsi="Arial" w:cs="Arial"/>
        </w:rPr>
        <w:t xml:space="preserve"> designed to support the rehabilitation of financially distressed but viable businesses</w:t>
      </w:r>
      <w:r>
        <w:rPr>
          <w:rFonts w:ascii="Arial" w:hAnsi="Arial" w:cs="Arial"/>
        </w:rPr>
        <w:t>, which defines Efwon (Romania) based on the information provided</w:t>
      </w:r>
      <w:r w:rsidRPr="00007BE0">
        <w:rPr>
          <w:rFonts w:ascii="Arial" w:hAnsi="Arial" w:cs="Arial"/>
        </w:rPr>
        <w:t>.</w:t>
      </w:r>
      <w:r w:rsidR="00AF335A">
        <w:rPr>
          <w:rStyle w:val="FootnoteReference"/>
          <w:rFonts w:ascii="Arial" w:hAnsi="Arial" w:cs="Arial"/>
        </w:rPr>
        <w:footnoteReference w:id="40"/>
      </w:r>
      <w:r w:rsidRPr="00007BE0">
        <w:rPr>
          <w:rFonts w:ascii="Arial" w:hAnsi="Arial" w:cs="Arial"/>
        </w:rPr>
        <w:t xml:space="preserve"> Th</w:t>
      </w:r>
      <w:r>
        <w:rPr>
          <w:rFonts w:ascii="Arial" w:hAnsi="Arial" w:cs="Arial"/>
        </w:rPr>
        <w:t>e Directive</w:t>
      </w:r>
      <w:r w:rsidR="00781407">
        <w:rPr>
          <w:rFonts w:ascii="Arial" w:hAnsi="Arial" w:cs="Arial"/>
        </w:rPr>
        <w:t>'</w:t>
      </w:r>
      <w:r>
        <w:rPr>
          <w:rFonts w:ascii="Arial" w:hAnsi="Arial" w:cs="Arial"/>
        </w:rPr>
        <w:t xml:space="preserve">s </w:t>
      </w:r>
      <w:r w:rsidRPr="00007BE0">
        <w:rPr>
          <w:rFonts w:ascii="Arial" w:hAnsi="Arial" w:cs="Arial"/>
        </w:rPr>
        <w:t xml:space="preserve">framework enables the </w:t>
      </w:r>
      <w:r>
        <w:rPr>
          <w:rFonts w:ascii="Arial" w:hAnsi="Arial" w:cs="Arial"/>
        </w:rPr>
        <w:t>Efwon Group</w:t>
      </w:r>
      <w:r w:rsidRPr="00007BE0">
        <w:rPr>
          <w:rFonts w:ascii="Arial" w:hAnsi="Arial" w:cs="Arial"/>
        </w:rPr>
        <w:t xml:space="preserve"> to restructure its debts and operations </w:t>
      </w:r>
      <w:r w:rsidR="00854EEB">
        <w:rPr>
          <w:rFonts w:ascii="Arial" w:hAnsi="Arial" w:cs="Arial"/>
        </w:rPr>
        <w:t>to preserve its value and ensure</w:t>
      </w:r>
      <w:r w:rsidRPr="00007BE0">
        <w:rPr>
          <w:rFonts w:ascii="Arial" w:hAnsi="Arial" w:cs="Arial"/>
        </w:rPr>
        <w:t xml:space="preserve"> ongoing operations</w:t>
      </w:r>
      <w:r>
        <w:rPr>
          <w:rFonts w:ascii="Arial" w:hAnsi="Arial" w:cs="Arial"/>
        </w:rPr>
        <w:t xml:space="preserve"> as </w:t>
      </w:r>
      <w:r w:rsidRPr="00007BE0">
        <w:rPr>
          <w:rFonts w:ascii="Arial" w:hAnsi="Arial" w:cs="Arial"/>
          <w:i/>
          <w:iCs/>
        </w:rPr>
        <w:t xml:space="preserve">Debtors in </w:t>
      </w:r>
      <w:r w:rsidR="00AF335A">
        <w:rPr>
          <w:rFonts w:ascii="Arial" w:hAnsi="Arial" w:cs="Arial"/>
          <w:i/>
          <w:iCs/>
        </w:rPr>
        <w:t>Possession (DIP)</w:t>
      </w:r>
      <w:r w:rsidRPr="00007BE0">
        <w:rPr>
          <w:rFonts w:ascii="Arial" w:hAnsi="Arial" w:cs="Arial"/>
        </w:rPr>
        <w:t>.</w:t>
      </w:r>
      <w:r w:rsidR="00AF335A">
        <w:rPr>
          <w:rStyle w:val="FootnoteReference"/>
          <w:rFonts w:ascii="Arial" w:hAnsi="Arial" w:cs="Arial"/>
        </w:rPr>
        <w:footnoteReference w:id="41"/>
      </w:r>
      <w:r w:rsidRPr="00007BE0">
        <w:rPr>
          <w:rFonts w:ascii="Arial" w:hAnsi="Arial" w:cs="Arial"/>
        </w:rPr>
        <w:t xml:space="preserve"> </w:t>
      </w:r>
      <w:r w:rsidR="00854EEB">
        <w:rPr>
          <w:rFonts w:ascii="Arial" w:hAnsi="Arial" w:cs="Arial"/>
        </w:rPr>
        <w:t>T</w:t>
      </w:r>
      <w:r w:rsidRPr="00007BE0">
        <w:rPr>
          <w:rFonts w:ascii="Arial" w:hAnsi="Arial" w:cs="Arial"/>
        </w:rPr>
        <w:t>he assets, managing creditor claims, and facilitating the deal with KuasaNas are also protected.</w:t>
      </w:r>
      <w:r>
        <w:rPr>
          <w:rFonts w:ascii="Arial" w:hAnsi="Arial" w:cs="Arial"/>
        </w:rPr>
        <w:t xml:space="preserve"> Other advantages include</w:t>
      </w:r>
      <w:r w:rsidRPr="00007BE0">
        <w:rPr>
          <w:rFonts w:ascii="Arial" w:hAnsi="Arial" w:cs="Arial"/>
        </w:rPr>
        <w:t xml:space="preserve"> </w:t>
      </w:r>
      <w:r w:rsidRPr="000209E8">
        <w:rPr>
          <w:rFonts w:ascii="Arial" w:hAnsi="Arial" w:cs="Arial"/>
        </w:rPr>
        <w:t xml:space="preserve">protection from </w:t>
      </w:r>
      <w:r>
        <w:rPr>
          <w:rFonts w:ascii="Arial" w:hAnsi="Arial" w:cs="Arial"/>
        </w:rPr>
        <w:t xml:space="preserve">other </w:t>
      </w:r>
      <w:r w:rsidRPr="000209E8">
        <w:rPr>
          <w:rFonts w:ascii="Arial" w:hAnsi="Arial" w:cs="Arial"/>
        </w:rPr>
        <w:t>creditors and a structured way to manage</w:t>
      </w:r>
      <w:r>
        <w:rPr>
          <w:rFonts w:ascii="Arial" w:hAnsi="Arial" w:cs="Arial"/>
        </w:rPr>
        <w:t xml:space="preserve"> the Group</w:t>
      </w:r>
      <w:r w:rsidR="00781407">
        <w:rPr>
          <w:rFonts w:ascii="Arial" w:hAnsi="Arial" w:cs="Arial"/>
        </w:rPr>
        <w:t>'</w:t>
      </w:r>
      <w:r>
        <w:rPr>
          <w:rFonts w:ascii="Arial" w:hAnsi="Arial" w:cs="Arial"/>
        </w:rPr>
        <w:t>s</w:t>
      </w:r>
      <w:r w:rsidRPr="000209E8">
        <w:rPr>
          <w:rFonts w:ascii="Arial" w:hAnsi="Arial" w:cs="Arial"/>
        </w:rPr>
        <w:t xml:space="preserve"> liabilities</w:t>
      </w:r>
      <w:r>
        <w:rPr>
          <w:rFonts w:ascii="Arial" w:hAnsi="Arial" w:cs="Arial"/>
        </w:rPr>
        <w:t>.</w:t>
      </w:r>
    </w:p>
    <w:p w14:paraId="250A3C11" w14:textId="385C8FE3" w:rsidR="00007BE0" w:rsidRDefault="00007BE0" w:rsidP="0037226D">
      <w:pPr>
        <w:spacing w:after="240" w:line="360" w:lineRule="auto"/>
        <w:jc w:val="both"/>
        <w:rPr>
          <w:rFonts w:ascii="Arial" w:hAnsi="Arial" w:cs="Arial"/>
        </w:rPr>
      </w:pPr>
      <w:r>
        <w:rPr>
          <w:rFonts w:ascii="Arial" w:hAnsi="Arial" w:cs="Arial"/>
        </w:rPr>
        <w:t>I</w:t>
      </w:r>
      <w:r w:rsidRPr="00007BE0">
        <w:rPr>
          <w:rFonts w:ascii="Arial" w:hAnsi="Arial" w:cs="Arial"/>
        </w:rPr>
        <w:t xml:space="preserve">t is </w:t>
      </w:r>
      <w:r>
        <w:rPr>
          <w:rFonts w:ascii="Arial" w:hAnsi="Arial" w:cs="Arial"/>
        </w:rPr>
        <w:t xml:space="preserve">equally </w:t>
      </w:r>
      <w:r w:rsidRPr="00007BE0">
        <w:rPr>
          <w:rFonts w:ascii="Arial" w:hAnsi="Arial" w:cs="Arial"/>
        </w:rPr>
        <w:t>important</w:t>
      </w:r>
      <w:r>
        <w:rPr>
          <w:rFonts w:ascii="Arial" w:hAnsi="Arial" w:cs="Arial"/>
        </w:rPr>
        <w:t>,</w:t>
      </w:r>
      <w:r w:rsidRPr="00007BE0">
        <w:rPr>
          <w:rFonts w:ascii="Arial" w:hAnsi="Arial" w:cs="Arial"/>
        </w:rPr>
        <w:t xml:space="preserve"> </w:t>
      </w:r>
      <w:r>
        <w:rPr>
          <w:rFonts w:ascii="Arial" w:hAnsi="Arial" w:cs="Arial"/>
        </w:rPr>
        <w:t>h</w:t>
      </w:r>
      <w:r w:rsidRPr="00007BE0">
        <w:rPr>
          <w:rFonts w:ascii="Arial" w:hAnsi="Arial" w:cs="Arial"/>
        </w:rPr>
        <w:t>owever, to consider the potential disadvantages</w:t>
      </w:r>
      <w:r>
        <w:rPr>
          <w:rFonts w:ascii="Arial" w:hAnsi="Arial" w:cs="Arial"/>
        </w:rPr>
        <w:t>. These include</w:t>
      </w:r>
      <w:r w:rsidRPr="00007BE0">
        <w:rPr>
          <w:rFonts w:ascii="Arial" w:hAnsi="Arial" w:cs="Arial"/>
        </w:rPr>
        <w:t xml:space="preserve"> the need to comply with specific procedural requirements, potential delays, and the need to gain the cooperation and support of creditors and stakeholders. Some consideration must </w:t>
      </w:r>
      <w:r>
        <w:rPr>
          <w:rFonts w:ascii="Arial" w:hAnsi="Arial" w:cs="Arial"/>
        </w:rPr>
        <w:t xml:space="preserve">also </w:t>
      </w:r>
      <w:r w:rsidRPr="00007BE0">
        <w:rPr>
          <w:rFonts w:ascii="Arial" w:hAnsi="Arial" w:cs="Arial"/>
        </w:rPr>
        <w:t>be given to increased costs and the need to navigate the legal intricacies of different jurisdictions. These challenges can be mitigated through effective communication, transparency, and proactive engagement with all relevant parties involved in the proceedings.</w:t>
      </w:r>
      <w:r>
        <w:rPr>
          <w:rFonts w:ascii="Arial" w:hAnsi="Arial" w:cs="Arial"/>
        </w:rPr>
        <w:t xml:space="preserve"> Other disadvantages include </w:t>
      </w:r>
      <w:r w:rsidRPr="000209E8">
        <w:rPr>
          <w:rFonts w:ascii="Arial" w:hAnsi="Arial" w:cs="Arial"/>
        </w:rPr>
        <w:t>potential damage to reputation, loss of control in the case of administration, and the expenses and time involved in insolvency proceedings.</w:t>
      </w:r>
    </w:p>
    <w:p w14:paraId="651B79C9" w14:textId="4698AD76" w:rsidR="00854EEB" w:rsidRDefault="00AF335A" w:rsidP="0037226D">
      <w:pPr>
        <w:spacing w:after="240" w:line="360" w:lineRule="auto"/>
        <w:jc w:val="both"/>
        <w:rPr>
          <w:rFonts w:ascii="Arial" w:hAnsi="Arial" w:cs="Arial"/>
        </w:rPr>
      </w:pPr>
      <w:r>
        <w:rPr>
          <w:rFonts w:ascii="Arial" w:hAnsi="Arial" w:cs="Arial"/>
        </w:rPr>
        <w:t xml:space="preserve">Because of the securities granted in some loan agreements, a secured creditor may seek to foreclose on their security to the detriment of the creditors. The security for the original bank loan of $250m included homes worth $75m, the projected revenue stream, share pledged in the holding </w:t>
      </w:r>
      <w:r w:rsidR="000D6727">
        <w:rPr>
          <w:rFonts w:ascii="Arial" w:hAnsi="Arial" w:cs="Arial"/>
        </w:rPr>
        <w:t>Group</w:t>
      </w:r>
      <w:r>
        <w:rPr>
          <w:rFonts w:ascii="Arial" w:hAnsi="Arial" w:cs="Arial"/>
        </w:rPr>
        <w:t xml:space="preserve"> Efwon Investments, and a negative pledge for loan valuation.</w:t>
      </w:r>
      <w:r w:rsidR="003E35F2">
        <w:rPr>
          <w:rFonts w:ascii="Arial" w:hAnsi="Arial" w:cs="Arial"/>
        </w:rPr>
        <w:t xml:space="preserve"> Therefore</w:t>
      </w:r>
      <w:r w:rsidR="003E35F2" w:rsidRPr="005B09A2">
        <w:rPr>
          <w:rFonts w:ascii="Arial" w:hAnsi="Arial" w:cs="Arial"/>
        </w:rPr>
        <w:t xml:space="preserve">, negotiations between the major creditors are more important than negotiations with the debtor. </w:t>
      </w:r>
    </w:p>
    <w:p w14:paraId="394FAB15" w14:textId="462730A6" w:rsidR="003E35F2" w:rsidRPr="00270964" w:rsidRDefault="003E35F2" w:rsidP="0037226D">
      <w:pPr>
        <w:spacing w:after="240" w:line="360" w:lineRule="auto"/>
        <w:jc w:val="both"/>
        <w:rPr>
          <w:rFonts w:ascii="Arial" w:hAnsi="Arial" w:cs="Arial"/>
          <w:sz w:val="18"/>
          <w:szCs w:val="18"/>
        </w:rPr>
      </w:pPr>
      <w:r w:rsidRPr="005B09A2">
        <w:rPr>
          <w:rFonts w:ascii="Arial" w:hAnsi="Arial" w:cs="Arial"/>
        </w:rPr>
        <w:t>Many diverse creditors have substantial funds outstanding</w:t>
      </w:r>
      <w:r w:rsidR="00854EEB">
        <w:rPr>
          <w:rFonts w:ascii="Arial" w:hAnsi="Arial" w:cs="Arial"/>
        </w:rPr>
        <w:t>, so that</w:t>
      </w:r>
      <w:r w:rsidRPr="005B09A2">
        <w:rPr>
          <w:rFonts w:ascii="Arial" w:hAnsi="Arial" w:cs="Arial"/>
        </w:rPr>
        <w:t xml:space="preserve"> the negotiation procedure can be complex and uncertain</w:t>
      </w:r>
      <w:r>
        <w:rPr>
          <w:rFonts w:ascii="Arial" w:hAnsi="Arial" w:cs="Arial"/>
        </w:rPr>
        <w:t>.</w:t>
      </w:r>
      <w:r>
        <w:rPr>
          <w:rStyle w:val="FootnoteReference"/>
          <w:rFonts w:ascii="Arial" w:hAnsi="Arial" w:cs="Arial"/>
        </w:rPr>
        <w:footnoteReference w:id="42"/>
      </w:r>
      <w:r w:rsidRPr="005B09A2">
        <w:rPr>
          <w:rFonts w:ascii="Arial" w:hAnsi="Arial" w:cs="Arial"/>
        </w:rPr>
        <w:t xml:space="preserve"> A successful restructuring is probable if the </w:t>
      </w:r>
      <w:r w:rsidR="00854EEB">
        <w:rPr>
          <w:rFonts w:ascii="Arial" w:hAnsi="Arial" w:cs="Arial"/>
        </w:rPr>
        <w:t>management of the Group or any entity in the Group enjoys a good</w:t>
      </w:r>
      <w:r w:rsidRPr="005B09A2">
        <w:rPr>
          <w:rFonts w:ascii="Arial" w:hAnsi="Arial" w:cs="Arial"/>
        </w:rPr>
        <w:t xml:space="preserve"> relationship with all involved parties.</w:t>
      </w:r>
    </w:p>
    <w:p w14:paraId="6FF92921" w14:textId="723065C3" w:rsidR="000209E8" w:rsidRPr="00EB6400" w:rsidRDefault="00D65E81" w:rsidP="005D6B3B">
      <w:pPr>
        <w:pStyle w:val="Heading2"/>
        <w:numPr>
          <w:ilvl w:val="0"/>
          <w:numId w:val="7"/>
        </w:numPr>
        <w:spacing w:before="0" w:after="120" w:line="360" w:lineRule="auto"/>
        <w:rPr>
          <w:rFonts w:ascii="Arial" w:hAnsi="Arial" w:cs="Arial"/>
          <w:b/>
          <w:bCs/>
          <w:color w:val="auto"/>
          <w:sz w:val="22"/>
          <w:szCs w:val="22"/>
        </w:rPr>
      </w:pPr>
      <w:bookmarkStart w:id="12" w:name="_Toc142153291"/>
      <w:r w:rsidRPr="00EB6400">
        <w:rPr>
          <w:rFonts w:ascii="Arial" w:hAnsi="Arial" w:cs="Arial"/>
          <w:b/>
          <w:bCs/>
          <w:color w:val="auto"/>
          <w:sz w:val="22"/>
          <w:szCs w:val="22"/>
        </w:rPr>
        <w:t xml:space="preserve">The Determining </w:t>
      </w:r>
      <w:r w:rsidR="000209E8" w:rsidRPr="00EB6400">
        <w:rPr>
          <w:rFonts w:ascii="Arial" w:hAnsi="Arial" w:cs="Arial"/>
          <w:b/>
          <w:bCs/>
          <w:color w:val="auto"/>
          <w:sz w:val="22"/>
          <w:szCs w:val="22"/>
        </w:rPr>
        <w:t>Factors</w:t>
      </w:r>
      <w:bookmarkEnd w:id="12"/>
    </w:p>
    <w:p w14:paraId="44ABD1B9" w14:textId="77777777" w:rsidR="000209E8" w:rsidRDefault="000209E8" w:rsidP="0037226D">
      <w:pPr>
        <w:spacing w:after="240" w:line="360" w:lineRule="auto"/>
        <w:jc w:val="both"/>
        <w:rPr>
          <w:rFonts w:ascii="Arial" w:hAnsi="Arial" w:cs="Arial"/>
        </w:rPr>
      </w:pPr>
      <w:r w:rsidRPr="000209E8">
        <w:rPr>
          <w:rFonts w:ascii="Arial" w:hAnsi="Arial" w:cs="Arial"/>
        </w:rPr>
        <w:t>The main factors that will determine the course of action include the companies' current financial situation, the stance of key creditors, the progress of the ongoing litigation, and the position of KuasaNas.</w:t>
      </w:r>
    </w:p>
    <w:p w14:paraId="33B021A9" w14:textId="68822EDD" w:rsidR="00D65E81" w:rsidRDefault="00D65E81" w:rsidP="0037226D">
      <w:pPr>
        <w:spacing w:after="240" w:line="360" w:lineRule="auto"/>
        <w:jc w:val="both"/>
        <w:rPr>
          <w:rFonts w:ascii="Arial" w:hAnsi="Arial" w:cs="Arial"/>
        </w:rPr>
      </w:pPr>
      <w:r>
        <w:rPr>
          <w:rFonts w:ascii="Arial" w:hAnsi="Arial" w:cs="Arial"/>
        </w:rPr>
        <w:t>In addition to the above, t</w:t>
      </w:r>
      <w:r w:rsidRPr="00270964">
        <w:rPr>
          <w:rFonts w:ascii="Arial" w:hAnsi="Arial" w:cs="Arial"/>
        </w:rPr>
        <w:t xml:space="preserve">o determine the most suitable approach, </w:t>
      </w:r>
      <w:r>
        <w:rPr>
          <w:rFonts w:ascii="Arial" w:hAnsi="Arial" w:cs="Arial"/>
        </w:rPr>
        <w:t>the Efwon Group</w:t>
      </w:r>
      <w:r w:rsidRPr="00270964">
        <w:rPr>
          <w:rFonts w:ascii="Arial" w:hAnsi="Arial" w:cs="Arial"/>
        </w:rPr>
        <w:t xml:space="preserve"> need</w:t>
      </w:r>
      <w:r w:rsidR="00854EEB">
        <w:rPr>
          <w:rFonts w:ascii="Arial" w:hAnsi="Arial" w:cs="Arial"/>
        </w:rPr>
        <w:t>s</w:t>
      </w:r>
      <w:r w:rsidRPr="00270964">
        <w:rPr>
          <w:rFonts w:ascii="Arial" w:hAnsi="Arial" w:cs="Arial"/>
        </w:rPr>
        <w:t xml:space="preserve"> to consider various factors, </w:t>
      </w:r>
      <w:r>
        <w:rPr>
          <w:rFonts w:ascii="Arial" w:hAnsi="Arial" w:cs="Arial"/>
        </w:rPr>
        <w:t>including</w:t>
      </w:r>
      <w:r w:rsidR="000E5DBC">
        <w:rPr>
          <w:rFonts w:ascii="Arial" w:hAnsi="Arial" w:cs="Arial"/>
        </w:rPr>
        <w:t xml:space="preserve"> the following:</w:t>
      </w:r>
      <w:r>
        <w:rPr>
          <w:rFonts w:ascii="Arial" w:hAnsi="Arial" w:cs="Arial"/>
        </w:rPr>
        <w:t xml:space="preserve"> </w:t>
      </w:r>
    </w:p>
    <w:p w14:paraId="080D0A5D" w14:textId="6A6C36BB" w:rsidR="00D65E81" w:rsidRDefault="00D65E81" w:rsidP="0037226D">
      <w:pPr>
        <w:pStyle w:val="ListParagraph"/>
        <w:numPr>
          <w:ilvl w:val="0"/>
          <w:numId w:val="4"/>
        </w:numPr>
        <w:spacing w:after="240" w:line="360" w:lineRule="auto"/>
        <w:ind w:left="1701" w:hanging="567"/>
        <w:contextualSpacing w:val="0"/>
        <w:jc w:val="both"/>
        <w:rPr>
          <w:rFonts w:ascii="Arial" w:hAnsi="Arial" w:cs="Arial"/>
        </w:rPr>
      </w:pPr>
      <w:r>
        <w:rPr>
          <w:rFonts w:ascii="Arial" w:hAnsi="Arial" w:cs="Arial"/>
        </w:rPr>
        <w:t>T</w:t>
      </w:r>
      <w:r w:rsidRPr="00D65E81">
        <w:rPr>
          <w:rFonts w:ascii="Arial" w:hAnsi="Arial" w:cs="Arial"/>
        </w:rPr>
        <w:t xml:space="preserve">he location of Efwon Romania's </w:t>
      </w:r>
      <w:r w:rsidR="000E5DBC">
        <w:rPr>
          <w:rFonts w:ascii="Arial" w:hAnsi="Arial" w:cs="Arial"/>
        </w:rPr>
        <w:t>center of main interest (</w:t>
      </w:r>
      <w:r w:rsidRPr="00D65E81">
        <w:rPr>
          <w:rFonts w:ascii="Arial" w:hAnsi="Arial" w:cs="Arial"/>
        </w:rPr>
        <w:t>COMI</w:t>
      </w:r>
      <w:r w:rsidR="000E5DBC">
        <w:rPr>
          <w:rFonts w:ascii="Arial" w:hAnsi="Arial" w:cs="Arial"/>
        </w:rPr>
        <w:t>)</w:t>
      </w:r>
      <w:r w:rsidRPr="00D65E81">
        <w:rPr>
          <w:rFonts w:ascii="Arial" w:hAnsi="Arial" w:cs="Arial"/>
        </w:rPr>
        <w:t xml:space="preserve"> and adherence to jurisdictional requirements</w:t>
      </w:r>
      <w:r w:rsidR="00880124">
        <w:rPr>
          <w:rFonts w:ascii="Arial" w:hAnsi="Arial" w:cs="Arial"/>
        </w:rPr>
        <w:t>;</w:t>
      </w:r>
      <w:r w:rsidR="00880124">
        <w:rPr>
          <w:rStyle w:val="FootnoteReference"/>
          <w:rFonts w:ascii="Arial" w:hAnsi="Arial" w:cs="Arial"/>
        </w:rPr>
        <w:footnoteReference w:id="43"/>
      </w:r>
    </w:p>
    <w:p w14:paraId="76252109" w14:textId="3A643831" w:rsidR="00D65E81" w:rsidRDefault="00D65E81" w:rsidP="0037226D">
      <w:pPr>
        <w:pStyle w:val="ListParagraph"/>
        <w:numPr>
          <w:ilvl w:val="0"/>
          <w:numId w:val="4"/>
        </w:numPr>
        <w:spacing w:after="240" w:line="360" w:lineRule="auto"/>
        <w:ind w:left="1701" w:hanging="567"/>
        <w:contextualSpacing w:val="0"/>
        <w:jc w:val="both"/>
        <w:rPr>
          <w:rFonts w:ascii="Arial" w:hAnsi="Arial" w:cs="Arial"/>
        </w:rPr>
      </w:pPr>
      <w:r>
        <w:rPr>
          <w:rFonts w:ascii="Arial" w:hAnsi="Arial" w:cs="Arial"/>
        </w:rPr>
        <w:t>T</w:t>
      </w:r>
      <w:r w:rsidRPr="00D65E81">
        <w:rPr>
          <w:rFonts w:ascii="Arial" w:hAnsi="Arial" w:cs="Arial"/>
        </w:rPr>
        <w:t>he legal framework and effectiveness of insolvency laws in Romania and the United Kingdom and their suitability for the restructuring objectives</w:t>
      </w:r>
      <w:r w:rsidR="00880124">
        <w:rPr>
          <w:rFonts w:ascii="Arial" w:hAnsi="Arial" w:cs="Arial"/>
        </w:rPr>
        <w:t>;</w:t>
      </w:r>
    </w:p>
    <w:p w14:paraId="34D1811D" w14:textId="0E814D7D" w:rsidR="00D65E81" w:rsidRDefault="00D65E81" w:rsidP="0037226D">
      <w:pPr>
        <w:pStyle w:val="ListParagraph"/>
        <w:numPr>
          <w:ilvl w:val="0"/>
          <w:numId w:val="4"/>
        </w:numPr>
        <w:spacing w:after="240" w:line="360" w:lineRule="auto"/>
        <w:ind w:left="1701" w:hanging="567"/>
        <w:contextualSpacing w:val="0"/>
        <w:jc w:val="both"/>
        <w:rPr>
          <w:rFonts w:ascii="Arial" w:hAnsi="Arial" w:cs="Arial"/>
        </w:rPr>
      </w:pPr>
      <w:r>
        <w:rPr>
          <w:rFonts w:ascii="Arial" w:hAnsi="Arial" w:cs="Arial"/>
        </w:rPr>
        <w:t>T</w:t>
      </w:r>
      <w:r w:rsidRPr="00D65E81">
        <w:rPr>
          <w:rFonts w:ascii="Arial" w:hAnsi="Arial" w:cs="Arial"/>
        </w:rPr>
        <w:t>he location of key assets and revenue streams</w:t>
      </w:r>
      <w:r w:rsidR="00880124">
        <w:rPr>
          <w:rFonts w:ascii="Arial" w:hAnsi="Arial" w:cs="Arial"/>
        </w:rPr>
        <w:t>;</w:t>
      </w:r>
      <w:r w:rsidRPr="00D65E81">
        <w:rPr>
          <w:rFonts w:ascii="Arial" w:hAnsi="Arial" w:cs="Arial"/>
        </w:rPr>
        <w:t xml:space="preserve"> </w:t>
      </w:r>
    </w:p>
    <w:p w14:paraId="25AC33CA" w14:textId="6820345D" w:rsidR="00D65E81" w:rsidRDefault="00D65E81" w:rsidP="0037226D">
      <w:pPr>
        <w:pStyle w:val="ListParagraph"/>
        <w:numPr>
          <w:ilvl w:val="0"/>
          <w:numId w:val="4"/>
        </w:numPr>
        <w:spacing w:after="240" w:line="360" w:lineRule="auto"/>
        <w:ind w:left="1701" w:hanging="567"/>
        <w:contextualSpacing w:val="0"/>
        <w:jc w:val="both"/>
        <w:rPr>
          <w:rFonts w:ascii="Arial" w:hAnsi="Arial" w:cs="Arial"/>
        </w:rPr>
      </w:pPr>
      <w:r>
        <w:rPr>
          <w:rFonts w:ascii="Arial" w:hAnsi="Arial" w:cs="Arial"/>
        </w:rPr>
        <w:t>T</w:t>
      </w:r>
      <w:r w:rsidRPr="00D65E81">
        <w:rPr>
          <w:rFonts w:ascii="Arial" w:hAnsi="Arial" w:cs="Arial"/>
        </w:rPr>
        <w:t>he overall goals and priorities of Efwon Investments and Efwon Trading</w:t>
      </w:r>
      <w:r w:rsidR="000E5DBC">
        <w:rPr>
          <w:rFonts w:ascii="Arial" w:hAnsi="Arial" w:cs="Arial"/>
        </w:rPr>
        <w:t>;</w:t>
      </w:r>
    </w:p>
    <w:p w14:paraId="0A20CA31" w14:textId="7C8CF9D2" w:rsidR="00D65E81" w:rsidRDefault="00D65E81" w:rsidP="0037226D">
      <w:pPr>
        <w:pStyle w:val="ListParagraph"/>
        <w:numPr>
          <w:ilvl w:val="0"/>
          <w:numId w:val="4"/>
        </w:numPr>
        <w:spacing w:after="240" w:line="360" w:lineRule="auto"/>
        <w:ind w:left="1701" w:hanging="567"/>
        <w:contextualSpacing w:val="0"/>
        <w:jc w:val="both"/>
        <w:rPr>
          <w:rFonts w:ascii="Arial" w:hAnsi="Arial" w:cs="Arial"/>
        </w:rPr>
      </w:pPr>
      <w:r>
        <w:rPr>
          <w:rFonts w:ascii="Arial" w:hAnsi="Arial" w:cs="Arial"/>
        </w:rPr>
        <w:t>T</w:t>
      </w:r>
      <w:r w:rsidRPr="00D65E81">
        <w:rPr>
          <w:rFonts w:ascii="Arial" w:hAnsi="Arial" w:cs="Arial"/>
        </w:rPr>
        <w:t>he analysis of applicable insolvency laws</w:t>
      </w:r>
      <w:r w:rsidR="000E5DBC">
        <w:rPr>
          <w:rFonts w:ascii="Arial" w:hAnsi="Arial" w:cs="Arial"/>
        </w:rPr>
        <w:t>; and</w:t>
      </w:r>
    </w:p>
    <w:p w14:paraId="19E0D9C4" w14:textId="7F3FA764" w:rsidR="000E5DBC" w:rsidRPr="00D65E81" w:rsidRDefault="000E5DBC" w:rsidP="0037226D">
      <w:pPr>
        <w:pStyle w:val="ListParagraph"/>
        <w:numPr>
          <w:ilvl w:val="0"/>
          <w:numId w:val="4"/>
        </w:numPr>
        <w:spacing w:after="240" w:line="360" w:lineRule="auto"/>
        <w:ind w:left="1701" w:hanging="567"/>
        <w:contextualSpacing w:val="0"/>
        <w:jc w:val="both"/>
        <w:rPr>
          <w:rFonts w:ascii="Arial" w:hAnsi="Arial" w:cs="Arial"/>
        </w:rPr>
      </w:pPr>
      <w:r w:rsidRPr="00270964">
        <w:rPr>
          <w:rFonts w:ascii="Arial" w:hAnsi="Arial" w:cs="Arial"/>
        </w:rPr>
        <w:t xml:space="preserve">The cooperation and support of </w:t>
      </w:r>
      <w:r w:rsidR="00854EEB">
        <w:rPr>
          <w:rFonts w:ascii="Arial" w:hAnsi="Arial" w:cs="Arial"/>
        </w:rPr>
        <w:t xml:space="preserve">the </w:t>
      </w:r>
      <w:r w:rsidRPr="00270964">
        <w:rPr>
          <w:rFonts w:ascii="Arial" w:hAnsi="Arial" w:cs="Arial"/>
        </w:rPr>
        <w:t>creditors, including the drivers' claimants, in the proposed restructuring process.</w:t>
      </w:r>
    </w:p>
    <w:p w14:paraId="26F97645" w14:textId="12186F8C" w:rsidR="00D65E81" w:rsidRDefault="000E5DBC" w:rsidP="0037226D">
      <w:pPr>
        <w:spacing w:after="240" w:line="360" w:lineRule="auto"/>
        <w:jc w:val="both"/>
        <w:rPr>
          <w:rFonts w:ascii="Arial" w:hAnsi="Arial" w:cs="Arial"/>
        </w:rPr>
      </w:pPr>
      <w:r>
        <w:rPr>
          <w:rFonts w:ascii="Arial" w:hAnsi="Arial" w:cs="Arial"/>
        </w:rPr>
        <w:t>The center of the debtor</w:t>
      </w:r>
      <w:r w:rsidR="00781407">
        <w:rPr>
          <w:rFonts w:ascii="Arial" w:hAnsi="Arial" w:cs="Arial"/>
        </w:rPr>
        <w:t>'</w:t>
      </w:r>
      <w:r>
        <w:rPr>
          <w:rFonts w:ascii="Arial" w:hAnsi="Arial" w:cs="Arial"/>
        </w:rPr>
        <w:t>s COMI has become a crucial aspect of insolvency proceedings.</w:t>
      </w:r>
      <w:r>
        <w:rPr>
          <w:rStyle w:val="FootnoteReference"/>
          <w:rFonts w:ascii="Arial" w:hAnsi="Arial" w:cs="Arial"/>
        </w:rPr>
        <w:footnoteReference w:id="44"/>
      </w:r>
      <w:r>
        <w:rPr>
          <w:rFonts w:ascii="Arial" w:hAnsi="Arial" w:cs="Arial"/>
        </w:rPr>
        <w:t xml:space="preserve"> The support and cooperation of the creditors ha</w:t>
      </w:r>
      <w:r w:rsidR="00854EEB">
        <w:rPr>
          <w:rFonts w:ascii="Arial" w:hAnsi="Arial" w:cs="Arial"/>
        </w:rPr>
        <w:t>ve</w:t>
      </w:r>
      <w:r>
        <w:rPr>
          <w:rFonts w:ascii="Arial" w:hAnsi="Arial" w:cs="Arial"/>
        </w:rPr>
        <w:t xml:space="preserve"> been previously mentioned and </w:t>
      </w:r>
      <w:r w:rsidR="00854EEB">
        <w:rPr>
          <w:rFonts w:ascii="Arial" w:hAnsi="Arial" w:cs="Arial"/>
        </w:rPr>
        <w:t xml:space="preserve">are </w:t>
      </w:r>
      <w:r>
        <w:rPr>
          <w:rFonts w:ascii="Arial" w:hAnsi="Arial" w:cs="Arial"/>
        </w:rPr>
        <w:t xml:space="preserve">crucial to the outcome the Efwon Group seeks. </w:t>
      </w:r>
    </w:p>
    <w:p w14:paraId="4B82FC79" w14:textId="47F2BD5B" w:rsidR="004A0322" w:rsidRPr="005B09A2" w:rsidRDefault="00637626" w:rsidP="0037226D">
      <w:pPr>
        <w:spacing w:after="240" w:line="360" w:lineRule="auto"/>
        <w:jc w:val="both"/>
        <w:rPr>
          <w:rFonts w:ascii="Arial" w:hAnsi="Arial" w:cs="Arial"/>
        </w:rPr>
      </w:pPr>
      <w:r w:rsidRPr="005B09A2">
        <w:rPr>
          <w:rFonts w:ascii="Arial" w:hAnsi="Arial" w:cs="Arial"/>
          <w:shd w:val="clear" w:color="auto" w:fill="FFFFFF"/>
        </w:rPr>
        <w:t>The eight principles documented by INSOL are the authoritative document or best practices for multi-creditor workouts</w:t>
      </w:r>
      <w:r>
        <w:rPr>
          <w:rFonts w:ascii="Arial" w:hAnsi="Arial" w:cs="Arial"/>
          <w:shd w:val="clear" w:color="auto" w:fill="FFFFFF"/>
        </w:rPr>
        <w:t>.</w:t>
      </w:r>
      <w:r w:rsidRPr="005B09A2">
        <w:rPr>
          <w:rFonts w:ascii="Arial" w:hAnsi="Arial" w:cs="Arial"/>
          <w:shd w:val="clear" w:color="auto" w:fill="FFFFFF"/>
        </w:rPr>
        <w:t xml:space="preserve"> </w:t>
      </w:r>
      <w:r w:rsidR="00F02A8E">
        <w:rPr>
          <w:rFonts w:ascii="Arial" w:hAnsi="Arial" w:cs="Arial"/>
        </w:rPr>
        <w:t>If the Efwon Group can negotiate with all stakeholders to accept the INSOL Statement of Principles</w:t>
      </w:r>
      <w:r w:rsidR="00C65030">
        <w:rPr>
          <w:rFonts w:ascii="Arial" w:hAnsi="Arial" w:cs="Arial"/>
        </w:rPr>
        <w:t xml:space="preserve"> (2017)</w:t>
      </w:r>
      <w:r w:rsidR="00F02A8E">
        <w:rPr>
          <w:rFonts w:ascii="Arial" w:hAnsi="Arial" w:cs="Arial"/>
        </w:rPr>
        <w:t>, this will be an ideal starting point for a successful resolution to the insolvency matters facing the Group.</w:t>
      </w:r>
      <w:r w:rsidR="004A0322">
        <w:rPr>
          <w:rFonts w:ascii="Arial" w:hAnsi="Arial" w:cs="Arial"/>
        </w:rPr>
        <w:t xml:space="preserve"> </w:t>
      </w:r>
      <w:r w:rsidR="004A0322" w:rsidRPr="005B09A2">
        <w:rPr>
          <w:rFonts w:ascii="Arial" w:hAnsi="Arial" w:cs="Arial"/>
        </w:rPr>
        <w:t xml:space="preserve">The recovery process </w:t>
      </w:r>
      <w:r w:rsidR="004A0322">
        <w:rPr>
          <w:rFonts w:ascii="Arial" w:hAnsi="Arial" w:cs="Arial"/>
        </w:rPr>
        <w:t>will be</w:t>
      </w:r>
      <w:r w:rsidR="004A0322" w:rsidRPr="005B09A2">
        <w:rPr>
          <w:rFonts w:ascii="Arial" w:hAnsi="Arial" w:cs="Arial"/>
        </w:rPr>
        <w:t xml:space="preserve"> shorter if </w:t>
      </w:r>
      <w:r w:rsidR="004A0322">
        <w:rPr>
          <w:rFonts w:ascii="Arial" w:hAnsi="Arial" w:cs="Arial"/>
        </w:rPr>
        <w:t xml:space="preserve">the Group can convince the stakeholders to use </w:t>
      </w:r>
      <w:r w:rsidR="004A0322" w:rsidRPr="005B09A2">
        <w:rPr>
          <w:rFonts w:ascii="Arial" w:hAnsi="Arial" w:cs="Arial"/>
        </w:rPr>
        <w:t xml:space="preserve">the </w:t>
      </w:r>
      <w:r w:rsidR="00C65030">
        <w:rPr>
          <w:rFonts w:ascii="Arial" w:hAnsi="Arial" w:cs="Arial"/>
        </w:rPr>
        <w:t>INSOL Statement of Principles (2017)</w:t>
      </w:r>
      <w:r w:rsidR="004A0322">
        <w:rPr>
          <w:rFonts w:ascii="Arial" w:hAnsi="Arial" w:cs="Arial"/>
        </w:rPr>
        <w:t>.</w:t>
      </w:r>
      <w:r w:rsidR="004A0322">
        <w:rPr>
          <w:rStyle w:val="FootnoteReference"/>
          <w:rFonts w:ascii="Arial" w:hAnsi="Arial" w:cs="Arial"/>
        </w:rPr>
        <w:footnoteReference w:id="45"/>
      </w:r>
      <w:r w:rsidR="004A0322" w:rsidRPr="005B09A2">
        <w:rPr>
          <w:rFonts w:ascii="Arial" w:hAnsi="Arial" w:cs="Arial"/>
        </w:rPr>
        <w:t xml:space="preserve"> </w:t>
      </w:r>
    </w:p>
    <w:p w14:paraId="0E996E11" w14:textId="67B22169" w:rsidR="000209E8" w:rsidRPr="00EB6400" w:rsidRDefault="007076F7" w:rsidP="005D6B3B">
      <w:pPr>
        <w:pStyle w:val="Heading2"/>
        <w:numPr>
          <w:ilvl w:val="0"/>
          <w:numId w:val="7"/>
        </w:numPr>
        <w:spacing w:before="0" w:after="120" w:line="360" w:lineRule="auto"/>
        <w:rPr>
          <w:rFonts w:ascii="Arial" w:hAnsi="Arial" w:cs="Arial"/>
          <w:b/>
          <w:bCs/>
          <w:color w:val="auto"/>
          <w:sz w:val="22"/>
          <w:szCs w:val="22"/>
        </w:rPr>
      </w:pPr>
      <w:bookmarkStart w:id="13" w:name="_Toc142153292"/>
      <w:r w:rsidRPr="00EB6400">
        <w:rPr>
          <w:rFonts w:ascii="Arial" w:hAnsi="Arial" w:cs="Arial"/>
          <w:b/>
          <w:bCs/>
          <w:color w:val="auto"/>
          <w:sz w:val="22"/>
          <w:szCs w:val="22"/>
        </w:rPr>
        <w:t xml:space="preserve">Additional </w:t>
      </w:r>
      <w:r w:rsidR="000209E8" w:rsidRPr="00EB6400">
        <w:rPr>
          <w:rFonts w:ascii="Arial" w:hAnsi="Arial" w:cs="Arial"/>
          <w:b/>
          <w:bCs/>
          <w:color w:val="auto"/>
          <w:sz w:val="22"/>
          <w:szCs w:val="22"/>
        </w:rPr>
        <w:t>Information</w:t>
      </w:r>
      <w:bookmarkEnd w:id="13"/>
      <w:r w:rsidRPr="00EB6400">
        <w:rPr>
          <w:rFonts w:ascii="Arial" w:hAnsi="Arial" w:cs="Arial"/>
          <w:b/>
          <w:bCs/>
          <w:color w:val="auto"/>
          <w:sz w:val="22"/>
          <w:szCs w:val="22"/>
        </w:rPr>
        <w:t xml:space="preserve"> </w:t>
      </w:r>
    </w:p>
    <w:p w14:paraId="2F203D12" w14:textId="77777777" w:rsidR="000209E8" w:rsidRDefault="000209E8" w:rsidP="0037226D">
      <w:pPr>
        <w:spacing w:after="240" w:line="360" w:lineRule="auto"/>
        <w:jc w:val="both"/>
        <w:rPr>
          <w:rFonts w:ascii="Arial" w:hAnsi="Arial" w:cs="Arial"/>
        </w:rPr>
      </w:pPr>
      <w:r w:rsidRPr="000209E8">
        <w:rPr>
          <w:rFonts w:ascii="Arial" w:hAnsi="Arial" w:cs="Arial"/>
        </w:rPr>
        <w:t>We need a more detailed understanding of the financial situation of all three companies, the specific terms of the loan agreements, the potential liability from the litigation, and the stance of KuasaNas on the current predicament.</w:t>
      </w:r>
    </w:p>
    <w:p w14:paraId="75D8DAF8" w14:textId="59F8CF5F" w:rsidR="007076F7" w:rsidRDefault="007076F7" w:rsidP="0037226D">
      <w:pPr>
        <w:spacing w:after="240" w:line="360" w:lineRule="auto"/>
        <w:jc w:val="both"/>
        <w:rPr>
          <w:rFonts w:ascii="Arial" w:hAnsi="Arial" w:cs="Arial"/>
        </w:rPr>
      </w:pPr>
      <w:r w:rsidRPr="008F5011">
        <w:rPr>
          <w:rFonts w:ascii="Arial" w:hAnsi="Arial" w:cs="Arial"/>
        </w:rPr>
        <w:t xml:space="preserve">To provide more precise advice, </w:t>
      </w:r>
      <w:r w:rsidR="00854EEB">
        <w:rPr>
          <w:rFonts w:ascii="Arial" w:hAnsi="Arial" w:cs="Arial"/>
        </w:rPr>
        <w:t>obtaining additional financial analysis regarding all three companies would be helpful</w:t>
      </w:r>
      <w:r w:rsidR="00511EBE">
        <w:rPr>
          <w:rFonts w:ascii="Arial" w:hAnsi="Arial" w:cs="Arial"/>
        </w:rPr>
        <w:t>. We w</w:t>
      </w:r>
      <w:r w:rsidR="000D6727">
        <w:rPr>
          <w:rFonts w:ascii="Arial" w:hAnsi="Arial" w:cs="Arial"/>
        </w:rPr>
        <w:t>ant</w:t>
      </w:r>
      <w:r w:rsidR="00511EBE">
        <w:rPr>
          <w:rFonts w:ascii="Arial" w:hAnsi="Arial" w:cs="Arial"/>
        </w:rPr>
        <w:t xml:space="preserve"> our financial and legal team to examine</w:t>
      </w:r>
      <w:r>
        <w:rPr>
          <w:rFonts w:ascii="Arial" w:hAnsi="Arial" w:cs="Arial"/>
        </w:rPr>
        <w:t xml:space="preserve"> </w:t>
      </w:r>
      <w:r w:rsidRPr="008F5011">
        <w:rPr>
          <w:rFonts w:ascii="Arial" w:hAnsi="Arial" w:cs="Arial"/>
        </w:rPr>
        <w:t xml:space="preserve">the specific nature of the freezing injunctions </w:t>
      </w:r>
      <w:r w:rsidR="00D42164">
        <w:rPr>
          <w:rFonts w:ascii="Arial" w:hAnsi="Arial" w:cs="Arial"/>
        </w:rPr>
        <w:t xml:space="preserve">and </w:t>
      </w:r>
      <w:r w:rsidRPr="008F5011">
        <w:rPr>
          <w:rFonts w:ascii="Arial" w:hAnsi="Arial" w:cs="Arial"/>
        </w:rPr>
        <w:t xml:space="preserve">financial </w:t>
      </w:r>
      <w:r>
        <w:rPr>
          <w:rFonts w:ascii="Arial" w:hAnsi="Arial" w:cs="Arial"/>
        </w:rPr>
        <w:t xml:space="preserve">information </w:t>
      </w:r>
      <w:r w:rsidR="00854EEB">
        <w:rPr>
          <w:rFonts w:ascii="Arial" w:hAnsi="Arial" w:cs="Arial"/>
        </w:rPr>
        <w:t>about</w:t>
      </w:r>
      <w:r>
        <w:rPr>
          <w:rFonts w:ascii="Arial" w:hAnsi="Arial" w:cs="Arial"/>
        </w:rPr>
        <w:t xml:space="preserve"> </w:t>
      </w:r>
      <w:r w:rsidRPr="008F5011">
        <w:rPr>
          <w:rFonts w:ascii="Arial" w:hAnsi="Arial" w:cs="Arial"/>
        </w:rPr>
        <w:t>Efwon Romania and Efwon Trading</w:t>
      </w:r>
      <w:r w:rsidR="00C65030">
        <w:rPr>
          <w:rFonts w:ascii="Arial" w:hAnsi="Arial" w:cs="Arial"/>
        </w:rPr>
        <w:t>. Our team will also consider</w:t>
      </w:r>
      <w:r w:rsidRPr="008F5011">
        <w:rPr>
          <w:rFonts w:ascii="Arial" w:hAnsi="Arial" w:cs="Arial"/>
        </w:rPr>
        <w:t xml:space="preserve"> any contractual obligations or agreements with other </w:t>
      </w:r>
      <w:r w:rsidR="00511EBE">
        <w:rPr>
          <w:rFonts w:ascii="Arial" w:hAnsi="Arial" w:cs="Arial"/>
        </w:rPr>
        <w:t>parties</w:t>
      </w:r>
      <w:r w:rsidRPr="008F5011">
        <w:rPr>
          <w:rFonts w:ascii="Arial" w:hAnsi="Arial" w:cs="Arial"/>
        </w:rPr>
        <w:t xml:space="preserve"> that could impact the restructuring process.</w:t>
      </w:r>
      <w:r>
        <w:rPr>
          <w:rFonts w:ascii="Arial" w:hAnsi="Arial" w:cs="Arial"/>
        </w:rPr>
        <w:t xml:space="preserve"> Specifically, for this engagement, it </w:t>
      </w:r>
      <w:r w:rsidR="00854EEB">
        <w:rPr>
          <w:rFonts w:ascii="Arial" w:hAnsi="Arial" w:cs="Arial"/>
        </w:rPr>
        <w:t>would be</w:t>
      </w:r>
      <w:r>
        <w:rPr>
          <w:rFonts w:ascii="Arial" w:hAnsi="Arial" w:cs="Arial"/>
        </w:rPr>
        <w:t xml:space="preserve"> preferable if you c</w:t>
      </w:r>
      <w:r w:rsidR="00854EEB">
        <w:rPr>
          <w:rFonts w:ascii="Arial" w:hAnsi="Arial" w:cs="Arial"/>
        </w:rPr>
        <w:t>ould</w:t>
      </w:r>
      <w:r>
        <w:rPr>
          <w:rFonts w:ascii="Arial" w:hAnsi="Arial" w:cs="Arial"/>
        </w:rPr>
        <w:t xml:space="preserve"> provide us </w:t>
      </w:r>
      <w:r w:rsidR="00854EEB">
        <w:rPr>
          <w:rFonts w:ascii="Arial" w:hAnsi="Arial" w:cs="Arial"/>
        </w:rPr>
        <w:t xml:space="preserve">with </w:t>
      </w:r>
      <w:r>
        <w:rPr>
          <w:rFonts w:ascii="Arial" w:hAnsi="Arial" w:cs="Arial"/>
        </w:rPr>
        <w:t>the following information:</w:t>
      </w:r>
    </w:p>
    <w:p w14:paraId="1B55430C" w14:textId="037AFE12" w:rsidR="007076F7" w:rsidRPr="008F5011" w:rsidRDefault="007076F7" w:rsidP="0037226D">
      <w:pPr>
        <w:pStyle w:val="ListParagraph"/>
        <w:numPr>
          <w:ilvl w:val="0"/>
          <w:numId w:val="3"/>
        </w:numPr>
        <w:spacing w:after="240" w:line="360" w:lineRule="auto"/>
        <w:ind w:left="1701" w:hanging="567"/>
        <w:contextualSpacing w:val="0"/>
        <w:jc w:val="both"/>
        <w:rPr>
          <w:rFonts w:ascii="Arial" w:hAnsi="Arial" w:cs="Arial"/>
        </w:rPr>
      </w:pPr>
      <w:r w:rsidRPr="008F5011">
        <w:rPr>
          <w:rFonts w:ascii="Arial" w:hAnsi="Arial" w:cs="Arial"/>
        </w:rPr>
        <w:t>Detailed financial statements and projections for Efwon Trading, Efwon Romania, and Efwon Investments</w:t>
      </w:r>
      <w:r w:rsidR="00C65030">
        <w:rPr>
          <w:rFonts w:ascii="Arial" w:hAnsi="Arial" w:cs="Arial"/>
        </w:rPr>
        <w:t>. Audited financial statements are preferable but not necessary</w:t>
      </w:r>
      <w:r>
        <w:rPr>
          <w:rFonts w:ascii="Arial" w:hAnsi="Arial" w:cs="Arial"/>
        </w:rPr>
        <w:t>;</w:t>
      </w:r>
    </w:p>
    <w:p w14:paraId="30F9ED04" w14:textId="436DA4CF" w:rsidR="007076F7" w:rsidRDefault="007076F7" w:rsidP="0037226D">
      <w:pPr>
        <w:pStyle w:val="ListParagraph"/>
        <w:numPr>
          <w:ilvl w:val="0"/>
          <w:numId w:val="3"/>
        </w:numPr>
        <w:spacing w:after="240" w:line="360" w:lineRule="auto"/>
        <w:ind w:left="1701" w:hanging="567"/>
        <w:contextualSpacing w:val="0"/>
        <w:jc w:val="both"/>
        <w:rPr>
          <w:rFonts w:ascii="Arial" w:hAnsi="Arial" w:cs="Arial"/>
        </w:rPr>
      </w:pPr>
      <w:r w:rsidRPr="008F5011">
        <w:rPr>
          <w:rFonts w:ascii="Arial" w:hAnsi="Arial" w:cs="Arial"/>
        </w:rPr>
        <w:t>The terms and conditions of the intended deal with KuasaNas, including the proposed acquisition structure</w:t>
      </w:r>
      <w:r w:rsidR="00D42164">
        <w:rPr>
          <w:rFonts w:ascii="Arial" w:hAnsi="Arial" w:cs="Arial"/>
        </w:rPr>
        <w:t>,</w:t>
      </w:r>
      <w:r w:rsidRPr="008F5011">
        <w:rPr>
          <w:rFonts w:ascii="Arial" w:hAnsi="Arial" w:cs="Arial"/>
        </w:rPr>
        <w:t xml:space="preserve"> </w:t>
      </w:r>
      <w:r w:rsidR="000507A8">
        <w:rPr>
          <w:rFonts w:ascii="Arial" w:hAnsi="Arial" w:cs="Arial"/>
        </w:rPr>
        <w:t>specific conditions or requirements, and</w:t>
      </w:r>
      <w:r w:rsidR="00511EBE">
        <w:rPr>
          <w:rFonts w:ascii="Arial" w:hAnsi="Arial" w:cs="Arial"/>
        </w:rPr>
        <w:t xml:space="preserve"> potential liability from the litigation</w:t>
      </w:r>
      <w:r w:rsidR="00C65030">
        <w:rPr>
          <w:rFonts w:ascii="Arial" w:hAnsi="Arial" w:cs="Arial"/>
        </w:rPr>
        <w:t>. All written correspondence between the parties should be provided for further analysis</w:t>
      </w:r>
      <w:r>
        <w:rPr>
          <w:rFonts w:ascii="Arial" w:hAnsi="Arial" w:cs="Arial"/>
        </w:rPr>
        <w:t>;</w:t>
      </w:r>
    </w:p>
    <w:p w14:paraId="78D5CB1C" w14:textId="273C7CF4" w:rsidR="00511EBE" w:rsidRDefault="00511EBE" w:rsidP="0037226D">
      <w:pPr>
        <w:pStyle w:val="ListParagraph"/>
        <w:numPr>
          <w:ilvl w:val="0"/>
          <w:numId w:val="3"/>
        </w:numPr>
        <w:spacing w:after="240" w:line="360" w:lineRule="auto"/>
        <w:ind w:left="1701" w:hanging="567"/>
        <w:contextualSpacing w:val="0"/>
        <w:jc w:val="both"/>
        <w:rPr>
          <w:rFonts w:ascii="Arial" w:hAnsi="Arial" w:cs="Arial"/>
        </w:rPr>
      </w:pPr>
      <w:r w:rsidRPr="00511EBE">
        <w:rPr>
          <w:rFonts w:ascii="Arial" w:hAnsi="Arial" w:cs="Arial"/>
        </w:rPr>
        <w:t>the specific terms of the loan agreements</w:t>
      </w:r>
      <w:r w:rsidR="00C65030">
        <w:rPr>
          <w:rFonts w:ascii="Arial" w:hAnsi="Arial" w:cs="Arial"/>
        </w:rPr>
        <w:t>, including the promissory notes, the rate of interest, the collateral securities, the penalties, and a risk assessment of the liabilities;</w:t>
      </w:r>
      <w:r w:rsidRPr="00511EBE">
        <w:rPr>
          <w:rFonts w:ascii="Arial" w:hAnsi="Arial" w:cs="Arial"/>
        </w:rPr>
        <w:t xml:space="preserve"> </w:t>
      </w:r>
    </w:p>
    <w:p w14:paraId="7F067B21" w14:textId="0F481CEF" w:rsidR="007076F7" w:rsidRPr="008F5011" w:rsidRDefault="007076F7" w:rsidP="0037226D">
      <w:pPr>
        <w:pStyle w:val="ListParagraph"/>
        <w:numPr>
          <w:ilvl w:val="0"/>
          <w:numId w:val="3"/>
        </w:numPr>
        <w:spacing w:after="240" w:line="360" w:lineRule="auto"/>
        <w:ind w:left="1701" w:hanging="567"/>
        <w:contextualSpacing w:val="0"/>
        <w:jc w:val="both"/>
        <w:rPr>
          <w:rFonts w:ascii="Arial" w:hAnsi="Arial" w:cs="Arial"/>
        </w:rPr>
      </w:pPr>
      <w:r w:rsidRPr="008F5011">
        <w:rPr>
          <w:rFonts w:ascii="Arial" w:hAnsi="Arial" w:cs="Arial"/>
        </w:rPr>
        <w:t>The nature and extent of the freezing injunctions obtained by the drivers' lawyers, including the potential impact on ongoing operations and the ability to repay creditors</w:t>
      </w:r>
      <w:r w:rsidR="00C65030">
        <w:rPr>
          <w:rFonts w:ascii="Arial" w:hAnsi="Arial" w:cs="Arial"/>
        </w:rPr>
        <w:t xml:space="preserve">. We require the injunction itself, all legal briefings, agreements, legal submissions, depositions, and statements or rulings by any court </w:t>
      </w:r>
      <w:r w:rsidR="00D42164">
        <w:rPr>
          <w:rFonts w:ascii="Arial" w:hAnsi="Arial" w:cs="Arial"/>
        </w:rPr>
        <w:t>about</w:t>
      </w:r>
      <w:r w:rsidR="00C65030">
        <w:rPr>
          <w:rFonts w:ascii="Arial" w:hAnsi="Arial" w:cs="Arial"/>
        </w:rPr>
        <w:t xml:space="preserve"> this matter, and any other documents you consider relevant</w:t>
      </w:r>
      <w:r>
        <w:rPr>
          <w:rFonts w:ascii="Arial" w:hAnsi="Arial" w:cs="Arial"/>
        </w:rPr>
        <w:t>; and</w:t>
      </w:r>
    </w:p>
    <w:p w14:paraId="36AEA889" w14:textId="0703F41D" w:rsidR="007076F7" w:rsidRPr="008F5011" w:rsidRDefault="007076F7" w:rsidP="0037226D">
      <w:pPr>
        <w:pStyle w:val="ListParagraph"/>
        <w:numPr>
          <w:ilvl w:val="0"/>
          <w:numId w:val="3"/>
        </w:numPr>
        <w:spacing w:after="240" w:line="360" w:lineRule="auto"/>
        <w:ind w:left="1701" w:hanging="567"/>
        <w:contextualSpacing w:val="0"/>
        <w:jc w:val="both"/>
        <w:rPr>
          <w:rFonts w:ascii="Arial" w:hAnsi="Arial" w:cs="Arial"/>
        </w:rPr>
      </w:pPr>
      <w:r w:rsidRPr="008F5011">
        <w:rPr>
          <w:rFonts w:ascii="Arial" w:hAnsi="Arial" w:cs="Arial"/>
        </w:rPr>
        <w:t>The current status of negotiations with creditors and any potential agreements reached.</w:t>
      </w:r>
      <w:r w:rsidR="00C65030">
        <w:rPr>
          <w:rFonts w:ascii="Arial" w:hAnsi="Arial" w:cs="Arial"/>
        </w:rPr>
        <w:t xml:space="preserve"> All correspondences between the Group and the major creditors, including agreements, proposed haircuts, names and email addresses of the negotiating parties, and any other information you consider relevant to this matter.</w:t>
      </w:r>
    </w:p>
    <w:p w14:paraId="02D3AC8A" w14:textId="678340C8" w:rsidR="000209E8" w:rsidRPr="00EB6400" w:rsidRDefault="000209E8" w:rsidP="005D6B3B">
      <w:pPr>
        <w:pStyle w:val="Heading2"/>
        <w:numPr>
          <w:ilvl w:val="0"/>
          <w:numId w:val="7"/>
        </w:numPr>
        <w:spacing w:before="0" w:after="120" w:line="360" w:lineRule="auto"/>
        <w:rPr>
          <w:rFonts w:ascii="Arial" w:hAnsi="Arial" w:cs="Arial"/>
          <w:b/>
          <w:bCs/>
          <w:color w:val="auto"/>
          <w:sz w:val="22"/>
          <w:szCs w:val="22"/>
        </w:rPr>
      </w:pPr>
      <w:r w:rsidRPr="00EB6400">
        <w:rPr>
          <w:rFonts w:ascii="Arial" w:hAnsi="Arial" w:cs="Arial"/>
          <w:b/>
          <w:bCs/>
          <w:color w:val="auto"/>
          <w:sz w:val="22"/>
          <w:szCs w:val="22"/>
        </w:rPr>
        <w:t xml:space="preserve"> </w:t>
      </w:r>
      <w:bookmarkStart w:id="14" w:name="_Toc142153293"/>
      <w:r w:rsidRPr="00EB6400">
        <w:rPr>
          <w:rFonts w:ascii="Arial" w:hAnsi="Arial" w:cs="Arial"/>
          <w:b/>
          <w:bCs/>
          <w:color w:val="auto"/>
          <w:sz w:val="22"/>
          <w:szCs w:val="22"/>
        </w:rPr>
        <w:t>Application of European Insolvency Regulation and UNCITRAL Model Law</w:t>
      </w:r>
      <w:bookmarkEnd w:id="14"/>
    </w:p>
    <w:p w14:paraId="0D8EEB2D" w14:textId="2B1EEDC8" w:rsidR="000209E8" w:rsidRDefault="000209E8" w:rsidP="0037226D">
      <w:pPr>
        <w:spacing w:after="240" w:line="360" w:lineRule="auto"/>
        <w:jc w:val="both"/>
        <w:rPr>
          <w:rFonts w:ascii="Arial" w:hAnsi="Arial" w:cs="Arial"/>
        </w:rPr>
      </w:pPr>
      <w:r w:rsidRPr="000209E8">
        <w:rPr>
          <w:rFonts w:ascii="Arial" w:hAnsi="Arial" w:cs="Arial"/>
        </w:rPr>
        <w:t xml:space="preserve">Given that companies in the Efwon group are based in different jurisdictions, the cross-border insolvency frameworks provided by the European Insolvency Regulation and UNCITRAL </w:t>
      </w:r>
      <w:r w:rsidR="00C65030">
        <w:rPr>
          <w:rFonts w:ascii="Arial" w:hAnsi="Arial" w:cs="Arial"/>
        </w:rPr>
        <w:t>MLCBI</w:t>
      </w:r>
      <w:r w:rsidRPr="000209E8">
        <w:rPr>
          <w:rFonts w:ascii="Arial" w:hAnsi="Arial" w:cs="Arial"/>
        </w:rPr>
        <w:t xml:space="preserve"> may be helpful. The European Insolvency Regulation could be particularly relevant for proceedings between Efwon Trading and Efwon Romania, while the UNCITRAL </w:t>
      </w:r>
      <w:r w:rsidR="00C65030">
        <w:rPr>
          <w:rFonts w:ascii="Arial" w:hAnsi="Arial" w:cs="Arial"/>
        </w:rPr>
        <w:t>MLCBI</w:t>
      </w:r>
      <w:r w:rsidRPr="000209E8">
        <w:rPr>
          <w:rFonts w:ascii="Arial" w:hAnsi="Arial" w:cs="Arial"/>
        </w:rPr>
        <w:t xml:space="preserve"> could facilitate coordination between proceedings in the US and the UK.</w:t>
      </w:r>
    </w:p>
    <w:p w14:paraId="1C219AA5" w14:textId="2533DE41" w:rsidR="003E5433" w:rsidRPr="00857B3C" w:rsidRDefault="003E5433" w:rsidP="0037226D">
      <w:pPr>
        <w:spacing w:after="240" w:line="360" w:lineRule="auto"/>
        <w:jc w:val="both"/>
        <w:rPr>
          <w:rFonts w:ascii="Arial" w:hAnsi="Arial" w:cs="Arial"/>
        </w:rPr>
      </w:pPr>
      <w:r w:rsidRPr="00857B3C">
        <w:rPr>
          <w:rFonts w:ascii="Arial" w:hAnsi="Arial" w:cs="Arial"/>
        </w:rPr>
        <w:t xml:space="preserve">These legal frameworks provide mechanisms for cooperation and coordination between different jurisdictions in cross-border insolvency cases. </w:t>
      </w:r>
      <w:r w:rsidR="00854EEB">
        <w:rPr>
          <w:rFonts w:ascii="Arial" w:hAnsi="Arial" w:cs="Arial"/>
        </w:rPr>
        <w:t>These texts' specific provision</w:t>
      </w:r>
      <w:r w:rsidRPr="00857B3C">
        <w:rPr>
          <w:rFonts w:ascii="Arial" w:hAnsi="Arial" w:cs="Arial"/>
        </w:rPr>
        <w:t>s and their implications for the proposed restructuring strategy will be crucial in navigating potential challenges related to jurisdiction and recognition of insolvency proceedings.</w:t>
      </w:r>
    </w:p>
    <w:p w14:paraId="3EE0C3F0" w14:textId="51D72251" w:rsidR="000209E8" w:rsidRPr="00EB6400" w:rsidRDefault="000209E8" w:rsidP="005D6B3B">
      <w:pPr>
        <w:pStyle w:val="Heading2"/>
        <w:numPr>
          <w:ilvl w:val="0"/>
          <w:numId w:val="7"/>
        </w:numPr>
        <w:spacing w:before="0" w:after="120" w:line="360" w:lineRule="auto"/>
        <w:rPr>
          <w:rFonts w:ascii="Arial" w:hAnsi="Arial" w:cs="Arial"/>
          <w:b/>
          <w:bCs/>
          <w:color w:val="auto"/>
          <w:sz w:val="22"/>
          <w:szCs w:val="22"/>
        </w:rPr>
      </w:pPr>
      <w:r w:rsidRPr="00EB6400">
        <w:rPr>
          <w:rFonts w:ascii="Arial" w:hAnsi="Arial" w:cs="Arial"/>
          <w:b/>
          <w:bCs/>
          <w:color w:val="auto"/>
          <w:sz w:val="22"/>
          <w:szCs w:val="22"/>
        </w:rPr>
        <w:t xml:space="preserve"> </w:t>
      </w:r>
      <w:bookmarkStart w:id="15" w:name="_Toc142153294"/>
      <w:r w:rsidRPr="00EB6400">
        <w:rPr>
          <w:rFonts w:ascii="Arial" w:hAnsi="Arial" w:cs="Arial"/>
          <w:b/>
          <w:bCs/>
          <w:color w:val="auto"/>
          <w:sz w:val="22"/>
          <w:szCs w:val="22"/>
        </w:rPr>
        <w:t>Impact of Brexit</w:t>
      </w:r>
      <w:bookmarkEnd w:id="15"/>
    </w:p>
    <w:p w14:paraId="7E4B8B3D" w14:textId="32C68732" w:rsidR="00FF0188" w:rsidRPr="00EF0B53" w:rsidRDefault="00FF0188" w:rsidP="0037226D">
      <w:pPr>
        <w:pStyle w:val="comp"/>
        <w:shd w:val="clear" w:color="auto" w:fill="FFFFFF"/>
        <w:spacing w:before="0" w:beforeAutospacing="0" w:after="240" w:afterAutospacing="0" w:line="360" w:lineRule="auto"/>
        <w:jc w:val="both"/>
        <w:rPr>
          <w:rFonts w:ascii="Arial" w:hAnsi="Arial" w:cs="Arial"/>
          <w:color w:val="111111"/>
          <w:spacing w:val="1"/>
          <w:sz w:val="22"/>
          <w:szCs w:val="22"/>
        </w:rPr>
      </w:pPr>
      <w:r>
        <w:rPr>
          <w:rFonts w:ascii="Arial" w:hAnsi="Arial" w:cs="Arial"/>
          <w:color w:val="111111"/>
          <w:spacing w:val="1"/>
          <w:sz w:val="22"/>
          <w:szCs w:val="22"/>
        </w:rPr>
        <w:t xml:space="preserve">The two words </w:t>
      </w:r>
      <w:r w:rsidRPr="0028783B">
        <w:rPr>
          <w:rFonts w:ascii="Arial" w:hAnsi="Arial" w:cs="Arial"/>
          <w:i/>
          <w:iCs/>
          <w:color w:val="111111"/>
          <w:spacing w:val="1"/>
          <w:sz w:val="22"/>
          <w:szCs w:val="22"/>
        </w:rPr>
        <w:t>Britis</w:t>
      </w:r>
      <w:r w:rsidRPr="00EF0B53">
        <w:rPr>
          <w:rFonts w:ascii="Arial" w:hAnsi="Arial" w:cs="Arial"/>
          <w:color w:val="111111"/>
          <w:spacing w:val="1"/>
          <w:sz w:val="22"/>
          <w:szCs w:val="22"/>
        </w:rPr>
        <w:t xml:space="preserve">h and </w:t>
      </w:r>
      <w:r w:rsidRPr="0028783B">
        <w:rPr>
          <w:rFonts w:ascii="Arial" w:hAnsi="Arial" w:cs="Arial"/>
          <w:i/>
          <w:iCs/>
          <w:color w:val="111111"/>
          <w:spacing w:val="1"/>
          <w:sz w:val="22"/>
          <w:szCs w:val="22"/>
        </w:rPr>
        <w:t>exit</w:t>
      </w:r>
      <w:r>
        <w:rPr>
          <w:rFonts w:ascii="Arial" w:hAnsi="Arial" w:cs="Arial"/>
          <w:i/>
          <w:iCs/>
          <w:color w:val="111111"/>
          <w:spacing w:val="1"/>
          <w:sz w:val="22"/>
          <w:szCs w:val="22"/>
        </w:rPr>
        <w:t xml:space="preserve"> </w:t>
      </w:r>
      <w:r>
        <w:rPr>
          <w:rFonts w:ascii="Arial" w:hAnsi="Arial" w:cs="Arial"/>
          <w:color w:val="111111"/>
          <w:spacing w:val="1"/>
          <w:sz w:val="22"/>
          <w:szCs w:val="22"/>
        </w:rPr>
        <w:t>are combined to create the word</w:t>
      </w:r>
      <w:r w:rsidRPr="00EF0B53">
        <w:rPr>
          <w:rFonts w:ascii="Arial" w:hAnsi="Arial" w:cs="Arial"/>
          <w:color w:val="111111"/>
          <w:spacing w:val="1"/>
          <w:sz w:val="22"/>
          <w:szCs w:val="22"/>
        </w:rPr>
        <w:t xml:space="preserve"> Brexit</w:t>
      </w:r>
      <w:r>
        <w:rPr>
          <w:rFonts w:ascii="Arial" w:hAnsi="Arial" w:cs="Arial"/>
          <w:color w:val="111111"/>
          <w:spacing w:val="1"/>
          <w:sz w:val="22"/>
          <w:szCs w:val="22"/>
        </w:rPr>
        <w:t xml:space="preserve">. Brexit </w:t>
      </w:r>
      <w:r w:rsidRPr="00EF0B53">
        <w:rPr>
          <w:rFonts w:ascii="Arial" w:hAnsi="Arial" w:cs="Arial"/>
          <w:color w:val="111111"/>
          <w:spacing w:val="1"/>
          <w:sz w:val="22"/>
          <w:szCs w:val="22"/>
        </w:rPr>
        <w:t>refer</w:t>
      </w:r>
      <w:r>
        <w:rPr>
          <w:rFonts w:ascii="Arial" w:hAnsi="Arial" w:cs="Arial"/>
          <w:color w:val="111111"/>
          <w:spacing w:val="1"/>
          <w:sz w:val="22"/>
          <w:szCs w:val="22"/>
        </w:rPr>
        <w:t>s</w:t>
      </w:r>
      <w:r w:rsidRPr="00EF0B53">
        <w:rPr>
          <w:rFonts w:ascii="Arial" w:hAnsi="Arial" w:cs="Arial"/>
          <w:color w:val="111111"/>
          <w:spacing w:val="1"/>
          <w:sz w:val="22"/>
          <w:szCs w:val="22"/>
        </w:rPr>
        <w:t xml:space="preserve"> to the UK's decision in a 2016 referendum to </w:t>
      </w:r>
      <w:r>
        <w:rPr>
          <w:rFonts w:ascii="Arial" w:hAnsi="Arial" w:cs="Arial"/>
          <w:color w:val="111111"/>
          <w:spacing w:val="1"/>
          <w:sz w:val="22"/>
          <w:szCs w:val="22"/>
        </w:rPr>
        <w:t xml:space="preserve">disengage itself from the large and powerful </w:t>
      </w:r>
      <w:hyperlink r:id="rId16" w:history="1">
        <w:r w:rsidRPr="00EF0B53">
          <w:rPr>
            <w:rFonts w:ascii="Arial" w:eastAsiaTheme="majorEastAsia" w:hAnsi="Arial" w:cs="Arial"/>
            <w:color w:val="111111"/>
            <w:sz w:val="22"/>
            <w:szCs w:val="22"/>
          </w:rPr>
          <w:t>European Union</w:t>
        </w:r>
      </w:hyperlink>
      <w:r>
        <w:rPr>
          <w:rFonts w:ascii="Arial" w:hAnsi="Arial" w:cs="Arial"/>
          <w:color w:val="111111"/>
          <w:spacing w:val="1"/>
          <w:sz w:val="22"/>
          <w:szCs w:val="22"/>
        </w:rPr>
        <w:t xml:space="preserve"> </w:t>
      </w:r>
      <w:r w:rsidRPr="00EF0B53">
        <w:rPr>
          <w:rFonts w:ascii="Arial" w:hAnsi="Arial" w:cs="Arial"/>
          <w:color w:val="111111"/>
          <w:spacing w:val="1"/>
          <w:sz w:val="22"/>
          <w:szCs w:val="22"/>
        </w:rPr>
        <w:t>(EU).</w:t>
      </w:r>
      <w:r>
        <w:rPr>
          <w:rStyle w:val="FootnoteReference"/>
          <w:rFonts w:ascii="Arial" w:hAnsi="Arial" w:cs="Arial"/>
          <w:color w:val="111111"/>
          <w:spacing w:val="1"/>
          <w:sz w:val="22"/>
          <w:szCs w:val="22"/>
        </w:rPr>
        <w:footnoteReference w:id="46"/>
      </w:r>
      <w:r w:rsidRPr="00EF0B53">
        <w:rPr>
          <w:rFonts w:ascii="Arial" w:hAnsi="Arial" w:cs="Arial"/>
          <w:color w:val="111111"/>
          <w:spacing w:val="1"/>
          <w:sz w:val="22"/>
          <w:szCs w:val="22"/>
        </w:rPr>
        <w:t xml:space="preserve"> Brexit took place </w:t>
      </w:r>
      <w:r>
        <w:rPr>
          <w:rFonts w:ascii="Arial" w:hAnsi="Arial" w:cs="Arial"/>
          <w:color w:val="111111"/>
          <w:spacing w:val="1"/>
          <w:sz w:val="22"/>
          <w:szCs w:val="22"/>
        </w:rPr>
        <w:t xml:space="preserve">in the first month of </w:t>
      </w:r>
      <w:r w:rsidRPr="00EF0B53">
        <w:rPr>
          <w:rFonts w:ascii="Arial" w:hAnsi="Arial" w:cs="Arial"/>
          <w:color w:val="111111"/>
          <w:spacing w:val="1"/>
          <w:sz w:val="22"/>
          <w:szCs w:val="22"/>
        </w:rPr>
        <w:t>2020.</w:t>
      </w:r>
      <w:r>
        <w:rPr>
          <w:rFonts w:ascii="Arial" w:hAnsi="Arial" w:cs="Arial"/>
          <w:color w:val="111111"/>
          <w:spacing w:val="1"/>
          <w:sz w:val="22"/>
          <w:szCs w:val="22"/>
        </w:rPr>
        <w:t xml:space="preserve"> </w:t>
      </w:r>
      <w:r w:rsidR="000507A8">
        <w:rPr>
          <w:rFonts w:ascii="Arial" w:hAnsi="Arial" w:cs="Arial"/>
          <w:color w:val="111111"/>
          <w:spacing w:val="1"/>
          <w:sz w:val="22"/>
          <w:szCs w:val="22"/>
        </w:rPr>
        <w:t>In</w:t>
      </w:r>
      <w:r>
        <w:rPr>
          <w:rFonts w:ascii="Arial" w:hAnsi="Arial" w:cs="Arial"/>
          <w:color w:val="111111"/>
          <w:spacing w:val="1"/>
          <w:sz w:val="22"/>
          <w:szCs w:val="22"/>
        </w:rPr>
        <w:t xml:space="preserve"> 2019,</w:t>
      </w:r>
      <w:r w:rsidRPr="00EF0B53">
        <w:rPr>
          <w:rFonts w:ascii="Arial" w:hAnsi="Arial" w:cs="Arial"/>
          <w:color w:val="111111"/>
          <w:spacing w:val="1"/>
          <w:sz w:val="22"/>
          <w:szCs w:val="22"/>
        </w:rPr>
        <w:t xml:space="preserve"> the UK and the EU </w:t>
      </w:r>
      <w:r w:rsidR="000507A8">
        <w:rPr>
          <w:rFonts w:ascii="Arial" w:hAnsi="Arial" w:cs="Arial"/>
          <w:color w:val="111111"/>
          <w:spacing w:val="1"/>
          <w:sz w:val="22"/>
          <w:szCs w:val="22"/>
        </w:rPr>
        <w:t>made</w:t>
      </w:r>
      <w:r w:rsidRPr="00EF0B53">
        <w:rPr>
          <w:rFonts w:ascii="Arial" w:hAnsi="Arial" w:cs="Arial"/>
          <w:color w:val="111111"/>
          <w:spacing w:val="1"/>
          <w:sz w:val="22"/>
          <w:szCs w:val="22"/>
        </w:rPr>
        <w:t xml:space="preserve"> </w:t>
      </w:r>
      <w:r w:rsidR="00B833E5" w:rsidRPr="00EF0B53">
        <w:rPr>
          <w:rFonts w:ascii="Arial" w:hAnsi="Arial" w:cs="Arial"/>
          <w:color w:val="111111"/>
          <w:spacing w:val="1"/>
          <w:sz w:val="22"/>
          <w:szCs w:val="22"/>
        </w:rPr>
        <w:t>an</w:t>
      </w:r>
      <w:r w:rsidRPr="00EF0B53">
        <w:rPr>
          <w:rFonts w:ascii="Arial" w:hAnsi="Arial" w:cs="Arial"/>
          <w:color w:val="111111"/>
          <w:spacing w:val="1"/>
          <w:sz w:val="22"/>
          <w:szCs w:val="22"/>
        </w:rPr>
        <w:t xml:space="preserve"> </w:t>
      </w:r>
      <w:r>
        <w:rPr>
          <w:rFonts w:ascii="Arial" w:hAnsi="Arial" w:cs="Arial"/>
          <w:color w:val="111111"/>
          <w:spacing w:val="1"/>
          <w:sz w:val="22"/>
          <w:szCs w:val="22"/>
        </w:rPr>
        <w:t>interim</w:t>
      </w:r>
      <w:r w:rsidRPr="00EF0B53">
        <w:rPr>
          <w:rFonts w:ascii="Arial" w:hAnsi="Arial" w:cs="Arial"/>
          <w:color w:val="111111"/>
          <w:spacing w:val="1"/>
          <w:sz w:val="22"/>
          <w:szCs w:val="22"/>
        </w:rPr>
        <w:t xml:space="preserve"> free-trade agreement</w:t>
      </w:r>
      <w:r>
        <w:rPr>
          <w:rFonts w:ascii="Arial" w:hAnsi="Arial" w:cs="Arial"/>
          <w:color w:val="111111"/>
          <w:spacing w:val="1"/>
          <w:sz w:val="22"/>
          <w:szCs w:val="22"/>
        </w:rPr>
        <w:t>. This short-term agreement was intended to</w:t>
      </w:r>
      <w:r w:rsidRPr="00EF0B53">
        <w:rPr>
          <w:rFonts w:ascii="Arial" w:hAnsi="Arial" w:cs="Arial"/>
          <w:color w:val="111111"/>
          <w:spacing w:val="1"/>
          <w:sz w:val="22"/>
          <w:szCs w:val="22"/>
        </w:rPr>
        <w:t xml:space="preserve"> ensur</w:t>
      </w:r>
      <w:r>
        <w:rPr>
          <w:rFonts w:ascii="Arial" w:hAnsi="Arial" w:cs="Arial"/>
          <w:color w:val="111111"/>
          <w:spacing w:val="1"/>
          <w:sz w:val="22"/>
          <w:szCs w:val="22"/>
        </w:rPr>
        <w:t>e</w:t>
      </w:r>
      <w:r w:rsidRPr="00EF0B53">
        <w:rPr>
          <w:rFonts w:ascii="Arial" w:hAnsi="Arial" w:cs="Arial"/>
          <w:color w:val="111111"/>
          <w:spacing w:val="1"/>
          <w:sz w:val="22"/>
          <w:szCs w:val="22"/>
        </w:rPr>
        <w:t xml:space="preserve"> the </w:t>
      </w:r>
      <w:r>
        <w:rPr>
          <w:rFonts w:ascii="Arial" w:hAnsi="Arial" w:cs="Arial"/>
          <w:color w:val="111111"/>
          <w:spacing w:val="1"/>
          <w:sz w:val="22"/>
          <w:szCs w:val="22"/>
        </w:rPr>
        <w:t xml:space="preserve">continued </w:t>
      </w:r>
      <w:r w:rsidRPr="00EF0B53">
        <w:rPr>
          <w:rFonts w:ascii="Arial" w:hAnsi="Arial" w:cs="Arial"/>
          <w:color w:val="111111"/>
          <w:spacing w:val="1"/>
          <w:sz w:val="22"/>
          <w:szCs w:val="22"/>
        </w:rPr>
        <w:t>free trade of goods without tariffs or quotas</w:t>
      </w:r>
      <w:r>
        <w:rPr>
          <w:rFonts w:ascii="Arial" w:hAnsi="Arial" w:cs="Arial"/>
          <w:color w:val="111111"/>
          <w:spacing w:val="1"/>
          <w:sz w:val="22"/>
          <w:szCs w:val="22"/>
        </w:rPr>
        <w:t xml:space="preserve"> between the parties</w:t>
      </w:r>
      <w:r w:rsidRPr="00EF0B53">
        <w:rPr>
          <w:rFonts w:ascii="Arial" w:hAnsi="Arial" w:cs="Arial"/>
          <w:color w:val="111111"/>
          <w:spacing w:val="1"/>
          <w:sz w:val="22"/>
          <w:szCs w:val="22"/>
        </w:rPr>
        <w:t xml:space="preserve">. </w:t>
      </w:r>
      <w:r>
        <w:rPr>
          <w:rFonts w:ascii="Arial" w:hAnsi="Arial" w:cs="Arial"/>
          <w:color w:val="111111"/>
          <w:spacing w:val="1"/>
          <w:sz w:val="22"/>
          <w:szCs w:val="22"/>
        </w:rPr>
        <w:t>Trade services are 80% of the UK economy</w:t>
      </w:r>
      <w:r w:rsidR="000507A8">
        <w:rPr>
          <w:rFonts w:ascii="Arial" w:hAnsi="Arial" w:cs="Arial"/>
          <w:color w:val="111111"/>
          <w:spacing w:val="1"/>
          <w:sz w:val="22"/>
          <w:szCs w:val="22"/>
        </w:rPr>
        <w:t>,</w:t>
      </w:r>
      <w:r>
        <w:rPr>
          <w:rFonts w:ascii="Arial" w:hAnsi="Arial" w:cs="Arial"/>
          <w:color w:val="111111"/>
          <w:spacing w:val="1"/>
          <w:sz w:val="22"/>
          <w:szCs w:val="22"/>
        </w:rPr>
        <w:t xml:space="preserve"> </w:t>
      </w:r>
      <w:r w:rsidR="000507A8">
        <w:rPr>
          <w:rFonts w:ascii="Arial" w:hAnsi="Arial" w:cs="Arial"/>
          <w:color w:val="111111"/>
          <w:spacing w:val="1"/>
          <w:sz w:val="22"/>
          <w:szCs w:val="22"/>
        </w:rPr>
        <w:t>creating</w:t>
      </w:r>
      <w:r>
        <w:rPr>
          <w:rFonts w:ascii="Arial" w:hAnsi="Arial" w:cs="Arial"/>
          <w:color w:val="111111"/>
          <w:spacing w:val="1"/>
          <w:sz w:val="22"/>
          <w:szCs w:val="22"/>
        </w:rPr>
        <w:t xml:space="preserve"> uncertainty</w:t>
      </w:r>
      <w:r w:rsidRPr="00EF0B53">
        <w:rPr>
          <w:rFonts w:ascii="Arial" w:hAnsi="Arial" w:cs="Arial"/>
          <w:color w:val="111111"/>
          <w:spacing w:val="1"/>
          <w:sz w:val="22"/>
          <w:szCs w:val="22"/>
        </w:rPr>
        <w:t>.</w:t>
      </w:r>
      <w:r>
        <w:rPr>
          <w:rStyle w:val="FootnoteReference"/>
          <w:rFonts w:ascii="Arial" w:hAnsi="Arial" w:cs="Arial"/>
          <w:color w:val="111111"/>
          <w:spacing w:val="1"/>
          <w:sz w:val="22"/>
          <w:szCs w:val="22"/>
        </w:rPr>
        <w:footnoteReference w:id="47"/>
      </w:r>
      <w:r>
        <w:rPr>
          <w:rFonts w:ascii="Arial" w:hAnsi="Arial" w:cs="Arial"/>
          <w:color w:val="111111"/>
          <w:spacing w:val="1"/>
          <w:sz w:val="22"/>
          <w:szCs w:val="22"/>
        </w:rPr>
        <w:t xml:space="preserve"> A no-deal Brexit that was prevented would have had a lasting negative effect on </w:t>
      </w:r>
      <w:r w:rsidRPr="00EF0B53">
        <w:rPr>
          <w:rFonts w:ascii="Arial" w:hAnsi="Arial" w:cs="Arial"/>
          <w:color w:val="111111"/>
          <w:spacing w:val="1"/>
          <w:sz w:val="22"/>
          <w:szCs w:val="22"/>
        </w:rPr>
        <w:t>the UK economy.</w:t>
      </w:r>
      <w:r>
        <w:rPr>
          <w:rStyle w:val="FootnoteReference"/>
          <w:rFonts w:ascii="Arial" w:hAnsi="Arial" w:cs="Arial"/>
          <w:color w:val="111111"/>
          <w:spacing w:val="1"/>
          <w:sz w:val="22"/>
          <w:szCs w:val="22"/>
        </w:rPr>
        <w:footnoteReference w:id="48"/>
      </w:r>
    </w:p>
    <w:p w14:paraId="3329A4A3" w14:textId="77777777" w:rsidR="00FF0188" w:rsidRPr="00FF0188" w:rsidRDefault="00FF0188" w:rsidP="0037226D">
      <w:pPr>
        <w:spacing w:after="240" w:line="360" w:lineRule="auto"/>
        <w:jc w:val="both"/>
        <w:rPr>
          <w:rFonts w:ascii="Arial" w:hAnsi="Arial" w:cs="Arial"/>
        </w:rPr>
      </w:pPr>
      <w:r w:rsidRPr="00FF0188">
        <w:rPr>
          <w:rFonts w:ascii="Arial" w:hAnsi="Arial" w:cs="Arial"/>
        </w:rPr>
        <w:t>The implementation of Brexit has a potential impact on the applicability of the European Insolvency Regulation in the United Kingdom. Brexit may have affected the application of the European Insolvency Regulation between the UK and Romania. However, the UK has adopted the UNCITRAL MLCBI, which can potentially fill this gap. We stress that t</w:t>
      </w:r>
      <w:r w:rsidRPr="00FF0188">
        <w:rPr>
          <w:rFonts w:ascii="Arial" w:hAnsi="Arial" w:cs="Arial"/>
          <w:color w:val="111111"/>
          <w:spacing w:val="1"/>
        </w:rPr>
        <w:t>he impact of Brexit on the proposed solution needs further careful consideration. While the full consequences of Brexit are still unfolding, assessing its potential effects on cross-border insolvency proceedings, recognition of judgments, and the applicability of European insolvency frameworks in the United Kingdom is crucial.</w:t>
      </w:r>
      <w:r w:rsidRPr="00FF0188">
        <w:rPr>
          <w:rFonts w:ascii="Arial" w:hAnsi="Arial" w:cs="Arial"/>
        </w:rPr>
        <w:t xml:space="preserve"> Our legal experts will continue to assess Brexit's impact on the particular circumstances in the insolvency proceedings of the Efwon Group. Specifically, we will assess how Brexit may affect the proposed solution and the interaction with the European Insolvency Regulation. As this is a work in progress, we will continue to advise on this aspect of the engagement.</w:t>
      </w:r>
    </w:p>
    <w:p w14:paraId="07149CA6" w14:textId="3CAAEF3F" w:rsidR="000209E8" w:rsidRPr="00EB6400" w:rsidRDefault="000209E8" w:rsidP="005D6B3B">
      <w:pPr>
        <w:pStyle w:val="Heading2"/>
        <w:numPr>
          <w:ilvl w:val="0"/>
          <w:numId w:val="7"/>
        </w:numPr>
        <w:spacing w:before="0" w:after="120" w:line="360" w:lineRule="auto"/>
        <w:rPr>
          <w:rFonts w:ascii="Arial" w:hAnsi="Arial" w:cs="Arial"/>
          <w:b/>
          <w:bCs/>
          <w:color w:val="auto"/>
          <w:sz w:val="22"/>
          <w:szCs w:val="22"/>
        </w:rPr>
      </w:pPr>
      <w:bookmarkStart w:id="16" w:name="_Toc142153295"/>
      <w:r w:rsidRPr="00EB6400">
        <w:rPr>
          <w:rFonts w:ascii="Arial" w:hAnsi="Arial" w:cs="Arial"/>
          <w:b/>
          <w:bCs/>
          <w:color w:val="auto"/>
          <w:sz w:val="22"/>
          <w:szCs w:val="22"/>
        </w:rPr>
        <w:t>Implementation of European Directive 2019/1023</w:t>
      </w:r>
      <w:bookmarkEnd w:id="16"/>
    </w:p>
    <w:p w14:paraId="0D3B7A56" w14:textId="2748E45B" w:rsidR="008B2FC2" w:rsidRDefault="000209E8" w:rsidP="0037226D">
      <w:pPr>
        <w:spacing w:after="240" w:line="360" w:lineRule="auto"/>
        <w:jc w:val="both"/>
        <w:rPr>
          <w:rFonts w:ascii="Arial" w:hAnsi="Arial" w:cs="Arial"/>
        </w:rPr>
      </w:pPr>
      <w:r w:rsidRPr="000209E8">
        <w:rPr>
          <w:rFonts w:ascii="Arial" w:hAnsi="Arial" w:cs="Arial"/>
        </w:rPr>
        <w:t>The availability of a preventive restructuring framework in Romania could be advantageous, allowing Efwon Romania to avoid formal insolvency proceedings and potentially satisfy the demands of KuasaNas.</w:t>
      </w:r>
      <w:r w:rsidR="00937C6E">
        <w:rPr>
          <w:rFonts w:ascii="Arial" w:hAnsi="Arial" w:cs="Arial"/>
        </w:rPr>
        <w:t xml:space="preserve"> </w:t>
      </w:r>
      <w:r w:rsidR="00937C6E" w:rsidRPr="00CE5327">
        <w:rPr>
          <w:rFonts w:ascii="Arial" w:hAnsi="Arial" w:cs="Arial"/>
          <w:color w:val="111111"/>
          <w:spacing w:val="1"/>
        </w:rPr>
        <w:t xml:space="preserve">Given the cross-border nature of the Efwon group's operations, it is likely that the European Insolvency Regulation and UNCITRAL </w:t>
      </w:r>
      <w:r w:rsidR="00C65030">
        <w:rPr>
          <w:rFonts w:ascii="Arial" w:hAnsi="Arial" w:cs="Arial"/>
          <w:color w:val="111111"/>
          <w:spacing w:val="1"/>
        </w:rPr>
        <w:t>MLCBI</w:t>
      </w:r>
      <w:r w:rsidR="00937C6E" w:rsidRPr="00CE5327">
        <w:rPr>
          <w:rFonts w:ascii="Arial" w:hAnsi="Arial" w:cs="Arial"/>
          <w:color w:val="111111"/>
          <w:spacing w:val="1"/>
        </w:rPr>
        <w:t xml:space="preserve"> will come into play. These frameworks aim to harmonize and facilitate international insolvency proceedings. Their provisions may </w:t>
      </w:r>
      <w:r w:rsidR="000D6727">
        <w:rPr>
          <w:rFonts w:ascii="Arial" w:hAnsi="Arial" w:cs="Arial"/>
          <w:color w:val="111111"/>
          <w:spacing w:val="1"/>
        </w:rPr>
        <w:t>guide and assist</w:t>
      </w:r>
      <w:r w:rsidR="00937C6E" w:rsidRPr="00CE5327">
        <w:rPr>
          <w:rFonts w:ascii="Arial" w:hAnsi="Arial" w:cs="Arial"/>
          <w:color w:val="111111"/>
          <w:spacing w:val="1"/>
        </w:rPr>
        <w:t xml:space="preserve"> in addressing conflicts of laws and jurisdictional challenges throughout the restructuring process.</w:t>
      </w:r>
      <w:r w:rsidR="00937C6E">
        <w:rPr>
          <w:rFonts w:ascii="Arial" w:hAnsi="Arial" w:cs="Arial"/>
          <w:color w:val="111111"/>
          <w:spacing w:val="1"/>
        </w:rPr>
        <w:t xml:space="preserve"> We will continue to a</w:t>
      </w:r>
      <w:r w:rsidR="00937C6E" w:rsidRPr="006629FF">
        <w:rPr>
          <w:rFonts w:ascii="Arial" w:hAnsi="Arial" w:cs="Arial"/>
          <w:color w:val="111111"/>
          <w:spacing w:val="1"/>
        </w:rPr>
        <w:t xml:space="preserve">ssess the application of the European Insolvency Regulation and the UNCITRAL </w:t>
      </w:r>
      <w:r w:rsidR="00C65030">
        <w:rPr>
          <w:rFonts w:ascii="Arial" w:hAnsi="Arial" w:cs="Arial"/>
          <w:color w:val="111111"/>
          <w:spacing w:val="1"/>
        </w:rPr>
        <w:t>MLCBI</w:t>
      </w:r>
      <w:r w:rsidR="00937C6E" w:rsidRPr="006629FF">
        <w:rPr>
          <w:rFonts w:ascii="Arial" w:hAnsi="Arial" w:cs="Arial"/>
          <w:color w:val="111111"/>
          <w:spacing w:val="1"/>
        </w:rPr>
        <w:t xml:space="preserve"> in the chosen jurisdiction. </w:t>
      </w:r>
    </w:p>
    <w:p w14:paraId="3BB7CB81" w14:textId="0B13D3BB" w:rsidR="00937C6E" w:rsidRPr="00F573CA" w:rsidRDefault="00937C6E" w:rsidP="00F573CA">
      <w:pPr>
        <w:pStyle w:val="Heading1"/>
        <w:spacing w:after="120"/>
        <w:rPr>
          <w:rFonts w:ascii="Arial" w:hAnsi="Arial" w:cs="Arial"/>
          <w:b/>
          <w:bCs/>
          <w:color w:val="auto"/>
          <w:sz w:val="24"/>
          <w:szCs w:val="24"/>
        </w:rPr>
      </w:pPr>
      <w:bookmarkStart w:id="17" w:name="_Toc142153296"/>
      <w:r w:rsidRPr="00F573CA">
        <w:rPr>
          <w:rFonts w:ascii="Arial" w:hAnsi="Arial" w:cs="Arial"/>
          <w:b/>
          <w:bCs/>
          <w:color w:val="auto"/>
          <w:sz w:val="24"/>
          <w:szCs w:val="24"/>
        </w:rPr>
        <w:t>Conclusion</w:t>
      </w:r>
      <w:bookmarkEnd w:id="17"/>
    </w:p>
    <w:p w14:paraId="73EFDC4C" w14:textId="4F90FFF3" w:rsidR="00E94C00" w:rsidRDefault="00E94C00" w:rsidP="0037226D">
      <w:pPr>
        <w:spacing w:after="240" w:line="360" w:lineRule="auto"/>
        <w:jc w:val="both"/>
        <w:rPr>
          <w:rFonts w:ascii="Arial" w:hAnsi="Arial" w:cs="Arial"/>
        </w:rPr>
      </w:pPr>
      <w:r>
        <w:rPr>
          <w:rFonts w:ascii="Arial" w:hAnsi="Arial" w:cs="Arial"/>
        </w:rPr>
        <w:t xml:space="preserve">We were requested to </w:t>
      </w:r>
      <w:r w:rsidR="000D6727">
        <w:rPr>
          <w:rFonts w:ascii="Arial" w:hAnsi="Arial" w:cs="Arial"/>
        </w:rPr>
        <w:t>advise</w:t>
      </w:r>
      <w:r w:rsidRPr="00A63A57">
        <w:rPr>
          <w:rFonts w:ascii="Arial" w:hAnsi="Arial" w:cs="Arial"/>
        </w:rPr>
        <w:t xml:space="preserve"> </w:t>
      </w:r>
      <w:r>
        <w:rPr>
          <w:rFonts w:ascii="Arial" w:hAnsi="Arial" w:cs="Arial"/>
        </w:rPr>
        <w:t>Benedict Maximov, the Chief Executive Officer of the Efwon Group,</w:t>
      </w:r>
      <w:r w:rsidRPr="00A63A57">
        <w:rPr>
          <w:rFonts w:ascii="Arial" w:hAnsi="Arial" w:cs="Arial"/>
        </w:rPr>
        <w:t xml:space="preserve"> on how to facilitate the deal with</w:t>
      </w:r>
      <w:r>
        <w:rPr>
          <w:rFonts w:ascii="Arial" w:hAnsi="Arial" w:cs="Arial"/>
        </w:rPr>
        <w:t xml:space="preserve"> </w:t>
      </w:r>
      <w:r w:rsidRPr="00A63A57">
        <w:rPr>
          <w:rFonts w:ascii="Arial" w:hAnsi="Arial" w:cs="Arial"/>
        </w:rPr>
        <w:t>KuasaNas</w:t>
      </w:r>
      <w:r>
        <w:rPr>
          <w:rFonts w:ascii="Arial" w:hAnsi="Arial" w:cs="Arial"/>
        </w:rPr>
        <w:t xml:space="preserve">. We were also tasked with providing advice on dealing with </w:t>
      </w:r>
      <w:r w:rsidRPr="00A63A57">
        <w:rPr>
          <w:rFonts w:ascii="Arial" w:hAnsi="Arial" w:cs="Arial"/>
        </w:rPr>
        <w:t>the insolvency issues affecting the companies in the</w:t>
      </w:r>
      <w:r>
        <w:rPr>
          <w:rFonts w:ascii="Arial" w:hAnsi="Arial" w:cs="Arial"/>
        </w:rPr>
        <w:t xml:space="preserve"> </w:t>
      </w:r>
      <w:r w:rsidRPr="00A63A57">
        <w:rPr>
          <w:rFonts w:ascii="Arial" w:hAnsi="Arial" w:cs="Arial"/>
        </w:rPr>
        <w:t xml:space="preserve">Efwon </w:t>
      </w:r>
      <w:r>
        <w:rPr>
          <w:rFonts w:ascii="Arial" w:hAnsi="Arial" w:cs="Arial"/>
        </w:rPr>
        <w:t>G</w:t>
      </w:r>
      <w:r w:rsidRPr="00A63A57">
        <w:rPr>
          <w:rFonts w:ascii="Arial" w:hAnsi="Arial" w:cs="Arial"/>
        </w:rPr>
        <w:t>roup.</w:t>
      </w:r>
      <w:r>
        <w:rPr>
          <w:rFonts w:ascii="Arial" w:hAnsi="Arial" w:cs="Arial"/>
        </w:rPr>
        <w:t xml:space="preserve"> </w:t>
      </w:r>
    </w:p>
    <w:p w14:paraId="36372ABE" w14:textId="66820441" w:rsidR="000209E8" w:rsidRPr="000209E8" w:rsidRDefault="00E94C00" w:rsidP="0037226D">
      <w:pPr>
        <w:spacing w:after="240" w:line="360" w:lineRule="auto"/>
        <w:jc w:val="both"/>
        <w:rPr>
          <w:rFonts w:ascii="Arial" w:hAnsi="Arial" w:cs="Arial"/>
        </w:rPr>
      </w:pPr>
      <w:r>
        <w:rPr>
          <w:rFonts w:ascii="Arial" w:hAnsi="Arial" w:cs="Arial"/>
        </w:rPr>
        <w:t xml:space="preserve">Mr. Maximov is advised that the current </w:t>
      </w:r>
      <w:r w:rsidR="003E7F24" w:rsidRPr="000209E8">
        <w:rPr>
          <w:rFonts w:ascii="Arial" w:hAnsi="Arial" w:cs="Arial"/>
        </w:rPr>
        <w:t>situation of</w:t>
      </w:r>
      <w:r w:rsidR="000209E8" w:rsidRPr="000209E8">
        <w:rPr>
          <w:rFonts w:ascii="Arial" w:hAnsi="Arial" w:cs="Arial"/>
        </w:rPr>
        <w:t xml:space="preserve"> </w:t>
      </w:r>
      <w:r>
        <w:rPr>
          <w:rFonts w:ascii="Arial" w:hAnsi="Arial" w:cs="Arial"/>
        </w:rPr>
        <w:t xml:space="preserve">the Efwon Group </w:t>
      </w:r>
      <w:r w:rsidR="000209E8" w:rsidRPr="000209E8">
        <w:rPr>
          <w:rFonts w:ascii="Arial" w:hAnsi="Arial" w:cs="Arial"/>
        </w:rPr>
        <w:t xml:space="preserve">is complex but potentially manageable with careful planning and execution. </w:t>
      </w:r>
      <w:r>
        <w:rPr>
          <w:rFonts w:ascii="Arial" w:hAnsi="Arial" w:cs="Arial"/>
        </w:rPr>
        <w:t>Our</w:t>
      </w:r>
      <w:r w:rsidR="000209E8" w:rsidRPr="000209E8">
        <w:rPr>
          <w:rFonts w:ascii="Arial" w:hAnsi="Arial" w:cs="Arial"/>
        </w:rPr>
        <w:t xml:space="preserve"> advice </w:t>
      </w:r>
      <w:r>
        <w:rPr>
          <w:rFonts w:ascii="Arial" w:hAnsi="Arial" w:cs="Arial"/>
        </w:rPr>
        <w:t xml:space="preserve">in the paragraphs above </w:t>
      </w:r>
      <w:r w:rsidR="000209E8" w:rsidRPr="000209E8">
        <w:rPr>
          <w:rFonts w:ascii="Arial" w:hAnsi="Arial" w:cs="Arial"/>
        </w:rPr>
        <w:t xml:space="preserve">should serve as a roadmap to navigate the issues and ensure </w:t>
      </w:r>
      <w:r w:rsidR="000D6727">
        <w:rPr>
          <w:rFonts w:ascii="Arial" w:hAnsi="Arial" w:cs="Arial"/>
        </w:rPr>
        <w:t>a</w:t>
      </w:r>
      <w:r w:rsidR="000209E8" w:rsidRPr="000209E8">
        <w:rPr>
          <w:rFonts w:ascii="Arial" w:hAnsi="Arial" w:cs="Arial"/>
        </w:rPr>
        <w:t xml:space="preserve"> successful investment by KuasaNas.</w:t>
      </w:r>
      <w:r w:rsidR="00637626">
        <w:rPr>
          <w:rFonts w:ascii="Arial" w:hAnsi="Arial" w:cs="Arial"/>
        </w:rPr>
        <w:t xml:space="preserve"> We stressed the importance of minimizing any publicity of the proposed insolvency strategy, and we highly recommend adherence to the eight INSOL principles where possible.</w:t>
      </w:r>
    </w:p>
    <w:p w14:paraId="6BEE525A" w14:textId="7A23AF31" w:rsidR="0028783B" w:rsidRPr="00EF0B53" w:rsidRDefault="00937C6E" w:rsidP="0037226D">
      <w:pPr>
        <w:pStyle w:val="comp"/>
        <w:shd w:val="clear" w:color="auto" w:fill="FFFFFF"/>
        <w:spacing w:before="0" w:beforeAutospacing="0" w:after="240" w:afterAutospacing="0" w:line="360" w:lineRule="auto"/>
        <w:jc w:val="both"/>
        <w:rPr>
          <w:rFonts w:ascii="Arial" w:hAnsi="Arial" w:cs="Arial"/>
          <w:color w:val="111111"/>
          <w:spacing w:val="1"/>
          <w:sz w:val="22"/>
          <w:szCs w:val="22"/>
        </w:rPr>
      </w:pPr>
      <w:r>
        <w:rPr>
          <w:rFonts w:ascii="Arial" w:hAnsi="Arial" w:cs="Arial"/>
          <w:color w:val="111111"/>
          <w:spacing w:val="1"/>
          <w:sz w:val="22"/>
          <w:szCs w:val="22"/>
        </w:rPr>
        <w:t>At ABC &amp; Associates, we have insolvency professionals</w:t>
      </w:r>
      <w:r w:rsidR="0028783B" w:rsidRPr="00CE5327">
        <w:rPr>
          <w:rFonts w:ascii="Arial" w:hAnsi="Arial" w:cs="Arial"/>
          <w:color w:val="111111"/>
          <w:spacing w:val="1"/>
          <w:sz w:val="22"/>
          <w:szCs w:val="22"/>
        </w:rPr>
        <w:t xml:space="preserve"> with expertise in international insolvency law and cross-border restructuring to </w:t>
      </w:r>
      <w:r>
        <w:rPr>
          <w:rFonts w:ascii="Arial" w:hAnsi="Arial" w:cs="Arial"/>
          <w:color w:val="111111"/>
          <w:spacing w:val="1"/>
          <w:sz w:val="22"/>
          <w:szCs w:val="22"/>
        </w:rPr>
        <w:t xml:space="preserve">assist </w:t>
      </w:r>
      <w:r w:rsidR="00E94C00">
        <w:rPr>
          <w:rFonts w:ascii="Arial" w:hAnsi="Arial" w:cs="Arial"/>
          <w:color w:val="111111"/>
          <w:spacing w:val="1"/>
          <w:sz w:val="22"/>
          <w:szCs w:val="22"/>
        </w:rPr>
        <w:t>the Group</w:t>
      </w:r>
      <w:r>
        <w:rPr>
          <w:rFonts w:ascii="Arial" w:hAnsi="Arial" w:cs="Arial"/>
          <w:color w:val="111111"/>
          <w:spacing w:val="1"/>
          <w:sz w:val="22"/>
          <w:szCs w:val="22"/>
        </w:rPr>
        <w:t xml:space="preserve"> in </w:t>
      </w:r>
      <w:r w:rsidR="0028783B" w:rsidRPr="00CE5327">
        <w:rPr>
          <w:rFonts w:ascii="Arial" w:hAnsi="Arial" w:cs="Arial"/>
          <w:color w:val="111111"/>
          <w:spacing w:val="1"/>
          <w:sz w:val="22"/>
          <w:szCs w:val="22"/>
        </w:rPr>
        <w:t>navigat</w:t>
      </w:r>
      <w:r>
        <w:rPr>
          <w:rFonts w:ascii="Arial" w:hAnsi="Arial" w:cs="Arial"/>
          <w:color w:val="111111"/>
          <w:spacing w:val="1"/>
          <w:sz w:val="22"/>
          <w:szCs w:val="22"/>
        </w:rPr>
        <w:t>ing</w:t>
      </w:r>
      <w:r w:rsidR="0028783B" w:rsidRPr="00CE5327">
        <w:rPr>
          <w:rFonts w:ascii="Arial" w:hAnsi="Arial" w:cs="Arial"/>
          <w:color w:val="111111"/>
          <w:spacing w:val="1"/>
          <w:sz w:val="22"/>
          <w:szCs w:val="22"/>
        </w:rPr>
        <w:t xml:space="preserve"> the complexities of the Efwon group's situation effectively. </w:t>
      </w:r>
      <w:r>
        <w:rPr>
          <w:rFonts w:ascii="Arial" w:hAnsi="Arial" w:cs="Arial"/>
          <w:color w:val="111111"/>
          <w:spacing w:val="1"/>
          <w:sz w:val="22"/>
          <w:szCs w:val="22"/>
        </w:rPr>
        <w:t>W</w:t>
      </w:r>
      <w:r w:rsidR="000D6727">
        <w:rPr>
          <w:rFonts w:ascii="Arial" w:hAnsi="Arial" w:cs="Arial"/>
          <w:color w:val="111111"/>
          <w:spacing w:val="1"/>
          <w:sz w:val="22"/>
          <w:szCs w:val="22"/>
        </w:rPr>
        <w:t xml:space="preserve">e </w:t>
      </w:r>
      <w:r w:rsidR="006257ED">
        <w:rPr>
          <w:rFonts w:ascii="Arial" w:hAnsi="Arial" w:cs="Arial"/>
          <w:color w:val="111111"/>
          <w:spacing w:val="1"/>
          <w:sz w:val="22"/>
          <w:szCs w:val="22"/>
        </w:rPr>
        <w:t>have</w:t>
      </w:r>
      <w:r w:rsidR="000D6727">
        <w:rPr>
          <w:rFonts w:ascii="Arial" w:hAnsi="Arial" w:cs="Arial"/>
          <w:color w:val="111111"/>
          <w:spacing w:val="1"/>
          <w:sz w:val="22"/>
          <w:szCs w:val="22"/>
        </w:rPr>
        <w:t xml:space="preserve"> develop</w:t>
      </w:r>
      <w:r w:rsidR="006257ED">
        <w:rPr>
          <w:rFonts w:ascii="Arial" w:hAnsi="Arial" w:cs="Arial"/>
          <w:color w:val="111111"/>
          <w:spacing w:val="1"/>
          <w:sz w:val="22"/>
          <w:szCs w:val="22"/>
        </w:rPr>
        <w:t>ed</w:t>
      </w:r>
      <w:r w:rsidR="000D6727">
        <w:rPr>
          <w:rFonts w:ascii="Arial" w:hAnsi="Arial" w:cs="Arial"/>
          <w:color w:val="111111"/>
          <w:spacing w:val="1"/>
          <w:sz w:val="22"/>
          <w:szCs w:val="22"/>
        </w:rPr>
        <w:t xml:space="preserve"> a tailored strategy </w:t>
      </w:r>
      <w:r w:rsidR="006257ED">
        <w:rPr>
          <w:rFonts w:ascii="Arial" w:hAnsi="Arial" w:cs="Arial"/>
          <w:color w:val="111111"/>
          <w:spacing w:val="1"/>
          <w:sz w:val="22"/>
          <w:szCs w:val="22"/>
        </w:rPr>
        <w:t xml:space="preserve">suitable for </w:t>
      </w:r>
      <w:r w:rsidR="000D6727">
        <w:rPr>
          <w:rFonts w:ascii="Arial" w:hAnsi="Arial" w:cs="Arial"/>
          <w:color w:val="111111"/>
          <w:spacing w:val="1"/>
          <w:sz w:val="22"/>
          <w:szCs w:val="22"/>
        </w:rPr>
        <w:t>further discussions</w:t>
      </w:r>
      <w:r w:rsidR="0028783B" w:rsidRPr="00CE5327">
        <w:rPr>
          <w:rFonts w:ascii="Arial" w:hAnsi="Arial" w:cs="Arial"/>
          <w:color w:val="111111"/>
          <w:spacing w:val="1"/>
          <w:sz w:val="22"/>
          <w:szCs w:val="22"/>
        </w:rPr>
        <w:t xml:space="preserve">, </w:t>
      </w:r>
      <w:r w:rsidR="000D6727">
        <w:rPr>
          <w:rFonts w:ascii="Arial" w:hAnsi="Arial" w:cs="Arial"/>
          <w:color w:val="111111"/>
          <w:spacing w:val="1"/>
          <w:sz w:val="22"/>
          <w:szCs w:val="22"/>
        </w:rPr>
        <w:t>considering</w:t>
      </w:r>
      <w:r w:rsidR="0028783B" w:rsidRPr="00CE5327">
        <w:rPr>
          <w:rFonts w:ascii="Arial" w:hAnsi="Arial" w:cs="Arial"/>
          <w:color w:val="111111"/>
          <w:spacing w:val="1"/>
          <w:sz w:val="22"/>
          <w:szCs w:val="22"/>
        </w:rPr>
        <w:t xml:space="preserve"> the specific circumstances, applicable laws, and the best interests of </w:t>
      </w:r>
      <w:r w:rsidR="00C65030">
        <w:rPr>
          <w:rFonts w:ascii="Arial" w:hAnsi="Arial" w:cs="Arial"/>
          <w:color w:val="111111"/>
          <w:spacing w:val="1"/>
          <w:sz w:val="22"/>
          <w:szCs w:val="22"/>
        </w:rPr>
        <w:t xml:space="preserve">the Efwon Group generally and specifically for </w:t>
      </w:r>
      <w:r w:rsidR="0028783B" w:rsidRPr="00CE5327">
        <w:rPr>
          <w:rFonts w:ascii="Arial" w:hAnsi="Arial" w:cs="Arial"/>
          <w:color w:val="111111"/>
          <w:spacing w:val="1"/>
          <w:sz w:val="22"/>
          <w:szCs w:val="22"/>
        </w:rPr>
        <w:t>Efwon Investments and Efwon Trading.</w:t>
      </w:r>
    </w:p>
    <w:p w14:paraId="56231548" w14:textId="334CC197" w:rsidR="00E94C00" w:rsidRDefault="00E94C00" w:rsidP="0037226D">
      <w:pPr>
        <w:pStyle w:val="comp"/>
        <w:shd w:val="clear" w:color="auto" w:fill="FFFFFF"/>
        <w:spacing w:before="0" w:beforeAutospacing="0" w:after="240" w:afterAutospacing="0" w:line="360" w:lineRule="auto"/>
        <w:jc w:val="both"/>
        <w:rPr>
          <w:rFonts w:ascii="Arial" w:hAnsi="Arial" w:cs="Arial"/>
          <w:color w:val="111111"/>
          <w:spacing w:val="1"/>
          <w:sz w:val="22"/>
          <w:szCs w:val="22"/>
        </w:rPr>
      </w:pPr>
      <w:r>
        <w:rPr>
          <w:rFonts w:ascii="Arial" w:hAnsi="Arial" w:cs="Arial"/>
          <w:color w:val="111111"/>
          <w:spacing w:val="1"/>
          <w:sz w:val="22"/>
          <w:szCs w:val="22"/>
        </w:rPr>
        <w:t xml:space="preserve">The advice </w:t>
      </w:r>
      <w:r w:rsidR="000D6727">
        <w:rPr>
          <w:rFonts w:ascii="Arial" w:hAnsi="Arial" w:cs="Arial"/>
          <w:color w:val="111111"/>
          <w:spacing w:val="1"/>
          <w:sz w:val="22"/>
          <w:szCs w:val="22"/>
        </w:rPr>
        <w:t>above is based on the limited information you provided</w:t>
      </w:r>
      <w:r>
        <w:rPr>
          <w:rFonts w:ascii="Arial" w:hAnsi="Arial" w:cs="Arial"/>
          <w:color w:val="111111"/>
          <w:spacing w:val="1"/>
          <w:sz w:val="22"/>
          <w:szCs w:val="22"/>
        </w:rPr>
        <w:t xml:space="preserve">. For a more comprehensive strategy, </w:t>
      </w:r>
      <w:r w:rsidR="000D6727">
        <w:rPr>
          <w:rFonts w:ascii="Arial" w:hAnsi="Arial" w:cs="Arial"/>
          <w:color w:val="111111"/>
          <w:spacing w:val="1"/>
          <w:sz w:val="22"/>
          <w:szCs w:val="22"/>
        </w:rPr>
        <w:t>additional facts or information are required</w:t>
      </w:r>
      <w:r>
        <w:rPr>
          <w:rFonts w:ascii="Arial" w:hAnsi="Arial" w:cs="Arial"/>
          <w:color w:val="111111"/>
          <w:spacing w:val="1"/>
          <w:sz w:val="22"/>
          <w:szCs w:val="22"/>
        </w:rPr>
        <w:t xml:space="preserve"> to</w:t>
      </w:r>
      <w:r w:rsidRPr="006629FF">
        <w:rPr>
          <w:rFonts w:ascii="Arial" w:hAnsi="Arial" w:cs="Arial"/>
          <w:color w:val="111111"/>
          <w:spacing w:val="1"/>
          <w:sz w:val="22"/>
          <w:szCs w:val="22"/>
        </w:rPr>
        <w:t xml:space="preserve"> provide more comprehensive and tailored advice. </w:t>
      </w:r>
      <w:r>
        <w:rPr>
          <w:rFonts w:ascii="Arial" w:hAnsi="Arial" w:cs="Arial"/>
          <w:color w:val="111111"/>
          <w:spacing w:val="1"/>
          <w:sz w:val="22"/>
          <w:szCs w:val="22"/>
        </w:rPr>
        <w:t>Some of the necessary information required is detailed above. Further meetings with you, your in-house management team, your in-house key professionals, consultants, and other stakeholders are key to deriving the best solution for the current engagement.</w:t>
      </w:r>
    </w:p>
    <w:p w14:paraId="38A76601" w14:textId="28890023" w:rsidR="00E94C00" w:rsidRPr="00EF0B53" w:rsidRDefault="00E94C00" w:rsidP="0037226D">
      <w:pPr>
        <w:pStyle w:val="comp"/>
        <w:shd w:val="clear" w:color="auto" w:fill="FFFFFF"/>
        <w:spacing w:before="0" w:beforeAutospacing="0" w:after="240" w:afterAutospacing="0" w:line="360" w:lineRule="auto"/>
        <w:jc w:val="both"/>
        <w:rPr>
          <w:rFonts w:ascii="Arial" w:hAnsi="Arial" w:cs="Arial"/>
          <w:color w:val="111111"/>
          <w:spacing w:val="1"/>
          <w:sz w:val="22"/>
          <w:szCs w:val="22"/>
        </w:rPr>
      </w:pPr>
      <w:r>
        <w:rPr>
          <w:rFonts w:ascii="Arial" w:hAnsi="Arial" w:cs="Arial"/>
          <w:color w:val="111111"/>
          <w:spacing w:val="1"/>
          <w:sz w:val="22"/>
          <w:szCs w:val="22"/>
        </w:rPr>
        <w:t xml:space="preserve">Again, thanks for </w:t>
      </w:r>
      <w:r w:rsidR="000D6727">
        <w:rPr>
          <w:rFonts w:ascii="Arial" w:hAnsi="Arial" w:cs="Arial"/>
          <w:color w:val="111111"/>
          <w:spacing w:val="1"/>
          <w:sz w:val="22"/>
          <w:szCs w:val="22"/>
        </w:rPr>
        <w:t>contacting</w:t>
      </w:r>
      <w:r>
        <w:rPr>
          <w:rFonts w:ascii="Arial" w:hAnsi="Arial" w:cs="Arial"/>
          <w:color w:val="111111"/>
          <w:spacing w:val="1"/>
          <w:sz w:val="22"/>
          <w:szCs w:val="22"/>
        </w:rPr>
        <w:t xml:space="preserve"> us and allowing us to provide you with this preliminary professional advice. </w:t>
      </w:r>
    </w:p>
    <w:p w14:paraId="7D6F8EB7" w14:textId="2B987BAA" w:rsidR="000209E8" w:rsidRPr="00253427" w:rsidRDefault="00E94C00" w:rsidP="000209E8">
      <w:pPr>
        <w:jc w:val="both"/>
        <w:rPr>
          <w:rFonts w:ascii="FG Rebecca" w:hAnsi="FG Rebecca" w:cs="Arial"/>
          <w:sz w:val="32"/>
          <w:szCs w:val="32"/>
        </w:rPr>
      </w:pPr>
      <w:r w:rsidRPr="00253427">
        <w:rPr>
          <w:rFonts w:ascii="FG Rebecca" w:hAnsi="FG Rebecca" w:cs="Arial"/>
          <w:sz w:val="32"/>
          <w:szCs w:val="32"/>
        </w:rPr>
        <w:t>ABC &amp; Associates</w:t>
      </w:r>
    </w:p>
    <w:p w14:paraId="373D838B" w14:textId="7E0E7507" w:rsidR="00E94C00" w:rsidRPr="000209E8" w:rsidRDefault="00E94C00" w:rsidP="000209E8">
      <w:pPr>
        <w:jc w:val="both"/>
        <w:rPr>
          <w:rFonts w:ascii="Arial" w:hAnsi="Arial" w:cs="Arial"/>
        </w:rPr>
      </w:pPr>
      <w:r>
        <w:rPr>
          <w:rFonts w:ascii="Arial" w:hAnsi="Arial" w:cs="Arial"/>
        </w:rPr>
        <w:t>August 10, 2023</w:t>
      </w:r>
    </w:p>
    <w:p w14:paraId="3BC2FE90" w14:textId="77777777" w:rsidR="000209E8" w:rsidRPr="000209E8" w:rsidRDefault="000209E8" w:rsidP="000209E8">
      <w:pPr>
        <w:jc w:val="both"/>
        <w:rPr>
          <w:rFonts w:ascii="Arial" w:hAnsi="Arial" w:cs="Arial"/>
        </w:rPr>
      </w:pPr>
    </w:p>
    <w:p w14:paraId="42ACAC5C" w14:textId="77777777" w:rsidR="000209E8" w:rsidRPr="000209E8" w:rsidRDefault="000209E8" w:rsidP="000209E8">
      <w:pPr>
        <w:jc w:val="both"/>
        <w:rPr>
          <w:rFonts w:ascii="Arial" w:hAnsi="Arial" w:cs="Arial"/>
        </w:rPr>
      </w:pPr>
    </w:p>
    <w:p w14:paraId="17B23C40" w14:textId="77777777" w:rsidR="003B0CBA" w:rsidRDefault="003B0CBA" w:rsidP="000209E8">
      <w:pPr>
        <w:jc w:val="both"/>
        <w:rPr>
          <w:rFonts w:ascii="Arial" w:hAnsi="Arial" w:cs="Arial"/>
        </w:rPr>
        <w:sectPr w:rsidR="003B0CBA" w:rsidSect="000209E8">
          <w:pgSz w:w="11906" w:h="16838" w:code="9"/>
          <w:pgMar w:top="1418" w:right="1418" w:bottom="1418" w:left="1418" w:header="720" w:footer="720" w:gutter="0"/>
          <w:cols w:space="720"/>
          <w:docGrid w:linePitch="360"/>
        </w:sectPr>
      </w:pPr>
    </w:p>
    <w:p w14:paraId="4E2FECF0" w14:textId="77777777" w:rsidR="005C45C1" w:rsidRDefault="005C45C1" w:rsidP="005C45C1">
      <w:pPr>
        <w:pStyle w:val="Heading1"/>
        <w:spacing w:after="240"/>
        <w:rPr>
          <w:rFonts w:ascii="Arial" w:hAnsi="Arial" w:cs="Arial"/>
          <w:b/>
          <w:bCs/>
          <w:color w:val="auto"/>
          <w:sz w:val="22"/>
          <w:szCs w:val="22"/>
          <w:u w:val="single"/>
        </w:rPr>
      </w:pPr>
      <w:bookmarkStart w:id="18" w:name="_Toc139194183"/>
    </w:p>
    <w:p w14:paraId="2CD5C41D" w14:textId="77777777" w:rsidR="005C45C1" w:rsidRDefault="005C45C1" w:rsidP="005C45C1"/>
    <w:p w14:paraId="3A82F9E6" w14:textId="77777777" w:rsidR="005C45C1" w:rsidRDefault="005C45C1" w:rsidP="005C45C1"/>
    <w:p w14:paraId="6AC924B0" w14:textId="77777777" w:rsidR="005C45C1" w:rsidRDefault="005C45C1" w:rsidP="005C45C1"/>
    <w:p w14:paraId="03AE6000" w14:textId="77777777" w:rsidR="005C45C1" w:rsidRDefault="005C45C1" w:rsidP="005C45C1"/>
    <w:p w14:paraId="14C68216" w14:textId="77777777" w:rsidR="005C45C1" w:rsidRDefault="005C45C1" w:rsidP="005C45C1"/>
    <w:p w14:paraId="6A8237F7" w14:textId="77777777" w:rsidR="006257ED" w:rsidRDefault="006257ED" w:rsidP="00FF62FC">
      <w:pPr>
        <w:pStyle w:val="Heading1"/>
        <w:jc w:val="center"/>
        <w:rPr>
          <w:rFonts w:ascii="Arial" w:hAnsi="Arial" w:cs="Arial"/>
          <w:b/>
          <w:bCs/>
          <w:color w:val="auto"/>
          <w:sz w:val="24"/>
          <w:szCs w:val="24"/>
        </w:rPr>
      </w:pPr>
    </w:p>
    <w:p w14:paraId="315BAE64" w14:textId="77777777" w:rsidR="006257ED" w:rsidRDefault="006257ED" w:rsidP="00FF62FC">
      <w:pPr>
        <w:pStyle w:val="Heading1"/>
        <w:jc w:val="center"/>
        <w:rPr>
          <w:rFonts w:ascii="Arial" w:hAnsi="Arial" w:cs="Arial"/>
          <w:b/>
          <w:bCs/>
          <w:color w:val="auto"/>
          <w:sz w:val="24"/>
          <w:szCs w:val="24"/>
        </w:rPr>
      </w:pPr>
    </w:p>
    <w:p w14:paraId="554F22DB" w14:textId="77777777" w:rsidR="006257ED" w:rsidRDefault="006257ED" w:rsidP="00FF62FC">
      <w:pPr>
        <w:pStyle w:val="Heading1"/>
        <w:jc w:val="center"/>
        <w:rPr>
          <w:rFonts w:ascii="Arial" w:hAnsi="Arial" w:cs="Arial"/>
          <w:b/>
          <w:bCs/>
          <w:color w:val="auto"/>
          <w:sz w:val="24"/>
          <w:szCs w:val="24"/>
        </w:rPr>
      </w:pPr>
    </w:p>
    <w:p w14:paraId="2D6D4D72" w14:textId="253DF790" w:rsidR="005C45C1" w:rsidRPr="00FF62FC" w:rsidRDefault="005C45C1" w:rsidP="00FF62FC">
      <w:pPr>
        <w:pStyle w:val="Heading1"/>
        <w:jc w:val="center"/>
        <w:rPr>
          <w:rFonts w:ascii="Arial" w:hAnsi="Arial" w:cs="Arial"/>
          <w:b/>
          <w:bCs/>
          <w:color w:val="auto"/>
          <w:sz w:val="24"/>
          <w:szCs w:val="24"/>
        </w:rPr>
      </w:pPr>
      <w:bookmarkStart w:id="19" w:name="_Toc142153297"/>
      <w:r w:rsidRPr="00FF62FC">
        <w:rPr>
          <w:rFonts w:ascii="Arial" w:hAnsi="Arial" w:cs="Arial"/>
          <w:b/>
          <w:bCs/>
          <w:color w:val="auto"/>
          <w:sz w:val="24"/>
          <w:szCs w:val="24"/>
        </w:rPr>
        <w:t>APPENDICES</w:t>
      </w:r>
      <w:bookmarkEnd w:id="19"/>
    </w:p>
    <w:p w14:paraId="12C061D3" w14:textId="77777777" w:rsidR="005C45C1" w:rsidRDefault="005C45C1">
      <w:pPr>
        <w:rPr>
          <w:rFonts w:ascii="Arial" w:hAnsi="Arial" w:cs="Arial"/>
          <w:b/>
          <w:bCs/>
          <w:u w:val="single"/>
        </w:rPr>
      </w:pPr>
      <w:r>
        <w:rPr>
          <w:rFonts w:ascii="Arial" w:hAnsi="Arial" w:cs="Arial"/>
          <w:b/>
          <w:bCs/>
          <w:u w:val="single"/>
        </w:rPr>
        <w:br w:type="page"/>
      </w:r>
    </w:p>
    <w:p w14:paraId="45132760" w14:textId="413CB24D" w:rsidR="005C45C1" w:rsidRPr="005C45C1" w:rsidRDefault="005C45C1" w:rsidP="005C45C1">
      <w:pPr>
        <w:pStyle w:val="Heading1"/>
        <w:rPr>
          <w:rFonts w:ascii="Arial" w:hAnsi="Arial" w:cs="Arial"/>
          <w:b/>
          <w:bCs/>
          <w:color w:val="auto"/>
          <w:sz w:val="24"/>
          <w:szCs w:val="24"/>
        </w:rPr>
      </w:pPr>
      <w:bookmarkStart w:id="20" w:name="_Toc142153298"/>
      <w:r w:rsidRPr="005C45C1">
        <w:rPr>
          <w:rFonts w:ascii="Arial" w:hAnsi="Arial" w:cs="Arial"/>
          <w:b/>
          <w:bCs/>
          <w:color w:val="auto"/>
          <w:sz w:val="24"/>
          <w:szCs w:val="24"/>
        </w:rPr>
        <w:t>APPENDIX 1 – PROPOSED STRATEGIC SOLUTION</w:t>
      </w:r>
      <w:bookmarkEnd w:id="20"/>
    </w:p>
    <w:p w14:paraId="69558484" w14:textId="77777777" w:rsidR="005C45C1" w:rsidRDefault="005C45C1">
      <w:pPr>
        <w:rPr>
          <w:rFonts w:ascii="Arial" w:hAnsi="Arial" w:cs="Arial"/>
          <w:b/>
          <w:bCs/>
          <w:u w:val="single"/>
        </w:rPr>
      </w:pPr>
    </w:p>
    <w:p w14:paraId="2213EC72" w14:textId="72FC7D0F" w:rsidR="005C45C1" w:rsidRDefault="006257ED">
      <w:pPr>
        <w:rPr>
          <w:rFonts w:ascii="Arial" w:hAnsi="Arial" w:cs="Arial"/>
          <w:b/>
          <w:bCs/>
          <w:u w:val="single"/>
        </w:rPr>
      </w:pPr>
      <w:r>
        <w:rPr>
          <w:rFonts w:ascii="Arial" w:hAnsi="Arial" w:cs="Arial"/>
          <w:b/>
          <w:bCs/>
          <w:u w:val="single"/>
        </w:rPr>
        <w:object w:dxaOrig="12018" w:dyaOrig="11125" w14:anchorId="365256F1">
          <v:shape id="_x0000_i1080" type="#_x0000_t75" style="width:421.85pt;height:391.05pt" o:ole="">
            <v:imagedata r:id="rId17" o:title=""/>
          </v:shape>
          <o:OLEObject Type="Embed" ProgID="RFFlow4" ShapeID="_x0000_i1080" DrawAspect="Content" ObjectID="_1752766326" r:id="rId18"/>
        </w:object>
      </w:r>
    </w:p>
    <w:p w14:paraId="30E36EBF" w14:textId="77777777" w:rsidR="005C45C1" w:rsidRDefault="005C45C1">
      <w:pPr>
        <w:rPr>
          <w:rFonts w:ascii="Arial" w:hAnsi="Arial" w:cs="Arial"/>
          <w:b/>
          <w:bCs/>
          <w:u w:val="single"/>
        </w:rPr>
      </w:pPr>
    </w:p>
    <w:p w14:paraId="7AD0392D" w14:textId="280C2E8E" w:rsidR="005C45C1" w:rsidRPr="0078675A" w:rsidRDefault="0078675A" w:rsidP="0078675A">
      <w:pPr>
        <w:pStyle w:val="Caption"/>
        <w:rPr>
          <w:rFonts w:ascii="Arial" w:hAnsi="Arial" w:cs="Arial"/>
          <w:b/>
          <w:bCs/>
          <w:sz w:val="22"/>
          <w:szCs w:val="22"/>
          <w:u w:val="single"/>
        </w:rPr>
      </w:pPr>
      <w:bookmarkStart w:id="21" w:name="_Toc142149972"/>
      <w:r w:rsidRPr="0078675A">
        <w:rPr>
          <w:rFonts w:ascii="Arial" w:hAnsi="Arial" w:cs="Arial"/>
          <w:sz w:val="22"/>
          <w:szCs w:val="22"/>
        </w:rPr>
        <w:t xml:space="preserve">Figure </w:t>
      </w:r>
      <w:r w:rsidRPr="0078675A">
        <w:rPr>
          <w:rFonts w:ascii="Arial" w:hAnsi="Arial" w:cs="Arial"/>
          <w:sz w:val="22"/>
          <w:szCs w:val="22"/>
        </w:rPr>
        <w:fldChar w:fldCharType="begin"/>
      </w:r>
      <w:r w:rsidRPr="0078675A">
        <w:rPr>
          <w:rFonts w:ascii="Arial" w:hAnsi="Arial" w:cs="Arial"/>
          <w:sz w:val="22"/>
          <w:szCs w:val="22"/>
        </w:rPr>
        <w:instrText xml:space="preserve"> SEQ Figure \* ARABIC </w:instrText>
      </w:r>
      <w:r w:rsidRPr="0078675A">
        <w:rPr>
          <w:rFonts w:ascii="Arial" w:hAnsi="Arial" w:cs="Arial"/>
          <w:sz w:val="22"/>
          <w:szCs w:val="22"/>
        </w:rPr>
        <w:fldChar w:fldCharType="separate"/>
      </w:r>
      <w:r>
        <w:rPr>
          <w:rFonts w:ascii="Arial" w:hAnsi="Arial" w:cs="Arial"/>
          <w:noProof/>
          <w:sz w:val="22"/>
          <w:szCs w:val="22"/>
        </w:rPr>
        <w:t>2</w:t>
      </w:r>
      <w:r w:rsidRPr="0078675A">
        <w:rPr>
          <w:rFonts w:ascii="Arial" w:hAnsi="Arial" w:cs="Arial"/>
          <w:sz w:val="22"/>
          <w:szCs w:val="22"/>
        </w:rPr>
        <w:fldChar w:fldCharType="end"/>
      </w:r>
      <w:r>
        <w:rPr>
          <w:rFonts w:ascii="Arial" w:hAnsi="Arial" w:cs="Arial"/>
          <w:sz w:val="22"/>
          <w:szCs w:val="22"/>
        </w:rPr>
        <w:t xml:space="preserve">. </w:t>
      </w:r>
      <w:r w:rsidRPr="0078675A">
        <w:rPr>
          <w:rFonts w:ascii="Arial" w:hAnsi="Arial" w:cs="Arial"/>
          <w:sz w:val="22"/>
          <w:szCs w:val="22"/>
        </w:rPr>
        <w:t>P</w:t>
      </w:r>
      <w:r>
        <w:rPr>
          <w:rFonts w:ascii="Arial" w:hAnsi="Arial" w:cs="Arial"/>
          <w:sz w:val="22"/>
          <w:szCs w:val="22"/>
        </w:rPr>
        <w:t>roposed</w:t>
      </w:r>
      <w:r w:rsidRPr="0078675A">
        <w:rPr>
          <w:rFonts w:ascii="Arial" w:hAnsi="Arial" w:cs="Arial"/>
          <w:sz w:val="22"/>
          <w:szCs w:val="22"/>
        </w:rPr>
        <w:t xml:space="preserve"> S</w:t>
      </w:r>
      <w:r>
        <w:rPr>
          <w:rFonts w:ascii="Arial" w:hAnsi="Arial" w:cs="Arial"/>
          <w:sz w:val="22"/>
          <w:szCs w:val="22"/>
        </w:rPr>
        <w:t>trategic</w:t>
      </w:r>
      <w:r w:rsidRPr="0078675A">
        <w:rPr>
          <w:rFonts w:ascii="Arial" w:hAnsi="Arial" w:cs="Arial"/>
          <w:sz w:val="22"/>
          <w:szCs w:val="22"/>
        </w:rPr>
        <w:t xml:space="preserve"> S</w:t>
      </w:r>
      <w:r>
        <w:rPr>
          <w:rFonts w:ascii="Arial" w:hAnsi="Arial" w:cs="Arial"/>
          <w:sz w:val="22"/>
          <w:szCs w:val="22"/>
        </w:rPr>
        <w:t>olution</w:t>
      </w:r>
      <w:r w:rsidR="00FF62FC">
        <w:rPr>
          <w:rStyle w:val="FootnoteReference"/>
          <w:rFonts w:ascii="Arial" w:hAnsi="Arial" w:cs="Arial"/>
          <w:sz w:val="22"/>
          <w:szCs w:val="22"/>
        </w:rPr>
        <w:footnoteReference w:id="49"/>
      </w:r>
      <w:bookmarkEnd w:id="21"/>
    </w:p>
    <w:p w14:paraId="0AC0E041" w14:textId="77777777" w:rsidR="005C45C1" w:rsidRDefault="005C45C1">
      <w:pPr>
        <w:rPr>
          <w:rFonts w:ascii="Arial" w:hAnsi="Arial" w:cs="Arial"/>
          <w:b/>
          <w:bCs/>
          <w:u w:val="single"/>
        </w:rPr>
      </w:pPr>
    </w:p>
    <w:p w14:paraId="3D9C533A" w14:textId="77777777" w:rsidR="005C45C1" w:rsidRDefault="005C45C1">
      <w:pPr>
        <w:rPr>
          <w:rFonts w:ascii="Arial" w:hAnsi="Arial" w:cs="Arial"/>
          <w:b/>
          <w:bCs/>
          <w:u w:val="single"/>
        </w:rPr>
      </w:pPr>
    </w:p>
    <w:p w14:paraId="5971F59A" w14:textId="77777777" w:rsidR="005C45C1" w:rsidRDefault="005C45C1">
      <w:pPr>
        <w:rPr>
          <w:rFonts w:ascii="Arial" w:hAnsi="Arial" w:cs="Arial"/>
          <w:b/>
          <w:bCs/>
          <w:u w:val="single"/>
        </w:rPr>
      </w:pPr>
    </w:p>
    <w:p w14:paraId="2AC3C8DA" w14:textId="77777777" w:rsidR="005C45C1" w:rsidRDefault="005C45C1">
      <w:pPr>
        <w:rPr>
          <w:rFonts w:ascii="Arial" w:hAnsi="Arial" w:cs="Arial"/>
          <w:b/>
          <w:bCs/>
          <w:u w:val="single"/>
        </w:rPr>
      </w:pPr>
      <w:r>
        <w:rPr>
          <w:rFonts w:ascii="Arial" w:hAnsi="Arial" w:cs="Arial"/>
          <w:b/>
          <w:bCs/>
          <w:u w:val="single"/>
        </w:rPr>
        <w:br w:type="page"/>
      </w:r>
    </w:p>
    <w:p w14:paraId="78989FD6" w14:textId="1A6299E7" w:rsidR="0078675A" w:rsidRDefault="0078675A" w:rsidP="0078675A">
      <w:pPr>
        <w:pStyle w:val="Heading1"/>
        <w:spacing w:after="240"/>
        <w:rPr>
          <w:rFonts w:ascii="Arial" w:hAnsi="Arial" w:cs="Arial"/>
          <w:b/>
          <w:bCs/>
          <w:color w:val="auto"/>
          <w:sz w:val="24"/>
          <w:szCs w:val="24"/>
        </w:rPr>
      </w:pPr>
      <w:bookmarkStart w:id="22" w:name="_Toc142153299"/>
      <w:r w:rsidRPr="005C45C1">
        <w:rPr>
          <w:rFonts w:ascii="Arial" w:hAnsi="Arial" w:cs="Arial"/>
          <w:b/>
          <w:bCs/>
          <w:color w:val="auto"/>
          <w:sz w:val="24"/>
          <w:szCs w:val="24"/>
        </w:rPr>
        <w:t xml:space="preserve">APPENDIX </w:t>
      </w:r>
      <w:r>
        <w:rPr>
          <w:rFonts w:ascii="Arial" w:hAnsi="Arial" w:cs="Arial"/>
          <w:b/>
          <w:bCs/>
          <w:color w:val="auto"/>
          <w:sz w:val="24"/>
          <w:szCs w:val="24"/>
        </w:rPr>
        <w:t>2</w:t>
      </w:r>
      <w:r w:rsidRPr="005C45C1">
        <w:rPr>
          <w:rFonts w:ascii="Arial" w:hAnsi="Arial" w:cs="Arial"/>
          <w:b/>
          <w:bCs/>
          <w:color w:val="auto"/>
          <w:sz w:val="24"/>
          <w:szCs w:val="24"/>
        </w:rPr>
        <w:t xml:space="preserve"> – </w:t>
      </w:r>
      <w:r>
        <w:rPr>
          <w:rFonts w:ascii="Arial" w:hAnsi="Arial" w:cs="Arial"/>
          <w:b/>
          <w:bCs/>
          <w:color w:val="auto"/>
          <w:sz w:val="24"/>
          <w:szCs w:val="24"/>
        </w:rPr>
        <w:t>KUANANAS DEAL</w:t>
      </w:r>
      <w:bookmarkEnd w:id="22"/>
    </w:p>
    <w:p w14:paraId="70CC62C2" w14:textId="0C56D4C4" w:rsidR="0078675A" w:rsidRDefault="0078675A" w:rsidP="0078675A">
      <w:r>
        <w:object w:dxaOrig="11680" w:dyaOrig="8060" w14:anchorId="400277B1">
          <v:shape id="_x0000_i1057" type="#_x0000_t75" style="width:406.45pt;height:280.9pt" o:ole="">
            <v:imagedata r:id="rId19" o:title=""/>
          </v:shape>
          <o:OLEObject Type="Embed" ProgID="RFFlow4" ShapeID="_x0000_i1057" DrawAspect="Content" ObjectID="_1752766327" r:id="rId20"/>
        </w:object>
      </w:r>
    </w:p>
    <w:p w14:paraId="4AEE60F5" w14:textId="49C359CB" w:rsidR="0078675A" w:rsidRPr="0078675A" w:rsidRDefault="0078675A" w:rsidP="0078675A">
      <w:pPr>
        <w:pStyle w:val="Caption"/>
        <w:rPr>
          <w:rFonts w:ascii="Arial" w:hAnsi="Arial" w:cs="Arial"/>
          <w:sz w:val="22"/>
          <w:szCs w:val="22"/>
        </w:rPr>
      </w:pPr>
      <w:bookmarkStart w:id="23" w:name="_Toc142149973"/>
      <w:r w:rsidRPr="0078675A">
        <w:rPr>
          <w:rFonts w:ascii="Arial" w:hAnsi="Arial" w:cs="Arial"/>
          <w:sz w:val="22"/>
          <w:szCs w:val="22"/>
        </w:rPr>
        <w:t xml:space="preserve">Figure </w:t>
      </w:r>
      <w:r w:rsidRPr="0078675A">
        <w:rPr>
          <w:rFonts w:ascii="Arial" w:hAnsi="Arial" w:cs="Arial"/>
          <w:sz w:val="22"/>
          <w:szCs w:val="22"/>
        </w:rPr>
        <w:fldChar w:fldCharType="begin"/>
      </w:r>
      <w:r w:rsidRPr="0078675A">
        <w:rPr>
          <w:rFonts w:ascii="Arial" w:hAnsi="Arial" w:cs="Arial"/>
          <w:sz w:val="22"/>
          <w:szCs w:val="22"/>
        </w:rPr>
        <w:instrText xml:space="preserve"> SEQ Figure \* ARABIC </w:instrText>
      </w:r>
      <w:r w:rsidRPr="0078675A">
        <w:rPr>
          <w:rFonts w:ascii="Arial" w:hAnsi="Arial" w:cs="Arial"/>
          <w:sz w:val="22"/>
          <w:szCs w:val="22"/>
        </w:rPr>
        <w:fldChar w:fldCharType="separate"/>
      </w:r>
      <w:r w:rsidRPr="0078675A">
        <w:rPr>
          <w:rFonts w:ascii="Arial" w:hAnsi="Arial" w:cs="Arial"/>
          <w:noProof/>
          <w:sz w:val="22"/>
          <w:szCs w:val="22"/>
        </w:rPr>
        <w:t>3</w:t>
      </w:r>
      <w:r w:rsidRPr="0078675A">
        <w:rPr>
          <w:rFonts w:ascii="Arial" w:hAnsi="Arial" w:cs="Arial"/>
          <w:sz w:val="22"/>
          <w:szCs w:val="22"/>
        </w:rPr>
        <w:fldChar w:fldCharType="end"/>
      </w:r>
      <w:r w:rsidRPr="0078675A">
        <w:rPr>
          <w:rFonts w:ascii="Arial" w:hAnsi="Arial" w:cs="Arial"/>
          <w:sz w:val="22"/>
          <w:szCs w:val="22"/>
        </w:rPr>
        <w:t>. KuansaNas Deal</w:t>
      </w:r>
      <w:r w:rsidR="00F573CA">
        <w:rPr>
          <w:rStyle w:val="FootnoteReference"/>
          <w:rFonts w:ascii="Arial" w:hAnsi="Arial" w:cs="Arial"/>
          <w:sz w:val="22"/>
          <w:szCs w:val="22"/>
        </w:rPr>
        <w:footnoteReference w:id="50"/>
      </w:r>
      <w:bookmarkEnd w:id="23"/>
    </w:p>
    <w:p w14:paraId="4A94D4C2" w14:textId="77777777" w:rsidR="0078675A" w:rsidRDefault="0078675A" w:rsidP="0078675A"/>
    <w:p w14:paraId="50CDC1A9" w14:textId="77777777" w:rsidR="0078675A" w:rsidRDefault="0078675A" w:rsidP="0078675A"/>
    <w:p w14:paraId="7DDC0CBD" w14:textId="77777777" w:rsidR="0078675A" w:rsidRDefault="0078675A" w:rsidP="0078675A"/>
    <w:p w14:paraId="530193F9" w14:textId="77777777" w:rsidR="0078675A" w:rsidRDefault="0078675A" w:rsidP="0078675A"/>
    <w:p w14:paraId="6FB2F4E7" w14:textId="77777777" w:rsidR="0078675A" w:rsidRDefault="0078675A" w:rsidP="0078675A"/>
    <w:p w14:paraId="675E14B3" w14:textId="77777777" w:rsidR="0078675A" w:rsidRDefault="0078675A" w:rsidP="0078675A"/>
    <w:p w14:paraId="6A75B021" w14:textId="77777777" w:rsidR="0078675A" w:rsidRDefault="0078675A" w:rsidP="0078675A"/>
    <w:p w14:paraId="63BCA4E5" w14:textId="77777777" w:rsidR="0078675A" w:rsidRDefault="0078675A" w:rsidP="0078675A"/>
    <w:p w14:paraId="6CBD7C53" w14:textId="77777777" w:rsidR="0078675A" w:rsidRPr="0078675A" w:rsidRDefault="0078675A" w:rsidP="0078675A"/>
    <w:p w14:paraId="6F3D0D16" w14:textId="77777777" w:rsidR="0078675A" w:rsidRDefault="0078675A">
      <w:pPr>
        <w:rPr>
          <w:rFonts w:ascii="Arial" w:eastAsiaTheme="majorEastAsia" w:hAnsi="Arial" w:cs="Arial"/>
          <w:b/>
          <w:bCs/>
          <w:u w:val="single"/>
        </w:rPr>
      </w:pPr>
      <w:r>
        <w:rPr>
          <w:rFonts w:ascii="Arial" w:eastAsiaTheme="majorEastAsia" w:hAnsi="Arial" w:cs="Arial"/>
          <w:b/>
          <w:bCs/>
          <w:u w:val="single"/>
        </w:rPr>
        <w:br w:type="page"/>
      </w:r>
    </w:p>
    <w:p w14:paraId="36E670A9" w14:textId="77777777" w:rsidR="005C45C1" w:rsidRDefault="005C45C1">
      <w:pPr>
        <w:rPr>
          <w:rFonts w:ascii="Arial" w:eastAsiaTheme="majorEastAsia" w:hAnsi="Arial" w:cs="Arial"/>
          <w:b/>
          <w:bCs/>
          <w:u w:val="single"/>
        </w:rPr>
      </w:pPr>
    </w:p>
    <w:p w14:paraId="2BBE336D" w14:textId="1FA186E2" w:rsidR="003B0CBA" w:rsidRPr="00EB6400" w:rsidRDefault="003B0CBA" w:rsidP="00EB6400">
      <w:pPr>
        <w:pStyle w:val="Heading1"/>
        <w:spacing w:after="240"/>
        <w:jc w:val="center"/>
        <w:rPr>
          <w:rFonts w:ascii="Arial" w:hAnsi="Arial" w:cs="Arial"/>
          <w:b/>
          <w:bCs/>
          <w:color w:val="auto"/>
          <w:sz w:val="22"/>
          <w:szCs w:val="22"/>
          <w:u w:val="single"/>
        </w:rPr>
      </w:pPr>
      <w:bookmarkStart w:id="24" w:name="_Toc142153300"/>
      <w:r w:rsidRPr="00EB6400">
        <w:rPr>
          <w:rFonts w:ascii="Arial" w:hAnsi="Arial" w:cs="Arial"/>
          <w:b/>
          <w:bCs/>
          <w:color w:val="auto"/>
          <w:sz w:val="22"/>
          <w:szCs w:val="22"/>
          <w:u w:val="single"/>
        </w:rPr>
        <w:t>Bibliography &amp; References</w:t>
      </w:r>
      <w:bookmarkEnd w:id="18"/>
      <w:bookmarkEnd w:id="24"/>
    </w:p>
    <w:p w14:paraId="05C31447" w14:textId="77777777" w:rsidR="003B0CBA" w:rsidRPr="009757C4" w:rsidRDefault="003B0CBA" w:rsidP="003B0CBA">
      <w:pPr>
        <w:pStyle w:val="NormalWeb"/>
        <w:spacing w:before="0" w:beforeAutospacing="0" w:after="240" w:afterAutospacing="0"/>
        <w:ind w:left="567" w:hanging="567"/>
        <w:rPr>
          <w:rFonts w:ascii="Arial" w:hAnsi="Arial" w:cs="Arial"/>
          <w:sz w:val="22"/>
          <w:szCs w:val="22"/>
        </w:rPr>
      </w:pPr>
      <w:r w:rsidRPr="009757C4">
        <w:rPr>
          <w:rFonts w:ascii="Arial" w:hAnsi="Arial" w:cs="Arial"/>
          <w:sz w:val="22"/>
          <w:szCs w:val="22"/>
        </w:rPr>
        <w:t>Adriaanse, J.A.A., &amp; Kuijl, J.G. (2006). Resolving Financial Distress: Informal Reorganization in The Netherlands as a Beacon for Policy Makers in the CIS and CEE/SEE Regions? Review of Central and East European Law, 31(2), 135-154.</w:t>
      </w:r>
    </w:p>
    <w:p w14:paraId="17D1BDF9" w14:textId="77777777" w:rsidR="006257ED" w:rsidRDefault="006257ED" w:rsidP="006257ED">
      <w:pPr>
        <w:pStyle w:val="NormalWeb"/>
        <w:spacing w:before="0" w:beforeAutospacing="0" w:after="240" w:afterAutospacing="0"/>
        <w:ind w:left="567" w:hanging="567"/>
        <w:rPr>
          <w:rFonts w:ascii="Arial" w:hAnsi="Arial" w:cs="Arial"/>
          <w:sz w:val="22"/>
          <w:szCs w:val="22"/>
        </w:rPr>
      </w:pPr>
      <w:bookmarkStart w:id="25" w:name="_Hlk138709134"/>
      <w:proofErr w:type="spellStart"/>
      <w:r w:rsidRPr="00157205">
        <w:rPr>
          <w:rFonts w:ascii="Arial" w:hAnsi="Arial" w:cs="Arial"/>
          <w:sz w:val="22"/>
          <w:szCs w:val="22"/>
        </w:rPr>
        <w:t>Aspru</w:t>
      </w:r>
      <w:proofErr w:type="spellEnd"/>
      <w:r w:rsidRPr="00157205">
        <w:rPr>
          <w:rFonts w:ascii="Arial" w:hAnsi="Arial" w:cs="Arial"/>
          <w:sz w:val="22"/>
          <w:szCs w:val="22"/>
        </w:rPr>
        <w:t>, L. O. (2023) The Liability Regime in the Insolvency Procedure from Romania</w:t>
      </w:r>
      <w:r w:rsidRPr="006257ED">
        <w:rPr>
          <w:rFonts w:ascii="Arial" w:hAnsi="Arial" w:cs="Arial"/>
          <w:i/>
          <w:iCs/>
          <w:sz w:val="22"/>
          <w:szCs w:val="22"/>
        </w:rPr>
        <w:t>. INSOL</w:t>
      </w:r>
      <w:r w:rsidRPr="00157205">
        <w:rPr>
          <w:rFonts w:ascii="Arial" w:hAnsi="Arial" w:cs="Arial"/>
          <w:sz w:val="22"/>
          <w:szCs w:val="22"/>
        </w:rPr>
        <w:t>.</w:t>
      </w:r>
    </w:p>
    <w:p w14:paraId="27EDA28A" w14:textId="02FA3055" w:rsidR="003B0CBA" w:rsidRPr="009757C4" w:rsidRDefault="003B0CBA" w:rsidP="003B0CBA">
      <w:pPr>
        <w:pStyle w:val="NormalWeb"/>
        <w:spacing w:before="0" w:beforeAutospacing="0" w:after="240" w:afterAutospacing="0"/>
        <w:ind w:left="720" w:hanging="720"/>
        <w:rPr>
          <w:rFonts w:ascii="Arial" w:hAnsi="Arial" w:cs="Arial"/>
          <w:color w:val="000000"/>
          <w:sz w:val="22"/>
          <w:szCs w:val="22"/>
        </w:rPr>
      </w:pPr>
      <w:r w:rsidRPr="009757C4">
        <w:rPr>
          <w:rFonts w:ascii="Arial" w:hAnsi="Arial" w:cs="Arial"/>
          <w:color w:val="000000"/>
          <w:sz w:val="22"/>
          <w:szCs w:val="22"/>
        </w:rPr>
        <w:t xml:space="preserve">Bracewell &amp; Giuliani (2012). </w:t>
      </w:r>
      <w:bookmarkEnd w:id="25"/>
      <w:r w:rsidRPr="009757C4">
        <w:rPr>
          <w:rFonts w:ascii="Arial" w:hAnsi="Arial" w:cs="Arial"/>
          <w:color w:val="000000"/>
          <w:sz w:val="22"/>
          <w:szCs w:val="22"/>
        </w:rPr>
        <w:t>Chapter 11 of the United States Bankruptcy Code: Background and summary. INSOL.</w:t>
      </w:r>
    </w:p>
    <w:p w14:paraId="62814B31" w14:textId="77777777" w:rsidR="003B0CBA" w:rsidRPr="009757C4" w:rsidRDefault="003B0CBA" w:rsidP="003B0CBA">
      <w:pPr>
        <w:pStyle w:val="NormalWeb"/>
        <w:spacing w:before="0" w:beforeAutospacing="0" w:after="240" w:afterAutospacing="0"/>
        <w:ind w:left="567" w:hanging="567"/>
        <w:rPr>
          <w:rStyle w:val="Hyperlink"/>
          <w:rFonts w:ascii="Arial" w:hAnsi="Arial" w:cs="Arial"/>
          <w:sz w:val="22"/>
          <w:szCs w:val="22"/>
        </w:rPr>
      </w:pPr>
      <w:bookmarkStart w:id="26" w:name="_Hlk131757954"/>
      <w:r w:rsidRPr="009757C4">
        <w:rPr>
          <w:rFonts w:ascii="Arial" w:hAnsi="Arial" w:cs="Arial"/>
          <w:sz w:val="22"/>
          <w:szCs w:val="22"/>
        </w:rPr>
        <w:t xml:space="preserve">Chen, Y. (2020). </w:t>
      </w:r>
      <w:bookmarkEnd w:id="26"/>
      <w:r w:rsidRPr="009757C4">
        <w:rPr>
          <w:rFonts w:ascii="Arial" w:hAnsi="Arial" w:cs="Arial"/>
          <w:sz w:val="22"/>
          <w:szCs w:val="22"/>
        </w:rPr>
        <w:t xml:space="preserve">A Proposal to Reform English Company Voluntary Arrangement Moratorium Regime: Insights from US Automatic Stay. Retrieved from </w:t>
      </w:r>
      <w:hyperlink r:id="rId21" w:history="1">
        <w:r w:rsidRPr="009757C4">
          <w:rPr>
            <w:rStyle w:val="Hyperlink"/>
            <w:rFonts w:ascii="Arial" w:hAnsi="Arial" w:cs="Arial"/>
            <w:sz w:val="22"/>
            <w:szCs w:val="22"/>
          </w:rPr>
          <w:t>https://papers.ssrn.com/sol3/papers.cfm?abstract_id=4213997</w:t>
        </w:r>
      </w:hyperlink>
      <w:r w:rsidRPr="009757C4">
        <w:rPr>
          <w:rStyle w:val="Hyperlink"/>
          <w:rFonts w:ascii="Arial" w:hAnsi="Arial" w:cs="Arial"/>
          <w:sz w:val="22"/>
          <w:szCs w:val="22"/>
        </w:rPr>
        <w:t xml:space="preserve"> </w:t>
      </w:r>
    </w:p>
    <w:p w14:paraId="152E8672" w14:textId="77777777" w:rsidR="003B0CBA" w:rsidRDefault="003B0CBA" w:rsidP="003B0CBA">
      <w:pPr>
        <w:pStyle w:val="NormalWeb"/>
        <w:spacing w:before="0" w:beforeAutospacing="0" w:after="240" w:afterAutospacing="0"/>
        <w:ind w:left="567" w:hanging="567"/>
        <w:rPr>
          <w:rStyle w:val="Hyperlink"/>
          <w:rFonts w:ascii="Arial" w:hAnsi="Arial" w:cs="Arial"/>
          <w:sz w:val="22"/>
          <w:szCs w:val="22"/>
        </w:rPr>
      </w:pPr>
      <w:r w:rsidRPr="009757C4">
        <w:rPr>
          <w:rFonts w:ascii="Arial" w:hAnsi="Arial" w:cs="Arial"/>
          <w:sz w:val="22"/>
          <w:szCs w:val="22"/>
        </w:rPr>
        <w:t xml:space="preserve">Delado, J. C. (2022). </w:t>
      </w:r>
      <w:r w:rsidRPr="004B32BC">
        <w:rPr>
          <w:rFonts w:ascii="Arial" w:hAnsi="Arial" w:cs="Arial"/>
          <w:sz w:val="22"/>
          <w:szCs w:val="22"/>
        </w:rPr>
        <w:t>Jurisdiction and Recognition of Insolvency-Related Judgments: A Comparison between the European Insolvency Regulation and the UNCITRAL Model Law</w:t>
      </w:r>
      <w:r w:rsidRPr="009757C4">
        <w:rPr>
          <w:rFonts w:ascii="Arial" w:hAnsi="Arial" w:cs="Arial"/>
          <w:sz w:val="22"/>
          <w:szCs w:val="22"/>
        </w:rPr>
        <w:t xml:space="preserve">. INSOL. Retrieved on July 23, 2023, from </w:t>
      </w:r>
      <w:hyperlink r:id="rId22" w:history="1">
        <w:r w:rsidRPr="009757C4">
          <w:rPr>
            <w:rStyle w:val="Hyperlink"/>
            <w:rFonts w:ascii="Arial" w:hAnsi="Arial" w:cs="Arial"/>
            <w:sz w:val="22"/>
            <w:szCs w:val="22"/>
          </w:rPr>
          <w:t>https://insol.azureedge.net/cmsstorage/insol/media/document-library/technical%20paper%20series/jurisdiction-and-recognition-of-insolvency-related-judgments.pdf</w:t>
        </w:r>
      </w:hyperlink>
      <w:r w:rsidRPr="009757C4">
        <w:rPr>
          <w:rStyle w:val="Hyperlink"/>
          <w:rFonts w:ascii="Arial" w:hAnsi="Arial" w:cs="Arial"/>
          <w:sz w:val="22"/>
          <w:szCs w:val="22"/>
        </w:rPr>
        <w:t xml:space="preserve"> </w:t>
      </w:r>
    </w:p>
    <w:p w14:paraId="57883336" w14:textId="5CFD5B3C" w:rsidR="00611C55" w:rsidRDefault="00611C55" w:rsidP="00611C55">
      <w:pPr>
        <w:pStyle w:val="NormalWeb"/>
        <w:ind w:left="567" w:hanging="567"/>
      </w:pPr>
      <w:r>
        <w:t xml:space="preserve">Doti, F. J. (2007). </w:t>
      </w:r>
      <w:r>
        <w:rPr>
          <w:i/>
          <w:iCs/>
        </w:rPr>
        <w:t>Contract law: Flowcharts and cases: A student</w:t>
      </w:r>
      <w:r w:rsidR="000507A8">
        <w:rPr>
          <w:i/>
          <w:iCs/>
        </w:rPr>
        <w:t>'</w:t>
      </w:r>
      <w:r>
        <w:rPr>
          <w:i/>
          <w:iCs/>
        </w:rPr>
        <w:t>s visual guide to understanding contracts</w:t>
      </w:r>
      <w:r>
        <w:t xml:space="preserve">. Thomson/West. </w:t>
      </w:r>
    </w:p>
    <w:p w14:paraId="63B13A07" w14:textId="77777777" w:rsidR="00611C55" w:rsidRPr="004B32BC" w:rsidRDefault="00611C55" w:rsidP="003B0CBA">
      <w:pPr>
        <w:pStyle w:val="NormalWeb"/>
        <w:spacing w:before="0" w:beforeAutospacing="0" w:after="240" w:afterAutospacing="0"/>
        <w:ind w:left="567" w:hanging="567"/>
        <w:rPr>
          <w:rStyle w:val="Hyperlink"/>
          <w:rFonts w:ascii="Arial" w:hAnsi="Arial" w:cs="Arial"/>
          <w:sz w:val="22"/>
          <w:szCs w:val="22"/>
        </w:rPr>
      </w:pPr>
    </w:p>
    <w:p w14:paraId="34E88F9E" w14:textId="77777777" w:rsidR="003B0CBA" w:rsidRPr="009757C4" w:rsidRDefault="003B0CBA" w:rsidP="003B0CBA">
      <w:pPr>
        <w:pStyle w:val="NormalWeb"/>
        <w:spacing w:before="0" w:beforeAutospacing="0" w:after="240" w:afterAutospacing="0"/>
        <w:ind w:left="567" w:hanging="567"/>
        <w:rPr>
          <w:rFonts w:ascii="Arial" w:hAnsi="Arial" w:cs="Arial"/>
          <w:sz w:val="22"/>
          <w:szCs w:val="22"/>
        </w:rPr>
      </w:pPr>
      <w:r w:rsidRPr="009757C4">
        <w:rPr>
          <w:rFonts w:ascii="Arial" w:hAnsi="Arial" w:cs="Arial"/>
          <w:sz w:val="22"/>
          <w:szCs w:val="22"/>
        </w:rPr>
        <w:t>Drăghici, C. (2022). Enactment of the European Directive 2019/1023 in Romania. Benefits of the Restructuring Agreement Procedure. Conferința Internațională de Drept, Studii Europene și Relații Internaționale, 10(X), 139-146.</w:t>
      </w:r>
    </w:p>
    <w:p w14:paraId="58DA6FD2" w14:textId="77777777" w:rsidR="003B0CBA" w:rsidRPr="009757C4" w:rsidRDefault="003B0CBA" w:rsidP="003B0CBA">
      <w:pPr>
        <w:pStyle w:val="NormalWeb"/>
        <w:spacing w:before="0" w:beforeAutospacing="0" w:after="240" w:afterAutospacing="0"/>
        <w:ind w:left="567" w:hanging="567"/>
        <w:rPr>
          <w:rStyle w:val="Hyperlink"/>
          <w:rFonts w:ascii="Arial" w:hAnsi="Arial" w:cs="Arial"/>
          <w:sz w:val="22"/>
          <w:szCs w:val="22"/>
        </w:rPr>
      </w:pPr>
      <w:r w:rsidRPr="009757C4">
        <w:rPr>
          <w:rFonts w:ascii="Arial" w:hAnsi="Arial" w:cs="Arial"/>
          <w:sz w:val="22"/>
          <w:szCs w:val="22"/>
        </w:rPr>
        <w:t xml:space="preserve">Garrido, J. M. (2012). Out-of-court debt restructuring. World Bank. Retrieved from </w:t>
      </w:r>
      <w:hyperlink r:id="rId23" w:history="1">
        <w:r w:rsidRPr="009757C4">
          <w:rPr>
            <w:rStyle w:val="Hyperlink"/>
            <w:rFonts w:ascii="Arial" w:hAnsi="Arial" w:cs="Arial"/>
            <w:sz w:val="22"/>
            <w:szCs w:val="22"/>
          </w:rPr>
          <w:t>https://openknowledge.worldbank.org/server/api/core/bitstreams/c5fc8592-d4c0-5fc9-a7a3-3f7270493d21/content</w:t>
        </w:r>
      </w:hyperlink>
    </w:p>
    <w:p w14:paraId="4F00B9CF" w14:textId="77777777" w:rsidR="003B0CBA" w:rsidRPr="009757C4" w:rsidRDefault="003B0CBA" w:rsidP="003B0CBA">
      <w:pPr>
        <w:pStyle w:val="NormalWeb"/>
        <w:spacing w:before="0" w:beforeAutospacing="0" w:after="240" w:afterAutospacing="0"/>
        <w:ind w:left="567" w:hanging="567"/>
        <w:rPr>
          <w:rStyle w:val="Hyperlink"/>
          <w:rFonts w:ascii="Arial" w:hAnsi="Arial" w:cs="Arial"/>
          <w:sz w:val="22"/>
          <w:szCs w:val="22"/>
        </w:rPr>
      </w:pPr>
      <w:bookmarkStart w:id="27" w:name="_Hlk130761022"/>
      <w:r w:rsidRPr="009757C4">
        <w:rPr>
          <w:rFonts w:ascii="Arial" w:hAnsi="Arial" w:cs="Arial"/>
          <w:sz w:val="22"/>
          <w:szCs w:val="22"/>
        </w:rPr>
        <w:t xml:space="preserve">Garrido, J. M. (2012). Out-of-court debt restructuring. World Bank. Retrieved from </w:t>
      </w:r>
      <w:hyperlink r:id="rId24" w:history="1">
        <w:r w:rsidRPr="009757C4">
          <w:rPr>
            <w:rStyle w:val="Hyperlink"/>
            <w:rFonts w:ascii="Arial" w:hAnsi="Arial" w:cs="Arial"/>
            <w:sz w:val="22"/>
            <w:szCs w:val="22"/>
          </w:rPr>
          <w:t>https://openknowledge.worldbank.org/server/api/core/bitstreams/c5fc8592-d4c0-5fc9-a7a3-3f7270493d21/content</w:t>
        </w:r>
      </w:hyperlink>
      <w:r w:rsidRPr="009757C4">
        <w:rPr>
          <w:rStyle w:val="Hyperlink"/>
          <w:rFonts w:ascii="Arial" w:hAnsi="Arial" w:cs="Arial"/>
          <w:sz w:val="22"/>
          <w:szCs w:val="22"/>
        </w:rPr>
        <w:t xml:space="preserve"> </w:t>
      </w:r>
    </w:p>
    <w:bookmarkEnd w:id="27"/>
    <w:p w14:paraId="69E510F7" w14:textId="053D50E0" w:rsidR="003B0CBA" w:rsidRPr="009757C4" w:rsidRDefault="003B0CBA" w:rsidP="003B0CBA">
      <w:pPr>
        <w:pStyle w:val="NormalWeb"/>
        <w:spacing w:before="0" w:beforeAutospacing="0" w:after="240" w:afterAutospacing="0"/>
        <w:ind w:left="567" w:hanging="567"/>
        <w:rPr>
          <w:rStyle w:val="Hyperlink"/>
          <w:rFonts w:ascii="Arial" w:hAnsi="Arial" w:cs="Arial"/>
          <w:sz w:val="22"/>
          <w:szCs w:val="22"/>
        </w:rPr>
      </w:pPr>
      <w:r w:rsidRPr="009757C4">
        <w:rPr>
          <w:rFonts w:ascii="Arial" w:hAnsi="Arial" w:cs="Arial"/>
          <w:sz w:val="22"/>
          <w:szCs w:val="22"/>
        </w:rPr>
        <w:t>GOV.UK (2023). Guidance Liquidation and Insolvency. Retrieved on June 25, 2023</w:t>
      </w:r>
      <w:r w:rsidR="000507A8">
        <w:rPr>
          <w:rFonts w:ascii="Arial" w:hAnsi="Arial" w:cs="Arial"/>
          <w:sz w:val="22"/>
          <w:szCs w:val="22"/>
        </w:rPr>
        <w:t>,</w:t>
      </w:r>
      <w:r w:rsidRPr="009757C4">
        <w:rPr>
          <w:rFonts w:ascii="Arial" w:hAnsi="Arial" w:cs="Arial"/>
          <w:sz w:val="22"/>
          <w:szCs w:val="22"/>
        </w:rPr>
        <w:t xml:space="preserve"> from </w:t>
      </w:r>
      <w:hyperlink r:id="rId25" w:history="1">
        <w:r w:rsidRPr="009757C4">
          <w:rPr>
            <w:rStyle w:val="Hyperlink"/>
            <w:rFonts w:ascii="Arial" w:hAnsi="Arial" w:cs="Arial"/>
            <w:sz w:val="22"/>
            <w:szCs w:val="22"/>
          </w:rPr>
          <w:t>https://www.gov.uk/government/publications/liquidation-and-insolvency/liquidation-and-insolvency</w:t>
        </w:r>
      </w:hyperlink>
      <w:r w:rsidRPr="009757C4">
        <w:rPr>
          <w:rStyle w:val="Hyperlink"/>
          <w:rFonts w:ascii="Arial" w:hAnsi="Arial" w:cs="Arial"/>
          <w:sz w:val="22"/>
          <w:szCs w:val="22"/>
        </w:rPr>
        <w:t xml:space="preserve"> </w:t>
      </w:r>
    </w:p>
    <w:p w14:paraId="13C8BA9C" w14:textId="77777777" w:rsidR="003B0CBA" w:rsidRPr="009757C4" w:rsidRDefault="003B0CBA" w:rsidP="003B0CBA">
      <w:pPr>
        <w:pStyle w:val="NormalWeb"/>
        <w:spacing w:before="0" w:beforeAutospacing="0" w:after="240" w:afterAutospacing="0"/>
        <w:ind w:left="567" w:hanging="567"/>
        <w:rPr>
          <w:rFonts w:ascii="Arial" w:hAnsi="Arial" w:cs="Arial"/>
          <w:sz w:val="22"/>
          <w:szCs w:val="22"/>
        </w:rPr>
      </w:pPr>
      <w:r w:rsidRPr="009757C4">
        <w:rPr>
          <w:rFonts w:ascii="Arial" w:hAnsi="Arial" w:cs="Arial"/>
          <w:sz w:val="22"/>
          <w:szCs w:val="22"/>
        </w:rPr>
        <w:t xml:space="preserve">Iancu, L. O. (2020). New Mechanisms for Recovering Budgetary Claims in Insolvency. Athens JL, 6, 61. Retrieved July 23, 2023, from </w:t>
      </w:r>
      <w:hyperlink r:id="rId26" w:history="1">
        <w:r w:rsidRPr="009757C4">
          <w:rPr>
            <w:rFonts w:ascii="Arial" w:hAnsi="Arial" w:cs="Arial"/>
            <w:sz w:val="22"/>
            <w:szCs w:val="22"/>
          </w:rPr>
          <w:t>https://www.athensjournals.gr/law/2020-6-1-4-Iancu.pdf</w:t>
        </w:r>
      </w:hyperlink>
      <w:r w:rsidRPr="009757C4">
        <w:rPr>
          <w:rFonts w:ascii="Arial" w:hAnsi="Arial" w:cs="Arial"/>
          <w:sz w:val="22"/>
          <w:szCs w:val="22"/>
        </w:rPr>
        <w:t xml:space="preserve">. </w:t>
      </w:r>
      <w:hyperlink r:id="rId27" w:history="1">
        <w:r w:rsidRPr="009757C4">
          <w:rPr>
            <w:rFonts w:ascii="Arial" w:eastAsiaTheme="majorEastAsia" w:hAnsi="Arial" w:cs="Arial"/>
            <w:sz w:val="22"/>
            <w:szCs w:val="22"/>
          </w:rPr>
          <w:t>https://doi.org/10.30958/ajl.6-1-4</w:t>
        </w:r>
      </w:hyperlink>
    </w:p>
    <w:p w14:paraId="16ABB536" w14:textId="77777777" w:rsidR="003B0CBA" w:rsidRPr="009757C4" w:rsidRDefault="003B0CBA" w:rsidP="003B0CBA">
      <w:pPr>
        <w:pStyle w:val="NormalWeb"/>
        <w:spacing w:before="0" w:beforeAutospacing="0" w:after="240" w:afterAutospacing="0"/>
        <w:ind w:left="567" w:hanging="567"/>
        <w:rPr>
          <w:rFonts w:ascii="Arial" w:hAnsi="Arial" w:cs="Arial"/>
          <w:sz w:val="22"/>
          <w:szCs w:val="22"/>
        </w:rPr>
      </w:pPr>
      <w:r w:rsidRPr="009757C4">
        <w:rPr>
          <w:rFonts w:ascii="Arial" w:hAnsi="Arial" w:cs="Arial"/>
          <w:sz w:val="22"/>
          <w:szCs w:val="22"/>
        </w:rPr>
        <w:t>INSOL International. (2017), Statement of Principles for a Global Approach to Multi-Creditor</w:t>
      </w:r>
      <w:r w:rsidRPr="009757C4">
        <w:rPr>
          <w:rFonts w:ascii="Arial" w:hAnsi="Arial" w:cs="Arial"/>
          <w:sz w:val="22"/>
          <w:szCs w:val="22"/>
        </w:rPr>
        <w:br/>
        <w:t>Workouts II.</w:t>
      </w:r>
    </w:p>
    <w:p w14:paraId="5453977B" w14:textId="77777777" w:rsidR="003B0CBA" w:rsidRPr="009757C4" w:rsidRDefault="00000000" w:rsidP="003B0CBA">
      <w:pPr>
        <w:pStyle w:val="NormalWeb"/>
        <w:spacing w:before="0" w:beforeAutospacing="0" w:after="240" w:afterAutospacing="0"/>
        <w:ind w:left="567" w:hanging="567"/>
        <w:rPr>
          <w:rStyle w:val="Hyperlink"/>
          <w:rFonts w:ascii="Arial" w:hAnsi="Arial" w:cs="Arial"/>
          <w:sz w:val="22"/>
          <w:szCs w:val="22"/>
        </w:rPr>
      </w:pPr>
      <w:hyperlink r:id="rId28" w:history="1">
        <w:r w:rsidR="003B0CBA" w:rsidRPr="009757C4">
          <w:rPr>
            <w:rFonts w:ascii="Arial" w:hAnsi="Arial" w:cs="Arial"/>
            <w:sz w:val="22"/>
            <w:szCs w:val="22"/>
          </w:rPr>
          <w:t>International Monetary Fund</w:t>
        </w:r>
      </w:hyperlink>
      <w:r w:rsidR="003B0CBA" w:rsidRPr="009757C4">
        <w:rPr>
          <w:rFonts w:ascii="Arial" w:hAnsi="Arial" w:cs="Arial"/>
          <w:sz w:val="22"/>
          <w:szCs w:val="22"/>
        </w:rPr>
        <w:t xml:space="preserve"> (1999). Cross-border insolvency issues. DOI: </w:t>
      </w:r>
      <w:hyperlink r:id="rId29" w:tgtFrame="_blank" w:history="1">
        <w:r w:rsidR="003B0CBA" w:rsidRPr="009757C4">
          <w:rPr>
            <w:rStyle w:val="Hyperlink"/>
            <w:rFonts w:ascii="Arial" w:eastAsiaTheme="majorEastAsia" w:hAnsi="Arial" w:cs="Arial"/>
            <w:sz w:val="22"/>
            <w:szCs w:val="22"/>
          </w:rPr>
          <w:t>https://doi.org/10.5089/9781557758200.071</w:t>
        </w:r>
      </w:hyperlink>
    </w:p>
    <w:p w14:paraId="25E732BC" w14:textId="77777777" w:rsidR="003B0CBA" w:rsidRPr="009757C4" w:rsidRDefault="003B0CBA" w:rsidP="003B0CBA">
      <w:pPr>
        <w:pStyle w:val="NormalWeb"/>
        <w:spacing w:before="0" w:beforeAutospacing="0" w:after="240" w:afterAutospacing="0"/>
        <w:ind w:left="567" w:hanging="567"/>
        <w:rPr>
          <w:rStyle w:val="Hyperlink"/>
          <w:rFonts w:ascii="Arial" w:hAnsi="Arial" w:cs="Arial"/>
          <w:sz w:val="22"/>
          <w:szCs w:val="22"/>
        </w:rPr>
      </w:pPr>
      <w:bookmarkStart w:id="28" w:name="_Hlk141086313"/>
      <w:r w:rsidRPr="009757C4">
        <w:rPr>
          <w:rFonts w:ascii="Arial" w:hAnsi="Arial" w:cs="Arial"/>
          <w:sz w:val="22"/>
          <w:szCs w:val="22"/>
        </w:rPr>
        <w:t xml:space="preserve">Investopedia (2023). Retrieved on July 23, 2023, from </w:t>
      </w:r>
      <w:hyperlink r:id="rId30" w:history="1">
        <w:r w:rsidRPr="009757C4">
          <w:rPr>
            <w:rStyle w:val="Hyperlink"/>
            <w:rFonts w:ascii="Arial" w:hAnsi="Arial" w:cs="Arial"/>
            <w:sz w:val="22"/>
            <w:szCs w:val="22"/>
          </w:rPr>
          <w:t>https://www.investopedia.com/terms/b/brexit.asp</w:t>
        </w:r>
      </w:hyperlink>
      <w:bookmarkEnd w:id="28"/>
    </w:p>
    <w:p w14:paraId="31922319" w14:textId="1C544E56" w:rsidR="003B0CBA" w:rsidRPr="009757C4" w:rsidRDefault="003B0CBA" w:rsidP="003B0CBA">
      <w:pPr>
        <w:pStyle w:val="NormalWeb"/>
        <w:spacing w:before="0" w:beforeAutospacing="0" w:after="240" w:afterAutospacing="0"/>
        <w:ind w:left="567" w:hanging="567"/>
        <w:rPr>
          <w:rStyle w:val="Hyperlink"/>
          <w:rFonts w:ascii="Arial" w:hAnsi="Arial" w:cs="Arial"/>
          <w:sz w:val="22"/>
          <w:szCs w:val="22"/>
        </w:rPr>
      </w:pPr>
      <w:r w:rsidRPr="009757C4">
        <w:rPr>
          <w:rFonts w:ascii="Arial" w:hAnsi="Arial" w:cs="Arial"/>
          <w:sz w:val="22"/>
          <w:szCs w:val="22"/>
        </w:rPr>
        <w:t>IRS.GOV (2023). Chapter 7 Bankruptcy – Liquidation Under the Bankruptcy Code. Retrieved on June 25, 2023</w:t>
      </w:r>
      <w:r w:rsidR="000507A8">
        <w:rPr>
          <w:rFonts w:ascii="Arial" w:hAnsi="Arial" w:cs="Arial"/>
          <w:sz w:val="22"/>
          <w:szCs w:val="22"/>
        </w:rPr>
        <w:t>,</w:t>
      </w:r>
      <w:r w:rsidRPr="009757C4">
        <w:rPr>
          <w:rFonts w:ascii="Arial" w:hAnsi="Arial" w:cs="Arial"/>
          <w:sz w:val="22"/>
          <w:szCs w:val="22"/>
        </w:rPr>
        <w:t xml:space="preserve"> from </w:t>
      </w:r>
      <w:hyperlink r:id="rId31" w:history="1">
        <w:r w:rsidRPr="009757C4">
          <w:rPr>
            <w:rStyle w:val="Hyperlink"/>
            <w:rFonts w:ascii="Arial" w:hAnsi="Arial" w:cs="Arial"/>
            <w:sz w:val="22"/>
            <w:szCs w:val="22"/>
          </w:rPr>
          <w:t>https://www.irs.gov/businesses/small-businesses-self-employed/chapter-7-bankruptcy-liquidation-under-the-bankruptcy-code</w:t>
        </w:r>
      </w:hyperlink>
    </w:p>
    <w:p w14:paraId="4E5956E4" w14:textId="77777777" w:rsidR="003B0CBA" w:rsidRPr="009757C4" w:rsidRDefault="003B0CBA" w:rsidP="003B0CBA">
      <w:pPr>
        <w:pStyle w:val="NormalWeb"/>
        <w:spacing w:before="0" w:beforeAutospacing="0" w:after="240" w:afterAutospacing="0"/>
        <w:ind w:left="567" w:hanging="567"/>
        <w:rPr>
          <w:rFonts w:ascii="Arial" w:hAnsi="Arial" w:cs="Arial"/>
          <w:sz w:val="22"/>
          <w:szCs w:val="22"/>
        </w:rPr>
      </w:pPr>
      <w:r w:rsidRPr="009757C4">
        <w:rPr>
          <w:rFonts w:ascii="Arial" w:hAnsi="Arial" w:cs="Arial"/>
          <w:sz w:val="22"/>
          <w:szCs w:val="22"/>
        </w:rPr>
        <w:t>Kamal V. Baker Tilly US, LLP, (2022). Civil File No. 21-1549 (MJD/DTS) (D. Minn. Apr. 7, 2022).</w:t>
      </w:r>
    </w:p>
    <w:p w14:paraId="54673661" w14:textId="77777777" w:rsidR="003B0CBA" w:rsidRPr="009757C4" w:rsidRDefault="003B0CBA" w:rsidP="003B0CBA">
      <w:pPr>
        <w:pStyle w:val="NormalWeb"/>
        <w:spacing w:before="0" w:beforeAutospacing="0" w:after="240" w:afterAutospacing="0"/>
        <w:ind w:left="567" w:hanging="567"/>
        <w:rPr>
          <w:rFonts w:ascii="Arial" w:hAnsi="Arial" w:cs="Arial"/>
          <w:sz w:val="22"/>
          <w:szCs w:val="22"/>
        </w:rPr>
      </w:pPr>
      <w:r w:rsidRPr="009757C4">
        <w:rPr>
          <w:rFonts w:ascii="Arial" w:hAnsi="Arial" w:cs="Arial"/>
          <w:sz w:val="22"/>
          <w:szCs w:val="22"/>
        </w:rPr>
        <w:t xml:space="preserve">Lee R. S. (2011). Corporate Reorganization as Corporate Reinvention: Boarders and Blockbusters in Chapter 11. </w:t>
      </w:r>
      <w:r w:rsidRPr="009757C4">
        <w:rPr>
          <w:rFonts w:ascii="Arial" w:hAnsi="Arial" w:cs="Arial"/>
          <w:i/>
          <w:iCs/>
          <w:sz w:val="22"/>
          <w:szCs w:val="22"/>
        </w:rPr>
        <w:t>Harvard Business Law Review Online</w:t>
      </w:r>
      <w:r w:rsidRPr="009757C4">
        <w:rPr>
          <w:rFonts w:ascii="Arial" w:hAnsi="Arial" w:cs="Arial"/>
          <w:sz w:val="22"/>
          <w:szCs w:val="22"/>
        </w:rPr>
        <w:t>, Vol. 1, No, 53, 2011. Available at SSRN:</w:t>
      </w:r>
    </w:p>
    <w:p w14:paraId="169E0101" w14:textId="77777777" w:rsidR="003B0CBA" w:rsidRPr="009757C4" w:rsidRDefault="003B0CBA" w:rsidP="003B0CBA">
      <w:pPr>
        <w:pStyle w:val="NormalWeb"/>
        <w:spacing w:before="0" w:beforeAutospacing="0" w:after="240" w:afterAutospacing="0"/>
        <w:ind w:left="567" w:hanging="567"/>
        <w:rPr>
          <w:rStyle w:val="Hyperlink"/>
          <w:rFonts w:ascii="Arial" w:hAnsi="Arial" w:cs="Arial"/>
          <w:sz w:val="22"/>
          <w:szCs w:val="22"/>
        </w:rPr>
      </w:pPr>
      <w:r w:rsidRPr="009757C4">
        <w:rPr>
          <w:rFonts w:ascii="Arial" w:hAnsi="Arial" w:cs="Arial"/>
          <w:sz w:val="22"/>
          <w:szCs w:val="22"/>
        </w:rPr>
        <w:t xml:space="preserve">Melinda, C. (2013). General Considerations Concerning the Opening of Insolvency Proceedings of the Administrative-Territorial Units of Romania. Annals of the University of Petroşani. Economics, 13, 55-60. Retrieved on July 23, 2023, from </w:t>
      </w:r>
      <w:hyperlink r:id="rId32" w:history="1">
        <w:r w:rsidRPr="009757C4">
          <w:rPr>
            <w:rStyle w:val="Hyperlink"/>
            <w:rFonts w:ascii="Arial" w:hAnsi="Arial" w:cs="Arial"/>
            <w:sz w:val="22"/>
            <w:szCs w:val="22"/>
          </w:rPr>
          <w:t>https://www.upet.ro/annals/economics/pdf/2013/part1/Cenuse-2.pdf</w:t>
        </w:r>
      </w:hyperlink>
      <w:r w:rsidRPr="009757C4">
        <w:rPr>
          <w:rStyle w:val="Hyperlink"/>
          <w:rFonts w:ascii="Arial" w:hAnsi="Arial" w:cs="Arial"/>
          <w:sz w:val="22"/>
          <w:szCs w:val="22"/>
        </w:rPr>
        <w:t xml:space="preserve">   </w:t>
      </w:r>
    </w:p>
    <w:p w14:paraId="46994E11" w14:textId="77777777" w:rsidR="003B0CBA" w:rsidRPr="009757C4" w:rsidRDefault="003B0CBA" w:rsidP="003B0CBA">
      <w:pPr>
        <w:pStyle w:val="NormalWeb"/>
        <w:spacing w:before="0" w:beforeAutospacing="0" w:after="240" w:afterAutospacing="0"/>
        <w:ind w:left="567" w:hanging="567"/>
        <w:rPr>
          <w:rFonts w:ascii="Arial" w:hAnsi="Arial" w:cs="Arial"/>
          <w:sz w:val="22"/>
          <w:szCs w:val="22"/>
        </w:rPr>
      </w:pPr>
      <w:r w:rsidRPr="009757C4">
        <w:rPr>
          <w:rFonts w:ascii="Arial" w:hAnsi="Arial" w:cs="Arial"/>
          <w:sz w:val="22"/>
          <w:szCs w:val="22"/>
        </w:rPr>
        <w:t xml:space="preserve">Mellahi, K., &amp; Wilkinson, A. (2004). Organizational failure: a critique of recent research and a proposed integrative framework. </w:t>
      </w:r>
      <w:r w:rsidRPr="009757C4">
        <w:rPr>
          <w:rFonts w:ascii="Arial" w:hAnsi="Arial" w:cs="Arial"/>
          <w:i/>
          <w:iCs/>
          <w:sz w:val="22"/>
          <w:szCs w:val="22"/>
        </w:rPr>
        <w:t>International Journal of Management Reviews</w:t>
      </w:r>
      <w:r w:rsidRPr="009757C4">
        <w:rPr>
          <w:rFonts w:ascii="Arial" w:hAnsi="Arial" w:cs="Arial"/>
          <w:sz w:val="22"/>
          <w:szCs w:val="22"/>
        </w:rPr>
        <w:t>, 5(1), 21-41.</w:t>
      </w:r>
    </w:p>
    <w:p w14:paraId="0254BFB1" w14:textId="77777777" w:rsidR="003B0CBA" w:rsidRPr="009757C4" w:rsidRDefault="003B0CBA" w:rsidP="003B0CBA">
      <w:pPr>
        <w:pStyle w:val="NormalWeb"/>
        <w:spacing w:before="0" w:beforeAutospacing="0" w:after="240" w:afterAutospacing="0"/>
        <w:ind w:left="567" w:hanging="567"/>
        <w:rPr>
          <w:rFonts w:ascii="Arial" w:hAnsi="Arial" w:cs="Arial"/>
          <w:sz w:val="22"/>
          <w:szCs w:val="22"/>
        </w:rPr>
      </w:pPr>
      <w:r w:rsidRPr="009757C4">
        <w:rPr>
          <w:rFonts w:ascii="Arial" w:hAnsi="Arial" w:cs="Arial"/>
          <w:sz w:val="22"/>
          <w:szCs w:val="22"/>
        </w:rPr>
        <w:t>Millennium Lab Holdings (2019). In re Millennium Lab Holdings II, LLC, 945 F.3d 126 (3d Cir. 2019).</w:t>
      </w:r>
    </w:p>
    <w:p w14:paraId="084A90CB" w14:textId="77777777" w:rsidR="003B0CBA" w:rsidRPr="009757C4" w:rsidRDefault="003B0CBA" w:rsidP="003B0CBA">
      <w:pPr>
        <w:pStyle w:val="NormalWeb"/>
        <w:spacing w:before="0" w:beforeAutospacing="0" w:after="240" w:afterAutospacing="0"/>
        <w:ind w:left="567" w:hanging="567"/>
        <w:rPr>
          <w:rStyle w:val="Hyperlink"/>
          <w:rFonts w:ascii="Arial" w:hAnsi="Arial" w:cs="Arial"/>
          <w:sz w:val="22"/>
          <w:szCs w:val="22"/>
        </w:rPr>
      </w:pPr>
      <w:r w:rsidRPr="009757C4">
        <w:rPr>
          <w:rFonts w:ascii="Arial" w:hAnsi="Arial" w:cs="Arial"/>
          <w:sz w:val="22"/>
          <w:szCs w:val="22"/>
        </w:rPr>
        <w:t xml:space="preserve">Payne, J. (2018). Debt restructuring in the UK. European Company and Financial Law Review, 15(3), 449-471. Retrieved June 22, 2023 from </w:t>
      </w:r>
      <w:hyperlink r:id="rId33" w:history="1">
        <w:r w:rsidRPr="009757C4">
          <w:rPr>
            <w:rStyle w:val="Hyperlink"/>
            <w:rFonts w:ascii="Arial" w:hAnsi="Arial" w:cs="Arial"/>
            <w:sz w:val="22"/>
            <w:szCs w:val="22"/>
          </w:rPr>
          <w:t>https://ora.ox.ac.uk/objects/uuid:a14466df-9291-480d-af11-822a562910a3/download_file?file_format=application%2Fpdf&amp;safe_filename=Debt%2Brestructuring%2Bin%2Bthe%2BUK%2BSeptember%2B2018.pdf&amp;type_of_work=Journal+article</w:t>
        </w:r>
      </w:hyperlink>
      <w:r w:rsidRPr="009757C4">
        <w:rPr>
          <w:rStyle w:val="Hyperlink"/>
          <w:rFonts w:ascii="Arial" w:hAnsi="Arial" w:cs="Arial"/>
          <w:sz w:val="22"/>
          <w:szCs w:val="22"/>
        </w:rPr>
        <w:t xml:space="preserve">   </w:t>
      </w:r>
    </w:p>
    <w:p w14:paraId="2FA164A9" w14:textId="77777777" w:rsidR="003B0CBA" w:rsidRPr="009757C4" w:rsidRDefault="003B0CBA" w:rsidP="003B0CBA">
      <w:pPr>
        <w:pStyle w:val="NormalWeb"/>
        <w:spacing w:before="0" w:beforeAutospacing="0" w:after="240" w:afterAutospacing="0"/>
        <w:ind w:left="567" w:hanging="567"/>
        <w:rPr>
          <w:rStyle w:val="Hyperlink"/>
          <w:rFonts w:ascii="Arial" w:hAnsi="Arial" w:cs="Arial"/>
          <w:sz w:val="22"/>
          <w:szCs w:val="22"/>
        </w:rPr>
      </w:pPr>
      <w:r w:rsidRPr="009757C4">
        <w:rPr>
          <w:rFonts w:ascii="Arial" w:hAnsi="Arial" w:cs="Arial"/>
          <w:sz w:val="22"/>
          <w:szCs w:val="22"/>
        </w:rPr>
        <w:t xml:space="preserve">Payne, J. (2018). Debt restructuring in the UK. European Company and Financial Law Review, 15(3), 449-471. Retrieved on June 22, 2023, from </w:t>
      </w:r>
      <w:hyperlink r:id="rId34" w:history="1">
        <w:r w:rsidRPr="009757C4">
          <w:rPr>
            <w:rStyle w:val="Hyperlink"/>
            <w:rFonts w:ascii="Arial" w:hAnsi="Arial" w:cs="Arial"/>
            <w:sz w:val="22"/>
            <w:szCs w:val="22"/>
          </w:rPr>
          <w:t>https://ora.ox.ac.uk/objects/uuid:a14466df-9291-480d-af11-822a562910a3/download_file?file_format=application%2Fpdf&amp;safe_filename=Debt%2Brestructuring%2Bin%2Bthe%2BUK%2BSeptember%2B2018.pdf&amp;type_of_work=Journal+article</w:t>
        </w:r>
      </w:hyperlink>
      <w:r w:rsidRPr="009757C4">
        <w:rPr>
          <w:rStyle w:val="Hyperlink"/>
          <w:rFonts w:ascii="Arial" w:hAnsi="Arial" w:cs="Arial"/>
          <w:sz w:val="22"/>
          <w:szCs w:val="22"/>
        </w:rPr>
        <w:t xml:space="preserve"> </w:t>
      </w:r>
    </w:p>
    <w:p w14:paraId="5D9F789B" w14:textId="77777777" w:rsidR="003B0CBA" w:rsidRPr="009757C4" w:rsidRDefault="003B0CBA" w:rsidP="003B0CBA">
      <w:pPr>
        <w:pStyle w:val="NormalWeb"/>
        <w:spacing w:before="0" w:beforeAutospacing="0" w:after="240" w:afterAutospacing="0"/>
        <w:ind w:left="567" w:hanging="567"/>
        <w:rPr>
          <w:rStyle w:val="Hyperlink"/>
          <w:rFonts w:ascii="Arial" w:hAnsi="Arial" w:cs="Arial"/>
          <w:sz w:val="22"/>
          <w:szCs w:val="22"/>
        </w:rPr>
      </w:pPr>
      <w:bookmarkStart w:id="29" w:name="_Hlk141089404"/>
      <w:r w:rsidRPr="009757C4">
        <w:rPr>
          <w:rFonts w:ascii="Arial" w:hAnsi="Arial" w:cs="Arial"/>
          <w:sz w:val="22"/>
          <w:szCs w:val="22"/>
        </w:rPr>
        <w:t xml:space="preserve">Skeel Jr, D. A. (2009). Competing Narratives in Corporate Bankruptcy: Debtor in Control vs. No Time to Spare.Mich. St. L. Rev., 1187. Retrieved July 23, 2023, from </w:t>
      </w:r>
      <w:hyperlink r:id="rId35" w:history="1">
        <w:r w:rsidRPr="009757C4">
          <w:rPr>
            <w:rStyle w:val="Hyperlink"/>
            <w:rFonts w:ascii="Arial" w:hAnsi="Arial" w:cs="Arial"/>
            <w:sz w:val="22"/>
            <w:szCs w:val="22"/>
          </w:rPr>
          <w:t>https://scholarship.law.upenn.edu/cgi/viewcontent.cgi?article=1327&amp;context=faculty_scholarship</w:t>
        </w:r>
      </w:hyperlink>
      <w:bookmarkEnd w:id="29"/>
      <w:r w:rsidRPr="009757C4">
        <w:rPr>
          <w:rStyle w:val="Hyperlink"/>
          <w:rFonts w:ascii="Arial" w:hAnsi="Arial" w:cs="Arial"/>
          <w:sz w:val="22"/>
          <w:szCs w:val="22"/>
        </w:rPr>
        <w:t xml:space="preserve"> </w:t>
      </w:r>
    </w:p>
    <w:p w14:paraId="49E2BF5E" w14:textId="694DEC1E" w:rsidR="003B0CBA" w:rsidRPr="009757C4" w:rsidRDefault="003B0CBA" w:rsidP="003B0CBA">
      <w:pPr>
        <w:pStyle w:val="NormalWeb"/>
        <w:spacing w:before="0" w:beforeAutospacing="0" w:after="240" w:afterAutospacing="0"/>
        <w:ind w:left="567" w:hanging="567"/>
        <w:rPr>
          <w:rFonts w:ascii="Arial" w:hAnsi="Arial" w:cs="Arial"/>
          <w:sz w:val="22"/>
          <w:szCs w:val="22"/>
        </w:rPr>
      </w:pPr>
      <w:r w:rsidRPr="009757C4">
        <w:rPr>
          <w:rFonts w:ascii="Arial" w:hAnsi="Arial" w:cs="Arial"/>
          <w:sz w:val="22"/>
          <w:szCs w:val="22"/>
        </w:rPr>
        <w:t>Sunergy California LLC v. Official Committee of Unsecured Creditors (2021). No. 2: 21-cv-01429-JAM (E.D. Cal. Oct</w:t>
      </w:r>
      <w:r w:rsidR="000507A8">
        <w:rPr>
          <w:rFonts w:ascii="Arial" w:hAnsi="Arial" w:cs="Arial"/>
          <w:sz w:val="22"/>
          <w:szCs w:val="22"/>
        </w:rPr>
        <w:t>ober</w:t>
      </w:r>
      <w:r w:rsidRPr="009757C4">
        <w:rPr>
          <w:rFonts w:ascii="Arial" w:hAnsi="Arial" w:cs="Arial"/>
          <w:sz w:val="22"/>
          <w:szCs w:val="22"/>
        </w:rPr>
        <w:t xml:space="preserve"> 28, 2021).</w:t>
      </w:r>
    </w:p>
    <w:p w14:paraId="1AD44E45" w14:textId="77777777" w:rsidR="003B0CBA" w:rsidRPr="009757C4" w:rsidRDefault="003B0CBA" w:rsidP="003B0CBA">
      <w:pPr>
        <w:pStyle w:val="NormalWeb"/>
        <w:spacing w:before="0" w:beforeAutospacing="0" w:after="240" w:afterAutospacing="0"/>
        <w:ind w:left="567" w:hanging="567"/>
        <w:rPr>
          <w:rStyle w:val="Hyperlink"/>
          <w:rFonts w:ascii="Arial" w:hAnsi="Arial" w:cs="Arial"/>
          <w:sz w:val="22"/>
          <w:szCs w:val="22"/>
        </w:rPr>
      </w:pPr>
      <w:bookmarkStart w:id="30" w:name="_Hlk131335828"/>
      <w:r w:rsidRPr="009757C4">
        <w:rPr>
          <w:rFonts w:ascii="Arial" w:hAnsi="Arial" w:cs="Arial"/>
          <w:sz w:val="22"/>
          <w:szCs w:val="22"/>
        </w:rPr>
        <w:t xml:space="preserve">Vidović, I. (2017). </w:t>
      </w:r>
      <w:bookmarkEnd w:id="30"/>
      <w:r w:rsidRPr="009757C4">
        <w:rPr>
          <w:rFonts w:ascii="Arial" w:hAnsi="Arial" w:cs="Arial"/>
          <w:sz w:val="22"/>
          <w:szCs w:val="22"/>
        </w:rPr>
        <w:t xml:space="preserve">Out-Of-Court Debt Restructuring Versus Pre-Insolvency Proceedings: Two Sides Of The Same Coin? Retrieved from </w:t>
      </w:r>
      <w:hyperlink r:id="rId36" w:history="1">
        <w:r w:rsidRPr="009757C4">
          <w:rPr>
            <w:rStyle w:val="Hyperlink"/>
            <w:rFonts w:ascii="Arial" w:hAnsi="Arial" w:cs="Arial"/>
            <w:sz w:val="22"/>
            <w:szCs w:val="22"/>
          </w:rPr>
          <w:t>https://scholar.google.com/scholar?hl=en&amp;as_sdt=0%2C10&amp;q=Vidovi%C4%87%2C+I.+%282017%29.+Out-Of-Court+Debt+Restructuring+Versus+Pre-Insolvency+Proceedings%3A+Two+Sides+Of+The+Same+Coin%3F&amp;btnG=</w:t>
        </w:r>
      </w:hyperlink>
    </w:p>
    <w:p w14:paraId="5DCB6DBA" w14:textId="77777777" w:rsidR="003B0CBA" w:rsidRPr="009757C4" w:rsidRDefault="003B0CBA" w:rsidP="003B0CBA">
      <w:pPr>
        <w:pStyle w:val="NormalWeb"/>
        <w:spacing w:before="0" w:beforeAutospacing="0" w:after="240" w:afterAutospacing="0"/>
        <w:ind w:left="567" w:hanging="567"/>
        <w:rPr>
          <w:rStyle w:val="Hyperlink"/>
          <w:rFonts w:ascii="Arial" w:hAnsi="Arial" w:cs="Arial"/>
          <w:sz w:val="22"/>
          <w:szCs w:val="22"/>
        </w:rPr>
      </w:pPr>
      <w:bookmarkStart w:id="31" w:name="_Hlk140758611"/>
      <w:r w:rsidRPr="009757C4">
        <w:rPr>
          <w:rFonts w:ascii="Arial" w:hAnsi="Arial" w:cs="Arial"/>
          <w:sz w:val="22"/>
          <w:szCs w:val="22"/>
        </w:rPr>
        <w:t xml:space="preserve">Volberda, H. (2021). Crises, Creditors and Cramdowns: An evaluation of the protection of minority creditors under the WHOA in light of Directive (EU) 2019/1023. Utrecht Law. Review., 17, 65. </w:t>
      </w:r>
      <w:r w:rsidRPr="009757C4">
        <w:rPr>
          <w:rStyle w:val="Hyperlink"/>
          <w:rFonts w:ascii="Arial" w:hAnsi="Arial" w:cs="Arial"/>
          <w:sz w:val="22"/>
          <w:szCs w:val="22"/>
        </w:rPr>
        <w:t>https://doi.org/10.36633/ulr.638</w:t>
      </w:r>
    </w:p>
    <w:p w14:paraId="603D6F68" w14:textId="77777777" w:rsidR="003B0CBA" w:rsidRPr="009757C4" w:rsidRDefault="003B0CBA" w:rsidP="003B0CBA">
      <w:pPr>
        <w:pStyle w:val="NormalWeb"/>
        <w:spacing w:before="0" w:beforeAutospacing="0" w:after="240" w:afterAutospacing="0"/>
        <w:ind w:left="567" w:hanging="567"/>
        <w:rPr>
          <w:rFonts w:ascii="Arial" w:hAnsi="Arial" w:cs="Arial"/>
          <w:sz w:val="22"/>
          <w:szCs w:val="22"/>
        </w:rPr>
      </w:pPr>
      <w:bookmarkStart w:id="32" w:name="_Hlk141090959"/>
      <w:bookmarkEnd w:id="31"/>
      <w:r w:rsidRPr="009757C4">
        <w:rPr>
          <w:rFonts w:ascii="Arial" w:hAnsi="Arial" w:cs="Arial"/>
          <w:sz w:val="22"/>
          <w:szCs w:val="22"/>
        </w:rPr>
        <w:t xml:space="preserve">Wessels, B., Kokorin, I. (2023). The European Insolvency Regulations. INSOL. </w:t>
      </w:r>
      <w:bookmarkEnd w:id="32"/>
    </w:p>
    <w:p w14:paraId="755D1B49" w14:textId="77777777" w:rsidR="000209E8" w:rsidRPr="000209E8" w:rsidRDefault="000209E8" w:rsidP="000209E8">
      <w:pPr>
        <w:jc w:val="both"/>
        <w:rPr>
          <w:rFonts w:ascii="Arial" w:hAnsi="Arial" w:cs="Arial"/>
        </w:rPr>
      </w:pPr>
    </w:p>
    <w:sectPr w:rsidR="000209E8" w:rsidRPr="000209E8" w:rsidSect="000209E8">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85F8" w14:textId="77777777" w:rsidR="00D27323" w:rsidRDefault="00D27323" w:rsidP="005D13E6">
      <w:pPr>
        <w:spacing w:after="0" w:line="240" w:lineRule="auto"/>
      </w:pPr>
      <w:r>
        <w:separator/>
      </w:r>
    </w:p>
  </w:endnote>
  <w:endnote w:type="continuationSeparator" w:id="0">
    <w:p w14:paraId="223F4FE2" w14:textId="77777777" w:rsidR="00D27323" w:rsidRDefault="00D27323" w:rsidP="005D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G Rebecca">
    <w:altName w:val="Calibri"/>
    <w:panose1 w:val="02000503080000020004"/>
    <w:charset w:val="00"/>
    <w:family w:val="auto"/>
    <w:pitch w:val="variable"/>
    <w:sig w:usb0="8000002F"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136A" w14:textId="35B88976" w:rsidR="00132D71" w:rsidRDefault="00132D71">
    <w:pPr>
      <w:pStyle w:val="Footer"/>
      <w:jc w:val="center"/>
    </w:pPr>
  </w:p>
  <w:p w14:paraId="0659F262" w14:textId="77777777" w:rsidR="00132D71" w:rsidRDefault="00132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060201"/>
      <w:docPartObj>
        <w:docPartGallery w:val="Page Numbers (Bottom of Page)"/>
        <w:docPartUnique/>
      </w:docPartObj>
    </w:sdtPr>
    <w:sdtEndPr>
      <w:rPr>
        <w:noProof/>
      </w:rPr>
    </w:sdtEndPr>
    <w:sdtContent>
      <w:p w14:paraId="3BA21728" w14:textId="1E33BBC2" w:rsidR="00132D71" w:rsidRDefault="00132D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18FFA" w14:textId="77777777" w:rsidR="00132D71" w:rsidRDefault="00132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E094C" w14:textId="77777777" w:rsidR="00D27323" w:rsidRDefault="00D27323" w:rsidP="005D13E6">
      <w:pPr>
        <w:spacing w:after="0" w:line="240" w:lineRule="auto"/>
      </w:pPr>
      <w:r>
        <w:separator/>
      </w:r>
    </w:p>
  </w:footnote>
  <w:footnote w:type="continuationSeparator" w:id="0">
    <w:p w14:paraId="2920AF23" w14:textId="77777777" w:rsidR="00D27323" w:rsidRDefault="00D27323" w:rsidP="005D13E6">
      <w:pPr>
        <w:spacing w:after="0" w:line="240" w:lineRule="auto"/>
      </w:pPr>
      <w:r>
        <w:continuationSeparator/>
      </w:r>
    </w:p>
  </w:footnote>
  <w:footnote w:id="1">
    <w:p w14:paraId="59867C62" w14:textId="72F2AB1F" w:rsidR="00E94C00" w:rsidRPr="00E94C00" w:rsidRDefault="00E94C00" w:rsidP="00E94C00">
      <w:pPr>
        <w:pStyle w:val="comp"/>
        <w:shd w:val="clear" w:color="auto" w:fill="FFFFFF"/>
        <w:spacing w:before="0" w:beforeAutospacing="0" w:after="0" w:afterAutospacing="0"/>
        <w:jc w:val="both"/>
        <w:rPr>
          <w:rFonts w:ascii="Arial" w:hAnsi="Arial" w:cs="Arial"/>
          <w:color w:val="111111"/>
          <w:spacing w:val="1"/>
          <w:sz w:val="18"/>
          <w:szCs w:val="18"/>
        </w:rPr>
      </w:pPr>
      <w:r>
        <w:rPr>
          <w:rStyle w:val="FootnoteReference"/>
        </w:rPr>
        <w:footnoteRef/>
      </w:r>
      <w:r>
        <w:t xml:space="preserve"> </w:t>
      </w:r>
      <w:r w:rsidRPr="006629FF">
        <w:rPr>
          <w:rFonts w:ascii="Arial" w:hAnsi="Arial" w:cs="Arial"/>
          <w:color w:val="111111"/>
          <w:spacing w:val="1"/>
          <w:sz w:val="18"/>
          <w:szCs w:val="18"/>
        </w:rPr>
        <w:t>According to S</w:t>
      </w:r>
      <w:r>
        <w:rPr>
          <w:rFonts w:ascii="Arial" w:hAnsi="Arial" w:cs="Arial"/>
          <w:color w:val="111111"/>
          <w:spacing w:val="1"/>
          <w:sz w:val="18"/>
          <w:szCs w:val="18"/>
        </w:rPr>
        <w:t>k</w:t>
      </w:r>
      <w:r w:rsidRPr="006629FF">
        <w:rPr>
          <w:rFonts w:ascii="Arial" w:hAnsi="Arial" w:cs="Arial"/>
          <w:color w:val="111111"/>
          <w:spacing w:val="1"/>
          <w:sz w:val="18"/>
          <w:szCs w:val="18"/>
        </w:rPr>
        <w:t>e</w:t>
      </w:r>
      <w:r>
        <w:rPr>
          <w:rFonts w:ascii="Arial" w:hAnsi="Arial" w:cs="Arial"/>
          <w:color w:val="111111"/>
          <w:spacing w:val="1"/>
          <w:sz w:val="18"/>
          <w:szCs w:val="18"/>
        </w:rPr>
        <w:t>e</w:t>
      </w:r>
      <w:r w:rsidRPr="006629FF">
        <w:rPr>
          <w:rFonts w:ascii="Arial" w:hAnsi="Arial" w:cs="Arial"/>
          <w:color w:val="111111"/>
          <w:spacing w:val="1"/>
          <w:sz w:val="18"/>
          <w:szCs w:val="18"/>
        </w:rPr>
        <w:t>l, (2009), if you read a contract or corporate law decision, you will be able to see the written story of how the parties got into the position they are in. It is important to keep this in mind when developing a solution to their particular issues.</w:t>
      </w:r>
      <w:r>
        <w:rPr>
          <w:rFonts w:ascii="Arial" w:hAnsi="Arial" w:cs="Arial"/>
          <w:color w:val="111111"/>
          <w:spacing w:val="1"/>
          <w:sz w:val="18"/>
          <w:szCs w:val="18"/>
        </w:rPr>
        <w:t xml:space="preserve"> </w:t>
      </w:r>
      <w:r w:rsidRPr="00E94C00">
        <w:rPr>
          <w:rFonts w:ascii="Arial" w:hAnsi="Arial" w:cs="Arial"/>
          <w:sz w:val="18"/>
          <w:szCs w:val="18"/>
        </w:rPr>
        <w:t xml:space="preserve">See </w:t>
      </w:r>
      <w:r w:rsidRPr="00E94C00">
        <w:rPr>
          <w:rFonts w:ascii="Arial" w:hAnsi="Arial" w:cs="Arial"/>
          <w:color w:val="222222"/>
          <w:sz w:val="18"/>
          <w:szCs w:val="18"/>
          <w:shd w:val="clear" w:color="auto" w:fill="FFFFFF"/>
        </w:rPr>
        <w:t>Skeel Jr, D. A. (2009). Competing Narratives in Corporate Bankruptcy: Debtor in Control vs. No Time to Spare.</w:t>
      </w:r>
      <w:r>
        <w:rPr>
          <w:rFonts w:ascii="Arial" w:hAnsi="Arial" w:cs="Arial"/>
          <w:color w:val="222222"/>
          <w:sz w:val="18"/>
          <w:szCs w:val="18"/>
          <w:shd w:val="clear" w:color="auto" w:fill="FFFFFF"/>
        </w:rPr>
        <w:t xml:space="preserve"> </w:t>
      </w:r>
      <w:r w:rsidRPr="00E94C00">
        <w:rPr>
          <w:rFonts w:ascii="Arial" w:hAnsi="Arial" w:cs="Arial"/>
          <w:i/>
          <w:iCs/>
          <w:color w:val="222222"/>
          <w:sz w:val="18"/>
          <w:szCs w:val="18"/>
          <w:shd w:val="clear" w:color="auto" w:fill="FFFFFF"/>
        </w:rPr>
        <w:t>Mich. S</w:t>
      </w:r>
      <w:r w:rsidR="00153E89">
        <w:rPr>
          <w:rFonts w:ascii="Arial" w:hAnsi="Arial" w:cs="Arial"/>
          <w:i/>
          <w:iCs/>
          <w:color w:val="222222"/>
          <w:sz w:val="18"/>
          <w:szCs w:val="18"/>
          <w:shd w:val="clear" w:color="auto" w:fill="FFFFFF"/>
        </w:rPr>
        <w:t>t</w:t>
      </w:r>
      <w:r>
        <w:rPr>
          <w:rFonts w:ascii="Arial" w:hAnsi="Arial" w:cs="Arial"/>
          <w:i/>
          <w:iCs/>
          <w:color w:val="222222"/>
          <w:sz w:val="18"/>
          <w:szCs w:val="18"/>
          <w:shd w:val="clear" w:color="auto" w:fill="FFFFFF"/>
        </w:rPr>
        <w:t>a</w:t>
      </w:r>
      <w:r w:rsidRPr="00E94C00">
        <w:rPr>
          <w:rFonts w:ascii="Arial" w:hAnsi="Arial" w:cs="Arial"/>
          <w:i/>
          <w:iCs/>
          <w:color w:val="222222"/>
          <w:sz w:val="18"/>
          <w:szCs w:val="18"/>
          <w:shd w:val="clear" w:color="auto" w:fill="FFFFFF"/>
        </w:rPr>
        <w:t>t</w:t>
      </w:r>
      <w:r>
        <w:rPr>
          <w:rFonts w:ascii="Arial" w:hAnsi="Arial" w:cs="Arial"/>
          <w:i/>
          <w:iCs/>
          <w:color w:val="222222"/>
          <w:sz w:val="18"/>
          <w:szCs w:val="18"/>
          <w:shd w:val="clear" w:color="auto" w:fill="FFFFFF"/>
        </w:rPr>
        <w:t>e</w:t>
      </w:r>
      <w:r w:rsidRPr="00E94C00">
        <w:rPr>
          <w:rFonts w:ascii="Arial" w:hAnsi="Arial" w:cs="Arial"/>
          <w:i/>
          <w:iCs/>
          <w:color w:val="222222"/>
          <w:sz w:val="18"/>
          <w:szCs w:val="18"/>
          <w:shd w:val="clear" w:color="auto" w:fill="FFFFFF"/>
        </w:rPr>
        <w:t xml:space="preserve"> L</w:t>
      </w:r>
      <w:r>
        <w:rPr>
          <w:rFonts w:ascii="Arial" w:hAnsi="Arial" w:cs="Arial"/>
          <w:i/>
          <w:iCs/>
          <w:color w:val="222222"/>
          <w:sz w:val="18"/>
          <w:szCs w:val="18"/>
          <w:shd w:val="clear" w:color="auto" w:fill="FFFFFF"/>
        </w:rPr>
        <w:t>aw</w:t>
      </w:r>
      <w:r w:rsidRPr="00E94C00">
        <w:rPr>
          <w:rFonts w:ascii="Arial" w:hAnsi="Arial" w:cs="Arial"/>
          <w:i/>
          <w:iCs/>
          <w:color w:val="222222"/>
          <w:sz w:val="18"/>
          <w:szCs w:val="18"/>
          <w:shd w:val="clear" w:color="auto" w:fill="FFFFFF"/>
        </w:rPr>
        <w:t xml:space="preserve"> Rev</w:t>
      </w:r>
      <w:r>
        <w:rPr>
          <w:rFonts w:ascii="Arial" w:hAnsi="Arial" w:cs="Arial"/>
          <w:i/>
          <w:iCs/>
          <w:color w:val="222222"/>
          <w:sz w:val="18"/>
          <w:szCs w:val="18"/>
          <w:shd w:val="clear" w:color="auto" w:fill="FFFFFF"/>
        </w:rPr>
        <w:t>iew</w:t>
      </w:r>
      <w:r w:rsidRPr="00E94C00">
        <w:rPr>
          <w:rFonts w:ascii="Arial" w:hAnsi="Arial" w:cs="Arial"/>
          <w:color w:val="222222"/>
          <w:sz w:val="18"/>
          <w:szCs w:val="18"/>
          <w:shd w:val="clear" w:color="auto" w:fill="FFFFFF"/>
        </w:rPr>
        <w:t xml:space="preserve">, 1187. Retrieved July 23, 2023, from </w:t>
      </w:r>
      <w:hyperlink r:id="rId1" w:history="1">
        <w:r w:rsidRPr="00E94C00">
          <w:rPr>
            <w:rStyle w:val="Hyperlink"/>
            <w:rFonts w:ascii="Arial" w:hAnsi="Arial" w:cs="Arial"/>
            <w:sz w:val="18"/>
            <w:szCs w:val="18"/>
            <w:shd w:val="clear" w:color="auto" w:fill="FFFFFF"/>
          </w:rPr>
          <w:t>https://scholarship.law.upenn.edu/cgi/viewcontent.cgi?article=1327&amp;context=faculty_scholarship</w:t>
        </w:r>
      </w:hyperlink>
    </w:p>
  </w:footnote>
  <w:footnote w:id="2">
    <w:p w14:paraId="4CD220DC" w14:textId="103AF642" w:rsidR="003E7F24" w:rsidRPr="003E7F24" w:rsidRDefault="003E7F24">
      <w:pPr>
        <w:pStyle w:val="FootnoteText"/>
        <w:rPr>
          <w:rFonts w:ascii="Arial" w:hAnsi="Arial" w:cs="Arial"/>
          <w:sz w:val="18"/>
          <w:szCs w:val="18"/>
        </w:rPr>
      </w:pPr>
      <w:r>
        <w:rPr>
          <w:rStyle w:val="FootnoteReference"/>
        </w:rPr>
        <w:footnoteRef/>
      </w:r>
      <w:r>
        <w:t xml:space="preserve"> </w:t>
      </w:r>
      <w:r w:rsidRPr="003E7F24">
        <w:rPr>
          <w:rFonts w:ascii="Arial" w:hAnsi="Arial" w:cs="Arial"/>
          <w:sz w:val="18"/>
          <w:szCs w:val="18"/>
        </w:rPr>
        <w:t>At</w:t>
      </w:r>
      <w:r>
        <w:rPr>
          <w:rFonts w:ascii="Arial" w:hAnsi="Arial" w:cs="Arial"/>
          <w:sz w:val="18"/>
          <w:szCs w:val="18"/>
        </w:rPr>
        <w:t xml:space="preserve"> times, by flowing funds, it is easy to tell the story of a reorganization process. The diagram is not a flow of time, merely a fund flow from the origin to the relevant entities.</w:t>
      </w:r>
      <w:r w:rsidR="00611C55">
        <w:rPr>
          <w:rFonts w:ascii="Arial" w:hAnsi="Arial" w:cs="Arial"/>
          <w:sz w:val="18"/>
          <w:szCs w:val="18"/>
        </w:rPr>
        <w:t xml:space="preserve"> According to Doti (2007), “A flowchart approach </w:t>
      </w:r>
      <w:r w:rsidR="00B833E5">
        <w:rPr>
          <w:rFonts w:ascii="Arial" w:hAnsi="Arial" w:cs="Arial"/>
          <w:sz w:val="18"/>
          <w:szCs w:val="18"/>
        </w:rPr>
        <w:t>helps</w:t>
      </w:r>
      <w:r w:rsidR="00611C55">
        <w:rPr>
          <w:rFonts w:ascii="Arial" w:hAnsi="Arial" w:cs="Arial"/>
          <w:sz w:val="18"/>
          <w:szCs w:val="18"/>
        </w:rPr>
        <w:t xml:space="preserve"> to sort out the varying rules in an organized way.” (p-vi)</w:t>
      </w:r>
    </w:p>
  </w:footnote>
  <w:footnote w:id="3">
    <w:p w14:paraId="3CFF4BF4" w14:textId="77777777" w:rsidR="0074754B" w:rsidRPr="009C4149" w:rsidRDefault="0074754B" w:rsidP="00C65030">
      <w:pPr>
        <w:spacing w:after="0" w:line="240" w:lineRule="auto"/>
        <w:ind w:left="567" w:hanging="567"/>
        <w:rPr>
          <w:rFonts w:ascii="Arial" w:hAnsi="Arial" w:cs="Arial"/>
          <w:color w:val="222222"/>
          <w:sz w:val="18"/>
          <w:szCs w:val="18"/>
          <w:shd w:val="clear" w:color="auto" w:fill="FFFFFF"/>
        </w:rPr>
      </w:pPr>
      <w:r>
        <w:rPr>
          <w:rStyle w:val="FootnoteReference"/>
        </w:rPr>
        <w:footnoteRef/>
      </w:r>
      <w:r>
        <w:t xml:space="preserve"> </w:t>
      </w:r>
      <w:r w:rsidRPr="009C4149">
        <w:rPr>
          <w:rFonts w:ascii="Arial" w:hAnsi="Arial" w:cs="Arial"/>
          <w:color w:val="222222"/>
          <w:sz w:val="18"/>
          <w:szCs w:val="18"/>
          <w:shd w:val="clear" w:color="auto" w:fill="FFFFFF"/>
        </w:rPr>
        <w:t xml:space="preserve">Wessels, B., Kokorin, I. (2023). The European Insolvency Regulations. </w:t>
      </w:r>
      <w:r w:rsidRPr="009C4149">
        <w:rPr>
          <w:rFonts w:ascii="Arial" w:hAnsi="Arial" w:cs="Arial"/>
          <w:i/>
          <w:iCs/>
          <w:color w:val="222222"/>
          <w:sz w:val="18"/>
          <w:szCs w:val="18"/>
          <w:shd w:val="clear" w:color="auto" w:fill="FFFFFF"/>
        </w:rPr>
        <w:t>INSOL.</w:t>
      </w:r>
      <w:r w:rsidRPr="009C4149">
        <w:rPr>
          <w:rFonts w:ascii="Arial" w:hAnsi="Arial" w:cs="Arial"/>
          <w:color w:val="222222"/>
          <w:sz w:val="18"/>
          <w:szCs w:val="18"/>
          <w:shd w:val="clear" w:color="auto" w:fill="FFFFFF"/>
        </w:rPr>
        <w:t xml:space="preserve"> </w:t>
      </w:r>
    </w:p>
    <w:p w14:paraId="646B25C5" w14:textId="2911A8E2" w:rsidR="0074754B" w:rsidRPr="0074754B" w:rsidRDefault="0074754B" w:rsidP="00C65030">
      <w:pPr>
        <w:pStyle w:val="FootnoteText"/>
        <w:rPr>
          <w:sz w:val="2"/>
          <w:szCs w:val="2"/>
        </w:rPr>
      </w:pPr>
    </w:p>
  </w:footnote>
  <w:footnote w:id="4">
    <w:p w14:paraId="56BAB064" w14:textId="77777777" w:rsidR="007E209C" w:rsidRPr="007E209C" w:rsidRDefault="007E209C" w:rsidP="00C65030">
      <w:pPr>
        <w:spacing w:after="0" w:line="240" w:lineRule="auto"/>
        <w:jc w:val="both"/>
        <w:rPr>
          <w:rFonts w:ascii="Arial" w:hAnsi="Arial" w:cs="Arial"/>
          <w:sz w:val="18"/>
          <w:szCs w:val="18"/>
        </w:rPr>
      </w:pPr>
      <w:r>
        <w:rPr>
          <w:rStyle w:val="FootnoteReference"/>
        </w:rPr>
        <w:footnoteRef/>
      </w:r>
      <w:r>
        <w:t xml:space="preserve"> </w:t>
      </w:r>
      <w:r w:rsidRPr="007E209C">
        <w:rPr>
          <w:rFonts w:ascii="Arial" w:hAnsi="Arial" w:cs="Arial"/>
          <w:sz w:val="18"/>
          <w:szCs w:val="18"/>
        </w:rPr>
        <w:t>Mellahi &amp; Wilkinson (2004) identified various symptoms of organizational failure, including negative profitability, shrinking financial resources, dwindling market, a loss of legitimacy, and decreased market share value. Muñoz-Izquierdo et al. (2019) described business failure manifestation includes when a company files for insolvency proceedings or seeks to renegotiate outstanding amounts with creditors. These actions indicate that the firm is financially distressed, insolvent, and may not have the liquidity to meet its day-to-day expenses.</w:t>
      </w:r>
    </w:p>
    <w:p w14:paraId="7A9F09FF" w14:textId="530DC977" w:rsidR="007E209C" w:rsidRPr="007E209C" w:rsidRDefault="007E209C" w:rsidP="0074754B">
      <w:pPr>
        <w:pStyle w:val="FootnoteText"/>
        <w:jc w:val="both"/>
        <w:rPr>
          <w:sz w:val="2"/>
          <w:szCs w:val="2"/>
        </w:rPr>
      </w:pPr>
    </w:p>
  </w:footnote>
  <w:footnote w:id="5">
    <w:p w14:paraId="3EDA6AAB" w14:textId="7BC97408" w:rsidR="0006580F" w:rsidRDefault="0006580F">
      <w:pPr>
        <w:pStyle w:val="FootnoteText"/>
      </w:pPr>
      <w:r>
        <w:rPr>
          <w:rStyle w:val="FootnoteReference"/>
        </w:rPr>
        <w:footnoteRef/>
      </w:r>
      <w:r>
        <w:t xml:space="preserve"> </w:t>
      </w:r>
      <w:r w:rsidRPr="004D7679">
        <w:rPr>
          <w:rFonts w:ascii="Arial" w:hAnsi="Arial" w:cs="Arial"/>
          <w:sz w:val="18"/>
          <w:szCs w:val="18"/>
          <w:shd w:val="clear" w:color="auto" w:fill="FFFFFF"/>
        </w:rPr>
        <w:t>(INSOL International, (2017)</w:t>
      </w:r>
      <w:r w:rsidRPr="005B09A2">
        <w:rPr>
          <w:rFonts w:ascii="Arial" w:hAnsi="Arial" w:cs="Arial"/>
          <w:shd w:val="clear" w:color="auto" w:fill="FFFFFF"/>
        </w:rPr>
        <w:t>.</w:t>
      </w:r>
    </w:p>
  </w:footnote>
  <w:footnote w:id="6">
    <w:p w14:paraId="19B2F4FB" w14:textId="78E8AFC0" w:rsidR="004D7679" w:rsidRDefault="004D7679">
      <w:pPr>
        <w:pStyle w:val="FootnoteText"/>
      </w:pPr>
      <w:r>
        <w:rPr>
          <w:rStyle w:val="FootnoteReference"/>
        </w:rPr>
        <w:footnoteRef/>
      </w:r>
      <w:r>
        <w:t xml:space="preserve"> </w:t>
      </w:r>
      <w:r w:rsidR="0006580F">
        <w:t>Ibid.</w:t>
      </w:r>
    </w:p>
  </w:footnote>
  <w:footnote w:id="7">
    <w:p w14:paraId="6D472004" w14:textId="77777777" w:rsidR="004D7679" w:rsidRPr="006629FF" w:rsidRDefault="004D7679" w:rsidP="004D7679">
      <w:pPr>
        <w:shd w:val="clear" w:color="auto" w:fill="FFFFFF"/>
        <w:spacing w:after="0" w:line="240" w:lineRule="auto"/>
        <w:jc w:val="both"/>
        <w:outlineLvl w:val="1"/>
        <w:rPr>
          <w:rFonts w:ascii="Arial" w:hAnsi="Arial" w:cs="Arial"/>
          <w:sz w:val="18"/>
          <w:szCs w:val="18"/>
          <w:shd w:val="clear" w:color="auto" w:fill="FFFFFF"/>
        </w:rPr>
      </w:pPr>
      <w:r>
        <w:rPr>
          <w:rStyle w:val="FootnoteReference"/>
        </w:rPr>
        <w:footnoteRef/>
      </w:r>
      <w:r>
        <w:t xml:space="preserve"> </w:t>
      </w:r>
      <w:r w:rsidRPr="006629FF">
        <w:rPr>
          <w:rFonts w:ascii="Arial" w:hAnsi="Arial" w:cs="Arial"/>
          <w:sz w:val="18"/>
          <w:szCs w:val="18"/>
          <w:shd w:val="clear" w:color="auto" w:fill="FFFFFF"/>
        </w:rPr>
        <w:t>(Adriaanse &amp; Kuijl, 2006)</w:t>
      </w:r>
    </w:p>
    <w:p w14:paraId="4E62206B" w14:textId="5CA422E0" w:rsidR="004D7679" w:rsidRPr="004D7679" w:rsidRDefault="004D7679">
      <w:pPr>
        <w:pStyle w:val="FootnoteText"/>
        <w:rPr>
          <w:sz w:val="2"/>
          <w:szCs w:val="2"/>
        </w:rPr>
      </w:pPr>
    </w:p>
  </w:footnote>
  <w:footnote w:id="8">
    <w:p w14:paraId="6C201015" w14:textId="5A9F7BD9" w:rsidR="00DE0F80" w:rsidRDefault="00DE0F80">
      <w:pPr>
        <w:pStyle w:val="FootnoteText"/>
      </w:pPr>
      <w:r>
        <w:rPr>
          <w:rStyle w:val="FootnoteReference"/>
        </w:rPr>
        <w:footnoteRef/>
      </w:r>
      <w:r>
        <w:t xml:space="preserve"> See </w:t>
      </w:r>
      <w:r w:rsidRPr="00DE0F80">
        <w:t>https://australianloanrestructuringissues.com/category/turnarounds/page/2/</w:t>
      </w:r>
    </w:p>
  </w:footnote>
  <w:footnote w:id="9">
    <w:p w14:paraId="615448E1" w14:textId="72750EE5" w:rsidR="00DE0F80" w:rsidRDefault="00DE0F80">
      <w:pPr>
        <w:pStyle w:val="FootnoteText"/>
      </w:pPr>
      <w:r>
        <w:rPr>
          <w:rStyle w:val="FootnoteReference"/>
        </w:rPr>
        <w:footnoteRef/>
      </w:r>
      <w:r>
        <w:t xml:space="preserve"> Ibid.</w:t>
      </w:r>
    </w:p>
  </w:footnote>
  <w:footnote w:id="10">
    <w:p w14:paraId="38C7AB19" w14:textId="6A2A44CF" w:rsidR="00DE0F80" w:rsidRDefault="00DE0F80">
      <w:pPr>
        <w:pStyle w:val="FootnoteText"/>
      </w:pPr>
      <w:r>
        <w:rPr>
          <w:rStyle w:val="FootnoteReference"/>
        </w:rPr>
        <w:footnoteRef/>
      </w:r>
      <w:r>
        <w:t xml:space="preserve"> Ibid.</w:t>
      </w:r>
    </w:p>
  </w:footnote>
  <w:footnote w:id="11">
    <w:p w14:paraId="1B517EB5" w14:textId="05020966" w:rsidR="004D7679" w:rsidRDefault="004D7679">
      <w:pPr>
        <w:pStyle w:val="FootnoteText"/>
      </w:pPr>
      <w:r>
        <w:rPr>
          <w:rStyle w:val="FootnoteReference"/>
        </w:rPr>
        <w:footnoteRef/>
      </w:r>
      <w:r>
        <w:t xml:space="preserve"> </w:t>
      </w:r>
      <w:r w:rsidRPr="004D7679">
        <w:rPr>
          <w:rFonts w:ascii="Arial" w:hAnsi="Arial" w:cs="Arial"/>
          <w:sz w:val="18"/>
          <w:szCs w:val="18"/>
        </w:rPr>
        <w:t>(</w:t>
      </w:r>
      <w:r w:rsidRPr="004D7679">
        <w:rPr>
          <w:rFonts w:ascii="Arial" w:hAnsi="Arial" w:cs="Arial"/>
          <w:sz w:val="18"/>
          <w:szCs w:val="18"/>
          <w:shd w:val="clear" w:color="auto" w:fill="FFFFFF"/>
        </w:rPr>
        <w:t>Adriaanse &amp; Kuijl, 2006, p. 146)</w:t>
      </w:r>
    </w:p>
  </w:footnote>
  <w:footnote w:id="12">
    <w:p w14:paraId="5541A16F" w14:textId="5832701C" w:rsidR="004D7679" w:rsidRPr="004D7679" w:rsidRDefault="004D7679">
      <w:pPr>
        <w:pStyle w:val="FootnoteText"/>
        <w:rPr>
          <w:sz w:val="18"/>
          <w:szCs w:val="18"/>
        </w:rPr>
      </w:pPr>
      <w:r>
        <w:rPr>
          <w:rStyle w:val="FootnoteReference"/>
        </w:rPr>
        <w:footnoteRef/>
      </w:r>
      <w:r>
        <w:t xml:space="preserve"> </w:t>
      </w:r>
      <w:r w:rsidRPr="004D7679">
        <w:rPr>
          <w:rFonts w:ascii="Arial" w:hAnsi="Arial" w:cs="Arial"/>
          <w:sz w:val="18"/>
          <w:szCs w:val="18"/>
        </w:rPr>
        <w:t>(Chen, 2020).</w:t>
      </w:r>
    </w:p>
  </w:footnote>
  <w:footnote w:id="13">
    <w:p w14:paraId="31BD1BD9" w14:textId="77777777" w:rsidR="004D7679" w:rsidRPr="004D7679" w:rsidRDefault="004D7679" w:rsidP="004D7679">
      <w:pPr>
        <w:spacing w:after="0" w:line="240" w:lineRule="auto"/>
        <w:jc w:val="both"/>
        <w:rPr>
          <w:rFonts w:ascii="Arial" w:hAnsi="Arial" w:cs="Arial"/>
          <w:sz w:val="18"/>
          <w:szCs w:val="18"/>
        </w:rPr>
      </w:pPr>
      <w:r>
        <w:rPr>
          <w:rStyle w:val="FootnoteReference"/>
        </w:rPr>
        <w:footnoteRef/>
      </w:r>
      <w:r>
        <w:t xml:space="preserve"> </w:t>
      </w:r>
      <w:r w:rsidRPr="004D7679">
        <w:rPr>
          <w:rFonts w:ascii="Arial" w:hAnsi="Arial" w:cs="Arial"/>
          <w:sz w:val="18"/>
          <w:szCs w:val="18"/>
        </w:rPr>
        <w:t>Adriaanse and Kuijl 2006 refer to this as the "</w:t>
      </w:r>
      <w:r w:rsidRPr="004D7679">
        <w:rPr>
          <w:rFonts w:ascii="Arial" w:hAnsi="Arial" w:cs="Arial"/>
          <w:i/>
          <w:iCs/>
          <w:sz w:val="18"/>
          <w:szCs w:val="18"/>
        </w:rPr>
        <w:t xml:space="preserve">self-fulfilling prophecy-effect of a public procedure" </w:t>
      </w:r>
      <w:r w:rsidRPr="004D7679">
        <w:rPr>
          <w:rFonts w:ascii="Arial" w:hAnsi="Arial" w:cs="Arial"/>
          <w:sz w:val="18"/>
          <w:szCs w:val="18"/>
        </w:rPr>
        <w:t>(p. 146).</w:t>
      </w:r>
    </w:p>
    <w:p w14:paraId="0726FD86" w14:textId="3EE22CEC" w:rsidR="004D7679" w:rsidRPr="004D7679" w:rsidRDefault="004D7679">
      <w:pPr>
        <w:pStyle w:val="FootnoteText"/>
        <w:rPr>
          <w:sz w:val="2"/>
          <w:szCs w:val="2"/>
        </w:rPr>
      </w:pPr>
    </w:p>
  </w:footnote>
  <w:footnote w:id="14">
    <w:p w14:paraId="39145459" w14:textId="3C047A39" w:rsidR="008263C9" w:rsidRPr="007E209C" w:rsidRDefault="008263C9" w:rsidP="0074754B">
      <w:pPr>
        <w:pStyle w:val="FootnoteText"/>
        <w:jc w:val="both"/>
        <w:rPr>
          <w:rFonts w:ascii="Arial" w:hAnsi="Arial" w:cs="Arial"/>
          <w:sz w:val="18"/>
          <w:szCs w:val="18"/>
        </w:rPr>
      </w:pPr>
      <w:r>
        <w:rPr>
          <w:rStyle w:val="FootnoteReference"/>
        </w:rPr>
        <w:footnoteRef/>
      </w:r>
      <w:r>
        <w:t xml:space="preserve"> </w:t>
      </w:r>
      <w:r w:rsidRPr="007E209C">
        <w:rPr>
          <w:rFonts w:ascii="Arial" w:hAnsi="Arial" w:cs="Arial"/>
          <w:sz w:val="18"/>
          <w:szCs w:val="18"/>
        </w:rPr>
        <w:t xml:space="preserve">See </w:t>
      </w:r>
      <w:r w:rsidRPr="007E209C">
        <w:rPr>
          <w:rFonts w:ascii="Arial" w:hAnsi="Arial" w:cs="Arial"/>
          <w:i/>
          <w:iCs/>
          <w:sz w:val="18"/>
          <w:szCs w:val="18"/>
        </w:rPr>
        <w:t>KAMAL v. BAKER TILLY US, LLP</w:t>
      </w:r>
      <w:r w:rsidRPr="007E209C">
        <w:rPr>
          <w:rFonts w:ascii="Arial" w:hAnsi="Arial" w:cs="Arial"/>
          <w:sz w:val="18"/>
          <w:szCs w:val="18"/>
        </w:rPr>
        <w:t>, Civil File No. 21-1549 (MJD/DTS) (D. Minn. Apr. 7, 2022). This case demonstrates the necessity of detailed financial assessments of company records during a restructuring process.</w:t>
      </w:r>
    </w:p>
  </w:footnote>
  <w:footnote w:id="15">
    <w:p w14:paraId="61A9CD8D" w14:textId="77777777" w:rsidR="00C65030" w:rsidRPr="00720E48" w:rsidRDefault="00C65030" w:rsidP="00C65030">
      <w:pPr>
        <w:spacing w:after="0" w:line="240" w:lineRule="auto"/>
        <w:jc w:val="both"/>
        <w:rPr>
          <w:rFonts w:ascii="Arial" w:eastAsia="Times New Roman" w:hAnsi="Arial" w:cs="Arial"/>
          <w:i/>
          <w:iCs/>
          <w:color w:val="000000"/>
          <w:kern w:val="0"/>
          <w:sz w:val="18"/>
          <w:szCs w:val="18"/>
          <w14:ligatures w14:val="none"/>
        </w:rPr>
      </w:pPr>
      <w:r>
        <w:rPr>
          <w:rStyle w:val="FootnoteReference"/>
        </w:rPr>
        <w:footnoteRef/>
      </w:r>
      <w:r>
        <w:t xml:space="preserve"> </w:t>
      </w:r>
      <w:r w:rsidRPr="00720E48">
        <w:rPr>
          <w:rFonts w:ascii="Arial" w:eastAsia="Times New Roman" w:hAnsi="Arial" w:cs="Arial"/>
          <w:color w:val="000000"/>
          <w:kern w:val="0"/>
          <w:sz w:val="18"/>
          <w:szCs w:val="18"/>
          <w14:ligatures w14:val="none"/>
        </w:rPr>
        <w:t>According to I</w:t>
      </w:r>
      <w:r>
        <w:rPr>
          <w:rFonts w:ascii="Arial" w:eastAsia="Times New Roman" w:hAnsi="Arial" w:cs="Arial"/>
          <w:color w:val="000000"/>
          <w:kern w:val="0"/>
          <w:sz w:val="18"/>
          <w:szCs w:val="18"/>
          <w14:ligatures w14:val="none"/>
        </w:rPr>
        <w:t>a</w:t>
      </w:r>
      <w:r w:rsidRPr="00720E48">
        <w:rPr>
          <w:rFonts w:ascii="Arial" w:eastAsia="Times New Roman" w:hAnsi="Arial" w:cs="Arial"/>
          <w:color w:val="000000"/>
          <w:kern w:val="0"/>
          <w:sz w:val="18"/>
          <w:szCs w:val="18"/>
          <w14:ligatures w14:val="none"/>
        </w:rPr>
        <w:t>ncu (2020), under Article 4 of the New Code of Insolvency in Romania, 4 the fundamental principles are most relevant: “</w:t>
      </w:r>
      <w:r w:rsidRPr="00720E48">
        <w:rPr>
          <w:rFonts w:ascii="Arial" w:eastAsia="Times New Roman" w:hAnsi="Arial" w:cs="Arial"/>
          <w:i/>
          <w:iCs/>
          <w:color w:val="000000"/>
          <w:kern w:val="0"/>
          <w:sz w:val="18"/>
          <w:szCs w:val="18"/>
          <w14:ligatures w14:val="none"/>
        </w:rPr>
        <w:t xml:space="preserve">Maximizing the rate of asset selling and receivable recovery, </w:t>
      </w:r>
      <w:r w:rsidRPr="00720E48">
        <w:rPr>
          <w:rFonts w:ascii="Arial" w:eastAsia="Times New Roman" w:hAnsi="Arial" w:cs="Arial"/>
          <w:color w:val="000000"/>
          <w:kern w:val="0"/>
          <w:sz w:val="18"/>
          <w:szCs w:val="18"/>
          <w14:ligatures w14:val="none"/>
        </w:rPr>
        <w:t>p</w:t>
      </w:r>
      <w:r w:rsidRPr="00720E48">
        <w:rPr>
          <w:rFonts w:ascii="Arial" w:eastAsia="Times New Roman" w:hAnsi="Arial" w:cs="Arial"/>
          <w:i/>
          <w:iCs/>
          <w:color w:val="000000"/>
          <w:kern w:val="0"/>
          <w:sz w:val="18"/>
          <w:szCs w:val="18"/>
          <w14:ligatures w14:val="none"/>
        </w:rPr>
        <w:t>roviding the debtors the opportunity to efficiently and effectively redress the business,</w:t>
      </w:r>
      <w:r w:rsidRPr="00720E48">
        <w:rPr>
          <w:rFonts w:ascii="Arial" w:eastAsia="Times New Roman" w:hAnsi="Arial" w:cs="Arial"/>
          <w:color w:val="000000"/>
          <w:kern w:val="0"/>
          <w:sz w:val="18"/>
          <w:szCs w:val="18"/>
          <w14:ligatures w14:val="none"/>
        </w:rPr>
        <w:t xml:space="preserve"> </w:t>
      </w:r>
      <w:r w:rsidRPr="00720E48">
        <w:rPr>
          <w:rFonts w:ascii="Arial" w:eastAsia="Times New Roman" w:hAnsi="Arial" w:cs="Arial"/>
          <w:i/>
          <w:iCs/>
          <w:color w:val="000000"/>
          <w:kern w:val="0"/>
          <w:sz w:val="18"/>
          <w:szCs w:val="18"/>
          <w14:ligatures w14:val="none"/>
        </w:rPr>
        <w:t>providing equal treatment of creditors with similar ranking, and acknowledging the existing rights of creditors and observing the priority order of receivables, based on a set of clearly determined and uniformly applicable rules.” (p. 62</w:t>
      </w:r>
      <w:r>
        <w:rPr>
          <w:rFonts w:ascii="Arial" w:eastAsia="Times New Roman" w:hAnsi="Arial" w:cs="Arial"/>
          <w:i/>
          <w:iCs/>
          <w:color w:val="000000"/>
          <w:kern w:val="0"/>
          <w:sz w:val="18"/>
          <w:szCs w:val="18"/>
          <w14:ligatures w14:val="none"/>
        </w:rPr>
        <w:t>).</w:t>
      </w:r>
    </w:p>
    <w:p w14:paraId="4A3F90C2" w14:textId="77777777" w:rsidR="00C65030" w:rsidRPr="005C3BD9" w:rsidRDefault="00C65030" w:rsidP="00C65030">
      <w:pPr>
        <w:pStyle w:val="FootnoteText"/>
        <w:jc w:val="both"/>
        <w:rPr>
          <w:sz w:val="2"/>
          <w:szCs w:val="2"/>
        </w:rPr>
      </w:pPr>
    </w:p>
  </w:footnote>
  <w:footnote w:id="16">
    <w:p w14:paraId="0E44B69E" w14:textId="47693324" w:rsidR="006257ED" w:rsidRPr="006257ED" w:rsidRDefault="006257ED" w:rsidP="006257ED">
      <w:pPr>
        <w:spacing w:after="0" w:line="240" w:lineRule="auto"/>
        <w:jc w:val="both"/>
        <w:rPr>
          <w:rFonts w:ascii="Arial" w:hAnsi="Arial" w:cs="Arial"/>
          <w:color w:val="222222"/>
          <w:sz w:val="18"/>
          <w:szCs w:val="18"/>
          <w:shd w:val="clear" w:color="auto" w:fill="FFFFFF"/>
        </w:rPr>
      </w:pPr>
      <w:r>
        <w:rPr>
          <w:rStyle w:val="FootnoteReference"/>
        </w:rPr>
        <w:footnoteRef/>
      </w:r>
      <w:r>
        <w:t xml:space="preserve"> </w:t>
      </w:r>
      <w:r w:rsidRPr="006257ED">
        <w:rPr>
          <w:rFonts w:ascii="Arial" w:hAnsi="Arial" w:cs="Arial"/>
          <w:color w:val="222222"/>
          <w:sz w:val="18"/>
          <w:szCs w:val="18"/>
          <w:shd w:val="clear" w:color="auto" w:fill="FFFFFF"/>
        </w:rPr>
        <w:t xml:space="preserve">While the Case Study 2 noted that Romania has updated its insolvency laws by implementing the European Directive 2019/1023, a recent article from an INSOL insider and doctoral student, </w:t>
      </w:r>
      <w:bookmarkStart w:id="6" w:name="_Hlk142151753"/>
      <w:r w:rsidRPr="006257ED">
        <w:rPr>
          <w:rFonts w:ascii="Arial" w:hAnsi="Arial" w:cs="Arial"/>
          <w:color w:val="222222"/>
          <w:sz w:val="18"/>
          <w:szCs w:val="18"/>
          <w:shd w:val="clear" w:color="auto" w:fill="FFFFFF"/>
        </w:rPr>
        <w:t xml:space="preserve">Lavinia-Olivia </w:t>
      </w:r>
      <w:proofErr w:type="spellStart"/>
      <w:r w:rsidRPr="006257ED">
        <w:rPr>
          <w:rFonts w:ascii="Arial" w:hAnsi="Arial" w:cs="Arial"/>
          <w:color w:val="222222"/>
          <w:sz w:val="18"/>
          <w:szCs w:val="18"/>
          <w:shd w:val="clear" w:color="auto" w:fill="FFFFFF"/>
        </w:rPr>
        <w:t>Aspru</w:t>
      </w:r>
      <w:bookmarkEnd w:id="6"/>
      <w:proofErr w:type="spellEnd"/>
      <w:r w:rsidRPr="006257ED">
        <w:rPr>
          <w:rFonts w:ascii="Arial" w:hAnsi="Arial" w:cs="Arial"/>
          <w:color w:val="222222"/>
          <w:sz w:val="18"/>
          <w:szCs w:val="18"/>
          <w:shd w:val="clear" w:color="auto" w:fill="FFFFFF"/>
        </w:rPr>
        <w:t>, tells a different story of the realities in insolvency proceedings in Romania. The author writes: “</w:t>
      </w:r>
      <w:r w:rsidRPr="006257ED">
        <w:rPr>
          <w:rFonts w:ascii="Arial" w:hAnsi="Arial" w:cs="Arial"/>
          <w:color w:val="222222"/>
          <w:sz w:val="18"/>
          <w:szCs w:val="18"/>
          <w:shd w:val="clear" w:color="auto" w:fill="FFFFFF"/>
        </w:rPr>
        <w:t xml:space="preserve">The insolvency law in Romania, although it suffered many changes, is not able to keep pace with the ingenuity of </w:t>
      </w:r>
      <w:proofErr w:type="spellStart"/>
      <w:r w:rsidRPr="006257ED">
        <w:rPr>
          <w:rFonts w:ascii="Arial" w:hAnsi="Arial" w:cs="Arial"/>
          <w:color w:val="222222"/>
          <w:sz w:val="18"/>
          <w:szCs w:val="18"/>
          <w:shd w:val="clear" w:color="auto" w:fill="FFFFFF"/>
        </w:rPr>
        <w:t>badfaith</w:t>
      </w:r>
      <w:proofErr w:type="spellEnd"/>
      <w:r w:rsidRPr="006257ED">
        <w:rPr>
          <w:rFonts w:ascii="Arial" w:hAnsi="Arial" w:cs="Arial"/>
          <w:color w:val="222222"/>
          <w:sz w:val="18"/>
          <w:szCs w:val="18"/>
          <w:shd w:val="clear" w:color="auto" w:fill="FFFFFF"/>
        </w:rPr>
        <w:t xml:space="preserve"> traders. We make this assertion under the conditions that we refuse to believe that the lawmaker on purpose has not clearly established the liability regime of persons guilty of companies’ entering into insolvency, allowing some influent persons to avoid the strictness of the law.</w:t>
      </w:r>
      <w:r w:rsidRPr="006257ED">
        <w:rPr>
          <w:rFonts w:ascii="Arial" w:hAnsi="Arial" w:cs="Arial"/>
          <w:color w:val="222222"/>
          <w:sz w:val="18"/>
          <w:szCs w:val="18"/>
          <w:shd w:val="clear" w:color="auto" w:fill="FFFFFF"/>
        </w:rPr>
        <w:t xml:space="preserve">” The author implies that monied persons are still allowed by ignore the law and benefit from the status quo. This is not a topic of this paper, but the topic is timely because the questions involved Romania. See </w:t>
      </w:r>
      <w:proofErr w:type="spellStart"/>
      <w:r>
        <w:rPr>
          <w:rFonts w:ascii="Arial" w:hAnsi="Arial" w:cs="Arial"/>
          <w:color w:val="222222"/>
          <w:sz w:val="18"/>
          <w:szCs w:val="18"/>
          <w:shd w:val="clear" w:color="auto" w:fill="FFFFFF"/>
        </w:rPr>
        <w:t>Laviia</w:t>
      </w:r>
      <w:proofErr w:type="spellEnd"/>
      <w:r>
        <w:rPr>
          <w:rFonts w:ascii="Arial" w:hAnsi="Arial" w:cs="Arial"/>
          <w:color w:val="222222"/>
          <w:sz w:val="18"/>
          <w:szCs w:val="18"/>
          <w:shd w:val="clear" w:color="auto" w:fill="FFFFFF"/>
        </w:rPr>
        <w:t xml:space="preserve">-Olivia </w:t>
      </w:r>
      <w:proofErr w:type="spellStart"/>
      <w:r>
        <w:rPr>
          <w:rFonts w:ascii="Arial" w:hAnsi="Arial" w:cs="Arial"/>
          <w:color w:val="222222"/>
          <w:sz w:val="18"/>
          <w:szCs w:val="18"/>
          <w:shd w:val="clear" w:color="auto" w:fill="FFFFFF"/>
        </w:rPr>
        <w:t>Aspru</w:t>
      </w:r>
      <w:proofErr w:type="spellEnd"/>
      <w:r>
        <w:rPr>
          <w:rFonts w:ascii="Arial" w:hAnsi="Arial" w:cs="Arial"/>
          <w:color w:val="222222"/>
          <w:sz w:val="18"/>
          <w:szCs w:val="18"/>
          <w:shd w:val="clear" w:color="auto" w:fill="FFFFFF"/>
        </w:rPr>
        <w:t xml:space="preserve"> (2023). </w:t>
      </w:r>
      <w:r w:rsidRPr="006257ED">
        <w:rPr>
          <w:rFonts w:ascii="Arial" w:hAnsi="Arial" w:cs="Arial"/>
          <w:i/>
          <w:iCs/>
          <w:color w:val="222222"/>
          <w:sz w:val="18"/>
          <w:szCs w:val="18"/>
          <w:shd w:val="clear" w:color="auto" w:fill="FFFFFF"/>
        </w:rPr>
        <w:t>The Liability Regime in the Insolvency Procedure from Romania</w:t>
      </w:r>
      <w:r w:rsidRPr="006257ED">
        <w:rPr>
          <w:rFonts w:ascii="Arial" w:hAnsi="Arial" w:cs="Arial"/>
          <w:i/>
          <w:iCs/>
          <w:color w:val="222222"/>
          <w:sz w:val="18"/>
          <w:szCs w:val="18"/>
          <w:shd w:val="clear" w:color="auto" w:fill="FFFFFF"/>
        </w:rPr>
        <w:t>.</w:t>
      </w:r>
      <w:r>
        <w:rPr>
          <w:rFonts w:ascii="Arial" w:hAnsi="Arial" w:cs="Arial"/>
          <w:i/>
          <w:iCs/>
          <w:color w:val="222222"/>
          <w:sz w:val="18"/>
          <w:szCs w:val="18"/>
          <w:shd w:val="clear" w:color="auto" w:fill="FFFFFF"/>
        </w:rPr>
        <w:t xml:space="preserve"> </w:t>
      </w:r>
      <w:r w:rsidRPr="006257ED">
        <w:rPr>
          <w:rFonts w:ascii="Arial" w:hAnsi="Arial" w:cs="Arial"/>
          <w:color w:val="222222"/>
          <w:sz w:val="18"/>
          <w:szCs w:val="18"/>
          <w:shd w:val="clear" w:color="auto" w:fill="FFFFFF"/>
        </w:rPr>
        <w:t>INSOL Publications</w:t>
      </w:r>
      <w:r>
        <w:rPr>
          <w:rFonts w:ascii="Arial" w:hAnsi="Arial" w:cs="Arial"/>
          <w:i/>
          <w:iCs/>
          <w:color w:val="222222"/>
          <w:sz w:val="18"/>
          <w:szCs w:val="18"/>
          <w:shd w:val="clear" w:color="auto" w:fill="FFFFFF"/>
        </w:rPr>
        <w:t>.</w:t>
      </w:r>
    </w:p>
    <w:p w14:paraId="0E44B69E" w14:textId="47693324" w:rsidR="006257ED" w:rsidRPr="006257ED" w:rsidRDefault="006257ED">
      <w:pPr>
        <w:pStyle w:val="FootnoteText"/>
        <w:rPr>
          <w:sz w:val="2"/>
          <w:szCs w:val="2"/>
        </w:rPr>
      </w:pPr>
    </w:p>
  </w:footnote>
  <w:footnote w:id="17">
    <w:p w14:paraId="03A149F5" w14:textId="77777777" w:rsidR="00C65030" w:rsidRPr="00460430" w:rsidRDefault="00C65030" w:rsidP="00C65030">
      <w:pPr>
        <w:spacing w:after="0" w:line="240" w:lineRule="auto"/>
        <w:jc w:val="both"/>
        <w:rPr>
          <w:rFonts w:ascii="Arial" w:hAnsi="Arial" w:cs="Arial"/>
          <w:sz w:val="18"/>
          <w:szCs w:val="18"/>
        </w:rPr>
      </w:pPr>
      <w:r>
        <w:rPr>
          <w:rStyle w:val="FootnoteReference"/>
        </w:rPr>
        <w:footnoteRef/>
      </w:r>
      <w:r>
        <w:t xml:space="preserve"> </w:t>
      </w:r>
      <w:r w:rsidRPr="00460430">
        <w:rPr>
          <w:rFonts w:ascii="Arial" w:hAnsi="Arial" w:cs="Arial"/>
          <w:sz w:val="18"/>
          <w:szCs w:val="18"/>
        </w:rPr>
        <w:t xml:space="preserve">See </w:t>
      </w:r>
      <w:r w:rsidRPr="00460430">
        <w:rPr>
          <w:rFonts w:ascii="Arial" w:hAnsi="Arial" w:cs="Arial"/>
          <w:color w:val="222222"/>
          <w:sz w:val="18"/>
          <w:szCs w:val="18"/>
          <w:shd w:val="clear" w:color="auto" w:fill="FFFFFF"/>
        </w:rPr>
        <w:t>Volberda, H. (2021). Crises, Creditors and Cramdowns: An evaluation of the protection of minority creditors under the WHOA in light of Directive (EU) 2019/1023.</w:t>
      </w:r>
      <w:r>
        <w:rPr>
          <w:rFonts w:ascii="Arial" w:hAnsi="Arial" w:cs="Arial"/>
          <w:color w:val="222222"/>
          <w:sz w:val="18"/>
          <w:szCs w:val="18"/>
          <w:shd w:val="clear" w:color="auto" w:fill="FFFFFF"/>
        </w:rPr>
        <w:t xml:space="preserve"> </w:t>
      </w:r>
      <w:r w:rsidRPr="00460430">
        <w:rPr>
          <w:rFonts w:ascii="Arial" w:hAnsi="Arial" w:cs="Arial"/>
          <w:i/>
          <w:iCs/>
          <w:color w:val="222222"/>
          <w:sz w:val="18"/>
          <w:szCs w:val="18"/>
          <w:shd w:val="clear" w:color="auto" w:fill="FFFFFF"/>
        </w:rPr>
        <w:t>Utrecht Law Review</w:t>
      </w:r>
      <w:r w:rsidRPr="00460430">
        <w:rPr>
          <w:rFonts w:ascii="Arial" w:hAnsi="Arial" w:cs="Arial"/>
          <w:color w:val="222222"/>
          <w:sz w:val="18"/>
          <w:szCs w:val="18"/>
          <w:shd w:val="clear" w:color="auto" w:fill="FFFFFF"/>
        </w:rPr>
        <w:t xml:space="preserve">, </w:t>
      </w:r>
      <w:r w:rsidRPr="00460430">
        <w:rPr>
          <w:rFonts w:ascii="Arial" w:hAnsi="Arial" w:cs="Arial"/>
          <w:i/>
          <w:iCs/>
          <w:color w:val="222222"/>
          <w:sz w:val="18"/>
          <w:szCs w:val="18"/>
          <w:shd w:val="clear" w:color="auto" w:fill="FFFFFF"/>
        </w:rPr>
        <w:t>17</w:t>
      </w:r>
      <w:r w:rsidRPr="00460430">
        <w:rPr>
          <w:rFonts w:ascii="Arial" w:hAnsi="Arial" w:cs="Arial"/>
          <w:color w:val="222222"/>
          <w:sz w:val="18"/>
          <w:szCs w:val="18"/>
          <w:shd w:val="clear" w:color="auto" w:fill="FFFFFF"/>
        </w:rPr>
        <w:t xml:space="preserve">, 65. </w:t>
      </w:r>
      <w:r w:rsidRPr="00460430">
        <w:rPr>
          <w:rFonts w:ascii="Arial" w:hAnsi="Arial" w:cs="Arial"/>
          <w:sz w:val="18"/>
          <w:szCs w:val="18"/>
        </w:rPr>
        <w:t>https://doi.org/10.36633/ulr.638</w:t>
      </w:r>
    </w:p>
    <w:p w14:paraId="5D9EE98F" w14:textId="77777777" w:rsidR="00C65030" w:rsidRPr="00564F18" w:rsidRDefault="00C65030" w:rsidP="00C65030">
      <w:pPr>
        <w:pStyle w:val="FootnoteText"/>
        <w:jc w:val="both"/>
        <w:rPr>
          <w:sz w:val="2"/>
          <w:szCs w:val="2"/>
        </w:rPr>
      </w:pPr>
    </w:p>
  </w:footnote>
  <w:footnote w:id="18">
    <w:p w14:paraId="7FE54939" w14:textId="67FC5A2C" w:rsidR="00460430" w:rsidRPr="004C76CA" w:rsidRDefault="00460430" w:rsidP="00C65030">
      <w:pPr>
        <w:spacing w:after="0" w:line="240" w:lineRule="auto"/>
        <w:jc w:val="both"/>
        <w:rPr>
          <w:rFonts w:ascii="Arial" w:hAnsi="Arial" w:cs="Arial"/>
          <w:sz w:val="18"/>
          <w:szCs w:val="18"/>
        </w:rPr>
      </w:pPr>
      <w:r>
        <w:rPr>
          <w:rStyle w:val="FootnoteReference"/>
        </w:rPr>
        <w:footnoteRef/>
      </w:r>
      <w:r>
        <w:t xml:space="preserve"> See </w:t>
      </w:r>
      <w:r w:rsidRPr="00460430">
        <w:rPr>
          <w:rFonts w:ascii="Arial" w:hAnsi="Arial" w:cs="Arial"/>
          <w:i/>
          <w:iCs/>
          <w:color w:val="222222"/>
          <w:sz w:val="18"/>
          <w:szCs w:val="18"/>
          <w:shd w:val="clear" w:color="auto" w:fill="FFFFFF"/>
        </w:rPr>
        <w:t>In re Millennium Lab Holdings II, LLC</w:t>
      </w:r>
      <w:r w:rsidRPr="00460430">
        <w:rPr>
          <w:rFonts w:ascii="Arial" w:hAnsi="Arial" w:cs="Arial"/>
          <w:color w:val="222222"/>
          <w:sz w:val="18"/>
          <w:szCs w:val="18"/>
          <w:shd w:val="clear" w:color="auto" w:fill="FFFFFF"/>
        </w:rPr>
        <w:t>, 945 F.3d 126 (3d Cir. 2019)</w:t>
      </w:r>
      <w:r>
        <w:rPr>
          <w:rFonts w:ascii="Arial" w:hAnsi="Arial" w:cs="Arial"/>
          <w:color w:val="222222"/>
          <w:sz w:val="18"/>
          <w:szCs w:val="18"/>
          <w:shd w:val="clear" w:color="auto" w:fill="FFFFFF"/>
        </w:rPr>
        <w:t>, where the Bankruptcy court allowed creditor negotiations, “…</w:t>
      </w:r>
      <w:r w:rsidRPr="004C76CA">
        <w:rPr>
          <w:rFonts w:ascii="Arial" w:hAnsi="Arial" w:cs="Arial"/>
          <w:color w:val="222222"/>
          <w:sz w:val="18"/>
          <w:szCs w:val="18"/>
          <w:shd w:val="clear" w:color="auto" w:fill="FFFFFF"/>
        </w:rPr>
        <w:t>the Court's conclusion that bankruptcy courts can decide matters integral to the restructuring of debtor-creditor relations</w:t>
      </w:r>
      <w:r>
        <w:rPr>
          <w:rFonts w:ascii="Arial" w:hAnsi="Arial" w:cs="Arial"/>
          <w:color w:val="222222"/>
          <w:sz w:val="18"/>
          <w:szCs w:val="18"/>
          <w:shd w:val="clear" w:color="auto" w:fill="FFFFFF"/>
        </w:rPr>
        <w:t>…”</w:t>
      </w:r>
    </w:p>
    <w:p w14:paraId="22477F71" w14:textId="662B7A4A" w:rsidR="00460430" w:rsidRPr="00C65030" w:rsidRDefault="00460430">
      <w:pPr>
        <w:pStyle w:val="FootnoteText"/>
        <w:rPr>
          <w:sz w:val="2"/>
          <w:szCs w:val="2"/>
        </w:rPr>
      </w:pPr>
    </w:p>
  </w:footnote>
  <w:footnote w:id="19">
    <w:p w14:paraId="270311CB" w14:textId="77777777" w:rsidR="00460430" w:rsidRPr="004C76CA" w:rsidRDefault="00460430" w:rsidP="0074754B">
      <w:pPr>
        <w:spacing w:after="0" w:line="240" w:lineRule="auto"/>
        <w:jc w:val="both"/>
        <w:rPr>
          <w:rFonts w:ascii="Arial" w:hAnsi="Arial" w:cs="Arial"/>
          <w:sz w:val="18"/>
          <w:szCs w:val="18"/>
        </w:rPr>
      </w:pPr>
      <w:r>
        <w:rPr>
          <w:rStyle w:val="FootnoteReference"/>
        </w:rPr>
        <w:footnoteRef/>
      </w:r>
      <w:r>
        <w:t xml:space="preserve"> </w:t>
      </w:r>
      <w:r w:rsidRPr="004C76CA">
        <w:rPr>
          <w:rFonts w:ascii="Arial" w:hAnsi="Arial" w:cs="Arial"/>
          <w:sz w:val="18"/>
          <w:szCs w:val="18"/>
        </w:rPr>
        <w:t xml:space="preserve">Various authors have described the insolvency laws in the US as </w:t>
      </w:r>
      <w:r w:rsidRPr="004C76CA">
        <w:rPr>
          <w:rFonts w:ascii="Arial" w:hAnsi="Arial" w:cs="Arial"/>
          <w:i/>
          <w:iCs/>
          <w:sz w:val="18"/>
          <w:szCs w:val="18"/>
        </w:rPr>
        <w:t>debtor-friendly</w:t>
      </w:r>
      <w:r w:rsidRPr="004C76CA">
        <w:rPr>
          <w:rFonts w:ascii="Arial" w:hAnsi="Arial" w:cs="Arial"/>
          <w:sz w:val="18"/>
          <w:szCs w:val="18"/>
        </w:rPr>
        <w:t xml:space="preserve"> (</w:t>
      </w:r>
      <w:bookmarkStart w:id="7" w:name="_Hlk138793285"/>
      <w:r w:rsidRPr="004C76CA">
        <w:rPr>
          <w:rFonts w:ascii="Arial" w:hAnsi="Arial" w:cs="Arial"/>
          <w:color w:val="000000"/>
          <w:sz w:val="18"/>
          <w:szCs w:val="18"/>
        </w:rPr>
        <w:t>Bracewell &amp; Giuliani, 2012</w:t>
      </w:r>
      <w:bookmarkEnd w:id="7"/>
      <w:r w:rsidRPr="004C76CA">
        <w:rPr>
          <w:rFonts w:ascii="Arial" w:hAnsi="Arial" w:cs="Arial"/>
          <w:color w:val="000000"/>
          <w:sz w:val="18"/>
          <w:szCs w:val="18"/>
        </w:rPr>
        <w:t xml:space="preserve">; Lee, 2011). Through Chapter 11 of the Bankruptcy Code, distressed businesses can reorganize and have a </w:t>
      </w:r>
      <w:r w:rsidRPr="004C76CA">
        <w:rPr>
          <w:rFonts w:ascii="Arial" w:hAnsi="Arial" w:cs="Arial"/>
          <w:i/>
          <w:iCs/>
          <w:color w:val="000000"/>
          <w:sz w:val="18"/>
          <w:szCs w:val="18"/>
        </w:rPr>
        <w:t>breathing space</w:t>
      </w:r>
      <w:r w:rsidRPr="004C76CA">
        <w:rPr>
          <w:rFonts w:ascii="Arial" w:hAnsi="Arial" w:cs="Arial"/>
          <w:color w:val="000000"/>
          <w:sz w:val="18"/>
          <w:szCs w:val="18"/>
        </w:rPr>
        <w:t>, notwithstanding the efforts of secured creditors to foreclose on their collateral or force a liquidation (Bracewell &amp; Giuliani, 2012; Lee, 2011). Bracewell and Giuliani (2012) argue that Chapter 11 protects and preserves distressed businesses by allowing for and encouraging financial restructuring binding to all stakeholders.</w:t>
      </w:r>
    </w:p>
    <w:p w14:paraId="1E727B58" w14:textId="3BCE506B" w:rsidR="00460430" w:rsidRPr="00460430" w:rsidRDefault="00460430" w:rsidP="0074754B">
      <w:pPr>
        <w:pStyle w:val="FootnoteText"/>
        <w:jc w:val="both"/>
        <w:rPr>
          <w:sz w:val="2"/>
          <w:szCs w:val="2"/>
        </w:rPr>
      </w:pPr>
    </w:p>
  </w:footnote>
  <w:footnote w:id="20">
    <w:p w14:paraId="6D31B0C8" w14:textId="26F402E5" w:rsidR="00224367" w:rsidRDefault="00224367">
      <w:pPr>
        <w:pStyle w:val="FootnoteText"/>
      </w:pPr>
      <w:r>
        <w:rPr>
          <w:rStyle w:val="FootnoteReference"/>
        </w:rPr>
        <w:footnoteRef/>
      </w:r>
      <w:r>
        <w:t xml:space="preserve"> </w:t>
      </w:r>
      <w:r w:rsidRPr="00224367">
        <w:rPr>
          <w:rFonts w:ascii="Arial" w:hAnsi="Arial" w:cs="Arial"/>
          <w:sz w:val="18"/>
          <w:szCs w:val="18"/>
        </w:rPr>
        <w:t>(Pedrosa &amp; López-Corrales, 2018).</w:t>
      </w:r>
    </w:p>
  </w:footnote>
  <w:footnote w:id="21">
    <w:p w14:paraId="2B7DF58F" w14:textId="77777777" w:rsidR="0037226D" w:rsidRDefault="0037226D" w:rsidP="0037226D">
      <w:pPr>
        <w:pStyle w:val="FootnoteText"/>
      </w:pPr>
      <w:r>
        <w:rPr>
          <w:rStyle w:val="FootnoteReference"/>
        </w:rPr>
        <w:footnoteRef/>
      </w:r>
      <w:r>
        <w:t xml:space="preserve"> </w:t>
      </w:r>
      <w:r w:rsidRPr="00FE6A1E">
        <w:rPr>
          <w:rFonts w:ascii="Arial" w:hAnsi="Arial" w:cs="Arial"/>
          <w:sz w:val="18"/>
          <w:szCs w:val="18"/>
        </w:rPr>
        <w:t>(Garrido, 2012).</w:t>
      </w:r>
    </w:p>
  </w:footnote>
  <w:footnote w:id="22">
    <w:p w14:paraId="1A4242DF" w14:textId="77777777" w:rsidR="0037226D" w:rsidRDefault="0037226D" w:rsidP="0037226D">
      <w:pPr>
        <w:pStyle w:val="FootnoteText"/>
      </w:pPr>
      <w:r>
        <w:rPr>
          <w:rStyle w:val="FootnoteReference"/>
        </w:rPr>
        <w:footnoteRef/>
      </w:r>
      <w:r>
        <w:t xml:space="preserve"> </w:t>
      </w:r>
      <w:r w:rsidRPr="00FE6A1E">
        <w:rPr>
          <w:rFonts w:ascii="Arial" w:hAnsi="Arial" w:cs="Arial"/>
          <w:sz w:val="18"/>
          <w:szCs w:val="18"/>
        </w:rPr>
        <w:t>Adriaanse &amp; Kuijl (2006)</w:t>
      </w:r>
    </w:p>
  </w:footnote>
  <w:footnote w:id="23">
    <w:p w14:paraId="7B0C2945" w14:textId="77777777" w:rsidR="0037226D" w:rsidRDefault="0037226D" w:rsidP="0037226D">
      <w:pPr>
        <w:pStyle w:val="FootnoteText"/>
      </w:pPr>
      <w:r>
        <w:rPr>
          <w:rStyle w:val="FootnoteReference"/>
        </w:rPr>
        <w:footnoteRef/>
      </w:r>
      <w:r>
        <w:t xml:space="preserve"> </w:t>
      </w:r>
      <w:r w:rsidRPr="00FE6A1E">
        <w:rPr>
          <w:rFonts w:ascii="Arial" w:hAnsi="Arial" w:cs="Arial"/>
          <w:sz w:val="18"/>
          <w:szCs w:val="18"/>
        </w:rPr>
        <w:t xml:space="preserve">(Adriaanse &amp; Kuijl. 2006; </w:t>
      </w:r>
      <w:r w:rsidRPr="00FE6A1E">
        <w:rPr>
          <w:rFonts w:ascii="Arial" w:hAnsi="Arial" w:cs="Arial"/>
          <w:sz w:val="18"/>
          <w:szCs w:val="18"/>
          <w:shd w:val="clear" w:color="auto" w:fill="FFFFFF"/>
        </w:rPr>
        <w:t>Vidović, 2017)</w:t>
      </w:r>
    </w:p>
  </w:footnote>
  <w:footnote w:id="24">
    <w:p w14:paraId="46FA65B2" w14:textId="77777777" w:rsidR="0037226D" w:rsidRPr="004B32BC" w:rsidRDefault="0037226D" w:rsidP="0037226D">
      <w:pPr>
        <w:spacing w:after="0" w:line="240" w:lineRule="auto"/>
        <w:jc w:val="both"/>
        <w:rPr>
          <w:rFonts w:ascii="Arial" w:eastAsia="Times New Roman" w:hAnsi="Arial" w:cs="Arial"/>
          <w:color w:val="000000"/>
          <w:kern w:val="0"/>
          <w14:ligatures w14:val="none"/>
        </w:rPr>
      </w:pPr>
      <w:r>
        <w:rPr>
          <w:rStyle w:val="FootnoteReference"/>
        </w:rPr>
        <w:footnoteRef/>
      </w:r>
      <w:r>
        <w:t xml:space="preserve"> </w:t>
      </w:r>
      <w:r w:rsidRPr="00564F18">
        <w:rPr>
          <w:rFonts w:ascii="Arial" w:eastAsia="Times New Roman" w:hAnsi="Arial" w:cs="Arial"/>
          <w:color w:val="000000"/>
          <w:kern w:val="0"/>
          <w:sz w:val="18"/>
          <w:szCs w:val="18"/>
          <w14:ligatures w14:val="none"/>
        </w:rPr>
        <w:t xml:space="preserve">Delado, J. C. (2022). </w:t>
      </w:r>
      <w:r w:rsidRPr="004B32BC">
        <w:rPr>
          <w:rFonts w:ascii="Arial" w:eastAsia="Times New Roman" w:hAnsi="Arial" w:cs="Arial"/>
          <w:color w:val="000000"/>
          <w:kern w:val="0"/>
          <w:sz w:val="18"/>
          <w:szCs w:val="18"/>
          <w14:ligatures w14:val="none"/>
        </w:rPr>
        <w:t>Jurisdiction and Recognition of Insolvency-Related Judgments: A Comparison between the European Insolvency Regulation and the UNCITRAL Model Law</w:t>
      </w:r>
      <w:r w:rsidRPr="00564F18">
        <w:rPr>
          <w:rFonts w:ascii="Arial" w:eastAsia="Times New Roman" w:hAnsi="Arial" w:cs="Arial"/>
          <w:color w:val="000000"/>
          <w:kern w:val="0"/>
          <w:sz w:val="18"/>
          <w:szCs w:val="18"/>
          <w14:ligatures w14:val="none"/>
        </w:rPr>
        <w:t xml:space="preserve">. INSOL. Retrieved on July 23, 2023, from </w:t>
      </w:r>
      <w:hyperlink r:id="rId2" w:history="1">
        <w:r w:rsidRPr="00564F18">
          <w:rPr>
            <w:rStyle w:val="Hyperlink"/>
            <w:rFonts w:ascii="Arial" w:eastAsia="Times New Roman" w:hAnsi="Arial" w:cs="Arial"/>
            <w:kern w:val="0"/>
            <w:sz w:val="18"/>
            <w:szCs w:val="18"/>
            <w14:ligatures w14:val="none"/>
          </w:rPr>
          <w:t>https://insol.azureedge.net/cmsstorage/insol/media/document-library/technical%20paper%20series/jurisdiction-and-recognition-of-insolvency-related-judgments.pdf</w:t>
        </w:r>
      </w:hyperlink>
      <w:r>
        <w:rPr>
          <w:rFonts w:ascii="Arial" w:eastAsia="Times New Roman" w:hAnsi="Arial" w:cs="Arial"/>
          <w:color w:val="000000"/>
          <w:kern w:val="0"/>
          <w14:ligatures w14:val="none"/>
        </w:rPr>
        <w:t xml:space="preserve"> </w:t>
      </w:r>
    </w:p>
    <w:p w14:paraId="0F1C2659" w14:textId="77777777" w:rsidR="0037226D" w:rsidRPr="00564F18" w:rsidRDefault="0037226D" w:rsidP="0037226D">
      <w:pPr>
        <w:pStyle w:val="FootnoteText"/>
        <w:jc w:val="both"/>
        <w:rPr>
          <w:sz w:val="2"/>
          <w:szCs w:val="2"/>
        </w:rPr>
      </w:pPr>
    </w:p>
  </w:footnote>
  <w:footnote w:id="25">
    <w:p w14:paraId="45F7DF27" w14:textId="77777777" w:rsidR="0037226D" w:rsidRDefault="0037226D" w:rsidP="0037226D">
      <w:pPr>
        <w:pStyle w:val="FootnoteText"/>
        <w:jc w:val="both"/>
      </w:pPr>
      <w:r>
        <w:rPr>
          <w:rStyle w:val="FootnoteReference"/>
        </w:rPr>
        <w:footnoteRef/>
      </w:r>
      <w:r>
        <w:t xml:space="preserve"> Ibid.</w:t>
      </w:r>
    </w:p>
  </w:footnote>
  <w:footnote w:id="26">
    <w:p w14:paraId="0FD9572E" w14:textId="77777777" w:rsidR="00564F18" w:rsidRPr="00054CA6" w:rsidRDefault="00564F18" w:rsidP="0074754B">
      <w:pPr>
        <w:spacing w:after="0" w:line="240" w:lineRule="auto"/>
        <w:jc w:val="both"/>
        <w:rPr>
          <w:rFonts w:ascii="Arial" w:hAnsi="Arial" w:cs="Arial"/>
          <w:sz w:val="18"/>
          <w:szCs w:val="18"/>
        </w:rPr>
      </w:pPr>
      <w:r>
        <w:rPr>
          <w:rStyle w:val="FootnoteReference"/>
        </w:rPr>
        <w:footnoteRef/>
      </w:r>
      <w:r>
        <w:t xml:space="preserve"> </w:t>
      </w:r>
      <w:r w:rsidRPr="00054CA6">
        <w:rPr>
          <w:rFonts w:ascii="Arial" w:hAnsi="Arial" w:cs="Arial"/>
          <w:sz w:val="18"/>
          <w:szCs w:val="18"/>
        </w:rPr>
        <w:t>Traditionally, four stand-alone options were available in the UK to distressed companies seeking to restructure debt (Payne, 2018). These include a contractual workout, a Company Voluntary Arrangement (CVA), a scheme of the arrangement, and administration (Gov.UK, 2023; Payne, 2018). There are advantages and disadvantages to each of these options. Additionally, combining these options is common to maximize several advantages (Payne, 2013; Payne, 2018).</w:t>
      </w:r>
    </w:p>
    <w:p w14:paraId="1FF1F603" w14:textId="1FF23476" w:rsidR="00564F18" w:rsidRPr="00564F18" w:rsidRDefault="00564F18" w:rsidP="0074754B">
      <w:pPr>
        <w:pStyle w:val="FootnoteText"/>
        <w:jc w:val="both"/>
        <w:rPr>
          <w:sz w:val="2"/>
          <w:szCs w:val="2"/>
        </w:rPr>
      </w:pPr>
    </w:p>
  </w:footnote>
  <w:footnote w:id="27">
    <w:p w14:paraId="1D6A3B5C" w14:textId="506A1E84" w:rsidR="00564F18" w:rsidRDefault="00564F18" w:rsidP="0074754B">
      <w:pPr>
        <w:pStyle w:val="FootnoteText"/>
        <w:jc w:val="both"/>
      </w:pPr>
      <w:r>
        <w:rPr>
          <w:rStyle w:val="FootnoteReference"/>
        </w:rPr>
        <w:footnoteRef/>
      </w:r>
      <w:r>
        <w:t xml:space="preserve"> </w:t>
      </w:r>
      <w:r w:rsidRPr="002618F4">
        <w:rPr>
          <w:i/>
          <w:iCs/>
        </w:rPr>
        <w:t>Supra</w:t>
      </w:r>
      <w:r>
        <w:t>, note 5.</w:t>
      </w:r>
    </w:p>
  </w:footnote>
  <w:footnote w:id="28">
    <w:p w14:paraId="21790CE1" w14:textId="72FC4E30" w:rsidR="00D2549D" w:rsidRDefault="00D2549D">
      <w:pPr>
        <w:pStyle w:val="FootnoteText"/>
      </w:pPr>
      <w:r>
        <w:rPr>
          <w:rStyle w:val="FootnoteReference"/>
        </w:rPr>
        <w:footnoteRef/>
      </w:r>
      <w:r>
        <w:t xml:space="preserve"> </w:t>
      </w:r>
      <w:r w:rsidRPr="00D2549D">
        <w:rPr>
          <w:rFonts w:ascii="Arial" w:hAnsi="Arial" w:cs="Arial"/>
          <w:color w:val="000000"/>
          <w:sz w:val="18"/>
          <w:szCs w:val="18"/>
        </w:rPr>
        <w:t>(</w:t>
      </w:r>
      <w:r w:rsidRPr="00D2549D">
        <w:rPr>
          <w:rFonts w:ascii="Arial" w:hAnsi="Arial" w:cs="Arial"/>
          <w:sz w:val="18"/>
          <w:szCs w:val="18"/>
        </w:rPr>
        <w:t>Bracewell &amp; Giuliani, 2012)</w:t>
      </w:r>
      <w:r w:rsidRPr="00D2549D">
        <w:rPr>
          <w:rFonts w:ascii="Arial" w:hAnsi="Arial" w:cs="Arial"/>
          <w:color w:val="000000"/>
          <w:sz w:val="18"/>
          <w:szCs w:val="18"/>
        </w:rPr>
        <w:t>.</w:t>
      </w:r>
    </w:p>
  </w:footnote>
  <w:footnote w:id="29">
    <w:p w14:paraId="11194A04" w14:textId="4EFD9275" w:rsidR="00D2549D" w:rsidRDefault="00D2549D">
      <w:pPr>
        <w:pStyle w:val="FootnoteText"/>
      </w:pPr>
      <w:r>
        <w:rPr>
          <w:rStyle w:val="FootnoteReference"/>
        </w:rPr>
        <w:footnoteRef/>
      </w:r>
      <w:r>
        <w:t xml:space="preserve"> </w:t>
      </w:r>
      <w:r w:rsidRPr="00D2549D">
        <w:rPr>
          <w:rFonts w:ascii="Arial" w:hAnsi="Arial" w:cs="Arial"/>
          <w:color w:val="000000"/>
          <w:sz w:val="18"/>
          <w:szCs w:val="18"/>
        </w:rPr>
        <w:t>(</w:t>
      </w:r>
      <w:r w:rsidRPr="00D2549D">
        <w:rPr>
          <w:rFonts w:ascii="Arial" w:hAnsi="Arial" w:cs="Arial"/>
          <w:sz w:val="18"/>
          <w:szCs w:val="18"/>
        </w:rPr>
        <w:t>Lee, 2011).</w:t>
      </w:r>
    </w:p>
  </w:footnote>
  <w:footnote w:id="30">
    <w:p w14:paraId="6D72EB60" w14:textId="6944515C" w:rsidR="00564F18" w:rsidRDefault="00564F18" w:rsidP="0074754B">
      <w:pPr>
        <w:pStyle w:val="FootnoteText"/>
        <w:jc w:val="both"/>
      </w:pPr>
      <w:r>
        <w:rPr>
          <w:rStyle w:val="FootnoteReference"/>
        </w:rPr>
        <w:footnoteRef/>
      </w:r>
      <w:r>
        <w:t xml:space="preserve"> </w:t>
      </w:r>
      <w:r w:rsidRPr="00564F18">
        <w:rPr>
          <w:i/>
          <w:iCs/>
        </w:rPr>
        <w:t>Supra</w:t>
      </w:r>
      <w:r>
        <w:t xml:space="preserve">, note </w:t>
      </w:r>
      <w:r w:rsidR="00153E89">
        <w:t>7.</w:t>
      </w:r>
    </w:p>
  </w:footnote>
  <w:footnote w:id="31">
    <w:p w14:paraId="0D491CF7" w14:textId="773C6463" w:rsidR="00564F18" w:rsidRPr="00054CA6" w:rsidRDefault="00564F18" w:rsidP="0074754B">
      <w:pPr>
        <w:spacing w:after="0" w:line="240" w:lineRule="auto"/>
        <w:jc w:val="both"/>
        <w:rPr>
          <w:rFonts w:ascii="Arial" w:hAnsi="Arial" w:cs="Arial"/>
          <w:sz w:val="18"/>
          <w:szCs w:val="18"/>
        </w:rPr>
      </w:pPr>
      <w:r>
        <w:rPr>
          <w:rStyle w:val="FootnoteReference"/>
        </w:rPr>
        <w:footnoteRef/>
      </w:r>
      <w:r>
        <w:t xml:space="preserve"> </w:t>
      </w:r>
      <w:r w:rsidRPr="00054CA6">
        <w:rPr>
          <w:rFonts w:ascii="Arial" w:hAnsi="Arial" w:cs="Arial"/>
          <w:sz w:val="18"/>
          <w:szCs w:val="18"/>
        </w:rPr>
        <w:t xml:space="preserve">The UNCITRAL Model Law on Cross-Border Insolvency with Guide to Enactment and Interpretation is available at: https://www.uncitral.org/pdf/english/texts/insolven/1997-Model-Law-Insol-2013-GuideEnactment-e.pdf., 87 States in 120 jurisdictions have adopted legislation based on the </w:t>
      </w:r>
      <w:r w:rsidR="00153E89" w:rsidRPr="00054CA6">
        <w:rPr>
          <w:rFonts w:ascii="Arial" w:hAnsi="Arial" w:cs="Arial"/>
          <w:sz w:val="18"/>
          <w:szCs w:val="18"/>
        </w:rPr>
        <w:t>MLCBI.</w:t>
      </w:r>
    </w:p>
    <w:p w14:paraId="2B21473B" w14:textId="2816A8CD" w:rsidR="00564F18" w:rsidRPr="00564F18" w:rsidRDefault="00564F18" w:rsidP="0074754B">
      <w:pPr>
        <w:pStyle w:val="FootnoteText"/>
        <w:jc w:val="both"/>
        <w:rPr>
          <w:sz w:val="2"/>
          <w:szCs w:val="2"/>
        </w:rPr>
      </w:pPr>
    </w:p>
  </w:footnote>
  <w:footnote w:id="32">
    <w:p w14:paraId="79BE11A9" w14:textId="36AFAB51" w:rsidR="00564F18" w:rsidRDefault="00564F18" w:rsidP="0074754B">
      <w:pPr>
        <w:pStyle w:val="FootnoteText"/>
        <w:jc w:val="both"/>
      </w:pPr>
      <w:r>
        <w:rPr>
          <w:rStyle w:val="FootnoteReference"/>
        </w:rPr>
        <w:footnoteRef/>
      </w:r>
      <w:r>
        <w:t xml:space="preserve"> </w:t>
      </w:r>
      <w:r w:rsidRPr="00564F18">
        <w:rPr>
          <w:i/>
          <w:iCs/>
        </w:rPr>
        <w:t>Supra</w:t>
      </w:r>
      <w:r>
        <w:t>, note 7.</w:t>
      </w:r>
    </w:p>
  </w:footnote>
  <w:footnote w:id="33">
    <w:p w14:paraId="4198E9D9" w14:textId="1435F2EA" w:rsidR="0074754B" w:rsidRPr="0074754B" w:rsidRDefault="0074754B">
      <w:pPr>
        <w:pStyle w:val="FootnoteText"/>
        <w:rPr>
          <w:rFonts w:ascii="Arial" w:hAnsi="Arial" w:cs="Arial"/>
          <w:sz w:val="18"/>
          <w:szCs w:val="18"/>
        </w:rPr>
      </w:pPr>
      <w:r>
        <w:rPr>
          <w:rStyle w:val="FootnoteReference"/>
        </w:rPr>
        <w:footnoteRef/>
      </w:r>
      <w:r>
        <w:t xml:space="preserve"> Lee R. S. (2011). </w:t>
      </w:r>
      <w:r w:rsidRPr="0074754B">
        <w:rPr>
          <w:rFonts w:ascii="Arial" w:hAnsi="Arial" w:cs="Arial"/>
          <w:sz w:val="18"/>
          <w:szCs w:val="18"/>
        </w:rPr>
        <w:t xml:space="preserve">Corporate Reorganization as Corporate Reinvention: Boarders and Blockbusters in Chapter 11. </w:t>
      </w:r>
      <w:r w:rsidRPr="0074754B">
        <w:rPr>
          <w:rFonts w:ascii="Arial" w:hAnsi="Arial" w:cs="Arial"/>
          <w:i/>
          <w:iCs/>
          <w:sz w:val="18"/>
          <w:szCs w:val="18"/>
        </w:rPr>
        <w:t>Harvard Business Law Review Online</w:t>
      </w:r>
      <w:r w:rsidRPr="0074754B">
        <w:rPr>
          <w:rFonts w:ascii="Arial" w:hAnsi="Arial" w:cs="Arial"/>
          <w:sz w:val="18"/>
          <w:szCs w:val="18"/>
        </w:rPr>
        <w:t xml:space="preserve">, Vol. 1, No, 53, 2011. Available at SSRN: </w:t>
      </w:r>
      <w:hyperlink r:id="rId3" w:history="1">
        <w:r w:rsidRPr="0074754B">
          <w:rPr>
            <w:rStyle w:val="Hyperlink"/>
            <w:rFonts w:ascii="Arial" w:hAnsi="Arial" w:cs="Arial"/>
            <w:sz w:val="18"/>
            <w:szCs w:val="18"/>
          </w:rPr>
          <w:t>https://ssrn.com/abstract=1942126</w:t>
        </w:r>
      </w:hyperlink>
      <w:r w:rsidRPr="0074754B">
        <w:rPr>
          <w:rFonts w:ascii="Arial" w:hAnsi="Arial" w:cs="Arial"/>
          <w:sz w:val="18"/>
          <w:szCs w:val="18"/>
        </w:rPr>
        <w:t xml:space="preserve"> </w:t>
      </w:r>
    </w:p>
  </w:footnote>
  <w:footnote w:id="34">
    <w:p w14:paraId="53287452" w14:textId="77777777" w:rsidR="007B38DA" w:rsidRPr="00054CA6" w:rsidRDefault="007B38DA" w:rsidP="0074754B">
      <w:pPr>
        <w:pStyle w:val="FootnoteText"/>
        <w:jc w:val="both"/>
        <w:rPr>
          <w:sz w:val="18"/>
          <w:szCs w:val="18"/>
        </w:rPr>
      </w:pPr>
      <w:r>
        <w:rPr>
          <w:rStyle w:val="FootnoteReference"/>
        </w:rPr>
        <w:footnoteRef/>
      </w:r>
      <w:r>
        <w:t xml:space="preserve"> See </w:t>
      </w:r>
      <w:r w:rsidRPr="00054CA6">
        <w:rPr>
          <w:rFonts w:ascii="Arial" w:hAnsi="Arial" w:cs="Arial"/>
          <w:sz w:val="18"/>
          <w:szCs w:val="18"/>
        </w:rPr>
        <w:t>Adriaanse &amp; Kuijl, 2006; Garrido, 2012; Vidović, 2017</w:t>
      </w:r>
      <w:r>
        <w:rPr>
          <w:rFonts w:ascii="Arial" w:hAnsi="Arial" w:cs="Arial"/>
          <w:sz w:val="18"/>
          <w:szCs w:val="18"/>
        </w:rPr>
        <w:t>.</w:t>
      </w:r>
    </w:p>
  </w:footnote>
  <w:footnote w:id="35">
    <w:p w14:paraId="52035D82" w14:textId="77777777" w:rsidR="007B38DA" w:rsidRPr="00054CA6" w:rsidRDefault="007B38DA" w:rsidP="0074754B">
      <w:pPr>
        <w:pStyle w:val="FootnoteText"/>
        <w:jc w:val="both"/>
        <w:rPr>
          <w:rFonts w:ascii="Arial" w:hAnsi="Arial" w:cs="Arial"/>
          <w:sz w:val="18"/>
          <w:szCs w:val="18"/>
        </w:rPr>
      </w:pPr>
      <w:r>
        <w:rPr>
          <w:rStyle w:val="FootnoteReference"/>
        </w:rPr>
        <w:footnoteRef/>
      </w:r>
      <w:r>
        <w:t xml:space="preserve"> </w:t>
      </w:r>
      <w:r w:rsidRPr="00054CA6">
        <w:rPr>
          <w:rFonts w:ascii="Arial" w:hAnsi="Arial" w:cs="Arial"/>
          <w:sz w:val="18"/>
          <w:szCs w:val="18"/>
        </w:rPr>
        <w:t>See Garrido, 2012; Vidović, 2017.</w:t>
      </w:r>
    </w:p>
  </w:footnote>
  <w:footnote w:id="36">
    <w:p w14:paraId="66271765" w14:textId="77777777" w:rsidR="007B38DA" w:rsidRPr="00054CA6" w:rsidRDefault="007B38DA" w:rsidP="0074754B">
      <w:pPr>
        <w:pStyle w:val="FootnoteText"/>
        <w:jc w:val="both"/>
        <w:rPr>
          <w:sz w:val="18"/>
          <w:szCs w:val="18"/>
        </w:rPr>
      </w:pPr>
      <w:r>
        <w:rPr>
          <w:rStyle w:val="FootnoteReference"/>
        </w:rPr>
        <w:footnoteRef/>
      </w:r>
      <w:r>
        <w:t xml:space="preserve"> </w:t>
      </w:r>
      <w:r w:rsidRPr="00054CA6">
        <w:rPr>
          <w:rFonts w:ascii="Arial" w:hAnsi="Arial" w:cs="Arial"/>
          <w:sz w:val="18"/>
          <w:szCs w:val="18"/>
        </w:rPr>
        <w:t>According to Garrido (2012), "Restructuring activities can include measures that restructure the debtor's business (operational restructuring), and measures that restructure the debtor's finances (financial restructuring)" (p. 1).</w:t>
      </w:r>
    </w:p>
  </w:footnote>
  <w:footnote w:id="37">
    <w:p w14:paraId="04B96F5D" w14:textId="77777777" w:rsidR="007B38DA" w:rsidRPr="00054CA6" w:rsidRDefault="007B38DA" w:rsidP="0074754B">
      <w:pPr>
        <w:pStyle w:val="FootnoteText"/>
        <w:jc w:val="both"/>
        <w:rPr>
          <w:sz w:val="18"/>
          <w:szCs w:val="18"/>
        </w:rPr>
      </w:pPr>
      <w:r>
        <w:rPr>
          <w:rStyle w:val="FootnoteReference"/>
        </w:rPr>
        <w:footnoteRef/>
      </w:r>
      <w:r>
        <w:t xml:space="preserve"> </w:t>
      </w:r>
      <w:r>
        <w:rPr>
          <w:rFonts w:ascii="Arial" w:hAnsi="Arial" w:cs="Arial"/>
          <w:sz w:val="18"/>
          <w:szCs w:val="18"/>
        </w:rPr>
        <w:t xml:space="preserve">See </w:t>
      </w:r>
      <w:r w:rsidRPr="00054CA6">
        <w:rPr>
          <w:rFonts w:ascii="Arial" w:hAnsi="Arial" w:cs="Arial"/>
          <w:sz w:val="18"/>
          <w:szCs w:val="18"/>
        </w:rPr>
        <w:t>International Monetary Fund, 1999; The Law Firm Network, 2014.</w:t>
      </w:r>
    </w:p>
  </w:footnote>
  <w:footnote w:id="38">
    <w:p w14:paraId="3F68B04B" w14:textId="77777777" w:rsidR="00007BE0" w:rsidRPr="00007BE0" w:rsidRDefault="00007BE0" w:rsidP="007E15FA">
      <w:pPr>
        <w:pStyle w:val="FootnoteText"/>
        <w:rPr>
          <w:sz w:val="18"/>
          <w:szCs w:val="18"/>
        </w:rPr>
      </w:pPr>
      <w:r>
        <w:rPr>
          <w:rStyle w:val="FootnoteReference"/>
        </w:rPr>
        <w:footnoteRef/>
      </w:r>
      <w:r>
        <w:t xml:space="preserve"> </w:t>
      </w:r>
      <w:r w:rsidRPr="00007BE0">
        <w:rPr>
          <w:rFonts w:ascii="Arial" w:hAnsi="Arial" w:cs="Arial"/>
          <w:i/>
          <w:iCs/>
          <w:color w:val="222222"/>
          <w:sz w:val="18"/>
          <w:szCs w:val="18"/>
          <w:shd w:val="clear" w:color="auto" w:fill="FFFFFF"/>
        </w:rPr>
        <w:t>SUNERGY CALIFORNIA LLC v. Official Committee of Unsecured Creditors</w:t>
      </w:r>
      <w:r w:rsidRPr="00007BE0">
        <w:rPr>
          <w:rFonts w:ascii="Arial" w:hAnsi="Arial" w:cs="Arial"/>
          <w:color w:val="222222"/>
          <w:sz w:val="18"/>
          <w:szCs w:val="18"/>
          <w:shd w:val="clear" w:color="auto" w:fill="FFFFFF"/>
        </w:rPr>
        <w:t>, No. 2: 21-cv-01429-JAM (E.D. Cal. Oct. 28, 2021).</w:t>
      </w:r>
    </w:p>
  </w:footnote>
  <w:footnote w:id="39">
    <w:p w14:paraId="4E1BD783" w14:textId="4D3226BB" w:rsidR="00DE0F80" w:rsidRDefault="00DE0F80">
      <w:pPr>
        <w:pStyle w:val="FootnoteText"/>
      </w:pPr>
      <w:r>
        <w:rPr>
          <w:rStyle w:val="FootnoteReference"/>
        </w:rPr>
        <w:footnoteRef/>
      </w:r>
      <w:r>
        <w:t xml:space="preserve"> Ibid.</w:t>
      </w:r>
    </w:p>
  </w:footnote>
  <w:footnote w:id="40">
    <w:p w14:paraId="68B46911" w14:textId="2780E69F" w:rsidR="00AF335A" w:rsidRPr="00270964" w:rsidRDefault="00AF335A" w:rsidP="003E7F24">
      <w:pPr>
        <w:spacing w:after="0" w:line="240" w:lineRule="auto"/>
        <w:rPr>
          <w:rFonts w:ascii="Arial" w:hAnsi="Arial" w:cs="Arial"/>
          <w:sz w:val="18"/>
          <w:szCs w:val="18"/>
        </w:rPr>
      </w:pPr>
      <w:r>
        <w:rPr>
          <w:rStyle w:val="FootnoteReference"/>
        </w:rPr>
        <w:footnoteRef/>
      </w:r>
      <w:r>
        <w:t xml:space="preserve"> </w:t>
      </w:r>
      <w:r w:rsidRPr="00AF335A">
        <w:rPr>
          <w:rFonts w:ascii="Arial" w:hAnsi="Arial" w:cs="Arial"/>
          <w:color w:val="222222"/>
          <w:sz w:val="18"/>
          <w:szCs w:val="18"/>
          <w:shd w:val="clear" w:color="auto" w:fill="FFFFFF"/>
        </w:rPr>
        <w:t>Skeel Jr, D. A. (2009). Competing Narratives in Corporate Bankruptcy: Debtor in Control vs. No Time to Spare.</w:t>
      </w:r>
      <w:r w:rsidRPr="00AF335A">
        <w:rPr>
          <w:rFonts w:ascii="Arial" w:hAnsi="Arial" w:cs="Arial"/>
          <w:i/>
          <w:iCs/>
          <w:color w:val="222222"/>
          <w:sz w:val="18"/>
          <w:szCs w:val="18"/>
          <w:shd w:val="clear" w:color="auto" w:fill="FFFFFF"/>
        </w:rPr>
        <w:t>Mich. St. L. Rev.</w:t>
      </w:r>
      <w:r w:rsidRPr="00AF335A">
        <w:rPr>
          <w:rFonts w:ascii="Arial" w:hAnsi="Arial" w:cs="Arial"/>
          <w:color w:val="222222"/>
          <w:sz w:val="18"/>
          <w:szCs w:val="18"/>
          <w:shd w:val="clear" w:color="auto" w:fill="FFFFFF"/>
        </w:rPr>
        <w:t xml:space="preserve">, 1187. Retrieved July 23, 2023, from </w:t>
      </w:r>
      <w:hyperlink r:id="rId4" w:history="1">
        <w:r w:rsidRPr="00AF335A">
          <w:rPr>
            <w:rStyle w:val="Hyperlink"/>
            <w:rFonts w:ascii="Arial" w:hAnsi="Arial" w:cs="Arial"/>
            <w:sz w:val="18"/>
            <w:szCs w:val="18"/>
            <w:shd w:val="clear" w:color="auto" w:fill="FFFFFF"/>
          </w:rPr>
          <w:t>https://scholarship.law.upenn.edu/cgi/viewcontent.cgi?article=1327&amp;context=faculty_scholarship</w:t>
        </w:r>
      </w:hyperlink>
      <w:r>
        <w:rPr>
          <w:rFonts w:ascii="Arial" w:hAnsi="Arial" w:cs="Arial"/>
          <w:color w:val="222222"/>
          <w:shd w:val="clear" w:color="auto" w:fill="FFFFFF"/>
        </w:rPr>
        <w:t>. “</w:t>
      </w:r>
      <w:r w:rsidRPr="00270964">
        <w:rPr>
          <w:rFonts w:ascii="Arial" w:hAnsi="Arial" w:cs="Arial"/>
          <w:sz w:val="18"/>
          <w:szCs w:val="18"/>
        </w:rPr>
        <w:t>In the unusual case where everyone agrees that the business is not viable, the overall narrative indicates that it is time to close the business down and sell its assets for whatever they will bring as scrap. More often, the debtor’s representatives will insist that the business has great promise, but has been throttled by too much debt or an unexpected economic shock. The company, they will argue, is worth preserving—just like the railroads that were restructured in the early days of American corporate reorganization and the many businesses that have been reorganized in the century since.</w:t>
      </w:r>
      <w:r>
        <w:rPr>
          <w:rFonts w:ascii="Arial" w:hAnsi="Arial" w:cs="Arial"/>
          <w:sz w:val="18"/>
          <w:szCs w:val="18"/>
        </w:rPr>
        <w:t>”</w:t>
      </w:r>
    </w:p>
    <w:p w14:paraId="1E4692A5" w14:textId="40442665" w:rsidR="00AF335A" w:rsidRPr="00AF335A" w:rsidRDefault="00AF335A" w:rsidP="003E7F24">
      <w:pPr>
        <w:pStyle w:val="FootnoteText"/>
        <w:jc w:val="both"/>
        <w:rPr>
          <w:sz w:val="2"/>
          <w:szCs w:val="2"/>
        </w:rPr>
      </w:pPr>
    </w:p>
  </w:footnote>
  <w:footnote w:id="41">
    <w:p w14:paraId="570F0D35" w14:textId="72AFDA32" w:rsidR="00AF335A" w:rsidRPr="00AF335A" w:rsidRDefault="00AF335A" w:rsidP="003E7F24">
      <w:pPr>
        <w:pStyle w:val="FootnoteText"/>
        <w:jc w:val="both"/>
        <w:rPr>
          <w:rFonts w:ascii="Arial" w:hAnsi="Arial" w:cs="Arial"/>
          <w:sz w:val="18"/>
          <w:szCs w:val="18"/>
        </w:rPr>
      </w:pPr>
      <w:r>
        <w:rPr>
          <w:rStyle w:val="FootnoteReference"/>
        </w:rPr>
        <w:footnoteRef/>
      </w:r>
      <w:r>
        <w:t xml:space="preserve"> </w:t>
      </w:r>
      <w:r w:rsidRPr="00AF335A">
        <w:rPr>
          <w:rFonts w:ascii="Arial" w:hAnsi="Arial" w:cs="Arial"/>
          <w:color w:val="212121"/>
          <w:sz w:val="18"/>
          <w:szCs w:val="18"/>
        </w:rPr>
        <w:t>The Debtor In Possession, or DIP, refers to a person, business, or any entity that has sought Chapter 11 bankruptcy protection and is still in possession of property secured by a lien or other security interest on which creditors have a legal claim. The main purpose of DIP is to avoid a default on the creditors by operating a business during the liquidation.</w:t>
      </w:r>
      <w:r>
        <w:rPr>
          <w:rFonts w:ascii="Arial" w:hAnsi="Arial" w:cs="Arial"/>
          <w:color w:val="212121"/>
          <w:sz w:val="18"/>
          <w:szCs w:val="18"/>
        </w:rPr>
        <w:t xml:space="preserve"> </w:t>
      </w:r>
      <w:hyperlink r:id="rId5" w:history="1">
        <w:r w:rsidRPr="00643B0E">
          <w:rPr>
            <w:rStyle w:val="Hyperlink"/>
            <w:rFonts w:ascii="Arial" w:hAnsi="Arial" w:cs="Arial"/>
            <w:sz w:val="18"/>
            <w:szCs w:val="18"/>
          </w:rPr>
          <w:t>https://www.wallstreetmojo.com/debtor-in-possession/</w:t>
        </w:r>
      </w:hyperlink>
      <w:r>
        <w:rPr>
          <w:rFonts w:ascii="Arial" w:hAnsi="Arial" w:cs="Arial"/>
          <w:color w:val="212121"/>
          <w:sz w:val="18"/>
          <w:szCs w:val="18"/>
        </w:rPr>
        <w:t xml:space="preserve"> </w:t>
      </w:r>
    </w:p>
  </w:footnote>
  <w:footnote w:id="42">
    <w:p w14:paraId="28725636" w14:textId="125806E0" w:rsidR="003E35F2" w:rsidRDefault="003E35F2" w:rsidP="003E7F24">
      <w:pPr>
        <w:pStyle w:val="FootnoteText"/>
        <w:jc w:val="both"/>
      </w:pPr>
      <w:r>
        <w:rPr>
          <w:rStyle w:val="FootnoteReference"/>
        </w:rPr>
        <w:footnoteRef/>
      </w:r>
      <w:r>
        <w:t xml:space="preserve"> </w:t>
      </w:r>
      <w:r w:rsidRPr="003E35F2">
        <w:rPr>
          <w:rFonts w:ascii="Arial" w:hAnsi="Arial" w:cs="Arial"/>
          <w:sz w:val="18"/>
          <w:szCs w:val="18"/>
        </w:rPr>
        <w:t>(Garrido, 2012; Dick, 2021).</w:t>
      </w:r>
    </w:p>
  </w:footnote>
  <w:footnote w:id="43">
    <w:p w14:paraId="4FA930C8" w14:textId="77777777" w:rsidR="00880124" w:rsidRDefault="00880124" w:rsidP="00880124">
      <w:pPr>
        <w:pStyle w:val="FootnoteText"/>
        <w:jc w:val="both"/>
      </w:pPr>
      <w:r>
        <w:rPr>
          <w:rStyle w:val="FootnoteReference"/>
        </w:rPr>
        <w:footnoteRef/>
      </w:r>
      <w:r>
        <w:t xml:space="preserve"> If COMI exist elsewhere the secured creditors typically requests the court to dismiss the case in favor of commencing proceedings in another jurisdiction. This effort by creditors have not always been successful.</w:t>
      </w:r>
    </w:p>
    <w:p w14:paraId="547CA15D" w14:textId="28C1439F" w:rsidR="00880124" w:rsidRPr="003E7F24" w:rsidRDefault="00880124" w:rsidP="00880124">
      <w:pPr>
        <w:pStyle w:val="FootnoteText"/>
        <w:rPr>
          <w:sz w:val="2"/>
          <w:szCs w:val="2"/>
        </w:rPr>
      </w:pPr>
    </w:p>
  </w:footnote>
  <w:footnote w:id="44">
    <w:p w14:paraId="0E9F989F" w14:textId="0CED85F1" w:rsidR="000E5DBC" w:rsidRPr="00270964" w:rsidRDefault="000E5DBC" w:rsidP="00F02A8E">
      <w:pPr>
        <w:spacing w:after="0" w:line="240" w:lineRule="auto"/>
        <w:jc w:val="both"/>
        <w:rPr>
          <w:rFonts w:ascii="Arial" w:hAnsi="Arial" w:cs="Arial"/>
          <w:sz w:val="18"/>
          <w:szCs w:val="18"/>
        </w:rPr>
      </w:pPr>
      <w:r>
        <w:rPr>
          <w:rStyle w:val="FootnoteReference"/>
        </w:rPr>
        <w:footnoteRef/>
      </w:r>
      <w:r>
        <w:t xml:space="preserve"> </w:t>
      </w:r>
      <w:r w:rsidRPr="000E5DBC">
        <w:rPr>
          <w:rFonts w:ascii="Arial" w:hAnsi="Arial" w:cs="Arial"/>
          <w:sz w:val="18"/>
          <w:szCs w:val="18"/>
        </w:rPr>
        <w:t>Wessels &amp; Kokorin (2023).</w:t>
      </w:r>
      <w:r>
        <w:t xml:space="preserve"> “</w:t>
      </w:r>
      <w:r w:rsidRPr="00270964">
        <w:rPr>
          <w:rFonts w:ascii="Arial" w:hAnsi="Arial" w:cs="Arial"/>
          <w:sz w:val="18"/>
          <w:szCs w:val="18"/>
        </w:rPr>
        <w:t>Before opening insolvency proceedings, the competent court is under an obligation to examine [of] its own motion whether the center of the debtor’s main interest is actually located within its jurisdiction (Recital 27).</w:t>
      </w:r>
      <w:r>
        <w:rPr>
          <w:rFonts w:ascii="Arial" w:hAnsi="Arial" w:cs="Arial"/>
          <w:sz w:val="18"/>
          <w:szCs w:val="18"/>
        </w:rPr>
        <w:t>” The concept of COMI will apply to all of the entities within the group that seeks an insolvency solution.</w:t>
      </w:r>
    </w:p>
    <w:p w14:paraId="440AC240" w14:textId="1BAEC77B" w:rsidR="000E5DBC" w:rsidRPr="00F02A8E" w:rsidRDefault="000E5DBC">
      <w:pPr>
        <w:pStyle w:val="FootnoteText"/>
        <w:rPr>
          <w:sz w:val="2"/>
          <w:szCs w:val="2"/>
        </w:rPr>
      </w:pPr>
    </w:p>
  </w:footnote>
  <w:footnote w:id="45">
    <w:p w14:paraId="1179070A" w14:textId="4F72D4A4" w:rsidR="004A0322" w:rsidRDefault="004A0322">
      <w:pPr>
        <w:pStyle w:val="FootnoteText"/>
      </w:pPr>
      <w:r>
        <w:rPr>
          <w:rStyle w:val="FootnoteReference"/>
        </w:rPr>
        <w:footnoteRef/>
      </w:r>
      <w:r>
        <w:t xml:space="preserve"> </w:t>
      </w:r>
      <w:r w:rsidRPr="004A0322">
        <w:rPr>
          <w:rFonts w:ascii="Arial" w:hAnsi="Arial" w:cs="Arial"/>
          <w:sz w:val="18"/>
          <w:szCs w:val="18"/>
        </w:rPr>
        <w:t>(Vidović, 2017).</w:t>
      </w:r>
    </w:p>
  </w:footnote>
  <w:footnote w:id="46">
    <w:p w14:paraId="5F9DD642" w14:textId="77777777" w:rsidR="00FF0188" w:rsidRPr="008B2FC2" w:rsidRDefault="00FF0188" w:rsidP="00FF0188">
      <w:pPr>
        <w:spacing w:after="0"/>
        <w:ind w:left="567" w:hanging="567"/>
        <w:rPr>
          <w:rFonts w:ascii="Arial" w:hAnsi="Arial" w:cs="Arial"/>
          <w:color w:val="222222"/>
          <w:sz w:val="18"/>
          <w:szCs w:val="18"/>
          <w:shd w:val="clear" w:color="auto" w:fill="FFFFFF"/>
        </w:rPr>
      </w:pPr>
      <w:r>
        <w:rPr>
          <w:rStyle w:val="FootnoteReference"/>
        </w:rPr>
        <w:footnoteRef/>
      </w:r>
      <w:r>
        <w:t xml:space="preserve"> </w:t>
      </w:r>
      <w:hyperlink r:id="rId6" w:history="1">
        <w:r w:rsidRPr="00643B0E">
          <w:rPr>
            <w:rStyle w:val="Hyperlink"/>
            <w:rFonts w:ascii="Arial" w:hAnsi="Arial" w:cs="Arial"/>
            <w:sz w:val="18"/>
            <w:szCs w:val="18"/>
            <w:shd w:val="clear" w:color="auto" w:fill="FFFFFF"/>
          </w:rPr>
          <w:t>https://www.investopedia.com/terms/b/brexit.asp</w:t>
        </w:r>
      </w:hyperlink>
      <w:r>
        <w:rPr>
          <w:rFonts w:ascii="Arial" w:hAnsi="Arial" w:cs="Arial"/>
          <w:color w:val="222222"/>
          <w:sz w:val="18"/>
          <w:szCs w:val="18"/>
          <w:shd w:val="clear" w:color="auto" w:fill="FFFFFF"/>
        </w:rPr>
        <w:t xml:space="preserve"> </w:t>
      </w:r>
    </w:p>
    <w:p w14:paraId="45318209" w14:textId="77777777" w:rsidR="00FF0188" w:rsidRPr="008B2FC2" w:rsidRDefault="00FF0188" w:rsidP="00FF0188">
      <w:pPr>
        <w:pStyle w:val="FootnoteText"/>
        <w:rPr>
          <w:sz w:val="2"/>
          <w:szCs w:val="2"/>
        </w:rPr>
      </w:pPr>
    </w:p>
  </w:footnote>
  <w:footnote w:id="47">
    <w:p w14:paraId="175667DE" w14:textId="77777777" w:rsidR="00FF0188" w:rsidRDefault="00FF0188" w:rsidP="00FF0188">
      <w:pPr>
        <w:pStyle w:val="FootnoteText"/>
      </w:pPr>
      <w:r>
        <w:rPr>
          <w:rStyle w:val="FootnoteReference"/>
        </w:rPr>
        <w:footnoteRef/>
      </w:r>
      <w:r>
        <w:t xml:space="preserve"> Ibid.</w:t>
      </w:r>
    </w:p>
  </w:footnote>
  <w:footnote w:id="48">
    <w:p w14:paraId="68DB65E5" w14:textId="77777777" w:rsidR="00FF0188" w:rsidRDefault="00FF0188" w:rsidP="00FF0188">
      <w:pPr>
        <w:pStyle w:val="FootnoteText"/>
      </w:pPr>
      <w:r>
        <w:rPr>
          <w:rStyle w:val="FootnoteReference"/>
        </w:rPr>
        <w:footnoteRef/>
      </w:r>
      <w:r>
        <w:t xml:space="preserve"> Ibid.</w:t>
      </w:r>
    </w:p>
  </w:footnote>
  <w:footnote w:id="49">
    <w:p w14:paraId="7662C61D" w14:textId="068C2711" w:rsidR="00FF62FC" w:rsidRDefault="00FF62FC">
      <w:pPr>
        <w:pStyle w:val="FootnoteText"/>
      </w:pPr>
      <w:r>
        <w:rPr>
          <w:rStyle w:val="FootnoteReference"/>
        </w:rPr>
        <w:footnoteRef/>
      </w:r>
      <w:r>
        <w:t xml:space="preserve"> This diagram does not show a conclusive solution. In the statement of Facts that accompanied this Case Study, the Professors noted</w:t>
      </w:r>
      <w:r w:rsidR="00F573CA">
        <w:t>:</w:t>
      </w:r>
      <w:r>
        <w:t xml:space="preserve"> </w:t>
      </w:r>
      <w:r w:rsidR="00F573CA">
        <w:t>“</w:t>
      </w:r>
      <w:r w:rsidR="00F573CA" w:rsidRPr="00F573CA">
        <w:t>Please note that there is no right answer. The outcome is entirely dependent on your assessment of the facts and strategy you choose to deal with the facts as stated.</w:t>
      </w:r>
      <w:r w:rsidR="00F573CA">
        <w:t>” GIPC 2023 Case Study 11 (p. 5)</w:t>
      </w:r>
    </w:p>
  </w:footnote>
  <w:footnote w:id="50">
    <w:p w14:paraId="66589770" w14:textId="3F69859B" w:rsidR="00F573CA" w:rsidRDefault="00F573CA">
      <w:pPr>
        <w:pStyle w:val="FootnoteText"/>
      </w:pPr>
      <w:r>
        <w:rPr>
          <w:rStyle w:val="FootnoteReference"/>
        </w:rPr>
        <w:footnoteRef/>
      </w:r>
      <w:r>
        <w:t xml:space="preserve"> </w:t>
      </w:r>
      <w:r w:rsidRPr="00F573CA">
        <w:rPr>
          <w:i/>
          <w:iCs/>
        </w:rPr>
        <w:t>Supra</w:t>
      </w:r>
      <w:r>
        <w:t>. Note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8A92" w14:textId="77777777" w:rsidR="005D6B3B" w:rsidRPr="005D13E6" w:rsidRDefault="005D6B3B" w:rsidP="005D6B3B">
    <w:pPr>
      <w:pStyle w:val="Header"/>
      <w:jc w:val="center"/>
      <w:rPr>
        <w:rFonts w:ascii="Arial" w:hAnsi="Arial" w:cs="Arial"/>
        <w:b/>
        <w:bCs/>
        <w:sz w:val="28"/>
        <w:szCs w:val="28"/>
      </w:rPr>
    </w:pPr>
    <w:r w:rsidRPr="005D13E6">
      <w:rPr>
        <w:rFonts w:ascii="Arial" w:hAnsi="Arial" w:cs="Arial"/>
        <w:b/>
        <w:bCs/>
        <w:sz w:val="28"/>
        <w:szCs w:val="28"/>
      </w:rPr>
      <w:t>ABC &amp; ASSOCIATES</w:t>
    </w:r>
  </w:p>
  <w:p w14:paraId="3C69D071" w14:textId="77777777" w:rsidR="005D6B3B" w:rsidRPr="005D13E6" w:rsidRDefault="005D6B3B" w:rsidP="005D6B3B">
    <w:pPr>
      <w:pStyle w:val="Header"/>
      <w:jc w:val="center"/>
      <w:rPr>
        <w:rFonts w:ascii="Arial" w:hAnsi="Arial" w:cs="Arial"/>
        <w:b/>
        <w:bCs/>
        <w:sz w:val="28"/>
        <w:szCs w:val="28"/>
      </w:rPr>
    </w:pPr>
    <w:r w:rsidRPr="005D13E6">
      <w:rPr>
        <w:rFonts w:ascii="Arial" w:hAnsi="Arial" w:cs="Arial"/>
        <w:b/>
        <w:bCs/>
        <w:sz w:val="28"/>
        <w:szCs w:val="28"/>
      </w:rPr>
      <w:t>INSOLVENCY PRACTITIONERS</w:t>
    </w:r>
  </w:p>
  <w:p w14:paraId="426E4AE1" w14:textId="77777777" w:rsidR="005D6B3B" w:rsidRPr="005D13E6" w:rsidRDefault="005D6B3B" w:rsidP="005D6B3B">
    <w:pPr>
      <w:pStyle w:val="Header"/>
      <w:jc w:val="center"/>
      <w:rPr>
        <w:rFonts w:ascii="Arial" w:hAnsi="Arial" w:cs="Arial"/>
        <w:b/>
        <w:bCs/>
        <w:sz w:val="28"/>
        <w:szCs w:val="28"/>
      </w:rPr>
    </w:pPr>
    <w:r w:rsidRPr="005D13E6">
      <w:rPr>
        <w:rFonts w:ascii="Arial" w:hAnsi="Arial" w:cs="Arial"/>
        <w:b/>
        <w:bCs/>
        <w:sz w:val="28"/>
        <w:szCs w:val="28"/>
      </w:rPr>
      <w:t>NASSAU, THE BAHAMAS</w:t>
    </w:r>
  </w:p>
  <w:p w14:paraId="1C3B6CB0" w14:textId="77777777" w:rsidR="005D6B3B" w:rsidRPr="005D13E6" w:rsidRDefault="005D6B3B" w:rsidP="005D6B3B">
    <w:pPr>
      <w:pStyle w:val="Header"/>
      <w:jc w:val="center"/>
      <w:rPr>
        <w:rFonts w:ascii="Arial" w:hAnsi="Arial" w:cs="Arial"/>
        <w:b/>
        <w:bCs/>
        <w:sz w:val="28"/>
        <w:szCs w:val="28"/>
      </w:rPr>
    </w:pPr>
    <w:r w:rsidRPr="005D13E6">
      <w:rPr>
        <w:rFonts w:ascii="Arial" w:hAnsi="Arial" w:cs="Arial"/>
        <w:b/>
        <w:bCs/>
        <w:sz w:val="28"/>
        <w:szCs w:val="28"/>
      </w:rPr>
      <w:t xml:space="preserve">EMAIL: </w:t>
    </w:r>
    <w:hyperlink r:id="rId1" w:history="1">
      <w:r w:rsidRPr="005D13E6">
        <w:rPr>
          <w:rStyle w:val="Hyperlink"/>
          <w:rFonts w:ascii="Arial" w:hAnsi="Arial" w:cs="Arial"/>
          <w:b/>
          <w:bCs/>
          <w:sz w:val="28"/>
          <w:szCs w:val="28"/>
        </w:rPr>
        <w:t>info@abc.com</w:t>
      </w:r>
    </w:hyperlink>
  </w:p>
  <w:p w14:paraId="37443FAE" w14:textId="4C71A4C5" w:rsidR="007205D3" w:rsidRDefault="005D6B3B" w:rsidP="005D13E6">
    <w:pPr>
      <w:pStyle w:val="Header"/>
      <w:jc w:val="center"/>
    </w:pPr>
    <w:r w:rsidRPr="005D13E6">
      <w:rPr>
        <w:rFonts w:ascii="Arial" w:hAnsi="Arial" w:cs="Arial"/>
        <w:b/>
        <w:bCs/>
        <w:sz w:val="28"/>
        <w:szCs w:val="28"/>
      </w:rPr>
      <w:t>TELEPHONE (242) 555-5555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68B7" w14:textId="218218D0" w:rsidR="005D6B3B" w:rsidRPr="005D6B3B" w:rsidRDefault="005D6B3B" w:rsidP="005D6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266"/>
    <w:multiLevelType w:val="hybridMultilevel"/>
    <w:tmpl w:val="24A8CBE0"/>
    <w:lvl w:ilvl="0" w:tplc="0FBAC7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B65D1"/>
    <w:multiLevelType w:val="hybridMultilevel"/>
    <w:tmpl w:val="7C486290"/>
    <w:lvl w:ilvl="0" w:tplc="04090019">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 w15:restartNumberingAfterBreak="0">
    <w:nsid w:val="182B6707"/>
    <w:multiLevelType w:val="hybridMultilevel"/>
    <w:tmpl w:val="5DF858CA"/>
    <w:lvl w:ilvl="0" w:tplc="0409000B">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2073C6"/>
    <w:multiLevelType w:val="hybridMultilevel"/>
    <w:tmpl w:val="967A70A2"/>
    <w:lvl w:ilvl="0" w:tplc="3C24A626">
      <w:start w:val="3"/>
      <w:numFmt w:val="decimal"/>
      <w:lvlText w:val="%1."/>
      <w:lvlJc w:val="left"/>
      <w:pPr>
        <w:ind w:left="1650" w:hanging="570"/>
      </w:pPr>
      <w:rPr>
        <w:rFonts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31C20"/>
    <w:multiLevelType w:val="hybridMultilevel"/>
    <w:tmpl w:val="CFDCB59E"/>
    <w:lvl w:ilvl="0" w:tplc="04090019">
      <w:start w:val="1"/>
      <w:numFmt w:val="lowerLetter"/>
      <w:lvlText w:val="%1."/>
      <w:lvlJc w:val="left"/>
      <w:pPr>
        <w:ind w:left="720" w:hanging="360"/>
      </w:pPr>
    </w:lvl>
    <w:lvl w:ilvl="1" w:tplc="1A883D4E">
      <w:start w:val="1"/>
      <w:numFmt w:val="decimal"/>
      <w:lvlText w:val="%2."/>
      <w:lvlJc w:val="left"/>
      <w:pPr>
        <w:ind w:left="1650" w:hanging="570"/>
      </w:pPr>
      <w:rPr>
        <w:rFonts w:hint="default"/>
        <w:b w:val="0"/>
        <w:bCs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E4952"/>
    <w:multiLevelType w:val="hybridMultilevel"/>
    <w:tmpl w:val="1B9E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92301"/>
    <w:multiLevelType w:val="hybridMultilevel"/>
    <w:tmpl w:val="249A857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FF77A22"/>
    <w:multiLevelType w:val="hybridMultilevel"/>
    <w:tmpl w:val="CE58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C124E"/>
    <w:multiLevelType w:val="hybridMultilevel"/>
    <w:tmpl w:val="EC26F096"/>
    <w:lvl w:ilvl="0" w:tplc="1A883D4E">
      <w:start w:val="1"/>
      <w:numFmt w:val="decimal"/>
      <w:lvlText w:val="%1."/>
      <w:lvlJc w:val="left"/>
      <w:pPr>
        <w:ind w:left="1650" w:hanging="570"/>
      </w:pPr>
      <w:rPr>
        <w:rFonts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393343">
    <w:abstractNumId w:val="4"/>
  </w:num>
  <w:num w:numId="2" w16cid:durableId="751387907">
    <w:abstractNumId w:val="5"/>
  </w:num>
  <w:num w:numId="3" w16cid:durableId="519197740">
    <w:abstractNumId w:val="2"/>
  </w:num>
  <w:num w:numId="4" w16cid:durableId="642277872">
    <w:abstractNumId w:val="6"/>
  </w:num>
  <w:num w:numId="5" w16cid:durableId="1258558514">
    <w:abstractNumId w:val="8"/>
  </w:num>
  <w:num w:numId="6" w16cid:durableId="1510094511">
    <w:abstractNumId w:val="3"/>
  </w:num>
  <w:num w:numId="7" w16cid:durableId="1994793522">
    <w:abstractNumId w:val="1"/>
  </w:num>
  <w:num w:numId="8" w16cid:durableId="2130472837">
    <w:abstractNumId w:val="0"/>
  </w:num>
  <w:num w:numId="9" w16cid:durableId="17961751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0MDcyMjAyNTG1MDZR0lEKTi0uzszPAykwrwUA3CN6uCwAAAA="/>
  </w:docVars>
  <w:rsids>
    <w:rsidRoot w:val="000209E8"/>
    <w:rsid w:val="00007BE0"/>
    <w:rsid w:val="000209E8"/>
    <w:rsid w:val="00032103"/>
    <w:rsid w:val="000507A8"/>
    <w:rsid w:val="0005532B"/>
    <w:rsid w:val="00056A3B"/>
    <w:rsid w:val="000611C4"/>
    <w:rsid w:val="0006580F"/>
    <w:rsid w:val="000A081B"/>
    <w:rsid w:val="000D01FD"/>
    <w:rsid w:val="000D6727"/>
    <w:rsid w:val="000E5DBC"/>
    <w:rsid w:val="001077E0"/>
    <w:rsid w:val="00132D71"/>
    <w:rsid w:val="00153E89"/>
    <w:rsid w:val="00167AE9"/>
    <w:rsid w:val="00224367"/>
    <w:rsid w:val="0024119A"/>
    <w:rsid w:val="00253427"/>
    <w:rsid w:val="00260CD6"/>
    <w:rsid w:val="0028783B"/>
    <w:rsid w:val="00292527"/>
    <w:rsid w:val="0029340C"/>
    <w:rsid w:val="002E6FDA"/>
    <w:rsid w:val="00323049"/>
    <w:rsid w:val="0037226D"/>
    <w:rsid w:val="00387B69"/>
    <w:rsid w:val="003A303A"/>
    <w:rsid w:val="003B0CBA"/>
    <w:rsid w:val="003B507D"/>
    <w:rsid w:val="003E2B8A"/>
    <w:rsid w:val="003E35F2"/>
    <w:rsid w:val="003E5433"/>
    <w:rsid w:val="003E7F24"/>
    <w:rsid w:val="0041314A"/>
    <w:rsid w:val="00414F6C"/>
    <w:rsid w:val="00444EEA"/>
    <w:rsid w:val="00460430"/>
    <w:rsid w:val="004A0322"/>
    <w:rsid w:val="004D7679"/>
    <w:rsid w:val="00500876"/>
    <w:rsid w:val="00511EBE"/>
    <w:rsid w:val="005251DD"/>
    <w:rsid w:val="00551091"/>
    <w:rsid w:val="00553F84"/>
    <w:rsid w:val="005627C0"/>
    <w:rsid w:val="00564F18"/>
    <w:rsid w:val="0057674B"/>
    <w:rsid w:val="005B6E6F"/>
    <w:rsid w:val="005C3BD9"/>
    <w:rsid w:val="005C45C1"/>
    <w:rsid w:val="005D13E6"/>
    <w:rsid w:val="005D6B3B"/>
    <w:rsid w:val="005E786F"/>
    <w:rsid w:val="005F0971"/>
    <w:rsid w:val="005F27DA"/>
    <w:rsid w:val="005F7EA2"/>
    <w:rsid w:val="00601C88"/>
    <w:rsid w:val="00611C55"/>
    <w:rsid w:val="006257ED"/>
    <w:rsid w:val="006366CA"/>
    <w:rsid w:val="00637626"/>
    <w:rsid w:val="006410C2"/>
    <w:rsid w:val="0066188C"/>
    <w:rsid w:val="007076F7"/>
    <w:rsid w:val="007205D3"/>
    <w:rsid w:val="00736538"/>
    <w:rsid w:val="0074754B"/>
    <w:rsid w:val="00750D3A"/>
    <w:rsid w:val="00781407"/>
    <w:rsid w:val="0078675A"/>
    <w:rsid w:val="007B38DA"/>
    <w:rsid w:val="007C3025"/>
    <w:rsid w:val="007C3CDC"/>
    <w:rsid w:val="007E15FA"/>
    <w:rsid w:val="007E209C"/>
    <w:rsid w:val="007F6267"/>
    <w:rsid w:val="008038AA"/>
    <w:rsid w:val="008263C9"/>
    <w:rsid w:val="0084165C"/>
    <w:rsid w:val="00854EEB"/>
    <w:rsid w:val="0085580F"/>
    <w:rsid w:val="008678B0"/>
    <w:rsid w:val="00880124"/>
    <w:rsid w:val="00890D08"/>
    <w:rsid w:val="008B2FC2"/>
    <w:rsid w:val="008B37F8"/>
    <w:rsid w:val="008B59AF"/>
    <w:rsid w:val="0090160E"/>
    <w:rsid w:val="00937C6E"/>
    <w:rsid w:val="00943105"/>
    <w:rsid w:val="00943D8D"/>
    <w:rsid w:val="00965F15"/>
    <w:rsid w:val="00965F9C"/>
    <w:rsid w:val="009768F4"/>
    <w:rsid w:val="00993766"/>
    <w:rsid w:val="009B6124"/>
    <w:rsid w:val="009E3B33"/>
    <w:rsid w:val="009F3815"/>
    <w:rsid w:val="00A333C1"/>
    <w:rsid w:val="00A63A57"/>
    <w:rsid w:val="00A855F3"/>
    <w:rsid w:val="00A91ED8"/>
    <w:rsid w:val="00AD7C49"/>
    <w:rsid w:val="00AE3F7B"/>
    <w:rsid w:val="00AF335A"/>
    <w:rsid w:val="00B1593B"/>
    <w:rsid w:val="00B1708C"/>
    <w:rsid w:val="00B63FD6"/>
    <w:rsid w:val="00B833E5"/>
    <w:rsid w:val="00BB3FF3"/>
    <w:rsid w:val="00BC0FF6"/>
    <w:rsid w:val="00BE0C52"/>
    <w:rsid w:val="00C617CB"/>
    <w:rsid w:val="00C65030"/>
    <w:rsid w:val="00CB555B"/>
    <w:rsid w:val="00CE0713"/>
    <w:rsid w:val="00CF66BA"/>
    <w:rsid w:val="00D05C58"/>
    <w:rsid w:val="00D15A4C"/>
    <w:rsid w:val="00D2549D"/>
    <w:rsid w:val="00D27323"/>
    <w:rsid w:val="00D42164"/>
    <w:rsid w:val="00D57C66"/>
    <w:rsid w:val="00D65E81"/>
    <w:rsid w:val="00DA37DF"/>
    <w:rsid w:val="00DE0F80"/>
    <w:rsid w:val="00DE63C5"/>
    <w:rsid w:val="00DF4105"/>
    <w:rsid w:val="00E0708B"/>
    <w:rsid w:val="00E428AC"/>
    <w:rsid w:val="00E53DE5"/>
    <w:rsid w:val="00E94C00"/>
    <w:rsid w:val="00E94CD9"/>
    <w:rsid w:val="00EB6400"/>
    <w:rsid w:val="00ED0CD9"/>
    <w:rsid w:val="00ED7680"/>
    <w:rsid w:val="00F02A8E"/>
    <w:rsid w:val="00F31CD8"/>
    <w:rsid w:val="00F52076"/>
    <w:rsid w:val="00F573CA"/>
    <w:rsid w:val="00F607B2"/>
    <w:rsid w:val="00F66EBA"/>
    <w:rsid w:val="00F7158A"/>
    <w:rsid w:val="00F73EC0"/>
    <w:rsid w:val="00FC36DF"/>
    <w:rsid w:val="00FC5B4A"/>
    <w:rsid w:val="00FE1837"/>
    <w:rsid w:val="00FF0188"/>
    <w:rsid w:val="00FF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062A"/>
  <w15:chartTrackingRefBased/>
  <w15:docId w15:val="{7C1300CA-C3B5-4A79-8272-ABF978D3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E8"/>
  </w:style>
  <w:style w:type="paragraph" w:styleId="Heading1">
    <w:name w:val="heading 1"/>
    <w:basedOn w:val="Normal"/>
    <w:next w:val="Normal"/>
    <w:link w:val="Heading1Char"/>
    <w:uiPriority w:val="9"/>
    <w:qFormat/>
    <w:rsid w:val="000209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4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rsid w:val="000209E8"/>
    <w:pPr>
      <w:keepNext w:val="0"/>
      <w:keepLines w:val="0"/>
      <w:spacing w:before="0" w:line="480" w:lineRule="auto"/>
      <w:jc w:val="center"/>
    </w:pPr>
    <w:rPr>
      <w:rFonts w:ascii="Times New Roman" w:eastAsia="Times New Roman" w:hAnsi="Times New Roman" w:cs="Times New Roman"/>
      <w:color w:val="auto"/>
      <w:kern w:val="0"/>
      <w:sz w:val="24"/>
      <w:szCs w:val="20"/>
      <w14:ligatures w14:val="none"/>
    </w:rPr>
  </w:style>
  <w:style w:type="character" w:customStyle="1" w:styleId="TitleChar">
    <w:name w:val="Title Char"/>
    <w:basedOn w:val="DefaultParagraphFont"/>
    <w:link w:val="Title"/>
    <w:rsid w:val="000209E8"/>
    <w:rPr>
      <w:rFonts w:ascii="Times New Roman" w:eastAsia="Times New Roman" w:hAnsi="Times New Roman" w:cs="Times New Roman"/>
      <w:kern w:val="0"/>
      <w:sz w:val="24"/>
      <w:szCs w:val="20"/>
      <w14:ligatures w14:val="none"/>
    </w:rPr>
  </w:style>
  <w:style w:type="character" w:customStyle="1" w:styleId="Heading1Char">
    <w:name w:val="Heading 1 Char"/>
    <w:basedOn w:val="DefaultParagraphFont"/>
    <w:link w:val="Heading1"/>
    <w:uiPriority w:val="9"/>
    <w:rsid w:val="000209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340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9340C"/>
    <w:pPr>
      <w:ind w:left="720"/>
      <w:contextualSpacing/>
    </w:pPr>
  </w:style>
  <w:style w:type="character" w:customStyle="1" w:styleId="fontstyle01">
    <w:name w:val="fontstyle01"/>
    <w:basedOn w:val="DefaultParagraphFont"/>
    <w:rsid w:val="007F6267"/>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F6267"/>
    <w:rPr>
      <w:rFonts w:ascii="TimesNewRomanPS-ItalicMT" w:hAnsi="TimesNewRomanPS-ItalicMT" w:hint="default"/>
      <w:b w:val="0"/>
      <w:bCs w:val="0"/>
      <w:i/>
      <w:iCs/>
      <w:color w:val="000000"/>
      <w:sz w:val="24"/>
      <w:szCs w:val="24"/>
    </w:rPr>
  </w:style>
  <w:style w:type="paragraph" w:styleId="Header">
    <w:name w:val="header"/>
    <w:basedOn w:val="Normal"/>
    <w:link w:val="HeaderChar"/>
    <w:uiPriority w:val="99"/>
    <w:unhideWhenUsed/>
    <w:rsid w:val="005D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E6"/>
  </w:style>
  <w:style w:type="paragraph" w:styleId="Footer">
    <w:name w:val="footer"/>
    <w:basedOn w:val="Normal"/>
    <w:link w:val="FooterChar"/>
    <w:uiPriority w:val="99"/>
    <w:unhideWhenUsed/>
    <w:rsid w:val="005D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E6"/>
  </w:style>
  <w:style w:type="character" w:styleId="Hyperlink">
    <w:name w:val="Hyperlink"/>
    <w:basedOn w:val="DefaultParagraphFont"/>
    <w:uiPriority w:val="99"/>
    <w:unhideWhenUsed/>
    <w:rsid w:val="005D13E6"/>
    <w:rPr>
      <w:color w:val="0563C1" w:themeColor="hyperlink"/>
      <w:u w:val="single"/>
    </w:rPr>
  </w:style>
  <w:style w:type="character" w:styleId="UnresolvedMention">
    <w:name w:val="Unresolved Mention"/>
    <w:basedOn w:val="DefaultParagraphFont"/>
    <w:uiPriority w:val="99"/>
    <w:semiHidden/>
    <w:unhideWhenUsed/>
    <w:rsid w:val="005D13E6"/>
    <w:rPr>
      <w:color w:val="605E5C"/>
      <w:shd w:val="clear" w:color="auto" w:fill="E1DFDD"/>
    </w:rPr>
  </w:style>
  <w:style w:type="paragraph" w:styleId="FootnoteText">
    <w:name w:val="footnote text"/>
    <w:basedOn w:val="Normal"/>
    <w:link w:val="FootnoteTextChar"/>
    <w:uiPriority w:val="99"/>
    <w:semiHidden/>
    <w:unhideWhenUsed/>
    <w:rsid w:val="00826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3C9"/>
    <w:rPr>
      <w:sz w:val="20"/>
      <w:szCs w:val="20"/>
    </w:rPr>
  </w:style>
  <w:style w:type="character" w:styleId="FootnoteReference">
    <w:name w:val="footnote reference"/>
    <w:basedOn w:val="DefaultParagraphFont"/>
    <w:uiPriority w:val="99"/>
    <w:semiHidden/>
    <w:unhideWhenUsed/>
    <w:rsid w:val="008263C9"/>
    <w:rPr>
      <w:vertAlign w:val="superscript"/>
    </w:rPr>
  </w:style>
  <w:style w:type="paragraph" w:styleId="Caption">
    <w:name w:val="caption"/>
    <w:basedOn w:val="Normal"/>
    <w:next w:val="Normal"/>
    <w:uiPriority w:val="35"/>
    <w:unhideWhenUsed/>
    <w:qFormat/>
    <w:rsid w:val="005F7EA2"/>
    <w:pPr>
      <w:spacing w:after="200" w:line="240" w:lineRule="auto"/>
    </w:pPr>
    <w:rPr>
      <w:i/>
      <w:iCs/>
      <w:color w:val="44546A" w:themeColor="text2"/>
      <w:sz w:val="18"/>
      <w:szCs w:val="18"/>
    </w:rPr>
  </w:style>
  <w:style w:type="paragraph" w:styleId="NormalWeb">
    <w:name w:val="Normal (Web)"/>
    <w:basedOn w:val="Normal"/>
    <w:uiPriority w:val="99"/>
    <w:unhideWhenUsed/>
    <w:rsid w:val="00564F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p">
    <w:name w:val="comp"/>
    <w:basedOn w:val="Normal"/>
    <w:rsid w:val="008B2F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854EEB"/>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854EEB"/>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9E3B33"/>
    <w:pPr>
      <w:outlineLvl w:val="9"/>
    </w:pPr>
    <w:rPr>
      <w:kern w:val="0"/>
      <w14:ligatures w14:val="none"/>
    </w:rPr>
  </w:style>
  <w:style w:type="paragraph" w:styleId="TOC1">
    <w:name w:val="toc 1"/>
    <w:basedOn w:val="Normal"/>
    <w:next w:val="Normal"/>
    <w:autoRedefine/>
    <w:uiPriority w:val="39"/>
    <w:unhideWhenUsed/>
    <w:rsid w:val="009E3B33"/>
    <w:pPr>
      <w:spacing w:after="100"/>
    </w:pPr>
  </w:style>
  <w:style w:type="paragraph" w:styleId="TOC2">
    <w:name w:val="toc 2"/>
    <w:basedOn w:val="Normal"/>
    <w:next w:val="Normal"/>
    <w:autoRedefine/>
    <w:uiPriority w:val="39"/>
    <w:unhideWhenUsed/>
    <w:rsid w:val="009E3B33"/>
    <w:pPr>
      <w:spacing w:after="100"/>
      <w:ind w:left="220"/>
    </w:pPr>
  </w:style>
  <w:style w:type="paragraph" w:styleId="TableofFigures">
    <w:name w:val="table of figures"/>
    <w:basedOn w:val="Normal"/>
    <w:next w:val="Normal"/>
    <w:uiPriority w:val="99"/>
    <w:unhideWhenUsed/>
    <w:rsid w:val="00750D3A"/>
    <w:pPr>
      <w:spacing w:after="0"/>
    </w:pPr>
  </w:style>
  <w:style w:type="paragraph" w:styleId="Revision">
    <w:name w:val="Revision"/>
    <w:hidden/>
    <w:uiPriority w:val="99"/>
    <w:semiHidden/>
    <w:rsid w:val="00965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1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oleObject" Target="embeddings/oleObject2.bin"/><Relationship Id="rId26" Type="http://schemas.openxmlformats.org/officeDocument/2006/relationships/hyperlink" Target="https://www.athensjournals.gr/law/2020-6-1-4-Iancu.pdf" TargetMode="External"/><Relationship Id="rId21" Type="http://schemas.openxmlformats.org/officeDocument/2006/relationships/hyperlink" Target="https://papers.ssrn.com/sol3/papers.cfm?abstract_id=4213997" TargetMode="External"/><Relationship Id="rId34" Type="http://schemas.openxmlformats.org/officeDocument/2006/relationships/hyperlink" Target="https://ora.ox.ac.uk/objects/uuid:a14466df-9291-480d-af11-822a562910a3/download_file?file_format=application%2Fpdf&amp;safe_filename=Debt%2Brestructuring%2Bin%2Bthe%2BUK%2BSeptember%2B2018.pdf&amp;type_of_work=Journal+articl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yperlink" Target="https://www.gov.uk/government/publications/liquidation-and-insolvency/liquidation-and-insolvency" TargetMode="External"/><Relationship Id="rId33" Type="http://schemas.openxmlformats.org/officeDocument/2006/relationships/hyperlink" Target="https://ora.ox.ac.uk/objects/uuid:a14466df-9291-480d-af11-822a562910a3/download_file?file_format=application%2Fpdf&amp;safe_filename=Debt%2Brestructuring%2Bin%2Bthe%2BUK%2BSeptember%2B2018.pdf&amp;type_of_work=Journal+articl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vestopedia.com/terms/e/europeanunion.asp" TargetMode="External"/><Relationship Id="rId20" Type="http://schemas.openxmlformats.org/officeDocument/2006/relationships/oleObject" Target="embeddings/oleObject3.bin"/><Relationship Id="rId29" Type="http://schemas.openxmlformats.org/officeDocument/2006/relationships/hyperlink" Target="https://doi.org/10.5089/9781557758200.0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openknowledge.worldbank.org/server/api/core/bitstreams/c5fc8592-d4c0-5fc9-a7a3-3f7270493d21/content" TargetMode="External"/><Relationship Id="rId32" Type="http://schemas.openxmlformats.org/officeDocument/2006/relationships/hyperlink" Target="https://www.upet.ro/annals/economics/pdf/2013/part1/Cenuse-2.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openknowledge.worldbank.org/server/api/core/bitstreams/c5fc8592-d4c0-5fc9-a7a3-3f7270493d21/content" TargetMode="External"/><Relationship Id="rId28" Type="http://schemas.openxmlformats.org/officeDocument/2006/relationships/hyperlink" Target="https://www.elibrary.imf.org/search?f_0=author&amp;q_0=International+Monetary+Fund" TargetMode="External"/><Relationship Id="rId36" Type="http://schemas.openxmlformats.org/officeDocument/2006/relationships/hyperlink" Target="https://scholar.google.com/scholar?hl=en&amp;as_sdt=0%2C10&amp;q=Vidovi%C4%87%2C+I.+%282017%29.+Out-Of-Court+Debt+Restructuring+Versus+Pre-Insolvency+Proceedings%3A+Two+Sides+Of+The+Same+Coin%3F&amp;btnG=" TargetMode="External"/><Relationship Id="rId10" Type="http://schemas.openxmlformats.org/officeDocument/2006/relationships/image" Target="media/image1.png"/><Relationship Id="rId19" Type="http://schemas.openxmlformats.org/officeDocument/2006/relationships/image" Target="media/image4.emf"/><Relationship Id="rId31" Type="http://schemas.openxmlformats.org/officeDocument/2006/relationships/hyperlink" Target="https://www.irs.gov/businesses/small-businesses-self-employed/chapter-7-bankruptcy-liquidation-under-the-bankruptcy-code" TargetMode="External"/><Relationship Id="rId4" Type="http://schemas.openxmlformats.org/officeDocument/2006/relationships/settings" Target="settings.xml"/><Relationship Id="rId9" Type="http://schemas.openxmlformats.org/officeDocument/2006/relationships/hyperlink" Target="mailto:benedictmaximov@kmail.net" TargetMode="External"/><Relationship Id="rId14" Type="http://schemas.openxmlformats.org/officeDocument/2006/relationships/image" Target="media/image2.emf"/><Relationship Id="rId22" Type="http://schemas.openxmlformats.org/officeDocument/2006/relationships/hyperlink" Target="https://insol.azureedge.net/cmsstorage/insol/media/document-library/technical%20paper%20series/jurisdiction-and-recognition-of-insolvency-related-judgments.pdf" TargetMode="External"/><Relationship Id="rId27" Type="http://schemas.openxmlformats.org/officeDocument/2006/relationships/hyperlink" Target="https://doi.org/10.30958/ajl.6-1-4" TargetMode="External"/><Relationship Id="rId30" Type="http://schemas.openxmlformats.org/officeDocument/2006/relationships/hyperlink" Target="https://www.investopedia.com/terms/b/brexit.asp" TargetMode="External"/><Relationship Id="rId35" Type="http://schemas.openxmlformats.org/officeDocument/2006/relationships/hyperlink" Target="https://scholarship.law.upenn.edu/cgi/viewcontent.cgi?article=1327&amp;context=faculty_scholarship" TargetMode="External"/><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ssrn.com/abstract=1942126" TargetMode="External"/><Relationship Id="rId2" Type="http://schemas.openxmlformats.org/officeDocument/2006/relationships/hyperlink" Target="https://insol.azureedge.net/cmsstorage/insol/media/document-library/technical%20paper%20series/jurisdiction-and-recognition-of-insolvency-related-judgments.pdf" TargetMode="External"/><Relationship Id="rId1" Type="http://schemas.openxmlformats.org/officeDocument/2006/relationships/hyperlink" Target="https://scholarship.law.upenn.edu/cgi/viewcontent.cgi?article=1327&amp;context=faculty_scholarship" TargetMode="External"/><Relationship Id="rId6" Type="http://schemas.openxmlformats.org/officeDocument/2006/relationships/hyperlink" Target="https://www.investopedia.com/terms/b/brexit.asp" TargetMode="External"/><Relationship Id="rId5" Type="http://schemas.openxmlformats.org/officeDocument/2006/relationships/hyperlink" Target="https://www.wallstreetmojo.com/debtor-in-possession/" TargetMode="External"/><Relationship Id="rId4" Type="http://schemas.openxmlformats.org/officeDocument/2006/relationships/hyperlink" Target="https://scholarship.law.upenn.edu/cgi/viewcontent.cgi?article=1327&amp;context=faculty_scholarshi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INFO@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D59B-67CB-46EE-8EA4-B9FD186B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6077</Words>
  <Characters>34640</Characters>
  <Application>Microsoft Office Word</Application>
  <DocSecurity>0</DocSecurity>
  <Lines>288</Lines>
  <Paragraphs>81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
      <vt:lpstr/>
      <vt:lpstr/>
      <vt:lpstr/>
      <vt:lpstr/>
      <vt:lpstr>Preliminary Advice to Mr. Benedict Maximov</vt:lpstr>
      <vt:lpstr>    Introduction</vt:lpstr>
      <vt:lpstr>    Proposed Strategy for Dealing with the Group</vt:lpstr>
      <vt:lpstr>    Insolvency Proceedings</vt:lpstr>
      <vt:lpstr>    Jurisdictional Considerations</vt:lpstr>
      <vt:lpstr>    Impediments to Proceedings</vt:lpstr>
      <vt:lpstr>    Advantages and Disadvantages of Proposed Proceedings</vt:lpstr>
      <vt:lpstr>    The Determining Factors</vt:lpstr>
      <vt:lpstr>    Additional Information </vt:lpstr>
      <vt:lpstr>    Application of European Insolvency Regulation and UNCITRAL Model Law</vt:lpstr>
      <vt:lpstr>    Impact of Brexit</vt:lpstr>
      <vt:lpstr>    Implementation of European Directive 2019/1023</vt:lpstr>
      <vt:lpstr>    Conclusion</vt:lpstr>
      <vt:lpstr>Bibliography &amp; References</vt:lpstr>
    </vt:vector>
  </TitlesOfParts>
  <Company/>
  <LinksUpToDate>false</LinksUpToDate>
  <CharactersWithSpaces>40636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Bain</dc:creator>
  <cp:keywords/>
  <dc:description/>
  <cp:lastModifiedBy>John Bain</cp:lastModifiedBy>
  <cp:revision>2</cp:revision>
  <dcterms:created xsi:type="dcterms:W3CDTF">2023-08-05T22:44:00Z</dcterms:created>
  <dcterms:modified xsi:type="dcterms:W3CDTF">2023-08-05T22:44:00Z</dcterms:modified>
</cp:coreProperties>
</file>