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C52073" w:rsidRDefault="002460B1" w:rsidP="00841D99">
      <w:pPr>
        <w:pStyle w:val="ListParagraph"/>
        <w:numPr>
          <w:ilvl w:val="0"/>
          <w:numId w:val="10"/>
        </w:numPr>
        <w:ind w:left="426"/>
        <w:jc w:val="both"/>
        <w:rPr>
          <w:rFonts w:ascii="Avenir Next" w:hAnsi="Avenir Next" w:cs="Arial"/>
          <w:sz w:val="22"/>
          <w:szCs w:val="22"/>
          <w:highlight w:val="yellow"/>
        </w:rPr>
      </w:pPr>
      <w:r w:rsidRPr="00C52073">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C52073" w:rsidRDefault="00A37300" w:rsidP="00BA7E39">
      <w:pPr>
        <w:pStyle w:val="ListParagraph"/>
        <w:numPr>
          <w:ilvl w:val="0"/>
          <w:numId w:val="11"/>
        </w:numPr>
        <w:ind w:left="426"/>
        <w:jc w:val="both"/>
        <w:rPr>
          <w:rFonts w:ascii="Avenir Next" w:hAnsi="Avenir Next" w:cs="Arial"/>
          <w:sz w:val="22"/>
          <w:szCs w:val="22"/>
          <w:highlight w:val="yellow"/>
        </w:rPr>
      </w:pPr>
      <w:r w:rsidRPr="00C52073">
        <w:rPr>
          <w:rFonts w:ascii="Avenir Next" w:hAnsi="Avenir Next" w:cs="Arial"/>
          <w:sz w:val="22"/>
          <w:szCs w:val="22"/>
          <w:highlight w:val="yellow"/>
        </w:rPr>
        <w:t xml:space="preserve">Creditors’ interests are of paramount </w:t>
      </w:r>
      <w:proofErr w:type="gramStart"/>
      <w:r w:rsidRPr="00C52073">
        <w:rPr>
          <w:rFonts w:ascii="Avenir Next" w:hAnsi="Avenir Next" w:cs="Arial"/>
          <w:sz w:val="22"/>
          <w:szCs w:val="22"/>
          <w:highlight w:val="yellow"/>
        </w:rPr>
        <w:t>importance,</w:t>
      </w:r>
      <w:proofErr w:type="gramEnd"/>
      <w:r w:rsidRPr="00C52073">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w:t>
      </w:r>
      <w:proofErr w:type="gramStart"/>
      <w:r w:rsidRPr="002E7621">
        <w:rPr>
          <w:rFonts w:ascii="Avenir Next" w:hAnsi="Avenir Next" w:cs="Arial"/>
          <w:sz w:val="22"/>
          <w:szCs w:val="22"/>
        </w:rPr>
        <w:t>the insolvency</w:t>
      </w:r>
      <w:proofErr w:type="gramEnd"/>
      <w:r w:rsidRPr="002E7621">
        <w:rPr>
          <w:rFonts w:ascii="Avenir Next" w:hAnsi="Avenir Next" w:cs="Arial"/>
          <w:sz w:val="22"/>
          <w:szCs w:val="22"/>
        </w:rPr>
        <w:t xml:space="preserve">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C52073">
        <w:rPr>
          <w:rFonts w:ascii="Avenir Next" w:hAnsi="Avenir Next" w:cs="Arial"/>
          <w:sz w:val="22"/>
          <w:szCs w:val="22"/>
          <w:highlight w:val="yellow"/>
        </w:rPr>
        <w:t>(a)</w:t>
      </w:r>
      <w:r w:rsidRPr="00C52073">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lastRenderedPageBreak/>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E85EF4">
        <w:rPr>
          <w:rFonts w:ascii="Avenir Next" w:hAnsi="Avenir Next" w:cs="Arial"/>
          <w:sz w:val="22"/>
          <w:szCs w:val="22"/>
          <w:highlight w:val="yellow"/>
        </w:rPr>
        <w:t>(a)</w:t>
      </w:r>
      <w:r w:rsidRPr="00E85EF4">
        <w:rPr>
          <w:rFonts w:ascii="Avenir Next" w:hAnsi="Avenir Next" w:cs="Arial"/>
          <w:sz w:val="22"/>
          <w:szCs w:val="22"/>
          <w:highlight w:val="yellow"/>
        </w:rPr>
        <w:tab/>
      </w:r>
      <w:r w:rsidR="00002086" w:rsidRPr="00E85EF4">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C52073"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C52073">
        <w:rPr>
          <w:rFonts w:ascii="Avenir Next" w:hAnsi="Avenir Next" w:cs="Arial"/>
          <w:sz w:val="22"/>
          <w:szCs w:val="22"/>
          <w:highlight w:val="yellow"/>
        </w:rPr>
        <w:t>a</w:t>
      </w:r>
      <w:r w:rsidR="00B501A0" w:rsidRPr="00C52073">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350BB8" w:rsidRDefault="00693A37" w:rsidP="002E7621">
      <w:pPr>
        <w:pStyle w:val="ListParagraph"/>
        <w:numPr>
          <w:ilvl w:val="0"/>
          <w:numId w:val="28"/>
        </w:numPr>
        <w:ind w:left="426"/>
        <w:jc w:val="both"/>
        <w:rPr>
          <w:rFonts w:ascii="Avenir Next" w:hAnsi="Avenir Next" w:cs="Arial"/>
          <w:sz w:val="22"/>
          <w:szCs w:val="22"/>
          <w:highlight w:val="yellow"/>
        </w:rPr>
      </w:pPr>
      <w:r w:rsidRPr="00350BB8">
        <w:rPr>
          <w:rFonts w:ascii="Avenir Next" w:hAnsi="Avenir Next" w:cs="Arial"/>
          <w:sz w:val="22"/>
          <w:szCs w:val="22"/>
          <w:highlight w:val="yellow"/>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350BB8"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350BB8">
        <w:rPr>
          <w:rFonts w:ascii="Avenir Next" w:eastAsiaTheme="minorHAnsi" w:hAnsi="Avenir Next" w:cs="Arial"/>
          <w:sz w:val="22"/>
          <w:szCs w:val="22"/>
          <w:highlight w:val="yellow"/>
          <w:lang w:val="en-GB"/>
        </w:rPr>
        <w:t xml:space="preserve">Refuse the appointment as she will not be able to give </w:t>
      </w:r>
      <w:proofErr w:type="gramStart"/>
      <w:r w:rsidRPr="00350BB8">
        <w:rPr>
          <w:rFonts w:ascii="Avenir Next" w:eastAsiaTheme="minorHAnsi" w:hAnsi="Avenir Next" w:cs="Arial"/>
          <w:sz w:val="22"/>
          <w:szCs w:val="22"/>
          <w:highlight w:val="yellow"/>
          <w:lang w:val="en-GB"/>
        </w:rPr>
        <w:t>all of</w:t>
      </w:r>
      <w:proofErr w:type="gramEnd"/>
      <w:r w:rsidRPr="00350BB8">
        <w:rPr>
          <w:rFonts w:ascii="Avenir Next" w:eastAsiaTheme="minorHAnsi" w:hAnsi="Avenir Next" w:cs="Arial"/>
          <w:sz w:val="22"/>
          <w:szCs w:val="22"/>
          <w:highlight w:val="yellow"/>
          <w:lang w:val="en-GB"/>
        </w:rPr>
        <w:t xml:space="preserve"> the cases she is involved in the requisite level of attention.</w:t>
      </w:r>
    </w:p>
    <w:p w14:paraId="7EE00002" w14:textId="77777777" w:rsidR="00350BB8" w:rsidRDefault="00350BB8" w:rsidP="00C55824">
      <w:pPr>
        <w:jc w:val="both"/>
        <w:rPr>
          <w:rFonts w:ascii="Avenir Next Demi Bold" w:hAnsi="Avenir Next Demi Bold" w:cs="Arial"/>
          <w:b/>
          <w:bCs/>
          <w:sz w:val="22"/>
          <w:szCs w:val="22"/>
        </w:rPr>
      </w:pPr>
    </w:p>
    <w:p w14:paraId="2542F9D9" w14:textId="340D576F"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D96B17"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D96B17">
        <w:rPr>
          <w:rFonts w:ascii="Avenir Next" w:eastAsiaTheme="minorHAnsi" w:hAnsi="Avenir Next" w:cs="Arial"/>
          <w:sz w:val="22"/>
          <w:szCs w:val="22"/>
          <w:highlight w:val="yellow"/>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lastRenderedPageBreak/>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Pr="00D96B17" w:rsidRDefault="000E55FD" w:rsidP="002E7621">
      <w:pPr>
        <w:pStyle w:val="ListParagraph"/>
        <w:numPr>
          <w:ilvl w:val="0"/>
          <w:numId w:val="29"/>
        </w:numPr>
        <w:ind w:left="426"/>
        <w:jc w:val="both"/>
        <w:rPr>
          <w:rFonts w:ascii="Avenir Next" w:hAnsi="Avenir Next" w:cs="Arial"/>
          <w:sz w:val="22"/>
          <w:szCs w:val="22"/>
          <w:highlight w:val="yellow"/>
        </w:rPr>
      </w:pPr>
      <w:r w:rsidRPr="00D96B17">
        <w:rPr>
          <w:rFonts w:ascii="Avenir Next" w:hAnsi="Avenir Next" w:cs="Arial"/>
          <w:sz w:val="22"/>
          <w:szCs w:val="22"/>
          <w:highlight w:val="yellow"/>
        </w:rPr>
        <w:t xml:space="preserve">This statement is true since </w:t>
      </w:r>
      <w:proofErr w:type="gramStart"/>
      <w:r w:rsidRPr="00D96B17">
        <w:rPr>
          <w:rFonts w:ascii="Avenir Next" w:hAnsi="Avenir Next" w:cs="Arial"/>
          <w:sz w:val="22"/>
          <w:szCs w:val="22"/>
          <w:highlight w:val="yellow"/>
        </w:rPr>
        <w:t>jurisdictions</w:t>
      </w:r>
      <w:proofErr w:type="gramEnd"/>
      <w:r w:rsidRPr="00D96B17">
        <w:rPr>
          <w:rFonts w:ascii="Avenir Next" w:hAnsi="Avenir Next" w:cs="Arial"/>
          <w:sz w:val="22"/>
          <w:szCs w:val="22"/>
          <w:highlight w:val="yellow"/>
        </w:rPr>
        <w:t xml:space="preserve">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an hourly rate. </w:t>
      </w: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862BC4" w:rsidRDefault="0089154C" w:rsidP="002E7621">
      <w:pPr>
        <w:pStyle w:val="ListParagraph"/>
        <w:numPr>
          <w:ilvl w:val="0"/>
          <w:numId w:val="31"/>
        </w:numPr>
        <w:ind w:left="426"/>
        <w:jc w:val="both"/>
        <w:rPr>
          <w:rFonts w:ascii="Avenir Next" w:hAnsi="Avenir Next" w:cs="Arial"/>
          <w:sz w:val="22"/>
          <w:szCs w:val="22"/>
          <w:highlight w:val="yellow"/>
        </w:rPr>
      </w:pPr>
      <w:r w:rsidRPr="00862BC4">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7BE9ECED" w14:textId="77777777" w:rsidR="00E85EF4" w:rsidRDefault="009B07AD" w:rsidP="002A37BB">
      <w:pPr>
        <w:ind w:left="720" w:hanging="720"/>
        <w:jc w:val="both"/>
        <w:rPr>
          <w:rFonts w:ascii="Avenir Next" w:hAnsi="Avenir Next" w:cs="Arial"/>
          <w:color w:val="7B7B7B" w:themeColor="accent3" w:themeShade="BF"/>
          <w:sz w:val="22"/>
          <w:szCs w:val="22"/>
          <w:lang w:val="en-GB"/>
        </w:rPr>
      </w:pPr>
      <w:r w:rsidRPr="002E7621">
        <w:rPr>
          <w:rFonts w:ascii="Avenir Next" w:hAnsi="Avenir Next" w:cs="Arial"/>
          <w:color w:val="7B7B7B" w:themeColor="accent3" w:themeShade="BF"/>
          <w:sz w:val="22"/>
          <w:szCs w:val="22"/>
          <w:lang w:val="en-GB"/>
        </w:rPr>
        <w:t>[</w:t>
      </w:r>
      <w:r w:rsidR="00E85EF4">
        <w:rPr>
          <w:rFonts w:ascii="Avenir Next" w:hAnsi="Avenir Next" w:cs="Arial"/>
          <w:color w:val="7B7B7B" w:themeColor="accent3" w:themeShade="BF"/>
          <w:sz w:val="22"/>
          <w:szCs w:val="22"/>
          <w:lang w:val="en-GB"/>
        </w:rPr>
        <w:t>Fiduciary relationship is comprised of the following:</w:t>
      </w:r>
    </w:p>
    <w:p w14:paraId="413C5B76" w14:textId="77777777" w:rsidR="00E85EF4" w:rsidRDefault="00E85EF4" w:rsidP="002A37BB">
      <w:pPr>
        <w:ind w:left="720" w:hanging="720"/>
        <w:jc w:val="both"/>
        <w:rPr>
          <w:rFonts w:ascii="Avenir Next" w:hAnsi="Avenir Next" w:cs="Arial"/>
          <w:color w:val="7B7B7B" w:themeColor="accent3" w:themeShade="BF"/>
          <w:sz w:val="22"/>
          <w:szCs w:val="22"/>
          <w:lang w:val="en-GB"/>
        </w:rPr>
      </w:pPr>
    </w:p>
    <w:p w14:paraId="568F8E5C" w14:textId="77777777" w:rsidR="00E85EF4" w:rsidRPr="00E85EF4" w:rsidRDefault="00E85EF4" w:rsidP="00E85EF4">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One person undertaking to act on behalf of another and having discretion and power over the interests of the other </w:t>
      </w:r>
      <w:proofErr w:type="gramStart"/>
      <w:r>
        <w:rPr>
          <w:rFonts w:ascii="Avenir Next" w:hAnsi="Avenir Next" w:cs="Arial"/>
          <w:color w:val="7B7B7B" w:themeColor="accent3" w:themeShade="BF"/>
          <w:sz w:val="22"/>
          <w:szCs w:val="22"/>
          <w:lang w:val="en-GB"/>
        </w:rPr>
        <w:t>person;</w:t>
      </w:r>
      <w:proofErr w:type="gramEnd"/>
    </w:p>
    <w:p w14:paraId="4BD338E6" w14:textId="77777777" w:rsidR="00E85EF4" w:rsidRPr="00E85EF4" w:rsidRDefault="00E85EF4" w:rsidP="00E85EF4">
      <w:pPr>
        <w:pStyle w:val="ListParagraph"/>
        <w:jc w:val="both"/>
        <w:rPr>
          <w:rFonts w:ascii="Avenir Next" w:hAnsi="Avenir Next" w:cs="Arial"/>
          <w:sz w:val="22"/>
          <w:szCs w:val="22"/>
          <w:lang w:val="en-GB"/>
        </w:rPr>
      </w:pPr>
    </w:p>
    <w:p w14:paraId="57BCFC30" w14:textId="1D8A2688" w:rsidR="009B07AD" w:rsidRPr="00E85EF4" w:rsidRDefault="00E85EF4" w:rsidP="00B666C9">
      <w:pPr>
        <w:pStyle w:val="ListParagraph"/>
        <w:numPr>
          <w:ilvl w:val="0"/>
          <w:numId w:val="32"/>
        </w:numPr>
        <w:jc w:val="both"/>
        <w:rPr>
          <w:rFonts w:ascii="Avenir Next" w:hAnsi="Avenir Next" w:cs="Arial"/>
          <w:sz w:val="22"/>
          <w:szCs w:val="22"/>
          <w:lang w:val="en-GB"/>
        </w:rPr>
      </w:pPr>
      <w:r w:rsidRPr="00E85EF4">
        <w:rPr>
          <w:rFonts w:ascii="Avenir Next" w:hAnsi="Avenir Next" w:cs="Arial"/>
          <w:color w:val="7B7B7B" w:themeColor="accent3" w:themeShade="BF"/>
          <w:sz w:val="22"/>
          <w:szCs w:val="22"/>
          <w:lang w:val="en-GB"/>
        </w:rPr>
        <w:t>Vulnerability of the person who entrusts his interests to the fiduciary</w:t>
      </w:r>
      <w:r>
        <w:rPr>
          <w:rStyle w:val="FootnoteReference"/>
          <w:rFonts w:ascii="Avenir Next" w:hAnsi="Avenir Next" w:cs="Arial"/>
          <w:color w:val="7B7B7B" w:themeColor="accent3" w:themeShade="BF"/>
          <w:sz w:val="22"/>
          <w:szCs w:val="22"/>
          <w:lang w:val="en-GB"/>
        </w:rPr>
        <w:footnoteReference w:id="1"/>
      </w:r>
      <w:r w:rsidR="009B07AD" w:rsidRPr="00E85EF4">
        <w:rPr>
          <w:rFonts w:ascii="Avenir Next" w:hAnsi="Avenir Next" w:cs="Arial"/>
          <w:color w:val="7B7B7B" w:themeColor="accent3" w:themeShade="BF"/>
          <w:sz w:val="22"/>
          <w:szCs w:val="22"/>
          <w:lang w:val="en-GB"/>
        </w:rPr>
        <w:t>]</w:t>
      </w:r>
    </w:p>
    <w:p w14:paraId="22C610C9" w14:textId="16EF6256" w:rsidR="00DE03AF" w:rsidRPr="002E7621" w:rsidRDefault="00DE03AF"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1D654702" w:rsidR="009B07AD" w:rsidRPr="002E7621" w:rsidRDefault="009B07AD" w:rsidP="002A37BB">
      <w:pPr>
        <w:ind w:left="720" w:hanging="720"/>
        <w:jc w:val="both"/>
        <w:rPr>
          <w:rFonts w:ascii="Avenir Next" w:hAnsi="Avenir Next" w:cs="Arial"/>
          <w:sz w:val="22"/>
          <w:szCs w:val="22"/>
        </w:rPr>
      </w:pPr>
      <w:r w:rsidRPr="002E7621">
        <w:rPr>
          <w:rFonts w:ascii="Avenir Next" w:hAnsi="Avenir Next" w:cs="Arial"/>
          <w:color w:val="7B7B7B" w:themeColor="accent3" w:themeShade="BF"/>
          <w:sz w:val="22"/>
          <w:szCs w:val="22"/>
        </w:rPr>
        <w:t>[</w:t>
      </w:r>
      <w:r w:rsidR="00B265D7">
        <w:rPr>
          <w:rFonts w:ascii="Avenir Next" w:hAnsi="Avenir Next" w:cs="Arial"/>
          <w:color w:val="7B7B7B" w:themeColor="accent3" w:themeShade="BF"/>
          <w:sz w:val="22"/>
          <w:szCs w:val="22"/>
        </w:rPr>
        <w:t xml:space="preserve">Independence in fact implies that the insolvency practitioner is </w:t>
      </w:r>
      <w:proofErr w:type="gramStart"/>
      <w:r w:rsidR="00B265D7">
        <w:rPr>
          <w:rFonts w:ascii="Avenir Next" w:hAnsi="Avenir Next" w:cs="Arial"/>
          <w:color w:val="7B7B7B" w:themeColor="accent3" w:themeShade="BF"/>
          <w:sz w:val="22"/>
          <w:szCs w:val="22"/>
        </w:rPr>
        <w:t>actually not</w:t>
      </w:r>
      <w:proofErr w:type="gramEnd"/>
      <w:r w:rsidR="00B265D7">
        <w:rPr>
          <w:rFonts w:ascii="Avenir Next" w:hAnsi="Avenir Next" w:cs="Arial"/>
          <w:color w:val="7B7B7B" w:themeColor="accent3" w:themeShade="BF"/>
          <w:sz w:val="22"/>
          <w:szCs w:val="22"/>
        </w:rPr>
        <w:t xml:space="preserve"> influenced by any external factors (personal and professional relationships, direct or indirect interests) which could compromise them. Independence in perception means that the insolvency practitioner does not provoke circumstances under which a reasonably informed third party may consider them compromised</w:t>
      </w:r>
      <w:r w:rsidR="00B265D7">
        <w:rPr>
          <w:rStyle w:val="FootnoteReference"/>
          <w:rFonts w:ascii="Avenir Next" w:hAnsi="Avenir Next" w:cs="Arial"/>
          <w:color w:val="7B7B7B" w:themeColor="accent3" w:themeShade="BF"/>
          <w:sz w:val="22"/>
          <w:szCs w:val="22"/>
        </w:rPr>
        <w:footnoteReference w:id="2"/>
      </w:r>
      <w:r w:rsidRPr="002E7621">
        <w:rPr>
          <w:rFonts w:ascii="Avenir Next" w:hAnsi="Avenir Next" w:cs="Arial"/>
          <w:color w:val="7B7B7B" w:themeColor="accent3" w:themeShade="BF"/>
          <w:sz w:val="22"/>
          <w:szCs w:val="22"/>
        </w:rPr>
        <w:t>]</w:t>
      </w: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46A92F51" w:rsidR="00C72848" w:rsidRPr="002E7621" w:rsidRDefault="00C72848" w:rsidP="002A37BB">
      <w:pPr>
        <w:ind w:left="720" w:hanging="720"/>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w:t>
      </w:r>
      <w:r w:rsidR="008C6671">
        <w:rPr>
          <w:rFonts w:ascii="Avenir Next" w:hAnsi="Avenir Next" w:cs="Arial"/>
          <w:color w:val="7B7B7B" w:themeColor="accent3" w:themeShade="BF"/>
          <w:sz w:val="22"/>
          <w:szCs w:val="22"/>
          <w:lang w:val="en-GB"/>
        </w:rPr>
        <w:t xml:space="preserve">Professional indemnity insurance provides coverage against the risk of the stakeholders suing the insolvency practitioner for acting without reasonable care, whilst the fidelity insurance protects the stakeholders against the risk of the insolvency practitioner acting dishonestly. The Insolvency practitioners have a lot of duties and there are a lot of situations which may pose threat to the insolvency practitioner’s compliance with all the ethical requirements. Therefore, they should obtain insurance for the case when </w:t>
      </w:r>
      <w:proofErr w:type="spellStart"/>
      <w:r w:rsidR="008C6671">
        <w:rPr>
          <w:rFonts w:ascii="Avenir Next" w:hAnsi="Avenir Next" w:cs="Arial"/>
          <w:color w:val="7B7B7B" w:themeColor="accent3" w:themeShade="BF"/>
          <w:sz w:val="22"/>
          <w:szCs w:val="22"/>
          <w:lang w:val="en-GB"/>
        </w:rPr>
        <w:t>the</w:t>
      </w:r>
      <w:proofErr w:type="spellEnd"/>
      <w:r w:rsidR="008C6671">
        <w:rPr>
          <w:rFonts w:ascii="Avenir Next" w:hAnsi="Avenir Next" w:cs="Arial"/>
          <w:color w:val="7B7B7B" w:themeColor="accent3" w:themeShade="BF"/>
          <w:sz w:val="22"/>
          <w:szCs w:val="22"/>
          <w:lang w:val="en-GB"/>
        </w:rPr>
        <w:t xml:space="preserve"> are considered to breach their duties even if they did not mean to.</w:t>
      </w:r>
      <w:r w:rsidR="008C6671">
        <w:rPr>
          <w:rStyle w:val="FootnoteReference"/>
          <w:rFonts w:ascii="Avenir Next" w:hAnsi="Avenir Next" w:cs="Arial"/>
          <w:color w:val="7B7B7B" w:themeColor="accent3" w:themeShade="BF"/>
          <w:sz w:val="22"/>
          <w:szCs w:val="22"/>
          <w:lang w:val="en-GB"/>
        </w:rPr>
        <w:footnoteReference w:id="3"/>
      </w:r>
      <w:r w:rsidRPr="002E7621">
        <w:rPr>
          <w:rFonts w:ascii="Avenir Next" w:hAnsi="Avenir Next" w:cs="Arial"/>
          <w:color w:val="7B7B7B" w:themeColor="accent3" w:themeShade="BF"/>
          <w:sz w:val="22"/>
          <w:szCs w:val="22"/>
          <w:lang w:val="en-GB"/>
        </w:rPr>
        <w:t>]</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04AF4909" w:rsidR="00544127" w:rsidRPr="002E7621" w:rsidRDefault="00DF75F8" w:rsidP="002A37BB">
      <w:pPr>
        <w:jc w:val="both"/>
        <w:rPr>
          <w:rFonts w:ascii="Avenir Next" w:hAnsi="Avenir Next" w:cs="Arial"/>
          <w:sz w:val="22"/>
          <w:szCs w:val="22"/>
        </w:rPr>
      </w:pPr>
      <w:r w:rsidRPr="002E7621">
        <w:rPr>
          <w:rFonts w:ascii="Avenir Next" w:hAnsi="Avenir Next" w:cs="Arial"/>
          <w:color w:val="7B7B7B" w:themeColor="accent3" w:themeShade="BF"/>
          <w:sz w:val="22"/>
          <w:szCs w:val="22"/>
          <w:lang w:val="en-GB"/>
        </w:rPr>
        <w:t>[</w:t>
      </w:r>
      <w:r w:rsidR="001530F6">
        <w:rPr>
          <w:rFonts w:ascii="Avenir Next" w:hAnsi="Avenir Next" w:cs="Arial"/>
          <w:color w:val="7B7B7B" w:themeColor="accent3" w:themeShade="BF"/>
          <w:sz w:val="22"/>
          <w:szCs w:val="22"/>
          <w:lang w:val="en-GB"/>
        </w:rPr>
        <w:t xml:space="preserve">Moral standards are subjective standards of an insolvency practitioner, while ethical standards are specific rules which are regarded by the society as correct. In case when the moral concepts of the insolvency practitioner contradict the commonly accepted or legally binding ethical standards, the latter shall prevail. For instance, if the insolvency practitioner has empathy for the unprotected or low-rank creditors, such as employees, they may not breach the impartiality principles and treat </w:t>
      </w:r>
      <w:r w:rsidR="008C6671">
        <w:rPr>
          <w:rFonts w:ascii="Avenir Next" w:hAnsi="Avenir Next" w:cs="Arial"/>
          <w:color w:val="7B7B7B" w:themeColor="accent3" w:themeShade="BF"/>
          <w:sz w:val="22"/>
          <w:szCs w:val="22"/>
          <w:lang w:val="en-GB"/>
        </w:rPr>
        <w:t xml:space="preserve">major creditors </w:t>
      </w:r>
      <w:proofErr w:type="spellStart"/>
      <w:r w:rsidR="008C6671">
        <w:rPr>
          <w:rFonts w:ascii="Avenir Next" w:hAnsi="Avenir Next" w:cs="Arial"/>
          <w:color w:val="7B7B7B" w:themeColor="accent3" w:themeShade="BF"/>
          <w:sz w:val="22"/>
          <w:szCs w:val="22"/>
          <w:lang w:val="en-GB"/>
        </w:rPr>
        <w:t>unfairle</w:t>
      </w:r>
      <w:proofErr w:type="spellEnd"/>
      <w:r w:rsidR="008C6671">
        <w:rPr>
          <w:rFonts w:ascii="Avenir Next" w:hAnsi="Avenir Next" w:cs="Arial"/>
          <w:color w:val="7B7B7B" w:themeColor="accent3" w:themeShade="BF"/>
          <w:sz w:val="22"/>
          <w:szCs w:val="22"/>
          <w:lang w:val="en-GB"/>
        </w:rPr>
        <w:t>.</w:t>
      </w:r>
      <w:r w:rsidR="008C6671">
        <w:rPr>
          <w:rStyle w:val="FootnoteReference"/>
          <w:rFonts w:ascii="Avenir Next" w:hAnsi="Avenir Next" w:cs="Arial"/>
          <w:color w:val="7B7B7B" w:themeColor="accent3" w:themeShade="BF"/>
          <w:sz w:val="22"/>
          <w:szCs w:val="22"/>
          <w:lang w:val="en-GB"/>
        </w:rPr>
        <w:footnoteReference w:id="4"/>
      </w:r>
      <w:r w:rsidRPr="002E7621">
        <w:rPr>
          <w:rFonts w:ascii="Avenir Next" w:hAnsi="Avenir Next" w:cs="Arial"/>
          <w:color w:val="7B7B7B" w:themeColor="accent3" w:themeShade="BF"/>
          <w:sz w:val="22"/>
          <w:szCs w:val="22"/>
          <w:lang w:val="en-GB"/>
        </w:rPr>
        <w:t>]</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lastRenderedPageBreak/>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4C3A8936" w14:textId="77777777" w:rsidR="00C75412" w:rsidRDefault="00DF75F8" w:rsidP="00C75412">
      <w:pPr>
        <w:jc w:val="both"/>
        <w:rPr>
          <w:rFonts w:ascii="Avenir Next" w:hAnsi="Avenir Next" w:cs="Arial"/>
          <w:color w:val="7B7B7B" w:themeColor="accent3" w:themeShade="BF"/>
          <w:sz w:val="22"/>
          <w:szCs w:val="22"/>
          <w:lang w:val="en-GB"/>
        </w:rPr>
      </w:pPr>
      <w:r w:rsidRPr="002E7621">
        <w:rPr>
          <w:rFonts w:ascii="Avenir Next" w:hAnsi="Avenir Next" w:cs="Arial"/>
          <w:color w:val="7B7B7B" w:themeColor="accent3" w:themeShade="BF"/>
          <w:sz w:val="22"/>
          <w:szCs w:val="22"/>
          <w:lang w:val="en-GB"/>
        </w:rPr>
        <w:t>[</w:t>
      </w:r>
      <w:r w:rsidR="00C75412">
        <w:rPr>
          <w:rFonts w:ascii="Avenir Next" w:hAnsi="Avenir Next" w:cs="Arial"/>
          <w:color w:val="7B7B7B" w:themeColor="accent3" w:themeShade="BF"/>
          <w:sz w:val="22"/>
          <w:szCs w:val="22"/>
          <w:lang w:val="en-GB"/>
        </w:rPr>
        <w:t>Among the elements of insolvency which are especially exposed to the risks related to independence and impartiality are:</w:t>
      </w:r>
    </w:p>
    <w:p w14:paraId="588016CF" w14:textId="77777777" w:rsidR="00C75412" w:rsidRDefault="00C75412" w:rsidP="00C75412">
      <w:pPr>
        <w:jc w:val="both"/>
        <w:rPr>
          <w:rFonts w:ascii="Avenir Next" w:hAnsi="Avenir Next" w:cs="Arial"/>
          <w:color w:val="7B7B7B" w:themeColor="accent3" w:themeShade="BF"/>
          <w:sz w:val="22"/>
          <w:szCs w:val="22"/>
          <w:lang w:val="en-GB"/>
        </w:rPr>
      </w:pPr>
    </w:p>
    <w:p w14:paraId="7940D274" w14:textId="32A246EB" w:rsidR="00DF75F8" w:rsidRPr="00C75412" w:rsidRDefault="00C75412" w:rsidP="00C75412">
      <w:pPr>
        <w:pStyle w:val="ListParagraph"/>
        <w:numPr>
          <w:ilvl w:val="0"/>
          <w:numId w:val="3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Pre-commencement / appointment involvement. Usually, before appointment an insolvency practitioner has consultations with the company and stakeholders. While such consultations expose the insolvency practitioner to the risk of being considered bias, consultations are considered appropriate </w:t>
      </w:r>
      <w:proofErr w:type="gramStart"/>
      <w:r>
        <w:rPr>
          <w:rFonts w:ascii="Avenir Next" w:hAnsi="Avenir Next" w:cs="Arial"/>
          <w:color w:val="7B7B7B" w:themeColor="accent3" w:themeShade="BF"/>
          <w:sz w:val="22"/>
          <w:szCs w:val="22"/>
          <w:lang w:val="en-GB"/>
        </w:rPr>
        <w:t>as long as</w:t>
      </w:r>
      <w:proofErr w:type="gramEnd"/>
      <w:r>
        <w:rPr>
          <w:rFonts w:ascii="Avenir Next" w:hAnsi="Avenir Next" w:cs="Arial"/>
          <w:color w:val="7B7B7B" w:themeColor="accent3" w:themeShade="BF"/>
          <w:sz w:val="22"/>
          <w:szCs w:val="22"/>
          <w:lang w:val="en-GB"/>
        </w:rPr>
        <w:t xml:space="preserve"> they are limited to certain aspects and do not involve any advice (See for example Re Korda, Ten Network Ltd (</w:t>
      </w:r>
      <w:proofErr w:type="spellStart"/>
      <w:r>
        <w:rPr>
          <w:rFonts w:ascii="Avenir Next" w:hAnsi="Avenir Next" w:cs="Arial"/>
          <w:color w:val="7B7B7B" w:themeColor="accent3" w:themeShade="BF"/>
          <w:sz w:val="22"/>
          <w:szCs w:val="22"/>
          <w:lang w:val="en-GB"/>
        </w:rPr>
        <w:t>Admn</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Apptd</w:t>
      </w:r>
      <w:proofErr w:type="spellEnd"/>
      <w:r>
        <w:rPr>
          <w:rFonts w:ascii="Avenir Next" w:hAnsi="Avenir Next" w:cs="Arial"/>
          <w:color w:val="7B7B7B" w:themeColor="accent3" w:themeShade="BF"/>
          <w:sz w:val="22"/>
          <w:szCs w:val="22"/>
          <w:lang w:val="en-GB"/>
        </w:rPr>
        <w:t xml:space="preserve">) (Recs and </w:t>
      </w:r>
      <w:proofErr w:type="spellStart"/>
      <w:r>
        <w:rPr>
          <w:rFonts w:ascii="Avenir Next" w:hAnsi="Avenir Next" w:cs="Arial"/>
          <w:color w:val="7B7B7B" w:themeColor="accent3" w:themeShade="BF"/>
          <w:sz w:val="22"/>
          <w:szCs w:val="22"/>
          <w:lang w:val="en-GB"/>
        </w:rPr>
        <w:t>Mgrs</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Apptd</w:t>
      </w:r>
      <w:proofErr w:type="spellEnd"/>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rPr>
        <w:t>[</w:t>
      </w:r>
      <w:r>
        <w:rPr>
          <w:rFonts w:cs="Arial"/>
          <w:color w:val="7B7B7B" w:themeColor="accent3" w:themeShade="BF"/>
          <w:sz w:val="22"/>
          <w:szCs w:val="22"/>
        </w:rPr>
        <w:t>2017</w:t>
      </w:r>
      <w:r>
        <w:rPr>
          <w:rFonts w:ascii="Avenir Next" w:hAnsi="Avenir Next" w:cs="Arial"/>
          <w:color w:val="7B7B7B" w:themeColor="accent3" w:themeShade="BF"/>
          <w:sz w:val="22"/>
          <w:szCs w:val="22"/>
        </w:rPr>
        <w:t>] FCA 914 [Australia]</w:t>
      </w:r>
      <w:r>
        <w:rPr>
          <w:rFonts w:ascii="Avenir Next" w:hAnsi="Avenir Next" w:cs="Arial"/>
          <w:color w:val="7B7B7B" w:themeColor="accent3" w:themeShade="BF"/>
          <w:sz w:val="22"/>
          <w:szCs w:val="22"/>
          <w:lang w:val="en-GB"/>
        </w:rPr>
        <w:t>)</w:t>
      </w:r>
      <w:r w:rsidR="00DF75F8" w:rsidRPr="00C75412">
        <w:rPr>
          <w:rFonts w:ascii="Avenir Next" w:hAnsi="Avenir Next" w:cs="Arial"/>
          <w:color w:val="7B7B7B" w:themeColor="accent3" w:themeShade="BF"/>
          <w:sz w:val="22"/>
          <w:szCs w:val="22"/>
          <w:lang w:val="en-GB"/>
        </w:rPr>
        <w:t>]</w:t>
      </w:r>
    </w:p>
    <w:p w14:paraId="62CCBE77" w14:textId="702694F8" w:rsidR="00C75412" w:rsidRPr="00C75412" w:rsidRDefault="00C75412" w:rsidP="00C75412">
      <w:pPr>
        <w:pStyle w:val="ListParagraph"/>
        <w:numPr>
          <w:ilvl w:val="0"/>
          <w:numId w:val="3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Appointment. The insolvency practitioner </w:t>
      </w:r>
      <w:proofErr w:type="gramStart"/>
      <w:r>
        <w:rPr>
          <w:rFonts w:ascii="Avenir Next" w:hAnsi="Avenir Next" w:cs="Arial"/>
          <w:color w:val="7B7B7B" w:themeColor="accent3" w:themeShade="BF"/>
          <w:sz w:val="22"/>
          <w:szCs w:val="22"/>
          <w:lang w:val="en-GB"/>
        </w:rPr>
        <w:t>is considered to be</w:t>
      </w:r>
      <w:proofErr w:type="gramEnd"/>
      <w:r>
        <w:rPr>
          <w:rFonts w:ascii="Avenir Next" w:hAnsi="Avenir Next" w:cs="Arial"/>
          <w:color w:val="7B7B7B" w:themeColor="accent3" w:themeShade="BF"/>
          <w:sz w:val="22"/>
          <w:szCs w:val="22"/>
          <w:lang w:val="en-GB"/>
        </w:rPr>
        <w:t xml:space="preserve"> under influence of the person who appoints them. However, appointment is not </w:t>
      </w:r>
      <w:proofErr w:type="gramStart"/>
      <w:r>
        <w:rPr>
          <w:rFonts w:ascii="Avenir Next" w:hAnsi="Avenir Next" w:cs="Arial"/>
          <w:color w:val="7B7B7B" w:themeColor="accent3" w:themeShade="BF"/>
          <w:sz w:val="22"/>
          <w:szCs w:val="22"/>
          <w:lang w:val="en-GB"/>
        </w:rPr>
        <w:t>a sufficient evidence of the insolvency practitioner</w:t>
      </w:r>
      <w:proofErr w:type="gramEnd"/>
      <w:r>
        <w:rPr>
          <w:rFonts w:ascii="Avenir Next" w:hAnsi="Avenir Next" w:cs="Arial"/>
          <w:color w:val="7B7B7B" w:themeColor="accent3" w:themeShade="BF"/>
          <w:sz w:val="22"/>
          <w:szCs w:val="22"/>
          <w:lang w:val="en-GB"/>
        </w:rPr>
        <w:t xml:space="preserve"> being bias as long as they remember their duties and do not give any promises to the persons who appointed them.</w:t>
      </w:r>
    </w:p>
    <w:p w14:paraId="6324767A" w14:textId="51188B33" w:rsidR="00C75412" w:rsidRPr="001530F6" w:rsidRDefault="00C75412" w:rsidP="00C75412">
      <w:pPr>
        <w:pStyle w:val="ListParagraph"/>
        <w:numPr>
          <w:ilvl w:val="0"/>
          <w:numId w:val="3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Subsequent appointment. In some jurisdictions, the sequential appointment of one insolvency practitioner in different bankruptcy procedures is considered </w:t>
      </w:r>
      <w:r w:rsidR="001530F6">
        <w:rPr>
          <w:rFonts w:ascii="Avenir Next" w:hAnsi="Avenir Next" w:cs="Arial"/>
          <w:color w:val="7B7B7B" w:themeColor="accent3" w:themeShade="BF"/>
          <w:sz w:val="22"/>
          <w:szCs w:val="22"/>
          <w:lang w:val="en-GB"/>
        </w:rPr>
        <w:t>a ground for a conflict of interest (See, for instance the Insolvency Code of Ethics of the Institute of Chartered Accountants of England and Wales) or prohibited (see, for instance South African Companies Act of 2008). Subsequent appointment is believed to give rise to the self-review and self-interest threats.</w:t>
      </w:r>
    </w:p>
    <w:p w14:paraId="7E6696D3" w14:textId="502FBB5E" w:rsidR="001530F6" w:rsidRPr="00C75412" w:rsidRDefault="001530F6" w:rsidP="00C75412">
      <w:pPr>
        <w:pStyle w:val="ListParagraph"/>
        <w:numPr>
          <w:ilvl w:val="0"/>
          <w:numId w:val="3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Personal transactions with the company. Since the insolvency practitioner should act in the best interests of the company’s creditors and the other stakeholders, a situation when they purchase the debtor’s property or realised the estate to their own interest.</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 xml:space="preserve">nt Mr Relation as </w:t>
      </w:r>
      <w:r w:rsidR="004D2C62" w:rsidRPr="002E7621">
        <w:rPr>
          <w:rFonts w:ascii="Avenir Next" w:hAnsi="Avenir Next" w:cs="Arial"/>
          <w:sz w:val="22"/>
          <w:szCs w:val="22"/>
          <w:lang w:val="en-GB"/>
        </w:rPr>
        <w:lastRenderedPageBreak/>
        <w:t>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28214DA6" w14:textId="6999EA23" w:rsidR="007E29BA" w:rsidRDefault="002D3473" w:rsidP="00087F21">
      <w:pPr>
        <w:autoSpaceDE w:val="0"/>
        <w:autoSpaceDN w:val="0"/>
        <w:adjustRightInd w:val="0"/>
        <w:jc w:val="both"/>
        <w:rPr>
          <w:rFonts w:ascii="Avenir Next" w:hAnsi="Avenir Next" w:cs="Arial"/>
          <w:color w:val="808080" w:themeColor="background1" w:themeShade="80"/>
          <w:sz w:val="22"/>
          <w:szCs w:val="22"/>
          <w:lang w:val="en-GB"/>
        </w:rPr>
      </w:pPr>
      <w:r w:rsidRPr="002E7621">
        <w:rPr>
          <w:rFonts w:ascii="Avenir Next" w:hAnsi="Avenir Next" w:cs="Arial"/>
          <w:color w:val="808080" w:themeColor="background1" w:themeShade="80"/>
          <w:sz w:val="22"/>
          <w:szCs w:val="22"/>
          <w:lang w:val="en-GB"/>
        </w:rPr>
        <w:t>[</w:t>
      </w:r>
      <w:r w:rsidR="007E29BA">
        <w:rPr>
          <w:rFonts w:ascii="Avenir Next" w:hAnsi="Avenir Next" w:cs="Arial"/>
          <w:color w:val="808080" w:themeColor="background1" w:themeShade="80"/>
          <w:sz w:val="22"/>
          <w:szCs w:val="22"/>
          <w:lang w:val="en-GB"/>
        </w:rPr>
        <w:t xml:space="preserve">First, Mr Relation acting as the company’s administrator is the breach of </w:t>
      </w:r>
      <w:r w:rsidR="00B61799">
        <w:rPr>
          <w:rFonts w:ascii="Avenir Next" w:hAnsi="Avenir Next" w:cs="Arial"/>
          <w:color w:val="808080" w:themeColor="background1" w:themeShade="80"/>
          <w:sz w:val="22"/>
          <w:szCs w:val="22"/>
          <w:lang w:val="en-GB"/>
        </w:rPr>
        <w:t>his duty to exercise the powers of the office in an independent and impartial manner principle</w:t>
      </w:r>
      <w:r w:rsidR="007E29BA">
        <w:rPr>
          <w:rFonts w:ascii="Avenir Next" w:hAnsi="Avenir Next" w:cs="Arial"/>
          <w:color w:val="808080" w:themeColor="background1" w:themeShade="80"/>
          <w:sz w:val="22"/>
          <w:szCs w:val="22"/>
          <w:lang w:val="en-GB"/>
        </w:rPr>
        <w:t xml:space="preserve"> because he is related to the company’s shareholder. </w:t>
      </w:r>
      <w:r w:rsidR="00B61799">
        <w:rPr>
          <w:rFonts w:ascii="Avenir Next" w:hAnsi="Avenir Next" w:cs="Arial"/>
          <w:color w:val="808080" w:themeColor="background1" w:themeShade="80"/>
          <w:sz w:val="22"/>
          <w:szCs w:val="22"/>
          <w:lang w:val="en-GB"/>
        </w:rPr>
        <w:t>There is a risk that</w:t>
      </w:r>
      <w:r w:rsidR="007E29BA">
        <w:rPr>
          <w:rFonts w:ascii="Avenir Next" w:hAnsi="Avenir Next" w:cs="Arial"/>
          <w:color w:val="808080" w:themeColor="background1" w:themeShade="80"/>
          <w:sz w:val="22"/>
          <w:szCs w:val="22"/>
          <w:lang w:val="en-GB"/>
        </w:rPr>
        <w:t xml:space="preserve"> Mr Relation might act in favour of Mr </w:t>
      </w:r>
      <w:proofErr w:type="spellStart"/>
      <w:r w:rsidR="007E29BA">
        <w:rPr>
          <w:rFonts w:ascii="Avenir Next" w:hAnsi="Avenir Next" w:cs="Arial"/>
          <w:color w:val="808080" w:themeColor="background1" w:themeShade="80"/>
          <w:sz w:val="22"/>
          <w:szCs w:val="22"/>
          <w:lang w:val="en-GB"/>
        </w:rPr>
        <w:t>Inlaw</w:t>
      </w:r>
      <w:proofErr w:type="spellEnd"/>
      <w:r w:rsidR="00D33A03">
        <w:rPr>
          <w:rFonts w:ascii="Avenir Next" w:hAnsi="Avenir Next" w:cs="Arial"/>
          <w:color w:val="808080" w:themeColor="background1" w:themeShade="80"/>
          <w:sz w:val="22"/>
          <w:szCs w:val="22"/>
          <w:lang w:val="en-GB"/>
        </w:rPr>
        <w:t xml:space="preserve"> and thus abuse the insolvency system which is inadmissible under Principle 33 of the World Bank’s Principles and Guidelines for Effective Insolvency and Creditor Rights Systems</w:t>
      </w:r>
      <w:r w:rsidR="008D7AC7">
        <w:rPr>
          <w:rFonts w:ascii="Avenir Next" w:hAnsi="Avenir Next" w:cs="Arial"/>
          <w:color w:val="808080" w:themeColor="background1" w:themeShade="80"/>
          <w:sz w:val="22"/>
          <w:szCs w:val="22"/>
          <w:lang w:val="en-GB"/>
        </w:rPr>
        <w:t xml:space="preserve"> and Principle 2 of the INSOL </w:t>
      </w:r>
      <w:r w:rsidR="008D7AC7">
        <w:rPr>
          <w:rFonts w:ascii="Avenir Next" w:hAnsi="Avenir Next" w:cs="Arial"/>
          <w:color w:val="808080" w:themeColor="background1" w:themeShade="80"/>
          <w:sz w:val="22"/>
          <w:szCs w:val="22"/>
          <w:lang w:val="en-GB"/>
        </w:rPr>
        <w:t>Principles</w:t>
      </w:r>
      <w:r w:rsidR="007E29BA">
        <w:rPr>
          <w:rFonts w:ascii="Avenir Next" w:hAnsi="Avenir Next" w:cs="Arial"/>
          <w:color w:val="808080" w:themeColor="background1" w:themeShade="80"/>
          <w:sz w:val="22"/>
          <w:szCs w:val="22"/>
          <w:lang w:val="en-GB"/>
        </w:rPr>
        <w:t xml:space="preserve">. </w:t>
      </w:r>
      <w:r w:rsidR="008D7AC7">
        <w:rPr>
          <w:rFonts w:ascii="Avenir Next" w:hAnsi="Avenir Next" w:cs="Arial"/>
          <w:color w:val="808080" w:themeColor="background1" w:themeShade="80"/>
          <w:sz w:val="22"/>
          <w:szCs w:val="22"/>
          <w:lang w:val="en-GB"/>
        </w:rPr>
        <w:t xml:space="preserve">The most efficient prevention of the breach of the aforementioned principles is not to accept an appointment in case of any connections with the debtor’s </w:t>
      </w:r>
      <w:proofErr w:type="gramStart"/>
      <w:r w:rsidR="008D7AC7">
        <w:rPr>
          <w:rFonts w:ascii="Avenir Next" w:hAnsi="Avenir Next" w:cs="Arial"/>
          <w:color w:val="808080" w:themeColor="background1" w:themeShade="80"/>
          <w:sz w:val="22"/>
          <w:szCs w:val="22"/>
          <w:lang w:val="en-GB"/>
        </w:rPr>
        <w:t>stakeholders’</w:t>
      </w:r>
      <w:proofErr w:type="gramEnd"/>
      <w:r w:rsidR="008D7AC7">
        <w:rPr>
          <w:rFonts w:ascii="Avenir Next" w:hAnsi="Avenir Next" w:cs="Arial"/>
          <w:color w:val="808080" w:themeColor="background1" w:themeShade="80"/>
          <w:sz w:val="22"/>
          <w:szCs w:val="22"/>
          <w:lang w:val="en-GB"/>
        </w:rPr>
        <w:t xml:space="preserve">. However, Mr Relation has </w:t>
      </w:r>
      <w:r w:rsidR="008D7AC7">
        <w:rPr>
          <w:rFonts w:ascii="Avenir Next" w:hAnsi="Avenir Next" w:cs="Arial"/>
          <w:color w:val="808080" w:themeColor="background1" w:themeShade="80"/>
          <w:sz w:val="22"/>
          <w:szCs w:val="22"/>
          <w:lang w:val="en-GB"/>
        </w:rPr>
        <w:lastRenderedPageBreak/>
        <w:t xml:space="preserve">already admitted appointment and is in breach. </w:t>
      </w:r>
      <w:r w:rsidR="00503834">
        <w:rPr>
          <w:rFonts w:ascii="Avenir Next" w:hAnsi="Avenir Next" w:cs="Arial"/>
          <w:color w:val="808080" w:themeColor="background1" w:themeShade="80"/>
          <w:sz w:val="22"/>
          <w:szCs w:val="22"/>
          <w:lang w:val="en-GB"/>
        </w:rPr>
        <w:t xml:space="preserve">In addition, Mr Relation risks to breach the principle of integrity </w:t>
      </w:r>
      <w:r w:rsidR="00503834">
        <w:rPr>
          <w:rFonts w:ascii="Avenir Next" w:hAnsi="Avenir Next" w:cs="Arial"/>
          <w:color w:val="808080" w:themeColor="background1" w:themeShade="80"/>
          <w:sz w:val="22"/>
          <w:szCs w:val="22"/>
          <w:lang w:val="en-GB"/>
        </w:rPr>
        <w:t>(Principle 1 of the INSOL Principles)</w:t>
      </w:r>
      <w:r w:rsidR="00503834">
        <w:rPr>
          <w:rFonts w:ascii="Avenir Next" w:hAnsi="Avenir Next" w:cs="Arial"/>
          <w:color w:val="808080" w:themeColor="background1" w:themeShade="80"/>
          <w:sz w:val="22"/>
          <w:szCs w:val="22"/>
          <w:lang w:val="en-GB"/>
        </w:rPr>
        <w:t xml:space="preserve"> in the context of fair dealing in case he gives preferential treatment to Mr </w:t>
      </w:r>
      <w:proofErr w:type="spellStart"/>
      <w:r w:rsidR="00503834">
        <w:rPr>
          <w:rFonts w:ascii="Avenir Next" w:hAnsi="Avenir Next" w:cs="Arial"/>
          <w:color w:val="808080" w:themeColor="background1" w:themeShade="80"/>
          <w:sz w:val="22"/>
          <w:szCs w:val="22"/>
          <w:lang w:val="en-GB"/>
        </w:rPr>
        <w:t>Inlaw</w:t>
      </w:r>
      <w:proofErr w:type="spellEnd"/>
      <w:r w:rsidR="00503834">
        <w:rPr>
          <w:rFonts w:ascii="Avenir Next" w:hAnsi="Avenir Next" w:cs="Arial"/>
          <w:color w:val="808080" w:themeColor="background1" w:themeShade="80"/>
          <w:sz w:val="22"/>
          <w:szCs w:val="22"/>
          <w:lang w:val="en-GB"/>
        </w:rPr>
        <w:t xml:space="preserve">.  </w:t>
      </w:r>
    </w:p>
    <w:p w14:paraId="1A75DA3B" w14:textId="77777777" w:rsidR="007E29BA" w:rsidRDefault="007E29BA" w:rsidP="00087F21">
      <w:pPr>
        <w:autoSpaceDE w:val="0"/>
        <w:autoSpaceDN w:val="0"/>
        <w:adjustRightInd w:val="0"/>
        <w:jc w:val="both"/>
        <w:rPr>
          <w:rFonts w:ascii="Avenir Next" w:hAnsi="Avenir Next" w:cs="Arial"/>
          <w:color w:val="808080" w:themeColor="background1" w:themeShade="80"/>
          <w:sz w:val="22"/>
          <w:szCs w:val="22"/>
          <w:lang w:val="en-GB"/>
        </w:rPr>
      </w:pPr>
    </w:p>
    <w:p w14:paraId="1BEF5643" w14:textId="77777777" w:rsidR="00370122" w:rsidRDefault="007E29B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Mr Relation privately discussed the risks of directors’ personal liability conceiving this fact from all shareholders except for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Knowing of the facts of misadministration, Mr Relation misinform</w:t>
      </w:r>
      <w:r w:rsidR="00B61799">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the shareholders that he has not found any evidence of the management wrongdoing. </w:t>
      </w:r>
      <w:r w:rsidR="00B61799">
        <w:rPr>
          <w:rFonts w:ascii="Avenir Next" w:hAnsi="Avenir Next" w:cs="Arial"/>
          <w:color w:val="808080" w:themeColor="background1" w:themeShade="80"/>
          <w:sz w:val="22"/>
          <w:szCs w:val="22"/>
          <w:lang w:val="en-GB"/>
        </w:rPr>
        <w:t>Such behaviour constitutes the breach of duty to act in the best interest of the beneficiary of the fiduciary duties.</w:t>
      </w:r>
      <w:r w:rsidR="00370122">
        <w:rPr>
          <w:rFonts w:ascii="Avenir Next" w:hAnsi="Avenir Next" w:cs="Arial"/>
          <w:color w:val="808080" w:themeColor="background1" w:themeShade="80"/>
          <w:sz w:val="22"/>
          <w:szCs w:val="22"/>
          <w:lang w:val="en-GB"/>
        </w:rPr>
        <w:t xml:space="preserve"> </w:t>
      </w:r>
    </w:p>
    <w:p w14:paraId="219CC7CB" w14:textId="77777777" w:rsidR="00370122" w:rsidRDefault="00370122" w:rsidP="00087F21">
      <w:pPr>
        <w:autoSpaceDE w:val="0"/>
        <w:autoSpaceDN w:val="0"/>
        <w:adjustRightInd w:val="0"/>
        <w:jc w:val="both"/>
        <w:rPr>
          <w:rFonts w:ascii="Avenir Next" w:hAnsi="Avenir Next" w:cs="Arial"/>
          <w:color w:val="808080" w:themeColor="background1" w:themeShade="80"/>
          <w:sz w:val="22"/>
          <w:szCs w:val="22"/>
          <w:lang w:val="en-GB"/>
        </w:rPr>
      </w:pPr>
    </w:p>
    <w:p w14:paraId="0E2F6E73" w14:textId="47CD149E" w:rsidR="00541148" w:rsidRDefault="00370122"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various theories as to who is insolvency practitioner’s (the “</w:t>
      </w:r>
      <w:r w:rsidRPr="00370122">
        <w:rPr>
          <w:rFonts w:ascii="Avenir Next" w:hAnsi="Avenir Next" w:cs="Arial"/>
          <w:b/>
          <w:bCs/>
          <w:color w:val="808080" w:themeColor="background1" w:themeShade="80"/>
          <w:sz w:val="22"/>
          <w:szCs w:val="22"/>
          <w:lang w:val="en-GB"/>
        </w:rPr>
        <w:t>IP</w:t>
      </w:r>
      <w:r>
        <w:rPr>
          <w:rFonts w:ascii="Avenir Next" w:hAnsi="Avenir Next" w:cs="Arial"/>
          <w:color w:val="808080" w:themeColor="background1" w:themeShade="80"/>
          <w:sz w:val="22"/>
          <w:szCs w:val="22"/>
          <w:lang w:val="en-GB"/>
        </w:rPr>
        <w:t xml:space="preserve">”) beneficiary. For instance, according to the traditionalist theories, the IP shall </w:t>
      </w:r>
      <w:proofErr w:type="gramStart"/>
      <w:r>
        <w:rPr>
          <w:rFonts w:ascii="Avenir Next" w:hAnsi="Avenir Next" w:cs="Arial"/>
          <w:color w:val="808080" w:themeColor="background1" w:themeShade="80"/>
          <w:sz w:val="22"/>
          <w:szCs w:val="22"/>
          <w:lang w:val="en-GB"/>
        </w:rPr>
        <w:t>take into account</w:t>
      </w:r>
      <w:proofErr w:type="gramEnd"/>
      <w:r>
        <w:rPr>
          <w:rFonts w:ascii="Avenir Next" w:hAnsi="Avenir Next" w:cs="Arial"/>
          <w:color w:val="808080" w:themeColor="background1" w:themeShade="80"/>
          <w:sz w:val="22"/>
          <w:szCs w:val="22"/>
          <w:lang w:val="en-GB"/>
        </w:rPr>
        <w:t xml:space="preserve"> interests of such stakeholders as employees, suppliers and tax authorities. According to the contractarian and the “enlightened creditor value” theories creditors’ interests shall be the IP’s priority. In any case, debtor’s unfair management cannot be Mr Relation’s priority.  </w:t>
      </w:r>
    </w:p>
    <w:p w14:paraId="3F3B2C4E" w14:textId="77777777" w:rsidR="00503834" w:rsidRDefault="00503834" w:rsidP="00087F21">
      <w:pPr>
        <w:autoSpaceDE w:val="0"/>
        <w:autoSpaceDN w:val="0"/>
        <w:adjustRightInd w:val="0"/>
        <w:jc w:val="both"/>
        <w:rPr>
          <w:rFonts w:ascii="Avenir Next" w:hAnsi="Avenir Next" w:cs="Arial"/>
          <w:color w:val="808080" w:themeColor="background1" w:themeShade="80"/>
          <w:sz w:val="22"/>
          <w:szCs w:val="22"/>
          <w:lang w:val="en-GB"/>
        </w:rPr>
      </w:pPr>
    </w:p>
    <w:p w14:paraId="3EECEF38" w14:textId="5C865184" w:rsidR="00503834" w:rsidRDefault="00503834"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Mr Relation has breached the principle of integrity (Principle 1 of the INSOL Principles) since he discussed the potential issues of management’s liability in private and was not honest while preparing a report on the Company’s financial status. </w:t>
      </w:r>
      <w:r w:rsidR="00C75412">
        <w:rPr>
          <w:rFonts w:ascii="Avenir Next" w:hAnsi="Avenir Next" w:cs="Arial"/>
          <w:color w:val="808080" w:themeColor="background1" w:themeShade="80"/>
          <w:sz w:val="22"/>
          <w:szCs w:val="22"/>
          <w:lang w:val="en-GB"/>
        </w:rPr>
        <w:t xml:space="preserve">Thus, the Company’s major creditor assumes that Mr Relation is not impartial. </w:t>
      </w:r>
    </w:p>
    <w:p w14:paraId="1793C54F" w14:textId="77777777" w:rsidR="00D33A03" w:rsidRDefault="00D33A03" w:rsidP="00087F21">
      <w:pPr>
        <w:autoSpaceDE w:val="0"/>
        <w:autoSpaceDN w:val="0"/>
        <w:adjustRightInd w:val="0"/>
        <w:jc w:val="both"/>
        <w:rPr>
          <w:rFonts w:ascii="Avenir Next" w:hAnsi="Avenir Next" w:cs="Arial"/>
          <w:color w:val="808080" w:themeColor="background1" w:themeShade="80"/>
          <w:sz w:val="22"/>
          <w:szCs w:val="22"/>
          <w:lang w:val="en-GB"/>
        </w:rPr>
      </w:pPr>
    </w:p>
    <w:p w14:paraId="3065E2B3" w14:textId="0B0ABC8E" w:rsidR="00D33A03" w:rsidRDefault="00D33A03"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related to </w:t>
      </w:r>
    </w:p>
    <w:p w14:paraId="21D509EA" w14:textId="77777777" w:rsidR="00541148" w:rsidRDefault="00541148" w:rsidP="00087F21">
      <w:pPr>
        <w:autoSpaceDE w:val="0"/>
        <w:autoSpaceDN w:val="0"/>
        <w:adjustRightInd w:val="0"/>
        <w:jc w:val="both"/>
        <w:rPr>
          <w:rFonts w:ascii="Avenir Next" w:hAnsi="Avenir Next" w:cs="Arial"/>
          <w:color w:val="808080" w:themeColor="background1" w:themeShade="80"/>
          <w:sz w:val="22"/>
          <w:szCs w:val="22"/>
          <w:lang w:val="en-GB"/>
        </w:rPr>
      </w:pPr>
    </w:p>
    <w:p w14:paraId="13A5AB79" w14:textId="77777777" w:rsidR="00503834" w:rsidRDefault="00541148"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 Mr Relation’s staff keeps confidential documents on their private computers exposing them to the risk of becoming known to the family members.</w:t>
      </w:r>
      <w:r w:rsidR="007E29BA">
        <w:rPr>
          <w:rFonts w:ascii="Avenir Next" w:hAnsi="Avenir Next" w:cs="Arial"/>
          <w:color w:val="808080" w:themeColor="background1" w:themeShade="80"/>
          <w:sz w:val="22"/>
          <w:szCs w:val="22"/>
          <w:lang w:val="en-GB"/>
        </w:rPr>
        <w:t xml:space="preserve"> </w:t>
      </w:r>
      <w:r w:rsidR="00B61799">
        <w:rPr>
          <w:rFonts w:ascii="Avenir Next" w:hAnsi="Avenir Next" w:cs="Arial"/>
          <w:color w:val="808080" w:themeColor="background1" w:themeShade="80"/>
          <w:sz w:val="22"/>
          <w:szCs w:val="22"/>
          <w:lang w:val="en-GB"/>
        </w:rPr>
        <w:t>Should Mr Relation a</w:t>
      </w:r>
      <w:r w:rsidR="00F12B68">
        <w:rPr>
          <w:rFonts w:ascii="Avenir Next" w:hAnsi="Avenir Next" w:cs="Arial"/>
          <w:color w:val="808080" w:themeColor="background1" w:themeShade="80"/>
          <w:sz w:val="22"/>
          <w:szCs w:val="22"/>
          <w:lang w:val="en-GB"/>
        </w:rPr>
        <w:t xml:space="preserve">dmit such </w:t>
      </w:r>
      <w:proofErr w:type="spellStart"/>
      <w:r w:rsidR="00F12B68">
        <w:rPr>
          <w:rFonts w:ascii="Avenir Next" w:hAnsi="Avenir Next" w:cs="Arial"/>
          <w:color w:val="808080" w:themeColor="background1" w:themeShade="80"/>
          <w:sz w:val="22"/>
          <w:szCs w:val="22"/>
          <w:lang w:val="en-GB"/>
        </w:rPr>
        <w:t>behavious</w:t>
      </w:r>
      <w:proofErr w:type="spellEnd"/>
      <w:r w:rsidR="00F12B68">
        <w:rPr>
          <w:rFonts w:ascii="Avenir Next" w:hAnsi="Avenir Next" w:cs="Arial"/>
          <w:color w:val="808080" w:themeColor="background1" w:themeShade="80"/>
          <w:sz w:val="22"/>
          <w:szCs w:val="22"/>
          <w:lang w:val="en-GB"/>
        </w:rPr>
        <w:t xml:space="preserve"> of his staff, he will breach his duty to act with care, </w:t>
      </w:r>
      <w:proofErr w:type="gramStart"/>
      <w:r w:rsidR="00F12B68">
        <w:rPr>
          <w:rFonts w:ascii="Avenir Next" w:hAnsi="Avenir Next" w:cs="Arial"/>
          <w:color w:val="808080" w:themeColor="background1" w:themeShade="80"/>
          <w:sz w:val="22"/>
          <w:szCs w:val="22"/>
          <w:lang w:val="en-GB"/>
        </w:rPr>
        <w:t>skill</w:t>
      </w:r>
      <w:proofErr w:type="gramEnd"/>
      <w:r w:rsidR="00F12B68">
        <w:rPr>
          <w:rFonts w:ascii="Avenir Next" w:hAnsi="Avenir Next" w:cs="Arial"/>
          <w:color w:val="808080" w:themeColor="background1" w:themeShade="80"/>
          <w:sz w:val="22"/>
          <w:szCs w:val="22"/>
          <w:lang w:val="en-GB"/>
        </w:rPr>
        <w:t xml:space="preserve"> and diligence.</w:t>
      </w:r>
    </w:p>
    <w:p w14:paraId="5CADFC0F" w14:textId="77777777" w:rsidR="00503834" w:rsidRDefault="00503834" w:rsidP="00087F21">
      <w:pPr>
        <w:autoSpaceDE w:val="0"/>
        <w:autoSpaceDN w:val="0"/>
        <w:adjustRightInd w:val="0"/>
        <w:jc w:val="both"/>
        <w:rPr>
          <w:rFonts w:ascii="Avenir Next" w:hAnsi="Avenir Next" w:cs="Arial"/>
          <w:color w:val="808080" w:themeColor="background1" w:themeShade="80"/>
          <w:sz w:val="22"/>
          <w:szCs w:val="22"/>
          <w:lang w:val="en-GB"/>
        </w:rPr>
      </w:pPr>
    </w:p>
    <w:p w14:paraId="626FA5C6" w14:textId="31657FA8" w:rsidR="002D3473" w:rsidRPr="002E7621" w:rsidRDefault="00503834"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Fourth, Mr Relation’s having voiced the </w:t>
      </w:r>
      <w:r w:rsidR="008D7AC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pro-</w:t>
      </w:r>
      <w:r w:rsidR="008D7AC7">
        <w:rPr>
          <w:rFonts w:ascii="Avenir Next" w:hAnsi="Avenir Next" w:cs="Arial"/>
          <w:color w:val="808080" w:themeColor="background1" w:themeShade="80"/>
          <w:sz w:val="22"/>
          <w:szCs w:val="22"/>
          <w:lang w:val="en-GB"/>
        </w:rPr>
        <w:t>low-ranking-</w:t>
      </w:r>
      <w:r>
        <w:rPr>
          <w:rFonts w:ascii="Avenir Next" w:hAnsi="Avenir Next" w:cs="Arial"/>
          <w:color w:val="808080" w:themeColor="background1" w:themeShade="80"/>
          <w:sz w:val="22"/>
          <w:szCs w:val="22"/>
          <w:lang w:val="en-GB"/>
        </w:rPr>
        <w:t>creditors</w:t>
      </w:r>
      <w:r w:rsidR="008D7AC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approach in the past is a clear breach of the principle of integrity </w:t>
      </w:r>
      <w:r w:rsidR="008D7AC7">
        <w:rPr>
          <w:rFonts w:ascii="Avenir Next" w:hAnsi="Avenir Next" w:cs="Arial"/>
          <w:color w:val="808080" w:themeColor="background1" w:themeShade="80"/>
          <w:sz w:val="22"/>
          <w:szCs w:val="22"/>
          <w:lang w:val="en-GB"/>
        </w:rPr>
        <w:t>since an IP should never favour the interests of creditors, contributories and his appointers</w:t>
      </w:r>
      <w:proofErr w:type="gramStart"/>
      <w:r w:rsidR="008D7AC7">
        <w:rPr>
          <w:rFonts w:ascii="Avenir Next" w:hAnsi="Avenir Next" w:cs="Arial"/>
          <w:color w:val="808080" w:themeColor="background1" w:themeShade="80"/>
          <w:sz w:val="22"/>
          <w:szCs w:val="22"/>
          <w:lang w:val="en-GB"/>
        </w:rPr>
        <w:t xml:space="preserve">. </w:t>
      </w:r>
      <w:r w:rsidR="002D3473" w:rsidRPr="002E7621">
        <w:rPr>
          <w:rFonts w:ascii="Avenir Next" w:hAnsi="Avenir Next" w:cs="Arial"/>
          <w:color w:val="808080" w:themeColor="background1" w:themeShade="80"/>
          <w:sz w:val="22"/>
          <w:szCs w:val="22"/>
          <w:lang w:val="en-GB"/>
        </w:rPr>
        <w:t>]</w:t>
      </w:r>
      <w:proofErr w:type="gramEnd"/>
    </w:p>
    <w:p w14:paraId="70C6A8B6" w14:textId="0BD2E6B6" w:rsidR="00126A4D" w:rsidRPr="002E7621" w:rsidRDefault="00503834"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 </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C57D" w14:textId="77777777" w:rsidR="00631D3B" w:rsidRDefault="00631D3B" w:rsidP="00241B44">
      <w:r>
        <w:separator/>
      </w:r>
    </w:p>
  </w:endnote>
  <w:endnote w:type="continuationSeparator" w:id="0">
    <w:p w14:paraId="763A8FF4" w14:textId="77777777" w:rsidR="00631D3B" w:rsidRDefault="00631D3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474FB32" w:rsidR="00241FA3" w:rsidRPr="009B4976" w:rsidRDefault="00E85EF4" w:rsidP="009B4976">
    <w:pPr>
      <w:pStyle w:val="Footer"/>
      <w:ind w:right="360"/>
      <w:rPr>
        <w:rFonts w:ascii="Arial" w:hAnsi="Arial" w:cs="Arial"/>
        <w:sz w:val="18"/>
        <w:szCs w:val="18"/>
        <w:lang w:val="en-GB"/>
      </w:rPr>
    </w:pPr>
    <w:r w:rsidRPr="00E85EF4">
      <w:rPr>
        <w:rFonts w:ascii="Arial" w:hAnsi="Arial" w:cs="Arial"/>
        <w:sz w:val="18"/>
        <w:szCs w:val="18"/>
        <w:lang w:val="en-GB"/>
      </w:rPr>
      <w:t>202223-977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DD2F" w14:textId="77777777" w:rsidR="00631D3B" w:rsidRDefault="00631D3B" w:rsidP="00241B44">
      <w:r>
        <w:separator/>
      </w:r>
    </w:p>
  </w:footnote>
  <w:footnote w:type="continuationSeparator" w:id="0">
    <w:p w14:paraId="7F0C832D" w14:textId="77777777" w:rsidR="00631D3B" w:rsidRDefault="00631D3B" w:rsidP="00241B44">
      <w:r>
        <w:continuationSeparator/>
      </w:r>
    </w:p>
  </w:footnote>
  <w:footnote w:id="1">
    <w:p w14:paraId="57F4DE76" w14:textId="6791E3CB" w:rsidR="00E85EF4" w:rsidRDefault="00E85EF4">
      <w:pPr>
        <w:pStyle w:val="FootnoteText"/>
      </w:pPr>
      <w:r>
        <w:rPr>
          <w:rStyle w:val="FootnoteReference"/>
        </w:rPr>
        <w:footnoteRef/>
      </w:r>
      <w:r>
        <w:t xml:space="preserve"> </w:t>
      </w:r>
      <w:r w:rsidR="00C96B7C" w:rsidRPr="009F085D">
        <w:t xml:space="preserve">Foundation Certificate in International Insolvency Law, Module </w:t>
      </w:r>
      <w:r w:rsidR="00C96B7C">
        <w:t>9</w:t>
      </w:r>
      <w:r w:rsidR="00C96B7C" w:rsidRPr="009F085D">
        <w:t xml:space="preserve"> Guidance Text, Section </w:t>
      </w:r>
      <w:r w:rsidR="00C96B7C">
        <w:t>3.2</w:t>
      </w:r>
      <w:r w:rsidR="00C96B7C">
        <w:t>, page</w:t>
      </w:r>
      <w:r w:rsidR="00C96B7C">
        <w:t>s 3-5</w:t>
      </w:r>
      <w:r w:rsidR="00C96B7C">
        <w:t>.</w:t>
      </w:r>
    </w:p>
  </w:footnote>
  <w:footnote w:id="2">
    <w:p w14:paraId="5161DB29" w14:textId="380DDA37" w:rsidR="00B265D7" w:rsidRDefault="00B265D7">
      <w:pPr>
        <w:pStyle w:val="FootnoteText"/>
      </w:pPr>
      <w:r>
        <w:rPr>
          <w:rStyle w:val="FootnoteReference"/>
        </w:rPr>
        <w:footnoteRef/>
      </w:r>
      <w:r>
        <w:t xml:space="preserve"> </w:t>
      </w:r>
      <w:r w:rsidRPr="009F085D">
        <w:t xml:space="preserve">Foundation Certificate in International Insolvency Law, Module </w:t>
      </w:r>
      <w:r>
        <w:t>9</w:t>
      </w:r>
      <w:r w:rsidRPr="009F085D">
        <w:t xml:space="preserve"> Guidance Text, Section </w:t>
      </w:r>
      <w:r>
        <w:t>5.3</w:t>
      </w:r>
      <w:r>
        <w:t>, page</w:t>
      </w:r>
      <w:r w:rsidR="00C75412">
        <w:t xml:space="preserve"> 18</w:t>
      </w:r>
      <w:r>
        <w:t>.</w:t>
      </w:r>
    </w:p>
  </w:footnote>
  <w:footnote w:id="3">
    <w:p w14:paraId="63891B47" w14:textId="578DBF5D" w:rsidR="008C6671" w:rsidRDefault="008C6671">
      <w:pPr>
        <w:pStyle w:val="FootnoteText"/>
      </w:pPr>
      <w:r>
        <w:rPr>
          <w:rStyle w:val="FootnoteReference"/>
        </w:rPr>
        <w:footnoteRef/>
      </w:r>
      <w:r>
        <w:t xml:space="preserve"> </w:t>
      </w:r>
      <w:r w:rsidRPr="009F085D">
        <w:t xml:space="preserve">Foundation Certificate in International Insolvency Law, Module </w:t>
      </w:r>
      <w:r>
        <w:t>9</w:t>
      </w:r>
      <w:r w:rsidRPr="009F085D">
        <w:t xml:space="preserve"> Guidance Text, Section </w:t>
      </w:r>
      <w:r>
        <w:t>5.</w:t>
      </w:r>
      <w:r>
        <w:t>7.7</w:t>
      </w:r>
      <w:r>
        <w:t xml:space="preserve">, page </w:t>
      </w:r>
      <w:r>
        <w:t>4</w:t>
      </w:r>
      <w:r>
        <w:t>8.</w:t>
      </w:r>
    </w:p>
  </w:footnote>
  <w:footnote w:id="4">
    <w:p w14:paraId="53919232" w14:textId="7C58E2C7" w:rsidR="008C6671" w:rsidRDefault="008C6671">
      <w:pPr>
        <w:pStyle w:val="FootnoteText"/>
      </w:pPr>
      <w:r>
        <w:rPr>
          <w:rStyle w:val="FootnoteReference"/>
        </w:rPr>
        <w:footnoteRef/>
      </w:r>
      <w:r>
        <w:t xml:space="preserve"> </w:t>
      </w:r>
      <w:r w:rsidRPr="009F085D">
        <w:t xml:space="preserve">Foundation Certificate in International Insolvency Law, Module </w:t>
      </w:r>
      <w:r>
        <w:t>9</w:t>
      </w:r>
      <w:r w:rsidRPr="009F085D">
        <w:t xml:space="preserve"> Guidance Text, Section </w:t>
      </w:r>
      <w:r>
        <w:t>5.</w:t>
      </w:r>
      <w:r>
        <w:t>2.2</w:t>
      </w:r>
      <w:r>
        <w:t>, page 1</w:t>
      </w:r>
      <w:r>
        <w:t>5</w:t>
      </w:r>
      <w:r>
        <w:t>.</w:t>
      </w:r>
    </w:p>
  </w:footnote>
  <w:footnote w:id="5">
    <w:p w14:paraId="5233F3D1" w14:textId="2470C423" w:rsidR="001530F6" w:rsidRDefault="001530F6">
      <w:pPr>
        <w:pStyle w:val="FootnoteText"/>
      </w:pPr>
      <w:r>
        <w:rPr>
          <w:rStyle w:val="FootnoteReference"/>
        </w:rPr>
        <w:footnoteRef/>
      </w:r>
      <w:r>
        <w:t xml:space="preserve"> </w:t>
      </w:r>
      <w:r>
        <w:rPr>
          <w:rStyle w:val="FootnoteReference"/>
        </w:rPr>
        <w:footnoteRef/>
      </w:r>
      <w:r>
        <w:t xml:space="preserve"> </w:t>
      </w:r>
      <w:r w:rsidRPr="009F085D">
        <w:t xml:space="preserve">Foundation Certificate in International Insolvency Law, Module </w:t>
      </w:r>
      <w:r>
        <w:t>9</w:t>
      </w:r>
      <w:r w:rsidRPr="009F085D">
        <w:t xml:space="preserve"> Guidance Text, Section </w:t>
      </w:r>
      <w:r>
        <w:t>5.3, page</w:t>
      </w:r>
      <w:r>
        <w:t>s</w:t>
      </w:r>
      <w:r>
        <w:t xml:space="preserve"> 18</w:t>
      </w:r>
      <w:r>
        <w:t>-28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77243"/>
    <w:multiLevelType w:val="hybridMultilevel"/>
    <w:tmpl w:val="26AAA0FE"/>
    <w:lvl w:ilvl="0" w:tplc="8C96EB9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E3C34"/>
    <w:multiLevelType w:val="hybridMultilevel"/>
    <w:tmpl w:val="D8D85014"/>
    <w:lvl w:ilvl="0" w:tplc="D93EB54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903028"/>
    <w:multiLevelType w:val="hybridMultilevel"/>
    <w:tmpl w:val="49244F4C"/>
    <w:lvl w:ilvl="0" w:tplc="A2B80B6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628337">
    <w:abstractNumId w:val="13"/>
  </w:num>
  <w:num w:numId="2" w16cid:durableId="1870987334">
    <w:abstractNumId w:val="9"/>
  </w:num>
  <w:num w:numId="3" w16cid:durableId="200215003">
    <w:abstractNumId w:val="19"/>
  </w:num>
  <w:num w:numId="4" w16cid:durableId="260652462">
    <w:abstractNumId w:val="17"/>
  </w:num>
  <w:num w:numId="5" w16cid:durableId="1253659213">
    <w:abstractNumId w:val="31"/>
  </w:num>
  <w:num w:numId="6" w16cid:durableId="33578181">
    <w:abstractNumId w:val="32"/>
  </w:num>
  <w:num w:numId="7" w16cid:durableId="703677583">
    <w:abstractNumId w:val="33"/>
  </w:num>
  <w:num w:numId="8" w16cid:durableId="1404718146">
    <w:abstractNumId w:val="28"/>
  </w:num>
  <w:num w:numId="9" w16cid:durableId="858005643">
    <w:abstractNumId w:val="20"/>
  </w:num>
  <w:num w:numId="10" w16cid:durableId="569079989">
    <w:abstractNumId w:val="3"/>
  </w:num>
  <w:num w:numId="11" w16cid:durableId="1693726073">
    <w:abstractNumId w:val="12"/>
  </w:num>
  <w:num w:numId="12" w16cid:durableId="1943410772">
    <w:abstractNumId w:val="10"/>
  </w:num>
  <w:num w:numId="13" w16cid:durableId="826016021">
    <w:abstractNumId w:val="27"/>
  </w:num>
  <w:num w:numId="14" w16cid:durableId="1842156980">
    <w:abstractNumId w:val="2"/>
  </w:num>
  <w:num w:numId="15" w16cid:durableId="1685396703">
    <w:abstractNumId w:val="16"/>
  </w:num>
  <w:num w:numId="16" w16cid:durableId="1837528521">
    <w:abstractNumId w:val="22"/>
  </w:num>
  <w:num w:numId="17" w16cid:durableId="1138838123">
    <w:abstractNumId w:val="0"/>
  </w:num>
  <w:num w:numId="18" w16cid:durableId="1105150694">
    <w:abstractNumId w:val="29"/>
  </w:num>
  <w:num w:numId="19" w16cid:durableId="1358776454">
    <w:abstractNumId w:val="21"/>
  </w:num>
  <w:num w:numId="20" w16cid:durableId="400249316">
    <w:abstractNumId w:val="1"/>
  </w:num>
  <w:num w:numId="21" w16cid:durableId="1920209471">
    <w:abstractNumId w:val="7"/>
  </w:num>
  <w:num w:numId="22" w16cid:durableId="191699079">
    <w:abstractNumId w:val="4"/>
  </w:num>
  <w:num w:numId="23" w16cid:durableId="1238053354">
    <w:abstractNumId w:val="6"/>
  </w:num>
  <w:num w:numId="24" w16cid:durableId="1557666462">
    <w:abstractNumId w:val="15"/>
  </w:num>
  <w:num w:numId="25" w16cid:durableId="1071468444">
    <w:abstractNumId w:val="11"/>
  </w:num>
  <w:num w:numId="26" w16cid:durableId="2000040007">
    <w:abstractNumId w:val="5"/>
  </w:num>
  <w:num w:numId="27" w16cid:durableId="1941448094">
    <w:abstractNumId w:val="14"/>
  </w:num>
  <w:num w:numId="28" w16cid:durableId="243416546">
    <w:abstractNumId w:val="24"/>
  </w:num>
  <w:num w:numId="29" w16cid:durableId="2034918645">
    <w:abstractNumId w:val="25"/>
  </w:num>
  <w:num w:numId="30" w16cid:durableId="1351252723">
    <w:abstractNumId w:val="8"/>
  </w:num>
  <w:num w:numId="31" w16cid:durableId="1374963118">
    <w:abstractNumId w:val="23"/>
  </w:num>
  <w:num w:numId="32" w16cid:durableId="1939563555">
    <w:abstractNumId w:val="26"/>
  </w:num>
  <w:num w:numId="33" w16cid:durableId="1971664257">
    <w:abstractNumId w:val="30"/>
  </w:num>
  <w:num w:numId="34" w16cid:durableId="64234574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30F6"/>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50BB8"/>
    <w:rsid w:val="00361A0A"/>
    <w:rsid w:val="00364836"/>
    <w:rsid w:val="0036565C"/>
    <w:rsid w:val="0036625E"/>
    <w:rsid w:val="00370122"/>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03834"/>
    <w:rsid w:val="005177FE"/>
    <w:rsid w:val="0052263B"/>
    <w:rsid w:val="00524728"/>
    <w:rsid w:val="005327A3"/>
    <w:rsid w:val="005331CA"/>
    <w:rsid w:val="00537970"/>
    <w:rsid w:val="00540E3A"/>
    <w:rsid w:val="00541148"/>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1D3B"/>
    <w:rsid w:val="00632E44"/>
    <w:rsid w:val="00634622"/>
    <w:rsid w:val="00636808"/>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29BA"/>
    <w:rsid w:val="007E6BA4"/>
    <w:rsid w:val="007F41F8"/>
    <w:rsid w:val="007F659B"/>
    <w:rsid w:val="0080454E"/>
    <w:rsid w:val="00804C32"/>
    <w:rsid w:val="00806302"/>
    <w:rsid w:val="008063DF"/>
    <w:rsid w:val="00807119"/>
    <w:rsid w:val="00815328"/>
    <w:rsid w:val="0082483F"/>
    <w:rsid w:val="008279C0"/>
    <w:rsid w:val="00841D99"/>
    <w:rsid w:val="008555F6"/>
    <w:rsid w:val="00862BC4"/>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71"/>
    <w:rsid w:val="008C66E0"/>
    <w:rsid w:val="008C6825"/>
    <w:rsid w:val="008D7AC7"/>
    <w:rsid w:val="008E1511"/>
    <w:rsid w:val="008E3339"/>
    <w:rsid w:val="008E7E16"/>
    <w:rsid w:val="008F20FC"/>
    <w:rsid w:val="008F5FFE"/>
    <w:rsid w:val="00905A43"/>
    <w:rsid w:val="00912C79"/>
    <w:rsid w:val="00920BE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65D7"/>
    <w:rsid w:val="00B27B6F"/>
    <w:rsid w:val="00B44713"/>
    <w:rsid w:val="00B501A0"/>
    <w:rsid w:val="00B51B95"/>
    <w:rsid w:val="00B56103"/>
    <w:rsid w:val="00B61799"/>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073"/>
    <w:rsid w:val="00C52796"/>
    <w:rsid w:val="00C53E2C"/>
    <w:rsid w:val="00C550C8"/>
    <w:rsid w:val="00C55824"/>
    <w:rsid w:val="00C56B61"/>
    <w:rsid w:val="00C606C3"/>
    <w:rsid w:val="00C620F4"/>
    <w:rsid w:val="00C72848"/>
    <w:rsid w:val="00C75412"/>
    <w:rsid w:val="00C7736C"/>
    <w:rsid w:val="00C82D87"/>
    <w:rsid w:val="00C830EE"/>
    <w:rsid w:val="00C8712A"/>
    <w:rsid w:val="00C87E9E"/>
    <w:rsid w:val="00C902C8"/>
    <w:rsid w:val="00C919D1"/>
    <w:rsid w:val="00C963D3"/>
    <w:rsid w:val="00C96B7C"/>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33A03"/>
    <w:rsid w:val="00D53719"/>
    <w:rsid w:val="00D61C6D"/>
    <w:rsid w:val="00D63EFD"/>
    <w:rsid w:val="00D84752"/>
    <w:rsid w:val="00D86B3B"/>
    <w:rsid w:val="00D8714D"/>
    <w:rsid w:val="00D8748A"/>
    <w:rsid w:val="00D93196"/>
    <w:rsid w:val="00D96B17"/>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3304F"/>
    <w:rsid w:val="00E450A4"/>
    <w:rsid w:val="00E506BE"/>
    <w:rsid w:val="00E55547"/>
    <w:rsid w:val="00E6302B"/>
    <w:rsid w:val="00E6452F"/>
    <w:rsid w:val="00E64F45"/>
    <w:rsid w:val="00E6742D"/>
    <w:rsid w:val="00E71CB0"/>
    <w:rsid w:val="00E77C3D"/>
    <w:rsid w:val="00E85EF4"/>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572"/>
    <w:rsid w:val="00F01639"/>
    <w:rsid w:val="00F033DA"/>
    <w:rsid w:val="00F12B68"/>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Ксения Беляева</cp:lastModifiedBy>
  <cp:revision>3</cp:revision>
  <cp:lastPrinted>2019-08-27T05:42:00Z</cp:lastPrinted>
  <dcterms:created xsi:type="dcterms:W3CDTF">2023-07-31T21:07:00Z</dcterms:created>
  <dcterms:modified xsi:type="dcterms:W3CDTF">2023-07-31T21:59:00Z</dcterms:modified>
</cp:coreProperties>
</file>