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AD7961" w:rsidRDefault="00662251" w:rsidP="008C35C9">
      <w:pPr>
        <w:pStyle w:val="ListParagraph"/>
        <w:numPr>
          <w:ilvl w:val="0"/>
          <w:numId w:val="22"/>
        </w:numPr>
        <w:ind w:left="426"/>
        <w:jc w:val="both"/>
        <w:rPr>
          <w:rFonts w:ascii="Avenir Next" w:hAnsi="Avenir Next" w:cs="Arial"/>
          <w:sz w:val="22"/>
          <w:szCs w:val="22"/>
          <w:highlight w:val="yellow"/>
          <w:lang w:val="en-GB"/>
        </w:rPr>
      </w:pPr>
      <w:r w:rsidRPr="00AD7961">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4156B8" w:rsidRDefault="00263D03" w:rsidP="008C35C9">
      <w:pPr>
        <w:pStyle w:val="ListParagraph"/>
        <w:numPr>
          <w:ilvl w:val="0"/>
          <w:numId w:val="23"/>
        </w:numPr>
        <w:ind w:left="426"/>
        <w:jc w:val="both"/>
        <w:rPr>
          <w:rFonts w:ascii="Avenir Next" w:hAnsi="Avenir Next" w:cs="Arial"/>
          <w:sz w:val="22"/>
          <w:szCs w:val="22"/>
          <w:highlight w:val="yellow"/>
        </w:rPr>
      </w:pPr>
      <w:r w:rsidRPr="004156B8">
        <w:rPr>
          <w:rFonts w:ascii="Avenir Next" w:hAnsi="Avenir Next" w:cs="Arial"/>
          <w:sz w:val="22"/>
          <w:szCs w:val="22"/>
          <w:highlight w:val="yellow"/>
        </w:rPr>
        <w:t xml:space="preserve">Agent of the company granting the charge </w:t>
      </w:r>
      <w:r w:rsidR="00D93DCB" w:rsidRPr="004156B8">
        <w:rPr>
          <w:rFonts w:ascii="Avenir Next" w:hAnsi="Avenir Next" w:cs="Arial"/>
          <w:sz w:val="22"/>
          <w:szCs w:val="22"/>
          <w:highlight w:val="yellow"/>
        </w:rPr>
        <w:t>(</w:t>
      </w:r>
      <w:r w:rsidRPr="004156B8">
        <w:rPr>
          <w:rFonts w:ascii="Avenir Next" w:hAnsi="Avenir Next" w:cs="Arial"/>
          <w:sz w:val="22"/>
          <w:szCs w:val="22"/>
          <w:highlight w:val="yellow"/>
        </w:rPr>
        <w:t>A</w:t>
      </w:r>
      <w:r w:rsidR="00D93DCB" w:rsidRPr="004156B8">
        <w:rPr>
          <w:rFonts w:ascii="Avenir Next" w:hAnsi="Avenir Next" w:cs="Arial"/>
          <w:sz w:val="22"/>
          <w:szCs w:val="22"/>
          <w:highlight w:val="yellow"/>
        </w:rPr>
        <w:t>, in this instance)</w:t>
      </w:r>
      <w:r w:rsidRPr="004156B8">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4156B8" w:rsidRDefault="00BF7606" w:rsidP="008C35C9">
      <w:pPr>
        <w:pStyle w:val="ListParagraph"/>
        <w:numPr>
          <w:ilvl w:val="0"/>
          <w:numId w:val="24"/>
        </w:numPr>
        <w:ind w:left="426"/>
        <w:jc w:val="both"/>
        <w:rPr>
          <w:rFonts w:ascii="Avenir Next" w:hAnsi="Avenir Next" w:cs="Arial"/>
          <w:sz w:val="22"/>
          <w:szCs w:val="22"/>
          <w:highlight w:val="yellow"/>
        </w:rPr>
      </w:pPr>
      <w:r w:rsidRPr="004156B8">
        <w:rPr>
          <w:rFonts w:ascii="Avenir Next" w:hAnsi="Avenir Next" w:cs="Arial"/>
          <w:sz w:val="22"/>
          <w:szCs w:val="22"/>
          <w:highlight w:val="yellow"/>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There must be a reasonable possibility that the winding</w:t>
      </w:r>
      <w:r w:rsidR="00A431DB" w:rsidRPr="008C35C9">
        <w:rPr>
          <w:rFonts w:ascii="Avenir Next" w:hAnsi="Avenir Next" w:cs="Arial"/>
          <w:sz w:val="22"/>
          <w:szCs w:val="22"/>
        </w:rPr>
        <w:t>-</w:t>
      </w:r>
      <w:r w:rsidRPr="008C35C9">
        <w:rPr>
          <w:rFonts w:ascii="Avenir Next" w:hAnsi="Avenir Next" w:cs="Arial"/>
          <w:sz w:val="22"/>
          <w:szCs w:val="22"/>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4156B8" w:rsidRDefault="00982B1B" w:rsidP="008C35C9">
      <w:pPr>
        <w:pStyle w:val="ListParagraph"/>
        <w:numPr>
          <w:ilvl w:val="0"/>
          <w:numId w:val="25"/>
        </w:numPr>
        <w:ind w:left="426"/>
        <w:jc w:val="both"/>
        <w:rPr>
          <w:rFonts w:ascii="Avenir Next" w:hAnsi="Avenir Next" w:cs="Arial"/>
          <w:sz w:val="22"/>
          <w:szCs w:val="22"/>
          <w:highlight w:val="yellow"/>
        </w:rPr>
      </w:pPr>
      <w:r w:rsidRPr="004156B8">
        <w:rPr>
          <w:rFonts w:ascii="Avenir Next" w:hAnsi="Avenir Next" w:cs="Arial"/>
          <w:sz w:val="22"/>
          <w:szCs w:val="22"/>
          <w:highlight w:val="yellow"/>
        </w:rPr>
        <w:t xml:space="preserve">must first be used to satisfy the claims of preferential creditors as described in the relevant section of </w:t>
      </w:r>
      <w:r w:rsidR="00F322D0" w:rsidRPr="004156B8">
        <w:rPr>
          <w:rFonts w:ascii="Avenir Next" w:hAnsi="Avenir Next" w:cs="Arial"/>
          <w:sz w:val="22"/>
          <w:szCs w:val="22"/>
          <w:highlight w:val="yellow"/>
        </w:rPr>
        <w:t>Companies (Winding Up and Miscellaneous Provisions) Ordinance (Cap 32) (</w:t>
      </w:r>
      <w:r w:rsidRPr="004156B8">
        <w:rPr>
          <w:rFonts w:ascii="Avenir Next" w:hAnsi="Avenir Next" w:cs="Arial"/>
          <w:sz w:val="22"/>
          <w:szCs w:val="22"/>
          <w:highlight w:val="yellow"/>
        </w:rPr>
        <w:t>CWUMPO</w:t>
      </w:r>
      <w:r w:rsidR="00F322D0" w:rsidRPr="004156B8">
        <w:rPr>
          <w:rFonts w:ascii="Avenir Next" w:hAnsi="Avenir Next" w:cs="Arial"/>
          <w:sz w:val="22"/>
          <w:szCs w:val="22"/>
          <w:highlight w:val="yellow"/>
        </w:rPr>
        <w:t>)</w:t>
      </w:r>
      <w:r w:rsidRPr="004156B8">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4156B8"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4156B8">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4156B8" w:rsidRDefault="00931E20" w:rsidP="008C35C9">
      <w:pPr>
        <w:pStyle w:val="ListParagraph"/>
        <w:numPr>
          <w:ilvl w:val="0"/>
          <w:numId w:val="27"/>
        </w:numPr>
        <w:ind w:left="426"/>
        <w:jc w:val="both"/>
        <w:rPr>
          <w:rFonts w:ascii="Avenir Next" w:hAnsi="Avenir Next" w:cs="Arial"/>
          <w:sz w:val="22"/>
          <w:szCs w:val="22"/>
          <w:highlight w:val="yellow"/>
          <w:lang w:val="en-GB"/>
        </w:rPr>
      </w:pPr>
      <w:r w:rsidRPr="004156B8">
        <w:rPr>
          <w:rFonts w:ascii="Avenir Next" w:hAnsi="Avenir Next" w:cs="Arial"/>
          <w:sz w:val="22"/>
          <w:szCs w:val="22"/>
          <w:highlight w:val="yellow"/>
          <w:lang w:val="en-GB"/>
        </w:rPr>
        <w:t>N</w:t>
      </w:r>
      <w:r w:rsidR="00734EEF" w:rsidRPr="004156B8">
        <w:rPr>
          <w:rFonts w:ascii="Avenir Next" w:hAnsi="Avenir Next" w:cs="Arial"/>
          <w:sz w:val="22"/>
          <w:szCs w:val="22"/>
          <w:highlight w:val="yellow"/>
          <w:lang w:val="en-GB"/>
        </w:rPr>
        <w:t>one of above</w:t>
      </w:r>
      <w:r w:rsidR="000548DC" w:rsidRPr="004156B8">
        <w:rPr>
          <w:rFonts w:ascii="Avenir Next" w:hAnsi="Avenir Next" w:cs="Arial"/>
          <w:sz w:val="22"/>
          <w:szCs w:val="22"/>
          <w:highlight w:val="yellow"/>
          <w:lang w:val="en-GB"/>
        </w:rPr>
        <w:t>,</w:t>
      </w:r>
      <w:r w:rsidR="00734EEF" w:rsidRPr="004156B8">
        <w:rPr>
          <w:rFonts w:ascii="Avenir Next" w:hAnsi="Avenir Next" w:cs="Arial"/>
          <w:sz w:val="22"/>
          <w:szCs w:val="22"/>
          <w:highlight w:val="yellow"/>
          <w:lang w:val="en-GB"/>
        </w:rPr>
        <w:t xml:space="preserve"> </w:t>
      </w:r>
      <w:r w:rsidR="000548DC" w:rsidRPr="004156B8">
        <w:rPr>
          <w:rFonts w:ascii="Avenir Next" w:hAnsi="Avenir Next" w:cs="Arial"/>
          <w:sz w:val="22"/>
          <w:szCs w:val="22"/>
          <w:highlight w:val="yellow"/>
          <w:lang w:val="en-GB"/>
        </w:rPr>
        <w:t xml:space="preserve">as </w:t>
      </w:r>
      <w:r w:rsidR="00734EEF" w:rsidRPr="004156B8">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016DC4"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016DC4">
        <w:rPr>
          <w:rFonts w:ascii="Avenir Next" w:hAnsi="Avenir Next" w:cs="Arial"/>
          <w:iCs/>
          <w:sz w:val="22"/>
          <w:szCs w:val="22"/>
          <w:highlight w:val="yellow"/>
          <w:lang w:val="en-GB"/>
        </w:rPr>
        <w:t>This statement is untrue</w:t>
      </w:r>
      <w:r w:rsidR="00A80144" w:rsidRPr="00016DC4">
        <w:rPr>
          <w:rFonts w:ascii="Avenir Next" w:hAnsi="Avenir Next" w:cs="Arial"/>
          <w:iCs/>
          <w:sz w:val="22"/>
          <w:szCs w:val="22"/>
          <w:highlight w:val="yellow"/>
          <w:lang w:val="en-GB"/>
        </w:rPr>
        <w:t xml:space="preserve">, as </w:t>
      </w:r>
      <w:r w:rsidRPr="00016DC4">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016DC4" w:rsidRDefault="0015630F" w:rsidP="008C35C9">
      <w:pPr>
        <w:pStyle w:val="ListParagraph"/>
        <w:numPr>
          <w:ilvl w:val="0"/>
          <w:numId w:val="29"/>
        </w:numPr>
        <w:ind w:left="426"/>
        <w:jc w:val="both"/>
        <w:rPr>
          <w:rFonts w:ascii="Avenir Next" w:hAnsi="Avenir Next" w:cs="Arial"/>
          <w:sz w:val="22"/>
          <w:szCs w:val="22"/>
          <w:highlight w:val="yellow"/>
          <w:lang w:val="en-GB"/>
        </w:rPr>
      </w:pPr>
      <w:r w:rsidRPr="00016DC4">
        <w:rPr>
          <w:rFonts w:ascii="Avenir Next" w:hAnsi="Avenir Next" w:cs="Arial"/>
          <w:sz w:val="22"/>
          <w:szCs w:val="22"/>
          <w:highlight w:val="yellow"/>
          <w:lang w:val="en-GB"/>
        </w:rPr>
        <w:t>This statement is true</w:t>
      </w:r>
      <w:r w:rsidR="002E1A20" w:rsidRPr="00016DC4">
        <w:rPr>
          <w:rFonts w:ascii="Avenir Next" w:hAnsi="Avenir Next" w:cs="Arial"/>
          <w:sz w:val="22"/>
          <w:szCs w:val="22"/>
          <w:highlight w:val="yellow"/>
          <w:lang w:val="en-GB"/>
        </w:rPr>
        <w:t xml:space="preserve"> as</w:t>
      </w:r>
      <w:r w:rsidRPr="00016DC4">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016DC4" w:rsidRDefault="00323960" w:rsidP="008C35C9">
      <w:pPr>
        <w:pStyle w:val="ListParagraph"/>
        <w:numPr>
          <w:ilvl w:val="0"/>
          <w:numId w:val="30"/>
        </w:numPr>
        <w:ind w:left="426"/>
        <w:jc w:val="both"/>
        <w:rPr>
          <w:rFonts w:ascii="Avenir Next" w:hAnsi="Avenir Next" w:cs="Arial"/>
          <w:sz w:val="22"/>
          <w:szCs w:val="22"/>
          <w:highlight w:val="yellow"/>
          <w:lang w:val="en-GB"/>
        </w:rPr>
      </w:pPr>
      <w:r w:rsidRPr="00016DC4">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016DC4" w:rsidRDefault="000531FC" w:rsidP="008C35C9">
      <w:pPr>
        <w:pStyle w:val="ListParagraph"/>
        <w:numPr>
          <w:ilvl w:val="0"/>
          <w:numId w:val="31"/>
        </w:numPr>
        <w:ind w:left="426"/>
        <w:jc w:val="both"/>
        <w:rPr>
          <w:rFonts w:ascii="Avenir Next" w:hAnsi="Avenir Next" w:cs="Arial"/>
          <w:sz w:val="22"/>
          <w:szCs w:val="22"/>
          <w:highlight w:val="yellow"/>
          <w:lang w:val="en-GB"/>
        </w:rPr>
      </w:pPr>
      <w:r w:rsidRPr="00016DC4">
        <w:rPr>
          <w:rFonts w:ascii="Avenir Next" w:hAnsi="Avenir Next" w:cs="Arial"/>
          <w:sz w:val="22"/>
          <w:szCs w:val="22"/>
          <w:highlight w:val="yellow"/>
          <w:lang w:val="en-GB"/>
        </w:rPr>
        <w:t>The common law and Part X of the Companies (Winding Up and Miscellaneous Provisions) Ordinance.</w:t>
      </w: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lastRenderedPageBreak/>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7F5333E9" w14:textId="77777777" w:rsidR="00FE5563" w:rsidRDefault="00FE556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Receiver’s primary duty is to the debenture/charge holder. </w:t>
      </w:r>
    </w:p>
    <w:p w14:paraId="09207108" w14:textId="77777777" w:rsidR="00FE5563" w:rsidRDefault="00FE5563" w:rsidP="008C35C9">
      <w:pPr>
        <w:jc w:val="both"/>
        <w:rPr>
          <w:rFonts w:ascii="Avenir Next" w:hAnsi="Avenir Next" w:cs="Arial"/>
          <w:color w:val="808080" w:themeColor="background1" w:themeShade="80"/>
          <w:sz w:val="22"/>
          <w:szCs w:val="22"/>
          <w:lang w:val="en-GB"/>
        </w:rPr>
      </w:pPr>
    </w:p>
    <w:p w14:paraId="43FD29C4" w14:textId="35FB6A0E" w:rsidR="008C35C9" w:rsidRDefault="00FE556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relation to the sale of charged assets, the receiver must exercise a reasonable degree of skill and care and act: (i) in good faith; and (ii) in accordance with the powers granted by the relevant instrument. To the extent they do not, the receiver may be answerable to the company. </w:t>
      </w:r>
    </w:p>
    <w:p w14:paraId="3DF2CA5F" w14:textId="264A6EFD" w:rsidR="00FE5563" w:rsidRDefault="00FE5563" w:rsidP="008C35C9">
      <w:pPr>
        <w:jc w:val="both"/>
        <w:rPr>
          <w:rFonts w:ascii="Avenir Next" w:hAnsi="Avenir Next" w:cs="Arial"/>
          <w:color w:val="808080" w:themeColor="background1" w:themeShade="80"/>
          <w:sz w:val="22"/>
          <w:szCs w:val="22"/>
          <w:lang w:val="en-GB"/>
        </w:rPr>
      </w:pPr>
    </w:p>
    <w:p w14:paraId="10909689" w14:textId="46EC3F5B" w:rsidR="00FE5563" w:rsidRPr="008C35C9" w:rsidRDefault="00FE556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 the relevant charge is</w:t>
      </w:r>
      <w:r w:rsidRPr="00FE556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registered not less than 1 year earlier, the receiver is not liable to pay the debts of the transferor (ie company) – under the Transfer of Businesses (protection of Creditors) Ordinance (CAP 49). </w:t>
      </w:r>
    </w:p>
    <w:p w14:paraId="46E5B11D" w14:textId="1840B0B7" w:rsidR="004A51A5" w:rsidRDefault="004A51A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72B50D2" w14:textId="54BD53BB" w:rsidR="009609E8" w:rsidRDefault="009609E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(compulsory or voluntary) liquidator can make an application to court to set aside an unfair preference where the </w:t>
      </w:r>
      <w:bookmarkStart w:id="0" w:name="_Hlk141701089"/>
      <w:r>
        <w:rPr>
          <w:rFonts w:ascii="Avenir Next" w:hAnsi="Avenir Next" w:cs="Arial"/>
          <w:color w:val="808080" w:themeColor="background1" w:themeShade="80"/>
          <w:sz w:val="22"/>
          <w:szCs w:val="22"/>
          <w:lang w:val="en-GB"/>
        </w:rPr>
        <w:t>insolvent</w:t>
      </w:r>
      <w:r w:rsidR="003A3FA5">
        <w:rPr>
          <w:rStyle w:val="FootnoteReference"/>
          <w:rFonts w:ascii="Avenir Next" w:hAnsi="Avenir Next" w:cs="Arial"/>
          <w:color w:val="808080" w:themeColor="background1" w:themeShade="80"/>
          <w:sz w:val="22"/>
          <w:szCs w:val="22"/>
          <w:lang w:val="en-GB"/>
        </w:rPr>
        <w:footnoteReference w:id="1"/>
      </w:r>
      <w:r>
        <w:rPr>
          <w:rFonts w:ascii="Avenir Next" w:hAnsi="Avenir Next" w:cs="Arial"/>
          <w:color w:val="808080" w:themeColor="background1" w:themeShade="80"/>
          <w:sz w:val="22"/>
          <w:szCs w:val="22"/>
          <w:lang w:val="en-GB"/>
        </w:rPr>
        <w:t xml:space="preserve"> company </w:t>
      </w:r>
      <w:bookmarkEnd w:id="0"/>
      <w:r>
        <w:rPr>
          <w:rFonts w:ascii="Avenir Next" w:hAnsi="Avenir Next" w:cs="Arial"/>
          <w:color w:val="808080" w:themeColor="background1" w:themeShade="80"/>
          <w:sz w:val="22"/>
          <w:szCs w:val="22"/>
          <w:lang w:val="en-GB"/>
        </w:rPr>
        <w:t>places</w:t>
      </w:r>
      <w:r w:rsidR="003A3FA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 creditor (or guarantor) in a better position tha</w:t>
      </w:r>
      <w:r w:rsidR="003A3FA5">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otherwise in </w:t>
      </w:r>
      <w:r w:rsidR="003A3FA5">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liquidation scenario: see sections 266A(1) of the Companies (Winding Up and Miscellaneous Provisions) Ordinance (Cap 32) (</w:t>
      </w:r>
      <w:r w:rsidRPr="009609E8">
        <w:rPr>
          <w:rFonts w:ascii="Avenir Next" w:hAnsi="Avenir Next" w:cs="Arial"/>
          <w:b/>
          <w:bCs/>
          <w:color w:val="808080" w:themeColor="background1" w:themeShade="80"/>
          <w:sz w:val="22"/>
          <w:szCs w:val="22"/>
          <w:lang w:val="en-GB"/>
        </w:rPr>
        <w:t>CWUMPO</w:t>
      </w:r>
      <w:r>
        <w:rPr>
          <w:rFonts w:ascii="Avenir Next" w:hAnsi="Avenir Next" w:cs="Arial"/>
          <w:color w:val="808080" w:themeColor="background1" w:themeShade="80"/>
          <w:sz w:val="22"/>
          <w:szCs w:val="22"/>
          <w:lang w:val="en-GB"/>
        </w:rPr>
        <w:t xml:space="preserve">). </w:t>
      </w:r>
    </w:p>
    <w:p w14:paraId="7CA2BB2B" w14:textId="09F3560A" w:rsidR="009609E8" w:rsidRDefault="009609E8" w:rsidP="008C35C9">
      <w:pPr>
        <w:jc w:val="both"/>
        <w:rPr>
          <w:rFonts w:ascii="Avenir Next" w:hAnsi="Avenir Next" w:cs="Arial"/>
          <w:color w:val="808080" w:themeColor="background1" w:themeShade="80"/>
          <w:sz w:val="22"/>
          <w:szCs w:val="22"/>
          <w:lang w:val="en-GB"/>
        </w:rPr>
      </w:pPr>
    </w:p>
    <w:p w14:paraId="57386305" w14:textId="671F4522" w:rsidR="009609E8" w:rsidRDefault="009609E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3A3FA5">
        <w:rPr>
          <w:rFonts w:ascii="Avenir Next" w:hAnsi="Avenir Next" w:cs="Arial"/>
          <w:color w:val="808080" w:themeColor="background1" w:themeShade="80"/>
          <w:sz w:val="22"/>
          <w:szCs w:val="22"/>
          <w:lang w:val="en-GB"/>
        </w:rPr>
        <w:t>he transaction could be the giving of an asset, payment of cash or the granting of security (without limitation), but must have occurred within 6 months</w:t>
      </w:r>
      <w:r w:rsidR="003A3FA5">
        <w:rPr>
          <w:rStyle w:val="FootnoteReference"/>
          <w:rFonts w:ascii="Avenir Next" w:hAnsi="Avenir Next" w:cs="Arial"/>
          <w:color w:val="808080" w:themeColor="background1" w:themeShade="80"/>
          <w:sz w:val="22"/>
          <w:szCs w:val="22"/>
          <w:lang w:val="en-GB"/>
        </w:rPr>
        <w:footnoteReference w:id="2"/>
      </w:r>
      <w:r w:rsidR="003A3FA5">
        <w:rPr>
          <w:rFonts w:ascii="Avenir Next" w:hAnsi="Avenir Next" w:cs="Arial"/>
          <w:color w:val="808080" w:themeColor="background1" w:themeShade="80"/>
          <w:sz w:val="22"/>
          <w:szCs w:val="22"/>
          <w:lang w:val="en-GB"/>
        </w:rPr>
        <w:t xml:space="preserve"> of the commencement of the winding-up of the company (assuming a non-associate beneficiary). </w:t>
      </w:r>
    </w:p>
    <w:p w14:paraId="35AC1E77" w14:textId="27199166" w:rsidR="003A3FA5" w:rsidRDefault="003A3FA5" w:rsidP="008C35C9">
      <w:pPr>
        <w:jc w:val="both"/>
        <w:rPr>
          <w:rFonts w:ascii="Avenir Next" w:hAnsi="Avenir Next" w:cs="Arial"/>
          <w:color w:val="808080" w:themeColor="background1" w:themeShade="80"/>
          <w:sz w:val="22"/>
          <w:szCs w:val="22"/>
          <w:lang w:val="en-GB"/>
        </w:rPr>
      </w:pPr>
    </w:p>
    <w:p w14:paraId="1AEBCB8D" w14:textId="7FEBC064" w:rsidR="003A3FA5" w:rsidRDefault="003A3FA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must also prove that the company was influenced by a desire to improve the creditor’s (or guarantor’s) position compared to liquidation: section 266</w:t>
      </w:r>
      <w:r w:rsidR="005A0C1A">
        <w:rPr>
          <w:rFonts w:ascii="Avenir Next" w:hAnsi="Avenir Next" w:cs="Arial"/>
          <w:color w:val="808080" w:themeColor="background1" w:themeShade="80"/>
          <w:sz w:val="22"/>
          <w:szCs w:val="22"/>
          <w:lang w:val="en-GB"/>
        </w:rPr>
        <w:t xml:space="preserve">(4) of CWUMPO. The presumption of influence is not applicable to non-associates: section 266(5) of CWUMPO. </w:t>
      </w:r>
    </w:p>
    <w:p w14:paraId="1240AD40" w14:textId="56431989" w:rsidR="005A0C1A" w:rsidRDefault="005A0C1A" w:rsidP="008C35C9">
      <w:pPr>
        <w:jc w:val="both"/>
        <w:rPr>
          <w:rFonts w:ascii="Avenir Next" w:hAnsi="Avenir Next" w:cs="Arial"/>
          <w:color w:val="808080" w:themeColor="background1" w:themeShade="80"/>
          <w:sz w:val="22"/>
          <w:szCs w:val="22"/>
          <w:lang w:val="en-GB"/>
        </w:rPr>
      </w:pPr>
    </w:p>
    <w:p w14:paraId="673779D4" w14:textId="0F5E5F7F" w:rsidR="005A0C1A" w:rsidRDefault="005A0C1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Desire requires, according to the courts, “the company to positively wish to improve the creditor’s position in the event of its own insolvent liquidation”.</w:t>
      </w:r>
      <w:r>
        <w:rPr>
          <w:rStyle w:val="FootnoteReference"/>
          <w:rFonts w:ascii="Avenir Next" w:hAnsi="Avenir Next" w:cs="Arial"/>
          <w:color w:val="808080" w:themeColor="background1" w:themeShade="80"/>
          <w:sz w:val="22"/>
          <w:szCs w:val="22"/>
          <w:lang w:val="en-GB"/>
        </w:rPr>
        <w:footnoteReference w:id="3"/>
      </w:r>
    </w:p>
    <w:p w14:paraId="328237CC" w14:textId="48A34A7A" w:rsidR="005A0C1A" w:rsidRDefault="005A0C1A" w:rsidP="008C35C9">
      <w:pPr>
        <w:jc w:val="both"/>
        <w:rPr>
          <w:rFonts w:ascii="Avenir Next" w:hAnsi="Avenir Next" w:cs="Arial"/>
          <w:color w:val="808080" w:themeColor="background1" w:themeShade="80"/>
          <w:sz w:val="22"/>
          <w:szCs w:val="22"/>
          <w:lang w:val="en-GB"/>
        </w:rPr>
      </w:pPr>
    </w:p>
    <w:p w14:paraId="3B6CFB18" w14:textId="69C818A1" w:rsidR="005A0C1A" w:rsidRDefault="005A0C1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liquidator can meet the above elements, the court may make the orders found in sections 266(3) and 266C of CWUMPO.</w:t>
      </w:r>
    </w:p>
    <w:p w14:paraId="6E28D1A4" w14:textId="77777777" w:rsidR="00FE5563" w:rsidRPr="008C35C9" w:rsidRDefault="00FE5563"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1" w:name="_Hlk17709135"/>
      <w:r w:rsidRPr="00B1461F">
        <w:rPr>
          <w:rFonts w:ascii="Avenir Next Demi Bold" w:hAnsi="Avenir Next Demi Bold"/>
          <w:iCs w:val="0"/>
        </w:rPr>
        <w:lastRenderedPageBreak/>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39E0033F" w14:textId="61E94879" w:rsidR="004F6269" w:rsidRDefault="004F6269" w:rsidP="008C35C9">
      <w:pPr>
        <w:jc w:val="both"/>
        <w:rPr>
          <w:rFonts w:ascii="Avenir Next" w:hAnsi="Avenir Next" w:cs="Arial"/>
          <w:color w:val="808080" w:themeColor="background1" w:themeShade="80"/>
          <w:sz w:val="22"/>
          <w:szCs w:val="22"/>
          <w:lang w:val="en-GB"/>
        </w:rPr>
      </w:pPr>
    </w:p>
    <w:p w14:paraId="4D8E39D3" w14:textId="24D226AD" w:rsidR="004F6269" w:rsidRDefault="004F626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Co-operation between Hong Kong and the Mainland is set out in the Record of Meeting between the PRC Supreme Court and the Hong Kong Government (May 2021), and supplemented by the Supreme People’s Court’s Opinion on Taking Forward a Pilot Measure in relation to the Recognition of and Assistance to Insolvency Proceedings in the Hong Kong Special Administrative Region. </w:t>
      </w:r>
    </w:p>
    <w:p w14:paraId="2D227DD6" w14:textId="1F423D0E" w:rsidR="004F6269" w:rsidRDefault="004F6269" w:rsidP="008C35C9">
      <w:pPr>
        <w:jc w:val="both"/>
        <w:rPr>
          <w:rFonts w:ascii="Avenir Next" w:hAnsi="Avenir Next" w:cs="Arial"/>
          <w:color w:val="808080" w:themeColor="background1" w:themeShade="80"/>
          <w:sz w:val="22"/>
          <w:szCs w:val="22"/>
          <w:lang w:val="en-GB"/>
        </w:rPr>
      </w:pPr>
    </w:p>
    <w:p w14:paraId="4B2D1269" w14:textId="05C746FD" w:rsidR="004F6269" w:rsidRDefault="004F626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elements are: </w:t>
      </w:r>
    </w:p>
    <w:p w14:paraId="48FB1859" w14:textId="63E1F043" w:rsidR="004F6269" w:rsidRDefault="004F6269" w:rsidP="008C35C9">
      <w:pPr>
        <w:jc w:val="both"/>
        <w:rPr>
          <w:rFonts w:ascii="Avenir Next" w:hAnsi="Avenir Next" w:cs="Arial"/>
          <w:color w:val="808080" w:themeColor="background1" w:themeShade="80"/>
          <w:sz w:val="22"/>
          <w:szCs w:val="22"/>
          <w:lang w:val="en-GB"/>
        </w:rPr>
      </w:pPr>
    </w:p>
    <w:p w14:paraId="6DCB23B0" w14:textId="7DC8D330" w:rsidR="004F6269" w:rsidRDefault="004F6269" w:rsidP="004F626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Only the pilot municipalities on the Mainland are covered. These are Shanghai, Xiamen and Shenzhen;</w:t>
      </w:r>
    </w:p>
    <w:p w14:paraId="59826EDB" w14:textId="2C59C122" w:rsidR="004F6269" w:rsidRDefault="004F6269" w:rsidP="004F626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Hong Kong insolvency proceedings must be covered by CWUMPO or the Companies Ordinance (</w:t>
      </w:r>
      <w:r w:rsidRPr="004F6269">
        <w:rPr>
          <w:rFonts w:ascii="Avenir Next" w:hAnsi="Avenir Next" w:cs="Arial"/>
          <w:b/>
          <w:bCs/>
          <w:color w:val="808080" w:themeColor="background1" w:themeShade="80"/>
          <w:sz w:val="22"/>
          <w:szCs w:val="22"/>
          <w:lang w:val="en-GB"/>
        </w:rPr>
        <w:t>CO</w:t>
      </w:r>
      <w:r>
        <w:rPr>
          <w:rFonts w:ascii="Avenir Next" w:hAnsi="Avenir Next" w:cs="Arial"/>
          <w:color w:val="808080" w:themeColor="background1" w:themeShade="80"/>
          <w:sz w:val="22"/>
          <w:szCs w:val="22"/>
          <w:lang w:val="en-GB"/>
        </w:rPr>
        <w:t>);</w:t>
      </w:r>
    </w:p>
    <w:p w14:paraId="1C5AE1EF" w14:textId="0ABA4B24" w:rsidR="004F6269" w:rsidRDefault="004F6269" w:rsidP="004F626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debtor’s Centre of Main Interest (</w:t>
      </w:r>
      <w:r w:rsidRPr="004F6269">
        <w:rPr>
          <w:rFonts w:ascii="Avenir Next" w:hAnsi="Avenir Next" w:cs="Arial"/>
          <w:b/>
          <w:bCs/>
          <w:color w:val="808080" w:themeColor="background1" w:themeShade="80"/>
          <w:sz w:val="22"/>
          <w:szCs w:val="22"/>
          <w:lang w:val="en-GB"/>
        </w:rPr>
        <w:t>COMI</w:t>
      </w:r>
      <w:r>
        <w:rPr>
          <w:rFonts w:ascii="Avenir Next" w:hAnsi="Avenir Next" w:cs="Arial"/>
          <w:color w:val="808080" w:themeColor="background1" w:themeShade="80"/>
          <w:sz w:val="22"/>
          <w:szCs w:val="22"/>
          <w:lang w:val="en-GB"/>
        </w:rPr>
        <w:t>) must be in Hong Kong continuously for at least 6 months; and</w:t>
      </w:r>
    </w:p>
    <w:p w14:paraId="2B10EF4D" w14:textId="3F315790" w:rsidR="004F6269" w:rsidRPr="004F6269" w:rsidRDefault="004F6269" w:rsidP="004F626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Have received a letter of request from a Hong Kong court.</w:t>
      </w:r>
      <w:r w:rsidR="00B11A5E">
        <w:rPr>
          <w:rStyle w:val="FootnoteReference"/>
          <w:rFonts w:ascii="Avenir Next" w:hAnsi="Avenir Next" w:cs="Arial"/>
          <w:color w:val="808080" w:themeColor="background1" w:themeShade="80"/>
          <w:sz w:val="22"/>
          <w:szCs w:val="22"/>
          <w:lang w:val="en-GB"/>
        </w:rPr>
        <w:footnoteReference w:id="4"/>
      </w:r>
      <w:r>
        <w:rPr>
          <w:rFonts w:ascii="Avenir Next" w:hAnsi="Avenir Next" w:cs="Arial"/>
          <w:color w:val="808080" w:themeColor="background1" w:themeShade="80"/>
          <w:sz w:val="22"/>
          <w:szCs w:val="22"/>
          <w:lang w:val="en-GB"/>
        </w:rPr>
        <w:t xml:space="preserve"> </w:t>
      </w: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BAA74E9" w14:textId="3D824EA4" w:rsidR="008C35C9" w:rsidRDefault="0090691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Part X of CWUMPO deals with the winding-up of unregistered companies. </w:t>
      </w:r>
    </w:p>
    <w:p w14:paraId="4B0FB3C2" w14:textId="346FEC93" w:rsidR="0090691D" w:rsidRDefault="0090691D" w:rsidP="008C35C9">
      <w:pPr>
        <w:jc w:val="both"/>
        <w:rPr>
          <w:rFonts w:ascii="Avenir Next" w:hAnsi="Avenir Next" w:cs="Arial"/>
          <w:color w:val="808080" w:themeColor="background1" w:themeShade="80"/>
          <w:sz w:val="22"/>
          <w:szCs w:val="22"/>
          <w:lang w:val="en-GB"/>
        </w:rPr>
      </w:pPr>
    </w:p>
    <w:p w14:paraId="44D387BD" w14:textId="3BD2CB6B" w:rsidR="0090691D" w:rsidRDefault="0090691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326 of CWUMPO defines an unregistered company as including a registered non-Hong Kong company or an unregistered non-Hong Kong company.</w:t>
      </w:r>
    </w:p>
    <w:p w14:paraId="20D28E61" w14:textId="48ACF628" w:rsidR="0090691D" w:rsidRDefault="0090691D" w:rsidP="008C35C9">
      <w:pPr>
        <w:jc w:val="both"/>
        <w:rPr>
          <w:rFonts w:ascii="Avenir Next" w:hAnsi="Avenir Next" w:cs="Arial"/>
          <w:color w:val="808080" w:themeColor="background1" w:themeShade="80"/>
          <w:sz w:val="22"/>
          <w:szCs w:val="22"/>
          <w:lang w:val="en-GB"/>
        </w:rPr>
      </w:pPr>
    </w:p>
    <w:p w14:paraId="01831DA8" w14:textId="16A54BD4" w:rsidR="0090691D" w:rsidRDefault="0090691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unregistered company can be wound up by the court (but not voluntarily</w:t>
      </w:r>
      <w:r>
        <w:rPr>
          <w:rStyle w:val="FootnoteReference"/>
          <w:rFonts w:ascii="Avenir Next" w:hAnsi="Avenir Next" w:cs="Arial"/>
          <w:color w:val="808080" w:themeColor="background1" w:themeShade="80"/>
          <w:sz w:val="22"/>
          <w:szCs w:val="22"/>
          <w:lang w:val="en-GB"/>
        </w:rPr>
        <w:footnoteReference w:id="5"/>
      </w:r>
      <w:r>
        <w:rPr>
          <w:rFonts w:ascii="Avenir Next" w:hAnsi="Avenir Next" w:cs="Arial"/>
          <w:color w:val="808080" w:themeColor="background1" w:themeShade="80"/>
          <w:sz w:val="22"/>
          <w:szCs w:val="22"/>
          <w:lang w:val="en-GB"/>
        </w:rPr>
        <w:t>), if:</w:t>
      </w:r>
      <w:r>
        <w:rPr>
          <w:rStyle w:val="FootnoteReference"/>
          <w:rFonts w:ascii="Avenir Next" w:hAnsi="Avenir Next" w:cs="Arial"/>
          <w:color w:val="808080" w:themeColor="background1" w:themeShade="80"/>
          <w:sz w:val="22"/>
          <w:szCs w:val="22"/>
          <w:lang w:val="en-GB"/>
        </w:rPr>
        <w:footnoteReference w:id="6"/>
      </w:r>
    </w:p>
    <w:p w14:paraId="375AC7F1" w14:textId="77777777" w:rsidR="0090691D" w:rsidRDefault="0090691D" w:rsidP="008C35C9">
      <w:pPr>
        <w:jc w:val="both"/>
        <w:rPr>
          <w:rFonts w:ascii="Avenir Next" w:hAnsi="Avenir Next" w:cs="Arial"/>
          <w:color w:val="808080" w:themeColor="background1" w:themeShade="80"/>
          <w:sz w:val="22"/>
          <w:szCs w:val="22"/>
          <w:lang w:val="en-GB"/>
        </w:rPr>
      </w:pPr>
    </w:p>
    <w:p w14:paraId="4831E500" w14:textId="77777777" w:rsidR="0090691D" w:rsidRDefault="0090691D" w:rsidP="0090691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dissolved, not carrying on its business or only carrying on business to wind-up its affairs;</w:t>
      </w:r>
    </w:p>
    <w:p w14:paraId="258C1742" w14:textId="1F24EED9" w:rsidR="0090691D" w:rsidRDefault="0090691D" w:rsidP="0090691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cannot pay its debts</w:t>
      </w:r>
      <w:r w:rsidR="00F73CB6">
        <w:rPr>
          <w:rStyle w:val="FootnoteReference"/>
          <w:rFonts w:ascii="Avenir Next" w:hAnsi="Avenir Next" w:cs="Arial"/>
          <w:color w:val="808080" w:themeColor="background1" w:themeShade="80"/>
          <w:sz w:val="22"/>
          <w:szCs w:val="22"/>
          <w:lang w:val="en-GB"/>
        </w:rPr>
        <w:footnoteReference w:id="7"/>
      </w:r>
      <w:r w:rsidR="00F73CB6">
        <w:rPr>
          <w:rFonts w:ascii="Avenir Next" w:hAnsi="Avenir Next" w:cs="Arial"/>
          <w:color w:val="808080" w:themeColor="background1" w:themeShade="80"/>
          <w:sz w:val="22"/>
          <w:szCs w:val="22"/>
          <w:lang w:val="en-GB"/>
        </w:rPr>
        <w:t xml:space="preserve"> above the specified amount</w:t>
      </w:r>
      <w:r>
        <w:rPr>
          <w:rFonts w:ascii="Avenir Next" w:hAnsi="Avenir Next" w:cs="Arial"/>
          <w:color w:val="808080" w:themeColor="background1" w:themeShade="80"/>
          <w:sz w:val="22"/>
          <w:szCs w:val="22"/>
          <w:lang w:val="en-GB"/>
        </w:rPr>
        <w:t>;</w:t>
      </w:r>
      <w:r w:rsidR="00F73CB6">
        <w:rPr>
          <w:rStyle w:val="FootnoteReference"/>
          <w:rFonts w:ascii="Avenir Next" w:hAnsi="Avenir Next" w:cs="Arial"/>
          <w:color w:val="808080" w:themeColor="background1" w:themeShade="80"/>
          <w:sz w:val="22"/>
          <w:szCs w:val="22"/>
          <w:lang w:val="en-GB"/>
        </w:rPr>
        <w:footnoteReference w:id="8"/>
      </w:r>
      <w:r>
        <w:rPr>
          <w:rFonts w:ascii="Avenir Next" w:hAnsi="Avenir Next" w:cs="Arial"/>
          <w:color w:val="808080" w:themeColor="background1" w:themeShade="80"/>
          <w:sz w:val="22"/>
          <w:szCs w:val="22"/>
          <w:lang w:val="en-GB"/>
        </w:rPr>
        <w:t xml:space="preserve"> and</w:t>
      </w:r>
    </w:p>
    <w:p w14:paraId="2E6C2AFC" w14:textId="32273111" w:rsidR="0090691D" w:rsidRPr="0090691D" w:rsidRDefault="0090691D" w:rsidP="0090691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just and equitable.</w:t>
      </w:r>
    </w:p>
    <w:p w14:paraId="578D2F28" w14:textId="1BC5C57D" w:rsidR="0090691D" w:rsidRDefault="0090691D" w:rsidP="008C35C9">
      <w:pPr>
        <w:jc w:val="both"/>
        <w:rPr>
          <w:rFonts w:ascii="Avenir Next" w:hAnsi="Avenir Next" w:cs="Arial"/>
          <w:color w:val="808080" w:themeColor="background1" w:themeShade="80"/>
          <w:sz w:val="22"/>
          <w:szCs w:val="22"/>
          <w:lang w:val="en-GB"/>
        </w:rPr>
      </w:pPr>
    </w:p>
    <w:p w14:paraId="0D361B50" w14:textId="7D2ED485" w:rsidR="00F73CB6" w:rsidRDefault="00F73CB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Courts</w:t>
      </w:r>
      <w:r>
        <w:rPr>
          <w:rStyle w:val="FootnoteReference"/>
          <w:rFonts w:ascii="Avenir Next" w:hAnsi="Avenir Next" w:cs="Arial"/>
          <w:color w:val="808080" w:themeColor="background1" w:themeShade="80"/>
          <w:sz w:val="22"/>
          <w:szCs w:val="22"/>
          <w:lang w:val="en-GB"/>
        </w:rPr>
        <w:footnoteReference w:id="9"/>
      </w:r>
      <w:r>
        <w:rPr>
          <w:rFonts w:ascii="Avenir Next" w:hAnsi="Avenir Next" w:cs="Arial"/>
          <w:color w:val="808080" w:themeColor="background1" w:themeShade="80"/>
          <w:sz w:val="22"/>
          <w:szCs w:val="22"/>
          <w:lang w:val="en-GB"/>
        </w:rPr>
        <w:t xml:space="preserve"> have held that, at the time of the presentation of the petition,</w:t>
      </w:r>
      <w:r>
        <w:rPr>
          <w:rStyle w:val="FootnoteReference"/>
          <w:rFonts w:ascii="Avenir Next" w:hAnsi="Avenir Next" w:cs="Arial"/>
          <w:color w:val="808080" w:themeColor="background1" w:themeShade="80"/>
          <w:sz w:val="22"/>
          <w:szCs w:val="22"/>
          <w:lang w:val="en-GB"/>
        </w:rPr>
        <w:footnoteReference w:id="10"/>
      </w:r>
      <w:r>
        <w:rPr>
          <w:rFonts w:ascii="Avenir Next" w:hAnsi="Avenir Next" w:cs="Arial"/>
          <w:color w:val="808080" w:themeColor="background1" w:themeShade="80"/>
          <w:sz w:val="22"/>
          <w:szCs w:val="22"/>
          <w:lang w:val="en-GB"/>
        </w:rPr>
        <w:t xml:space="preserve"> the following three core requirements must be met (and recorded in the petition)</w:t>
      </w:r>
      <w:r>
        <w:rPr>
          <w:rStyle w:val="FootnoteReference"/>
          <w:rFonts w:ascii="Avenir Next" w:hAnsi="Avenir Next" w:cs="Arial"/>
          <w:color w:val="808080" w:themeColor="background1" w:themeShade="80"/>
          <w:sz w:val="22"/>
          <w:szCs w:val="22"/>
          <w:lang w:val="en-GB"/>
        </w:rPr>
        <w:footnoteReference w:id="11"/>
      </w:r>
      <w:r>
        <w:rPr>
          <w:rFonts w:ascii="Avenir Next" w:hAnsi="Avenir Next" w:cs="Arial"/>
          <w:color w:val="808080" w:themeColor="background1" w:themeShade="80"/>
          <w:sz w:val="22"/>
          <w:szCs w:val="22"/>
          <w:lang w:val="en-GB"/>
        </w:rPr>
        <w:t xml:space="preserve"> to wind-up an unregistered company:</w:t>
      </w:r>
    </w:p>
    <w:p w14:paraId="76D0FBFF" w14:textId="6F7B766D" w:rsidR="00F73CB6" w:rsidRDefault="00F73CB6" w:rsidP="00F73CB6">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Sufficient connection with Hong Kong (not necessarily limited to assets within Hong Kong</w:t>
      </w:r>
      <w:r>
        <w:rPr>
          <w:rStyle w:val="FootnoteReference"/>
          <w:rFonts w:ascii="Avenir Next" w:hAnsi="Avenir Next" w:cs="Arial"/>
          <w:color w:val="808080" w:themeColor="background1" w:themeShade="80"/>
          <w:sz w:val="22"/>
          <w:szCs w:val="22"/>
          <w:lang w:val="en-GB"/>
        </w:rPr>
        <w:footnoteReference w:id="12"/>
      </w:r>
      <w:r>
        <w:rPr>
          <w:rFonts w:ascii="Avenir Next" w:hAnsi="Avenir Next" w:cs="Arial"/>
          <w:color w:val="808080" w:themeColor="background1" w:themeShade="80"/>
          <w:sz w:val="22"/>
          <w:szCs w:val="22"/>
          <w:lang w:val="en-GB"/>
        </w:rPr>
        <w:t>);</w:t>
      </w:r>
    </w:p>
    <w:p w14:paraId="68C4728D" w14:textId="536B8BA6" w:rsidR="00F73CB6" w:rsidRDefault="00F73CB6" w:rsidP="00F73CB6">
      <w:pPr>
        <w:pStyle w:val="ListParagraph"/>
        <w:ind w:left="360"/>
        <w:jc w:val="both"/>
        <w:rPr>
          <w:rFonts w:ascii="Avenir Next" w:hAnsi="Avenir Next" w:cs="Arial"/>
          <w:color w:val="808080" w:themeColor="background1" w:themeShade="80"/>
          <w:sz w:val="22"/>
          <w:szCs w:val="22"/>
          <w:lang w:val="en-GB"/>
        </w:rPr>
      </w:pPr>
    </w:p>
    <w:p w14:paraId="5FD945E1" w14:textId="7BC6B36A" w:rsidR="00F73CB6" w:rsidRDefault="007E1A40" w:rsidP="00F73CB6">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the broad</w:t>
      </w:r>
      <w:r>
        <w:rPr>
          <w:rStyle w:val="FootnoteReference"/>
          <w:rFonts w:ascii="Avenir Next" w:hAnsi="Avenir Next" w:cs="Arial"/>
          <w:color w:val="808080" w:themeColor="background1" w:themeShade="80"/>
          <w:sz w:val="22"/>
          <w:szCs w:val="22"/>
          <w:lang w:val="en-GB"/>
        </w:rPr>
        <w:footnoteReference w:id="13"/>
      </w:r>
      <w:r>
        <w:rPr>
          <w:rFonts w:ascii="Avenir Next" w:hAnsi="Avenir Next" w:cs="Arial"/>
          <w:color w:val="808080" w:themeColor="background1" w:themeShade="80"/>
          <w:sz w:val="22"/>
          <w:szCs w:val="22"/>
          <w:lang w:val="en-GB"/>
        </w:rPr>
        <w:t xml:space="preserve"> definition given to the word assets by Hong Kong courts, some jurisprudence has increasingly applied COMI considerations in evaluating the first and second core requirements.</w:t>
      </w:r>
      <w:r>
        <w:rPr>
          <w:rStyle w:val="FootnoteReference"/>
          <w:rFonts w:ascii="Avenir Next" w:hAnsi="Avenir Next" w:cs="Arial"/>
          <w:color w:val="808080" w:themeColor="background1" w:themeShade="80"/>
          <w:sz w:val="22"/>
          <w:szCs w:val="22"/>
          <w:lang w:val="en-GB"/>
        </w:rPr>
        <w:footnoteReference w:id="14"/>
      </w:r>
    </w:p>
    <w:p w14:paraId="0CF00D57" w14:textId="77777777" w:rsidR="00F73CB6" w:rsidRDefault="00F73CB6" w:rsidP="00F73CB6">
      <w:pPr>
        <w:pStyle w:val="ListParagraph"/>
        <w:ind w:left="360"/>
        <w:jc w:val="both"/>
        <w:rPr>
          <w:rFonts w:ascii="Avenir Next" w:hAnsi="Avenir Next" w:cs="Arial"/>
          <w:color w:val="808080" w:themeColor="background1" w:themeShade="80"/>
          <w:sz w:val="22"/>
          <w:szCs w:val="22"/>
          <w:lang w:val="en-GB"/>
        </w:rPr>
      </w:pPr>
    </w:p>
    <w:p w14:paraId="12B18BED" w14:textId="4DC7CD2D" w:rsidR="00F73CB6" w:rsidRDefault="00F73CB6" w:rsidP="00F73CB6">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Reasonable possibility</w:t>
      </w:r>
      <w:r w:rsidR="007E1A40">
        <w:rPr>
          <w:rStyle w:val="FootnoteReference"/>
          <w:rFonts w:ascii="Avenir Next" w:hAnsi="Avenir Next" w:cs="Arial"/>
          <w:color w:val="808080" w:themeColor="background1" w:themeShade="80"/>
          <w:sz w:val="22"/>
          <w:szCs w:val="22"/>
          <w:lang w:val="en-GB"/>
        </w:rPr>
        <w:footnoteReference w:id="15"/>
      </w:r>
      <w:r>
        <w:rPr>
          <w:rFonts w:ascii="Avenir Next" w:hAnsi="Avenir Next" w:cs="Arial"/>
          <w:color w:val="808080" w:themeColor="background1" w:themeShade="80"/>
          <w:sz w:val="22"/>
          <w:szCs w:val="22"/>
          <w:lang w:val="en-GB"/>
        </w:rPr>
        <w:t xml:space="preserve"> that the wind-up order will benefit the petitioner; and</w:t>
      </w:r>
    </w:p>
    <w:p w14:paraId="4EF31B2D" w14:textId="5F66719A" w:rsidR="007E1A40" w:rsidRDefault="007E1A40" w:rsidP="007E1A40">
      <w:pPr>
        <w:pStyle w:val="ListParagraph"/>
        <w:ind w:left="360"/>
        <w:jc w:val="both"/>
        <w:rPr>
          <w:rFonts w:ascii="Avenir Next" w:hAnsi="Avenir Next" w:cs="Arial"/>
          <w:color w:val="808080" w:themeColor="background1" w:themeShade="80"/>
          <w:sz w:val="22"/>
          <w:szCs w:val="22"/>
          <w:lang w:val="en-GB"/>
        </w:rPr>
      </w:pPr>
    </w:p>
    <w:p w14:paraId="7820FC21" w14:textId="1B9696D3" w:rsidR="007E1A40" w:rsidRDefault="007E1A40" w:rsidP="007E1A40">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Typically, having assets from which realisations can be achieved ought to be enough to meet the second core requirement, but increasingly courts have identified other real possible benefits that petitioners can rely upon. For instance, one such possible benefit may be that the presentation of a petition</w:t>
      </w:r>
      <w:r w:rsidR="0007799E">
        <w:rPr>
          <w:rFonts w:ascii="Avenir Next" w:hAnsi="Avenir Next" w:cs="Arial"/>
          <w:color w:val="808080" w:themeColor="background1" w:themeShade="80"/>
          <w:sz w:val="22"/>
          <w:szCs w:val="22"/>
          <w:lang w:val="en-GB"/>
        </w:rPr>
        <w:t>, for an undisputed debt,</w:t>
      </w:r>
      <w:r>
        <w:rPr>
          <w:rFonts w:ascii="Avenir Next" w:hAnsi="Avenir Next" w:cs="Arial"/>
          <w:color w:val="808080" w:themeColor="background1" w:themeShade="80"/>
          <w:sz w:val="22"/>
          <w:szCs w:val="22"/>
          <w:lang w:val="en-GB"/>
        </w:rPr>
        <w:t xml:space="preserve"> may ‘force’ an unregistered company to pay the petitioner’s debts (and costs).</w:t>
      </w:r>
      <w:r>
        <w:rPr>
          <w:rStyle w:val="FootnoteReference"/>
          <w:rFonts w:ascii="Avenir Next" w:hAnsi="Avenir Next" w:cs="Arial"/>
          <w:color w:val="808080" w:themeColor="background1" w:themeShade="80"/>
          <w:sz w:val="22"/>
          <w:szCs w:val="22"/>
          <w:lang w:val="en-GB"/>
        </w:rPr>
        <w:footnoteReference w:id="16"/>
      </w:r>
    </w:p>
    <w:p w14:paraId="4ACA4BB9" w14:textId="77777777" w:rsidR="007E1A40" w:rsidRDefault="007E1A40" w:rsidP="007E1A40">
      <w:pPr>
        <w:pStyle w:val="ListParagraph"/>
        <w:ind w:left="360"/>
        <w:jc w:val="both"/>
        <w:rPr>
          <w:rFonts w:ascii="Avenir Next" w:hAnsi="Avenir Next" w:cs="Arial"/>
          <w:color w:val="808080" w:themeColor="background1" w:themeShade="80"/>
          <w:sz w:val="22"/>
          <w:szCs w:val="22"/>
          <w:lang w:val="en-GB"/>
        </w:rPr>
      </w:pPr>
    </w:p>
    <w:p w14:paraId="47FBF1C3" w14:textId="1ECA066D" w:rsidR="00F73CB6" w:rsidRPr="00F73CB6" w:rsidRDefault="00F73CB6" w:rsidP="00F73CB6">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must have jurisdiction over at least one </w:t>
      </w:r>
      <w:r w:rsidR="00713B2F">
        <w:rPr>
          <w:rFonts w:ascii="Avenir Next" w:hAnsi="Avenir Next" w:cs="Arial"/>
          <w:color w:val="808080" w:themeColor="background1" w:themeShade="80"/>
          <w:sz w:val="22"/>
          <w:szCs w:val="22"/>
          <w:lang w:val="en-GB"/>
        </w:rPr>
        <w:t>othe</w:t>
      </w:r>
      <w:r w:rsidR="00846F2E">
        <w:rPr>
          <w:rFonts w:ascii="Avenir Next" w:hAnsi="Avenir Next" w:cs="Arial"/>
          <w:color w:val="808080" w:themeColor="background1" w:themeShade="80"/>
          <w:sz w:val="22"/>
          <w:szCs w:val="22"/>
          <w:lang w:val="en-GB"/>
        </w:rPr>
        <w:t>r</w:t>
      </w:r>
      <w:r w:rsidR="00713B2F">
        <w:rPr>
          <w:rStyle w:val="FootnoteReference"/>
          <w:rFonts w:ascii="Avenir Next" w:hAnsi="Avenir Next" w:cs="Arial"/>
          <w:color w:val="808080" w:themeColor="background1" w:themeShade="80"/>
          <w:sz w:val="22"/>
          <w:szCs w:val="22"/>
          <w:lang w:val="en-GB"/>
        </w:rPr>
        <w:footnoteReference w:id="17"/>
      </w:r>
      <w:r w:rsidR="00713B2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person interested in the realisation/distribution of the company’s assets.</w:t>
      </w:r>
      <w:r w:rsidR="0007799E">
        <w:rPr>
          <w:rFonts w:ascii="Avenir Next" w:hAnsi="Avenir Next" w:cs="Arial"/>
          <w:color w:val="808080" w:themeColor="background1" w:themeShade="80"/>
          <w:sz w:val="22"/>
          <w:szCs w:val="22"/>
          <w:lang w:val="en-GB"/>
        </w:rPr>
        <w:t xml:space="preserve"> This connection to Hong Kong should have suffi</w:t>
      </w:r>
      <w:r w:rsidR="00713B2F">
        <w:rPr>
          <w:rFonts w:ascii="Avenir Next" w:hAnsi="Avenir Next" w:cs="Arial"/>
          <w:color w:val="808080" w:themeColor="background1" w:themeShade="80"/>
          <w:sz w:val="22"/>
          <w:szCs w:val="22"/>
          <w:lang w:val="en-GB"/>
        </w:rPr>
        <w:t>cient economic interest in the company’s winding-up.</w:t>
      </w:r>
      <w:r w:rsidR="00713B2F">
        <w:rPr>
          <w:rStyle w:val="FootnoteReference"/>
          <w:rFonts w:ascii="Avenir Next" w:hAnsi="Avenir Next" w:cs="Arial"/>
          <w:color w:val="808080" w:themeColor="background1" w:themeShade="80"/>
          <w:sz w:val="22"/>
          <w:szCs w:val="22"/>
          <w:lang w:val="en-GB"/>
        </w:rPr>
        <w:footnoteReference w:id="18"/>
      </w:r>
    </w:p>
    <w:p w14:paraId="152D7117" w14:textId="77777777" w:rsidR="00F73CB6" w:rsidRPr="008C35C9" w:rsidRDefault="00F73CB6" w:rsidP="008C35C9">
      <w:pPr>
        <w:jc w:val="both"/>
        <w:rPr>
          <w:rFonts w:ascii="Avenir Next" w:hAnsi="Avenir Next" w:cs="Arial"/>
          <w:color w:val="808080" w:themeColor="background1" w:themeShade="80"/>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50F7ADDA" w14:textId="03124AF3" w:rsidR="00713B2F" w:rsidRDefault="00846F2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scheme of arrangement is currently the only mechanism in Hong Kong to restructure one’s debts</w:t>
      </w:r>
      <w:r w:rsidR="00BF36FD">
        <w:rPr>
          <w:rFonts w:ascii="Avenir Next" w:hAnsi="Avenir Next" w:cs="Arial"/>
          <w:color w:val="808080" w:themeColor="background1" w:themeShade="80"/>
          <w:sz w:val="22"/>
          <w:szCs w:val="22"/>
          <w:lang w:val="en-GB"/>
        </w:rPr>
        <w:t>, if the stipulated majority of creditors approve said arrangement</w:t>
      </w:r>
      <w:r>
        <w:rPr>
          <w:rFonts w:ascii="Avenir Next" w:hAnsi="Avenir Next" w:cs="Arial"/>
          <w:color w:val="808080" w:themeColor="background1" w:themeShade="80"/>
          <w:sz w:val="22"/>
          <w:szCs w:val="22"/>
          <w:lang w:val="en-GB"/>
        </w:rPr>
        <w:t xml:space="preserve">. </w:t>
      </w:r>
      <w:r w:rsidR="00BF36FD">
        <w:rPr>
          <w:rFonts w:ascii="Avenir Next" w:hAnsi="Avenir Next" w:cs="Arial"/>
          <w:color w:val="808080" w:themeColor="background1" w:themeShade="80"/>
          <w:sz w:val="22"/>
          <w:szCs w:val="22"/>
          <w:lang w:val="en-GB"/>
        </w:rPr>
        <w:t xml:space="preserve">It is a statutory mechanism found in sections 668 to 677 of the Companies Ordinance (Cap 622) that requires an application to court under O.102 r 2 and r 5 of the Rules of the High Court. </w:t>
      </w:r>
    </w:p>
    <w:p w14:paraId="7A5A1F39" w14:textId="6E6CD972" w:rsidR="00846F2E" w:rsidRDefault="00846F2E" w:rsidP="008C35C9">
      <w:pPr>
        <w:jc w:val="both"/>
        <w:rPr>
          <w:rFonts w:ascii="Avenir Next" w:hAnsi="Avenir Next" w:cs="Arial"/>
          <w:color w:val="808080" w:themeColor="background1" w:themeShade="80"/>
          <w:sz w:val="22"/>
          <w:szCs w:val="22"/>
          <w:lang w:val="en-GB"/>
        </w:rPr>
      </w:pPr>
    </w:p>
    <w:p w14:paraId="60DEE179" w14:textId="2CD101BD" w:rsidR="00846F2E" w:rsidRDefault="00846F2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Pros:</w:t>
      </w:r>
    </w:p>
    <w:p w14:paraId="693C85E7" w14:textId="60DA0819" w:rsidR="00846F2E" w:rsidRDefault="00BF36FD" w:rsidP="00BF36F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Can apply to court to refuse or stay enforcement action from a judgement creditor;</w:t>
      </w:r>
      <w:r>
        <w:rPr>
          <w:rStyle w:val="FootnoteReference"/>
          <w:rFonts w:ascii="Avenir Next" w:hAnsi="Avenir Next" w:cs="Arial"/>
          <w:color w:val="808080" w:themeColor="background1" w:themeShade="80"/>
          <w:sz w:val="22"/>
          <w:szCs w:val="22"/>
          <w:lang w:val="en-GB"/>
        </w:rPr>
        <w:footnoteReference w:id="19"/>
      </w:r>
    </w:p>
    <w:p w14:paraId="535AE397" w14:textId="0F2DAD14" w:rsidR="00BF36FD" w:rsidRDefault="00BF36FD" w:rsidP="00BF36F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need to seek approval from all creditors, only need </w:t>
      </w:r>
      <w:r w:rsidR="00134FDE">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stipulated majority. This is particularly helpful when a debtor has a substantial amount (in number or dollar value) or creditors;</w:t>
      </w:r>
    </w:p>
    <w:p w14:paraId="1F4E37DA" w14:textId="4BC91B28" w:rsidR="00BF36FD" w:rsidRDefault="00BF36FD" w:rsidP="00BF36F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Prevents or limits the influence of hold-out creditors;</w:t>
      </w:r>
    </w:p>
    <w:p w14:paraId="7D23B9E0" w14:textId="68BDA460" w:rsidR="00BF36FD" w:rsidRDefault="00134FDE" w:rsidP="00BF36F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Classes of a creditor meeting(s) is determined by the legal rights of the creditors, not their legal interest; and</w:t>
      </w:r>
    </w:p>
    <w:p w14:paraId="4E57E3E5" w14:textId="2F85051D" w:rsidR="00134FDE" w:rsidRPr="00BF36FD" w:rsidRDefault="00134FDE" w:rsidP="00BF36F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scheme may allow for the release of personal guarantees, in the appropriate circumstances.</w:t>
      </w:r>
      <w:r>
        <w:rPr>
          <w:rStyle w:val="FootnoteReference"/>
          <w:rFonts w:ascii="Avenir Next" w:hAnsi="Avenir Next" w:cs="Arial"/>
          <w:color w:val="808080" w:themeColor="background1" w:themeShade="80"/>
          <w:sz w:val="22"/>
          <w:szCs w:val="22"/>
          <w:lang w:val="en-GB"/>
        </w:rPr>
        <w:footnoteReference w:id="20"/>
      </w:r>
    </w:p>
    <w:p w14:paraId="112C27A0" w14:textId="65F8E15E" w:rsidR="00846F2E" w:rsidRDefault="00846F2E" w:rsidP="008C35C9">
      <w:pPr>
        <w:jc w:val="both"/>
        <w:rPr>
          <w:rFonts w:ascii="Avenir Next" w:hAnsi="Avenir Next" w:cs="Arial"/>
          <w:color w:val="808080" w:themeColor="background1" w:themeShade="80"/>
          <w:sz w:val="22"/>
          <w:szCs w:val="22"/>
          <w:lang w:val="en-GB"/>
        </w:rPr>
      </w:pPr>
    </w:p>
    <w:p w14:paraId="17EAAE7D" w14:textId="475B8031" w:rsidR="00846F2E" w:rsidRDefault="00846F2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w:t>
      </w:r>
    </w:p>
    <w:p w14:paraId="1C51B35E" w14:textId="66559375" w:rsidR="00846F2E" w:rsidRDefault="00846F2E" w:rsidP="00846F2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Expensive</w:t>
      </w:r>
      <w:r w:rsidR="00134FDE">
        <w:rPr>
          <w:rFonts w:ascii="Avenir Next" w:hAnsi="Avenir Next" w:cs="Arial"/>
          <w:color w:val="808080" w:themeColor="background1" w:themeShade="80"/>
          <w:sz w:val="22"/>
          <w:szCs w:val="22"/>
          <w:lang w:val="en-GB"/>
        </w:rPr>
        <w:t>, and requires court oversight;</w:t>
      </w:r>
    </w:p>
    <w:p w14:paraId="7C06DC5F" w14:textId="7850D434" w:rsidR="00134FDE" w:rsidRDefault="00134FDE" w:rsidP="00846F2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 likely to be a commercially-viable options for small-to-medium sized businesses;</w:t>
      </w:r>
    </w:p>
    <w:p w14:paraId="0BBD110B" w14:textId="47914CFF" w:rsidR="00846F2E" w:rsidRDefault="00846F2E" w:rsidP="00846F2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No automatic stay power,</w:t>
      </w:r>
      <w:r>
        <w:rPr>
          <w:rStyle w:val="FootnoteReference"/>
          <w:rFonts w:ascii="Avenir Next" w:hAnsi="Avenir Next" w:cs="Arial"/>
          <w:color w:val="808080" w:themeColor="background1" w:themeShade="80"/>
          <w:sz w:val="22"/>
          <w:szCs w:val="22"/>
          <w:lang w:val="en-GB"/>
        </w:rPr>
        <w:footnoteReference w:id="21"/>
      </w:r>
      <w:r>
        <w:rPr>
          <w:rFonts w:ascii="Avenir Next" w:hAnsi="Avenir Next" w:cs="Arial"/>
          <w:color w:val="808080" w:themeColor="background1" w:themeShade="80"/>
          <w:sz w:val="22"/>
          <w:szCs w:val="22"/>
          <w:lang w:val="en-GB"/>
        </w:rPr>
        <w:t xml:space="preserve"> however, the courts may now have discretion to order same</w:t>
      </w:r>
      <w:r w:rsidR="00134FDE">
        <w:rPr>
          <w:rFonts w:ascii="Avenir Next" w:hAnsi="Avenir Next" w:cs="Arial"/>
          <w:color w:val="808080" w:themeColor="background1" w:themeShade="80"/>
          <w:sz w:val="22"/>
          <w:szCs w:val="22"/>
          <w:lang w:val="en-GB"/>
        </w:rPr>
        <w:t>;</w:t>
      </w:r>
      <w:r w:rsidR="00BF36FD">
        <w:rPr>
          <w:rStyle w:val="FootnoteReference"/>
          <w:rFonts w:ascii="Avenir Next" w:hAnsi="Avenir Next" w:cs="Arial"/>
          <w:color w:val="808080" w:themeColor="background1" w:themeShade="80"/>
          <w:sz w:val="22"/>
          <w:szCs w:val="22"/>
          <w:lang w:val="en-GB"/>
        </w:rPr>
        <w:footnoteReference w:id="22"/>
      </w:r>
    </w:p>
    <w:p w14:paraId="2C43A7D5" w14:textId="58D1DF72" w:rsidR="00134FDE" w:rsidRDefault="00134FDE" w:rsidP="00846F2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Requires approval from a majority in number representing at least 75% by value of creditors present and voting the scheme meeting; and</w:t>
      </w:r>
    </w:p>
    <w:p w14:paraId="06760271" w14:textId="0FDF0400" w:rsidR="00134FDE" w:rsidRPr="00846F2E" w:rsidRDefault="00134FDE" w:rsidP="00846F2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Even if the requisite majority is obtained, the court still retains a discretion whether to approve same.</w:t>
      </w:r>
      <w:r>
        <w:rPr>
          <w:rStyle w:val="FootnoteReference"/>
          <w:rFonts w:ascii="Avenir Next" w:hAnsi="Avenir Next" w:cs="Arial"/>
          <w:color w:val="808080" w:themeColor="background1" w:themeShade="80"/>
          <w:sz w:val="22"/>
          <w:szCs w:val="22"/>
          <w:lang w:val="en-GB"/>
        </w:rPr>
        <w:footnoteReference w:id="23"/>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23720736" w14:textId="79003FA4" w:rsidR="001328A9" w:rsidRDefault="001328A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Hong Kong’s common law requires that a foreign representative present to a Hong Kong court a letter of request/assistance from a foreign court.</w:t>
      </w:r>
      <w:r>
        <w:rPr>
          <w:rStyle w:val="FootnoteReference"/>
          <w:rFonts w:ascii="Avenir Next" w:hAnsi="Avenir Next" w:cs="Arial"/>
          <w:color w:val="808080" w:themeColor="background1" w:themeShade="80"/>
          <w:sz w:val="22"/>
          <w:szCs w:val="22"/>
          <w:lang w:val="en-GB"/>
        </w:rPr>
        <w:footnoteReference w:id="24"/>
      </w:r>
      <w:r>
        <w:rPr>
          <w:rFonts w:ascii="Avenir Next" w:hAnsi="Avenir Next" w:cs="Arial"/>
          <w:color w:val="808080" w:themeColor="background1" w:themeShade="80"/>
          <w:sz w:val="22"/>
          <w:szCs w:val="22"/>
          <w:lang w:val="en-GB"/>
        </w:rPr>
        <w:t xml:space="preserve"> The substance of the letter of request must, however, have a similar basis at law in Hong Kong (eg staying a secured creditors powers in Hong Kong is not analogous).</w:t>
      </w:r>
      <w:r>
        <w:rPr>
          <w:rStyle w:val="FootnoteReference"/>
          <w:rFonts w:ascii="Avenir Next" w:hAnsi="Avenir Next" w:cs="Arial"/>
          <w:color w:val="808080" w:themeColor="background1" w:themeShade="80"/>
          <w:sz w:val="22"/>
          <w:szCs w:val="22"/>
          <w:lang w:val="en-GB"/>
        </w:rPr>
        <w:footnoteReference w:id="25"/>
      </w:r>
    </w:p>
    <w:p w14:paraId="1996701D" w14:textId="3B57D3FD" w:rsidR="006D3CBE" w:rsidRDefault="006D3CBE" w:rsidP="008C35C9">
      <w:pPr>
        <w:jc w:val="both"/>
        <w:rPr>
          <w:rFonts w:ascii="Avenir Next" w:hAnsi="Avenir Next" w:cs="Arial"/>
          <w:color w:val="808080" w:themeColor="background1" w:themeShade="80"/>
          <w:sz w:val="22"/>
          <w:szCs w:val="22"/>
          <w:lang w:val="en-GB"/>
        </w:rPr>
      </w:pPr>
    </w:p>
    <w:p w14:paraId="12CDF69B" w14:textId="6EBCD75E" w:rsidR="003622FD" w:rsidRPr="003622FD" w:rsidRDefault="006D3CBE" w:rsidP="003622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a foreign liquidator to have standing to apply for said assistance/recognition, the </w:t>
      </w:r>
      <w:r w:rsidR="003622FD">
        <w:rPr>
          <w:rFonts w:ascii="Avenir Next" w:hAnsi="Avenir Next" w:cs="Arial"/>
          <w:color w:val="808080" w:themeColor="background1" w:themeShade="80"/>
          <w:sz w:val="22"/>
          <w:szCs w:val="22"/>
          <w:lang w:val="en-GB"/>
        </w:rPr>
        <w:t>foreign liquidation needs to either be conducted in the company’s COMI, or, in respect of the liquidation occurring only in the company’s place of incorporation, only limited assistance is required.</w:t>
      </w:r>
      <w:r w:rsidR="003622FD">
        <w:rPr>
          <w:rStyle w:val="FootnoteReference"/>
          <w:rFonts w:ascii="Avenir Next" w:hAnsi="Avenir Next" w:cs="Arial"/>
          <w:color w:val="808080" w:themeColor="background1" w:themeShade="80"/>
          <w:sz w:val="22"/>
          <w:szCs w:val="22"/>
          <w:lang w:val="en-GB"/>
        </w:rPr>
        <w:footnoteReference w:id="26"/>
      </w:r>
    </w:p>
    <w:p w14:paraId="302F9FEA" w14:textId="2E168F47" w:rsidR="001328A9" w:rsidRDefault="001328A9" w:rsidP="008C35C9">
      <w:pPr>
        <w:jc w:val="both"/>
        <w:rPr>
          <w:rFonts w:ascii="Avenir Next" w:hAnsi="Avenir Next" w:cs="Arial"/>
          <w:color w:val="808080" w:themeColor="background1" w:themeShade="80"/>
          <w:sz w:val="22"/>
          <w:szCs w:val="22"/>
          <w:lang w:val="en-GB"/>
        </w:rPr>
      </w:pPr>
    </w:p>
    <w:p w14:paraId="32836445" w14:textId="705FF461" w:rsidR="001328A9" w:rsidRDefault="001328A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Pros: </w:t>
      </w:r>
    </w:p>
    <w:p w14:paraId="2C2F2DAB" w14:textId="28F7B97C" w:rsidR="001328A9" w:rsidRDefault="001328A9" w:rsidP="008C35C9">
      <w:pPr>
        <w:jc w:val="both"/>
        <w:rPr>
          <w:rFonts w:ascii="Avenir Next" w:hAnsi="Avenir Next" w:cs="Arial"/>
          <w:color w:val="808080" w:themeColor="background1" w:themeShade="80"/>
          <w:sz w:val="22"/>
          <w:szCs w:val="22"/>
          <w:lang w:val="en-GB"/>
        </w:rPr>
      </w:pPr>
    </w:p>
    <w:p w14:paraId="4293A503" w14:textId="0BE57728" w:rsidR="001328A9" w:rsidRDefault="001328A9" w:rsidP="001328A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Possibly no need to commence ancillary liquidation proceedings in Hong Kong;</w:t>
      </w:r>
    </w:p>
    <w:p w14:paraId="7D18E1D7" w14:textId="7279E786" w:rsidR="001328A9" w:rsidRDefault="001328A9" w:rsidP="001328A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cost effective, if recognition to provide assistance granted;</w:t>
      </w:r>
    </w:p>
    <w:p w14:paraId="49B400A2" w14:textId="08C34B9A" w:rsidR="001328A9" w:rsidRDefault="001328A9" w:rsidP="001328A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liquidator can commence proceedings in Hong Kong without </w:t>
      </w:r>
      <w:r w:rsidR="006D3CBE">
        <w:rPr>
          <w:rFonts w:ascii="Avenir Next" w:hAnsi="Avenir Next" w:cs="Arial"/>
          <w:color w:val="808080" w:themeColor="background1" w:themeShade="80"/>
          <w:sz w:val="22"/>
          <w:szCs w:val="22"/>
          <w:lang w:val="en-GB"/>
        </w:rPr>
        <w:t>a formal order;</w:t>
      </w:r>
      <w:r w:rsidR="006D3CBE">
        <w:rPr>
          <w:rStyle w:val="FootnoteReference"/>
          <w:rFonts w:ascii="Avenir Next" w:hAnsi="Avenir Next" w:cs="Arial"/>
          <w:color w:val="808080" w:themeColor="background1" w:themeShade="80"/>
          <w:sz w:val="22"/>
          <w:szCs w:val="22"/>
          <w:lang w:val="en-GB"/>
        </w:rPr>
        <w:footnoteReference w:id="27"/>
      </w:r>
    </w:p>
    <w:p w14:paraId="47380CA4" w14:textId="671405CA" w:rsidR="006D3CBE" w:rsidRDefault="006D3CBE" w:rsidP="001328A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application appears to be </w:t>
      </w:r>
      <w:r w:rsidRPr="006D3CBE">
        <w:rPr>
          <w:rFonts w:ascii="Avenir Next" w:hAnsi="Avenir Next" w:cs="Arial"/>
          <w:i/>
          <w:iCs/>
          <w:color w:val="808080" w:themeColor="background1" w:themeShade="80"/>
          <w:sz w:val="22"/>
          <w:szCs w:val="22"/>
          <w:lang w:val="en-GB"/>
        </w:rPr>
        <w:t>ex parte</w:t>
      </w:r>
      <w:r>
        <w:rPr>
          <w:rFonts w:ascii="Avenir Next" w:hAnsi="Avenir Next" w:cs="Arial"/>
          <w:color w:val="808080" w:themeColor="background1" w:themeShade="80"/>
          <w:sz w:val="22"/>
          <w:szCs w:val="22"/>
          <w:lang w:val="en-GB"/>
        </w:rPr>
        <w:t>;</w:t>
      </w:r>
      <w:r w:rsidR="003622FD">
        <w:rPr>
          <w:rFonts w:ascii="Avenir Next" w:hAnsi="Avenir Next" w:cs="Arial"/>
          <w:color w:val="808080" w:themeColor="background1" w:themeShade="80"/>
          <w:sz w:val="22"/>
          <w:szCs w:val="22"/>
          <w:lang w:val="en-GB"/>
        </w:rPr>
        <w:t xml:space="preserve"> and</w:t>
      </w:r>
    </w:p>
    <w:p w14:paraId="6C571ACB" w14:textId="5E84A553" w:rsidR="006D3CBE" w:rsidRPr="003622FD" w:rsidRDefault="006D3CBE" w:rsidP="003622F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Common law can be flexible and adaptable;</w:t>
      </w:r>
    </w:p>
    <w:p w14:paraId="6DA6EAD1" w14:textId="4C2ECA91" w:rsidR="001328A9" w:rsidRDefault="001328A9" w:rsidP="001328A9">
      <w:pPr>
        <w:jc w:val="both"/>
        <w:rPr>
          <w:rFonts w:ascii="Avenir Next" w:hAnsi="Avenir Next" w:cs="Arial"/>
          <w:color w:val="808080" w:themeColor="background1" w:themeShade="80"/>
          <w:sz w:val="22"/>
          <w:szCs w:val="22"/>
          <w:lang w:val="en-GB"/>
        </w:rPr>
      </w:pPr>
    </w:p>
    <w:p w14:paraId="3A1DFCCD" w14:textId="701F3955" w:rsidR="001328A9" w:rsidRDefault="001328A9" w:rsidP="001328A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w:t>
      </w:r>
    </w:p>
    <w:p w14:paraId="78E7753A" w14:textId="62891BF1" w:rsidR="001328A9" w:rsidRDefault="001328A9" w:rsidP="001328A9">
      <w:pPr>
        <w:jc w:val="both"/>
        <w:rPr>
          <w:rFonts w:ascii="Avenir Next" w:hAnsi="Avenir Next" w:cs="Arial"/>
          <w:color w:val="808080" w:themeColor="background1" w:themeShade="80"/>
          <w:sz w:val="22"/>
          <w:szCs w:val="22"/>
          <w:lang w:val="en-GB"/>
        </w:rPr>
      </w:pPr>
    </w:p>
    <w:p w14:paraId="4101DFB7" w14:textId="3FF12043" w:rsidR="001328A9" w:rsidRDefault="001328A9" w:rsidP="001328A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substance of the request must be analogous to a Hong Kong right/remedy;</w:t>
      </w:r>
    </w:p>
    <w:p w14:paraId="206F7C50" w14:textId="01339C4C" w:rsidR="001328A9" w:rsidRDefault="001328A9" w:rsidP="001328A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ultimately retains a discretion, so it can be costly if recognition is not granted;</w:t>
      </w:r>
    </w:p>
    <w:p w14:paraId="358BDD6E" w14:textId="5A5154CB" w:rsidR="006D3CBE" w:rsidRDefault="006D3CBE" w:rsidP="006D3CB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substance of the request must be analogous to the foreign liquidator’s domestic right/remedy;</w:t>
      </w:r>
    </w:p>
    <w:p w14:paraId="5AB7A1C1" w14:textId="23E68782" w:rsidR="006D3CBE" w:rsidRDefault="006D3CBE" w:rsidP="006D3CB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Does not apply to the liquidation of solvent companies;</w:t>
      </w:r>
      <w:r>
        <w:rPr>
          <w:rStyle w:val="FootnoteReference"/>
          <w:rFonts w:ascii="Avenir Next" w:hAnsi="Avenir Next" w:cs="Arial"/>
          <w:color w:val="808080" w:themeColor="background1" w:themeShade="80"/>
          <w:sz w:val="22"/>
          <w:szCs w:val="22"/>
          <w:lang w:val="en-GB"/>
        </w:rPr>
        <w:footnoteReference w:id="28"/>
      </w:r>
      <w:r w:rsidR="003622FD">
        <w:rPr>
          <w:rFonts w:ascii="Avenir Next" w:hAnsi="Avenir Next" w:cs="Arial"/>
          <w:color w:val="808080" w:themeColor="background1" w:themeShade="80"/>
          <w:sz w:val="22"/>
          <w:szCs w:val="22"/>
          <w:lang w:val="en-GB"/>
        </w:rPr>
        <w:t xml:space="preserve"> and</w:t>
      </w:r>
    </w:p>
    <w:p w14:paraId="6D426F03" w14:textId="04CAC996" w:rsidR="001328A9" w:rsidRPr="003622FD" w:rsidRDefault="006D3CBE" w:rsidP="003622F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Judgements arising out of the common law can be difficult to predict;</w:t>
      </w:r>
    </w:p>
    <w:p w14:paraId="2C61397A" w14:textId="77777777" w:rsidR="008C35C9" w:rsidRPr="00FC1BC1" w:rsidRDefault="008C35C9" w:rsidP="008C35C9">
      <w:pPr>
        <w:jc w:val="both"/>
        <w:rPr>
          <w:rFonts w:ascii="Avenir Next" w:hAnsi="Avenir Next" w:cs="Arial"/>
          <w:sz w:val="22"/>
          <w:szCs w:val="22"/>
          <w:lang w:val="en-GB"/>
        </w:rPr>
      </w:pPr>
    </w:p>
    <w:p w14:paraId="6376F5AF" w14:textId="77777777" w:rsidR="003622FD" w:rsidRDefault="003622FD">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br w:type="page"/>
      </w:r>
    </w:p>
    <w:p w14:paraId="3CDB0DE9" w14:textId="089BFE4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4 (fact-based application-type question) [15 marks]</w:t>
      </w:r>
      <w:bookmarkEnd w:id="1"/>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xml:space="preserve">, a </w:t>
      </w:r>
      <w:r w:rsidRPr="00AA5A28">
        <w:rPr>
          <w:rFonts w:ascii="Avenir Next" w:eastAsia="Calibri" w:hAnsi="Avenir Next" w:cs="Arial"/>
          <w:sz w:val="22"/>
          <w:szCs w:val="22"/>
          <w:highlight w:val="yellow"/>
          <w:lang w:val="en-ZA"/>
        </w:rPr>
        <w:t>few months</w:t>
      </w:r>
      <w:r w:rsidRPr="00600529">
        <w:rPr>
          <w:rFonts w:ascii="Avenir Next" w:eastAsia="Calibri" w:hAnsi="Avenir Next" w:cs="Arial"/>
          <w:sz w:val="22"/>
          <w:szCs w:val="22"/>
          <w:lang w:val="en-ZA"/>
        </w:rPr>
        <w:t xml:space="preserve"> before the liquidation. Sea Breeze has appointed a receiver. The liquidator wants to know if any of the receiver’s realisations can be used to meet the liquidation costs or pay any unsecured creditors. Outline the discussion you would have with the liquidator.</w:t>
      </w:r>
    </w:p>
    <w:p w14:paraId="6119024F" w14:textId="177A801F" w:rsidR="00AA5A28" w:rsidRDefault="00AA5A28" w:rsidP="008C35C9">
      <w:pPr>
        <w:jc w:val="both"/>
        <w:rPr>
          <w:rFonts w:ascii="Avenir Next" w:hAnsi="Avenir Next" w:cs="Arial"/>
          <w:color w:val="808080" w:themeColor="background1" w:themeShade="80"/>
          <w:sz w:val="22"/>
          <w:szCs w:val="22"/>
          <w:lang w:val="en-GB"/>
        </w:rPr>
      </w:pPr>
    </w:p>
    <w:p w14:paraId="5191DC8F" w14:textId="6A734EA9" w:rsidR="00AA5A28" w:rsidRDefault="00AA5A2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Ordinarily, realisations of floating assets achieved by a receiver are not payable to a liquidator for their fees or costs.</w:t>
      </w:r>
      <w:r>
        <w:rPr>
          <w:rStyle w:val="FootnoteReference"/>
          <w:rFonts w:ascii="Avenir Next" w:hAnsi="Avenir Next" w:cs="Arial"/>
          <w:color w:val="808080" w:themeColor="background1" w:themeShade="80"/>
          <w:sz w:val="22"/>
          <w:szCs w:val="22"/>
          <w:lang w:val="en-GB"/>
        </w:rPr>
        <w:footnoteReference w:id="29"/>
      </w:r>
      <w:r>
        <w:rPr>
          <w:rFonts w:ascii="Avenir Next" w:hAnsi="Avenir Next" w:cs="Arial"/>
          <w:color w:val="808080" w:themeColor="background1" w:themeShade="80"/>
          <w:sz w:val="22"/>
          <w:szCs w:val="22"/>
          <w:lang w:val="en-GB"/>
        </w:rPr>
        <w:t xml:space="preserve"> However, this is not necessarily the case when </w:t>
      </w:r>
      <w:r w:rsidR="00AA2A20">
        <w:rPr>
          <w:rFonts w:ascii="Avenir Next" w:hAnsi="Avenir Next" w:cs="Arial"/>
          <w:color w:val="808080" w:themeColor="background1" w:themeShade="80"/>
          <w:sz w:val="22"/>
          <w:szCs w:val="22"/>
          <w:lang w:val="en-GB"/>
        </w:rPr>
        <w:t>there is a surplus of assets to pay the secured creditor(s) and the preference claims (as defined by s 265 of CWUMPO).</w:t>
      </w:r>
      <w:r w:rsidR="00AA2A20">
        <w:rPr>
          <w:rStyle w:val="FootnoteReference"/>
          <w:rFonts w:ascii="Avenir Next" w:hAnsi="Avenir Next" w:cs="Arial"/>
          <w:color w:val="808080" w:themeColor="background1" w:themeShade="80"/>
          <w:sz w:val="22"/>
          <w:szCs w:val="22"/>
          <w:lang w:val="en-GB"/>
        </w:rPr>
        <w:footnoteReference w:id="30"/>
      </w:r>
      <w:r w:rsidR="00AA2A20">
        <w:rPr>
          <w:rFonts w:ascii="Avenir Next" w:hAnsi="Avenir Next" w:cs="Arial"/>
          <w:color w:val="808080" w:themeColor="background1" w:themeShade="80"/>
          <w:sz w:val="22"/>
          <w:szCs w:val="22"/>
          <w:lang w:val="en-GB"/>
        </w:rPr>
        <w:t xml:space="preserve"> </w:t>
      </w:r>
    </w:p>
    <w:p w14:paraId="649D8A5A" w14:textId="0AD17A30" w:rsidR="009C3A09" w:rsidRDefault="009C3A09" w:rsidP="008C35C9">
      <w:pPr>
        <w:jc w:val="both"/>
        <w:rPr>
          <w:rFonts w:ascii="Avenir Next" w:hAnsi="Avenir Next" w:cs="Arial"/>
          <w:color w:val="808080" w:themeColor="background1" w:themeShade="80"/>
          <w:sz w:val="22"/>
          <w:szCs w:val="22"/>
          <w:lang w:val="en-GB"/>
        </w:rPr>
      </w:pPr>
    </w:p>
    <w:p w14:paraId="21492E99" w14:textId="0EA6B464" w:rsidR="009C3A09" w:rsidRDefault="009C3A0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the extent that there is </w:t>
      </w:r>
      <w:r w:rsidR="00545171">
        <w:rPr>
          <w:rFonts w:ascii="Avenir Next" w:hAnsi="Avenir Next" w:cs="Arial"/>
          <w:color w:val="808080" w:themeColor="background1" w:themeShade="80"/>
          <w:sz w:val="22"/>
          <w:szCs w:val="22"/>
          <w:lang w:val="en-GB"/>
        </w:rPr>
        <w:t>a deficiency</w:t>
      </w:r>
      <w:r>
        <w:rPr>
          <w:rFonts w:ascii="Avenir Next" w:hAnsi="Avenir Next" w:cs="Arial"/>
          <w:color w:val="808080" w:themeColor="background1" w:themeShade="80"/>
          <w:sz w:val="22"/>
          <w:szCs w:val="22"/>
          <w:lang w:val="en-GB"/>
        </w:rPr>
        <w:t xml:space="preserve"> from the realisation of floating charges, then the statutory preferential claims must be paid first: section 79 and 265(3B) of CWUMPO. Examples of statutory preferential claims are wages, salaries, other employee entitlements, statutory debts due to the government</w:t>
      </w:r>
      <w:r w:rsidR="00545171">
        <w:rPr>
          <w:rFonts w:ascii="Avenir Next" w:hAnsi="Avenir Next" w:cs="Arial"/>
          <w:color w:val="808080" w:themeColor="background1" w:themeShade="80"/>
          <w:sz w:val="22"/>
          <w:szCs w:val="22"/>
          <w:lang w:val="en-GB"/>
        </w:rPr>
        <w:t>,</w:t>
      </w:r>
      <w:r w:rsidR="00545171">
        <w:rPr>
          <w:rStyle w:val="FootnoteReference"/>
          <w:rFonts w:ascii="Avenir Next" w:hAnsi="Avenir Next" w:cs="Arial"/>
          <w:color w:val="808080" w:themeColor="background1" w:themeShade="80"/>
          <w:sz w:val="22"/>
          <w:szCs w:val="22"/>
          <w:lang w:val="en-GB"/>
        </w:rPr>
        <w:footnoteReference w:id="31"/>
      </w:r>
      <w:r>
        <w:rPr>
          <w:rFonts w:ascii="Avenir Next" w:hAnsi="Avenir Next" w:cs="Arial"/>
          <w:color w:val="808080" w:themeColor="background1" w:themeShade="80"/>
          <w:sz w:val="22"/>
          <w:szCs w:val="22"/>
          <w:lang w:val="en-GB"/>
        </w:rPr>
        <w:t xml:space="preserve"> </w:t>
      </w:r>
      <w:r w:rsidR="00545171">
        <w:rPr>
          <w:rFonts w:ascii="Avenir Next" w:hAnsi="Avenir Next" w:cs="Arial"/>
          <w:color w:val="808080" w:themeColor="background1" w:themeShade="80"/>
          <w:sz w:val="22"/>
          <w:szCs w:val="22"/>
          <w:lang w:val="en-GB"/>
        </w:rPr>
        <w:t>etc. This is not the case if there are sufficient assets in the general estate to pay preferential creditors.</w:t>
      </w:r>
      <w:r w:rsidR="00545171">
        <w:rPr>
          <w:rStyle w:val="FootnoteReference"/>
          <w:rFonts w:ascii="Avenir Next" w:hAnsi="Avenir Next" w:cs="Arial"/>
          <w:color w:val="808080" w:themeColor="background1" w:themeShade="80"/>
          <w:sz w:val="22"/>
          <w:szCs w:val="22"/>
          <w:lang w:val="en-GB"/>
        </w:rPr>
        <w:footnoteReference w:id="32"/>
      </w:r>
      <w:r w:rsidR="00545171">
        <w:rPr>
          <w:rFonts w:ascii="Avenir Next" w:hAnsi="Avenir Next" w:cs="Arial"/>
          <w:color w:val="808080" w:themeColor="background1" w:themeShade="80"/>
          <w:sz w:val="22"/>
          <w:szCs w:val="22"/>
          <w:lang w:val="en-GB"/>
        </w:rPr>
        <w:t xml:space="preserve"> General unsecured creditors are not covered by s265 of CWUMPO and therefore the liquidator would need to carefully work through the list of unsecured creditors to determine whether a particular unsecured creditor falls under any of the limbs in s265.  </w:t>
      </w:r>
    </w:p>
    <w:p w14:paraId="716801BD" w14:textId="3E17B28F" w:rsidR="00AA2A20" w:rsidRDefault="00AA2A20" w:rsidP="008C35C9">
      <w:pPr>
        <w:jc w:val="both"/>
        <w:rPr>
          <w:rFonts w:ascii="Avenir Next" w:hAnsi="Avenir Next" w:cs="Arial"/>
          <w:color w:val="808080" w:themeColor="background1" w:themeShade="80"/>
          <w:sz w:val="22"/>
          <w:szCs w:val="22"/>
          <w:lang w:val="en-GB"/>
        </w:rPr>
      </w:pPr>
    </w:p>
    <w:p w14:paraId="1702A251" w14:textId="77777777" w:rsidR="009C3A09" w:rsidRDefault="00AA2A2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factual matrix states that the floating charge was only granted a few months before the liquidation. I have assumed that the liquidation is not a solvent liquidation, that the secured party is not a related party/associate and that a few months is 3 or more months (but not greater than 6 </w:t>
      </w:r>
      <w:r w:rsidR="009C3A09">
        <w:rPr>
          <w:rFonts w:ascii="Avenir Next" w:hAnsi="Avenir Next" w:cs="Arial"/>
          <w:color w:val="808080" w:themeColor="background1" w:themeShade="80"/>
          <w:sz w:val="22"/>
          <w:szCs w:val="22"/>
          <w:lang w:val="en-GB"/>
        </w:rPr>
        <w:t xml:space="preserve">or 12 </w:t>
      </w:r>
      <w:r>
        <w:rPr>
          <w:rFonts w:ascii="Avenir Next" w:hAnsi="Avenir Next" w:cs="Arial"/>
          <w:color w:val="808080" w:themeColor="background1" w:themeShade="80"/>
          <w:sz w:val="22"/>
          <w:szCs w:val="22"/>
          <w:lang w:val="en-GB"/>
        </w:rPr>
        <w:t xml:space="preserve">months). </w:t>
      </w:r>
    </w:p>
    <w:p w14:paraId="051A0EC8" w14:textId="77777777" w:rsidR="009C3A09" w:rsidRDefault="009C3A09" w:rsidP="008C35C9">
      <w:pPr>
        <w:jc w:val="both"/>
        <w:rPr>
          <w:rFonts w:ascii="Avenir Next" w:hAnsi="Avenir Next" w:cs="Arial"/>
          <w:color w:val="808080" w:themeColor="background1" w:themeShade="80"/>
          <w:sz w:val="22"/>
          <w:szCs w:val="22"/>
          <w:lang w:val="en-GB"/>
        </w:rPr>
      </w:pPr>
    </w:p>
    <w:p w14:paraId="7F07E278" w14:textId="38C42351" w:rsidR="009C3A09" w:rsidRPr="009C3A09" w:rsidRDefault="009C3A09" w:rsidP="008C35C9">
      <w:pPr>
        <w:jc w:val="both"/>
        <w:rPr>
          <w:rFonts w:ascii="Avenir Next" w:hAnsi="Avenir Next" w:cs="Arial"/>
          <w:b/>
          <w:bCs/>
          <w:color w:val="808080" w:themeColor="background1" w:themeShade="80"/>
          <w:sz w:val="22"/>
          <w:szCs w:val="22"/>
          <w:lang w:val="en-GB"/>
        </w:rPr>
      </w:pPr>
      <w:r w:rsidRPr="009C3A09">
        <w:rPr>
          <w:rFonts w:ascii="Avenir Next" w:hAnsi="Avenir Next" w:cs="Arial"/>
          <w:b/>
          <w:bCs/>
          <w:color w:val="808080" w:themeColor="background1" w:themeShade="80"/>
          <w:sz w:val="22"/>
          <w:szCs w:val="22"/>
          <w:lang w:val="en-GB"/>
        </w:rPr>
        <w:t>For the 12 month assumption</w:t>
      </w:r>
    </w:p>
    <w:p w14:paraId="39FE58C6" w14:textId="24445FC7" w:rsidR="009C3A09" w:rsidRDefault="009C3A09" w:rsidP="008C35C9">
      <w:pPr>
        <w:jc w:val="both"/>
        <w:rPr>
          <w:rFonts w:ascii="Avenir Next" w:hAnsi="Avenir Next" w:cs="Arial"/>
          <w:color w:val="808080" w:themeColor="background1" w:themeShade="80"/>
          <w:sz w:val="22"/>
          <w:szCs w:val="22"/>
          <w:lang w:val="en-GB"/>
        </w:rPr>
      </w:pPr>
    </w:p>
    <w:p w14:paraId="6E1B09F7" w14:textId="37E5156A" w:rsidR="009C3A09" w:rsidRDefault="009C3A0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s267 of CWUMPO, a floating charge is not valid if granted within 12 months prior to the commencement of the liquidation. Invalidity requires the company to be insolvent,</w:t>
      </w:r>
      <w:r>
        <w:rPr>
          <w:rStyle w:val="FootnoteReference"/>
          <w:rFonts w:ascii="Avenir Next" w:hAnsi="Avenir Next" w:cs="Arial"/>
          <w:color w:val="808080" w:themeColor="background1" w:themeShade="80"/>
          <w:sz w:val="22"/>
          <w:szCs w:val="22"/>
          <w:lang w:val="en-GB"/>
        </w:rPr>
        <w:footnoteReference w:id="33"/>
      </w:r>
      <w:r>
        <w:rPr>
          <w:rFonts w:ascii="Avenir Next" w:hAnsi="Avenir Next" w:cs="Arial"/>
          <w:color w:val="808080" w:themeColor="background1" w:themeShade="80"/>
          <w:sz w:val="22"/>
          <w:szCs w:val="22"/>
          <w:lang w:val="en-GB"/>
        </w:rPr>
        <w:t xml:space="preserve"> and that no new consideration was provided by Sea Breeze. The liquidator needs to investigate whether new consideration was given by Sea Breeze to be granted this security.</w:t>
      </w:r>
    </w:p>
    <w:p w14:paraId="06E97EF4" w14:textId="77777777" w:rsidR="009C3A09" w:rsidRDefault="009C3A09" w:rsidP="008C35C9">
      <w:pPr>
        <w:jc w:val="both"/>
        <w:rPr>
          <w:rFonts w:ascii="Avenir Next" w:hAnsi="Avenir Next" w:cs="Arial"/>
          <w:color w:val="808080" w:themeColor="background1" w:themeShade="80"/>
          <w:sz w:val="22"/>
          <w:szCs w:val="22"/>
          <w:lang w:val="en-GB"/>
        </w:rPr>
      </w:pPr>
    </w:p>
    <w:p w14:paraId="26869B41" w14:textId="292234B1" w:rsidR="009C3A09" w:rsidRPr="009C3A09" w:rsidRDefault="009C3A09" w:rsidP="008C35C9">
      <w:pPr>
        <w:jc w:val="both"/>
        <w:rPr>
          <w:rFonts w:ascii="Avenir Next" w:hAnsi="Avenir Next" w:cs="Arial"/>
          <w:b/>
          <w:bCs/>
          <w:color w:val="808080" w:themeColor="background1" w:themeShade="80"/>
          <w:sz w:val="22"/>
          <w:szCs w:val="22"/>
          <w:lang w:val="en-GB"/>
        </w:rPr>
      </w:pPr>
      <w:r w:rsidRPr="009C3A09">
        <w:rPr>
          <w:rFonts w:ascii="Avenir Next" w:hAnsi="Avenir Next" w:cs="Arial"/>
          <w:b/>
          <w:bCs/>
          <w:color w:val="808080" w:themeColor="background1" w:themeShade="80"/>
          <w:sz w:val="22"/>
          <w:szCs w:val="22"/>
          <w:lang w:val="en-GB"/>
        </w:rPr>
        <w:t>For the 6 month assumption</w:t>
      </w:r>
    </w:p>
    <w:p w14:paraId="204C256C" w14:textId="77777777" w:rsidR="009C3A09" w:rsidRDefault="009C3A09" w:rsidP="008C35C9">
      <w:pPr>
        <w:jc w:val="both"/>
        <w:rPr>
          <w:rFonts w:ascii="Avenir Next" w:hAnsi="Avenir Next" w:cs="Arial"/>
          <w:color w:val="808080" w:themeColor="background1" w:themeShade="80"/>
          <w:sz w:val="22"/>
          <w:szCs w:val="22"/>
          <w:lang w:val="en-GB"/>
        </w:rPr>
      </w:pPr>
    </w:p>
    <w:p w14:paraId="2373FBA0" w14:textId="6C880A41" w:rsidR="00AA2A20" w:rsidRDefault="00AA2A2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sections 266 and 266B, the floating charge may be void as an unfair preference, given:</w:t>
      </w:r>
    </w:p>
    <w:p w14:paraId="26FC352B" w14:textId="77777777" w:rsidR="00AA2A20" w:rsidRDefault="00AA2A20" w:rsidP="008C35C9">
      <w:pPr>
        <w:jc w:val="both"/>
        <w:rPr>
          <w:rFonts w:ascii="Avenir Next" w:hAnsi="Avenir Next" w:cs="Arial"/>
          <w:color w:val="808080" w:themeColor="background1" w:themeShade="80"/>
          <w:sz w:val="22"/>
          <w:szCs w:val="22"/>
          <w:lang w:val="en-GB"/>
        </w:rPr>
      </w:pPr>
    </w:p>
    <w:p w14:paraId="2E29FE61" w14:textId="49631F6A" w:rsidR="00AA2A20" w:rsidRDefault="00AA2A20" w:rsidP="00AA2A20">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transaction (ie the granting of the security) presumably occurred within 6 months;</w:t>
      </w:r>
      <w:r w:rsidRPr="00AA2A20">
        <w:rPr>
          <w:rFonts w:ascii="Avenir Next" w:hAnsi="Avenir Next" w:cs="Arial"/>
          <w:color w:val="808080" w:themeColor="background1" w:themeShade="80"/>
          <w:sz w:val="22"/>
          <w:szCs w:val="22"/>
          <w:lang w:val="en-GB"/>
        </w:rPr>
        <w:t xml:space="preserve"> </w:t>
      </w:r>
    </w:p>
    <w:p w14:paraId="7AB8F108" w14:textId="0D6BE631" w:rsidR="00AA2A20" w:rsidRDefault="00AA2A20" w:rsidP="00AA2A20">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granting of the charge may have had the effect of bettering Sea Breeze’s position compared to in a liquidation scenario. The liquidator needs to investigate whether new consideration was given by Sea Breeze to be granted this security;</w:t>
      </w:r>
    </w:p>
    <w:p w14:paraId="7F6AA363" w14:textId="775D8678" w:rsidR="00AA2A20" w:rsidRDefault="00AA2A20" w:rsidP="00AA2A20">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transaction occurred at a time when Palm Beach was insolvent.</w:t>
      </w:r>
      <w:r>
        <w:rPr>
          <w:rStyle w:val="FootnoteReference"/>
          <w:rFonts w:ascii="Avenir Next" w:hAnsi="Avenir Next" w:cs="Arial"/>
          <w:color w:val="808080" w:themeColor="background1" w:themeShade="80"/>
          <w:sz w:val="22"/>
          <w:szCs w:val="22"/>
          <w:lang w:val="en-GB"/>
        </w:rPr>
        <w:footnoteReference w:id="34"/>
      </w:r>
      <w:r>
        <w:rPr>
          <w:rFonts w:ascii="Avenir Next" w:hAnsi="Avenir Next" w:cs="Arial"/>
          <w:color w:val="808080" w:themeColor="background1" w:themeShade="80"/>
          <w:sz w:val="22"/>
          <w:szCs w:val="22"/>
          <w:lang w:val="en-GB"/>
        </w:rPr>
        <w:t xml:space="preserve"> The liquidator needs to carry out a cash flow test analysis to determine at what date they believe Palm Beach became insolvent;</w:t>
      </w:r>
    </w:p>
    <w:p w14:paraId="59FCB1BD" w14:textId="71EBF622" w:rsidR="00AA2A20" w:rsidRDefault="00AA2A20" w:rsidP="00AA2A20">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Palm Beach must have been influenced by a desire to prefer Sea Breeze. The factual matrix provides no background information on this issue.</w:t>
      </w:r>
    </w:p>
    <w:p w14:paraId="044E5E95" w14:textId="060C0D99" w:rsidR="00AA2A20" w:rsidRDefault="00AA2A20" w:rsidP="00AA2A20">
      <w:pPr>
        <w:jc w:val="both"/>
        <w:rPr>
          <w:rFonts w:ascii="Avenir Next" w:hAnsi="Avenir Next" w:cs="Arial"/>
          <w:color w:val="808080" w:themeColor="background1" w:themeShade="80"/>
          <w:sz w:val="22"/>
          <w:szCs w:val="22"/>
          <w:lang w:val="en-GB"/>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5EEB025D" w14:textId="4F665661" w:rsidR="00545171" w:rsidRDefault="00545171" w:rsidP="005451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Hong Kong’s common law requires that a foreign representative present to a Hong Kong court a letter of request/assistance from a foreign court.</w:t>
      </w:r>
      <w:r>
        <w:rPr>
          <w:rStyle w:val="FootnoteReference"/>
          <w:rFonts w:ascii="Avenir Next" w:hAnsi="Avenir Next" w:cs="Arial"/>
          <w:color w:val="808080" w:themeColor="background1" w:themeShade="80"/>
          <w:sz w:val="22"/>
          <w:szCs w:val="22"/>
          <w:lang w:val="en-GB"/>
        </w:rPr>
        <w:footnoteReference w:id="35"/>
      </w:r>
      <w:r>
        <w:rPr>
          <w:rFonts w:ascii="Avenir Next" w:hAnsi="Avenir Next" w:cs="Arial"/>
          <w:color w:val="808080" w:themeColor="background1" w:themeShade="80"/>
          <w:sz w:val="22"/>
          <w:szCs w:val="22"/>
          <w:lang w:val="en-GB"/>
        </w:rPr>
        <w:t xml:space="preserve"> The substance of the letter of request must, however, have a similar basis at law in Hong Kong.</w:t>
      </w:r>
      <w:r>
        <w:rPr>
          <w:rStyle w:val="FootnoteReference"/>
          <w:rFonts w:ascii="Avenir Next" w:hAnsi="Avenir Next" w:cs="Arial"/>
          <w:color w:val="808080" w:themeColor="background1" w:themeShade="80"/>
          <w:sz w:val="22"/>
          <w:szCs w:val="22"/>
          <w:lang w:val="en-GB"/>
        </w:rPr>
        <w:footnoteReference w:id="36"/>
      </w:r>
      <w:r w:rsidR="000C3927">
        <w:rPr>
          <w:rFonts w:ascii="Avenir Next" w:hAnsi="Avenir Next" w:cs="Arial"/>
          <w:color w:val="808080" w:themeColor="background1" w:themeShade="80"/>
          <w:sz w:val="22"/>
          <w:szCs w:val="22"/>
          <w:lang w:val="en-GB"/>
        </w:rPr>
        <w:t xml:space="preserve"> Compare this however with the </w:t>
      </w:r>
      <w:r w:rsidR="000C3927" w:rsidRPr="000C3927">
        <w:rPr>
          <w:rFonts w:ascii="Avenir Next" w:hAnsi="Avenir Next" w:cs="Arial"/>
          <w:i/>
          <w:iCs/>
          <w:color w:val="808080" w:themeColor="background1" w:themeShade="80"/>
          <w:sz w:val="22"/>
          <w:szCs w:val="22"/>
          <w:lang w:val="en-GB"/>
        </w:rPr>
        <w:t>Singularis Principle</w:t>
      </w:r>
      <w:r w:rsidR="000C3927">
        <w:rPr>
          <w:rStyle w:val="FootnoteReference"/>
          <w:rFonts w:ascii="Avenir Next" w:hAnsi="Avenir Next" w:cs="Arial"/>
          <w:i/>
          <w:iCs/>
          <w:color w:val="808080" w:themeColor="background1" w:themeShade="80"/>
          <w:sz w:val="22"/>
          <w:szCs w:val="22"/>
          <w:lang w:val="en-GB"/>
        </w:rPr>
        <w:footnoteReference w:id="37"/>
      </w:r>
      <w:r w:rsidR="000C3927">
        <w:rPr>
          <w:rFonts w:ascii="Avenir Next" w:hAnsi="Avenir Next" w:cs="Arial"/>
          <w:color w:val="808080" w:themeColor="background1" w:themeShade="80"/>
          <w:sz w:val="22"/>
          <w:szCs w:val="22"/>
          <w:lang w:val="en-GB"/>
        </w:rPr>
        <w:t xml:space="preserve"> which appeared to have broadened that scope to powers existing in the foreign jurisdiction. Applying the Singularis Principle, although the Cayman Island’s legislation includes the power to examine,</w:t>
      </w:r>
      <w:r w:rsidR="000C3927">
        <w:rPr>
          <w:rStyle w:val="FootnoteReference"/>
          <w:rFonts w:ascii="Avenir Next" w:hAnsi="Avenir Next" w:cs="Arial"/>
          <w:color w:val="808080" w:themeColor="background1" w:themeShade="80"/>
          <w:sz w:val="22"/>
          <w:szCs w:val="22"/>
          <w:lang w:val="en-GB"/>
        </w:rPr>
        <w:footnoteReference w:id="38"/>
      </w:r>
      <w:r w:rsidR="000C3927">
        <w:rPr>
          <w:rFonts w:ascii="Avenir Next" w:hAnsi="Avenir Next" w:cs="Arial"/>
          <w:color w:val="808080" w:themeColor="background1" w:themeShade="80"/>
          <w:sz w:val="22"/>
          <w:szCs w:val="22"/>
          <w:lang w:val="en-GB"/>
        </w:rPr>
        <w:t xml:space="preserve"> said power is said to be more restrictive</w:t>
      </w:r>
      <w:r w:rsidR="000C3927">
        <w:rPr>
          <w:rStyle w:val="FootnoteReference"/>
          <w:rFonts w:ascii="Avenir Next" w:hAnsi="Avenir Next" w:cs="Arial"/>
          <w:color w:val="808080" w:themeColor="background1" w:themeShade="80"/>
          <w:sz w:val="22"/>
          <w:szCs w:val="22"/>
          <w:lang w:val="en-GB"/>
        </w:rPr>
        <w:footnoteReference w:id="39"/>
      </w:r>
      <w:r w:rsidR="000C3927">
        <w:rPr>
          <w:rFonts w:ascii="Avenir Next" w:hAnsi="Avenir Next" w:cs="Arial"/>
          <w:color w:val="808080" w:themeColor="background1" w:themeShade="80"/>
          <w:sz w:val="22"/>
          <w:szCs w:val="22"/>
          <w:lang w:val="en-GB"/>
        </w:rPr>
        <w:t xml:space="preserve"> than the Hong Kong equivalent.</w:t>
      </w:r>
      <w:r w:rsidR="000C3927">
        <w:rPr>
          <w:rStyle w:val="FootnoteReference"/>
          <w:rFonts w:ascii="Avenir Next" w:hAnsi="Avenir Next" w:cs="Arial"/>
          <w:color w:val="808080" w:themeColor="background1" w:themeShade="80"/>
          <w:sz w:val="22"/>
          <w:szCs w:val="22"/>
          <w:lang w:val="en-GB"/>
        </w:rPr>
        <w:footnoteReference w:id="40"/>
      </w:r>
    </w:p>
    <w:p w14:paraId="4B1FF1B6" w14:textId="2388BB32" w:rsidR="000C3927" w:rsidRDefault="000C3927" w:rsidP="00545171">
      <w:pPr>
        <w:jc w:val="both"/>
        <w:rPr>
          <w:rFonts w:ascii="Avenir Next" w:hAnsi="Avenir Next" w:cs="Arial"/>
          <w:color w:val="808080" w:themeColor="background1" w:themeShade="80"/>
          <w:sz w:val="22"/>
          <w:szCs w:val="22"/>
          <w:lang w:val="en-GB"/>
        </w:rPr>
      </w:pPr>
    </w:p>
    <w:p w14:paraId="4F822C1A" w14:textId="7F621CFB" w:rsidR="000C3927" w:rsidRDefault="000C3927" w:rsidP="005451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most common jurisdictions applying for said assistance is the Cayman Islands, which brought about the development of the “standard order” that a practitioner could expect to receive in relation to securing information or books and records from a Hong Kong resident.</w:t>
      </w:r>
      <w:r>
        <w:rPr>
          <w:rStyle w:val="FootnoteReference"/>
          <w:rFonts w:ascii="Avenir Next" w:hAnsi="Avenir Next" w:cs="Arial"/>
          <w:color w:val="808080" w:themeColor="background1" w:themeShade="80"/>
          <w:sz w:val="22"/>
          <w:szCs w:val="22"/>
          <w:lang w:val="en-GB"/>
        </w:rPr>
        <w:footnoteReference w:id="41"/>
      </w:r>
      <w:r>
        <w:rPr>
          <w:rFonts w:ascii="Avenir Next" w:hAnsi="Avenir Next" w:cs="Arial"/>
          <w:color w:val="808080" w:themeColor="background1" w:themeShade="80"/>
          <w:sz w:val="22"/>
          <w:szCs w:val="22"/>
          <w:lang w:val="en-GB"/>
        </w:rPr>
        <w:t xml:space="preserve"> </w:t>
      </w:r>
    </w:p>
    <w:p w14:paraId="71FEBA19" w14:textId="77777777" w:rsidR="000C3927" w:rsidRPr="003622FD" w:rsidRDefault="000C3927" w:rsidP="00545171">
      <w:pPr>
        <w:jc w:val="both"/>
        <w:rPr>
          <w:rFonts w:ascii="Avenir Next" w:hAnsi="Avenir Next" w:cs="Arial"/>
          <w:color w:val="808080" w:themeColor="background1" w:themeShade="80"/>
          <w:sz w:val="22"/>
          <w:szCs w:val="22"/>
          <w:lang w:val="en-GB"/>
        </w:rPr>
      </w:pPr>
    </w:p>
    <w:p w14:paraId="48294C24" w14:textId="77777777" w:rsidR="000C3927" w:rsidRDefault="000C3927" w:rsidP="000C392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a foreign liquidator to have standing to apply for said assistance/recognition, the foreign liquidation needs to either be conducted in the company’s COMI, or, in respect of the liquidation occurring only in the company’s place of incorporation, only limited assistance is required.</w:t>
      </w:r>
      <w:r>
        <w:rPr>
          <w:rStyle w:val="FootnoteReference"/>
          <w:rFonts w:ascii="Avenir Next" w:hAnsi="Avenir Next" w:cs="Arial"/>
          <w:color w:val="808080" w:themeColor="background1" w:themeShade="80"/>
          <w:sz w:val="22"/>
          <w:szCs w:val="22"/>
          <w:lang w:val="en-GB"/>
        </w:rPr>
        <w:footnoteReference w:id="42"/>
      </w:r>
    </w:p>
    <w:p w14:paraId="164F919E" w14:textId="4C05A5EE" w:rsidR="008C35C9" w:rsidRDefault="008C35C9" w:rsidP="008C35C9">
      <w:pPr>
        <w:jc w:val="both"/>
        <w:rPr>
          <w:rFonts w:ascii="Avenir Next" w:hAnsi="Avenir Next" w:cs="Arial"/>
          <w:sz w:val="22"/>
          <w:szCs w:val="22"/>
          <w:lang w:val="en-GB"/>
        </w:rPr>
      </w:pPr>
    </w:p>
    <w:p w14:paraId="538389FF" w14:textId="60AEA418" w:rsidR="008C35C9" w:rsidRDefault="00B57C0B" w:rsidP="008C35C9">
      <w:pPr>
        <w:jc w:val="both"/>
        <w:rPr>
          <w:rFonts w:ascii="Avenir Next" w:hAnsi="Avenir Next" w:cs="Arial"/>
          <w:sz w:val="22"/>
          <w:szCs w:val="22"/>
          <w:lang w:val="en-GB"/>
        </w:rPr>
      </w:pPr>
      <w:r>
        <w:rPr>
          <w:rFonts w:ascii="Avenir Next" w:hAnsi="Avenir Next" w:cs="Arial"/>
          <w:sz w:val="22"/>
          <w:szCs w:val="22"/>
          <w:lang w:val="en-GB"/>
        </w:rPr>
        <w:t>[sorry I could not provide more, I ran out of time].</w:t>
      </w:r>
    </w:p>
    <w:p w14:paraId="26DA188B" w14:textId="77777777" w:rsidR="00B57C0B" w:rsidRDefault="00B57C0B"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EA48DBE" w14:textId="72A30AFD" w:rsidR="008C35C9" w:rsidRDefault="00B57C0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Section 178 of CWUMPO provides the definition for inability to pay debts, which is also determined by reference to the cash flow text and balance sheet test.</w:t>
      </w:r>
      <w:r>
        <w:rPr>
          <w:rStyle w:val="FootnoteReference"/>
          <w:rFonts w:ascii="Avenir Next" w:hAnsi="Avenir Next" w:cs="Arial"/>
          <w:color w:val="808080" w:themeColor="background1" w:themeShade="80"/>
          <w:sz w:val="22"/>
          <w:szCs w:val="22"/>
          <w:lang w:val="en-GB"/>
        </w:rPr>
        <w:footnoteReference w:id="43"/>
      </w:r>
      <w:r>
        <w:rPr>
          <w:rFonts w:ascii="Avenir Next" w:hAnsi="Avenir Next" w:cs="Arial"/>
          <w:color w:val="808080" w:themeColor="background1" w:themeShade="80"/>
          <w:sz w:val="22"/>
          <w:szCs w:val="22"/>
          <w:lang w:val="en-GB"/>
        </w:rPr>
        <w:t xml:space="preserve"> An inability pay debts includes:</w:t>
      </w:r>
    </w:p>
    <w:p w14:paraId="73E9939A" w14:textId="62D07959" w:rsidR="00B57C0B" w:rsidRDefault="00B57C0B" w:rsidP="008C35C9">
      <w:pPr>
        <w:jc w:val="both"/>
        <w:rPr>
          <w:rFonts w:ascii="Avenir Next" w:hAnsi="Avenir Next" w:cs="Arial"/>
          <w:color w:val="808080" w:themeColor="background1" w:themeShade="80"/>
          <w:sz w:val="22"/>
          <w:szCs w:val="22"/>
          <w:lang w:val="en-GB"/>
        </w:rPr>
      </w:pPr>
    </w:p>
    <w:p w14:paraId="72CC35A7" w14:textId="6A52C767" w:rsidR="00B57C0B" w:rsidRDefault="00B57C0B" w:rsidP="00B57C0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written demand has been served on the company, for the specified amount of HKD 10,000 and 3 weeks (at least) has passed. Harrier could consider issuing such a demand, but it is unclear on the facts whether </w:t>
      </w:r>
      <w:r w:rsidR="00575E72">
        <w:rPr>
          <w:rFonts w:ascii="Avenir Next" w:hAnsi="Avenir Next" w:cs="Arial"/>
          <w:color w:val="808080" w:themeColor="background1" w:themeShade="80"/>
          <w:sz w:val="22"/>
          <w:szCs w:val="22"/>
          <w:lang w:val="en-GB"/>
        </w:rPr>
        <w:t>the sum of the invoices exceed HKD 10,000</w:t>
      </w:r>
      <w:r>
        <w:rPr>
          <w:rFonts w:ascii="Avenir Next" w:hAnsi="Avenir Next" w:cs="Arial"/>
          <w:color w:val="808080" w:themeColor="background1" w:themeShade="80"/>
          <w:sz w:val="22"/>
          <w:szCs w:val="22"/>
          <w:lang w:val="en-GB"/>
        </w:rPr>
        <w:t>;</w:t>
      </w:r>
    </w:p>
    <w:p w14:paraId="2AAAF7B3" w14:textId="71E388E3" w:rsidR="00B57C0B" w:rsidRDefault="00B57C0B" w:rsidP="00B57C0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execution of a judgment, decree or order in favour of the creditor is returned unsatisfied</w:t>
      </w:r>
      <w:r w:rsidR="00575E72">
        <w:rPr>
          <w:rFonts w:ascii="Avenir Next" w:hAnsi="Avenir Next" w:cs="Arial"/>
          <w:color w:val="808080" w:themeColor="background1" w:themeShade="80"/>
          <w:sz w:val="22"/>
          <w:szCs w:val="22"/>
          <w:lang w:val="en-GB"/>
        </w:rPr>
        <w:t>. It is unclear on the facts whether Harrier has already obtained judgment in relation to these unpaid invoices</w:t>
      </w:r>
      <w:r>
        <w:rPr>
          <w:rFonts w:ascii="Avenir Next" w:hAnsi="Avenir Next" w:cs="Arial"/>
          <w:color w:val="808080" w:themeColor="background1" w:themeShade="80"/>
          <w:sz w:val="22"/>
          <w:szCs w:val="22"/>
          <w:lang w:val="en-GB"/>
        </w:rPr>
        <w:t>; or</w:t>
      </w:r>
    </w:p>
    <w:p w14:paraId="0D858C36" w14:textId="1533BFC0" w:rsidR="00B57C0B" w:rsidRDefault="00B57C0B" w:rsidP="00B57C0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can be proved that the company cannot pay its debts.</w:t>
      </w:r>
      <w:r w:rsidR="00575E72">
        <w:rPr>
          <w:rFonts w:ascii="Avenir Next" w:hAnsi="Avenir Next" w:cs="Arial"/>
          <w:color w:val="808080" w:themeColor="background1" w:themeShade="80"/>
          <w:sz w:val="22"/>
          <w:szCs w:val="22"/>
          <w:lang w:val="en-GB"/>
        </w:rPr>
        <w:t xml:space="preserve"> Harrier could attempt to find out whether Lapwing has been unable to pay other creditors’ debts. In Australia, we can perform credit bureau checks, and even contact known suppliers of debtors. </w:t>
      </w:r>
    </w:p>
    <w:p w14:paraId="5BB39187" w14:textId="2D8D6D33" w:rsidR="00B57C0B" w:rsidRDefault="00B57C0B" w:rsidP="00B57C0B">
      <w:pPr>
        <w:jc w:val="both"/>
        <w:rPr>
          <w:rFonts w:ascii="Avenir Next" w:hAnsi="Avenir Next" w:cs="Arial"/>
          <w:color w:val="808080" w:themeColor="background1" w:themeShade="80"/>
          <w:sz w:val="22"/>
          <w:szCs w:val="22"/>
          <w:lang w:val="en-GB"/>
        </w:rPr>
      </w:pPr>
    </w:p>
    <w:p w14:paraId="25A31A71" w14:textId="1B270E57" w:rsidR="00B57C0B" w:rsidRDefault="00575E72" w:rsidP="00B57C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w:t>
      </w:r>
      <w:r w:rsidR="00B57C0B">
        <w:rPr>
          <w:rFonts w:ascii="Avenir Next" w:hAnsi="Avenir Next" w:cs="Arial"/>
          <w:color w:val="808080" w:themeColor="background1" w:themeShade="80"/>
          <w:sz w:val="22"/>
          <w:szCs w:val="22"/>
          <w:lang w:val="en-GB"/>
        </w:rPr>
        <w:t xml:space="preserve"> Harrier can show that Lapwing is unable to pay its debts within the meaning of s178, Harrier may apply for an order to compulsorily wind-up Lapwing under s177 of CWUMPO.</w:t>
      </w:r>
    </w:p>
    <w:p w14:paraId="445DD6E8" w14:textId="5F0A4EB5" w:rsidR="00575E72" w:rsidRDefault="00575E72" w:rsidP="00B57C0B">
      <w:pPr>
        <w:jc w:val="both"/>
        <w:rPr>
          <w:rFonts w:ascii="Avenir Next" w:hAnsi="Avenir Next" w:cs="Arial"/>
          <w:color w:val="808080" w:themeColor="background1" w:themeShade="80"/>
          <w:sz w:val="22"/>
          <w:szCs w:val="22"/>
          <w:lang w:val="en-GB"/>
        </w:rPr>
      </w:pPr>
    </w:p>
    <w:p w14:paraId="297A5A16" w14:textId="29DE67CB" w:rsidR="00575E72" w:rsidRPr="00B57C0B" w:rsidRDefault="00575E72" w:rsidP="00B57C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Lapwing can attempt to injunct Harrier’s application if it can show that it has a valid defence/dispute to the claim. Lapwing would need to adduce, in writing and within 7 days, evidence of its dispute, including evidence of its solvency. Harrier should, before proceeding with the petition, obtain as much information as reasonably practicable from Lapwing in relation to the nature of its dispute with the invoices and the veracity of same. </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1826FE4" w:rsidR="00241FA3" w:rsidRPr="00CB75C5" w:rsidRDefault="006644A4" w:rsidP="009B4976">
    <w:pPr>
      <w:pStyle w:val="Footer"/>
      <w:ind w:right="360"/>
      <w:rPr>
        <w:rFonts w:ascii="Avenir Next" w:hAnsi="Avenir Next" w:cs="Arial"/>
        <w:sz w:val="18"/>
        <w:szCs w:val="18"/>
        <w:lang w:val="en-GB"/>
      </w:rPr>
    </w:pPr>
    <w:r>
      <w:rPr>
        <w:rFonts w:ascii="Avenir Next" w:hAnsi="Avenir Next" w:cs="Arial"/>
        <w:sz w:val="18"/>
        <w:szCs w:val="18"/>
        <w:lang w:val="en-GB"/>
      </w:rPr>
      <w:t>202122-595</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 w:id="1">
    <w:p w14:paraId="622D6040" w14:textId="0A2A0194" w:rsidR="003A3FA5" w:rsidRPr="003A3FA5" w:rsidRDefault="003A3FA5">
      <w:pPr>
        <w:pStyle w:val="FootnoteText"/>
        <w:rPr>
          <w:lang w:val="en-AU"/>
        </w:rPr>
      </w:pPr>
      <w:r>
        <w:rPr>
          <w:rStyle w:val="FootnoteReference"/>
        </w:rPr>
        <w:footnoteRef/>
      </w:r>
      <w:r>
        <w:t xml:space="preserve"> Where it cannot pay its debts when due: se</w:t>
      </w:r>
      <w:r>
        <w:rPr>
          <w:lang w:val="en-AU"/>
        </w:rPr>
        <w:t>ction 266A(2) of CWUMPO.</w:t>
      </w:r>
    </w:p>
  </w:footnote>
  <w:footnote w:id="2">
    <w:p w14:paraId="41F4AEA5" w14:textId="1B215ECB" w:rsidR="003A3FA5" w:rsidRPr="003A3FA5" w:rsidRDefault="003A3FA5">
      <w:pPr>
        <w:pStyle w:val="FootnoteText"/>
        <w:rPr>
          <w:lang w:val="en-AU"/>
        </w:rPr>
      </w:pPr>
      <w:r>
        <w:rPr>
          <w:rStyle w:val="FootnoteReference"/>
        </w:rPr>
        <w:footnoteRef/>
      </w:r>
      <w:r>
        <w:t xml:space="preserve"> </w:t>
      </w:r>
      <w:r>
        <w:rPr>
          <w:lang w:val="en-AU"/>
        </w:rPr>
        <w:t>Section 266B(1)(c) of CWUMPO.</w:t>
      </w:r>
    </w:p>
  </w:footnote>
  <w:footnote w:id="3">
    <w:p w14:paraId="56CC4C84" w14:textId="482004A1" w:rsidR="005A0C1A" w:rsidRPr="005A0C1A" w:rsidRDefault="005A0C1A">
      <w:pPr>
        <w:pStyle w:val="FootnoteText"/>
        <w:rPr>
          <w:lang w:val="en-AU"/>
        </w:rPr>
      </w:pPr>
      <w:r>
        <w:rPr>
          <w:rStyle w:val="FootnoteReference"/>
        </w:rPr>
        <w:footnoteRef/>
      </w:r>
      <w:r>
        <w:t xml:space="preserve"> </w:t>
      </w:r>
      <w:r>
        <w:rPr>
          <w:lang w:val="en-AU"/>
        </w:rPr>
        <w:t>Re MC Bacon [1990] BCLC 324.</w:t>
      </w:r>
    </w:p>
  </w:footnote>
  <w:footnote w:id="4">
    <w:p w14:paraId="62F90A46" w14:textId="5C5CA9FF" w:rsidR="00B11A5E" w:rsidRPr="00B11A5E" w:rsidRDefault="00B11A5E">
      <w:pPr>
        <w:pStyle w:val="FootnoteText"/>
        <w:rPr>
          <w:lang w:val="en-AU"/>
        </w:rPr>
      </w:pPr>
      <w:r>
        <w:rPr>
          <w:rStyle w:val="FootnoteReference"/>
        </w:rPr>
        <w:footnoteRef/>
      </w:r>
      <w:r>
        <w:t xml:space="preserve"> </w:t>
      </w:r>
      <w:r>
        <w:rPr>
          <w:lang w:val="en-AU"/>
        </w:rPr>
        <w:t xml:space="preserve">See </w:t>
      </w:r>
      <w:r w:rsidRPr="00BF36FD">
        <w:rPr>
          <w:i/>
          <w:iCs/>
          <w:lang w:val="en-AU"/>
        </w:rPr>
        <w:t>Re Zhaoheng Hydropower (Hong Kong) Ltd</w:t>
      </w:r>
      <w:r>
        <w:rPr>
          <w:lang w:val="en-AU"/>
        </w:rPr>
        <w:t xml:space="preserve"> [2022] HKCFI 248.</w:t>
      </w:r>
    </w:p>
  </w:footnote>
  <w:footnote w:id="5">
    <w:p w14:paraId="139741D9" w14:textId="3BED38B5" w:rsidR="0090691D" w:rsidRPr="0090691D" w:rsidRDefault="0090691D">
      <w:pPr>
        <w:pStyle w:val="FootnoteText"/>
        <w:rPr>
          <w:lang w:val="en-AU"/>
        </w:rPr>
      </w:pPr>
      <w:r>
        <w:rPr>
          <w:rStyle w:val="FootnoteReference"/>
        </w:rPr>
        <w:footnoteRef/>
      </w:r>
      <w:r>
        <w:t xml:space="preserve"> </w:t>
      </w:r>
      <w:r>
        <w:rPr>
          <w:lang w:val="en-AU"/>
        </w:rPr>
        <w:t>Section 327(2) of CWUMPO.</w:t>
      </w:r>
    </w:p>
  </w:footnote>
  <w:footnote w:id="6">
    <w:p w14:paraId="5E5AAFD9" w14:textId="4AEF5EA0" w:rsidR="0090691D" w:rsidRPr="0090691D" w:rsidRDefault="0090691D">
      <w:pPr>
        <w:pStyle w:val="FootnoteText"/>
        <w:rPr>
          <w:lang w:val="en-AU"/>
        </w:rPr>
      </w:pPr>
      <w:r>
        <w:rPr>
          <w:rStyle w:val="FootnoteReference"/>
        </w:rPr>
        <w:footnoteRef/>
      </w:r>
      <w:r>
        <w:t xml:space="preserve"> </w:t>
      </w:r>
      <w:r>
        <w:rPr>
          <w:lang w:val="en-AU"/>
        </w:rPr>
        <w:t>Section 327(3) of CWUMPO.</w:t>
      </w:r>
    </w:p>
  </w:footnote>
  <w:footnote w:id="7">
    <w:p w14:paraId="38DAB408" w14:textId="77777777" w:rsidR="00F73CB6" w:rsidRPr="0090691D" w:rsidRDefault="00F73CB6" w:rsidP="00F73CB6">
      <w:pPr>
        <w:pStyle w:val="FootnoteText"/>
        <w:rPr>
          <w:lang w:val="en-AU"/>
        </w:rPr>
      </w:pPr>
      <w:r>
        <w:rPr>
          <w:rStyle w:val="FootnoteReference"/>
        </w:rPr>
        <w:footnoteRef/>
      </w:r>
      <w:r>
        <w:t xml:space="preserve"> </w:t>
      </w:r>
      <w:r>
        <w:rPr>
          <w:lang w:val="en-AU"/>
        </w:rPr>
        <w:t>This is defined by s327(4) of CWUMPO.</w:t>
      </w:r>
    </w:p>
  </w:footnote>
  <w:footnote w:id="8">
    <w:p w14:paraId="335C6505" w14:textId="2E3E0154" w:rsidR="00F73CB6" w:rsidRPr="00F73CB6" w:rsidRDefault="00F73CB6">
      <w:pPr>
        <w:pStyle w:val="FootnoteText"/>
        <w:rPr>
          <w:lang w:val="en-AU"/>
        </w:rPr>
      </w:pPr>
      <w:r>
        <w:rPr>
          <w:rStyle w:val="FootnoteReference"/>
        </w:rPr>
        <w:footnoteRef/>
      </w:r>
      <w:r>
        <w:t xml:space="preserve"> </w:t>
      </w:r>
      <w:r>
        <w:rPr>
          <w:lang w:val="en-AU"/>
        </w:rPr>
        <w:t>Sections 327(5) and 327(6) of CWUMPO.</w:t>
      </w:r>
    </w:p>
  </w:footnote>
  <w:footnote w:id="9">
    <w:p w14:paraId="0CAC9E39" w14:textId="7C382AD7" w:rsidR="00F73CB6" w:rsidRPr="00F73CB6" w:rsidRDefault="00F73CB6">
      <w:pPr>
        <w:pStyle w:val="FootnoteText"/>
        <w:rPr>
          <w:lang w:val="en-AU"/>
        </w:rPr>
      </w:pPr>
      <w:r>
        <w:rPr>
          <w:rStyle w:val="FootnoteReference"/>
        </w:rPr>
        <w:footnoteRef/>
      </w:r>
      <w:r>
        <w:t xml:space="preserve"> </w:t>
      </w:r>
      <w:r w:rsidRPr="00F73CB6">
        <w:rPr>
          <w:i/>
          <w:iCs/>
          <w:lang w:val="en-AU"/>
        </w:rPr>
        <w:t>Kam Leung Sui Kwan v Kam Kwan Lai and Others</w:t>
      </w:r>
      <w:r>
        <w:rPr>
          <w:lang w:val="en-AU"/>
        </w:rPr>
        <w:t xml:space="preserve"> (2015) 18 HKCFAR 501.</w:t>
      </w:r>
    </w:p>
  </w:footnote>
  <w:footnote w:id="10">
    <w:p w14:paraId="333E5694" w14:textId="14D4EA9D" w:rsidR="00F73CB6" w:rsidRPr="00F73CB6" w:rsidRDefault="00F73CB6">
      <w:pPr>
        <w:pStyle w:val="FootnoteText"/>
        <w:rPr>
          <w:lang w:val="en-AU"/>
        </w:rPr>
      </w:pPr>
      <w:r>
        <w:rPr>
          <w:rStyle w:val="FootnoteReference"/>
        </w:rPr>
        <w:footnoteRef/>
      </w:r>
      <w:r>
        <w:t xml:space="preserve"> </w:t>
      </w:r>
      <w:r>
        <w:rPr>
          <w:lang w:val="en-AU"/>
        </w:rPr>
        <w:t xml:space="preserve">Even if post-petition the connection ceases to exist: </w:t>
      </w:r>
      <w:r w:rsidRPr="00F73CB6">
        <w:rPr>
          <w:i/>
          <w:iCs/>
          <w:lang w:val="en-AU"/>
        </w:rPr>
        <w:t>Penta Investment Advisers v Allied Weli Development Ltd</w:t>
      </w:r>
      <w:r>
        <w:rPr>
          <w:lang w:val="en-AU"/>
        </w:rPr>
        <w:t xml:space="preserve"> [2017] HKEC 1475.</w:t>
      </w:r>
    </w:p>
  </w:footnote>
  <w:footnote w:id="11">
    <w:p w14:paraId="6989CCD8" w14:textId="4B7066CF" w:rsidR="00F73CB6" w:rsidRPr="00F73CB6" w:rsidRDefault="00F73CB6">
      <w:pPr>
        <w:pStyle w:val="FootnoteText"/>
        <w:rPr>
          <w:lang w:val="en-AU"/>
        </w:rPr>
      </w:pPr>
      <w:r>
        <w:rPr>
          <w:rStyle w:val="FootnoteReference"/>
        </w:rPr>
        <w:footnoteRef/>
      </w:r>
      <w:r>
        <w:t xml:space="preserve"> </w:t>
      </w:r>
      <w:r w:rsidRPr="00F73CB6">
        <w:rPr>
          <w:i/>
          <w:iCs/>
          <w:lang w:val="en-AU"/>
        </w:rPr>
        <w:t>Excellent Asia (BVI) Limited v Mas Media Group Ltd</w:t>
      </w:r>
      <w:r>
        <w:rPr>
          <w:lang w:val="en-AU"/>
        </w:rPr>
        <w:t xml:space="preserve"> [2021] HKCFI 3605.</w:t>
      </w:r>
    </w:p>
  </w:footnote>
  <w:footnote w:id="12">
    <w:p w14:paraId="6E7B26FC" w14:textId="46709541" w:rsidR="00F73CB6" w:rsidRPr="00F73CB6" w:rsidRDefault="00F73CB6">
      <w:pPr>
        <w:pStyle w:val="FootnoteText"/>
        <w:rPr>
          <w:lang w:val="en-AU"/>
        </w:rPr>
      </w:pPr>
      <w:r>
        <w:rPr>
          <w:rStyle w:val="FootnoteReference"/>
        </w:rPr>
        <w:footnoteRef/>
      </w:r>
      <w:r>
        <w:t xml:space="preserve"> </w:t>
      </w:r>
      <w:r w:rsidRPr="00F73CB6">
        <w:rPr>
          <w:i/>
          <w:iCs/>
          <w:lang w:val="en-AU"/>
        </w:rPr>
        <w:t>Re Irish Shipping Ltd</w:t>
      </w:r>
      <w:r>
        <w:rPr>
          <w:lang w:val="en-AU"/>
        </w:rPr>
        <w:t xml:space="preserve"> [1985] HKLR 437.</w:t>
      </w:r>
    </w:p>
  </w:footnote>
  <w:footnote w:id="13">
    <w:p w14:paraId="5CA3D38F" w14:textId="166D579C" w:rsidR="007E1A40" w:rsidRPr="007E1A40" w:rsidRDefault="007E1A40">
      <w:pPr>
        <w:pStyle w:val="FootnoteText"/>
        <w:rPr>
          <w:lang w:val="en-AU"/>
        </w:rPr>
      </w:pPr>
      <w:r>
        <w:rPr>
          <w:rStyle w:val="FootnoteReference"/>
        </w:rPr>
        <w:footnoteRef/>
      </w:r>
      <w:r>
        <w:t xml:space="preserve"> </w:t>
      </w:r>
      <w:r>
        <w:rPr>
          <w:lang w:val="en-AU"/>
        </w:rPr>
        <w:t>Ibid.</w:t>
      </w:r>
    </w:p>
  </w:footnote>
  <w:footnote w:id="14">
    <w:p w14:paraId="10DDEF1C" w14:textId="3BC6B42E" w:rsidR="007E1A40" w:rsidRPr="007E1A40" w:rsidRDefault="007E1A40">
      <w:pPr>
        <w:pStyle w:val="FootnoteText"/>
        <w:rPr>
          <w:lang w:val="en-AU"/>
        </w:rPr>
      </w:pPr>
      <w:r>
        <w:rPr>
          <w:rStyle w:val="FootnoteReference"/>
        </w:rPr>
        <w:footnoteRef/>
      </w:r>
      <w:r>
        <w:t xml:space="preserve"> </w:t>
      </w:r>
      <w:r w:rsidRPr="007E1A40">
        <w:rPr>
          <w:i/>
          <w:iCs/>
          <w:lang w:val="en-AU"/>
        </w:rPr>
        <w:t>China Huiyan Juice Group Limited</w:t>
      </w:r>
      <w:r>
        <w:rPr>
          <w:lang w:val="en-AU"/>
        </w:rPr>
        <w:t xml:space="preserve"> [2020] HKCFI 2940.</w:t>
      </w:r>
    </w:p>
  </w:footnote>
  <w:footnote w:id="15">
    <w:p w14:paraId="05171071" w14:textId="4BB668F7" w:rsidR="007E1A40" w:rsidRPr="007E1A40" w:rsidRDefault="007E1A40">
      <w:pPr>
        <w:pStyle w:val="FootnoteText"/>
        <w:rPr>
          <w:lang w:val="en-AU"/>
        </w:rPr>
      </w:pPr>
      <w:r>
        <w:rPr>
          <w:rStyle w:val="FootnoteReference"/>
        </w:rPr>
        <w:footnoteRef/>
      </w:r>
      <w:r>
        <w:t xml:space="preserve"> </w:t>
      </w:r>
      <w:r>
        <w:rPr>
          <w:lang w:val="en-AU"/>
        </w:rPr>
        <w:t xml:space="preserve">The possibility was be real, rather than merely theoretical: </w:t>
      </w:r>
      <w:r w:rsidRPr="007E1A40">
        <w:rPr>
          <w:i/>
          <w:iCs/>
          <w:lang w:val="en-AU"/>
        </w:rPr>
        <w:t>Re Carnival Group International Holdings Limited</w:t>
      </w:r>
      <w:r>
        <w:rPr>
          <w:lang w:val="en-AU"/>
        </w:rPr>
        <w:t xml:space="preserve"> [2022] HKCFI 2668.</w:t>
      </w:r>
    </w:p>
  </w:footnote>
  <w:footnote w:id="16">
    <w:p w14:paraId="15BA0B67" w14:textId="5F172B37" w:rsidR="007E1A40" w:rsidRPr="007E1A40" w:rsidRDefault="007E1A40">
      <w:pPr>
        <w:pStyle w:val="FootnoteText"/>
        <w:rPr>
          <w:lang w:val="en-AU"/>
        </w:rPr>
      </w:pPr>
      <w:r>
        <w:rPr>
          <w:rStyle w:val="FootnoteReference"/>
        </w:rPr>
        <w:footnoteRef/>
      </w:r>
      <w:r>
        <w:t xml:space="preserve"> </w:t>
      </w:r>
      <w:r w:rsidRPr="007E1A40">
        <w:rPr>
          <w:i/>
          <w:iCs/>
          <w:lang w:val="en-AU"/>
        </w:rPr>
        <w:t>Shandong Chenming Paper Holdings Ltd v Arjowiggins HKK2 Ltd</w:t>
      </w:r>
      <w:r>
        <w:rPr>
          <w:lang w:val="en-AU"/>
        </w:rPr>
        <w:t xml:space="preserve"> [2022] HKCFA 11.</w:t>
      </w:r>
    </w:p>
  </w:footnote>
  <w:footnote w:id="17">
    <w:p w14:paraId="4094A10F" w14:textId="6693D978" w:rsidR="00713B2F" w:rsidRPr="00713B2F" w:rsidRDefault="00713B2F">
      <w:pPr>
        <w:pStyle w:val="FootnoteText"/>
        <w:rPr>
          <w:lang w:val="en-AU"/>
        </w:rPr>
      </w:pPr>
      <w:r>
        <w:rPr>
          <w:rStyle w:val="FootnoteReference"/>
        </w:rPr>
        <w:footnoteRef/>
      </w:r>
      <w:r>
        <w:t xml:space="preserve"> </w:t>
      </w:r>
      <w:r w:rsidRPr="00F73CB6">
        <w:rPr>
          <w:i/>
          <w:iCs/>
          <w:lang w:val="en-AU"/>
        </w:rPr>
        <w:t>Excellent Asia (BVI) Limited v Mas Media Group Ltd</w:t>
      </w:r>
      <w:r>
        <w:rPr>
          <w:lang w:val="en-AU"/>
        </w:rPr>
        <w:t xml:space="preserve"> [2021] HKCFI 3605.</w:t>
      </w:r>
    </w:p>
  </w:footnote>
  <w:footnote w:id="18">
    <w:p w14:paraId="7A60D9D4" w14:textId="2E546E99" w:rsidR="00713B2F" w:rsidRPr="00713B2F" w:rsidRDefault="00713B2F">
      <w:pPr>
        <w:pStyle w:val="FootnoteText"/>
        <w:rPr>
          <w:lang w:val="en-AU"/>
        </w:rPr>
      </w:pPr>
      <w:r>
        <w:rPr>
          <w:rStyle w:val="FootnoteReference"/>
        </w:rPr>
        <w:footnoteRef/>
      </w:r>
      <w:r>
        <w:t xml:space="preserve"> </w:t>
      </w:r>
      <w:r w:rsidRPr="00713B2F">
        <w:rPr>
          <w:i/>
          <w:iCs/>
          <w:lang w:val="en-AU"/>
        </w:rPr>
        <w:t>Re China Medical</w:t>
      </w:r>
      <w:r>
        <w:rPr>
          <w:lang w:val="en-AU"/>
        </w:rPr>
        <w:t xml:space="preserve"> [2018] HKCA 111.</w:t>
      </w:r>
    </w:p>
  </w:footnote>
  <w:footnote w:id="19">
    <w:p w14:paraId="277584AB" w14:textId="6B2401CB" w:rsidR="00BF36FD" w:rsidRPr="00BF36FD" w:rsidRDefault="00BF36FD">
      <w:pPr>
        <w:pStyle w:val="FootnoteText"/>
        <w:rPr>
          <w:lang w:val="en-AU"/>
        </w:rPr>
      </w:pPr>
      <w:r>
        <w:rPr>
          <w:rStyle w:val="FootnoteReference"/>
        </w:rPr>
        <w:footnoteRef/>
      </w:r>
      <w:r>
        <w:t xml:space="preserve"> </w:t>
      </w:r>
      <w:r w:rsidRPr="00134FDE">
        <w:rPr>
          <w:i/>
          <w:iCs/>
          <w:lang w:val="en-AU"/>
        </w:rPr>
        <w:t>Paloma Co Ltd v Capxon Electronic Industrial Co Ltd</w:t>
      </w:r>
      <w:r>
        <w:rPr>
          <w:lang w:val="en-AU"/>
        </w:rPr>
        <w:t xml:space="preserve"> [2020] HKCFI 754.</w:t>
      </w:r>
    </w:p>
  </w:footnote>
  <w:footnote w:id="20">
    <w:p w14:paraId="1D2205C6" w14:textId="66522027" w:rsidR="00134FDE" w:rsidRPr="00134FDE" w:rsidRDefault="00134FDE">
      <w:pPr>
        <w:pStyle w:val="FootnoteText"/>
        <w:rPr>
          <w:lang w:val="en-AU"/>
        </w:rPr>
      </w:pPr>
      <w:r>
        <w:rPr>
          <w:rStyle w:val="FootnoteReference"/>
        </w:rPr>
        <w:footnoteRef/>
      </w:r>
      <w:r>
        <w:t xml:space="preserve"> </w:t>
      </w:r>
      <w:r w:rsidRPr="001328A9">
        <w:rPr>
          <w:i/>
          <w:iCs/>
          <w:lang w:val="en-AU"/>
        </w:rPr>
        <w:t>Re China Singyes Solar Technologies Holdings Ltd</w:t>
      </w:r>
      <w:r>
        <w:rPr>
          <w:lang w:val="en-AU"/>
        </w:rPr>
        <w:t xml:space="preserve"> [2020] HKCFI 467.</w:t>
      </w:r>
    </w:p>
  </w:footnote>
  <w:footnote w:id="21">
    <w:p w14:paraId="363FC60D" w14:textId="385AF8DE" w:rsidR="00846F2E" w:rsidRPr="00846F2E" w:rsidRDefault="00846F2E">
      <w:pPr>
        <w:pStyle w:val="FootnoteText"/>
        <w:rPr>
          <w:lang w:val="en-AU"/>
        </w:rPr>
      </w:pPr>
      <w:r>
        <w:rPr>
          <w:rStyle w:val="FootnoteReference"/>
        </w:rPr>
        <w:footnoteRef/>
      </w:r>
      <w:r>
        <w:t xml:space="preserve"> </w:t>
      </w:r>
      <w:r w:rsidR="00BF36FD" w:rsidRPr="00BF36FD">
        <w:rPr>
          <w:i/>
          <w:iCs/>
        </w:rPr>
        <w:t>Credit Lyonnais v SK Global Hong Kong Ltd</w:t>
      </w:r>
      <w:r w:rsidR="00BF36FD">
        <w:t xml:space="preserve"> [2003] HKCU 904.</w:t>
      </w:r>
    </w:p>
  </w:footnote>
  <w:footnote w:id="22">
    <w:p w14:paraId="50965F7A" w14:textId="58D701E6" w:rsidR="00BF36FD" w:rsidRPr="00BF36FD" w:rsidRDefault="00BF36FD">
      <w:pPr>
        <w:pStyle w:val="FootnoteText"/>
        <w:rPr>
          <w:lang w:val="en-AU"/>
        </w:rPr>
      </w:pPr>
      <w:r>
        <w:rPr>
          <w:rStyle w:val="FootnoteReference"/>
        </w:rPr>
        <w:footnoteRef/>
      </w:r>
      <w:r>
        <w:t xml:space="preserve"> </w:t>
      </w:r>
      <w:r w:rsidRPr="00BF36FD">
        <w:rPr>
          <w:i/>
          <w:iCs/>
          <w:lang w:val="en-AU"/>
        </w:rPr>
        <w:t>Eastman Chemical Ltd v Heyro Chemical Co Ltd</w:t>
      </w:r>
      <w:r>
        <w:rPr>
          <w:lang w:val="en-AU"/>
        </w:rPr>
        <w:t xml:space="preserve"> [2012] HKEC 272.</w:t>
      </w:r>
    </w:p>
  </w:footnote>
  <w:footnote w:id="23">
    <w:p w14:paraId="79A92407" w14:textId="119E1E3C" w:rsidR="00134FDE" w:rsidRPr="00134FDE" w:rsidRDefault="00134FDE">
      <w:pPr>
        <w:pStyle w:val="FootnoteText"/>
        <w:rPr>
          <w:lang w:val="en-AU"/>
        </w:rPr>
      </w:pPr>
      <w:r>
        <w:rPr>
          <w:rStyle w:val="FootnoteReference"/>
        </w:rPr>
        <w:footnoteRef/>
      </w:r>
      <w:r>
        <w:t xml:space="preserve"> </w:t>
      </w:r>
      <w:r w:rsidRPr="001328A9">
        <w:rPr>
          <w:i/>
          <w:iCs/>
          <w:lang w:val="en-AU"/>
        </w:rPr>
        <w:t>Re China Singyes Solar Technologies Holdings Ltd</w:t>
      </w:r>
      <w:r>
        <w:rPr>
          <w:lang w:val="en-AU"/>
        </w:rPr>
        <w:t xml:space="preserve"> [2020] HKCFI 467, 7.</w:t>
      </w:r>
    </w:p>
  </w:footnote>
  <w:footnote w:id="24">
    <w:p w14:paraId="27FAA26F" w14:textId="07D8ACA9" w:rsidR="001328A9" w:rsidRPr="001328A9" w:rsidRDefault="001328A9">
      <w:pPr>
        <w:pStyle w:val="FootnoteText"/>
        <w:rPr>
          <w:lang w:val="en-AU"/>
        </w:rPr>
      </w:pPr>
      <w:r>
        <w:rPr>
          <w:rStyle w:val="FootnoteReference"/>
        </w:rPr>
        <w:footnoteRef/>
      </w:r>
      <w:r>
        <w:t xml:space="preserve"> </w:t>
      </w:r>
      <w:r w:rsidRPr="001328A9">
        <w:rPr>
          <w:highlight w:val="yellow"/>
        </w:rPr>
        <w:t>A Co v B [2014].</w:t>
      </w:r>
    </w:p>
  </w:footnote>
  <w:footnote w:id="25">
    <w:p w14:paraId="405116BF" w14:textId="453A69E0" w:rsidR="001328A9" w:rsidRPr="001328A9" w:rsidRDefault="001328A9">
      <w:pPr>
        <w:pStyle w:val="FootnoteText"/>
        <w:rPr>
          <w:lang w:val="en-AU"/>
        </w:rPr>
      </w:pPr>
      <w:r>
        <w:rPr>
          <w:rStyle w:val="FootnoteReference"/>
        </w:rPr>
        <w:footnoteRef/>
      </w:r>
      <w:r>
        <w:t xml:space="preserve"> </w:t>
      </w:r>
      <w:r w:rsidRPr="001328A9">
        <w:rPr>
          <w:i/>
          <w:iCs/>
          <w:lang w:val="en-AU"/>
        </w:rPr>
        <w:t>The Joint Administrators of African Minerals Limited (in administration) v Madison Pacific Trust Limited &amp; Shandong Steel Hong Kong Zengli Limited</w:t>
      </w:r>
      <w:r>
        <w:rPr>
          <w:lang w:val="en-AU"/>
        </w:rPr>
        <w:t xml:space="preserve"> [2015] 4 HKC 215.</w:t>
      </w:r>
    </w:p>
  </w:footnote>
  <w:footnote w:id="26">
    <w:p w14:paraId="5D9F3206" w14:textId="53875917" w:rsidR="003622FD" w:rsidRPr="003622FD" w:rsidRDefault="003622FD">
      <w:pPr>
        <w:pStyle w:val="FootnoteText"/>
        <w:rPr>
          <w:lang w:val="en-AU"/>
        </w:rPr>
      </w:pPr>
      <w:r>
        <w:rPr>
          <w:rStyle w:val="FootnoteReference"/>
        </w:rPr>
        <w:footnoteRef/>
      </w:r>
      <w:r>
        <w:t xml:space="preserve"> </w:t>
      </w:r>
      <w:r w:rsidRPr="003622FD">
        <w:rPr>
          <w:i/>
          <w:iCs/>
          <w:highlight w:val="yellow"/>
          <w:lang w:val="en-AU"/>
        </w:rPr>
        <w:t>Re Global Brands</w:t>
      </w:r>
      <w:r w:rsidRPr="003622FD">
        <w:rPr>
          <w:highlight w:val="yellow"/>
          <w:lang w:val="en-AU"/>
        </w:rPr>
        <w:t>.</w:t>
      </w:r>
    </w:p>
  </w:footnote>
  <w:footnote w:id="27">
    <w:p w14:paraId="23A99789" w14:textId="0502355E" w:rsidR="006D3CBE" w:rsidRPr="006D3CBE" w:rsidRDefault="006D3CBE">
      <w:pPr>
        <w:pStyle w:val="FootnoteText"/>
        <w:rPr>
          <w:lang w:val="en-AU"/>
        </w:rPr>
      </w:pPr>
      <w:r>
        <w:rPr>
          <w:rStyle w:val="FootnoteReference"/>
        </w:rPr>
        <w:footnoteRef/>
      </w:r>
      <w:r>
        <w:t xml:space="preserve"> </w:t>
      </w:r>
      <w:r w:rsidRPr="006D3CBE">
        <w:rPr>
          <w:i/>
          <w:iCs/>
          <w:lang w:val="en-AU"/>
        </w:rPr>
        <w:t>Re Irish Shipping</w:t>
      </w:r>
      <w:r>
        <w:rPr>
          <w:lang w:val="en-AU"/>
        </w:rPr>
        <w:t xml:space="preserve"> [1985] HKLR 437.</w:t>
      </w:r>
    </w:p>
  </w:footnote>
  <w:footnote w:id="28">
    <w:p w14:paraId="63BDE063" w14:textId="310BD94B" w:rsidR="006D3CBE" w:rsidRPr="006D3CBE" w:rsidRDefault="006D3CBE">
      <w:pPr>
        <w:pStyle w:val="FootnoteText"/>
        <w:rPr>
          <w:lang w:val="en-AU"/>
        </w:rPr>
      </w:pPr>
      <w:r>
        <w:rPr>
          <w:rStyle w:val="FootnoteReference"/>
        </w:rPr>
        <w:footnoteRef/>
      </w:r>
      <w:r>
        <w:t xml:space="preserve"> </w:t>
      </w:r>
      <w:r w:rsidRPr="006D3CBE">
        <w:rPr>
          <w:i/>
          <w:iCs/>
          <w:lang w:val="en-AU"/>
        </w:rPr>
        <w:t>Re Seahawk China Dynamic Fund</w:t>
      </w:r>
      <w:r>
        <w:rPr>
          <w:lang w:val="en-AU"/>
        </w:rPr>
        <w:t xml:space="preserve"> [2022] HKCFI 1994.</w:t>
      </w:r>
    </w:p>
  </w:footnote>
  <w:footnote w:id="29">
    <w:p w14:paraId="3550C345" w14:textId="0736A4DB" w:rsidR="00AA5A28" w:rsidRPr="00AA5A28" w:rsidRDefault="00AA5A28">
      <w:pPr>
        <w:pStyle w:val="FootnoteText"/>
        <w:rPr>
          <w:lang w:val="en-AU"/>
        </w:rPr>
      </w:pPr>
      <w:r>
        <w:rPr>
          <w:rStyle w:val="FootnoteReference"/>
        </w:rPr>
        <w:footnoteRef/>
      </w:r>
      <w:r>
        <w:t xml:space="preserve"> </w:t>
      </w:r>
      <w:r w:rsidRPr="00AA5A28">
        <w:rPr>
          <w:i/>
          <w:iCs/>
          <w:lang w:val="en-AU"/>
        </w:rPr>
        <w:t>Re Good Success Catering Group Ltd</w:t>
      </w:r>
      <w:r>
        <w:rPr>
          <w:lang w:val="en-AU"/>
        </w:rPr>
        <w:t xml:space="preserve"> [2007] 1 HKLRD 453. </w:t>
      </w:r>
    </w:p>
  </w:footnote>
  <w:footnote w:id="30">
    <w:p w14:paraId="3CC47819" w14:textId="367BAB55" w:rsidR="00AA2A20" w:rsidRPr="00AA2A20" w:rsidRDefault="00AA2A20">
      <w:pPr>
        <w:pStyle w:val="FootnoteText"/>
        <w:rPr>
          <w:lang w:val="en-AU"/>
        </w:rPr>
      </w:pPr>
      <w:r>
        <w:rPr>
          <w:rStyle w:val="FootnoteReference"/>
        </w:rPr>
        <w:footnoteRef/>
      </w:r>
      <w:r>
        <w:t xml:space="preserve"> </w:t>
      </w:r>
      <w:r>
        <w:rPr>
          <w:lang w:val="en-AU"/>
        </w:rPr>
        <w:t>Section 265(4) of CWUMPO.</w:t>
      </w:r>
    </w:p>
  </w:footnote>
  <w:footnote w:id="31">
    <w:p w14:paraId="62F40BC7" w14:textId="2CA28980" w:rsidR="00545171" w:rsidRPr="00545171" w:rsidRDefault="00545171">
      <w:pPr>
        <w:pStyle w:val="FootnoteText"/>
        <w:rPr>
          <w:lang w:val="en-AU"/>
        </w:rPr>
      </w:pPr>
      <w:r>
        <w:rPr>
          <w:rStyle w:val="FootnoteReference"/>
        </w:rPr>
        <w:footnoteRef/>
      </w:r>
      <w:r>
        <w:t xml:space="preserve"> </w:t>
      </w:r>
      <w:r>
        <w:rPr>
          <w:lang w:val="en-AU"/>
        </w:rPr>
        <w:t>Section 265(1)(d) of CWUMPO.</w:t>
      </w:r>
    </w:p>
  </w:footnote>
  <w:footnote w:id="32">
    <w:p w14:paraId="131923AC" w14:textId="51E9AFA8" w:rsidR="00545171" w:rsidRPr="00545171" w:rsidRDefault="00545171">
      <w:pPr>
        <w:pStyle w:val="FootnoteText"/>
        <w:rPr>
          <w:lang w:val="en-AU"/>
        </w:rPr>
      </w:pPr>
      <w:r>
        <w:rPr>
          <w:rStyle w:val="FootnoteReference"/>
        </w:rPr>
        <w:footnoteRef/>
      </w:r>
      <w:r>
        <w:t xml:space="preserve"> </w:t>
      </w:r>
      <w:r>
        <w:rPr>
          <w:lang w:val="en-AU"/>
        </w:rPr>
        <w:t>Section 265(3B) of CWUMPO.</w:t>
      </w:r>
    </w:p>
  </w:footnote>
  <w:footnote w:id="33">
    <w:p w14:paraId="23581C29" w14:textId="77777777" w:rsidR="009C3A09" w:rsidRPr="003A3FA5" w:rsidRDefault="009C3A09" w:rsidP="009C3A09">
      <w:pPr>
        <w:pStyle w:val="FootnoteText"/>
        <w:rPr>
          <w:lang w:val="en-AU"/>
        </w:rPr>
      </w:pPr>
      <w:r>
        <w:rPr>
          <w:rStyle w:val="FootnoteReference"/>
        </w:rPr>
        <w:footnoteRef/>
      </w:r>
      <w:r>
        <w:t xml:space="preserve"> Where it cannot pay its debts when due: se</w:t>
      </w:r>
      <w:r>
        <w:rPr>
          <w:lang w:val="en-AU"/>
        </w:rPr>
        <w:t>ction 266A(2) of CWUMPO.</w:t>
      </w:r>
    </w:p>
  </w:footnote>
  <w:footnote w:id="34">
    <w:p w14:paraId="46AECCD1" w14:textId="77777777" w:rsidR="00AA2A20" w:rsidRPr="003A3FA5" w:rsidRDefault="00AA2A20" w:rsidP="00AA2A20">
      <w:pPr>
        <w:pStyle w:val="FootnoteText"/>
        <w:rPr>
          <w:lang w:val="en-AU"/>
        </w:rPr>
      </w:pPr>
      <w:r>
        <w:rPr>
          <w:rStyle w:val="FootnoteReference"/>
        </w:rPr>
        <w:footnoteRef/>
      </w:r>
      <w:r>
        <w:t xml:space="preserve"> Where it cannot pay its debts when due: se</w:t>
      </w:r>
      <w:r>
        <w:rPr>
          <w:lang w:val="en-AU"/>
        </w:rPr>
        <w:t>ction 266A(2) of CWUMPO.</w:t>
      </w:r>
    </w:p>
  </w:footnote>
  <w:footnote w:id="35">
    <w:p w14:paraId="5812433F" w14:textId="77777777" w:rsidR="00545171" w:rsidRPr="001328A9" w:rsidRDefault="00545171" w:rsidP="00545171">
      <w:pPr>
        <w:pStyle w:val="FootnoteText"/>
        <w:rPr>
          <w:lang w:val="en-AU"/>
        </w:rPr>
      </w:pPr>
      <w:r>
        <w:rPr>
          <w:rStyle w:val="FootnoteReference"/>
        </w:rPr>
        <w:footnoteRef/>
      </w:r>
      <w:r>
        <w:t xml:space="preserve"> </w:t>
      </w:r>
      <w:r w:rsidRPr="001328A9">
        <w:rPr>
          <w:highlight w:val="yellow"/>
        </w:rPr>
        <w:t>A Co v B [2014].</w:t>
      </w:r>
    </w:p>
  </w:footnote>
  <w:footnote w:id="36">
    <w:p w14:paraId="4FAA9E47" w14:textId="77777777" w:rsidR="00545171" w:rsidRPr="001328A9" w:rsidRDefault="00545171" w:rsidP="00545171">
      <w:pPr>
        <w:pStyle w:val="FootnoteText"/>
        <w:rPr>
          <w:lang w:val="en-AU"/>
        </w:rPr>
      </w:pPr>
      <w:r>
        <w:rPr>
          <w:rStyle w:val="FootnoteReference"/>
        </w:rPr>
        <w:footnoteRef/>
      </w:r>
      <w:r>
        <w:t xml:space="preserve"> </w:t>
      </w:r>
      <w:r w:rsidRPr="001328A9">
        <w:rPr>
          <w:i/>
          <w:iCs/>
          <w:lang w:val="en-AU"/>
        </w:rPr>
        <w:t>The Joint Administrators of African Minerals Limited (in administration) v Madison Pacific Trust Limited &amp; Shandong Steel Hong Kong Zengli Limited</w:t>
      </w:r>
      <w:r>
        <w:rPr>
          <w:lang w:val="en-AU"/>
        </w:rPr>
        <w:t xml:space="preserve"> [2015] 4 HKC 215.</w:t>
      </w:r>
    </w:p>
  </w:footnote>
  <w:footnote w:id="37">
    <w:p w14:paraId="48EE3320" w14:textId="4B8E5810" w:rsidR="000C3927" w:rsidRPr="000C3927" w:rsidRDefault="000C3927">
      <w:pPr>
        <w:pStyle w:val="FootnoteText"/>
        <w:rPr>
          <w:lang w:val="en-AU"/>
        </w:rPr>
      </w:pPr>
      <w:r>
        <w:rPr>
          <w:rStyle w:val="FootnoteReference"/>
        </w:rPr>
        <w:footnoteRef/>
      </w:r>
      <w:r>
        <w:t xml:space="preserve"> </w:t>
      </w:r>
      <w:r>
        <w:rPr>
          <w:lang w:val="en-AU"/>
        </w:rPr>
        <w:t>Singularis Holdings v PWC [2014] UKPC 36.</w:t>
      </w:r>
    </w:p>
  </w:footnote>
  <w:footnote w:id="38">
    <w:p w14:paraId="38189359" w14:textId="13C4D6A7" w:rsidR="000C3927" w:rsidRPr="000C3927" w:rsidRDefault="000C3927">
      <w:pPr>
        <w:pStyle w:val="FootnoteText"/>
        <w:rPr>
          <w:lang w:val="en-AU"/>
        </w:rPr>
      </w:pPr>
      <w:r>
        <w:rPr>
          <w:rStyle w:val="FootnoteReference"/>
        </w:rPr>
        <w:footnoteRef/>
      </w:r>
      <w:r>
        <w:t xml:space="preserve"> </w:t>
      </w:r>
      <w:r>
        <w:rPr>
          <w:lang w:val="en-AU"/>
        </w:rPr>
        <w:t>Cayman Companies Law, section 103.</w:t>
      </w:r>
    </w:p>
  </w:footnote>
  <w:footnote w:id="39">
    <w:p w14:paraId="1406A871" w14:textId="0A8C9CC1" w:rsidR="000C3927" w:rsidRPr="000C3927" w:rsidRDefault="000C3927">
      <w:pPr>
        <w:pStyle w:val="FootnoteText"/>
        <w:rPr>
          <w:lang w:val="en-AU"/>
        </w:rPr>
      </w:pPr>
      <w:r>
        <w:rPr>
          <w:rStyle w:val="FootnoteReference"/>
        </w:rPr>
        <w:footnoteRef/>
      </w:r>
      <w:r>
        <w:t xml:space="preserve"> </w:t>
      </w:r>
      <w:r>
        <w:rPr>
          <w:lang w:val="en-AU"/>
        </w:rPr>
        <w:t>Guidance text, page 78.</w:t>
      </w:r>
    </w:p>
  </w:footnote>
  <w:footnote w:id="40">
    <w:p w14:paraId="240C9EE8" w14:textId="205475C9" w:rsidR="000C3927" w:rsidRPr="000C3927" w:rsidRDefault="000C3927">
      <w:pPr>
        <w:pStyle w:val="FootnoteText"/>
        <w:rPr>
          <w:lang w:val="en-AU"/>
        </w:rPr>
      </w:pPr>
      <w:r>
        <w:rPr>
          <w:rStyle w:val="FootnoteReference"/>
        </w:rPr>
        <w:footnoteRef/>
      </w:r>
      <w:r>
        <w:t xml:space="preserve"> </w:t>
      </w:r>
      <w:r>
        <w:rPr>
          <w:lang w:val="en-AU"/>
        </w:rPr>
        <w:t>CWUMPO, s286B.</w:t>
      </w:r>
    </w:p>
  </w:footnote>
  <w:footnote w:id="41">
    <w:p w14:paraId="609AE29E" w14:textId="267247F8" w:rsidR="000C3927" w:rsidRPr="000C3927" w:rsidRDefault="000C3927">
      <w:pPr>
        <w:pStyle w:val="FootnoteText"/>
        <w:rPr>
          <w:lang w:val="en-AU"/>
        </w:rPr>
      </w:pPr>
      <w:r>
        <w:rPr>
          <w:rStyle w:val="FootnoteReference"/>
        </w:rPr>
        <w:footnoteRef/>
      </w:r>
      <w:r>
        <w:t xml:space="preserve"> </w:t>
      </w:r>
      <w:r>
        <w:rPr>
          <w:lang w:val="en-AU"/>
        </w:rPr>
        <w:t xml:space="preserve">See </w:t>
      </w:r>
      <w:r w:rsidRPr="000C3927">
        <w:rPr>
          <w:i/>
          <w:iCs/>
          <w:lang w:val="en-AU"/>
        </w:rPr>
        <w:t>Re Centaur Litigation SPC</w:t>
      </w:r>
      <w:r>
        <w:rPr>
          <w:lang w:val="en-AU"/>
        </w:rPr>
        <w:t xml:space="preserve"> (unreported, HCMP 3389/2015) and </w:t>
      </w:r>
      <w:r w:rsidRPr="000C3927">
        <w:rPr>
          <w:i/>
          <w:iCs/>
          <w:lang w:val="en-AU"/>
        </w:rPr>
        <w:t>Pacific Andes</w:t>
      </w:r>
      <w:r>
        <w:rPr>
          <w:lang w:val="en-AU"/>
        </w:rPr>
        <w:t xml:space="preserve"> (HCMP 3560/2016).</w:t>
      </w:r>
    </w:p>
  </w:footnote>
  <w:footnote w:id="42">
    <w:p w14:paraId="735AD9CA" w14:textId="77777777" w:rsidR="000C3927" w:rsidRPr="003622FD" w:rsidRDefault="000C3927" w:rsidP="000C3927">
      <w:pPr>
        <w:pStyle w:val="FootnoteText"/>
        <w:rPr>
          <w:lang w:val="en-AU"/>
        </w:rPr>
      </w:pPr>
      <w:r>
        <w:rPr>
          <w:rStyle w:val="FootnoteReference"/>
        </w:rPr>
        <w:footnoteRef/>
      </w:r>
      <w:r>
        <w:t xml:space="preserve"> </w:t>
      </w:r>
      <w:r w:rsidRPr="003622FD">
        <w:rPr>
          <w:i/>
          <w:iCs/>
          <w:highlight w:val="yellow"/>
          <w:lang w:val="en-AU"/>
        </w:rPr>
        <w:t>Re Global Brands</w:t>
      </w:r>
      <w:r w:rsidRPr="003622FD">
        <w:rPr>
          <w:highlight w:val="yellow"/>
          <w:lang w:val="en-AU"/>
        </w:rPr>
        <w:t>.</w:t>
      </w:r>
    </w:p>
  </w:footnote>
  <w:footnote w:id="43">
    <w:p w14:paraId="3BA9E4A9" w14:textId="7DAE15E1" w:rsidR="00B57C0B" w:rsidRPr="00B57C0B" w:rsidRDefault="00B57C0B">
      <w:pPr>
        <w:pStyle w:val="FootnoteText"/>
        <w:rPr>
          <w:lang w:val="en-AU"/>
        </w:rPr>
      </w:pPr>
      <w:r>
        <w:rPr>
          <w:rStyle w:val="FootnoteReference"/>
        </w:rPr>
        <w:footnoteRef/>
      </w:r>
      <w:r>
        <w:t xml:space="preserve"> </w:t>
      </w:r>
      <w:r w:rsidRPr="00B57C0B">
        <w:rPr>
          <w:i/>
          <w:iCs/>
          <w:lang w:val="en-AU"/>
        </w:rPr>
        <w:t>Re K Vision International Investment (HK) Limited</w:t>
      </w:r>
      <w:r>
        <w:rPr>
          <w:lang w:val="en-AU"/>
        </w:rPr>
        <w:t xml:space="preserve"> (unreported, HCCW 282/2011).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9871FD"/>
    <w:multiLevelType w:val="hybridMultilevel"/>
    <w:tmpl w:val="51C0B6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804E92"/>
    <w:multiLevelType w:val="hybridMultilevel"/>
    <w:tmpl w:val="9D2655D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0CE43D6"/>
    <w:multiLevelType w:val="hybridMultilevel"/>
    <w:tmpl w:val="ED48A260"/>
    <w:lvl w:ilvl="0" w:tplc="8530E348">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60E1408"/>
    <w:multiLevelType w:val="hybridMultilevel"/>
    <w:tmpl w:val="8EC0E8A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9B6897"/>
    <w:multiLevelType w:val="hybridMultilevel"/>
    <w:tmpl w:val="0106A7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96270161">
    <w:abstractNumId w:val="33"/>
  </w:num>
  <w:num w:numId="2" w16cid:durableId="2059863362">
    <w:abstractNumId w:val="8"/>
  </w:num>
  <w:num w:numId="3" w16cid:durableId="950674247">
    <w:abstractNumId w:val="21"/>
  </w:num>
  <w:num w:numId="4" w16cid:durableId="2006279965">
    <w:abstractNumId w:val="16"/>
  </w:num>
  <w:num w:numId="5" w16cid:durableId="85541418">
    <w:abstractNumId w:val="9"/>
  </w:num>
  <w:num w:numId="6" w16cid:durableId="658845409">
    <w:abstractNumId w:val="38"/>
  </w:num>
  <w:num w:numId="7" w16cid:durableId="88550184">
    <w:abstractNumId w:val="14"/>
  </w:num>
  <w:num w:numId="8" w16cid:durableId="1431702721">
    <w:abstractNumId w:val="30"/>
  </w:num>
  <w:num w:numId="9" w16cid:durableId="1252545937">
    <w:abstractNumId w:val="34"/>
  </w:num>
  <w:num w:numId="10" w16cid:durableId="343358223">
    <w:abstractNumId w:val="10"/>
  </w:num>
  <w:num w:numId="11" w16cid:durableId="513346947">
    <w:abstractNumId w:val="11"/>
  </w:num>
  <w:num w:numId="12" w16cid:durableId="1983269139">
    <w:abstractNumId w:val="0"/>
  </w:num>
  <w:num w:numId="13" w16cid:durableId="665286304">
    <w:abstractNumId w:val="17"/>
  </w:num>
  <w:num w:numId="14" w16cid:durableId="531765551">
    <w:abstractNumId w:val="5"/>
  </w:num>
  <w:num w:numId="15" w16cid:durableId="521476067">
    <w:abstractNumId w:val="41"/>
  </w:num>
  <w:num w:numId="16" w16cid:durableId="1707485782">
    <w:abstractNumId w:val="24"/>
  </w:num>
  <w:num w:numId="17" w16cid:durableId="1126391301">
    <w:abstractNumId w:val="31"/>
  </w:num>
  <w:num w:numId="18" w16cid:durableId="1821189127">
    <w:abstractNumId w:val="23"/>
  </w:num>
  <w:num w:numId="19" w16cid:durableId="64570294">
    <w:abstractNumId w:val="19"/>
  </w:num>
  <w:num w:numId="20" w16cid:durableId="687827879">
    <w:abstractNumId w:val="18"/>
  </w:num>
  <w:num w:numId="21" w16cid:durableId="1761678876">
    <w:abstractNumId w:val="4"/>
  </w:num>
  <w:num w:numId="22" w16cid:durableId="1076244942">
    <w:abstractNumId w:val="28"/>
  </w:num>
  <w:num w:numId="23" w16cid:durableId="24723186">
    <w:abstractNumId w:val="3"/>
  </w:num>
  <w:num w:numId="24" w16cid:durableId="998580961">
    <w:abstractNumId w:val="32"/>
  </w:num>
  <w:num w:numId="25" w16cid:durableId="533809032">
    <w:abstractNumId w:val="13"/>
  </w:num>
  <w:num w:numId="26" w16cid:durableId="37439009">
    <w:abstractNumId w:val="2"/>
  </w:num>
  <w:num w:numId="27" w16cid:durableId="143854930">
    <w:abstractNumId w:val="15"/>
  </w:num>
  <w:num w:numId="28" w16cid:durableId="2132430098">
    <w:abstractNumId w:val="37"/>
  </w:num>
  <w:num w:numId="29" w16cid:durableId="223370495">
    <w:abstractNumId w:val="12"/>
  </w:num>
  <w:num w:numId="30" w16cid:durableId="1604193418">
    <w:abstractNumId w:val="40"/>
  </w:num>
  <w:num w:numId="31" w16cid:durableId="62608711">
    <w:abstractNumId w:val="39"/>
  </w:num>
  <w:num w:numId="32" w16cid:durableId="1001814902">
    <w:abstractNumId w:val="27"/>
  </w:num>
  <w:num w:numId="33" w16cid:durableId="781412005">
    <w:abstractNumId w:val="22"/>
  </w:num>
  <w:num w:numId="34" w16cid:durableId="477310257">
    <w:abstractNumId w:val="1"/>
  </w:num>
  <w:num w:numId="35" w16cid:durableId="2511818">
    <w:abstractNumId w:val="35"/>
  </w:num>
  <w:num w:numId="36" w16cid:durableId="476453253">
    <w:abstractNumId w:val="6"/>
  </w:num>
  <w:num w:numId="37" w16cid:durableId="1060783105">
    <w:abstractNumId w:val="7"/>
  </w:num>
  <w:num w:numId="38" w16cid:durableId="1377318843">
    <w:abstractNumId w:val="26"/>
  </w:num>
  <w:num w:numId="39" w16cid:durableId="900137494">
    <w:abstractNumId w:val="20"/>
  </w:num>
  <w:num w:numId="40" w16cid:durableId="2029519487">
    <w:abstractNumId w:val="36"/>
  </w:num>
  <w:num w:numId="41" w16cid:durableId="1824348331">
    <w:abstractNumId w:val="25"/>
  </w:num>
  <w:num w:numId="42" w16cid:durableId="16024912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6DC4"/>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7799E"/>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C3927"/>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28A9"/>
    <w:rsid w:val="00133976"/>
    <w:rsid w:val="00134FDE"/>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22FD"/>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A3FA5"/>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6B8"/>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4F6269"/>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5171"/>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5E72"/>
    <w:rsid w:val="00576A9C"/>
    <w:rsid w:val="00577B82"/>
    <w:rsid w:val="00580EA0"/>
    <w:rsid w:val="005833D0"/>
    <w:rsid w:val="005846F3"/>
    <w:rsid w:val="00586138"/>
    <w:rsid w:val="0058622F"/>
    <w:rsid w:val="00587660"/>
    <w:rsid w:val="00590C49"/>
    <w:rsid w:val="00590D6D"/>
    <w:rsid w:val="005925C2"/>
    <w:rsid w:val="00592F82"/>
    <w:rsid w:val="00595042"/>
    <w:rsid w:val="005A0C1A"/>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44A4"/>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3CBE"/>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B2F"/>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1A40"/>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46F2E"/>
    <w:rsid w:val="00851B6A"/>
    <w:rsid w:val="0085270E"/>
    <w:rsid w:val="00855F61"/>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0691D"/>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09E8"/>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3A09"/>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2A20"/>
    <w:rsid w:val="00AA4EEA"/>
    <w:rsid w:val="00AA5A28"/>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D7961"/>
    <w:rsid w:val="00AE1A12"/>
    <w:rsid w:val="00AE1DA9"/>
    <w:rsid w:val="00AE3DA8"/>
    <w:rsid w:val="00AE5EB6"/>
    <w:rsid w:val="00AF02E5"/>
    <w:rsid w:val="00AF195B"/>
    <w:rsid w:val="00AF228E"/>
    <w:rsid w:val="00AF4CE5"/>
    <w:rsid w:val="00B016A8"/>
    <w:rsid w:val="00B05601"/>
    <w:rsid w:val="00B11A5E"/>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57C0B"/>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36FD"/>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1DAE"/>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3CB6"/>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5DF1"/>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5563"/>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12</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Matthew Hudson</cp:lastModifiedBy>
  <cp:revision>11</cp:revision>
  <cp:lastPrinted>2019-08-27T05:42:00Z</cp:lastPrinted>
  <dcterms:created xsi:type="dcterms:W3CDTF">2023-07-30T08:05:00Z</dcterms:created>
  <dcterms:modified xsi:type="dcterms:W3CDTF">2023-07-31T20:42:00Z</dcterms:modified>
</cp:coreProperties>
</file>