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1107DC" w:rsidRDefault="000F6063" w:rsidP="007E03FA">
      <w:pPr>
        <w:pStyle w:val="ListParagraph"/>
        <w:numPr>
          <w:ilvl w:val="0"/>
          <w:numId w:val="31"/>
        </w:numPr>
        <w:ind w:left="426"/>
        <w:rPr>
          <w:rFonts w:ascii="Avenir Next" w:hAnsi="Avenir Next" w:cs="Arial"/>
          <w:sz w:val="22"/>
          <w:szCs w:val="22"/>
          <w:highlight w:val="yellow"/>
          <w:lang w:val="en-GB"/>
        </w:rPr>
      </w:pPr>
      <w:r w:rsidRPr="001107DC">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1107DC" w:rsidRDefault="000F6063" w:rsidP="007E03FA">
      <w:pPr>
        <w:pStyle w:val="ListParagraph"/>
        <w:numPr>
          <w:ilvl w:val="0"/>
          <w:numId w:val="32"/>
        </w:numPr>
        <w:ind w:left="426"/>
        <w:rPr>
          <w:rFonts w:ascii="Avenir Next" w:hAnsi="Avenir Next" w:cs="Arial"/>
          <w:sz w:val="22"/>
          <w:szCs w:val="22"/>
          <w:highlight w:val="yellow"/>
          <w:lang w:val="en-GB"/>
        </w:rPr>
      </w:pPr>
      <w:r w:rsidRPr="001107DC">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1107DC">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1107DC">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1107DC" w:rsidRDefault="00CB2364" w:rsidP="00924973">
      <w:pPr>
        <w:pStyle w:val="ListParagraph"/>
        <w:numPr>
          <w:ilvl w:val="0"/>
          <w:numId w:val="34"/>
        </w:numPr>
        <w:ind w:left="426"/>
        <w:rPr>
          <w:rFonts w:ascii="Avenir Next" w:hAnsi="Avenir Next" w:cs="Arial"/>
          <w:sz w:val="22"/>
          <w:szCs w:val="22"/>
          <w:highlight w:val="yellow"/>
          <w:lang w:val="en-GB"/>
        </w:rPr>
      </w:pPr>
      <w:r w:rsidRPr="001107DC">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0D0C443F" w14:textId="0F1DC2CC" w:rsidR="000F6063" w:rsidRPr="001107DC" w:rsidRDefault="000F6063" w:rsidP="00924973">
      <w:pPr>
        <w:pStyle w:val="ListParagraph"/>
        <w:numPr>
          <w:ilvl w:val="0"/>
          <w:numId w:val="35"/>
        </w:numPr>
        <w:ind w:left="426"/>
        <w:rPr>
          <w:rFonts w:ascii="Avenir Next" w:hAnsi="Avenir Next" w:cs="Arial"/>
          <w:sz w:val="22"/>
          <w:szCs w:val="22"/>
          <w:highlight w:val="yellow"/>
          <w:lang w:val="en-GB"/>
        </w:rPr>
      </w:pPr>
      <w:r w:rsidRPr="001107DC">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1107DC" w:rsidRDefault="00E177F0" w:rsidP="00924973">
      <w:pPr>
        <w:pStyle w:val="ListParagraph"/>
        <w:numPr>
          <w:ilvl w:val="0"/>
          <w:numId w:val="36"/>
        </w:numPr>
        <w:ind w:left="426"/>
        <w:rPr>
          <w:rFonts w:ascii="Avenir Next" w:hAnsi="Avenir Next" w:cs="Arial"/>
          <w:sz w:val="22"/>
          <w:szCs w:val="22"/>
          <w:highlight w:val="yellow"/>
          <w:lang w:val="en-GB"/>
        </w:rPr>
      </w:pPr>
      <w:r w:rsidRPr="001107DC">
        <w:rPr>
          <w:rFonts w:ascii="Avenir Next" w:hAnsi="Avenir Next" w:cs="Arial"/>
          <w:sz w:val="22"/>
          <w:szCs w:val="22"/>
          <w:highlight w:val="yellow"/>
          <w:lang w:val="en-GB"/>
        </w:rPr>
        <w:t>May enforce their security without leave of the court</w:t>
      </w:r>
      <w:r w:rsidR="00803C72" w:rsidRPr="001107DC">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19727402" w14:textId="77777777" w:rsidR="001107DC" w:rsidRDefault="001107DC" w:rsidP="000F6063">
      <w:pPr>
        <w:autoSpaceDE w:val="0"/>
        <w:autoSpaceDN w:val="0"/>
        <w:adjustRightInd w:val="0"/>
        <w:jc w:val="both"/>
        <w:rPr>
          <w:rFonts w:ascii="Avenir Next Demi Bold" w:hAnsi="Avenir Next Demi Bold" w:cs="Arial"/>
          <w:b/>
          <w:bCs/>
          <w:sz w:val="22"/>
          <w:szCs w:val="22"/>
        </w:rPr>
      </w:pPr>
    </w:p>
    <w:p w14:paraId="63B34C09" w14:textId="77777777" w:rsidR="001107DC" w:rsidRDefault="001107DC" w:rsidP="000F6063">
      <w:pPr>
        <w:autoSpaceDE w:val="0"/>
        <w:autoSpaceDN w:val="0"/>
        <w:adjustRightInd w:val="0"/>
        <w:jc w:val="both"/>
        <w:rPr>
          <w:rFonts w:ascii="Avenir Next Demi Bold" w:hAnsi="Avenir Next Demi Bold" w:cs="Arial"/>
          <w:b/>
          <w:bCs/>
          <w:sz w:val="22"/>
          <w:szCs w:val="22"/>
        </w:rPr>
      </w:pPr>
    </w:p>
    <w:p w14:paraId="66FE87B6" w14:textId="77777777" w:rsidR="001107DC" w:rsidRDefault="001107DC" w:rsidP="000F6063">
      <w:pPr>
        <w:autoSpaceDE w:val="0"/>
        <w:autoSpaceDN w:val="0"/>
        <w:adjustRightInd w:val="0"/>
        <w:jc w:val="both"/>
        <w:rPr>
          <w:rFonts w:ascii="Avenir Next Demi Bold" w:hAnsi="Avenir Next Demi Bold" w:cs="Arial"/>
          <w:b/>
          <w:bCs/>
          <w:sz w:val="22"/>
          <w:szCs w:val="22"/>
        </w:rPr>
      </w:pPr>
    </w:p>
    <w:p w14:paraId="32C78769" w14:textId="7078D7DF"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1107DC" w:rsidRDefault="000F6063" w:rsidP="00924973">
      <w:pPr>
        <w:pStyle w:val="ListParagraph"/>
        <w:numPr>
          <w:ilvl w:val="0"/>
          <w:numId w:val="37"/>
        </w:numPr>
        <w:ind w:left="426"/>
        <w:jc w:val="both"/>
        <w:rPr>
          <w:rFonts w:ascii="Avenir Next" w:hAnsi="Avenir Next" w:cs="Arial"/>
          <w:sz w:val="22"/>
          <w:szCs w:val="22"/>
          <w:highlight w:val="yellow"/>
          <w:lang w:val="en-GB"/>
        </w:rPr>
      </w:pPr>
      <w:r w:rsidRPr="001107DC">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704EAEBD" w14:textId="77777777" w:rsidR="001107DC" w:rsidRDefault="001107DC" w:rsidP="00C55824">
      <w:pPr>
        <w:jc w:val="both"/>
        <w:rPr>
          <w:rFonts w:ascii="Avenir Next Demi Bold" w:hAnsi="Avenir Next Demi Bold" w:cs="Arial"/>
          <w:b/>
          <w:bCs/>
          <w:sz w:val="22"/>
          <w:szCs w:val="22"/>
        </w:rPr>
      </w:pPr>
    </w:p>
    <w:p w14:paraId="5AF5BCF4" w14:textId="4DA93B24"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1107DC" w:rsidRDefault="00853B56" w:rsidP="00924973">
      <w:pPr>
        <w:pStyle w:val="ListParagraph"/>
        <w:numPr>
          <w:ilvl w:val="0"/>
          <w:numId w:val="38"/>
        </w:numPr>
        <w:ind w:left="426"/>
        <w:jc w:val="both"/>
        <w:rPr>
          <w:rFonts w:ascii="Avenir Next" w:hAnsi="Avenir Next" w:cs="Arial"/>
          <w:sz w:val="22"/>
          <w:szCs w:val="22"/>
          <w:highlight w:val="yellow"/>
          <w:lang w:val="en-GB"/>
        </w:rPr>
      </w:pPr>
      <w:r w:rsidRPr="001107DC">
        <w:rPr>
          <w:rFonts w:ascii="Avenir Next" w:hAnsi="Avenir Next" w:cs="Arial"/>
          <w:sz w:val="22"/>
          <w:szCs w:val="22"/>
          <w:highlight w:val="yellow"/>
          <w:lang w:val="en-GB"/>
        </w:rPr>
        <w:t>Amounts due to p</w:t>
      </w:r>
      <w:r w:rsidR="005327B7" w:rsidRPr="001107DC">
        <w:rPr>
          <w:rFonts w:ascii="Avenir Next" w:hAnsi="Avenir Next" w:cs="Arial"/>
          <w:sz w:val="22"/>
          <w:szCs w:val="22"/>
          <w:highlight w:val="yellow"/>
          <w:lang w:val="en-GB"/>
        </w:rPr>
        <w:t>referred shareholders</w:t>
      </w:r>
      <w:r w:rsidR="00803C72" w:rsidRPr="001107DC">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DB389C" w:rsidRDefault="005327B7" w:rsidP="00924973">
      <w:pPr>
        <w:pStyle w:val="ListParagraph"/>
        <w:numPr>
          <w:ilvl w:val="0"/>
          <w:numId w:val="39"/>
        </w:numPr>
        <w:ind w:left="426"/>
        <w:jc w:val="both"/>
        <w:rPr>
          <w:rFonts w:ascii="Avenir Next" w:hAnsi="Avenir Next" w:cs="Arial"/>
          <w:sz w:val="22"/>
          <w:szCs w:val="22"/>
          <w:highlight w:val="yellow"/>
          <w:lang w:val="en-GB"/>
        </w:rPr>
      </w:pPr>
      <w:r w:rsidRPr="00DB389C">
        <w:rPr>
          <w:rFonts w:ascii="Avenir Next" w:hAnsi="Avenir Next" w:cs="Arial"/>
          <w:sz w:val="22"/>
          <w:szCs w:val="22"/>
          <w:highlight w:val="yellow"/>
          <w:lang w:val="en-GB"/>
        </w:rPr>
        <w:t>The board of directors decides it is “just and equitable” for the company to be wound up</w:t>
      </w:r>
      <w:r w:rsidR="00D06A87" w:rsidRPr="00DB389C">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DB389C" w:rsidRDefault="000F6063" w:rsidP="00924973">
      <w:pPr>
        <w:pStyle w:val="ListParagraph"/>
        <w:numPr>
          <w:ilvl w:val="0"/>
          <w:numId w:val="40"/>
        </w:numPr>
        <w:ind w:left="426"/>
        <w:jc w:val="both"/>
        <w:rPr>
          <w:rFonts w:ascii="Avenir Next" w:hAnsi="Avenir Next" w:cs="Arial"/>
          <w:sz w:val="22"/>
          <w:szCs w:val="22"/>
          <w:highlight w:val="yellow"/>
          <w:lang w:val="en-GB"/>
        </w:rPr>
      </w:pPr>
      <w:r w:rsidRPr="00DB389C">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E367CFD" w14:textId="2DCEC9B5" w:rsidR="003D44EE" w:rsidRDefault="003D44EE"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Islands has ownership registers such as the Registered Land Law, Maritime Authority Law, Civil Aviation Authority Law and Mortgaging of Aircraft Regulations. Each of the registers grant a debtor the right to title in the relevant asset, subject to the security granted to the registrant creditor. This registration grants the secured creditor priority over other unsecured creditors. </w:t>
      </w:r>
    </w:p>
    <w:p w14:paraId="711CF659" w14:textId="7F23AD1D" w:rsidR="007C08A1" w:rsidRDefault="007C08A1" w:rsidP="00D27CBC">
      <w:pPr>
        <w:jc w:val="both"/>
        <w:rPr>
          <w:rFonts w:ascii="Avenir Next" w:hAnsi="Avenir Next" w:cs="Arial"/>
          <w:color w:val="808080" w:themeColor="background1" w:themeShade="80"/>
          <w:sz w:val="22"/>
          <w:szCs w:val="22"/>
          <w:lang w:val="en-GB"/>
        </w:rPr>
      </w:pPr>
    </w:p>
    <w:p w14:paraId="16B52A3F" w14:textId="6EE1E5C3" w:rsidR="007C08A1" w:rsidRDefault="007C08A1"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security interest relates to mortgages and charges in relation to a debtor company, section 54 of the Companies Act requires that the mortgage/charge be entered onto a register maintained by the debtor company. A failure to do so, does not invalidate the security. </w:t>
      </w:r>
    </w:p>
    <w:p w14:paraId="1ABA5B60" w14:textId="7A503FF2" w:rsidR="003D44EE" w:rsidRDefault="003D44EE" w:rsidP="00D27CBC">
      <w:pPr>
        <w:jc w:val="both"/>
        <w:rPr>
          <w:rFonts w:ascii="Avenir Next" w:hAnsi="Avenir Next" w:cs="Arial"/>
          <w:color w:val="808080" w:themeColor="background1" w:themeShade="80"/>
          <w:sz w:val="22"/>
          <w:szCs w:val="22"/>
          <w:lang w:val="en-GB"/>
        </w:rPr>
      </w:pPr>
    </w:p>
    <w:p w14:paraId="73B23174" w14:textId="00A1CE76" w:rsidR="003D44EE" w:rsidRDefault="003D44EE"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there is no </w:t>
      </w:r>
      <w:r w:rsidR="007C08A1">
        <w:rPr>
          <w:rFonts w:ascii="Avenir Next" w:hAnsi="Avenir Next" w:cs="Arial"/>
          <w:color w:val="808080" w:themeColor="background1" w:themeShade="80"/>
          <w:sz w:val="22"/>
          <w:szCs w:val="22"/>
          <w:lang w:val="en-GB"/>
        </w:rPr>
        <w:t xml:space="preserve">publicly available </w:t>
      </w:r>
      <w:r>
        <w:rPr>
          <w:rFonts w:ascii="Avenir Next" w:hAnsi="Avenir Next" w:cs="Arial"/>
          <w:color w:val="808080" w:themeColor="background1" w:themeShade="80"/>
          <w:sz w:val="22"/>
          <w:szCs w:val="22"/>
          <w:lang w:val="en-GB"/>
        </w:rPr>
        <w:t xml:space="preserve">security register for other types of assets (unlike the Australian Personal Property Securities Register). </w:t>
      </w:r>
    </w:p>
    <w:p w14:paraId="53E8610F" w14:textId="77777777" w:rsidR="003D44EE" w:rsidRPr="00310533" w:rsidRDefault="003D44EE" w:rsidP="00D27CBC">
      <w:pPr>
        <w:jc w:val="both"/>
        <w:rPr>
          <w:rFonts w:ascii="Avenir Next" w:hAnsi="Avenir Next" w:cs="Arial"/>
          <w:color w:val="808080" w:themeColor="background1" w:themeShade="80"/>
          <w:sz w:val="22"/>
          <w:szCs w:val="22"/>
          <w:lang w:val="en-GB"/>
        </w:rPr>
      </w:pP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5101887A" w14:textId="47A8BF00" w:rsidR="00232A40" w:rsidRDefault="00232A40"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section 240 of the Companies Act, a foreign bankruptcy proceeding includes one for the purpose of reorganising or rehabilitating an insolvent debtor. </w:t>
      </w:r>
    </w:p>
    <w:p w14:paraId="07AF7B67" w14:textId="721DC42E" w:rsidR="00232A40" w:rsidRDefault="00232A40" w:rsidP="00AB0E3A">
      <w:pPr>
        <w:jc w:val="both"/>
        <w:rPr>
          <w:rFonts w:ascii="Avenir Next" w:hAnsi="Avenir Next" w:cs="Arial"/>
          <w:color w:val="808080" w:themeColor="background1" w:themeShade="80"/>
          <w:sz w:val="22"/>
          <w:szCs w:val="22"/>
          <w:lang w:val="en-GB"/>
        </w:rPr>
      </w:pPr>
    </w:p>
    <w:p w14:paraId="7AFC0787" w14:textId="7BFE2620" w:rsidR="00232A40" w:rsidRDefault="00232A40"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of foreign bankruptcy proceedings is governed by the Foreign Bankruptcy Proceedings (International Cooperation) Rules 2018. </w:t>
      </w:r>
    </w:p>
    <w:p w14:paraId="47C7FB8A" w14:textId="77777777" w:rsidR="00232A40" w:rsidRDefault="00232A40" w:rsidP="00AB0E3A">
      <w:pPr>
        <w:jc w:val="both"/>
        <w:rPr>
          <w:rFonts w:ascii="Avenir Next" w:hAnsi="Avenir Next" w:cs="Arial"/>
          <w:color w:val="808080" w:themeColor="background1" w:themeShade="80"/>
          <w:sz w:val="22"/>
          <w:szCs w:val="22"/>
          <w:lang w:val="en-GB"/>
        </w:rPr>
      </w:pPr>
    </w:p>
    <w:p w14:paraId="2FF85C5A" w14:textId="4BA6B94F" w:rsidR="00232A40" w:rsidRDefault="00CD6BAE"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241 of the Companies Act requires:</w:t>
      </w:r>
    </w:p>
    <w:p w14:paraId="561FDABF" w14:textId="1F17C36E" w:rsidR="00CD6BAE" w:rsidRDefault="00CD6BAE" w:rsidP="00AB0E3A">
      <w:pPr>
        <w:jc w:val="both"/>
        <w:rPr>
          <w:rFonts w:ascii="Avenir Next" w:hAnsi="Avenir Next" w:cs="Arial"/>
          <w:color w:val="808080" w:themeColor="background1" w:themeShade="80"/>
          <w:sz w:val="22"/>
          <w:szCs w:val="22"/>
          <w:lang w:val="en-GB"/>
        </w:rPr>
      </w:pPr>
    </w:p>
    <w:p w14:paraId="6DB117F8" w14:textId="60B7AAB2" w:rsidR="00CD6BAE" w:rsidRDefault="00CD6BAE" w:rsidP="00CD6BAE">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An application by a foreign representative to the court;</w:t>
      </w:r>
      <w:r>
        <w:rPr>
          <w:rStyle w:val="FootnoteReference"/>
          <w:rFonts w:ascii="Avenir Next" w:hAnsi="Avenir Next" w:cs="Arial"/>
          <w:color w:val="808080" w:themeColor="background1" w:themeShade="80"/>
          <w:sz w:val="22"/>
          <w:szCs w:val="22"/>
          <w:lang w:val="en-GB"/>
        </w:rPr>
        <w:footnoteReference w:id="1"/>
      </w:r>
    </w:p>
    <w:p w14:paraId="2CA21F5A" w14:textId="5A4DC8DD" w:rsidR="00CD6BAE" w:rsidRDefault="00CD6BAE" w:rsidP="00CD6BAE">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make an ancillary order, for one of the specified purposes; and</w:t>
      </w:r>
    </w:p>
    <w:p w14:paraId="035D963C" w14:textId="38024B8C" w:rsidR="00232A40" w:rsidRDefault="00CD6BAE" w:rsidP="00AB0E3A">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relation to a foreign bankruptcy proceeding.</w:t>
      </w:r>
    </w:p>
    <w:p w14:paraId="4B19077C" w14:textId="63100B8C" w:rsidR="00CD6BAE" w:rsidRDefault="00CD6BAE" w:rsidP="00CD6BAE">
      <w:pPr>
        <w:jc w:val="both"/>
        <w:rPr>
          <w:rFonts w:ascii="Avenir Next" w:hAnsi="Avenir Next" w:cs="Arial"/>
          <w:color w:val="808080" w:themeColor="background1" w:themeShade="80"/>
          <w:sz w:val="22"/>
          <w:szCs w:val="22"/>
          <w:lang w:val="en-GB"/>
        </w:rPr>
      </w:pPr>
    </w:p>
    <w:p w14:paraId="7997ED9F" w14:textId="35818C66" w:rsidR="00CD6BAE" w:rsidRDefault="00CD6BAE" w:rsidP="00CD6BA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specified purposes for ancillary orders includes: recognising the right for the foreign representative to act in the Cayman Islands, staying or continuing legal proceedings, collecting assets or securing books and records from the debtor or a person prescribed by s103(1) of the Companies Act. </w:t>
      </w:r>
    </w:p>
    <w:p w14:paraId="45F3F78D" w14:textId="3B6CB58A" w:rsidR="00CD6BAE" w:rsidRDefault="00CD6BAE" w:rsidP="00CD6BAE">
      <w:pPr>
        <w:jc w:val="both"/>
        <w:rPr>
          <w:rFonts w:ascii="Avenir Next" w:hAnsi="Avenir Next" w:cs="Arial"/>
          <w:color w:val="808080" w:themeColor="background1" w:themeShade="80"/>
          <w:sz w:val="22"/>
          <w:szCs w:val="22"/>
          <w:lang w:val="en-GB"/>
        </w:rPr>
      </w:pPr>
    </w:p>
    <w:p w14:paraId="54D22C3D" w14:textId="77777777" w:rsidR="00CD6BAE" w:rsidRDefault="00CD6BAE" w:rsidP="00CD6BA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242(1) of the Companies Act then prescribes the criteria upon which the Court’s discretion to grant recognition. Some of the relevant criteria includes: comity; just treatment of creditors (whether domestic or international); enforcement of security interests; etc.</w:t>
      </w:r>
    </w:p>
    <w:p w14:paraId="4CEE274B" w14:textId="77777777" w:rsidR="00CD6BAE" w:rsidRDefault="00CD6BAE" w:rsidP="00CD6BAE">
      <w:pPr>
        <w:jc w:val="both"/>
        <w:rPr>
          <w:rFonts w:ascii="Avenir Next" w:hAnsi="Avenir Next" w:cs="Arial"/>
          <w:color w:val="808080" w:themeColor="background1" w:themeShade="80"/>
          <w:sz w:val="22"/>
          <w:szCs w:val="22"/>
          <w:lang w:val="en-GB"/>
        </w:rPr>
      </w:pPr>
    </w:p>
    <w:p w14:paraId="547D3664" w14:textId="3D597935" w:rsidR="00CD6BAE" w:rsidRPr="00CD6BAE" w:rsidRDefault="00CD6BAE" w:rsidP="00CD6BA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243 of the Companies Act requires that a successful recognition application be gazetted with the specified Registrar.</w:t>
      </w:r>
    </w:p>
    <w:p w14:paraId="5F458A60" w14:textId="77777777" w:rsidR="00BD456A" w:rsidRPr="00310533" w:rsidRDefault="00BD456A"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536B9D76" w14:textId="77777777" w:rsidR="000D4788" w:rsidRDefault="00C741CD"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Caymans Islands is not a signatory to the Hague Convention on the Recognition and Enforcement of Foreign Judgments in Civil and Commercial Matters.</w:t>
      </w:r>
      <w:r>
        <w:rPr>
          <w:rStyle w:val="FootnoteReference"/>
          <w:rFonts w:ascii="Avenir Next" w:hAnsi="Avenir Next" w:cs="Arial"/>
          <w:color w:val="808080" w:themeColor="background1" w:themeShade="80"/>
          <w:sz w:val="22"/>
          <w:szCs w:val="22"/>
          <w:lang w:val="en-GB"/>
        </w:rPr>
        <w:footnoteReference w:id="2"/>
      </w:r>
      <w:r w:rsidR="000D4788">
        <w:rPr>
          <w:rFonts w:ascii="Avenir Next" w:hAnsi="Avenir Next" w:cs="Arial"/>
          <w:color w:val="808080" w:themeColor="background1" w:themeShade="80"/>
          <w:sz w:val="22"/>
          <w:szCs w:val="22"/>
          <w:lang w:val="en-GB"/>
        </w:rPr>
        <w:t xml:space="preserve"> </w:t>
      </w:r>
    </w:p>
    <w:p w14:paraId="132CDA8D" w14:textId="77777777" w:rsidR="000D4788" w:rsidRDefault="000D4788" w:rsidP="00E4294D">
      <w:pPr>
        <w:jc w:val="both"/>
        <w:rPr>
          <w:rFonts w:ascii="Avenir Next" w:hAnsi="Avenir Next" w:cs="Arial"/>
          <w:color w:val="808080" w:themeColor="background1" w:themeShade="80"/>
          <w:sz w:val="22"/>
          <w:szCs w:val="22"/>
          <w:lang w:val="en-GB"/>
        </w:rPr>
      </w:pPr>
    </w:p>
    <w:p w14:paraId="30F79B9E" w14:textId="581EEB9B" w:rsidR="00E4294D" w:rsidRDefault="000D4788"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Judgments Reciprocal Enforcement Act (1996 Revision) provides recognition in the following limited circumstances, the foreign judgment must be: final; monetary; and made after the 1996 Revision. Order 71 of the Grand Court Rules applies the procedural steps to apply for said recognition.</w:t>
      </w:r>
    </w:p>
    <w:p w14:paraId="49F8C04A" w14:textId="66F5BC43" w:rsidR="000D4788" w:rsidRDefault="000D4788" w:rsidP="00E4294D">
      <w:pPr>
        <w:jc w:val="both"/>
        <w:rPr>
          <w:rFonts w:ascii="Avenir Next" w:hAnsi="Avenir Next" w:cs="Arial"/>
          <w:color w:val="808080" w:themeColor="background1" w:themeShade="80"/>
          <w:sz w:val="22"/>
          <w:szCs w:val="22"/>
          <w:lang w:val="en-GB"/>
        </w:rPr>
      </w:pPr>
    </w:p>
    <w:p w14:paraId="7C443DF6" w14:textId="00A37BB4" w:rsidR="000D4788" w:rsidRDefault="000D4788"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common law, recognition is usually achieved by commencing a new action in the Cayman Islands based on the foreign judgment. To meet the requirements, the monetary or non-monetary foreign judgment, must: </w:t>
      </w:r>
    </w:p>
    <w:p w14:paraId="1ECADD4B" w14:textId="67984CC0" w:rsidR="000D4788" w:rsidRDefault="000D4788" w:rsidP="00E4294D">
      <w:pPr>
        <w:jc w:val="both"/>
        <w:rPr>
          <w:rFonts w:ascii="Avenir Next" w:hAnsi="Avenir Next" w:cs="Arial"/>
          <w:color w:val="808080" w:themeColor="background1" w:themeShade="80"/>
          <w:sz w:val="22"/>
          <w:szCs w:val="22"/>
          <w:lang w:val="en-GB"/>
        </w:rPr>
      </w:pPr>
    </w:p>
    <w:p w14:paraId="58C55F07" w14:textId="1ACD622A" w:rsidR="000D4788" w:rsidRDefault="000D4788" w:rsidP="000D478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final, without being obtained by fraud;</w:t>
      </w:r>
    </w:p>
    <w:p w14:paraId="543B9A75" w14:textId="3F8E5037" w:rsidR="000D4788" w:rsidRDefault="000D4788" w:rsidP="000D478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Have been ordered within the preceding 6 years;</w:t>
      </w:r>
      <w:r>
        <w:rPr>
          <w:rStyle w:val="FootnoteReference"/>
          <w:rFonts w:ascii="Avenir Next" w:hAnsi="Avenir Next" w:cs="Arial"/>
          <w:color w:val="808080" w:themeColor="background1" w:themeShade="80"/>
          <w:sz w:val="22"/>
          <w:szCs w:val="22"/>
          <w:lang w:val="en-GB"/>
        </w:rPr>
        <w:footnoteReference w:id="3"/>
      </w:r>
    </w:p>
    <w:p w14:paraId="5007A69B" w14:textId="6CB1FDB2" w:rsidR="000D4788" w:rsidRDefault="000D4788" w:rsidP="000D478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Involve the foreign court having jurisdiction over the debtor; and</w:t>
      </w:r>
    </w:p>
    <w:p w14:paraId="4F360453" w14:textId="346DC587" w:rsidR="000D4788" w:rsidRPr="000D4788" w:rsidRDefault="000D4788" w:rsidP="000D478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 be contrary to Cayman Islands public policy or the rules of natural justice.</w:t>
      </w:r>
    </w:p>
    <w:p w14:paraId="4A4ED8C3" w14:textId="2ACF2EF0" w:rsidR="000D4788" w:rsidRDefault="000D4788" w:rsidP="00E4294D">
      <w:pPr>
        <w:jc w:val="both"/>
        <w:rPr>
          <w:rFonts w:ascii="Avenir Next" w:hAnsi="Avenir Next" w:cs="Arial"/>
          <w:color w:val="808080" w:themeColor="background1" w:themeShade="80"/>
          <w:sz w:val="22"/>
          <w:szCs w:val="22"/>
          <w:lang w:val="en-GB"/>
        </w:rPr>
      </w:pPr>
    </w:p>
    <w:p w14:paraId="0310E65C" w14:textId="58C7886B" w:rsidR="000D4788" w:rsidRDefault="000D4788"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new action can then open up the successful applicant to the full range of domestic remedies. </w:t>
      </w:r>
    </w:p>
    <w:p w14:paraId="79C9593E" w14:textId="77777777" w:rsidR="000D4788" w:rsidRDefault="000D4788" w:rsidP="00E4294D">
      <w:pPr>
        <w:jc w:val="both"/>
        <w:rPr>
          <w:rFonts w:ascii="Avenir Next" w:hAnsi="Avenir Next" w:cs="Arial"/>
          <w:color w:val="808080" w:themeColor="background1" w:themeShade="80"/>
          <w:sz w:val="22"/>
          <w:szCs w:val="22"/>
          <w:lang w:val="en-GB"/>
        </w:rPr>
      </w:pPr>
    </w:p>
    <w:p w14:paraId="725EB4C3" w14:textId="77777777" w:rsidR="000D4788" w:rsidRDefault="000D4788" w:rsidP="002A37BB">
      <w:pPr>
        <w:jc w:val="both"/>
        <w:rPr>
          <w:rFonts w:ascii="Avenir Next" w:hAnsi="Avenir Next" w:cs="Arial"/>
          <w:bCs/>
          <w:sz w:val="22"/>
          <w:szCs w:val="22"/>
          <w:lang w:val="en-GB"/>
        </w:rPr>
      </w:pPr>
    </w:p>
    <w:p w14:paraId="211AF36C" w14:textId="68A98BC6" w:rsidR="00BD456A" w:rsidRPr="00310533" w:rsidRDefault="00BD456A"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012DCF77" w14:textId="77777777" w:rsidR="00CD6BAE" w:rsidRDefault="00CD6BAE">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39D50E2D" w14:textId="01C517C7"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3C96BAC4" w14:textId="76D3F3C2" w:rsidR="00E4294D" w:rsidRDefault="00D9691C"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Companies Act (2023 Revision) does not contain a specific statutory prohibition against insolvent (or wrongful) trading. Rather, the source of power to hold directors personally liable for insolvent trading </w:t>
      </w:r>
      <w:r w:rsidR="009760D8">
        <w:rPr>
          <w:rFonts w:ascii="Avenir Next" w:hAnsi="Avenir Next" w:cs="Arial"/>
          <w:color w:val="808080" w:themeColor="background1" w:themeShade="80"/>
          <w:sz w:val="22"/>
          <w:szCs w:val="22"/>
          <w:lang w:val="en-GB"/>
        </w:rPr>
        <w:t>is the common law fiduciary dut</w:t>
      </w:r>
      <w:r w:rsidR="00CC3A00">
        <w:rPr>
          <w:rFonts w:ascii="Avenir Next" w:hAnsi="Avenir Next" w:cs="Arial"/>
          <w:color w:val="808080" w:themeColor="background1" w:themeShade="80"/>
          <w:sz w:val="22"/>
          <w:szCs w:val="22"/>
          <w:lang w:val="en-GB"/>
        </w:rPr>
        <w:t>y to act in the best interest of creditors.</w:t>
      </w:r>
      <w:r w:rsidR="00CC3A00">
        <w:rPr>
          <w:rStyle w:val="FootnoteReference"/>
          <w:rFonts w:ascii="Avenir Next" w:hAnsi="Avenir Next" w:cs="Arial"/>
          <w:color w:val="808080" w:themeColor="background1" w:themeShade="80"/>
          <w:sz w:val="22"/>
          <w:szCs w:val="22"/>
          <w:lang w:val="en-GB"/>
        </w:rPr>
        <w:footnoteReference w:id="4"/>
      </w:r>
    </w:p>
    <w:p w14:paraId="3C3B4779" w14:textId="4931B94F" w:rsidR="003B1B64" w:rsidRDefault="003B1B64" w:rsidP="00BC3A55">
      <w:pPr>
        <w:jc w:val="both"/>
        <w:rPr>
          <w:rFonts w:ascii="Avenir Next" w:hAnsi="Avenir Next" w:cs="Arial"/>
          <w:color w:val="808080" w:themeColor="background1" w:themeShade="80"/>
          <w:sz w:val="22"/>
          <w:szCs w:val="22"/>
          <w:lang w:val="en-GB"/>
        </w:rPr>
      </w:pPr>
    </w:p>
    <w:p w14:paraId="61812753" w14:textId="0C3F735B" w:rsidR="003B1B64" w:rsidRDefault="003B1B64"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Grand Court of the Cayman Islands has identified two broad categories of fiduciary duties held by directors (excluding those found in the articles of association); these are:</w:t>
      </w:r>
      <w:r>
        <w:rPr>
          <w:rStyle w:val="FootnoteReference"/>
          <w:rFonts w:ascii="Avenir Next" w:hAnsi="Avenir Next" w:cs="Arial"/>
          <w:color w:val="808080" w:themeColor="background1" w:themeShade="80"/>
          <w:sz w:val="22"/>
          <w:szCs w:val="22"/>
          <w:lang w:val="en-GB"/>
        </w:rPr>
        <w:footnoteReference w:id="5"/>
      </w:r>
    </w:p>
    <w:p w14:paraId="5928499A" w14:textId="799C8A75" w:rsidR="003B1B64" w:rsidRDefault="003B1B64" w:rsidP="00BC3A55">
      <w:pPr>
        <w:jc w:val="both"/>
        <w:rPr>
          <w:rFonts w:ascii="Avenir Next" w:hAnsi="Avenir Next" w:cs="Arial"/>
          <w:color w:val="808080" w:themeColor="background1" w:themeShade="80"/>
          <w:sz w:val="22"/>
          <w:szCs w:val="22"/>
          <w:lang w:val="en-GB"/>
        </w:rPr>
      </w:pPr>
    </w:p>
    <w:p w14:paraId="0578B1D4" w14:textId="6CD63FA1" w:rsidR="003B1B64" w:rsidRDefault="003B1B64" w:rsidP="003B1B6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Duty to act honestly and in good faith</w:t>
      </w:r>
      <w:r w:rsidR="00BC63B2">
        <w:rPr>
          <w:rFonts w:ascii="Avenir Next" w:hAnsi="Avenir Next" w:cs="Arial"/>
          <w:color w:val="808080" w:themeColor="background1" w:themeShade="80"/>
          <w:sz w:val="22"/>
          <w:szCs w:val="22"/>
          <w:lang w:val="en-GB"/>
        </w:rPr>
        <w:t xml:space="preserve"> in the exercise of the directors’ vested powers in the best interest of the company.</w:t>
      </w:r>
      <w:r w:rsidR="00BC63B2">
        <w:rPr>
          <w:rStyle w:val="FootnoteReference"/>
          <w:rFonts w:ascii="Avenir Next" w:hAnsi="Avenir Next" w:cs="Arial"/>
          <w:color w:val="808080" w:themeColor="background1" w:themeShade="80"/>
          <w:sz w:val="22"/>
          <w:szCs w:val="22"/>
          <w:lang w:val="en-GB"/>
        </w:rPr>
        <w:footnoteReference w:id="6"/>
      </w:r>
      <w:r w:rsidR="00BC63B2">
        <w:rPr>
          <w:rFonts w:ascii="Avenir Next" w:hAnsi="Avenir Next" w:cs="Arial"/>
          <w:color w:val="808080" w:themeColor="background1" w:themeShade="80"/>
          <w:sz w:val="22"/>
          <w:szCs w:val="22"/>
          <w:lang w:val="en-GB"/>
        </w:rPr>
        <w:t xml:space="preserve"> This duty extends to not acting for a collateral purpose,</w:t>
      </w:r>
      <w:r w:rsidR="00BC63B2">
        <w:rPr>
          <w:rStyle w:val="FootnoteReference"/>
          <w:rFonts w:ascii="Avenir Next" w:hAnsi="Avenir Next" w:cs="Arial"/>
          <w:color w:val="808080" w:themeColor="background1" w:themeShade="80"/>
          <w:sz w:val="22"/>
          <w:szCs w:val="22"/>
          <w:lang w:val="en-GB"/>
        </w:rPr>
        <w:footnoteReference w:id="7"/>
      </w:r>
      <w:r w:rsidR="00BC63B2">
        <w:rPr>
          <w:rFonts w:ascii="Avenir Next" w:hAnsi="Avenir Next" w:cs="Arial"/>
          <w:color w:val="808080" w:themeColor="background1" w:themeShade="80"/>
          <w:sz w:val="22"/>
          <w:szCs w:val="22"/>
          <w:lang w:val="en-GB"/>
        </w:rPr>
        <w:t xml:space="preserve"> or in conflict with their personal interest</w:t>
      </w:r>
      <w:r>
        <w:rPr>
          <w:rFonts w:ascii="Avenir Next" w:hAnsi="Avenir Next" w:cs="Arial"/>
          <w:color w:val="808080" w:themeColor="background1" w:themeShade="80"/>
          <w:sz w:val="22"/>
          <w:szCs w:val="22"/>
          <w:lang w:val="en-GB"/>
        </w:rPr>
        <w:t>;</w:t>
      </w:r>
      <w:r w:rsidR="00BC63B2">
        <w:rPr>
          <w:rStyle w:val="FootnoteReference"/>
          <w:rFonts w:ascii="Avenir Next" w:hAnsi="Avenir Next" w:cs="Arial"/>
          <w:color w:val="808080" w:themeColor="background1" w:themeShade="80"/>
          <w:sz w:val="22"/>
          <w:szCs w:val="22"/>
          <w:lang w:val="en-GB"/>
        </w:rPr>
        <w:footnoteReference w:id="8"/>
      </w:r>
      <w:r>
        <w:rPr>
          <w:rFonts w:ascii="Avenir Next" w:hAnsi="Avenir Next" w:cs="Arial"/>
          <w:color w:val="808080" w:themeColor="background1" w:themeShade="80"/>
          <w:sz w:val="22"/>
          <w:szCs w:val="22"/>
          <w:lang w:val="en-GB"/>
        </w:rPr>
        <w:t xml:space="preserve"> and</w:t>
      </w:r>
    </w:p>
    <w:p w14:paraId="6C59F0CD" w14:textId="00EC3A48" w:rsidR="003B1B64" w:rsidRPr="003B1B64" w:rsidRDefault="003B1B64" w:rsidP="003B1B6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Duty to act with due care and skill</w:t>
      </w:r>
      <w:r w:rsidR="00BC63B2">
        <w:rPr>
          <w:rFonts w:ascii="Avenir Next" w:hAnsi="Avenir Next" w:cs="Arial"/>
          <w:color w:val="808080" w:themeColor="background1" w:themeShade="80"/>
          <w:sz w:val="22"/>
          <w:szCs w:val="22"/>
          <w:lang w:val="en-GB"/>
        </w:rPr>
        <w:t xml:space="preserve"> that a reasonably diligent person could be expected, having regard to the knowledge, skill and experience of the director and a reasonable person</w:t>
      </w:r>
      <w:r>
        <w:rPr>
          <w:rFonts w:ascii="Avenir Next" w:hAnsi="Avenir Next" w:cs="Arial"/>
          <w:color w:val="808080" w:themeColor="background1" w:themeShade="80"/>
          <w:sz w:val="22"/>
          <w:szCs w:val="22"/>
          <w:lang w:val="en-GB"/>
        </w:rPr>
        <w:t>.</w:t>
      </w:r>
      <w:r w:rsidR="00BC63B2">
        <w:rPr>
          <w:rStyle w:val="FootnoteReference"/>
          <w:rFonts w:ascii="Avenir Next" w:hAnsi="Avenir Next" w:cs="Arial"/>
          <w:color w:val="808080" w:themeColor="background1" w:themeShade="80"/>
          <w:sz w:val="22"/>
          <w:szCs w:val="22"/>
          <w:lang w:val="en-GB"/>
        </w:rPr>
        <w:footnoteReference w:id="9"/>
      </w:r>
    </w:p>
    <w:p w14:paraId="5DD6F947" w14:textId="7C592090" w:rsidR="00CC3A00" w:rsidRDefault="00CC3A00" w:rsidP="00BC3A55">
      <w:pPr>
        <w:jc w:val="both"/>
        <w:rPr>
          <w:rFonts w:ascii="Avenir Next" w:hAnsi="Avenir Next" w:cs="Arial"/>
          <w:color w:val="808080" w:themeColor="background1" w:themeShade="80"/>
          <w:sz w:val="22"/>
          <w:szCs w:val="22"/>
          <w:lang w:val="en-GB"/>
        </w:rPr>
      </w:pPr>
    </w:p>
    <w:p w14:paraId="02431DAB" w14:textId="0A9B0AE8" w:rsidR="0075026B" w:rsidRDefault="0075026B"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the </w:t>
      </w:r>
      <w:r w:rsidRPr="0075026B">
        <w:rPr>
          <w:rFonts w:ascii="Avenir Next" w:hAnsi="Avenir Next" w:cs="Arial"/>
          <w:i/>
          <w:iCs/>
          <w:color w:val="808080" w:themeColor="background1" w:themeShade="80"/>
          <w:sz w:val="22"/>
          <w:szCs w:val="22"/>
          <w:lang w:val="en-GB"/>
        </w:rPr>
        <w:t>Prospect Properties v McNeill</w:t>
      </w:r>
      <w:r>
        <w:rPr>
          <w:rFonts w:ascii="Avenir Next" w:hAnsi="Avenir Next" w:cs="Arial"/>
          <w:color w:val="808080" w:themeColor="background1" w:themeShade="80"/>
          <w:sz w:val="22"/>
          <w:szCs w:val="22"/>
          <w:lang w:val="en-GB"/>
        </w:rPr>
        <w:t xml:space="preserve"> case,</w:t>
      </w:r>
      <w:r>
        <w:rPr>
          <w:rStyle w:val="FootnoteReference"/>
          <w:rFonts w:ascii="Avenir Next" w:hAnsi="Avenir Next" w:cs="Arial"/>
          <w:color w:val="808080" w:themeColor="background1" w:themeShade="80"/>
          <w:sz w:val="22"/>
          <w:szCs w:val="22"/>
          <w:lang w:val="en-GB"/>
        </w:rPr>
        <w:footnoteReference w:id="10"/>
      </w:r>
      <w:r>
        <w:rPr>
          <w:rFonts w:ascii="Avenir Next" w:hAnsi="Avenir Next" w:cs="Arial"/>
          <w:color w:val="808080" w:themeColor="background1" w:themeShade="80"/>
          <w:sz w:val="22"/>
          <w:szCs w:val="22"/>
          <w:lang w:val="en-GB"/>
        </w:rPr>
        <w:t xml:space="preserve"> these duties owed to the company/shareholders are altered when the company is insolvent (or is likely to become insolvent)</w:t>
      </w:r>
      <w:r w:rsidR="003018F2">
        <w:rPr>
          <w:rFonts w:ascii="Avenir Next" w:hAnsi="Avenir Next" w:cs="Arial"/>
          <w:color w:val="808080" w:themeColor="background1" w:themeShade="80"/>
          <w:sz w:val="22"/>
          <w:szCs w:val="22"/>
          <w:lang w:val="en-GB"/>
        </w:rPr>
        <w:t xml:space="preserve"> to a paramount duty to its creditors</w:t>
      </w:r>
      <w:r>
        <w:rPr>
          <w:rFonts w:ascii="Avenir Next" w:hAnsi="Avenir Next" w:cs="Arial"/>
          <w:color w:val="808080" w:themeColor="background1" w:themeShade="80"/>
          <w:sz w:val="22"/>
          <w:szCs w:val="22"/>
          <w:lang w:val="en-GB"/>
        </w:rPr>
        <w:t xml:space="preserve">. </w:t>
      </w:r>
      <w:r w:rsidR="003018F2">
        <w:rPr>
          <w:rFonts w:ascii="Avenir Next" w:hAnsi="Avenir Next" w:cs="Arial"/>
          <w:color w:val="808080" w:themeColor="background1" w:themeShade="80"/>
          <w:sz w:val="22"/>
          <w:szCs w:val="22"/>
          <w:lang w:val="en-GB"/>
        </w:rPr>
        <w:t xml:space="preserve">This ‘creditor duty’ is also supported by the decisions of (at least) </w:t>
      </w:r>
      <w:r w:rsidR="003018F2" w:rsidRPr="003018F2">
        <w:rPr>
          <w:rFonts w:ascii="Avenir Next" w:hAnsi="Avenir Next" w:cs="Arial"/>
          <w:i/>
          <w:iCs/>
          <w:color w:val="808080" w:themeColor="background1" w:themeShade="80"/>
          <w:sz w:val="22"/>
          <w:szCs w:val="22"/>
          <w:lang w:val="en-GB"/>
        </w:rPr>
        <w:t>AHAB v SAAD Investments Company Limited</w:t>
      </w:r>
      <w:r w:rsidR="003018F2">
        <w:rPr>
          <w:rFonts w:ascii="Avenir Next" w:hAnsi="Avenir Next" w:cs="Arial"/>
          <w:color w:val="808080" w:themeColor="background1" w:themeShade="80"/>
          <w:sz w:val="22"/>
          <w:szCs w:val="22"/>
          <w:lang w:val="en-GB"/>
        </w:rPr>
        <w:t xml:space="preserve"> (2021, unreported, CICA 15 of 2018), </w:t>
      </w:r>
      <w:r w:rsidR="003018F2" w:rsidRPr="003018F2">
        <w:rPr>
          <w:rFonts w:ascii="Avenir Next" w:hAnsi="Avenir Next" w:cs="Arial"/>
          <w:i/>
          <w:iCs/>
          <w:color w:val="808080" w:themeColor="background1" w:themeShade="80"/>
          <w:sz w:val="22"/>
          <w:szCs w:val="22"/>
          <w:lang w:val="en-GB"/>
        </w:rPr>
        <w:t xml:space="preserve">West Mercia </w:t>
      </w:r>
      <w:proofErr w:type="spellStart"/>
      <w:r w:rsidR="003018F2" w:rsidRPr="003018F2">
        <w:rPr>
          <w:rFonts w:ascii="Avenir Next" w:hAnsi="Avenir Next" w:cs="Arial"/>
          <w:i/>
          <w:iCs/>
          <w:color w:val="808080" w:themeColor="background1" w:themeShade="80"/>
          <w:sz w:val="22"/>
          <w:szCs w:val="22"/>
          <w:lang w:val="en-GB"/>
        </w:rPr>
        <w:t>Safetywear</w:t>
      </w:r>
      <w:proofErr w:type="spellEnd"/>
      <w:r w:rsidR="003018F2" w:rsidRPr="003018F2">
        <w:rPr>
          <w:rFonts w:ascii="Avenir Next" w:hAnsi="Avenir Next" w:cs="Arial"/>
          <w:i/>
          <w:iCs/>
          <w:color w:val="808080" w:themeColor="background1" w:themeShade="80"/>
          <w:sz w:val="22"/>
          <w:szCs w:val="22"/>
          <w:lang w:val="en-GB"/>
        </w:rPr>
        <w:t xml:space="preserve"> Ltd (in </w:t>
      </w:r>
      <w:proofErr w:type="spellStart"/>
      <w:r w:rsidR="003018F2" w:rsidRPr="003018F2">
        <w:rPr>
          <w:rFonts w:ascii="Avenir Next" w:hAnsi="Avenir Next" w:cs="Arial"/>
          <w:i/>
          <w:iCs/>
          <w:color w:val="808080" w:themeColor="background1" w:themeShade="80"/>
          <w:sz w:val="22"/>
          <w:szCs w:val="22"/>
          <w:lang w:val="en-GB"/>
        </w:rPr>
        <w:t>Liq</w:t>
      </w:r>
      <w:proofErr w:type="spellEnd"/>
      <w:r w:rsidR="003018F2" w:rsidRPr="003018F2">
        <w:rPr>
          <w:rFonts w:ascii="Avenir Next" w:hAnsi="Avenir Next" w:cs="Arial"/>
          <w:i/>
          <w:iCs/>
          <w:color w:val="808080" w:themeColor="background1" w:themeShade="80"/>
          <w:sz w:val="22"/>
          <w:szCs w:val="22"/>
          <w:lang w:val="en-GB"/>
        </w:rPr>
        <w:t xml:space="preserve">) v Dodd </w:t>
      </w:r>
      <w:r w:rsidR="003018F2" w:rsidRPr="003018F2">
        <w:rPr>
          <w:rFonts w:ascii="Avenir Next" w:hAnsi="Avenir Next" w:cs="Arial"/>
          <w:color w:val="808080" w:themeColor="background1" w:themeShade="80"/>
          <w:sz w:val="22"/>
          <w:szCs w:val="22"/>
          <w:lang w:val="en-GB"/>
        </w:rPr>
        <w:t>[1988] BCLC 250</w:t>
      </w:r>
      <w:r w:rsidR="003018F2">
        <w:rPr>
          <w:rFonts w:ascii="Avenir Next" w:hAnsi="Avenir Next" w:cs="Arial"/>
          <w:color w:val="808080" w:themeColor="background1" w:themeShade="80"/>
          <w:sz w:val="22"/>
          <w:szCs w:val="22"/>
          <w:lang w:val="en-GB"/>
        </w:rPr>
        <w:t xml:space="preserve"> and</w:t>
      </w:r>
      <w:r w:rsidR="003018F2" w:rsidRPr="003018F2">
        <w:t xml:space="preserve"> </w:t>
      </w:r>
      <w:r w:rsidR="003018F2" w:rsidRPr="003018F2">
        <w:rPr>
          <w:rFonts w:ascii="Avenir Next" w:hAnsi="Avenir Next" w:cs="Arial"/>
          <w:i/>
          <w:iCs/>
          <w:color w:val="808080" w:themeColor="background1" w:themeShade="80"/>
          <w:sz w:val="22"/>
          <w:szCs w:val="22"/>
          <w:lang w:val="en-GB"/>
        </w:rPr>
        <w:t xml:space="preserve">BTI 2014 LLC v </w:t>
      </w:r>
      <w:proofErr w:type="spellStart"/>
      <w:r w:rsidR="003018F2" w:rsidRPr="003018F2">
        <w:rPr>
          <w:rFonts w:ascii="Avenir Next" w:hAnsi="Avenir Next" w:cs="Arial"/>
          <w:i/>
          <w:iCs/>
          <w:color w:val="808080" w:themeColor="background1" w:themeShade="80"/>
          <w:sz w:val="22"/>
          <w:szCs w:val="22"/>
          <w:lang w:val="en-GB"/>
        </w:rPr>
        <w:t>Sequana</w:t>
      </w:r>
      <w:proofErr w:type="spellEnd"/>
      <w:r w:rsidR="003018F2" w:rsidRPr="003018F2">
        <w:rPr>
          <w:rFonts w:ascii="Avenir Next" w:hAnsi="Avenir Next" w:cs="Arial"/>
          <w:i/>
          <w:iCs/>
          <w:color w:val="808080" w:themeColor="background1" w:themeShade="80"/>
          <w:sz w:val="22"/>
          <w:szCs w:val="22"/>
          <w:lang w:val="en-GB"/>
        </w:rPr>
        <w:t xml:space="preserve"> SA &amp; </w:t>
      </w:r>
      <w:proofErr w:type="spellStart"/>
      <w:r w:rsidR="003018F2" w:rsidRPr="003018F2">
        <w:rPr>
          <w:rFonts w:ascii="Avenir Next" w:hAnsi="Avenir Next" w:cs="Arial"/>
          <w:i/>
          <w:iCs/>
          <w:color w:val="808080" w:themeColor="background1" w:themeShade="80"/>
          <w:sz w:val="22"/>
          <w:szCs w:val="22"/>
          <w:lang w:val="en-GB"/>
        </w:rPr>
        <w:t>Ors</w:t>
      </w:r>
      <w:proofErr w:type="spellEnd"/>
      <w:r w:rsidR="003018F2" w:rsidRPr="003018F2">
        <w:rPr>
          <w:rFonts w:ascii="Avenir Next" w:hAnsi="Avenir Next" w:cs="Arial"/>
          <w:color w:val="808080" w:themeColor="background1" w:themeShade="80"/>
          <w:sz w:val="22"/>
          <w:szCs w:val="22"/>
          <w:lang w:val="en-GB"/>
        </w:rPr>
        <w:t xml:space="preserve"> [2022] UKSC 25</w:t>
      </w:r>
      <w:r w:rsidR="003018F2">
        <w:rPr>
          <w:rFonts w:ascii="Avenir Next" w:hAnsi="Avenir Next" w:cs="Arial"/>
          <w:color w:val="808080" w:themeColor="background1" w:themeShade="80"/>
          <w:sz w:val="22"/>
          <w:szCs w:val="22"/>
          <w:lang w:val="en-GB"/>
        </w:rPr>
        <w:t xml:space="preserve">. </w:t>
      </w:r>
    </w:p>
    <w:p w14:paraId="78FE1987" w14:textId="47265989" w:rsidR="003018F2" w:rsidRDefault="003018F2" w:rsidP="00BC3A55">
      <w:pPr>
        <w:jc w:val="both"/>
        <w:rPr>
          <w:rFonts w:ascii="Avenir Next" w:hAnsi="Avenir Next" w:cs="Arial"/>
          <w:color w:val="808080" w:themeColor="background1" w:themeShade="80"/>
          <w:sz w:val="22"/>
          <w:szCs w:val="22"/>
          <w:lang w:val="en-GB"/>
        </w:rPr>
      </w:pPr>
    </w:p>
    <w:p w14:paraId="2545C299" w14:textId="1F7AB1A8" w:rsidR="003018F2" w:rsidRDefault="003018F2"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for the ‘creditor duty’ to be enlivened, the </w:t>
      </w:r>
      <w:r w:rsidR="007D3188">
        <w:rPr>
          <w:rFonts w:ascii="Avenir Next" w:hAnsi="Avenir Next" w:cs="Arial"/>
          <w:color w:val="808080" w:themeColor="background1" w:themeShade="80"/>
          <w:sz w:val="22"/>
          <w:szCs w:val="22"/>
          <w:lang w:val="en-GB"/>
        </w:rPr>
        <w:t>court will consider whether the company can pay its liabilities as and when they fall due (</w:t>
      </w:r>
      <w:proofErr w:type="spellStart"/>
      <w:r w:rsidR="007D3188">
        <w:rPr>
          <w:rFonts w:ascii="Avenir Next" w:hAnsi="Avenir Next" w:cs="Arial"/>
          <w:color w:val="808080" w:themeColor="background1" w:themeShade="80"/>
          <w:sz w:val="22"/>
          <w:szCs w:val="22"/>
          <w:lang w:val="en-GB"/>
        </w:rPr>
        <w:t>ie</w:t>
      </w:r>
      <w:proofErr w:type="spellEnd"/>
      <w:r w:rsidR="007D3188">
        <w:rPr>
          <w:rFonts w:ascii="Avenir Next" w:hAnsi="Avenir Next" w:cs="Arial"/>
          <w:color w:val="808080" w:themeColor="background1" w:themeShade="80"/>
          <w:sz w:val="22"/>
          <w:szCs w:val="22"/>
          <w:lang w:val="en-GB"/>
        </w:rPr>
        <w:t xml:space="preserve"> a cash flow test),</w:t>
      </w:r>
      <w:r w:rsidR="007D3188">
        <w:rPr>
          <w:rStyle w:val="FootnoteReference"/>
          <w:rFonts w:ascii="Avenir Next" w:hAnsi="Avenir Next" w:cs="Arial"/>
          <w:color w:val="808080" w:themeColor="background1" w:themeShade="80"/>
          <w:sz w:val="22"/>
          <w:szCs w:val="22"/>
          <w:lang w:val="en-GB"/>
        </w:rPr>
        <w:footnoteReference w:id="11"/>
      </w:r>
      <w:r w:rsidR="007D3188">
        <w:rPr>
          <w:rFonts w:ascii="Avenir Next" w:hAnsi="Avenir Next" w:cs="Arial"/>
          <w:color w:val="808080" w:themeColor="background1" w:themeShade="80"/>
          <w:sz w:val="22"/>
          <w:szCs w:val="22"/>
          <w:lang w:val="en-GB"/>
        </w:rPr>
        <w:t xml:space="preserve"> including a consideration of due and payable debts in the reasonably foreseeable future.</w:t>
      </w:r>
      <w:r w:rsidR="007D3188">
        <w:rPr>
          <w:rStyle w:val="FootnoteReference"/>
          <w:rFonts w:ascii="Avenir Next" w:hAnsi="Avenir Next" w:cs="Arial"/>
          <w:color w:val="808080" w:themeColor="background1" w:themeShade="80"/>
          <w:sz w:val="22"/>
          <w:szCs w:val="22"/>
          <w:lang w:val="en-GB"/>
        </w:rPr>
        <w:footnoteReference w:id="12"/>
      </w:r>
    </w:p>
    <w:p w14:paraId="34658C8A" w14:textId="16E64C39" w:rsidR="0075026B" w:rsidRDefault="0075026B" w:rsidP="00BC3A55">
      <w:pPr>
        <w:jc w:val="both"/>
        <w:rPr>
          <w:rFonts w:ascii="Avenir Next" w:hAnsi="Avenir Next" w:cs="Arial"/>
          <w:color w:val="808080" w:themeColor="background1" w:themeShade="80"/>
          <w:sz w:val="22"/>
          <w:szCs w:val="22"/>
          <w:lang w:val="en-GB"/>
        </w:rPr>
      </w:pPr>
    </w:p>
    <w:p w14:paraId="1449AFBA" w14:textId="0A8B9051" w:rsidR="007D3188" w:rsidRDefault="007D3188"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Accordingly, where the </w:t>
      </w:r>
      <w:r w:rsidR="00C34B32">
        <w:rPr>
          <w:rFonts w:ascii="Avenir Next" w:hAnsi="Avenir Next" w:cs="Arial"/>
          <w:color w:val="808080" w:themeColor="background1" w:themeShade="80"/>
          <w:sz w:val="22"/>
          <w:szCs w:val="22"/>
          <w:lang w:val="en-GB"/>
        </w:rPr>
        <w:t xml:space="preserve">official </w:t>
      </w:r>
      <w:r>
        <w:rPr>
          <w:rFonts w:ascii="Avenir Next" w:hAnsi="Avenir Next" w:cs="Arial"/>
          <w:color w:val="808080" w:themeColor="background1" w:themeShade="80"/>
          <w:sz w:val="22"/>
          <w:szCs w:val="22"/>
          <w:lang w:val="en-GB"/>
        </w:rPr>
        <w:t>liquidator reasonable suspects that a director(s) has breached a creditor duty, then the</w:t>
      </w:r>
      <w:r w:rsidR="00C34B32">
        <w:rPr>
          <w:rFonts w:ascii="Avenir Next" w:hAnsi="Avenir Next" w:cs="Arial"/>
          <w:color w:val="808080" w:themeColor="background1" w:themeShade="80"/>
          <w:sz w:val="22"/>
          <w:szCs w:val="22"/>
          <w:lang w:val="en-GB"/>
        </w:rPr>
        <w:t xml:space="preserve"> official</w:t>
      </w:r>
      <w:r>
        <w:rPr>
          <w:rFonts w:ascii="Avenir Next" w:hAnsi="Avenir Next" w:cs="Arial"/>
          <w:color w:val="808080" w:themeColor="background1" w:themeShade="80"/>
          <w:sz w:val="22"/>
          <w:szCs w:val="22"/>
          <w:lang w:val="en-GB"/>
        </w:rPr>
        <w:t xml:space="preserve"> liquidator may apply</w:t>
      </w:r>
      <w:r w:rsidR="00926EC1">
        <w:rPr>
          <w:rStyle w:val="FootnoteReference"/>
          <w:rFonts w:ascii="Avenir Next" w:hAnsi="Avenir Next" w:cs="Arial"/>
          <w:color w:val="808080" w:themeColor="background1" w:themeShade="80"/>
          <w:sz w:val="22"/>
          <w:szCs w:val="22"/>
          <w:lang w:val="en-GB"/>
        </w:rPr>
        <w:footnoteReference w:id="13"/>
      </w:r>
      <w:r>
        <w:rPr>
          <w:rFonts w:ascii="Avenir Next" w:hAnsi="Avenir Next" w:cs="Arial"/>
          <w:color w:val="808080" w:themeColor="background1" w:themeShade="80"/>
          <w:sz w:val="22"/>
          <w:szCs w:val="22"/>
          <w:lang w:val="en-GB"/>
        </w:rPr>
        <w:t xml:space="preserve"> </w:t>
      </w:r>
      <w:r w:rsidR="00926EC1">
        <w:rPr>
          <w:rFonts w:ascii="Avenir Next" w:hAnsi="Avenir Next" w:cs="Arial"/>
          <w:color w:val="808080" w:themeColor="background1" w:themeShade="80"/>
          <w:sz w:val="22"/>
          <w:szCs w:val="22"/>
          <w:lang w:val="en-GB"/>
        </w:rPr>
        <w:t xml:space="preserve">to court </w:t>
      </w:r>
      <w:r>
        <w:rPr>
          <w:rFonts w:ascii="Avenir Next" w:hAnsi="Avenir Next" w:cs="Arial"/>
          <w:color w:val="808080" w:themeColor="background1" w:themeShade="80"/>
          <w:sz w:val="22"/>
          <w:szCs w:val="22"/>
          <w:lang w:val="en-GB"/>
        </w:rPr>
        <w:t>under common law for (</w:t>
      </w:r>
      <w:r>
        <w:rPr>
          <w:rFonts w:ascii="Avenir Next" w:hAnsi="Avenir Next" w:cs="Arial"/>
          <w:i/>
          <w:iCs/>
          <w:color w:val="808080" w:themeColor="background1" w:themeShade="80"/>
          <w:sz w:val="22"/>
          <w:szCs w:val="22"/>
          <w:lang w:val="en-GB"/>
        </w:rPr>
        <w:t>inter alia</w:t>
      </w:r>
      <w:r>
        <w:rPr>
          <w:rFonts w:ascii="Avenir Next" w:hAnsi="Avenir Next" w:cs="Arial"/>
          <w:color w:val="808080" w:themeColor="background1" w:themeShade="80"/>
          <w:sz w:val="22"/>
          <w:szCs w:val="22"/>
          <w:lang w:val="en-GB"/>
        </w:rPr>
        <w:t xml:space="preserve">): </w:t>
      </w:r>
    </w:p>
    <w:p w14:paraId="13C331C3" w14:textId="77777777" w:rsidR="007D3188" w:rsidRDefault="007D3188" w:rsidP="007D3188">
      <w:pPr>
        <w:pStyle w:val="ListParagraph"/>
        <w:numPr>
          <w:ilvl w:val="0"/>
          <w:numId w:val="43"/>
        </w:numPr>
        <w:jc w:val="both"/>
        <w:rPr>
          <w:rFonts w:ascii="Avenir Next" w:hAnsi="Avenir Next" w:cs="Arial"/>
          <w:color w:val="808080" w:themeColor="background1" w:themeShade="80"/>
          <w:sz w:val="22"/>
          <w:szCs w:val="22"/>
          <w:lang w:val="en-GB"/>
        </w:rPr>
      </w:pPr>
      <w:r w:rsidRPr="007D3188">
        <w:rPr>
          <w:rFonts w:ascii="Avenir Next" w:hAnsi="Avenir Next" w:cs="Arial"/>
          <w:color w:val="808080" w:themeColor="background1" w:themeShade="80"/>
          <w:sz w:val="22"/>
          <w:szCs w:val="22"/>
          <w:lang w:val="en-GB"/>
        </w:rPr>
        <w:t xml:space="preserve">declarations that </w:t>
      </w:r>
      <w:r>
        <w:rPr>
          <w:rFonts w:ascii="Avenir Next" w:hAnsi="Avenir Next" w:cs="Arial"/>
          <w:color w:val="808080" w:themeColor="background1" w:themeShade="80"/>
          <w:sz w:val="22"/>
          <w:szCs w:val="22"/>
          <w:lang w:val="en-GB"/>
        </w:rPr>
        <w:t>the director has breach the relevant duty;</w:t>
      </w:r>
    </w:p>
    <w:p w14:paraId="1C06F742" w14:textId="1223DE99" w:rsidR="007D3188" w:rsidRDefault="007D3188" w:rsidP="007D3188">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declarations that </w:t>
      </w:r>
      <w:r w:rsidRPr="007D3188">
        <w:rPr>
          <w:rFonts w:ascii="Avenir Next" w:hAnsi="Avenir Next" w:cs="Arial"/>
          <w:color w:val="808080" w:themeColor="background1" w:themeShade="80"/>
          <w:sz w:val="22"/>
          <w:szCs w:val="22"/>
          <w:lang w:val="en-GB"/>
        </w:rPr>
        <w:t>a particular transaction/payment is void or invalid</w:t>
      </w:r>
      <w:r>
        <w:rPr>
          <w:rFonts w:ascii="Avenir Next" w:hAnsi="Avenir Next" w:cs="Arial"/>
          <w:color w:val="808080" w:themeColor="background1" w:themeShade="80"/>
          <w:sz w:val="22"/>
          <w:szCs w:val="22"/>
          <w:lang w:val="en-GB"/>
        </w:rPr>
        <w:t>;</w:t>
      </w:r>
      <w:r w:rsidR="00C34B32">
        <w:rPr>
          <w:rFonts w:ascii="Avenir Next" w:hAnsi="Avenir Next" w:cs="Arial"/>
          <w:color w:val="808080" w:themeColor="background1" w:themeShade="80"/>
          <w:sz w:val="22"/>
          <w:szCs w:val="22"/>
          <w:lang w:val="en-GB"/>
        </w:rPr>
        <w:t xml:space="preserve"> and/or</w:t>
      </w:r>
    </w:p>
    <w:p w14:paraId="04B23547" w14:textId="3C17843F" w:rsidR="007D3188" w:rsidRDefault="00C34B32" w:rsidP="007D3188">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damages (payable personally by the director) in the amount of the loss suffered by creditor debts incurred following the relevant date of insolvency.</w:t>
      </w:r>
    </w:p>
    <w:p w14:paraId="6D393B5A" w14:textId="0BFE58D5" w:rsidR="00C34B32" w:rsidRDefault="00C34B32" w:rsidP="00C34B32">
      <w:pPr>
        <w:jc w:val="both"/>
        <w:rPr>
          <w:rFonts w:ascii="Avenir Next" w:hAnsi="Avenir Next" w:cs="Arial"/>
          <w:color w:val="808080" w:themeColor="background1" w:themeShade="80"/>
          <w:sz w:val="22"/>
          <w:szCs w:val="22"/>
          <w:lang w:val="en-GB"/>
        </w:rPr>
      </w:pPr>
    </w:p>
    <w:p w14:paraId="37A29608" w14:textId="341CBBAD" w:rsidR="00C34B32" w:rsidRPr="00C34B32" w:rsidRDefault="00C34B32" w:rsidP="00C34B3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 note that there is no statutory limitation for the</w:t>
      </w:r>
      <w:r w:rsidRPr="00C34B3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official liquidator to bring such a claim (see the Limitation Act (1996 Revision)), however the liquidator needs to consider (if considering bringing proceedings after considerable time delay) whether the defence of laches or acquiescence in the law of equity applies (see </w:t>
      </w:r>
      <w:r w:rsidRPr="00C34B32">
        <w:rPr>
          <w:rFonts w:ascii="Avenir Next" w:hAnsi="Avenir Next" w:cs="Arial"/>
          <w:color w:val="808080" w:themeColor="background1" w:themeShade="80"/>
          <w:sz w:val="22"/>
          <w:szCs w:val="22"/>
          <w:lang w:val="en-GB"/>
        </w:rPr>
        <w:t xml:space="preserve">Prospect Properties v McNeill [1990-91 CILR </w:t>
      </w:r>
      <w:r>
        <w:rPr>
          <w:rFonts w:ascii="Avenir Next" w:hAnsi="Avenir Next" w:cs="Arial"/>
          <w:color w:val="808080" w:themeColor="background1" w:themeShade="80"/>
          <w:sz w:val="22"/>
          <w:szCs w:val="22"/>
          <w:lang w:val="en-GB"/>
        </w:rPr>
        <w:t>171, 207-211</w:t>
      </w:r>
      <w:r w:rsidRPr="00C34B3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r w:rsidRPr="00C34B32">
        <w:rPr>
          <w:rFonts w:ascii="Avenir Next" w:hAnsi="Avenir Next" w:cs="Arial"/>
          <w:color w:val="808080" w:themeColor="background1" w:themeShade="80"/>
          <w:sz w:val="22"/>
          <w:szCs w:val="22"/>
          <w:lang w:val="en-GB"/>
        </w:rPr>
        <w:t>.</w:t>
      </w:r>
    </w:p>
    <w:p w14:paraId="39547644" w14:textId="557CB51D" w:rsidR="00926EC1" w:rsidRDefault="00926EC1">
      <w:pPr>
        <w:rPr>
          <w:rFonts w:ascii="Avenir Next Demi Bold" w:hAnsi="Avenir Next Demi Bold" w:cs="Arial"/>
          <w:b/>
          <w:bCs/>
          <w:sz w:val="22"/>
          <w:szCs w:val="22"/>
          <w:shd w:val="clear" w:color="auto" w:fill="FFFFFF"/>
        </w:rPr>
      </w:pPr>
    </w:p>
    <w:p w14:paraId="740F5748" w14:textId="40E8AD7D"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30B24121" w14:textId="77777777" w:rsidR="00C741CD" w:rsidRDefault="00C741CD" w:rsidP="00FA10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r</w:t>
      </w:r>
      <w:r w:rsidR="00FA1080">
        <w:rPr>
          <w:rFonts w:ascii="Avenir Next" w:hAnsi="Avenir Next" w:cs="Arial"/>
          <w:color w:val="808080" w:themeColor="background1" w:themeShade="80"/>
          <w:sz w:val="22"/>
          <w:szCs w:val="22"/>
          <w:lang w:val="en-GB"/>
        </w:rPr>
        <w:t>eceiverships are not governed by the Companies Act or Companies Winding Up Rules</w:t>
      </w:r>
      <w:r>
        <w:rPr>
          <w:rFonts w:ascii="Avenir Next" w:hAnsi="Avenir Next" w:cs="Arial"/>
          <w:color w:val="808080" w:themeColor="background1" w:themeShade="80"/>
          <w:sz w:val="22"/>
          <w:szCs w:val="22"/>
          <w:lang w:val="en-GB"/>
        </w:rPr>
        <w:t>,</w:t>
      </w:r>
      <w:r w:rsidR="00FA1080">
        <w:rPr>
          <w:rStyle w:val="FootnoteReference"/>
          <w:rFonts w:ascii="Avenir Next" w:hAnsi="Avenir Next" w:cs="Arial"/>
          <w:color w:val="808080" w:themeColor="background1" w:themeShade="80"/>
          <w:sz w:val="22"/>
          <w:szCs w:val="22"/>
          <w:lang w:val="en-GB"/>
        </w:rPr>
        <w:footnoteReference w:id="14"/>
      </w:r>
      <w:r>
        <w:rPr>
          <w:rFonts w:ascii="Avenir Next" w:hAnsi="Avenir Next" w:cs="Arial"/>
          <w:color w:val="808080" w:themeColor="background1" w:themeShade="80"/>
          <w:sz w:val="22"/>
          <w:szCs w:val="22"/>
          <w:lang w:val="en-GB"/>
        </w:rPr>
        <w:t xml:space="preserve"> they do play a role in the Cayman Island insolvency framework.</w:t>
      </w:r>
      <w:r w:rsidR="00FA1080">
        <w:rPr>
          <w:rFonts w:ascii="Avenir Next" w:hAnsi="Avenir Next" w:cs="Arial"/>
          <w:color w:val="808080" w:themeColor="background1" w:themeShade="80"/>
          <w:sz w:val="22"/>
          <w:szCs w:val="22"/>
          <w:lang w:val="en-GB"/>
        </w:rPr>
        <w:t xml:space="preserve"> </w:t>
      </w:r>
    </w:p>
    <w:p w14:paraId="69E83C7D" w14:textId="77777777" w:rsidR="00C741CD" w:rsidRDefault="00C741CD" w:rsidP="00FA1080">
      <w:pPr>
        <w:jc w:val="both"/>
        <w:rPr>
          <w:rFonts w:ascii="Avenir Next" w:hAnsi="Avenir Next" w:cs="Arial"/>
          <w:color w:val="808080" w:themeColor="background1" w:themeShade="80"/>
          <w:sz w:val="22"/>
          <w:szCs w:val="22"/>
          <w:lang w:val="en-GB"/>
        </w:rPr>
      </w:pPr>
    </w:p>
    <w:p w14:paraId="744ACE5C" w14:textId="41796A1A" w:rsidR="00FA1080" w:rsidRDefault="00FA1080" w:rsidP="00FA10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Receivers can be:</w:t>
      </w:r>
    </w:p>
    <w:p w14:paraId="4B7BC047" w14:textId="658C4E1D" w:rsidR="00FA1080" w:rsidRDefault="00FA1080" w:rsidP="00FA1080">
      <w:pPr>
        <w:jc w:val="both"/>
        <w:rPr>
          <w:rFonts w:ascii="Avenir Next" w:hAnsi="Avenir Next" w:cs="Arial"/>
          <w:color w:val="808080" w:themeColor="background1" w:themeShade="80"/>
          <w:sz w:val="22"/>
          <w:szCs w:val="22"/>
          <w:lang w:val="en-GB"/>
        </w:rPr>
      </w:pPr>
    </w:p>
    <w:p w14:paraId="423F1116" w14:textId="448F27B9" w:rsidR="00FA1080" w:rsidRDefault="00FA1080" w:rsidP="00C741CD">
      <w:pPr>
        <w:pStyle w:val="ListParagraph"/>
        <w:numPr>
          <w:ilvl w:val="0"/>
          <w:numId w:val="45"/>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appointed by the court</w:t>
      </w:r>
      <w:r w:rsidR="00C741CD">
        <w:rPr>
          <w:rFonts w:ascii="Avenir Next" w:hAnsi="Avenir Next" w:cs="Arial"/>
          <w:color w:val="808080" w:themeColor="background1" w:themeShade="80"/>
          <w:sz w:val="22"/>
          <w:szCs w:val="22"/>
          <w:lang w:val="en-GB"/>
        </w:rPr>
        <w:t>, for example, to collect money or carry out some other act (like where it is just and equitable)</w:t>
      </w:r>
      <w:r>
        <w:rPr>
          <w:rFonts w:ascii="Avenir Next" w:hAnsi="Avenir Next" w:cs="Arial"/>
          <w:color w:val="808080" w:themeColor="background1" w:themeShade="80"/>
          <w:sz w:val="22"/>
          <w:szCs w:val="22"/>
          <w:lang w:val="en-GB"/>
        </w:rPr>
        <w:t xml:space="preserve">; </w:t>
      </w:r>
    </w:p>
    <w:p w14:paraId="18403F8D" w14:textId="77777777" w:rsidR="00FA1080" w:rsidRDefault="00FA1080" w:rsidP="00C741CD">
      <w:pPr>
        <w:pStyle w:val="ListParagraph"/>
        <w:ind w:left="360"/>
        <w:jc w:val="both"/>
        <w:rPr>
          <w:rFonts w:ascii="Avenir Next" w:hAnsi="Avenir Next" w:cs="Arial"/>
          <w:color w:val="808080" w:themeColor="background1" w:themeShade="80"/>
          <w:sz w:val="22"/>
          <w:szCs w:val="22"/>
          <w:lang w:val="en-GB"/>
        </w:rPr>
      </w:pPr>
    </w:p>
    <w:p w14:paraId="529DA512" w14:textId="24BC335C" w:rsidR="00FA1080" w:rsidRDefault="00FA1080" w:rsidP="00C741CD">
      <w:pPr>
        <w:pStyle w:val="ListParagraph"/>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 appointments as receiver are governed by Order 30 of the Grand Court Rules</w:t>
      </w:r>
      <w:r w:rsidR="00C741CD">
        <w:rPr>
          <w:rFonts w:ascii="Avenir Next" w:hAnsi="Avenir Next" w:cs="Arial"/>
          <w:color w:val="808080" w:themeColor="background1" w:themeShade="80"/>
          <w:sz w:val="22"/>
          <w:szCs w:val="22"/>
          <w:lang w:val="en-GB"/>
        </w:rPr>
        <w:t xml:space="preserve"> and the associated powers are governed by Order 45</w:t>
      </w:r>
      <w:r w:rsidR="00C741CD" w:rsidRPr="00C741CD">
        <w:rPr>
          <w:rFonts w:ascii="Avenir Next" w:hAnsi="Avenir Next" w:cs="Arial"/>
          <w:color w:val="808080" w:themeColor="background1" w:themeShade="80"/>
          <w:sz w:val="22"/>
          <w:szCs w:val="22"/>
          <w:lang w:val="en-GB"/>
        </w:rPr>
        <w:t xml:space="preserve"> </w:t>
      </w:r>
      <w:r w:rsidR="00C741CD">
        <w:rPr>
          <w:rFonts w:ascii="Avenir Next" w:hAnsi="Avenir Next" w:cs="Arial"/>
          <w:color w:val="808080" w:themeColor="background1" w:themeShade="80"/>
          <w:sz w:val="22"/>
          <w:szCs w:val="22"/>
          <w:lang w:val="en-GB"/>
        </w:rPr>
        <w:t>of the Grand Court Rules</w:t>
      </w:r>
      <w:r>
        <w:rPr>
          <w:rFonts w:ascii="Avenir Next" w:hAnsi="Avenir Next" w:cs="Arial"/>
          <w:color w:val="808080" w:themeColor="background1" w:themeShade="80"/>
          <w:sz w:val="22"/>
          <w:szCs w:val="22"/>
          <w:lang w:val="en-GB"/>
        </w:rPr>
        <w:t xml:space="preserve">. </w:t>
      </w:r>
      <w:r w:rsidR="00C741CD">
        <w:rPr>
          <w:rFonts w:ascii="Avenir Next" w:hAnsi="Avenir Next" w:cs="Arial"/>
          <w:color w:val="808080" w:themeColor="background1" w:themeShade="80"/>
          <w:sz w:val="22"/>
          <w:szCs w:val="22"/>
          <w:lang w:val="en-GB"/>
        </w:rPr>
        <w:t>The appointment does not require the company to be insolvent (or likely to become insolvent).</w:t>
      </w:r>
    </w:p>
    <w:p w14:paraId="0506F897" w14:textId="77777777" w:rsidR="00FA1080" w:rsidRDefault="00FA1080" w:rsidP="00C741CD">
      <w:pPr>
        <w:pStyle w:val="ListParagraph"/>
        <w:ind w:left="360" w:firstLine="720"/>
        <w:jc w:val="both"/>
        <w:rPr>
          <w:rFonts w:ascii="Avenir Next" w:hAnsi="Avenir Next" w:cs="Arial"/>
          <w:color w:val="808080" w:themeColor="background1" w:themeShade="80"/>
          <w:sz w:val="22"/>
          <w:szCs w:val="22"/>
          <w:lang w:val="en-GB"/>
        </w:rPr>
      </w:pPr>
    </w:p>
    <w:p w14:paraId="1C6B04D5" w14:textId="4D0D6536" w:rsidR="00FA1080" w:rsidRDefault="00FA1080" w:rsidP="00C741CD">
      <w:pPr>
        <w:pStyle w:val="ListParagraph"/>
        <w:numPr>
          <w:ilvl w:val="0"/>
          <w:numId w:val="45"/>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appointed by instrument</w:t>
      </w:r>
      <w:r w:rsidR="00C741CD">
        <w:rPr>
          <w:rFonts w:ascii="Avenir Next" w:hAnsi="Avenir Next" w:cs="Arial"/>
          <w:color w:val="808080" w:themeColor="background1" w:themeShade="80"/>
          <w:sz w:val="22"/>
          <w:szCs w:val="22"/>
          <w:lang w:val="en-GB"/>
        </w:rPr>
        <w:t>, for example where a company defaults on a loan to a secured creditor</w:t>
      </w:r>
      <w:r>
        <w:rPr>
          <w:rFonts w:ascii="Avenir Next" w:hAnsi="Avenir Next" w:cs="Arial"/>
          <w:color w:val="808080" w:themeColor="background1" w:themeShade="80"/>
          <w:sz w:val="22"/>
          <w:szCs w:val="22"/>
          <w:lang w:val="en-GB"/>
        </w:rPr>
        <w:t>;</w:t>
      </w:r>
      <w:r w:rsidR="00C741CD">
        <w:rPr>
          <w:rStyle w:val="FootnoteReference"/>
          <w:rFonts w:ascii="Avenir Next" w:hAnsi="Avenir Next" w:cs="Arial"/>
          <w:color w:val="808080" w:themeColor="background1" w:themeShade="80"/>
          <w:sz w:val="22"/>
          <w:szCs w:val="22"/>
          <w:lang w:val="en-GB"/>
        </w:rPr>
        <w:footnoteReference w:id="15"/>
      </w:r>
      <w:r>
        <w:rPr>
          <w:rFonts w:ascii="Avenir Next" w:hAnsi="Avenir Next" w:cs="Arial"/>
          <w:color w:val="808080" w:themeColor="background1" w:themeShade="80"/>
          <w:sz w:val="22"/>
          <w:szCs w:val="22"/>
          <w:lang w:val="en-GB"/>
        </w:rPr>
        <w:t xml:space="preserve"> or</w:t>
      </w:r>
    </w:p>
    <w:p w14:paraId="46F3D574" w14:textId="1350A7D9" w:rsidR="00C741CD" w:rsidRDefault="00C741CD" w:rsidP="00C741CD">
      <w:pPr>
        <w:pStyle w:val="ListParagraph"/>
        <w:ind w:left="360"/>
        <w:jc w:val="both"/>
        <w:rPr>
          <w:rFonts w:ascii="Avenir Next" w:hAnsi="Avenir Next" w:cs="Arial"/>
          <w:color w:val="808080" w:themeColor="background1" w:themeShade="80"/>
          <w:sz w:val="22"/>
          <w:szCs w:val="22"/>
          <w:lang w:val="en-GB"/>
        </w:rPr>
      </w:pPr>
    </w:p>
    <w:p w14:paraId="0F425B11" w14:textId="7D06493E" w:rsidR="00FA1080" w:rsidRPr="00FA1080" w:rsidRDefault="00FA1080" w:rsidP="00C741CD">
      <w:pPr>
        <w:pStyle w:val="ListParagraph"/>
        <w:numPr>
          <w:ilvl w:val="0"/>
          <w:numId w:val="45"/>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appointed by statutory instrument, in respect of Segregated Portfolio Companies.</w:t>
      </w:r>
      <w:r w:rsidR="00C741CD">
        <w:rPr>
          <w:rStyle w:val="FootnoteReference"/>
          <w:rFonts w:ascii="Avenir Next" w:hAnsi="Avenir Next" w:cs="Arial"/>
          <w:color w:val="808080" w:themeColor="background1" w:themeShade="80"/>
          <w:sz w:val="22"/>
          <w:szCs w:val="22"/>
          <w:lang w:val="en-GB"/>
        </w:rPr>
        <w:footnoteReference w:id="16"/>
      </w:r>
    </w:p>
    <w:p w14:paraId="6B4C4CB7" w14:textId="630B0399" w:rsidR="00E4294D" w:rsidRDefault="00E4294D" w:rsidP="002A37BB">
      <w:pPr>
        <w:jc w:val="both"/>
        <w:rPr>
          <w:rFonts w:ascii="Avenir Next" w:hAnsi="Avenir Next" w:cs="Arial"/>
          <w:sz w:val="22"/>
          <w:szCs w:val="22"/>
          <w:shd w:val="clear" w:color="auto" w:fill="FFFFFF"/>
        </w:rPr>
      </w:pPr>
    </w:p>
    <w:p w14:paraId="3BA16770" w14:textId="77777777" w:rsidR="00CD6BAE" w:rsidRDefault="00CD6BAE">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0E678DF9" w14:textId="2C3D02CE"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1"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7F866E6E"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34766C6" w14:textId="667579C6" w:rsidR="00E2799B" w:rsidRDefault="00E2799B" w:rsidP="00E2799B">
      <w:pPr>
        <w:ind w:left="426"/>
        <w:jc w:val="both"/>
        <w:rPr>
          <w:rFonts w:ascii="Avenir Next" w:hAnsi="Avenir Next" w:cs="Arial"/>
          <w:sz w:val="22"/>
          <w:szCs w:val="22"/>
          <w:lang w:val="en-GB"/>
        </w:rPr>
      </w:pPr>
    </w:p>
    <w:p w14:paraId="664CC04C" w14:textId="77777777" w:rsidR="0045441D" w:rsidRDefault="00E2799B" w:rsidP="00E279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assume that BITB has validly registered its mortgage on the Maritime Authority Law register, as the ships are presumably moveable property. </w:t>
      </w:r>
    </w:p>
    <w:p w14:paraId="4A447C32" w14:textId="77777777" w:rsidR="0045441D" w:rsidRDefault="0045441D" w:rsidP="00E2799B">
      <w:pPr>
        <w:jc w:val="both"/>
        <w:rPr>
          <w:rFonts w:ascii="Avenir Next" w:hAnsi="Avenir Next" w:cs="Arial"/>
          <w:color w:val="808080" w:themeColor="background1" w:themeShade="80"/>
          <w:sz w:val="22"/>
          <w:szCs w:val="22"/>
          <w:lang w:val="en-GB"/>
        </w:rPr>
      </w:pPr>
    </w:p>
    <w:p w14:paraId="40CE3C7E" w14:textId="0DAA1F40" w:rsidR="00E2799B" w:rsidRDefault="0045441D" w:rsidP="00E279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BITB may apply to court for orders appointing receivers under Order 30 of the Grand Court Rules. The Court can provide such orders as it deems fit, including providing security and all necessary powers to the receiver to secure the relevant moveable property. It may also approve the remuneration of the receiver.  </w:t>
      </w:r>
    </w:p>
    <w:p w14:paraId="1F37111D" w14:textId="1E984527" w:rsidR="00E2799B" w:rsidRDefault="00E2799B" w:rsidP="00E2799B">
      <w:pPr>
        <w:jc w:val="both"/>
        <w:rPr>
          <w:rFonts w:ascii="Avenir Next" w:hAnsi="Avenir Next" w:cs="Arial"/>
          <w:color w:val="808080" w:themeColor="background1" w:themeShade="80"/>
          <w:sz w:val="22"/>
          <w:szCs w:val="22"/>
          <w:lang w:val="en-GB"/>
        </w:rPr>
      </w:pPr>
    </w:p>
    <w:p w14:paraId="52A1A4CF" w14:textId="3054F458" w:rsidR="00E2799B" w:rsidRPr="00310533" w:rsidRDefault="00E2799B" w:rsidP="00E279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BITB may have rights under maritime law to arrest/seize the boats, however, this is outside the scope of this course.</w:t>
      </w:r>
    </w:p>
    <w:p w14:paraId="43CD94B2" w14:textId="77777777" w:rsidR="00E2799B" w:rsidRPr="00E2799B" w:rsidRDefault="00E2799B" w:rsidP="00E2799B">
      <w:pPr>
        <w:ind w:left="426"/>
        <w:jc w:val="both"/>
        <w:rPr>
          <w:rFonts w:ascii="Avenir Next" w:hAnsi="Avenir Next" w:cs="Arial"/>
          <w:sz w:val="22"/>
          <w:szCs w:val="22"/>
          <w:lang w:val="en-GB"/>
        </w:rPr>
      </w:pPr>
    </w:p>
    <w:p w14:paraId="2954EC21" w14:textId="527D80B0"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33BEC0BF" w14:textId="7F51AB0A" w:rsidR="0045441D" w:rsidRDefault="0045441D" w:rsidP="0045441D">
      <w:pPr>
        <w:jc w:val="both"/>
        <w:rPr>
          <w:rFonts w:ascii="Avenir Next" w:hAnsi="Avenir Next" w:cs="Arial"/>
          <w:sz w:val="22"/>
          <w:szCs w:val="22"/>
          <w:lang w:val="en-GB"/>
        </w:rPr>
      </w:pPr>
    </w:p>
    <w:p w14:paraId="33C32EC9" w14:textId="07528D17" w:rsidR="0045441D" w:rsidRDefault="0045441D" w:rsidP="004544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 clear on the facts where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is located. I have assumed that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is a Cayman Islands registered company. </w:t>
      </w:r>
    </w:p>
    <w:p w14:paraId="04FB7217" w14:textId="3D54A1D1" w:rsidR="0045441D" w:rsidRDefault="0045441D" w:rsidP="0045441D">
      <w:pPr>
        <w:jc w:val="both"/>
        <w:rPr>
          <w:rFonts w:ascii="Avenir Next" w:hAnsi="Avenir Next" w:cs="Arial"/>
          <w:color w:val="808080" w:themeColor="background1" w:themeShade="80"/>
          <w:sz w:val="22"/>
          <w:szCs w:val="22"/>
          <w:lang w:val="en-GB"/>
        </w:rPr>
      </w:pPr>
    </w:p>
    <w:p w14:paraId="72D09102" w14:textId="735F98DB" w:rsidR="0045441D" w:rsidRDefault="0045441D" w:rsidP="004544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94 of the Companies Act provides standing to creditors </w:t>
      </w:r>
      <w:r w:rsidR="00B51D8D">
        <w:rPr>
          <w:rFonts w:ascii="Avenir Next" w:hAnsi="Avenir Next" w:cs="Arial"/>
          <w:color w:val="808080" w:themeColor="background1" w:themeShade="80"/>
          <w:sz w:val="22"/>
          <w:szCs w:val="22"/>
          <w:lang w:val="en-GB"/>
        </w:rPr>
        <w:t>(</w:t>
      </w:r>
      <w:proofErr w:type="spellStart"/>
      <w:r w:rsidR="00B51D8D">
        <w:rPr>
          <w:rFonts w:ascii="Avenir Next" w:hAnsi="Avenir Next" w:cs="Arial"/>
          <w:color w:val="808080" w:themeColor="background1" w:themeShade="80"/>
          <w:sz w:val="22"/>
          <w:szCs w:val="22"/>
          <w:lang w:val="en-GB"/>
        </w:rPr>
        <w:t>ie</w:t>
      </w:r>
      <w:proofErr w:type="spellEnd"/>
      <w:r w:rsidR="00B51D8D">
        <w:rPr>
          <w:rFonts w:ascii="Avenir Next" w:hAnsi="Avenir Next" w:cs="Arial"/>
          <w:color w:val="808080" w:themeColor="background1" w:themeShade="80"/>
          <w:sz w:val="22"/>
          <w:szCs w:val="22"/>
          <w:lang w:val="en-GB"/>
        </w:rPr>
        <w:t xml:space="preserve"> </w:t>
      </w:r>
      <w:proofErr w:type="spellStart"/>
      <w:r w:rsidR="00B51D8D">
        <w:rPr>
          <w:rFonts w:ascii="Avenir Next" w:hAnsi="Avenir Next" w:cs="Arial"/>
          <w:color w:val="808080" w:themeColor="background1" w:themeShade="80"/>
          <w:sz w:val="22"/>
          <w:szCs w:val="22"/>
          <w:lang w:val="en-GB"/>
        </w:rPr>
        <w:t>JoBo</w:t>
      </w:r>
      <w:proofErr w:type="spellEnd"/>
      <w:r w:rsidR="00B51D8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to apply to the Grand Court to wind-up VP</w:t>
      </w:r>
      <w:r w:rsidR="00B51D8D">
        <w:rPr>
          <w:rFonts w:ascii="Avenir Next" w:hAnsi="Avenir Next" w:cs="Arial"/>
          <w:color w:val="808080" w:themeColor="background1" w:themeShade="80"/>
          <w:sz w:val="22"/>
          <w:szCs w:val="22"/>
          <w:lang w:val="en-GB"/>
        </w:rPr>
        <w:t>. Section 92 of the Companies Act relevantly provides the following grounds upon which the Court may order the winding-up of VP:</w:t>
      </w:r>
    </w:p>
    <w:p w14:paraId="3C223580" w14:textId="77777777" w:rsidR="00B51D8D" w:rsidRDefault="00B51D8D" w:rsidP="00B51D8D">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VP is unable to pay its debts; and </w:t>
      </w:r>
    </w:p>
    <w:p w14:paraId="3578032B" w14:textId="7571F0F5" w:rsidR="00B51D8D" w:rsidRDefault="00B51D8D" w:rsidP="00B51D8D">
      <w:pPr>
        <w:pStyle w:val="ListParagraph"/>
        <w:ind w:left="360" w:firstLine="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Section 93 of the Companies Act defines an inability to pay debts as either, where:</w:t>
      </w:r>
    </w:p>
    <w:p w14:paraId="37F8032C" w14:textId="093ACD14" w:rsidR="00B51D8D" w:rsidRDefault="00B51D8D" w:rsidP="00B51D8D">
      <w:pPr>
        <w:pStyle w:val="ListParagraph"/>
        <w:numPr>
          <w:ilvl w:val="1"/>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written demand for payment of a sum greater than KYD 100 remains unpaid after the expiry of 21 days from service on the company;</w:t>
      </w:r>
    </w:p>
    <w:p w14:paraId="2FDA2EF7" w14:textId="0E7B333C" w:rsidR="00B51D8D" w:rsidRDefault="00B51D8D" w:rsidP="00B51D8D">
      <w:pPr>
        <w:pStyle w:val="ListParagraph"/>
        <w:numPr>
          <w:ilvl w:val="1"/>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execution of a judgment, decree or order remains unsatisfied; or</w:t>
      </w:r>
    </w:p>
    <w:p w14:paraId="45D6DF6C" w14:textId="4A9AC0D3" w:rsidR="00B51D8D" w:rsidRDefault="00B51D8D" w:rsidP="00B51D8D">
      <w:pPr>
        <w:pStyle w:val="ListParagraph"/>
        <w:numPr>
          <w:ilvl w:val="1"/>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a cash-flow test basis, the company cannot be its due debts.</w:t>
      </w:r>
      <w:r>
        <w:rPr>
          <w:rStyle w:val="FootnoteReference"/>
          <w:rFonts w:ascii="Avenir Next" w:hAnsi="Avenir Next" w:cs="Arial"/>
          <w:color w:val="808080" w:themeColor="background1" w:themeShade="80"/>
          <w:sz w:val="22"/>
          <w:szCs w:val="22"/>
          <w:lang w:val="en-GB"/>
        </w:rPr>
        <w:footnoteReference w:id="17"/>
      </w:r>
    </w:p>
    <w:p w14:paraId="2DE4423C" w14:textId="338F5469" w:rsidR="00B51D8D" w:rsidRDefault="00B51D8D" w:rsidP="00B51D8D">
      <w:pPr>
        <w:ind w:left="720"/>
        <w:jc w:val="both"/>
        <w:rPr>
          <w:rFonts w:ascii="Avenir Next" w:hAnsi="Avenir Next" w:cs="Arial"/>
          <w:color w:val="808080" w:themeColor="background1" w:themeShade="80"/>
          <w:sz w:val="22"/>
          <w:szCs w:val="22"/>
          <w:lang w:val="en-GB"/>
        </w:rPr>
      </w:pPr>
    </w:p>
    <w:p w14:paraId="1CA62227" w14:textId="4601B532" w:rsidR="00B51D8D" w:rsidRDefault="00B51D8D" w:rsidP="00B51D8D">
      <w:pPr>
        <w:ind w:left="720"/>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could issue a written demand (in accordance with the above requirements), but it is also arguable that a decision of the ICC falls under the second limb of an unsatisfied execution of a judgment, decree or order. I would seek instructions to test the veracity of falling under this second limb. Alternatively,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could attempt to prove (as the burden rests with it) that VP is insolvent, but in my experience that type of test can be expensive. Particularly, as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will have limited access to VP’s records.</w:t>
      </w:r>
    </w:p>
    <w:p w14:paraId="07B9FB2A" w14:textId="77777777" w:rsidR="00B51D8D" w:rsidRPr="00B51D8D" w:rsidRDefault="00B51D8D" w:rsidP="00B51D8D">
      <w:pPr>
        <w:ind w:left="720"/>
        <w:jc w:val="both"/>
        <w:rPr>
          <w:rFonts w:ascii="Avenir Next" w:hAnsi="Avenir Next" w:cs="Arial"/>
          <w:color w:val="808080" w:themeColor="background1" w:themeShade="80"/>
          <w:sz w:val="22"/>
          <w:szCs w:val="22"/>
          <w:lang w:val="en-GB"/>
        </w:rPr>
      </w:pPr>
    </w:p>
    <w:p w14:paraId="31C23A64" w14:textId="4A912597" w:rsidR="00B51D8D" w:rsidRDefault="00B51D8D" w:rsidP="00B51D8D">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Grand Court decides that it is just and equitable to wind-up VP.</w:t>
      </w:r>
    </w:p>
    <w:p w14:paraId="3D5BF74F" w14:textId="0C2B694B" w:rsidR="00B51D8D" w:rsidRDefault="00B51D8D" w:rsidP="00B51D8D">
      <w:pPr>
        <w:pStyle w:val="ListParagraph"/>
        <w:ind w:left="360"/>
        <w:jc w:val="both"/>
        <w:rPr>
          <w:rFonts w:ascii="Avenir Next" w:hAnsi="Avenir Next" w:cs="Arial"/>
          <w:color w:val="808080" w:themeColor="background1" w:themeShade="80"/>
          <w:sz w:val="22"/>
          <w:szCs w:val="22"/>
          <w:lang w:val="en-GB"/>
        </w:rPr>
      </w:pPr>
    </w:p>
    <w:p w14:paraId="787322AE" w14:textId="496D9B47" w:rsidR="00B51D8D" w:rsidRDefault="00B51D8D" w:rsidP="00B51D8D">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Common just and equitable grounds include: loss of substratum, deadlock, mismanagement or exclusion from management. </w:t>
      </w:r>
      <w:r w:rsidR="00F05294">
        <w:rPr>
          <w:rFonts w:ascii="Avenir Next" w:hAnsi="Avenir Next" w:cs="Arial"/>
          <w:color w:val="808080" w:themeColor="background1" w:themeShade="80"/>
          <w:sz w:val="22"/>
          <w:szCs w:val="22"/>
          <w:lang w:val="en-GB"/>
        </w:rPr>
        <w:t>I</w:t>
      </w:r>
      <w:r w:rsidR="00F05294" w:rsidRPr="00F05294">
        <w:rPr>
          <w:rFonts w:ascii="Avenir Next" w:hAnsi="Avenir Next" w:cs="Arial"/>
          <w:color w:val="808080" w:themeColor="background1" w:themeShade="80"/>
          <w:sz w:val="22"/>
          <w:szCs w:val="22"/>
          <w:lang w:val="en-GB"/>
        </w:rPr>
        <w:t xml:space="preserve">n </w:t>
      </w:r>
      <w:r w:rsidR="00F05294" w:rsidRPr="00F05294">
        <w:rPr>
          <w:rFonts w:ascii="Avenir Next" w:hAnsi="Avenir Next" w:cs="Arial"/>
          <w:i/>
          <w:iCs/>
          <w:color w:val="808080" w:themeColor="background1" w:themeShade="80"/>
          <w:sz w:val="22"/>
          <w:szCs w:val="22"/>
          <w:lang w:val="en-GB"/>
        </w:rPr>
        <w:t>the matter of China CVS (Cayman Islands) Holding Corporation</w:t>
      </w:r>
      <w:r w:rsidR="00F05294">
        <w:rPr>
          <w:rFonts w:ascii="Avenir Next" w:hAnsi="Avenir Next" w:cs="Arial"/>
          <w:color w:val="808080" w:themeColor="background1" w:themeShade="80"/>
          <w:sz w:val="22"/>
          <w:szCs w:val="22"/>
          <w:lang w:val="en-GB"/>
        </w:rPr>
        <w:t xml:space="preserve"> (</w:t>
      </w:r>
      <w:r w:rsidR="00F05294" w:rsidRPr="00F05294">
        <w:rPr>
          <w:rFonts w:ascii="Avenir Next" w:hAnsi="Avenir Next" w:cs="Arial"/>
          <w:b/>
          <w:bCs/>
          <w:color w:val="808080" w:themeColor="background1" w:themeShade="80"/>
          <w:sz w:val="22"/>
          <w:szCs w:val="22"/>
          <w:lang w:val="en-GB"/>
        </w:rPr>
        <w:t>CVS case</w:t>
      </w:r>
      <w:r w:rsidR="00F05294">
        <w:rPr>
          <w:rFonts w:ascii="Avenir Next" w:hAnsi="Avenir Next" w:cs="Arial"/>
          <w:color w:val="808080" w:themeColor="background1" w:themeShade="80"/>
          <w:sz w:val="22"/>
          <w:szCs w:val="22"/>
          <w:lang w:val="en-GB"/>
        </w:rPr>
        <w:t>),</w:t>
      </w:r>
      <w:r w:rsidR="00F05294">
        <w:rPr>
          <w:rStyle w:val="FootnoteReference"/>
          <w:rFonts w:ascii="Avenir Next" w:hAnsi="Avenir Next" w:cs="Arial"/>
          <w:color w:val="808080" w:themeColor="background1" w:themeShade="80"/>
          <w:sz w:val="22"/>
          <w:szCs w:val="22"/>
          <w:lang w:val="en-GB"/>
        </w:rPr>
        <w:footnoteReference w:id="18"/>
      </w:r>
      <w:r w:rsidR="00F05294">
        <w:rPr>
          <w:rFonts w:ascii="Avenir Next" w:hAnsi="Avenir Next" w:cs="Arial"/>
          <w:color w:val="808080" w:themeColor="background1" w:themeShade="80"/>
          <w:sz w:val="22"/>
          <w:szCs w:val="22"/>
          <w:lang w:val="en-GB"/>
        </w:rPr>
        <w:t xml:space="preserve"> the court had to deal with an application by a creditor (but who was also a minority shareholder) to wind-up a debtor on just and equitable grounds, where the source of the creditor’s debt was an arbitration. However, in that case, the court was dealing with dispute amongst shareholders which, under the shareholders agreement, required the dispute to be dealt with through arbitration. Although the court declared that the application for just and equitable winding-up was not an abuse of process, it ordered a stay.</w:t>
      </w:r>
    </w:p>
    <w:p w14:paraId="12302B4D" w14:textId="5CF9D1A8" w:rsidR="00F05294" w:rsidRDefault="00F05294" w:rsidP="00B51D8D">
      <w:pPr>
        <w:pStyle w:val="ListParagraph"/>
        <w:jc w:val="both"/>
        <w:rPr>
          <w:rFonts w:ascii="Avenir Next" w:hAnsi="Avenir Next" w:cs="Arial"/>
          <w:color w:val="808080" w:themeColor="background1" w:themeShade="80"/>
          <w:sz w:val="22"/>
          <w:szCs w:val="22"/>
          <w:lang w:val="en-GB"/>
        </w:rPr>
      </w:pPr>
    </w:p>
    <w:p w14:paraId="76ED0C12" w14:textId="7EF76EA4" w:rsidR="00F05294" w:rsidRPr="00B51D8D" w:rsidRDefault="00F05294" w:rsidP="00B51D8D">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CVS case is not analogous to the circumstances facing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does not appear to be a shareholder of VP and does not appear to fit in any of the recognised just and equitable grounds (as per the above). I therefore, do not believe that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could rely upon the just and equitable limb to wind-up VP.</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488A40B4" w:rsidR="00952187" w:rsidRDefault="00952187" w:rsidP="00924973">
      <w:pPr>
        <w:ind w:left="426"/>
        <w:jc w:val="both"/>
        <w:rPr>
          <w:rFonts w:ascii="Avenir Next" w:hAnsi="Avenir Next" w:cs="Arial"/>
          <w:sz w:val="22"/>
          <w:szCs w:val="22"/>
          <w:lang w:val="en-GB"/>
        </w:rPr>
      </w:pPr>
    </w:p>
    <w:p w14:paraId="54466697" w14:textId="77777777" w:rsidR="00E86E6F" w:rsidRDefault="00E86E6F" w:rsidP="00E86E6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94 of the Companies Act provides standing to creditors (</w:t>
      </w:r>
      <w:proofErr w:type="spellStart"/>
      <w:r>
        <w:rPr>
          <w:rFonts w:ascii="Avenir Next" w:hAnsi="Avenir Next" w:cs="Arial"/>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employees) to apply to the Grand Court to wind-up VP. </w:t>
      </w:r>
    </w:p>
    <w:p w14:paraId="79C665D1" w14:textId="77777777" w:rsidR="00E86E6F" w:rsidRDefault="00E86E6F" w:rsidP="00E86E6F">
      <w:pPr>
        <w:ind w:left="720"/>
        <w:jc w:val="both"/>
        <w:rPr>
          <w:rFonts w:ascii="Avenir Next" w:hAnsi="Avenir Next" w:cs="Arial"/>
          <w:color w:val="808080" w:themeColor="background1" w:themeShade="80"/>
          <w:sz w:val="22"/>
          <w:szCs w:val="22"/>
          <w:lang w:val="en-GB"/>
        </w:rPr>
      </w:pPr>
    </w:p>
    <w:p w14:paraId="160EA16F" w14:textId="4B3CF232" w:rsidR="00E86E6F" w:rsidRDefault="00E86E6F" w:rsidP="00E86E6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92 of the Companies Act relevantly provides the following ground upon which the Court may order the winding-up of VP:</w:t>
      </w:r>
    </w:p>
    <w:p w14:paraId="4A53D400" w14:textId="77777777" w:rsidR="00E86E6F" w:rsidRDefault="00E86E6F" w:rsidP="00E86E6F">
      <w:pPr>
        <w:pStyle w:val="ListParagraph"/>
        <w:numPr>
          <w:ilvl w:val="0"/>
          <w:numId w:val="43"/>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VP is unable to pay its debts; and </w:t>
      </w:r>
    </w:p>
    <w:p w14:paraId="0CF8D214" w14:textId="77777777" w:rsidR="00E86E6F" w:rsidRDefault="00E86E6F" w:rsidP="00E86E6F">
      <w:pPr>
        <w:pStyle w:val="ListParagraph"/>
        <w:ind w:left="1080" w:firstLine="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93 of the Companies Act defines an inability to pay debts as either, where:</w:t>
      </w:r>
    </w:p>
    <w:p w14:paraId="40A00715" w14:textId="77777777" w:rsidR="00E86E6F" w:rsidRDefault="00E86E6F" w:rsidP="00E86E6F">
      <w:pPr>
        <w:pStyle w:val="ListParagraph"/>
        <w:numPr>
          <w:ilvl w:val="1"/>
          <w:numId w:val="43"/>
        </w:numPr>
        <w:ind w:left="180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written demand for payment of a sum greater than KYD 100 remains unpaid after the expiry of 21 days from service on the company;</w:t>
      </w:r>
    </w:p>
    <w:p w14:paraId="563C84D9" w14:textId="77777777" w:rsidR="00E86E6F" w:rsidRDefault="00E86E6F" w:rsidP="00E86E6F">
      <w:pPr>
        <w:pStyle w:val="ListParagraph"/>
        <w:numPr>
          <w:ilvl w:val="1"/>
          <w:numId w:val="43"/>
        </w:numPr>
        <w:ind w:left="180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execution of a judgment, decree or order remains unsatisfied; or</w:t>
      </w:r>
    </w:p>
    <w:p w14:paraId="6AC158F6" w14:textId="77777777" w:rsidR="00E86E6F" w:rsidRDefault="00E86E6F" w:rsidP="00E86E6F">
      <w:pPr>
        <w:pStyle w:val="ListParagraph"/>
        <w:numPr>
          <w:ilvl w:val="1"/>
          <w:numId w:val="43"/>
        </w:numPr>
        <w:ind w:left="180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a cash-flow test basis, the company cannot be its due debts.</w:t>
      </w:r>
      <w:r>
        <w:rPr>
          <w:rStyle w:val="FootnoteReference"/>
          <w:rFonts w:ascii="Avenir Next" w:hAnsi="Avenir Next" w:cs="Arial"/>
          <w:color w:val="808080" w:themeColor="background1" w:themeShade="80"/>
          <w:sz w:val="22"/>
          <w:szCs w:val="22"/>
          <w:lang w:val="en-GB"/>
        </w:rPr>
        <w:footnoteReference w:id="19"/>
      </w:r>
    </w:p>
    <w:p w14:paraId="7AE11E3E" w14:textId="1483C35E" w:rsidR="00E86E6F" w:rsidRDefault="00E86E6F" w:rsidP="00924973">
      <w:pPr>
        <w:ind w:left="426"/>
        <w:jc w:val="both"/>
        <w:rPr>
          <w:rFonts w:ascii="Avenir Next" w:hAnsi="Avenir Next" w:cs="Arial"/>
          <w:sz w:val="22"/>
          <w:szCs w:val="22"/>
          <w:lang w:val="en-GB"/>
        </w:rPr>
      </w:pPr>
    </w:p>
    <w:p w14:paraId="1DEAAF50" w14:textId="60F983F1" w:rsidR="00E86E6F" w:rsidRDefault="00E86E6F" w:rsidP="00E86E6F">
      <w:pPr>
        <w:ind w:left="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 employees could issue a written demand (in accordance with the above requirements) or seek first apply to court for judgment. It is unlikely commercial for employees to rely on the </w:t>
      </w:r>
      <w:r>
        <w:rPr>
          <w:rFonts w:ascii="Avenir Next" w:hAnsi="Avenir Next" w:cs="Arial"/>
          <w:color w:val="808080" w:themeColor="background1" w:themeShade="80"/>
          <w:sz w:val="22"/>
          <w:szCs w:val="22"/>
          <w:lang w:val="en-GB"/>
        </w:rPr>
        <w:lastRenderedPageBreak/>
        <w:t>cash flow test limb. Pursuant to s141 of the Companies Act, employee debts are treated as preferential debts, and are paid in priority to all other debts.</w:t>
      </w:r>
    </w:p>
    <w:p w14:paraId="4E330333" w14:textId="77777777" w:rsidR="00E86E6F" w:rsidRPr="00310533" w:rsidRDefault="00E86E6F"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5F47AA90" w:rsidR="00952187" w:rsidRDefault="00952187" w:rsidP="00924973">
      <w:pPr>
        <w:ind w:left="426"/>
        <w:jc w:val="both"/>
        <w:rPr>
          <w:rFonts w:ascii="Avenir Next" w:hAnsi="Avenir Next" w:cs="Arial"/>
          <w:sz w:val="22"/>
          <w:szCs w:val="22"/>
          <w:lang w:val="en-GB"/>
        </w:rPr>
      </w:pPr>
    </w:p>
    <w:p w14:paraId="5B67335F" w14:textId="7FB08CB2" w:rsidR="00E86E6F" w:rsidRPr="00E86E6F" w:rsidRDefault="00E86E6F" w:rsidP="00E86E6F">
      <w:pPr>
        <w:ind w:left="720"/>
        <w:jc w:val="both"/>
        <w:rPr>
          <w:rFonts w:ascii="Avenir Next" w:hAnsi="Avenir Next" w:cs="Arial"/>
          <w:color w:val="808080" w:themeColor="background1" w:themeShade="80"/>
          <w:sz w:val="22"/>
          <w:szCs w:val="22"/>
          <w:lang w:val="en-GB"/>
        </w:rPr>
      </w:pPr>
      <w:r w:rsidRPr="00E86E6F">
        <w:rPr>
          <w:rFonts w:ascii="Avenir Next" w:hAnsi="Avenir Next" w:cs="Arial"/>
          <w:color w:val="808080" w:themeColor="background1" w:themeShade="80"/>
          <w:sz w:val="22"/>
          <w:szCs w:val="22"/>
          <w:lang w:val="en-GB"/>
        </w:rPr>
        <w:t>The Grand C</w:t>
      </w:r>
      <w:r>
        <w:rPr>
          <w:rFonts w:ascii="Avenir Next" w:hAnsi="Avenir Next" w:cs="Arial"/>
          <w:color w:val="808080" w:themeColor="background1" w:themeShade="80"/>
          <w:sz w:val="22"/>
          <w:szCs w:val="22"/>
          <w:lang w:val="en-GB"/>
        </w:rPr>
        <w:t>ourt relevantly has jurisdiction in respect of companies incorporated in the Cayman Islands.</w:t>
      </w:r>
      <w:r>
        <w:rPr>
          <w:rStyle w:val="FootnoteReference"/>
          <w:rFonts w:ascii="Avenir Next" w:hAnsi="Avenir Next" w:cs="Arial"/>
          <w:color w:val="808080" w:themeColor="background1" w:themeShade="80"/>
          <w:sz w:val="22"/>
          <w:szCs w:val="22"/>
          <w:lang w:val="en-GB"/>
        </w:rPr>
        <w:footnoteReference w:id="20"/>
      </w:r>
      <w:r>
        <w:rPr>
          <w:rFonts w:ascii="Avenir Next" w:hAnsi="Avenir Next" w:cs="Arial"/>
          <w:color w:val="808080" w:themeColor="background1" w:themeShade="80"/>
          <w:sz w:val="22"/>
          <w:szCs w:val="22"/>
          <w:lang w:val="en-GB"/>
        </w:rPr>
        <w:t xml:space="preserve"> The facts state that VP is registered in the Cayman Islands and therefore the Grand Court has jurisdiction.</w:t>
      </w:r>
    </w:p>
    <w:p w14:paraId="7E52EFCA" w14:textId="77777777" w:rsidR="00E86E6F" w:rsidRPr="00310533" w:rsidRDefault="00E86E6F"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33129694" w:rsidR="00952187" w:rsidRDefault="00952187" w:rsidP="00E86E6F">
      <w:pPr>
        <w:ind w:left="720"/>
        <w:jc w:val="both"/>
        <w:rPr>
          <w:rFonts w:ascii="Avenir Next" w:hAnsi="Avenir Next" w:cs="Arial"/>
          <w:sz w:val="22"/>
          <w:szCs w:val="22"/>
          <w:lang w:val="en-GB"/>
        </w:rPr>
      </w:pPr>
    </w:p>
    <w:p w14:paraId="6B2786CD" w14:textId="441C6834" w:rsidR="00E86E6F" w:rsidRPr="00E86E6F" w:rsidRDefault="00E86E6F" w:rsidP="00E86E6F">
      <w:pPr>
        <w:ind w:left="720"/>
        <w:jc w:val="both"/>
        <w:rPr>
          <w:rFonts w:ascii="Avenir Next" w:hAnsi="Avenir Next" w:cs="Arial"/>
          <w:color w:val="808080" w:themeColor="background1" w:themeShade="80"/>
          <w:sz w:val="22"/>
          <w:szCs w:val="22"/>
          <w:lang w:val="en-GB"/>
        </w:rPr>
      </w:pPr>
      <w:r w:rsidRPr="00E86E6F">
        <w:rPr>
          <w:rFonts w:ascii="Avenir Next" w:hAnsi="Avenir Next" w:cs="Arial"/>
          <w:color w:val="808080" w:themeColor="background1" w:themeShade="80"/>
          <w:sz w:val="22"/>
          <w:szCs w:val="22"/>
          <w:lang w:val="en-GB"/>
        </w:rPr>
        <w:t>Pursuant to</w:t>
      </w:r>
      <w:r>
        <w:rPr>
          <w:rFonts w:ascii="Avenir Next" w:hAnsi="Avenir Next" w:cs="Arial"/>
          <w:color w:val="808080" w:themeColor="background1" w:themeShade="80"/>
          <w:sz w:val="22"/>
          <w:szCs w:val="22"/>
          <w:lang w:val="en-GB"/>
        </w:rPr>
        <w:t xml:space="preserve"> section 91A-J of the Companies Act, VP may present a petition to the Grand Court to appoint a Restructuring Officer (</w:t>
      </w:r>
      <w:r w:rsidRPr="00E86E6F">
        <w:rPr>
          <w:rFonts w:ascii="Avenir Next" w:hAnsi="Avenir Next" w:cs="Arial"/>
          <w:b/>
          <w:bCs/>
          <w:color w:val="808080" w:themeColor="background1" w:themeShade="80"/>
          <w:sz w:val="22"/>
          <w:szCs w:val="22"/>
          <w:lang w:val="en-GB"/>
        </w:rPr>
        <w:t>RO</w:t>
      </w:r>
      <w:r>
        <w:rPr>
          <w:rFonts w:ascii="Avenir Next" w:hAnsi="Avenir Next" w:cs="Arial"/>
          <w:color w:val="808080" w:themeColor="background1" w:themeShade="80"/>
          <w:sz w:val="22"/>
          <w:szCs w:val="22"/>
          <w:lang w:val="en-GB"/>
        </w:rPr>
        <w:t>). The filing for the petition of an RO grants a moratorium on all (including extraterritorially) actions/suits.</w:t>
      </w:r>
      <w:r w:rsidR="00AB20FD">
        <w:rPr>
          <w:rStyle w:val="FootnoteReference"/>
          <w:rFonts w:ascii="Avenir Next" w:hAnsi="Avenir Next" w:cs="Arial"/>
          <w:color w:val="808080" w:themeColor="background1" w:themeShade="80"/>
          <w:sz w:val="22"/>
          <w:szCs w:val="22"/>
          <w:lang w:val="en-GB"/>
        </w:rPr>
        <w:footnoteReference w:id="21"/>
      </w:r>
      <w:r>
        <w:rPr>
          <w:rFonts w:ascii="Avenir Next" w:hAnsi="Avenir Next" w:cs="Arial"/>
          <w:color w:val="808080" w:themeColor="background1" w:themeShade="80"/>
          <w:sz w:val="22"/>
          <w:szCs w:val="22"/>
          <w:lang w:val="en-GB"/>
        </w:rPr>
        <w:t xml:space="preserve"> </w:t>
      </w:r>
      <w:r w:rsidR="00AB20FD">
        <w:rPr>
          <w:rFonts w:ascii="Avenir Next" w:hAnsi="Avenir Next" w:cs="Arial"/>
          <w:color w:val="808080" w:themeColor="background1" w:themeShade="80"/>
          <w:sz w:val="22"/>
          <w:szCs w:val="22"/>
          <w:lang w:val="en-GB"/>
        </w:rPr>
        <w:t xml:space="preserve">The petition requires that VP be unable to pay its debts (or likely to be unable) and that it intends to present an arrangement to its creditors. </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4845974E" w:rsidR="00952187" w:rsidRDefault="00952187" w:rsidP="00924973">
      <w:pPr>
        <w:ind w:left="426"/>
        <w:jc w:val="both"/>
        <w:rPr>
          <w:rFonts w:ascii="Avenir Next" w:hAnsi="Avenir Next" w:cs="Arial"/>
          <w:sz w:val="22"/>
          <w:szCs w:val="22"/>
          <w:lang w:val="en-GB"/>
        </w:rPr>
      </w:pPr>
    </w:p>
    <w:p w14:paraId="30CA6AA5" w14:textId="4EBBC759" w:rsidR="00AB20FD" w:rsidRDefault="00AB20FD" w:rsidP="00AB20FD">
      <w:pPr>
        <w:ind w:left="720"/>
        <w:jc w:val="both"/>
        <w:rPr>
          <w:rFonts w:ascii="Avenir Next" w:hAnsi="Avenir Next" w:cs="Arial"/>
          <w:color w:val="808080" w:themeColor="background1" w:themeShade="80"/>
          <w:sz w:val="22"/>
          <w:szCs w:val="22"/>
          <w:lang w:val="en-GB"/>
        </w:rPr>
      </w:pPr>
      <w:r w:rsidRPr="00AB20FD">
        <w:rPr>
          <w:rFonts w:ascii="Avenir Next" w:hAnsi="Avenir Next" w:cs="Arial"/>
          <w:color w:val="808080" w:themeColor="background1" w:themeShade="80"/>
          <w:sz w:val="22"/>
          <w:szCs w:val="22"/>
          <w:lang w:val="en-GB"/>
        </w:rPr>
        <w:t xml:space="preserve">There is nothing </w:t>
      </w:r>
      <w:r>
        <w:rPr>
          <w:rFonts w:ascii="Avenir Next" w:hAnsi="Avenir Next" w:cs="Arial"/>
          <w:color w:val="808080" w:themeColor="background1" w:themeShade="80"/>
          <w:sz w:val="22"/>
          <w:szCs w:val="22"/>
          <w:lang w:val="en-GB"/>
        </w:rPr>
        <w:t xml:space="preserve">specifically in the Companies Act that prohibits the Rackham family “continuing to play a part” in the restructuring. However, the Grand Court will appoint an RO, which must be a qualified insolvency practitioner. The RO’s powers and functions are recorded in the order provided by the Grand Court. </w:t>
      </w:r>
    </w:p>
    <w:p w14:paraId="14DB8849" w14:textId="45082206" w:rsidR="00AB20FD" w:rsidRDefault="00AB20FD" w:rsidP="00AB20FD">
      <w:pPr>
        <w:ind w:left="720"/>
        <w:jc w:val="both"/>
        <w:rPr>
          <w:rFonts w:ascii="Avenir Next" w:hAnsi="Avenir Next" w:cs="Arial"/>
          <w:color w:val="808080" w:themeColor="background1" w:themeShade="80"/>
          <w:sz w:val="22"/>
          <w:szCs w:val="22"/>
          <w:lang w:val="en-GB"/>
        </w:rPr>
      </w:pPr>
    </w:p>
    <w:p w14:paraId="640E2149" w14:textId="19BEB46D" w:rsidR="00AB20FD" w:rsidRPr="00AB20FD" w:rsidRDefault="00AB20FD" w:rsidP="00AB20FD">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Practically, the RO may want the assistance of the Rackham family, given the familiarity with the running of the business and their potential relationships with key stakeholders. This depends, however, on the discretion of the RO.</w:t>
      </w:r>
    </w:p>
    <w:p w14:paraId="61176839" w14:textId="77777777" w:rsidR="00AB20FD" w:rsidRPr="00310533" w:rsidRDefault="00AB20FD"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1"/>
    <w:p w14:paraId="51911D9F" w14:textId="5B2C3FE6" w:rsidR="00952187" w:rsidRPr="00310533" w:rsidRDefault="00AB20FD" w:rsidP="00AB20F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Grand Court requires that VP be unable to pay its debts (or likely to be unable) and that it intends to present an arrangement to its creditors.</w:t>
      </w:r>
      <w:r>
        <w:rPr>
          <w:rStyle w:val="FootnoteReference"/>
          <w:rFonts w:ascii="Avenir Next" w:hAnsi="Avenir Next" w:cs="Arial"/>
          <w:color w:val="808080" w:themeColor="background1" w:themeShade="80"/>
          <w:sz w:val="22"/>
          <w:szCs w:val="22"/>
          <w:lang w:val="en-GB"/>
        </w:rPr>
        <w:footnoteReference w:id="22"/>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0D8280AF"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7D4275">
      <w:rPr>
        <w:rFonts w:ascii="Avenir Next" w:hAnsi="Avenir Next" w:cs="Arial"/>
        <w:sz w:val="18"/>
        <w:szCs w:val="18"/>
        <w:lang w:val="en-GB"/>
      </w:rPr>
      <w:t>202122-595</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 w:id="1">
    <w:p w14:paraId="011C5745" w14:textId="70B26BEA" w:rsidR="00CD6BAE" w:rsidRPr="00CD6BAE" w:rsidRDefault="00CD6BAE">
      <w:pPr>
        <w:pStyle w:val="FootnoteText"/>
        <w:rPr>
          <w:lang w:val="en-AU"/>
        </w:rPr>
      </w:pPr>
      <w:r>
        <w:rPr>
          <w:rStyle w:val="FootnoteReference"/>
        </w:rPr>
        <w:footnoteRef/>
      </w:r>
      <w:r>
        <w:t xml:space="preserve"> </w:t>
      </w:r>
      <w:r>
        <w:rPr>
          <w:lang w:val="en-AU"/>
        </w:rPr>
        <w:t>A foreign representative is defined by section 240 of the Companies Act as “</w:t>
      </w:r>
      <w:r w:rsidRPr="00CD6BAE">
        <w:rPr>
          <w:i/>
          <w:iCs/>
          <w:lang w:val="en-AU"/>
        </w:rPr>
        <w:t>a trustee, liquidator or other official appointed in respect of a debtor for the purposes of a foreign bankruptcy proceedings</w:t>
      </w:r>
      <w:r>
        <w:rPr>
          <w:lang w:val="en-AU"/>
        </w:rPr>
        <w:t>.”</w:t>
      </w:r>
    </w:p>
  </w:footnote>
  <w:footnote w:id="2">
    <w:p w14:paraId="47D43BCF" w14:textId="441A15CB" w:rsidR="00C741CD" w:rsidRPr="00C741CD" w:rsidRDefault="00C741CD">
      <w:pPr>
        <w:pStyle w:val="FootnoteText"/>
        <w:rPr>
          <w:lang w:val="en-AU"/>
        </w:rPr>
      </w:pPr>
      <w:r>
        <w:rPr>
          <w:rStyle w:val="FootnoteReference"/>
        </w:rPr>
        <w:footnoteRef/>
      </w:r>
      <w:r>
        <w:t xml:space="preserve"> </w:t>
      </w:r>
      <w:r>
        <w:rPr>
          <w:lang w:val="en-AU"/>
        </w:rPr>
        <w:t>Guidance Text, page 53.</w:t>
      </w:r>
    </w:p>
  </w:footnote>
  <w:footnote w:id="3">
    <w:p w14:paraId="51A82DBD" w14:textId="02F413D5" w:rsidR="000D4788" w:rsidRPr="000D4788" w:rsidRDefault="000D4788">
      <w:pPr>
        <w:pStyle w:val="FootnoteText"/>
        <w:rPr>
          <w:lang w:val="en-AU"/>
        </w:rPr>
      </w:pPr>
      <w:r>
        <w:rPr>
          <w:rStyle w:val="FootnoteReference"/>
        </w:rPr>
        <w:footnoteRef/>
      </w:r>
      <w:r>
        <w:t xml:space="preserve"> </w:t>
      </w:r>
      <w:r w:rsidR="003D44EE">
        <w:rPr>
          <w:rFonts w:ascii="Avenir Next" w:hAnsi="Avenir Next" w:cs="Arial"/>
          <w:color w:val="808080" w:themeColor="background1" w:themeShade="80"/>
          <w:sz w:val="22"/>
          <w:szCs w:val="22"/>
          <w:lang w:val="en-GB"/>
        </w:rPr>
        <w:t>Limitation Act (1996 Revision).</w:t>
      </w:r>
    </w:p>
  </w:footnote>
  <w:footnote w:id="4">
    <w:p w14:paraId="16ADDDF0" w14:textId="06CCC48A" w:rsidR="00CC3A00" w:rsidRPr="00CC3A00" w:rsidRDefault="00CC3A00">
      <w:pPr>
        <w:pStyle w:val="FootnoteText"/>
        <w:rPr>
          <w:lang w:val="en-AU"/>
        </w:rPr>
      </w:pPr>
      <w:r>
        <w:rPr>
          <w:rStyle w:val="FootnoteReference"/>
        </w:rPr>
        <w:footnoteRef/>
      </w:r>
      <w:r>
        <w:t xml:space="preserve"> </w:t>
      </w:r>
      <w:bookmarkStart w:id="0" w:name="_Hlk141622593"/>
      <w:r w:rsidRPr="00CC3A00">
        <w:rPr>
          <w:i/>
          <w:iCs/>
          <w:lang w:val="en-AU"/>
        </w:rPr>
        <w:t>Prospect Properties v McNeill</w:t>
      </w:r>
      <w:r>
        <w:rPr>
          <w:lang w:val="en-AU"/>
        </w:rPr>
        <w:t xml:space="preserve"> </w:t>
      </w:r>
      <w:bookmarkEnd w:id="0"/>
      <w:r>
        <w:rPr>
          <w:lang w:val="en-AU"/>
        </w:rPr>
        <w:t>[1990-91 CILR 171].</w:t>
      </w:r>
    </w:p>
  </w:footnote>
  <w:footnote w:id="5">
    <w:p w14:paraId="79391524" w14:textId="14BAD07C" w:rsidR="003B1B64" w:rsidRPr="003B1B64" w:rsidRDefault="003B1B64">
      <w:pPr>
        <w:pStyle w:val="FootnoteText"/>
        <w:rPr>
          <w:lang w:val="en-AU"/>
        </w:rPr>
      </w:pPr>
      <w:r>
        <w:rPr>
          <w:rStyle w:val="FootnoteReference"/>
        </w:rPr>
        <w:footnoteRef/>
      </w:r>
      <w:r>
        <w:t xml:space="preserve"> </w:t>
      </w:r>
      <w:r>
        <w:rPr>
          <w:lang w:val="en-AU"/>
        </w:rPr>
        <w:t xml:space="preserve">Ibid, </w:t>
      </w:r>
      <w:r w:rsidR="00BC63B2">
        <w:rPr>
          <w:lang w:val="en-AU"/>
        </w:rPr>
        <w:t>199.</w:t>
      </w:r>
    </w:p>
  </w:footnote>
  <w:footnote w:id="6">
    <w:p w14:paraId="11B90597" w14:textId="2FF806C2" w:rsidR="00BC63B2" w:rsidRPr="00BC63B2" w:rsidRDefault="00BC63B2">
      <w:pPr>
        <w:pStyle w:val="FootnoteText"/>
        <w:rPr>
          <w:lang w:val="en-AU"/>
        </w:rPr>
      </w:pPr>
      <w:r>
        <w:rPr>
          <w:rStyle w:val="FootnoteReference"/>
        </w:rPr>
        <w:footnoteRef/>
      </w:r>
      <w:r>
        <w:t xml:space="preserve"> </w:t>
      </w:r>
      <w:r w:rsidRPr="00BC63B2">
        <w:rPr>
          <w:i/>
          <w:iCs/>
          <w:lang w:val="en-AU"/>
        </w:rPr>
        <w:t>Argentine Holdings (Cayman) Limited v Buenos Aires Hotel Corporation S.A.</w:t>
      </w:r>
      <w:r>
        <w:rPr>
          <w:lang w:val="en-AU"/>
        </w:rPr>
        <w:t xml:space="preserve"> [1997 CILR 90].</w:t>
      </w:r>
    </w:p>
  </w:footnote>
  <w:footnote w:id="7">
    <w:p w14:paraId="1D690B2C" w14:textId="24FBD990" w:rsidR="00BC63B2" w:rsidRPr="00BC63B2" w:rsidRDefault="00BC63B2">
      <w:pPr>
        <w:pStyle w:val="FootnoteText"/>
        <w:rPr>
          <w:lang w:val="en-AU"/>
        </w:rPr>
      </w:pPr>
      <w:r>
        <w:rPr>
          <w:rStyle w:val="FootnoteReference"/>
        </w:rPr>
        <w:footnoteRef/>
      </w:r>
      <w:r>
        <w:t xml:space="preserve"> </w:t>
      </w:r>
      <w:r w:rsidRPr="00CC3A00">
        <w:rPr>
          <w:i/>
          <w:iCs/>
          <w:lang w:val="en-AU"/>
        </w:rPr>
        <w:t>Prospect Properties v McNeill</w:t>
      </w:r>
      <w:r>
        <w:rPr>
          <w:lang w:val="en-AU"/>
        </w:rPr>
        <w:t xml:space="preserve"> [1990-91 CILR 171].</w:t>
      </w:r>
    </w:p>
  </w:footnote>
  <w:footnote w:id="8">
    <w:p w14:paraId="7253E6EA" w14:textId="5731B1A2" w:rsidR="00BC63B2" w:rsidRPr="00BC63B2" w:rsidRDefault="00BC63B2">
      <w:pPr>
        <w:pStyle w:val="FootnoteText"/>
        <w:rPr>
          <w:lang w:val="en-AU"/>
        </w:rPr>
      </w:pPr>
      <w:r>
        <w:rPr>
          <w:rStyle w:val="FootnoteReference"/>
        </w:rPr>
        <w:footnoteRef/>
      </w:r>
      <w:r>
        <w:t xml:space="preserve"> </w:t>
      </w:r>
      <w:r w:rsidRPr="00BC63B2">
        <w:rPr>
          <w:i/>
          <w:iCs/>
          <w:lang w:val="en-AU"/>
        </w:rPr>
        <w:t>Phyllison Ltd v GH Ltd</w:t>
      </w:r>
      <w:r>
        <w:rPr>
          <w:lang w:val="en-AU"/>
        </w:rPr>
        <w:t xml:space="preserve"> [1992-93 CILR 160].</w:t>
      </w:r>
    </w:p>
  </w:footnote>
  <w:footnote w:id="9">
    <w:p w14:paraId="01849422" w14:textId="539A4C8C" w:rsidR="00BC63B2" w:rsidRPr="00BC63B2" w:rsidRDefault="00BC63B2">
      <w:pPr>
        <w:pStyle w:val="FootnoteText"/>
        <w:rPr>
          <w:lang w:val="en-AU"/>
        </w:rPr>
      </w:pPr>
      <w:r>
        <w:rPr>
          <w:rStyle w:val="FootnoteReference"/>
        </w:rPr>
        <w:footnoteRef/>
      </w:r>
      <w:r>
        <w:t xml:space="preserve"> </w:t>
      </w:r>
      <w:r w:rsidRPr="00BC63B2">
        <w:rPr>
          <w:i/>
          <w:iCs/>
          <w:lang w:val="en-AU"/>
        </w:rPr>
        <w:t>Norman v Theodore Goddard</w:t>
      </w:r>
      <w:r>
        <w:rPr>
          <w:lang w:val="en-AU"/>
        </w:rPr>
        <w:t xml:space="preserve"> [1991 BCLC 1027].</w:t>
      </w:r>
    </w:p>
  </w:footnote>
  <w:footnote w:id="10">
    <w:p w14:paraId="3189ADDF" w14:textId="3F1ABD31" w:rsidR="0075026B" w:rsidRPr="0075026B" w:rsidRDefault="0075026B">
      <w:pPr>
        <w:pStyle w:val="FootnoteText"/>
        <w:rPr>
          <w:lang w:val="en-AU"/>
        </w:rPr>
      </w:pPr>
      <w:r>
        <w:rPr>
          <w:rStyle w:val="FootnoteReference"/>
        </w:rPr>
        <w:footnoteRef/>
      </w:r>
      <w:r>
        <w:t xml:space="preserve"> </w:t>
      </w:r>
      <w:r w:rsidRPr="00CC3A00">
        <w:rPr>
          <w:i/>
          <w:iCs/>
          <w:lang w:val="en-AU"/>
        </w:rPr>
        <w:t>Prospect Properties v McNeill</w:t>
      </w:r>
      <w:r>
        <w:rPr>
          <w:lang w:val="en-AU"/>
        </w:rPr>
        <w:t xml:space="preserve"> [1990-91 CILR 171].</w:t>
      </w:r>
    </w:p>
  </w:footnote>
  <w:footnote w:id="11">
    <w:p w14:paraId="437DE488" w14:textId="5CF12C0F" w:rsidR="007D3188" w:rsidRPr="007D3188" w:rsidRDefault="007D3188">
      <w:pPr>
        <w:pStyle w:val="FootnoteText"/>
        <w:rPr>
          <w:lang w:val="en-AU"/>
        </w:rPr>
      </w:pPr>
      <w:r>
        <w:rPr>
          <w:rStyle w:val="FootnoteReference"/>
        </w:rPr>
        <w:footnoteRef/>
      </w:r>
      <w:r>
        <w:t xml:space="preserve"> </w:t>
      </w:r>
      <w:r w:rsidR="00926EC1">
        <w:t xml:space="preserve">Companies Act, s 93(c); </w:t>
      </w:r>
      <w:r>
        <w:rPr>
          <w:lang w:val="en-AU"/>
        </w:rPr>
        <w:t xml:space="preserve">Grand Court Rules 2021, Rules 92 and 93; and </w:t>
      </w:r>
      <w:r w:rsidRPr="007D3188">
        <w:rPr>
          <w:i/>
          <w:iCs/>
          <w:lang w:val="en-AU"/>
        </w:rPr>
        <w:t>Re Oryx Natural Resources</w:t>
      </w:r>
      <w:r>
        <w:rPr>
          <w:lang w:val="en-AU"/>
        </w:rPr>
        <w:t xml:space="preserve"> [2007 CILR N 6].</w:t>
      </w:r>
    </w:p>
  </w:footnote>
  <w:footnote w:id="12">
    <w:p w14:paraId="40FE31DA" w14:textId="2B342F37" w:rsidR="007D3188" w:rsidRPr="007D3188" w:rsidRDefault="007D3188">
      <w:pPr>
        <w:pStyle w:val="FootnoteText"/>
        <w:rPr>
          <w:lang w:val="en-AU"/>
        </w:rPr>
      </w:pPr>
      <w:r w:rsidRPr="007D3188">
        <w:rPr>
          <w:rStyle w:val="FootnoteReference"/>
        </w:rPr>
        <w:footnoteRef/>
      </w:r>
      <w:r w:rsidRPr="007D3188">
        <w:t xml:space="preserve"> </w:t>
      </w:r>
      <w:r w:rsidRPr="007D3188">
        <w:rPr>
          <w:i/>
          <w:iCs/>
          <w:lang w:val="en-AU"/>
        </w:rPr>
        <w:t>Re Cheyne Finance Plc</w:t>
      </w:r>
      <w:r w:rsidRPr="007D3188">
        <w:rPr>
          <w:lang w:val="en-AU"/>
        </w:rPr>
        <w:t xml:space="preserve"> [2008 BCC 182]</w:t>
      </w:r>
      <w:r w:rsidR="00C34B32">
        <w:rPr>
          <w:lang w:val="en-AU"/>
        </w:rPr>
        <w:t xml:space="preserve"> and </w:t>
      </w:r>
      <w:r w:rsidR="00C34B32" w:rsidRPr="00926EC1">
        <w:rPr>
          <w:i/>
          <w:iCs/>
          <w:lang w:val="en-AU"/>
        </w:rPr>
        <w:t xml:space="preserve">Re </w:t>
      </w:r>
      <w:r w:rsidR="00C34B32" w:rsidRPr="00926EC1">
        <w:rPr>
          <w:i/>
          <w:iCs/>
          <w:lang w:val="en-AU"/>
        </w:rPr>
        <w:t>Weavering Macro Fixed Income Fund Ltd (in Liquidation)</w:t>
      </w:r>
      <w:r w:rsidR="00C34B32">
        <w:rPr>
          <w:lang w:val="en-AU"/>
        </w:rPr>
        <w:t xml:space="preserve"> [2016</w:t>
      </w:r>
      <w:r w:rsidR="00926EC1">
        <w:rPr>
          <w:lang w:val="en-AU"/>
        </w:rPr>
        <w:t xml:space="preserve"> (2) CILR 514]</w:t>
      </w:r>
      <w:r w:rsidRPr="007D3188">
        <w:rPr>
          <w:lang w:val="en-AU"/>
        </w:rPr>
        <w:t>.</w:t>
      </w:r>
    </w:p>
  </w:footnote>
  <w:footnote w:id="13">
    <w:p w14:paraId="272C2CD3" w14:textId="03612582" w:rsidR="00926EC1" w:rsidRPr="00926EC1" w:rsidRDefault="00926EC1">
      <w:pPr>
        <w:pStyle w:val="FootnoteText"/>
        <w:rPr>
          <w:lang w:val="en-AU"/>
        </w:rPr>
      </w:pPr>
      <w:r>
        <w:rPr>
          <w:rStyle w:val="FootnoteReference"/>
        </w:rPr>
        <w:footnoteRef/>
      </w:r>
      <w:r>
        <w:t xml:space="preserve"> </w:t>
      </w:r>
      <w:r>
        <w:rPr>
          <w:lang w:val="en-AU"/>
        </w:rPr>
        <w:t>This power to apply to court is conferred by Part 1 of Schedule 3 of the Companies Act.</w:t>
      </w:r>
    </w:p>
  </w:footnote>
  <w:footnote w:id="14">
    <w:p w14:paraId="2A270EBF" w14:textId="678AB94C" w:rsidR="00FA1080" w:rsidRPr="00FA1080" w:rsidRDefault="00FA1080">
      <w:pPr>
        <w:pStyle w:val="FootnoteText"/>
        <w:rPr>
          <w:lang w:val="en-AU"/>
        </w:rPr>
      </w:pPr>
      <w:r>
        <w:rPr>
          <w:rStyle w:val="FootnoteReference"/>
        </w:rPr>
        <w:footnoteRef/>
      </w:r>
      <w:r>
        <w:t xml:space="preserve"> </w:t>
      </w:r>
      <w:r>
        <w:rPr>
          <w:lang w:val="en-AU"/>
        </w:rPr>
        <w:t>Guidance Text, Page 41.</w:t>
      </w:r>
    </w:p>
  </w:footnote>
  <w:footnote w:id="15">
    <w:p w14:paraId="15F0A575" w14:textId="153DC048" w:rsidR="00C741CD" w:rsidRPr="00C741CD" w:rsidRDefault="00C741CD">
      <w:pPr>
        <w:pStyle w:val="FootnoteText"/>
        <w:rPr>
          <w:lang w:val="en-AU"/>
        </w:rPr>
      </w:pPr>
      <w:r>
        <w:rPr>
          <w:rStyle w:val="FootnoteReference"/>
        </w:rPr>
        <w:footnoteRef/>
      </w:r>
      <w:r>
        <w:t xml:space="preserve"> </w:t>
      </w:r>
      <w:r w:rsidRPr="00C741CD">
        <w:rPr>
          <w:i/>
          <w:iCs/>
          <w:lang w:val="en-AU"/>
        </w:rPr>
        <w:t>Scotiabank (Cayman Islands) Limited v Treasure Island Resort (Cayman) Limited</w:t>
      </w:r>
      <w:r>
        <w:rPr>
          <w:lang w:val="en-AU"/>
        </w:rPr>
        <w:t xml:space="preserve"> [2004-05 CILR 423].</w:t>
      </w:r>
    </w:p>
  </w:footnote>
  <w:footnote w:id="16">
    <w:p w14:paraId="7534CD7A" w14:textId="655155F7" w:rsidR="00C741CD" w:rsidRPr="00C741CD" w:rsidRDefault="00C741CD">
      <w:pPr>
        <w:pStyle w:val="FootnoteText"/>
        <w:rPr>
          <w:lang w:val="en-AU"/>
        </w:rPr>
      </w:pPr>
      <w:r>
        <w:rPr>
          <w:rStyle w:val="FootnoteReference"/>
        </w:rPr>
        <w:footnoteRef/>
      </w:r>
      <w:r>
        <w:t xml:space="preserve"> </w:t>
      </w:r>
      <w:r>
        <w:rPr>
          <w:lang w:val="en-AU"/>
        </w:rPr>
        <w:t>Companies Act, s216.</w:t>
      </w:r>
    </w:p>
  </w:footnote>
  <w:footnote w:id="17">
    <w:p w14:paraId="66C6DCB7" w14:textId="0ED98A49" w:rsidR="00B51D8D" w:rsidRPr="00B51D8D" w:rsidRDefault="00B51D8D">
      <w:pPr>
        <w:pStyle w:val="FootnoteText"/>
        <w:rPr>
          <w:lang w:val="en-AU"/>
        </w:rPr>
      </w:pPr>
      <w:r>
        <w:rPr>
          <w:rStyle w:val="FootnoteReference"/>
        </w:rPr>
        <w:footnoteRef/>
      </w:r>
      <w:r>
        <w:t xml:space="preserve"> </w:t>
      </w:r>
      <w:r w:rsidRPr="00B51D8D">
        <w:rPr>
          <w:i/>
          <w:iCs/>
          <w:lang w:val="en-AU"/>
        </w:rPr>
        <w:t xml:space="preserve">Section 93(2) of the Companies Act and Re </w:t>
      </w:r>
      <w:r w:rsidRPr="00B51D8D">
        <w:rPr>
          <w:i/>
          <w:iCs/>
          <w:lang w:val="en-AU"/>
        </w:rPr>
        <w:t>Weavering Macro Fixed Income Fund Ltd (in Liquidation)</w:t>
      </w:r>
      <w:r>
        <w:rPr>
          <w:lang w:val="en-AU"/>
        </w:rPr>
        <w:t xml:space="preserve"> [2016 (2) CILR 514].</w:t>
      </w:r>
    </w:p>
  </w:footnote>
  <w:footnote w:id="18">
    <w:p w14:paraId="35EA9263" w14:textId="0FB37ADA" w:rsidR="00F05294" w:rsidRPr="00F05294" w:rsidRDefault="00F05294">
      <w:pPr>
        <w:pStyle w:val="FootnoteText"/>
        <w:rPr>
          <w:lang w:val="en-AU"/>
        </w:rPr>
      </w:pPr>
      <w:r>
        <w:rPr>
          <w:rStyle w:val="FootnoteReference"/>
        </w:rPr>
        <w:footnoteRef/>
      </w:r>
      <w:r>
        <w:t xml:space="preserve"> [2019 (1) CILR 266].</w:t>
      </w:r>
    </w:p>
  </w:footnote>
  <w:footnote w:id="19">
    <w:p w14:paraId="167ED74C" w14:textId="77777777" w:rsidR="00E86E6F" w:rsidRPr="00B51D8D" w:rsidRDefault="00E86E6F" w:rsidP="00E86E6F">
      <w:pPr>
        <w:pStyle w:val="FootnoteText"/>
        <w:rPr>
          <w:lang w:val="en-AU"/>
        </w:rPr>
      </w:pPr>
      <w:r>
        <w:rPr>
          <w:rStyle w:val="FootnoteReference"/>
        </w:rPr>
        <w:footnoteRef/>
      </w:r>
      <w:r>
        <w:t xml:space="preserve"> </w:t>
      </w:r>
      <w:r w:rsidRPr="00B51D8D">
        <w:rPr>
          <w:i/>
          <w:iCs/>
          <w:lang w:val="en-AU"/>
        </w:rPr>
        <w:t xml:space="preserve">Section 93(2) of the Companies Act and Re </w:t>
      </w:r>
      <w:r w:rsidRPr="00B51D8D">
        <w:rPr>
          <w:i/>
          <w:iCs/>
          <w:lang w:val="en-AU"/>
        </w:rPr>
        <w:t>Weavering Macro Fixed Income Fund Ltd (in Liquidation)</w:t>
      </w:r>
      <w:r>
        <w:rPr>
          <w:lang w:val="en-AU"/>
        </w:rPr>
        <w:t xml:space="preserve"> [2016 (2) CILR 514].</w:t>
      </w:r>
    </w:p>
  </w:footnote>
  <w:footnote w:id="20">
    <w:p w14:paraId="3A68CF2F" w14:textId="5EEE3966" w:rsidR="00E86E6F" w:rsidRPr="00E86E6F" w:rsidRDefault="00E86E6F">
      <w:pPr>
        <w:pStyle w:val="FootnoteText"/>
        <w:rPr>
          <w:lang w:val="en-AU"/>
        </w:rPr>
      </w:pPr>
      <w:r>
        <w:rPr>
          <w:rStyle w:val="FootnoteReference"/>
        </w:rPr>
        <w:footnoteRef/>
      </w:r>
      <w:r>
        <w:t xml:space="preserve"> </w:t>
      </w:r>
      <w:r>
        <w:rPr>
          <w:lang w:val="en-AU"/>
        </w:rPr>
        <w:t>Section 91 of the Companies Act.</w:t>
      </w:r>
    </w:p>
  </w:footnote>
  <w:footnote w:id="21">
    <w:p w14:paraId="10D66BFC" w14:textId="13BE635A" w:rsidR="00AB20FD" w:rsidRPr="00AB20FD" w:rsidRDefault="00AB20FD">
      <w:pPr>
        <w:pStyle w:val="FootnoteText"/>
        <w:rPr>
          <w:lang w:val="en-AU"/>
        </w:rPr>
      </w:pPr>
      <w:r>
        <w:rPr>
          <w:rStyle w:val="FootnoteReference"/>
        </w:rPr>
        <w:footnoteRef/>
      </w:r>
      <w:r>
        <w:t xml:space="preserve"> </w:t>
      </w:r>
      <w:r>
        <w:rPr>
          <w:lang w:val="en-AU"/>
        </w:rPr>
        <w:t>Section 91G of the Companies Act.</w:t>
      </w:r>
    </w:p>
  </w:footnote>
  <w:footnote w:id="22">
    <w:p w14:paraId="4B9C324C" w14:textId="7E95E3D7" w:rsidR="00AB20FD" w:rsidRPr="00AB20FD" w:rsidRDefault="00AB20FD">
      <w:pPr>
        <w:pStyle w:val="FootnoteText"/>
        <w:rPr>
          <w:lang w:val="en-AU"/>
        </w:rPr>
      </w:pPr>
      <w:r>
        <w:rPr>
          <w:rStyle w:val="FootnoteReference"/>
        </w:rPr>
        <w:footnoteRef/>
      </w:r>
      <w:r>
        <w:t xml:space="preserve"> </w:t>
      </w:r>
      <w:r>
        <w:rPr>
          <w:lang w:val="en-AU"/>
        </w:rPr>
        <w:t>Section 91B(1) of the Companies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83D1D"/>
    <w:multiLevelType w:val="hybridMultilevel"/>
    <w:tmpl w:val="68364B4C"/>
    <w:lvl w:ilvl="0" w:tplc="1228E512">
      <w:start w:val="241"/>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5111C"/>
    <w:multiLevelType w:val="hybridMultilevel"/>
    <w:tmpl w:val="8A4AE1A6"/>
    <w:lvl w:ilvl="0" w:tplc="311093AA">
      <w:start w:val="1"/>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755F13"/>
    <w:multiLevelType w:val="hybridMultilevel"/>
    <w:tmpl w:val="38AECB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B5633CD"/>
    <w:multiLevelType w:val="hybridMultilevel"/>
    <w:tmpl w:val="86A83FB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5"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CE20E0"/>
    <w:multiLevelType w:val="hybridMultilevel"/>
    <w:tmpl w:val="86C0DC54"/>
    <w:lvl w:ilvl="0" w:tplc="3E72EADC">
      <w:start w:val="1"/>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6BEA4E77"/>
    <w:multiLevelType w:val="hybridMultilevel"/>
    <w:tmpl w:val="571C4B0A"/>
    <w:lvl w:ilvl="0" w:tplc="42DC82F4">
      <w:start w:val="1"/>
      <w:numFmt w:val="decimal"/>
      <w:lvlText w:val="%1)"/>
      <w:lvlJc w:val="left"/>
      <w:pPr>
        <w:ind w:left="720" w:hanging="360"/>
      </w:pPr>
      <w:rPr>
        <w:rFonts w:hint="default"/>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4273B8C"/>
    <w:multiLevelType w:val="hybridMultilevel"/>
    <w:tmpl w:val="AAAAB756"/>
    <w:lvl w:ilvl="0" w:tplc="CCE650AE">
      <w:start w:val="1"/>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064307">
    <w:abstractNumId w:val="45"/>
  </w:num>
  <w:num w:numId="2" w16cid:durableId="2012708340">
    <w:abstractNumId w:val="26"/>
  </w:num>
  <w:num w:numId="3" w16cid:durableId="511072603">
    <w:abstractNumId w:val="21"/>
  </w:num>
  <w:num w:numId="4" w16cid:durableId="1243834938">
    <w:abstractNumId w:val="42"/>
  </w:num>
  <w:num w:numId="5" w16cid:durableId="1040934924">
    <w:abstractNumId w:val="23"/>
  </w:num>
  <w:num w:numId="6" w16cid:durableId="2103643338">
    <w:abstractNumId w:val="35"/>
  </w:num>
  <w:num w:numId="7" w16cid:durableId="464733941">
    <w:abstractNumId w:val="43"/>
  </w:num>
  <w:num w:numId="8" w16cid:durableId="996999724">
    <w:abstractNumId w:val="38"/>
  </w:num>
  <w:num w:numId="9" w16cid:durableId="214856679">
    <w:abstractNumId w:val="19"/>
  </w:num>
  <w:num w:numId="10" w16cid:durableId="1695307998">
    <w:abstractNumId w:val="12"/>
  </w:num>
  <w:num w:numId="11" w16cid:durableId="1902209482">
    <w:abstractNumId w:val="15"/>
  </w:num>
  <w:num w:numId="12" w16cid:durableId="1794058183">
    <w:abstractNumId w:val="20"/>
  </w:num>
  <w:num w:numId="13" w16cid:durableId="810828971">
    <w:abstractNumId w:val="29"/>
  </w:num>
  <w:num w:numId="14" w16cid:durableId="1659728532">
    <w:abstractNumId w:val="3"/>
  </w:num>
  <w:num w:numId="15" w16cid:durableId="875971845">
    <w:abstractNumId w:val="16"/>
  </w:num>
  <w:num w:numId="16" w16cid:durableId="604846098">
    <w:abstractNumId w:val="41"/>
  </w:num>
  <w:num w:numId="17" w16cid:durableId="2074891288">
    <w:abstractNumId w:val="6"/>
  </w:num>
  <w:num w:numId="18" w16cid:durableId="798375648">
    <w:abstractNumId w:val="9"/>
  </w:num>
  <w:num w:numId="19" w16cid:durableId="1924148469">
    <w:abstractNumId w:val="32"/>
  </w:num>
  <w:num w:numId="20" w16cid:durableId="1836333179">
    <w:abstractNumId w:val="30"/>
  </w:num>
  <w:num w:numId="21" w16cid:durableId="491340062">
    <w:abstractNumId w:val="2"/>
  </w:num>
  <w:num w:numId="22" w16cid:durableId="1766488352">
    <w:abstractNumId w:val="14"/>
  </w:num>
  <w:num w:numId="23" w16cid:durableId="332103062">
    <w:abstractNumId w:val="47"/>
  </w:num>
  <w:num w:numId="24" w16cid:durableId="99568997">
    <w:abstractNumId w:val="0"/>
  </w:num>
  <w:num w:numId="25" w16cid:durableId="730809980">
    <w:abstractNumId w:val="36"/>
  </w:num>
  <w:num w:numId="26" w16cid:durableId="1771506621">
    <w:abstractNumId w:val="10"/>
  </w:num>
  <w:num w:numId="27" w16cid:durableId="1677804505">
    <w:abstractNumId w:val="17"/>
  </w:num>
  <w:num w:numId="28" w16cid:durableId="126164217">
    <w:abstractNumId w:val="4"/>
  </w:num>
  <w:num w:numId="29" w16cid:durableId="465243123">
    <w:abstractNumId w:val="7"/>
  </w:num>
  <w:num w:numId="30" w16cid:durableId="1959406457">
    <w:abstractNumId w:val="24"/>
  </w:num>
  <w:num w:numId="31" w16cid:durableId="1340039359">
    <w:abstractNumId w:val="31"/>
  </w:num>
  <w:num w:numId="32" w16cid:durableId="344670651">
    <w:abstractNumId w:val="27"/>
  </w:num>
  <w:num w:numId="33" w16cid:durableId="686099627">
    <w:abstractNumId w:val="33"/>
  </w:num>
  <w:num w:numId="34" w16cid:durableId="1509563382">
    <w:abstractNumId w:val="25"/>
  </w:num>
  <w:num w:numId="35" w16cid:durableId="1305040227">
    <w:abstractNumId w:val="18"/>
  </w:num>
  <w:num w:numId="36" w16cid:durableId="970212389">
    <w:abstractNumId w:val="1"/>
  </w:num>
  <w:num w:numId="37" w16cid:durableId="1890413282">
    <w:abstractNumId w:val="34"/>
  </w:num>
  <w:num w:numId="38" w16cid:durableId="499542555">
    <w:abstractNumId w:val="28"/>
  </w:num>
  <w:num w:numId="39" w16cid:durableId="1840392128">
    <w:abstractNumId w:val="40"/>
  </w:num>
  <w:num w:numId="40" w16cid:durableId="2133403983">
    <w:abstractNumId w:val="37"/>
  </w:num>
  <w:num w:numId="41" w16cid:durableId="379717032">
    <w:abstractNumId w:val="5"/>
  </w:num>
  <w:num w:numId="42" w16cid:durableId="1494033284">
    <w:abstractNumId w:val="22"/>
  </w:num>
  <w:num w:numId="43" w16cid:durableId="1465587967">
    <w:abstractNumId w:val="39"/>
  </w:num>
  <w:num w:numId="44" w16cid:durableId="2124877264">
    <w:abstractNumId w:val="44"/>
  </w:num>
  <w:num w:numId="45" w16cid:durableId="1180393118">
    <w:abstractNumId w:val="13"/>
  </w:num>
  <w:num w:numId="46" w16cid:durableId="741872187">
    <w:abstractNumId w:val="11"/>
  </w:num>
  <w:num w:numId="47" w16cid:durableId="2018999253">
    <w:abstractNumId w:val="46"/>
  </w:num>
  <w:num w:numId="48" w16cid:durableId="3972879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4788"/>
    <w:rsid w:val="000D55A8"/>
    <w:rsid w:val="000E4841"/>
    <w:rsid w:val="000F1677"/>
    <w:rsid w:val="000F3D6C"/>
    <w:rsid w:val="000F6063"/>
    <w:rsid w:val="00101707"/>
    <w:rsid w:val="00102CC9"/>
    <w:rsid w:val="0010593A"/>
    <w:rsid w:val="001107DC"/>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2A40"/>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18F2"/>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48D1"/>
    <w:rsid w:val="00377065"/>
    <w:rsid w:val="00382C98"/>
    <w:rsid w:val="0038533C"/>
    <w:rsid w:val="00386568"/>
    <w:rsid w:val="00390B57"/>
    <w:rsid w:val="00391C9D"/>
    <w:rsid w:val="003938A1"/>
    <w:rsid w:val="003948D5"/>
    <w:rsid w:val="00396821"/>
    <w:rsid w:val="00397D3A"/>
    <w:rsid w:val="003A051E"/>
    <w:rsid w:val="003A2780"/>
    <w:rsid w:val="003B170F"/>
    <w:rsid w:val="003B1B64"/>
    <w:rsid w:val="003B3C5F"/>
    <w:rsid w:val="003C4471"/>
    <w:rsid w:val="003D0A6D"/>
    <w:rsid w:val="003D44EE"/>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1D"/>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026B"/>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08A1"/>
    <w:rsid w:val="007C1FCC"/>
    <w:rsid w:val="007C6201"/>
    <w:rsid w:val="007D11EE"/>
    <w:rsid w:val="007D3188"/>
    <w:rsid w:val="007D4275"/>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6EC1"/>
    <w:rsid w:val="00927C9D"/>
    <w:rsid w:val="00931FD7"/>
    <w:rsid w:val="00942123"/>
    <w:rsid w:val="0095207B"/>
    <w:rsid w:val="00952187"/>
    <w:rsid w:val="00962045"/>
    <w:rsid w:val="009760D8"/>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B0E3A"/>
    <w:rsid w:val="00AB20FD"/>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1D8D"/>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C63B2"/>
    <w:rsid w:val="00BD456A"/>
    <w:rsid w:val="00BE4FF3"/>
    <w:rsid w:val="00BF50F7"/>
    <w:rsid w:val="00C02F29"/>
    <w:rsid w:val="00C17718"/>
    <w:rsid w:val="00C20AFE"/>
    <w:rsid w:val="00C22A25"/>
    <w:rsid w:val="00C34B32"/>
    <w:rsid w:val="00C35671"/>
    <w:rsid w:val="00C35B77"/>
    <w:rsid w:val="00C376EB"/>
    <w:rsid w:val="00C41A0C"/>
    <w:rsid w:val="00C46A92"/>
    <w:rsid w:val="00C46EC1"/>
    <w:rsid w:val="00C52796"/>
    <w:rsid w:val="00C53E2C"/>
    <w:rsid w:val="00C550C8"/>
    <w:rsid w:val="00C55824"/>
    <w:rsid w:val="00C56B61"/>
    <w:rsid w:val="00C606C3"/>
    <w:rsid w:val="00C620F4"/>
    <w:rsid w:val="00C7178B"/>
    <w:rsid w:val="00C72848"/>
    <w:rsid w:val="00C741CD"/>
    <w:rsid w:val="00C7736C"/>
    <w:rsid w:val="00C82D87"/>
    <w:rsid w:val="00C8712A"/>
    <w:rsid w:val="00C902C8"/>
    <w:rsid w:val="00C919D1"/>
    <w:rsid w:val="00C963D3"/>
    <w:rsid w:val="00CB1983"/>
    <w:rsid w:val="00CB2364"/>
    <w:rsid w:val="00CB2CBB"/>
    <w:rsid w:val="00CB7CAC"/>
    <w:rsid w:val="00CC3A00"/>
    <w:rsid w:val="00CC5335"/>
    <w:rsid w:val="00CC5BA4"/>
    <w:rsid w:val="00CC6748"/>
    <w:rsid w:val="00CD4998"/>
    <w:rsid w:val="00CD6BAE"/>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9691C"/>
    <w:rsid w:val="00DA0DC0"/>
    <w:rsid w:val="00DB243C"/>
    <w:rsid w:val="00DB389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2799B"/>
    <w:rsid w:val="00E31DF3"/>
    <w:rsid w:val="00E4294D"/>
    <w:rsid w:val="00E450A4"/>
    <w:rsid w:val="00E45C5C"/>
    <w:rsid w:val="00E506BE"/>
    <w:rsid w:val="00E55547"/>
    <w:rsid w:val="00E55912"/>
    <w:rsid w:val="00E6302B"/>
    <w:rsid w:val="00E6452F"/>
    <w:rsid w:val="00E64F45"/>
    <w:rsid w:val="00E6742D"/>
    <w:rsid w:val="00E71CB0"/>
    <w:rsid w:val="00E77C3D"/>
    <w:rsid w:val="00E86E6F"/>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05294"/>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080"/>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Matthew Hudson</cp:lastModifiedBy>
  <cp:revision>9</cp:revision>
  <cp:lastPrinted>2019-08-27T05:42:00Z</cp:lastPrinted>
  <dcterms:created xsi:type="dcterms:W3CDTF">2022-09-15T16:17:00Z</dcterms:created>
  <dcterms:modified xsi:type="dcterms:W3CDTF">2023-07-31T20:42:00Z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